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0113">
      <w:pPr>
        <w:spacing w:line="400" w:lineRule="exact"/>
        <w:ind w:left="0" w:leftChars="0" w:firstLine="0" w:firstLineChars="0"/>
        <w:jc w:val="center"/>
        <w:rPr>
          <w:b/>
          <w:color w:val="000000"/>
          <w:szCs w:val="32"/>
        </w:rPr>
      </w:pPr>
      <w:r>
        <w:rPr>
          <w:rFonts w:hint="eastAsia"/>
          <w:b/>
          <w:color w:val="000000"/>
          <w:szCs w:val="32"/>
        </w:rPr>
        <w:t>2026年-2028年仪表团队强检仪表委托检定合同</w:t>
      </w:r>
    </w:p>
    <w:p w14:paraId="5EA2762A">
      <w:pPr>
        <w:spacing w:line="400" w:lineRule="exact"/>
        <w:ind w:firstLine="480"/>
        <w:rPr>
          <w:rFonts w:hint="eastAsia" w:eastAsia="宋体"/>
          <w:color w:val="000000"/>
          <w:sz w:val="24"/>
          <w:lang w:eastAsia="zh-CN"/>
        </w:rPr>
      </w:pPr>
      <w:r>
        <w:rPr>
          <w:rFonts w:hint="eastAsia"/>
          <w:color w:val="000000"/>
          <w:sz w:val="24"/>
        </w:rPr>
        <w:t xml:space="preserve">                                     合同编号：</w:t>
      </w:r>
      <w:r>
        <w:rPr>
          <w:rFonts w:hint="eastAsia"/>
          <w:color w:val="000000"/>
          <w:sz w:val="24"/>
          <w:lang w:val="en-US" w:eastAsia="zh-CN"/>
        </w:rPr>
        <w:t xml:space="preserve"> </w:t>
      </w:r>
    </w:p>
    <w:p w14:paraId="7581DA92">
      <w:pPr>
        <w:spacing w:line="400" w:lineRule="exact"/>
        <w:ind w:firstLine="480"/>
        <w:rPr>
          <w:color w:val="000000"/>
          <w:sz w:val="24"/>
        </w:rPr>
      </w:pPr>
      <w:r>
        <w:rPr>
          <w:rFonts w:hint="eastAsia"/>
          <w:color w:val="000000"/>
          <w:sz w:val="24"/>
        </w:rPr>
        <w:t xml:space="preserve">                                     签订日期：</w:t>
      </w:r>
      <w:r>
        <w:rPr>
          <w:color w:val="000000"/>
          <w:sz w:val="24"/>
        </w:rPr>
        <w:t>202</w:t>
      </w:r>
      <w:r>
        <w:rPr>
          <w:rFonts w:hint="eastAsia"/>
          <w:color w:val="000000"/>
          <w:sz w:val="24"/>
          <w:lang w:val="en-US" w:eastAsia="zh-CN"/>
        </w:rPr>
        <w:t>6</w:t>
      </w:r>
      <w:r>
        <w:rPr>
          <w:rFonts w:hint="eastAsia"/>
          <w:color w:val="000000"/>
          <w:sz w:val="24"/>
        </w:rPr>
        <w:t xml:space="preserve">年 </w:t>
      </w:r>
      <w:r>
        <w:rPr>
          <w:rFonts w:hint="eastAsia"/>
          <w:color w:val="000000"/>
          <w:sz w:val="24"/>
          <w:lang w:val="en-US" w:eastAsia="zh-CN"/>
        </w:rPr>
        <w:t xml:space="preserve"> </w:t>
      </w:r>
      <w:r>
        <w:rPr>
          <w:rFonts w:hint="eastAsia"/>
          <w:color w:val="000000"/>
          <w:sz w:val="24"/>
        </w:rPr>
        <w:t xml:space="preserve">月 </w:t>
      </w:r>
      <w:r>
        <w:rPr>
          <w:rFonts w:hint="eastAsia"/>
          <w:color w:val="000000"/>
          <w:sz w:val="24"/>
          <w:lang w:val="en-US" w:eastAsia="zh-CN"/>
        </w:rPr>
        <w:t xml:space="preserve"> </w:t>
      </w:r>
      <w:r>
        <w:rPr>
          <w:rFonts w:hint="eastAsia"/>
          <w:color w:val="000000"/>
          <w:sz w:val="24"/>
        </w:rPr>
        <w:t xml:space="preserve"> 日</w:t>
      </w:r>
    </w:p>
    <w:p w14:paraId="5AE27152">
      <w:pPr>
        <w:spacing w:line="400" w:lineRule="exact"/>
        <w:ind w:firstLine="480"/>
        <w:rPr>
          <w:rFonts w:hAnsi="宋体"/>
          <w:color w:val="000000"/>
          <w:sz w:val="24"/>
          <w:szCs w:val="24"/>
        </w:rPr>
      </w:pPr>
      <w:r>
        <w:rPr>
          <w:rFonts w:hint="eastAsia" w:hAnsi="宋体"/>
          <w:color w:val="000000"/>
          <w:sz w:val="24"/>
          <w:szCs w:val="24"/>
        </w:rPr>
        <w:t>甲方：</w:t>
      </w:r>
      <w:r>
        <w:rPr>
          <w:rFonts w:hint="eastAsia" w:hAnsi="宋体"/>
          <w:color w:val="000000"/>
          <w:sz w:val="24"/>
          <w:szCs w:val="24"/>
          <w:lang w:val="en-US" w:eastAsia="zh-CN"/>
        </w:rPr>
        <w:t>福建福海创石油化工有限公司、</w:t>
      </w:r>
      <w:r>
        <w:rPr>
          <w:rFonts w:hint="eastAsia" w:hAnsi="宋体"/>
          <w:color w:val="000000"/>
          <w:sz w:val="24"/>
          <w:szCs w:val="24"/>
        </w:rPr>
        <w:t>腾龙芳烃（漳州）有限公司</w:t>
      </w:r>
    </w:p>
    <w:p w14:paraId="1874BC81">
      <w:pPr>
        <w:spacing w:line="400" w:lineRule="exact"/>
        <w:ind w:firstLine="480"/>
        <w:rPr>
          <w:rFonts w:hint="eastAsia" w:ascii="宋体" w:hAnsi="宋体" w:eastAsia="宋体" w:cs="Times New Roman"/>
          <w:color w:val="000000"/>
          <w:kern w:val="0"/>
          <w:position w:val="-6"/>
          <w:sz w:val="24"/>
          <w:szCs w:val="24"/>
          <w:lang w:val="en-US" w:eastAsia="zh-CN" w:bidi="ar-SA"/>
        </w:rPr>
      </w:pPr>
      <w:r>
        <w:rPr>
          <w:rFonts w:hint="eastAsia" w:hAnsi="宋体"/>
          <w:color w:val="000000"/>
          <w:sz w:val="24"/>
          <w:szCs w:val="24"/>
        </w:rPr>
        <w:t xml:space="preserve">      翔鹭码头投资管理（漳州）有限公司</w:t>
      </w:r>
      <w:r>
        <w:rPr>
          <w:rFonts w:hint="eastAsia" w:hAnsi="宋体"/>
          <w:color w:val="000000"/>
          <w:sz w:val="24"/>
          <w:szCs w:val="24"/>
          <w:lang w:eastAsia="zh-CN"/>
        </w:rPr>
        <w:t>、</w:t>
      </w:r>
      <w:r>
        <w:rPr>
          <w:rFonts w:hint="eastAsia" w:ascii="宋体" w:hAnsi="宋体" w:eastAsia="宋体" w:cs="Times New Roman"/>
          <w:color w:val="000000"/>
          <w:kern w:val="0"/>
          <w:position w:val="-6"/>
          <w:sz w:val="24"/>
          <w:szCs w:val="24"/>
          <w:lang w:val="en-US" w:eastAsia="zh-CN" w:bidi="ar-SA"/>
        </w:rPr>
        <w:t>福建省福化古蕾化学有限公司</w:t>
      </w:r>
    </w:p>
    <w:p w14:paraId="6B120C94">
      <w:pPr>
        <w:spacing w:line="400" w:lineRule="exact"/>
        <w:ind w:firstLine="480"/>
        <w:rPr>
          <w:rFonts w:hAnsi="宋体"/>
          <w:color w:val="000000"/>
          <w:sz w:val="24"/>
          <w:szCs w:val="24"/>
        </w:rPr>
      </w:pPr>
      <w:r>
        <w:rPr>
          <w:rFonts w:hint="eastAsia" w:hAnsi="宋体"/>
          <w:color w:val="000000"/>
          <w:sz w:val="24"/>
          <w:szCs w:val="24"/>
        </w:rPr>
        <w:t>乙方：</w:t>
      </w:r>
    </w:p>
    <w:p w14:paraId="4297A4E0">
      <w:pPr>
        <w:spacing w:line="460" w:lineRule="exact"/>
        <w:ind w:firstLine="480" w:firstLineChars="200"/>
        <w:rPr>
          <w:rStyle w:val="32"/>
          <w:rFonts w:hAnsi="宋体"/>
          <w:color w:val="000000"/>
          <w:sz w:val="24"/>
          <w:szCs w:val="24"/>
        </w:rPr>
      </w:pPr>
      <w:r>
        <w:rPr>
          <w:rFonts w:hint="eastAsia" w:hAnsi="宋体"/>
          <w:color w:val="3C3C3C"/>
          <w:sz w:val="24"/>
          <w:szCs w:val="24"/>
        </w:rPr>
        <w:t>根据《中华人民共和国民法典》合同编规定，及其他有关法律、行政法规，遵循平等、自愿、公平和诚实信用的原则，结合本项目具体情况，双方就强检仪表、汽车衡及核重电子秤等检定校准项目协商一致，订立本合同</w:t>
      </w:r>
      <w:r>
        <w:rPr>
          <w:rFonts w:hint="eastAsia" w:hAnsi="宋体"/>
          <w:sz w:val="24"/>
          <w:szCs w:val="24"/>
        </w:rPr>
        <w:t>，共同遵照执行。</w:t>
      </w:r>
    </w:p>
    <w:p w14:paraId="093274AA">
      <w:pPr>
        <w:spacing w:line="460" w:lineRule="exact"/>
        <w:ind w:firstLine="480"/>
        <w:rPr>
          <w:rFonts w:hAnsi="宋体"/>
          <w:color w:val="000000"/>
          <w:sz w:val="24"/>
          <w:szCs w:val="24"/>
        </w:rPr>
      </w:pPr>
      <w:r>
        <w:rPr>
          <w:rFonts w:hint="eastAsia" w:hAnsi="宋体"/>
          <w:color w:val="000000"/>
          <w:sz w:val="24"/>
          <w:szCs w:val="24"/>
        </w:rPr>
        <w:t>一、委托检测项目：</w:t>
      </w:r>
    </w:p>
    <w:p w14:paraId="18BEBAFB">
      <w:pPr>
        <w:spacing w:line="460" w:lineRule="exact"/>
        <w:ind w:firstLine="480" w:firstLineChars="200"/>
        <w:rPr>
          <w:rFonts w:hAnsi="宋体"/>
          <w:color w:val="000000"/>
          <w:sz w:val="24"/>
          <w:szCs w:val="24"/>
        </w:rPr>
      </w:pPr>
      <w:r>
        <w:rPr>
          <w:rFonts w:hint="eastAsia" w:hAnsi="宋体"/>
          <w:color w:val="000000"/>
          <w:sz w:val="24"/>
          <w:szCs w:val="24"/>
        </w:rPr>
        <w:t>甲方委托乙方对</w:t>
      </w:r>
      <w:r>
        <w:rPr>
          <w:rFonts w:hAnsi="宋体"/>
          <w:color w:val="000000"/>
          <w:sz w:val="24"/>
          <w:szCs w:val="24"/>
          <w:u w:val="single"/>
        </w:rPr>
        <w:t xml:space="preserve"> </w:t>
      </w:r>
      <w:r>
        <w:rPr>
          <w:rFonts w:hint="eastAsia" w:hAnsi="宋体"/>
          <w:color w:val="3C3C3C"/>
          <w:sz w:val="24"/>
          <w:szCs w:val="24"/>
          <w:u w:val="single"/>
        </w:rPr>
        <w:t>强检仪表、汽车衡及电子秤</w:t>
      </w:r>
      <w:r>
        <w:rPr>
          <w:rFonts w:hint="eastAsia" w:hAnsi="宋体"/>
          <w:color w:val="000000"/>
          <w:sz w:val="24"/>
          <w:szCs w:val="24"/>
          <w:u w:val="single"/>
        </w:rPr>
        <w:t>等</w:t>
      </w:r>
      <w:r>
        <w:rPr>
          <w:rFonts w:hAnsi="宋体"/>
          <w:color w:val="000000"/>
          <w:sz w:val="24"/>
          <w:szCs w:val="24"/>
          <w:u w:val="single"/>
        </w:rPr>
        <w:t xml:space="preserve"> </w:t>
      </w:r>
      <w:r>
        <w:rPr>
          <w:rFonts w:hint="eastAsia" w:hAnsi="宋体"/>
          <w:color w:val="000000"/>
          <w:sz w:val="24"/>
          <w:szCs w:val="24"/>
        </w:rPr>
        <w:t>进行检定校准，乙方向甲方提供优质高效的服务。</w:t>
      </w:r>
    </w:p>
    <w:p w14:paraId="15596D83">
      <w:pPr>
        <w:spacing w:line="460" w:lineRule="exact"/>
        <w:ind w:firstLine="480" w:firstLineChars="200"/>
        <w:rPr>
          <w:rFonts w:hAnsi="宋体"/>
          <w:color w:val="000000"/>
          <w:sz w:val="24"/>
          <w:szCs w:val="24"/>
        </w:rPr>
      </w:pPr>
      <w:r>
        <w:rPr>
          <w:rFonts w:hint="eastAsia" w:hAnsi="宋体"/>
          <w:color w:val="000000"/>
          <w:sz w:val="24"/>
          <w:szCs w:val="24"/>
        </w:rPr>
        <w:t>数量：见附件</w:t>
      </w:r>
      <w:r>
        <w:rPr>
          <w:rFonts w:hAnsi="宋体"/>
          <w:color w:val="000000"/>
          <w:sz w:val="24"/>
          <w:szCs w:val="24"/>
        </w:rPr>
        <w:t>2</w:t>
      </w:r>
      <w:r>
        <w:rPr>
          <w:rFonts w:hint="eastAsia" w:hAnsi="宋体"/>
          <w:color w:val="000000"/>
          <w:sz w:val="24"/>
          <w:szCs w:val="24"/>
        </w:rPr>
        <w:t>“台账清单”</w:t>
      </w:r>
    </w:p>
    <w:p w14:paraId="7EFBCBB6">
      <w:pPr>
        <w:spacing w:line="460" w:lineRule="exact"/>
        <w:ind w:firstLine="480"/>
        <w:rPr>
          <w:rFonts w:hAnsi="宋体"/>
          <w:sz w:val="24"/>
          <w:szCs w:val="24"/>
        </w:rPr>
      </w:pPr>
      <w:r>
        <w:rPr>
          <w:rFonts w:hint="eastAsia" w:hAnsi="宋体"/>
          <w:color w:val="000000"/>
          <w:sz w:val="24"/>
          <w:szCs w:val="24"/>
        </w:rPr>
        <w:t>二、检测标准</w:t>
      </w:r>
      <w:r>
        <w:rPr>
          <w:rFonts w:hint="eastAsia" w:hAnsi="宋体"/>
          <w:color w:val="000000"/>
          <w:sz w:val="24"/>
          <w:szCs w:val="24"/>
          <w:lang w:eastAsia="zh-CN"/>
        </w:rPr>
        <w:t>：</w:t>
      </w:r>
      <w:r>
        <w:rPr>
          <w:rFonts w:hint="eastAsia" w:hAnsi="宋体"/>
          <w:color w:val="000000"/>
          <w:sz w:val="24"/>
          <w:szCs w:val="24"/>
        </w:rPr>
        <w:t>乙方根据甲方要求按照国家、地方、行业、企业标准对</w:t>
      </w:r>
      <w:r>
        <w:rPr>
          <w:rFonts w:hint="eastAsia" w:hAnsi="宋体"/>
          <w:color w:val="3C3C3C"/>
          <w:sz w:val="24"/>
          <w:szCs w:val="24"/>
        </w:rPr>
        <w:t>强检仪表、汽车衡及核重电子秤等</w:t>
      </w:r>
      <w:r>
        <w:rPr>
          <w:rFonts w:hint="eastAsia" w:hAnsi="宋体"/>
          <w:color w:val="000000"/>
          <w:sz w:val="24"/>
          <w:szCs w:val="24"/>
        </w:rPr>
        <w:t>进行检验检定，具体使用的检测标</w:t>
      </w:r>
      <w:r>
        <w:rPr>
          <w:rFonts w:hint="eastAsia" w:hAnsi="宋体"/>
          <w:sz w:val="24"/>
          <w:szCs w:val="24"/>
        </w:rPr>
        <w:t>准为</w:t>
      </w:r>
      <w:r>
        <w:rPr>
          <w:rFonts w:hAnsi="宋体"/>
          <w:sz w:val="24"/>
          <w:szCs w:val="24"/>
          <w:u w:val="single"/>
        </w:rPr>
        <w:t xml:space="preserve"> </w:t>
      </w:r>
      <w:r>
        <w:rPr>
          <w:rFonts w:hint="eastAsia" w:hAnsi="宋体"/>
          <w:sz w:val="24"/>
          <w:szCs w:val="24"/>
          <w:u w:val="single"/>
        </w:rPr>
        <w:t>检定规程或校准规范</w:t>
      </w:r>
      <w:r>
        <w:rPr>
          <w:rFonts w:hAnsi="宋体"/>
          <w:sz w:val="24"/>
          <w:szCs w:val="24"/>
          <w:u w:val="single"/>
        </w:rPr>
        <w:t xml:space="preserve">  </w:t>
      </w:r>
      <w:r>
        <w:rPr>
          <w:rFonts w:hint="eastAsia" w:hAnsi="宋体"/>
          <w:sz w:val="24"/>
          <w:szCs w:val="24"/>
        </w:rPr>
        <w:t>。</w:t>
      </w:r>
    </w:p>
    <w:p w14:paraId="674F3658">
      <w:pPr>
        <w:spacing w:line="460" w:lineRule="exact"/>
        <w:ind w:firstLine="480"/>
        <w:rPr>
          <w:rFonts w:hAnsi="宋体"/>
          <w:sz w:val="24"/>
          <w:szCs w:val="24"/>
        </w:rPr>
      </w:pPr>
      <w:r>
        <w:rPr>
          <w:rFonts w:hint="eastAsia" w:hAnsi="宋体"/>
          <w:sz w:val="24"/>
          <w:szCs w:val="24"/>
        </w:rPr>
        <w:t>三、甲方的权利义务</w:t>
      </w:r>
    </w:p>
    <w:p w14:paraId="72CE854F">
      <w:pPr>
        <w:spacing w:line="460" w:lineRule="exact"/>
        <w:ind w:left="0" w:leftChars="0" w:firstLine="320" w:firstLineChars="0"/>
        <w:rPr>
          <w:rFonts w:hAnsi="宋体"/>
          <w:sz w:val="24"/>
          <w:szCs w:val="24"/>
        </w:rPr>
      </w:pPr>
      <w:r>
        <w:rPr>
          <w:rFonts w:hint="eastAsia" w:hAnsi="宋体"/>
          <w:sz w:val="24"/>
          <w:szCs w:val="24"/>
        </w:rPr>
        <w:t>1、甲方有权监督乙方的检定校验工作，有权要求乙方在规定时间内完成约定的检定校准工作，并获得检定校准证书或报告；</w:t>
      </w:r>
    </w:p>
    <w:p w14:paraId="7386F048">
      <w:pPr>
        <w:spacing w:line="460" w:lineRule="exact"/>
        <w:ind w:left="0" w:leftChars="0" w:firstLine="320" w:firstLineChars="0"/>
        <w:rPr>
          <w:rFonts w:hAnsi="宋体"/>
          <w:sz w:val="24"/>
          <w:szCs w:val="24"/>
        </w:rPr>
      </w:pPr>
      <w:r>
        <w:rPr>
          <w:rFonts w:hint="eastAsia" w:hAnsi="宋体"/>
          <w:sz w:val="24"/>
          <w:szCs w:val="24"/>
        </w:rPr>
        <w:t>2、甲方根据乙方检定的需要配合乙方检测工作，并提供人员协助及相关资料。</w:t>
      </w:r>
    </w:p>
    <w:p w14:paraId="6DC6417D">
      <w:pPr>
        <w:spacing w:line="460" w:lineRule="exact"/>
        <w:ind w:left="0" w:leftChars="0" w:firstLine="320" w:firstLineChars="0"/>
        <w:rPr>
          <w:rFonts w:hAnsi="宋体"/>
          <w:sz w:val="24"/>
          <w:szCs w:val="24"/>
        </w:rPr>
      </w:pPr>
      <w:r>
        <w:rPr>
          <w:rFonts w:hint="eastAsia" w:hAnsi="宋体"/>
          <w:sz w:val="24"/>
          <w:szCs w:val="24"/>
        </w:rPr>
        <w:t>3、按约定支付检定费用；</w:t>
      </w:r>
    </w:p>
    <w:p w14:paraId="782428E0">
      <w:pPr>
        <w:spacing w:line="460" w:lineRule="exact"/>
        <w:ind w:left="0" w:leftChars="0" w:firstLine="320" w:firstLineChars="0"/>
        <w:rPr>
          <w:rFonts w:hAnsi="宋体"/>
          <w:sz w:val="24"/>
          <w:szCs w:val="24"/>
        </w:rPr>
      </w:pPr>
      <w:r>
        <w:rPr>
          <w:rFonts w:hint="eastAsia" w:hAnsi="宋体"/>
          <w:sz w:val="24"/>
          <w:szCs w:val="24"/>
        </w:rPr>
        <w:t>4、甲方有权要求乙方对受检仪器及相关资料信息予以保密。</w:t>
      </w:r>
    </w:p>
    <w:p w14:paraId="092A82FF">
      <w:pPr>
        <w:spacing w:line="460" w:lineRule="exact"/>
        <w:ind w:firstLine="480"/>
        <w:rPr>
          <w:rFonts w:hAnsi="宋体"/>
          <w:sz w:val="24"/>
          <w:szCs w:val="24"/>
        </w:rPr>
      </w:pPr>
      <w:r>
        <w:rPr>
          <w:rFonts w:hint="eastAsia" w:hAnsi="宋体"/>
          <w:sz w:val="24"/>
          <w:szCs w:val="24"/>
        </w:rPr>
        <w:t>四、乙方的权利义务：</w:t>
      </w:r>
    </w:p>
    <w:p w14:paraId="7334E10C">
      <w:pPr>
        <w:spacing w:line="460" w:lineRule="exact"/>
        <w:ind w:firstLine="360" w:firstLineChars="150"/>
        <w:rPr>
          <w:rFonts w:hAnsi="宋体"/>
          <w:sz w:val="24"/>
          <w:szCs w:val="24"/>
        </w:rPr>
      </w:pPr>
      <w:r>
        <w:rPr>
          <w:rFonts w:hint="eastAsia" w:hAnsi="宋体"/>
          <w:sz w:val="24"/>
          <w:szCs w:val="24"/>
        </w:rPr>
        <w:t>1、乙方有权按合同约定要求甲方支付服务费用；</w:t>
      </w:r>
    </w:p>
    <w:p w14:paraId="2C093F96">
      <w:pPr>
        <w:spacing w:line="460" w:lineRule="exact"/>
        <w:ind w:firstLine="360" w:firstLineChars="150"/>
        <w:rPr>
          <w:rFonts w:hAnsi="宋体"/>
          <w:sz w:val="24"/>
          <w:szCs w:val="24"/>
        </w:rPr>
      </w:pPr>
      <w:r>
        <w:rPr>
          <w:rFonts w:hint="eastAsia" w:hAnsi="宋体"/>
          <w:sz w:val="24"/>
          <w:szCs w:val="24"/>
        </w:rPr>
        <w:t>2、乙方对甲方之受检仪器及其相关资料信息的特殊要求及异常状况享有知情权；</w:t>
      </w:r>
    </w:p>
    <w:p w14:paraId="39283301">
      <w:pPr>
        <w:spacing w:line="460" w:lineRule="exact"/>
        <w:ind w:firstLine="360" w:firstLineChars="150"/>
        <w:rPr>
          <w:rFonts w:hAnsi="宋体"/>
          <w:sz w:val="24"/>
          <w:szCs w:val="24"/>
        </w:rPr>
      </w:pPr>
      <w:r>
        <w:rPr>
          <w:rFonts w:hint="eastAsia" w:hAnsi="宋体"/>
          <w:sz w:val="24"/>
          <w:szCs w:val="24"/>
        </w:rPr>
        <w:t>3、乙方根据甲方要求按照约定的检定标准对仪表进行检定校准；</w:t>
      </w:r>
    </w:p>
    <w:p w14:paraId="52794E09">
      <w:pPr>
        <w:spacing w:line="460" w:lineRule="exact"/>
        <w:ind w:firstLine="360" w:firstLineChars="150"/>
        <w:rPr>
          <w:rFonts w:hAnsi="宋体"/>
          <w:sz w:val="24"/>
          <w:szCs w:val="24"/>
        </w:rPr>
      </w:pPr>
      <w:r>
        <w:rPr>
          <w:rFonts w:hint="eastAsia" w:hAnsi="宋体"/>
          <w:sz w:val="24"/>
          <w:szCs w:val="24"/>
        </w:rPr>
        <w:t>4、按约定完成检定并出具检定证书；</w:t>
      </w:r>
    </w:p>
    <w:p w14:paraId="443ECA22">
      <w:pPr>
        <w:spacing w:line="460" w:lineRule="exact"/>
        <w:ind w:firstLine="360" w:firstLineChars="150"/>
        <w:rPr>
          <w:rFonts w:hAnsi="宋体"/>
          <w:sz w:val="24"/>
          <w:szCs w:val="24"/>
        </w:rPr>
      </w:pPr>
      <w:r>
        <w:rPr>
          <w:rFonts w:hint="eastAsia" w:hAnsi="宋体"/>
          <w:sz w:val="24"/>
          <w:szCs w:val="24"/>
        </w:rPr>
        <w:t>5、对出具之受检仪器的检定校准证书或测试报告，以及甲方要求保密之受检仪器及知悉的甲方技术信息、经营信息、生产工艺、操作流程等负有保密义务；</w:t>
      </w:r>
    </w:p>
    <w:p w14:paraId="1C139A0D">
      <w:pPr>
        <w:spacing w:line="460" w:lineRule="exact"/>
        <w:ind w:firstLine="360" w:firstLineChars="150"/>
        <w:rPr>
          <w:rFonts w:hAnsi="宋体"/>
          <w:sz w:val="24"/>
          <w:szCs w:val="24"/>
        </w:rPr>
      </w:pPr>
      <w:r>
        <w:rPr>
          <w:rFonts w:hint="eastAsia" w:hAnsi="宋体"/>
          <w:sz w:val="24"/>
          <w:szCs w:val="24"/>
        </w:rPr>
        <w:t>6、如属送检仪器，乙方应于接获受校仪器之日起，10个日历日内完成检定校准工作（不含现场检定/校准及特殊仪器的检定/校准）；</w:t>
      </w:r>
    </w:p>
    <w:p w14:paraId="54C046E6">
      <w:pPr>
        <w:spacing w:line="460" w:lineRule="exact"/>
        <w:ind w:firstLine="360" w:firstLineChars="150"/>
        <w:rPr>
          <w:rFonts w:hAnsi="宋体"/>
          <w:sz w:val="24"/>
          <w:szCs w:val="24"/>
        </w:rPr>
      </w:pPr>
      <w:r>
        <w:rPr>
          <w:rFonts w:hint="eastAsia" w:hAnsi="宋体"/>
          <w:sz w:val="24"/>
          <w:szCs w:val="24"/>
        </w:rPr>
        <w:t>7、乙方接收仪器时发现被检仪器计量性能缺陷，将通知甲方；</w:t>
      </w:r>
    </w:p>
    <w:p w14:paraId="43453C7E">
      <w:pPr>
        <w:spacing w:line="460" w:lineRule="exact"/>
        <w:ind w:firstLine="360" w:firstLineChars="150"/>
        <w:rPr>
          <w:rFonts w:hAnsi="宋体"/>
          <w:sz w:val="24"/>
          <w:szCs w:val="24"/>
        </w:rPr>
      </w:pPr>
      <w:r>
        <w:rPr>
          <w:rFonts w:hint="eastAsia" w:hAnsi="宋体"/>
          <w:sz w:val="24"/>
          <w:szCs w:val="24"/>
        </w:rPr>
        <w:t>8、乙方需确保检测数据准确可靠，并可溯源至国家基准。</w:t>
      </w:r>
    </w:p>
    <w:p w14:paraId="7D7C934D">
      <w:pPr>
        <w:spacing w:line="460" w:lineRule="exact"/>
        <w:ind w:firstLine="480"/>
        <w:rPr>
          <w:rFonts w:hAnsi="宋体"/>
          <w:sz w:val="24"/>
          <w:szCs w:val="24"/>
        </w:rPr>
      </w:pPr>
      <w:r>
        <w:rPr>
          <w:rFonts w:hint="eastAsia" w:hAnsi="宋体"/>
          <w:sz w:val="24"/>
          <w:szCs w:val="24"/>
        </w:rPr>
        <w:t>五、服务工期：自</w:t>
      </w:r>
      <w:r>
        <w:rPr>
          <w:rFonts w:hAnsi="宋体"/>
          <w:sz w:val="24"/>
          <w:szCs w:val="24"/>
        </w:rPr>
        <w:t>202</w:t>
      </w:r>
      <w:r>
        <w:rPr>
          <w:rFonts w:hint="eastAsia" w:hAnsi="宋体"/>
          <w:sz w:val="24"/>
          <w:szCs w:val="24"/>
          <w:lang w:val="en-US" w:eastAsia="zh-CN"/>
        </w:rPr>
        <w:t>6</w:t>
      </w:r>
      <w:r>
        <w:rPr>
          <w:rFonts w:hAnsi="宋体"/>
          <w:sz w:val="24"/>
          <w:szCs w:val="24"/>
        </w:rPr>
        <w:t>年</w:t>
      </w:r>
      <w:r>
        <w:rPr>
          <w:rFonts w:hint="eastAsia" w:hAnsi="宋体"/>
          <w:sz w:val="24"/>
          <w:szCs w:val="24"/>
          <w:lang w:val="en-US" w:eastAsia="zh-CN"/>
        </w:rPr>
        <w:t xml:space="preserve"> </w:t>
      </w:r>
      <w:r>
        <w:rPr>
          <w:rFonts w:hAnsi="宋体"/>
          <w:sz w:val="24"/>
          <w:szCs w:val="24"/>
        </w:rPr>
        <w:t>月</w:t>
      </w:r>
      <w:r>
        <w:rPr>
          <w:rFonts w:hint="eastAsia" w:hAnsi="宋体"/>
          <w:sz w:val="24"/>
          <w:szCs w:val="24"/>
          <w:lang w:val="en-US" w:eastAsia="zh-CN"/>
        </w:rPr>
        <w:t xml:space="preserve">  </w:t>
      </w:r>
      <w:r>
        <w:rPr>
          <w:rFonts w:hAnsi="宋体"/>
          <w:sz w:val="24"/>
          <w:szCs w:val="24"/>
        </w:rPr>
        <w:t>日</w:t>
      </w:r>
      <w:r>
        <w:rPr>
          <w:rFonts w:hint="eastAsia" w:hAnsi="宋体"/>
          <w:sz w:val="24"/>
          <w:szCs w:val="24"/>
        </w:rPr>
        <w:t>（含）起至</w:t>
      </w:r>
      <w:r>
        <w:rPr>
          <w:rFonts w:hAnsi="宋体"/>
          <w:sz w:val="24"/>
          <w:szCs w:val="24"/>
        </w:rPr>
        <w:t>202</w:t>
      </w:r>
      <w:r>
        <w:rPr>
          <w:rFonts w:hint="eastAsia" w:hAnsi="宋体"/>
          <w:sz w:val="24"/>
          <w:szCs w:val="24"/>
          <w:lang w:val="en-US" w:eastAsia="zh-CN"/>
        </w:rPr>
        <w:t>8</w:t>
      </w:r>
      <w:r>
        <w:rPr>
          <w:rFonts w:hAnsi="宋体"/>
          <w:sz w:val="24"/>
          <w:szCs w:val="24"/>
        </w:rPr>
        <w:t>年</w:t>
      </w:r>
      <w:r>
        <w:rPr>
          <w:rFonts w:hint="eastAsia" w:hAnsi="宋体"/>
          <w:sz w:val="24"/>
          <w:szCs w:val="24"/>
          <w:lang w:val="en-US" w:eastAsia="zh-CN"/>
        </w:rPr>
        <w:t xml:space="preserve"> </w:t>
      </w:r>
      <w:r>
        <w:rPr>
          <w:rFonts w:hAnsi="宋体"/>
          <w:sz w:val="24"/>
          <w:szCs w:val="24"/>
        </w:rPr>
        <w:t>月</w:t>
      </w:r>
      <w:r>
        <w:rPr>
          <w:rFonts w:hint="eastAsia" w:hAnsi="宋体"/>
          <w:sz w:val="24"/>
          <w:szCs w:val="24"/>
          <w:lang w:val="en-US" w:eastAsia="zh-CN"/>
        </w:rPr>
        <w:t xml:space="preserve"> </w:t>
      </w:r>
      <w:r>
        <w:rPr>
          <w:rFonts w:hAnsi="宋体"/>
          <w:sz w:val="24"/>
          <w:szCs w:val="24"/>
        </w:rPr>
        <w:t>日</w:t>
      </w:r>
      <w:r>
        <w:rPr>
          <w:rFonts w:hint="eastAsia" w:hAnsi="宋体"/>
          <w:sz w:val="24"/>
          <w:szCs w:val="24"/>
        </w:rPr>
        <w:t>（含）止，</w:t>
      </w:r>
      <w:r>
        <w:rPr>
          <w:rFonts w:hint="eastAsia" w:hAnsi="宋体"/>
          <w:sz w:val="24"/>
          <w:szCs w:val="24"/>
          <w:u w:val="single"/>
        </w:rPr>
        <w:t>根据双方协商，约定日期</w:t>
      </w:r>
      <w:r>
        <w:rPr>
          <w:rFonts w:hint="eastAsia" w:hAnsi="宋体"/>
          <w:sz w:val="24"/>
          <w:szCs w:val="24"/>
        </w:rPr>
        <w:t>安排进场检定校准，在现场检定完成并确认后10个日历日内提交符合国家检定规程、校准规范要求的检定报告。</w:t>
      </w:r>
    </w:p>
    <w:p w14:paraId="5AD35E3C">
      <w:pPr>
        <w:spacing w:line="460" w:lineRule="exact"/>
        <w:ind w:firstLine="480"/>
        <w:rPr>
          <w:rFonts w:hAnsi="宋体"/>
          <w:sz w:val="24"/>
          <w:szCs w:val="24"/>
        </w:rPr>
      </w:pPr>
      <w:r>
        <w:rPr>
          <w:rFonts w:hint="eastAsia" w:hAnsi="宋体"/>
          <w:sz w:val="24"/>
          <w:szCs w:val="24"/>
        </w:rPr>
        <w:t>六、检定费用及付款方式：</w:t>
      </w:r>
    </w:p>
    <w:p w14:paraId="3DE9255C">
      <w:pPr>
        <w:spacing w:line="460" w:lineRule="exact"/>
        <w:ind w:firstLine="480"/>
        <w:rPr>
          <w:rFonts w:hAnsi="宋体"/>
          <w:sz w:val="24"/>
          <w:szCs w:val="24"/>
        </w:rPr>
      </w:pPr>
      <w:r>
        <w:rPr>
          <w:rFonts w:hint="eastAsia" w:hAnsi="宋体"/>
          <w:sz w:val="24"/>
          <w:szCs w:val="24"/>
        </w:rPr>
        <w:t>1、实际结算按照福建省物价局，福建省财政厅文件“闽价费【2016】25号”相关项目收费标准的</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%计价取费，采取固定单价，据实结算方式。</w:t>
      </w:r>
      <w:r>
        <w:rPr>
          <w:rFonts w:hint="eastAsia"/>
          <w:sz w:val="24"/>
          <w:lang w:val="en-US" w:eastAsia="zh-CN"/>
        </w:rPr>
        <w:t>本合同暂估含税总价</w:t>
      </w:r>
      <w:r>
        <w:rPr>
          <w:rFonts w:hint="eastAsia"/>
          <w:sz w:val="24"/>
          <w:u w:val="single"/>
          <w:lang w:val="en-US" w:eastAsia="zh-CN"/>
        </w:rPr>
        <w:t xml:space="preserve"> </w:t>
      </w:r>
      <w:r>
        <w:rPr>
          <w:rFonts w:hint="eastAsia" w:hAnsi="宋体" w:cs="Times New Roman"/>
          <w:sz w:val="24"/>
          <w:u w:val="single"/>
          <w:lang w:val="en-US" w:eastAsia="zh-CN"/>
        </w:rPr>
        <w:t xml:space="preserve"> </w:t>
      </w:r>
      <w:r>
        <w:rPr>
          <w:rFonts w:hint="eastAsia"/>
          <w:sz w:val="24"/>
          <w:lang w:val="en-US" w:eastAsia="zh-CN"/>
        </w:rPr>
        <w:t>元，</w:t>
      </w:r>
      <w:r>
        <w:rPr>
          <w:rFonts w:hint="eastAsia" w:hAnsi="宋体"/>
          <w:sz w:val="24"/>
        </w:rPr>
        <w:t>未税金额为</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元，税金为</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元，有尾差，以实际开票为准。</w:t>
      </w:r>
    </w:p>
    <w:p w14:paraId="779DCC5C">
      <w:pPr>
        <w:spacing w:line="460" w:lineRule="exact"/>
        <w:ind w:firstLine="480" w:firstLineChars="200"/>
        <w:rPr>
          <w:rFonts w:hAnsi="宋体"/>
          <w:color w:val="000000"/>
          <w:sz w:val="24"/>
          <w:szCs w:val="24"/>
        </w:rPr>
      </w:pPr>
      <w:r>
        <w:rPr>
          <w:rFonts w:hint="eastAsia" w:hAnsi="宋体"/>
          <w:color w:val="000000"/>
          <w:sz w:val="24"/>
          <w:szCs w:val="24"/>
        </w:rPr>
        <w:t>此价格包含差旅费、检定设备运输费、运输保险费、材料、人工税金等所需的全部费用。</w:t>
      </w:r>
    </w:p>
    <w:p w14:paraId="36310F59">
      <w:pPr>
        <w:spacing w:line="460" w:lineRule="exact"/>
        <w:ind w:firstLine="480" w:firstLineChars="200"/>
        <w:rPr>
          <w:rFonts w:hAnsi="宋体"/>
          <w:sz w:val="24"/>
          <w:szCs w:val="24"/>
        </w:rPr>
      </w:pPr>
      <w:r>
        <w:rPr>
          <w:rFonts w:hint="eastAsia" w:hAnsi="宋体"/>
          <w:color w:val="000000"/>
          <w:sz w:val="24"/>
          <w:szCs w:val="24"/>
        </w:rPr>
        <w:t>2、</w:t>
      </w:r>
      <w:r>
        <w:rPr>
          <w:rFonts w:hint="eastAsia" w:hAnsi="宋体"/>
          <w:sz w:val="24"/>
          <w:szCs w:val="24"/>
        </w:rPr>
        <w:t>付款方式：无预付款，依据实际工作量每季度结算一次</w:t>
      </w:r>
      <w:r>
        <w:rPr>
          <w:rFonts w:hint="eastAsia" w:hAnsi="宋体"/>
          <w:sz w:val="24"/>
          <w:szCs w:val="24"/>
          <w:lang w:eastAsia="zh-CN"/>
        </w:rPr>
        <w:t>。</w:t>
      </w:r>
      <w:r>
        <w:rPr>
          <w:rFonts w:hint="eastAsia" w:hAnsi="宋体"/>
          <w:sz w:val="24"/>
          <w:szCs w:val="24"/>
        </w:rPr>
        <w:t>乙方检定完成并确认，</w:t>
      </w:r>
      <w:r>
        <w:rPr>
          <w:rFonts w:hint="eastAsia" w:hAnsi="宋体"/>
          <w:sz w:val="24"/>
          <w:szCs w:val="24"/>
          <w:lang w:val="en-US" w:eastAsia="zh-CN"/>
        </w:rPr>
        <w:t>且</w:t>
      </w:r>
      <w:r>
        <w:rPr>
          <w:rFonts w:hint="eastAsia" w:hAnsi="宋体"/>
          <w:sz w:val="24"/>
          <w:szCs w:val="24"/>
        </w:rPr>
        <w:t>甲方收到相对应的增值税专用发票后，</w:t>
      </w:r>
      <w:r>
        <w:rPr>
          <w:rFonts w:hint="eastAsia" w:hAnsi="宋体"/>
          <w:sz w:val="24"/>
          <w:szCs w:val="24"/>
          <w:lang w:val="en-US" w:eastAsia="zh-CN"/>
        </w:rPr>
        <w:t>60日内</w:t>
      </w:r>
      <w:r>
        <w:rPr>
          <w:rFonts w:hint="eastAsia" w:hAnsi="宋体"/>
          <w:sz w:val="24"/>
          <w:szCs w:val="24"/>
        </w:rPr>
        <w:t>付清全款，领取报告证书。</w:t>
      </w:r>
    </w:p>
    <w:p w14:paraId="7D1F2CB4">
      <w:pPr>
        <w:pStyle w:val="11"/>
        <w:spacing w:line="460" w:lineRule="exact"/>
        <w:ind w:firstLine="480" w:firstLineChars="200"/>
        <w:jc w:val="left"/>
        <w:rPr>
          <w:rFonts w:hint="eastAsia" w:hAnsi="宋体" w:eastAsia="宋体"/>
          <w:sz w:val="24"/>
          <w:szCs w:val="24"/>
          <w:lang w:eastAsia="zh-CN"/>
        </w:rPr>
      </w:pPr>
      <w:r>
        <w:rPr>
          <w:rFonts w:hint="eastAsia" w:hAnsi="宋体"/>
          <w:sz w:val="24"/>
          <w:szCs w:val="24"/>
        </w:rPr>
        <w:t>3、乙方开户银行：</w:t>
      </w:r>
      <w:r>
        <w:rPr>
          <w:rFonts w:hint="eastAsia" w:hAnsi="宋体"/>
          <w:sz w:val="24"/>
          <w:szCs w:val="24"/>
          <w:lang w:val="en-US" w:eastAsia="zh-CN"/>
        </w:rPr>
        <w:t xml:space="preserve"> </w:t>
      </w:r>
    </w:p>
    <w:p w14:paraId="783CA8EC">
      <w:pPr>
        <w:pStyle w:val="11"/>
        <w:spacing w:line="460" w:lineRule="exact"/>
        <w:ind w:firstLine="840" w:firstLineChars="350"/>
        <w:jc w:val="left"/>
        <w:rPr>
          <w:rFonts w:hint="eastAsia" w:hAnsi="宋体" w:eastAsia="宋体"/>
          <w:sz w:val="24"/>
          <w:szCs w:val="24"/>
          <w:lang w:val="en-US" w:eastAsia="zh-CN"/>
        </w:rPr>
      </w:pPr>
      <w:r>
        <w:rPr>
          <w:rFonts w:hint="eastAsia" w:hAnsi="宋体"/>
          <w:sz w:val="24"/>
          <w:szCs w:val="24"/>
        </w:rPr>
        <w:t>公 司 名  称：</w:t>
      </w:r>
      <w:r>
        <w:rPr>
          <w:rFonts w:hint="eastAsia" w:hAnsi="宋体"/>
          <w:sz w:val="24"/>
          <w:szCs w:val="24"/>
          <w:lang w:val="en-US" w:eastAsia="zh-CN"/>
        </w:rPr>
        <w:t xml:space="preserve"> </w:t>
      </w:r>
    </w:p>
    <w:p w14:paraId="31749B7D">
      <w:pPr>
        <w:spacing w:line="460" w:lineRule="exact"/>
        <w:ind w:firstLine="849" w:firstLineChars="354"/>
        <w:rPr>
          <w:rFonts w:hint="eastAsia" w:hAnsi="宋体" w:eastAsia="宋体"/>
          <w:sz w:val="24"/>
          <w:szCs w:val="24"/>
          <w:u w:val="single"/>
          <w:lang w:eastAsia="zh-CN"/>
        </w:rPr>
      </w:pPr>
      <w:r>
        <w:rPr>
          <w:rFonts w:hint="eastAsia" w:hAnsi="宋体"/>
          <w:sz w:val="24"/>
          <w:szCs w:val="24"/>
        </w:rPr>
        <w:t>账 号：</w:t>
      </w:r>
      <w:r>
        <w:rPr>
          <w:rFonts w:hint="eastAsia" w:hAnsi="宋体"/>
          <w:sz w:val="24"/>
          <w:szCs w:val="24"/>
          <w:lang w:val="en-US" w:eastAsia="zh-CN"/>
        </w:rPr>
        <w:t xml:space="preserve"> </w:t>
      </w:r>
    </w:p>
    <w:p w14:paraId="57D3CC3C">
      <w:pPr>
        <w:spacing w:line="460" w:lineRule="exact"/>
        <w:ind w:left="640" w:leftChars="200" w:firstLine="208" w:firstLineChars="87"/>
        <w:rPr>
          <w:rFonts w:hint="eastAsia" w:hAnsi="宋体" w:eastAsia="宋体"/>
          <w:sz w:val="24"/>
          <w:szCs w:val="24"/>
          <w:u w:val="single"/>
          <w:lang w:eastAsia="zh-CN"/>
        </w:rPr>
      </w:pPr>
      <w:r>
        <w:rPr>
          <w:rFonts w:hint="eastAsia" w:hAnsi="宋体"/>
          <w:sz w:val="24"/>
          <w:szCs w:val="24"/>
        </w:rPr>
        <w:t>纳税人识别号：</w:t>
      </w:r>
      <w:r>
        <w:rPr>
          <w:rFonts w:hint="eastAsia" w:hAnsi="宋体"/>
          <w:sz w:val="24"/>
          <w:szCs w:val="24"/>
          <w:lang w:val="en-US" w:eastAsia="zh-CN"/>
        </w:rPr>
        <w:t xml:space="preserve"> </w:t>
      </w:r>
    </w:p>
    <w:p w14:paraId="781739EF">
      <w:pPr>
        <w:pStyle w:val="11"/>
        <w:spacing w:line="460" w:lineRule="exact"/>
        <w:ind w:firstLine="480" w:firstLineChars="200"/>
        <w:jc w:val="left"/>
        <w:rPr>
          <w:rFonts w:hAnsi="宋体"/>
          <w:color w:val="000000"/>
          <w:sz w:val="24"/>
          <w:szCs w:val="24"/>
        </w:rPr>
      </w:pPr>
      <w:r>
        <w:rPr>
          <w:rFonts w:hint="eastAsia" w:hAnsi="宋体"/>
          <w:sz w:val="24"/>
          <w:szCs w:val="24"/>
        </w:rPr>
        <w:t>乙方应在甲方付款前</w:t>
      </w:r>
      <w:r>
        <w:rPr>
          <w:rFonts w:hint="eastAsia" w:hAnsi="宋体"/>
          <w:sz w:val="24"/>
          <w:szCs w:val="24"/>
          <w:u w:val="single"/>
        </w:rPr>
        <w:t>60</w:t>
      </w:r>
      <w:r>
        <w:rPr>
          <w:rFonts w:hint="eastAsia" w:hAnsi="宋体"/>
          <w:sz w:val="24"/>
          <w:szCs w:val="24"/>
        </w:rPr>
        <w:t>日内</w:t>
      </w:r>
      <w:r>
        <w:rPr>
          <w:rFonts w:hint="eastAsia" w:hAnsi="宋体"/>
          <w:color w:val="000000"/>
          <w:sz w:val="24"/>
          <w:szCs w:val="24"/>
        </w:rPr>
        <w:t>提供</w:t>
      </w:r>
      <w:r>
        <w:rPr>
          <w:rFonts w:hint="eastAsia" w:hAnsi="宋体"/>
          <w:color w:val="000000"/>
          <w:sz w:val="24"/>
          <w:szCs w:val="24"/>
          <w:u w:val="single"/>
          <w:lang w:val="en-US" w:eastAsia="zh-CN"/>
        </w:rPr>
        <w:t xml:space="preserve"> </w:t>
      </w:r>
      <w:r>
        <w:rPr>
          <w:rFonts w:hint="eastAsia" w:hAnsi="宋体"/>
          <w:color w:val="000000"/>
          <w:sz w:val="24"/>
          <w:szCs w:val="24"/>
          <w:u w:val="single"/>
        </w:rPr>
        <w:t>%</w:t>
      </w:r>
      <w:r>
        <w:rPr>
          <w:rFonts w:hint="eastAsia" w:hAnsi="宋体"/>
          <w:color w:val="000000"/>
          <w:sz w:val="24"/>
          <w:szCs w:val="24"/>
        </w:rPr>
        <w:t>增值税专用发票（分别开具发票给甲方各家公司），否则甲方有权顺延付款。</w:t>
      </w:r>
    </w:p>
    <w:p w14:paraId="1DDEE7D5">
      <w:pPr>
        <w:spacing w:line="460" w:lineRule="exact"/>
        <w:ind w:firstLine="480"/>
        <w:rPr>
          <w:rStyle w:val="32"/>
          <w:rFonts w:hAnsi="宋体"/>
          <w:sz w:val="24"/>
          <w:szCs w:val="24"/>
        </w:rPr>
      </w:pPr>
      <w:r>
        <w:rPr>
          <w:rFonts w:hint="eastAsia" w:hAnsi="宋体"/>
          <w:sz w:val="24"/>
          <w:szCs w:val="24"/>
        </w:rPr>
        <w:t>七、双方确定，按以下标准和方式对乙方提交的报告进行验收：</w:t>
      </w:r>
    </w:p>
    <w:p w14:paraId="33215AC9">
      <w:pPr>
        <w:spacing w:line="460" w:lineRule="exact"/>
        <w:ind w:firstLine="720" w:firstLineChars="300"/>
        <w:rPr>
          <w:rFonts w:hAnsi="宋体"/>
          <w:color w:val="000000"/>
          <w:sz w:val="24"/>
          <w:szCs w:val="24"/>
        </w:rPr>
      </w:pPr>
      <w:r>
        <w:rPr>
          <w:rFonts w:hint="eastAsia" w:hAnsi="宋体"/>
          <w:color w:val="000000"/>
          <w:sz w:val="24"/>
          <w:szCs w:val="24"/>
        </w:rPr>
        <w:t>1、乙方提交检定报告或其他甲方可接受报告工作成果的形式；</w:t>
      </w:r>
    </w:p>
    <w:p w14:paraId="6655BBCE">
      <w:pPr>
        <w:spacing w:line="460" w:lineRule="exact"/>
        <w:ind w:firstLine="720" w:firstLineChars="300"/>
        <w:rPr>
          <w:rFonts w:hAnsi="宋体"/>
          <w:color w:val="000000"/>
          <w:sz w:val="24"/>
          <w:szCs w:val="24"/>
        </w:rPr>
      </w:pPr>
      <w:r>
        <w:rPr>
          <w:rFonts w:hint="eastAsia" w:hAnsi="宋体"/>
          <w:color w:val="000000"/>
          <w:sz w:val="24"/>
          <w:szCs w:val="24"/>
        </w:rPr>
        <w:t>2、验收地点：甲方厂区</w:t>
      </w:r>
    </w:p>
    <w:p w14:paraId="191D6D09">
      <w:pPr>
        <w:spacing w:line="460" w:lineRule="exact"/>
        <w:ind w:firstLine="720" w:firstLineChars="300"/>
        <w:rPr>
          <w:rFonts w:hAnsi="宋体"/>
          <w:color w:val="000000"/>
          <w:sz w:val="24"/>
          <w:szCs w:val="24"/>
        </w:rPr>
      </w:pPr>
      <w:r>
        <w:rPr>
          <w:rFonts w:hint="eastAsia" w:hAnsi="宋体"/>
          <w:color w:val="000000"/>
          <w:sz w:val="24"/>
          <w:szCs w:val="24"/>
        </w:rPr>
        <w:t>3、甲方的验收仅作为付款依据，不代表甲方对乙方工作成果的最终认可。在仪表使用过程中，如有证据表明乙方存在弄虚作假等违反合同约定的情形，甲方仍有权要求乙方承担由此造成的损失和法律后果。</w:t>
      </w:r>
    </w:p>
    <w:p w14:paraId="203488C2">
      <w:pPr>
        <w:spacing w:line="460" w:lineRule="exact"/>
        <w:ind w:firstLine="480"/>
        <w:rPr>
          <w:rStyle w:val="32"/>
          <w:rFonts w:hAnsi="宋体"/>
          <w:color w:val="000000"/>
          <w:sz w:val="24"/>
          <w:szCs w:val="24"/>
        </w:rPr>
      </w:pPr>
      <w:r>
        <w:rPr>
          <w:rFonts w:hint="eastAsia" w:hAnsi="宋体"/>
          <w:color w:val="000000"/>
          <w:sz w:val="24"/>
          <w:szCs w:val="24"/>
        </w:rPr>
        <w:t>八、违约责任：</w:t>
      </w:r>
    </w:p>
    <w:p w14:paraId="0DEB1AC3">
      <w:pPr>
        <w:spacing w:line="460" w:lineRule="exact"/>
        <w:ind w:firstLine="480" w:firstLineChars="200"/>
        <w:rPr>
          <w:rStyle w:val="32"/>
          <w:rFonts w:hAnsi="宋体"/>
          <w:color w:val="000000"/>
          <w:sz w:val="24"/>
          <w:szCs w:val="24"/>
        </w:rPr>
      </w:pPr>
      <w:r>
        <w:rPr>
          <w:rStyle w:val="32"/>
          <w:rFonts w:hint="eastAsia" w:hAnsi="宋体"/>
          <w:color w:val="000000"/>
          <w:sz w:val="24"/>
          <w:szCs w:val="24"/>
        </w:rPr>
        <w:t>1、乙方逾期提交报告/开展检定工作的，每日应向甲方支付违约金人民币</w:t>
      </w:r>
      <w:r>
        <w:rPr>
          <w:rFonts w:hAnsi="宋体"/>
          <w:color w:val="000000"/>
          <w:sz w:val="24"/>
          <w:szCs w:val="24"/>
          <w:u w:val="single"/>
        </w:rPr>
        <w:t xml:space="preserve"> </w:t>
      </w:r>
      <w:r>
        <w:rPr>
          <w:rFonts w:hint="eastAsia" w:hAnsi="宋体"/>
          <w:color w:val="000000"/>
          <w:sz w:val="24"/>
          <w:szCs w:val="24"/>
          <w:u w:val="single"/>
        </w:rPr>
        <w:t>1000</w:t>
      </w:r>
      <w:r>
        <w:rPr>
          <w:rStyle w:val="32"/>
          <w:rFonts w:hint="eastAsia" w:hAnsi="宋体"/>
          <w:color w:val="000000"/>
          <w:sz w:val="24"/>
          <w:szCs w:val="24"/>
        </w:rPr>
        <w:t>元，逾期超过</w:t>
      </w:r>
      <w:r>
        <w:rPr>
          <w:rStyle w:val="32"/>
          <w:rFonts w:hint="eastAsia" w:hAnsi="宋体"/>
          <w:color w:val="000000"/>
          <w:sz w:val="24"/>
          <w:szCs w:val="24"/>
          <w:u w:val="single"/>
        </w:rPr>
        <w:t>30</w:t>
      </w:r>
      <w:r>
        <w:rPr>
          <w:rFonts w:hAnsi="宋体"/>
          <w:color w:val="000000"/>
          <w:sz w:val="24"/>
          <w:szCs w:val="24"/>
          <w:u w:val="single"/>
        </w:rPr>
        <w:t xml:space="preserve"> </w:t>
      </w:r>
      <w:r>
        <w:rPr>
          <w:rStyle w:val="32"/>
          <w:rFonts w:hint="eastAsia" w:hAnsi="宋体"/>
          <w:color w:val="000000"/>
          <w:sz w:val="24"/>
          <w:szCs w:val="24"/>
        </w:rPr>
        <w:t>日的，甲方还有权解除本合同并拒绝支付任何费用；</w:t>
      </w:r>
    </w:p>
    <w:p w14:paraId="0CF0430A">
      <w:pPr>
        <w:spacing w:line="460" w:lineRule="exact"/>
        <w:ind w:firstLine="480" w:firstLineChars="200"/>
        <w:rPr>
          <w:rStyle w:val="32"/>
          <w:rFonts w:hAnsi="宋体"/>
          <w:sz w:val="24"/>
          <w:szCs w:val="24"/>
        </w:rPr>
      </w:pPr>
      <w:r>
        <w:rPr>
          <w:rStyle w:val="32"/>
          <w:rFonts w:hint="eastAsia" w:hAnsi="宋体"/>
          <w:sz w:val="24"/>
          <w:szCs w:val="24"/>
        </w:rPr>
        <w:t>2、乙方提交的检测报告不符合合同约定的，应在甲方指定期限内修改完善直至符合合同约定为止，由此造成逾期提交的，按照第（1）项约定执行；</w:t>
      </w:r>
    </w:p>
    <w:p w14:paraId="40883646">
      <w:pPr>
        <w:spacing w:line="460" w:lineRule="exact"/>
        <w:ind w:firstLine="480" w:firstLineChars="200"/>
        <w:rPr>
          <w:rStyle w:val="32"/>
          <w:rFonts w:hAnsi="宋体"/>
          <w:sz w:val="24"/>
          <w:szCs w:val="24"/>
        </w:rPr>
      </w:pPr>
      <w:r>
        <w:rPr>
          <w:rStyle w:val="32"/>
          <w:rFonts w:hint="eastAsia" w:hAnsi="宋体"/>
          <w:sz w:val="24"/>
          <w:szCs w:val="24"/>
        </w:rPr>
        <w:t>3、因乙方原因造成甲方仪器损坏的，乙方应照价赔偿；</w:t>
      </w:r>
    </w:p>
    <w:p w14:paraId="0AF1724F">
      <w:pPr>
        <w:spacing w:line="460" w:lineRule="exact"/>
        <w:ind w:firstLine="480" w:firstLineChars="200"/>
        <w:rPr>
          <w:rStyle w:val="32"/>
          <w:rFonts w:hAnsi="宋体"/>
          <w:sz w:val="24"/>
          <w:szCs w:val="24"/>
        </w:rPr>
      </w:pPr>
      <w:r>
        <w:rPr>
          <w:rStyle w:val="32"/>
          <w:rFonts w:hint="eastAsia" w:hAnsi="宋体"/>
          <w:sz w:val="24"/>
          <w:szCs w:val="24"/>
        </w:rPr>
        <w:t>4、乙方违反保密义务，应向甲方支付违约金</w:t>
      </w:r>
      <w:r>
        <w:rPr>
          <w:rFonts w:hAnsi="宋体"/>
          <w:sz w:val="24"/>
          <w:szCs w:val="24"/>
          <w:u w:val="single"/>
        </w:rPr>
        <w:t xml:space="preserve"> </w:t>
      </w:r>
      <w:r>
        <w:rPr>
          <w:rFonts w:hint="eastAsia" w:hAnsi="宋体"/>
          <w:sz w:val="24"/>
          <w:szCs w:val="24"/>
          <w:u w:val="single"/>
        </w:rPr>
        <w:t>10000</w:t>
      </w:r>
      <w:r>
        <w:rPr>
          <w:rFonts w:hAnsi="宋体"/>
          <w:sz w:val="24"/>
          <w:szCs w:val="24"/>
          <w:u w:val="single"/>
        </w:rPr>
        <w:t xml:space="preserve"> </w:t>
      </w:r>
      <w:r>
        <w:rPr>
          <w:rStyle w:val="32"/>
          <w:rFonts w:hint="eastAsia" w:hAnsi="宋体"/>
          <w:sz w:val="24"/>
          <w:szCs w:val="24"/>
        </w:rPr>
        <w:t>元，并赔偿由此给甲方造成的损失；</w:t>
      </w:r>
    </w:p>
    <w:p w14:paraId="3260840C">
      <w:pPr>
        <w:spacing w:line="360" w:lineRule="auto"/>
        <w:ind w:firstLine="480" w:firstLineChars="200"/>
        <w:rPr>
          <w:rStyle w:val="32"/>
          <w:rFonts w:hAnsi="宋体"/>
          <w:sz w:val="24"/>
          <w:szCs w:val="24"/>
        </w:rPr>
      </w:pPr>
      <w:r>
        <w:rPr>
          <w:rStyle w:val="32"/>
          <w:rFonts w:hint="eastAsia" w:hAnsi="宋体"/>
          <w:sz w:val="24"/>
          <w:szCs w:val="24"/>
        </w:rPr>
        <w:t>5、甲方逾期付款的，</w:t>
      </w:r>
      <w:r>
        <w:rPr>
          <w:rFonts w:hAnsi="宋体"/>
          <w:color w:val="111111"/>
          <w:sz w:val="24"/>
          <w:szCs w:val="24"/>
        </w:rPr>
        <w:t>按</w:t>
      </w:r>
      <w:r>
        <w:rPr>
          <w:rFonts w:hint="eastAsia"/>
          <w:sz w:val="24"/>
        </w:rPr>
        <w:t>全国银行间同业拆借中心公布的贷款市场报价</w:t>
      </w:r>
      <w:r>
        <w:rPr>
          <w:rFonts w:hAnsi="宋体"/>
          <w:color w:val="111111"/>
          <w:sz w:val="24"/>
          <w:szCs w:val="24"/>
        </w:rPr>
        <w:t>利率标准支付利息</w:t>
      </w:r>
      <w:r>
        <w:rPr>
          <w:rFonts w:hint="eastAsia" w:hAnsi="宋体"/>
          <w:color w:val="111111"/>
          <w:sz w:val="24"/>
          <w:szCs w:val="24"/>
        </w:rPr>
        <w:t>；</w:t>
      </w:r>
    </w:p>
    <w:p w14:paraId="404730D6">
      <w:pPr>
        <w:spacing w:line="460" w:lineRule="exact"/>
        <w:ind w:firstLine="480"/>
        <w:rPr>
          <w:rFonts w:hAnsi="宋体"/>
          <w:color w:val="000000"/>
          <w:sz w:val="24"/>
          <w:szCs w:val="24"/>
        </w:rPr>
      </w:pPr>
      <w:r>
        <w:rPr>
          <w:rFonts w:hint="eastAsia" w:hAnsi="宋体"/>
          <w:color w:val="000000"/>
          <w:sz w:val="24"/>
          <w:szCs w:val="24"/>
        </w:rPr>
        <w:t xml:space="preserve">九、其他约定： </w:t>
      </w:r>
    </w:p>
    <w:p w14:paraId="1C1AF00A">
      <w:pPr>
        <w:spacing w:line="460" w:lineRule="exact"/>
        <w:ind w:firstLine="480" w:firstLineChars="200"/>
        <w:rPr>
          <w:rStyle w:val="32"/>
          <w:rFonts w:hAnsi="宋体"/>
          <w:color w:val="000000"/>
          <w:sz w:val="24"/>
          <w:szCs w:val="24"/>
        </w:rPr>
      </w:pPr>
      <w:r>
        <w:rPr>
          <w:rStyle w:val="32"/>
          <w:rFonts w:hint="eastAsia" w:hAnsi="宋体"/>
          <w:color w:val="000000"/>
          <w:sz w:val="24"/>
          <w:szCs w:val="24"/>
        </w:rPr>
        <w:t>1、双方重要文件往来应当以书面形式进行，由双方联系人（或双方另行书面指定的人员）当场签收或者以特快专递方式送达。如以特快专递方式送达至本合同所列地址，自特快专递寄出之日起算第</w:t>
      </w:r>
      <w:r>
        <w:rPr>
          <w:rStyle w:val="32"/>
          <w:rFonts w:hint="eastAsia" w:hAnsi="宋体"/>
          <w:color w:val="000000"/>
          <w:sz w:val="24"/>
          <w:szCs w:val="24"/>
          <w:u w:val="single"/>
        </w:rPr>
        <w:t>5</w:t>
      </w:r>
      <w:r>
        <w:rPr>
          <w:rStyle w:val="32"/>
          <w:rFonts w:hint="eastAsia" w:hAnsi="宋体"/>
          <w:color w:val="000000"/>
          <w:sz w:val="24"/>
          <w:szCs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6796897">
      <w:pPr>
        <w:spacing w:line="460" w:lineRule="exact"/>
        <w:ind w:firstLine="480" w:firstLineChars="200"/>
        <w:rPr>
          <w:rStyle w:val="32"/>
          <w:rFonts w:hAnsi="宋体"/>
          <w:color w:val="000000"/>
          <w:sz w:val="24"/>
          <w:szCs w:val="24"/>
        </w:rPr>
      </w:pPr>
      <w:r>
        <w:rPr>
          <w:rStyle w:val="32"/>
          <w:rFonts w:hint="eastAsia" w:hAnsi="宋体"/>
          <w:color w:val="000000"/>
          <w:sz w:val="24"/>
          <w:szCs w:val="24"/>
        </w:rPr>
        <w:t>2、乙方在甲方现场提供检测服务，应遵守甲方相关管理规定。检测过程中的安全责任由乙方自行承担。</w:t>
      </w:r>
    </w:p>
    <w:p w14:paraId="0D15F13D">
      <w:pPr>
        <w:spacing w:line="460" w:lineRule="exact"/>
        <w:ind w:firstLine="480" w:firstLineChars="200"/>
        <w:rPr>
          <w:rStyle w:val="32"/>
          <w:rFonts w:hAnsi="宋体"/>
          <w:color w:val="000000"/>
          <w:sz w:val="24"/>
          <w:szCs w:val="24"/>
        </w:rPr>
      </w:pPr>
      <w:r>
        <w:rPr>
          <w:rStyle w:val="32"/>
          <w:rFonts w:hint="eastAsia" w:hAnsi="宋体"/>
          <w:color w:val="000000"/>
          <w:sz w:val="24"/>
          <w:szCs w:val="24"/>
        </w:rPr>
        <w:t>3、双方之间如因本合同的履行发生纠纷，可协商解决，也可直接向甲方所在地人民法院提起诉讼。</w:t>
      </w:r>
    </w:p>
    <w:p w14:paraId="6A63020C">
      <w:pPr>
        <w:spacing w:line="460" w:lineRule="exact"/>
        <w:ind w:firstLine="480"/>
        <w:rPr>
          <w:rFonts w:hAnsi="宋体"/>
          <w:color w:val="000000"/>
          <w:sz w:val="24"/>
          <w:szCs w:val="24"/>
        </w:rPr>
      </w:pPr>
      <w:r>
        <w:rPr>
          <w:rFonts w:hint="eastAsia" w:hAnsi="宋体"/>
          <w:color w:val="000000"/>
          <w:sz w:val="24"/>
          <w:szCs w:val="24"/>
        </w:rPr>
        <w:t>十、本合同一式</w:t>
      </w:r>
      <w:r>
        <w:rPr>
          <w:rFonts w:hAnsi="宋体"/>
          <w:color w:val="000000"/>
          <w:sz w:val="24"/>
          <w:szCs w:val="24"/>
          <w:u w:val="single"/>
        </w:rPr>
        <w:t xml:space="preserve"> </w:t>
      </w:r>
      <w:r>
        <w:rPr>
          <w:rFonts w:hint="eastAsia" w:hAnsi="宋体"/>
          <w:color w:val="000000"/>
          <w:sz w:val="24"/>
          <w:szCs w:val="24"/>
          <w:u w:val="single"/>
          <w:lang w:val="en-US" w:eastAsia="zh-CN"/>
        </w:rPr>
        <w:t xml:space="preserve">伍 </w:t>
      </w:r>
      <w:r>
        <w:rPr>
          <w:rFonts w:hint="eastAsia" w:hAnsi="宋体"/>
          <w:color w:val="000000"/>
          <w:sz w:val="24"/>
          <w:szCs w:val="24"/>
        </w:rPr>
        <w:t>份，双方签订后生效，甲方执</w:t>
      </w:r>
      <w:r>
        <w:rPr>
          <w:rFonts w:hAnsi="宋体"/>
          <w:color w:val="000000"/>
          <w:sz w:val="24"/>
          <w:szCs w:val="24"/>
          <w:u w:val="single"/>
        </w:rPr>
        <w:t xml:space="preserve"> </w:t>
      </w:r>
      <w:r>
        <w:rPr>
          <w:rFonts w:hint="eastAsia" w:hAnsi="宋体"/>
          <w:color w:val="000000"/>
          <w:sz w:val="24"/>
          <w:szCs w:val="24"/>
          <w:u w:val="single"/>
          <w:lang w:val="en-US" w:eastAsia="zh-CN"/>
        </w:rPr>
        <w:t>叁</w:t>
      </w:r>
      <w:r>
        <w:rPr>
          <w:rFonts w:hAnsi="宋体"/>
          <w:color w:val="000000"/>
          <w:sz w:val="24"/>
          <w:szCs w:val="24"/>
          <w:u w:val="single"/>
        </w:rPr>
        <w:t xml:space="preserve"> </w:t>
      </w:r>
      <w:r>
        <w:rPr>
          <w:rFonts w:hint="eastAsia" w:hAnsi="宋体"/>
          <w:color w:val="000000"/>
          <w:sz w:val="24"/>
          <w:szCs w:val="24"/>
        </w:rPr>
        <w:t>份，乙方执</w:t>
      </w:r>
      <w:r>
        <w:rPr>
          <w:rFonts w:hAnsi="宋体"/>
          <w:color w:val="000000"/>
          <w:sz w:val="24"/>
          <w:szCs w:val="24"/>
          <w:u w:val="single"/>
        </w:rPr>
        <w:t xml:space="preserve"> </w:t>
      </w:r>
      <w:r>
        <w:rPr>
          <w:rFonts w:hint="eastAsia" w:hAnsi="宋体"/>
          <w:color w:val="000000"/>
          <w:sz w:val="24"/>
          <w:szCs w:val="24"/>
          <w:u w:val="single"/>
        </w:rPr>
        <w:t>贰</w:t>
      </w:r>
      <w:r>
        <w:rPr>
          <w:rFonts w:hAnsi="宋体"/>
          <w:color w:val="000000"/>
          <w:sz w:val="24"/>
          <w:szCs w:val="24"/>
          <w:u w:val="single"/>
        </w:rPr>
        <w:t xml:space="preserve"> </w:t>
      </w:r>
      <w:r>
        <w:rPr>
          <w:rFonts w:hint="eastAsia" w:hAnsi="宋体"/>
          <w:color w:val="000000"/>
          <w:sz w:val="24"/>
          <w:szCs w:val="24"/>
        </w:rPr>
        <w:t>份，具有同等法律效力。</w:t>
      </w:r>
    </w:p>
    <w:p w14:paraId="4C7A92A2">
      <w:pPr>
        <w:spacing w:line="460" w:lineRule="exact"/>
        <w:ind w:firstLine="480"/>
        <w:rPr>
          <w:rFonts w:hAnsi="宋体"/>
          <w:color w:val="000000"/>
          <w:sz w:val="24"/>
          <w:szCs w:val="24"/>
        </w:rPr>
      </w:pPr>
      <w:r>
        <w:rPr>
          <w:rFonts w:hint="eastAsia" w:hAnsi="宋体"/>
          <w:color w:val="000000"/>
          <w:sz w:val="24"/>
          <w:szCs w:val="24"/>
        </w:rPr>
        <w:t>十一、附件</w:t>
      </w:r>
    </w:p>
    <w:p w14:paraId="509460DB">
      <w:pPr>
        <w:spacing w:line="460" w:lineRule="exact"/>
        <w:ind w:firstLine="960" w:firstLineChars="400"/>
        <w:rPr>
          <w:rFonts w:hAnsi="宋体"/>
          <w:color w:val="000000"/>
          <w:sz w:val="24"/>
          <w:szCs w:val="24"/>
        </w:rPr>
      </w:pPr>
      <w:r>
        <w:rPr>
          <w:rFonts w:hint="eastAsia" w:hAnsi="宋体"/>
          <w:color w:val="000000"/>
          <w:sz w:val="24"/>
          <w:szCs w:val="24"/>
        </w:rPr>
        <w:t>附件1：安全环保协议书</w:t>
      </w:r>
    </w:p>
    <w:p w14:paraId="7B4B8A3A">
      <w:pPr>
        <w:spacing w:line="460" w:lineRule="exact"/>
        <w:ind w:firstLine="960" w:firstLineChars="400"/>
        <w:rPr>
          <w:rFonts w:hint="eastAsia" w:hAnsi="宋体"/>
          <w:color w:val="000000"/>
          <w:sz w:val="24"/>
          <w:szCs w:val="24"/>
        </w:rPr>
      </w:pPr>
      <w:r>
        <w:rPr>
          <w:rFonts w:hint="eastAsia" w:hAnsi="宋体"/>
          <w:color w:val="000000"/>
          <w:sz w:val="24"/>
          <w:szCs w:val="24"/>
        </w:rPr>
        <w:t>附件2：2026年-2028年强检仪表年约发包要求</w:t>
      </w:r>
    </w:p>
    <w:p w14:paraId="4930766D">
      <w:pPr>
        <w:spacing w:line="460" w:lineRule="exact"/>
        <w:ind w:firstLine="960" w:firstLineChars="400"/>
        <w:rPr>
          <w:rFonts w:hAnsi="宋体"/>
          <w:color w:val="000000"/>
          <w:sz w:val="24"/>
          <w:szCs w:val="24"/>
        </w:rPr>
      </w:pPr>
      <w:r>
        <w:rPr>
          <w:rFonts w:hint="eastAsia" w:hAnsi="宋体"/>
          <w:color w:val="000000"/>
          <w:sz w:val="24"/>
          <w:szCs w:val="24"/>
        </w:rPr>
        <w:t>附件</w:t>
      </w:r>
      <w:r>
        <w:rPr>
          <w:rFonts w:hint="eastAsia" w:hAnsi="宋体"/>
          <w:color w:val="000000"/>
          <w:sz w:val="24"/>
          <w:szCs w:val="24"/>
          <w:lang w:val="en-US" w:eastAsia="zh-CN"/>
        </w:rPr>
        <w:t>3</w:t>
      </w:r>
      <w:r>
        <w:rPr>
          <w:rFonts w:hint="eastAsia" w:hAnsi="宋体"/>
          <w:color w:val="000000"/>
          <w:sz w:val="24"/>
          <w:szCs w:val="24"/>
        </w:rPr>
        <w:t>：台账清单</w:t>
      </w:r>
    </w:p>
    <w:p w14:paraId="359259B4">
      <w:pPr>
        <w:spacing w:after="156" w:afterLines="50" w:line="460" w:lineRule="exact"/>
        <w:ind w:right="-214" w:rightChars="-67"/>
        <w:rPr>
          <w:rFonts w:hint="eastAsia" w:hAnsi="宋体" w:cs="Arial"/>
          <w:b/>
          <w:sz w:val="24"/>
          <w:szCs w:val="24"/>
        </w:rPr>
      </w:pPr>
    </w:p>
    <w:p w14:paraId="06ED1344">
      <w:pPr>
        <w:pStyle w:val="36"/>
        <w:rPr>
          <w:rFonts w:hint="eastAsia" w:hAnsi="宋体" w:cs="Arial"/>
          <w:b/>
          <w:sz w:val="24"/>
          <w:szCs w:val="24"/>
        </w:rPr>
      </w:pPr>
    </w:p>
    <w:p w14:paraId="69677F8C">
      <w:pPr>
        <w:pStyle w:val="36"/>
        <w:rPr>
          <w:rFonts w:hint="eastAsia" w:hAnsi="宋体" w:cs="Arial"/>
          <w:b/>
          <w:sz w:val="24"/>
          <w:szCs w:val="24"/>
        </w:rPr>
      </w:pPr>
    </w:p>
    <w:p w14:paraId="52D0DD77">
      <w:pPr>
        <w:pStyle w:val="36"/>
        <w:rPr>
          <w:rFonts w:hint="eastAsia" w:hAnsi="宋体" w:cs="Arial"/>
          <w:b/>
          <w:sz w:val="24"/>
          <w:szCs w:val="24"/>
        </w:rPr>
      </w:pPr>
    </w:p>
    <w:tbl>
      <w:tblPr>
        <w:tblStyle w:val="16"/>
        <w:tblpPr w:leftFromText="180" w:rightFromText="180" w:vertAnchor="text" w:horzAnchor="page" w:tblpX="1320" w:tblpY="420"/>
        <w:tblOverlap w:val="never"/>
        <w:tblW w:w="9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0"/>
        <w:gridCol w:w="4643"/>
      </w:tblGrid>
      <w:tr w14:paraId="0900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7AEC21B0">
            <w:pPr>
              <w:spacing w:line="360" w:lineRule="auto"/>
              <w:rPr>
                <w:rFonts w:eastAsiaTheme="majorEastAsia"/>
                <w:b/>
                <w:bCs/>
                <w:sz w:val="24"/>
              </w:rPr>
            </w:pPr>
            <w:r>
              <w:rPr>
                <w:rFonts w:hint="eastAsia" w:asciiTheme="majorEastAsia" w:hAnsiTheme="majorEastAsia" w:eastAsiaTheme="majorEastAsia"/>
                <w:b/>
                <w:bCs/>
                <w:sz w:val="24"/>
              </w:rPr>
              <w:t>甲方：福建福海创石油化工有限公司</w:t>
            </w:r>
          </w:p>
        </w:tc>
        <w:tc>
          <w:tcPr>
            <w:tcW w:w="4643" w:type="dxa"/>
            <w:vAlign w:val="center"/>
          </w:tcPr>
          <w:p w14:paraId="70D14B26">
            <w:pPr>
              <w:spacing w:line="360" w:lineRule="auto"/>
              <w:rPr>
                <w:b/>
                <w:bCs/>
                <w:sz w:val="24"/>
              </w:rPr>
            </w:pPr>
            <w:r>
              <w:rPr>
                <w:rFonts w:hint="eastAsia" w:asciiTheme="majorEastAsia" w:hAnsiTheme="majorEastAsia" w:eastAsiaTheme="majorEastAsia"/>
                <w:b/>
                <w:bCs/>
                <w:sz w:val="24"/>
              </w:rPr>
              <w:t>甲方：腾龙芳烃（漳州）有限公司</w:t>
            </w:r>
          </w:p>
        </w:tc>
      </w:tr>
      <w:tr w14:paraId="3E0F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60" w:type="dxa"/>
            <w:vAlign w:val="center"/>
          </w:tcPr>
          <w:p w14:paraId="2772CE9F">
            <w:pPr>
              <w:spacing w:line="360" w:lineRule="auto"/>
              <w:rPr>
                <w:sz w:val="24"/>
              </w:rPr>
            </w:pPr>
            <w:r>
              <w:rPr>
                <w:rFonts w:hint="eastAsia" w:ascii="宋体" w:hAnsi="宋体"/>
                <w:color w:val="000000"/>
                <w:sz w:val="24"/>
              </w:rPr>
              <w:t>地址：福建省漳州市古雷港经济开发区腾龙路8</w:t>
            </w:r>
            <w:r>
              <w:rPr>
                <w:rFonts w:ascii="宋体" w:hAnsi="宋体"/>
                <w:color w:val="000000"/>
                <w:sz w:val="24"/>
              </w:rPr>
              <w:t>4</w:t>
            </w:r>
            <w:r>
              <w:rPr>
                <w:rFonts w:hint="eastAsia" w:ascii="宋体" w:hAnsi="宋体"/>
                <w:color w:val="000000"/>
                <w:sz w:val="24"/>
              </w:rPr>
              <w:t>号</w:t>
            </w:r>
          </w:p>
        </w:tc>
        <w:tc>
          <w:tcPr>
            <w:tcW w:w="4643" w:type="dxa"/>
            <w:vAlign w:val="center"/>
          </w:tcPr>
          <w:p w14:paraId="4F608320">
            <w:pPr>
              <w:spacing w:line="360" w:lineRule="auto"/>
              <w:rPr>
                <w:bCs/>
                <w:sz w:val="24"/>
              </w:rPr>
            </w:pPr>
            <w:r>
              <w:rPr>
                <w:rFonts w:hint="eastAsia" w:ascii="宋体" w:hAnsi="宋体"/>
                <w:color w:val="000000"/>
                <w:sz w:val="24"/>
              </w:rPr>
              <w:t>地址：福建省漳州市古雷港经济开发区腾龙路8</w:t>
            </w:r>
            <w:r>
              <w:rPr>
                <w:rFonts w:ascii="宋体" w:hAnsi="宋体"/>
                <w:color w:val="000000"/>
                <w:sz w:val="24"/>
              </w:rPr>
              <w:t>4</w:t>
            </w:r>
            <w:r>
              <w:rPr>
                <w:rFonts w:hint="eastAsia" w:ascii="宋体" w:hAnsi="宋体"/>
                <w:color w:val="000000"/>
                <w:sz w:val="24"/>
              </w:rPr>
              <w:t>号</w:t>
            </w:r>
          </w:p>
        </w:tc>
      </w:tr>
      <w:tr w14:paraId="71D2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28350A02">
            <w:pPr>
              <w:spacing w:line="360" w:lineRule="auto"/>
              <w:rPr>
                <w:sz w:val="24"/>
              </w:rPr>
            </w:pPr>
            <w:r>
              <w:rPr>
                <w:rFonts w:hint="eastAsia" w:ascii="宋体" w:hAnsi="宋体"/>
                <w:color w:val="000000"/>
                <w:sz w:val="24"/>
              </w:rPr>
              <w:t>电话：</w:t>
            </w:r>
            <w:r>
              <w:rPr>
                <w:rFonts w:ascii="宋体" w:hAnsi="宋体"/>
                <w:color w:val="000000"/>
                <w:sz w:val="24"/>
              </w:rPr>
              <w:t>0596-6311824</w:t>
            </w:r>
          </w:p>
        </w:tc>
        <w:tc>
          <w:tcPr>
            <w:tcW w:w="4643" w:type="dxa"/>
            <w:vAlign w:val="center"/>
          </w:tcPr>
          <w:p w14:paraId="1E52631F">
            <w:pPr>
              <w:spacing w:line="360" w:lineRule="auto"/>
              <w:rPr>
                <w:bCs/>
                <w:sz w:val="24"/>
              </w:rPr>
            </w:pPr>
            <w:r>
              <w:rPr>
                <w:rFonts w:hint="eastAsia" w:ascii="宋体" w:hAnsi="宋体"/>
                <w:color w:val="000000"/>
                <w:sz w:val="24"/>
              </w:rPr>
              <w:t>电话：</w:t>
            </w:r>
            <w:r>
              <w:rPr>
                <w:rFonts w:ascii="宋体" w:hAnsi="宋体"/>
                <w:color w:val="000000"/>
                <w:sz w:val="24"/>
              </w:rPr>
              <w:t>0596-6311824</w:t>
            </w:r>
          </w:p>
        </w:tc>
      </w:tr>
      <w:tr w14:paraId="0A95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860" w:type="dxa"/>
            <w:vAlign w:val="center"/>
          </w:tcPr>
          <w:p w14:paraId="2789204D">
            <w:pPr>
              <w:spacing w:line="360" w:lineRule="auto"/>
              <w:rPr>
                <w:sz w:val="24"/>
              </w:rPr>
            </w:pPr>
            <w:r>
              <w:rPr>
                <w:rFonts w:hint="eastAsia" w:ascii="宋体" w:hAnsi="宋体"/>
                <w:color w:val="000000"/>
                <w:sz w:val="24"/>
              </w:rPr>
              <w:t>联系人：魏彦苹</w:t>
            </w:r>
          </w:p>
        </w:tc>
        <w:tc>
          <w:tcPr>
            <w:tcW w:w="4643" w:type="dxa"/>
            <w:vAlign w:val="center"/>
          </w:tcPr>
          <w:p w14:paraId="01BB1723">
            <w:pPr>
              <w:spacing w:line="360" w:lineRule="auto"/>
              <w:rPr>
                <w:bCs/>
                <w:sz w:val="24"/>
              </w:rPr>
            </w:pPr>
            <w:r>
              <w:rPr>
                <w:rFonts w:hint="eastAsia" w:ascii="宋体" w:hAnsi="宋体"/>
                <w:color w:val="000000"/>
                <w:sz w:val="24"/>
              </w:rPr>
              <w:t>联系人：魏彦苹</w:t>
            </w:r>
          </w:p>
        </w:tc>
      </w:tr>
      <w:tr w14:paraId="4DC1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64410A36">
            <w:pPr>
              <w:spacing w:line="360" w:lineRule="auto"/>
              <w:rPr>
                <w:sz w:val="24"/>
              </w:rPr>
            </w:pPr>
            <w:r>
              <w:rPr>
                <w:rFonts w:hint="eastAsia" w:ascii="宋体" w:hAnsi="宋体"/>
                <w:color w:val="000000"/>
                <w:sz w:val="24"/>
              </w:rPr>
              <w:t>开户银行：中国银行股份有限公司漳州古雷经济开发区支行</w:t>
            </w:r>
          </w:p>
        </w:tc>
        <w:tc>
          <w:tcPr>
            <w:tcW w:w="4643" w:type="dxa"/>
            <w:vAlign w:val="center"/>
          </w:tcPr>
          <w:p w14:paraId="161C3FA1">
            <w:pPr>
              <w:spacing w:line="360" w:lineRule="auto"/>
              <w:rPr>
                <w:bCs/>
                <w:sz w:val="24"/>
              </w:rPr>
            </w:pPr>
            <w:r>
              <w:rPr>
                <w:rFonts w:hint="eastAsia" w:ascii="宋体" w:hAnsi="宋体"/>
                <w:color w:val="000000"/>
                <w:sz w:val="24"/>
              </w:rPr>
              <w:t>开户银行：兴业银行漳州古雷支行</w:t>
            </w:r>
          </w:p>
        </w:tc>
      </w:tr>
      <w:tr w14:paraId="2DE8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445467DD">
            <w:pPr>
              <w:spacing w:line="360" w:lineRule="auto"/>
              <w:rPr>
                <w:sz w:val="24"/>
              </w:rPr>
            </w:pPr>
            <w:r>
              <w:rPr>
                <w:rFonts w:hint="eastAsia" w:ascii="宋体" w:hAnsi="宋体"/>
                <w:color w:val="000000"/>
                <w:sz w:val="24"/>
              </w:rPr>
              <w:t>账号：406574816628</w:t>
            </w:r>
          </w:p>
        </w:tc>
        <w:tc>
          <w:tcPr>
            <w:tcW w:w="4643" w:type="dxa"/>
            <w:vAlign w:val="center"/>
          </w:tcPr>
          <w:p w14:paraId="320CBB2E">
            <w:pPr>
              <w:spacing w:line="360" w:lineRule="auto"/>
              <w:rPr>
                <w:bCs/>
                <w:sz w:val="24"/>
              </w:rPr>
            </w:pPr>
            <w:r>
              <w:rPr>
                <w:rFonts w:hint="eastAsia" w:ascii="宋体" w:hAnsi="宋体"/>
                <w:color w:val="000000"/>
                <w:sz w:val="24"/>
              </w:rPr>
              <w:t>账号：</w:t>
            </w:r>
            <w:r>
              <w:rPr>
                <w:rFonts w:ascii="宋体" w:hAnsi="宋体"/>
                <w:color w:val="000000"/>
                <w:sz w:val="24"/>
              </w:rPr>
              <w:t>162070100100021071</w:t>
            </w:r>
          </w:p>
        </w:tc>
      </w:tr>
      <w:tr w14:paraId="285E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vAlign w:val="center"/>
          </w:tcPr>
          <w:p w14:paraId="6F4FFB94">
            <w:pPr>
              <w:spacing w:line="360" w:lineRule="auto"/>
              <w:rPr>
                <w:sz w:val="24"/>
              </w:rPr>
            </w:pPr>
            <w:r>
              <w:rPr>
                <w:rFonts w:hint="eastAsia" w:ascii="宋体" w:hAnsi="宋体"/>
                <w:color w:val="000000"/>
                <w:sz w:val="24"/>
              </w:rPr>
              <w:t>税号：91350600MA2YNG3G0P</w:t>
            </w:r>
          </w:p>
        </w:tc>
        <w:tc>
          <w:tcPr>
            <w:tcW w:w="4643" w:type="dxa"/>
            <w:vAlign w:val="center"/>
          </w:tcPr>
          <w:p w14:paraId="6B3B0099">
            <w:pPr>
              <w:spacing w:line="360" w:lineRule="auto"/>
              <w:rPr>
                <w:bCs/>
                <w:sz w:val="24"/>
              </w:rPr>
            </w:pPr>
            <w:r>
              <w:rPr>
                <w:rFonts w:hint="eastAsia" w:ascii="宋体" w:hAnsi="宋体"/>
                <w:color w:val="000000"/>
                <w:sz w:val="24"/>
              </w:rPr>
              <w:t>税号：</w:t>
            </w:r>
            <w:r>
              <w:rPr>
                <w:rFonts w:ascii="宋体" w:hAnsi="宋体"/>
                <w:color w:val="000000"/>
                <w:sz w:val="24"/>
              </w:rPr>
              <w:t>91350600717866709A</w:t>
            </w:r>
          </w:p>
        </w:tc>
      </w:tr>
      <w:tr w14:paraId="7681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860" w:type="dxa"/>
            <w:vAlign w:val="center"/>
          </w:tcPr>
          <w:p w14:paraId="29E8F896">
            <w:pPr>
              <w:spacing w:line="360" w:lineRule="auto"/>
              <w:rPr>
                <w:rFonts w:ascii="宋体" w:hAnsi="宋体"/>
                <w:color w:val="000000"/>
                <w:sz w:val="24"/>
              </w:rPr>
            </w:pPr>
          </w:p>
        </w:tc>
        <w:tc>
          <w:tcPr>
            <w:tcW w:w="4643" w:type="dxa"/>
            <w:vAlign w:val="center"/>
          </w:tcPr>
          <w:p w14:paraId="7DE28066"/>
        </w:tc>
      </w:tr>
      <w:tr w14:paraId="0602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1E7B7217">
            <w:pPr>
              <w:spacing w:line="360" w:lineRule="auto"/>
              <w:rPr>
                <w:b/>
                <w:bCs/>
                <w:sz w:val="24"/>
              </w:rPr>
            </w:pPr>
            <w:r>
              <w:rPr>
                <w:rFonts w:hint="eastAsia"/>
                <w:b/>
                <w:bCs/>
                <w:sz w:val="24"/>
              </w:rPr>
              <w:t>甲方：翔鹭码头投资管理（漳州）有限公司</w:t>
            </w:r>
          </w:p>
        </w:tc>
        <w:tc>
          <w:tcPr>
            <w:tcW w:w="4643" w:type="dxa"/>
            <w:vAlign w:val="center"/>
          </w:tcPr>
          <w:p w14:paraId="41D1136D">
            <w:pPr>
              <w:spacing w:line="360" w:lineRule="auto"/>
              <w:rPr>
                <w:b/>
                <w:bCs/>
                <w:sz w:val="24"/>
              </w:rPr>
            </w:pPr>
            <w:r>
              <w:rPr>
                <w:rFonts w:hint="eastAsia" w:asciiTheme="majorEastAsia" w:hAnsiTheme="majorEastAsia" w:eastAsiaTheme="majorEastAsia"/>
                <w:b/>
                <w:bCs/>
                <w:sz w:val="24"/>
              </w:rPr>
              <w:t>甲方：福建省福化古蕾化学有限公司</w:t>
            </w:r>
          </w:p>
        </w:tc>
      </w:tr>
      <w:tr w14:paraId="4021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60" w:type="dxa"/>
            <w:vAlign w:val="center"/>
          </w:tcPr>
          <w:p w14:paraId="36C16F8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地址：福建省漳州市古雷港经济开发区腾龙路86号</w:t>
            </w:r>
          </w:p>
        </w:tc>
        <w:tc>
          <w:tcPr>
            <w:tcW w:w="4643" w:type="dxa"/>
            <w:vAlign w:val="center"/>
          </w:tcPr>
          <w:p w14:paraId="32D503AE">
            <w:pPr>
              <w:spacing w:line="360" w:lineRule="auto"/>
              <w:ind w:left="720" w:hanging="720" w:hangingChars="300"/>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地址：福建省漳州市古雷港经济开发区古雷镇疏港大道南102号</w:t>
            </w:r>
          </w:p>
        </w:tc>
      </w:tr>
      <w:tr w14:paraId="5BF9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4EE70F1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电话：0596-6311824</w:t>
            </w:r>
          </w:p>
        </w:tc>
        <w:tc>
          <w:tcPr>
            <w:tcW w:w="4643" w:type="dxa"/>
            <w:vAlign w:val="center"/>
          </w:tcPr>
          <w:p w14:paraId="4DA56ECA">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电话：0596-6311824</w:t>
            </w:r>
          </w:p>
        </w:tc>
      </w:tr>
      <w:tr w14:paraId="6654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860" w:type="dxa"/>
            <w:vAlign w:val="center"/>
          </w:tcPr>
          <w:p w14:paraId="3900188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联系人：魏彦苹</w:t>
            </w:r>
          </w:p>
        </w:tc>
        <w:tc>
          <w:tcPr>
            <w:tcW w:w="4643" w:type="dxa"/>
            <w:vAlign w:val="center"/>
          </w:tcPr>
          <w:p w14:paraId="0DE9FD08">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联系人：魏彦苹</w:t>
            </w:r>
          </w:p>
        </w:tc>
      </w:tr>
      <w:tr w14:paraId="7845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2A16640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开户银行：中国银行漳浦支行</w:t>
            </w:r>
          </w:p>
        </w:tc>
        <w:tc>
          <w:tcPr>
            <w:tcW w:w="4643" w:type="dxa"/>
            <w:vAlign w:val="center"/>
          </w:tcPr>
          <w:p w14:paraId="284F30B1">
            <w:pPr>
              <w:spacing w:line="360" w:lineRule="auto"/>
              <w:ind w:left="1200" w:hanging="1200" w:hangingChars="500"/>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开户银行：中国建设银行股份有限公司漳州古雷港支行</w:t>
            </w:r>
          </w:p>
        </w:tc>
      </w:tr>
      <w:tr w14:paraId="065B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278EE76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账号：423467650735</w:t>
            </w:r>
          </w:p>
        </w:tc>
        <w:tc>
          <w:tcPr>
            <w:tcW w:w="4643" w:type="dxa"/>
            <w:vAlign w:val="center"/>
          </w:tcPr>
          <w:p w14:paraId="2F50CC7E">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账号：35050166950100000773</w:t>
            </w:r>
          </w:p>
        </w:tc>
      </w:tr>
      <w:tr w14:paraId="18A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vAlign w:val="center"/>
          </w:tcPr>
          <w:p w14:paraId="1AADABB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税号：91350623098275001C</w:t>
            </w:r>
          </w:p>
        </w:tc>
        <w:tc>
          <w:tcPr>
            <w:tcW w:w="4643" w:type="dxa"/>
            <w:vAlign w:val="center"/>
          </w:tcPr>
          <w:p w14:paraId="074186C8">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rPr>
              <w:t>税号：91350623MA33JGNA09</w:t>
            </w:r>
          </w:p>
        </w:tc>
      </w:tr>
      <w:tr w14:paraId="7E5A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vAlign w:val="center"/>
          </w:tcPr>
          <w:p w14:paraId="52C2A86B">
            <w:pPr>
              <w:spacing w:line="360" w:lineRule="auto"/>
              <w:rPr>
                <w:sz w:val="24"/>
              </w:rPr>
            </w:pPr>
          </w:p>
        </w:tc>
        <w:tc>
          <w:tcPr>
            <w:tcW w:w="4643" w:type="dxa"/>
            <w:vAlign w:val="center"/>
          </w:tcPr>
          <w:p w14:paraId="5690FEBA">
            <w:pPr>
              <w:spacing w:line="360" w:lineRule="auto"/>
              <w:rPr>
                <w:rFonts w:ascii="宋体" w:hAnsi="宋体"/>
                <w:color w:val="000000"/>
                <w:sz w:val="24"/>
              </w:rPr>
            </w:pPr>
          </w:p>
        </w:tc>
      </w:tr>
      <w:tr w14:paraId="0582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09BA392C">
            <w:pPr>
              <w:spacing w:line="360" w:lineRule="auto"/>
              <w:jc w:val="left"/>
              <w:rPr>
                <w:b/>
                <w:bCs/>
                <w:sz w:val="24"/>
                <w:highlight w:val="none"/>
              </w:rPr>
            </w:pPr>
            <w:r>
              <w:rPr>
                <w:rFonts w:hint="eastAsia"/>
                <w:b/>
                <w:bCs/>
                <w:sz w:val="24"/>
                <w:highlight w:val="none"/>
              </w:rPr>
              <w:t>乙方：</w:t>
            </w:r>
            <w:r>
              <w:rPr>
                <w:b/>
                <w:bCs/>
                <w:color w:val="000000" w:themeColor="text1"/>
                <w:sz w:val="24"/>
                <w:highlight w:val="none"/>
              </w:rPr>
              <w:t xml:space="preserve"> </w:t>
            </w:r>
          </w:p>
        </w:tc>
        <w:tc>
          <w:tcPr>
            <w:tcW w:w="4643" w:type="dxa"/>
            <w:vAlign w:val="center"/>
          </w:tcPr>
          <w:p w14:paraId="0010D4AA">
            <w:pPr>
              <w:spacing w:line="360" w:lineRule="auto"/>
              <w:rPr>
                <w:rFonts w:ascii="宋体" w:hAnsi="宋体"/>
                <w:color w:val="000000"/>
                <w:sz w:val="24"/>
              </w:rPr>
            </w:pPr>
          </w:p>
        </w:tc>
      </w:tr>
      <w:tr w14:paraId="426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7DE107F2">
            <w:pPr>
              <w:ind w:left="960" w:leftChars="0" w:hanging="960" w:hangingChars="400"/>
              <w:rPr>
                <w:bCs/>
                <w:sz w:val="24"/>
                <w:highlight w:val="none"/>
              </w:rPr>
            </w:pPr>
            <w:r>
              <w:rPr>
                <w:rFonts w:hint="eastAsia"/>
                <w:bCs/>
                <w:sz w:val="24"/>
                <w:highlight w:val="none"/>
              </w:rPr>
              <w:t>地址：</w:t>
            </w:r>
          </w:p>
        </w:tc>
        <w:tc>
          <w:tcPr>
            <w:tcW w:w="4643" w:type="dxa"/>
            <w:vAlign w:val="center"/>
          </w:tcPr>
          <w:p w14:paraId="5F2F8FC5">
            <w:pPr>
              <w:spacing w:line="360" w:lineRule="auto"/>
              <w:rPr>
                <w:rFonts w:ascii="宋体" w:hAnsi="宋体"/>
                <w:color w:val="000000"/>
                <w:sz w:val="24"/>
              </w:rPr>
            </w:pPr>
          </w:p>
        </w:tc>
      </w:tr>
      <w:tr w14:paraId="0303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4AF117A5">
            <w:pPr>
              <w:spacing w:line="360" w:lineRule="auto"/>
              <w:jc w:val="left"/>
              <w:rPr>
                <w:bCs/>
                <w:sz w:val="24"/>
                <w:highlight w:val="none"/>
              </w:rPr>
            </w:pPr>
            <w:r>
              <w:rPr>
                <w:rFonts w:hint="eastAsia"/>
                <w:bCs/>
                <w:sz w:val="24"/>
                <w:highlight w:val="none"/>
              </w:rPr>
              <w:t>电话：</w:t>
            </w:r>
          </w:p>
        </w:tc>
        <w:tc>
          <w:tcPr>
            <w:tcW w:w="4643" w:type="dxa"/>
            <w:vAlign w:val="center"/>
          </w:tcPr>
          <w:p w14:paraId="61B9D3BB">
            <w:pPr>
              <w:spacing w:line="360" w:lineRule="auto"/>
              <w:rPr>
                <w:rFonts w:ascii="宋体" w:hAnsi="宋体"/>
                <w:color w:val="000000"/>
                <w:sz w:val="24"/>
              </w:rPr>
            </w:pPr>
          </w:p>
        </w:tc>
      </w:tr>
      <w:tr w14:paraId="188F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5BFC4C17">
            <w:pPr>
              <w:spacing w:line="360" w:lineRule="auto"/>
              <w:jc w:val="left"/>
              <w:rPr>
                <w:bCs/>
                <w:sz w:val="24"/>
                <w:highlight w:val="none"/>
              </w:rPr>
            </w:pPr>
            <w:r>
              <w:rPr>
                <w:rFonts w:hint="eastAsia"/>
                <w:bCs/>
                <w:sz w:val="24"/>
                <w:highlight w:val="none"/>
              </w:rPr>
              <w:t>联系人：</w:t>
            </w:r>
          </w:p>
        </w:tc>
        <w:tc>
          <w:tcPr>
            <w:tcW w:w="4643" w:type="dxa"/>
            <w:vAlign w:val="center"/>
          </w:tcPr>
          <w:p w14:paraId="7D0690FF">
            <w:pPr>
              <w:spacing w:line="360" w:lineRule="auto"/>
              <w:rPr>
                <w:rFonts w:ascii="宋体" w:hAnsi="宋体"/>
                <w:color w:val="000000"/>
                <w:sz w:val="24"/>
              </w:rPr>
            </w:pPr>
          </w:p>
        </w:tc>
      </w:tr>
      <w:tr w14:paraId="11F4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6985314A">
            <w:pPr>
              <w:spacing w:line="360" w:lineRule="auto"/>
              <w:ind w:left="1200" w:leftChars="0" w:hanging="1200" w:hangingChars="500"/>
              <w:rPr>
                <w:bCs/>
                <w:sz w:val="24"/>
                <w:highlight w:val="none"/>
              </w:rPr>
            </w:pPr>
            <w:r>
              <w:rPr>
                <w:rFonts w:hint="eastAsia"/>
                <w:bCs/>
                <w:sz w:val="24"/>
                <w:highlight w:val="none"/>
              </w:rPr>
              <w:t>开户银行：</w:t>
            </w:r>
          </w:p>
        </w:tc>
        <w:tc>
          <w:tcPr>
            <w:tcW w:w="4643" w:type="dxa"/>
            <w:vAlign w:val="center"/>
          </w:tcPr>
          <w:p w14:paraId="38B404B9">
            <w:pPr>
              <w:spacing w:line="360" w:lineRule="auto"/>
              <w:rPr>
                <w:rFonts w:ascii="宋体" w:hAnsi="宋体"/>
                <w:color w:val="000000"/>
                <w:sz w:val="24"/>
              </w:rPr>
            </w:pPr>
          </w:p>
        </w:tc>
      </w:tr>
      <w:tr w14:paraId="07A5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2D3DFB4C">
            <w:pPr>
              <w:spacing w:line="360" w:lineRule="auto"/>
              <w:jc w:val="left"/>
              <w:rPr>
                <w:bCs/>
                <w:sz w:val="24"/>
                <w:highlight w:val="none"/>
              </w:rPr>
            </w:pPr>
            <w:r>
              <w:rPr>
                <w:rFonts w:hint="eastAsia"/>
                <w:bCs/>
                <w:sz w:val="24"/>
                <w:highlight w:val="none"/>
              </w:rPr>
              <w:t>账号：</w:t>
            </w:r>
          </w:p>
        </w:tc>
        <w:tc>
          <w:tcPr>
            <w:tcW w:w="4643" w:type="dxa"/>
            <w:vAlign w:val="center"/>
          </w:tcPr>
          <w:p w14:paraId="6C4EE204">
            <w:pPr>
              <w:spacing w:line="360" w:lineRule="auto"/>
              <w:rPr>
                <w:rFonts w:ascii="宋体" w:hAnsi="宋体"/>
                <w:color w:val="000000"/>
                <w:sz w:val="24"/>
              </w:rPr>
            </w:pPr>
          </w:p>
        </w:tc>
      </w:tr>
      <w:tr w14:paraId="641F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59972276">
            <w:pPr>
              <w:spacing w:line="360" w:lineRule="auto"/>
              <w:jc w:val="left"/>
              <w:rPr>
                <w:bCs/>
                <w:sz w:val="24"/>
                <w:highlight w:val="none"/>
              </w:rPr>
            </w:pPr>
            <w:r>
              <w:rPr>
                <w:rFonts w:hint="eastAsia"/>
                <w:bCs/>
                <w:sz w:val="24"/>
                <w:highlight w:val="none"/>
              </w:rPr>
              <w:t>税号：</w:t>
            </w:r>
          </w:p>
        </w:tc>
        <w:tc>
          <w:tcPr>
            <w:tcW w:w="4643" w:type="dxa"/>
            <w:vAlign w:val="center"/>
          </w:tcPr>
          <w:p w14:paraId="0DEC63AF">
            <w:pPr>
              <w:spacing w:line="360" w:lineRule="auto"/>
              <w:rPr>
                <w:rFonts w:ascii="宋体" w:hAnsi="宋体"/>
                <w:color w:val="000000"/>
                <w:sz w:val="24"/>
              </w:rPr>
            </w:pPr>
          </w:p>
        </w:tc>
      </w:tr>
    </w:tbl>
    <w:p w14:paraId="2947DE16">
      <w:pPr>
        <w:pStyle w:val="2"/>
        <w:numPr>
          <w:ilvl w:val="0"/>
          <w:numId w:val="0"/>
        </w:numPr>
      </w:pPr>
      <w:r>
        <w:br w:type="page"/>
      </w:r>
    </w:p>
    <w:p w14:paraId="2954EF3A">
      <w:pPr>
        <w:spacing w:line="400" w:lineRule="exact"/>
        <w:ind w:left="210" w:hanging="210" w:hangingChars="87"/>
        <w:rPr>
          <w:rFonts w:hAnsi="宋体"/>
          <w:b/>
          <w:color w:val="000000"/>
          <w:sz w:val="24"/>
          <w:szCs w:val="24"/>
        </w:rPr>
      </w:pPr>
      <w:r>
        <w:rPr>
          <w:rFonts w:hint="eastAsia" w:hAnsi="宋体"/>
          <w:b/>
          <w:color w:val="000000"/>
          <w:sz w:val="24"/>
          <w:szCs w:val="24"/>
        </w:rPr>
        <w:t>附件</w:t>
      </w:r>
      <w:r>
        <w:rPr>
          <w:rFonts w:hAnsi="宋体"/>
          <w:b/>
          <w:color w:val="000000"/>
          <w:sz w:val="24"/>
          <w:szCs w:val="24"/>
        </w:rPr>
        <w:t>1</w:t>
      </w:r>
    </w:p>
    <w:p w14:paraId="18F8942B">
      <w:pPr>
        <w:pStyle w:val="11"/>
        <w:spacing w:after="468" w:afterLines="150" w:line="276" w:lineRule="auto"/>
        <w:ind w:left="-871" w:leftChars="-339" w:hanging="214" w:hangingChars="89"/>
        <w:jc w:val="center"/>
        <w:rPr>
          <w:rFonts w:hAnsi="宋体"/>
          <w:b/>
          <w:sz w:val="24"/>
          <w:szCs w:val="24"/>
        </w:rPr>
      </w:pPr>
      <w:r>
        <w:rPr>
          <w:rFonts w:hint="eastAsia" w:hAnsi="宋体"/>
          <w:b/>
          <w:sz w:val="24"/>
          <w:szCs w:val="24"/>
        </w:rPr>
        <w:t xml:space="preserve">      安全环保协议书</w:t>
      </w:r>
    </w:p>
    <w:p w14:paraId="6316F2DF">
      <w:pPr>
        <w:spacing w:line="460" w:lineRule="exact"/>
        <w:ind w:firstLine="480"/>
        <w:rPr>
          <w:rFonts w:hAnsi="宋体"/>
          <w:sz w:val="24"/>
          <w:szCs w:val="24"/>
          <w:u w:val="single"/>
        </w:rPr>
      </w:pPr>
      <w:r>
        <w:rPr>
          <w:rFonts w:hint="eastAsia" w:hAnsi="宋体"/>
          <w:sz w:val="24"/>
          <w:szCs w:val="24"/>
        </w:rPr>
        <w:t xml:space="preserve">发包单位（以下简称甲方）： </w:t>
      </w:r>
      <w:r>
        <w:rPr>
          <w:rFonts w:hint="eastAsia" w:hAnsi="宋体"/>
          <w:sz w:val="24"/>
          <w:szCs w:val="24"/>
          <w:u w:val="single"/>
          <w:lang w:val="en-US" w:eastAsia="zh-CN"/>
        </w:rPr>
        <w:t>福建福海创石油化工有限公司</w:t>
      </w:r>
      <w:r>
        <w:rPr>
          <w:rFonts w:hint="eastAsia" w:hAnsi="宋体"/>
          <w:sz w:val="24"/>
          <w:szCs w:val="24"/>
          <w:u w:val="single"/>
          <w:lang w:eastAsia="zh-CN"/>
        </w:rPr>
        <w:t>、</w:t>
      </w:r>
      <w:r>
        <w:rPr>
          <w:rFonts w:hint="eastAsia" w:hAnsi="宋体"/>
          <w:sz w:val="24"/>
          <w:szCs w:val="24"/>
          <w:u w:val="single"/>
        </w:rPr>
        <w:t>腾龙芳烃（漳州）有限公司</w:t>
      </w:r>
      <w:r>
        <w:rPr>
          <w:rFonts w:hint="eastAsia" w:hAnsi="宋体"/>
          <w:sz w:val="24"/>
          <w:szCs w:val="24"/>
          <w:u w:val="single"/>
          <w:lang w:eastAsia="zh-CN"/>
        </w:rPr>
        <w:t>、</w:t>
      </w:r>
      <w:r>
        <w:rPr>
          <w:rFonts w:hint="eastAsia" w:hAnsi="宋体"/>
          <w:sz w:val="24"/>
          <w:szCs w:val="24"/>
          <w:u w:val="single"/>
        </w:rPr>
        <w:t>翔鹭码头投资管理（漳州）有限公司</w:t>
      </w:r>
      <w:r>
        <w:rPr>
          <w:rFonts w:hint="eastAsia" w:hAnsi="宋体"/>
          <w:sz w:val="24"/>
          <w:szCs w:val="24"/>
          <w:u w:val="single"/>
          <w:lang w:eastAsia="zh-CN"/>
        </w:rPr>
        <w:t>、福建省福化古蕾化学有限公司</w:t>
      </w:r>
      <w:r>
        <w:rPr>
          <w:rFonts w:hint="eastAsia" w:hAnsi="宋体"/>
          <w:sz w:val="24"/>
          <w:szCs w:val="24"/>
          <w:u w:val="single"/>
        </w:rPr>
        <w:t xml:space="preserve"> </w:t>
      </w:r>
    </w:p>
    <w:p w14:paraId="3B6807E9">
      <w:pPr>
        <w:spacing w:line="460" w:lineRule="exact"/>
        <w:ind w:firstLine="480"/>
        <w:rPr>
          <w:rFonts w:hAnsi="宋体"/>
          <w:sz w:val="24"/>
          <w:szCs w:val="24"/>
        </w:rPr>
      </w:pPr>
      <w:r>
        <w:rPr>
          <w:rFonts w:hint="eastAsia" w:hAnsi="宋体"/>
          <w:sz w:val="24"/>
          <w:szCs w:val="24"/>
        </w:rPr>
        <w:t>承包单位（以下简称乙方）：</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 xml:space="preserve">   </w:t>
      </w:r>
    </w:p>
    <w:p w14:paraId="0330C2D7">
      <w:pPr>
        <w:spacing w:line="460" w:lineRule="exact"/>
        <w:ind w:firstLine="480"/>
        <w:rPr>
          <w:rFonts w:hAnsi="宋体"/>
          <w:sz w:val="24"/>
          <w:szCs w:val="24"/>
        </w:rPr>
      </w:pPr>
      <w:r>
        <w:rPr>
          <w:rFonts w:hint="eastAsia" w:hAnsi="宋体"/>
          <w:sz w:val="24"/>
          <w:szCs w:val="24"/>
        </w:rPr>
        <w:t xml:space="preserve">    双方就</w:t>
      </w:r>
      <w:r>
        <w:rPr>
          <w:rFonts w:hint="eastAsia" w:hAnsi="宋体"/>
          <w:sz w:val="24"/>
          <w:szCs w:val="24"/>
          <w:u w:val="single"/>
        </w:rPr>
        <w:t xml:space="preserve"> 强检仪表、汽车衡及电子秤等设备检定 </w:t>
      </w:r>
      <w:r>
        <w:rPr>
          <w:rFonts w:hint="eastAsia" w:hAnsi="宋体"/>
          <w:sz w:val="24"/>
          <w:szCs w:val="24"/>
        </w:rPr>
        <w:t>项目签订了</w:t>
      </w:r>
      <w:r>
        <w:rPr>
          <w:rFonts w:hint="eastAsia" w:hAnsi="宋体"/>
          <w:sz w:val="24"/>
          <w:szCs w:val="24"/>
          <w:u w:val="single"/>
        </w:rPr>
        <w:t xml:space="preserve"> 委托服务 </w:t>
      </w:r>
      <w:r>
        <w:rPr>
          <w:rFonts w:hint="eastAsia" w:hAnsi="宋体"/>
          <w:sz w:val="24"/>
          <w:szCs w:val="24"/>
        </w:rPr>
        <w:t>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4C511447">
      <w:pPr>
        <w:spacing w:line="460" w:lineRule="exact"/>
        <w:ind w:firstLine="482"/>
        <w:rPr>
          <w:rFonts w:hAnsi="宋体"/>
          <w:sz w:val="24"/>
          <w:szCs w:val="24"/>
        </w:rPr>
      </w:pPr>
      <w:r>
        <w:rPr>
          <w:rFonts w:hint="eastAsia" w:hAnsi="宋体"/>
          <w:b/>
          <w:sz w:val="24"/>
          <w:szCs w:val="24"/>
        </w:rPr>
        <w:t>一、甲方的权利和义务：</w:t>
      </w:r>
    </w:p>
    <w:p w14:paraId="2C69C0DB">
      <w:pPr>
        <w:pStyle w:val="33"/>
        <w:spacing w:line="460" w:lineRule="exact"/>
        <w:ind w:firstLine="0" w:firstLineChars="0"/>
        <w:rPr>
          <w:rFonts w:hAnsi="宋体"/>
          <w:sz w:val="24"/>
          <w:szCs w:val="24"/>
        </w:rPr>
      </w:pPr>
      <w:r>
        <w:rPr>
          <w:rFonts w:hint="eastAsia" w:hAnsi="宋体"/>
          <w:sz w:val="24"/>
          <w:szCs w:val="24"/>
        </w:rPr>
        <w:t>1、 甲方有权对乙方的资质进行审查，确认其符合且具备进厂条件，方可进厂施工。</w:t>
      </w:r>
    </w:p>
    <w:p w14:paraId="1D1FE843">
      <w:pPr>
        <w:pStyle w:val="33"/>
        <w:spacing w:line="460" w:lineRule="exact"/>
        <w:ind w:firstLine="0" w:firstLineChars="0"/>
        <w:rPr>
          <w:rFonts w:hAnsi="宋体"/>
          <w:sz w:val="24"/>
          <w:szCs w:val="24"/>
        </w:rPr>
      </w:pPr>
      <w:r>
        <w:rPr>
          <w:rFonts w:hint="eastAsia" w:hAnsi="宋体"/>
          <w:sz w:val="24"/>
          <w:szCs w:val="24"/>
        </w:rPr>
        <w:t>2、 甲方有权要求乙方维护好甲方相关的安全环保设施、设备和器材。</w:t>
      </w:r>
    </w:p>
    <w:p w14:paraId="032C0D8E">
      <w:pPr>
        <w:tabs>
          <w:tab w:val="left" w:pos="360"/>
          <w:tab w:val="left" w:pos="840"/>
        </w:tabs>
        <w:spacing w:line="460" w:lineRule="exact"/>
        <w:ind w:firstLine="480"/>
        <w:rPr>
          <w:rFonts w:hAnsi="宋体"/>
          <w:sz w:val="24"/>
          <w:szCs w:val="24"/>
        </w:rPr>
      </w:pPr>
      <w:r>
        <w:rPr>
          <w:rFonts w:hint="eastAsia" w:hAnsi="宋体"/>
          <w:sz w:val="24"/>
          <w:szCs w:val="24"/>
        </w:rPr>
        <w:t>3、 甲方有权全程检查乙方施工作业现场，对乙方人员在施工作业中违反有关安全生产规章制度的行为予以制止、纠正和处罚，并发出书面整改通知书；对严重违章的行为立即勒令其停止工作。</w:t>
      </w:r>
    </w:p>
    <w:p w14:paraId="4ACC61BE">
      <w:pPr>
        <w:tabs>
          <w:tab w:val="left" w:pos="360"/>
          <w:tab w:val="left" w:pos="840"/>
        </w:tabs>
        <w:spacing w:line="460" w:lineRule="exact"/>
        <w:ind w:firstLine="480"/>
        <w:rPr>
          <w:rFonts w:hAnsi="宋体"/>
          <w:sz w:val="24"/>
          <w:szCs w:val="24"/>
        </w:rPr>
      </w:pPr>
      <w:r>
        <w:rPr>
          <w:rFonts w:hint="eastAsia" w:hAnsi="宋体"/>
          <w:sz w:val="24"/>
          <w:szCs w:val="24"/>
        </w:rPr>
        <w:t>4、 甲方有权要求乙方制定施工方案，对危险性较大的分项工程，乙方必须制定专项安全环保施工方案，明确组织措施、安全环保措施、技术措施，经甲方各相关管理部门审查合格后方可进行施工作业。</w:t>
      </w:r>
    </w:p>
    <w:p w14:paraId="44EA901B">
      <w:pPr>
        <w:tabs>
          <w:tab w:val="left" w:pos="360"/>
          <w:tab w:val="left" w:pos="840"/>
        </w:tabs>
        <w:spacing w:line="460" w:lineRule="exact"/>
        <w:ind w:firstLine="480"/>
        <w:rPr>
          <w:rFonts w:hAnsi="宋体"/>
          <w:color w:val="FF0000"/>
          <w:sz w:val="24"/>
          <w:szCs w:val="24"/>
        </w:rPr>
      </w:pPr>
      <w:r>
        <w:rPr>
          <w:rFonts w:hint="eastAsia" w:hAnsi="宋体"/>
          <w:sz w:val="24"/>
          <w:szCs w:val="24"/>
        </w:rPr>
        <w:t>5、 甲方有权对乙方不服从管理和严重违章者，驱除施工现场。</w:t>
      </w:r>
    </w:p>
    <w:p w14:paraId="112157B0">
      <w:pPr>
        <w:pStyle w:val="33"/>
        <w:spacing w:line="460" w:lineRule="exact"/>
        <w:ind w:firstLine="0" w:firstLineChars="0"/>
        <w:rPr>
          <w:rFonts w:hAnsi="宋体"/>
          <w:b/>
          <w:sz w:val="24"/>
          <w:szCs w:val="24"/>
        </w:rPr>
      </w:pPr>
      <w:r>
        <w:rPr>
          <w:rFonts w:hint="eastAsia" w:hAnsi="宋体"/>
          <w:sz w:val="24"/>
          <w:szCs w:val="24"/>
        </w:rPr>
        <w:t>6、 甲方负责对乙方进行厂级和部门级安全培训教育和考核，考核合格方可办理入厂手续。</w:t>
      </w:r>
    </w:p>
    <w:p w14:paraId="2A4DE363">
      <w:pPr>
        <w:tabs>
          <w:tab w:val="left" w:pos="360"/>
          <w:tab w:val="left" w:pos="840"/>
        </w:tabs>
        <w:spacing w:line="460" w:lineRule="exact"/>
        <w:ind w:firstLine="480"/>
        <w:rPr>
          <w:rFonts w:hAnsi="宋体"/>
          <w:sz w:val="24"/>
          <w:szCs w:val="24"/>
        </w:rPr>
      </w:pPr>
      <w:r>
        <w:rPr>
          <w:rFonts w:hint="eastAsia" w:hAnsi="宋体"/>
          <w:sz w:val="24"/>
          <w:szCs w:val="24"/>
        </w:rPr>
        <w:t>7、 甲方负责各装置的工艺处理、退料、置换、吹扫及盲板隔离工作，为本项目提供安全的施工条件。</w:t>
      </w:r>
    </w:p>
    <w:p w14:paraId="37B6C1C1">
      <w:pPr>
        <w:tabs>
          <w:tab w:val="left" w:pos="360"/>
          <w:tab w:val="left" w:pos="840"/>
        </w:tabs>
        <w:spacing w:line="460" w:lineRule="exact"/>
        <w:ind w:firstLine="480"/>
        <w:rPr>
          <w:rFonts w:hAnsi="宋体"/>
          <w:sz w:val="24"/>
          <w:szCs w:val="24"/>
        </w:rPr>
      </w:pPr>
      <w:r>
        <w:rPr>
          <w:rFonts w:hint="eastAsia" w:hAnsi="宋体"/>
          <w:sz w:val="24"/>
          <w:szCs w:val="24"/>
        </w:rPr>
        <w:t>8、 甲方应乙方要求，向乙方提供与乙方作业相关的甲方有毒有害、易燃易爆物品的数据。</w:t>
      </w:r>
    </w:p>
    <w:p w14:paraId="29C06FF5">
      <w:pPr>
        <w:tabs>
          <w:tab w:val="left" w:pos="360"/>
          <w:tab w:val="left" w:pos="840"/>
        </w:tabs>
        <w:spacing w:line="460" w:lineRule="exact"/>
        <w:ind w:firstLine="480"/>
        <w:rPr>
          <w:rFonts w:hAnsi="宋体"/>
          <w:sz w:val="24"/>
          <w:szCs w:val="24"/>
        </w:rPr>
      </w:pPr>
      <w:r>
        <w:rPr>
          <w:rFonts w:hint="eastAsia" w:hAnsi="宋体"/>
          <w:sz w:val="24"/>
          <w:szCs w:val="24"/>
        </w:rPr>
        <w:t>9、 甲方在开工前必须对乙方进行全面的安全技术及文明施工交底。</w:t>
      </w:r>
    </w:p>
    <w:p w14:paraId="521CCC8A">
      <w:pPr>
        <w:spacing w:line="460" w:lineRule="exact"/>
        <w:ind w:left="1" w:firstLine="482"/>
        <w:rPr>
          <w:rFonts w:hAnsi="宋体"/>
          <w:b/>
          <w:sz w:val="24"/>
          <w:szCs w:val="24"/>
        </w:rPr>
      </w:pPr>
    </w:p>
    <w:p w14:paraId="07A02104">
      <w:pPr>
        <w:spacing w:line="460" w:lineRule="exact"/>
        <w:ind w:left="1" w:firstLine="482"/>
        <w:rPr>
          <w:rFonts w:hAnsi="宋体"/>
          <w:b/>
          <w:sz w:val="24"/>
          <w:szCs w:val="24"/>
        </w:rPr>
      </w:pPr>
      <w:r>
        <w:rPr>
          <w:rFonts w:hint="eastAsia" w:hAnsi="宋体"/>
          <w:b/>
          <w:sz w:val="24"/>
          <w:szCs w:val="24"/>
        </w:rPr>
        <w:t>二、乙方的权利和义务：</w:t>
      </w:r>
    </w:p>
    <w:p w14:paraId="4DE33977">
      <w:pPr>
        <w:spacing w:line="460" w:lineRule="exact"/>
        <w:ind w:left="-187" w:firstLine="480"/>
        <w:rPr>
          <w:rFonts w:hAnsi="宋体"/>
          <w:sz w:val="24"/>
          <w:szCs w:val="24"/>
        </w:rPr>
      </w:pPr>
      <w:r>
        <w:rPr>
          <w:rFonts w:hint="eastAsia" w:hAnsi="宋体"/>
          <w:sz w:val="24"/>
          <w:szCs w:val="24"/>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5B5C56E0">
      <w:pPr>
        <w:spacing w:line="460" w:lineRule="exact"/>
        <w:ind w:left="-187" w:firstLine="480"/>
        <w:rPr>
          <w:rFonts w:hAnsi="宋体"/>
          <w:sz w:val="24"/>
          <w:szCs w:val="24"/>
        </w:rPr>
      </w:pPr>
      <w:r>
        <w:rPr>
          <w:rFonts w:hint="eastAsia" w:hAnsi="宋体"/>
          <w:sz w:val="24"/>
          <w:szCs w:val="24"/>
        </w:rPr>
        <w:t>2、  乙方有权对甲方安全管理工作提出合理化建议或改进措施。</w:t>
      </w:r>
    </w:p>
    <w:p w14:paraId="162D4DA0">
      <w:pPr>
        <w:spacing w:line="460" w:lineRule="exact"/>
        <w:ind w:left="-187" w:firstLine="480"/>
        <w:rPr>
          <w:rFonts w:hAnsi="宋体"/>
          <w:sz w:val="24"/>
          <w:szCs w:val="24"/>
        </w:rPr>
      </w:pPr>
      <w:r>
        <w:rPr>
          <w:rFonts w:hint="eastAsia" w:hAnsi="宋体"/>
          <w:sz w:val="24"/>
          <w:szCs w:val="24"/>
        </w:rPr>
        <w:t xml:space="preserve">3、 乙方对甲方管理人员违章指挥、强令冒险作业、有权拒绝执行。对打击和报复行为有权向上级和有关部门汇报。 </w:t>
      </w:r>
    </w:p>
    <w:p w14:paraId="69707467">
      <w:pPr>
        <w:spacing w:line="460" w:lineRule="exact"/>
        <w:ind w:left="-187" w:firstLine="480"/>
        <w:rPr>
          <w:rFonts w:hAnsi="宋体"/>
          <w:sz w:val="24"/>
          <w:szCs w:val="24"/>
        </w:rPr>
      </w:pPr>
      <w:r>
        <w:rPr>
          <w:rFonts w:hint="eastAsia" w:hAnsi="宋体"/>
          <w:sz w:val="24"/>
          <w:szCs w:val="24"/>
        </w:rPr>
        <w:t>4、 乙方对危及生命安全和身体健康的施工作业条件和环境，有权提出整改建议或拒绝施工作业。</w:t>
      </w:r>
    </w:p>
    <w:p w14:paraId="3CFAE7A9">
      <w:pPr>
        <w:spacing w:line="460" w:lineRule="exact"/>
        <w:ind w:left="-187" w:firstLine="480"/>
        <w:rPr>
          <w:rFonts w:hAnsi="宋体"/>
          <w:sz w:val="24"/>
          <w:szCs w:val="24"/>
        </w:rPr>
      </w:pPr>
      <w:r>
        <w:rPr>
          <w:rFonts w:hint="eastAsia" w:hAnsi="宋体"/>
          <w:sz w:val="24"/>
          <w:szCs w:val="24"/>
        </w:rPr>
        <w:t>5、 乙方施工过程中在发生严重危及作业人员生命安全的不可抗拒紧急情况时，有权采取必要的避险措施，并立即向管理部门报告。</w:t>
      </w:r>
    </w:p>
    <w:p w14:paraId="0A1C8E98">
      <w:pPr>
        <w:spacing w:line="460" w:lineRule="exact"/>
        <w:ind w:left="-187" w:firstLine="480"/>
        <w:rPr>
          <w:rFonts w:hAnsi="宋体"/>
          <w:sz w:val="24"/>
          <w:szCs w:val="24"/>
        </w:rPr>
      </w:pPr>
      <w:r>
        <w:rPr>
          <w:rFonts w:hint="eastAsia" w:hAnsi="宋体"/>
          <w:sz w:val="24"/>
          <w:szCs w:val="24"/>
        </w:rPr>
        <w:t>6、 乙方有权要求甲方提供相关的安全资料。</w:t>
      </w:r>
    </w:p>
    <w:p w14:paraId="64DDDF1C">
      <w:pPr>
        <w:spacing w:line="460" w:lineRule="exact"/>
        <w:ind w:left="-187" w:firstLine="480"/>
        <w:rPr>
          <w:rFonts w:hAnsi="宋体"/>
          <w:b/>
          <w:sz w:val="24"/>
          <w:szCs w:val="24"/>
        </w:rPr>
      </w:pPr>
      <w:r>
        <w:rPr>
          <w:rFonts w:hint="eastAsia" w:hAnsi="宋体"/>
          <w:sz w:val="24"/>
          <w:szCs w:val="24"/>
        </w:rPr>
        <w:t xml:space="preserve">7、 </w:t>
      </w:r>
      <w:r>
        <w:rPr>
          <w:rFonts w:hint="eastAsia" w:hAnsi="宋体" w:cs="Arial"/>
          <w:sz w:val="24"/>
          <w:szCs w:val="24"/>
        </w:rPr>
        <w:t>乙方必须建立健全HSE管理网络、HSE保证体系和HSE责任制，成立专职HSE管理机构</w:t>
      </w:r>
      <w:r>
        <w:rPr>
          <w:rFonts w:hint="eastAsia" w:hAnsi="宋体"/>
          <w:sz w:val="24"/>
          <w:szCs w:val="24"/>
        </w:rPr>
        <w:t>，依照《安全生产法》的要求配备专职或兼职安全生产管理人员；施工队伍超过50人的应按比例配足专职安全员，</w:t>
      </w:r>
      <w:r>
        <w:rPr>
          <w:rFonts w:hint="eastAsia" w:hAnsi="宋体" w:cs="Arial"/>
          <w:sz w:val="24"/>
          <w:szCs w:val="24"/>
        </w:rPr>
        <w:t>并佩戴明显标志；编制和实施各安全环保施工方案和专项应急预案。</w:t>
      </w:r>
    </w:p>
    <w:p w14:paraId="219073B0">
      <w:pPr>
        <w:spacing w:line="460" w:lineRule="exact"/>
        <w:ind w:left="-82" w:firstLine="480"/>
        <w:rPr>
          <w:rFonts w:hAnsi="宋体"/>
          <w:sz w:val="24"/>
          <w:szCs w:val="24"/>
        </w:rPr>
      </w:pPr>
      <w:r>
        <w:rPr>
          <w:rFonts w:hint="eastAsia" w:hAnsi="宋体"/>
          <w:sz w:val="24"/>
          <w:szCs w:val="24"/>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5FC8592">
      <w:pPr>
        <w:spacing w:line="460" w:lineRule="exact"/>
        <w:ind w:left="-105" w:firstLine="480"/>
        <w:rPr>
          <w:rFonts w:hAnsi="宋体"/>
          <w:sz w:val="24"/>
          <w:szCs w:val="24"/>
        </w:rPr>
      </w:pPr>
      <w:r>
        <w:rPr>
          <w:rFonts w:hint="eastAsia" w:hAnsi="宋体"/>
          <w:sz w:val="24"/>
          <w:szCs w:val="24"/>
        </w:rPr>
        <w:t>9、 在工程开工前，乙方必须对全体施工作业人员分工种进行安全教育、技能考试，合格后方可进行施工作业。施工作业前，必须向作业人员进行安全环保技术交底，掌握工程特点及施工安全环保措施。</w:t>
      </w:r>
    </w:p>
    <w:p w14:paraId="5148D8EE">
      <w:pPr>
        <w:spacing w:line="460" w:lineRule="exact"/>
        <w:ind w:left="-105" w:firstLine="480"/>
        <w:rPr>
          <w:rFonts w:hAnsi="宋体"/>
          <w:sz w:val="24"/>
          <w:szCs w:val="24"/>
        </w:rPr>
      </w:pPr>
      <w:r>
        <w:rPr>
          <w:rFonts w:hint="eastAsia" w:hAnsi="宋体"/>
          <w:sz w:val="24"/>
          <w:szCs w:val="24"/>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61C3FCC">
      <w:pPr>
        <w:spacing w:line="460" w:lineRule="exact"/>
        <w:ind w:left="-105" w:firstLine="480"/>
        <w:rPr>
          <w:rFonts w:hAnsi="宋体"/>
          <w:sz w:val="24"/>
          <w:szCs w:val="24"/>
        </w:rPr>
      </w:pPr>
      <w:r>
        <w:rPr>
          <w:rFonts w:hint="eastAsia" w:hAnsi="宋体"/>
          <w:sz w:val="24"/>
          <w:szCs w:val="24"/>
        </w:rPr>
        <w:t>11、乙方应按《中华人民共和国劳动法》等法律、法规、规定用工，严禁使用未成年工和有职业禁忌的人员进行施工作业。</w:t>
      </w:r>
      <w:r>
        <w:rPr>
          <w:rFonts w:hAnsi="宋体"/>
          <w:sz w:val="24"/>
          <w:szCs w:val="24"/>
        </w:rPr>
        <w:t xml:space="preserve"> </w:t>
      </w:r>
    </w:p>
    <w:p w14:paraId="31D87F97">
      <w:pPr>
        <w:spacing w:line="460" w:lineRule="exact"/>
        <w:ind w:left="-105" w:firstLine="480"/>
        <w:rPr>
          <w:rFonts w:hAnsi="宋体"/>
          <w:sz w:val="24"/>
          <w:szCs w:val="24"/>
        </w:rPr>
      </w:pPr>
      <w:r>
        <w:rPr>
          <w:rFonts w:hint="eastAsia" w:hAnsi="宋体"/>
          <w:sz w:val="24"/>
          <w:szCs w:val="24"/>
        </w:rPr>
        <w:t>12、 乙方必须按国家有关规定，为施工人员办理工伤保险、意外伤害保险（施工人员较多的承包商建议购买建筑工程团体意外险），为施工人员配备合格的劳动防护用品及安全用具，并保证施工工具、器械使用安全。</w:t>
      </w:r>
    </w:p>
    <w:p w14:paraId="5D1FD1DF">
      <w:pPr>
        <w:spacing w:line="460" w:lineRule="exact"/>
        <w:ind w:left="-105" w:firstLine="480"/>
        <w:rPr>
          <w:rFonts w:hAnsi="宋体"/>
          <w:sz w:val="24"/>
          <w:szCs w:val="24"/>
        </w:rPr>
      </w:pPr>
      <w:r>
        <w:rPr>
          <w:rFonts w:hint="eastAsia" w:hAnsi="宋体"/>
          <w:sz w:val="24"/>
          <w:szCs w:val="24"/>
        </w:rPr>
        <w:t>13、 乙方需建立安全检查制度，指定专人负责现场安全监督检查工作，认真开展安全检查，发现作业过程中不安全行为、隐患、重大险情，应采取有效措施及时处理并报告甲方。</w:t>
      </w:r>
    </w:p>
    <w:p w14:paraId="3CA59A2A">
      <w:pPr>
        <w:spacing w:line="460" w:lineRule="exact"/>
        <w:ind w:left="-105" w:firstLine="480"/>
        <w:rPr>
          <w:rFonts w:hAnsi="宋体"/>
          <w:sz w:val="24"/>
          <w:szCs w:val="24"/>
        </w:rPr>
      </w:pPr>
      <w:r>
        <w:rPr>
          <w:rFonts w:hint="eastAsia" w:hAnsi="宋体"/>
          <w:sz w:val="24"/>
          <w:szCs w:val="24"/>
        </w:rPr>
        <w:t>14、 发生事故时，乙方必须及时向甲方报告。同时根据指令迅速组织实施现场人员疏散和抢救工作、采取相应的措施保护好现场，并要积极配合甲方或上级有关部门对事故的调查和现场勘查。</w:t>
      </w:r>
    </w:p>
    <w:p w14:paraId="76079A98">
      <w:pPr>
        <w:spacing w:line="460" w:lineRule="exact"/>
        <w:ind w:left="-105" w:firstLine="480"/>
        <w:rPr>
          <w:rFonts w:hAnsi="宋体"/>
          <w:sz w:val="24"/>
          <w:szCs w:val="24"/>
        </w:rPr>
      </w:pPr>
      <w:r>
        <w:rPr>
          <w:rFonts w:hint="eastAsia" w:hAnsi="宋体"/>
          <w:sz w:val="24"/>
          <w:szCs w:val="24"/>
        </w:rPr>
        <w:t>15、 乙方进入现场的施工人员，严禁动用装置区机泵、容器、塔、加热炉等任何部位阀门，防止误开误关，造成意外事故。如确实需用，经与装置有关人员联系，同意后，由操作人员启闭阀门。</w:t>
      </w:r>
    </w:p>
    <w:p w14:paraId="47432756">
      <w:pPr>
        <w:spacing w:line="460" w:lineRule="exact"/>
        <w:ind w:left="-105" w:firstLine="480"/>
        <w:rPr>
          <w:rFonts w:hAnsi="宋体"/>
          <w:sz w:val="24"/>
          <w:szCs w:val="24"/>
        </w:rPr>
      </w:pPr>
      <w:r>
        <w:rPr>
          <w:rFonts w:hint="eastAsia" w:hAnsi="宋体"/>
          <w:sz w:val="24"/>
          <w:szCs w:val="24"/>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3429F35">
      <w:pPr>
        <w:spacing w:line="460" w:lineRule="exact"/>
        <w:ind w:left="-105" w:firstLine="480"/>
        <w:rPr>
          <w:rFonts w:hAnsi="宋体"/>
          <w:sz w:val="24"/>
          <w:szCs w:val="24"/>
        </w:rPr>
      </w:pPr>
      <w:r>
        <w:rPr>
          <w:rFonts w:hint="eastAsia" w:hAnsi="宋体"/>
          <w:sz w:val="24"/>
          <w:szCs w:val="24"/>
        </w:rPr>
        <w:t xml:space="preserve">17、 </w:t>
      </w:r>
      <w:r>
        <w:rPr>
          <w:rFonts w:hint="eastAsia" w:hAnsi="宋体"/>
          <w:bCs/>
          <w:sz w:val="24"/>
          <w:szCs w:val="24"/>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5038C2C">
      <w:pPr>
        <w:spacing w:line="460" w:lineRule="exact"/>
        <w:ind w:left="-105" w:firstLine="480"/>
        <w:rPr>
          <w:rFonts w:hAnsi="宋体"/>
          <w:bCs/>
          <w:sz w:val="24"/>
          <w:szCs w:val="24"/>
        </w:rPr>
      </w:pPr>
      <w:r>
        <w:rPr>
          <w:rFonts w:hint="eastAsia" w:hAnsi="宋体"/>
          <w:bCs/>
          <w:sz w:val="24"/>
          <w:szCs w:val="24"/>
        </w:rPr>
        <w:t xml:space="preserve">18、 </w:t>
      </w:r>
      <w:r>
        <w:rPr>
          <w:rFonts w:hint="eastAsia" w:hAnsi="宋体"/>
          <w:sz w:val="24"/>
          <w:szCs w:val="24"/>
        </w:rPr>
        <w:t>乙方</w:t>
      </w:r>
      <w:r>
        <w:rPr>
          <w:rFonts w:hint="eastAsia" w:hAnsi="宋体"/>
          <w:bCs/>
          <w:sz w:val="24"/>
          <w:szCs w:val="24"/>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hAnsi="宋体"/>
          <w:sz w:val="24"/>
          <w:szCs w:val="24"/>
        </w:rPr>
        <w:t>GB 2894-2008）</w:t>
      </w:r>
      <w:r>
        <w:rPr>
          <w:rFonts w:hint="eastAsia" w:hAnsi="宋体"/>
          <w:bCs/>
          <w:sz w:val="24"/>
          <w:szCs w:val="24"/>
        </w:rPr>
        <w:t>的规定。</w:t>
      </w:r>
    </w:p>
    <w:p w14:paraId="6F20C6DF">
      <w:pPr>
        <w:spacing w:line="460" w:lineRule="exact"/>
        <w:ind w:left="-105" w:firstLine="480"/>
        <w:rPr>
          <w:rFonts w:hAnsi="宋体"/>
          <w:sz w:val="24"/>
          <w:szCs w:val="24"/>
        </w:rPr>
      </w:pPr>
      <w:r>
        <w:rPr>
          <w:rFonts w:hint="eastAsia" w:hAnsi="宋体"/>
          <w:bCs/>
          <w:sz w:val="24"/>
          <w:szCs w:val="24"/>
        </w:rPr>
        <w:t>19、</w:t>
      </w:r>
      <w:r>
        <w:rPr>
          <w:rFonts w:hint="eastAsia" w:hAnsi="宋体"/>
          <w:sz w:val="24"/>
          <w:szCs w:val="24"/>
        </w:rPr>
        <w:t>乙方</w:t>
      </w:r>
      <w:r>
        <w:rPr>
          <w:rFonts w:hint="eastAsia" w:hAnsi="宋体"/>
          <w:bCs/>
          <w:sz w:val="24"/>
          <w:szCs w:val="24"/>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30B1EFE">
      <w:pPr>
        <w:spacing w:line="460" w:lineRule="exact"/>
        <w:ind w:left="-105" w:firstLine="480"/>
        <w:rPr>
          <w:rFonts w:hAnsi="宋体"/>
          <w:sz w:val="24"/>
          <w:szCs w:val="24"/>
        </w:rPr>
      </w:pPr>
      <w:r>
        <w:rPr>
          <w:rFonts w:hint="eastAsia" w:hAnsi="宋体"/>
          <w:sz w:val="24"/>
          <w:szCs w:val="24"/>
        </w:rPr>
        <w:t>20、 乙方施工产生的</w:t>
      </w:r>
      <w:r>
        <w:rPr>
          <w:rFonts w:hint="eastAsia" w:hAnsi="宋体"/>
          <w:bCs/>
          <w:sz w:val="24"/>
          <w:szCs w:val="24"/>
        </w:rPr>
        <w:t>任何有毒、有害物质，油类，化学品，废水，生活污水及其它污染物绝不能排入雨边沟、地井或污染地表土，必须按国家及地方的相关规定进行妥善处置。</w:t>
      </w:r>
      <w:r>
        <w:rPr>
          <w:rFonts w:hint="eastAsia" w:hAnsi="宋体"/>
          <w:sz w:val="24"/>
          <w:szCs w:val="24"/>
        </w:rPr>
        <w:t>产生的废物应进行鉴别，一般固废和危险废物应妥善包装、分类堆放，并及时清理。不能任意排放和丢弃。</w:t>
      </w:r>
    </w:p>
    <w:p w14:paraId="43D272DA">
      <w:pPr>
        <w:spacing w:line="460" w:lineRule="exact"/>
        <w:ind w:left="-105" w:firstLine="480"/>
        <w:rPr>
          <w:rFonts w:hAnsi="宋体"/>
          <w:sz w:val="24"/>
          <w:szCs w:val="24"/>
        </w:rPr>
      </w:pPr>
      <w:r>
        <w:rPr>
          <w:rFonts w:hint="eastAsia" w:hAnsi="宋体"/>
          <w:sz w:val="24"/>
          <w:szCs w:val="24"/>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124E3FD">
      <w:pPr>
        <w:spacing w:line="460" w:lineRule="exact"/>
        <w:ind w:left="-105" w:firstLine="480"/>
        <w:rPr>
          <w:rFonts w:hAnsi="宋体"/>
          <w:sz w:val="24"/>
          <w:szCs w:val="24"/>
        </w:rPr>
      </w:pPr>
      <w:r>
        <w:rPr>
          <w:rFonts w:hint="eastAsia" w:hAnsi="宋体"/>
          <w:sz w:val="24"/>
          <w:szCs w:val="24"/>
        </w:rPr>
        <w:t xml:space="preserve">22、 </w:t>
      </w:r>
      <w:r>
        <w:rPr>
          <w:rFonts w:hint="eastAsia" w:hAnsi="宋体"/>
          <w:bCs/>
          <w:sz w:val="24"/>
          <w:szCs w:val="24"/>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517BFC7">
      <w:pPr>
        <w:spacing w:line="460" w:lineRule="exact"/>
        <w:ind w:firstLine="482"/>
        <w:rPr>
          <w:rFonts w:hAnsi="宋体"/>
          <w:b/>
          <w:sz w:val="24"/>
          <w:szCs w:val="24"/>
        </w:rPr>
      </w:pPr>
      <w:r>
        <w:rPr>
          <w:rFonts w:hint="eastAsia" w:hAnsi="宋体"/>
          <w:b/>
          <w:sz w:val="24"/>
          <w:szCs w:val="24"/>
        </w:rPr>
        <w:t>三、违约责任及处理</w:t>
      </w:r>
    </w:p>
    <w:p w14:paraId="47D4C3D9">
      <w:pPr>
        <w:pStyle w:val="33"/>
        <w:numPr>
          <w:ilvl w:val="0"/>
          <w:numId w:val="2"/>
        </w:numPr>
        <w:adjustRightInd/>
        <w:spacing w:line="460" w:lineRule="exact"/>
        <w:ind w:left="0" w:firstLine="0" w:firstLineChars="0"/>
        <w:textAlignment w:val="auto"/>
        <w:rPr>
          <w:rFonts w:hAnsi="宋体"/>
          <w:b/>
          <w:sz w:val="24"/>
          <w:szCs w:val="24"/>
        </w:rPr>
      </w:pPr>
      <w:r>
        <w:rPr>
          <w:rFonts w:hint="eastAsia" w:hAnsi="宋体"/>
          <w:sz w:val="24"/>
          <w:szCs w:val="24"/>
        </w:rPr>
        <w:t>乙方不得将工程违法转包、分包。</w:t>
      </w:r>
    </w:p>
    <w:p w14:paraId="0C20E717">
      <w:pPr>
        <w:spacing w:line="460" w:lineRule="exact"/>
        <w:ind w:firstLine="480"/>
        <w:rPr>
          <w:rFonts w:hAnsi="宋体"/>
          <w:sz w:val="24"/>
          <w:szCs w:val="24"/>
        </w:rPr>
      </w:pPr>
      <w:r>
        <w:rPr>
          <w:rFonts w:hint="eastAsia" w:hAnsi="宋体"/>
          <w:sz w:val="24"/>
          <w:szCs w:val="24"/>
        </w:rPr>
        <w:t>2、发生安全事故时，甲乙双方均有抢险、救灾的义务，所发生的费用由责任方承担。</w:t>
      </w:r>
    </w:p>
    <w:p w14:paraId="201E25E3">
      <w:pPr>
        <w:spacing w:line="460" w:lineRule="exact"/>
        <w:ind w:firstLine="480"/>
        <w:rPr>
          <w:rFonts w:hAnsi="宋体"/>
          <w:sz w:val="24"/>
          <w:szCs w:val="24"/>
        </w:rPr>
      </w:pPr>
      <w:r>
        <w:rPr>
          <w:rFonts w:hint="eastAsia" w:hAnsi="宋体"/>
          <w:sz w:val="24"/>
          <w:szCs w:val="24"/>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053B3F82">
      <w:pPr>
        <w:spacing w:line="460" w:lineRule="exact"/>
        <w:ind w:firstLine="480"/>
        <w:rPr>
          <w:rFonts w:hAnsi="宋体"/>
          <w:sz w:val="24"/>
          <w:szCs w:val="24"/>
        </w:rPr>
      </w:pPr>
      <w:r>
        <w:rPr>
          <w:rFonts w:hint="eastAsia" w:hAnsi="宋体"/>
          <w:sz w:val="24"/>
          <w:szCs w:val="24"/>
        </w:rPr>
        <w:t>4、甲方违约造成的事故，甲方承担全部责任，并按规定追究有关人员责任及上报。</w:t>
      </w:r>
    </w:p>
    <w:p w14:paraId="4C99FC62">
      <w:pPr>
        <w:spacing w:line="460" w:lineRule="exact"/>
        <w:ind w:firstLine="480"/>
        <w:rPr>
          <w:rFonts w:hAnsi="宋体"/>
          <w:sz w:val="24"/>
          <w:szCs w:val="24"/>
        </w:rPr>
      </w:pPr>
      <w:r>
        <w:rPr>
          <w:rFonts w:hint="eastAsia" w:hAnsi="宋体"/>
          <w:sz w:val="24"/>
          <w:szCs w:val="24"/>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763EA2B4">
      <w:pPr>
        <w:tabs>
          <w:tab w:val="left" w:pos="360"/>
          <w:tab w:val="left" w:pos="840"/>
        </w:tabs>
        <w:spacing w:line="460" w:lineRule="exact"/>
        <w:ind w:firstLine="480"/>
        <w:rPr>
          <w:rFonts w:hAnsi="宋体"/>
          <w:color w:val="FF0000"/>
          <w:sz w:val="24"/>
          <w:szCs w:val="24"/>
        </w:rPr>
      </w:pPr>
      <w:r>
        <w:rPr>
          <w:rFonts w:hint="eastAsia" w:hAnsi="宋体"/>
          <w:sz w:val="24"/>
          <w:szCs w:val="24"/>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3CB9ADF">
      <w:pPr>
        <w:spacing w:line="460" w:lineRule="exact"/>
        <w:ind w:firstLine="480"/>
        <w:rPr>
          <w:rFonts w:hAnsi="宋体"/>
          <w:color w:val="FF0000"/>
          <w:sz w:val="24"/>
          <w:szCs w:val="24"/>
        </w:rPr>
      </w:pPr>
      <w:r>
        <w:rPr>
          <w:rFonts w:hint="eastAsia" w:hAnsi="宋体"/>
          <w:sz w:val="24"/>
          <w:szCs w:val="24"/>
        </w:rPr>
        <w:t>7、 对乙方发生事故后弄虚作假、隐瞒不报、迟报或谎报，一经查出，按有关规定处罚，并向所有在甲方范围内施工的其它承包商进行通报，并将通报送达承包商。情节严重的，取消其进入甲方的市场资格。</w:t>
      </w:r>
    </w:p>
    <w:p w14:paraId="54329156">
      <w:pPr>
        <w:spacing w:line="550" w:lineRule="exact"/>
        <w:ind w:left="1" w:firstLine="482"/>
        <w:rPr>
          <w:rFonts w:hAnsi="宋体"/>
          <w:b/>
          <w:sz w:val="24"/>
          <w:szCs w:val="24"/>
        </w:rPr>
      </w:pPr>
      <w:r>
        <w:rPr>
          <w:rFonts w:hint="eastAsia" w:hAnsi="宋体"/>
          <w:b/>
          <w:sz w:val="24"/>
          <w:szCs w:val="24"/>
        </w:rPr>
        <w:t>四、 不可抗力：</w:t>
      </w:r>
    </w:p>
    <w:p w14:paraId="5E9D72E6">
      <w:pPr>
        <w:spacing w:line="460" w:lineRule="exact"/>
        <w:ind w:firstLine="480"/>
        <w:rPr>
          <w:rFonts w:hAnsi="宋体"/>
          <w:sz w:val="24"/>
          <w:szCs w:val="24"/>
        </w:rPr>
      </w:pPr>
      <w:r>
        <w:rPr>
          <w:rFonts w:hint="eastAsia" w:hAnsi="宋体"/>
          <w:sz w:val="24"/>
          <w:szCs w:val="24"/>
        </w:rPr>
        <w:t xml:space="preserve">   由于不可抗力造成合同项目施工作业事故及产生的损失，甲乙双方各自承担相应的损失。</w:t>
      </w:r>
    </w:p>
    <w:p w14:paraId="114C8F85">
      <w:pPr>
        <w:spacing w:line="460" w:lineRule="exact"/>
        <w:ind w:left="1" w:firstLine="482"/>
        <w:rPr>
          <w:rFonts w:hAnsi="宋体"/>
          <w:sz w:val="24"/>
          <w:szCs w:val="24"/>
        </w:rPr>
      </w:pPr>
      <w:r>
        <w:rPr>
          <w:rFonts w:hint="eastAsia" w:hAnsi="宋体"/>
          <w:b/>
          <w:sz w:val="24"/>
          <w:szCs w:val="24"/>
        </w:rPr>
        <w:t>五、</w:t>
      </w:r>
      <w:r>
        <w:rPr>
          <w:rFonts w:hint="eastAsia" w:hAnsi="宋体"/>
          <w:sz w:val="24"/>
          <w:szCs w:val="24"/>
        </w:rPr>
        <w:t>本协议书一式两份，甲乙双方各执一份。</w:t>
      </w:r>
    </w:p>
    <w:p w14:paraId="324CBA30">
      <w:pPr>
        <w:spacing w:line="460" w:lineRule="exact"/>
        <w:ind w:left="1" w:firstLine="482"/>
        <w:rPr>
          <w:rFonts w:hAnsi="宋体"/>
          <w:sz w:val="24"/>
          <w:szCs w:val="24"/>
        </w:rPr>
      </w:pPr>
      <w:r>
        <w:rPr>
          <w:rFonts w:hint="eastAsia" w:hAnsi="宋体"/>
          <w:b/>
          <w:sz w:val="24"/>
          <w:szCs w:val="24"/>
        </w:rPr>
        <w:t>六、</w:t>
      </w:r>
      <w:r>
        <w:rPr>
          <w:rFonts w:hint="eastAsia" w:hAnsi="宋体"/>
          <w:sz w:val="24"/>
          <w:szCs w:val="24"/>
        </w:rPr>
        <w:t>本协议书经双方盖章后生效。</w:t>
      </w:r>
    </w:p>
    <w:p w14:paraId="0053E841">
      <w:pPr>
        <w:spacing w:line="460" w:lineRule="exact"/>
        <w:ind w:left="1" w:firstLine="482"/>
        <w:rPr>
          <w:rFonts w:hAnsi="宋体"/>
          <w:b/>
          <w:sz w:val="24"/>
          <w:szCs w:val="24"/>
        </w:rPr>
      </w:pPr>
      <w:r>
        <w:rPr>
          <w:rFonts w:hint="eastAsia" w:hAnsi="宋体"/>
          <w:b/>
          <w:sz w:val="24"/>
          <w:szCs w:val="24"/>
        </w:rPr>
        <w:t>七、协议期限：</w:t>
      </w:r>
    </w:p>
    <w:p w14:paraId="09F48516">
      <w:pPr>
        <w:spacing w:line="460" w:lineRule="exact"/>
        <w:ind w:firstLine="480"/>
        <w:rPr>
          <w:rFonts w:hAnsi="宋体"/>
          <w:sz w:val="24"/>
          <w:szCs w:val="24"/>
        </w:rPr>
      </w:pPr>
      <w:r>
        <w:rPr>
          <w:rFonts w:hint="eastAsia" w:hAnsi="宋体"/>
          <w:sz w:val="24"/>
          <w:szCs w:val="24"/>
        </w:rPr>
        <w:t>本协议期限应与主合同期限一致。如果主合同因故需要变更期限，本合同应与主同变更至相同期限。</w:t>
      </w:r>
    </w:p>
    <w:p w14:paraId="5779747B">
      <w:pPr>
        <w:spacing w:line="460" w:lineRule="exact"/>
        <w:ind w:left="-105" w:firstLine="480"/>
        <w:rPr>
          <w:rFonts w:hAnsi="宋体"/>
          <w:sz w:val="24"/>
          <w:szCs w:val="24"/>
        </w:rPr>
      </w:pPr>
      <w:r>
        <w:rPr>
          <w:rFonts w:hint="eastAsia" w:hAnsi="宋体"/>
          <w:sz w:val="24"/>
          <w:szCs w:val="24"/>
        </w:rPr>
        <w:t>（以下无正文）</w:t>
      </w:r>
    </w:p>
    <w:p w14:paraId="08B4D54F">
      <w:pPr>
        <w:spacing w:line="276" w:lineRule="auto"/>
        <w:ind w:firstLine="480"/>
        <w:rPr>
          <w:rFonts w:hAnsi="宋体"/>
          <w:sz w:val="24"/>
          <w:szCs w:val="24"/>
        </w:rPr>
      </w:pPr>
    </w:p>
    <w:p w14:paraId="6DF9C0CE">
      <w:pPr>
        <w:spacing w:line="360" w:lineRule="auto"/>
        <w:ind w:right="-214" w:rightChars="-67"/>
        <w:rPr>
          <w:rFonts w:hAnsi="宋体" w:cs="Arial"/>
          <w:b/>
          <w:sz w:val="24"/>
          <w:szCs w:val="24"/>
        </w:rPr>
      </w:pPr>
      <w:r>
        <w:rPr>
          <w:rFonts w:hint="eastAsia" w:hAnsi="宋体" w:cs="Arial"/>
          <w:b/>
          <w:sz w:val="24"/>
          <w:szCs w:val="24"/>
        </w:rPr>
        <w:t>甲方</w:t>
      </w:r>
      <w:r>
        <w:rPr>
          <w:rFonts w:hAnsi="宋体" w:cs="Arial"/>
          <w:b/>
          <w:sz w:val="24"/>
          <w:szCs w:val="24"/>
        </w:rPr>
        <w:t>：</w:t>
      </w:r>
      <w:r>
        <w:rPr>
          <w:rFonts w:hint="eastAsia" w:hAnsi="宋体" w:cs="Arial"/>
          <w:b/>
          <w:sz w:val="24"/>
          <w:szCs w:val="24"/>
        </w:rPr>
        <w:t xml:space="preserve">                                    </w:t>
      </w:r>
    </w:p>
    <w:p w14:paraId="3DDDAD26">
      <w:pPr>
        <w:spacing w:line="360" w:lineRule="auto"/>
        <w:ind w:right="-214" w:rightChars="-67"/>
        <w:rPr>
          <w:rFonts w:hAnsi="宋体"/>
          <w:b/>
          <w:sz w:val="24"/>
          <w:szCs w:val="24"/>
        </w:rPr>
      </w:pPr>
      <w:r>
        <w:rPr>
          <w:rFonts w:hint="eastAsia" w:hAnsi="宋体"/>
          <w:b/>
          <w:spacing w:val="20"/>
          <w:sz w:val="24"/>
          <w:szCs w:val="24"/>
          <w:lang w:val="en-US" w:eastAsia="zh-CN"/>
        </w:rPr>
        <w:t>福建福海创石油化工有限公司</w:t>
      </w:r>
      <w:r>
        <w:rPr>
          <w:rFonts w:hint="eastAsia" w:hAnsi="宋体"/>
          <w:b/>
          <w:spacing w:val="20"/>
          <w:sz w:val="24"/>
          <w:szCs w:val="24"/>
        </w:rPr>
        <w:t xml:space="preserve">        </w:t>
      </w:r>
      <w:r>
        <w:rPr>
          <w:rFonts w:hint="eastAsia" w:hAnsi="宋体"/>
          <w:b/>
          <w:spacing w:val="20"/>
          <w:sz w:val="24"/>
          <w:szCs w:val="24"/>
          <w:lang w:val="en-US" w:eastAsia="zh-CN"/>
        </w:rPr>
        <w:t xml:space="preserve"> </w:t>
      </w:r>
      <w:r>
        <w:rPr>
          <w:rFonts w:hint="eastAsia" w:hAnsi="宋体"/>
          <w:b/>
          <w:spacing w:val="20"/>
          <w:sz w:val="24"/>
          <w:szCs w:val="24"/>
        </w:rPr>
        <w:t xml:space="preserve"> 腾龙芳烃（漳州）有限公司</w:t>
      </w:r>
    </w:p>
    <w:p w14:paraId="6D896A42">
      <w:pPr>
        <w:spacing w:line="360" w:lineRule="auto"/>
        <w:ind w:right="-214" w:rightChars="-67" w:firstLine="562"/>
        <w:rPr>
          <w:rFonts w:hAnsi="宋体"/>
          <w:b/>
          <w:spacing w:val="20"/>
          <w:sz w:val="24"/>
          <w:szCs w:val="24"/>
        </w:rPr>
      </w:pPr>
    </w:p>
    <w:p w14:paraId="60395FDF">
      <w:pPr>
        <w:spacing w:line="360" w:lineRule="auto"/>
        <w:ind w:right="-214" w:rightChars="-67" w:firstLine="562"/>
        <w:rPr>
          <w:rFonts w:hAnsi="宋体"/>
          <w:b/>
          <w:spacing w:val="20"/>
          <w:sz w:val="24"/>
          <w:szCs w:val="24"/>
        </w:rPr>
      </w:pPr>
    </w:p>
    <w:p w14:paraId="2339112B">
      <w:pPr>
        <w:spacing w:line="360" w:lineRule="auto"/>
        <w:ind w:right="-214" w:rightChars="-67" w:firstLine="562"/>
        <w:rPr>
          <w:rFonts w:hAnsi="宋体"/>
          <w:b/>
          <w:spacing w:val="20"/>
          <w:sz w:val="24"/>
          <w:szCs w:val="24"/>
        </w:rPr>
      </w:pPr>
    </w:p>
    <w:p w14:paraId="57E9F094">
      <w:pPr>
        <w:spacing w:line="360" w:lineRule="auto"/>
        <w:ind w:right="-214" w:rightChars="-67"/>
        <w:rPr>
          <w:rFonts w:hAnsi="宋体"/>
          <w:b/>
          <w:sz w:val="24"/>
          <w:szCs w:val="24"/>
        </w:rPr>
      </w:pPr>
      <w:r>
        <w:rPr>
          <w:rFonts w:hint="eastAsia" w:hAnsi="宋体"/>
          <w:b/>
          <w:spacing w:val="20"/>
          <w:sz w:val="24"/>
          <w:szCs w:val="24"/>
        </w:rPr>
        <w:t>翔鹭码头投资管理（漳州）有限公司</w:t>
      </w:r>
      <w:r>
        <w:rPr>
          <w:rFonts w:hint="eastAsia" w:hAnsi="宋体"/>
          <w:b/>
          <w:spacing w:val="20"/>
          <w:sz w:val="24"/>
          <w:szCs w:val="24"/>
          <w:lang w:val="en-US" w:eastAsia="zh-CN"/>
        </w:rPr>
        <w:t xml:space="preserve">   </w:t>
      </w:r>
      <w:r>
        <w:rPr>
          <w:rFonts w:hint="eastAsia" w:hAnsi="宋体"/>
          <w:b/>
          <w:spacing w:val="20"/>
          <w:sz w:val="24"/>
          <w:szCs w:val="24"/>
        </w:rPr>
        <w:t xml:space="preserve">福建省福化古蕾化学有限公司     </w:t>
      </w:r>
    </w:p>
    <w:p w14:paraId="4EB7F8CC">
      <w:pPr>
        <w:spacing w:line="360" w:lineRule="auto"/>
        <w:ind w:right="-214" w:rightChars="-67" w:firstLine="480"/>
        <w:rPr>
          <w:rFonts w:hAnsi="宋体"/>
          <w:sz w:val="24"/>
          <w:szCs w:val="24"/>
        </w:rPr>
      </w:pPr>
    </w:p>
    <w:p w14:paraId="2D1C6E22">
      <w:pPr>
        <w:spacing w:line="360" w:lineRule="auto"/>
        <w:ind w:right="-214" w:rightChars="-67" w:firstLine="480"/>
        <w:rPr>
          <w:rFonts w:hAnsi="宋体"/>
          <w:sz w:val="24"/>
          <w:szCs w:val="24"/>
        </w:rPr>
      </w:pPr>
    </w:p>
    <w:p w14:paraId="4CA3037E">
      <w:pPr>
        <w:spacing w:line="360" w:lineRule="auto"/>
        <w:ind w:right="-214" w:rightChars="-67" w:firstLine="480"/>
        <w:rPr>
          <w:rFonts w:hAnsi="宋体"/>
          <w:b/>
          <w:sz w:val="24"/>
          <w:szCs w:val="24"/>
        </w:rPr>
      </w:pPr>
      <w:r>
        <w:rPr>
          <w:rFonts w:hint="eastAsia" w:hAnsi="宋体"/>
          <w:sz w:val="24"/>
          <w:szCs w:val="24"/>
        </w:rPr>
        <w:t xml:space="preserve">                       </w:t>
      </w:r>
    </w:p>
    <w:p w14:paraId="695ABCD8">
      <w:pPr>
        <w:spacing w:line="360" w:lineRule="auto"/>
        <w:ind w:right="-214" w:rightChars="-67"/>
        <w:rPr>
          <w:rFonts w:hAnsi="宋体" w:cs="Arial"/>
          <w:b/>
          <w:sz w:val="24"/>
          <w:szCs w:val="24"/>
        </w:rPr>
      </w:pPr>
      <w:r>
        <w:rPr>
          <w:rFonts w:hint="eastAsia" w:hAnsi="宋体" w:cs="Arial"/>
          <w:b/>
          <w:sz w:val="24"/>
          <w:szCs w:val="24"/>
        </w:rPr>
        <w:t>乙方</w:t>
      </w:r>
      <w:r>
        <w:rPr>
          <w:rFonts w:hAnsi="宋体" w:cs="Arial"/>
          <w:b/>
          <w:sz w:val="24"/>
          <w:szCs w:val="24"/>
        </w:rPr>
        <w:t>：</w:t>
      </w:r>
    </w:p>
    <w:p w14:paraId="789CC693">
      <w:pPr>
        <w:rPr>
          <w:rFonts w:hAnsi="宋体" w:cs="Arial"/>
          <w:b/>
          <w:sz w:val="24"/>
          <w:szCs w:val="24"/>
        </w:rPr>
      </w:pPr>
      <w:r>
        <w:rPr>
          <w:rFonts w:hAnsi="宋体" w:cs="Arial"/>
          <w:b/>
          <w:sz w:val="24"/>
          <w:szCs w:val="24"/>
        </w:rPr>
        <w:br w:type="page"/>
      </w:r>
    </w:p>
    <w:p w14:paraId="027C560C">
      <w:pPr>
        <w:spacing w:line="460" w:lineRule="exact"/>
        <w:rPr>
          <w:rFonts w:hint="eastAsia" w:hAnsi="宋体"/>
          <w:b/>
          <w:color w:val="000000"/>
          <w:sz w:val="24"/>
          <w:szCs w:val="24"/>
        </w:rPr>
      </w:pPr>
      <w:r>
        <w:rPr>
          <w:rFonts w:hint="eastAsia" w:hAnsi="宋体"/>
          <w:b/>
          <w:color w:val="000000"/>
          <w:sz w:val="24"/>
          <w:szCs w:val="24"/>
        </w:rPr>
        <w:t>附件2：</w:t>
      </w:r>
    </w:p>
    <w:p w14:paraId="59341F5B">
      <w:pPr>
        <w:keepNext w:val="0"/>
        <w:keepLines w:val="0"/>
        <w:pageBreakBefore w:val="0"/>
        <w:widowControl w:val="0"/>
        <w:kinsoku/>
        <w:wordWrap/>
        <w:overflowPunct/>
        <w:topLinePunct w:val="0"/>
        <w:autoSpaceDE/>
        <w:autoSpaceDN/>
        <w:bidi w:val="0"/>
        <w:adjustRightInd w:val="0"/>
        <w:snapToGrid/>
        <w:spacing w:after="157" w:afterLines="50"/>
        <w:jc w:val="center"/>
        <w:textAlignment w:val="baseline"/>
        <w:rPr>
          <w:sz w:val="36"/>
          <w:szCs w:val="36"/>
        </w:rPr>
      </w:pPr>
      <w:r>
        <w:rPr>
          <w:rFonts w:hint="eastAsia"/>
          <w:b/>
          <w:sz w:val="44"/>
          <w:szCs w:val="44"/>
        </w:rPr>
        <w:t>202</w:t>
      </w:r>
      <w:r>
        <w:rPr>
          <w:b/>
          <w:sz w:val="44"/>
          <w:szCs w:val="44"/>
        </w:rPr>
        <w:t>6</w:t>
      </w:r>
      <w:r>
        <w:rPr>
          <w:rFonts w:hint="eastAsia"/>
          <w:b/>
          <w:sz w:val="44"/>
          <w:szCs w:val="44"/>
        </w:rPr>
        <w:t>年-</w:t>
      </w:r>
      <w:r>
        <w:rPr>
          <w:b/>
          <w:sz w:val="44"/>
          <w:szCs w:val="44"/>
        </w:rPr>
        <w:t>2028</w:t>
      </w:r>
      <w:r>
        <w:rPr>
          <w:rFonts w:hint="eastAsia"/>
          <w:b/>
          <w:sz w:val="44"/>
          <w:szCs w:val="44"/>
        </w:rPr>
        <w:t>年强检仪表年约发包要求</w:t>
      </w:r>
    </w:p>
    <w:p w14:paraId="7CB7014E">
      <w:pPr>
        <w:numPr>
          <w:ilvl w:val="0"/>
          <w:numId w:val="3"/>
        </w:numPr>
        <w:spacing w:line="240" w:lineRule="auto"/>
        <w:rPr>
          <w:rFonts w:ascii="宋体" w:hAnsi="宋体" w:eastAsia="宋体" w:cs="宋体"/>
          <w:b/>
          <w:sz w:val="28"/>
          <w:szCs w:val="28"/>
        </w:rPr>
      </w:pPr>
      <w:bookmarkStart w:id="0" w:name="_GoBack"/>
      <w:bookmarkEnd w:id="0"/>
      <w:r>
        <w:rPr>
          <w:rFonts w:hint="eastAsia" w:ascii="宋体" w:hAnsi="宋体" w:eastAsia="宋体" w:cs="宋体"/>
          <w:b/>
          <w:sz w:val="28"/>
          <w:szCs w:val="28"/>
        </w:rPr>
        <w:t>投标条件</w:t>
      </w:r>
    </w:p>
    <w:p w14:paraId="087EE2D9">
      <w:pPr>
        <w:pStyle w:val="33"/>
        <w:numPr>
          <w:ilvl w:val="0"/>
          <w:numId w:val="4"/>
        </w:numPr>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投标人必须具备独立法人资格、具备有效的企业法人营业执照；</w:t>
      </w:r>
    </w:p>
    <w:p w14:paraId="775D0A42">
      <w:pPr>
        <w:pStyle w:val="33"/>
        <w:numPr>
          <w:ilvl w:val="0"/>
          <w:numId w:val="4"/>
        </w:numPr>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投标人必须获有中国合格评定国家认可委员会实验室认可资质；</w:t>
      </w:r>
    </w:p>
    <w:p w14:paraId="12DDE57F">
      <w:pPr>
        <w:pStyle w:val="33"/>
        <w:numPr>
          <w:ilvl w:val="0"/>
          <w:numId w:val="4"/>
        </w:numPr>
        <w:snapToGrid w:val="0"/>
        <w:spacing w:line="360" w:lineRule="auto"/>
        <w:ind w:firstLineChars="0"/>
        <w:jc w:val="left"/>
        <w:rPr>
          <w:rFonts w:ascii="宋体" w:hAnsi="宋体" w:eastAsia="宋体" w:cs="宋体"/>
          <w:sz w:val="28"/>
          <w:szCs w:val="28"/>
        </w:rPr>
      </w:pPr>
      <w:r>
        <w:rPr>
          <w:rFonts w:hint="eastAsia" w:ascii="宋体" w:hAnsi="宋体" w:eastAsia="宋体" w:cs="宋体"/>
          <w:sz w:val="28"/>
          <w:szCs w:val="28"/>
        </w:rPr>
        <w:t>投标人具有国家（或省级）市场监督管理部门考核颁发的《计量授权证书》或相关资质证书，检定证书和检定结果通知书的内容应满足JJF1069及相应规程（规范）的要求，检定证书、检定结果通知书应按《计量检定印章管理办法》的要求出具，强检计量器具检定证书应加盖“强检章”。</w:t>
      </w:r>
    </w:p>
    <w:p w14:paraId="09A9CE3A">
      <w:pPr>
        <w:pStyle w:val="33"/>
        <w:numPr>
          <w:ilvl w:val="0"/>
          <w:numId w:val="4"/>
        </w:numPr>
        <w:snapToGrid w:val="0"/>
        <w:spacing w:line="360" w:lineRule="auto"/>
        <w:ind w:firstLineChars="0"/>
        <w:jc w:val="left"/>
        <w:rPr>
          <w:rFonts w:ascii="宋体" w:hAnsi="宋体" w:eastAsia="宋体" w:cs="宋体"/>
          <w:sz w:val="28"/>
          <w:szCs w:val="28"/>
        </w:rPr>
      </w:pPr>
      <w:r>
        <w:rPr>
          <w:rFonts w:hint="eastAsia" w:ascii="宋体" w:hAnsi="宋体" w:eastAsia="宋体" w:cs="宋体"/>
          <w:sz w:val="28"/>
          <w:szCs w:val="28"/>
        </w:rPr>
        <w:t>要求检定机构为法定计量检定机构，《计量授权证书》授权项目应包含可燃气、硫化氢、氢气、一氧化碳、氧气、氨气、数字指示秤、压力表等项目，实验室认可校准、测量范围应包含苯气体、挥发性有机物等项目。</w:t>
      </w:r>
    </w:p>
    <w:p w14:paraId="23E7671B">
      <w:pPr>
        <w:pStyle w:val="33"/>
        <w:numPr>
          <w:ilvl w:val="0"/>
          <w:numId w:val="4"/>
        </w:numPr>
        <w:snapToGrid w:val="0"/>
        <w:spacing w:line="360" w:lineRule="auto"/>
        <w:ind w:firstLineChars="0"/>
        <w:jc w:val="left"/>
        <w:rPr>
          <w:rFonts w:ascii="宋体" w:hAnsi="宋体" w:eastAsia="宋体" w:cs="宋体"/>
          <w:sz w:val="28"/>
          <w:szCs w:val="28"/>
        </w:rPr>
      </w:pPr>
      <w:r>
        <w:rPr>
          <w:rFonts w:hint="eastAsia" w:ascii="宋体" w:hAnsi="宋体" w:eastAsia="宋体" w:cs="宋体"/>
          <w:sz w:val="28"/>
          <w:szCs w:val="28"/>
        </w:rPr>
        <w:t>出具检定证书需要符合以下规范标准：</w:t>
      </w:r>
    </w:p>
    <w:p w14:paraId="798BB746">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苯气体检测报警仪校准规范        JJF1674-2017</w:t>
      </w:r>
    </w:p>
    <w:p w14:paraId="0A528821">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硫化氢气体检测报警仪检定规程   JJG695-2019</w:t>
      </w:r>
    </w:p>
    <w:p w14:paraId="505B8938">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可燃气气体检测报警仪检定规程    JJG693-2011</w:t>
      </w:r>
    </w:p>
    <w:p w14:paraId="24B1E122">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一氧化碳气体检测报警仪检定规程  JJG915-2008</w:t>
      </w:r>
    </w:p>
    <w:p w14:paraId="2E2894C2">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氨气气体检测报警仪检定规程     JJG1105-2015</w:t>
      </w:r>
    </w:p>
    <w:p w14:paraId="5892B0A3">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电化学氧测定仪检定规程          JJG 365-2008</w:t>
      </w:r>
    </w:p>
    <w:p w14:paraId="46E107A6">
      <w:pPr>
        <w:snapToGrid w:val="0"/>
        <w:spacing w:line="360" w:lineRule="auto"/>
        <w:ind w:left="480"/>
        <w:jc w:val="left"/>
        <w:rPr>
          <w:rFonts w:ascii="宋体" w:hAnsi="宋体" w:eastAsia="宋体" w:cs="宋体"/>
          <w:sz w:val="28"/>
          <w:szCs w:val="28"/>
        </w:rPr>
      </w:pPr>
      <w:r>
        <w:rPr>
          <w:rFonts w:hint="eastAsia" w:ascii="宋体" w:hAnsi="宋体" w:eastAsia="宋体" w:cs="宋体"/>
          <w:sz w:val="28"/>
          <w:szCs w:val="28"/>
        </w:rPr>
        <w:t>氯气检测报警仪校准规范          JJF 1433-2013</w:t>
      </w:r>
    </w:p>
    <w:p w14:paraId="19943003">
      <w:pPr>
        <w:snapToGrid w:val="0"/>
        <w:spacing w:line="360" w:lineRule="auto"/>
        <w:ind w:left="480"/>
        <w:jc w:val="left"/>
        <w:rPr>
          <w:rFonts w:hint="eastAsia" w:ascii="宋体" w:hAnsi="宋体" w:eastAsia="宋体" w:cs="宋体"/>
          <w:sz w:val="28"/>
          <w:szCs w:val="28"/>
        </w:rPr>
      </w:pPr>
      <w:r>
        <w:rPr>
          <w:rFonts w:hint="eastAsia" w:ascii="宋体" w:hAnsi="宋体" w:eastAsia="宋体" w:cs="宋体"/>
          <w:sz w:val="28"/>
          <w:szCs w:val="28"/>
        </w:rPr>
        <w:t>数字指示秤检定规范              JJG539-2016</w:t>
      </w:r>
    </w:p>
    <w:p w14:paraId="02500E0E">
      <w:pPr>
        <w:snapToGrid w:val="0"/>
        <w:spacing w:line="360" w:lineRule="auto"/>
        <w:ind w:left="480"/>
        <w:jc w:val="left"/>
        <w:rPr>
          <w:rFonts w:hint="default" w:ascii="宋体" w:hAnsi="宋体" w:eastAsia="宋体" w:cs="宋体"/>
          <w:sz w:val="28"/>
          <w:szCs w:val="28"/>
          <w:lang w:val="en-US" w:eastAsia="zh-CN"/>
        </w:rPr>
      </w:pPr>
      <w:r>
        <w:rPr>
          <w:rFonts w:hint="eastAsia" w:ascii="宋体" w:hAnsi="宋体" w:eastAsia="宋体" w:cs="宋体"/>
          <w:sz w:val="28"/>
          <w:szCs w:val="28"/>
        </w:rPr>
        <w:t>压力变送器检定规程</w:t>
      </w:r>
      <w:r>
        <w:rPr>
          <w:rFonts w:hint="eastAsia" w:ascii="宋体" w:hAnsi="宋体" w:eastAsia="宋体" w:cs="宋体"/>
          <w:sz w:val="28"/>
          <w:szCs w:val="28"/>
          <w:lang w:val="en-US" w:eastAsia="zh-CN"/>
        </w:rPr>
        <w:t xml:space="preserve">              JJG882—2019</w:t>
      </w:r>
    </w:p>
    <w:p w14:paraId="33C4CD26">
      <w:pPr>
        <w:snapToGrid w:val="0"/>
        <w:spacing w:line="360" w:lineRule="auto"/>
        <w:ind w:firstLine="420" w:firstLineChars="150"/>
        <w:jc w:val="left"/>
        <w:rPr>
          <w:rFonts w:cs="宋体" w:asciiTheme="minorEastAsia" w:hAnsiTheme="minorEastAsia"/>
          <w:sz w:val="28"/>
          <w:szCs w:val="28"/>
        </w:rPr>
      </w:pPr>
      <w:r>
        <w:rPr>
          <w:rFonts w:cs="Arial" w:asciiTheme="minorEastAsia" w:hAnsiTheme="minorEastAsia"/>
          <w:bCs/>
          <w:sz w:val="28"/>
          <w:szCs w:val="28"/>
          <w:shd w:val="clear" w:color="auto" w:fill="FFFFFF"/>
        </w:rPr>
        <w:t>弹性元件式一般压力表、压力真空表和真空表检定规程</w:t>
      </w:r>
      <w:r>
        <w:rPr>
          <w:rFonts w:hint="eastAsia" w:cs="Arial" w:asciiTheme="minorEastAsia" w:hAnsiTheme="minorEastAsia"/>
          <w:bCs/>
          <w:sz w:val="28"/>
          <w:szCs w:val="28"/>
          <w:shd w:val="clear" w:color="auto" w:fill="FFFFFF"/>
        </w:rPr>
        <w:t xml:space="preserve"> JJG52-2013</w:t>
      </w:r>
    </w:p>
    <w:p w14:paraId="42733200">
      <w:pPr>
        <w:snapToGrid w:val="0"/>
        <w:spacing w:line="360" w:lineRule="auto"/>
        <w:rPr>
          <w:rFonts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sz w:val="28"/>
          <w:szCs w:val="28"/>
        </w:rPr>
        <w:t>检定及服务要求</w:t>
      </w:r>
    </w:p>
    <w:p w14:paraId="695D4BE4">
      <w:pPr>
        <w:ind w:left="0" w:leftChars="0" w:firstLine="319" w:firstLineChars="114"/>
        <w:rPr>
          <w:sz w:val="28"/>
          <w:szCs w:val="28"/>
        </w:rPr>
      </w:pPr>
      <w:r>
        <w:rPr>
          <w:rFonts w:hint="eastAsia"/>
          <w:sz w:val="28"/>
          <w:szCs w:val="28"/>
        </w:rPr>
        <w:t>1、报警仪检定要求：</w:t>
      </w:r>
    </w:p>
    <w:p w14:paraId="775DE673">
      <w:pPr>
        <w:ind w:left="0" w:leftChars="0" w:firstLine="319" w:firstLineChars="114"/>
        <w:rPr>
          <w:sz w:val="28"/>
          <w:szCs w:val="28"/>
        </w:rPr>
      </w:pPr>
      <w:r>
        <w:rPr>
          <w:rFonts w:hint="eastAsia"/>
          <w:sz w:val="28"/>
          <w:szCs w:val="28"/>
        </w:rPr>
        <w:t>可燃、有毒气体报警仪检定工作在福海创公司现场进行，报警仪设备每年检定不应少于1次，检定方负责自带相应标气及检定配套设备，苯气体报警仪和氯气报警仪出具校准报告，其余均出检定报告。</w:t>
      </w:r>
    </w:p>
    <w:p w14:paraId="36361670">
      <w:pPr>
        <w:ind w:left="0" w:leftChars="0" w:firstLine="319" w:firstLineChars="114"/>
        <w:rPr>
          <w:sz w:val="28"/>
          <w:szCs w:val="28"/>
        </w:rPr>
      </w:pPr>
      <w:r>
        <w:rPr>
          <w:rFonts w:hint="eastAsia"/>
          <w:sz w:val="28"/>
          <w:szCs w:val="28"/>
        </w:rPr>
        <w:t>2、汽车衡检定：</w:t>
      </w:r>
    </w:p>
    <w:p w14:paraId="01B55AA0">
      <w:pPr>
        <w:tabs>
          <w:tab w:val="left" w:pos="1280"/>
        </w:tabs>
        <w:ind w:left="0" w:leftChars="0" w:firstLine="319" w:firstLineChars="114"/>
        <w:rPr>
          <w:sz w:val="28"/>
          <w:szCs w:val="28"/>
        </w:rPr>
      </w:pPr>
      <w:r>
        <w:rPr>
          <w:rFonts w:hint="eastAsia"/>
          <w:sz w:val="28"/>
          <w:szCs w:val="28"/>
        </w:rPr>
        <w:t>汽车衡检定在公司现场进行，需检定单位自带检定砝码，出具检定报告。</w:t>
      </w:r>
    </w:p>
    <w:p w14:paraId="37ABAC2C">
      <w:pPr>
        <w:ind w:left="0" w:leftChars="0" w:firstLine="319" w:firstLineChars="114"/>
        <w:rPr>
          <w:sz w:val="28"/>
          <w:szCs w:val="28"/>
        </w:rPr>
      </w:pPr>
      <w:r>
        <w:rPr>
          <w:rFonts w:hint="eastAsia"/>
          <w:sz w:val="28"/>
          <w:szCs w:val="28"/>
        </w:rPr>
        <w:t>3、所有仪表检定过程中如有指示误差或零点漂移等现象，检定单位要负责对其进行参数修正、调整，确实无法修正要及时通知业主。</w:t>
      </w:r>
    </w:p>
    <w:p w14:paraId="7F61FBE9">
      <w:pPr>
        <w:ind w:left="0" w:leftChars="0" w:firstLine="319" w:firstLineChars="114"/>
        <w:rPr>
          <w:sz w:val="28"/>
          <w:szCs w:val="28"/>
        </w:rPr>
      </w:pPr>
      <w:r>
        <w:rPr>
          <w:rFonts w:hint="eastAsia"/>
          <w:sz w:val="28"/>
          <w:szCs w:val="28"/>
        </w:rPr>
        <w:t>4、对所承包的设备需要在距有效期前30天内完成检定及校准，并于10天内出具校准证明或检定报告。</w:t>
      </w:r>
    </w:p>
    <w:p w14:paraId="32AD3FF1">
      <w:pPr>
        <w:ind w:left="0" w:leftChars="0" w:firstLine="319" w:firstLineChars="114"/>
        <w:rPr>
          <w:rFonts w:hint="eastAsia"/>
          <w:sz w:val="28"/>
          <w:szCs w:val="28"/>
        </w:rPr>
      </w:pPr>
      <w:r>
        <w:rPr>
          <w:rFonts w:hint="eastAsia"/>
          <w:sz w:val="28"/>
          <w:szCs w:val="28"/>
        </w:rPr>
        <w:t>5、压力表、便携式报警器等送检项目由承包商上门交接。（特殊情况由双方协商解决）。</w:t>
      </w:r>
    </w:p>
    <w:p w14:paraId="432ACD04">
      <w:pPr>
        <w:ind w:left="0" w:leftChars="0" w:firstLine="319" w:firstLineChars="114"/>
        <w:rPr>
          <w:rFonts w:hint="eastAsia"/>
          <w:sz w:val="28"/>
          <w:szCs w:val="28"/>
          <w:lang w:val="en-US" w:eastAsia="zh-CN"/>
        </w:rPr>
      </w:pPr>
      <w:r>
        <w:rPr>
          <w:rFonts w:hint="eastAsia"/>
          <w:sz w:val="28"/>
          <w:szCs w:val="28"/>
          <w:lang w:val="en-US" w:eastAsia="zh-CN"/>
        </w:rPr>
        <w:t>6、贸易级流量变送器：</w:t>
      </w:r>
    </w:p>
    <w:p w14:paraId="2553BADF">
      <w:pPr>
        <w:ind w:left="0" w:leftChars="0" w:firstLine="319" w:firstLineChars="114"/>
        <w:rPr>
          <w:rFonts w:hint="eastAsia" w:eastAsiaTheme="minorEastAsia"/>
          <w:sz w:val="28"/>
          <w:szCs w:val="28"/>
          <w:lang w:val="en-US" w:eastAsia="zh-CN"/>
        </w:rPr>
      </w:pPr>
      <w:r>
        <w:rPr>
          <w:rFonts w:hint="eastAsia"/>
          <w:sz w:val="28"/>
          <w:szCs w:val="28"/>
        </w:rPr>
        <w:t>承包方需要将检定设备送至具有省级检定资质的检定机构进行检定/校准，并具有相应的化工企业计量仪表检定以及大口径流量计检定业绩</w:t>
      </w:r>
      <w:r>
        <w:rPr>
          <w:rFonts w:hint="eastAsia"/>
          <w:sz w:val="28"/>
          <w:szCs w:val="28"/>
          <w:lang w:eastAsia="zh-CN"/>
        </w:rPr>
        <w:t>。</w:t>
      </w:r>
    </w:p>
    <w:p w14:paraId="6F47B0C5">
      <w:pPr>
        <w:pStyle w:val="33"/>
        <w:numPr>
          <w:ilvl w:val="0"/>
          <w:numId w:val="5"/>
        </w:numPr>
        <w:ind w:firstLineChars="0"/>
        <w:rPr>
          <w:rFonts w:ascii="宋体" w:hAnsi="宋体" w:cs="宋体"/>
          <w:color w:val="000000"/>
          <w:kern w:val="0"/>
          <w:sz w:val="28"/>
          <w:szCs w:val="28"/>
        </w:rPr>
      </w:pPr>
      <w:r>
        <w:rPr>
          <w:rFonts w:hint="eastAsia"/>
          <w:b/>
          <w:sz w:val="28"/>
          <w:szCs w:val="28"/>
        </w:rPr>
        <w:t>入厂工作人员要求：</w:t>
      </w:r>
    </w:p>
    <w:p w14:paraId="4BA40855">
      <w:pPr>
        <w:ind w:left="16" w:leftChars="5" w:firstLine="618" w:firstLineChars="221"/>
        <w:rPr>
          <w:rFonts w:hint="eastAsia"/>
          <w:sz w:val="28"/>
          <w:szCs w:val="28"/>
        </w:rPr>
      </w:pPr>
      <w:r>
        <w:rPr>
          <w:rFonts w:hint="eastAsia"/>
          <w:sz w:val="28"/>
          <w:szCs w:val="28"/>
        </w:rPr>
        <w:t>1、服务方到现场服务需要在指定时间内必须到场(含节假日)，服务方人员应全程协助检定，直至设备送回，在检定、校准期间的保险、安全防护等措施和责任全部由服务方承担，应避免运输过程损坏检测设备，并使用木箱包装用包装带或包装绳紧固、防震动、防碰撞，乙方负责包装运输所需的材料。</w:t>
      </w:r>
    </w:p>
    <w:p w14:paraId="6EE08742">
      <w:pPr>
        <w:ind w:left="16" w:leftChars="5" w:firstLine="618" w:firstLineChars="221"/>
        <w:rPr>
          <w:rFonts w:hint="eastAsia"/>
          <w:sz w:val="28"/>
          <w:szCs w:val="28"/>
        </w:rPr>
      </w:pPr>
      <w:r>
        <w:rPr>
          <w:rFonts w:hint="eastAsia"/>
          <w:sz w:val="28"/>
          <w:szCs w:val="28"/>
        </w:rPr>
        <w:t>2、 现场检测人员需遵守我司进出厂、现场作业等安全管理规定，自行准备安全帽、安全鞋等安全防护用品。检测人员食宿自理。</w:t>
      </w:r>
    </w:p>
    <w:p w14:paraId="43F8BF67">
      <w:pPr>
        <w:ind w:left="16" w:leftChars="5" w:firstLine="618" w:firstLineChars="221"/>
        <w:rPr>
          <w:rFonts w:hint="eastAsia"/>
          <w:sz w:val="28"/>
          <w:szCs w:val="28"/>
        </w:rPr>
      </w:pPr>
      <w:r>
        <w:rPr>
          <w:rFonts w:hint="eastAsia"/>
          <w:sz w:val="28"/>
          <w:szCs w:val="28"/>
        </w:rPr>
        <w:t>3、现场检测时承包商人员应服从业主的统一调度，具备良好的协作沟通能力，进行充分的人力安排，以不影响公司正常生产为准则，合理安排工程进度，确保在规定的时间内完成检测作业，承包商事故处理：见附件《承包商安全管理规定》。</w:t>
      </w:r>
    </w:p>
    <w:p w14:paraId="3184D707">
      <w:pPr>
        <w:pStyle w:val="33"/>
        <w:numPr>
          <w:ilvl w:val="0"/>
          <w:numId w:val="5"/>
        </w:numPr>
        <w:ind w:firstLineChars="0"/>
        <w:rPr>
          <w:b/>
          <w:sz w:val="28"/>
          <w:szCs w:val="28"/>
        </w:rPr>
      </w:pPr>
      <w:r>
        <w:rPr>
          <w:rFonts w:hint="eastAsia"/>
          <w:b/>
          <w:sz w:val="28"/>
          <w:szCs w:val="28"/>
        </w:rPr>
        <w:t>报价、结算形式及时间安排</w:t>
      </w:r>
    </w:p>
    <w:p w14:paraId="1C296356">
      <w:pPr>
        <w:pStyle w:val="33"/>
        <w:numPr>
          <w:ilvl w:val="0"/>
          <w:numId w:val="6"/>
        </w:numPr>
        <w:ind w:left="0" w:leftChars="0" w:firstLine="640" w:firstLineChars="0"/>
        <w:rPr>
          <w:sz w:val="28"/>
          <w:szCs w:val="28"/>
        </w:rPr>
      </w:pPr>
      <w:r>
        <w:rPr>
          <w:rFonts w:hint="eastAsia"/>
          <w:sz w:val="28"/>
          <w:szCs w:val="28"/>
        </w:rPr>
        <w:t>本次发包期为2年，并出具国家及省级计量检定机构所认可的检定证书。</w:t>
      </w:r>
    </w:p>
    <w:p w14:paraId="7B3500A6">
      <w:pPr>
        <w:pStyle w:val="33"/>
        <w:numPr>
          <w:ilvl w:val="0"/>
          <w:numId w:val="6"/>
        </w:numPr>
        <w:ind w:left="0" w:leftChars="0" w:firstLine="640" w:firstLineChars="0"/>
        <w:rPr>
          <w:sz w:val="28"/>
          <w:szCs w:val="28"/>
        </w:rPr>
      </w:pPr>
      <w:r>
        <w:rPr>
          <w:rFonts w:hint="eastAsia"/>
          <w:sz w:val="28"/>
          <w:szCs w:val="28"/>
        </w:rPr>
        <w:t>台账内所有仪表为发包时仪表数量，如因公司管理及国家规定等增加设备，以实际发生量进行结算，建议按种类或规格等实际情况进行单台报价，报价应依照福建省物价局收费标准文件《闽价费【2016】25号》执行或不应高于前期合同报价，如产生额外费用需要提交相应收费说明，最终发生费用以实际检定合格数量为准。</w:t>
      </w:r>
    </w:p>
    <w:p w14:paraId="1BAB433B">
      <w:pPr>
        <w:pStyle w:val="33"/>
        <w:numPr>
          <w:ilvl w:val="0"/>
          <w:numId w:val="6"/>
        </w:numPr>
        <w:ind w:left="0" w:leftChars="0" w:firstLine="640" w:firstLineChars="0"/>
        <w:rPr>
          <w:sz w:val="28"/>
          <w:szCs w:val="28"/>
        </w:rPr>
      </w:pPr>
      <w:r>
        <w:rPr>
          <w:rFonts w:hint="eastAsia"/>
          <w:sz w:val="28"/>
          <w:szCs w:val="28"/>
        </w:rPr>
        <w:t>本次发包按现有检定设备及数量，两年检定费用</w:t>
      </w:r>
      <w:r>
        <w:rPr>
          <w:rFonts w:hint="eastAsia"/>
          <w:sz w:val="28"/>
          <w:szCs w:val="28"/>
          <w:lang w:val="en-US" w:eastAsia="zh-CN"/>
        </w:rPr>
        <w:t>暂定</w:t>
      </w:r>
      <w:r>
        <w:rPr>
          <w:rFonts w:hint="eastAsia"/>
          <w:sz w:val="28"/>
          <w:szCs w:val="28"/>
        </w:rPr>
        <w:t>为</w:t>
      </w:r>
      <w:r>
        <w:rPr>
          <w:sz w:val="28"/>
          <w:szCs w:val="28"/>
        </w:rPr>
        <w:t>14</w:t>
      </w:r>
      <w:r>
        <w:rPr>
          <w:rFonts w:hint="eastAsia"/>
          <w:sz w:val="28"/>
          <w:szCs w:val="28"/>
          <w:lang w:val="en-US" w:eastAsia="zh-CN"/>
        </w:rPr>
        <w:t>7</w:t>
      </w:r>
      <w:r>
        <w:rPr>
          <w:sz w:val="28"/>
          <w:szCs w:val="28"/>
        </w:rPr>
        <w:t>6600</w:t>
      </w:r>
      <w:r>
        <w:rPr>
          <w:rFonts w:hint="eastAsia"/>
          <w:sz w:val="28"/>
          <w:szCs w:val="28"/>
        </w:rPr>
        <w:t>元，合同在执行期间如发生检定设备数量、种类等出现增加或有变动，将以增补协议方式具实结算，执行价格同于合同报价。</w:t>
      </w:r>
    </w:p>
    <w:p w14:paraId="31C2DF17">
      <w:pPr>
        <w:pStyle w:val="33"/>
        <w:numPr>
          <w:ilvl w:val="0"/>
          <w:numId w:val="6"/>
        </w:numPr>
        <w:ind w:left="0" w:leftChars="0" w:firstLine="640" w:firstLineChars="0"/>
        <w:rPr>
          <w:rFonts w:hint="eastAsia" w:asciiTheme="minorEastAsia" w:hAnsiTheme="minorEastAsia" w:eastAsiaTheme="minorEastAsia" w:cstheme="minorEastAsia"/>
        </w:rPr>
      </w:pPr>
      <w:r>
        <w:rPr>
          <w:rFonts w:hint="eastAsia"/>
          <w:sz w:val="28"/>
          <w:szCs w:val="28"/>
        </w:rPr>
        <w:t>具体检定时间依据台账上的有效期限或由业主通知为准,如遇国家及公司检查要求增加检定批次，需要无条件配合。</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5087191"/>
      <w:docPartObj>
        <w:docPartGallery w:val="autotext"/>
      </w:docPartObj>
    </w:sdtPr>
    <w:sdtContent>
      <w:p w14:paraId="66091486">
        <w:pPr>
          <w:pStyle w:val="12"/>
          <w:jc w:val="center"/>
        </w:pPr>
        <w:r>
          <w:fldChar w:fldCharType="begin"/>
        </w:r>
        <w:r>
          <w:instrText xml:space="preserve">PAGE   \* MERGEFORMAT</w:instrText>
        </w:r>
        <w:r>
          <w:fldChar w:fldCharType="separate"/>
        </w:r>
        <w:r>
          <w:rPr>
            <w:lang w:val="zh-CN"/>
          </w:rPr>
          <w:t>1</w:t>
        </w:r>
        <w:r>
          <w:fldChar w:fldCharType="end"/>
        </w:r>
      </w:p>
    </w:sdtContent>
  </w:sdt>
  <w:p w14:paraId="3BF07C7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0C1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613">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A5A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638C">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BE3E">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72F9B"/>
    <w:multiLevelType w:val="multilevel"/>
    <w:tmpl w:val="B8E72F9B"/>
    <w:lvl w:ilvl="0" w:tentative="0">
      <w:start w:val="1"/>
      <w:numFmt w:val="chineseCounting"/>
      <w:pStyle w:val="2"/>
      <w:suff w:val="nothing"/>
      <w:lvlText w:val="%1、"/>
      <w:lvlJc w:val="left"/>
      <w:pPr>
        <w:tabs>
          <w:tab w:val="left" w:pos="0"/>
        </w:tabs>
        <w:ind w:left="0" w:firstLine="635"/>
      </w:pPr>
      <w:rPr>
        <w:rFonts w:hint="eastAsia" w:ascii="Times New Roman" w:hAnsi="Times New Roman" w:eastAsia="黑体"/>
        <w:sz w:val="32"/>
        <w:szCs w:val="32"/>
      </w:rPr>
    </w:lvl>
    <w:lvl w:ilvl="1" w:tentative="0">
      <w:start w:val="1"/>
      <w:numFmt w:val="chineseCounting"/>
      <w:pStyle w:val="3"/>
      <w:suff w:val="nothing"/>
      <w:lvlText w:val="（%2）"/>
      <w:lvlJc w:val="left"/>
      <w:pPr>
        <w:tabs>
          <w:tab w:val="left" w:pos="0"/>
        </w:tabs>
        <w:ind w:left="0" w:firstLine="567"/>
      </w:pPr>
      <w:rPr>
        <w:rFonts w:hint="eastAsia" w:ascii="Times New Roman" w:hAnsi="Times New Roman" w:eastAsia="楷体_GB2312" w:cs="Times New Roman"/>
        <w:sz w:val="32"/>
        <w:szCs w:val="32"/>
      </w:rPr>
    </w:lvl>
    <w:lvl w:ilvl="2" w:tentative="0">
      <w:start w:val="1"/>
      <w:numFmt w:val="decimal"/>
      <w:pStyle w:val="4"/>
      <w:suff w:val="nothing"/>
      <w:lvlText w:val="%3."/>
      <w:lvlJc w:val="left"/>
      <w:pPr>
        <w:tabs>
          <w:tab w:val="left" w:pos="0"/>
        </w:tabs>
        <w:ind w:left="0" w:firstLine="635"/>
      </w:pPr>
      <w:rPr>
        <w:rFonts w:hint="eastAsia" w:ascii="Times New Roman" w:hAnsi="Times New Roman" w:eastAsia="仿宋_GB2312" w:cs="宋体"/>
        <w:sz w:val="32"/>
      </w:rPr>
    </w:lvl>
    <w:lvl w:ilvl="3" w:tentative="0">
      <w:start w:val="1"/>
      <w:numFmt w:val="decimal"/>
      <w:pStyle w:val="5"/>
      <w:suff w:val="nothing"/>
      <w:lvlText w:val="（%4）"/>
      <w:lvlJc w:val="left"/>
      <w:pPr>
        <w:tabs>
          <w:tab w:val="left" w:pos="0"/>
        </w:tabs>
        <w:ind w:left="0" w:firstLine="635"/>
      </w:pPr>
      <w:rPr>
        <w:rFonts w:hint="eastAsia" w:ascii="Times New Roman" w:hAnsi="Times New Roman" w:eastAsia="仿宋_GB2312" w:cs="宋体"/>
        <w:sz w:val="32"/>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2515D4B"/>
    <w:multiLevelType w:val="singleLevel"/>
    <w:tmpl w:val="D2515D4B"/>
    <w:lvl w:ilvl="0" w:tentative="0">
      <w:start w:val="1"/>
      <w:numFmt w:val="decimal"/>
      <w:lvlText w:val="%1、"/>
      <w:lvlJc w:val="left"/>
      <w:pPr>
        <w:ind w:left="420" w:hanging="420"/>
      </w:pPr>
      <w:rPr>
        <w:rFonts w:ascii="宋体" w:hAnsi="宋体" w:eastAsia="宋体" w:cs="宋体"/>
      </w:rPr>
    </w:lvl>
  </w:abstractNum>
  <w:abstractNum w:abstractNumId="2">
    <w:nsid w:val="0A7906F2"/>
    <w:multiLevelType w:val="multilevel"/>
    <w:tmpl w:val="0A7906F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E603979"/>
    <w:multiLevelType w:val="multilevel"/>
    <w:tmpl w:val="0E603979"/>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CF2772"/>
    <w:multiLevelType w:val="singleLevel"/>
    <w:tmpl w:val="40CF2772"/>
    <w:lvl w:ilvl="0" w:tentative="0">
      <w:start w:val="1"/>
      <w:numFmt w:val="chineseCounting"/>
      <w:suff w:val="nothing"/>
      <w:lvlText w:val="%1、"/>
      <w:lvlJc w:val="left"/>
      <w:rPr>
        <w:rFonts w:hint="eastAsia"/>
      </w:rPr>
    </w:lvl>
  </w:abstractNum>
  <w:abstractNum w:abstractNumId="5">
    <w:nsid w:val="45BF00A2"/>
    <w:multiLevelType w:val="multilevel"/>
    <w:tmpl w:val="45BF00A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3704"/>
    <w:rsid w:val="00036F92"/>
    <w:rsid w:val="00091D10"/>
    <w:rsid w:val="000F5D2A"/>
    <w:rsid w:val="001C296C"/>
    <w:rsid w:val="0028492B"/>
    <w:rsid w:val="002B6616"/>
    <w:rsid w:val="0036084B"/>
    <w:rsid w:val="00394A8E"/>
    <w:rsid w:val="00440B50"/>
    <w:rsid w:val="004F6F89"/>
    <w:rsid w:val="00556461"/>
    <w:rsid w:val="00573704"/>
    <w:rsid w:val="00740AD2"/>
    <w:rsid w:val="0084557E"/>
    <w:rsid w:val="00894709"/>
    <w:rsid w:val="008D4156"/>
    <w:rsid w:val="00981018"/>
    <w:rsid w:val="009B0562"/>
    <w:rsid w:val="009F2919"/>
    <w:rsid w:val="00A15B74"/>
    <w:rsid w:val="00A75EB1"/>
    <w:rsid w:val="00B6169A"/>
    <w:rsid w:val="00C35B30"/>
    <w:rsid w:val="00C36FE9"/>
    <w:rsid w:val="00E04EC5"/>
    <w:rsid w:val="00E5782E"/>
    <w:rsid w:val="00F67ED2"/>
    <w:rsid w:val="27E234BC"/>
    <w:rsid w:val="31135624"/>
    <w:rsid w:val="31FB7957"/>
    <w:rsid w:val="381E7E41"/>
    <w:rsid w:val="4B781497"/>
    <w:rsid w:val="540C3A4D"/>
    <w:rsid w:val="5A18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Times New Roman" w:eastAsia="宋体" w:cs="Times New Roman"/>
      <w:kern w:val="0"/>
      <w:position w:val="-6"/>
      <w:sz w:val="32"/>
      <w:szCs w:val="20"/>
      <w:lang w:val="en-US" w:eastAsia="zh-CN" w:bidi="ar-SA"/>
    </w:rPr>
  </w:style>
  <w:style w:type="paragraph" w:styleId="2">
    <w:name w:val="heading 1"/>
    <w:basedOn w:val="1"/>
    <w:next w:val="1"/>
    <w:link w:val="19"/>
    <w:qFormat/>
    <w:uiPriority w:val="0"/>
    <w:pPr>
      <w:numPr>
        <w:ilvl w:val="0"/>
        <w:numId w:val="1"/>
      </w:numPr>
      <w:ind w:firstLine="0"/>
      <w:outlineLvl w:val="0"/>
    </w:pPr>
    <w:rPr>
      <w:rFonts w:eastAsia="黑体"/>
      <w:kern w:val="44"/>
    </w:rPr>
  </w:style>
  <w:style w:type="paragraph" w:styleId="3">
    <w:name w:val="heading 2"/>
    <w:basedOn w:val="1"/>
    <w:next w:val="1"/>
    <w:link w:val="20"/>
    <w:qFormat/>
    <w:uiPriority w:val="0"/>
    <w:pPr>
      <w:numPr>
        <w:ilvl w:val="1"/>
        <w:numId w:val="1"/>
      </w:numPr>
      <w:ind w:firstLine="0"/>
      <w:outlineLvl w:val="1"/>
    </w:pPr>
    <w:rPr>
      <w:rFonts w:ascii="Arial" w:hAnsi="Arial" w:eastAsia="楷体"/>
    </w:rPr>
  </w:style>
  <w:style w:type="paragraph" w:styleId="4">
    <w:name w:val="heading 3"/>
    <w:basedOn w:val="1"/>
    <w:next w:val="1"/>
    <w:link w:val="21"/>
    <w:qFormat/>
    <w:uiPriority w:val="0"/>
    <w:pPr>
      <w:numPr>
        <w:ilvl w:val="2"/>
        <w:numId w:val="1"/>
      </w:numPr>
      <w:ind w:firstLine="0"/>
      <w:outlineLvl w:val="2"/>
    </w:pPr>
  </w:style>
  <w:style w:type="paragraph" w:styleId="5">
    <w:name w:val="heading 4"/>
    <w:basedOn w:val="1"/>
    <w:next w:val="1"/>
    <w:link w:val="22"/>
    <w:qFormat/>
    <w:uiPriority w:val="0"/>
    <w:pPr>
      <w:numPr>
        <w:ilvl w:val="3"/>
        <w:numId w:val="1"/>
      </w:numPr>
      <w:ind w:firstLine="0"/>
      <w:outlineLvl w:val="3"/>
    </w:pPr>
  </w:style>
  <w:style w:type="paragraph" w:styleId="6">
    <w:name w:val="heading 5"/>
    <w:basedOn w:val="1"/>
    <w:next w:val="1"/>
    <w:link w:val="23"/>
    <w:qFormat/>
    <w:uiPriority w:val="0"/>
    <w:pPr>
      <w:keepNext/>
      <w:keepLines/>
      <w:numPr>
        <w:ilvl w:val="4"/>
        <w:numId w:val="1"/>
      </w:numPr>
      <w:ind w:firstLine="0"/>
      <w:outlineLvl w:val="4"/>
    </w:pPr>
    <w:rPr>
      <w:b/>
      <w:sz w:val="28"/>
    </w:rPr>
  </w:style>
  <w:style w:type="paragraph" w:styleId="7">
    <w:name w:val="heading 6"/>
    <w:basedOn w:val="1"/>
    <w:next w:val="1"/>
    <w:link w:val="24"/>
    <w:qFormat/>
    <w:uiPriority w:val="0"/>
    <w:pPr>
      <w:keepNext/>
      <w:keepLines/>
      <w:numPr>
        <w:ilvl w:val="5"/>
        <w:numId w:val="1"/>
      </w:numPr>
      <w:spacing w:before="240" w:after="64" w:line="317" w:lineRule="auto"/>
      <w:ind w:firstLine="0"/>
      <w:outlineLvl w:val="5"/>
    </w:pPr>
    <w:rPr>
      <w:rFonts w:ascii="Arial" w:hAnsi="Arial" w:eastAsia="黑体"/>
      <w:b/>
      <w:sz w:val="24"/>
    </w:rPr>
  </w:style>
  <w:style w:type="paragraph" w:styleId="8">
    <w:name w:val="heading 7"/>
    <w:basedOn w:val="1"/>
    <w:next w:val="1"/>
    <w:link w:val="25"/>
    <w:qFormat/>
    <w:uiPriority w:val="0"/>
    <w:pPr>
      <w:keepNext/>
      <w:keepLines/>
      <w:numPr>
        <w:ilvl w:val="6"/>
        <w:numId w:val="1"/>
      </w:numPr>
      <w:spacing w:before="240" w:after="64" w:line="317" w:lineRule="auto"/>
      <w:ind w:firstLine="0"/>
      <w:outlineLvl w:val="6"/>
    </w:pPr>
    <w:rPr>
      <w:b/>
      <w:sz w:val="24"/>
    </w:rPr>
  </w:style>
  <w:style w:type="paragraph" w:styleId="9">
    <w:name w:val="heading 8"/>
    <w:basedOn w:val="1"/>
    <w:next w:val="1"/>
    <w:link w:val="26"/>
    <w:qFormat/>
    <w:uiPriority w:val="0"/>
    <w:pPr>
      <w:keepNext/>
      <w:keepLines/>
      <w:numPr>
        <w:ilvl w:val="7"/>
        <w:numId w:val="1"/>
      </w:numPr>
      <w:spacing w:before="240" w:after="64" w:line="317" w:lineRule="auto"/>
      <w:ind w:firstLine="0"/>
      <w:outlineLvl w:val="7"/>
    </w:pPr>
    <w:rPr>
      <w:rFonts w:ascii="Arial" w:hAnsi="Arial" w:eastAsia="黑体"/>
      <w:sz w:val="24"/>
    </w:rPr>
  </w:style>
  <w:style w:type="paragraph" w:styleId="10">
    <w:name w:val="heading 9"/>
    <w:basedOn w:val="1"/>
    <w:next w:val="1"/>
    <w:link w:val="27"/>
    <w:qFormat/>
    <w:uiPriority w:val="0"/>
    <w:pPr>
      <w:keepNext/>
      <w:keepLines/>
      <w:numPr>
        <w:ilvl w:val="8"/>
        <w:numId w:val="1"/>
      </w:numPr>
      <w:spacing w:before="240" w:after="64" w:line="317" w:lineRule="auto"/>
      <w:ind w:firstLine="0"/>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1"/>
    <w:qFormat/>
    <w:uiPriority w:val="0"/>
    <w:rPr>
      <w:rFonts w:hAnsi="Courier New"/>
      <w:kern w:val="2"/>
      <w:position w:val="0"/>
      <w:sz w:val="21"/>
    </w:rPr>
  </w:style>
  <w:style w:type="paragraph" w:styleId="12">
    <w:name w:val="footer"/>
    <w:basedOn w:val="1"/>
    <w:link w:val="29"/>
    <w:unhideWhenUsed/>
    <w:qFormat/>
    <w:uiPriority w:val="99"/>
    <w:pPr>
      <w:tabs>
        <w:tab w:val="center" w:pos="4153"/>
        <w:tab w:val="right" w:pos="8306"/>
      </w:tabs>
      <w:snapToGrid w:val="0"/>
      <w:jc w:val="left"/>
    </w:pPr>
    <w:rPr>
      <w:sz w:val="18"/>
    </w:rPr>
  </w:style>
  <w:style w:type="paragraph" w:styleId="13">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link w:val="18"/>
    <w:qFormat/>
    <w:uiPriority w:val="10"/>
    <w:pPr>
      <w:spacing w:line="600" w:lineRule="exact"/>
      <w:jc w:val="center"/>
      <w:outlineLvl w:val="0"/>
    </w:pPr>
    <w:rPr>
      <w:rFonts w:eastAsia="方正小标宋简体"/>
      <w:sz w:val="4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Char"/>
    <w:basedOn w:val="17"/>
    <w:link w:val="14"/>
    <w:qFormat/>
    <w:uiPriority w:val="10"/>
    <w:rPr>
      <w:rFonts w:ascii="Times New Roman" w:hAnsi="Times New Roman" w:eastAsia="方正小标宋简体" w:cs="Times New Roman"/>
      <w:sz w:val="44"/>
      <w:szCs w:val="20"/>
    </w:rPr>
  </w:style>
  <w:style w:type="character" w:customStyle="1" w:styleId="19">
    <w:name w:val="标题 1 Char"/>
    <w:basedOn w:val="17"/>
    <w:link w:val="2"/>
    <w:qFormat/>
    <w:uiPriority w:val="0"/>
    <w:rPr>
      <w:rFonts w:ascii="Times New Roman" w:hAnsi="Times New Roman" w:eastAsia="黑体" w:cs="Times New Roman"/>
      <w:kern w:val="44"/>
      <w:sz w:val="32"/>
      <w:szCs w:val="20"/>
    </w:rPr>
  </w:style>
  <w:style w:type="character" w:customStyle="1" w:styleId="20">
    <w:name w:val="标题 2 Char"/>
    <w:basedOn w:val="17"/>
    <w:link w:val="3"/>
    <w:qFormat/>
    <w:uiPriority w:val="0"/>
    <w:rPr>
      <w:rFonts w:ascii="Arial" w:hAnsi="Arial" w:eastAsia="楷体" w:cs="Times New Roman"/>
      <w:sz w:val="32"/>
      <w:szCs w:val="20"/>
    </w:rPr>
  </w:style>
  <w:style w:type="character" w:customStyle="1" w:styleId="21">
    <w:name w:val="标题 3 Char"/>
    <w:basedOn w:val="17"/>
    <w:link w:val="4"/>
    <w:qFormat/>
    <w:uiPriority w:val="0"/>
    <w:rPr>
      <w:rFonts w:ascii="Times New Roman" w:hAnsi="Times New Roman" w:eastAsia="仿宋_GB2312" w:cs="Times New Roman"/>
      <w:sz w:val="32"/>
      <w:szCs w:val="20"/>
    </w:rPr>
  </w:style>
  <w:style w:type="character" w:customStyle="1" w:styleId="22">
    <w:name w:val="标题 4 Char"/>
    <w:basedOn w:val="17"/>
    <w:link w:val="5"/>
    <w:qFormat/>
    <w:uiPriority w:val="0"/>
    <w:rPr>
      <w:rFonts w:ascii="Times New Roman" w:hAnsi="Times New Roman" w:eastAsia="仿宋_GB2312" w:cs="Times New Roman"/>
      <w:sz w:val="32"/>
      <w:szCs w:val="20"/>
    </w:rPr>
  </w:style>
  <w:style w:type="character" w:customStyle="1" w:styleId="23">
    <w:name w:val="标题 5 Char"/>
    <w:basedOn w:val="17"/>
    <w:link w:val="6"/>
    <w:qFormat/>
    <w:uiPriority w:val="0"/>
    <w:rPr>
      <w:rFonts w:ascii="Times New Roman" w:hAnsi="Times New Roman" w:eastAsia="仿宋_GB2312" w:cs="Times New Roman"/>
      <w:b/>
      <w:sz w:val="28"/>
      <w:szCs w:val="20"/>
    </w:rPr>
  </w:style>
  <w:style w:type="character" w:customStyle="1" w:styleId="24">
    <w:name w:val="标题 6 Char"/>
    <w:basedOn w:val="17"/>
    <w:link w:val="7"/>
    <w:qFormat/>
    <w:uiPriority w:val="0"/>
    <w:rPr>
      <w:rFonts w:ascii="Arial" w:hAnsi="Arial" w:eastAsia="黑体" w:cs="Times New Roman"/>
      <w:b/>
      <w:sz w:val="24"/>
      <w:szCs w:val="20"/>
    </w:rPr>
  </w:style>
  <w:style w:type="character" w:customStyle="1" w:styleId="25">
    <w:name w:val="标题 7 Char"/>
    <w:basedOn w:val="17"/>
    <w:link w:val="8"/>
    <w:qFormat/>
    <w:uiPriority w:val="0"/>
    <w:rPr>
      <w:rFonts w:ascii="Times New Roman" w:hAnsi="Times New Roman" w:eastAsia="仿宋_GB2312" w:cs="Times New Roman"/>
      <w:b/>
      <w:sz w:val="24"/>
      <w:szCs w:val="20"/>
    </w:rPr>
  </w:style>
  <w:style w:type="character" w:customStyle="1" w:styleId="26">
    <w:name w:val="标题 8 Char"/>
    <w:basedOn w:val="17"/>
    <w:link w:val="9"/>
    <w:qFormat/>
    <w:uiPriority w:val="0"/>
    <w:rPr>
      <w:rFonts w:ascii="Arial" w:hAnsi="Arial" w:eastAsia="黑体" w:cs="Times New Roman"/>
      <w:sz w:val="24"/>
      <w:szCs w:val="20"/>
    </w:rPr>
  </w:style>
  <w:style w:type="character" w:customStyle="1" w:styleId="27">
    <w:name w:val="标题 9 Char"/>
    <w:basedOn w:val="17"/>
    <w:link w:val="10"/>
    <w:qFormat/>
    <w:uiPriority w:val="0"/>
    <w:rPr>
      <w:rFonts w:ascii="Arial" w:hAnsi="Arial" w:eastAsia="黑体" w:cs="Times New Roman"/>
      <w:szCs w:val="20"/>
    </w:rPr>
  </w:style>
  <w:style w:type="paragraph" w:customStyle="1" w:styleId="28">
    <w:name w:val="表格文字"/>
    <w:basedOn w:val="1"/>
    <w:qFormat/>
    <w:uiPriority w:val="0"/>
    <w:pPr>
      <w:snapToGrid w:val="0"/>
    </w:pPr>
    <w:rPr>
      <w:sz w:val="21"/>
    </w:rPr>
  </w:style>
  <w:style w:type="character" w:customStyle="1" w:styleId="29">
    <w:name w:val="页脚 Char"/>
    <w:basedOn w:val="17"/>
    <w:link w:val="12"/>
    <w:qFormat/>
    <w:uiPriority w:val="99"/>
    <w:rPr>
      <w:rFonts w:ascii="Times New Roman" w:hAnsi="Times New Roman" w:eastAsia="仿宋_GB2312" w:cs="Times New Roman"/>
      <w:sz w:val="18"/>
      <w:szCs w:val="20"/>
    </w:rPr>
  </w:style>
  <w:style w:type="character" w:customStyle="1" w:styleId="30">
    <w:name w:val="页眉 Char"/>
    <w:basedOn w:val="17"/>
    <w:link w:val="13"/>
    <w:qFormat/>
    <w:uiPriority w:val="0"/>
    <w:rPr>
      <w:rFonts w:ascii="Times New Roman" w:hAnsi="Times New Roman" w:eastAsia="仿宋_GB2312" w:cs="Times New Roman"/>
      <w:sz w:val="18"/>
      <w:szCs w:val="20"/>
    </w:rPr>
  </w:style>
  <w:style w:type="character" w:customStyle="1" w:styleId="31">
    <w:name w:val="纯文本 Char"/>
    <w:basedOn w:val="17"/>
    <w:link w:val="11"/>
    <w:qFormat/>
    <w:uiPriority w:val="0"/>
    <w:rPr>
      <w:rFonts w:ascii="宋体" w:hAnsi="Courier New" w:eastAsia="宋体" w:cs="Times New Roman"/>
      <w:szCs w:val="20"/>
    </w:rPr>
  </w:style>
  <w:style w:type="character" w:customStyle="1" w:styleId="32">
    <w:name w:val="apple-converted-space"/>
    <w:qFormat/>
    <w:uiPriority w:val="0"/>
  </w:style>
  <w:style w:type="paragraph" w:styleId="33">
    <w:name w:val="List Paragraph"/>
    <w:basedOn w:val="1"/>
    <w:qFormat/>
    <w:uiPriority w:val="34"/>
    <w:pPr>
      <w:spacing w:line="312" w:lineRule="atLeast"/>
      <w:ind w:firstLine="420" w:firstLineChars="200"/>
    </w:pPr>
    <w:rPr>
      <w:sz w:val="21"/>
      <w:szCs w:val="21"/>
    </w:rPr>
  </w:style>
  <w:style w:type="table" w:customStyle="1" w:styleId="34">
    <w:name w:val="网格型1"/>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font121"/>
    <w:basedOn w:val="17"/>
    <w:qFormat/>
    <w:uiPriority w:val="0"/>
    <w:rPr>
      <w:rFonts w:hint="eastAsia" w:ascii="宋体" w:hAnsi="宋体" w:eastAsia="宋体" w:cs="宋体"/>
      <w:b/>
      <w:color w:val="000000"/>
      <w:sz w:val="22"/>
      <w:szCs w:val="22"/>
      <w:u w:val="none"/>
    </w:rPr>
  </w:style>
  <w:style w:type="paragraph" w:customStyle="1" w:styleId="3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333F-E8FC-4E0A-B502-5461FD3B29E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4174</Words>
  <Characters>4413</Characters>
  <Lines>46</Lines>
  <Paragraphs>13</Paragraphs>
  <TotalTime>4</TotalTime>
  <ScaleCrop>false</ScaleCrop>
  <LinksUpToDate>false</LinksUpToDate>
  <CharactersWithSpaces>4611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2024-02-20T08:24:00Z</dcterms:created>
  <dc:creator>hgchen</dc:creator>
  <cp:lastModifiedBy>魏彦苹</cp:lastModifiedBy>
  <dcterms:modified xsi:type="dcterms:W3CDTF">2026-07-03T02:34:15Z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eyJoZGlkIjoiNTIzZmM3Yjk0NDRhZmEzNTM3ZjRmMTQ0NjhmYjA5YjgiLCJ1c2VySWQiOiIxNTY4NzkzMDk4In0=</vt:lpwstr>
  </property>
  <property fmtid="{D5CDD505-2E9C-101B-9397-08002B2CF9AE}" pid="3" name="KSOProductBuildVer">
    <vt:lpwstr>2052-12.1.0.26895</vt:lpwstr>
  </property>
  <property fmtid="{D5CDD505-2E9C-101B-9397-08002B2CF9AE}" pid="4" name="ICV">
    <vt:lpwstr>81E54BD629414DB49DB86941B598BB4B_12</vt:lpwstr>
  </property>
</Properties>
</file>