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24DEB">
      <w:pPr>
        <w:jc w:val="center"/>
        <w:rPr>
          <w:color w:val="000000"/>
          <w:sz w:val="30"/>
          <w:szCs w:val="30"/>
          <w:lang w:eastAsia="zh-CN"/>
        </w:rPr>
      </w:pPr>
      <w:bookmarkStart w:id="0" w:name="_Toc251742852"/>
      <w:r>
        <w:rPr>
          <w:rFonts w:hint="eastAsia"/>
          <w:bCs/>
          <w:sz w:val="30"/>
          <w:szCs w:val="30"/>
          <w:lang w:eastAsia="zh-CN"/>
        </w:rPr>
        <w:t>催化剂外委检测</w:t>
      </w:r>
      <w:r>
        <w:rPr>
          <w:rFonts w:hint="eastAsia"/>
          <w:color w:val="000000"/>
          <w:sz w:val="30"/>
          <w:szCs w:val="30"/>
          <w:lang w:eastAsia="zh-CN"/>
        </w:rPr>
        <w:t>合同</w:t>
      </w:r>
    </w:p>
    <w:p w14:paraId="040A7666">
      <w:pPr>
        <w:spacing w:line="400" w:lineRule="exact"/>
        <w:jc w:val="center"/>
        <w:rPr>
          <w:b/>
          <w:color w:val="000000"/>
          <w:sz w:val="24"/>
          <w:lang w:eastAsia="zh-CN"/>
        </w:rPr>
      </w:pPr>
      <w:r>
        <w:rPr>
          <w:rFonts w:hint="eastAsia"/>
          <w:b/>
          <w:color w:val="000000"/>
          <w:sz w:val="24"/>
          <w:lang w:eastAsia="zh-CN"/>
        </w:rPr>
        <w:t xml:space="preserve">                    </w:t>
      </w:r>
    </w:p>
    <w:p w14:paraId="5A448300">
      <w:pPr>
        <w:spacing w:line="360" w:lineRule="auto"/>
        <w:ind w:firstLine="482" w:firstLineChars="200"/>
        <w:jc w:val="center"/>
        <w:rPr>
          <w:b/>
          <w:color w:val="000000"/>
          <w:sz w:val="24"/>
          <w:lang w:eastAsia="zh-CN"/>
        </w:rPr>
      </w:pPr>
      <w:r>
        <w:rPr>
          <w:rFonts w:hint="eastAsia"/>
          <w:b/>
          <w:color w:val="000000"/>
          <w:sz w:val="24"/>
          <w:lang w:eastAsia="zh-CN"/>
        </w:rPr>
        <w:t xml:space="preserve">                         </w:t>
      </w:r>
      <w:r>
        <w:rPr>
          <w:rFonts w:hint="eastAsia"/>
          <w:b/>
          <w:color w:val="000000"/>
          <w:sz w:val="24"/>
          <w:lang w:val="en-US" w:eastAsia="zh-CN"/>
        </w:rPr>
        <w:t xml:space="preserve">  </w:t>
      </w:r>
      <w:r>
        <w:rPr>
          <w:rFonts w:hint="eastAsia"/>
          <w:b/>
          <w:color w:val="000000"/>
          <w:sz w:val="24"/>
          <w:lang w:eastAsia="zh-CN"/>
        </w:rPr>
        <w:t>合同编号：</w:t>
      </w:r>
    </w:p>
    <w:p w14:paraId="6077AEB1">
      <w:pPr>
        <w:pStyle w:val="58"/>
        <w:spacing w:line="360" w:lineRule="auto"/>
        <w:ind w:firstLine="482" w:firstLineChars="200"/>
        <w:rPr>
          <w:b/>
          <w:color w:val="000000"/>
          <w:sz w:val="24"/>
        </w:rPr>
      </w:pPr>
      <w:r>
        <w:rPr>
          <w:rFonts w:hint="eastAsia"/>
          <w:b/>
          <w:color w:val="000000"/>
          <w:sz w:val="24"/>
        </w:rPr>
        <w:t xml:space="preserve">                                        </w:t>
      </w:r>
      <w:r>
        <w:rPr>
          <w:rFonts w:hint="eastAsia"/>
          <w:b/>
          <w:color w:val="000000"/>
          <w:sz w:val="24"/>
          <w:lang w:val="en-US" w:eastAsia="zh-CN"/>
        </w:rPr>
        <w:t xml:space="preserve"> </w:t>
      </w:r>
      <w:r>
        <w:rPr>
          <w:rFonts w:hint="eastAsia"/>
          <w:b/>
          <w:color w:val="000000"/>
          <w:sz w:val="24"/>
        </w:rPr>
        <w:t xml:space="preserve"> </w:t>
      </w:r>
      <w:r>
        <w:rPr>
          <w:rFonts w:hint="eastAsia"/>
          <w:b/>
          <w:color w:val="000000"/>
          <w:sz w:val="24"/>
          <w:lang w:val="en-US" w:eastAsia="zh-CN"/>
        </w:rPr>
        <w:t>签订</w:t>
      </w:r>
      <w:r>
        <w:rPr>
          <w:rFonts w:hint="eastAsia"/>
          <w:b/>
          <w:color w:val="000000"/>
          <w:sz w:val="24"/>
        </w:rPr>
        <w:t>日期：</w:t>
      </w:r>
    </w:p>
    <w:p w14:paraId="64083632">
      <w:pPr>
        <w:pStyle w:val="58"/>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甲方：腾龙芳烃（漳州）有限公司</w:t>
      </w:r>
    </w:p>
    <w:p w14:paraId="2A887D44">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w:t>
      </w:r>
    </w:p>
    <w:p w14:paraId="44D5026D">
      <w:pPr>
        <w:spacing w:line="360" w:lineRule="auto"/>
        <w:rPr>
          <w:rStyle w:val="98"/>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经甲乙双方商定，就甲方委托乙方提供检测服务相关事宜，达成如下协议：</w:t>
      </w:r>
    </w:p>
    <w:p w14:paraId="2B954938">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一、委托检测产品：</w:t>
      </w:r>
    </w:p>
    <w:p w14:paraId="4A9BA5FD">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催化剂</w:t>
      </w:r>
    </w:p>
    <w:p w14:paraId="6BA71B02">
      <w:pPr>
        <w:numPr>
          <w:ilvl w:val="0"/>
          <w:numId w:val="6"/>
        </w:numPr>
        <w:spacing w:after="156" w:afterLines="50" w:line="360" w:lineRule="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产品检定</w:t>
      </w:r>
      <w:r>
        <w:rPr>
          <w:rFonts w:asciiTheme="minorEastAsia" w:hAnsiTheme="minorEastAsia" w:eastAsiaTheme="minorEastAsia"/>
          <w:color w:val="000000"/>
          <w:sz w:val="24"/>
          <w:szCs w:val="24"/>
          <w:lang w:eastAsia="zh-CN"/>
        </w:rPr>
        <w:t>/校准</w:t>
      </w:r>
      <w:r>
        <w:rPr>
          <w:rFonts w:hint="eastAsia" w:asciiTheme="minorEastAsia" w:hAnsiTheme="minorEastAsia" w:eastAsiaTheme="minorEastAsia"/>
          <w:color w:val="000000"/>
          <w:sz w:val="24"/>
          <w:szCs w:val="24"/>
          <w:lang w:eastAsia="zh-CN"/>
        </w:rPr>
        <w:t>仪器名称、证书类型及价格：</w:t>
      </w:r>
    </w:p>
    <w:tbl>
      <w:tblPr>
        <w:tblStyle w:val="46"/>
        <w:tblpPr w:leftFromText="180" w:rightFromText="180" w:vertAnchor="text" w:horzAnchor="page" w:tblpX="944" w:tblpY="632"/>
        <w:tblOverlap w:val="never"/>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377"/>
        <w:gridCol w:w="1970"/>
        <w:gridCol w:w="1073"/>
        <w:gridCol w:w="655"/>
        <w:gridCol w:w="722"/>
        <w:gridCol w:w="1187"/>
        <w:gridCol w:w="995"/>
        <w:gridCol w:w="1140"/>
      </w:tblGrid>
      <w:tr w14:paraId="0D6CC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57" w:type="dxa"/>
            <w:vAlign w:val="center"/>
          </w:tcPr>
          <w:p w14:paraId="42539FA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序号</w:t>
            </w:r>
          </w:p>
        </w:tc>
        <w:tc>
          <w:tcPr>
            <w:tcW w:w="1377" w:type="dxa"/>
            <w:vAlign w:val="center"/>
          </w:tcPr>
          <w:p w14:paraId="134FBB8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检测</w:t>
            </w:r>
          </w:p>
          <w:p w14:paraId="3433C9D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物品名称</w:t>
            </w:r>
          </w:p>
        </w:tc>
        <w:tc>
          <w:tcPr>
            <w:tcW w:w="1970" w:type="dxa"/>
            <w:vAlign w:val="center"/>
          </w:tcPr>
          <w:p w14:paraId="3879389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检测</w:t>
            </w:r>
            <w:r>
              <w:rPr>
                <w:rFonts w:hint="default" w:ascii="Times New Roman" w:hAnsi="Times New Roman" w:eastAsia="宋体" w:cs="Times New Roman"/>
                <w:color w:val="auto"/>
                <w:kern w:val="0"/>
                <w:sz w:val="21"/>
                <w:szCs w:val="21"/>
                <w:highlight w:val="yellow"/>
                <w:lang w:val="en-US" w:eastAsia="zh-CN" w:bidi="ar-SA"/>
              </w:rPr>
              <w:t>项目</w:t>
            </w:r>
          </w:p>
        </w:tc>
        <w:tc>
          <w:tcPr>
            <w:tcW w:w="1073" w:type="dxa"/>
            <w:vAlign w:val="center"/>
          </w:tcPr>
          <w:p w14:paraId="5BB155DF">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分析方法</w:t>
            </w:r>
          </w:p>
        </w:tc>
        <w:tc>
          <w:tcPr>
            <w:tcW w:w="655" w:type="dxa"/>
            <w:shd w:val="clear"/>
            <w:vAlign w:val="center"/>
          </w:tcPr>
          <w:p w14:paraId="186983D5">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计量</w:t>
            </w:r>
          </w:p>
          <w:p w14:paraId="55E5981D">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单位</w:t>
            </w:r>
          </w:p>
        </w:tc>
        <w:tc>
          <w:tcPr>
            <w:tcW w:w="722" w:type="dxa"/>
            <w:vAlign w:val="center"/>
          </w:tcPr>
          <w:p w14:paraId="6D41399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数量</w:t>
            </w:r>
          </w:p>
        </w:tc>
        <w:tc>
          <w:tcPr>
            <w:tcW w:w="1187" w:type="dxa"/>
            <w:vAlign w:val="center"/>
          </w:tcPr>
          <w:p w14:paraId="60336548">
            <w:pPr>
              <w:spacing w:line="360" w:lineRule="auto"/>
              <w:jc w:val="center"/>
              <w:rPr>
                <w:rFonts w:hint="eastAsia"/>
                <w:sz w:val="20"/>
                <w:szCs w:val="20"/>
                <w:lang w:eastAsia="zh-CN"/>
              </w:rPr>
            </w:pPr>
            <w:r>
              <w:rPr>
                <w:rFonts w:hint="eastAsia"/>
                <w:sz w:val="20"/>
                <w:szCs w:val="20"/>
                <w:lang w:eastAsia="zh-CN"/>
              </w:rPr>
              <w:t>含税单价</w:t>
            </w:r>
          </w:p>
          <w:p w14:paraId="5A1BAF4C">
            <w:pPr>
              <w:spacing w:line="360" w:lineRule="auto"/>
              <w:jc w:val="center"/>
              <w:rPr>
                <w:rFonts w:hint="default"/>
                <w:sz w:val="20"/>
                <w:szCs w:val="20"/>
                <w:lang w:val="en-US" w:eastAsia="zh-CN"/>
              </w:rPr>
            </w:pPr>
            <w:r>
              <w:rPr>
                <w:rFonts w:hint="eastAsia"/>
                <w:sz w:val="20"/>
                <w:szCs w:val="20"/>
                <w:lang w:val="en-US" w:eastAsia="zh-CN"/>
              </w:rPr>
              <w:t>（元/次）</w:t>
            </w:r>
          </w:p>
        </w:tc>
        <w:tc>
          <w:tcPr>
            <w:tcW w:w="995" w:type="dxa"/>
            <w:vAlign w:val="center"/>
          </w:tcPr>
          <w:p w14:paraId="1C2A118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合计</w:t>
            </w:r>
          </w:p>
          <w:p w14:paraId="56357E7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（元）</w:t>
            </w:r>
          </w:p>
        </w:tc>
        <w:tc>
          <w:tcPr>
            <w:tcW w:w="1140" w:type="dxa"/>
            <w:vAlign w:val="center"/>
          </w:tcPr>
          <w:p w14:paraId="5165928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备注</w:t>
            </w:r>
          </w:p>
        </w:tc>
      </w:tr>
      <w:tr w14:paraId="7C7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57" w:type="dxa"/>
            <w:vMerge w:val="restart"/>
            <w:vAlign w:val="center"/>
          </w:tcPr>
          <w:p w14:paraId="7A60CF0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1</w:t>
            </w:r>
          </w:p>
        </w:tc>
        <w:tc>
          <w:tcPr>
            <w:tcW w:w="1377" w:type="dxa"/>
            <w:vMerge w:val="restart"/>
            <w:vAlign w:val="center"/>
          </w:tcPr>
          <w:p w14:paraId="30842AB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吸附剂</w:t>
            </w:r>
          </w:p>
        </w:tc>
        <w:tc>
          <w:tcPr>
            <w:tcW w:w="1970" w:type="dxa"/>
            <w:vAlign w:val="center"/>
          </w:tcPr>
          <w:p w14:paraId="20FA810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平均粒径</w:t>
            </w:r>
          </w:p>
        </w:tc>
        <w:tc>
          <w:tcPr>
            <w:tcW w:w="1073" w:type="dxa"/>
            <w:vAlign w:val="top"/>
          </w:tcPr>
          <w:p w14:paraId="4DC2C1A6">
            <w:pPr>
              <w:pStyle w:val="300"/>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ISO 13320</w:t>
            </w:r>
          </w:p>
        </w:tc>
        <w:tc>
          <w:tcPr>
            <w:tcW w:w="655" w:type="dxa"/>
            <w:shd w:val="clear"/>
            <w:vAlign w:val="center"/>
          </w:tcPr>
          <w:p w14:paraId="0243FBE1">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722" w:type="dxa"/>
            <w:vAlign w:val="center"/>
          </w:tcPr>
          <w:p w14:paraId="238EA98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87" w:type="dxa"/>
            <w:vAlign w:val="center"/>
          </w:tcPr>
          <w:p w14:paraId="0699896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95" w:type="dxa"/>
            <w:vAlign w:val="center"/>
          </w:tcPr>
          <w:p w14:paraId="5C91729A">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40" w:type="dxa"/>
            <w:vAlign w:val="center"/>
          </w:tcPr>
          <w:p w14:paraId="092F0D2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6E22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57" w:type="dxa"/>
            <w:vMerge w:val="continue"/>
            <w:vAlign w:val="center"/>
          </w:tcPr>
          <w:p w14:paraId="012D176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77" w:type="dxa"/>
            <w:vMerge w:val="continue"/>
            <w:vAlign w:val="center"/>
          </w:tcPr>
          <w:p w14:paraId="61D7E1C1">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970" w:type="dxa"/>
            <w:vAlign w:val="center"/>
          </w:tcPr>
          <w:p w14:paraId="3913A7BB">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堆积密度</w:t>
            </w:r>
          </w:p>
        </w:tc>
        <w:tc>
          <w:tcPr>
            <w:tcW w:w="1073" w:type="dxa"/>
            <w:vAlign w:val="top"/>
          </w:tcPr>
          <w:p w14:paraId="77D01DAE">
            <w:pPr>
              <w:pStyle w:val="300"/>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D4781-24</w:t>
            </w:r>
          </w:p>
        </w:tc>
        <w:tc>
          <w:tcPr>
            <w:tcW w:w="655" w:type="dxa"/>
            <w:shd w:val="clear"/>
            <w:vAlign w:val="center"/>
          </w:tcPr>
          <w:p w14:paraId="254CE4E1">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722" w:type="dxa"/>
            <w:vAlign w:val="center"/>
          </w:tcPr>
          <w:p w14:paraId="19FD307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87" w:type="dxa"/>
            <w:vAlign w:val="center"/>
          </w:tcPr>
          <w:p w14:paraId="28C0FC8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95" w:type="dxa"/>
            <w:vAlign w:val="center"/>
          </w:tcPr>
          <w:p w14:paraId="66702DD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40" w:type="dxa"/>
            <w:vAlign w:val="center"/>
          </w:tcPr>
          <w:p w14:paraId="468E13A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23A30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57" w:type="dxa"/>
            <w:vMerge w:val="continue"/>
            <w:vAlign w:val="center"/>
          </w:tcPr>
          <w:p w14:paraId="5F31DB2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77" w:type="dxa"/>
            <w:vMerge w:val="continue"/>
            <w:vAlign w:val="center"/>
          </w:tcPr>
          <w:p w14:paraId="6B64B77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970" w:type="dxa"/>
            <w:vAlign w:val="center"/>
          </w:tcPr>
          <w:p w14:paraId="054B98A9">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颗粒平均抗碎强度</w:t>
            </w:r>
          </w:p>
        </w:tc>
        <w:tc>
          <w:tcPr>
            <w:tcW w:w="1073" w:type="dxa"/>
            <w:vAlign w:val="center"/>
          </w:tcPr>
          <w:p w14:paraId="069574BE">
            <w:pPr>
              <w:spacing w:line="360" w:lineRule="auto"/>
              <w:jc w:val="both"/>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D6175</w:t>
            </w:r>
          </w:p>
        </w:tc>
        <w:tc>
          <w:tcPr>
            <w:tcW w:w="655" w:type="dxa"/>
            <w:shd w:val="clear"/>
            <w:vAlign w:val="center"/>
          </w:tcPr>
          <w:p w14:paraId="577D57DE">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722" w:type="dxa"/>
            <w:vAlign w:val="center"/>
          </w:tcPr>
          <w:p w14:paraId="2E53A30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87" w:type="dxa"/>
            <w:vAlign w:val="center"/>
          </w:tcPr>
          <w:p w14:paraId="4458C43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95" w:type="dxa"/>
            <w:vAlign w:val="center"/>
          </w:tcPr>
          <w:p w14:paraId="11F2161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40" w:type="dxa"/>
            <w:vAlign w:val="center"/>
          </w:tcPr>
          <w:p w14:paraId="0AA3278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181D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57" w:type="dxa"/>
            <w:vMerge w:val="continue"/>
            <w:vAlign w:val="center"/>
          </w:tcPr>
          <w:p w14:paraId="783BB14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77" w:type="dxa"/>
            <w:vMerge w:val="continue"/>
            <w:vAlign w:val="center"/>
          </w:tcPr>
          <w:p w14:paraId="3EAEFF6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970" w:type="dxa"/>
            <w:vAlign w:val="center"/>
          </w:tcPr>
          <w:p w14:paraId="5A29C7F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整体抗碎强度</w:t>
            </w:r>
          </w:p>
        </w:tc>
        <w:tc>
          <w:tcPr>
            <w:tcW w:w="1073" w:type="dxa"/>
            <w:vAlign w:val="top"/>
          </w:tcPr>
          <w:p w14:paraId="317CDA55">
            <w:pPr>
              <w:pStyle w:val="300"/>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D7084</w:t>
            </w:r>
          </w:p>
        </w:tc>
        <w:tc>
          <w:tcPr>
            <w:tcW w:w="655" w:type="dxa"/>
            <w:shd w:val="clear"/>
            <w:vAlign w:val="center"/>
          </w:tcPr>
          <w:p w14:paraId="557F584A">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722" w:type="dxa"/>
            <w:vAlign w:val="center"/>
          </w:tcPr>
          <w:p w14:paraId="7D1E3C9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187" w:type="dxa"/>
            <w:vAlign w:val="center"/>
          </w:tcPr>
          <w:p w14:paraId="232BF43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95" w:type="dxa"/>
            <w:vAlign w:val="center"/>
          </w:tcPr>
          <w:p w14:paraId="062CED4B">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40" w:type="dxa"/>
            <w:vAlign w:val="center"/>
          </w:tcPr>
          <w:p w14:paraId="408FCC0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225F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57" w:type="dxa"/>
            <w:vMerge w:val="restart"/>
            <w:vAlign w:val="center"/>
          </w:tcPr>
          <w:p w14:paraId="02CBCF2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377" w:type="dxa"/>
            <w:vMerge w:val="restart"/>
            <w:vAlign w:val="center"/>
          </w:tcPr>
          <w:p w14:paraId="39E3C55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异构化催化剂</w:t>
            </w:r>
          </w:p>
        </w:tc>
        <w:tc>
          <w:tcPr>
            <w:tcW w:w="1970" w:type="dxa"/>
            <w:vAlign w:val="center"/>
          </w:tcPr>
          <w:p w14:paraId="2771881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铼含量</w:t>
            </w:r>
          </w:p>
        </w:tc>
        <w:tc>
          <w:tcPr>
            <w:tcW w:w="1073" w:type="dxa"/>
            <w:vAlign w:val="top"/>
          </w:tcPr>
          <w:p w14:paraId="78E578A6">
            <w:pPr>
              <w:pStyle w:val="300"/>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UOP 715</w:t>
            </w:r>
            <w:r>
              <w:rPr>
                <w:rFonts w:hint="default" w:ascii="Times New Roman" w:hAnsi="Times New Roman" w:eastAsia="宋体" w:cs="Times New Roman"/>
                <w:sz w:val="21"/>
                <w:szCs w:val="21"/>
                <w:lang w:val="en-US" w:eastAsia="zh-CN"/>
              </w:rPr>
              <w:t>或UOP 873</w:t>
            </w:r>
          </w:p>
        </w:tc>
        <w:tc>
          <w:tcPr>
            <w:tcW w:w="655" w:type="dxa"/>
            <w:shd w:val="clear"/>
            <w:vAlign w:val="center"/>
          </w:tcPr>
          <w:p w14:paraId="4DB2B5F2">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722" w:type="dxa"/>
            <w:vAlign w:val="center"/>
          </w:tcPr>
          <w:p w14:paraId="22350679">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187" w:type="dxa"/>
            <w:vAlign w:val="center"/>
          </w:tcPr>
          <w:p w14:paraId="6059E24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95" w:type="dxa"/>
            <w:vAlign w:val="center"/>
          </w:tcPr>
          <w:p w14:paraId="655615D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40" w:type="dxa"/>
            <w:vAlign w:val="center"/>
          </w:tcPr>
          <w:p w14:paraId="5F16A50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0434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7" w:type="dxa"/>
            <w:vMerge w:val="continue"/>
            <w:vAlign w:val="center"/>
          </w:tcPr>
          <w:p w14:paraId="150FE1BE">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77" w:type="dxa"/>
            <w:vMerge w:val="continue"/>
            <w:vAlign w:val="center"/>
          </w:tcPr>
          <w:p w14:paraId="43FCAE2C">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970" w:type="dxa"/>
            <w:vAlign w:val="center"/>
          </w:tcPr>
          <w:p w14:paraId="6D1C253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颗粒平均抗碎强度</w:t>
            </w:r>
          </w:p>
        </w:tc>
        <w:tc>
          <w:tcPr>
            <w:tcW w:w="1073" w:type="dxa"/>
            <w:vAlign w:val="center"/>
          </w:tcPr>
          <w:p w14:paraId="5199047C">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lang w:val="en-US" w:eastAsia="zh-CN"/>
              </w:rPr>
              <w:t>ASTM D6175</w:t>
            </w:r>
          </w:p>
        </w:tc>
        <w:tc>
          <w:tcPr>
            <w:tcW w:w="655" w:type="dxa"/>
            <w:shd w:val="clear"/>
            <w:vAlign w:val="center"/>
          </w:tcPr>
          <w:p w14:paraId="5A3C1006">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722" w:type="dxa"/>
            <w:vAlign w:val="center"/>
          </w:tcPr>
          <w:p w14:paraId="5B8CEE66">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187" w:type="dxa"/>
            <w:vAlign w:val="center"/>
          </w:tcPr>
          <w:p w14:paraId="4361EBCC">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95" w:type="dxa"/>
            <w:vAlign w:val="center"/>
          </w:tcPr>
          <w:p w14:paraId="225DB2AB">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40" w:type="dxa"/>
            <w:vAlign w:val="center"/>
          </w:tcPr>
          <w:p w14:paraId="091536C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1891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57" w:type="dxa"/>
            <w:vMerge w:val="continue"/>
            <w:vAlign w:val="center"/>
          </w:tcPr>
          <w:p w14:paraId="58685D3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377" w:type="dxa"/>
            <w:vMerge w:val="continue"/>
            <w:vAlign w:val="center"/>
          </w:tcPr>
          <w:p w14:paraId="1206B00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970" w:type="dxa"/>
            <w:vAlign w:val="center"/>
          </w:tcPr>
          <w:p w14:paraId="59E8AC58">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密度</w:t>
            </w:r>
          </w:p>
        </w:tc>
        <w:tc>
          <w:tcPr>
            <w:tcW w:w="1073" w:type="dxa"/>
            <w:vAlign w:val="top"/>
          </w:tcPr>
          <w:p w14:paraId="26A521E7">
            <w:pPr>
              <w:pStyle w:val="300"/>
              <w:ind w:left="0" w:leftChars="0"/>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sz w:val="21"/>
                <w:szCs w:val="21"/>
              </w:rPr>
              <w:t>UOP 294</w:t>
            </w:r>
          </w:p>
        </w:tc>
        <w:tc>
          <w:tcPr>
            <w:tcW w:w="655" w:type="dxa"/>
            <w:shd w:val="clear"/>
            <w:vAlign w:val="center"/>
          </w:tcPr>
          <w:p w14:paraId="32D3BF87">
            <w:pPr>
              <w:spacing w:line="360" w:lineRule="auto"/>
              <w:jc w:val="center"/>
              <w:rPr>
                <w:rFonts w:hint="eastAsia"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722" w:type="dxa"/>
            <w:vAlign w:val="center"/>
          </w:tcPr>
          <w:p w14:paraId="4B05D024">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2</w:t>
            </w:r>
          </w:p>
        </w:tc>
        <w:tc>
          <w:tcPr>
            <w:tcW w:w="1187" w:type="dxa"/>
            <w:vAlign w:val="center"/>
          </w:tcPr>
          <w:p w14:paraId="0A23D802">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95" w:type="dxa"/>
            <w:vAlign w:val="center"/>
          </w:tcPr>
          <w:p w14:paraId="6210CC1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40" w:type="dxa"/>
            <w:vAlign w:val="center"/>
          </w:tcPr>
          <w:p w14:paraId="7E95617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r w14:paraId="117A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57" w:type="dxa"/>
            <w:vAlign w:val="center"/>
          </w:tcPr>
          <w:p w14:paraId="6DE8087D">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3</w:t>
            </w:r>
          </w:p>
        </w:tc>
        <w:tc>
          <w:tcPr>
            <w:tcW w:w="1377" w:type="dxa"/>
            <w:vAlign w:val="center"/>
          </w:tcPr>
          <w:p w14:paraId="737B84D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沸腾床渣油加氢催化剂</w:t>
            </w:r>
          </w:p>
        </w:tc>
        <w:tc>
          <w:tcPr>
            <w:tcW w:w="1970" w:type="dxa"/>
            <w:vAlign w:val="center"/>
          </w:tcPr>
          <w:p w14:paraId="4D7DC7B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平板抗压（压碎）强度</w:t>
            </w:r>
          </w:p>
        </w:tc>
        <w:tc>
          <w:tcPr>
            <w:tcW w:w="1073" w:type="dxa"/>
            <w:vAlign w:val="center"/>
          </w:tcPr>
          <w:p w14:paraId="444D738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CAP-1007</w:t>
            </w:r>
          </w:p>
        </w:tc>
        <w:tc>
          <w:tcPr>
            <w:tcW w:w="655" w:type="dxa"/>
            <w:shd w:val="clear"/>
            <w:vAlign w:val="center"/>
          </w:tcPr>
          <w:p w14:paraId="79FE3EB1">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次</w:t>
            </w:r>
          </w:p>
        </w:tc>
        <w:tc>
          <w:tcPr>
            <w:tcW w:w="722" w:type="dxa"/>
            <w:vAlign w:val="center"/>
          </w:tcPr>
          <w:p w14:paraId="7F9DDFA7">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color w:val="auto"/>
                <w:kern w:val="0"/>
                <w:sz w:val="21"/>
                <w:szCs w:val="21"/>
                <w:highlight w:val="yellow"/>
                <w:lang w:val="en-US" w:eastAsia="zh-CN" w:bidi="ar-SA"/>
              </w:rPr>
              <w:t>1</w:t>
            </w:r>
          </w:p>
        </w:tc>
        <w:tc>
          <w:tcPr>
            <w:tcW w:w="1187" w:type="dxa"/>
            <w:vAlign w:val="center"/>
          </w:tcPr>
          <w:p w14:paraId="04B60605">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995" w:type="dxa"/>
            <w:vAlign w:val="center"/>
          </w:tcPr>
          <w:p w14:paraId="552C2770">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40" w:type="dxa"/>
            <w:vAlign w:val="center"/>
          </w:tcPr>
          <w:p w14:paraId="1F06D528">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yellow"/>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厂商标准，参考ASTM D6175</w:t>
            </w:r>
          </w:p>
        </w:tc>
      </w:tr>
      <w:tr w14:paraId="2505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904" w:type="dxa"/>
            <w:gridSpan w:val="3"/>
            <w:vAlign w:val="center"/>
          </w:tcPr>
          <w:p w14:paraId="7734EE63">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r>
              <w:rPr>
                <w:rFonts w:hint="eastAsia" w:ascii="Times New Roman" w:hAnsi="Times New Roman" w:eastAsia="宋体" w:cs="Times New Roman"/>
                <w:color w:val="auto"/>
                <w:kern w:val="0"/>
                <w:sz w:val="21"/>
                <w:szCs w:val="21"/>
                <w:highlight w:val="yellow"/>
                <w:lang w:val="en-US" w:eastAsia="zh-CN" w:bidi="ar-SA"/>
              </w:rPr>
              <w:t>总合计（人民币：元）</w:t>
            </w:r>
          </w:p>
        </w:tc>
        <w:tc>
          <w:tcPr>
            <w:tcW w:w="4632" w:type="dxa"/>
            <w:gridSpan w:val="5"/>
            <w:vAlign w:val="center"/>
          </w:tcPr>
          <w:p w14:paraId="6628D7E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c>
          <w:tcPr>
            <w:tcW w:w="1140" w:type="dxa"/>
            <w:vAlign w:val="center"/>
          </w:tcPr>
          <w:p w14:paraId="3B8F6D8F">
            <w:pPr>
              <w:spacing w:line="360" w:lineRule="auto"/>
              <w:jc w:val="center"/>
              <w:rPr>
                <w:rFonts w:hint="default" w:ascii="Times New Roman" w:hAnsi="Times New Roman" w:eastAsia="宋体" w:cs="Times New Roman"/>
                <w:color w:val="auto"/>
                <w:kern w:val="0"/>
                <w:sz w:val="21"/>
                <w:szCs w:val="21"/>
                <w:highlight w:val="yellow"/>
                <w:lang w:val="en-US" w:eastAsia="zh-CN" w:bidi="ar-SA"/>
              </w:rPr>
            </w:pPr>
          </w:p>
        </w:tc>
      </w:tr>
    </w:tbl>
    <w:p w14:paraId="56B72D1B">
      <w:pPr>
        <w:widowControl w:val="0"/>
        <w:numPr>
          <w:numId w:val="0"/>
        </w:numPr>
        <w:autoSpaceDE w:val="0"/>
        <w:autoSpaceDN w:val="0"/>
        <w:spacing w:after="156" w:afterLines="50" w:line="360" w:lineRule="auto"/>
        <w:rPr>
          <w:rFonts w:hint="eastAsia" w:asciiTheme="minorEastAsia" w:hAnsiTheme="minorEastAsia" w:eastAsiaTheme="minorEastAsia"/>
          <w:color w:val="000000"/>
          <w:sz w:val="24"/>
          <w:szCs w:val="24"/>
          <w:lang w:eastAsia="zh-CN"/>
        </w:rPr>
      </w:pPr>
    </w:p>
    <w:p w14:paraId="29AF3740">
      <w:pPr>
        <w:spacing w:line="360" w:lineRule="auto"/>
        <w:rPr>
          <w:rFonts w:asciiTheme="minorEastAsia" w:hAnsiTheme="minorEastAsia" w:eastAsiaTheme="minorEastAsia"/>
          <w:color w:val="000000"/>
          <w:sz w:val="24"/>
          <w:szCs w:val="24"/>
          <w:lang w:eastAsia="zh-CN"/>
        </w:rPr>
      </w:pPr>
      <w:bookmarkStart w:id="1" w:name="_GoBack"/>
      <w:bookmarkEnd w:id="1"/>
    </w:p>
    <w:p w14:paraId="21CE6326">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三、甲方的权利义务</w:t>
      </w:r>
    </w:p>
    <w:p w14:paraId="75CA2667">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1、甲方有权监督乙方的检测工作。</w:t>
      </w:r>
    </w:p>
    <w:p w14:paraId="07CFDB32">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2、甲方根据乙方检测的需要配合乙方检测工作，并提供相关资料。  </w:t>
      </w:r>
    </w:p>
    <w:p w14:paraId="056910A5">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3、按约定支付检测费用。</w:t>
      </w:r>
    </w:p>
    <w:p w14:paraId="43E3F49C">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四、乙方的权利义务：</w:t>
      </w:r>
    </w:p>
    <w:p w14:paraId="4CFE8CD8">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1、乙方根据甲方要求按照约定的检测标准对进行检验检测。</w:t>
      </w:r>
    </w:p>
    <w:p w14:paraId="69F9D26C">
      <w:pPr>
        <w:pStyle w:val="95"/>
        <w:spacing w:line="360" w:lineRule="auto"/>
        <w:rPr>
          <w:rFonts w:hAnsi="宋体"/>
          <w:snapToGrid w:val="0"/>
        </w:rPr>
      </w:pPr>
      <w:r>
        <w:rPr>
          <w:rFonts w:asciiTheme="minorEastAsia" w:hAnsiTheme="minorEastAsia" w:eastAsiaTheme="minorEastAsia"/>
        </w:rPr>
        <w:t>2、</w:t>
      </w:r>
      <w:r>
        <w:rPr>
          <w:rFonts w:hint="eastAsia" w:hAnsi="宋体"/>
          <w:snapToGrid w:val="0"/>
        </w:rPr>
        <w:t>根据</w:t>
      </w:r>
      <w:r>
        <w:rPr>
          <w:rFonts w:hAnsi="宋体"/>
          <w:snapToGrid w:val="0"/>
          <w:u w:val="single"/>
        </w:rPr>
        <w:t xml:space="preserve"> </w:t>
      </w:r>
      <w:r>
        <w:rPr>
          <w:rFonts w:hint="eastAsia" w:hAnsi="宋体"/>
          <w:snapToGrid w:val="0"/>
          <w:u w:val="single"/>
        </w:rPr>
        <w:t>检测项目</w:t>
      </w:r>
      <w:r>
        <w:rPr>
          <w:rFonts w:hint="eastAsia" w:hAnsi="宋体"/>
          <w:snapToGrid w:val="0"/>
        </w:rPr>
        <w:t>进行</w:t>
      </w:r>
      <w:r>
        <w:rPr>
          <w:rFonts w:hint="eastAsia" w:asciiTheme="minorEastAsia" w:hAnsiTheme="minorEastAsia" w:eastAsiaTheme="minorEastAsia"/>
        </w:rPr>
        <w:t>检测并出具相关报告并附燃煤水分项目检测的原始记录以及样品照片。</w:t>
      </w:r>
      <w:r>
        <w:rPr>
          <w:rFonts w:hint="eastAsia" w:hAnsi="宋体"/>
          <w:snapToGrid w:val="0"/>
        </w:rPr>
        <w:t xml:space="preserve"> </w:t>
      </w:r>
    </w:p>
    <w:p w14:paraId="50979F18">
      <w:pPr>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3、对检测过程中知悉的甲方的商业、技术、经营管理等保密信息承担保密责任。</w:t>
      </w:r>
    </w:p>
    <w:p w14:paraId="307605B9">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五、收费标准</w:t>
      </w:r>
      <w:r>
        <w:rPr>
          <w:rFonts w:hint="eastAsia" w:asciiTheme="minorEastAsia" w:hAnsiTheme="minorEastAsia" w:eastAsiaTheme="minorEastAsia"/>
          <w:color w:val="000000"/>
          <w:sz w:val="24"/>
          <w:szCs w:val="24"/>
          <w:lang w:eastAsia="zh-CN"/>
        </w:rPr>
        <w:br w:type="textWrapping"/>
      </w:r>
      <w:r>
        <w:rPr>
          <w:rFonts w:hint="eastAsia" w:asciiTheme="minorEastAsia" w:hAnsiTheme="minorEastAsia" w:eastAsiaTheme="minorEastAsia"/>
          <w:color w:val="000000"/>
          <w:sz w:val="24"/>
          <w:szCs w:val="24"/>
          <w:lang w:eastAsia="zh-CN"/>
        </w:rPr>
        <w:t>　　根据</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 xml:space="preserve">合同 </w:t>
      </w:r>
      <w:r>
        <w:rPr>
          <w:rFonts w:hint="eastAsia" w:asciiTheme="minorEastAsia" w:hAnsiTheme="minorEastAsia" w:eastAsiaTheme="minorEastAsia"/>
          <w:color w:val="000000"/>
          <w:sz w:val="24"/>
          <w:szCs w:val="24"/>
          <w:lang w:eastAsia="zh-CN"/>
        </w:rPr>
        <w:t>，本次检测费总价为</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val="en-US" w:eastAsia="zh-CN"/>
        </w:rPr>
        <w:t xml:space="preserve">     </w:t>
      </w:r>
      <w:r>
        <w:rPr>
          <w:rFonts w:hint="eastAsia" w:asciiTheme="minorEastAsia" w:hAnsiTheme="minorEastAsia" w:eastAsiaTheme="minorEastAsia"/>
          <w:color w:val="000000"/>
          <w:sz w:val="24"/>
          <w:szCs w:val="24"/>
          <w:lang w:eastAsia="zh-CN"/>
        </w:rPr>
        <w:t>元，未税金额</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val="en-US" w:eastAsia="zh-CN"/>
        </w:rPr>
        <w:t xml:space="preserve">  </w:t>
      </w:r>
      <w:r>
        <w:rPr>
          <w:rFonts w:hint="eastAsia" w:asciiTheme="minorEastAsia" w:hAnsiTheme="minorEastAsia" w:eastAsiaTheme="minorEastAsia"/>
          <w:color w:val="000000"/>
          <w:sz w:val="24"/>
          <w:szCs w:val="24"/>
          <w:lang w:eastAsia="zh-CN"/>
        </w:rPr>
        <w:t>元，税金为</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val="en-US" w:eastAsia="zh-CN"/>
        </w:rPr>
        <w:t xml:space="preserve">      </w:t>
      </w:r>
      <w:r>
        <w:rPr>
          <w:rFonts w:hint="eastAsia" w:asciiTheme="minorEastAsia" w:hAnsiTheme="minorEastAsia" w:eastAsiaTheme="minorEastAsia"/>
          <w:color w:val="000000"/>
          <w:sz w:val="24"/>
          <w:szCs w:val="24"/>
          <w:lang w:eastAsia="zh-CN"/>
        </w:rPr>
        <w:t>元，有尾差，以最终实际开票金额为准。检测费用按合同单价据实结算，</w:t>
      </w:r>
      <w:r>
        <w:rPr>
          <w:rFonts w:hint="eastAsia" w:asciiTheme="minorEastAsia" w:hAnsiTheme="minorEastAsia" w:eastAsiaTheme="minorEastAsia"/>
          <w:sz w:val="24"/>
          <w:szCs w:val="24"/>
          <w:lang w:eastAsia="zh-CN"/>
        </w:rPr>
        <w:t>不再另外计取其他费用，不得再以任何理由追加。</w:t>
      </w:r>
    </w:p>
    <w:p w14:paraId="650C160F">
      <w:pPr>
        <w:adjustRightInd w:val="0"/>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六、协议期限：</w:t>
      </w:r>
      <w:r>
        <w:rPr>
          <w:rStyle w:val="98"/>
          <w:rFonts w:hint="eastAsia" w:asciiTheme="minorEastAsia" w:hAnsiTheme="minorEastAsia" w:eastAsiaTheme="minorEastAsia"/>
          <w:color w:val="000000"/>
          <w:sz w:val="24"/>
          <w:szCs w:val="24"/>
          <w:lang w:eastAsia="zh-CN"/>
        </w:rPr>
        <w:t>合同签订之日起两年内。</w:t>
      </w:r>
    </w:p>
    <w:p w14:paraId="7A785BCA">
      <w:pPr>
        <w:adjustRightInd w:val="0"/>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七、检测日期：</w:t>
      </w:r>
      <w:r>
        <w:rPr>
          <w:rFonts w:hint="eastAsia" w:asciiTheme="minorEastAsia" w:hAnsiTheme="minorEastAsia" w:eastAsiaTheme="minorEastAsia"/>
          <w:color w:val="000000"/>
          <w:sz w:val="24"/>
          <w:szCs w:val="24"/>
          <w:lang w:val="en-US" w:eastAsia="zh-CN"/>
        </w:rPr>
        <w:t>自合同签订之日起   天内完成</w:t>
      </w:r>
      <w:r>
        <w:rPr>
          <w:rFonts w:hint="eastAsia" w:asciiTheme="minorEastAsia" w:hAnsiTheme="minorEastAsia" w:eastAsiaTheme="minorEastAsia"/>
          <w:color w:val="000000"/>
          <w:sz w:val="24"/>
          <w:szCs w:val="24"/>
          <w:lang w:eastAsia="zh-CN"/>
        </w:rPr>
        <w:t>。</w:t>
      </w:r>
    </w:p>
    <w:p w14:paraId="5E54D17D">
      <w:pPr>
        <w:adjustRightInd w:val="0"/>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八、收费方式：</w:t>
      </w:r>
    </w:p>
    <w:p w14:paraId="49AF8A97">
      <w:pPr>
        <w:pStyle w:val="24"/>
        <w:spacing w:line="360" w:lineRule="auto"/>
        <w:ind w:firstLine="480" w:firstLineChars="200"/>
        <w:rPr>
          <w:rFonts w:hAnsi="宋体"/>
          <w:sz w:val="24"/>
          <w:szCs w:val="24"/>
          <w:lang w:eastAsia="zh-CN"/>
        </w:rPr>
      </w:pPr>
      <w:r>
        <w:rPr>
          <w:rFonts w:hint="eastAsia" w:hAnsi="宋体"/>
          <w:sz w:val="24"/>
          <w:szCs w:val="24"/>
          <w:lang w:eastAsia="zh-CN"/>
        </w:rPr>
        <w:t>按合同单价*检测次数</w:t>
      </w:r>
      <w:r>
        <w:rPr>
          <w:rFonts w:hAnsi="宋体"/>
          <w:sz w:val="24"/>
          <w:szCs w:val="24"/>
          <w:lang w:eastAsia="zh-CN"/>
        </w:rPr>
        <w:t>，据实结算，乙方在移交符合要求的</w:t>
      </w:r>
      <w:r>
        <w:rPr>
          <w:rFonts w:hint="eastAsia" w:hAnsi="宋体"/>
          <w:sz w:val="24"/>
          <w:szCs w:val="24"/>
          <w:lang w:eastAsia="zh-CN"/>
        </w:rPr>
        <w:t>报告</w:t>
      </w:r>
      <w:r>
        <w:rPr>
          <w:rFonts w:hAnsi="宋体"/>
          <w:sz w:val="24"/>
          <w:szCs w:val="24"/>
          <w:lang w:eastAsia="zh-CN"/>
        </w:rPr>
        <w:t>，由甲方确认无误后，30个工作日内开具相应</w:t>
      </w:r>
      <w:r>
        <w:rPr>
          <w:rFonts w:hAnsi="宋体"/>
          <w:sz w:val="24"/>
          <w:szCs w:val="24"/>
          <w:u w:val="single"/>
          <w:lang w:eastAsia="zh-CN"/>
        </w:rPr>
        <w:t xml:space="preserve"> </w:t>
      </w:r>
      <w:r>
        <w:rPr>
          <w:rFonts w:hint="eastAsia" w:hAnsi="宋体"/>
          <w:sz w:val="24"/>
          <w:szCs w:val="24"/>
          <w:u w:val="single"/>
          <w:lang w:val="en-US" w:eastAsia="zh-CN"/>
        </w:rPr>
        <w:t xml:space="preserve">  </w:t>
      </w:r>
      <w:r>
        <w:rPr>
          <w:rFonts w:hAnsi="宋体"/>
          <w:sz w:val="24"/>
          <w:szCs w:val="24"/>
          <w:u w:val="single"/>
          <w:lang w:eastAsia="zh-CN"/>
        </w:rPr>
        <w:t xml:space="preserve"> </w:t>
      </w:r>
      <w:r>
        <w:rPr>
          <w:rFonts w:hint="eastAsia" w:hAnsi="宋体"/>
          <w:sz w:val="24"/>
          <w:szCs w:val="24"/>
          <w:lang w:eastAsia="zh-CN"/>
        </w:rPr>
        <w:t>%</w:t>
      </w:r>
      <w:r>
        <w:rPr>
          <w:rFonts w:hAnsi="宋体"/>
          <w:sz w:val="24"/>
          <w:szCs w:val="24"/>
          <w:lang w:eastAsia="zh-CN"/>
        </w:rPr>
        <w:t>增值税专用发票， 60</w:t>
      </w:r>
      <w:r>
        <w:rPr>
          <w:rFonts w:hint="eastAsia" w:hAnsi="宋体"/>
          <w:sz w:val="24"/>
          <w:szCs w:val="24"/>
          <w:lang w:eastAsia="zh-CN"/>
        </w:rPr>
        <w:t>个工作日内将检测费用转帐至乙方</w:t>
      </w:r>
      <w:r>
        <w:rPr>
          <w:rFonts w:hint="eastAsia" w:asciiTheme="minorEastAsia" w:hAnsiTheme="minorEastAsia" w:eastAsiaTheme="minorEastAsia"/>
          <w:color w:val="000000"/>
          <w:sz w:val="24"/>
          <w:szCs w:val="24"/>
          <w:lang w:eastAsia="zh-CN"/>
        </w:rPr>
        <w:t xml:space="preserve">以下账户： </w:t>
      </w:r>
    </w:p>
    <w:p w14:paraId="4F3BC10B">
      <w:pPr>
        <w:adjustRightInd w:val="0"/>
        <w:snapToGrid w:val="0"/>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名  称：</w:t>
      </w:r>
    </w:p>
    <w:p w14:paraId="782B8F58">
      <w:pPr>
        <w:adjustRightInd w:val="0"/>
        <w:snapToGrid w:val="0"/>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账  号:</w:t>
      </w:r>
    </w:p>
    <w:p w14:paraId="542ED684">
      <w:pPr>
        <w:adjustRightInd w:val="0"/>
        <w:snapToGrid w:val="0"/>
        <w:spacing w:line="360" w:lineRule="auto"/>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开户行：</w:t>
      </w:r>
    </w:p>
    <w:p w14:paraId="2EA3358E">
      <w:pPr>
        <w:adjustRightInd w:val="0"/>
        <w:snapToGrid w:val="0"/>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乙方应在甲方付款期限届满</w:t>
      </w:r>
      <w:r>
        <w:rPr>
          <w:rFonts w:asciiTheme="minorEastAsia" w:hAnsiTheme="minorEastAsia" w:eastAsiaTheme="minorEastAsia"/>
          <w:color w:val="000000"/>
          <w:sz w:val="24"/>
          <w:szCs w:val="24"/>
          <w:lang w:eastAsia="zh-CN"/>
        </w:rPr>
        <w:t xml:space="preserve"> 7 </w:t>
      </w:r>
      <w:r>
        <w:rPr>
          <w:rFonts w:hint="eastAsia" w:asciiTheme="minorEastAsia" w:hAnsiTheme="minorEastAsia" w:eastAsiaTheme="minorEastAsia"/>
          <w:color w:val="000000"/>
          <w:sz w:val="24"/>
          <w:szCs w:val="24"/>
          <w:lang w:eastAsia="zh-CN"/>
        </w:rPr>
        <w:t>日前提供对应全额的</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val="en-US" w:eastAsia="zh-CN"/>
        </w:rPr>
        <w:t xml:space="preserve"> </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%增值税专用发票，否则甲方有权顺延付款。</w:t>
      </w:r>
    </w:p>
    <w:p w14:paraId="0AAB50D3">
      <w:pPr>
        <w:spacing w:line="360" w:lineRule="auto"/>
        <w:ind w:firstLine="480" w:firstLineChars="200"/>
        <w:rPr>
          <w:rStyle w:val="98"/>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九、违约责任：</w:t>
      </w:r>
    </w:p>
    <w:p w14:paraId="6236FF85">
      <w:pPr>
        <w:pStyle w:val="16"/>
        <w:spacing w:line="360" w:lineRule="auto"/>
        <w:ind w:firstLine="480" w:firstLineChars="200"/>
        <w:rPr>
          <w:rStyle w:val="98"/>
          <w:rFonts w:asciiTheme="minorEastAsia" w:hAnsiTheme="minorEastAsia"/>
          <w:color w:val="000000"/>
          <w:sz w:val="24"/>
          <w:szCs w:val="24"/>
        </w:rPr>
      </w:pPr>
      <w:r>
        <w:rPr>
          <w:rStyle w:val="98"/>
          <w:rFonts w:hint="eastAsia" w:asciiTheme="minorEastAsia" w:hAnsiTheme="minorEastAsia"/>
          <w:color w:val="000000"/>
          <w:sz w:val="24"/>
          <w:szCs w:val="24"/>
        </w:rPr>
        <w:t>1.乙方逾期提交报告的，每日应向甲方支付当次检测费用1%的违约金，逾期超过</w:t>
      </w:r>
      <w:r>
        <w:rPr>
          <w:rFonts w:hint="eastAsia" w:asciiTheme="minorEastAsia" w:hAnsiTheme="minorEastAsia"/>
          <w:color w:val="000000"/>
          <w:sz w:val="24"/>
          <w:szCs w:val="24"/>
          <w:u w:val="single"/>
        </w:rPr>
        <w:t>15</w:t>
      </w:r>
      <w:r>
        <w:rPr>
          <w:rFonts w:asciiTheme="minorEastAsia" w:hAnsiTheme="minorEastAsia"/>
          <w:color w:val="000000"/>
          <w:sz w:val="24"/>
          <w:szCs w:val="24"/>
          <w:u w:val="single"/>
        </w:rPr>
        <w:t xml:space="preserve"> </w:t>
      </w:r>
      <w:r>
        <w:rPr>
          <w:rStyle w:val="98"/>
          <w:rFonts w:hint="eastAsia" w:asciiTheme="minorEastAsia" w:hAnsiTheme="minorEastAsia"/>
          <w:color w:val="000000"/>
          <w:sz w:val="24"/>
          <w:szCs w:val="24"/>
        </w:rPr>
        <w:t>日的，甲方还有权解除本合同并要求乙方</w:t>
      </w:r>
      <w:r>
        <w:rPr>
          <w:rFonts w:hint="eastAsia" w:asciiTheme="minorEastAsia" w:hAnsiTheme="minorEastAsia"/>
          <w:sz w:val="24"/>
          <w:szCs w:val="24"/>
        </w:rPr>
        <w:t>支付合同总额</w:t>
      </w:r>
      <w:r>
        <w:rPr>
          <w:rFonts w:asciiTheme="minorEastAsia" w:hAnsiTheme="minorEastAsia"/>
          <w:sz w:val="24"/>
          <w:szCs w:val="24"/>
          <w:u w:val="single"/>
        </w:rPr>
        <w:t>20%</w:t>
      </w:r>
      <w:r>
        <w:rPr>
          <w:rFonts w:hint="eastAsia" w:asciiTheme="minorEastAsia" w:hAnsiTheme="minorEastAsia"/>
          <w:sz w:val="24"/>
          <w:szCs w:val="24"/>
        </w:rPr>
        <w:t>的违约金</w:t>
      </w:r>
      <w:r>
        <w:rPr>
          <w:rStyle w:val="98"/>
          <w:rFonts w:hint="eastAsia" w:asciiTheme="minorEastAsia" w:hAnsiTheme="minorEastAsia"/>
          <w:color w:val="000000"/>
          <w:sz w:val="24"/>
          <w:szCs w:val="24"/>
        </w:rPr>
        <w:t>。</w:t>
      </w:r>
    </w:p>
    <w:p w14:paraId="240B0CF7">
      <w:pPr>
        <w:spacing w:line="360" w:lineRule="auto"/>
        <w:ind w:firstLine="480" w:firstLineChars="200"/>
        <w:rPr>
          <w:rStyle w:val="98"/>
          <w:rFonts w:asciiTheme="minorEastAsia" w:hAnsiTheme="minorEastAsia" w:eastAsiaTheme="minorEastAsia"/>
          <w:color w:val="000000"/>
          <w:sz w:val="24"/>
          <w:szCs w:val="24"/>
          <w:lang w:eastAsia="zh-CN"/>
        </w:rPr>
      </w:pPr>
      <w:r>
        <w:rPr>
          <w:rStyle w:val="98"/>
          <w:rFonts w:hint="eastAsia" w:asciiTheme="minorEastAsia" w:hAnsiTheme="minorEastAsia" w:eastAsiaTheme="minorEastAsia"/>
          <w:color w:val="000000"/>
          <w:sz w:val="24"/>
          <w:szCs w:val="24"/>
          <w:lang w:eastAsia="zh-CN"/>
        </w:rPr>
        <w:t>2.乙方提交的检测报告不符合合同约定的，应在甲方指定期限内修改完善直至符合合同约定为止，由此造成逾期提交的，按照第（1）项约定执行。</w:t>
      </w:r>
    </w:p>
    <w:p w14:paraId="4BCCDCDB">
      <w:pPr>
        <w:spacing w:line="360" w:lineRule="auto"/>
        <w:ind w:firstLine="480" w:firstLineChars="200"/>
        <w:rPr>
          <w:rStyle w:val="98"/>
          <w:rFonts w:asciiTheme="minorEastAsia" w:hAnsiTheme="minorEastAsia" w:eastAsiaTheme="minorEastAsia"/>
          <w:color w:val="000000"/>
          <w:sz w:val="24"/>
          <w:szCs w:val="24"/>
          <w:lang w:eastAsia="zh-CN"/>
        </w:rPr>
      </w:pPr>
      <w:r>
        <w:rPr>
          <w:rStyle w:val="98"/>
          <w:rFonts w:hint="eastAsia" w:asciiTheme="minorEastAsia" w:hAnsiTheme="minorEastAsia" w:eastAsiaTheme="minorEastAsia"/>
          <w:color w:val="000000"/>
          <w:sz w:val="24"/>
          <w:szCs w:val="24"/>
          <w:lang w:eastAsia="zh-CN"/>
        </w:rPr>
        <w:t>3.乙方违反保密义务，应向甲方支付违约金</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1000</w:t>
      </w:r>
      <w:r>
        <w:rPr>
          <w:rFonts w:asciiTheme="minorEastAsia" w:hAnsiTheme="minorEastAsia" w:eastAsiaTheme="minorEastAsia"/>
          <w:color w:val="000000"/>
          <w:sz w:val="24"/>
          <w:szCs w:val="24"/>
          <w:u w:val="single"/>
          <w:lang w:eastAsia="zh-CN"/>
        </w:rPr>
        <w:t xml:space="preserve">  </w:t>
      </w:r>
      <w:r>
        <w:rPr>
          <w:rStyle w:val="98"/>
          <w:rFonts w:hint="eastAsia" w:asciiTheme="minorEastAsia" w:hAnsiTheme="minorEastAsia" w:eastAsiaTheme="minorEastAsia"/>
          <w:color w:val="000000"/>
          <w:sz w:val="24"/>
          <w:szCs w:val="24"/>
          <w:lang w:eastAsia="zh-CN"/>
        </w:rPr>
        <w:t>元，并赔偿由此给甲方造成的损失。</w:t>
      </w:r>
    </w:p>
    <w:p w14:paraId="194EE6E6">
      <w:pPr>
        <w:spacing w:line="360" w:lineRule="auto"/>
        <w:ind w:firstLine="480" w:firstLineChars="200"/>
        <w:rPr>
          <w:rStyle w:val="98"/>
          <w:rFonts w:asciiTheme="minorEastAsia" w:hAnsiTheme="minorEastAsia" w:eastAsiaTheme="minorEastAsia"/>
          <w:color w:val="000000"/>
          <w:sz w:val="24"/>
          <w:szCs w:val="24"/>
          <w:lang w:eastAsia="zh-CN"/>
        </w:rPr>
      </w:pPr>
      <w:r>
        <w:rPr>
          <w:rStyle w:val="98"/>
          <w:rFonts w:hint="eastAsia" w:asciiTheme="minorEastAsia" w:hAnsiTheme="minorEastAsia" w:eastAsiaTheme="minorEastAsia"/>
          <w:color w:val="000000"/>
          <w:sz w:val="24"/>
          <w:szCs w:val="24"/>
          <w:lang w:eastAsia="zh-CN"/>
        </w:rPr>
        <w:t>4.</w:t>
      </w:r>
      <w:r>
        <w:rPr>
          <w:rFonts w:hint="eastAsia" w:asciiTheme="minorEastAsia" w:hAnsiTheme="minorEastAsia" w:eastAsiaTheme="minorEastAsia"/>
          <w:sz w:val="24"/>
          <w:szCs w:val="24"/>
          <w:lang w:eastAsia="zh-CN"/>
        </w:rPr>
        <w:t>乙方无正当理由单方解除合同的，应向甲方支付合同总额20%的违约金，并赔偿甲方损失。</w:t>
      </w:r>
    </w:p>
    <w:p w14:paraId="1513EACB">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十、其他约定： </w:t>
      </w:r>
    </w:p>
    <w:p w14:paraId="44979F06">
      <w:pPr>
        <w:pStyle w:val="16"/>
        <w:spacing w:line="360" w:lineRule="auto"/>
        <w:ind w:firstLine="480" w:firstLineChars="200"/>
        <w:rPr>
          <w:rStyle w:val="98"/>
          <w:rFonts w:asciiTheme="minorEastAsia" w:hAnsiTheme="minorEastAsia" w:eastAsiaTheme="minorEastAsia"/>
          <w:sz w:val="24"/>
          <w:szCs w:val="24"/>
        </w:rPr>
      </w:pPr>
      <w:r>
        <w:rPr>
          <w:rStyle w:val="98"/>
          <w:rFonts w:hint="eastAsia" w:asciiTheme="minorEastAsia" w:hAnsiTheme="minorEastAsia" w:eastAsiaTheme="minorEastAsia"/>
          <w:color w:val="000000"/>
          <w:sz w:val="24"/>
          <w:szCs w:val="24"/>
        </w:rPr>
        <w:t>1.在检测结果的实际运用中，如有证据证明乙方存在弄虚作假等违反本合同约定的情形，甲方仍有权</w:t>
      </w:r>
      <w:r>
        <w:rPr>
          <w:rFonts w:hint="eastAsia" w:asciiTheme="minorEastAsia" w:hAnsiTheme="minorEastAsia" w:eastAsiaTheme="minorEastAsia"/>
          <w:sz w:val="24"/>
          <w:szCs w:val="24"/>
        </w:rPr>
        <w:t>解除合同，并拒绝支付任何费用</w:t>
      </w:r>
      <w:r>
        <w:rPr>
          <w:rStyle w:val="98"/>
          <w:rFonts w:hint="eastAsia" w:asciiTheme="minorEastAsia" w:hAnsiTheme="minorEastAsia" w:eastAsiaTheme="minorEastAsia"/>
          <w:color w:val="000000"/>
          <w:sz w:val="24"/>
          <w:szCs w:val="24"/>
        </w:rPr>
        <w:t>。</w:t>
      </w:r>
    </w:p>
    <w:p w14:paraId="2B0DBCCB">
      <w:pPr>
        <w:spacing w:line="360" w:lineRule="auto"/>
        <w:ind w:firstLine="480" w:firstLineChars="200"/>
        <w:rPr>
          <w:rStyle w:val="98"/>
          <w:rFonts w:asciiTheme="minorEastAsia" w:hAnsiTheme="minorEastAsia" w:eastAsiaTheme="minorEastAsia"/>
          <w:color w:val="000000"/>
          <w:sz w:val="24"/>
          <w:szCs w:val="24"/>
          <w:lang w:eastAsia="zh-CN"/>
        </w:rPr>
      </w:pPr>
      <w:r>
        <w:rPr>
          <w:rStyle w:val="98"/>
          <w:rFonts w:hint="eastAsia" w:asciiTheme="minorEastAsia" w:hAnsiTheme="minorEastAsia" w:eastAsiaTheme="minorEastAsia"/>
          <w:color w:val="000000"/>
          <w:sz w:val="24"/>
          <w:szCs w:val="24"/>
          <w:lang w:eastAsia="zh-CN"/>
        </w:rPr>
        <w:t>2.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214339E">
      <w:pPr>
        <w:pStyle w:val="16"/>
        <w:spacing w:line="360" w:lineRule="auto"/>
        <w:ind w:firstLine="480" w:firstLineChars="200"/>
        <w:rPr>
          <w:rStyle w:val="98"/>
          <w:rFonts w:asciiTheme="minorEastAsia" w:hAnsiTheme="minorEastAsia" w:eastAsiaTheme="minorEastAsia"/>
          <w:sz w:val="24"/>
          <w:szCs w:val="24"/>
        </w:rPr>
      </w:pPr>
      <w:r>
        <w:rPr>
          <w:rStyle w:val="98"/>
          <w:rFonts w:hint="eastAsia" w:asciiTheme="minorEastAsia" w:hAnsiTheme="minorEastAsia" w:eastAsiaTheme="minorEastAsia"/>
          <w:color w:val="000000"/>
          <w:sz w:val="24"/>
          <w:szCs w:val="24"/>
        </w:rPr>
        <w:t>3.如乙方在甲方现场提供检测服务，应遵守甲方相关管理规定。检测过程中的安全责任由乙方自行</w:t>
      </w:r>
      <w:r>
        <w:rPr>
          <w:rFonts w:hint="eastAsia" w:asciiTheme="minorEastAsia" w:hAnsiTheme="minorEastAsia" w:eastAsiaTheme="minorEastAsia"/>
          <w:sz w:val="24"/>
          <w:szCs w:val="24"/>
        </w:rPr>
        <w:t>解除合同，并拒绝支付任何费用</w:t>
      </w:r>
      <w:r>
        <w:rPr>
          <w:rStyle w:val="98"/>
          <w:rFonts w:hint="eastAsia" w:asciiTheme="minorEastAsia" w:hAnsiTheme="minorEastAsia" w:eastAsiaTheme="minorEastAsia"/>
          <w:color w:val="000000"/>
          <w:sz w:val="24"/>
          <w:szCs w:val="24"/>
        </w:rPr>
        <w:t>。</w:t>
      </w:r>
    </w:p>
    <w:p w14:paraId="7EDB8CA5">
      <w:pPr>
        <w:spacing w:line="360" w:lineRule="auto"/>
        <w:ind w:firstLine="480" w:firstLineChars="200"/>
        <w:rPr>
          <w:rStyle w:val="98"/>
          <w:rFonts w:asciiTheme="minorEastAsia" w:hAnsiTheme="minorEastAsia" w:eastAsiaTheme="minorEastAsia"/>
          <w:color w:val="000000"/>
          <w:sz w:val="24"/>
          <w:szCs w:val="24"/>
          <w:lang w:eastAsia="zh-CN"/>
        </w:rPr>
      </w:pPr>
      <w:r>
        <w:rPr>
          <w:rStyle w:val="98"/>
          <w:rFonts w:hint="eastAsia" w:asciiTheme="minorEastAsia" w:hAnsiTheme="minorEastAsia" w:eastAsiaTheme="minorEastAsia"/>
          <w:color w:val="000000"/>
          <w:sz w:val="24"/>
          <w:szCs w:val="24"/>
          <w:lang w:eastAsia="zh-CN"/>
        </w:rPr>
        <w:t>4.双方之间如因本合同的履行发生纠纷，可协商解决，也可直接向甲方所在地人民法院提起诉讼。</w:t>
      </w:r>
    </w:p>
    <w:p w14:paraId="22BC068E">
      <w:pPr>
        <w:spacing w:line="360"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十一、本协议一式</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肆</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份，双方签订后生效，甲方执</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 xml:space="preserve">叁 </w:t>
      </w:r>
      <w:r>
        <w:rPr>
          <w:rFonts w:hint="eastAsia" w:asciiTheme="minorEastAsia" w:hAnsiTheme="minorEastAsia" w:eastAsiaTheme="minorEastAsia"/>
          <w:color w:val="000000"/>
          <w:sz w:val="24"/>
          <w:szCs w:val="24"/>
          <w:lang w:eastAsia="zh-CN"/>
        </w:rPr>
        <w:t>份，乙方执</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u w:val="single"/>
          <w:lang w:eastAsia="zh-CN"/>
        </w:rPr>
        <w:t>壹</w:t>
      </w:r>
      <w:r>
        <w:rPr>
          <w:rFonts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份，具有同等法律效力。</w:t>
      </w:r>
    </w:p>
    <w:p w14:paraId="37F06C8D">
      <w:pPr>
        <w:spacing w:line="480" w:lineRule="exact"/>
        <w:rPr>
          <w:rFonts w:asciiTheme="minorEastAsia" w:hAnsiTheme="minorEastAsia" w:eastAsiaTheme="minorEastAsia"/>
          <w:color w:val="000000"/>
          <w:sz w:val="24"/>
          <w:szCs w:val="24"/>
          <w:lang w:eastAsia="zh-CN"/>
        </w:rPr>
      </w:pPr>
    </w:p>
    <w:p w14:paraId="5DA564E9">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甲方：腾龙芳烃（漳州）有限公司     </w:t>
      </w:r>
    </w:p>
    <w:p w14:paraId="18EF1640">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地址：福建省漳州市漳浦县古雷开发区腾龙路84号                                   </w:t>
      </w:r>
    </w:p>
    <w:p w14:paraId="670A9103">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签订日期：</w:t>
      </w:r>
      <w:r>
        <w:rPr>
          <w:rFonts w:asciiTheme="minorEastAsia" w:hAnsiTheme="minorEastAsia" w:eastAsiaTheme="minorEastAsia"/>
          <w:color w:val="000000"/>
          <w:sz w:val="24"/>
          <w:szCs w:val="24"/>
          <w:lang w:eastAsia="zh-CN"/>
        </w:rPr>
        <w:t xml:space="preserve"> </w:t>
      </w:r>
    </w:p>
    <w:p w14:paraId="0F19B49F">
      <w:pPr>
        <w:spacing w:line="480" w:lineRule="exact"/>
        <w:ind w:firstLine="240" w:firstLineChars="100"/>
        <w:rPr>
          <w:rFonts w:asciiTheme="minorEastAsia" w:hAnsiTheme="minorEastAsia" w:eastAsiaTheme="minorEastAsia"/>
          <w:color w:val="000000"/>
          <w:sz w:val="24"/>
          <w:szCs w:val="24"/>
          <w:lang w:eastAsia="zh-CN"/>
        </w:rPr>
      </w:pPr>
    </w:p>
    <w:p w14:paraId="0579A423">
      <w:pPr>
        <w:spacing w:line="480" w:lineRule="exact"/>
        <w:ind w:firstLine="240" w:firstLineChars="100"/>
        <w:rPr>
          <w:rFonts w:asciiTheme="minorEastAsia" w:hAnsiTheme="minorEastAsia" w:eastAsiaTheme="minorEastAsia"/>
          <w:color w:val="000000"/>
          <w:sz w:val="24"/>
          <w:szCs w:val="24"/>
          <w:lang w:eastAsia="zh-CN"/>
        </w:rPr>
      </w:pPr>
    </w:p>
    <w:p w14:paraId="79E355EC">
      <w:pPr>
        <w:spacing w:line="480" w:lineRule="exact"/>
        <w:ind w:firstLine="240" w:firstLineChars="100"/>
        <w:rPr>
          <w:rFonts w:asciiTheme="minorEastAsia" w:hAnsiTheme="minorEastAsia" w:eastAsiaTheme="minorEastAsia"/>
          <w:color w:val="000000"/>
          <w:sz w:val="24"/>
          <w:szCs w:val="24"/>
          <w:lang w:eastAsia="zh-CN"/>
        </w:rPr>
      </w:pPr>
    </w:p>
    <w:p w14:paraId="50E3412A">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乙方：</w:t>
      </w:r>
      <w:r>
        <w:rPr>
          <w:rFonts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color w:val="000000"/>
          <w:sz w:val="24"/>
          <w:szCs w:val="24"/>
          <w:lang w:eastAsia="zh-CN"/>
        </w:rPr>
        <w:t xml:space="preserve"> </w:t>
      </w:r>
      <w:r>
        <w:rPr>
          <w:rFonts w:asciiTheme="minorEastAsia" w:hAnsiTheme="minorEastAsia" w:eastAsiaTheme="minorEastAsia"/>
          <w:color w:val="000000"/>
          <w:sz w:val="24"/>
          <w:szCs w:val="24"/>
          <w:lang w:eastAsia="zh-CN"/>
        </w:rPr>
        <w:t xml:space="preserve"> </w:t>
      </w:r>
    </w:p>
    <w:p w14:paraId="290CA680">
      <w:pPr>
        <w:widowControl/>
        <w:spacing w:line="480" w:lineRule="exact"/>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color w:val="000000"/>
          <w:sz w:val="24"/>
          <w:szCs w:val="24"/>
          <w:lang w:eastAsia="zh-CN"/>
        </w:rPr>
        <w:t>地址：</w:t>
      </w:r>
    </w:p>
    <w:p w14:paraId="3232A79C">
      <w:pPr>
        <w:spacing w:line="480" w:lineRule="exact"/>
        <w:ind w:firstLine="240" w:firstLineChars="1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签订日期： </w:t>
      </w:r>
    </w:p>
    <w:p w14:paraId="73132998">
      <w:pPr>
        <w:widowControl/>
        <w:spacing w:line="480" w:lineRule="exact"/>
        <w:ind w:firstLine="240" w:firstLineChars="100"/>
        <w:rPr>
          <w:rFonts w:asciiTheme="minorEastAsia" w:hAnsiTheme="minorEastAsia" w:eastAsiaTheme="minorEastAsia"/>
          <w:color w:val="000000"/>
          <w:sz w:val="24"/>
          <w:szCs w:val="24"/>
          <w:lang w:eastAsia="zh-CN"/>
        </w:rPr>
      </w:pPr>
    </w:p>
    <w:p w14:paraId="6513FC13">
      <w:pPr>
        <w:spacing w:line="480" w:lineRule="exact"/>
        <w:rPr>
          <w:sz w:val="24"/>
          <w:szCs w:val="24"/>
          <w:lang w:eastAsia="zh-CN"/>
        </w:rPr>
      </w:pPr>
    </w:p>
    <w:bookmarkEnd w:id="0"/>
    <w:p w14:paraId="72E95652">
      <w:pPr>
        <w:widowControl/>
        <w:autoSpaceDE/>
        <w:autoSpaceDN/>
        <w:rPr>
          <w:rFonts w:hAnsi="Calibri" w:cs="Times New Roman"/>
          <w:b/>
          <w:bCs/>
          <w:sz w:val="24"/>
          <w:szCs w:val="24"/>
          <w:lang w:eastAsia="zh-CN"/>
        </w:rPr>
      </w:pPr>
    </w:p>
    <w:sectPr>
      <w:footerReference r:id="rId3"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G Times">
    <w:panose1 w:val="02020603050405020304"/>
    <w:charset w:val="00"/>
    <w:family w:val="roman"/>
    <w:pitch w:val="default"/>
    <w:sig w:usb0="00000007"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CC47">
    <w:pPr>
      <w:pStyle w:val="19"/>
      <w:spacing w:line="14" w:lineRule="auto"/>
      <w:rPr>
        <w:sz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Text Box 1040"/>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4A60E9A5">
                          <w:pPr>
                            <w:pStyle w:val="29"/>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40"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rGhd/QEAAAQEAAAOAAAAZHJzL2Uyb0RvYy54bWytU8Fu2zAMvQ/Y&#10;Pwi6L467ZFuNOEXXIMOArhvQ9gNkWY6FWaJAKbGzrx8lx2nXXnrYRaAk6vG9R2p1NZiOHRR6Dbbk&#10;+WzOmbISam13JX982H74wpkPwtaiA6tKflSeX63fv1v1rlAX0EJXK2QEYn3Ru5K3Ibgiy7xslRF+&#10;Bk5ZumwAjQi0xV1Wo+gJ3XTZxXz+KesBa4cglfd0uhkv+QkR3wIITaOl2oDcG2XDiIqqE4Ek+VY7&#10;z9eJbdMoGX42jVeBdSUnpSGtVITiKq7ZeiWKHQrXanmiIN5C4YUmI7SlomeojQiC7VG/gjJaInho&#10;wkyCyUYhyRFSkc9feHPfCqeSFrLau7Pp/v/ByrvDL2S6pkngzApDDX9QQ2BfYWD5fJEM6p0vKO/e&#10;UWYY6CYmR7He3YL87ZmFm1bYnbpGhL5VoiaCebQ2e/Y0tsTTEwKp+h9QUyWxD5CAhgZNBCQ/GKFT&#10;c47n5kQ2MpbMF5cfl5xJusoXny+Xy1RBFNNjhz58U2BYDEqO1PsELg63PkQyophSYi0LW911qf+d&#10;/eeAEuNJIh/5jszDUA2UHUVUUB9JBsI4TvSZKGgB/3DW0yiV3NLP4az7bsmIOHVTgFNQTYGwkh6W&#10;PHA2hjdhnM69Q71rCXey+prM2uok5InDiSUNR9J3GuQ4fc/3Kevp86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ulvw/RAAAAAwEAAA8AAAAAAAAAAQAgAAAAIgAAAGRycy9kb3ducmV2LnhtbFBL&#10;AQIUABQAAAAIAIdO4kBmrGhd/QEAAAQEAAAOAAAAAAAAAAEAIAAAACABAABkcnMvZTJvRG9jLnht&#10;bFBLBQYAAAAABgAGAFkBAACPBQAAAAA=&#10;">
              <v:fill on="f" focussize="0,0"/>
              <v:stroke on="f"/>
              <v:imagedata o:title=""/>
              <o:lock v:ext="edit" aspectratio="f"/>
              <v:textbox inset="0mm,0mm,0mm,0mm" style="mso-fit-shape-to-text:t;">
                <w:txbxContent>
                  <w:p w14:paraId="4A60E9A5">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B5B3F"/>
    <w:multiLevelType w:val="singleLevel"/>
    <w:tmpl w:val="B75B5B3F"/>
    <w:lvl w:ilvl="0" w:tentative="0">
      <w:start w:val="2"/>
      <w:numFmt w:val="chineseCounting"/>
      <w:suff w:val="nothing"/>
      <w:lvlText w:val="%1、"/>
      <w:lvlJc w:val="left"/>
      <w:rPr>
        <w:rFonts w:hint="eastAsia"/>
      </w:rPr>
    </w:lvl>
  </w:abstractNum>
  <w:abstractNum w:abstractNumId="1">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lvlText w:val="第%2节"/>
      <w:lvlJc w:val="left"/>
      <w:pPr>
        <w:tabs>
          <w:tab w:val="left" w:pos="992"/>
        </w:tabs>
        <w:ind w:left="0" w:firstLine="0"/>
      </w:pPr>
      <w:rPr>
        <w:rFonts w:hint="eastAsia" w:ascii="宋体" w:eastAsia="宋体"/>
        <w:b/>
        <w:i w:val="0"/>
        <w:sz w:val="30"/>
        <w:szCs w:val="30"/>
      </w:rPr>
    </w:lvl>
    <w:lvl w:ilvl="2" w:tentative="0">
      <w:start w:val="1"/>
      <w:numFmt w:val="decimal"/>
      <w:lvlText w:val="%3"/>
      <w:lvlJc w:val="left"/>
      <w:pPr>
        <w:tabs>
          <w:tab w:val="left" w:pos="567"/>
        </w:tabs>
        <w:ind w:left="0" w:firstLine="0"/>
      </w:pPr>
      <w:rPr>
        <w:rFonts w:hint="eastAsia" w:ascii="宋体" w:eastAsia="宋体"/>
        <w:b/>
        <w:i w:val="0"/>
        <w:sz w:val="24"/>
        <w:szCs w:val="24"/>
      </w:rPr>
    </w:lvl>
    <w:lvl w:ilvl="3" w:tentative="0">
      <w:start w:val="1"/>
      <w:numFmt w:val="decimal"/>
      <w:lvlText w:val="%3.%4"/>
      <w:lvlJc w:val="left"/>
      <w:pPr>
        <w:tabs>
          <w:tab w:val="left" w:pos="737"/>
        </w:tabs>
        <w:ind w:left="0" w:firstLine="284"/>
      </w:pPr>
      <w:rPr>
        <w:rFonts w:hint="eastAsia" w:ascii="宋体" w:eastAsia="宋体"/>
        <w:b/>
        <w:i w:val="0"/>
        <w:sz w:val="24"/>
        <w:szCs w:val="24"/>
      </w:rPr>
    </w:lvl>
    <w:lvl w:ilvl="4" w:tentative="0">
      <w:start w:val="1"/>
      <w:numFmt w:val="decimal"/>
      <w:lvlText w:val="6.4.%5"/>
      <w:lvlJc w:val="left"/>
      <w:pPr>
        <w:tabs>
          <w:tab w:val="left" w:pos="907"/>
        </w:tabs>
        <w:ind w:left="0" w:firstLine="0"/>
      </w:pPr>
      <w:rPr>
        <w:rFonts w:hint="eastAsia" w:ascii="宋体" w:eastAsia="宋体"/>
        <w:b w:val="0"/>
        <w:i w:val="0"/>
        <w:sz w:val="24"/>
        <w:szCs w:val="24"/>
      </w:rPr>
    </w:lvl>
    <w:lvl w:ilvl="5" w:tentative="0">
      <w:start w:val="1"/>
      <w:numFmt w:val="decimal"/>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jYjA2YmU3M2I2NGI0OTZmODA4YTY5NzhiM2Q0NjEifQ=="/>
  </w:docVars>
  <w:rsids>
    <w:rsidRoot w:val="00967702"/>
    <w:rsid w:val="000004E6"/>
    <w:rsid w:val="000010FA"/>
    <w:rsid w:val="00001416"/>
    <w:rsid w:val="000034C1"/>
    <w:rsid w:val="00004279"/>
    <w:rsid w:val="00004C5E"/>
    <w:rsid w:val="000063E0"/>
    <w:rsid w:val="0001663C"/>
    <w:rsid w:val="00025717"/>
    <w:rsid w:val="000277D1"/>
    <w:rsid w:val="000367ED"/>
    <w:rsid w:val="00037CA5"/>
    <w:rsid w:val="00037D7F"/>
    <w:rsid w:val="00040A4D"/>
    <w:rsid w:val="00040C62"/>
    <w:rsid w:val="000456D2"/>
    <w:rsid w:val="00052C0E"/>
    <w:rsid w:val="0005742F"/>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D5C7C"/>
    <w:rsid w:val="000E3C2F"/>
    <w:rsid w:val="000E505B"/>
    <w:rsid w:val="000F05A2"/>
    <w:rsid w:val="000F116F"/>
    <w:rsid w:val="000F15E9"/>
    <w:rsid w:val="000F27AD"/>
    <w:rsid w:val="000F374D"/>
    <w:rsid w:val="000F39C1"/>
    <w:rsid w:val="000F4255"/>
    <w:rsid w:val="00101100"/>
    <w:rsid w:val="0010171A"/>
    <w:rsid w:val="0010450D"/>
    <w:rsid w:val="00104D36"/>
    <w:rsid w:val="0011079D"/>
    <w:rsid w:val="00111D19"/>
    <w:rsid w:val="001150C5"/>
    <w:rsid w:val="001211A2"/>
    <w:rsid w:val="00121A00"/>
    <w:rsid w:val="00122E24"/>
    <w:rsid w:val="00123574"/>
    <w:rsid w:val="0012681B"/>
    <w:rsid w:val="00127CD8"/>
    <w:rsid w:val="00130886"/>
    <w:rsid w:val="00131269"/>
    <w:rsid w:val="00133320"/>
    <w:rsid w:val="00135351"/>
    <w:rsid w:val="0013584D"/>
    <w:rsid w:val="00135AC9"/>
    <w:rsid w:val="0013649F"/>
    <w:rsid w:val="001374E2"/>
    <w:rsid w:val="00137A1B"/>
    <w:rsid w:val="00141E4D"/>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3031"/>
    <w:rsid w:val="00185C58"/>
    <w:rsid w:val="001861E4"/>
    <w:rsid w:val="00192465"/>
    <w:rsid w:val="00193470"/>
    <w:rsid w:val="00193817"/>
    <w:rsid w:val="00195D79"/>
    <w:rsid w:val="001969FD"/>
    <w:rsid w:val="00197B75"/>
    <w:rsid w:val="001A05A9"/>
    <w:rsid w:val="001A6EE7"/>
    <w:rsid w:val="001B07AA"/>
    <w:rsid w:val="001B25D7"/>
    <w:rsid w:val="001B2E11"/>
    <w:rsid w:val="001B30D3"/>
    <w:rsid w:val="001B5CD4"/>
    <w:rsid w:val="001B6160"/>
    <w:rsid w:val="001B698B"/>
    <w:rsid w:val="001B6BA4"/>
    <w:rsid w:val="001B75C3"/>
    <w:rsid w:val="001C0DB4"/>
    <w:rsid w:val="001C5843"/>
    <w:rsid w:val="001C6272"/>
    <w:rsid w:val="001D13DE"/>
    <w:rsid w:val="001D59D2"/>
    <w:rsid w:val="001E3C0E"/>
    <w:rsid w:val="001E5406"/>
    <w:rsid w:val="001F14EE"/>
    <w:rsid w:val="001F19E8"/>
    <w:rsid w:val="001F3956"/>
    <w:rsid w:val="001F3D0A"/>
    <w:rsid w:val="001F6040"/>
    <w:rsid w:val="001F6123"/>
    <w:rsid w:val="001F70BA"/>
    <w:rsid w:val="00200CED"/>
    <w:rsid w:val="0020141D"/>
    <w:rsid w:val="00203E83"/>
    <w:rsid w:val="002062DC"/>
    <w:rsid w:val="0021558E"/>
    <w:rsid w:val="00216B6E"/>
    <w:rsid w:val="00216CDC"/>
    <w:rsid w:val="0022539B"/>
    <w:rsid w:val="002265AD"/>
    <w:rsid w:val="00227556"/>
    <w:rsid w:val="002305DA"/>
    <w:rsid w:val="002318C1"/>
    <w:rsid w:val="00233571"/>
    <w:rsid w:val="002336A1"/>
    <w:rsid w:val="00241E6B"/>
    <w:rsid w:val="002420C3"/>
    <w:rsid w:val="00242301"/>
    <w:rsid w:val="002426AB"/>
    <w:rsid w:val="002427A9"/>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6E99"/>
    <w:rsid w:val="00277016"/>
    <w:rsid w:val="00277153"/>
    <w:rsid w:val="00283B9F"/>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2315"/>
    <w:rsid w:val="002B3B47"/>
    <w:rsid w:val="002B5849"/>
    <w:rsid w:val="002B5E82"/>
    <w:rsid w:val="002B6416"/>
    <w:rsid w:val="002B7711"/>
    <w:rsid w:val="002C1AC1"/>
    <w:rsid w:val="002C3C71"/>
    <w:rsid w:val="002C6A2D"/>
    <w:rsid w:val="002D4CF8"/>
    <w:rsid w:val="002E0F0C"/>
    <w:rsid w:val="002E3036"/>
    <w:rsid w:val="002E49DF"/>
    <w:rsid w:val="002E4DB0"/>
    <w:rsid w:val="002E6175"/>
    <w:rsid w:val="002F34BA"/>
    <w:rsid w:val="002F755A"/>
    <w:rsid w:val="002F7D9F"/>
    <w:rsid w:val="00304540"/>
    <w:rsid w:val="003053B9"/>
    <w:rsid w:val="003078C9"/>
    <w:rsid w:val="003102D1"/>
    <w:rsid w:val="003153A4"/>
    <w:rsid w:val="003221F4"/>
    <w:rsid w:val="00322502"/>
    <w:rsid w:val="00322549"/>
    <w:rsid w:val="00324D56"/>
    <w:rsid w:val="00327CE9"/>
    <w:rsid w:val="00331810"/>
    <w:rsid w:val="0033277A"/>
    <w:rsid w:val="003344D9"/>
    <w:rsid w:val="003377F5"/>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5BCC"/>
    <w:rsid w:val="00376FF9"/>
    <w:rsid w:val="0037744D"/>
    <w:rsid w:val="00381036"/>
    <w:rsid w:val="00383DFA"/>
    <w:rsid w:val="003845B6"/>
    <w:rsid w:val="00385474"/>
    <w:rsid w:val="003856F2"/>
    <w:rsid w:val="00387574"/>
    <w:rsid w:val="003A02FA"/>
    <w:rsid w:val="003A2D45"/>
    <w:rsid w:val="003A4A27"/>
    <w:rsid w:val="003A4D02"/>
    <w:rsid w:val="003A60D6"/>
    <w:rsid w:val="003A7C13"/>
    <w:rsid w:val="003B3C4F"/>
    <w:rsid w:val="003B3F6B"/>
    <w:rsid w:val="003B4E5A"/>
    <w:rsid w:val="003B6804"/>
    <w:rsid w:val="003B691B"/>
    <w:rsid w:val="003B7CBD"/>
    <w:rsid w:val="003C1AF2"/>
    <w:rsid w:val="003D17F8"/>
    <w:rsid w:val="003D25F5"/>
    <w:rsid w:val="003D2889"/>
    <w:rsid w:val="003D6174"/>
    <w:rsid w:val="003E37C1"/>
    <w:rsid w:val="003F3600"/>
    <w:rsid w:val="003F5B96"/>
    <w:rsid w:val="003F614D"/>
    <w:rsid w:val="003F6A6B"/>
    <w:rsid w:val="003F6D80"/>
    <w:rsid w:val="004022EC"/>
    <w:rsid w:val="0040283D"/>
    <w:rsid w:val="00403C0C"/>
    <w:rsid w:val="0040417A"/>
    <w:rsid w:val="004045A9"/>
    <w:rsid w:val="00405092"/>
    <w:rsid w:val="0041067B"/>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0FF2"/>
    <w:rsid w:val="00463EC4"/>
    <w:rsid w:val="00465443"/>
    <w:rsid w:val="00465D19"/>
    <w:rsid w:val="00471DDB"/>
    <w:rsid w:val="0047282D"/>
    <w:rsid w:val="00473E51"/>
    <w:rsid w:val="0047402F"/>
    <w:rsid w:val="004815D7"/>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A5DB1"/>
    <w:rsid w:val="004C16AE"/>
    <w:rsid w:val="004C4B54"/>
    <w:rsid w:val="004D367C"/>
    <w:rsid w:val="004D36B2"/>
    <w:rsid w:val="004D6171"/>
    <w:rsid w:val="004D6A19"/>
    <w:rsid w:val="004E6429"/>
    <w:rsid w:val="00500D74"/>
    <w:rsid w:val="00505560"/>
    <w:rsid w:val="00513D5D"/>
    <w:rsid w:val="00514AFE"/>
    <w:rsid w:val="00520EDB"/>
    <w:rsid w:val="00524F6F"/>
    <w:rsid w:val="00532212"/>
    <w:rsid w:val="00533119"/>
    <w:rsid w:val="005339E0"/>
    <w:rsid w:val="005345C8"/>
    <w:rsid w:val="005369F4"/>
    <w:rsid w:val="0054611E"/>
    <w:rsid w:val="00547AD0"/>
    <w:rsid w:val="005518F3"/>
    <w:rsid w:val="00553B30"/>
    <w:rsid w:val="00555E59"/>
    <w:rsid w:val="0056290C"/>
    <w:rsid w:val="00563838"/>
    <w:rsid w:val="00565CF8"/>
    <w:rsid w:val="0057402C"/>
    <w:rsid w:val="0057705C"/>
    <w:rsid w:val="00580C78"/>
    <w:rsid w:val="0058180E"/>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7A"/>
    <w:rsid w:val="005F32BA"/>
    <w:rsid w:val="005F4647"/>
    <w:rsid w:val="005F4BA4"/>
    <w:rsid w:val="00600E34"/>
    <w:rsid w:val="00602A86"/>
    <w:rsid w:val="00602E21"/>
    <w:rsid w:val="00603968"/>
    <w:rsid w:val="00605E48"/>
    <w:rsid w:val="00606A94"/>
    <w:rsid w:val="00613503"/>
    <w:rsid w:val="00614880"/>
    <w:rsid w:val="006149C8"/>
    <w:rsid w:val="006152B6"/>
    <w:rsid w:val="00615EE4"/>
    <w:rsid w:val="006168D9"/>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55818"/>
    <w:rsid w:val="00661CBA"/>
    <w:rsid w:val="006631EB"/>
    <w:rsid w:val="00664A57"/>
    <w:rsid w:val="00664E56"/>
    <w:rsid w:val="00670D8E"/>
    <w:rsid w:val="00672C67"/>
    <w:rsid w:val="00684A17"/>
    <w:rsid w:val="006853EF"/>
    <w:rsid w:val="0068543C"/>
    <w:rsid w:val="00691CD6"/>
    <w:rsid w:val="006940F9"/>
    <w:rsid w:val="00696142"/>
    <w:rsid w:val="00697AA6"/>
    <w:rsid w:val="006A0D50"/>
    <w:rsid w:val="006A232A"/>
    <w:rsid w:val="006A6FF8"/>
    <w:rsid w:val="006A785A"/>
    <w:rsid w:val="006A79DD"/>
    <w:rsid w:val="006A7D0D"/>
    <w:rsid w:val="006A7EA8"/>
    <w:rsid w:val="006B21C2"/>
    <w:rsid w:val="006B3CB3"/>
    <w:rsid w:val="006B4E3A"/>
    <w:rsid w:val="006B5E39"/>
    <w:rsid w:val="006B7273"/>
    <w:rsid w:val="006B79D7"/>
    <w:rsid w:val="006C1395"/>
    <w:rsid w:val="006C1CF2"/>
    <w:rsid w:val="006C21D9"/>
    <w:rsid w:val="006C2992"/>
    <w:rsid w:val="006C2996"/>
    <w:rsid w:val="006C387D"/>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08C1"/>
    <w:rsid w:val="00711047"/>
    <w:rsid w:val="00714008"/>
    <w:rsid w:val="00714DA2"/>
    <w:rsid w:val="00714E93"/>
    <w:rsid w:val="00720604"/>
    <w:rsid w:val="00720B3D"/>
    <w:rsid w:val="007279F5"/>
    <w:rsid w:val="00732878"/>
    <w:rsid w:val="007338CE"/>
    <w:rsid w:val="007338FC"/>
    <w:rsid w:val="00733A20"/>
    <w:rsid w:val="0073742A"/>
    <w:rsid w:val="0074100E"/>
    <w:rsid w:val="007422CA"/>
    <w:rsid w:val="00742D4B"/>
    <w:rsid w:val="00745001"/>
    <w:rsid w:val="00745779"/>
    <w:rsid w:val="00745991"/>
    <w:rsid w:val="00746DBA"/>
    <w:rsid w:val="00747D01"/>
    <w:rsid w:val="0075078E"/>
    <w:rsid w:val="00753C0F"/>
    <w:rsid w:val="007540CE"/>
    <w:rsid w:val="00755E15"/>
    <w:rsid w:val="00756D3B"/>
    <w:rsid w:val="007579F8"/>
    <w:rsid w:val="007601EF"/>
    <w:rsid w:val="00760373"/>
    <w:rsid w:val="00765516"/>
    <w:rsid w:val="007663DB"/>
    <w:rsid w:val="0077340B"/>
    <w:rsid w:val="00774B0C"/>
    <w:rsid w:val="0078000C"/>
    <w:rsid w:val="007835A6"/>
    <w:rsid w:val="00783DB3"/>
    <w:rsid w:val="007852EA"/>
    <w:rsid w:val="00786BE0"/>
    <w:rsid w:val="00794F72"/>
    <w:rsid w:val="00795740"/>
    <w:rsid w:val="00795E53"/>
    <w:rsid w:val="007A03D6"/>
    <w:rsid w:val="007A125B"/>
    <w:rsid w:val="007B0D4F"/>
    <w:rsid w:val="007B4F0E"/>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57BC"/>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63B0"/>
    <w:rsid w:val="00826D77"/>
    <w:rsid w:val="008279D0"/>
    <w:rsid w:val="00835502"/>
    <w:rsid w:val="00836667"/>
    <w:rsid w:val="008367BA"/>
    <w:rsid w:val="00836CDF"/>
    <w:rsid w:val="0084007B"/>
    <w:rsid w:val="00840870"/>
    <w:rsid w:val="008433A6"/>
    <w:rsid w:val="00844999"/>
    <w:rsid w:val="008503EF"/>
    <w:rsid w:val="0085290F"/>
    <w:rsid w:val="00855428"/>
    <w:rsid w:val="00856CF7"/>
    <w:rsid w:val="00856E19"/>
    <w:rsid w:val="0085702C"/>
    <w:rsid w:val="00857A8D"/>
    <w:rsid w:val="00861F3C"/>
    <w:rsid w:val="00862061"/>
    <w:rsid w:val="008621BE"/>
    <w:rsid w:val="008622DD"/>
    <w:rsid w:val="00862896"/>
    <w:rsid w:val="00865EFB"/>
    <w:rsid w:val="00870320"/>
    <w:rsid w:val="0087226E"/>
    <w:rsid w:val="008725C6"/>
    <w:rsid w:val="00876586"/>
    <w:rsid w:val="00881942"/>
    <w:rsid w:val="00885515"/>
    <w:rsid w:val="00885D5E"/>
    <w:rsid w:val="008871AF"/>
    <w:rsid w:val="00891A37"/>
    <w:rsid w:val="00895AAC"/>
    <w:rsid w:val="008A28CB"/>
    <w:rsid w:val="008A6976"/>
    <w:rsid w:val="008B4179"/>
    <w:rsid w:val="008B5DCE"/>
    <w:rsid w:val="008C200E"/>
    <w:rsid w:val="008C3F55"/>
    <w:rsid w:val="008C6940"/>
    <w:rsid w:val="008D3449"/>
    <w:rsid w:val="008D3589"/>
    <w:rsid w:val="008D6EBE"/>
    <w:rsid w:val="008E1769"/>
    <w:rsid w:val="008E1F3F"/>
    <w:rsid w:val="008E2155"/>
    <w:rsid w:val="008E5198"/>
    <w:rsid w:val="008E7D79"/>
    <w:rsid w:val="008F22B1"/>
    <w:rsid w:val="008F3559"/>
    <w:rsid w:val="0090146C"/>
    <w:rsid w:val="00902DF2"/>
    <w:rsid w:val="009032FB"/>
    <w:rsid w:val="00904E3C"/>
    <w:rsid w:val="0090741A"/>
    <w:rsid w:val="00914B83"/>
    <w:rsid w:val="0091639C"/>
    <w:rsid w:val="00917368"/>
    <w:rsid w:val="00930487"/>
    <w:rsid w:val="009312CA"/>
    <w:rsid w:val="00932AE2"/>
    <w:rsid w:val="009353D9"/>
    <w:rsid w:val="00937414"/>
    <w:rsid w:val="00944ED5"/>
    <w:rsid w:val="00946DB3"/>
    <w:rsid w:val="009508B9"/>
    <w:rsid w:val="00952F8D"/>
    <w:rsid w:val="0095432E"/>
    <w:rsid w:val="009549D8"/>
    <w:rsid w:val="00955A6F"/>
    <w:rsid w:val="00956EFE"/>
    <w:rsid w:val="009626F3"/>
    <w:rsid w:val="00963B02"/>
    <w:rsid w:val="00964F96"/>
    <w:rsid w:val="009654EA"/>
    <w:rsid w:val="009663D1"/>
    <w:rsid w:val="00967170"/>
    <w:rsid w:val="00967702"/>
    <w:rsid w:val="00967BFC"/>
    <w:rsid w:val="00971BD1"/>
    <w:rsid w:val="009730CB"/>
    <w:rsid w:val="00973246"/>
    <w:rsid w:val="00974883"/>
    <w:rsid w:val="00975EAC"/>
    <w:rsid w:val="009873FF"/>
    <w:rsid w:val="009928C9"/>
    <w:rsid w:val="00992DC8"/>
    <w:rsid w:val="00995F84"/>
    <w:rsid w:val="0099730F"/>
    <w:rsid w:val="00997382"/>
    <w:rsid w:val="009A5EA2"/>
    <w:rsid w:val="009A68DB"/>
    <w:rsid w:val="009A6FD0"/>
    <w:rsid w:val="009B054A"/>
    <w:rsid w:val="009B0A2E"/>
    <w:rsid w:val="009B2DE5"/>
    <w:rsid w:val="009B34B8"/>
    <w:rsid w:val="009B5A87"/>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9F715A"/>
    <w:rsid w:val="00A00E59"/>
    <w:rsid w:val="00A014D1"/>
    <w:rsid w:val="00A149E5"/>
    <w:rsid w:val="00A14B46"/>
    <w:rsid w:val="00A153FC"/>
    <w:rsid w:val="00A20866"/>
    <w:rsid w:val="00A20F0C"/>
    <w:rsid w:val="00A23C32"/>
    <w:rsid w:val="00A248D4"/>
    <w:rsid w:val="00A2542D"/>
    <w:rsid w:val="00A2731A"/>
    <w:rsid w:val="00A278C3"/>
    <w:rsid w:val="00A278D7"/>
    <w:rsid w:val="00A3014A"/>
    <w:rsid w:val="00A3178F"/>
    <w:rsid w:val="00A330FA"/>
    <w:rsid w:val="00A37693"/>
    <w:rsid w:val="00A43070"/>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1855"/>
    <w:rsid w:val="00B2691B"/>
    <w:rsid w:val="00B27271"/>
    <w:rsid w:val="00B3047D"/>
    <w:rsid w:val="00B31994"/>
    <w:rsid w:val="00B33D45"/>
    <w:rsid w:val="00B41C19"/>
    <w:rsid w:val="00B44FC3"/>
    <w:rsid w:val="00B5127C"/>
    <w:rsid w:val="00B544E9"/>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7B69"/>
    <w:rsid w:val="00BA0F68"/>
    <w:rsid w:val="00BA4E15"/>
    <w:rsid w:val="00BA5981"/>
    <w:rsid w:val="00BA5C95"/>
    <w:rsid w:val="00BA76D8"/>
    <w:rsid w:val="00BA7D07"/>
    <w:rsid w:val="00BB028C"/>
    <w:rsid w:val="00BB56DE"/>
    <w:rsid w:val="00BB7853"/>
    <w:rsid w:val="00BC11B8"/>
    <w:rsid w:val="00BC1268"/>
    <w:rsid w:val="00BC6425"/>
    <w:rsid w:val="00BD0C5C"/>
    <w:rsid w:val="00BD53D9"/>
    <w:rsid w:val="00BD5816"/>
    <w:rsid w:val="00BD607C"/>
    <w:rsid w:val="00BD77D8"/>
    <w:rsid w:val="00BE146C"/>
    <w:rsid w:val="00BE34E6"/>
    <w:rsid w:val="00BF0B81"/>
    <w:rsid w:val="00BF0BA0"/>
    <w:rsid w:val="00BF1A08"/>
    <w:rsid w:val="00BF29A0"/>
    <w:rsid w:val="00BF3563"/>
    <w:rsid w:val="00BF524A"/>
    <w:rsid w:val="00C04D6E"/>
    <w:rsid w:val="00C05D72"/>
    <w:rsid w:val="00C067A3"/>
    <w:rsid w:val="00C074CA"/>
    <w:rsid w:val="00C10007"/>
    <w:rsid w:val="00C10DC9"/>
    <w:rsid w:val="00C13082"/>
    <w:rsid w:val="00C13286"/>
    <w:rsid w:val="00C14D2D"/>
    <w:rsid w:val="00C15152"/>
    <w:rsid w:val="00C15FEE"/>
    <w:rsid w:val="00C20605"/>
    <w:rsid w:val="00C21981"/>
    <w:rsid w:val="00C22A4E"/>
    <w:rsid w:val="00C257AE"/>
    <w:rsid w:val="00C267A5"/>
    <w:rsid w:val="00C31C4D"/>
    <w:rsid w:val="00C31D86"/>
    <w:rsid w:val="00C36226"/>
    <w:rsid w:val="00C36CCA"/>
    <w:rsid w:val="00C41EDF"/>
    <w:rsid w:val="00C438AF"/>
    <w:rsid w:val="00C518F0"/>
    <w:rsid w:val="00C5267D"/>
    <w:rsid w:val="00C53E9A"/>
    <w:rsid w:val="00C6183F"/>
    <w:rsid w:val="00C701C7"/>
    <w:rsid w:val="00C71916"/>
    <w:rsid w:val="00C76112"/>
    <w:rsid w:val="00C8060B"/>
    <w:rsid w:val="00C864FC"/>
    <w:rsid w:val="00C913CE"/>
    <w:rsid w:val="00C91883"/>
    <w:rsid w:val="00C93BEF"/>
    <w:rsid w:val="00C944CE"/>
    <w:rsid w:val="00C97716"/>
    <w:rsid w:val="00C978F5"/>
    <w:rsid w:val="00C97A8C"/>
    <w:rsid w:val="00CA2779"/>
    <w:rsid w:val="00CA54A9"/>
    <w:rsid w:val="00CA5BB3"/>
    <w:rsid w:val="00CA5C43"/>
    <w:rsid w:val="00CA638F"/>
    <w:rsid w:val="00CA6F76"/>
    <w:rsid w:val="00CB2E01"/>
    <w:rsid w:val="00CB3440"/>
    <w:rsid w:val="00CB496C"/>
    <w:rsid w:val="00CB5372"/>
    <w:rsid w:val="00CB658D"/>
    <w:rsid w:val="00CB65E8"/>
    <w:rsid w:val="00CC6798"/>
    <w:rsid w:val="00CD371C"/>
    <w:rsid w:val="00CD3723"/>
    <w:rsid w:val="00CD623F"/>
    <w:rsid w:val="00CD6E7E"/>
    <w:rsid w:val="00CD7E0C"/>
    <w:rsid w:val="00CE2DB4"/>
    <w:rsid w:val="00CE411C"/>
    <w:rsid w:val="00CE52B5"/>
    <w:rsid w:val="00CE5666"/>
    <w:rsid w:val="00CE591F"/>
    <w:rsid w:val="00CE79E4"/>
    <w:rsid w:val="00CE7A4A"/>
    <w:rsid w:val="00CF089D"/>
    <w:rsid w:val="00CF10F2"/>
    <w:rsid w:val="00CF1274"/>
    <w:rsid w:val="00CF173B"/>
    <w:rsid w:val="00CF1D13"/>
    <w:rsid w:val="00CF40A1"/>
    <w:rsid w:val="00CF5432"/>
    <w:rsid w:val="00CF5A24"/>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53A2"/>
    <w:rsid w:val="00D463C4"/>
    <w:rsid w:val="00D4666F"/>
    <w:rsid w:val="00D503C3"/>
    <w:rsid w:val="00D5281B"/>
    <w:rsid w:val="00D54712"/>
    <w:rsid w:val="00D54A67"/>
    <w:rsid w:val="00D54FEA"/>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36C6"/>
    <w:rsid w:val="00DA46E6"/>
    <w:rsid w:val="00DA5752"/>
    <w:rsid w:val="00DA589A"/>
    <w:rsid w:val="00DA5E93"/>
    <w:rsid w:val="00DA7F1E"/>
    <w:rsid w:val="00DB103F"/>
    <w:rsid w:val="00DC567A"/>
    <w:rsid w:val="00DD20DC"/>
    <w:rsid w:val="00DD3B90"/>
    <w:rsid w:val="00DD56C2"/>
    <w:rsid w:val="00DD7548"/>
    <w:rsid w:val="00DE3490"/>
    <w:rsid w:val="00DE63EC"/>
    <w:rsid w:val="00DE77C7"/>
    <w:rsid w:val="00DF1709"/>
    <w:rsid w:val="00DF30E1"/>
    <w:rsid w:val="00DF35F4"/>
    <w:rsid w:val="00DF41E5"/>
    <w:rsid w:val="00DF463A"/>
    <w:rsid w:val="00DF5B52"/>
    <w:rsid w:val="00DF7638"/>
    <w:rsid w:val="00E00780"/>
    <w:rsid w:val="00E0472B"/>
    <w:rsid w:val="00E05BE2"/>
    <w:rsid w:val="00E068F1"/>
    <w:rsid w:val="00E07985"/>
    <w:rsid w:val="00E12E5B"/>
    <w:rsid w:val="00E13875"/>
    <w:rsid w:val="00E13D34"/>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16D"/>
    <w:rsid w:val="00E67797"/>
    <w:rsid w:val="00E7012A"/>
    <w:rsid w:val="00E708B0"/>
    <w:rsid w:val="00E739AE"/>
    <w:rsid w:val="00E76A86"/>
    <w:rsid w:val="00E80BDD"/>
    <w:rsid w:val="00E85991"/>
    <w:rsid w:val="00E91DD6"/>
    <w:rsid w:val="00E93446"/>
    <w:rsid w:val="00E94724"/>
    <w:rsid w:val="00E95B37"/>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2629"/>
    <w:rsid w:val="00EF3D34"/>
    <w:rsid w:val="00EF5762"/>
    <w:rsid w:val="00EF6035"/>
    <w:rsid w:val="00EF6149"/>
    <w:rsid w:val="00EF6FC7"/>
    <w:rsid w:val="00EF7961"/>
    <w:rsid w:val="00EF7CC9"/>
    <w:rsid w:val="00EF7F90"/>
    <w:rsid w:val="00F024A8"/>
    <w:rsid w:val="00F076B3"/>
    <w:rsid w:val="00F10B09"/>
    <w:rsid w:val="00F115FB"/>
    <w:rsid w:val="00F11707"/>
    <w:rsid w:val="00F17FFC"/>
    <w:rsid w:val="00F21326"/>
    <w:rsid w:val="00F2580C"/>
    <w:rsid w:val="00F2588F"/>
    <w:rsid w:val="00F264D9"/>
    <w:rsid w:val="00F268D1"/>
    <w:rsid w:val="00F30ED6"/>
    <w:rsid w:val="00F33553"/>
    <w:rsid w:val="00F33B6B"/>
    <w:rsid w:val="00F35A38"/>
    <w:rsid w:val="00F37425"/>
    <w:rsid w:val="00F40CA6"/>
    <w:rsid w:val="00F418B2"/>
    <w:rsid w:val="00F43F82"/>
    <w:rsid w:val="00F51F3C"/>
    <w:rsid w:val="00F530B8"/>
    <w:rsid w:val="00F53D9C"/>
    <w:rsid w:val="00F53E24"/>
    <w:rsid w:val="00F54B59"/>
    <w:rsid w:val="00F5592F"/>
    <w:rsid w:val="00F56223"/>
    <w:rsid w:val="00F57440"/>
    <w:rsid w:val="00F61609"/>
    <w:rsid w:val="00F6194D"/>
    <w:rsid w:val="00F6225E"/>
    <w:rsid w:val="00F6409E"/>
    <w:rsid w:val="00F64184"/>
    <w:rsid w:val="00F65B80"/>
    <w:rsid w:val="00F67332"/>
    <w:rsid w:val="00F67434"/>
    <w:rsid w:val="00F73211"/>
    <w:rsid w:val="00F73EF9"/>
    <w:rsid w:val="00F77283"/>
    <w:rsid w:val="00F772C3"/>
    <w:rsid w:val="00F80338"/>
    <w:rsid w:val="00F8059E"/>
    <w:rsid w:val="00F81A93"/>
    <w:rsid w:val="00F81F28"/>
    <w:rsid w:val="00F84F93"/>
    <w:rsid w:val="00F8501D"/>
    <w:rsid w:val="00F86FBF"/>
    <w:rsid w:val="00F91DD9"/>
    <w:rsid w:val="00FA12B9"/>
    <w:rsid w:val="00FA279D"/>
    <w:rsid w:val="00FB0C70"/>
    <w:rsid w:val="00FB1C39"/>
    <w:rsid w:val="00FB3535"/>
    <w:rsid w:val="00FB7A38"/>
    <w:rsid w:val="00FC47CF"/>
    <w:rsid w:val="00FC6A22"/>
    <w:rsid w:val="00FD0665"/>
    <w:rsid w:val="00FD0B1A"/>
    <w:rsid w:val="00FD0D54"/>
    <w:rsid w:val="00FD18B5"/>
    <w:rsid w:val="00FD1B14"/>
    <w:rsid w:val="00FD1DC9"/>
    <w:rsid w:val="00FD29D5"/>
    <w:rsid w:val="00FD59F8"/>
    <w:rsid w:val="00FD63F4"/>
    <w:rsid w:val="00FE1E2E"/>
    <w:rsid w:val="00FE2815"/>
    <w:rsid w:val="00FE65F9"/>
    <w:rsid w:val="00FF35ED"/>
    <w:rsid w:val="00FF49E8"/>
    <w:rsid w:val="00FF4F47"/>
    <w:rsid w:val="00FF5F83"/>
    <w:rsid w:val="00FF7079"/>
    <w:rsid w:val="01A85D51"/>
    <w:rsid w:val="0367315B"/>
    <w:rsid w:val="061139E5"/>
    <w:rsid w:val="06D43BC5"/>
    <w:rsid w:val="06F50B00"/>
    <w:rsid w:val="076E1278"/>
    <w:rsid w:val="08994530"/>
    <w:rsid w:val="08D1141D"/>
    <w:rsid w:val="0B296DE2"/>
    <w:rsid w:val="10294AA3"/>
    <w:rsid w:val="10E40CA0"/>
    <w:rsid w:val="136130D9"/>
    <w:rsid w:val="15B23EF2"/>
    <w:rsid w:val="18DD4F7E"/>
    <w:rsid w:val="195B58A2"/>
    <w:rsid w:val="19FD64DB"/>
    <w:rsid w:val="1D5E5B73"/>
    <w:rsid w:val="1E085A14"/>
    <w:rsid w:val="1E1B444B"/>
    <w:rsid w:val="1E20653B"/>
    <w:rsid w:val="1FC85AE5"/>
    <w:rsid w:val="1FF43DDB"/>
    <w:rsid w:val="21933AA2"/>
    <w:rsid w:val="25BF356F"/>
    <w:rsid w:val="25DB0C2D"/>
    <w:rsid w:val="269469E7"/>
    <w:rsid w:val="29EB253C"/>
    <w:rsid w:val="29FC3B14"/>
    <w:rsid w:val="2B11792E"/>
    <w:rsid w:val="2C435A16"/>
    <w:rsid w:val="31C54755"/>
    <w:rsid w:val="3216608C"/>
    <w:rsid w:val="33435037"/>
    <w:rsid w:val="34CE14C6"/>
    <w:rsid w:val="34D84CEC"/>
    <w:rsid w:val="37AF5AB7"/>
    <w:rsid w:val="3B1C3371"/>
    <w:rsid w:val="3CC23198"/>
    <w:rsid w:val="3DDF4815"/>
    <w:rsid w:val="3FE669E5"/>
    <w:rsid w:val="43E622FD"/>
    <w:rsid w:val="47CE0BA8"/>
    <w:rsid w:val="4F195F29"/>
    <w:rsid w:val="50F63E28"/>
    <w:rsid w:val="5221007F"/>
    <w:rsid w:val="52926B5A"/>
    <w:rsid w:val="545C5E51"/>
    <w:rsid w:val="5486175B"/>
    <w:rsid w:val="57667D24"/>
    <w:rsid w:val="57CE5BC3"/>
    <w:rsid w:val="5AE1516A"/>
    <w:rsid w:val="5B6A3A79"/>
    <w:rsid w:val="5C08277D"/>
    <w:rsid w:val="5C1A5F7B"/>
    <w:rsid w:val="62D8632C"/>
    <w:rsid w:val="645771F8"/>
    <w:rsid w:val="680075E8"/>
    <w:rsid w:val="6A54112D"/>
    <w:rsid w:val="6AA035AE"/>
    <w:rsid w:val="6E0F2E14"/>
    <w:rsid w:val="6F1E141D"/>
    <w:rsid w:val="6F5354F8"/>
    <w:rsid w:val="6F616041"/>
    <w:rsid w:val="716A6727"/>
    <w:rsid w:val="740A2BDE"/>
    <w:rsid w:val="751839E0"/>
    <w:rsid w:val="76274F93"/>
    <w:rsid w:val="79EB3F2F"/>
    <w:rsid w:val="7B11789E"/>
    <w:rsid w:val="7D9D293A"/>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9"/>
    <w:qFormat/>
    <w:uiPriority w:val="0"/>
    <w:pPr>
      <w:ind w:left="538"/>
      <w:outlineLvl w:val="0"/>
    </w:pPr>
    <w:rPr>
      <w:b/>
      <w:bCs/>
      <w:sz w:val="28"/>
      <w:szCs w:val="28"/>
    </w:rPr>
  </w:style>
  <w:style w:type="paragraph" w:styleId="3">
    <w:name w:val="heading 2"/>
    <w:basedOn w:val="1"/>
    <w:next w:val="1"/>
    <w:link w:val="60"/>
    <w:qFormat/>
    <w:uiPriority w:val="0"/>
    <w:pPr>
      <w:ind w:left="629"/>
      <w:outlineLvl w:val="1"/>
    </w:pPr>
    <w:rPr>
      <w:b/>
      <w:bCs/>
      <w:sz w:val="24"/>
      <w:szCs w:val="24"/>
    </w:rPr>
  </w:style>
  <w:style w:type="paragraph" w:styleId="4">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6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70"/>
    <w:qFormat/>
    <w:uiPriority w:val="99"/>
    <w:pPr>
      <w:autoSpaceDE/>
      <w:autoSpaceDN/>
    </w:pPr>
    <w:rPr>
      <w:rFonts w:ascii="Times New Roman" w:hAnsi="Times New Roman" w:cs="Times New Roman"/>
      <w:kern w:val="2"/>
      <w:sz w:val="21"/>
      <w:szCs w:val="20"/>
      <w:lang w:eastAsia="zh-CN"/>
    </w:rPr>
  </w:style>
  <w:style w:type="paragraph" w:styleId="17">
    <w:name w:val="Body Text 3"/>
    <w:basedOn w:val="1"/>
    <w:link w:val="7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2"/>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73"/>
    <w:qFormat/>
    <w:uiPriority w:val="1"/>
    <w:rPr>
      <w:sz w:val="24"/>
      <w:szCs w:val="24"/>
    </w:rPr>
  </w:style>
  <w:style w:type="paragraph" w:styleId="20">
    <w:name w:val="Body Text Indent"/>
    <w:basedOn w:val="1"/>
    <w:link w:val="7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75"/>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76"/>
    <w:qFormat/>
    <w:uiPriority w:val="99"/>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77"/>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78"/>
    <w:qFormat/>
    <w:uiPriority w:val="99"/>
    <w:pPr>
      <w:autoSpaceDE/>
      <w:autoSpaceDN/>
      <w:jc w:val="both"/>
    </w:pPr>
    <w:rPr>
      <w:rFonts w:ascii="Times New Roman" w:hAnsi="Times New Roman" w:cs="Times New Roman"/>
      <w:kern w:val="2"/>
      <w:sz w:val="18"/>
      <w:szCs w:val="18"/>
      <w:lang w:eastAsia="zh-CN"/>
    </w:rPr>
  </w:style>
  <w:style w:type="paragraph" w:styleId="29">
    <w:name w:val="footer"/>
    <w:basedOn w:val="1"/>
    <w:link w:val="79"/>
    <w:qFormat/>
    <w:uiPriority w:val="99"/>
    <w:pPr>
      <w:tabs>
        <w:tab w:val="center" w:pos="4153"/>
        <w:tab w:val="right" w:pos="8306"/>
      </w:tabs>
      <w:snapToGrid w:val="0"/>
    </w:pPr>
    <w:rPr>
      <w:sz w:val="18"/>
      <w:szCs w:val="18"/>
    </w:rPr>
  </w:style>
  <w:style w:type="paragraph" w:styleId="30">
    <w:name w:val="header"/>
    <w:basedOn w:val="1"/>
    <w:link w:val="8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1"/>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82"/>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8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85"/>
    <w:unhideWhenUsed/>
    <w:qFormat/>
    <w:uiPriority w:val="0"/>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6"/>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6"/>
    <w:next w:val="16"/>
    <w:link w:val="87"/>
    <w:qFormat/>
    <w:uiPriority w:val="0"/>
    <w:pPr>
      <w:widowControl/>
    </w:pPr>
    <w:rPr>
      <w:b/>
      <w:bCs/>
      <w:sz w:val="24"/>
      <w:szCs w:val="24"/>
    </w:rPr>
  </w:style>
  <w:style w:type="paragraph" w:styleId="44">
    <w:name w:val="Body Text First Indent"/>
    <w:basedOn w:val="19"/>
    <w:link w:val="8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99"/>
    <w:rPr>
      <w:color w:val="800080"/>
      <w:u w:val="single"/>
    </w:rPr>
  </w:style>
  <w:style w:type="character" w:styleId="51">
    <w:name w:val="Emphasis"/>
    <w:basedOn w:val="47"/>
    <w:qFormat/>
    <w:uiPriority w:val="0"/>
  </w:style>
  <w:style w:type="character" w:styleId="52">
    <w:name w:val="HTML Definition"/>
    <w:basedOn w:val="47"/>
    <w:unhideWhenUsed/>
    <w:qFormat/>
    <w:uiPriority w:val="99"/>
  </w:style>
  <w:style w:type="character" w:styleId="53">
    <w:name w:val="HTML Variable"/>
    <w:basedOn w:val="47"/>
    <w:unhideWhenUsed/>
    <w:qFormat/>
    <w:uiPriority w:val="99"/>
  </w:style>
  <w:style w:type="character" w:styleId="54">
    <w:name w:val="Hyperlink"/>
    <w:basedOn w:val="47"/>
    <w:qFormat/>
    <w:uiPriority w:val="99"/>
    <w:rPr>
      <w:color w:val="0000FF" w:themeColor="hyperlink"/>
      <w:u w:val="single"/>
      <w14:textFill>
        <w14:solidFill>
          <w14:schemeClr w14:val="hlink"/>
        </w14:solidFill>
      </w14:textFill>
    </w:rPr>
  </w:style>
  <w:style w:type="character" w:styleId="55">
    <w:name w:val="HTML Code"/>
    <w:basedOn w:val="47"/>
    <w:unhideWhenUsed/>
    <w:qFormat/>
    <w:uiPriority w:val="99"/>
    <w:rPr>
      <w:rFonts w:ascii="微软雅黑" w:hAnsi="微软雅黑" w:eastAsia="微软雅黑" w:cs="微软雅黑"/>
      <w:sz w:val="20"/>
    </w:rPr>
  </w:style>
  <w:style w:type="character" w:styleId="56">
    <w:name w:val="annotation reference"/>
    <w:basedOn w:val="47"/>
    <w:qFormat/>
    <w:uiPriority w:val="0"/>
    <w:rPr>
      <w:sz w:val="21"/>
      <w:szCs w:val="21"/>
    </w:rPr>
  </w:style>
  <w:style w:type="character" w:styleId="57">
    <w:name w:val="HTML Cite"/>
    <w:basedOn w:val="47"/>
    <w:unhideWhenUsed/>
    <w:qFormat/>
    <w:uiPriority w:val="99"/>
  </w:style>
  <w:style w:type="paragraph" w:customStyle="1" w:styleId="5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9">
    <w:name w:val="标题 1 Char"/>
    <w:basedOn w:val="47"/>
    <w:link w:val="2"/>
    <w:qFormat/>
    <w:uiPriority w:val="0"/>
    <w:rPr>
      <w:rFonts w:ascii="宋体" w:hAnsi="宋体" w:cs="宋体"/>
      <w:b/>
      <w:bCs/>
      <w:sz w:val="28"/>
      <w:szCs w:val="28"/>
      <w:lang w:eastAsia="en-US"/>
    </w:rPr>
  </w:style>
  <w:style w:type="character" w:customStyle="1" w:styleId="60">
    <w:name w:val="标题 2 Char"/>
    <w:basedOn w:val="47"/>
    <w:link w:val="3"/>
    <w:qFormat/>
    <w:uiPriority w:val="0"/>
    <w:rPr>
      <w:rFonts w:ascii="宋体" w:hAnsi="宋体" w:cs="宋体"/>
      <w:b/>
      <w:bCs/>
      <w:sz w:val="24"/>
      <w:szCs w:val="24"/>
      <w:lang w:eastAsia="en-US"/>
    </w:rPr>
  </w:style>
  <w:style w:type="character" w:customStyle="1" w:styleId="61">
    <w:name w:val="标题 3 Char"/>
    <w:basedOn w:val="47"/>
    <w:link w:val="4"/>
    <w:qFormat/>
    <w:uiPriority w:val="0"/>
    <w:rPr>
      <w:b/>
      <w:bCs/>
      <w:kern w:val="2"/>
      <w:sz w:val="32"/>
      <w:szCs w:val="32"/>
    </w:rPr>
  </w:style>
  <w:style w:type="character" w:customStyle="1" w:styleId="62">
    <w:name w:val="标题 4 Char"/>
    <w:basedOn w:val="47"/>
    <w:link w:val="5"/>
    <w:qFormat/>
    <w:uiPriority w:val="0"/>
    <w:rPr>
      <w:b/>
      <w:kern w:val="2"/>
      <w:sz w:val="24"/>
      <w:szCs w:val="24"/>
    </w:rPr>
  </w:style>
  <w:style w:type="character" w:customStyle="1" w:styleId="63">
    <w:name w:val="标题 5 Char"/>
    <w:basedOn w:val="47"/>
    <w:link w:val="6"/>
    <w:qFormat/>
    <w:uiPriority w:val="0"/>
    <w:rPr>
      <w:b/>
      <w:bCs/>
      <w:kern w:val="2"/>
      <w:sz w:val="28"/>
      <w:szCs w:val="28"/>
    </w:rPr>
  </w:style>
  <w:style w:type="character" w:customStyle="1" w:styleId="64">
    <w:name w:val="标题 6 Char"/>
    <w:basedOn w:val="47"/>
    <w:link w:val="7"/>
    <w:qFormat/>
    <w:uiPriority w:val="0"/>
    <w:rPr>
      <w:b/>
      <w:sz w:val="24"/>
    </w:rPr>
  </w:style>
  <w:style w:type="character" w:customStyle="1" w:styleId="65">
    <w:name w:val="正文缩进 Char"/>
    <w:basedOn w:val="47"/>
    <w:link w:val="9"/>
    <w:qFormat/>
    <w:uiPriority w:val="0"/>
    <w:rPr>
      <w:sz w:val="24"/>
    </w:rPr>
  </w:style>
  <w:style w:type="character" w:customStyle="1" w:styleId="66">
    <w:name w:val="标题 7 Char"/>
    <w:basedOn w:val="47"/>
    <w:link w:val="8"/>
    <w:qFormat/>
    <w:uiPriority w:val="0"/>
    <w:rPr>
      <w:b/>
      <w:kern w:val="2"/>
      <w:sz w:val="24"/>
    </w:rPr>
  </w:style>
  <w:style w:type="character" w:customStyle="1" w:styleId="67">
    <w:name w:val="标题 8 Char"/>
    <w:basedOn w:val="47"/>
    <w:link w:val="10"/>
    <w:qFormat/>
    <w:uiPriority w:val="0"/>
    <w:rPr>
      <w:rFonts w:ascii="Arial" w:hAnsi="Arial" w:eastAsia="黑体"/>
      <w:kern w:val="2"/>
      <w:sz w:val="24"/>
    </w:rPr>
  </w:style>
  <w:style w:type="character" w:customStyle="1" w:styleId="68">
    <w:name w:val="标题 9 Char"/>
    <w:basedOn w:val="47"/>
    <w:link w:val="11"/>
    <w:qFormat/>
    <w:uiPriority w:val="0"/>
    <w:rPr>
      <w:rFonts w:ascii="Arial" w:hAnsi="Arial" w:eastAsia="黑体"/>
      <w:kern w:val="2"/>
      <w:sz w:val="21"/>
    </w:rPr>
  </w:style>
  <w:style w:type="character" w:customStyle="1" w:styleId="69">
    <w:name w:val="文档结构图 Char"/>
    <w:basedOn w:val="47"/>
    <w:link w:val="15"/>
    <w:qFormat/>
    <w:uiPriority w:val="0"/>
    <w:rPr>
      <w:rFonts w:ascii="宋体"/>
      <w:sz w:val="28"/>
      <w:shd w:val="clear" w:color="auto" w:fill="000080"/>
    </w:rPr>
  </w:style>
  <w:style w:type="character" w:customStyle="1" w:styleId="70">
    <w:name w:val="批注文字 Char"/>
    <w:basedOn w:val="47"/>
    <w:link w:val="16"/>
    <w:qFormat/>
    <w:uiPriority w:val="99"/>
    <w:rPr>
      <w:kern w:val="2"/>
      <w:sz w:val="21"/>
    </w:rPr>
  </w:style>
  <w:style w:type="character" w:customStyle="1" w:styleId="71">
    <w:name w:val="正文文本 3 Char"/>
    <w:basedOn w:val="47"/>
    <w:link w:val="17"/>
    <w:qFormat/>
    <w:uiPriority w:val="0"/>
    <w:rPr>
      <w:color w:val="0000FF"/>
      <w:kern w:val="2"/>
      <w:sz w:val="24"/>
      <w:szCs w:val="24"/>
    </w:rPr>
  </w:style>
  <w:style w:type="character" w:customStyle="1" w:styleId="72">
    <w:name w:val="结束语 Char"/>
    <w:basedOn w:val="47"/>
    <w:link w:val="18"/>
    <w:qFormat/>
    <w:uiPriority w:val="0"/>
    <w:rPr>
      <w:b/>
      <w:kern w:val="2"/>
      <w:sz w:val="21"/>
    </w:rPr>
  </w:style>
  <w:style w:type="character" w:customStyle="1" w:styleId="73">
    <w:name w:val="正文文本 Char1"/>
    <w:basedOn w:val="47"/>
    <w:link w:val="19"/>
    <w:qFormat/>
    <w:uiPriority w:val="0"/>
    <w:rPr>
      <w:rFonts w:ascii="宋体" w:hAnsi="宋体" w:cs="宋体"/>
      <w:sz w:val="24"/>
      <w:szCs w:val="24"/>
      <w:lang w:eastAsia="en-US"/>
    </w:rPr>
  </w:style>
  <w:style w:type="character" w:customStyle="1" w:styleId="74">
    <w:name w:val="正文文本缩进 Char"/>
    <w:basedOn w:val="47"/>
    <w:link w:val="20"/>
    <w:qFormat/>
    <w:uiPriority w:val="0"/>
    <w:rPr>
      <w:i/>
      <w:iCs/>
      <w:kern w:val="2"/>
      <w:sz w:val="21"/>
    </w:rPr>
  </w:style>
  <w:style w:type="character" w:customStyle="1" w:styleId="75">
    <w:name w:val="纯文本 Char"/>
    <w:basedOn w:val="47"/>
    <w:link w:val="24"/>
    <w:qFormat/>
    <w:uiPriority w:val="0"/>
    <w:rPr>
      <w:rFonts w:ascii="宋体" w:hAnsi="Courier New" w:cs="Courier New"/>
      <w:sz w:val="22"/>
      <w:szCs w:val="21"/>
      <w:lang w:eastAsia="en-US"/>
    </w:rPr>
  </w:style>
  <w:style w:type="character" w:customStyle="1" w:styleId="76">
    <w:name w:val="日期 Char"/>
    <w:basedOn w:val="47"/>
    <w:link w:val="26"/>
    <w:qFormat/>
    <w:uiPriority w:val="99"/>
    <w:rPr>
      <w:kern w:val="2"/>
      <w:sz w:val="21"/>
      <w:szCs w:val="24"/>
    </w:rPr>
  </w:style>
  <w:style w:type="character" w:customStyle="1" w:styleId="77">
    <w:name w:val="正文文本缩进 2 Char"/>
    <w:basedOn w:val="47"/>
    <w:link w:val="27"/>
    <w:qFormat/>
    <w:uiPriority w:val="0"/>
    <w:rPr>
      <w:rFonts w:ascii="宋体" w:hAnsi="宋体"/>
      <w:iCs/>
      <w:kern w:val="2"/>
      <w:sz w:val="24"/>
      <w:szCs w:val="24"/>
    </w:rPr>
  </w:style>
  <w:style w:type="character" w:customStyle="1" w:styleId="78">
    <w:name w:val="批注框文本 Char"/>
    <w:basedOn w:val="47"/>
    <w:link w:val="28"/>
    <w:qFormat/>
    <w:uiPriority w:val="99"/>
    <w:rPr>
      <w:kern w:val="2"/>
      <w:sz w:val="18"/>
      <w:szCs w:val="18"/>
    </w:rPr>
  </w:style>
  <w:style w:type="character" w:customStyle="1" w:styleId="79">
    <w:name w:val="页脚 Char"/>
    <w:basedOn w:val="47"/>
    <w:link w:val="29"/>
    <w:qFormat/>
    <w:uiPriority w:val="99"/>
    <w:rPr>
      <w:rFonts w:ascii="宋体" w:hAnsi="宋体" w:cs="宋体"/>
      <w:sz w:val="18"/>
      <w:szCs w:val="18"/>
      <w:lang w:eastAsia="en-US"/>
    </w:rPr>
  </w:style>
  <w:style w:type="character" w:customStyle="1" w:styleId="80">
    <w:name w:val="页眉 Char"/>
    <w:basedOn w:val="47"/>
    <w:link w:val="30"/>
    <w:qFormat/>
    <w:uiPriority w:val="99"/>
    <w:rPr>
      <w:rFonts w:ascii="宋体" w:hAnsi="宋体" w:cs="宋体"/>
      <w:sz w:val="18"/>
      <w:szCs w:val="22"/>
      <w:lang w:eastAsia="en-US"/>
    </w:rPr>
  </w:style>
  <w:style w:type="character" w:customStyle="1" w:styleId="81">
    <w:name w:val="正文文本缩进 3 Char"/>
    <w:basedOn w:val="47"/>
    <w:link w:val="34"/>
    <w:qFormat/>
    <w:uiPriority w:val="0"/>
    <w:rPr>
      <w:kern w:val="2"/>
      <w:sz w:val="28"/>
    </w:rPr>
  </w:style>
  <w:style w:type="character" w:customStyle="1" w:styleId="82">
    <w:name w:val="正文文本 2 Char"/>
    <w:basedOn w:val="47"/>
    <w:link w:val="37"/>
    <w:qFormat/>
    <w:uiPriority w:val="0"/>
    <w:rPr>
      <w:kern w:val="2"/>
      <w:sz w:val="21"/>
      <w:szCs w:val="24"/>
    </w:rPr>
  </w:style>
  <w:style w:type="character" w:customStyle="1" w:styleId="83">
    <w:name w:val="信息标题 Char"/>
    <w:basedOn w:val="47"/>
    <w:link w:val="38"/>
    <w:qFormat/>
    <w:uiPriority w:val="0"/>
    <w:rPr>
      <w:rFonts w:ascii="Arial" w:hAnsi="Arial" w:cs="Arial"/>
      <w:kern w:val="2"/>
      <w:sz w:val="24"/>
      <w:szCs w:val="24"/>
      <w:shd w:val="pct20" w:color="auto" w:fill="auto"/>
    </w:rPr>
  </w:style>
  <w:style w:type="character" w:customStyle="1" w:styleId="84">
    <w:name w:val="HTML 预设格式 Char"/>
    <w:basedOn w:val="47"/>
    <w:link w:val="39"/>
    <w:qFormat/>
    <w:uiPriority w:val="0"/>
    <w:rPr>
      <w:rFonts w:ascii="Arial Unicode MS" w:hAnsi="Arial Unicode MS" w:eastAsia="Courier New" w:cs="Courier New"/>
    </w:rPr>
  </w:style>
  <w:style w:type="character" w:customStyle="1" w:styleId="85">
    <w:name w:val="普通(网站) Char"/>
    <w:basedOn w:val="47"/>
    <w:link w:val="40"/>
    <w:qFormat/>
    <w:locked/>
    <w:uiPriority w:val="0"/>
    <w:rPr>
      <w:rFonts w:ascii="宋体" w:hAnsi="宋体" w:cs="宋体"/>
      <w:sz w:val="24"/>
      <w:szCs w:val="24"/>
    </w:rPr>
  </w:style>
  <w:style w:type="character" w:customStyle="1" w:styleId="86">
    <w:name w:val="标题 Char"/>
    <w:basedOn w:val="47"/>
    <w:link w:val="42"/>
    <w:qFormat/>
    <w:uiPriority w:val="0"/>
    <w:rPr>
      <w:rFonts w:ascii="Arial" w:hAnsi="Arial" w:cs="Arial"/>
      <w:b/>
      <w:bCs/>
      <w:sz w:val="44"/>
      <w:szCs w:val="32"/>
    </w:rPr>
  </w:style>
  <w:style w:type="character" w:customStyle="1" w:styleId="87">
    <w:name w:val="批注主题 Char"/>
    <w:basedOn w:val="70"/>
    <w:link w:val="43"/>
    <w:qFormat/>
    <w:uiPriority w:val="0"/>
    <w:rPr>
      <w:b/>
      <w:bCs/>
      <w:kern w:val="2"/>
      <w:sz w:val="24"/>
      <w:szCs w:val="24"/>
    </w:rPr>
  </w:style>
  <w:style w:type="character" w:customStyle="1" w:styleId="88">
    <w:name w:val="正文首行缩进 Char"/>
    <w:basedOn w:val="89"/>
    <w:link w:val="44"/>
    <w:qFormat/>
    <w:uiPriority w:val="0"/>
    <w:rPr>
      <w:rFonts w:eastAsia="宋体"/>
      <w:sz w:val="21"/>
      <w:szCs w:val="21"/>
      <w:lang w:val="en-US" w:eastAsia="zh-CN" w:bidi="ar-SA"/>
    </w:rPr>
  </w:style>
  <w:style w:type="character" w:customStyle="1" w:styleId="89">
    <w:name w:val="正文文本 Char"/>
    <w:basedOn w:val="47"/>
    <w:qFormat/>
    <w:uiPriority w:val="0"/>
    <w:rPr>
      <w:rFonts w:eastAsia="宋体"/>
      <w:sz w:val="24"/>
      <w:szCs w:val="24"/>
      <w:lang w:val="en-US" w:eastAsia="zh-CN" w:bidi="ar-SA"/>
    </w:rPr>
  </w:style>
  <w:style w:type="table" w:customStyle="1" w:styleId="90">
    <w:name w:val="Table Normal"/>
    <w:semiHidden/>
    <w:unhideWhenUsed/>
    <w:qFormat/>
    <w:uiPriority w:val="2"/>
    <w:tblPr>
      <w:tblCellMar>
        <w:top w:w="0" w:type="dxa"/>
        <w:left w:w="0" w:type="dxa"/>
        <w:bottom w:w="0" w:type="dxa"/>
        <w:right w:w="0" w:type="dxa"/>
      </w:tblCellMar>
    </w:tblPr>
  </w:style>
  <w:style w:type="paragraph" w:styleId="91">
    <w:name w:val="List Paragraph"/>
    <w:basedOn w:val="1"/>
    <w:link w:val="92"/>
    <w:qFormat/>
    <w:uiPriority w:val="99"/>
    <w:pPr>
      <w:spacing w:before="206"/>
      <w:ind w:left="959" w:hanging="361"/>
    </w:pPr>
  </w:style>
  <w:style w:type="character" w:customStyle="1" w:styleId="92">
    <w:name w:val="列出段落 Char"/>
    <w:link w:val="91"/>
    <w:qFormat/>
    <w:uiPriority w:val="34"/>
    <w:rPr>
      <w:rFonts w:ascii="宋体" w:hAnsi="宋体" w:cs="宋体"/>
      <w:sz w:val="22"/>
      <w:szCs w:val="22"/>
      <w:lang w:eastAsia="en-US"/>
    </w:rPr>
  </w:style>
  <w:style w:type="paragraph" w:customStyle="1" w:styleId="93">
    <w:name w:val="Table Paragraph"/>
    <w:basedOn w:val="1"/>
    <w:qFormat/>
    <w:uiPriority w:val="1"/>
  </w:style>
  <w:style w:type="paragraph" w:customStyle="1" w:styleId="94">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9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97">
    <w:name w:val="xdrichtextbox2"/>
    <w:basedOn w:val="47"/>
    <w:qFormat/>
    <w:uiPriority w:val="0"/>
    <w:rPr>
      <w:color w:val="0000FF"/>
      <w:sz w:val="18"/>
      <w:szCs w:val="18"/>
      <w:u w:val="none"/>
      <w:bdr w:val="single" w:color="DCDCDC" w:sz="8" w:space="0"/>
      <w:shd w:val="clear" w:color="auto" w:fill="FFFFFF"/>
    </w:rPr>
  </w:style>
  <w:style w:type="character" w:customStyle="1" w:styleId="98">
    <w:name w:val="apple-converted-space"/>
    <w:basedOn w:val="47"/>
    <w:qFormat/>
    <w:uiPriority w:val="0"/>
  </w:style>
  <w:style w:type="character" w:customStyle="1" w:styleId="99">
    <w:name w:val="无间隔 Char"/>
    <w:basedOn w:val="47"/>
    <w:link w:val="100"/>
    <w:qFormat/>
    <w:uiPriority w:val="1"/>
    <w:rPr>
      <w:rFonts w:ascii="Calibri" w:hAnsi="Calibri"/>
      <w:sz w:val="22"/>
      <w:szCs w:val="22"/>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en1"/>
    <w:basedOn w:val="47"/>
    <w:qFormat/>
    <w:uiPriority w:val="0"/>
    <w:rPr>
      <w:b/>
      <w:bCs/>
      <w:color w:val="154C7F"/>
      <w:sz w:val="24"/>
      <w:szCs w:val="24"/>
    </w:rPr>
  </w:style>
  <w:style w:type="character" w:customStyle="1" w:styleId="102">
    <w:name w:val="font01"/>
    <w:basedOn w:val="47"/>
    <w:qFormat/>
    <w:uiPriority w:val="0"/>
    <w:rPr>
      <w:rFonts w:hint="eastAsia" w:ascii="宋体" w:hAnsi="宋体" w:eastAsia="宋体" w:cs="宋体"/>
      <w:color w:val="000000"/>
      <w:sz w:val="20"/>
      <w:szCs w:val="20"/>
      <w:u w:val="none"/>
    </w:rPr>
  </w:style>
  <w:style w:type="character" w:customStyle="1" w:styleId="103">
    <w:name w:val="font11"/>
    <w:basedOn w:val="47"/>
    <w:qFormat/>
    <w:uiPriority w:val="0"/>
    <w:rPr>
      <w:rFonts w:hint="default" w:ascii="Times New Roman" w:hAnsi="Times New Roman" w:cs="Times New Roman"/>
      <w:color w:val="000000"/>
      <w:sz w:val="20"/>
      <w:szCs w:val="20"/>
      <w:u w:val="none"/>
    </w:rPr>
  </w:style>
  <w:style w:type="character" w:customStyle="1" w:styleId="104">
    <w:name w:val="glossaryitem"/>
    <w:basedOn w:val="47"/>
    <w:qFormat/>
    <w:uiPriority w:val="0"/>
    <w:rPr>
      <w:u w:val="none"/>
    </w:rPr>
  </w:style>
  <w:style w:type="paragraph" w:customStyle="1" w:styleId="105">
    <w:name w:val="标题3(小3号)"/>
    <w:basedOn w:val="4"/>
    <w:next w:val="106"/>
    <w:qFormat/>
    <w:uiPriority w:val="0"/>
    <w:pPr>
      <w:widowControl/>
      <w:spacing w:before="0" w:after="0" w:line="420" w:lineRule="exact"/>
    </w:pPr>
    <w:rPr>
      <w:b w:val="0"/>
      <w:bCs w:val="0"/>
      <w:color w:val="000000"/>
      <w:kern w:val="0"/>
      <w:sz w:val="30"/>
      <w:szCs w:val="21"/>
    </w:rPr>
  </w:style>
  <w:style w:type="paragraph" w:customStyle="1" w:styleId="106">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7">
    <w:name w:val="正文首行缩进 Char1"/>
    <w:basedOn w:val="73"/>
    <w:qFormat/>
    <w:uiPriority w:val="0"/>
    <w:rPr>
      <w:rFonts w:ascii="宋体" w:hAnsi="宋体" w:cs="宋体"/>
      <w:sz w:val="24"/>
      <w:szCs w:val="24"/>
      <w:lang w:eastAsia="en-US"/>
    </w:rPr>
  </w:style>
  <w:style w:type="character" w:customStyle="1" w:styleId="108">
    <w:name w:val="正文文本 3 Char1"/>
    <w:basedOn w:val="47"/>
    <w:qFormat/>
    <w:uiPriority w:val="0"/>
    <w:rPr>
      <w:rFonts w:ascii="宋体" w:hAnsi="宋体" w:cs="宋体"/>
      <w:sz w:val="16"/>
      <w:szCs w:val="16"/>
      <w:lang w:eastAsia="en-US"/>
    </w:rPr>
  </w:style>
  <w:style w:type="paragraph" w:customStyle="1" w:styleId="109">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47"/>
    <w:qFormat/>
    <w:uiPriority w:val="0"/>
    <w:rPr>
      <w:rFonts w:ascii="宋体" w:hAnsi="宋体" w:cs="宋体"/>
      <w:sz w:val="22"/>
      <w:szCs w:val="22"/>
      <w:lang w:eastAsia="en-US"/>
    </w:rPr>
  </w:style>
  <w:style w:type="character" w:customStyle="1" w:styleId="112">
    <w:name w:val="批注文字 Char1"/>
    <w:basedOn w:val="47"/>
    <w:qFormat/>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47"/>
    <w:qFormat/>
    <w:uiPriority w:val="0"/>
    <w:rPr>
      <w:rFonts w:ascii="宋体" w:hAnsi="宋体" w:cs="宋体"/>
      <w:sz w:val="18"/>
      <w:szCs w:val="18"/>
      <w:lang w:eastAsia="en-US"/>
    </w:rPr>
  </w:style>
  <w:style w:type="character" w:customStyle="1" w:styleId="117">
    <w:name w:val="日期 Char1"/>
    <w:basedOn w:val="47"/>
    <w:qFormat/>
    <w:uiPriority w:val="0"/>
    <w:rPr>
      <w:rFonts w:ascii="宋体" w:hAnsi="宋体" w:cs="宋体"/>
      <w:sz w:val="22"/>
      <w:szCs w:val="22"/>
      <w:lang w:eastAsia="en-US"/>
    </w:rPr>
  </w:style>
  <w:style w:type="paragraph" w:customStyle="1" w:styleId="118">
    <w:name w:val="标题3(3号)"/>
    <w:basedOn w:val="4"/>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47"/>
    <w:qFormat/>
    <w:uiPriority w:val="0"/>
    <w:rPr>
      <w:rFonts w:ascii="Courier New" w:hAnsi="Courier New" w:cs="Courier New"/>
      <w:lang w:eastAsia="en-US"/>
    </w:rPr>
  </w:style>
  <w:style w:type="character" w:customStyle="1" w:styleId="122">
    <w:name w:val="正文文本缩进 Char1"/>
    <w:basedOn w:val="47"/>
    <w:qFormat/>
    <w:uiPriority w:val="0"/>
    <w:rPr>
      <w:rFonts w:ascii="宋体" w:hAnsi="宋体" w:cs="宋体"/>
      <w:sz w:val="22"/>
      <w:szCs w:val="22"/>
      <w:lang w:eastAsia="en-US"/>
    </w:rPr>
  </w:style>
  <w:style w:type="paragraph" w:customStyle="1" w:styleId="123">
    <w:name w:val="标题2(小3号)"/>
    <w:basedOn w:val="3"/>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47"/>
    <w:qFormat/>
    <w:uiPriority w:val="0"/>
    <w:rPr>
      <w:rFonts w:ascii="宋体" w:hAnsi="宋体" w:cs="宋体"/>
      <w:sz w:val="22"/>
      <w:szCs w:val="22"/>
      <w:lang w:eastAsia="en-US"/>
    </w:rPr>
  </w:style>
  <w:style w:type="character" w:customStyle="1" w:styleId="130">
    <w:name w:val="标题 Char1"/>
    <w:basedOn w:val="47"/>
    <w:qFormat/>
    <w:uiPriority w:val="0"/>
    <w:rPr>
      <w:rFonts w:asciiTheme="majorHAnsi" w:hAnsiTheme="majorHAnsi" w:cstheme="majorBidi"/>
      <w:b/>
      <w:bCs/>
      <w:sz w:val="32"/>
      <w:szCs w:val="32"/>
      <w:lang w:eastAsia="en-US"/>
    </w:rPr>
  </w:style>
  <w:style w:type="character" w:customStyle="1" w:styleId="131">
    <w:name w:val="正文文本缩进 3 Char1"/>
    <w:basedOn w:val="47"/>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47"/>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4"/>
    <w:next w:val="124"/>
    <w:qFormat/>
    <w:uiPriority w:val="0"/>
    <w:pPr>
      <w:widowControl/>
      <w:spacing w:before="0" w:after="0" w:line="420" w:lineRule="exact"/>
    </w:pPr>
    <w:rPr>
      <w:b w:val="0"/>
      <w:bCs w:val="0"/>
      <w:color w:val="000000"/>
      <w:kern w:val="0"/>
      <w:sz w:val="28"/>
      <w:szCs w:val="21"/>
    </w:rPr>
  </w:style>
  <w:style w:type="paragraph" w:customStyle="1" w:styleId="138">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2"/>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4"/>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4"/>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3"/>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6"/>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3"/>
    <w:next w:val="106"/>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3"/>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outlineLvl w:val="3"/>
    </w:pPr>
  </w:style>
  <w:style w:type="paragraph" w:customStyle="1" w:styleId="189">
    <w:name w:val="大纲5"/>
    <w:basedOn w:val="188"/>
    <w:qFormat/>
    <w:uiPriority w:val="0"/>
    <w:pPr>
      <w:tabs>
        <w:tab w:val="left" w:pos="360"/>
      </w:tabs>
      <w:outlineLvl w:val="4"/>
    </w:pPr>
    <w:rPr>
      <w:b w:val="0"/>
      <w:szCs w:val="36"/>
    </w:rPr>
  </w:style>
  <w:style w:type="paragraph" w:customStyle="1" w:styleId="190">
    <w:name w:val="大纲6"/>
    <w:basedOn w:val="189"/>
    <w:qFormat/>
    <w:uiPriority w:val="0"/>
    <w:p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47"/>
    <w:qFormat/>
    <w:uiPriority w:val="0"/>
  </w:style>
  <w:style w:type="character" w:customStyle="1" w:styleId="208">
    <w:name w:val="xdrichtextbox3"/>
    <w:basedOn w:val="47"/>
    <w:qFormat/>
    <w:uiPriority w:val="0"/>
    <w:rPr>
      <w:color w:val="auto"/>
      <w:u w:val="none"/>
      <w:bdr w:val="single" w:color="DCDCDC" w:sz="8" w:space="0"/>
      <w:shd w:val="clear" w:color="auto" w:fill="FFFFFF"/>
    </w:rPr>
  </w:style>
  <w:style w:type="paragraph" w:customStyle="1" w:styleId="209">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10">
    <w:name w:val="cy"/>
    <w:basedOn w:val="47"/>
    <w:qFormat/>
    <w:uiPriority w:val="0"/>
  </w:style>
  <w:style w:type="character" w:customStyle="1" w:styleId="211">
    <w:name w:val="xdrichtextbox"/>
    <w:basedOn w:val="47"/>
    <w:qFormat/>
    <w:uiPriority w:val="0"/>
    <w:rPr>
      <w:color w:val="auto"/>
      <w:sz w:val="18"/>
      <w:szCs w:val="18"/>
      <w:u w:val="none"/>
      <w:bdr w:val="single" w:color="DCDCDC" w:sz="8" w:space="0"/>
      <w:shd w:val="clear" w:color="auto" w:fill="auto"/>
    </w:rPr>
  </w:style>
  <w:style w:type="character" w:customStyle="1" w:styleId="212">
    <w:name w:val="drapbtn"/>
    <w:basedOn w:val="47"/>
    <w:qFormat/>
    <w:uiPriority w:val="0"/>
  </w:style>
  <w:style w:type="character" w:customStyle="1" w:styleId="213">
    <w:name w:val="w32"/>
    <w:basedOn w:val="47"/>
    <w:qFormat/>
    <w:uiPriority w:val="0"/>
  </w:style>
  <w:style w:type="character" w:customStyle="1" w:styleId="214">
    <w:name w:val="design_class"/>
    <w:basedOn w:val="47"/>
    <w:qFormat/>
    <w:uiPriority w:val="0"/>
  </w:style>
  <w:style w:type="character" w:customStyle="1" w:styleId="215">
    <w:name w:val="cdropright"/>
    <w:basedOn w:val="47"/>
    <w:qFormat/>
    <w:uiPriority w:val="0"/>
  </w:style>
  <w:style w:type="character" w:customStyle="1" w:styleId="216">
    <w:name w:val="browse_class&gt;input"/>
    <w:basedOn w:val="47"/>
    <w:qFormat/>
    <w:uiPriority w:val="0"/>
    <w:rPr>
      <w:shd w:val="clear" w:color="auto" w:fill="F8F8F8"/>
    </w:rPr>
  </w:style>
  <w:style w:type="character" w:customStyle="1" w:styleId="217">
    <w:name w:val="biggerthanmax"/>
    <w:basedOn w:val="47"/>
    <w:qFormat/>
    <w:uiPriority w:val="0"/>
    <w:rPr>
      <w:shd w:val="clear" w:color="auto" w:fill="FFFF00"/>
    </w:rPr>
  </w:style>
  <w:style w:type="character" w:customStyle="1" w:styleId="218">
    <w:name w:val="browse_class&gt;span"/>
    <w:basedOn w:val="47"/>
    <w:qFormat/>
    <w:uiPriority w:val="0"/>
    <w:rPr>
      <w:shd w:val="clear" w:color="auto" w:fill="F8F8F8"/>
    </w:rPr>
  </w:style>
  <w:style w:type="character" w:customStyle="1" w:styleId="219">
    <w:name w:val="hilite6"/>
    <w:basedOn w:val="47"/>
    <w:qFormat/>
    <w:uiPriority w:val="0"/>
    <w:rPr>
      <w:color w:val="FFFFFF"/>
      <w:shd w:val="clear" w:color="auto" w:fill="666677"/>
    </w:rPr>
  </w:style>
  <w:style w:type="character" w:customStyle="1" w:styleId="220">
    <w:name w:val="cdropleft"/>
    <w:basedOn w:val="47"/>
    <w:qFormat/>
    <w:uiPriority w:val="0"/>
  </w:style>
  <w:style w:type="character" w:customStyle="1" w:styleId="221">
    <w:name w:val="active6"/>
    <w:basedOn w:val="47"/>
    <w:qFormat/>
    <w:uiPriority w:val="0"/>
    <w:rPr>
      <w:color w:val="00FF00"/>
      <w:shd w:val="clear" w:color="auto" w:fill="111111"/>
    </w:rPr>
  </w:style>
  <w:style w:type="character" w:customStyle="1" w:styleId="222">
    <w:name w:val="button"/>
    <w:basedOn w:val="47"/>
    <w:qFormat/>
    <w:uiPriority w:val="0"/>
  </w:style>
  <w:style w:type="character" w:customStyle="1" w:styleId="223">
    <w:name w:val="tmpztreemove_arrow"/>
    <w:basedOn w:val="47"/>
    <w:qFormat/>
    <w:uiPriority w:val="0"/>
  </w:style>
  <w:style w:type="character" w:customStyle="1" w:styleId="224">
    <w:name w:val="browse_class&gt;label"/>
    <w:basedOn w:val="47"/>
    <w:qFormat/>
    <w:uiPriority w:val="0"/>
    <w:rPr>
      <w:shd w:val="clear" w:color="auto" w:fill="F8F8F8"/>
    </w:rPr>
  </w:style>
  <w:style w:type="character" w:customStyle="1" w:styleId="225">
    <w:name w:val="pagechatarealistclose_box"/>
    <w:basedOn w:val="47"/>
    <w:qFormat/>
    <w:uiPriority w:val="0"/>
  </w:style>
  <w:style w:type="character" w:customStyle="1" w:styleId="226">
    <w:name w:val="pagechatarealistclose_box1"/>
    <w:basedOn w:val="47"/>
    <w:qFormat/>
    <w:uiPriority w:val="0"/>
  </w:style>
  <w:style w:type="character" w:customStyle="1" w:styleId="227">
    <w:name w:val="ico1652"/>
    <w:basedOn w:val="47"/>
    <w:qFormat/>
    <w:uiPriority w:val="0"/>
  </w:style>
  <w:style w:type="character" w:customStyle="1" w:styleId="228">
    <w:name w:val="ico1653"/>
    <w:basedOn w:val="47"/>
    <w:qFormat/>
    <w:uiPriority w:val="0"/>
  </w:style>
  <w:style w:type="character" w:customStyle="1" w:styleId="229">
    <w:name w:val="token-input-delete-token"/>
    <w:basedOn w:val="47"/>
    <w:qFormat/>
    <w:uiPriority w:val="0"/>
    <w:rPr>
      <w:color w:val="FFFFFF"/>
    </w:rPr>
  </w:style>
  <w:style w:type="character" w:customStyle="1" w:styleId="230">
    <w:name w:val="edit_class"/>
    <w:basedOn w:val="47"/>
    <w:qFormat/>
    <w:uiPriority w:val="0"/>
  </w:style>
  <w:style w:type="character" w:customStyle="1" w:styleId="231">
    <w:name w:val="ico1654"/>
    <w:basedOn w:val="47"/>
    <w:qFormat/>
    <w:uiPriority w:val="0"/>
  </w:style>
  <w:style w:type="character" w:customStyle="1" w:styleId="232">
    <w:name w:val="button2"/>
    <w:basedOn w:val="47"/>
    <w:qFormat/>
    <w:uiPriority w:val="0"/>
  </w:style>
  <w:style w:type="character" w:customStyle="1" w:styleId="233">
    <w:name w:val="active10"/>
    <w:basedOn w:val="47"/>
    <w:qFormat/>
    <w:uiPriority w:val="0"/>
    <w:rPr>
      <w:color w:val="00FF00"/>
      <w:shd w:val="clear" w:color="auto" w:fill="111111"/>
    </w:rPr>
  </w:style>
  <w:style w:type="character" w:customStyle="1" w:styleId="234">
    <w:name w:val="active"/>
    <w:basedOn w:val="47"/>
    <w:qFormat/>
    <w:uiPriority w:val="0"/>
    <w:rPr>
      <w:color w:val="00FF00"/>
      <w:shd w:val="clear" w:color="auto" w:fill="111111"/>
    </w:rPr>
  </w:style>
  <w:style w:type="character" w:customStyle="1" w:styleId="235">
    <w:name w:val="ico1655"/>
    <w:basedOn w:val="47"/>
    <w:qFormat/>
    <w:uiPriority w:val="0"/>
  </w:style>
  <w:style w:type="character" w:customStyle="1" w:styleId="236">
    <w:name w:val="hilite"/>
    <w:basedOn w:val="47"/>
    <w:qFormat/>
    <w:uiPriority w:val="0"/>
    <w:rPr>
      <w:color w:val="FFFFFF"/>
      <w:shd w:val="clear" w:color="auto" w:fill="666677"/>
    </w:rPr>
  </w:style>
  <w:style w:type="character" w:customStyle="1" w:styleId="237">
    <w:name w:val="active12"/>
    <w:basedOn w:val="47"/>
    <w:qFormat/>
    <w:uiPriority w:val="0"/>
    <w:rPr>
      <w:color w:val="00FF00"/>
      <w:shd w:val="clear" w:color="auto" w:fill="111111"/>
    </w:rPr>
  </w:style>
  <w:style w:type="character" w:customStyle="1" w:styleId="238">
    <w:name w:val="hilite5"/>
    <w:basedOn w:val="47"/>
    <w:qFormat/>
    <w:uiPriority w:val="0"/>
    <w:rPr>
      <w:color w:val="FFFFFF"/>
      <w:shd w:val="clear" w:color="auto" w:fill="666677"/>
    </w:rPr>
  </w:style>
  <w:style w:type="character" w:customStyle="1" w:styleId="239">
    <w:name w:val="hilite4"/>
    <w:basedOn w:val="47"/>
    <w:qFormat/>
    <w:uiPriority w:val="0"/>
    <w:rPr>
      <w:color w:val="FFFFFF"/>
      <w:shd w:val="clear" w:color="auto" w:fill="666677"/>
    </w:rPr>
  </w:style>
  <w:style w:type="character" w:customStyle="1" w:styleId="240">
    <w:name w:val="ico16"/>
    <w:basedOn w:val="47"/>
    <w:qFormat/>
    <w:uiPriority w:val="0"/>
  </w:style>
  <w:style w:type="character" w:customStyle="1" w:styleId="241">
    <w:name w:val="ico161"/>
    <w:basedOn w:val="47"/>
    <w:qFormat/>
    <w:uiPriority w:val="0"/>
  </w:style>
  <w:style w:type="character" w:customStyle="1" w:styleId="242">
    <w:name w:val="active8"/>
    <w:basedOn w:val="47"/>
    <w:qFormat/>
    <w:uiPriority w:val="0"/>
    <w:rPr>
      <w:color w:val="00FF00"/>
      <w:shd w:val="clear" w:color="auto" w:fill="111111"/>
    </w:rPr>
  </w:style>
  <w:style w:type="character" w:customStyle="1" w:styleId="243">
    <w:name w:val="active1"/>
    <w:basedOn w:val="47"/>
    <w:qFormat/>
    <w:uiPriority w:val="0"/>
    <w:rPr>
      <w:color w:val="00FF00"/>
      <w:shd w:val="clear" w:color="auto" w:fill="111111"/>
    </w:rPr>
  </w:style>
  <w:style w:type="character" w:customStyle="1" w:styleId="244">
    <w:name w:val="active11"/>
    <w:basedOn w:val="47"/>
    <w:qFormat/>
    <w:uiPriority w:val="0"/>
    <w:rPr>
      <w:color w:val="00FF00"/>
      <w:shd w:val="clear" w:color="auto" w:fill="111111"/>
    </w:rPr>
  </w:style>
  <w:style w:type="character" w:customStyle="1" w:styleId="245">
    <w:name w:val="active9"/>
    <w:basedOn w:val="47"/>
    <w:qFormat/>
    <w:uiPriority w:val="0"/>
    <w:rPr>
      <w:color w:val="00FF00"/>
      <w:shd w:val="clear" w:color="auto" w:fill="111111"/>
    </w:rPr>
  </w:style>
  <w:style w:type="character" w:customStyle="1" w:styleId="246">
    <w:name w:val="active5"/>
    <w:basedOn w:val="47"/>
    <w:qFormat/>
    <w:uiPriority w:val="0"/>
    <w:rPr>
      <w:color w:val="00FF00"/>
      <w:shd w:val="clear" w:color="auto" w:fill="111111"/>
    </w:rPr>
  </w:style>
  <w:style w:type="paragraph" w:customStyle="1" w:styleId="247">
    <w:name w:val="正文一级"/>
    <w:basedOn w:val="1"/>
    <w:qFormat/>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8">
    <w:name w:val="5文章(治)"/>
    <w:basedOn w:val="1"/>
    <w:link w:val="249"/>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9">
    <w:name w:val="5文章(治) Char"/>
    <w:link w:val="248"/>
    <w:qFormat/>
    <w:uiPriority w:val="0"/>
    <w:rPr>
      <w:kern w:val="2"/>
      <w:sz w:val="24"/>
    </w:rPr>
  </w:style>
  <w:style w:type="paragraph" w:customStyle="1" w:styleId="250">
    <w:name w:val="修订1"/>
    <w:hidden/>
    <w:unhideWhenUsed/>
    <w:qFormat/>
    <w:uiPriority w:val="99"/>
    <w:rPr>
      <w:rFonts w:ascii="宋体" w:hAnsi="宋体" w:eastAsia="宋体" w:cs="宋体"/>
      <w:sz w:val="22"/>
      <w:szCs w:val="22"/>
      <w:lang w:val="en-US" w:eastAsia="en-US" w:bidi="ar-SA"/>
    </w:rPr>
  </w:style>
  <w:style w:type="paragraph" w:customStyle="1" w:styleId="251">
    <w:name w:val="7表格(治)"/>
    <w:qFormat/>
    <w:uiPriority w:val="0"/>
    <w:pPr>
      <w:jc w:val="center"/>
    </w:pPr>
    <w:rPr>
      <w:rFonts w:ascii="Times New Roman" w:hAnsi="Times New Roman" w:eastAsia="宋体" w:cs="Times New Roman"/>
      <w:sz w:val="21"/>
      <w:szCs w:val="22"/>
      <w:lang w:val="en-US" w:eastAsia="zh-CN" w:bidi="ar-SA"/>
    </w:rPr>
  </w:style>
  <w:style w:type="character" w:customStyle="1" w:styleId="252">
    <w:name w:val="wz141"/>
    <w:qFormat/>
    <w:uiPriority w:val="0"/>
    <w:rPr>
      <w:rFonts w:hint="default" w:ascii="Arial" w:hAnsi="Arial" w:cs="Arial"/>
      <w:color w:val="000000"/>
      <w:sz w:val="21"/>
      <w:szCs w:val="21"/>
    </w:rPr>
  </w:style>
  <w:style w:type="paragraph" w:customStyle="1" w:styleId="253">
    <w:name w:val="font5"/>
    <w:basedOn w:val="1"/>
    <w:uiPriority w:val="0"/>
    <w:pPr>
      <w:widowControl/>
      <w:autoSpaceDE/>
      <w:autoSpaceDN/>
      <w:spacing w:before="100" w:beforeAutospacing="1" w:after="100" w:afterAutospacing="1"/>
    </w:pPr>
    <w:rPr>
      <w:sz w:val="18"/>
      <w:szCs w:val="18"/>
      <w:lang w:eastAsia="zh-CN"/>
    </w:rPr>
  </w:style>
  <w:style w:type="paragraph" w:customStyle="1" w:styleId="254">
    <w:name w:val="font6"/>
    <w:basedOn w:val="1"/>
    <w:uiPriority w:val="0"/>
    <w:pPr>
      <w:widowControl/>
      <w:autoSpaceDE/>
      <w:autoSpaceDN/>
      <w:spacing w:before="100" w:beforeAutospacing="1" w:after="100" w:afterAutospacing="1"/>
    </w:pPr>
    <w:rPr>
      <w:sz w:val="18"/>
      <w:szCs w:val="18"/>
      <w:lang w:eastAsia="zh-CN"/>
    </w:rPr>
  </w:style>
  <w:style w:type="paragraph" w:customStyle="1" w:styleId="255">
    <w:name w:val="font7"/>
    <w:basedOn w:val="1"/>
    <w:uiPriority w:val="0"/>
    <w:pPr>
      <w:widowControl/>
      <w:autoSpaceDE/>
      <w:autoSpaceDN/>
      <w:spacing w:before="100" w:beforeAutospacing="1" w:after="100" w:afterAutospacing="1"/>
    </w:pPr>
    <w:rPr>
      <w:color w:val="000000"/>
      <w:sz w:val="20"/>
      <w:szCs w:val="20"/>
      <w:lang w:eastAsia="zh-CN"/>
    </w:rPr>
  </w:style>
  <w:style w:type="paragraph" w:customStyle="1" w:styleId="256">
    <w:name w:val="font8"/>
    <w:basedOn w:val="1"/>
    <w:uiPriority w:val="0"/>
    <w:pPr>
      <w:widowControl/>
      <w:autoSpaceDE/>
      <w:autoSpaceDN/>
      <w:spacing w:before="100" w:beforeAutospacing="1" w:after="100" w:afterAutospacing="1"/>
    </w:pPr>
    <w:rPr>
      <w:color w:val="000000"/>
      <w:sz w:val="20"/>
      <w:szCs w:val="20"/>
      <w:u w:val="single"/>
      <w:lang w:eastAsia="zh-CN"/>
    </w:rPr>
  </w:style>
  <w:style w:type="paragraph" w:customStyle="1" w:styleId="257">
    <w:name w:val="xl67"/>
    <w:basedOn w:val="1"/>
    <w:uiPriority w:val="0"/>
    <w:pPr>
      <w:widowControl/>
      <w:autoSpaceDE/>
      <w:autoSpaceDN/>
      <w:spacing w:before="100" w:beforeAutospacing="1" w:after="100" w:afterAutospacing="1"/>
    </w:pPr>
    <w:rPr>
      <w:sz w:val="24"/>
      <w:szCs w:val="24"/>
      <w:lang w:eastAsia="zh-CN"/>
    </w:rPr>
  </w:style>
  <w:style w:type="paragraph" w:customStyle="1" w:styleId="258">
    <w:name w:val="xl68"/>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59">
    <w:name w:val="xl69"/>
    <w:basedOn w:val="1"/>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b/>
      <w:bCs/>
      <w:sz w:val="20"/>
      <w:szCs w:val="20"/>
      <w:lang w:eastAsia="zh-CN"/>
    </w:rPr>
  </w:style>
  <w:style w:type="paragraph" w:customStyle="1" w:styleId="260">
    <w:name w:val="xl70"/>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b/>
      <w:bCs/>
      <w:sz w:val="20"/>
      <w:szCs w:val="20"/>
      <w:lang w:eastAsia="zh-CN"/>
    </w:rPr>
  </w:style>
  <w:style w:type="paragraph" w:customStyle="1" w:styleId="261">
    <w:name w:val="xl71"/>
    <w:basedOn w:val="1"/>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b/>
      <w:bCs/>
      <w:sz w:val="20"/>
      <w:szCs w:val="20"/>
      <w:lang w:eastAsia="zh-CN"/>
    </w:rPr>
  </w:style>
  <w:style w:type="paragraph" w:customStyle="1" w:styleId="262">
    <w:name w:val="xl72"/>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b/>
      <w:bCs/>
      <w:sz w:val="20"/>
      <w:szCs w:val="20"/>
      <w:lang w:eastAsia="zh-CN"/>
    </w:rPr>
  </w:style>
  <w:style w:type="paragraph" w:customStyle="1" w:styleId="263">
    <w:name w:val="xl73"/>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64">
    <w:name w:val="xl74"/>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65">
    <w:name w:val="xl75"/>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66">
    <w:name w:val="xl76"/>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67">
    <w:name w:val="xl77"/>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0"/>
      <w:szCs w:val="20"/>
      <w:lang w:eastAsia="zh-CN"/>
    </w:rPr>
  </w:style>
  <w:style w:type="paragraph" w:customStyle="1" w:styleId="268">
    <w:name w:val="xl78"/>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69">
    <w:name w:val="xl79"/>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0"/>
      <w:szCs w:val="20"/>
      <w:lang w:eastAsia="zh-CN"/>
    </w:rPr>
  </w:style>
  <w:style w:type="paragraph" w:customStyle="1" w:styleId="270">
    <w:name w:val="xl80"/>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71">
    <w:name w:val="xl81"/>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72">
    <w:name w:val="xl82"/>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73">
    <w:name w:val="xl83"/>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0"/>
      <w:szCs w:val="20"/>
      <w:lang w:eastAsia="zh-CN"/>
    </w:rPr>
  </w:style>
  <w:style w:type="paragraph" w:customStyle="1" w:styleId="274">
    <w:name w:val="xl84"/>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0"/>
      <w:szCs w:val="20"/>
      <w:lang w:eastAsia="zh-CN"/>
    </w:rPr>
  </w:style>
  <w:style w:type="paragraph" w:customStyle="1" w:styleId="275">
    <w:name w:val="xl85"/>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0"/>
      <w:szCs w:val="20"/>
      <w:lang w:eastAsia="zh-CN"/>
    </w:rPr>
  </w:style>
  <w:style w:type="paragraph" w:customStyle="1" w:styleId="276">
    <w:name w:val="xl86"/>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77">
    <w:name w:val="xl87"/>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78">
    <w:name w:val="xl88"/>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279">
    <w:name w:val="xl89"/>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80">
    <w:name w:val="xl90"/>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81">
    <w:name w:val="xl91"/>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82">
    <w:name w:val="xl92"/>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0"/>
      <w:szCs w:val="20"/>
      <w:lang w:eastAsia="zh-CN"/>
    </w:rPr>
  </w:style>
  <w:style w:type="paragraph" w:customStyle="1" w:styleId="283">
    <w:name w:val="xl93"/>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284">
    <w:name w:val="xl94"/>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85">
    <w:name w:val="xl95"/>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0"/>
      <w:szCs w:val="20"/>
      <w:lang w:eastAsia="zh-CN"/>
    </w:rPr>
  </w:style>
  <w:style w:type="paragraph" w:customStyle="1" w:styleId="286">
    <w:name w:val="xl96"/>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87">
    <w:name w:val="xl97"/>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88">
    <w:name w:val="xl98"/>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89">
    <w:name w:val="xl99"/>
    <w:basedOn w:val="1"/>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90">
    <w:name w:val="xl100"/>
    <w:basedOn w:val="1"/>
    <w:uiPriority w:val="0"/>
    <w:pPr>
      <w:widowControl/>
      <w:pBdr>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91">
    <w:name w:val="xl101"/>
    <w:basedOn w:val="1"/>
    <w:uiPriority w:val="0"/>
    <w:pPr>
      <w:widowControl/>
      <w:pBdr>
        <w:left w:val="single" w:color="auto" w:sz="4" w:space="0"/>
        <w:bottom w:val="single" w:color="auto" w:sz="4" w:space="0"/>
      </w:pBdr>
      <w:autoSpaceDE/>
      <w:autoSpaceDN/>
      <w:spacing w:before="100" w:beforeAutospacing="1" w:after="100" w:afterAutospacing="1"/>
      <w:jc w:val="center"/>
    </w:pPr>
    <w:rPr>
      <w:sz w:val="20"/>
      <w:szCs w:val="20"/>
      <w:lang w:eastAsia="zh-CN"/>
    </w:rPr>
  </w:style>
  <w:style w:type="paragraph" w:customStyle="1" w:styleId="292">
    <w:name w:val="xl102"/>
    <w:basedOn w:val="1"/>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0"/>
      <w:szCs w:val="20"/>
      <w:lang w:eastAsia="zh-CN"/>
    </w:rPr>
  </w:style>
  <w:style w:type="paragraph" w:customStyle="1" w:styleId="293">
    <w:name w:val="xl103"/>
    <w:basedOn w:val="1"/>
    <w:uiPriority w:val="0"/>
    <w:pPr>
      <w:widowControl/>
      <w:pBdr>
        <w:top w:val="single" w:color="auto" w:sz="4" w:space="0"/>
        <w:left w:val="single" w:color="auto" w:sz="4" w:space="0"/>
      </w:pBdr>
      <w:autoSpaceDE/>
      <w:autoSpaceDN/>
      <w:spacing w:before="100" w:beforeAutospacing="1" w:after="100" w:afterAutospacing="1"/>
      <w:jc w:val="center"/>
    </w:pPr>
    <w:rPr>
      <w:sz w:val="20"/>
      <w:szCs w:val="20"/>
      <w:lang w:eastAsia="zh-CN"/>
    </w:rPr>
  </w:style>
  <w:style w:type="paragraph" w:customStyle="1" w:styleId="294">
    <w:name w:val="xl104"/>
    <w:basedOn w:val="1"/>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295">
    <w:name w:val="xl105"/>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0"/>
      <w:szCs w:val="20"/>
      <w:lang w:eastAsia="zh-CN"/>
    </w:rPr>
  </w:style>
  <w:style w:type="paragraph" w:customStyle="1" w:styleId="296">
    <w:name w:val="xl106"/>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0"/>
      <w:szCs w:val="20"/>
      <w:lang w:eastAsia="zh-CN"/>
    </w:rPr>
  </w:style>
  <w:style w:type="paragraph" w:customStyle="1" w:styleId="297">
    <w:name w:val="xl107"/>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sz w:val="20"/>
      <w:szCs w:val="20"/>
      <w:lang w:eastAsia="zh-CN"/>
    </w:rPr>
  </w:style>
  <w:style w:type="paragraph" w:customStyle="1" w:styleId="298">
    <w:name w:val="xl108"/>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color w:val="FF0000"/>
      <w:sz w:val="20"/>
      <w:szCs w:val="20"/>
      <w:lang w:eastAsia="zh-CN"/>
    </w:rPr>
  </w:style>
  <w:style w:type="paragraph" w:customStyle="1" w:styleId="299">
    <w:name w:val="xl109"/>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b/>
      <w:bCs/>
      <w:sz w:val="28"/>
      <w:szCs w:val="28"/>
      <w:lang w:eastAsia="zh-CN"/>
    </w:rPr>
  </w:style>
  <w:style w:type="paragraph" w:customStyle="1" w:styleId="30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30FD7D-7D1B-4CE5-889B-FF96148700BC}">
  <ds:schemaRefs/>
</ds:datastoreItem>
</file>

<file path=docProps/app.xml><?xml version="1.0" encoding="utf-8"?>
<Properties xmlns="http://schemas.openxmlformats.org/officeDocument/2006/extended-properties" xmlns:vt="http://schemas.openxmlformats.org/officeDocument/2006/docPropsVTypes">
  <Template>Normal.dotm</Template>
  <Company>福化环保</Company>
  <Pages>3</Pages>
  <Words>1665</Words>
  <Characters>1942</Characters>
  <Lines>16</Lines>
  <Paragraphs>4</Paragraphs>
  <TotalTime>3</TotalTime>
  <ScaleCrop>false</ScaleCrop>
  <LinksUpToDate>false</LinksUpToDate>
  <CharactersWithSpaces>2139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2023-07-20T07:05:00Z</dcterms:created>
  <dc:creator>CGC</dc:creator>
  <cp:lastModifiedBy>寒梅（钦）</cp:lastModifiedBy>
  <dcterms:modified xsi:type="dcterms:W3CDTF">2026-05-20T07:28:02Z</dcterms:modified>
  <dc:title>公开招标文件（货物服务类）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2052-12.1.0.25865</vt:lpwstr>
  </property>
  <property fmtid="{D5CDD505-2E9C-101B-9397-08002B2CF9AE}" pid="6" name="ICV">
    <vt:lpwstr>E40DE593B1754E6B8401D32101E9E1E8</vt:lpwstr>
  </property>
  <property fmtid="{D5CDD505-2E9C-101B-9397-08002B2CF9AE}" pid="7" name="KSOTemplateDocerSaveRecord">
    <vt:lpwstr>eyJoZGlkIjoiNTY1NGEwYmNkYmRjMWNmMjE0NWZlMjMzZjJmZDM4MjEiLCJ1c2VySWQiOiI5ODEyNzgwOTAifQ==</vt:lpwstr>
  </property>
</Properties>
</file>