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2DC10">
      <w:pPr>
        <w:jc w:val="center"/>
        <w:rPr>
          <w:rFonts w:ascii="宋体" w:hAnsi="宋体"/>
          <w:sz w:val="30"/>
          <w:szCs w:val="30"/>
          <w:highlight w:val="none"/>
        </w:rPr>
      </w:pPr>
      <w:r>
        <w:rPr>
          <w:rFonts w:hint="eastAsia" w:ascii="宋体" w:hAnsi="宋体"/>
          <w:b/>
          <w:sz w:val="30"/>
          <w:szCs w:val="30"/>
          <w:highlight w:val="none"/>
        </w:rPr>
        <w:t>富马酸装置多效凝液水转运服务</w:t>
      </w:r>
      <w:r>
        <w:rPr>
          <w:rFonts w:ascii="宋体" w:hAnsi="宋体"/>
          <w:b/>
          <w:sz w:val="30"/>
          <w:szCs w:val="30"/>
          <w:highlight w:val="none"/>
        </w:rPr>
        <w:t>合同</w:t>
      </w:r>
    </w:p>
    <w:p w14:paraId="3A638B8B">
      <w:pPr>
        <w:ind w:firstLine="5880" w:firstLineChars="2800"/>
        <w:rPr>
          <w:rFonts w:ascii="宋体" w:hAnsi="宋体"/>
          <w:szCs w:val="21"/>
          <w:highlight w:val="none"/>
        </w:rPr>
      </w:pPr>
    </w:p>
    <w:p w14:paraId="4D318436">
      <w:pPr>
        <w:ind w:firstLine="5880" w:firstLineChars="2800"/>
        <w:rPr>
          <w:rFonts w:ascii="宋体" w:hAnsi="宋体"/>
          <w:szCs w:val="21"/>
          <w:highlight w:val="none"/>
        </w:rPr>
      </w:pPr>
    </w:p>
    <w:p w14:paraId="3CE167F3">
      <w:pPr>
        <w:spacing w:line="360" w:lineRule="auto"/>
        <w:ind w:firstLine="5460" w:firstLineChars="2275"/>
        <w:rPr>
          <w:rFonts w:ascii="宋体" w:hAnsi="宋体"/>
          <w:sz w:val="24"/>
          <w:highlight w:val="none"/>
        </w:rPr>
      </w:pPr>
      <w:r>
        <w:rPr>
          <w:rFonts w:ascii="宋体" w:hAnsi="宋体"/>
          <w:sz w:val="24"/>
          <w:highlight w:val="none"/>
        </w:rPr>
        <w:t>合同编号：</w:t>
      </w:r>
      <w:r>
        <w:rPr>
          <w:rFonts w:hint="eastAsia" w:ascii="宋体" w:hAnsi="宋体"/>
          <w:sz w:val="24"/>
          <w:highlight w:val="none"/>
        </w:rPr>
        <w:t>CGHT-202</w:t>
      </w:r>
      <w:r>
        <w:rPr>
          <w:rFonts w:hint="eastAsia" w:ascii="宋体" w:hAnsi="宋体"/>
          <w:sz w:val="24"/>
          <w:highlight w:val="none"/>
          <w:lang w:val="en-US" w:eastAsia="zh-CN"/>
        </w:rPr>
        <w:t>6</w:t>
      </w:r>
      <w:r>
        <w:rPr>
          <w:rFonts w:hint="eastAsia" w:ascii="宋体" w:hAnsi="宋体"/>
          <w:sz w:val="24"/>
          <w:highlight w:val="none"/>
        </w:rPr>
        <w:t>-</w:t>
      </w:r>
    </w:p>
    <w:p w14:paraId="692E3895">
      <w:pPr>
        <w:spacing w:line="360" w:lineRule="auto"/>
        <w:ind w:firstLine="5460" w:firstLineChars="2275"/>
        <w:rPr>
          <w:rFonts w:ascii="宋体" w:hAnsi="宋体"/>
          <w:sz w:val="24"/>
          <w:highlight w:val="none"/>
        </w:rPr>
      </w:pPr>
      <w:r>
        <w:rPr>
          <w:rFonts w:ascii="宋体" w:hAnsi="宋体"/>
          <w:sz w:val="24"/>
          <w:highlight w:val="none"/>
        </w:rPr>
        <w:t>签约时间：</w:t>
      </w:r>
      <w:r>
        <w:rPr>
          <w:rFonts w:hint="eastAsia"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14C64041">
      <w:pPr>
        <w:spacing w:line="360" w:lineRule="auto"/>
        <w:ind w:firstLine="5460" w:firstLineChars="2275"/>
        <w:rPr>
          <w:rFonts w:ascii="宋体" w:hAnsi="宋体"/>
          <w:sz w:val="24"/>
          <w:highlight w:val="none"/>
        </w:rPr>
      </w:pPr>
      <w:r>
        <w:rPr>
          <w:rFonts w:hint="eastAsia" w:ascii="宋体" w:hAnsi="宋体"/>
          <w:sz w:val="24"/>
          <w:highlight w:val="none"/>
        </w:rPr>
        <w:t>签订地点：漳州古雷</w:t>
      </w:r>
      <w:r>
        <w:rPr>
          <w:rFonts w:ascii="宋体" w:hAnsi="宋体"/>
          <w:sz w:val="24"/>
          <w:highlight w:val="none"/>
        </w:rPr>
        <w:t xml:space="preserve"> </w:t>
      </w:r>
    </w:p>
    <w:p w14:paraId="0DDA0CF7">
      <w:pPr>
        <w:spacing w:before="120" w:beforeLines="50" w:after="120" w:afterLines="50" w:line="360" w:lineRule="auto"/>
        <w:rPr>
          <w:b/>
          <w:bCs/>
          <w:sz w:val="24"/>
          <w:highlight w:val="none"/>
        </w:rPr>
      </w:pPr>
      <w:r>
        <w:rPr>
          <w:rFonts w:ascii="宋体" w:hAnsi="宋体"/>
          <w:b/>
          <w:sz w:val="24"/>
          <w:highlight w:val="none"/>
        </w:rPr>
        <w:t>托运方（甲方）</w:t>
      </w:r>
      <w:r>
        <w:rPr>
          <w:rFonts w:hint="eastAsia" w:ascii="宋体" w:hAnsi="宋体"/>
          <w:b/>
          <w:sz w:val="24"/>
          <w:highlight w:val="none"/>
        </w:rPr>
        <w:t>：</w:t>
      </w:r>
      <w:r>
        <w:rPr>
          <w:b/>
          <w:bCs/>
          <w:sz w:val="24"/>
          <w:highlight w:val="none"/>
          <w:u w:val="single"/>
        </w:rPr>
        <w:t>福建省福化古蕾化学有限公司、</w:t>
      </w:r>
      <w:r>
        <w:rPr>
          <w:rFonts w:hint="eastAsia" w:ascii="宋体" w:hAnsi="宋体" w:eastAsiaTheme="minorEastAsia" w:cstheme="minorBidi"/>
          <w:b/>
          <w:bCs/>
          <w:sz w:val="24"/>
          <w:highlight w:val="none"/>
          <w:u w:val="single"/>
        </w:rPr>
        <w:t>福建福海创石油化工有限公司</w:t>
      </w:r>
    </w:p>
    <w:p w14:paraId="2A28D26F">
      <w:pPr>
        <w:spacing w:before="120" w:beforeLines="50" w:after="120" w:afterLines="50" w:line="360" w:lineRule="auto"/>
        <w:rPr>
          <w:rFonts w:ascii="宋体" w:hAnsi="宋体"/>
          <w:b/>
          <w:sz w:val="24"/>
          <w:highlight w:val="none"/>
        </w:rPr>
      </w:pPr>
      <w:r>
        <w:rPr>
          <w:rFonts w:ascii="宋体" w:hAnsi="宋体"/>
          <w:b/>
          <w:sz w:val="24"/>
          <w:highlight w:val="none"/>
        </w:rPr>
        <w:t>承运方（乙方</w:t>
      </w:r>
      <w:r>
        <w:rPr>
          <w:rFonts w:hint="eastAsia" w:ascii="宋体" w:hAnsi="宋体"/>
          <w:b/>
          <w:sz w:val="24"/>
          <w:highlight w:val="none"/>
        </w:rPr>
        <w:t>）：</w:t>
      </w:r>
    </w:p>
    <w:p w14:paraId="5DFB45FA">
      <w:pPr>
        <w:spacing w:line="360" w:lineRule="auto"/>
        <w:ind w:firstLine="420" w:firstLineChars="200"/>
        <w:rPr>
          <w:rFonts w:ascii="宋体" w:hAnsi="宋体"/>
          <w:szCs w:val="21"/>
          <w:highlight w:val="none"/>
        </w:rPr>
      </w:pPr>
      <w:r>
        <w:rPr>
          <w:rFonts w:ascii="宋体" w:hAnsi="宋体"/>
          <w:szCs w:val="21"/>
          <w:highlight w:val="none"/>
        </w:rPr>
        <w:t>双方经友好协商，</w:t>
      </w:r>
      <w:r>
        <w:rPr>
          <w:rFonts w:hint="eastAsia" w:ascii="宋体" w:hAnsi="宋体"/>
          <w:szCs w:val="21"/>
          <w:highlight w:val="none"/>
        </w:rPr>
        <w:t>就</w:t>
      </w:r>
      <w:r>
        <w:rPr>
          <w:rFonts w:ascii="宋体" w:hAnsi="宋体"/>
          <w:szCs w:val="21"/>
          <w:highlight w:val="none"/>
        </w:rPr>
        <w:t>乙方</w:t>
      </w:r>
      <w:r>
        <w:rPr>
          <w:rFonts w:hint="eastAsia" w:ascii="宋体" w:hAnsi="宋体"/>
          <w:szCs w:val="21"/>
          <w:highlight w:val="none"/>
        </w:rPr>
        <w:t>承运</w:t>
      </w:r>
      <w:r>
        <w:rPr>
          <w:rFonts w:ascii="宋体" w:hAnsi="宋体"/>
          <w:szCs w:val="21"/>
          <w:highlight w:val="none"/>
        </w:rPr>
        <w:t>甲方</w:t>
      </w:r>
      <w:r>
        <w:rPr>
          <w:rFonts w:hint="eastAsia" w:ascii="宋体" w:hAnsi="宋体"/>
          <w:szCs w:val="21"/>
          <w:highlight w:val="none"/>
        </w:rPr>
        <w:t>货物事宜</w:t>
      </w:r>
      <w:r>
        <w:rPr>
          <w:rFonts w:ascii="宋体" w:hAnsi="宋体"/>
          <w:szCs w:val="21"/>
          <w:highlight w:val="none"/>
        </w:rPr>
        <w:t>达成以下协议：</w:t>
      </w:r>
    </w:p>
    <w:p w14:paraId="47E9E452">
      <w:pPr>
        <w:numPr>
          <w:ilvl w:val="0"/>
          <w:numId w:val="1"/>
        </w:numPr>
        <w:tabs>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 xml:space="preserve">运输货物 </w:t>
      </w:r>
      <w:r>
        <w:rPr>
          <w:rFonts w:ascii="宋体" w:hAnsi="宋体"/>
          <w:b/>
          <w:szCs w:val="21"/>
          <w:highlight w:val="none"/>
        </w:rPr>
        <w:t xml:space="preserve">   </w:t>
      </w:r>
    </w:p>
    <w:p w14:paraId="27B1FE16">
      <w:pPr>
        <w:numPr>
          <w:ilvl w:val="0"/>
          <w:numId w:val="1"/>
        </w:numPr>
        <w:tabs>
          <w:tab w:val="left" w:pos="562"/>
        </w:tabs>
        <w:spacing w:line="360" w:lineRule="auto"/>
        <w:ind w:left="420" w:leftChars="0" w:hanging="420" w:hangingChars="200"/>
        <w:rPr>
          <w:rFonts w:ascii="宋体" w:hAnsi="宋体"/>
          <w:szCs w:val="21"/>
          <w:highlight w:val="none"/>
        </w:rPr>
      </w:pPr>
      <w:r>
        <w:rPr>
          <w:rFonts w:hint="eastAsia" w:ascii="宋体" w:hAnsi="宋体"/>
          <w:szCs w:val="21"/>
          <w:highlight w:val="none"/>
        </w:rPr>
        <w:t>多效凝液水由富马酸装置装车点装车（原液罐区V0201C），运至PTA污水处理药剂卸料站（运</w:t>
      </w:r>
      <w:r>
        <w:rPr>
          <w:rFonts w:hint="eastAsia" w:ascii="宋体" w:hAnsi="宋体"/>
          <w:szCs w:val="21"/>
          <w:highlight w:val="none"/>
          <w:lang w:val="en-US" w:eastAsia="zh-CN"/>
        </w:rPr>
        <w:t xml:space="preserve">   </w:t>
      </w:r>
      <w:r>
        <w:rPr>
          <w:rFonts w:hint="eastAsia" w:ascii="宋体" w:hAnsi="宋体"/>
          <w:szCs w:val="21"/>
          <w:highlight w:val="none"/>
        </w:rPr>
        <w:t>输总水量约2000</w:t>
      </w:r>
      <w:r>
        <w:rPr>
          <w:rFonts w:hint="eastAsia" w:ascii="宋体" w:hAnsi="宋体"/>
          <w:szCs w:val="21"/>
          <w:highlight w:val="none"/>
          <w:lang w:val="en-US" w:eastAsia="zh-CN"/>
        </w:rPr>
        <w:t>吨</w:t>
      </w:r>
      <w:r>
        <w:rPr>
          <w:rFonts w:hint="eastAsia" w:ascii="宋体" w:hAnsi="宋体"/>
          <w:szCs w:val="21"/>
          <w:highlight w:val="none"/>
        </w:rPr>
        <w:t>，运输来回路程约8公里）。</w:t>
      </w:r>
    </w:p>
    <w:p w14:paraId="46A69438">
      <w:pPr>
        <w:numPr>
          <w:ilvl w:val="0"/>
          <w:numId w:val="1"/>
        </w:numPr>
        <w:tabs>
          <w:tab w:val="left" w:pos="562"/>
        </w:tabs>
        <w:spacing w:line="360" w:lineRule="auto"/>
        <w:ind w:left="-420" w:firstLine="422" w:firstLineChars="200"/>
        <w:rPr>
          <w:rFonts w:ascii="宋体" w:hAnsi="宋体"/>
          <w:szCs w:val="21"/>
          <w:highlight w:val="none"/>
        </w:rPr>
      </w:pPr>
      <w:r>
        <w:rPr>
          <w:rFonts w:hint="eastAsia" w:ascii="宋体" w:hAnsi="宋体"/>
          <w:b/>
          <w:szCs w:val="21"/>
          <w:highlight w:val="none"/>
        </w:rPr>
        <w:t>运输方式及价格</w:t>
      </w:r>
      <w:r>
        <w:rPr>
          <w:rFonts w:ascii="宋体" w:hAnsi="宋体"/>
          <w:szCs w:val="21"/>
          <w:highlight w:val="none"/>
        </w:rPr>
        <w:t>（详见附件一《</w:t>
      </w:r>
      <w:r>
        <w:rPr>
          <w:rFonts w:hint="eastAsia" w:ascii="宋体" w:hAnsi="宋体"/>
          <w:szCs w:val="21"/>
          <w:highlight w:val="none"/>
        </w:rPr>
        <w:t>运费报价单</w:t>
      </w:r>
      <w:r>
        <w:rPr>
          <w:rFonts w:ascii="宋体" w:hAnsi="宋体"/>
          <w:szCs w:val="21"/>
          <w:highlight w:val="none"/>
        </w:rPr>
        <w:t>》）</w:t>
      </w:r>
    </w:p>
    <w:p w14:paraId="7B9E5C3C">
      <w:pPr>
        <w:pStyle w:val="2"/>
        <w:spacing w:line="360" w:lineRule="auto"/>
        <w:ind w:firstLine="96" w:firstLineChars="46"/>
        <w:rPr>
          <w:rFonts w:hAnsi="宋体"/>
          <w:kern w:val="2"/>
          <w:sz w:val="21"/>
          <w:szCs w:val="21"/>
          <w:highlight w:val="none"/>
        </w:rPr>
      </w:pPr>
      <w:r>
        <w:rPr>
          <w:rFonts w:hint="eastAsia" w:hAnsi="宋体"/>
          <w:kern w:val="2"/>
          <w:sz w:val="21"/>
          <w:szCs w:val="21"/>
          <w:highlight w:val="none"/>
        </w:rPr>
        <w:t>1、运输方式：富马酸多效凝液水通过槽罐车转运至PTA污水处理单元，用于中和其碱洗废水。</w:t>
      </w:r>
    </w:p>
    <w:p w14:paraId="1CEA4571">
      <w:pPr>
        <w:tabs>
          <w:tab w:val="left" w:pos="71"/>
        </w:tabs>
        <w:spacing w:line="360" w:lineRule="auto"/>
        <w:ind w:left="401" w:leftChars="46" w:hanging="304" w:hangingChars="145"/>
        <w:rPr>
          <w:rFonts w:ascii="宋体" w:hAnsi="宋体"/>
          <w:szCs w:val="21"/>
          <w:highlight w:val="none"/>
        </w:rPr>
      </w:pPr>
      <w:r>
        <w:rPr>
          <w:rFonts w:ascii="宋体" w:hAnsi="宋体"/>
          <w:szCs w:val="21"/>
          <w:highlight w:val="none"/>
        </w:rPr>
        <w:t>2</w:t>
      </w:r>
      <w:r>
        <w:rPr>
          <w:rFonts w:hint="eastAsia" w:ascii="宋体" w:hAnsi="宋体"/>
          <w:szCs w:val="21"/>
          <w:highlight w:val="none"/>
        </w:rPr>
        <w:t>、富马酸装置多效凝液水预估2000</w:t>
      </w:r>
      <w:r>
        <w:rPr>
          <w:rFonts w:hint="eastAsia" w:ascii="宋体" w:hAnsi="宋体"/>
          <w:szCs w:val="21"/>
          <w:highlight w:val="none"/>
          <w:lang w:val="en-US" w:eastAsia="zh-CN"/>
        </w:rPr>
        <w:t>吨</w:t>
      </w:r>
      <w:r>
        <w:rPr>
          <w:rFonts w:hint="eastAsia" w:ascii="宋体" w:hAnsi="宋体"/>
          <w:szCs w:val="21"/>
          <w:highlight w:val="none"/>
        </w:rPr>
        <w:t>，单价为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元</w:t>
      </w:r>
      <w:r>
        <w:rPr>
          <w:rFonts w:hint="eastAsia" w:ascii="宋体" w:hAnsi="宋体"/>
          <w:szCs w:val="21"/>
          <w:highlight w:val="none"/>
          <w:u w:val="single"/>
        </w:rPr>
        <w:t>/</w:t>
      </w:r>
      <w:r>
        <w:rPr>
          <w:rFonts w:hint="eastAsia" w:ascii="宋体" w:hAnsi="宋体"/>
          <w:szCs w:val="21"/>
          <w:highlight w:val="none"/>
          <w:u w:val="single"/>
          <w:lang w:val="en-US" w:eastAsia="zh-CN"/>
        </w:rPr>
        <w:t>吨</w:t>
      </w:r>
      <w:r>
        <w:rPr>
          <w:rFonts w:ascii="宋体" w:hAnsi="宋体"/>
          <w:szCs w:val="21"/>
          <w:highlight w:val="none"/>
        </w:rPr>
        <w:t>，</w:t>
      </w:r>
      <w:r>
        <w:rPr>
          <w:rFonts w:hint="eastAsia" w:ascii="宋体" w:hAnsi="宋体"/>
          <w:szCs w:val="21"/>
          <w:highlight w:val="none"/>
        </w:rPr>
        <w:t>具体运费</w:t>
      </w:r>
      <w:r>
        <w:rPr>
          <w:rFonts w:ascii="宋体" w:hAnsi="宋体"/>
          <w:szCs w:val="21"/>
          <w:highlight w:val="none"/>
        </w:rPr>
        <w:t>以甲方实际委托乙方承运数量</w:t>
      </w:r>
      <w:r>
        <w:rPr>
          <w:rFonts w:hint="eastAsia" w:ascii="宋体" w:hAnsi="宋体"/>
          <w:szCs w:val="21"/>
          <w:highlight w:val="none"/>
        </w:rPr>
        <w:t>计算</w:t>
      </w:r>
      <w:r>
        <w:rPr>
          <w:rFonts w:ascii="宋体" w:hAnsi="宋体"/>
          <w:szCs w:val="21"/>
          <w:highlight w:val="none"/>
        </w:rPr>
        <w:t>。</w:t>
      </w:r>
    </w:p>
    <w:p w14:paraId="684880DB">
      <w:pPr>
        <w:tabs>
          <w:tab w:val="left" w:pos="71"/>
        </w:tabs>
        <w:spacing w:line="360" w:lineRule="auto"/>
        <w:ind w:left="401" w:leftChars="46" w:hanging="304" w:hangingChars="145"/>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上述价格包括</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rPr>
        <w:t>%增值</w:t>
      </w:r>
      <w:r>
        <w:rPr>
          <w:rFonts w:hint="eastAsia" w:ascii="宋体" w:hAnsi="宋体"/>
          <w:szCs w:val="21"/>
          <w:highlight w:val="none"/>
        </w:rPr>
        <w:t>税和甲方</w:t>
      </w:r>
      <w:r>
        <w:rPr>
          <w:rFonts w:ascii="宋体" w:hAnsi="宋体"/>
          <w:szCs w:val="21"/>
          <w:highlight w:val="none"/>
        </w:rPr>
        <w:t>至</w:t>
      </w:r>
      <w:r>
        <w:rPr>
          <w:rFonts w:hint="eastAsia" w:ascii="宋体" w:hAnsi="宋体"/>
          <w:szCs w:val="21"/>
          <w:highlight w:val="none"/>
        </w:rPr>
        <w:t>甲方指定地点</w:t>
      </w:r>
      <w:r>
        <w:rPr>
          <w:rFonts w:ascii="宋体" w:hAnsi="宋体"/>
          <w:szCs w:val="21"/>
          <w:highlight w:val="none"/>
        </w:rPr>
        <w:t>所产生的一切费用以及槽车</w:t>
      </w:r>
      <w:r>
        <w:rPr>
          <w:rFonts w:hint="eastAsia" w:ascii="宋体" w:hAnsi="宋体"/>
          <w:szCs w:val="21"/>
          <w:highlight w:val="none"/>
        </w:rPr>
        <w:t>轮胎、</w:t>
      </w:r>
      <w:r>
        <w:rPr>
          <w:rFonts w:ascii="宋体" w:hAnsi="宋体"/>
          <w:szCs w:val="21"/>
          <w:highlight w:val="none"/>
        </w:rPr>
        <w:t>车架日常维修</w:t>
      </w:r>
      <w:r>
        <w:rPr>
          <w:rFonts w:hint="eastAsia" w:ascii="宋体" w:hAnsi="宋体"/>
          <w:szCs w:val="21"/>
          <w:highlight w:val="none"/>
        </w:rPr>
        <w:t>、保养、清洗、上牌、各种检验、</w:t>
      </w:r>
      <w:r>
        <w:rPr>
          <w:rFonts w:ascii="宋体" w:hAnsi="宋体"/>
          <w:szCs w:val="21"/>
          <w:highlight w:val="none"/>
        </w:rPr>
        <w:t>槽车</w:t>
      </w:r>
      <w:r>
        <w:rPr>
          <w:rFonts w:hint="eastAsia" w:ascii="宋体" w:hAnsi="宋体"/>
          <w:szCs w:val="21"/>
          <w:highlight w:val="none"/>
        </w:rPr>
        <w:t>配件及配套设备更换、保险、</w:t>
      </w:r>
      <w:r>
        <w:rPr>
          <w:rFonts w:ascii="宋体" w:hAnsi="宋体"/>
          <w:szCs w:val="21"/>
          <w:highlight w:val="none"/>
        </w:rPr>
        <w:t>槽车</w:t>
      </w:r>
      <w:r>
        <w:rPr>
          <w:rFonts w:hint="eastAsia" w:ascii="宋体" w:hAnsi="宋体"/>
          <w:szCs w:val="21"/>
          <w:highlight w:val="none"/>
        </w:rPr>
        <w:t>配套设备及以上所有的移位等</w:t>
      </w:r>
      <w:r>
        <w:rPr>
          <w:rFonts w:ascii="宋体" w:hAnsi="宋体"/>
          <w:szCs w:val="21"/>
          <w:highlight w:val="none"/>
        </w:rPr>
        <w:t>费用</w:t>
      </w:r>
      <w:r>
        <w:rPr>
          <w:rFonts w:hint="eastAsia" w:ascii="宋体" w:hAnsi="宋体"/>
          <w:szCs w:val="21"/>
          <w:highlight w:val="none"/>
        </w:rPr>
        <w:t>；</w:t>
      </w:r>
      <w:r>
        <w:rPr>
          <w:rFonts w:ascii="宋体" w:hAnsi="宋体"/>
          <w:szCs w:val="21"/>
          <w:highlight w:val="none"/>
        </w:rPr>
        <w:t>不含甲方仓库装货费</w:t>
      </w:r>
      <w:r>
        <w:rPr>
          <w:rFonts w:hint="eastAsia" w:ascii="宋体" w:hAnsi="宋体"/>
          <w:szCs w:val="21"/>
          <w:highlight w:val="none"/>
        </w:rPr>
        <w:t>和</w:t>
      </w:r>
      <w:r>
        <w:rPr>
          <w:rFonts w:ascii="宋体" w:hAnsi="宋体"/>
          <w:szCs w:val="21"/>
          <w:highlight w:val="none"/>
        </w:rPr>
        <w:t>目的地仓库卸货费。</w:t>
      </w:r>
    </w:p>
    <w:p w14:paraId="5E35929F">
      <w:pPr>
        <w:spacing w:line="360" w:lineRule="auto"/>
        <w:ind w:firstLine="73" w:firstLineChars="35"/>
        <w:rPr>
          <w:rFonts w:ascii="宋体" w:hAnsi="宋体"/>
          <w:szCs w:val="21"/>
          <w:highlight w:val="none"/>
        </w:rPr>
      </w:pPr>
      <w:r>
        <w:rPr>
          <w:rFonts w:ascii="宋体" w:hAnsi="宋体"/>
          <w:szCs w:val="21"/>
          <w:highlight w:val="none"/>
        </w:rPr>
        <w:t>4</w:t>
      </w:r>
      <w:r>
        <w:rPr>
          <w:rFonts w:hint="eastAsia" w:ascii="宋体" w:hAnsi="宋体"/>
          <w:szCs w:val="21"/>
          <w:highlight w:val="none"/>
        </w:rPr>
        <w:t>、运输车辆需搭配抽水泵，抽水泵扬程不小于20m。</w:t>
      </w:r>
    </w:p>
    <w:p w14:paraId="00F1D12D">
      <w:pPr>
        <w:spacing w:line="360" w:lineRule="auto"/>
        <w:ind w:firstLine="73" w:firstLineChars="35"/>
        <w:rPr>
          <w:rFonts w:ascii="宋体" w:hAnsi="宋体"/>
          <w:szCs w:val="21"/>
          <w:highlight w:val="none"/>
        </w:rPr>
      </w:pPr>
      <w:r>
        <w:rPr>
          <w:rFonts w:ascii="宋体" w:hAnsi="宋体"/>
          <w:szCs w:val="21"/>
          <w:highlight w:val="none"/>
        </w:rPr>
        <w:t>5</w:t>
      </w:r>
      <w:r>
        <w:rPr>
          <w:rFonts w:hint="eastAsia" w:ascii="宋体" w:hAnsi="宋体"/>
          <w:szCs w:val="21"/>
          <w:highlight w:val="none"/>
        </w:rPr>
        <w:t>、装卸车时需运输车辆人员协助接管以及确认罐体液位。</w:t>
      </w:r>
    </w:p>
    <w:p w14:paraId="5F1C68E8">
      <w:pPr>
        <w:spacing w:line="360" w:lineRule="auto"/>
        <w:ind w:firstLine="73" w:firstLineChars="35"/>
        <w:jc w:val="left"/>
        <w:rPr>
          <w:szCs w:val="21"/>
          <w:highlight w:val="none"/>
        </w:rPr>
      </w:pPr>
      <w:r>
        <w:rPr>
          <w:rFonts w:ascii="宋体" w:hAnsi="宋体"/>
          <w:szCs w:val="21"/>
          <w:highlight w:val="none"/>
        </w:rPr>
        <w:t>6</w:t>
      </w:r>
      <w:r>
        <w:rPr>
          <w:rFonts w:hint="eastAsia" w:ascii="宋体" w:hAnsi="宋体"/>
          <w:szCs w:val="21"/>
          <w:highlight w:val="none"/>
        </w:rPr>
        <w:t>、运输车辆规格要求详见下方：</w:t>
      </w:r>
      <w:r>
        <w:rPr>
          <w:szCs w:val="21"/>
          <w:highlight w:val="none"/>
        </w:rPr>
        <w:t xml:space="preserve">   </w:t>
      </w:r>
      <w:r>
        <w:rPr>
          <w:szCs w:val="21"/>
          <w:highlight w:val="none"/>
        </w:rPr>
        <w:drawing>
          <wp:inline distT="0" distB="0" distL="0" distR="0">
            <wp:extent cx="4724400" cy="1331595"/>
            <wp:effectExtent l="0" t="0" r="0" b="1905"/>
            <wp:docPr id="2" name="图片 2" descr="C:\Users\mqhuang\AppData\Local\Temp\QQ_1749606403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mqhuang\AppData\Local\Temp\QQ_17496064036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0110" cy="1342086"/>
                    </a:xfrm>
                    <a:prstGeom prst="rect">
                      <a:avLst/>
                    </a:prstGeom>
                    <a:noFill/>
                    <a:ln>
                      <a:noFill/>
                    </a:ln>
                  </pic:spPr>
                </pic:pic>
              </a:graphicData>
            </a:graphic>
          </wp:inline>
        </w:drawing>
      </w:r>
    </w:p>
    <w:p w14:paraId="4A380418">
      <w:pPr>
        <w:tabs>
          <w:tab w:val="left" w:pos="562"/>
        </w:tabs>
        <w:spacing w:line="360" w:lineRule="auto"/>
        <w:rPr>
          <w:rFonts w:ascii="宋体" w:hAnsi="宋体"/>
          <w:b/>
          <w:szCs w:val="21"/>
          <w:highlight w:val="none"/>
        </w:rPr>
      </w:pPr>
      <w:r>
        <w:rPr>
          <w:rFonts w:ascii="宋体" w:hAnsi="宋体"/>
          <w:bCs/>
          <w:szCs w:val="21"/>
          <w:highlight w:val="none"/>
        </w:rPr>
        <w:t>四、</w:t>
      </w:r>
      <w:r>
        <w:rPr>
          <w:rFonts w:hint="eastAsia" w:ascii="宋体" w:hAnsi="宋体" w:cs="楷体_GB2312"/>
          <w:b/>
          <w:szCs w:val="21"/>
          <w:highlight w:val="none"/>
          <w:lang w:val="zh-CN"/>
        </w:rPr>
        <w:t>双方责任</w:t>
      </w:r>
    </w:p>
    <w:p w14:paraId="47FB30A3">
      <w:pPr>
        <w:numPr>
          <w:ilvl w:val="0"/>
          <w:numId w:val="2"/>
        </w:numPr>
        <w:tabs>
          <w:tab w:val="left" w:pos="540"/>
          <w:tab w:val="clear" w:pos="165"/>
        </w:tabs>
        <w:spacing w:line="360" w:lineRule="auto"/>
        <w:ind w:left="-420" w:firstLine="420" w:firstLineChars="200"/>
        <w:rPr>
          <w:rFonts w:ascii="宋体" w:hAnsi="宋体"/>
          <w:szCs w:val="21"/>
          <w:highlight w:val="none"/>
        </w:rPr>
      </w:pPr>
      <w:r>
        <w:rPr>
          <w:rFonts w:hint="eastAsia" w:ascii="宋体" w:hAnsi="宋体"/>
          <w:szCs w:val="21"/>
          <w:highlight w:val="none"/>
        </w:rPr>
        <w:t>甲方责任</w:t>
      </w:r>
    </w:p>
    <w:p w14:paraId="39397029">
      <w:pPr>
        <w:spacing w:line="360" w:lineRule="auto"/>
        <w:ind w:firstLine="210" w:firstLineChars="100"/>
        <w:rPr>
          <w:rFonts w:ascii="宋体" w:hAnsi="宋体"/>
          <w:szCs w:val="21"/>
          <w:highlight w:val="none"/>
        </w:rPr>
      </w:pPr>
      <w:r>
        <w:rPr>
          <w:rFonts w:hint="eastAsia" w:ascii="宋体" w:hAnsi="宋体"/>
          <w:szCs w:val="21"/>
          <w:highlight w:val="none"/>
        </w:rPr>
        <w:t>（1）负责甲方指定出货地点的货物装车作业。</w:t>
      </w:r>
    </w:p>
    <w:p w14:paraId="258E0637">
      <w:pPr>
        <w:spacing w:line="360" w:lineRule="auto"/>
        <w:ind w:firstLine="210" w:firstLineChars="100"/>
        <w:rPr>
          <w:rFonts w:ascii="宋体" w:hAnsi="宋体"/>
          <w:szCs w:val="21"/>
          <w:highlight w:val="none"/>
        </w:rPr>
      </w:pPr>
      <w:r>
        <w:rPr>
          <w:rFonts w:hint="eastAsia" w:ascii="宋体" w:hAnsi="宋体"/>
          <w:szCs w:val="21"/>
          <w:highlight w:val="none"/>
        </w:rPr>
        <w:t>（2）负责告知货物到达站点，收货人详细地址、联系方法及交付收货人时间。</w:t>
      </w:r>
    </w:p>
    <w:p w14:paraId="55601BF0">
      <w:pPr>
        <w:spacing w:line="360" w:lineRule="auto"/>
        <w:ind w:firstLine="210" w:firstLineChars="100"/>
        <w:rPr>
          <w:rFonts w:ascii="宋体" w:hAnsi="宋体"/>
          <w:szCs w:val="21"/>
          <w:highlight w:val="none"/>
        </w:rPr>
      </w:pPr>
      <w:r>
        <w:rPr>
          <w:rFonts w:hint="eastAsia" w:ascii="宋体" w:hAnsi="宋体"/>
          <w:szCs w:val="21"/>
          <w:highlight w:val="none"/>
        </w:rPr>
        <w:t>（3）负责提供必要的货物手续如交接单据等。</w:t>
      </w:r>
    </w:p>
    <w:p w14:paraId="2105965C">
      <w:pPr>
        <w:spacing w:line="360" w:lineRule="auto"/>
        <w:ind w:firstLine="210" w:firstLineChars="100"/>
        <w:rPr>
          <w:rFonts w:ascii="宋体" w:hAnsi="宋体"/>
          <w:szCs w:val="21"/>
          <w:highlight w:val="none"/>
        </w:rPr>
      </w:pPr>
      <w:r>
        <w:rPr>
          <w:rFonts w:hint="eastAsia" w:ascii="宋体" w:hAnsi="宋体"/>
          <w:szCs w:val="21"/>
          <w:highlight w:val="none"/>
        </w:rPr>
        <w:t>（4）如非乙方原因，收货人拒绝收货时，甲方应负责协调。</w:t>
      </w:r>
    </w:p>
    <w:p w14:paraId="16B62EE5">
      <w:pPr>
        <w:spacing w:line="360" w:lineRule="auto"/>
        <w:ind w:firstLine="210" w:firstLineChars="100"/>
        <w:rPr>
          <w:rFonts w:ascii="宋体" w:hAnsi="宋体"/>
          <w:szCs w:val="21"/>
          <w:highlight w:val="none"/>
        </w:rPr>
      </w:pPr>
      <w:r>
        <w:rPr>
          <w:rFonts w:hint="eastAsia" w:ascii="宋体" w:hAnsi="宋体"/>
          <w:szCs w:val="21"/>
          <w:highlight w:val="none"/>
        </w:rPr>
        <w:t>（5）甲方应在每次实际发货前通知乙方。</w:t>
      </w:r>
    </w:p>
    <w:p w14:paraId="60260083">
      <w:pPr>
        <w:spacing w:line="360" w:lineRule="auto"/>
        <w:ind w:firstLine="210" w:firstLineChars="100"/>
        <w:rPr>
          <w:rFonts w:ascii="宋体" w:hAnsi="宋体"/>
          <w:szCs w:val="21"/>
          <w:highlight w:val="none"/>
        </w:rPr>
      </w:pPr>
      <w:r>
        <w:rPr>
          <w:rFonts w:hint="eastAsia" w:ascii="宋体" w:hAnsi="宋体"/>
          <w:szCs w:val="21"/>
          <w:highlight w:val="none"/>
        </w:rPr>
        <w:t>（6）甲方有权根据实际情况（如乙方无法满足甲方的发货要求），要求乙方立即整改、进行处罚并安排其他物流商加入作业，情节严重的甲方有权单方面终止运输合同、取消其参与一切自主比选的资格。</w:t>
      </w:r>
    </w:p>
    <w:p w14:paraId="0C27EAE7">
      <w:pPr>
        <w:spacing w:line="360" w:lineRule="auto"/>
        <w:ind w:firstLine="210" w:firstLineChars="100"/>
        <w:rPr>
          <w:rFonts w:ascii="宋体" w:hAnsi="宋体"/>
          <w:szCs w:val="21"/>
          <w:highlight w:val="none"/>
        </w:rPr>
      </w:pPr>
      <w:r>
        <w:rPr>
          <w:rFonts w:hint="eastAsia" w:ascii="宋体" w:hAnsi="宋体"/>
          <w:szCs w:val="21"/>
          <w:highlight w:val="none"/>
        </w:rPr>
        <w:t>（8）</w:t>
      </w:r>
      <w:r>
        <w:rPr>
          <w:rFonts w:ascii="宋体" w:hAnsi="宋体"/>
          <w:szCs w:val="21"/>
          <w:highlight w:val="none"/>
        </w:rPr>
        <w:t>在乙方发生运输安全、环保事故或货物货损、货失未处理完毕前，甲方有权中止或终止合同并暂时冻结其参与运输业务。</w:t>
      </w:r>
    </w:p>
    <w:p w14:paraId="0B94C172">
      <w:pPr>
        <w:spacing w:line="360" w:lineRule="auto"/>
        <w:ind w:firstLine="210" w:firstLineChars="100"/>
        <w:rPr>
          <w:rFonts w:ascii="宋体" w:hAnsi="宋体"/>
          <w:szCs w:val="21"/>
          <w:highlight w:val="none"/>
        </w:rPr>
      </w:pPr>
      <w:r>
        <w:rPr>
          <w:rFonts w:hint="eastAsia" w:ascii="宋体" w:hAnsi="宋体"/>
          <w:szCs w:val="21"/>
          <w:highlight w:val="none"/>
        </w:rPr>
        <w:t>（9）甲方有权监督乙方是否根据甲方的安全、信息化要求进行运输或者整改并达标。</w:t>
      </w:r>
    </w:p>
    <w:p w14:paraId="7092F650">
      <w:pPr>
        <w:numPr>
          <w:ilvl w:val="0"/>
          <w:numId w:val="2"/>
        </w:numPr>
        <w:tabs>
          <w:tab w:val="left" w:pos="540"/>
          <w:tab w:val="clear" w:pos="165"/>
        </w:tabs>
        <w:spacing w:line="360" w:lineRule="auto"/>
        <w:ind w:left="-420" w:firstLine="420" w:firstLineChars="200"/>
        <w:rPr>
          <w:rFonts w:ascii="宋体" w:hAnsi="宋体"/>
          <w:szCs w:val="21"/>
          <w:highlight w:val="none"/>
        </w:rPr>
      </w:pPr>
      <w:r>
        <w:rPr>
          <w:rFonts w:hint="eastAsia" w:ascii="宋体" w:hAnsi="宋体"/>
          <w:szCs w:val="21"/>
          <w:highlight w:val="none"/>
        </w:rPr>
        <w:t>乙方责任</w:t>
      </w:r>
    </w:p>
    <w:p w14:paraId="70E904CC">
      <w:pPr>
        <w:tabs>
          <w:tab w:val="left" w:pos="882"/>
        </w:tabs>
        <w:spacing w:line="360" w:lineRule="auto"/>
        <w:ind w:left="420" w:leftChars="200"/>
        <w:rPr>
          <w:rFonts w:ascii="宋体" w:hAnsi="宋体"/>
          <w:szCs w:val="21"/>
          <w:highlight w:val="none"/>
        </w:rPr>
      </w:pPr>
      <w:r>
        <w:rPr>
          <w:rFonts w:hint="eastAsia" w:ascii="宋体" w:hAnsi="宋体"/>
          <w:szCs w:val="21"/>
          <w:highlight w:val="none"/>
        </w:rPr>
        <w:t>（1）乙方在提货时需与甲方相关人员做好交接手续。</w:t>
      </w:r>
    </w:p>
    <w:p w14:paraId="470BF73E">
      <w:pPr>
        <w:widowControl/>
        <w:tabs>
          <w:tab w:val="left" w:pos="1429"/>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乙方承诺其</w:t>
      </w:r>
      <w:r>
        <w:rPr>
          <w:rFonts w:hint="eastAsia" w:ascii="宋体" w:hAnsi="宋体" w:cs="宋体"/>
          <w:kern w:val="0"/>
          <w:szCs w:val="21"/>
          <w:highlight w:val="none"/>
        </w:rPr>
        <w:t>具有实际控制权的</w:t>
      </w:r>
      <w:r>
        <w:rPr>
          <w:rFonts w:ascii="宋体" w:hAnsi="宋体" w:cs="宋体"/>
          <w:kern w:val="0"/>
          <w:szCs w:val="21"/>
          <w:highlight w:val="none"/>
        </w:rPr>
        <w:t>运输车辆。</w:t>
      </w:r>
    </w:p>
    <w:p w14:paraId="65BFB0DE">
      <w:pPr>
        <w:tabs>
          <w:tab w:val="left" w:pos="882"/>
          <w:tab w:val="left" w:pos="1429"/>
        </w:tabs>
        <w:spacing w:line="360" w:lineRule="auto"/>
        <w:ind w:firstLine="420" w:firstLineChars="200"/>
        <w:rPr>
          <w:rFonts w:ascii="宋体" w:hAnsi="宋体"/>
          <w:szCs w:val="21"/>
          <w:highlight w:val="none"/>
        </w:rPr>
      </w:pPr>
      <w:r>
        <w:rPr>
          <w:rFonts w:ascii="宋体" w:hAnsi="宋体"/>
          <w:szCs w:val="21"/>
          <w:highlight w:val="none"/>
        </w:rPr>
        <w:t>所派车辆</w:t>
      </w:r>
      <w:r>
        <w:rPr>
          <w:rFonts w:hint="eastAsia" w:ascii="宋体" w:hAnsi="宋体"/>
          <w:szCs w:val="21"/>
          <w:highlight w:val="none"/>
        </w:rPr>
        <w:t>、驾驶员</w:t>
      </w:r>
      <w:r>
        <w:rPr>
          <w:rFonts w:ascii="宋体" w:hAnsi="宋体"/>
          <w:szCs w:val="21"/>
          <w:highlight w:val="none"/>
        </w:rPr>
        <w:t>必须符合</w:t>
      </w:r>
      <w:r>
        <w:rPr>
          <w:rFonts w:hint="eastAsia" w:ascii="宋体" w:hAnsi="宋体"/>
          <w:szCs w:val="21"/>
          <w:highlight w:val="none"/>
        </w:rPr>
        <w:t>国家法律法规及</w:t>
      </w:r>
      <w:r>
        <w:rPr>
          <w:rFonts w:ascii="宋体" w:hAnsi="宋体"/>
          <w:szCs w:val="21"/>
          <w:highlight w:val="none"/>
        </w:rPr>
        <w:t>安全运载</w:t>
      </w:r>
      <w:r>
        <w:rPr>
          <w:rFonts w:hint="eastAsia" w:ascii="宋体" w:hAnsi="宋体"/>
          <w:b/>
          <w:szCs w:val="21"/>
          <w:highlight w:val="none"/>
        </w:rPr>
        <w:t>富马酸装置多效凝液水</w:t>
      </w:r>
      <w:r>
        <w:rPr>
          <w:rFonts w:ascii="宋体" w:hAnsi="宋体"/>
          <w:szCs w:val="21"/>
          <w:highlight w:val="none"/>
        </w:rPr>
        <w:t>的要求，</w:t>
      </w:r>
      <w:r>
        <w:rPr>
          <w:rFonts w:hint="eastAsia" w:ascii="宋体" w:hAnsi="宋体"/>
          <w:szCs w:val="21"/>
          <w:highlight w:val="none"/>
        </w:rPr>
        <w:t>必须有齐备的国家政府部门核对的有效证件及牌照，符合甲方承运商准入、HSE等相关要求，</w:t>
      </w:r>
      <w:r>
        <w:rPr>
          <w:rFonts w:ascii="宋体" w:hAnsi="宋体"/>
          <w:szCs w:val="21"/>
          <w:highlight w:val="none"/>
        </w:rPr>
        <w:t>对不符合装货要求之车辆，</w:t>
      </w:r>
      <w:r>
        <w:rPr>
          <w:rFonts w:hint="eastAsia" w:ascii="宋体" w:hAnsi="宋体"/>
          <w:szCs w:val="21"/>
          <w:highlight w:val="none"/>
        </w:rPr>
        <w:t>乙方应进行整改或者调换使之符合要求</w:t>
      </w:r>
      <w:r>
        <w:rPr>
          <w:rFonts w:ascii="宋体" w:hAnsi="宋体"/>
          <w:szCs w:val="21"/>
          <w:highlight w:val="none"/>
        </w:rPr>
        <w:t>；乙方对槽罐车运输应合理安排驾驶员工作强度，保证甲方所提供之槽罐车的安全运输。</w:t>
      </w:r>
      <w:r>
        <w:rPr>
          <w:rFonts w:hint="eastAsia" w:ascii="宋体" w:hAnsi="宋体"/>
          <w:szCs w:val="21"/>
          <w:highlight w:val="none"/>
        </w:rPr>
        <w:t>除维修保养外。</w:t>
      </w:r>
    </w:p>
    <w:p w14:paraId="6F86A52F">
      <w:pPr>
        <w:spacing w:line="360" w:lineRule="auto"/>
        <w:ind w:firstLine="420" w:firstLineChars="200"/>
        <w:rPr>
          <w:rFonts w:ascii="宋体" w:hAnsi="宋体"/>
          <w:szCs w:val="21"/>
          <w:highlight w:val="none"/>
        </w:rPr>
      </w:pPr>
      <w:r>
        <w:rPr>
          <w:rFonts w:hint="eastAsia" w:ascii="宋体" w:hAnsi="宋体"/>
          <w:szCs w:val="21"/>
          <w:highlight w:val="none"/>
        </w:rPr>
        <w:t>（3）乙方应保证最低运力满足甲方每日需求，</w:t>
      </w:r>
      <w:r>
        <w:rPr>
          <w:rFonts w:ascii="宋体" w:hAnsi="宋体"/>
          <w:szCs w:val="21"/>
          <w:highlight w:val="none"/>
        </w:rPr>
        <w:t>不得私自变更送货地点</w:t>
      </w:r>
      <w:r>
        <w:rPr>
          <w:rFonts w:hint="eastAsia" w:ascii="宋体" w:hAnsi="宋体"/>
          <w:szCs w:val="21"/>
          <w:highlight w:val="none"/>
        </w:rPr>
        <w:t>。</w:t>
      </w:r>
    </w:p>
    <w:p w14:paraId="6AB626A8">
      <w:pPr>
        <w:spacing w:line="360" w:lineRule="auto"/>
        <w:ind w:firstLine="420" w:firstLineChars="200"/>
        <w:rPr>
          <w:szCs w:val="21"/>
          <w:highlight w:val="none"/>
        </w:rPr>
      </w:pPr>
      <w:r>
        <w:rPr>
          <w:rFonts w:hint="eastAsia" w:ascii="宋体" w:hAnsi="宋体"/>
          <w:szCs w:val="21"/>
          <w:highlight w:val="none"/>
        </w:rPr>
        <w:t>（4）</w:t>
      </w:r>
      <w:r>
        <w:rPr>
          <w:rFonts w:hint="eastAsia"/>
          <w:szCs w:val="21"/>
          <w:highlight w:val="none"/>
        </w:rPr>
        <w:t>货物到达目的地，乙方负责数量的交付及发货清单的签收，乙方与甲方按每车进行数量核对，统一结算。</w:t>
      </w:r>
    </w:p>
    <w:p w14:paraId="12586AC4">
      <w:pPr>
        <w:spacing w:line="360" w:lineRule="auto"/>
        <w:ind w:firstLine="420" w:firstLineChars="200"/>
        <w:rPr>
          <w:rFonts w:ascii="宋体" w:hAnsi="宋体"/>
          <w:szCs w:val="21"/>
          <w:highlight w:val="none"/>
        </w:rPr>
      </w:pPr>
      <w:r>
        <w:rPr>
          <w:rFonts w:hint="eastAsia"/>
          <w:szCs w:val="21"/>
          <w:highlight w:val="none"/>
        </w:rPr>
        <w:t>乙方应保证货物的数量，损耗按每车结算。</w:t>
      </w:r>
      <w:bookmarkStart w:id="0" w:name="_Hlk22636510"/>
      <w:r>
        <w:rPr>
          <w:rFonts w:hint="eastAsia"/>
          <w:szCs w:val="21"/>
          <w:highlight w:val="none"/>
        </w:rPr>
        <w:t>如采用甲方客户地磅签收数量作为甲方与客户结算依据的，</w:t>
      </w:r>
      <w:bookmarkEnd w:id="0"/>
      <w:r>
        <w:rPr>
          <w:rFonts w:hint="eastAsia"/>
          <w:szCs w:val="21"/>
          <w:highlight w:val="none"/>
        </w:rPr>
        <w:t>乙方依照甲方客户地磅签收数量作为损耗计算的依据。乙方应保证承运的货物数量每车损耗率不超过</w:t>
      </w:r>
      <w:r>
        <w:rPr>
          <w:rFonts w:hint="eastAsia"/>
          <w:szCs w:val="21"/>
          <w:highlight w:val="none"/>
          <w:u w:val="single"/>
        </w:rPr>
        <w:t xml:space="preserve"> </w:t>
      </w:r>
      <w:r>
        <w:rPr>
          <w:szCs w:val="21"/>
          <w:highlight w:val="none"/>
          <w:u w:val="single"/>
        </w:rPr>
        <w:t>0.15_</w:t>
      </w:r>
      <w:r>
        <w:rPr>
          <w:szCs w:val="21"/>
          <w:highlight w:val="none"/>
        </w:rPr>
        <w:t>_%</w:t>
      </w:r>
      <w:r>
        <w:rPr>
          <w:rFonts w:hint="eastAsia"/>
          <w:szCs w:val="21"/>
          <w:highlight w:val="none"/>
        </w:rPr>
        <w:t>，损耗率的计算方法为：损耗率=（装运数量-卸货数量）/装运数量*100%（每日及时单车核对装载数量）。</w:t>
      </w:r>
      <w:r>
        <w:rPr>
          <w:szCs w:val="21"/>
          <w:highlight w:val="none"/>
        </w:rPr>
        <w:t>如损耗超过</w:t>
      </w:r>
      <w:r>
        <w:rPr>
          <w:szCs w:val="21"/>
          <w:highlight w:val="none"/>
          <w:u w:val="single"/>
        </w:rPr>
        <w:t xml:space="preserve"> 0.15__</w:t>
      </w:r>
      <w:r>
        <w:rPr>
          <w:szCs w:val="21"/>
          <w:highlight w:val="none"/>
        </w:rPr>
        <w:t>%，则超过的部分由</w:t>
      </w:r>
      <w:r>
        <w:rPr>
          <w:rFonts w:hint="eastAsia"/>
          <w:szCs w:val="21"/>
          <w:highlight w:val="none"/>
        </w:rPr>
        <w:t>乙方</w:t>
      </w:r>
      <w:r>
        <w:rPr>
          <w:szCs w:val="21"/>
          <w:highlight w:val="none"/>
        </w:rPr>
        <w:t>按</w:t>
      </w:r>
      <w:r>
        <w:rPr>
          <w:rFonts w:hint="eastAsia"/>
          <w:szCs w:val="21"/>
          <w:highlight w:val="none"/>
        </w:rPr>
        <w:t>甲方</w:t>
      </w:r>
      <w:r>
        <w:rPr>
          <w:szCs w:val="21"/>
          <w:highlight w:val="none"/>
        </w:rPr>
        <w:t>买卖合同的完税价格赔偿给</w:t>
      </w:r>
      <w:r>
        <w:rPr>
          <w:rFonts w:hint="eastAsia"/>
          <w:szCs w:val="21"/>
          <w:highlight w:val="none"/>
        </w:rPr>
        <w:t>甲方</w:t>
      </w:r>
      <w:r>
        <w:rPr>
          <w:szCs w:val="21"/>
          <w:highlight w:val="none"/>
        </w:rPr>
        <w:t>，同时承担由此给</w:t>
      </w:r>
      <w:r>
        <w:rPr>
          <w:rFonts w:hint="eastAsia"/>
          <w:szCs w:val="21"/>
          <w:highlight w:val="none"/>
        </w:rPr>
        <w:t>甲方</w:t>
      </w:r>
      <w:r>
        <w:rPr>
          <w:szCs w:val="21"/>
          <w:highlight w:val="none"/>
        </w:rPr>
        <w:t>造成的损失</w:t>
      </w:r>
    </w:p>
    <w:p w14:paraId="2FDA5607">
      <w:pPr>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槽罐车运输，除甲方原因造成延误或不可抗力因素外，乙方应自收到甲方</w:t>
      </w:r>
      <w:r>
        <w:rPr>
          <w:rFonts w:hint="eastAsia" w:ascii="宋体" w:hAnsi="宋体"/>
          <w:kern w:val="0"/>
          <w:szCs w:val="21"/>
          <w:highlight w:val="none"/>
        </w:rPr>
        <w:t>通知</w:t>
      </w:r>
      <w:r>
        <w:rPr>
          <w:rFonts w:ascii="宋体" w:hAnsi="宋体"/>
          <w:szCs w:val="21"/>
          <w:highlight w:val="none"/>
        </w:rPr>
        <w:t>时起运，</w:t>
      </w:r>
      <w:r>
        <w:rPr>
          <w:rFonts w:hint="eastAsia" w:ascii="宋体" w:hAnsi="宋体"/>
          <w:szCs w:val="21"/>
          <w:highlight w:val="none"/>
        </w:rPr>
        <w:t>在甲方规定的时间内完成</w:t>
      </w:r>
      <w:r>
        <w:rPr>
          <w:rFonts w:ascii="宋体" w:hAnsi="宋体"/>
          <w:szCs w:val="21"/>
          <w:highlight w:val="none"/>
        </w:rPr>
        <w:t>。收货人在甲方提供的</w:t>
      </w:r>
      <w:r>
        <w:rPr>
          <w:rFonts w:hint="eastAsia" w:ascii="宋体" w:hAnsi="宋体"/>
          <w:szCs w:val="21"/>
          <w:highlight w:val="none"/>
        </w:rPr>
        <w:t>“配送签收单”</w:t>
      </w:r>
      <w:r>
        <w:rPr>
          <w:rFonts w:ascii="宋体" w:hAnsi="宋体"/>
          <w:szCs w:val="21"/>
          <w:highlight w:val="none"/>
        </w:rPr>
        <w:t>上签收</w:t>
      </w:r>
      <w:r>
        <w:rPr>
          <w:rFonts w:hint="eastAsia" w:ascii="宋体" w:hAnsi="宋体"/>
          <w:szCs w:val="21"/>
          <w:highlight w:val="none"/>
        </w:rPr>
        <w:t>后</w:t>
      </w:r>
      <w:r>
        <w:rPr>
          <w:rFonts w:ascii="宋体" w:hAnsi="宋体"/>
          <w:szCs w:val="21"/>
          <w:highlight w:val="none"/>
        </w:rPr>
        <w:t>，</w:t>
      </w:r>
      <w:r>
        <w:rPr>
          <w:rFonts w:hint="eastAsia" w:ascii="宋体" w:hAnsi="宋体"/>
          <w:szCs w:val="21"/>
          <w:highlight w:val="none"/>
        </w:rPr>
        <w:t>将配送签收单妥善保管。</w:t>
      </w:r>
      <w:r>
        <w:rPr>
          <w:rFonts w:ascii="宋体" w:hAnsi="宋体"/>
          <w:szCs w:val="21"/>
          <w:highlight w:val="none"/>
        </w:rPr>
        <w:t>乙方同意以</w:t>
      </w:r>
      <w:r>
        <w:rPr>
          <w:rFonts w:hint="eastAsia" w:ascii="宋体" w:hAnsi="宋体"/>
          <w:szCs w:val="21"/>
          <w:highlight w:val="none"/>
        </w:rPr>
        <w:t>“</w:t>
      </w:r>
      <w:r>
        <w:rPr>
          <w:rFonts w:ascii="宋体" w:hAnsi="宋体"/>
          <w:szCs w:val="21"/>
          <w:highlight w:val="none"/>
        </w:rPr>
        <w:t>客户确认单</w:t>
      </w:r>
      <w:r>
        <w:rPr>
          <w:rFonts w:hint="eastAsia" w:ascii="宋体" w:hAnsi="宋体"/>
          <w:szCs w:val="21"/>
          <w:highlight w:val="none"/>
        </w:rPr>
        <w:t>”</w:t>
      </w:r>
      <w:r>
        <w:rPr>
          <w:rFonts w:ascii="宋体" w:hAnsi="宋体"/>
          <w:szCs w:val="21"/>
          <w:highlight w:val="none"/>
        </w:rPr>
        <w:t>上收货人确认的数量和质量为证明乙方实际交货数量和质量的最终证据。但对于交货时，收货人未能发现的</w:t>
      </w:r>
      <w:r>
        <w:rPr>
          <w:rFonts w:hint="eastAsia" w:ascii="宋体" w:hAnsi="宋体"/>
          <w:szCs w:val="21"/>
          <w:highlight w:val="none"/>
        </w:rPr>
        <w:t>因</w:t>
      </w:r>
      <w:r>
        <w:rPr>
          <w:rFonts w:ascii="宋体" w:hAnsi="宋体"/>
          <w:szCs w:val="21"/>
          <w:highlight w:val="none"/>
        </w:rPr>
        <w:t>短少和货损</w:t>
      </w:r>
      <w:r>
        <w:rPr>
          <w:rFonts w:hint="eastAsia" w:ascii="宋体" w:hAnsi="宋体"/>
          <w:szCs w:val="21"/>
          <w:highlight w:val="none"/>
        </w:rPr>
        <w:t>引起的质量问题</w:t>
      </w:r>
      <w:r>
        <w:rPr>
          <w:rFonts w:ascii="宋体" w:hAnsi="宋体"/>
          <w:szCs w:val="21"/>
          <w:highlight w:val="none"/>
        </w:rPr>
        <w:t>不在此限，一经甲方发现</w:t>
      </w:r>
      <w:r>
        <w:rPr>
          <w:rFonts w:hint="eastAsia" w:ascii="宋体" w:hAnsi="宋体"/>
          <w:szCs w:val="21"/>
          <w:highlight w:val="none"/>
        </w:rPr>
        <w:t>属乙方责任，</w:t>
      </w:r>
      <w:r>
        <w:rPr>
          <w:rFonts w:ascii="宋体" w:hAnsi="宋体"/>
          <w:szCs w:val="21"/>
          <w:highlight w:val="none"/>
        </w:rPr>
        <w:t>有权立即要求乙方赔偿。</w:t>
      </w:r>
    </w:p>
    <w:p w14:paraId="32B9CD66">
      <w:pPr>
        <w:spacing w:line="360" w:lineRule="auto"/>
        <w:ind w:firstLine="420" w:firstLineChars="200"/>
        <w:rPr>
          <w:rFonts w:ascii="宋体" w:hAnsi="宋体"/>
          <w:szCs w:val="21"/>
          <w:highlight w:val="none"/>
        </w:rPr>
      </w:pPr>
      <w:r>
        <w:rPr>
          <w:rFonts w:hint="eastAsia" w:ascii="宋体" w:hAnsi="宋体"/>
          <w:bCs/>
          <w:iCs/>
          <w:szCs w:val="21"/>
          <w:highlight w:val="none"/>
        </w:rPr>
        <w:t>（6）</w:t>
      </w:r>
      <w:r>
        <w:rPr>
          <w:rFonts w:ascii="宋体" w:hAnsi="宋体"/>
          <w:bCs/>
          <w:iCs/>
          <w:szCs w:val="21"/>
          <w:highlight w:val="none"/>
        </w:rPr>
        <w:t>从货物开始装上运输工具到甲方指定收货人签收</w:t>
      </w:r>
      <w:r>
        <w:rPr>
          <w:rFonts w:hint="eastAsia" w:ascii="宋体" w:hAnsi="宋体"/>
          <w:bCs/>
          <w:iCs/>
          <w:szCs w:val="21"/>
          <w:highlight w:val="none"/>
        </w:rPr>
        <w:t>“</w:t>
      </w:r>
      <w:r>
        <w:rPr>
          <w:rFonts w:hint="eastAsia" w:ascii="宋体" w:hAnsi="宋体"/>
          <w:szCs w:val="21"/>
          <w:highlight w:val="none"/>
        </w:rPr>
        <w:t>配送签收单</w:t>
      </w:r>
      <w:r>
        <w:rPr>
          <w:rFonts w:hint="eastAsia" w:ascii="宋体" w:hAnsi="宋体"/>
          <w:bCs/>
          <w:iCs/>
          <w:szCs w:val="21"/>
          <w:highlight w:val="none"/>
        </w:rPr>
        <w:t>”</w:t>
      </w:r>
      <w:r>
        <w:rPr>
          <w:rFonts w:ascii="宋体" w:hAnsi="宋体"/>
          <w:bCs/>
          <w:iCs/>
          <w:szCs w:val="21"/>
          <w:highlight w:val="none"/>
        </w:rPr>
        <w:t>时为止</w:t>
      </w:r>
      <w:r>
        <w:rPr>
          <w:rFonts w:hint="eastAsia" w:ascii="宋体" w:hAnsi="宋体"/>
          <w:bCs/>
          <w:iCs/>
          <w:szCs w:val="21"/>
          <w:highlight w:val="none"/>
        </w:rPr>
        <w:t>，</w:t>
      </w:r>
      <w:r>
        <w:rPr>
          <w:rFonts w:ascii="宋体" w:hAnsi="宋体"/>
          <w:bCs/>
          <w:iCs/>
          <w:szCs w:val="21"/>
          <w:highlight w:val="none"/>
        </w:rPr>
        <w:t>货物在此期间发生任何货损，除属完全因为不可抗力造成的外，均应由乙方负责赔偿。</w:t>
      </w:r>
    </w:p>
    <w:p w14:paraId="305E7DC7">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发生货损事故时，或用甲方槽车运送</w:t>
      </w:r>
      <w:r>
        <w:rPr>
          <w:rFonts w:hint="eastAsia" w:ascii="宋体" w:hAnsi="宋体"/>
          <w:szCs w:val="21"/>
          <w:highlight w:val="none"/>
        </w:rPr>
        <w:t>富马酸装置多效凝液水</w:t>
      </w:r>
      <w:r>
        <w:rPr>
          <w:rFonts w:ascii="宋体" w:hAnsi="宋体"/>
          <w:szCs w:val="21"/>
          <w:highlight w:val="none"/>
        </w:rPr>
        <w:t>发生车辆损坏事故时，乙方必须</w:t>
      </w:r>
      <w:r>
        <w:rPr>
          <w:rFonts w:hint="eastAsia" w:ascii="宋体" w:hAnsi="宋体"/>
          <w:szCs w:val="21"/>
          <w:highlight w:val="none"/>
        </w:rPr>
        <w:t>1小时内</w:t>
      </w:r>
      <w:r>
        <w:rPr>
          <w:rFonts w:ascii="宋体" w:hAnsi="宋体"/>
          <w:szCs w:val="21"/>
          <w:highlight w:val="none"/>
        </w:rPr>
        <w:t>通知甲方及保险公司或保险公司指定的查勘机构，并严格按甲方的指示配合保险公司核损和调查货损或槽罐车损坏事故原因。乙方还有义务在货损发生后15天内，向甲方提供各段运输的运输合同、运单、货运记录、货物交接单据、交通事故报告等保险人要求的索赔单据，并将出险当地保险查勘机构的查勘报告及时转交甲方。若因乙方未能或未及时履行上述义务使甲方的保险索赔发生障碍的，</w:t>
      </w:r>
      <w:r>
        <w:rPr>
          <w:rFonts w:hint="eastAsia" w:ascii="宋体" w:hAnsi="宋体"/>
          <w:szCs w:val="21"/>
          <w:highlight w:val="none"/>
        </w:rPr>
        <w:t>或保险公司未能予以赔付的，</w:t>
      </w:r>
      <w:r>
        <w:rPr>
          <w:rFonts w:ascii="宋体" w:hAnsi="宋体"/>
          <w:szCs w:val="21"/>
          <w:highlight w:val="none"/>
        </w:rPr>
        <w:t>乙方应赔偿由此给甲方造成的一切损失。</w:t>
      </w:r>
    </w:p>
    <w:p w14:paraId="1B10ACC0">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货物出险时，</w:t>
      </w:r>
      <w:r>
        <w:rPr>
          <w:rFonts w:hint="eastAsia" w:ascii="宋体" w:hAnsi="宋体"/>
          <w:szCs w:val="21"/>
          <w:highlight w:val="none"/>
        </w:rPr>
        <w:t>乙方应主动</w:t>
      </w:r>
      <w:r>
        <w:rPr>
          <w:rFonts w:ascii="宋体" w:hAnsi="宋体"/>
          <w:szCs w:val="21"/>
          <w:highlight w:val="none"/>
        </w:rPr>
        <w:t>向</w:t>
      </w:r>
      <w:r>
        <w:rPr>
          <w:rFonts w:hint="eastAsia" w:ascii="宋体" w:hAnsi="宋体"/>
          <w:szCs w:val="21"/>
          <w:highlight w:val="none"/>
        </w:rPr>
        <w:t>乙方</w:t>
      </w:r>
      <w:r>
        <w:rPr>
          <w:rFonts w:ascii="宋体" w:hAnsi="宋体"/>
          <w:szCs w:val="21"/>
          <w:highlight w:val="none"/>
        </w:rPr>
        <w:t>保险公司索赔。</w:t>
      </w:r>
      <w:r>
        <w:rPr>
          <w:rFonts w:hint="eastAsia" w:ascii="宋体" w:hAnsi="宋体"/>
          <w:szCs w:val="21"/>
          <w:highlight w:val="none"/>
        </w:rPr>
        <w:t>在保险公司支付保险金之前，甲方有权从应付运费中暂扣和暂兑全部损失金额。</w:t>
      </w:r>
    </w:p>
    <w:p w14:paraId="08194E48">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（9）</w:t>
      </w:r>
      <w:r>
        <w:rPr>
          <w:rFonts w:ascii="宋体" w:hAnsi="宋体"/>
          <w:szCs w:val="21"/>
          <w:highlight w:val="none"/>
        </w:rPr>
        <w:t>送货途中，如遇甲方临时变更货物送达地或有其他要求，乙方应无条件配合，因此而增减的费用，甲乙双方协商后确认</w:t>
      </w:r>
      <w:r>
        <w:rPr>
          <w:rFonts w:hint="eastAsia" w:ascii="宋体" w:hAnsi="宋体"/>
          <w:szCs w:val="21"/>
          <w:highlight w:val="none"/>
        </w:rPr>
        <w:t>。</w:t>
      </w:r>
    </w:p>
    <w:p w14:paraId="0EB383A4">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乙方应高度重视运输动态信息（如在途地点及状况，预计到达目的地时间等）反馈，提供相关之信息资料和存在问题。</w:t>
      </w:r>
    </w:p>
    <w:p w14:paraId="03E9C290">
      <w:pPr>
        <w:tabs>
          <w:tab w:val="left" w:pos="868"/>
          <w:tab w:val="left" w:pos="1004"/>
        </w:tabs>
        <w:spacing w:line="360" w:lineRule="auto"/>
        <w:ind w:firstLine="420" w:firstLineChars="200"/>
        <w:rPr>
          <w:rFonts w:ascii="宋体" w:hAnsi="宋体"/>
          <w:szCs w:val="21"/>
          <w:highlight w:val="none"/>
        </w:rPr>
      </w:pPr>
      <w:r>
        <w:rPr>
          <w:rFonts w:hint="eastAsia" w:ascii="宋体" w:hAnsi="宋体"/>
          <w:szCs w:val="21"/>
          <w:highlight w:val="none"/>
        </w:rPr>
        <w:t>（11）</w:t>
      </w:r>
      <w:r>
        <w:rPr>
          <w:rFonts w:ascii="宋体" w:hAnsi="宋体"/>
          <w:szCs w:val="21"/>
          <w:highlight w:val="none"/>
        </w:rPr>
        <w:t>因乙方过失责任在运输过程发生货损事故造成交货短少情况下，甲方需要补货采取应急运输的，乙方应积极配合和特殊处理，以维护甲方的信誉。乙方司机应按甲方要求与客户共同完成装卸料操作</w:t>
      </w:r>
      <w:r>
        <w:rPr>
          <w:rFonts w:hint="eastAsia" w:ascii="宋体" w:hAnsi="宋体"/>
          <w:szCs w:val="21"/>
          <w:highlight w:val="none"/>
        </w:rPr>
        <w:t>。</w:t>
      </w:r>
    </w:p>
    <w:p w14:paraId="3C0C5715">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（12）</w:t>
      </w:r>
      <w:r>
        <w:rPr>
          <w:rFonts w:ascii="宋体" w:hAnsi="宋体"/>
          <w:szCs w:val="21"/>
          <w:highlight w:val="none"/>
        </w:rPr>
        <w:t>乙方作业人员进入甲方厂内提货作业时，必须遵守甲方及甲方指定装、卸货厂区内的一切规章制度和安全管理办法等，并服从甲方及甲方指定装、卸货厂区的管理；配合甲方客户服务部工作，提供相应证件留底备查。</w:t>
      </w:r>
      <w:r>
        <w:rPr>
          <w:rFonts w:hint="eastAsia" w:ascii="宋体" w:hAnsi="宋体"/>
          <w:szCs w:val="21"/>
          <w:highlight w:val="none"/>
        </w:rPr>
        <w:t>”业务负责人联系电话应保持</w:t>
      </w:r>
      <w:r>
        <w:rPr>
          <w:rFonts w:ascii="宋体" w:hAnsi="宋体"/>
          <w:szCs w:val="21"/>
          <w:highlight w:val="none"/>
        </w:rPr>
        <w:t>24小时畅通，并同意对违规者依此项规章制度处罚。乙方违反上述规定即为违约。</w:t>
      </w:r>
    </w:p>
    <w:p w14:paraId="6D8DB6A7">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（13）</w:t>
      </w:r>
      <w:r>
        <w:rPr>
          <w:rFonts w:ascii="宋体" w:hAnsi="宋体"/>
          <w:szCs w:val="21"/>
          <w:highlight w:val="none"/>
        </w:rPr>
        <w:t>因乙方违反甲方作业要求及相关工安规定造成的安全责任事故或乙方在厂外发生的各种安全责任事故均由乙方负责</w:t>
      </w:r>
      <w:r>
        <w:rPr>
          <w:rFonts w:hint="eastAsia" w:ascii="宋体" w:hAnsi="宋体"/>
          <w:szCs w:val="21"/>
          <w:highlight w:val="none"/>
        </w:rPr>
        <w:t>。</w:t>
      </w:r>
    </w:p>
    <w:p w14:paraId="11BCE6A7">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（14）未经甲方书面同意，乙方不得将甲方的业务转包第三方；经甲方同意乙方转包的业务，乙方仍应对货物安全、运输相关事宜所招致的可能的赔偿义务以及本合同约定的其他义务承担连带责任。</w:t>
      </w:r>
    </w:p>
    <w:p w14:paraId="30E82E7D">
      <w:pPr>
        <w:tabs>
          <w:tab w:val="left" w:pos="1004"/>
        </w:tabs>
        <w:spacing w:line="360" w:lineRule="auto"/>
        <w:ind w:firstLine="420" w:firstLineChars="200"/>
        <w:rPr>
          <w:rFonts w:ascii="宋体" w:hAnsi="宋体"/>
          <w:szCs w:val="21"/>
          <w:highlight w:val="none"/>
        </w:rPr>
      </w:pPr>
      <w:r>
        <w:rPr>
          <w:rFonts w:hint="eastAsia" w:ascii="宋体" w:hAnsi="宋体"/>
          <w:szCs w:val="21"/>
          <w:highlight w:val="none"/>
        </w:rPr>
        <w:t>（15）乙方对甲方或收货方就货物运输及服务提出的异议须在2日内予以回应，并配合甲方调查，否则视为认同甲方或收货方异议，并按照甲方或收货方要求处理；对因乙方原因引起的投诉，乙方须按期整改。</w:t>
      </w:r>
    </w:p>
    <w:p w14:paraId="7A7F8C42">
      <w:pPr>
        <w:pStyle w:val="34"/>
        <w:numPr>
          <w:ilvl w:val="0"/>
          <w:numId w:val="3"/>
        </w:numPr>
        <w:tabs>
          <w:tab w:val="left" w:pos="420"/>
          <w:tab w:val="left" w:pos="562"/>
        </w:tabs>
        <w:spacing w:line="360" w:lineRule="auto"/>
        <w:ind w:firstLineChars="0"/>
        <w:rPr>
          <w:rFonts w:ascii="宋体" w:hAnsi="宋体"/>
          <w:b/>
          <w:szCs w:val="21"/>
          <w:highlight w:val="none"/>
        </w:rPr>
      </w:pPr>
      <w:r>
        <w:rPr>
          <w:rFonts w:hint="eastAsia" w:ascii="宋体" w:hAnsi="宋体" w:cs="楷体_GB2312"/>
          <w:b/>
          <w:szCs w:val="21"/>
          <w:highlight w:val="none"/>
          <w:lang w:val="zh-CN"/>
        </w:rPr>
        <w:t>费用结算方式及内容</w:t>
      </w:r>
    </w:p>
    <w:p w14:paraId="00CCA61E">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1、乙方及时向甲方</w:t>
      </w:r>
      <w:r>
        <w:rPr>
          <w:rFonts w:ascii="宋体" w:hAnsi="宋体"/>
          <w:szCs w:val="21"/>
          <w:highlight w:val="none"/>
        </w:rPr>
        <w:t>出具</w:t>
      </w:r>
      <w:r>
        <w:rPr>
          <w:rFonts w:hint="eastAsia" w:ascii="宋体" w:hAnsi="宋体"/>
          <w:szCs w:val="21"/>
          <w:highlight w:val="none"/>
        </w:rPr>
        <w:t>物流配送明细</w:t>
      </w:r>
      <w:r>
        <w:rPr>
          <w:rFonts w:ascii="宋体" w:hAnsi="宋体"/>
          <w:szCs w:val="21"/>
          <w:highlight w:val="none"/>
        </w:rPr>
        <w:t>，</w:t>
      </w:r>
      <w:r>
        <w:rPr>
          <w:rFonts w:hint="eastAsia" w:ascii="宋体" w:hAnsi="宋体"/>
          <w:szCs w:val="21"/>
          <w:highlight w:val="none"/>
        </w:rPr>
        <w:t>以实际装车数量作为结算数量。双方确认完毕后，乙方向甲方开具税率为</w:t>
      </w:r>
      <w:r>
        <w:rPr>
          <w:rFonts w:hint="eastAsia" w:ascii="宋体" w:hAnsi="宋体"/>
          <w:szCs w:val="21"/>
          <w:highlight w:val="none"/>
          <w:lang w:val="en-US" w:eastAsia="zh-CN"/>
        </w:rPr>
        <w:t xml:space="preserve">   </w:t>
      </w:r>
      <w:r>
        <w:rPr>
          <w:rFonts w:hint="eastAsia" w:ascii="宋体" w:hAnsi="宋体"/>
          <w:szCs w:val="21"/>
          <w:highlight w:val="none"/>
        </w:rPr>
        <w:t>%的增值税发票及相关收货单据并于次月10日前提交甲方确认，甲方确认无误后，甲方从收到单据时起45天内将此部分之运费转给乙方。</w:t>
      </w:r>
    </w:p>
    <w:p w14:paraId="494B909D">
      <w:pPr>
        <w:spacing w:line="360" w:lineRule="auto"/>
        <w:ind w:firstLine="420" w:firstLineChars="200"/>
        <w:rPr>
          <w:rFonts w:ascii="宋体" w:hAnsi="宋体"/>
          <w:szCs w:val="21"/>
          <w:highlight w:val="none"/>
        </w:rPr>
      </w:pPr>
      <w:r>
        <w:rPr>
          <w:rFonts w:hint="eastAsia" w:ascii="宋体" w:hAnsi="宋体"/>
          <w:szCs w:val="21"/>
          <w:highlight w:val="none"/>
        </w:rPr>
        <w:t xml:space="preserve">2、甲方将上述费用汇入乙方指定的账户即视为履行完毕付款义务，若乙方指定的帐户变更未及时通知甲方，甲方不承担因此产生的后果。 </w:t>
      </w:r>
    </w:p>
    <w:p w14:paraId="7763F2C5">
      <w:pPr>
        <w:spacing w:line="360" w:lineRule="auto"/>
        <w:ind w:firstLine="420" w:firstLineChars="200"/>
        <w:rPr>
          <w:rFonts w:ascii="宋体" w:hAnsi="宋体"/>
          <w:szCs w:val="21"/>
          <w:highlight w:val="none"/>
        </w:rPr>
      </w:pPr>
      <w:r>
        <w:rPr>
          <w:rFonts w:hint="eastAsia" w:ascii="宋体" w:hAnsi="宋体"/>
          <w:szCs w:val="21"/>
          <w:highlight w:val="none"/>
        </w:rPr>
        <w:t>收款单位全称：</w:t>
      </w:r>
    </w:p>
    <w:p w14:paraId="02CB8A3B">
      <w:pPr>
        <w:spacing w:line="360" w:lineRule="auto"/>
        <w:ind w:firstLine="420" w:firstLineChars="200"/>
        <w:rPr>
          <w:rFonts w:ascii="宋体" w:hAnsi="宋体"/>
          <w:szCs w:val="21"/>
          <w:highlight w:val="none"/>
        </w:rPr>
      </w:pPr>
      <w:r>
        <w:rPr>
          <w:rFonts w:hint="eastAsia" w:ascii="宋体" w:hAnsi="宋体"/>
          <w:szCs w:val="21"/>
          <w:highlight w:val="none"/>
        </w:rPr>
        <w:t xml:space="preserve">收款单位帐账号: </w:t>
      </w:r>
    </w:p>
    <w:p w14:paraId="05616227">
      <w:pPr>
        <w:tabs>
          <w:tab w:val="left" w:pos="540"/>
        </w:tabs>
        <w:spacing w:line="360" w:lineRule="auto"/>
        <w:ind w:firstLine="420" w:firstLineChars="200"/>
        <w:rPr>
          <w:rFonts w:hint="eastAsia" w:ascii="宋体" w:hAnsi="宋体"/>
          <w:szCs w:val="21"/>
          <w:highlight w:val="none"/>
        </w:rPr>
      </w:pPr>
      <w:r>
        <w:rPr>
          <w:rFonts w:hint="eastAsia" w:ascii="宋体" w:hAnsi="宋体"/>
          <w:szCs w:val="21"/>
          <w:highlight w:val="none"/>
        </w:rPr>
        <w:t>收款单位开户银行:</w:t>
      </w:r>
    </w:p>
    <w:p w14:paraId="23716DA4">
      <w:pPr>
        <w:tabs>
          <w:tab w:val="left" w:pos="540"/>
        </w:tabs>
        <w:spacing w:line="360" w:lineRule="auto"/>
        <w:ind w:firstLine="420" w:firstLineChars="200"/>
        <w:rPr>
          <w:rFonts w:ascii="宋体" w:hAnsi="宋体"/>
          <w:szCs w:val="21"/>
          <w:highlight w:val="none"/>
        </w:rPr>
      </w:pPr>
      <w:r>
        <w:rPr>
          <w:rFonts w:hint="eastAsia" w:ascii="宋体" w:hAnsi="宋体" w:cs="楷体_GB2312"/>
          <w:szCs w:val="21"/>
          <w:highlight w:val="none"/>
        </w:rPr>
        <w:t>3、</w:t>
      </w:r>
      <w:r>
        <w:rPr>
          <w:rFonts w:hint="eastAsia" w:ascii="宋体" w:hAnsi="宋体" w:cs="楷体_GB2312"/>
          <w:szCs w:val="21"/>
          <w:highlight w:val="none"/>
          <w:lang w:val="zh-CN"/>
        </w:rPr>
        <w:t>由于乙方违约而应支付的违约金或乙方在履约过程中发生事故给甲方造成的损失金额，甲方有权直接从应付乙方运费中扣除，不足部分由乙方汇款补足。</w:t>
      </w:r>
    </w:p>
    <w:p w14:paraId="6B5FC460">
      <w:pPr>
        <w:tabs>
          <w:tab w:val="left" w:pos="540"/>
        </w:tabs>
        <w:spacing w:line="360" w:lineRule="auto"/>
        <w:ind w:firstLine="420" w:firstLineChars="200"/>
        <w:rPr>
          <w:rFonts w:ascii="宋体" w:hAnsi="宋体"/>
          <w:szCs w:val="21"/>
          <w:highlight w:val="none"/>
        </w:rPr>
      </w:pPr>
      <w:r>
        <w:rPr>
          <w:rFonts w:hint="eastAsia" w:hAnsi="宋体"/>
          <w:szCs w:val="21"/>
          <w:highlight w:val="none"/>
        </w:rPr>
        <w:t>4、</w:t>
      </w:r>
      <w:r>
        <w:rPr>
          <w:rFonts w:hAnsi="宋体"/>
          <w:szCs w:val="21"/>
          <w:highlight w:val="none"/>
        </w:rPr>
        <w:t>甲方在乙方的运输义务未履行完毕前，没有义务支付运费，</w:t>
      </w:r>
      <w:r>
        <w:rPr>
          <w:rFonts w:ascii="宋体" w:hAnsi="宋体"/>
          <w:szCs w:val="21"/>
          <w:highlight w:val="none"/>
        </w:rPr>
        <w:t>乙方在任何情况下均不得以未收到运费为由</w:t>
      </w:r>
      <w:r>
        <w:rPr>
          <w:rFonts w:hint="eastAsia" w:ascii="宋体" w:hAnsi="宋体"/>
          <w:szCs w:val="21"/>
          <w:highlight w:val="none"/>
        </w:rPr>
        <w:t>留置货物</w:t>
      </w:r>
      <w:r>
        <w:rPr>
          <w:rFonts w:ascii="宋体" w:hAnsi="宋体"/>
          <w:szCs w:val="21"/>
          <w:highlight w:val="none"/>
        </w:rPr>
        <w:t>，否则应承担由此给甲方和收货人造成的一切损失。甲方无须支付乙方未能按时或安全交货的部分货物的运费。</w:t>
      </w:r>
    </w:p>
    <w:p w14:paraId="1FFE7E83">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本合约内所规定之价格，已考虑一定的风险系数及风险费用等，承运方于本合同有效期间，不得因任何因素（包括物价的上涨及政策性调整等）提前终止或解除合同，否则甲方有权</w:t>
      </w:r>
      <w:r>
        <w:rPr>
          <w:rFonts w:hint="eastAsia" w:ascii="宋体" w:hAnsi="宋体"/>
          <w:szCs w:val="21"/>
          <w:highlight w:val="none"/>
        </w:rPr>
        <w:t>没收履约保证金</w:t>
      </w:r>
      <w:r>
        <w:rPr>
          <w:rFonts w:ascii="宋体" w:hAnsi="宋体"/>
          <w:szCs w:val="21"/>
          <w:highlight w:val="none"/>
        </w:rPr>
        <w:t>作为</w:t>
      </w:r>
      <w:r>
        <w:rPr>
          <w:rFonts w:hint="eastAsia" w:ascii="宋体" w:hAnsi="宋体"/>
          <w:szCs w:val="21"/>
          <w:highlight w:val="none"/>
        </w:rPr>
        <w:t>违约</w:t>
      </w:r>
      <w:r>
        <w:rPr>
          <w:rFonts w:ascii="宋体" w:hAnsi="宋体"/>
          <w:szCs w:val="21"/>
          <w:highlight w:val="none"/>
        </w:rPr>
        <w:t>金；如因解除合同给甲方造成损失</w:t>
      </w:r>
      <w:r>
        <w:rPr>
          <w:rFonts w:hint="eastAsia" w:ascii="宋体" w:hAnsi="宋体"/>
          <w:szCs w:val="21"/>
          <w:highlight w:val="none"/>
        </w:rPr>
        <w:t>的，乙</w:t>
      </w:r>
      <w:r>
        <w:rPr>
          <w:rFonts w:ascii="宋体" w:hAnsi="宋体"/>
          <w:szCs w:val="21"/>
          <w:highlight w:val="none"/>
        </w:rPr>
        <w:t>方</w:t>
      </w:r>
      <w:r>
        <w:rPr>
          <w:rFonts w:hint="eastAsia" w:ascii="宋体" w:hAnsi="宋体"/>
          <w:szCs w:val="21"/>
          <w:highlight w:val="none"/>
        </w:rPr>
        <w:t>还须另行赔偿</w:t>
      </w:r>
      <w:r>
        <w:rPr>
          <w:rFonts w:ascii="宋体" w:hAnsi="宋体"/>
          <w:szCs w:val="21"/>
          <w:highlight w:val="none"/>
        </w:rPr>
        <w:t>。</w:t>
      </w:r>
    </w:p>
    <w:p w14:paraId="42A8178B">
      <w:pPr>
        <w:numPr>
          <w:ilvl w:val="0"/>
          <w:numId w:val="3"/>
        </w:numPr>
        <w:tabs>
          <w:tab w:val="left" w:pos="420"/>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违约责任</w:t>
      </w:r>
    </w:p>
    <w:p w14:paraId="07CBF1C8">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1、乙方提供的运输车辆不符合合同约定的槽罐车运输需求的，</w:t>
      </w:r>
      <w:r>
        <w:rPr>
          <w:rFonts w:ascii="宋体" w:hAnsi="宋体"/>
          <w:szCs w:val="21"/>
          <w:highlight w:val="none"/>
        </w:rPr>
        <w:t>因车辆不适运引起的</w:t>
      </w:r>
      <w:r>
        <w:rPr>
          <w:rFonts w:hint="eastAsia" w:ascii="宋体" w:hAnsi="宋体"/>
          <w:b/>
          <w:szCs w:val="21"/>
          <w:highlight w:val="none"/>
        </w:rPr>
        <w:t>富马酸装置多效凝液水</w:t>
      </w:r>
      <w:r>
        <w:rPr>
          <w:rFonts w:ascii="宋体" w:hAnsi="宋体"/>
          <w:szCs w:val="21"/>
          <w:highlight w:val="none"/>
        </w:rPr>
        <w:t>货物灭失或损坏，乙方承担完全责任</w:t>
      </w:r>
      <w:r>
        <w:rPr>
          <w:rFonts w:hint="eastAsia" w:ascii="宋体" w:hAnsi="宋体"/>
          <w:szCs w:val="21"/>
          <w:highlight w:val="none"/>
        </w:rPr>
        <w:t>。</w:t>
      </w:r>
    </w:p>
    <w:p w14:paraId="09D4B16F">
      <w:pPr>
        <w:tabs>
          <w:tab w:val="left" w:pos="540"/>
        </w:tabs>
        <w:spacing w:line="360" w:lineRule="auto"/>
        <w:ind w:firstLine="420" w:firstLineChars="200"/>
        <w:rPr>
          <w:rFonts w:ascii="宋体" w:hAnsi="宋体"/>
          <w:szCs w:val="21"/>
          <w:highlight w:val="none"/>
        </w:rPr>
      </w:pPr>
      <w:r>
        <w:rPr>
          <w:rFonts w:hint="eastAsia" w:ascii="宋体" w:hAnsi="宋体"/>
          <w:bCs/>
          <w:iCs/>
          <w:szCs w:val="21"/>
          <w:highlight w:val="none"/>
        </w:rPr>
        <w:t>2、</w:t>
      </w:r>
      <w:r>
        <w:rPr>
          <w:rFonts w:ascii="宋体" w:hAnsi="宋体"/>
          <w:bCs/>
          <w:iCs/>
          <w:szCs w:val="21"/>
          <w:highlight w:val="none"/>
        </w:rPr>
        <w:t>除因不可抗力因素外，</w:t>
      </w:r>
      <w:r>
        <w:rPr>
          <w:rFonts w:ascii="宋体" w:hAnsi="宋体"/>
          <w:szCs w:val="21"/>
          <w:highlight w:val="none"/>
        </w:rPr>
        <w:t>如乙方未能在规定计划内将</w:t>
      </w:r>
      <w:r>
        <w:rPr>
          <w:rFonts w:hint="eastAsia" w:ascii="宋体" w:hAnsi="宋体"/>
          <w:b/>
          <w:szCs w:val="21"/>
          <w:highlight w:val="none"/>
        </w:rPr>
        <w:t>富马酸装置多效凝液水</w:t>
      </w:r>
      <w:r>
        <w:rPr>
          <w:rFonts w:ascii="宋体" w:hAnsi="宋体"/>
          <w:szCs w:val="21"/>
          <w:highlight w:val="none"/>
        </w:rPr>
        <w:t>货物如数完好地交至收货人而导致甲方</w:t>
      </w:r>
      <w:r>
        <w:rPr>
          <w:rFonts w:hint="eastAsia" w:ascii="宋体" w:hAnsi="宋体"/>
          <w:szCs w:val="21"/>
          <w:highlight w:val="none"/>
        </w:rPr>
        <w:t>及客户</w:t>
      </w:r>
      <w:r>
        <w:rPr>
          <w:rFonts w:ascii="宋体" w:hAnsi="宋体"/>
          <w:szCs w:val="21"/>
          <w:highlight w:val="none"/>
        </w:rPr>
        <w:t>损失的，而乙方必须承担负责赔偿由此造成的一切损失，包括</w:t>
      </w:r>
      <w:r>
        <w:rPr>
          <w:rFonts w:ascii="宋体" w:hAnsi="宋体"/>
          <w:bCs/>
          <w:iCs/>
          <w:szCs w:val="21"/>
          <w:highlight w:val="none"/>
        </w:rPr>
        <w:t>在运输过程中造成货物的破包、损坏、污染、短少、丢失、雨淋、浸湿</w:t>
      </w:r>
      <w:r>
        <w:rPr>
          <w:rFonts w:hint="eastAsia" w:hAnsi="宋体"/>
          <w:bCs/>
          <w:iCs/>
          <w:szCs w:val="21"/>
          <w:highlight w:val="none"/>
        </w:rPr>
        <w:t>、交货延迟或运力不足</w:t>
      </w:r>
      <w:r>
        <w:rPr>
          <w:rFonts w:ascii="宋体" w:hAnsi="宋体"/>
          <w:bCs/>
          <w:iCs/>
          <w:szCs w:val="21"/>
          <w:highlight w:val="none"/>
        </w:rPr>
        <w:t>等一切形式的货损的，乙方应赔偿一切损失，赔偿包括但不限于：按该批货物甲方与客户</w:t>
      </w:r>
      <w:r>
        <w:rPr>
          <w:rFonts w:hint="eastAsia" w:ascii="宋体" w:hAnsi="宋体"/>
          <w:bCs/>
          <w:iCs/>
          <w:szCs w:val="21"/>
          <w:highlight w:val="none"/>
        </w:rPr>
        <w:t>销售</w:t>
      </w:r>
      <w:r>
        <w:rPr>
          <w:rFonts w:ascii="宋体" w:hAnsi="宋体"/>
          <w:bCs/>
          <w:iCs/>
          <w:szCs w:val="21"/>
          <w:highlight w:val="none"/>
        </w:rPr>
        <w:t>合同</w:t>
      </w:r>
      <w:r>
        <w:rPr>
          <w:rFonts w:hint="eastAsia" w:ascii="宋体" w:hAnsi="宋体"/>
          <w:bCs/>
          <w:iCs/>
          <w:szCs w:val="21"/>
          <w:highlight w:val="none"/>
        </w:rPr>
        <w:t>中</w:t>
      </w:r>
      <w:r>
        <w:rPr>
          <w:rFonts w:ascii="宋体" w:hAnsi="宋体"/>
          <w:bCs/>
          <w:iCs/>
          <w:szCs w:val="21"/>
          <w:highlight w:val="none"/>
        </w:rPr>
        <w:t>货物</w:t>
      </w:r>
      <w:r>
        <w:rPr>
          <w:rFonts w:hint="eastAsia" w:ascii="宋体" w:hAnsi="宋体"/>
          <w:bCs/>
          <w:iCs/>
          <w:szCs w:val="21"/>
          <w:highlight w:val="none"/>
        </w:rPr>
        <w:t>的</w:t>
      </w:r>
      <w:r>
        <w:rPr>
          <w:rFonts w:ascii="宋体" w:hAnsi="宋体"/>
          <w:bCs/>
          <w:iCs/>
          <w:szCs w:val="21"/>
          <w:highlight w:val="none"/>
        </w:rPr>
        <w:t>完税价格赔偿损失</w:t>
      </w:r>
      <w:r>
        <w:rPr>
          <w:rFonts w:hint="eastAsia" w:hAnsi="宋体"/>
          <w:bCs/>
          <w:iCs/>
          <w:szCs w:val="21"/>
          <w:highlight w:val="none"/>
        </w:rPr>
        <w:t>；客户生产或品质受损、断料停产等损失；客户毁约、合约减量给甲方造成的损失；甲方品牌受损等损失。除了赔偿以上损失，</w:t>
      </w:r>
      <w:r>
        <w:rPr>
          <w:rFonts w:hAnsi="宋体"/>
          <w:szCs w:val="21"/>
          <w:highlight w:val="none"/>
        </w:rPr>
        <w:t>第一次发生货损时，乙方应向甲方</w:t>
      </w:r>
      <w:r>
        <w:rPr>
          <w:rFonts w:hint="eastAsia" w:hAnsi="宋体"/>
          <w:szCs w:val="21"/>
          <w:highlight w:val="none"/>
        </w:rPr>
        <w:t>额外</w:t>
      </w:r>
      <w:r>
        <w:rPr>
          <w:rFonts w:hAnsi="宋体"/>
          <w:szCs w:val="21"/>
          <w:highlight w:val="none"/>
        </w:rPr>
        <w:t>支付违约金人民币</w:t>
      </w:r>
      <w:r>
        <w:rPr>
          <w:szCs w:val="21"/>
          <w:highlight w:val="none"/>
        </w:rPr>
        <w:t>1000</w:t>
      </w:r>
      <w:r>
        <w:rPr>
          <w:rFonts w:hAnsi="宋体"/>
          <w:szCs w:val="21"/>
          <w:highlight w:val="none"/>
        </w:rPr>
        <w:t>元；第二次发生货损时，应</w:t>
      </w:r>
      <w:r>
        <w:rPr>
          <w:rFonts w:hint="eastAsia" w:hAnsi="宋体"/>
          <w:szCs w:val="21"/>
          <w:highlight w:val="none"/>
        </w:rPr>
        <w:t>额外</w:t>
      </w:r>
      <w:r>
        <w:rPr>
          <w:rFonts w:hAnsi="宋体"/>
          <w:szCs w:val="21"/>
          <w:highlight w:val="none"/>
        </w:rPr>
        <w:t>支付违约金人民币</w:t>
      </w:r>
      <w:r>
        <w:rPr>
          <w:szCs w:val="21"/>
          <w:highlight w:val="none"/>
        </w:rPr>
        <w:t>2000</w:t>
      </w:r>
      <w:r>
        <w:rPr>
          <w:rFonts w:hAnsi="宋体"/>
          <w:szCs w:val="21"/>
          <w:highlight w:val="none"/>
        </w:rPr>
        <w:t>元；三次（含）以上，</w:t>
      </w:r>
      <w:r>
        <w:rPr>
          <w:rFonts w:hint="eastAsia" w:hAnsi="宋体"/>
          <w:szCs w:val="21"/>
          <w:highlight w:val="none"/>
        </w:rPr>
        <w:t>额外</w:t>
      </w:r>
      <w:r>
        <w:rPr>
          <w:rFonts w:hAnsi="宋体"/>
          <w:szCs w:val="21"/>
          <w:highlight w:val="none"/>
        </w:rPr>
        <w:t>按每次人民币</w:t>
      </w:r>
      <w:r>
        <w:rPr>
          <w:szCs w:val="21"/>
          <w:highlight w:val="none"/>
        </w:rPr>
        <w:t>4000</w:t>
      </w:r>
      <w:r>
        <w:rPr>
          <w:rFonts w:hAnsi="宋体"/>
          <w:szCs w:val="21"/>
          <w:highlight w:val="none"/>
        </w:rPr>
        <w:t>元支付违约金。</w:t>
      </w:r>
    </w:p>
    <w:p w14:paraId="58C4C2E3">
      <w:pPr>
        <w:tabs>
          <w:tab w:val="left" w:pos="540"/>
        </w:tabs>
        <w:spacing w:line="360" w:lineRule="auto"/>
        <w:ind w:firstLine="420" w:firstLineChars="200"/>
        <w:rPr>
          <w:rFonts w:ascii="宋体" w:hAnsi="宋体"/>
          <w:szCs w:val="21"/>
          <w:highlight w:val="none"/>
        </w:rPr>
      </w:pPr>
      <w:r>
        <w:rPr>
          <w:rFonts w:hint="eastAsia" w:ascii="宋体" w:hAnsi="宋体"/>
          <w:bCs/>
          <w:iCs/>
          <w:szCs w:val="21"/>
          <w:highlight w:val="none"/>
        </w:rPr>
        <w:t>3、</w:t>
      </w:r>
      <w:r>
        <w:rPr>
          <w:rFonts w:ascii="宋体" w:hAnsi="宋体"/>
          <w:bCs/>
          <w:iCs/>
          <w:szCs w:val="21"/>
          <w:highlight w:val="none"/>
        </w:rPr>
        <w:t>运输过程中发生严重货损或槽罐车车损的，指当月货损或槽罐车车损累计超过人民币50万元（含残值但不含货物附加值），或</w:t>
      </w:r>
      <w:r>
        <w:rPr>
          <w:rFonts w:ascii="宋体" w:hAnsi="宋体"/>
          <w:szCs w:val="21"/>
          <w:highlight w:val="none"/>
        </w:rPr>
        <w:t>发生3次（含）以上，甲方有权解除合同。</w:t>
      </w:r>
    </w:p>
    <w:p w14:paraId="1F19EE8D">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运输过程中发生货物偷盗</w:t>
      </w:r>
      <w:r>
        <w:rPr>
          <w:rFonts w:hint="eastAsia" w:ascii="宋体" w:hAnsi="宋体"/>
          <w:szCs w:val="21"/>
          <w:highlight w:val="none"/>
        </w:rPr>
        <w:t>、换货</w:t>
      </w:r>
      <w:r>
        <w:rPr>
          <w:rFonts w:ascii="宋体" w:hAnsi="宋体"/>
          <w:szCs w:val="21"/>
          <w:highlight w:val="none"/>
        </w:rPr>
        <w:t>行为，乙方除赔偿甲方损失外，另行按偷盗</w:t>
      </w:r>
      <w:r>
        <w:rPr>
          <w:rFonts w:hint="eastAsia" w:ascii="宋体" w:hAnsi="宋体"/>
          <w:szCs w:val="21"/>
          <w:highlight w:val="none"/>
        </w:rPr>
        <w:t>、换货</w:t>
      </w:r>
      <w:r>
        <w:rPr>
          <w:rFonts w:ascii="宋体" w:hAnsi="宋体"/>
          <w:szCs w:val="21"/>
          <w:highlight w:val="none"/>
        </w:rPr>
        <w:t>货物的甲方出厂价（不含货物附加值）的二倍金额向甲方支付违约金，第二次发生类似严重事件，甲方有权立即解除合同。</w:t>
      </w:r>
    </w:p>
    <w:p w14:paraId="55D41914">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乙方未能按时派遣运输工具而影响甲方的</w:t>
      </w:r>
      <w:r>
        <w:rPr>
          <w:rFonts w:hint="eastAsia" w:ascii="宋体" w:hAnsi="宋体"/>
          <w:szCs w:val="21"/>
          <w:highlight w:val="none"/>
        </w:rPr>
        <w:t>产品</w:t>
      </w:r>
      <w:r>
        <w:rPr>
          <w:rFonts w:ascii="宋体" w:hAnsi="宋体"/>
          <w:szCs w:val="21"/>
          <w:highlight w:val="none"/>
        </w:rPr>
        <w:t>出货作业计划，或起运后未能按照运输线路约定的运送时间内完成交货客户的</w:t>
      </w:r>
      <w:r>
        <w:rPr>
          <w:rFonts w:hint="eastAsia" w:ascii="宋体" w:hAnsi="宋体"/>
          <w:szCs w:val="21"/>
          <w:highlight w:val="none"/>
        </w:rPr>
        <w:t>，</w:t>
      </w:r>
      <w:r>
        <w:rPr>
          <w:rFonts w:ascii="宋体" w:hAnsi="宋体"/>
          <w:szCs w:val="21"/>
          <w:highlight w:val="none"/>
        </w:rPr>
        <w:t>或起运后未能按照约定的运送计划内完成交付客户的，则每超过一天，乙方应按甲方该批货物应付运费的1％向甲方支付违约金</w:t>
      </w:r>
      <w:r>
        <w:rPr>
          <w:rFonts w:hint="eastAsia" w:ascii="宋体" w:hAnsi="宋体"/>
          <w:szCs w:val="21"/>
          <w:highlight w:val="none"/>
        </w:rPr>
        <w:t>；</w:t>
      </w:r>
      <w:r>
        <w:rPr>
          <w:rFonts w:hint="eastAsia" w:hAnsi="宋体"/>
          <w:kern w:val="0"/>
          <w:szCs w:val="21"/>
          <w:highlight w:val="none"/>
        </w:rPr>
        <w:t>并且甲方有权采取紧急寻车运输，但由此产生的超出费用由甲方从乙方该运输线路的应付运费中扣除</w:t>
      </w:r>
      <w:r>
        <w:rPr>
          <w:rFonts w:hAnsi="宋体"/>
          <w:szCs w:val="21"/>
          <w:highlight w:val="none"/>
        </w:rPr>
        <w:t>。</w:t>
      </w:r>
      <w:r>
        <w:rPr>
          <w:rFonts w:hint="eastAsia" w:hAnsi="宋体"/>
          <w:szCs w:val="21"/>
          <w:highlight w:val="none"/>
        </w:rPr>
        <w:t>每月初对上月甲方计划出货量（包括预计计划和临时需求计划）执行情况进行回顾，若因乙方原因未按甲方出货计划到船指令工作或当月出货计划量未按期执行的，甲方有权在运费中按违约货值的1%进行扣减处置。</w:t>
      </w:r>
    </w:p>
    <w:p w14:paraId="0DDA3394">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6、乙方人为因素造成槽罐车停运、槽罐车未按规定运送时间运行、以及未按约定取得槽罐车放行（槽车例行保养、拖头机械故障、交通因素除外），乙方应按100元/小时/车向甲方支付违约金；</w:t>
      </w:r>
      <w:r>
        <w:rPr>
          <w:rFonts w:hint="eastAsia" w:ascii="宋体" w:hAnsi="宋体"/>
          <w:kern w:val="0"/>
          <w:szCs w:val="21"/>
          <w:highlight w:val="none"/>
        </w:rPr>
        <w:t>并且甲方有权采取紧急运输，但由此产生的费用由甲方从乙方该运输线路的应付运费中扣除</w:t>
      </w:r>
      <w:r>
        <w:rPr>
          <w:rFonts w:ascii="宋体" w:hAnsi="宋体"/>
          <w:szCs w:val="21"/>
          <w:highlight w:val="none"/>
        </w:rPr>
        <w:t>；</w:t>
      </w:r>
      <w:r>
        <w:rPr>
          <w:rFonts w:hint="eastAsia" w:ascii="宋体" w:hAnsi="宋体"/>
          <w:szCs w:val="21"/>
          <w:highlight w:val="none"/>
        </w:rPr>
        <w:t>因槽罐车运送不及时，造成甲方被迫以袋装产品补充客户的额外成本由乙方承担。</w:t>
      </w:r>
      <w:r>
        <w:rPr>
          <w:rFonts w:ascii="宋体" w:hAnsi="宋体"/>
          <w:szCs w:val="21"/>
          <w:highlight w:val="none"/>
        </w:rPr>
        <w:t>发生3次（含）以上时，甲方还有权解除合同。</w:t>
      </w:r>
    </w:p>
    <w:p w14:paraId="16644ED7">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乙方</w:t>
      </w:r>
      <w:r>
        <w:rPr>
          <w:rFonts w:hint="eastAsia" w:ascii="宋体" w:hAnsi="宋体"/>
          <w:szCs w:val="21"/>
          <w:highlight w:val="none"/>
        </w:rPr>
        <w:t>未经甲方同意</w:t>
      </w:r>
      <w:r>
        <w:rPr>
          <w:rFonts w:ascii="宋体" w:hAnsi="宋体"/>
          <w:szCs w:val="21"/>
          <w:highlight w:val="none"/>
        </w:rPr>
        <w:t>不得转包第三方，若有转包情形发生</w:t>
      </w:r>
      <w:r>
        <w:rPr>
          <w:rFonts w:hint="eastAsia" w:ascii="宋体" w:hAnsi="宋体"/>
          <w:szCs w:val="21"/>
          <w:highlight w:val="none"/>
        </w:rPr>
        <w:t>，</w:t>
      </w:r>
      <w:r>
        <w:rPr>
          <w:rFonts w:ascii="宋体" w:hAnsi="宋体"/>
          <w:szCs w:val="21"/>
          <w:highlight w:val="none"/>
        </w:rPr>
        <w:t>甲方</w:t>
      </w:r>
      <w:r>
        <w:rPr>
          <w:rFonts w:hint="eastAsia" w:ascii="宋体" w:hAnsi="宋体"/>
          <w:szCs w:val="21"/>
          <w:highlight w:val="none"/>
        </w:rPr>
        <w:t>有权解除</w:t>
      </w:r>
      <w:r>
        <w:rPr>
          <w:rFonts w:ascii="宋体" w:hAnsi="宋体"/>
          <w:szCs w:val="21"/>
          <w:highlight w:val="none"/>
        </w:rPr>
        <w:t>合同。</w:t>
      </w:r>
    </w:p>
    <w:p w14:paraId="6A132808">
      <w:pPr>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乙方如未经甲方同意私自变更收货单位，甲方将提兑全部银行保函金额，作为</w:t>
      </w:r>
      <w:r>
        <w:rPr>
          <w:rFonts w:hint="eastAsia" w:ascii="宋体" w:hAnsi="宋体"/>
          <w:szCs w:val="21"/>
          <w:highlight w:val="none"/>
        </w:rPr>
        <w:t>乙方的违约金，违约金不足以补偿甲方损失的，乙方仍应赔偿由此给甲方带来的损失。</w:t>
      </w:r>
    </w:p>
    <w:p w14:paraId="5EB4A91F">
      <w:pPr>
        <w:spacing w:line="360" w:lineRule="auto"/>
        <w:ind w:firstLine="420" w:firstLineChars="200"/>
        <w:rPr>
          <w:rFonts w:ascii="宋体" w:hAnsi="宋体"/>
          <w:szCs w:val="21"/>
          <w:highlight w:val="none"/>
        </w:rPr>
      </w:pPr>
      <w:r>
        <w:rPr>
          <w:rFonts w:hint="eastAsia" w:ascii="宋体" w:hAnsi="宋体"/>
          <w:szCs w:val="21"/>
          <w:highlight w:val="none"/>
        </w:rPr>
        <w:t>9、</w:t>
      </w:r>
      <w:r>
        <w:rPr>
          <w:rFonts w:ascii="宋体" w:hAnsi="宋体"/>
          <w:szCs w:val="21"/>
          <w:highlight w:val="none"/>
        </w:rPr>
        <w:t>乙方反馈运输动态信息不及时、不确实，</w:t>
      </w:r>
      <w:r>
        <w:rPr>
          <w:rFonts w:hint="eastAsia" w:ascii="宋体" w:hAnsi="宋体"/>
          <w:szCs w:val="21"/>
          <w:highlight w:val="none"/>
        </w:rPr>
        <w:t>沟通渠道不畅通（甲方在2小时内无法联系乙方或联系无回复）</w:t>
      </w:r>
      <w:r>
        <w:rPr>
          <w:rFonts w:ascii="宋体" w:hAnsi="宋体"/>
          <w:szCs w:val="21"/>
          <w:highlight w:val="none"/>
        </w:rPr>
        <w:t>影响或造成甲方出货安排困扰或阻碍的，或造成甲方之客户收货安排困扰或阻碍的，或因此导致客户投诉的，</w:t>
      </w:r>
      <w:r>
        <w:rPr>
          <w:rFonts w:hint="eastAsia" w:ascii="宋体" w:hAnsi="宋体"/>
          <w:szCs w:val="21"/>
          <w:highlight w:val="none"/>
        </w:rPr>
        <w:t>或未按合约要求时间内送达的，</w:t>
      </w:r>
      <w:r>
        <w:rPr>
          <w:rFonts w:ascii="宋体" w:hAnsi="宋体"/>
          <w:szCs w:val="21"/>
          <w:highlight w:val="none"/>
        </w:rPr>
        <w:t>乙方应向甲方支付为违约金1000元/次</w:t>
      </w:r>
      <w:r>
        <w:rPr>
          <w:rFonts w:hint="eastAsia" w:ascii="宋体" w:hAnsi="宋体"/>
          <w:kern w:val="0"/>
          <w:szCs w:val="21"/>
          <w:highlight w:val="none"/>
        </w:rPr>
        <w:t>；因运输原因造成客诉，每起口头客诉乙方应支付违约金1000元，书面客诉3000～5000元。</w:t>
      </w:r>
    </w:p>
    <w:p w14:paraId="375D03A1">
      <w:pPr>
        <w:spacing w:line="360" w:lineRule="auto"/>
        <w:ind w:firstLine="420" w:firstLineChars="200"/>
        <w:rPr>
          <w:rFonts w:ascii="宋体" w:hAnsi="宋体"/>
          <w:szCs w:val="21"/>
          <w:highlight w:val="none"/>
        </w:rPr>
      </w:pPr>
      <w:r>
        <w:rPr>
          <w:rFonts w:hint="eastAsia" w:ascii="宋体" w:hAnsi="宋体"/>
          <w:szCs w:val="21"/>
          <w:highlight w:val="none"/>
        </w:rPr>
        <w:t>10、</w:t>
      </w:r>
      <w:r>
        <w:rPr>
          <w:rFonts w:ascii="宋体" w:hAnsi="宋体"/>
          <w:szCs w:val="21"/>
          <w:highlight w:val="none"/>
        </w:rPr>
        <w:t>合约期内乙方连续贰个月或累计叁个月无法完成运输计划；乙方进出甲方厂区人员不遵守甲方厂规，且经甲方指出半个月后仍未改正者</w:t>
      </w:r>
      <w:r>
        <w:rPr>
          <w:rFonts w:hint="eastAsia" w:ascii="宋体" w:hAnsi="宋体"/>
          <w:szCs w:val="21"/>
          <w:highlight w:val="none"/>
        </w:rPr>
        <w:t>，</w:t>
      </w:r>
      <w:r>
        <w:rPr>
          <w:rFonts w:ascii="宋体" w:hAnsi="宋体"/>
          <w:szCs w:val="21"/>
          <w:highlight w:val="none"/>
        </w:rPr>
        <w:t>甲方有权解除合同。</w:t>
      </w:r>
    </w:p>
    <w:p w14:paraId="67FA1570">
      <w:pPr>
        <w:spacing w:line="360" w:lineRule="auto"/>
        <w:ind w:firstLine="420" w:firstLineChars="200"/>
        <w:rPr>
          <w:rFonts w:ascii="宋体" w:hAnsi="宋体"/>
          <w:szCs w:val="21"/>
          <w:highlight w:val="none"/>
        </w:rPr>
      </w:pPr>
      <w:r>
        <w:rPr>
          <w:rFonts w:hint="eastAsia" w:ascii="宋体" w:hAnsi="宋体"/>
          <w:szCs w:val="21"/>
          <w:highlight w:val="none"/>
        </w:rPr>
        <w:t>11、因1、2、3、4、5、6、7、8、10原因，甲方有权解除合同，但无论合同解除与否，乙方均应向甲方支付违约金伍拾万元（如对违约金有另外约定的，按约定），并仍应就乙方给甲方造成的经济损失进行赔偿。</w:t>
      </w:r>
    </w:p>
    <w:p w14:paraId="74BFBC61">
      <w:pPr>
        <w:spacing w:line="360" w:lineRule="auto"/>
        <w:ind w:firstLine="420" w:firstLineChars="200"/>
        <w:rPr>
          <w:rFonts w:ascii="宋体" w:hAnsi="宋体"/>
          <w:szCs w:val="21"/>
          <w:highlight w:val="none"/>
        </w:rPr>
      </w:pPr>
      <w:r>
        <w:rPr>
          <w:rFonts w:hint="eastAsia" w:ascii="宋体" w:hAnsi="宋体"/>
          <w:szCs w:val="21"/>
          <w:highlight w:val="none"/>
        </w:rPr>
        <w:t>12、以上甲方有权解除合同的，如乙方对解除合同有异议，须在解除通知到达乙方之日起3日内以书面方式向甲方提出，解除通知到达乙方后即视为合同解除。</w:t>
      </w:r>
    </w:p>
    <w:p w14:paraId="543016C9">
      <w:pPr>
        <w:numPr>
          <w:ilvl w:val="0"/>
          <w:numId w:val="3"/>
        </w:numPr>
        <w:tabs>
          <w:tab w:val="left" w:pos="420"/>
          <w:tab w:val="left" w:pos="562"/>
        </w:tabs>
        <w:spacing w:line="360" w:lineRule="auto"/>
        <w:ind w:left="-420" w:firstLine="422" w:firstLineChars="200"/>
        <w:rPr>
          <w:rFonts w:ascii="宋体" w:hAnsi="宋体"/>
          <w:b/>
          <w:szCs w:val="21"/>
          <w:highlight w:val="none"/>
        </w:rPr>
      </w:pPr>
      <w:r>
        <w:rPr>
          <w:rFonts w:hint="eastAsia" w:ascii="宋体" w:hAnsi="宋体"/>
          <w:b/>
          <w:szCs w:val="21"/>
          <w:highlight w:val="none"/>
        </w:rPr>
        <w:t>不可抗力</w:t>
      </w:r>
    </w:p>
    <w:p w14:paraId="63C9AD78">
      <w:pPr>
        <w:spacing w:line="360" w:lineRule="auto"/>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如遇不可抗力，即不能预见、不能避免并不能克服的客观情况，例如：火灾、水灾、雪灾、海啸、台风、地震、雷击、风灾、罢工</w:t>
      </w:r>
      <w:r>
        <w:rPr>
          <w:rFonts w:ascii="宋体" w:hAnsi="宋体"/>
          <w:szCs w:val="21"/>
          <w:highlight w:val="none"/>
        </w:rPr>
        <w:t>和军事上的敌对行动或政府禁令等致使受不可抗力直接影响的一方延迟履行或无法履行本合同的全部或部分条款时，受不可抗力影响的一方不承担违约责任。</w:t>
      </w:r>
    </w:p>
    <w:p w14:paraId="07E4A715">
      <w:pPr>
        <w:spacing w:line="360" w:lineRule="auto"/>
        <w:ind w:firstLine="420" w:firstLineChars="200"/>
        <w:rPr>
          <w:rFonts w:ascii="宋体" w:hAnsi="宋体"/>
          <w:szCs w:val="21"/>
          <w:highlight w:val="none"/>
        </w:rPr>
      </w:pPr>
      <w:r>
        <w:rPr>
          <w:rFonts w:ascii="宋体" w:hAnsi="宋体"/>
          <w:szCs w:val="21"/>
          <w:highlight w:val="none"/>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14:paraId="27A0A232">
      <w:pPr>
        <w:spacing w:line="360" w:lineRule="auto"/>
        <w:ind w:firstLine="420" w:firstLineChars="200"/>
        <w:rPr>
          <w:rFonts w:ascii="宋体" w:hAnsi="宋体"/>
          <w:szCs w:val="21"/>
          <w:highlight w:val="none"/>
        </w:rPr>
      </w:pPr>
      <w:r>
        <w:rPr>
          <w:rFonts w:ascii="宋体" w:hAnsi="宋体"/>
          <w:szCs w:val="21"/>
          <w:highlight w:val="none"/>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14:paraId="78A03424">
      <w:pPr>
        <w:spacing w:line="360" w:lineRule="auto"/>
        <w:rPr>
          <w:rFonts w:ascii="宋体" w:hAnsi="宋体"/>
          <w:b/>
          <w:szCs w:val="21"/>
          <w:highlight w:val="none"/>
        </w:rPr>
      </w:pPr>
      <w:r>
        <w:rPr>
          <w:rFonts w:hint="eastAsia" w:ascii="宋体" w:hAnsi="宋体"/>
          <w:b/>
          <w:szCs w:val="21"/>
          <w:highlight w:val="none"/>
        </w:rPr>
        <w:t>八、保密条款</w:t>
      </w:r>
    </w:p>
    <w:p w14:paraId="55017CD8">
      <w:pPr>
        <w:spacing w:line="360" w:lineRule="auto"/>
        <w:ind w:firstLine="420" w:firstLineChars="200"/>
        <w:rPr>
          <w:rFonts w:ascii="宋体" w:hAnsi="宋体"/>
          <w:szCs w:val="21"/>
          <w:highlight w:val="none"/>
        </w:rPr>
      </w:pPr>
      <w:r>
        <w:rPr>
          <w:rFonts w:hint="eastAsia" w:ascii="宋体" w:hAnsi="宋体"/>
          <w:szCs w:val="21"/>
          <w:highlight w:val="none"/>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14:paraId="3A6EB70A">
      <w:pPr>
        <w:tabs>
          <w:tab w:val="left" w:pos="562"/>
        </w:tabs>
        <w:spacing w:line="360" w:lineRule="auto"/>
        <w:rPr>
          <w:rFonts w:ascii="宋体" w:hAnsi="宋体"/>
          <w:b/>
          <w:szCs w:val="21"/>
          <w:highlight w:val="none"/>
        </w:rPr>
      </w:pPr>
      <w:r>
        <w:rPr>
          <w:rFonts w:hint="eastAsia" w:ascii="宋体" w:hAnsi="宋体"/>
          <w:b/>
          <w:szCs w:val="21"/>
          <w:highlight w:val="none"/>
        </w:rPr>
        <w:t>九、解决合同纠纷方式</w:t>
      </w:r>
    </w:p>
    <w:p w14:paraId="4A276714">
      <w:pPr>
        <w:spacing w:line="360" w:lineRule="auto"/>
        <w:ind w:firstLine="420" w:firstLineChars="200"/>
        <w:rPr>
          <w:rFonts w:ascii="宋体" w:hAnsi="宋体"/>
          <w:szCs w:val="21"/>
          <w:highlight w:val="none"/>
        </w:rPr>
      </w:pPr>
      <w:r>
        <w:rPr>
          <w:rFonts w:ascii="宋体" w:hAnsi="宋体"/>
          <w:szCs w:val="21"/>
          <w:highlight w:val="none"/>
        </w:rPr>
        <w:t>凡有关本合同或执行本合同而发生的一切纠纷，应</w:t>
      </w:r>
      <w:r>
        <w:rPr>
          <w:rFonts w:hint="eastAsia" w:ascii="宋体" w:hAnsi="宋体"/>
          <w:szCs w:val="21"/>
          <w:highlight w:val="none"/>
        </w:rPr>
        <w:t>由该批次货物实际托运人与承运人</w:t>
      </w:r>
      <w:r>
        <w:rPr>
          <w:rFonts w:ascii="宋体" w:hAnsi="宋体"/>
          <w:szCs w:val="21"/>
          <w:highlight w:val="none"/>
        </w:rPr>
        <w:t>通过友好协商解决；协商不成时，</w:t>
      </w:r>
      <w:r>
        <w:rPr>
          <w:rFonts w:hint="eastAsia" w:ascii="宋体" w:hAnsi="宋体"/>
          <w:szCs w:val="21"/>
          <w:highlight w:val="none"/>
        </w:rPr>
        <w:t>由该批次货物实际托运人与承运人通过诉讼方式解决，</w:t>
      </w:r>
      <w:r>
        <w:rPr>
          <w:rFonts w:ascii="宋体" w:hAnsi="宋体"/>
          <w:szCs w:val="21"/>
          <w:highlight w:val="none"/>
        </w:rPr>
        <w:t>双方均可向甲方所在地法院起诉。</w:t>
      </w:r>
      <w:r>
        <w:rPr>
          <w:rFonts w:hint="eastAsia" w:ascii="宋体" w:hAnsi="宋体"/>
          <w:szCs w:val="21"/>
          <w:highlight w:val="none"/>
        </w:rPr>
        <w:t>诉讼费包括律师费由败诉方承担。</w:t>
      </w:r>
    </w:p>
    <w:p w14:paraId="1092403E">
      <w:pPr>
        <w:tabs>
          <w:tab w:val="left" w:pos="562"/>
          <w:tab w:val="left" w:pos="644"/>
        </w:tabs>
        <w:spacing w:line="360" w:lineRule="auto"/>
        <w:rPr>
          <w:szCs w:val="21"/>
          <w:highlight w:val="none"/>
        </w:rPr>
      </w:pPr>
      <w:r>
        <w:rPr>
          <w:rFonts w:hint="eastAsia" w:ascii="宋体" w:hAnsi="宋体"/>
          <w:b/>
          <w:szCs w:val="21"/>
          <w:highlight w:val="none"/>
        </w:rPr>
        <w:t>十、合同期限：</w:t>
      </w:r>
      <w:r>
        <w:rPr>
          <w:rFonts w:hint="eastAsia" w:ascii="宋体" w:hAnsi="宋体"/>
          <w:b/>
          <w:szCs w:val="21"/>
          <w:highlight w:val="none"/>
          <w:lang w:val="en-US" w:eastAsia="zh-CN"/>
        </w:rPr>
        <w:t>合同签订之日起壹年</w:t>
      </w:r>
      <w:r>
        <w:rPr>
          <w:bCs/>
          <w:szCs w:val="21"/>
          <w:highlight w:val="none"/>
        </w:rPr>
        <w:t>。</w:t>
      </w:r>
    </w:p>
    <w:p w14:paraId="127C7B83">
      <w:pPr>
        <w:tabs>
          <w:tab w:val="left" w:pos="562"/>
          <w:tab w:val="left" w:pos="644"/>
        </w:tabs>
        <w:spacing w:line="360" w:lineRule="auto"/>
        <w:rPr>
          <w:rFonts w:ascii="宋体" w:hAnsi="宋体"/>
          <w:b/>
          <w:szCs w:val="21"/>
          <w:highlight w:val="none"/>
        </w:rPr>
      </w:pPr>
      <w:r>
        <w:rPr>
          <w:rFonts w:hint="eastAsia" w:ascii="宋体" w:hAnsi="宋体"/>
          <w:b/>
          <w:szCs w:val="21"/>
          <w:highlight w:val="none"/>
        </w:rPr>
        <w:t>十一、合同生效</w:t>
      </w:r>
    </w:p>
    <w:p w14:paraId="20A52CDB">
      <w:pPr>
        <w:spacing w:line="360" w:lineRule="auto"/>
        <w:ind w:firstLine="420" w:firstLineChars="200"/>
        <w:rPr>
          <w:rFonts w:ascii="宋体" w:hAnsi="宋体"/>
          <w:szCs w:val="21"/>
          <w:highlight w:val="none"/>
        </w:rPr>
      </w:pPr>
      <w:r>
        <w:rPr>
          <w:rFonts w:ascii="宋体" w:hAnsi="宋体"/>
          <w:szCs w:val="21"/>
          <w:highlight w:val="none"/>
        </w:rPr>
        <w:t>本合约经甲乙双方同意订立起生效。乙方未在规定时间内履行任一项义务，导致合同无法生效的，乙方应向甲方支付人民币</w:t>
      </w:r>
      <w:r>
        <w:rPr>
          <w:rFonts w:hint="eastAsia" w:ascii="宋体" w:hAnsi="宋体"/>
          <w:szCs w:val="21"/>
          <w:highlight w:val="none"/>
        </w:rPr>
        <w:t>1</w:t>
      </w:r>
      <w:r>
        <w:rPr>
          <w:rFonts w:ascii="宋体" w:hAnsi="宋体"/>
          <w:szCs w:val="21"/>
          <w:highlight w:val="none"/>
        </w:rPr>
        <w:t>万元作为赔偿金。</w:t>
      </w:r>
    </w:p>
    <w:p w14:paraId="3773C246">
      <w:pPr>
        <w:tabs>
          <w:tab w:val="left" w:pos="420"/>
          <w:tab w:val="left" w:pos="562"/>
          <w:tab w:val="left" w:pos="644"/>
        </w:tabs>
        <w:spacing w:line="360" w:lineRule="auto"/>
        <w:ind w:left="62"/>
        <w:rPr>
          <w:rFonts w:ascii="宋体" w:hAnsi="宋体"/>
          <w:b/>
          <w:szCs w:val="21"/>
          <w:highlight w:val="none"/>
        </w:rPr>
      </w:pPr>
      <w:r>
        <w:rPr>
          <w:rFonts w:ascii="宋体" w:hAnsi="宋体" w:cs="楷体_GB2312"/>
          <w:b/>
          <w:szCs w:val="21"/>
          <w:highlight w:val="none"/>
        </w:rPr>
        <w:t>十二、</w:t>
      </w:r>
      <w:r>
        <w:rPr>
          <w:rFonts w:hint="eastAsia" w:ascii="宋体" w:hAnsi="宋体"/>
          <w:b/>
          <w:szCs w:val="21"/>
          <w:highlight w:val="none"/>
        </w:rPr>
        <w:t>其他约定</w:t>
      </w:r>
    </w:p>
    <w:p w14:paraId="2DDC7555">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本合同一式</w:t>
      </w:r>
      <w:r>
        <w:rPr>
          <w:rFonts w:hint="eastAsia" w:ascii="宋体" w:hAnsi="宋体"/>
          <w:szCs w:val="21"/>
          <w:highlight w:val="none"/>
        </w:rPr>
        <w:t>肆</w:t>
      </w:r>
      <w:r>
        <w:rPr>
          <w:rFonts w:ascii="宋体" w:hAnsi="宋体"/>
          <w:szCs w:val="21"/>
          <w:highlight w:val="none"/>
        </w:rPr>
        <w:t>份，甲方</w:t>
      </w:r>
      <w:r>
        <w:rPr>
          <w:rFonts w:hint="eastAsia" w:ascii="宋体" w:hAnsi="宋体"/>
          <w:szCs w:val="21"/>
          <w:highlight w:val="none"/>
        </w:rPr>
        <w:t>执叁</w:t>
      </w:r>
      <w:r>
        <w:rPr>
          <w:rFonts w:ascii="宋体" w:hAnsi="宋体"/>
          <w:szCs w:val="21"/>
          <w:highlight w:val="none"/>
        </w:rPr>
        <w:t>份</w:t>
      </w:r>
      <w:r>
        <w:rPr>
          <w:rFonts w:hint="eastAsia" w:ascii="宋体" w:hAnsi="宋体"/>
          <w:szCs w:val="21"/>
          <w:highlight w:val="none"/>
        </w:rPr>
        <w:t>、</w:t>
      </w:r>
      <w:r>
        <w:rPr>
          <w:rFonts w:ascii="宋体" w:hAnsi="宋体"/>
          <w:szCs w:val="21"/>
          <w:highlight w:val="none"/>
        </w:rPr>
        <w:t>乙方</w:t>
      </w:r>
      <w:r>
        <w:rPr>
          <w:rFonts w:hint="eastAsia" w:ascii="宋体" w:hAnsi="宋体"/>
          <w:szCs w:val="21"/>
          <w:highlight w:val="none"/>
        </w:rPr>
        <w:t>执壹</w:t>
      </w:r>
      <w:r>
        <w:rPr>
          <w:rFonts w:ascii="宋体" w:hAnsi="宋体"/>
          <w:szCs w:val="21"/>
          <w:highlight w:val="none"/>
        </w:rPr>
        <w:t>份，具同等法律效力，执行中如遇变更或补充，可经双方协商签订补充协议。</w:t>
      </w:r>
    </w:p>
    <w:p w14:paraId="2DC8228A">
      <w:pPr>
        <w:tabs>
          <w:tab w:val="left" w:pos="540"/>
        </w:tabs>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本合同附件同样具有法律效力，附件与合同有冲突的，以合同为准。</w:t>
      </w:r>
    </w:p>
    <w:p w14:paraId="1914324C">
      <w:pPr>
        <w:pStyle w:val="32"/>
        <w:spacing w:line="360" w:lineRule="auto"/>
        <w:rPr>
          <w:rFonts w:ascii="宋体" w:hAnsi="宋体"/>
          <w:szCs w:val="21"/>
          <w:highlight w:val="none"/>
        </w:rPr>
      </w:pPr>
      <w:r>
        <w:rPr>
          <w:rFonts w:hint="eastAsia" w:ascii="宋体" w:hAnsi="宋体"/>
          <w:szCs w:val="21"/>
          <w:highlight w:val="none"/>
        </w:rPr>
        <w:t>3、除双方另有约定外，本合同涉及货物赔偿的，乙方均按甲方与客户买卖合同的货物完税价格予以全额赔偿，同时承担由此给甲方造成的损失。</w:t>
      </w:r>
    </w:p>
    <w:p w14:paraId="70C98090">
      <w:pPr>
        <w:pStyle w:val="32"/>
        <w:spacing w:line="360" w:lineRule="auto"/>
        <w:rPr>
          <w:rFonts w:ascii="宋体" w:hAnsi="宋体"/>
          <w:szCs w:val="21"/>
          <w:highlight w:val="none"/>
        </w:rPr>
      </w:pPr>
      <w:r>
        <w:rPr>
          <w:rFonts w:hint="eastAsia" w:ascii="宋体" w:hAnsi="宋体"/>
          <w:szCs w:val="21"/>
          <w:highlight w:val="none"/>
        </w:rPr>
        <w:t>4、新增其他约定事项：合同履行期间，如遇国家税率政策变更的，则不含税价不变，含税价格根据新税率应作相应调整。</w:t>
      </w:r>
    </w:p>
    <w:p w14:paraId="0246D07D">
      <w:pPr>
        <w:pStyle w:val="32"/>
        <w:spacing w:line="360" w:lineRule="auto"/>
        <w:ind w:firstLine="0" w:firstLineChars="0"/>
        <w:rPr>
          <w:rFonts w:ascii="宋体" w:hAnsi="宋体"/>
          <w:b/>
          <w:szCs w:val="21"/>
          <w:highlight w:val="none"/>
        </w:rPr>
      </w:pPr>
      <w:r>
        <w:rPr>
          <w:rFonts w:ascii="宋体" w:hAnsi="宋体"/>
          <w:b/>
          <w:szCs w:val="21"/>
          <w:highlight w:val="none"/>
        </w:rPr>
        <w:t>十三</w:t>
      </w:r>
      <w:r>
        <w:rPr>
          <w:rFonts w:hint="eastAsia" w:ascii="宋体" w:hAnsi="宋体"/>
          <w:b/>
          <w:szCs w:val="21"/>
          <w:highlight w:val="none"/>
        </w:rPr>
        <w:t>、合同附件</w:t>
      </w:r>
    </w:p>
    <w:p w14:paraId="378950F1">
      <w:pPr>
        <w:pStyle w:val="2"/>
        <w:ind w:left="-3" w:leftChars="-6" w:hanging="10" w:hangingChars="5"/>
        <w:rPr>
          <w:rFonts w:hAnsi="宋体"/>
          <w:kern w:val="2"/>
          <w:sz w:val="21"/>
          <w:szCs w:val="21"/>
          <w:highlight w:val="none"/>
        </w:rPr>
      </w:pPr>
      <w:r>
        <w:rPr>
          <w:rFonts w:hint="eastAsia" w:hAnsi="宋体"/>
          <w:kern w:val="2"/>
          <w:sz w:val="21"/>
          <w:szCs w:val="21"/>
          <w:highlight w:val="none"/>
        </w:rPr>
        <w:t xml:space="preserve"> </w:t>
      </w:r>
      <w:r>
        <w:rPr>
          <w:rFonts w:hAnsi="宋体"/>
          <w:kern w:val="2"/>
          <w:sz w:val="21"/>
          <w:szCs w:val="21"/>
          <w:highlight w:val="none"/>
        </w:rPr>
        <w:t xml:space="preserve">  附件1</w:t>
      </w:r>
      <w:r>
        <w:rPr>
          <w:rFonts w:hint="eastAsia" w:hAnsi="宋体"/>
          <w:kern w:val="2"/>
          <w:sz w:val="21"/>
          <w:szCs w:val="21"/>
          <w:highlight w:val="none"/>
        </w:rPr>
        <w:t>《发包说明》</w:t>
      </w:r>
    </w:p>
    <w:p w14:paraId="37056657">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2</w:t>
      </w:r>
      <w:r>
        <w:rPr>
          <w:rFonts w:hint="eastAsia" w:ascii="宋体" w:hAnsi="宋体"/>
          <w:szCs w:val="21"/>
          <w:highlight w:val="none"/>
        </w:rPr>
        <w:t>《安全环保协议书》</w:t>
      </w:r>
    </w:p>
    <w:p w14:paraId="542DAEF7">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3</w:t>
      </w:r>
      <w:r>
        <w:rPr>
          <w:rFonts w:hint="eastAsia" w:ascii="宋体" w:hAnsi="宋体"/>
          <w:szCs w:val="21"/>
          <w:highlight w:val="none"/>
        </w:rPr>
        <w:t>《人员、车辆入厂安全管理协议》</w:t>
      </w:r>
    </w:p>
    <w:p w14:paraId="296E6807">
      <w:pPr>
        <w:spacing w:line="360" w:lineRule="auto"/>
        <w:ind w:left="333" w:leftChars="154" w:hanging="10" w:hangingChars="5"/>
        <w:rPr>
          <w:rFonts w:ascii="宋体" w:hAnsi="宋体"/>
          <w:szCs w:val="21"/>
          <w:highlight w:val="none"/>
        </w:rPr>
      </w:pPr>
      <w:r>
        <w:rPr>
          <w:rFonts w:ascii="宋体" w:hAnsi="宋体"/>
          <w:szCs w:val="21"/>
          <w:highlight w:val="none"/>
        </w:rPr>
        <w:t>附件</w:t>
      </w:r>
      <w:r>
        <w:rPr>
          <w:rFonts w:hint="eastAsia" w:ascii="宋体" w:hAnsi="宋体"/>
          <w:szCs w:val="21"/>
          <w:highlight w:val="none"/>
        </w:rPr>
        <w:t>4《廉洁从业责任书》</w:t>
      </w:r>
    </w:p>
    <w:p w14:paraId="49143EA9">
      <w:pPr>
        <w:spacing w:line="360" w:lineRule="auto"/>
        <w:ind w:left="333" w:leftChars="154" w:hanging="10" w:hangingChars="5"/>
        <w:rPr>
          <w:rFonts w:ascii="宋体" w:hAnsi="宋体"/>
          <w:szCs w:val="21"/>
          <w:highlight w:val="none"/>
        </w:rPr>
      </w:pPr>
      <w:r>
        <w:rPr>
          <w:rFonts w:ascii="宋体" w:hAnsi="宋体"/>
          <w:szCs w:val="21"/>
          <w:highlight w:val="none"/>
        </w:rPr>
        <w:t>附件</w:t>
      </w:r>
      <w:r>
        <w:rPr>
          <w:rFonts w:hint="eastAsia" w:ascii="宋体" w:hAnsi="宋体"/>
          <w:szCs w:val="21"/>
          <w:highlight w:val="none"/>
        </w:rPr>
        <w:t>5《工安查核与奖惩办法》</w:t>
      </w:r>
    </w:p>
    <w:p w14:paraId="0E8708E4">
      <w:pPr>
        <w:spacing w:line="360" w:lineRule="auto"/>
        <w:ind w:left="333" w:leftChars="154" w:hanging="10" w:hangingChars="5"/>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《安全运输责任书》</w:t>
      </w:r>
    </w:p>
    <w:p w14:paraId="6CB4F017">
      <w:pPr>
        <w:pStyle w:val="2"/>
        <w:rPr>
          <w:rFonts w:hAnsi="宋体"/>
          <w:b/>
          <w:bCs/>
          <w:sz w:val="24"/>
          <w:highlight w:val="none"/>
        </w:rPr>
      </w:pPr>
      <w:r>
        <w:rPr>
          <w:rFonts w:hint="eastAsia"/>
          <w:highlight w:val="none"/>
        </w:rPr>
        <w:t xml:space="preserve"> </w:t>
      </w:r>
      <w:r>
        <w:rPr>
          <w:highlight w:val="none"/>
        </w:rPr>
        <w:t xml:space="preserve"> </w:t>
      </w:r>
    </w:p>
    <w:p w14:paraId="0E7D460E">
      <w:pPr>
        <w:pStyle w:val="14"/>
        <w:ind w:firstLine="0" w:firstLineChars="0"/>
        <w:rPr>
          <w:rFonts w:hAnsi="宋体"/>
          <w:b/>
          <w:bCs/>
          <w:sz w:val="24"/>
          <w:highlight w:val="none"/>
        </w:rPr>
      </w:pPr>
      <w:r>
        <w:rPr>
          <w:rFonts w:hint="eastAsia" w:hAnsi="宋体"/>
          <w:b/>
          <w:bCs/>
          <w:sz w:val="24"/>
          <w:highlight w:val="none"/>
        </w:rPr>
        <w:t>（以下无正文，仅为签署页）</w:t>
      </w:r>
    </w:p>
    <w:p w14:paraId="7F0D6666">
      <w:pPr>
        <w:pStyle w:val="14"/>
        <w:ind w:firstLine="0" w:firstLineChars="0"/>
        <w:rPr>
          <w:rFonts w:hAnsi="宋体"/>
          <w:b/>
          <w:bCs/>
          <w:sz w:val="24"/>
          <w:highlight w:val="none"/>
        </w:rPr>
      </w:pPr>
    </w:p>
    <w:tbl>
      <w:tblPr>
        <w:tblStyle w:val="15"/>
        <w:tblW w:w="10103" w:type="dxa"/>
        <w:tblInd w:w="0" w:type="dxa"/>
        <w:tblLayout w:type="fixed"/>
        <w:tblCellMar>
          <w:top w:w="0" w:type="dxa"/>
          <w:left w:w="108" w:type="dxa"/>
          <w:bottom w:w="0" w:type="dxa"/>
          <w:right w:w="108" w:type="dxa"/>
        </w:tblCellMar>
      </w:tblPr>
      <w:tblGrid>
        <w:gridCol w:w="5050"/>
        <w:gridCol w:w="5053"/>
      </w:tblGrid>
      <w:tr w14:paraId="2CCD1B67">
        <w:tblPrEx>
          <w:tblCellMar>
            <w:top w:w="0" w:type="dxa"/>
            <w:left w:w="108" w:type="dxa"/>
            <w:bottom w:w="0" w:type="dxa"/>
            <w:right w:w="108" w:type="dxa"/>
          </w:tblCellMar>
        </w:tblPrEx>
        <w:trPr>
          <w:trHeight w:val="489" w:hRule="atLeast"/>
        </w:trPr>
        <w:tc>
          <w:tcPr>
            <w:tcW w:w="5050" w:type="dxa"/>
          </w:tcPr>
          <w:p w14:paraId="05C8CF02">
            <w:pPr>
              <w:rPr>
                <w:b/>
                <w:bCs/>
                <w:sz w:val="21"/>
                <w:szCs w:val="21"/>
                <w:highlight w:val="none"/>
              </w:rPr>
            </w:pPr>
            <w:r>
              <w:rPr>
                <w:rFonts w:hint="eastAsia" w:hAnsi="宋体"/>
                <w:b/>
                <w:bCs/>
                <w:sz w:val="21"/>
                <w:szCs w:val="21"/>
                <w:highlight w:val="none"/>
              </w:rPr>
              <w:t>甲方1：</w:t>
            </w:r>
            <w:r>
              <w:rPr>
                <w:b/>
                <w:bCs/>
                <w:sz w:val="21"/>
                <w:szCs w:val="21"/>
                <w:highlight w:val="none"/>
                <w:u w:val="single"/>
              </w:rPr>
              <w:t>福建省福化古蕾化学有限公司</w:t>
            </w:r>
          </w:p>
        </w:tc>
        <w:tc>
          <w:tcPr>
            <w:tcW w:w="5053" w:type="dxa"/>
            <w:vAlign w:val="top"/>
          </w:tcPr>
          <w:p w14:paraId="33D4B2BD">
            <w:pPr>
              <w:rPr>
                <w:b/>
                <w:bCs/>
                <w:sz w:val="21"/>
                <w:szCs w:val="21"/>
                <w:highlight w:val="none"/>
              </w:rPr>
            </w:pPr>
            <w:r>
              <w:rPr>
                <w:rFonts w:hAnsi="宋体"/>
                <w:b/>
                <w:bCs/>
                <w:sz w:val="21"/>
                <w:szCs w:val="21"/>
                <w:highlight w:val="none"/>
              </w:rPr>
              <w:t>乙方</w:t>
            </w:r>
            <w:r>
              <w:rPr>
                <w:rFonts w:hint="eastAsia" w:hAnsi="宋体"/>
                <w:b/>
                <w:bCs/>
                <w:sz w:val="21"/>
                <w:szCs w:val="21"/>
                <w:highlight w:val="none"/>
              </w:rPr>
              <w:t>：</w:t>
            </w:r>
          </w:p>
        </w:tc>
      </w:tr>
      <w:tr w14:paraId="398A19F4">
        <w:tblPrEx>
          <w:tblCellMar>
            <w:top w:w="0" w:type="dxa"/>
            <w:left w:w="108" w:type="dxa"/>
            <w:bottom w:w="0" w:type="dxa"/>
            <w:right w:w="108" w:type="dxa"/>
          </w:tblCellMar>
        </w:tblPrEx>
        <w:trPr>
          <w:trHeight w:val="515" w:hRule="atLeast"/>
        </w:trPr>
        <w:tc>
          <w:tcPr>
            <w:tcW w:w="5050" w:type="dxa"/>
          </w:tcPr>
          <w:p w14:paraId="0BC3F897">
            <w:pPr>
              <w:rPr>
                <w:sz w:val="21"/>
                <w:szCs w:val="21"/>
                <w:highlight w:val="none"/>
              </w:rPr>
            </w:pPr>
            <w:r>
              <w:rPr>
                <w:sz w:val="21"/>
                <w:szCs w:val="21"/>
                <w:highlight w:val="none"/>
              </w:rPr>
              <w:t>单位名称（章）：</w:t>
            </w:r>
          </w:p>
        </w:tc>
        <w:tc>
          <w:tcPr>
            <w:tcW w:w="5053" w:type="dxa"/>
            <w:vAlign w:val="top"/>
          </w:tcPr>
          <w:p w14:paraId="7B9110A7">
            <w:pPr>
              <w:rPr>
                <w:sz w:val="21"/>
                <w:szCs w:val="21"/>
                <w:highlight w:val="none"/>
              </w:rPr>
            </w:pPr>
            <w:r>
              <w:rPr>
                <w:sz w:val="21"/>
                <w:szCs w:val="21"/>
                <w:highlight w:val="none"/>
              </w:rPr>
              <w:t xml:space="preserve">单位名称（章）： </w:t>
            </w:r>
          </w:p>
        </w:tc>
      </w:tr>
      <w:tr w14:paraId="064BB574">
        <w:tblPrEx>
          <w:tblCellMar>
            <w:top w:w="0" w:type="dxa"/>
            <w:left w:w="108" w:type="dxa"/>
            <w:bottom w:w="0" w:type="dxa"/>
            <w:right w:w="108" w:type="dxa"/>
          </w:tblCellMar>
        </w:tblPrEx>
        <w:trPr>
          <w:trHeight w:val="767" w:hRule="atLeast"/>
        </w:trPr>
        <w:tc>
          <w:tcPr>
            <w:tcW w:w="5050" w:type="dxa"/>
          </w:tcPr>
          <w:p w14:paraId="00C0E583">
            <w:pPr>
              <w:rPr>
                <w:sz w:val="21"/>
                <w:szCs w:val="21"/>
                <w:highlight w:val="none"/>
              </w:rPr>
            </w:pPr>
            <w:r>
              <w:rPr>
                <w:sz w:val="21"/>
                <w:szCs w:val="21"/>
                <w:highlight w:val="none"/>
              </w:rPr>
              <w:t>单位地址：</w:t>
            </w:r>
            <w:r>
              <w:rPr>
                <w:rFonts w:hint="eastAsia"/>
                <w:sz w:val="21"/>
                <w:szCs w:val="21"/>
                <w:highlight w:val="none"/>
              </w:rPr>
              <w:t>福建省漳州市古雷港经济开发区</w:t>
            </w:r>
          </w:p>
          <w:p w14:paraId="0ADB0DEA">
            <w:pPr>
              <w:ind w:firstLine="1050" w:firstLineChars="500"/>
              <w:rPr>
                <w:sz w:val="21"/>
                <w:szCs w:val="21"/>
                <w:highlight w:val="none"/>
              </w:rPr>
            </w:pPr>
            <w:r>
              <w:rPr>
                <w:rFonts w:hint="eastAsia"/>
                <w:sz w:val="21"/>
                <w:szCs w:val="21"/>
                <w:highlight w:val="none"/>
              </w:rPr>
              <w:t>古雷镇疏港大道南102号</w:t>
            </w:r>
          </w:p>
        </w:tc>
        <w:tc>
          <w:tcPr>
            <w:tcW w:w="5053" w:type="dxa"/>
            <w:vAlign w:val="top"/>
          </w:tcPr>
          <w:p w14:paraId="21FB911A">
            <w:pPr>
              <w:rPr>
                <w:sz w:val="21"/>
                <w:szCs w:val="21"/>
                <w:highlight w:val="none"/>
              </w:rPr>
            </w:pPr>
            <w:r>
              <w:rPr>
                <w:sz w:val="21"/>
                <w:szCs w:val="21"/>
                <w:highlight w:val="none"/>
              </w:rPr>
              <w:t>单位地址：</w:t>
            </w:r>
          </w:p>
        </w:tc>
      </w:tr>
      <w:tr w14:paraId="498D37F5">
        <w:tblPrEx>
          <w:tblCellMar>
            <w:top w:w="0" w:type="dxa"/>
            <w:left w:w="108" w:type="dxa"/>
            <w:bottom w:w="0" w:type="dxa"/>
            <w:right w:w="108" w:type="dxa"/>
          </w:tblCellMar>
        </w:tblPrEx>
        <w:trPr>
          <w:trHeight w:val="403" w:hRule="atLeast"/>
        </w:trPr>
        <w:tc>
          <w:tcPr>
            <w:tcW w:w="5050" w:type="dxa"/>
          </w:tcPr>
          <w:p w14:paraId="67244E94">
            <w:pPr>
              <w:rPr>
                <w:sz w:val="21"/>
                <w:szCs w:val="21"/>
                <w:highlight w:val="none"/>
              </w:rPr>
            </w:pPr>
            <w:r>
              <w:rPr>
                <w:sz w:val="21"/>
                <w:szCs w:val="21"/>
                <w:highlight w:val="none"/>
              </w:rPr>
              <w:t>联系人：</w:t>
            </w:r>
            <w:r>
              <w:rPr>
                <w:rFonts w:hint="eastAsia"/>
                <w:sz w:val="21"/>
                <w:szCs w:val="21"/>
                <w:highlight w:val="none"/>
              </w:rPr>
              <w:t>吴彦卿</w:t>
            </w:r>
          </w:p>
        </w:tc>
        <w:tc>
          <w:tcPr>
            <w:tcW w:w="5053" w:type="dxa"/>
            <w:vAlign w:val="top"/>
          </w:tcPr>
          <w:p w14:paraId="15AE96F9">
            <w:pPr>
              <w:rPr>
                <w:sz w:val="21"/>
                <w:szCs w:val="21"/>
                <w:highlight w:val="none"/>
              </w:rPr>
            </w:pPr>
            <w:r>
              <w:rPr>
                <w:sz w:val="21"/>
                <w:szCs w:val="21"/>
                <w:highlight w:val="none"/>
              </w:rPr>
              <w:t xml:space="preserve">联系人： </w:t>
            </w:r>
          </w:p>
        </w:tc>
      </w:tr>
      <w:tr w14:paraId="05AB0DD2">
        <w:tblPrEx>
          <w:tblCellMar>
            <w:top w:w="0" w:type="dxa"/>
            <w:left w:w="108" w:type="dxa"/>
            <w:bottom w:w="0" w:type="dxa"/>
            <w:right w:w="108" w:type="dxa"/>
          </w:tblCellMar>
        </w:tblPrEx>
        <w:trPr>
          <w:trHeight w:val="446" w:hRule="atLeast"/>
        </w:trPr>
        <w:tc>
          <w:tcPr>
            <w:tcW w:w="5050" w:type="dxa"/>
          </w:tcPr>
          <w:p w14:paraId="5EA8E9B3">
            <w:pPr>
              <w:rPr>
                <w:sz w:val="21"/>
                <w:szCs w:val="21"/>
                <w:highlight w:val="none"/>
              </w:rPr>
            </w:pPr>
            <w:r>
              <w:rPr>
                <w:sz w:val="21"/>
                <w:szCs w:val="21"/>
                <w:highlight w:val="none"/>
              </w:rPr>
              <w:t>电话：</w:t>
            </w:r>
            <w:r>
              <w:rPr>
                <w:rFonts w:hint="eastAsia"/>
                <w:sz w:val="21"/>
                <w:szCs w:val="21"/>
                <w:highlight w:val="none"/>
              </w:rPr>
              <w:t>13505096840</w:t>
            </w:r>
          </w:p>
        </w:tc>
        <w:tc>
          <w:tcPr>
            <w:tcW w:w="5053" w:type="dxa"/>
            <w:vAlign w:val="top"/>
          </w:tcPr>
          <w:p w14:paraId="40019BCC">
            <w:pPr>
              <w:rPr>
                <w:sz w:val="21"/>
                <w:szCs w:val="21"/>
                <w:highlight w:val="none"/>
              </w:rPr>
            </w:pPr>
            <w:r>
              <w:rPr>
                <w:sz w:val="21"/>
                <w:szCs w:val="21"/>
                <w:highlight w:val="none"/>
              </w:rPr>
              <w:t>电话：</w:t>
            </w:r>
          </w:p>
        </w:tc>
      </w:tr>
      <w:tr w14:paraId="6012707D">
        <w:tblPrEx>
          <w:tblCellMar>
            <w:top w:w="0" w:type="dxa"/>
            <w:left w:w="108" w:type="dxa"/>
            <w:bottom w:w="0" w:type="dxa"/>
            <w:right w:w="108" w:type="dxa"/>
          </w:tblCellMar>
        </w:tblPrEx>
        <w:trPr>
          <w:trHeight w:val="863" w:hRule="atLeast"/>
        </w:trPr>
        <w:tc>
          <w:tcPr>
            <w:tcW w:w="5050" w:type="dxa"/>
          </w:tcPr>
          <w:p w14:paraId="4A09356D">
            <w:pPr>
              <w:rPr>
                <w:sz w:val="21"/>
                <w:szCs w:val="21"/>
                <w:highlight w:val="none"/>
              </w:rPr>
            </w:pPr>
            <w:r>
              <w:rPr>
                <w:sz w:val="21"/>
                <w:szCs w:val="21"/>
                <w:highlight w:val="none"/>
              </w:rPr>
              <w:t>邮箱：</w:t>
            </w:r>
            <w:r>
              <w:rPr>
                <w:rFonts w:hint="eastAsia"/>
                <w:sz w:val="21"/>
                <w:szCs w:val="21"/>
                <w:highlight w:val="none"/>
              </w:rPr>
              <w:t>wuyanqing51@qq.com</w:t>
            </w:r>
          </w:p>
        </w:tc>
        <w:tc>
          <w:tcPr>
            <w:tcW w:w="5053" w:type="dxa"/>
            <w:vAlign w:val="top"/>
          </w:tcPr>
          <w:p w14:paraId="092618E0">
            <w:pPr>
              <w:rPr>
                <w:sz w:val="21"/>
                <w:szCs w:val="21"/>
                <w:highlight w:val="none"/>
              </w:rPr>
            </w:pPr>
            <w:r>
              <w:rPr>
                <w:sz w:val="21"/>
                <w:szCs w:val="21"/>
                <w:highlight w:val="none"/>
              </w:rPr>
              <w:t>邮箱：</w:t>
            </w:r>
          </w:p>
          <w:p w14:paraId="28EFC06B">
            <w:pPr>
              <w:pStyle w:val="2"/>
              <w:rPr>
                <w:sz w:val="21"/>
                <w:szCs w:val="21"/>
                <w:highlight w:val="none"/>
              </w:rPr>
            </w:pPr>
          </w:p>
          <w:p w14:paraId="31BAE55C">
            <w:pPr>
              <w:pStyle w:val="2"/>
              <w:rPr>
                <w:rFonts w:hint="eastAsia"/>
                <w:sz w:val="21"/>
                <w:szCs w:val="21"/>
                <w:highlight w:val="none"/>
              </w:rPr>
            </w:pPr>
          </w:p>
        </w:tc>
      </w:tr>
    </w:tbl>
    <w:p w14:paraId="18D2A1B0">
      <w:pPr>
        <w:spacing w:line="360" w:lineRule="auto"/>
        <w:rPr>
          <w:rFonts w:ascii="宋体" w:hAnsi="宋体"/>
          <w:sz w:val="21"/>
          <w:szCs w:val="21"/>
          <w:highlight w:val="none"/>
        </w:rPr>
      </w:pPr>
      <w:r>
        <w:rPr>
          <w:rFonts w:hint="eastAsia" w:hAnsi="宋体"/>
          <w:b/>
          <w:bCs/>
          <w:sz w:val="21"/>
          <w:szCs w:val="21"/>
          <w:highlight w:val="none"/>
        </w:rPr>
        <w:t>甲方2：</w:t>
      </w:r>
      <w:r>
        <w:rPr>
          <w:rFonts w:hint="eastAsia" w:ascii="宋体" w:hAnsi="宋体" w:eastAsiaTheme="minorEastAsia" w:cstheme="minorBidi"/>
          <w:b/>
          <w:bCs/>
          <w:sz w:val="21"/>
          <w:szCs w:val="21"/>
          <w:highlight w:val="none"/>
          <w:u w:val="single"/>
        </w:rPr>
        <w:t>福建福海创石油化工有限公司</w:t>
      </w:r>
    </w:p>
    <w:tbl>
      <w:tblPr>
        <w:tblStyle w:val="15"/>
        <w:tblW w:w="10103" w:type="dxa"/>
        <w:tblInd w:w="0" w:type="dxa"/>
        <w:tblLayout w:type="fixed"/>
        <w:tblCellMar>
          <w:top w:w="0" w:type="dxa"/>
          <w:left w:w="108" w:type="dxa"/>
          <w:bottom w:w="0" w:type="dxa"/>
          <w:right w:w="108" w:type="dxa"/>
        </w:tblCellMar>
      </w:tblPr>
      <w:tblGrid>
        <w:gridCol w:w="10103"/>
      </w:tblGrid>
      <w:tr w14:paraId="5653E3B8">
        <w:tblPrEx>
          <w:tblCellMar>
            <w:top w:w="0" w:type="dxa"/>
            <w:left w:w="108" w:type="dxa"/>
            <w:bottom w:w="0" w:type="dxa"/>
            <w:right w:w="108" w:type="dxa"/>
          </w:tblCellMar>
        </w:tblPrEx>
        <w:trPr>
          <w:trHeight w:val="515" w:hRule="atLeast"/>
        </w:trPr>
        <w:tc>
          <w:tcPr>
            <w:tcW w:w="10103" w:type="dxa"/>
          </w:tcPr>
          <w:p w14:paraId="0D3733AC">
            <w:pPr>
              <w:rPr>
                <w:sz w:val="21"/>
                <w:szCs w:val="21"/>
                <w:highlight w:val="none"/>
              </w:rPr>
            </w:pPr>
            <w:r>
              <w:rPr>
                <w:sz w:val="21"/>
                <w:szCs w:val="21"/>
                <w:highlight w:val="none"/>
              </w:rPr>
              <w:t>单位名称（章）：</w:t>
            </w:r>
          </w:p>
        </w:tc>
      </w:tr>
      <w:tr w14:paraId="0FF092CE">
        <w:tblPrEx>
          <w:tblCellMar>
            <w:top w:w="0" w:type="dxa"/>
            <w:left w:w="108" w:type="dxa"/>
            <w:bottom w:w="0" w:type="dxa"/>
            <w:right w:w="108" w:type="dxa"/>
          </w:tblCellMar>
        </w:tblPrEx>
        <w:trPr>
          <w:trHeight w:val="501" w:hRule="atLeast"/>
        </w:trPr>
        <w:tc>
          <w:tcPr>
            <w:tcW w:w="10103" w:type="dxa"/>
          </w:tcPr>
          <w:p w14:paraId="44DB6690">
            <w:pPr>
              <w:spacing w:line="360" w:lineRule="auto"/>
              <w:ind w:left="5928" w:right="-141" w:rightChars="-67" w:hanging="5187" w:hangingChars="2470"/>
              <w:rPr>
                <w:sz w:val="21"/>
                <w:szCs w:val="21"/>
                <w:highlight w:val="none"/>
              </w:rPr>
            </w:pPr>
            <w:r>
              <w:rPr>
                <w:sz w:val="21"/>
                <w:szCs w:val="21"/>
                <w:highlight w:val="none"/>
              </w:rPr>
              <w:t>单位地址：福建省漳州市古雷港经济开发区腾龙路84号</w:t>
            </w:r>
          </w:p>
        </w:tc>
      </w:tr>
      <w:tr w14:paraId="0F27F510">
        <w:tblPrEx>
          <w:tblCellMar>
            <w:top w:w="0" w:type="dxa"/>
            <w:left w:w="108" w:type="dxa"/>
            <w:bottom w:w="0" w:type="dxa"/>
            <w:right w:w="108" w:type="dxa"/>
          </w:tblCellMar>
        </w:tblPrEx>
        <w:trPr>
          <w:trHeight w:val="519" w:hRule="atLeast"/>
        </w:trPr>
        <w:tc>
          <w:tcPr>
            <w:tcW w:w="10103" w:type="dxa"/>
          </w:tcPr>
          <w:p w14:paraId="0A8A43DA">
            <w:pPr>
              <w:rPr>
                <w:sz w:val="21"/>
                <w:szCs w:val="21"/>
                <w:highlight w:val="none"/>
              </w:rPr>
            </w:pPr>
            <w:r>
              <w:rPr>
                <w:sz w:val="21"/>
                <w:szCs w:val="21"/>
                <w:highlight w:val="none"/>
              </w:rPr>
              <w:t>联系人：</w:t>
            </w:r>
            <w:r>
              <w:rPr>
                <w:rFonts w:hint="eastAsia"/>
                <w:sz w:val="21"/>
                <w:szCs w:val="21"/>
                <w:highlight w:val="none"/>
              </w:rPr>
              <w:t>吴彦卿</w:t>
            </w:r>
          </w:p>
        </w:tc>
      </w:tr>
      <w:tr w14:paraId="4AAF462E">
        <w:tblPrEx>
          <w:tblCellMar>
            <w:top w:w="0" w:type="dxa"/>
            <w:left w:w="108" w:type="dxa"/>
            <w:bottom w:w="0" w:type="dxa"/>
            <w:right w:w="108" w:type="dxa"/>
          </w:tblCellMar>
        </w:tblPrEx>
        <w:trPr>
          <w:trHeight w:val="427" w:hRule="atLeast"/>
        </w:trPr>
        <w:tc>
          <w:tcPr>
            <w:tcW w:w="10103" w:type="dxa"/>
          </w:tcPr>
          <w:p w14:paraId="3DE23BC0">
            <w:pPr>
              <w:rPr>
                <w:sz w:val="21"/>
                <w:szCs w:val="21"/>
                <w:highlight w:val="none"/>
              </w:rPr>
            </w:pPr>
            <w:r>
              <w:rPr>
                <w:sz w:val="21"/>
                <w:szCs w:val="21"/>
                <w:highlight w:val="none"/>
              </w:rPr>
              <w:t>电话：</w:t>
            </w:r>
            <w:r>
              <w:rPr>
                <w:rFonts w:hint="eastAsia"/>
                <w:sz w:val="21"/>
                <w:szCs w:val="21"/>
                <w:highlight w:val="none"/>
              </w:rPr>
              <w:t>13505096840</w:t>
            </w:r>
          </w:p>
        </w:tc>
      </w:tr>
      <w:tr w14:paraId="35AA2F0C">
        <w:tblPrEx>
          <w:tblCellMar>
            <w:top w:w="0" w:type="dxa"/>
            <w:left w:w="108" w:type="dxa"/>
            <w:bottom w:w="0" w:type="dxa"/>
            <w:right w:w="108" w:type="dxa"/>
          </w:tblCellMar>
        </w:tblPrEx>
        <w:trPr>
          <w:trHeight w:val="570" w:hRule="atLeast"/>
        </w:trPr>
        <w:tc>
          <w:tcPr>
            <w:tcW w:w="10103" w:type="dxa"/>
          </w:tcPr>
          <w:p w14:paraId="1A492F7B">
            <w:pPr>
              <w:rPr>
                <w:sz w:val="21"/>
                <w:szCs w:val="21"/>
                <w:highlight w:val="none"/>
              </w:rPr>
            </w:pPr>
            <w:r>
              <w:rPr>
                <w:sz w:val="21"/>
                <w:szCs w:val="21"/>
                <w:highlight w:val="none"/>
              </w:rPr>
              <w:t>邮箱：</w:t>
            </w:r>
            <w:r>
              <w:rPr>
                <w:rFonts w:hint="eastAsia"/>
                <w:sz w:val="21"/>
                <w:szCs w:val="21"/>
                <w:highlight w:val="none"/>
              </w:rPr>
              <w:t>wuyanqing51@qq.com</w:t>
            </w:r>
          </w:p>
        </w:tc>
      </w:tr>
    </w:tbl>
    <w:p w14:paraId="59D2D1B2">
      <w:pPr>
        <w:pStyle w:val="14"/>
        <w:ind w:firstLine="560"/>
        <w:rPr>
          <w:szCs w:val="21"/>
          <w:highlight w:val="none"/>
        </w:rPr>
      </w:pPr>
    </w:p>
    <w:p w14:paraId="02255C7C">
      <w:pPr>
        <w:pStyle w:val="14"/>
        <w:ind w:firstLine="560"/>
        <w:rPr>
          <w:szCs w:val="21"/>
          <w:highlight w:val="none"/>
        </w:rPr>
      </w:pPr>
    </w:p>
    <w:p w14:paraId="781543FE">
      <w:pPr>
        <w:pStyle w:val="14"/>
        <w:ind w:firstLine="560"/>
        <w:rPr>
          <w:rFonts w:hint="eastAsia"/>
          <w:szCs w:val="21"/>
          <w:highlight w:val="none"/>
        </w:rPr>
      </w:pPr>
    </w:p>
    <w:p w14:paraId="7BCEA49C">
      <w:pPr>
        <w:rPr>
          <w:szCs w:val="21"/>
          <w:highlight w:val="none"/>
        </w:rPr>
      </w:pPr>
      <w:r>
        <w:rPr>
          <w:rFonts w:hint="eastAsia"/>
          <w:sz w:val="28"/>
          <w:szCs w:val="28"/>
          <w:highlight w:val="none"/>
        </w:rPr>
        <w:t>附件</w:t>
      </w:r>
      <w:r>
        <w:rPr>
          <w:sz w:val="28"/>
          <w:szCs w:val="28"/>
          <w:highlight w:val="none"/>
        </w:rPr>
        <w:t>1</w:t>
      </w:r>
    </w:p>
    <w:p w14:paraId="3446C1C2">
      <w:pPr>
        <w:rPr>
          <w:szCs w:val="21"/>
          <w:highlight w:val="none"/>
        </w:rPr>
      </w:pPr>
    </w:p>
    <w:p w14:paraId="297F53E8">
      <w:pPr>
        <w:rPr>
          <w:rFonts w:hAnsi="宋体"/>
          <w:szCs w:val="21"/>
          <w:highlight w:val="none"/>
        </w:rPr>
      </w:pPr>
      <w:r>
        <w:drawing>
          <wp:inline distT="0" distB="0" distL="114300" distR="114300">
            <wp:extent cx="6038850" cy="3456940"/>
            <wp:effectExtent l="0" t="0" r="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038850" cy="3456940"/>
                    </a:xfrm>
                    <a:prstGeom prst="rect">
                      <a:avLst/>
                    </a:prstGeom>
                    <a:noFill/>
                    <a:ln>
                      <a:noFill/>
                    </a:ln>
                  </pic:spPr>
                </pic:pic>
              </a:graphicData>
            </a:graphic>
          </wp:inline>
        </w:drawing>
      </w:r>
    </w:p>
    <w:p w14:paraId="4C97EFC6">
      <w:pPr>
        <w:pStyle w:val="27"/>
        <w:spacing w:line="360" w:lineRule="auto"/>
        <w:rPr>
          <w:b/>
          <w:color w:val="auto"/>
          <w:sz w:val="32"/>
          <w:szCs w:val="32"/>
          <w:highlight w:val="none"/>
        </w:rPr>
      </w:pPr>
    </w:p>
    <w:p w14:paraId="39B9312E">
      <w:pPr>
        <w:pStyle w:val="14"/>
        <w:ind w:firstLine="0" w:firstLineChars="0"/>
        <w:rPr>
          <w:szCs w:val="21"/>
          <w:highlight w:val="none"/>
        </w:rPr>
      </w:pPr>
    </w:p>
    <w:p w14:paraId="2B13C2D1">
      <w:pPr>
        <w:pStyle w:val="14"/>
        <w:ind w:firstLine="0" w:firstLineChars="0"/>
        <w:rPr>
          <w:szCs w:val="21"/>
          <w:highlight w:val="none"/>
        </w:rPr>
      </w:pPr>
    </w:p>
    <w:p w14:paraId="08741164">
      <w:pPr>
        <w:pStyle w:val="14"/>
        <w:ind w:firstLine="0" w:firstLineChars="0"/>
        <w:rPr>
          <w:szCs w:val="21"/>
          <w:highlight w:val="none"/>
        </w:rPr>
      </w:pPr>
    </w:p>
    <w:p w14:paraId="27FD9067">
      <w:pPr>
        <w:pStyle w:val="14"/>
        <w:ind w:firstLine="0" w:firstLineChars="0"/>
        <w:rPr>
          <w:szCs w:val="21"/>
          <w:highlight w:val="none"/>
        </w:rPr>
        <w:sectPr>
          <w:footerReference r:id="rId3" w:type="default"/>
          <w:pgSz w:w="11906" w:h="16838"/>
          <w:pgMar w:top="1554" w:right="1417" w:bottom="851" w:left="1417" w:header="851" w:footer="567" w:gutter="0"/>
          <w:cols w:space="425" w:num="1"/>
          <w:docGrid w:linePitch="312" w:charSpace="0"/>
        </w:sectPr>
      </w:pPr>
    </w:p>
    <w:p w14:paraId="01475267">
      <w:pPr>
        <w:spacing w:line="288" w:lineRule="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附件2</w:t>
      </w:r>
    </w:p>
    <w:p w14:paraId="707A41C2">
      <w:pPr>
        <w:pStyle w:val="7"/>
        <w:spacing w:after="312" w:afterLines="100" w:line="276" w:lineRule="auto"/>
        <w:ind w:left="-426" w:leftChars="-339" w:hanging="286" w:hangingChars="89"/>
        <w:jc w:val="center"/>
        <w:rPr>
          <w:rFonts w:ascii="黑体" w:hAnsi="宋体" w:eastAsia="黑体"/>
          <w:b/>
          <w:sz w:val="48"/>
          <w:szCs w:val="48"/>
          <w:highlight w:val="none"/>
        </w:rPr>
      </w:pPr>
      <w:r>
        <w:rPr>
          <w:rFonts w:hint="eastAsia" w:asciiTheme="minorEastAsia" w:hAnsiTheme="minorEastAsia" w:eastAsiaTheme="minorEastAsia" w:cstheme="minorEastAsia"/>
          <w:b/>
          <w:sz w:val="32"/>
          <w:szCs w:val="32"/>
          <w:highlight w:val="none"/>
        </w:rPr>
        <w:t>安全环保协议书</w:t>
      </w:r>
    </w:p>
    <w:p w14:paraId="1041A719">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3789F6C0">
      <w:pPr>
        <w:spacing w:line="360" w:lineRule="auto"/>
        <w:rPr>
          <w:rFonts w:ascii="宋体" w:hAnsi="宋体" w:eastAsiaTheme="minorEastAsia" w:cstheme="minorBidi"/>
          <w:b/>
          <w:bCs/>
          <w:szCs w:val="21"/>
          <w:highlight w:val="none"/>
          <w:u w:val="single"/>
        </w:rPr>
      </w:pPr>
      <w:r>
        <w:rPr>
          <w:rFonts w:hint="eastAsia"/>
          <w:b/>
          <w:bCs/>
          <w:szCs w:val="21"/>
          <w:highlight w:val="none"/>
        </w:rPr>
        <w:t>承包单位（以下简称乙方）：</w:t>
      </w:r>
    </w:p>
    <w:p w14:paraId="78087B1D">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双方就</w:t>
      </w:r>
      <w:r>
        <w:rPr>
          <w:rFonts w:hint="eastAsia" w:eastAsiaTheme="minorEastAsia"/>
          <w:b/>
          <w:szCs w:val="21"/>
          <w:highlight w:val="none"/>
          <w:u w:val="single"/>
        </w:rPr>
        <w:t>富马酸装置多效凝液水转运服务</w:t>
      </w:r>
      <w:r>
        <w:rPr>
          <w:rFonts w:hint="eastAsia" w:asciiTheme="minorEastAsia" w:hAnsiTheme="minorEastAsia" w:eastAsiaTheme="minorEastAsia"/>
          <w:szCs w:val="21"/>
          <w:highlight w:val="none"/>
        </w:rPr>
        <w:t>项目签订了</w:t>
      </w:r>
      <w:r>
        <w:rPr>
          <w:rFonts w:hint="eastAsia" w:asciiTheme="minorEastAsia" w:hAnsiTheme="minorEastAsia" w:eastAsiaTheme="minorEastAsia"/>
          <w:szCs w:val="21"/>
          <w:highlight w:val="none"/>
          <w:u w:val="single"/>
        </w:rPr>
        <w:t>服务</w:t>
      </w:r>
      <w:r>
        <w:rPr>
          <w:rFonts w:hint="eastAsia" w:asciiTheme="minorEastAsia" w:hAnsiTheme="minorEastAsia" w:eastAsiaTheme="minorEastAsia"/>
          <w:szCs w:val="21"/>
          <w:highlight w:val="none"/>
        </w:rPr>
        <w:t>合同，</w:t>
      </w:r>
      <w:r>
        <w:rPr>
          <w:rFonts w:hint="eastAsia" w:ascii="宋体" w:hAnsi="宋体"/>
          <w:szCs w:val="21"/>
          <w:highlight w:val="none"/>
        </w:rPr>
        <w:t>为进一步明确甲乙双方在工程承包合同履行过程中的权利和义务及责任，保障人身安全和企业财产安全，</w:t>
      </w:r>
      <w:r>
        <w:rPr>
          <w:rFonts w:hint="eastAsia" w:asciiTheme="minorEastAsia" w:hAnsiTheme="minorEastAsia" w:eastAsiaTheme="minorEastAsia"/>
          <w:szCs w:val="21"/>
          <w:highlight w:val="none"/>
        </w:rPr>
        <w:t>依据《中华人民共和国安全生产法》、《中华人民共和国环境保护法》等相关法规及福建福海创石油化工有限公司HSE管理制度，经双方协商，双方自愿签订本安全环保协议，作为主合同的附件。</w:t>
      </w:r>
    </w:p>
    <w:p w14:paraId="188DAC1C">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一、甲方的权利和义务：</w:t>
      </w:r>
    </w:p>
    <w:p w14:paraId="768173A6">
      <w:pPr>
        <w:pStyle w:val="34"/>
        <w:spacing w:line="360" w:lineRule="auto"/>
        <w:ind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1、甲方有权对乙方的资质进行审查，确认其符合且具备进厂条件，方可进厂施工。</w:t>
      </w:r>
    </w:p>
    <w:p w14:paraId="62270202">
      <w:pPr>
        <w:pStyle w:val="34"/>
        <w:spacing w:line="360" w:lineRule="auto"/>
        <w:ind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2、甲方有权要求乙方维护好甲方相关的安全环保设施、设备和器材。</w:t>
      </w:r>
    </w:p>
    <w:p w14:paraId="05FDC7AA">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3、甲方有权全程检查乙方施工作业现场，对乙方人员在施工作业中违反有关安全生产规章制度的行为予以制止、纠正和处罚，并发出书面整改通知书；对严重违章的行为立即勒令其停止工作。</w:t>
      </w:r>
    </w:p>
    <w:p w14:paraId="7194D3C3">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4、甲方有权要求乙方制定施工方案，对危险性较大的分项工程，乙方必须制定专项安全环保施工方案，明确组织措施、安全环保措施、技术措施，经甲方各相关管理部门审查合格后方可进行施工作业。</w:t>
      </w:r>
    </w:p>
    <w:p w14:paraId="24C10B4E">
      <w:pPr>
        <w:tabs>
          <w:tab w:val="left" w:pos="360"/>
          <w:tab w:val="left" w:pos="840"/>
        </w:tabs>
        <w:spacing w:line="360" w:lineRule="auto"/>
        <w:rPr>
          <w:color w:val="FF0000"/>
          <w:szCs w:val="21"/>
          <w:highlight w:val="none"/>
        </w:rPr>
      </w:pPr>
      <w:r>
        <w:rPr>
          <w:rFonts w:hint="eastAsia" w:asciiTheme="minorEastAsia" w:hAnsiTheme="minorEastAsia" w:eastAsiaTheme="minorEastAsia"/>
          <w:szCs w:val="21"/>
          <w:highlight w:val="none"/>
        </w:rPr>
        <w:t>5、甲方有权对乙方不服从管理和严重违章者，驱除施工现场。</w:t>
      </w:r>
    </w:p>
    <w:p w14:paraId="5E93439D">
      <w:pPr>
        <w:pStyle w:val="34"/>
        <w:spacing w:line="360" w:lineRule="auto"/>
        <w:ind w:firstLine="0" w:firstLineChars="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6、甲方负责对乙方进行厂级和部门级安全培训教育和考核，考核合格方可办理入厂手续。</w:t>
      </w:r>
    </w:p>
    <w:p w14:paraId="240E966B">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7、甲方负责各装置的工艺处理、退料、置换、吹扫及盲板隔离工作，为本项目提供安全的施工条件。</w:t>
      </w:r>
    </w:p>
    <w:p w14:paraId="123984C7">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8、甲方</w:t>
      </w:r>
      <w:r>
        <w:rPr>
          <w:rFonts w:hint="eastAsia" w:ascii="宋体" w:hAnsi="宋体"/>
          <w:szCs w:val="21"/>
          <w:highlight w:val="none"/>
        </w:rPr>
        <w:t>应乙方要求，向乙方提供与乙方作业相关的甲方有毒有害、易燃易爆物品的数据</w:t>
      </w:r>
      <w:r>
        <w:rPr>
          <w:rFonts w:hint="eastAsia" w:ascii="宋体" w:hAnsi="宋体"/>
          <w:sz w:val="32"/>
          <w:szCs w:val="32"/>
          <w:highlight w:val="none"/>
        </w:rPr>
        <w:t>。</w:t>
      </w:r>
    </w:p>
    <w:p w14:paraId="0F7D23C1">
      <w:pPr>
        <w:tabs>
          <w:tab w:val="left" w:pos="360"/>
          <w:tab w:val="left" w:pos="840"/>
        </w:tabs>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9、甲方在开工前必须对乙方进行全面的安全技术及文明施工交底。</w:t>
      </w:r>
    </w:p>
    <w:p w14:paraId="49F67D8A">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二、乙方的权利和义务：</w:t>
      </w:r>
    </w:p>
    <w:p w14:paraId="4D796D8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0673D3D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2、乙方有权对甲方安全管理工作提出合理化建议或改进措施。</w:t>
      </w:r>
    </w:p>
    <w:p w14:paraId="0CB6DC46">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3、乙方对甲方管理人员违章指挥、强令冒险作业、有权拒绝执行。对打击和报复行为有权向上级和有关部门汇报。 </w:t>
      </w:r>
    </w:p>
    <w:p w14:paraId="49224A38">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4、乙方对危及生命安全和身体健康的施工作业条件和环境，有权提出整改建议或拒绝施工作业。</w:t>
      </w:r>
    </w:p>
    <w:p w14:paraId="40F08DFD">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5、乙方施工过程中在发生严重危及作业人员生命安全的不可抗拒紧急情况时，有权采取必要的避险措施，并立即向管理部门报告。</w:t>
      </w:r>
    </w:p>
    <w:p w14:paraId="7B595AC1">
      <w:pPr>
        <w:spacing w:line="360" w:lineRule="auto"/>
        <w:rPr>
          <w:rFonts w:ascii="宋体" w:hAnsi="宋体"/>
          <w:szCs w:val="21"/>
          <w:highlight w:val="none"/>
        </w:rPr>
      </w:pPr>
      <w:r>
        <w:rPr>
          <w:rFonts w:hint="eastAsia" w:asciiTheme="minorEastAsia" w:hAnsiTheme="minorEastAsia" w:eastAsiaTheme="minorEastAsia"/>
          <w:szCs w:val="21"/>
          <w:highlight w:val="none"/>
        </w:rPr>
        <w:t>6、乙方</w:t>
      </w:r>
      <w:r>
        <w:rPr>
          <w:rFonts w:hint="eastAsia" w:ascii="宋体" w:hAnsi="宋体"/>
          <w:szCs w:val="21"/>
          <w:highlight w:val="none"/>
        </w:rPr>
        <w:t>有权要求甲方提供相关的安全资料。</w:t>
      </w:r>
    </w:p>
    <w:p w14:paraId="62C9FD53">
      <w:pPr>
        <w:spacing w:line="360" w:lineRule="auto"/>
        <w:rPr>
          <w:rFonts w:ascii="宋体" w:hAnsi="宋体"/>
          <w:b/>
          <w:szCs w:val="21"/>
          <w:highlight w:val="none"/>
        </w:rPr>
      </w:pPr>
      <w:r>
        <w:rPr>
          <w:rFonts w:hint="eastAsia" w:asciiTheme="minorEastAsia" w:hAnsiTheme="minorEastAsia" w:eastAsiaTheme="minorEastAsia"/>
          <w:szCs w:val="21"/>
          <w:highlight w:val="none"/>
        </w:rPr>
        <w:t>7、</w:t>
      </w:r>
      <w:r>
        <w:rPr>
          <w:rFonts w:hint="eastAsia" w:hAnsi="宋体" w:cs="Arial"/>
          <w:highlight w:val="none"/>
        </w:rPr>
        <w:t>乙方必须建立健全HSE管理网络、HSE保证体系和HSE责任制，成立专职HSE管理机构</w:t>
      </w:r>
      <w:r>
        <w:rPr>
          <w:rFonts w:hint="eastAsia" w:ascii="宋体" w:hAnsi="宋体"/>
          <w:szCs w:val="21"/>
          <w:highlight w:val="none"/>
        </w:rPr>
        <w:t>，依照《安全生产法》的要求配备专职或兼职安全生产管理人员；施工队伍超过50人的应按比例配足专职安全员，</w:t>
      </w:r>
      <w:r>
        <w:rPr>
          <w:rFonts w:hint="eastAsia" w:hAnsi="宋体" w:cs="Arial"/>
          <w:highlight w:val="none"/>
        </w:rPr>
        <w:t>并佩戴明显标志；编制和实施各安全环保施工方案和专项应急预案。</w:t>
      </w:r>
    </w:p>
    <w:p w14:paraId="4B7B7D9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817ABA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9、在工程开工前，乙方必须对全体人员分工种进行安全教育、技能考试，合格后方可进行施工作业。施工作业前，必须向作业人员进行安全环保技术交底，掌握工程特点及施工安全环保措施。</w:t>
      </w:r>
    </w:p>
    <w:p w14:paraId="607AA89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乙方开工前应对施工机械、工器具及安全防护设施进行检查，确保符合安全规定并不超过检验周期。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B0CC88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11、乙方应按《中华人民共和国劳动法》等法律、法规、规定用工，严禁使用未成年工和有职业禁忌的人员进行施工作业。</w:t>
      </w:r>
      <w:r>
        <w:rPr>
          <w:rFonts w:asciiTheme="minorEastAsia" w:hAnsiTheme="minorEastAsia" w:eastAsiaTheme="minorEastAsia"/>
          <w:szCs w:val="21"/>
          <w:highlight w:val="none"/>
        </w:rPr>
        <w:t xml:space="preserve"> </w:t>
      </w:r>
    </w:p>
    <w:p w14:paraId="1E064B18">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12、乙方必须按国家有关规定，</w:t>
      </w:r>
      <w:r>
        <w:rPr>
          <w:rFonts w:hint="eastAsia" w:ascii="宋体" w:hAnsi="宋体"/>
          <w:szCs w:val="21"/>
          <w:highlight w:val="none"/>
        </w:rPr>
        <w:t>为施工人员办理工伤保险、意外伤害保险（施工人员较多的承包商建议购买建筑工程团体意外险），</w:t>
      </w:r>
      <w:r>
        <w:rPr>
          <w:rFonts w:hint="eastAsia" w:asciiTheme="minorEastAsia" w:hAnsiTheme="minorEastAsia" w:eastAsiaTheme="minorEastAsia"/>
          <w:szCs w:val="21"/>
          <w:highlight w:val="none"/>
        </w:rPr>
        <w:t>为施工人员配备合格的劳动防护用品及安全用具，并保证施工工具、器械使用安全。</w:t>
      </w:r>
    </w:p>
    <w:p w14:paraId="6732C6A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13、乙方需</w:t>
      </w:r>
      <w:r>
        <w:rPr>
          <w:rFonts w:hint="eastAsia" w:ascii="宋体" w:hAnsi="宋体"/>
          <w:szCs w:val="21"/>
          <w:highlight w:val="none"/>
        </w:rPr>
        <w:t>建立安全检查制度，指定专人负责现场安全监督检查工作，认真开展安全检查，发现作业过程中不安全行为、隐患、重大险情，应采取有效措施及时处理并报告甲方。</w:t>
      </w:r>
    </w:p>
    <w:p w14:paraId="719F2EF7">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w:t>
      </w:r>
      <w:r>
        <w:rPr>
          <w:rFonts w:hint="eastAsia" w:ascii="宋体" w:hAnsi="宋体"/>
          <w:szCs w:val="21"/>
          <w:highlight w:val="none"/>
        </w:rPr>
        <w:t>发生事故时，乙方必须及时向甲方报告。同时根据指令迅速组织实施现场人员疏散和抢救工作、采取相应的措施保护好现场，并要积极配合甲方或上级有关部门对事故的调查和现场勘查。</w:t>
      </w:r>
    </w:p>
    <w:p w14:paraId="65BC8B1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15、乙方</w:t>
      </w:r>
      <w:r>
        <w:rPr>
          <w:rFonts w:hint="eastAsia" w:ascii="宋体" w:hAnsi="宋体"/>
          <w:szCs w:val="21"/>
          <w:highlight w:val="none"/>
        </w:rPr>
        <w:t>进入现场的施工人员，严禁动用装置区机泵、容器、塔、加热炉等任何部位阀门，防止误开误关，造成意外事故。如确实需用，经与装置有关人员联系，同意后，由操作人员启闭阀门。</w:t>
      </w:r>
    </w:p>
    <w:p w14:paraId="28749DE2">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16、乙方</w:t>
      </w:r>
      <w:r>
        <w:rPr>
          <w:rFonts w:hint="eastAsia" w:ascii="宋体" w:hAnsi="宋体"/>
          <w:szCs w:val="21"/>
          <w:highlight w:val="none"/>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70E50CB">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w:t>
      </w:r>
      <w:r>
        <w:rPr>
          <w:rFonts w:hint="eastAsia" w:asciiTheme="minorEastAsia" w:hAnsiTheme="minorEastAsia" w:eastAsiaTheme="minorEastAsia"/>
          <w:bCs/>
          <w:highlight w:val="none"/>
        </w:rPr>
        <w:t>乙方</w:t>
      </w:r>
      <w:r>
        <w:rPr>
          <w:rFonts w:hint="eastAsia" w:ascii="宋体" w:hAnsi="宋体"/>
          <w:bCs/>
          <w:highlight w:val="none"/>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0FF8E02">
      <w:pPr>
        <w:spacing w:line="360" w:lineRule="auto"/>
        <w:rPr>
          <w:rFonts w:asciiTheme="minorEastAsia" w:hAnsiTheme="minorEastAsia" w:eastAsiaTheme="minorEastAsia"/>
          <w:bCs/>
          <w:highlight w:val="none"/>
        </w:rPr>
      </w:pPr>
      <w:r>
        <w:rPr>
          <w:rFonts w:hint="eastAsia" w:asciiTheme="minorEastAsia" w:hAnsiTheme="minorEastAsia" w:eastAsiaTheme="minorEastAsia"/>
          <w:bCs/>
          <w:highlight w:val="none"/>
        </w:rPr>
        <w:t>18、</w:t>
      </w:r>
      <w:r>
        <w:rPr>
          <w:rFonts w:hint="eastAsia" w:asciiTheme="minorEastAsia" w:hAnsiTheme="minorEastAsia" w:eastAsiaTheme="minorEastAsia"/>
          <w:szCs w:val="21"/>
          <w:highlight w:val="none"/>
        </w:rPr>
        <w:t>乙方</w:t>
      </w:r>
      <w:r>
        <w:rPr>
          <w:rFonts w:hint="eastAsia" w:ascii="宋体" w:hAnsi="宋体"/>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highlight w:val="none"/>
        </w:rPr>
        <w:t>GB 2894-2008）</w:t>
      </w:r>
      <w:r>
        <w:rPr>
          <w:rFonts w:hint="eastAsia" w:ascii="宋体" w:hAnsi="宋体"/>
          <w:bCs/>
          <w:highlight w:val="none"/>
        </w:rPr>
        <w:t>的规定。</w:t>
      </w:r>
    </w:p>
    <w:p w14:paraId="58A6F28A">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Cs/>
          <w:highlight w:val="none"/>
        </w:rPr>
        <w:t>19、</w:t>
      </w:r>
      <w:r>
        <w:rPr>
          <w:rFonts w:hint="eastAsia" w:asciiTheme="minorEastAsia" w:hAnsiTheme="minorEastAsia" w:eastAsiaTheme="minorEastAsia"/>
          <w:szCs w:val="21"/>
          <w:highlight w:val="none"/>
        </w:rPr>
        <w:t>乙方</w:t>
      </w:r>
      <w:r>
        <w:rPr>
          <w:rFonts w:hint="eastAsia" w:ascii="宋体" w:hAnsi="宋体"/>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748163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20、乙方施工产生的</w:t>
      </w:r>
      <w:r>
        <w:rPr>
          <w:rFonts w:hint="eastAsia" w:ascii="宋体" w:hAnsi="宋体"/>
          <w:bCs/>
          <w:highlight w:val="none"/>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highlight w:val="none"/>
        </w:rPr>
        <w:t>产生的废物应进行鉴别，一般固废和危险废物应妥善包装、分类堆放，并及时清理</w:t>
      </w:r>
      <w:r>
        <w:rPr>
          <w:rFonts w:hint="eastAsia" w:asciiTheme="minorEastAsia" w:hAnsiTheme="minorEastAsia" w:eastAsiaTheme="minorEastAsia"/>
          <w:sz w:val="24"/>
          <w:highlight w:val="none"/>
        </w:rPr>
        <w:t>。</w:t>
      </w:r>
      <w:r>
        <w:rPr>
          <w:rFonts w:hint="eastAsia" w:asciiTheme="minorEastAsia" w:hAnsiTheme="minorEastAsia" w:eastAsiaTheme="minorEastAsia"/>
          <w:szCs w:val="21"/>
          <w:highlight w:val="none"/>
        </w:rPr>
        <w:t>不能任意排放和丢弃。</w:t>
      </w:r>
    </w:p>
    <w:p w14:paraId="23ECA9E0">
      <w:pPr>
        <w:spacing w:line="360" w:lineRule="auto"/>
        <w:rPr>
          <w:rFonts w:asciiTheme="minorEastAsia" w:hAnsiTheme="minorEastAsia" w:eastAsiaTheme="minorEastAsia"/>
          <w:bCs/>
          <w:highlight w:val="none"/>
        </w:rPr>
      </w:pPr>
      <w:r>
        <w:rPr>
          <w:rFonts w:hint="eastAsia" w:asciiTheme="minorEastAsia" w:hAnsiTheme="minorEastAsia" w:eastAsiaTheme="minorEastAsia"/>
          <w:szCs w:val="21"/>
          <w:highlight w:val="none"/>
        </w:rPr>
        <w:t>21、</w:t>
      </w:r>
      <w:r>
        <w:rPr>
          <w:rFonts w:hint="eastAsia" w:ascii="宋体" w:hAnsi="宋体"/>
          <w:szCs w:val="21"/>
          <w:highlight w:val="none"/>
        </w:rPr>
        <w:t>乙方在施工过程中不得擅自更换工程技术管理人员、安全管理人员以及关系到施工安全及质量的特殊工种人员，特殊情况需要更换时，必须经甲方同意后方可更换，新更换人员的经验、资历等不低于原配备人员，并</w:t>
      </w:r>
      <w:r>
        <w:rPr>
          <w:rFonts w:hint="eastAsia" w:asciiTheme="minorEastAsia" w:hAnsiTheme="minorEastAsia" w:eastAsiaTheme="minorEastAsia"/>
          <w:bCs/>
          <w:highlight w:val="none"/>
        </w:rPr>
        <w:t>对新更换的人员进行相应的安全教育、培训和考核。</w:t>
      </w:r>
    </w:p>
    <w:p w14:paraId="5414DB9A">
      <w:pPr>
        <w:spacing w:line="360" w:lineRule="auto"/>
        <w:rPr>
          <w:rFonts w:asciiTheme="minorEastAsia" w:hAnsiTheme="minorEastAsia" w:eastAsiaTheme="minorEastAsia"/>
          <w:bCs/>
          <w:highlight w:val="none"/>
        </w:rPr>
      </w:pPr>
      <w:r>
        <w:rPr>
          <w:rFonts w:hint="eastAsia" w:asciiTheme="minorEastAsia" w:hAnsiTheme="minorEastAsia" w:eastAsiaTheme="minorEastAsia"/>
          <w:bCs/>
          <w:highlight w:val="none"/>
        </w:rPr>
        <w:t>22、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EB2484A">
      <w:pPr>
        <w:spacing w:line="55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三、违约责任及处理</w:t>
      </w:r>
    </w:p>
    <w:p w14:paraId="2E26E2F3">
      <w:pPr>
        <w:pStyle w:val="34"/>
        <w:numPr>
          <w:ilvl w:val="0"/>
          <w:numId w:val="4"/>
        </w:numPr>
        <w:spacing w:line="360" w:lineRule="auto"/>
        <w:ind w:left="0" w:firstLine="0" w:firstLineChars="0"/>
        <w:rPr>
          <w:rFonts w:asciiTheme="minorEastAsia" w:hAnsiTheme="minorEastAsia" w:eastAsiaTheme="minorEastAsia"/>
          <w:b/>
          <w:szCs w:val="21"/>
          <w:highlight w:val="none"/>
        </w:rPr>
      </w:pPr>
      <w:r>
        <w:rPr>
          <w:rFonts w:hint="eastAsia" w:ascii="宋体" w:hAnsi="宋体"/>
          <w:szCs w:val="21"/>
          <w:highlight w:val="none"/>
        </w:rPr>
        <w:t>乙方不得将工程违法转包、分包。</w:t>
      </w:r>
    </w:p>
    <w:p w14:paraId="2F6A2303">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2、发生安全事故时，甲乙双方均有抢险、救灾的义务，所发生的费用由责任方承担。</w:t>
      </w:r>
    </w:p>
    <w:p w14:paraId="3ABD0D1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宋体" w:hAnsi="宋体"/>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7D9631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4、甲方违约造成的事故，甲方承担全部责任，并按规定追究有关人员责任及上报。</w:t>
      </w:r>
    </w:p>
    <w:p w14:paraId="2E5501C4">
      <w:pPr>
        <w:spacing w:line="360" w:lineRule="auto"/>
        <w:rPr>
          <w:rFonts w:ascii="宋体" w:hAnsi="宋体"/>
          <w:szCs w:val="21"/>
          <w:highlight w:val="none"/>
        </w:rPr>
      </w:pPr>
      <w:r>
        <w:rPr>
          <w:rFonts w:hint="eastAsia" w:asciiTheme="minorEastAsia" w:hAnsiTheme="minorEastAsia" w:eastAsiaTheme="minorEastAsia"/>
          <w:szCs w:val="21"/>
          <w:highlight w:val="none"/>
        </w:rPr>
        <w:t>5、乙方在施工过程中如果有违法、违规和违章行为，甲方将按照按国家法律、法规和甲方的HSE管理制度进行处罚。</w:t>
      </w:r>
      <w:r>
        <w:rPr>
          <w:rFonts w:hint="eastAsia" w:ascii="宋体" w:hAnsi="宋体"/>
          <w:szCs w:val="21"/>
          <w:highlight w:val="none"/>
        </w:rPr>
        <w:t>处罚款由乙方现金形式交到甲方财务部，对不按时缴纳罚款的，甲方可以从乙方工程款双倍扣除</w:t>
      </w:r>
    </w:p>
    <w:p w14:paraId="4DBD39EC">
      <w:pPr>
        <w:spacing w:line="360" w:lineRule="auto"/>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6、乙方违约造成的事故，乙方承担全部责任，</w:t>
      </w:r>
      <w:r>
        <w:rPr>
          <w:rFonts w:hint="eastAsia"/>
          <w:szCs w:val="21"/>
          <w:highlight w:val="none"/>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highlight w:val="none"/>
        </w:rPr>
        <w:t>并按规定追究有关人员责任并报告甲方；由于乙方工程服务质量、检修质量及购买的原材料质量导致的事故，由乙方承担全部责任构成犯罪的，依法追究刑事责任。</w:t>
      </w:r>
    </w:p>
    <w:p w14:paraId="245144AE">
      <w:pPr>
        <w:spacing w:line="360" w:lineRule="auto"/>
        <w:rPr>
          <w:rFonts w:asciiTheme="minorEastAsia" w:hAnsiTheme="minorEastAsia" w:eastAsiaTheme="minorEastAsia"/>
          <w:color w:val="FF0000"/>
          <w:szCs w:val="21"/>
          <w:highlight w:val="none"/>
        </w:rPr>
      </w:pPr>
      <w:r>
        <w:rPr>
          <w:rFonts w:hint="eastAsia" w:asciiTheme="minorEastAsia" w:hAnsiTheme="minorEastAsia" w:eastAsiaTheme="minorEastAsia"/>
          <w:szCs w:val="21"/>
          <w:highlight w:val="none"/>
        </w:rPr>
        <w:t>7、对乙方发生事故后弄虚作假、隐瞒不报、迟报或谎报，一经查出，按有关规定处罚，并</w:t>
      </w:r>
      <w:r>
        <w:rPr>
          <w:rFonts w:hint="eastAsia"/>
          <w:szCs w:val="21"/>
          <w:highlight w:val="none"/>
        </w:rPr>
        <w:t>向所有在甲方范围内施工的其它承包商进行通报，并将通报送达承包商。</w:t>
      </w:r>
      <w:r>
        <w:rPr>
          <w:rFonts w:hint="eastAsia" w:asciiTheme="minorEastAsia" w:hAnsiTheme="minorEastAsia" w:eastAsiaTheme="minorEastAsia"/>
          <w:szCs w:val="21"/>
          <w:highlight w:val="none"/>
        </w:rPr>
        <w:t>情节严重的，取消其进入甲方的市场资格。</w:t>
      </w:r>
    </w:p>
    <w:p w14:paraId="5F092A8C">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四、 不可抗力：</w:t>
      </w:r>
    </w:p>
    <w:p w14:paraId="01C3B9E6">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由于不可抗力造成合同项目施工作业事故及产生的损失，甲乙双方各自承担相应的损失。</w:t>
      </w:r>
    </w:p>
    <w:p w14:paraId="17E618D1">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五、</w:t>
      </w:r>
      <w:r>
        <w:rPr>
          <w:rFonts w:hint="eastAsia" w:asciiTheme="minorEastAsia" w:hAnsiTheme="minorEastAsia" w:eastAsiaTheme="minorEastAsia"/>
          <w:szCs w:val="21"/>
          <w:highlight w:val="none"/>
        </w:rPr>
        <w:t>本协议书一式两份，甲乙双方各执一份。</w:t>
      </w:r>
    </w:p>
    <w:p w14:paraId="67E9E2B4">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六、</w:t>
      </w:r>
      <w:r>
        <w:rPr>
          <w:rFonts w:hint="eastAsia" w:asciiTheme="minorEastAsia" w:hAnsiTheme="minorEastAsia" w:eastAsiaTheme="minorEastAsia"/>
          <w:szCs w:val="21"/>
          <w:highlight w:val="none"/>
        </w:rPr>
        <w:t>本协议书经双方盖章后生效。</w:t>
      </w:r>
    </w:p>
    <w:p w14:paraId="153D6E19">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七、协议期限：</w:t>
      </w:r>
    </w:p>
    <w:p w14:paraId="5F4D6AB9">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本协议期限应与主合同期限一致。如果主合同因故需要变更期限，本合同应与主同变更至相同期限。</w:t>
      </w:r>
    </w:p>
    <w:p w14:paraId="3C9BEF1E">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（以下无正文）</w:t>
      </w:r>
    </w:p>
    <w:p w14:paraId="5ECDC9E4">
      <w:pPr>
        <w:pStyle w:val="2"/>
        <w:rPr>
          <w:highlight w:val="none"/>
        </w:rPr>
      </w:pPr>
    </w:p>
    <w:p w14:paraId="622F0EC8">
      <w:pPr>
        <w:spacing w:line="560" w:lineRule="exact"/>
        <w:rPr>
          <w:rFonts w:asciiTheme="minorEastAsia" w:hAnsiTheme="minorEastAsia" w:eastAsiaTheme="minorEastAsia" w:cstheme="minorEastAsia"/>
          <w:szCs w:val="21"/>
          <w:highlight w:val="none"/>
        </w:rPr>
      </w:pPr>
      <w:r>
        <w:rPr>
          <w:rFonts w:hint="eastAsia"/>
          <w:b/>
          <w:bCs/>
          <w:szCs w:val="21"/>
          <w:highlight w:val="none"/>
        </w:rPr>
        <w:t>甲方：</w:t>
      </w:r>
      <w:r>
        <w:rPr>
          <w:b/>
          <w:bCs/>
          <w:szCs w:val="21"/>
          <w:highlight w:val="none"/>
        </w:rPr>
        <w:t>福建省福化古蕾化学有限公司</w:t>
      </w: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b/>
          <w:bCs/>
          <w:szCs w:val="21"/>
          <w:highlight w:val="none"/>
        </w:rPr>
        <w:t xml:space="preserve"> </w:t>
      </w:r>
      <w:r>
        <w:rPr>
          <w:rFonts w:hint="eastAsia"/>
          <w:b/>
          <w:bCs/>
          <w:szCs w:val="21"/>
          <w:highlight w:val="none"/>
        </w:rPr>
        <w:t>乙方：　</w:t>
      </w:r>
    </w:p>
    <w:p w14:paraId="2A01B8DB">
      <w:pPr>
        <w:spacing w:line="560" w:lineRule="exact"/>
        <w:ind w:firstLine="630" w:firstLineChars="300"/>
        <w:rPr>
          <w:rFonts w:asciiTheme="minorEastAsia" w:hAnsiTheme="minorEastAsia" w:eastAsiaTheme="minorEastAsia" w:cstheme="minorEastAsia"/>
          <w:szCs w:val="21"/>
          <w:highlight w:val="none"/>
        </w:rPr>
      </w:pPr>
    </w:p>
    <w:p w14:paraId="14C9A677">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013AA717">
      <w:pPr>
        <w:pStyle w:val="2"/>
        <w:ind w:firstLine="632" w:firstLineChars="300"/>
        <w:rPr>
          <w:rFonts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760A988E">
      <w:pPr>
        <w:pStyle w:val="2"/>
        <w:ind w:firstLine="632" w:firstLineChars="300"/>
        <w:rPr>
          <w:rFonts w:hint="eastAsia" w:ascii="Times New Roman" w:hAnsi="Times New Roman"/>
          <w:b/>
          <w:bCs/>
          <w:kern w:val="2"/>
          <w:sz w:val="21"/>
          <w:szCs w:val="21"/>
          <w:highlight w:val="none"/>
        </w:rPr>
      </w:pPr>
    </w:p>
    <w:p w14:paraId="49187456">
      <w:pPr>
        <w:pStyle w:val="2"/>
        <w:ind w:firstLine="632" w:firstLineChars="300"/>
        <w:rPr>
          <w:rFonts w:ascii="Times New Roman" w:hAnsi="Times New Roman"/>
          <w:b/>
          <w:bCs/>
          <w:kern w:val="2"/>
          <w:sz w:val="21"/>
          <w:szCs w:val="21"/>
          <w:highlight w:val="none"/>
        </w:rPr>
      </w:pPr>
    </w:p>
    <w:p w14:paraId="6C74AC31">
      <w:pPr>
        <w:pStyle w:val="2"/>
        <w:ind w:firstLine="632" w:firstLineChars="300"/>
        <w:rPr>
          <w:rFonts w:hint="eastAsia" w:ascii="Times New Roman" w:hAnsi="Times New Roman"/>
          <w:b/>
          <w:bCs/>
          <w:kern w:val="2"/>
          <w:sz w:val="21"/>
          <w:szCs w:val="21"/>
          <w:highlight w:val="none"/>
        </w:rPr>
      </w:pPr>
    </w:p>
    <w:p w14:paraId="53D06772">
      <w:pPr>
        <w:spacing w:line="276" w:lineRule="auto"/>
        <w:ind w:left="-7" w:firstLine="7"/>
        <w:rPr>
          <w:rFonts w:ascii="宋体" w:hAnsi="宋体"/>
          <w:szCs w:val="21"/>
          <w:highlight w:val="none"/>
        </w:rPr>
      </w:pPr>
    </w:p>
    <w:p w14:paraId="77DB457B">
      <w:pPr>
        <w:spacing w:line="276" w:lineRule="auto"/>
        <w:ind w:left="-7" w:firstLine="7"/>
        <w:jc w:val="center"/>
        <w:rPr>
          <w:rFonts w:ascii="宋体" w:hAnsi="宋体"/>
          <w:szCs w:val="21"/>
          <w:highlight w:val="none"/>
        </w:rPr>
      </w:pPr>
      <w:r>
        <w:rPr>
          <w:rFonts w:hint="eastAsia" w:ascii="宋体" w:hAnsi="宋体"/>
          <w:szCs w:val="21"/>
          <w:highlight w:val="none"/>
        </w:rPr>
        <w:t>签定日期：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p w14:paraId="18C7D9C9">
      <w:pPr>
        <w:spacing w:line="276" w:lineRule="auto"/>
        <w:rPr>
          <w:sz w:val="28"/>
          <w:szCs w:val="28"/>
          <w:highlight w:val="none"/>
        </w:rPr>
      </w:pPr>
    </w:p>
    <w:p w14:paraId="39ADEB6D">
      <w:pPr>
        <w:rPr>
          <w:sz w:val="28"/>
          <w:szCs w:val="28"/>
          <w:highlight w:val="none"/>
        </w:rPr>
      </w:pPr>
    </w:p>
    <w:p w14:paraId="50FF694C">
      <w:pPr>
        <w:rPr>
          <w:sz w:val="28"/>
          <w:szCs w:val="28"/>
          <w:highlight w:val="none"/>
        </w:rPr>
      </w:pPr>
    </w:p>
    <w:p w14:paraId="2DAF3A91">
      <w:pPr>
        <w:rPr>
          <w:sz w:val="28"/>
          <w:szCs w:val="28"/>
          <w:highlight w:val="none"/>
        </w:rPr>
      </w:pPr>
    </w:p>
    <w:p w14:paraId="01BA1830">
      <w:pPr>
        <w:rPr>
          <w:sz w:val="24"/>
          <w:highlight w:val="none"/>
        </w:rPr>
      </w:pPr>
      <w:r>
        <w:rPr>
          <w:rFonts w:hint="eastAsia"/>
          <w:sz w:val="24"/>
          <w:highlight w:val="none"/>
        </w:rPr>
        <w:t>附件</w:t>
      </w:r>
      <w:r>
        <w:rPr>
          <w:sz w:val="24"/>
          <w:highlight w:val="none"/>
        </w:rPr>
        <w:t>3</w:t>
      </w:r>
    </w:p>
    <w:p w14:paraId="260999CB">
      <w:pPr>
        <w:pStyle w:val="34"/>
        <w:spacing w:after="156" w:afterLines="50"/>
        <w:ind w:firstLine="0" w:firstLineChars="0"/>
        <w:jc w:val="center"/>
        <w:rPr>
          <w:b/>
          <w:bCs/>
          <w:sz w:val="28"/>
          <w:szCs w:val="28"/>
          <w:highlight w:val="none"/>
        </w:rPr>
      </w:pPr>
      <w:r>
        <w:rPr>
          <w:rFonts w:hint="eastAsia"/>
          <w:b/>
          <w:bCs/>
          <w:sz w:val="28"/>
          <w:szCs w:val="28"/>
          <w:highlight w:val="none"/>
        </w:rPr>
        <w:t>人员、车辆入厂安全管理协议</w:t>
      </w:r>
    </w:p>
    <w:p w14:paraId="43D17CCE">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2F303F20">
      <w:pPr>
        <w:spacing w:after="156" w:afterLines="50" w:line="312" w:lineRule="auto"/>
        <w:ind w:left="-502" w:leftChars="-239" w:firstLine="445" w:firstLineChars="211"/>
        <w:rPr>
          <w:b/>
          <w:bCs/>
          <w:szCs w:val="21"/>
          <w:highlight w:val="none"/>
        </w:rPr>
      </w:pPr>
      <w:r>
        <w:rPr>
          <w:rFonts w:hint="eastAsia"/>
          <w:b/>
          <w:bCs/>
          <w:szCs w:val="21"/>
          <w:highlight w:val="none"/>
        </w:rPr>
        <w:t>承包单位（以下简称乙方）：</w:t>
      </w:r>
    </w:p>
    <w:p w14:paraId="40886133">
      <w:pPr>
        <w:spacing w:line="312" w:lineRule="auto"/>
        <w:ind w:left="-502" w:leftChars="-239" w:firstLine="443" w:firstLineChars="211"/>
        <w:rPr>
          <w:rFonts w:ascii="宋体" w:hAnsi="宋体"/>
          <w:szCs w:val="21"/>
          <w:highlight w:val="none"/>
        </w:rPr>
      </w:pPr>
      <w:r>
        <w:rPr>
          <w:rFonts w:hint="eastAsia" w:ascii="宋体" w:hAnsi="宋体"/>
          <w:szCs w:val="21"/>
          <w:highlight w:val="none"/>
        </w:rPr>
        <w:t>为进一步明确甲乙双方在合同履行过程中的安全生产权利和义务及责任，经双方协商，双方自愿签订本协议，作为主合同的附件。</w:t>
      </w:r>
    </w:p>
    <w:p w14:paraId="08E3DA84">
      <w:pPr>
        <w:numPr>
          <w:ilvl w:val="0"/>
          <w:numId w:val="5"/>
        </w:numPr>
        <w:spacing w:line="312" w:lineRule="auto"/>
        <w:ind w:left="-502" w:leftChars="-239" w:firstLine="445" w:firstLineChars="211"/>
        <w:rPr>
          <w:rFonts w:ascii="宋体" w:hAnsi="宋体"/>
          <w:b/>
          <w:bCs/>
          <w:szCs w:val="21"/>
          <w:highlight w:val="none"/>
        </w:rPr>
      </w:pPr>
      <w:r>
        <w:rPr>
          <w:rFonts w:hint="eastAsia" w:ascii="宋体" w:hAnsi="宋体"/>
          <w:b/>
          <w:bCs/>
          <w:szCs w:val="21"/>
          <w:highlight w:val="none"/>
        </w:rPr>
        <w:t>甲方的权利和义务</w:t>
      </w:r>
    </w:p>
    <w:p w14:paraId="1920C51B">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甲方负责向乙方提供乙方需遵守的安全环保管理规定，并在入厂前向需要进入甲方厂区的人员进行安全告知。</w:t>
      </w:r>
    </w:p>
    <w:p w14:paraId="3C16CE9A">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甲方应为乙方指定甲方厂区内的安全行车路线。</w:t>
      </w:r>
    </w:p>
    <w:p w14:paraId="75A3963B">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甲方负责对乙方的入厂车辆和人员进行安全资质、车辆完好情况及人员健康情况进行检查，禁止不合格的车辆和人员入厂。</w:t>
      </w:r>
    </w:p>
    <w:p w14:paraId="3C76D618">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甲方对乙方车辆在甲方厂区门口、停车场及厂区内停放和行驶情况进行监督检查，有权对违规的车辆和人员按照甲方的规定进行处罚。</w:t>
      </w:r>
    </w:p>
    <w:p w14:paraId="604FAD41">
      <w:pPr>
        <w:numPr>
          <w:ilvl w:val="0"/>
          <w:numId w:val="6"/>
        </w:numPr>
        <w:spacing w:line="312" w:lineRule="auto"/>
        <w:ind w:left="-59" w:leftChars="-28"/>
        <w:rPr>
          <w:rFonts w:ascii="宋体" w:hAnsi="宋体"/>
          <w:szCs w:val="21"/>
          <w:highlight w:val="none"/>
        </w:rPr>
      </w:pPr>
      <w:r>
        <w:rPr>
          <w:rFonts w:hint="eastAsia" w:ascii="宋体" w:hAnsi="宋体"/>
          <w:szCs w:val="21"/>
          <w:highlight w:val="none"/>
        </w:rPr>
        <w:t>甲方业务主管部门应全程委托专门人员引导乙方车辆和人员按指定的路线进入厂区、到达指定位置。</w:t>
      </w:r>
    </w:p>
    <w:p w14:paraId="67AABE53">
      <w:pPr>
        <w:numPr>
          <w:ilvl w:val="0"/>
          <w:numId w:val="5"/>
        </w:numPr>
        <w:spacing w:line="312" w:lineRule="auto"/>
        <w:ind w:left="-502" w:leftChars="-239" w:firstLine="445" w:firstLineChars="211"/>
        <w:rPr>
          <w:rFonts w:ascii="宋体" w:hAnsi="宋体"/>
          <w:b/>
          <w:bCs/>
          <w:szCs w:val="21"/>
          <w:highlight w:val="none"/>
        </w:rPr>
      </w:pPr>
      <w:r>
        <w:rPr>
          <w:rFonts w:hint="eastAsia" w:ascii="宋体" w:hAnsi="宋体"/>
          <w:b/>
          <w:bCs/>
          <w:szCs w:val="21"/>
          <w:highlight w:val="none"/>
        </w:rPr>
        <w:t>乙方的权利和义务</w:t>
      </w:r>
    </w:p>
    <w:p w14:paraId="26181776">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3DE3C0F">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乙方应为需进入甲方厂区的人员提供符合甲方要求的安全帽、劳保服、劳保鞋等劳动防护用品，并督促入厂人员规范佩戴和使用。</w:t>
      </w:r>
    </w:p>
    <w:p w14:paraId="3A62DA25">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7BF9013D">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40B59B3C">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在厂区内卸货过程应根据甲方的要求进行卸货，积极接受甲方的现场管理，开具相应的作业许可证，并按甲方的操作规程进行卸货及作业。</w:t>
      </w:r>
    </w:p>
    <w:p w14:paraId="4B8A8187">
      <w:pPr>
        <w:numPr>
          <w:ilvl w:val="0"/>
          <w:numId w:val="7"/>
        </w:numPr>
        <w:spacing w:line="312" w:lineRule="auto"/>
        <w:ind w:left="-59" w:leftChars="-28"/>
        <w:rPr>
          <w:rFonts w:ascii="宋体" w:hAnsi="宋体"/>
          <w:szCs w:val="21"/>
          <w:highlight w:val="none"/>
        </w:rPr>
      </w:pPr>
      <w:r>
        <w:rPr>
          <w:rFonts w:hint="eastAsia" w:ascii="宋体" w:hAnsi="宋体"/>
          <w:szCs w:val="21"/>
          <w:highlight w:val="none"/>
        </w:rPr>
        <w:t>对于甲方在安全生产监管中发现的问题，乙方应按要求落实整改。</w:t>
      </w:r>
    </w:p>
    <w:p w14:paraId="6F4482FC">
      <w:pPr>
        <w:numPr>
          <w:ilvl w:val="0"/>
          <w:numId w:val="5"/>
        </w:num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违约责任及处理</w:t>
      </w:r>
    </w:p>
    <w:p w14:paraId="01B17B34">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发生安全事故时，甲乙双方均有抢险、救灾的义务，所发生的费用由责任方承担。</w:t>
      </w:r>
    </w:p>
    <w:p w14:paraId="0D2844A0">
      <w:pPr>
        <w:numPr>
          <w:ilvl w:val="0"/>
          <w:numId w:val="8"/>
        </w:numPr>
        <w:spacing w:line="312" w:lineRule="auto"/>
        <w:ind w:left="-59" w:leftChars="-28"/>
        <w:rPr>
          <w:rFonts w:asciiTheme="minorEastAsia" w:hAnsiTheme="minorEastAsia" w:eastAsiaTheme="minorEastAsia"/>
          <w:szCs w:val="21"/>
          <w:highlight w:val="none"/>
        </w:rPr>
      </w:pPr>
      <w:r>
        <w:rPr>
          <w:rFonts w:hint="eastAsia" w:ascii="宋体" w:hAnsi="宋体"/>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1AD52DCB">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甲方违约造成的事故，甲方承担全部责任，并按规定追究有关人员责任及上报。</w:t>
      </w:r>
    </w:p>
    <w:p w14:paraId="630F5114">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乙方在</w:t>
      </w:r>
      <w:r>
        <w:rPr>
          <w:rFonts w:hint="eastAsia" w:asciiTheme="minorEastAsia" w:hAnsiTheme="minorEastAsia"/>
          <w:szCs w:val="21"/>
          <w:highlight w:val="none"/>
        </w:rPr>
        <w:t>厂区内</w:t>
      </w:r>
      <w:r>
        <w:rPr>
          <w:rFonts w:hint="eastAsia" w:asciiTheme="minorEastAsia" w:hAnsiTheme="minorEastAsia" w:eastAsiaTheme="minorEastAsia"/>
          <w:szCs w:val="21"/>
          <w:highlight w:val="none"/>
        </w:rPr>
        <w:t>中如果有违法、违规和违章行为，甲方将按照按国家法律、法规和甲方的HSE管理制度进行处罚。</w:t>
      </w:r>
      <w:r>
        <w:rPr>
          <w:rFonts w:hint="eastAsia" w:ascii="宋体" w:hAnsi="宋体"/>
          <w:szCs w:val="21"/>
          <w:highlight w:val="none"/>
        </w:rPr>
        <w:t>处罚款由乙方按甲方要求交到甲方指定部门或账户，对不按时缴纳罚款的，甲方可以从乙方合同款双倍扣除。</w:t>
      </w:r>
    </w:p>
    <w:p w14:paraId="6222EF32">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乙方违约造成的事故，乙方承担全部责任；由于乙方</w:t>
      </w:r>
      <w:r>
        <w:rPr>
          <w:rFonts w:hint="eastAsia" w:asciiTheme="minorEastAsia" w:hAnsiTheme="minorEastAsia"/>
          <w:szCs w:val="21"/>
          <w:highlight w:val="none"/>
        </w:rPr>
        <w:t>的</w:t>
      </w:r>
      <w:r>
        <w:rPr>
          <w:rFonts w:hint="eastAsia" w:asciiTheme="minorEastAsia" w:hAnsiTheme="minorEastAsia" w:eastAsiaTheme="minorEastAsia"/>
          <w:szCs w:val="21"/>
          <w:highlight w:val="none"/>
        </w:rPr>
        <w:t>服务质量及</w:t>
      </w:r>
      <w:r>
        <w:rPr>
          <w:rFonts w:hint="eastAsia" w:asciiTheme="minorEastAsia" w:hAnsiTheme="minorEastAsia"/>
          <w:szCs w:val="21"/>
          <w:highlight w:val="none"/>
        </w:rPr>
        <w:t>货物</w:t>
      </w:r>
      <w:r>
        <w:rPr>
          <w:rFonts w:hint="eastAsia" w:asciiTheme="minorEastAsia" w:hAnsiTheme="minorEastAsia" w:eastAsiaTheme="minorEastAsia"/>
          <w:szCs w:val="21"/>
          <w:highlight w:val="none"/>
        </w:rPr>
        <w:t>质量导致的事故，由乙方承担全部责任构成犯罪的，依法追究刑事责任。</w:t>
      </w:r>
    </w:p>
    <w:p w14:paraId="416D58EA">
      <w:pPr>
        <w:numPr>
          <w:ilvl w:val="0"/>
          <w:numId w:val="8"/>
        </w:numPr>
        <w:spacing w:line="312" w:lineRule="auto"/>
        <w:ind w:left="-59" w:leftChars="-2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对乙方发生事故后弄虚作假、隐瞒不报、迟报或谎报，一经查出，按有关规定处罚</w:t>
      </w:r>
      <w:r>
        <w:rPr>
          <w:rFonts w:hint="eastAsia" w:asciiTheme="minorEastAsia" w:hAnsiTheme="minorEastAsia"/>
          <w:szCs w:val="21"/>
          <w:highlight w:val="none"/>
        </w:rPr>
        <w:t>，</w:t>
      </w:r>
      <w:r>
        <w:rPr>
          <w:rFonts w:hint="eastAsia" w:asciiTheme="minorEastAsia" w:hAnsiTheme="minorEastAsia" w:eastAsiaTheme="minorEastAsia"/>
          <w:szCs w:val="21"/>
          <w:highlight w:val="none"/>
        </w:rPr>
        <w:t>情节严重的，取消其进入甲方的市场资格。</w:t>
      </w:r>
    </w:p>
    <w:p w14:paraId="1E0C33B2">
      <w:p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四、 不可抗力：</w:t>
      </w:r>
    </w:p>
    <w:p w14:paraId="00FAD793">
      <w:pPr>
        <w:spacing w:line="312" w:lineRule="auto"/>
        <w:ind w:left="-526" w:leftChars="-339" w:hanging="186" w:hangingChars="89"/>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szCs w:val="21"/>
          <w:highlight w:val="none"/>
        </w:rPr>
        <w:t xml:space="preserve">  </w:t>
      </w:r>
      <w:r>
        <w:rPr>
          <w:rFonts w:hint="eastAsia" w:asciiTheme="minorEastAsia" w:hAnsiTheme="minorEastAsia" w:eastAsiaTheme="minorEastAsia"/>
          <w:szCs w:val="21"/>
          <w:highlight w:val="none"/>
        </w:rPr>
        <w:t xml:space="preserve"> 由于不可抗力造成事故及产生的损失，甲乙双方各自承担相应的损失。</w:t>
      </w:r>
    </w:p>
    <w:p w14:paraId="2DF376AA">
      <w:pPr>
        <w:spacing w:line="312" w:lineRule="auto"/>
        <w:ind w:left="-502" w:leftChars="-239" w:firstLine="445" w:firstLineChars="211"/>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五、</w:t>
      </w:r>
      <w:r>
        <w:rPr>
          <w:rFonts w:hint="eastAsia" w:asciiTheme="minorEastAsia" w:hAnsiTheme="minorEastAsia" w:eastAsiaTheme="minorEastAsia"/>
          <w:szCs w:val="21"/>
          <w:highlight w:val="none"/>
        </w:rPr>
        <w:t>本协议书一式两份，甲乙双方各执一份。</w:t>
      </w:r>
    </w:p>
    <w:p w14:paraId="61CDF010">
      <w:pPr>
        <w:spacing w:line="312" w:lineRule="auto"/>
        <w:ind w:left="-502" w:leftChars="-239" w:firstLine="445" w:firstLineChars="211"/>
        <w:rPr>
          <w:rFonts w:asciiTheme="minorEastAsia" w:hAnsiTheme="minorEastAsia" w:eastAsiaTheme="minorEastAsia"/>
          <w:szCs w:val="21"/>
          <w:highlight w:val="none"/>
        </w:rPr>
      </w:pPr>
      <w:r>
        <w:rPr>
          <w:rFonts w:hint="eastAsia" w:asciiTheme="minorEastAsia" w:hAnsiTheme="minorEastAsia" w:eastAsiaTheme="minorEastAsia"/>
          <w:b/>
          <w:szCs w:val="21"/>
          <w:highlight w:val="none"/>
        </w:rPr>
        <w:t>六、</w:t>
      </w:r>
      <w:r>
        <w:rPr>
          <w:rFonts w:hint="eastAsia" w:asciiTheme="minorEastAsia" w:hAnsiTheme="minorEastAsia" w:eastAsiaTheme="minorEastAsia"/>
          <w:szCs w:val="21"/>
          <w:highlight w:val="none"/>
        </w:rPr>
        <w:t>本协议书经双方盖章后生效。</w:t>
      </w:r>
    </w:p>
    <w:p w14:paraId="79F2E44E">
      <w:pPr>
        <w:spacing w:line="312" w:lineRule="auto"/>
        <w:ind w:left="-502" w:leftChars="-239" w:firstLine="445" w:firstLineChars="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七、协议期限：</w:t>
      </w:r>
    </w:p>
    <w:p w14:paraId="68F3CAB0">
      <w:pPr>
        <w:spacing w:line="312" w:lineRule="auto"/>
        <w:ind w:left="-607" w:leftChars="-289" w:firstLine="525" w:firstLineChars="2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本协议期限应与主合同期限一致。如果主合同因故需要变更期限，本合同应与主同变更至相同期限。</w:t>
      </w:r>
    </w:p>
    <w:p w14:paraId="333199C5">
      <w:pPr>
        <w:spacing w:line="312" w:lineRule="auto"/>
        <w:ind w:left="-526" w:leftChars="-289" w:hanging="81" w:hangingChars="39"/>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（以下无正文）</w:t>
      </w:r>
    </w:p>
    <w:p w14:paraId="646F3E86">
      <w:pPr>
        <w:spacing w:line="276" w:lineRule="auto"/>
        <w:ind w:left="-526" w:leftChars="-339" w:hanging="186" w:hangingChars="89"/>
        <w:rPr>
          <w:rFonts w:ascii="宋体" w:hAnsi="宋体"/>
          <w:szCs w:val="21"/>
          <w:highlight w:val="none"/>
        </w:rPr>
      </w:pPr>
    </w:p>
    <w:p w14:paraId="046E081E">
      <w:pPr>
        <w:spacing w:line="276" w:lineRule="auto"/>
        <w:ind w:left="-7" w:firstLine="7"/>
        <w:rPr>
          <w:rFonts w:ascii="宋体" w:hAnsi="宋体"/>
          <w:szCs w:val="21"/>
          <w:highlight w:val="none"/>
        </w:rPr>
      </w:pPr>
    </w:p>
    <w:p w14:paraId="627FA2E6">
      <w:pPr>
        <w:spacing w:line="560" w:lineRule="exact"/>
        <w:rPr>
          <w:rFonts w:asciiTheme="minorEastAsia" w:hAnsiTheme="minorEastAsia" w:eastAsiaTheme="minorEastAsia" w:cstheme="minorEastAsia"/>
          <w:szCs w:val="21"/>
          <w:highlight w:val="none"/>
        </w:rPr>
      </w:pPr>
      <w:r>
        <w:rPr>
          <w:rFonts w:hint="eastAsia"/>
          <w:b/>
          <w:bCs/>
          <w:szCs w:val="21"/>
          <w:highlight w:val="none"/>
        </w:rPr>
        <w:t>甲方：</w:t>
      </w:r>
      <w:r>
        <w:rPr>
          <w:b/>
          <w:bCs/>
          <w:szCs w:val="21"/>
          <w:highlight w:val="none"/>
        </w:rPr>
        <w:t>福建省福化古蕾化学有限公司</w:t>
      </w: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b/>
          <w:bCs/>
          <w:szCs w:val="21"/>
          <w:highlight w:val="none"/>
        </w:rPr>
        <w:t xml:space="preserve"> </w:t>
      </w:r>
      <w:r>
        <w:rPr>
          <w:rFonts w:hint="eastAsia"/>
          <w:b/>
          <w:bCs/>
          <w:szCs w:val="21"/>
          <w:highlight w:val="none"/>
        </w:rPr>
        <w:t>乙方：</w:t>
      </w:r>
    </w:p>
    <w:p w14:paraId="5D502FB5">
      <w:pPr>
        <w:spacing w:line="560" w:lineRule="exact"/>
        <w:ind w:firstLine="630" w:firstLineChars="300"/>
        <w:rPr>
          <w:rFonts w:asciiTheme="minorEastAsia" w:hAnsiTheme="minorEastAsia" w:eastAsiaTheme="minorEastAsia" w:cstheme="minorEastAsia"/>
          <w:szCs w:val="21"/>
          <w:highlight w:val="none"/>
        </w:rPr>
      </w:pPr>
    </w:p>
    <w:p w14:paraId="29BC5BB5">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6B3FFB9D">
      <w:pPr>
        <w:pStyle w:val="2"/>
        <w:ind w:firstLine="632" w:firstLineChars="300"/>
        <w:rPr>
          <w:rFonts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6F300165">
      <w:pPr>
        <w:pStyle w:val="2"/>
        <w:ind w:firstLine="632" w:firstLineChars="300"/>
        <w:rPr>
          <w:rFonts w:hint="eastAsia" w:ascii="Times New Roman" w:hAnsi="Times New Roman"/>
          <w:b/>
          <w:bCs/>
          <w:kern w:val="2"/>
          <w:sz w:val="21"/>
          <w:szCs w:val="21"/>
          <w:highlight w:val="none"/>
        </w:rPr>
      </w:pPr>
    </w:p>
    <w:p w14:paraId="50E801CC">
      <w:pPr>
        <w:pStyle w:val="2"/>
        <w:ind w:firstLine="632" w:firstLineChars="300"/>
        <w:rPr>
          <w:rFonts w:ascii="Times New Roman" w:hAnsi="Times New Roman"/>
          <w:b/>
          <w:bCs/>
          <w:kern w:val="2"/>
          <w:sz w:val="21"/>
          <w:szCs w:val="21"/>
          <w:highlight w:val="none"/>
        </w:rPr>
      </w:pPr>
    </w:p>
    <w:p w14:paraId="2657DDFB">
      <w:pPr>
        <w:pStyle w:val="2"/>
        <w:ind w:firstLine="632" w:firstLineChars="300"/>
        <w:rPr>
          <w:rFonts w:hint="eastAsia" w:ascii="Times New Roman" w:hAnsi="Times New Roman"/>
          <w:b/>
          <w:bCs/>
          <w:kern w:val="2"/>
          <w:sz w:val="21"/>
          <w:szCs w:val="21"/>
          <w:highlight w:val="none"/>
        </w:rPr>
      </w:pPr>
    </w:p>
    <w:p w14:paraId="1043580F">
      <w:pPr>
        <w:spacing w:line="276" w:lineRule="auto"/>
        <w:ind w:left="-7" w:firstLine="7"/>
        <w:rPr>
          <w:rFonts w:ascii="宋体" w:hAnsi="宋体"/>
          <w:szCs w:val="21"/>
          <w:highlight w:val="none"/>
        </w:rPr>
      </w:pPr>
    </w:p>
    <w:p w14:paraId="0FE16074">
      <w:pPr>
        <w:jc w:val="center"/>
        <w:rPr>
          <w:sz w:val="28"/>
          <w:szCs w:val="28"/>
          <w:highlight w:val="none"/>
        </w:rPr>
      </w:pPr>
      <w:r>
        <w:rPr>
          <w:rFonts w:hint="eastAsia" w:ascii="宋体" w:hAnsi="宋体"/>
          <w:szCs w:val="21"/>
          <w:highlight w:val="none"/>
        </w:rPr>
        <w:t>签定日期：</w:t>
      </w:r>
      <w:r>
        <w:rPr>
          <w:rFonts w:hint="eastAsia" w:ascii="宋体" w:hAnsi="宋体"/>
          <w:szCs w:val="21"/>
          <w:highlight w:val="none"/>
          <w:lang w:val="en-US" w:eastAsia="zh-CN"/>
        </w:rPr>
        <w:t>2026</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 xml:space="preserve"> 月</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p w14:paraId="185B65D2">
      <w:pPr>
        <w:rPr>
          <w:sz w:val="28"/>
          <w:szCs w:val="28"/>
          <w:highlight w:val="none"/>
        </w:rPr>
      </w:pPr>
    </w:p>
    <w:p w14:paraId="4F35E87B">
      <w:pPr>
        <w:rPr>
          <w:sz w:val="28"/>
          <w:szCs w:val="28"/>
          <w:highlight w:val="none"/>
        </w:rPr>
      </w:pPr>
    </w:p>
    <w:p w14:paraId="45E90525">
      <w:pPr>
        <w:pStyle w:val="27"/>
        <w:spacing w:line="360" w:lineRule="auto"/>
        <w:rPr>
          <w:rFonts w:hint="eastAsia"/>
          <w:b/>
          <w:color w:val="auto"/>
          <w:sz w:val="21"/>
          <w:szCs w:val="21"/>
          <w:highlight w:val="none"/>
        </w:rPr>
      </w:pPr>
      <w:bookmarkStart w:id="1" w:name="_Hlk498338375"/>
    </w:p>
    <w:p w14:paraId="7E3B31AA">
      <w:pPr>
        <w:pStyle w:val="27"/>
        <w:spacing w:line="360" w:lineRule="auto"/>
        <w:rPr>
          <w:b/>
          <w:color w:val="auto"/>
          <w:sz w:val="21"/>
          <w:szCs w:val="21"/>
          <w:highlight w:val="none"/>
        </w:rPr>
      </w:pPr>
      <w:r>
        <w:rPr>
          <w:rFonts w:hint="eastAsia"/>
          <w:b/>
          <w:color w:val="auto"/>
          <w:sz w:val="21"/>
          <w:szCs w:val="21"/>
          <w:highlight w:val="none"/>
        </w:rPr>
        <w:t>附件</w:t>
      </w:r>
      <w:r>
        <w:rPr>
          <w:b/>
          <w:color w:val="auto"/>
          <w:sz w:val="21"/>
          <w:szCs w:val="21"/>
          <w:highlight w:val="none"/>
        </w:rPr>
        <w:t>4</w:t>
      </w:r>
    </w:p>
    <w:p w14:paraId="7E5A78A9">
      <w:pPr>
        <w:jc w:val="center"/>
        <w:rPr>
          <w:rFonts w:ascii="宋体" w:hAnsi="宋体"/>
          <w:b/>
          <w:sz w:val="30"/>
          <w:szCs w:val="30"/>
          <w:highlight w:val="none"/>
        </w:rPr>
      </w:pPr>
      <w:r>
        <w:rPr>
          <w:rFonts w:hint="eastAsia" w:ascii="宋体" w:hAnsi="宋体"/>
          <w:b/>
          <w:sz w:val="30"/>
          <w:szCs w:val="30"/>
          <w:highlight w:val="none"/>
        </w:rPr>
        <w:t>廉洁从业责任书</w:t>
      </w:r>
    </w:p>
    <w:p w14:paraId="2F6BB72A">
      <w:pPr>
        <w:spacing w:after="156" w:afterLines="50" w:line="312" w:lineRule="auto"/>
        <w:ind w:left="-502" w:leftChars="-239" w:firstLine="445" w:firstLineChars="211"/>
        <w:rPr>
          <w:rFonts w:hint="eastAsia"/>
          <w:b/>
          <w:bCs/>
          <w:szCs w:val="21"/>
          <w:highlight w:val="none"/>
          <w:u w:val="single"/>
        </w:rPr>
      </w:pPr>
      <w:r>
        <w:rPr>
          <w:rFonts w:hint="eastAsia"/>
          <w:b/>
          <w:bCs/>
          <w:szCs w:val="21"/>
          <w:highlight w:val="none"/>
        </w:rPr>
        <w:t>发包单位（甲方）：</w:t>
      </w:r>
      <w:r>
        <w:rPr>
          <w:rFonts w:hint="eastAsia"/>
          <w:b/>
          <w:bCs/>
          <w:szCs w:val="21"/>
          <w:highlight w:val="none"/>
          <w:u w:val="single"/>
        </w:rPr>
        <w:t>福建省福化古蕾化学有限公司、福建福海创石油化工有限公司</w:t>
      </w:r>
    </w:p>
    <w:p w14:paraId="7250D37C">
      <w:pPr>
        <w:spacing w:after="156" w:afterLines="50" w:line="312" w:lineRule="auto"/>
        <w:ind w:left="-502" w:leftChars="-239" w:firstLine="445" w:firstLineChars="211"/>
        <w:rPr>
          <w:rFonts w:hint="eastAsia"/>
          <w:b/>
          <w:bCs/>
          <w:szCs w:val="21"/>
          <w:highlight w:val="none"/>
          <w:u w:val="single"/>
        </w:rPr>
      </w:pPr>
      <w:r>
        <w:rPr>
          <w:rFonts w:hint="eastAsia"/>
          <w:b/>
          <w:bCs/>
          <w:szCs w:val="21"/>
          <w:highlight w:val="none"/>
        </w:rPr>
        <w:t>承包单位（以下简称乙方）：</w:t>
      </w:r>
    </w:p>
    <w:p w14:paraId="4A7C52A2">
      <w:pPr>
        <w:spacing w:line="336"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为规范甲乙双方的商业行为，维护公平竞争，建立健全防止商业贿赂的长效机制，深入推进反腐倡廉工作，根据国家有关法律法规和福建福海创石油化工有限公司（以下简称福海创）有关规定，经双方协商，签订本廉洁从业责任书。</w:t>
      </w:r>
    </w:p>
    <w:p w14:paraId="4452A8F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第一条  甲乙双方共同责任</w:t>
      </w:r>
    </w:p>
    <w:p w14:paraId="1C71D34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（一）严格遵守国家有关法律法规以及廉洁从业的有关规定。</w:t>
      </w:r>
    </w:p>
    <w:p w14:paraId="35DC4D9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（二）严格遵守商业道德和市场规则，共同营造公平公正的商务交易环境。</w:t>
      </w:r>
    </w:p>
    <w:p w14:paraId="77EC2D0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（三）加强有关人员的管理和廉洁从业教育，自觉抵制不廉洁行为。在商务活动中发现对方存在违规违纪违法行为，应及时向监察部门或司法机关举报。</w:t>
      </w:r>
    </w:p>
    <w:p w14:paraId="1B3D2707">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第二条  甲方及其人员的责任</w:t>
      </w:r>
    </w:p>
    <w:p w14:paraId="3B9C9828">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（一）不得索要或接受乙方及其相关单位和人员提供的回扣、礼金、有价证券、支付凭证、贵重物品等。 </w:t>
      </w:r>
    </w:p>
    <w:p w14:paraId="33C8412E">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（二）不得在乙方及其相关单位报销任何应由甲方或个人支付的费用。</w:t>
      </w:r>
    </w:p>
    <w:p w14:paraId="6AA3E2B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（三）不得违反规定在乙方及其相关单位投资入股，不得向乙方单位及人员借款或委托买卖股票、债券等。</w:t>
      </w:r>
    </w:p>
    <w:p w14:paraId="1E8F4BA9">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（四）不得要求、暗示和接受乙方及其相关单位和个人为其购买或装修住房、婚丧嫁娶、配偶和子女的上学或工作安排以及出国（境）、旅游等提供方便。</w:t>
      </w:r>
    </w:p>
    <w:p w14:paraId="190D93A8">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（五）不得参加乙方及其相关单位安排的可能影响公正执行公务的宴请及健身、娱乐等活动。</w:t>
      </w:r>
    </w:p>
    <w:p w14:paraId="11FC835B">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（六）不得接受乙方及其相关单位购置或提供的通讯工具、交通工具和高档办公用品。</w:t>
      </w:r>
    </w:p>
    <w:p w14:paraId="75EC3D2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（七）不得利用职权通过乙方及其相关单位为其配偶、子女及他人谋取不正当利益。</w:t>
      </w:r>
    </w:p>
    <w:p w14:paraId="71DB4519">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（八）不得违反规定在乙方或乙方相关单位兼职和领取兼职工资及报酬；不得利用甲方的商业秘密、业务渠道等谋取个人私利，或将其泄漏给乙方及其它企业和个人。</w:t>
      </w:r>
    </w:p>
    <w:p w14:paraId="357168CC">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（九）不得利用职权和工作之便向乙方提出上述各项规定禁止事项或要求之外的与工作业务无关的事项或要求。</w:t>
      </w:r>
    </w:p>
    <w:p w14:paraId="298EE5D5">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第三条  乙方及其人员的责任</w:t>
      </w:r>
    </w:p>
    <w:p w14:paraId="4F7C570D">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（一）不得向甲方及其人员提供回扣、礼金、有价证券、支付凭证和贵重物品等。</w:t>
      </w:r>
    </w:p>
    <w:p w14:paraId="791AE084">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（二）不得为甲方及其人员报销应由甲方或个人支付的费用。</w:t>
      </w:r>
    </w:p>
    <w:p w14:paraId="14E04D14">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（三）不得为甲方人员投资入股、个人借款或买卖股票、债券等提供方便。</w:t>
      </w:r>
    </w:p>
    <w:p w14:paraId="1F82FA3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（四）不得为甲方人员购买或装修住房、婚丧嫁娶、配偶和子女的上学或工作安排以及出国（境）、旅游等提供方便。</w:t>
      </w:r>
    </w:p>
    <w:p w14:paraId="5627CA2F">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（五）不得为甲方人员安排有可能影响公正执行公务的宴请及健身、娱乐等活动。</w:t>
      </w:r>
    </w:p>
    <w:p w14:paraId="461AF4D6">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（六）不得为甲方人员购置或提供的通讯工具、交通工具和高档办公用品。</w:t>
      </w:r>
    </w:p>
    <w:p w14:paraId="37E6ACD5">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（七）不得为甲方人员的配偶、子女及其他亲属谋取不正当利益提供方便。</w:t>
      </w:r>
    </w:p>
    <w:p w14:paraId="3F3C260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（八）不得违反规定安排甲方人员在乙方或乙方相关企业兼职和领取兼职工资及报酬；不得利用非法手段向甲方人员打探有关涉及甲方的商业秘密、业务渠道等。</w:t>
      </w:r>
    </w:p>
    <w:p w14:paraId="1E88C4A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（九）甲方对涉嫌不廉洁的商业行为进行调查时，乙方有配合甲方提供证据、作证的义务。</w:t>
      </w:r>
    </w:p>
    <w:p w14:paraId="472AF26B">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（十）未经甲方书面同意，乙方不得向任何新闻媒体、第三人述及有关福海创廉洁从业方面的评价、信息。</w:t>
      </w:r>
    </w:p>
    <w:p w14:paraId="10704873">
      <w:pPr>
        <w:spacing w:line="336" w:lineRule="auto"/>
        <w:ind w:firstLine="5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第四条  违约责任 </w:t>
      </w:r>
    </w:p>
    <w:p w14:paraId="3CBFA46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（一）甲方及其人员有违反责任书第一条、第二条规定的，按照管理权限，依据有关法律法规和规定给予有关人员纪律处分或组织处理；涉嫌犯罪的，移交司法机关追究刑事责任。</w:t>
      </w:r>
    </w:p>
    <w:p w14:paraId="6C55E422">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（二）乙方及其人员有违反责任书第一条、第二条规定的，对属于福海创管理的，按照管理权限，依据有关法律法规和规定给予有关人员纪律处分或组织处理；涉嫌犯罪的，移交司法机关追究刑事责任。</w:t>
      </w:r>
    </w:p>
    <w:p w14:paraId="364B06D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对不属于福海创的，根据具体情节和造成的后果，甲方除有权要求乙方赔偿由此造成的甲方损失外，还将分别在福海创内部给予通报、限制或禁止与其交易的处理；涉嫌犯罪的，建议司法机关追究刑事责任。</w:t>
      </w:r>
    </w:p>
    <w:p w14:paraId="476D8E83">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第五条  本责任书经双方签署后生效</w:t>
      </w:r>
    </w:p>
    <w:p w14:paraId="4CF93170">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甲乙双方通过招标或其他方式签订交易合同的，本责任书作为交易合同的附件，与合同具有同等法律效力；如双方未签订交易合同，本责任书独立有效。</w:t>
      </w:r>
    </w:p>
    <w:p w14:paraId="0DE79FAA">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第六条  甲乙双方及其人员在经济合同履行完毕后，发生或发现违反本责任书规定的行为，仍按本责任书规定处理。</w:t>
      </w:r>
    </w:p>
    <w:p w14:paraId="43C8A4AF">
      <w:pPr>
        <w:spacing w:line="336"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第七条  本责任书一式两份，甲乙双方各执一份，具有同等法律效力。</w:t>
      </w:r>
    </w:p>
    <w:p w14:paraId="11EF5B98">
      <w:pPr>
        <w:spacing w:line="560" w:lineRule="exact"/>
        <w:rPr>
          <w:b/>
          <w:bCs/>
          <w:szCs w:val="21"/>
          <w:highlight w:val="none"/>
        </w:rPr>
      </w:pPr>
      <w:r>
        <w:rPr>
          <w:rFonts w:hint="eastAsia"/>
          <w:b/>
          <w:bCs/>
          <w:szCs w:val="21"/>
          <w:highlight w:val="none"/>
        </w:rPr>
        <w:t>甲方：</w:t>
      </w:r>
      <w:r>
        <w:rPr>
          <w:b/>
          <w:bCs/>
          <w:szCs w:val="21"/>
          <w:highlight w:val="none"/>
        </w:rPr>
        <w:t>福建省福化古蕾化学有限公司</w:t>
      </w:r>
      <w:r>
        <w:rPr>
          <w:rFonts w:hint="eastAsia"/>
          <w:b/>
          <w:bCs/>
          <w:szCs w:val="21"/>
          <w:highlight w:val="none"/>
        </w:rPr>
        <w:t xml:space="preserve">  </w:t>
      </w:r>
      <w:r>
        <w:rPr>
          <w:b/>
          <w:bCs/>
          <w:szCs w:val="21"/>
          <w:highlight w:val="none"/>
        </w:rPr>
        <w:t xml:space="preserve">             </w:t>
      </w:r>
      <w:r>
        <w:rPr>
          <w:rFonts w:hint="eastAsia"/>
          <w:b/>
          <w:bCs/>
          <w:szCs w:val="21"/>
          <w:highlight w:val="none"/>
        </w:rPr>
        <w:t>乙方：　</w:t>
      </w:r>
    </w:p>
    <w:p w14:paraId="1350BDF7">
      <w:pPr>
        <w:spacing w:line="560" w:lineRule="exact"/>
        <w:ind w:firstLine="630" w:firstLineChars="300"/>
        <w:rPr>
          <w:rFonts w:asciiTheme="minorEastAsia" w:hAnsiTheme="minorEastAsia" w:eastAsiaTheme="minorEastAsia" w:cstheme="minorEastAsia"/>
          <w:szCs w:val="21"/>
          <w:highlight w:val="none"/>
        </w:rPr>
      </w:pPr>
    </w:p>
    <w:p w14:paraId="2B49FD58">
      <w:pPr>
        <w:spacing w:line="560" w:lineRule="exact"/>
        <w:rPr>
          <w:b/>
          <w:bCs/>
          <w:szCs w:val="21"/>
          <w:highlight w:val="none"/>
        </w:rPr>
      </w:pPr>
      <w:r>
        <w:rPr>
          <w:rFonts w:hint="eastAsia" w:asciiTheme="minorEastAsia" w:hAnsiTheme="minorEastAsia" w:eastAsiaTheme="minorEastAsia" w:cstheme="minorEastAsia"/>
          <w:szCs w:val="21"/>
          <w:highlight w:val="none"/>
        </w:rPr>
        <w:t xml:space="preserve">　 </w:t>
      </w:r>
      <w:r>
        <w:rPr>
          <w:rFonts w:asciiTheme="minorEastAsia" w:hAnsiTheme="minorEastAsia" w:eastAsiaTheme="minorEastAsia" w:cstheme="minorEastAsia"/>
          <w:szCs w:val="21"/>
          <w:highlight w:val="none"/>
        </w:rPr>
        <w:t xml:space="preserve">  </w:t>
      </w:r>
      <w:r>
        <w:rPr>
          <w:rFonts w:hint="eastAsia"/>
          <w:b/>
          <w:bCs/>
          <w:szCs w:val="21"/>
          <w:highlight w:val="none"/>
        </w:rPr>
        <w:t>福建福海创石油化工有限公司　</w:t>
      </w:r>
    </w:p>
    <w:p w14:paraId="03CDA6EA">
      <w:pPr>
        <w:pStyle w:val="2"/>
        <w:ind w:firstLine="632" w:firstLineChars="300"/>
        <w:rPr>
          <w:rFonts w:ascii="Times New Roman" w:hAnsi="Times New Roman"/>
          <w:b/>
          <w:bCs/>
          <w:kern w:val="2"/>
          <w:sz w:val="21"/>
          <w:szCs w:val="21"/>
          <w:highlight w:val="none"/>
        </w:rPr>
      </w:pPr>
    </w:p>
    <w:p w14:paraId="53674D0F">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月  日</w:t>
      </w:r>
    </w:p>
    <w:p w14:paraId="57FFE140">
      <w:pPr>
        <w:rPr>
          <w:rFonts w:ascii="宋体" w:hAnsi="宋体"/>
          <w:sz w:val="28"/>
          <w:szCs w:val="28"/>
          <w:highlight w:val="none"/>
        </w:rPr>
      </w:pPr>
      <w:r>
        <w:rPr>
          <w:rFonts w:hint="eastAsia" w:ascii="宋体" w:hAnsi="宋体"/>
          <w:szCs w:val="21"/>
          <w:highlight w:val="none"/>
        </w:rPr>
        <w:br w:type="page"/>
      </w:r>
      <w:bookmarkEnd w:id="1"/>
      <w:r>
        <w:rPr>
          <w:rFonts w:hint="eastAsia" w:ascii="宋体" w:hAnsi="宋体"/>
          <w:sz w:val="28"/>
          <w:szCs w:val="28"/>
          <w:highlight w:val="none"/>
        </w:rPr>
        <w:t>附件</w:t>
      </w:r>
      <w:r>
        <w:rPr>
          <w:rFonts w:ascii="宋体" w:hAnsi="宋体"/>
          <w:sz w:val="28"/>
          <w:szCs w:val="28"/>
          <w:highlight w:val="none"/>
        </w:rPr>
        <w:t>5</w:t>
      </w:r>
    </w:p>
    <w:p w14:paraId="237E1B4E">
      <w:pPr>
        <w:spacing w:after="156" w:afterLines="50" w:line="360" w:lineRule="auto"/>
        <w:ind w:firstLine="643" w:firstLineChars="200"/>
        <w:jc w:val="center"/>
        <w:outlineLvl w:val="0"/>
        <w:rPr>
          <w:b/>
          <w:bCs/>
          <w:sz w:val="32"/>
          <w:szCs w:val="32"/>
          <w:highlight w:val="none"/>
        </w:rPr>
      </w:pPr>
      <w:r>
        <w:rPr>
          <w:rFonts w:hint="eastAsia"/>
          <w:b/>
          <w:bCs/>
          <w:sz w:val="32"/>
          <w:szCs w:val="32"/>
          <w:highlight w:val="none"/>
        </w:rPr>
        <w:t>工安查核与奖惩办法</w:t>
      </w:r>
    </w:p>
    <w:p w14:paraId="56300F5B">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目的：加强工安管理，促进员工和承揽商遵守国家安全生产及公司有关工安管理制度的自觉性和主动性，杜绝“三违”（违章指挥、违章操作、违反劳动纪律），营造遵章守纪的良好氛围，提升公司注重工安管理的良好形象，确保员工和承揽商的生命安全，并在此基础上实现生产装置的安全运行。</w:t>
      </w:r>
    </w:p>
    <w:p w14:paraId="52982776">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凡在厂区内工作的人员都必须遵守本办法。新建项目区可以比照执行或由项目管理单位另行编制，层峰核准后报备QHSE部。</w:t>
      </w:r>
    </w:p>
    <w:p w14:paraId="2D868DDA">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承揽商和我司员工违反本办法的将按附件1所列条款处理,特殊情况未列入的，比照相关规定处理。</w:t>
      </w:r>
    </w:p>
    <w:p w14:paraId="4743D8D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公司员工违规处罚，直接从当月考绩中扣除相应的考绩分。集团内员工比照办理，由环安拟文致其主管作为处罚建议。</w:t>
      </w:r>
    </w:p>
    <w:p w14:paraId="01C686B1">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各级主管对下属员工遵守公司各项工安管理制度负有督导的责任,对其他人员违反公司工安管理制度情况也有纠举的义务。</w:t>
      </w:r>
    </w:p>
    <w:p w14:paraId="59F00DB9">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查核人员：公司各部门所有人员都有工安查核的责任与义务。</w:t>
      </w:r>
    </w:p>
    <w:p w14:paraId="28CE015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承揽商以签合约的公司为计算单位，在一个日历年度内，若累计被罚款达人民币3000元，或单次处罚达人民币1500元时，次年我司不再与其有业务往来；若累计被罚款达人民币5000元，单次处罚达人民币2500元时，得终止合约，我司三年内不再与其有业务往来。造成事故的，处于100——1000元罚款，并由监工单位按事故性质、大小、事故责任等扣减5％（含）以内的工程款。</w:t>
      </w:r>
    </w:p>
    <w:p w14:paraId="035BFC7C">
      <w:pPr>
        <w:numPr>
          <w:ilvl w:val="0"/>
          <w:numId w:val="9"/>
        </w:numPr>
        <w:spacing w:line="360" w:lineRule="auto"/>
        <w:ind w:left="0" w:firstLine="420" w:firstLineChars="200"/>
        <w:rPr>
          <w:rFonts w:ascii="宋体" w:hAnsi="宋体"/>
          <w:szCs w:val="21"/>
          <w:highlight w:val="none"/>
        </w:rPr>
      </w:pPr>
      <w:r>
        <w:rPr>
          <w:rFonts w:hint="eastAsia" w:ascii="宋体" w:hAnsi="宋体"/>
          <w:szCs w:val="21"/>
          <w:highlight w:val="none"/>
        </w:rPr>
        <w:t>处罚及缴款作业流程</w:t>
      </w:r>
    </w:p>
    <w:p w14:paraId="1ECF5EE4">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（1）、处罚流程：工安、环保罚款时，各单位纠举人员在OA系统中填写“工安罚款缴款单”，经部门经理核准后，转由相应监工单位负责督促包商缴纳罚金。同时，监工单位暂时停止支付相应的工程款。</w:t>
      </w:r>
    </w:p>
    <w:p w14:paraId="16488BED">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缴款流程：监工单位按照缴款作业流程，经部门经理核准后，在OA系统中打印“工安罚款缴款单”，并交给被罚承揽商，由承揽商直接缴交现金至会计部。会计受理后，开出收据返回被罚款单位，同时解冻支付。</w:t>
      </w:r>
    </w:p>
    <w:p w14:paraId="1C4DF35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（3）、监督流程：QHSE部负责对工安违规罚款全程进行监督，并对承揽商违章、罚款情况进行统计，定期将违章行为较严重的承揽商通报采购部门，作为厂商评价的一项内容。</w:t>
      </w:r>
    </w:p>
    <w:p w14:paraId="5B1B4BC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（4）、承揽商必须在指定时间内缴纳罚款和违规检讨书。超过3个工作日以上的，违规者停止作业，由此造成的损失由承揽商自行承担；超过5个工作日以上的，加倍处罚。对于屡次违规者</w:t>
      </w:r>
      <w:r>
        <w:rPr>
          <w:rFonts w:ascii="宋体" w:hAnsi="宋体"/>
          <w:szCs w:val="21"/>
          <w:highlight w:val="none"/>
        </w:rPr>
        <w:t>(</w:t>
      </w:r>
      <w:r>
        <w:rPr>
          <w:rFonts w:hint="eastAsia" w:ascii="宋体" w:hAnsi="宋体"/>
          <w:szCs w:val="21"/>
          <w:highlight w:val="none"/>
        </w:rPr>
        <w:t>单一条款累犯者或多次受罚者</w:t>
      </w:r>
      <w:r>
        <w:rPr>
          <w:rFonts w:ascii="宋体" w:hAnsi="宋体"/>
          <w:szCs w:val="21"/>
          <w:highlight w:val="none"/>
        </w:rPr>
        <w:t>)</w:t>
      </w:r>
      <w:r>
        <w:rPr>
          <w:rFonts w:hint="eastAsia" w:ascii="宋体" w:hAnsi="宋体"/>
          <w:szCs w:val="21"/>
          <w:highlight w:val="none"/>
        </w:rPr>
        <w:t>，将视情节轻重由环安召集会议或层峰核准，议定处置方式，处置方式可以是以下一种或几种，包括暂停办理进度验收及付款手续、承揽商提交检讨报告书、由监工单位重新组织安全培训、违规人员不得进厂施工、扣工程款、停止承揽资格、通告相关单位该承揽商今后不得参与竞标等。</w:t>
      </w:r>
    </w:p>
    <w:p w14:paraId="2D3B592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承揽商罚款作业流程图如附件2所示。</w:t>
      </w:r>
    </w:p>
    <w:p w14:paraId="1F31D02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9、扣分作业流程</w:t>
      </w:r>
    </w:p>
    <w:p w14:paraId="71B9AD95">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对我司员工的考核按照如下流程：QHSE部统计违规员工应扣考绩分数，并以联络笺形式同时通知违规员工所在单位主管及管理部人事课，单位主管从违规员工当月考绩中予以扣除，并于考绩表的“主管评语”栏中注明。人事课负责监督、核对违规人员当月考绩是否执行，如无，考绩退回单位主管重新填写，如已扣除，人事在联络笺中如实反应。对主任级以上主管，则上报副总、总经理议处。</w:t>
      </w:r>
    </w:p>
    <w:p w14:paraId="6C657483">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监工单位、辖区单位若有涉及扣考绩的处罚时，必须报备QHSE部，由环安汇总一并统计。若监工单位主动发现承揽商的违规行为并开出罚单，则可免除对监工的处罚，若辖区单位主动发现问题并开出罚单，则可免除对辖区人员的处罚。</w:t>
      </w:r>
    </w:p>
    <w:p w14:paraId="1C5BFAB6">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10、奖励办法</w:t>
      </w:r>
    </w:p>
    <w:p w14:paraId="73A451A4">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（1）、为推动全员参与公司安全活动，环安罚款金可以作为消防演练、举办工安/环保活动等基金，也可作为员工安全奖励金。</w:t>
      </w:r>
    </w:p>
    <w:p w14:paraId="22C709E8">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、为鼓励公司承揽商积极参与施工安全管理，确保承揽工程（作业）安全顺利的完成，环安每年年底统计“零事故，零违章”的承揽商，发放奖牌或证书，并将此名单报采购部门。</w:t>
      </w:r>
    </w:p>
    <w:p w14:paraId="0944D9B7">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11、本办法经总经理核准，修改亦同；</w:t>
      </w:r>
    </w:p>
    <w:p w14:paraId="278014BF">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12、本办法于2018年7月1日起生效。</w:t>
      </w:r>
    </w:p>
    <w:p w14:paraId="7DC39BB7">
      <w:pPr>
        <w:tabs>
          <w:tab w:val="left" w:pos="1260"/>
        </w:tabs>
        <w:spacing w:line="480" w:lineRule="exact"/>
        <w:ind w:firstLine="210" w:firstLineChars="100"/>
        <w:rPr>
          <w:rFonts w:ascii="宋体" w:hAnsi="宋体"/>
          <w:szCs w:val="21"/>
          <w:highlight w:val="none"/>
        </w:rPr>
      </w:pPr>
    </w:p>
    <w:p w14:paraId="5B94D60C">
      <w:pPr>
        <w:tabs>
          <w:tab w:val="left" w:pos="1260"/>
        </w:tabs>
        <w:spacing w:line="480" w:lineRule="exact"/>
        <w:ind w:firstLine="210" w:firstLineChars="100"/>
        <w:rPr>
          <w:rFonts w:ascii="宋体" w:hAnsi="宋体"/>
          <w:szCs w:val="21"/>
          <w:highlight w:val="none"/>
        </w:rPr>
      </w:pPr>
    </w:p>
    <w:p w14:paraId="21BB58BD">
      <w:pPr>
        <w:tabs>
          <w:tab w:val="left" w:pos="1260"/>
        </w:tabs>
        <w:spacing w:line="480" w:lineRule="exact"/>
        <w:ind w:firstLine="210" w:firstLineChars="100"/>
        <w:rPr>
          <w:rFonts w:ascii="宋体" w:hAnsi="宋体"/>
          <w:szCs w:val="21"/>
          <w:highlight w:val="none"/>
        </w:rPr>
      </w:pPr>
    </w:p>
    <w:p w14:paraId="7554A84B">
      <w:pPr>
        <w:tabs>
          <w:tab w:val="left" w:pos="1260"/>
        </w:tabs>
        <w:spacing w:line="480" w:lineRule="exact"/>
        <w:ind w:firstLine="210" w:firstLineChars="100"/>
        <w:rPr>
          <w:rFonts w:ascii="宋体" w:hAnsi="宋体"/>
          <w:szCs w:val="21"/>
          <w:highlight w:val="none"/>
        </w:rPr>
      </w:pPr>
    </w:p>
    <w:p w14:paraId="7D0DF150">
      <w:pPr>
        <w:pStyle w:val="2"/>
        <w:rPr>
          <w:rFonts w:hAnsi="宋体"/>
          <w:szCs w:val="21"/>
          <w:highlight w:val="none"/>
        </w:rPr>
      </w:pPr>
    </w:p>
    <w:p w14:paraId="7AD4AE53">
      <w:pPr>
        <w:pStyle w:val="2"/>
        <w:rPr>
          <w:rFonts w:hint="eastAsia" w:hAnsi="宋体"/>
          <w:szCs w:val="21"/>
          <w:highlight w:val="none"/>
        </w:rPr>
      </w:pPr>
    </w:p>
    <w:p w14:paraId="789EA434">
      <w:pPr>
        <w:pStyle w:val="2"/>
        <w:rPr>
          <w:rFonts w:hAnsi="宋体"/>
          <w:szCs w:val="21"/>
          <w:highlight w:val="none"/>
        </w:rPr>
      </w:pPr>
    </w:p>
    <w:p w14:paraId="56302045">
      <w:pPr>
        <w:tabs>
          <w:tab w:val="left" w:pos="0"/>
        </w:tabs>
        <w:spacing w:line="360" w:lineRule="auto"/>
        <w:rPr>
          <w:rFonts w:ascii="宋体" w:hAnsi="宋体"/>
          <w:b/>
          <w:szCs w:val="21"/>
          <w:highlight w:val="none"/>
        </w:rPr>
      </w:pPr>
      <w:r>
        <w:rPr>
          <w:rFonts w:hint="eastAsia" w:ascii="宋体" w:hAnsi="宋体"/>
          <w:b/>
          <w:szCs w:val="21"/>
          <w:highlight w:val="none"/>
        </w:rPr>
        <w:t>附件1 处罚内容：（注：表格中的监工指福海创公司人员，集团人员比照办理）</w:t>
      </w:r>
    </w:p>
    <w:tbl>
      <w:tblPr>
        <w:tblStyle w:val="15"/>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427"/>
        <w:gridCol w:w="4974"/>
        <w:gridCol w:w="1620"/>
        <w:gridCol w:w="2584"/>
      </w:tblGrid>
      <w:tr w14:paraId="66ED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vAlign w:val="center"/>
          </w:tcPr>
          <w:p w14:paraId="4C2B7880">
            <w:pPr>
              <w:rPr>
                <w:rFonts w:ascii="宋体" w:hAnsi="宋体"/>
                <w:szCs w:val="21"/>
                <w:highlight w:val="none"/>
              </w:rPr>
            </w:pPr>
            <w:r>
              <w:rPr>
                <w:rFonts w:hint="eastAsia" w:ascii="宋体" w:hAnsi="宋体"/>
                <w:szCs w:val="21"/>
                <w:highlight w:val="none"/>
              </w:rPr>
              <w:t>序号</w:t>
            </w:r>
          </w:p>
        </w:tc>
        <w:tc>
          <w:tcPr>
            <w:tcW w:w="5401" w:type="dxa"/>
            <w:gridSpan w:val="2"/>
            <w:vMerge w:val="restart"/>
            <w:vAlign w:val="center"/>
          </w:tcPr>
          <w:p w14:paraId="2EDCF450">
            <w:pPr>
              <w:rPr>
                <w:rFonts w:ascii="宋体" w:hAnsi="宋体"/>
                <w:szCs w:val="21"/>
                <w:highlight w:val="none"/>
              </w:rPr>
            </w:pPr>
            <w:r>
              <w:rPr>
                <w:rFonts w:hint="eastAsia" w:ascii="宋体" w:hAnsi="宋体"/>
                <w:szCs w:val="21"/>
                <w:highlight w:val="none"/>
              </w:rPr>
              <w:t>违章内容</w:t>
            </w:r>
          </w:p>
        </w:tc>
        <w:tc>
          <w:tcPr>
            <w:tcW w:w="4204" w:type="dxa"/>
            <w:gridSpan w:val="2"/>
            <w:vAlign w:val="center"/>
          </w:tcPr>
          <w:p w14:paraId="1641C2EE">
            <w:pPr>
              <w:rPr>
                <w:rFonts w:ascii="宋体" w:hAnsi="宋体"/>
                <w:szCs w:val="21"/>
                <w:highlight w:val="none"/>
              </w:rPr>
            </w:pPr>
            <w:r>
              <w:rPr>
                <w:rFonts w:hint="eastAsia" w:ascii="宋体" w:hAnsi="宋体"/>
                <w:szCs w:val="21"/>
                <w:highlight w:val="none"/>
              </w:rPr>
              <w:t>处罚情况</w:t>
            </w:r>
          </w:p>
        </w:tc>
      </w:tr>
      <w:tr w14:paraId="6D1F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14:paraId="52655DF0">
            <w:pPr>
              <w:rPr>
                <w:rFonts w:ascii="宋体" w:hAnsi="宋体"/>
                <w:szCs w:val="21"/>
                <w:highlight w:val="none"/>
              </w:rPr>
            </w:pPr>
          </w:p>
        </w:tc>
        <w:tc>
          <w:tcPr>
            <w:tcW w:w="5401" w:type="dxa"/>
            <w:gridSpan w:val="2"/>
            <w:vMerge w:val="continue"/>
            <w:vAlign w:val="center"/>
          </w:tcPr>
          <w:p w14:paraId="109F162E">
            <w:pPr>
              <w:rPr>
                <w:rFonts w:ascii="宋体" w:hAnsi="宋体"/>
                <w:szCs w:val="21"/>
                <w:highlight w:val="none"/>
              </w:rPr>
            </w:pPr>
          </w:p>
        </w:tc>
        <w:tc>
          <w:tcPr>
            <w:tcW w:w="1620" w:type="dxa"/>
            <w:vAlign w:val="center"/>
          </w:tcPr>
          <w:p w14:paraId="6F61DBC6">
            <w:pPr>
              <w:jc w:val="center"/>
              <w:rPr>
                <w:rFonts w:ascii="宋体" w:hAnsi="宋体"/>
                <w:szCs w:val="21"/>
                <w:highlight w:val="none"/>
              </w:rPr>
            </w:pPr>
            <w:r>
              <w:rPr>
                <w:rFonts w:hint="eastAsia" w:ascii="宋体" w:hAnsi="宋体"/>
                <w:szCs w:val="21"/>
                <w:highlight w:val="none"/>
              </w:rPr>
              <w:t>承揽商</w:t>
            </w:r>
          </w:p>
        </w:tc>
        <w:tc>
          <w:tcPr>
            <w:tcW w:w="2584" w:type="dxa"/>
            <w:vAlign w:val="center"/>
          </w:tcPr>
          <w:p w14:paraId="285EE08E">
            <w:pPr>
              <w:jc w:val="center"/>
              <w:rPr>
                <w:rFonts w:ascii="宋体" w:hAnsi="宋体"/>
                <w:szCs w:val="21"/>
                <w:highlight w:val="none"/>
              </w:rPr>
            </w:pPr>
            <w:r>
              <w:rPr>
                <w:rFonts w:hint="eastAsia" w:ascii="宋体" w:hAnsi="宋体"/>
                <w:szCs w:val="21"/>
                <w:highlight w:val="none"/>
              </w:rPr>
              <w:t>公司人员</w:t>
            </w:r>
          </w:p>
        </w:tc>
      </w:tr>
      <w:tr w14:paraId="05CA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67" w:type="dxa"/>
            <w:vMerge w:val="restart"/>
            <w:vAlign w:val="center"/>
          </w:tcPr>
          <w:p w14:paraId="6D408F87">
            <w:pPr>
              <w:rPr>
                <w:rFonts w:ascii="宋体" w:hAnsi="宋体"/>
                <w:bCs/>
                <w:szCs w:val="21"/>
                <w:highlight w:val="none"/>
              </w:rPr>
            </w:pPr>
            <w:r>
              <w:rPr>
                <w:rFonts w:hint="eastAsia" w:ascii="宋体" w:hAnsi="宋体"/>
                <w:bCs/>
                <w:szCs w:val="21"/>
                <w:highlight w:val="none"/>
              </w:rPr>
              <w:t>1</w:t>
            </w:r>
          </w:p>
        </w:tc>
        <w:tc>
          <w:tcPr>
            <w:tcW w:w="427" w:type="dxa"/>
            <w:vMerge w:val="restart"/>
            <w:vAlign w:val="center"/>
          </w:tcPr>
          <w:p w14:paraId="477E8A2E">
            <w:pPr>
              <w:rPr>
                <w:rFonts w:ascii="宋体" w:hAnsi="宋体"/>
                <w:szCs w:val="21"/>
                <w:highlight w:val="none"/>
              </w:rPr>
            </w:pPr>
            <w:r>
              <w:rPr>
                <w:rFonts w:hint="eastAsia" w:ascii="宋体" w:hAnsi="宋体"/>
                <w:szCs w:val="21"/>
                <w:highlight w:val="none"/>
              </w:rPr>
              <w:t>烟</w:t>
            </w:r>
          </w:p>
          <w:p w14:paraId="0D6C6AA5">
            <w:pPr>
              <w:rPr>
                <w:rFonts w:ascii="宋体" w:hAnsi="宋体"/>
                <w:szCs w:val="21"/>
                <w:highlight w:val="none"/>
              </w:rPr>
            </w:pPr>
            <w:r>
              <w:rPr>
                <w:rFonts w:hint="eastAsia" w:ascii="宋体" w:hAnsi="宋体"/>
                <w:szCs w:val="21"/>
                <w:highlight w:val="none"/>
              </w:rPr>
              <w:t>、火</w:t>
            </w:r>
          </w:p>
          <w:p w14:paraId="6087D3F2">
            <w:pPr>
              <w:rPr>
                <w:rFonts w:ascii="宋体" w:hAnsi="宋体"/>
                <w:szCs w:val="21"/>
                <w:highlight w:val="none"/>
              </w:rPr>
            </w:pPr>
            <w:r>
              <w:rPr>
                <w:rFonts w:hint="eastAsia" w:ascii="宋体" w:hAnsi="宋体"/>
                <w:szCs w:val="21"/>
                <w:highlight w:val="none"/>
              </w:rPr>
              <w:t>管</w:t>
            </w:r>
          </w:p>
          <w:p w14:paraId="4903314A">
            <w:pPr>
              <w:rPr>
                <w:rFonts w:ascii="宋体" w:hAnsi="宋体"/>
                <w:szCs w:val="21"/>
                <w:highlight w:val="none"/>
              </w:rPr>
            </w:pPr>
            <w:r>
              <w:rPr>
                <w:rFonts w:hint="eastAsia" w:ascii="宋体" w:hAnsi="宋体"/>
                <w:szCs w:val="21"/>
                <w:highlight w:val="none"/>
              </w:rPr>
              <w:t>制</w:t>
            </w:r>
          </w:p>
        </w:tc>
        <w:tc>
          <w:tcPr>
            <w:tcW w:w="4974" w:type="dxa"/>
            <w:vAlign w:val="center"/>
          </w:tcPr>
          <w:p w14:paraId="2FF41A5E">
            <w:pPr>
              <w:rPr>
                <w:rFonts w:ascii="宋体" w:hAnsi="宋体"/>
                <w:szCs w:val="21"/>
                <w:highlight w:val="none"/>
              </w:rPr>
            </w:pPr>
            <w:r>
              <w:rPr>
                <w:rFonts w:hint="eastAsia" w:ascii="宋体" w:hAnsi="宋体"/>
                <w:szCs w:val="21"/>
                <w:highlight w:val="none"/>
              </w:rPr>
              <w:t>1、在未经批准的场所吸烟。</w:t>
            </w:r>
          </w:p>
        </w:tc>
        <w:tc>
          <w:tcPr>
            <w:tcW w:w="1620" w:type="dxa"/>
            <w:vAlign w:val="center"/>
          </w:tcPr>
          <w:p w14:paraId="46E9CF73">
            <w:pPr>
              <w:rPr>
                <w:rFonts w:ascii="宋体" w:hAnsi="宋体"/>
                <w:szCs w:val="21"/>
                <w:highlight w:val="none"/>
              </w:rPr>
            </w:pPr>
            <w:r>
              <w:rPr>
                <w:rFonts w:hint="eastAsia" w:ascii="宋体" w:hAnsi="宋体"/>
                <w:szCs w:val="21"/>
                <w:highlight w:val="none"/>
              </w:rPr>
              <w:t>罚款100</w:t>
            </w:r>
            <w:r>
              <w:rPr>
                <w:rFonts w:ascii="宋体" w:hAnsi="宋体"/>
                <w:szCs w:val="21"/>
                <w:highlight w:val="none"/>
              </w:rPr>
              <w:t>0</w:t>
            </w:r>
            <w:r>
              <w:rPr>
                <w:rFonts w:hint="eastAsia" w:ascii="宋体" w:hAnsi="宋体"/>
                <w:szCs w:val="21"/>
                <w:highlight w:val="none"/>
              </w:rPr>
              <w:t>元/人次，同时禁止其入厂</w:t>
            </w:r>
          </w:p>
        </w:tc>
        <w:tc>
          <w:tcPr>
            <w:tcW w:w="2584" w:type="dxa"/>
            <w:vAlign w:val="center"/>
          </w:tcPr>
          <w:p w14:paraId="6476DFE9">
            <w:pPr>
              <w:rPr>
                <w:rFonts w:ascii="宋体" w:hAnsi="宋体"/>
                <w:szCs w:val="21"/>
                <w:highlight w:val="none"/>
              </w:rPr>
            </w:pPr>
            <w:r>
              <w:rPr>
                <w:rFonts w:hint="eastAsia" w:ascii="宋体" w:hAnsi="宋体"/>
                <w:szCs w:val="21"/>
                <w:highlight w:val="none"/>
              </w:rPr>
              <w:t>扣当事人：5分/次，并送管理部处理</w:t>
            </w:r>
          </w:p>
        </w:tc>
      </w:tr>
      <w:tr w14:paraId="050F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467" w:type="dxa"/>
            <w:vMerge w:val="continue"/>
            <w:vAlign w:val="center"/>
          </w:tcPr>
          <w:p w14:paraId="65082778">
            <w:pPr>
              <w:rPr>
                <w:rFonts w:ascii="宋体" w:hAnsi="宋体"/>
                <w:szCs w:val="21"/>
                <w:highlight w:val="none"/>
              </w:rPr>
            </w:pPr>
          </w:p>
        </w:tc>
        <w:tc>
          <w:tcPr>
            <w:tcW w:w="427" w:type="dxa"/>
            <w:vMerge w:val="continue"/>
            <w:vAlign w:val="center"/>
          </w:tcPr>
          <w:p w14:paraId="10E04BBC">
            <w:pPr>
              <w:rPr>
                <w:rFonts w:ascii="宋体" w:hAnsi="宋体"/>
                <w:szCs w:val="21"/>
                <w:highlight w:val="none"/>
              </w:rPr>
            </w:pPr>
          </w:p>
        </w:tc>
        <w:tc>
          <w:tcPr>
            <w:tcW w:w="4974" w:type="dxa"/>
            <w:vAlign w:val="center"/>
          </w:tcPr>
          <w:p w14:paraId="5976CA78">
            <w:pPr>
              <w:rPr>
                <w:rFonts w:ascii="宋体" w:hAnsi="宋体"/>
                <w:szCs w:val="21"/>
                <w:highlight w:val="none"/>
              </w:rPr>
            </w:pPr>
            <w:r>
              <w:rPr>
                <w:rFonts w:hint="eastAsia" w:ascii="宋体" w:hAnsi="宋体"/>
                <w:szCs w:val="21"/>
                <w:highlight w:val="none"/>
              </w:rPr>
              <w:t>2、吸烟室（点）的烟头、火柴杆没有放在烟灰缸或装有水或砂的桶内，或落地。</w:t>
            </w:r>
          </w:p>
        </w:tc>
        <w:tc>
          <w:tcPr>
            <w:tcW w:w="1620" w:type="dxa"/>
            <w:vAlign w:val="center"/>
          </w:tcPr>
          <w:p w14:paraId="5A457BEF">
            <w:pPr>
              <w:rPr>
                <w:rFonts w:ascii="宋体" w:hAnsi="宋体"/>
                <w:szCs w:val="21"/>
                <w:highlight w:val="none"/>
              </w:rPr>
            </w:pPr>
            <w:r>
              <w:rPr>
                <w:rFonts w:hint="eastAsia" w:ascii="宋体" w:hAnsi="宋体"/>
                <w:szCs w:val="21"/>
                <w:highlight w:val="none"/>
              </w:rPr>
              <w:t>罚款5</w:t>
            </w:r>
            <w:r>
              <w:rPr>
                <w:rFonts w:ascii="宋体" w:hAnsi="宋体"/>
                <w:szCs w:val="21"/>
                <w:highlight w:val="none"/>
              </w:rPr>
              <w:t>0</w:t>
            </w:r>
            <w:r>
              <w:rPr>
                <w:rFonts w:hint="eastAsia" w:ascii="宋体" w:hAnsi="宋体"/>
                <w:szCs w:val="21"/>
                <w:highlight w:val="none"/>
              </w:rPr>
              <w:t>元/个</w:t>
            </w:r>
          </w:p>
        </w:tc>
        <w:tc>
          <w:tcPr>
            <w:tcW w:w="2584" w:type="dxa"/>
            <w:vAlign w:val="center"/>
          </w:tcPr>
          <w:p w14:paraId="6ACBF2A8">
            <w:pPr>
              <w:rPr>
                <w:rFonts w:ascii="宋体" w:hAnsi="宋体"/>
                <w:szCs w:val="21"/>
                <w:highlight w:val="none"/>
              </w:rPr>
            </w:pPr>
            <w:r>
              <w:rPr>
                <w:rFonts w:hint="eastAsia" w:ascii="宋体" w:hAnsi="宋体"/>
                <w:szCs w:val="21"/>
                <w:highlight w:val="none"/>
              </w:rPr>
              <w:t>扣当事人1分/个</w:t>
            </w:r>
          </w:p>
        </w:tc>
      </w:tr>
      <w:tr w14:paraId="779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467" w:type="dxa"/>
            <w:vMerge w:val="continue"/>
            <w:vAlign w:val="center"/>
          </w:tcPr>
          <w:p w14:paraId="6DC4C7DF">
            <w:pPr>
              <w:rPr>
                <w:rFonts w:ascii="宋体" w:hAnsi="宋体"/>
                <w:szCs w:val="21"/>
                <w:highlight w:val="none"/>
              </w:rPr>
            </w:pPr>
          </w:p>
        </w:tc>
        <w:tc>
          <w:tcPr>
            <w:tcW w:w="427" w:type="dxa"/>
            <w:vMerge w:val="continue"/>
            <w:vAlign w:val="center"/>
          </w:tcPr>
          <w:p w14:paraId="2DF0ED0C">
            <w:pPr>
              <w:rPr>
                <w:rFonts w:ascii="宋体" w:hAnsi="宋体"/>
                <w:szCs w:val="21"/>
                <w:highlight w:val="none"/>
              </w:rPr>
            </w:pPr>
          </w:p>
        </w:tc>
        <w:tc>
          <w:tcPr>
            <w:tcW w:w="4974" w:type="dxa"/>
            <w:vAlign w:val="center"/>
          </w:tcPr>
          <w:p w14:paraId="25C0DD86">
            <w:pPr>
              <w:rPr>
                <w:rFonts w:ascii="宋体" w:hAnsi="宋体"/>
                <w:szCs w:val="21"/>
                <w:highlight w:val="none"/>
              </w:rPr>
            </w:pPr>
            <w:r>
              <w:rPr>
                <w:rFonts w:hint="eastAsia" w:ascii="宋体" w:hAnsi="宋体"/>
                <w:szCs w:val="21"/>
                <w:highlight w:val="none"/>
              </w:rPr>
              <w:t>3、在未经批准的场所使用明火电炉。</w:t>
            </w:r>
          </w:p>
        </w:tc>
        <w:tc>
          <w:tcPr>
            <w:tcW w:w="1620" w:type="dxa"/>
            <w:vAlign w:val="center"/>
          </w:tcPr>
          <w:p w14:paraId="018C8C7C">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Merge w:val="restart"/>
            <w:vAlign w:val="center"/>
          </w:tcPr>
          <w:p w14:paraId="222FA3C3">
            <w:pPr>
              <w:rPr>
                <w:rFonts w:ascii="宋体" w:hAnsi="宋体"/>
                <w:szCs w:val="21"/>
                <w:highlight w:val="none"/>
              </w:rPr>
            </w:pPr>
            <w:r>
              <w:rPr>
                <w:rFonts w:hint="eastAsia" w:ascii="宋体" w:hAnsi="宋体"/>
                <w:szCs w:val="21"/>
                <w:highlight w:val="none"/>
              </w:rPr>
              <w:t>1、扣当事人2分/次，对负责此项工作的直接主管扣1分/次</w:t>
            </w:r>
          </w:p>
          <w:p w14:paraId="250445A8">
            <w:pPr>
              <w:rPr>
                <w:rFonts w:ascii="宋体" w:hAnsi="宋体"/>
                <w:szCs w:val="21"/>
                <w:highlight w:val="none"/>
              </w:rPr>
            </w:pPr>
            <w:r>
              <w:rPr>
                <w:rFonts w:hint="eastAsia" w:ascii="宋体" w:hAnsi="宋体"/>
                <w:szCs w:val="21"/>
                <w:highlight w:val="none"/>
              </w:rPr>
              <w:t>2、相应监工扣1分/次</w:t>
            </w:r>
          </w:p>
        </w:tc>
      </w:tr>
      <w:tr w14:paraId="313C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vAlign w:val="center"/>
          </w:tcPr>
          <w:p w14:paraId="737E5886">
            <w:pPr>
              <w:rPr>
                <w:rFonts w:ascii="宋体" w:hAnsi="宋体"/>
                <w:szCs w:val="21"/>
                <w:highlight w:val="none"/>
              </w:rPr>
            </w:pPr>
          </w:p>
        </w:tc>
        <w:tc>
          <w:tcPr>
            <w:tcW w:w="427" w:type="dxa"/>
            <w:vMerge w:val="continue"/>
            <w:vAlign w:val="center"/>
          </w:tcPr>
          <w:p w14:paraId="67831A75">
            <w:pPr>
              <w:rPr>
                <w:rFonts w:ascii="宋体" w:hAnsi="宋体"/>
                <w:szCs w:val="21"/>
                <w:highlight w:val="none"/>
              </w:rPr>
            </w:pPr>
          </w:p>
        </w:tc>
        <w:tc>
          <w:tcPr>
            <w:tcW w:w="4974" w:type="dxa"/>
            <w:vAlign w:val="center"/>
          </w:tcPr>
          <w:p w14:paraId="79FF69A5">
            <w:pPr>
              <w:rPr>
                <w:rFonts w:ascii="宋体" w:hAnsi="宋体"/>
                <w:szCs w:val="21"/>
                <w:highlight w:val="none"/>
              </w:rPr>
            </w:pPr>
            <w:r>
              <w:rPr>
                <w:rFonts w:hint="eastAsia" w:ascii="宋体" w:hAnsi="宋体"/>
                <w:szCs w:val="21"/>
                <w:highlight w:val="none"/>
              </w:rPr>
              <w:t>4、进行电气焊接气割、烧烤或使用非防爆型电动工具、用电设备等作业前，没有办理动火作业票，或动火时间、地点、项目与票证不相符。</w:t>
            </w:r>
          </w:p>
        </w:tc>
        <w:tc>
          <w:tcPr>
            <w:tcW w:w="1620" w:type="dxa"/>
            <w:vAlign w:val="center"/>
          </w:tcPr>
          <w:p w14:paraId="340C7C6B">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Merge w:val="continue"/>
            <w:vAlign w:val="center"/>
          </w:tcPr>
          <w:p w14:paraId="02C67148">
            <w:pPr>
              <w:rPr>
                <w:rFonts w:ascii="宋体" w:hAnsi="宋体"/>
                <w:szCs w:val="21"/>
                <w:highlight w:val="none"/>
              </w:rPr>
            </w:pPr>
          </w:p>
        </w:tc>
      </w:tr>
      <w:tr w14:paraId="312B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467" w:type="dxa"/>
            <w:vMerge w:val="continue"/>
            <w:vAlign w:val="center"/>
          </w:tcPr>
          <w:p w14:paraId="1CE2BEBF">
            <w:pPr>
              <w:rPr>
                <w:rFonts w:ascii="宋体" w:hAnsi="宋体"/>
                <w:szCs w:val="21"/>
                <w:highlight w:val="none"/>
              </w:rPr>
            </w:pPr>
          </w:p>
        </w:tc>
        <w:tc>
          <w:tcPr>
            <w:tcW w:w="427" w:type="dxa"/>
            <w:vMerge w:val="continue"/>
            <w:vAlign w:val="center"/>
          </w:tcPr>
          <w:p w14:paraId="325F9A7E">
            <w:pPr>
              <w:rPr>
                <w:rFonts w:ascii="宋体" w:hAnsi="宋体"/>
                <w:szCs w:val="21"/>
                <w:highlight w:val="none"/>
              </w:rPr>
            </w:pPr>
          </w:p>
        </w:tc>
        <w:tc>
          <w:tcPr>
            <w:tcW w:w="4974" w:type="dxa"/>
            <w:vAlign w:val="center"/>
          </w:tcPr>
          <w:p w14:paraId="0ED870B3">
            <w:pPr>
              <w:rPr>
                <w:rFonts w:ascii="宋体" w:hAnsi="宋体"/>
                <w:szCs w:val="21"/>
                <w:highlight w:val="none"/>
              </w:rPr>
            </w:pPr>
            <w:r>
              <w:rPr>
                <w:rFonts w:hint="eastAsia" w:ascii="宋体" w:hAnsi="宋体"/>
                <w:szCs w:val="21"/>
                <w:highlight w:val="none"/>
              </w:rPr>
              <w:t>5、使用轻油（如汽油、酒精等）清洗衣物、设备、器件、地面。</w:t>
            </w:r>
          </w:p>
        </w:tc>
        <w:tc>
          <w:tcPr>
            <w:tcW w:w="1620" w:type="dxa"/>
            <w:vAlign w:val="center"/>
          </w:tcPr>
          <w:p w14:paraId="54F42E57">
            <w:pPr>
              <w:rPr>
                <w:rFonts w:ascii="宋体" w:hAnsi="宋体"/>
                <w:szCs w:val="21"/>
                <w:highlight w:val="none"/>
              </w:rPr>
            </w:pPr>
            <w:r>
              <w:rPr>
                <w:rFonts w:hint="eastAsia" w:ascii="宋体" w:hAnsi="宋体"/>
                <w:szCs w:val="21"/>
                <w:highlight w:val="none"/>
              </w:rPr>
              <w:t>罚款200元</w:t>
            </w:r>
            <w:r>
              <w:rPr>
                <w:rFonts w:ascii="宋体" w:hAnsi="宋体"/>
                <w:szCs w:val="21"/>
                <w:highlight w:val="none"/>
              </w:rPr>
              <w:t>/</w:t>
            </w:r>
            <w:r>
              <w:rPr>
                <w:rFonts w:hint="eastAsia" w:ascii="宋体" w:hAnsi="宋体"/>
                <w:szCs w:val="21"/>
                <w:highlight w:val="none"/>
              </w:rPr>
              <w:t>次</w:t>
            </w:r>
          </w:p>
        </w:tc>
        <w:tc>
          <w:tcPr>
            <w:tcW w:w="2584" w:type="dxa"/>
            <w:vAlign w:val="center"/>
          </w:tcPr>
          <w:p w14:paraId="67A1B918">
            <w:pPr>
              <w:rPr>
                <w:rFonts w:ascii="宋体" w:hAnsi="宋体"/>
                <w:szCs w:val="21"/>
                <w:highlight w:val="none"/>
              </w:rPr>
            </w:pPr>
            <w:r>
              <w:rPr>
                <w:rFonts w:hint="eastAsia" w:ascii="宋体" w:hAnsi="宋体"/>
                <w:szCs w:val="21"/>
                <w:highlight w:val="none"/>
              </w:rPr>
              <w:t>扣当事人2分/次。直接主管扣1分/次</w:t>
            </w:r>
          </w:p>
        </w:tc>
      </w:tr>
      <w:tr w14:paraId="7139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467" w:type="dxa"/>
            <w:vMerge w:val="continue"/>
            <w:vAlign w:val="center"/>
          </w:tcPr>
          <w:p w14:paraId="13285837">
            <w:pPr>
              <w:rPr>
                <w:rFonts w:ascii="宋体" w:hAnsi="宋体"/>
                <w:szCs w:val="21"/>
                <w:highlight w:val="none"/>
              </w:rPr>
            </w:pPr>
            <w:r>
              <w:rPr>
                <w:rFonts w:hint="eastAsia" w:ascii="宋体" w:hAnsi="宋体"/>
                <w:szCs w:val="21"/>
                <w:highlight w:val="none"/>
              </w:rPr>
              <w:t>-</w:t>
            </w:r>
          </w:p>
        </w:tc>
        <w:tc>
          <w:tcPr>
            <w:tcW w:w="427" w:type="dxa"/>
            <w:vMerge w:val="continue"/>
            <w:vAlign w:val="center"/>
          </w:tcPr>
          <w:p w14:paraId="1A2F432A">
            <w:pPr>
              <w:rPr>
                <w:rFonts w:ascii="宋体" w:hAnsi="宋体"/>
                <w:szCs w:val="21"/>
                <w:highlight w:val="none"/>
              </w:rPr>
            </w:pPr>
          </w:p>
        </w:tc>
        <w:tc>
          <w:tcPr>
            <w:tcW w:w="4974" w:type="dxa"/>
            <w:vAlign w:val="center"/>
          </w:tcPr>
          <w:p w14:paraId="00C7AB59">
            <w:pPr>
              <w:rPr>
                <w:rFonts w:ascii="宋体" w:hAnsi="宋体"/>
                <w:szCs w:val="21"/>
                <w:highlight w:val="none"/>
              </w:rPr>
            </w:pPr>
            <w:r>
              <w:rPr>
                <w:rFonts w:hint="eastAsia" w:ascii="宋体" w:hAnsi="宋体"/>
                <w:szCs w:val="21"/>
                <w:highlight w:val="none"/>
              </w:rPr>
              <w:t>6、高处动火作业、交叉作业，未采取防护措施或采取防火花飞溅的遮挡措施不到位，造成火花溅落。</w:t>
            </w:r>
          </w:p>
        </w:tc>
        <w:tc>
          <w:tcPr>
            <w:tcW w:w="1620" w:type="dxa"/>
            <w:vAlign w:val="center"/>
          </w:tcPr>
          <w:p w14:paraId="014F663A">
            <w:pPr>
              <w:rPr>
                <w:rFonts w:ascii="宋体" w:hAnsi="宋体"/>
                <w:szCs w:val="21"/>
                <w:highlight w:val="none"/>
              </w:rPr>
            </w:pPr>
            <w:r>
              <w:rPr>
                <w:rFonts w:hint="eastAsia" w:ascii="宋体" w:hAnsi="宋体"/>
                <w:szCs w:val="21"/>
                <w:highlight w:val="none"/>
              </w:rPr>
              <w:t>罚款500元/次</w:t>
            </w:r>
          </w:p>
        </w:tc>
        <w:tc>
          <w:tcPr>
            <w:tcW w:w="2584" w:type="dxa"/>
            <w:vAlign w:val="center"/>
          </w:tcPr>
          <w:p w14:paraId="38139BE3">
            <w:pPr>
              <w:rPr>
                <w:rFonts w:ascii="宋体" w:hAnsi="宋体"/>
                <w:szCs w:val="21"/>
                <w:highlight w:val="none"/>
              </w:rPr>
            </w:pPr>
            <w:r>
              <w:rPr>
                <w:rFonts w:hint="eastAsia" w:ascii="宋体" w:hAnsi="宋体"/>
                <w:szCs w:val="21"/>
                <w:highlight w:val="none"/>
              </w:rPr>
              <w:t>1、扣当事人2分/次，直接主管扣1分/次</w:t>
            </w:r>
          </w:p>
          <w:p w14:paraId="41CC8FC2">
            <w:pPr>
              <w:rPr>
                <w:rFonts w:ascii="宋体" w:hAnsi="宋体"/>
                <w:szCs w:val="21"/>
                <w:highlight w:val="none"/>
              </w:rPr>
            </w:pPr>
            <w:r>
              <w:rPr>
                <w:rFonts w:hint="eastAsia" w:ascii="宋体" w:hAnsi="宋体"/>
                <w:szCs w:val="21"/>
                <w:highlight w:val="none"/>
              </w:rPr>
              <w:t>2、相应监工、辖区责任人扣1分/次</w:t>
            </w:r>
          </w:p>
        </w:tc>
      </w:tr>
      <w:tr w14:paraId="494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67" w:type="dxa"/>
            <w:vMerge w:val="continue"/>
            <w:vAlign w:val="center"/>
          </w:tcPr>
          <w:p w14:paraId="1141CDE7">
            <w:pPr>
              <w:rPr>
                <w:rFonts w:ascii="宋体" w:hAnsi="宋体"/>
                <w:szCs w:val="21"/>
                <w:highlight w:val="none"/>
              </w:rPr>
            </w:pPr>
          </w:p>
        </w:tc>
        <w:tc>
          <w:tcPr>
            <w:tcW w:w="427" w:type="dxa"/>
            <w:vMerge w:val="continue"/>
            <w:vAlign w:val="center"/>
          </w:tcPr>
          <w:p w14:paraId="7A57B5E8">
            <w:pPr>
              <w:rPr>
                <w:rFonts w:ascii="宋体" w:hAnsi="宋体"/>
                <w:szCs w:val="21"/>
                <w:highlight w:val="none"/>
              </w:rPr>
            </w:pPr>
          </w:p>
        </w:tc>
        <w:tc>
          <w:tcPr>
            <w:tcW w:w="4974" w:type="dxa"/>
            <w:vAlign w:val="center"/>
          </w:tcPr>
          <w:p w14:paraId="3A1BEBBC">
            <w:pPr>
              <w:rPr>
                <w:rFonts w:ascii="宋体" w:hAnsi="宋体"/>
                <w:szCs w:val="21"/>
                <w:highlight w:val="none"/>
              </w:rPr>
            </w:pPr>
            <w:r>
              <w:rPr>
                <w:rFonts w:hint="eastAsia" w:ascii="宋体" w:hAnsi="宋体"/>
                <w:szCs w:val="21"/>
                <w:highlight w:val="none"/>
              </w:rPr>
              <w:t>7、动火作业附近可燃物未清理、隔离或备妥消防设施的。</w:t>
            </w:r>
          </w:p>
        </w:tc>
        <w:tc>
          <w:tcPr>
            <w:tcW w:w="1620" w:type="dxa"/>
            <w:vAlign w:val="center"/>
          </w:tcPr>
          <w:p w14:paraId="302C4E89">
            <w:pPr>
              <w:rPr>
                <w:rFonts w:ascii="宋体" w:hAnsi="宋体"/>
                <w:szCs w:val="21"/>
                <w:highlight w:val="none"/>
              </w:rPr>
            </w:pPr>
            <w:r>
              <w:rPr>
                <w:rFonts w:hint="eastAsia" w:ascii="宋体" w:hAnsi="宋体"/>
                <w:szCs w:val="21"/>
                <w:highlight w:val="none"/>
              </w:rPr>
              <w:t>罚款200元/次</w:t>
            </w:r>
          </w:p>
        </w:tc>
        <w:tc>
          <w:tcPr>
            <w:tcW w:w="2584" w:type="dxa"/>
            <w:vAlign w:val="center"/>
          </w:tcPr>
          <w:p w14:paraId="4E1E9496">
            <w:pPr>
              <w:rPr>
                <w:rFonts w:ascii="宋体" w:hAnsi="宋体"/>
                <w:szCs w:val="21"/>
                <w:highlight w:val="none"/>
              </w:rPr>
            </w:pPr>
            <w:r>
              <w:rPr>
                <w:rFonts w:hint="eastAsia" w:ascii="宋体" w:hAnsi="宋体"/>
                <w:szCs w:val="21"/>
                <w:highlight w:val="none"/>
              </w:rPr>
              <w:t>扣当事人2分/次</w:t>
            </w:r>
          </w:p>
        </w:tc>
      </w:tr>
      <w:tr w14:paraId="4E6E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67" w:type="dxa"/>
            <w:vMerge w:val="continue"/>
            <w:vAlign w:val="center"/>
          </w:tcPr>
          <w:p w14:paraId="4676761A">
            <w:pPr>
              <w:rPr>
                <w:rFonts w:ascii="宋体" w:hAnsi="宋体"/>
                <w:szCs w:val="21"/>
                <w:highlight w:val="none"/>
              </w:rPr>
            </w:pPr>
          </w:p>
        </w:tc>
        <w:tc>
          <w:tcPr>
            <w:tcW w:w="427" w:type="dxa"/>
            <w:vMerge w:val="continue"/>
            <w:vAlign w:val="center"/>
          </w:tcPr>
          <w:p w14:paraId="0039079C">
            <w:pPr>
              <w:rPr>
                <w:rFonts w:ascii="宋体" w:hAnsi="宋体"/>
                <w:szCs w:val="21"/>
                <w:highlight w:val="none"/>
              </w:rPr>
            </w:pPr>
          </w:p>
        </w:tc>
        <w:tc>
          <w:tcPr>
            <w:tcW w:w="4974" w:type="dxa"/>
            <w:vAlign w:val="center"/>
          </w:tcPr>
          <w:p w14:paraId="37D27DA2">
            <w:pPr>
              <w:rPr>
                <w:rFonts w:ascii="宋体" w:hAnsi="宋体"/>
                <w:szCs w:val="21"/>
                <w:highlight w:val="none"/>
              </w:rPr>
            </w:pPr>
            <w:r>
              <w:rPr>
                <w:rFonts w:hint="eastAsia" w:ascii="宋体" w:hAnsi="宋体"/>
                <w:szCs w:val="21"/>
                <w:highlight w:val="none"/>
              </w:rPr>
              <w:t>8、氧气瓶、乙炔瓶和明火三者之间未保留有足够的安全距离的。</w:t>
            </w:r>
          </w:p>
        </w:tc>
        <w:tc>
          <w:tcPr>
            <w:tcW w:w="1620" w:type="dxa"/>
            <w:vAlign w:val="center"/>
          </w:tcPr>
          <w:p w14:paraId="3DAF4987">
            <w:pPr>
              <w:rPr>
                <w:rFonts w:ascii="宋体" w:hAnsi="宋体"/>
                <w:szCs w:val="21"/>
                <w:highlight w:val="none"/>
              </w:rPr>
            </w:pPr>
            <w:r>
              <w:rPr>
                <w:rFonts w:hint="eastAsia" w:ascii="宋体" w:hAnsi="宋体"/>
                <w:szCs w:val="21"/>
                <w:highlight w:val="none"/>
              </w:rPr>
              <w:t>罚款100元/次</w:t>
            </w:r>
          </w:p>
        </w:tc>
        <w:tc>
          <w:tcPr>
            <w:tcW w:w="2584" w:type="dxa"/>
            <w:vAlign w:val="center"/>
          </w:tcPr>
          <w:p w14:paraId="3FB74451">
            <w:pPr>
              <w:rPr>
                <w:rFonts w:ascii="宋体" w:hAnsi="宋体"/>
                <w:szCs w:val="21"/>
                <w:highlight w:val="none"/>
              </w:rPr>
            </w:pPr>
            <w:r>
              <w:rPr>
                <w:rFonts w:hint="eastAsia" w:ascii="宋体" w:hAnsi="宋体"/>
                <w:szCs w:val="21"/>
                <w:highlight w:val="none"/>
              </w:rPr>
              <w:t>扣当事人1分/次</w:t>
            </w:r>
          </w:p>
        </w:tc>
      </w:tr>
      <w:tr w14:paraId="4A13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467" w:type="dxa"/>
            <w:vMerge w:val="continue"/>
            <w:vAlign w:val="center"/>
          </w:tcPr>
          <w:p w14:paraId="668F7CF8">
            <w:pPr>
              <w:rPr>
                <w:rFonts w:ascii="宋体" w:hAnsi="宋体"/>
                <w:szCs w:val="21"/>
                <w:highlight w:val="none"/>
              </w:rPr>
            </w:pPr>
          </w:p>
        </w:tc>
        <w:tc>
          <w:tcPr>
            <w:tcW w:w="427" w:type="dxa"/>
            <w:vMerge w:val="continue"/>
            <w:vAlign w:val="center"/>
          </w:tcPr>
          <w:p w14:paraId="6D414211">
            <w:pPr>
              <w:rPr>
                <w:rFonts w:ascii="宋体" w:hAnsi="宋体"/>
                <w:szCs w:val="21"/>
                <w:highlight w:val="none"/>
              </w:rPr>
            </w:pPr>
          </w:p>
        </w:tc>
        <w:tc>
          <w:tcPr>
            <w:tcW w:w="4974" w:type="dxa"/>
            <w:vAlign w:val="center"/>
          </w:tcPr>
          <w:p w14:paraId="3B3E2F44">
            <w:pPr>
              <w:rPr>
                <w:rFonts w:ascii="宋体" w:hAnsi="宋体"/>
                <w:szCs w:val="21"/>
                <w:highlight w:val="none"/>
              </w:rPr>
            </w:pPr>
            <w:r>
              <w:rPr>
                <w:rFonts w:hint="eastAsia" w:ascii="宋体" w:hAnsi="宋体"/>
                <w:szCs w:val="21"/>
                <w:highlight w:val="none"/>
              </w:rPr>
              <w:t>9、高压气瓶露天曝晒或乙炔气瓶未安装防回火装置或气管未绑扎牢固、漏气或气瓶压力表损坏仍继续使用的。</w:t>
            </w:r>
          </w:p>
        </w:tc>
        <w:tc>
          <w:tcPr>
            <w:tcW w:w="1620" w:type="dxa"/>
            <w:vAlign w:val="center"/>
          </w:tcPr>
          <w:p w14:paraId="03AE9470">
            <w:pPr>
              <w:rPr>
                <w:rFonts w:ascii="宋体" w:hAnsi="宋体"/>
                <w:szCs w:val="21"/>
                <w:highlight w:val="none"/>
              </w:rPr>
            </w:pPr>
            <w:r>
              <w:rPr>
                <w:rFonts w:hint="eastAsia" w:ascii="宋体" w:hAnsi="宋体"/>
                <w:szCs w:val="21"/>
                <w:highlight w:val="none"/>
              </w:rPr>
              <w:t>罚款100元/次</w:t>
            </w:r>
          </w:p>
        </w:tc>
        <w:tc>
          <w:tcPr>
            <w:tcW w:w="2584" w:type="dxa"/>
            <w:vAlign w:val="center"/>
          </w:tcPr>
          <w:p w14:paraId="547177EC">
            <w:pPr>
              <w:rPr>
                <w:rFonts w:ascii="宋体" w:hAnsi="宋体"/>
                <w:szCs w:val="21"/>
                <w:highlight w:val="none"/>
              </w:rPr>
            </w:pPr>
            <w:r>
              <w:rPr>
                <w:rFonts w:hint="eastAsia" w:ascii="宋体" w:hAnsi="宋体"/>
                <w:szCs w:val="21"/>
                <w:highlight w:val="none"/>
              </w:rPr>
              <w:t>扣当事人1分/次</w:t>
            </w:r>
          </w:p>
        </w:tc>
      </w:tr>
      <w:tr w14:paraId="5838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467" w:type="dxa"/>
            <w:vMerge w:val="continue"/>
            <w:vAlign w:val="center"/>
          </w:tcPr>
          <w:p w14:paraId="0FB6ABC8">
            <w:pPr>
              <w:rPr>
                <w:rFonts w:ascii="宋体" w:hAnsi="宋体"/>
                <w:szCs w:val="21"/>
                <w:highlight w:val="none"/>
              </w:rPr>
            </w:pPr>
          </w:p>
        </w:tc>
        <w:tc>
          <w:tcPr>
            <w:tcW w:w="427" w:type="dxa"/>
            <w:vMerge w:val="continue"/>
            <w:vAlign w:val="center"/>
          </w:tcPr>
          <w:p w14:paraId="2CA69274">
            <w:pPr>
              <w:rPr>
                <w:rFonts w:ascii="宋体" w:hAnsi="宋体"/>
                <w:szCs w:val="21"/>
                <w:highlight w:val="none"/>
              </w:rPr>
            </w:pPr>
          </w:p>
        </w:tc>
        <w:tc>
          <w:tcPr>
            <w:tcW w:w="4974" w:type="dxa"/>
            <w:vAlign w:val="center"/>
          </w:tcPr>
          <w:p w14:paraId="153D30A8">
            <w:pPr>
              <w:rPr>
                <w:rFonts w:ascii="宋体" w:hAnsi="宋体"/>
                <w:szCs w:val="21"/>
                <w:highlight w:val="none"/>
              </w:rPr>
            </w:pPr>
            <w:r>
              <w:rPr>
                <w:rFonts w:hint="eastAsia" w:ascii="宋体" w:hAnsi="宋体"/>
                <w:szCs w:val="21"/>
                <w:highlight w:val="none"/>
              </w:rPr>
              <w:t>10、辖区作业条件变更未及时通知现场作业人员。</w:t>
            </w:r>
          </w:p>
        </w:tc>
        <w:tc>
          <w:tcPr>
            <w:tcW w:w="1620" w:type="dxa"/>
            <w:vAlign w:val="center"/>
          </w:tcPr>
          <w:p w14:paraId="3363EEF2">
            <w:pPr>
              <w:rPr>
                <w:rFonts w:ascii="宋体" w:hAnsi="宋体"/>
                <w:szCs w:val="21"/>
                <w:highlight w:val="none"/>
              </w:rPr>
            </w:pPr>
          </w:p>
        </w:tc>
        <w:tc>
          <w:tcPr>
            <w:tcW w:w="2584" w:type="dxa"/>
            <w:vAlign w:val="center"/>
          </w:tcPr>
          <w:p w14:paraId="5457E72F">
            <w:pPr>
              <w:rPr>
                <w:rFonts w:ascii="宋体" w:hAnsi="宋体"/>
                <w:szCs w:val="21"/>
                <w:highlight w:val="none"/>
              </w:rPr>
            </w:pPr>
            <w:r>
              <w:rPr>
                <w:rFonts w:hint="eastAsia" w:ascii="宋体" w:hAnsi="宋体"/>
                <w:szCs w:val="21"/>
                <w:highlight w:val="none"/>
              </w:rPr>
              <w:t>扣辖区单位领班2分/次</w:t>
            </w:r>
          </w:p>
        </w:tc>
      </w:tr>
      <w:tr w14:paraId="6D56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7" w:type="dxa"/>
            <w:vMerge w:val="continue"/>
            <w:vAlign w:val="center"/>
          </w:tcPr>
          <w:p w14:paraId="0F3FE7E0">
            <w:pPr>
              <w:rPr>
                <w:rFonts w:ascii="宋体" w:hAnsi="宋体"/>
                <w:szCs w:val="21"/>
                <w:highlight w:val="none"/>
              </w:rPr>
            </w:pPr>
          </w:p>
        </w:tc>
        <w:tc>
          <w:tcPr>
            <w:tcW w:w="427" w:type="dxa"/>
            <w:vMerge w:val="continue"/>
            <w:vAlign w:val="center"/>
          </w:tcPr>
          <w:p w14:paraId="64AD6260">
            <w:pPr>
              <w:rPr>
                <w:rFonts w:ascii="宋体" w:hAnsi="宋体"/>
                <w:szCs w:val="21"/>
                <w:highlight w:val="none"/>
              </w:rPr>
            </w:pPr>
          </w:p>
        </w:tc>
        <w:tc>
          <w:tcPr>
            <w:tcW w:w="4974" w:type="dxa"/>
            <w:vAlign w:val="center"/>
          </w:tcPr>
          <w:p w14:paraId="65D41F85">
            <w:pPr>
              <w:rPr>
                <w:rFonts w:ascii="宋体" w:hAnsi="宋体"/>
                <w:szCs w:val="21"/>
                <w:highlight w:val="none"/>
              </w:rPr>
            </w:pPr>
            <w:r>
              <w:rPr>
                <w:rFonts w:hint="eastAsia" w:ascii="宋体" w:hAnsi="宋体"/>
                <w:szCs w:val="21"/>
                <w:highlight w:val="none"/>
              </w:rPr>
              <w:t>11、未落实动火工作许可证上的其他安全措施。</w:t>
            </w:r>
          </w:p>
        </w:tc>
        <w:tc>
          <w:tcPr>
            <w:tcW w:w="1620" w:type="dxa"/>
            <w:vAlign w:val="center"/>
          </w:tcPr>
          <w:p w14:paraId="6C548E53">
            <w:pPr>
              <w:rPr>
                <w:rFonts w:ascii="宋体" w:hAnsi="宋体"/>
                <w:szCs w:val="21"/>
                <w:highlight w:val="none"/>
              </w:rPr>
            </w:pPr>
            <w:r>
              <w:rPr>
                <w:rFonts w:hint="eastAsia" w:ascii="宋体" w:hAnsi="宋体"/>
                <w:szCs w:val="21"/>
                <w:highlight w:val="none"/>
              </w:rPr>
              <w:t>罚款100——500元/次</w:t>
            </w:r>
          </w:p>
        </w:tc>
        <w:tc>
          <w:tcPr>
            <w:tcW w:w="2584" w:type="dxa"/>
            <w:vAlign w:val="center"/>
          </w:tcPr>
          <w:p w14:paraId="0001FBB1">
            <w:pPr>
              <w:rPr>
                <w:rFonts w:hint="eastAsia" w:ascii="宋体" w:hAnsi="宋体"/>
                <w:szCs w:val="21"/>
                <w:highlight w:val="none"/>
              </w:rPr>
            </w:pPr>
            <w:r>
              <w:rPr>
                <w:rFonts w:hint="eastAsia" w:ascii="宋体" w:hAnsi="宋体"/>
                <w:szCs w:val="21"/>
                <w:highlight w:val="none"/>
              </w:rPr>
              <w:t>扣当事人1分——5分/次</w:t>
            </w:r>
          </w:p>
          <w:p w14:paraId="0CA06684">
            <w:pPr>
              <w:pStyle w:val="2"/>
            </w:pPr>
          </w:p>
        </w:tc>
      </w:tr>
      <w:tr w14:paraId="11F9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467" w:type="dxa"/>
            <w:vAlign w:val="center"/>
          </w:tcPr>
          <w:p w14:paraId="015934E4">
            <w:pPr>
              <w:rPr>
                <w:rFonts w:ascii="宋体" w:hAnsi="宋体"/>
                <w:szCs w:val="21"/>
                <w:highlight w:val="none"/>
              </w:rPr>
            </w:pPr>
          </w:p>
        </w:tc>
        <w:tc>
          <w:tcPr>
            <w:tcW w:w="427" w:type="dxa"/>
            <w:vAlign w:val="center"/>
          </w:tcPr>
          <w:p w14:paraId="41668A56">
            <w:pPr>
              <w:rPr>
                <w:rFonts w:ascii="宋体" w:hAnsi="宋体"/>
                <w:szCs w:val="21"/>
                <w:highlight w:val="none"/>
              </w:rPr>
            </w:pPr>
          </w:p>
        </w:tc>
        <w:tc>
          <w:tcPr>
            <w:tcW w:w="4974" w:type="dxa"/>
            <w:vAlign w:val="center"/>
          </w:tcPr>
          <w:p w14:paraId="5193D6BD">
            <w:pPr>
              <w:rPr>
                <w:rFonts w:hint="eastAsia" w:ascii="宋体" w:hAnsi="宋体"/>
                <w:szCs w:val="21"/>
                <w:highlight w:val="none"/>
              </w:rPr>
            </w:pPr>
          </w:p>
        </w:tc>
        <w:tc>
          <w:tcPr>
            <w:tcW w:w="1620" w:type="dxa"/>
            <w:vAlign w:val="center"/>
          </w:tcPr>
          <w:p w14:paraId="39D49811">
            <w:pPr>
              <w:rPr>
                <w:rFonts w:hint="eastAsia" w:ascii="宋体" w:hAnsi="宋体"/>
                <w:szCs w:val="21"/>
                <w:highlight w:val="none"/>
              </w:rPr>
            </w:pPr>
          </w:p>
        </w:tc>
        <w:tc>
          <w:tcPr>
            <w:tcW w:w="2584" w:type="dxa"/>
            <w:vAlign w:val="center"/>
          </w:tcPr>
          <w:p w14:paraId="65DB6BA2">
            <w:pPr>
              <w:pStyle w:val="2"/>
            </w:pPr>
          </w:p>
        </w:tc>
      </w:tr>
    </w:tbl>
    <w:tbl>
      <w:tblPr>
        <w:tblStyle w:val="15"/>
        <w:tblpPr w:leftFromText="180" w:rightFromText="180" w:vertAnchor="text" w:horzAnchor="page" w:tblpX="1306" w:tblpY="45"/>
        <w:tblOverlap w:val="never"/>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400"/>
        <w:gridCol w:w="4987"/>
        <w:gridCol w:w="1600"/>
        <w:gridCol w:w="2609"/>
      </w:tblGrid>
      <w:tr w14:paraId="109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475" w:type="dxa"/>
            <w:vMerge w:val="restart"/>
            <w:vAlign w:val="center"/>
          </w:tcPr>
          <w:p w14:paraId="20E736DB">
            <w:pPr>
              <w:rPr>
                <w:rFonts w:ascii="宋体" w:hAnsi="宋体"/>
                <w:bCs/>
                <w:szCs w:val="21"/>
                <w:highlight w:val="none"/>
              </w:rPr>
            </w:pPr>
            <w:r>
              <w:rPr>
                <w:rFonts w:hint="eastAsia" w:ascii="宋体" w:hAnsi="宋体"/>
                <w:bCs/>
                <w:szCs w:val="21"/>
                <w:highlight w:val="none"/>
              </w:rPr>
              <w:t>2</w:t>
            </w:r>
          </w:p>
        </w:tc>
        <w:tc>
          <w:tcPr>
            <w:tcW w:w="400" w:type="dxa"/>
            <w:vMerge w:val="restart"/>
            <w:vAlign w:val="center"/>
          </w:tcPr>
          <w:p w14:paraId="748A5980">
            <w:pPr>
              <w:rPr>
                <w:rFonts w:ascii="宋体" w:hAnsi="宋体"/>
                <w:bCs/>
                <w:szCs w:val="21"/>
                <w:highlight w:val="none"/>
              </w:rPr>
            </w:pPr>
            <w:r>
              <w:rPr>
                <w:rFonts w:hint="eastAsia" w:ascii="宋体" w:hAnsi="宋体"/>
                <w:bCs/>
                <w:szCs w:val="21"/>
                <w:highlight w:val="none"/>
              </w:rPr>
              <w:t>车辆管制</w:t>
            </w:r>
          </w:p>
        </w:tc>
        <w:tc>
          <w:tcPr>
            <w:tcW w:w="4987" w:type="dxa"/>
            <w:vAlign w:val="center"/>
          </w:tcPr>
          <w:p w14:paraId="7FAF7E8D">
            <w:pPr>
              <w:rPr>
                <w:rFonts w:ascii="宋体" w:hAnsi="宋体"/>
                <w:szCs w:val="21"/>
                <w:highlight w:val="none"/>
              </w:rPr>
            </w:pPr>
            <w:r>
              <w:rPr>
                <w:rFonts w:hint="eastAsia" w:ascii="宋体" w:hAnsi="宋体"/>
                <w:szCs w:val="21"/>
                <w:highlight w:val="none"/>
              </w:rPr>
              <w:t>1、进入公司二守卫内的机动车辆排气管没有装灭焰器。</w:t>
            </w:r>
          </w:p>
        </w:tc>
        <w:tc>
          <w:tcPr>
            <w:tcW w:w="1600" w:type="dxa"/>
            <w:vAlign w:val="center"/>
          </w:tcPr>
          <w:p w14:paraId="0483C94B">
            <w:pPr>
              <w:rPr>
                <w:rFonts w:ascii="宋体" w:hAnsi="宋体"/>
                <w:szCs w:val="21"/>
                <w:highlight w:val="none"/>
              </w:rPr>
            </w:pPr>
            <w:r>
              <w:rPr>
                <w:rFonts w:hint="eastAsia" w:ascii="宋体" w:hAnsi="宋体"/>
                <w:szCs w:val="21"/>
                <w:highlight w:val="none"/>
              </w:rPr>
              <w:t>罚款200元/次、辆</w:t>
            </w:r>
          </w:p>
        </w:tc>
        <w:tc>
          <w:tcPr>
            <w:tcW w:w="2609" w:type="dxa"/>
            <w:vAlign w:val="center"/>
          </w:tcPr>
          <w:p w14:paraId="0C856E35">
            <w:pPr>
              <w:rPr>
                <w:rFonts w:ascii="宋体" w:hAnsi="宋体"/>
                <w:szCs w:val="21"/>
                <w:highlight w:val="none"/>
              </w:rPr>
            </w:pPr>
            <w:r>
              <w:rPr>
                <w:rFonts w:hint="eastAsia" w:ascii="宋体" w:hAnsi="宋体"/>
                <w:szCs w:val="21"/>
                <w:highlight w:val="none"/>
              </w:rPr>
              <w:t>对门岗警卫人员扣2分/次辆</w:t>
            </w:r>
          </w:p>
        </w:tc>
      </w:tr>
      <w:tr w14:paraId="77AD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75" w:type="dxa"/>
            <w:vMerge w:val="continue"/>
            <w:vAlign w:val="center"/>
          </w:tcPr>
          <w:p w14:paraId="2115C8EF">
            <w:pPr>
              <w:rPr>
                <w:rFonts w:ascii="宋体" w:hAnsi="宋体"/>
                <w:szCs w:val="21"/>
                <w:highlight w:val="none"/>
              </w:rPr>
            </w:pPr>
          </w:p>
        </w:tc>
        <w:tc>
          <w:tcPr>
            <w:tcW w:w="400" w:type="dxa"/>
            <w:vMerge w:val="continue"/>
            <w:vAlign w:val="center"/>
          </w:tcPr>
          <w:p w14:paraId="0CCC1B07">
            <w:pPr>
              <w:rPr>
                <w:rFonts w:ascii="宋体" w:hAnsi="宋体"/>
                <w:szCs w:val="21"/>
                <w:highlight w:val="none"/>
              </w:rPr>
            </w:pPr>
          </w:p>
        </w:tc>
        <w:tc>
          <w:tcPr>
            <w:tcW w:w="4987" w:type="dxa"/>
            <w:vAlign w:val="center"/>
          </w:tcPr>
          <w:p w14:paraId="07375482">
            <w:pPr>
              <w:rPr>
                <w:rFonts w:ascii="宋体" w:hAnsi="宋体"/>
                <w:szCs w:val="21"/>
                <w:highlight w:val="none"/>
              </w:rPr>
            </w:pPr>
            <w:r>
              <w:rPr>
                <w:rFonts w:hint="eastAsia" w:ascii="宋体" w:hAnsi="宋体"/>
                <w:szCs w:val="21"/>
                <w:highlight w:val="none"/>
              </w:rPr>
              <w:t>2、进入厂区的车辆没有遵守公司车辆行驶方向、限速要求、定点停泊等指令，出现逆向行驶、超速行驶、随意停车、堵塞消防通道。</w:t>
            </w:r>
          </w:p>
        </w:tc>
        <w:tc>
          <w:tcPr>
            <w:tcW w:w="1600" w:type="dxa"/>
            <w:vAlign w:val="center"/>
          </w:tcPr>
          <w:p w14:paraId="6B8D1465">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72A34422">
            <w:pPr>
              <w:rPr>
                <w:rFonts w:ascii="宋体" w:hAnsi="宋体"/>
                <w:szCs w:val="21"/>
                <w:highlight w:val="none"/>
              </w:rPr>
            </w:pPr>
            <w:r>
              <w:rPr>
                <w:rFonts w:hint="eastAsia" w:ascii="宋体" w:hAnsi="宋体"/>
                <w:szCs w:val="21"/>
                <w:highlight w:val="none"/>
              </w:rPr>
              <w:t>对当事人扣2分/次</w:t>
            </w:r>
          </w:p>
        </w:tc>
      </w:tr>
      <w:tr w14:paraId="69B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475" w:type="dxa"/>
            <w:vMerge w:val="continue"/>
            <w:vAlign w:val="center"/>
          </w:tcPr>
          <w:p w14:paraId="2577D549">
            <w:pPr>
              <w:rPr>
                <w:rFonts w:ascii="宋体" w:hAnsi="宋体"/>
                <w:szCs w:val="21"/>
                <w:highlight w:val="none"/>
              </w:rPr>
            </w:pPr>
          </w:p>
        </w:tc>
        <w:tc>
          <w:tcPr>
            <w:tcW w:w="400" w:type="dxa"/>
            <w:vMerge w:val="continue"/>
            <w:vAlign w:val="center"/>
          </w:tcPr>
          <w:p w14:paraId="5513BE39">
            <w:pPr>
              <w:rPr>
                <w:rFonts w:ascii="宋体" w:hAnsi="宋体"/>
                <w:szCs w:val="21"/>
                <w:highlight w:val="none"/>
              </w:rPr>
            </w:pPr>
          </w:p>
        </w:tc>
        <w:tc>
          <w:tcPr>
            <w:tcW w:w="4987" w:type="dxa"/>
            <w:vAlign w:val="center"/>
          </w:tcPr>
          <w:p w14:paraId="29EE2065">
            <w:pPr>
              <w:rPr>
                <w:rFonts w:ascii="宋体" w:hAnsi="宋体"/>
                <w:szCs w:val="21"/>
                <w:highlight w:val="none"/>
              </w:rPr>
            </w:pPr>
            <w:r>
              <w:rPr>
                <w:rFonts w:hint="eastAsia" w:ascii="宋体" w:hAnsi="宋体"/>
                <w:szCs w:val="21"/>
                <w:highlight w:val="none"/>
              </w:rPr>
              <w:t>3、进入厂区的机动车辆没有合格有效的行驶证。(码头团队负责合约运输商机动车辆证照的审核并报备QHSE部；其它机动车辆换证时，由警卫人员确认其已年审合格，方可让车辆进入。)</w:t>
            </w:r>
          </w:p>
        </w:tc>
        <w:tc>
          <w:tcPr>
            <w:tcW w:w="1600" w:type="dxa"/>
            <w:vAlign w:val="center"/>
          </w:tcPr>
          <w:p w14:paraId="2D9B5D97">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3545530">
            <w:pPr>
              <w:rPr>
                <w:rFonts w:ascii="宋体" w:hAnsi="宋体"/>
                <w:szCs w:val="21"/>
                <w:highlight w:val="none"/>
              </w:rPr>
            </w:pPr>
            <w:r>
              <w:rPr>
                <w:rFonts w:hint="eastAsia" w:ascii="宋体" w:hAnsi="宋体"/>
                <w:szCs w:val="21"/>
                <w:highlight w:val="none"/>
              </w:rPr>
              <w:t>对放行的门岗警卫人员2分/次辆</w:t>
            </w:r>
          </w:p>
        </w:tc>
      </w:tr>
      <w:tr w14:paraId="42A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475" w:type="dxa"/>
            <w:vMerge w:val="continue"/>
            <w:vAlign w:val="center"/>
          </w:tcPr>
          <w:p w14:paraId="2448B3BD">
            <w:pPr>
              <w:rPr>
                <w:rFonts w:ascii="宋体" w:hAnsi="宋体"/>
                <w:szCs w:val="21"/>
                <w:highlight w:val="none"/>
              </w:rPr>
            </w:pPr>
          </w:p>
        </w:tc>
        <w:tc>
          <w:tcPr>
            <w:tcW w:w="400" w:type="dxa"/>
            <w:vMerge w:val="continue"/>
            <w:vAlign w:val="center"/>
          </w:tcPr>
          <w:p w14:paraId="4936B0C7">
            <w:pPr>
              <w:rPr>
                <w:rFonts w:ascii="宋体" w:hAnsi="宋体"/>
                <w:szCs w:val="21"/>
                <w:highlight w:val="none"/>
              </w:rPr>
            </w:pPr>
          </w:p>
        </w:tc>
        <w:tc>
          <w:tcPr>
            <w:tcW w:w="4987" w:type="dxa"/>
            <w:vAlign w:val="center"/>
          </w:tcPr>
          <w:p w14:paraId="467875D0">
            <w:pPr>
              <w:pStyle w:val="4"/>
              <w:rPr>
                <w:rFonts w:ascii="宋体" w:hAnsi="宋体"/>
                <w:szCs w:val="21"/>
                <w:highlight w:val="none"/>
              </w:rPr>
            </w:pPr>
            <w:r>
              <w:rPr>
                <w:rFonts w:hint="eastAsia" w:ascii="宋体" w:hAnsi="宋体"/>
                <w:szCs w:val="21"/>
                <w:highlight w:val="none"/>
              </w:rPr>
              <w:t>4、除运载醋酸、醋酸异丁酯、燃料油、烧碱等原辅材料的车辆和消防车、洒水车等特种车辆和贵宾、政府部门稽查车辆外，其他车辆未经该区域（工场）的主管批准，进入成品仓</w:t>
            </w:r>
            <w:r>
              <w:rPr>
                <w:rFonts w:hint="eastAsia" w:ascii="宋体" w:hAnsi="宋体"/>
                <w:bCs/>
                <w:szCs w:val="21"/>
                <w:highlight w:val="none"/>
              </w:rPr>
              <w:t>库东面道路和消防泵房西面道路</w:t>
            </w:r>
            <w:r>
              <w:rPr>
                <w:rFonts w:hint="eastAsia" w:ascii="宋体" w:hAnsi="宋体"/>
                <w:szCs w:val="21"/>
                <w:highlight w:val="none"/>
              </w:rPr>
              <w:t>以东的厂区（生产部辖区）。</w:t>
            </w:r>
          </w:p>
        </w:tc>
        <w:tc>
          <w:tcPr>
            <w:tcW w:w="1600" w:type="dxa"/>
            <w:vAlign w:val="center"/>
          </w:tcPr>
          <w:p w14:paraId="26F5D12D">
            <w:pPr>
              <w:rPr>
                <w:rFonts w:ascii="宋体" w:hAnsi="宋体"/>
                <w:szCs w:val="21"/>
                <w:highlight w:val="none"/>
              </w:rPr>
            </w:pPr>
            <w:r>
              <w:rPr>
                <w:rFonts w:hint="eastAsia" w:ascii="宋体" w:hAnsi="宋体"/>
                <w:szCs w:val="21"/>
                <w:highlight w:val="none"/>
              </w:rPr>
              <w:t>罚款100元/次</w:t>
            </w:r>
          </w:p>
        </w:tc>
        <w:tc>
          <w:tcPr>
            <w:tcW w:w="2609" w:type="dxa"/>
            <w:vAlign w:val="center"/>
          </w:tcPr>
          <w:p w14:paraId="517CA1FD">
            <w:pPr>
              <w:rPr>
                <w:rFonts w:ascii="宋体" w:hAnsi="宋体"/>
                <w:szCs w:val="21"/>
                <w:highlight w:val="none"/>
              </w:rPr>
            </w:pPr>
            <w:r>
              <w:rPr>
                <w:rFonts w:hint="eastAsia" w:ascii="宋体" w:hAnsi="宋体"/>
                <w:szCs w:val="21"/>
                <w:highlight w:val="none"/>
              </w:rPr>
              <w:t>扣车辆驾驶员1分/次</w:t>
            </w:r>
          </w:p>
        </w:tc>
      </w:tr>
      <w:tr w14:paraId="3830938A">
        <w:tblPrEx>
          <w:tblCellMar>
            <w:top w:w="0" w:type="dxa"/>
            <w:left w:w="108" w:type="dxa"/>
            <w:bottom w:w="0" w:type="dxa"/>
            <w:right w:w="108" w:type="dxa"/>
          </w:tblCellMar>
        </w:tblPrEx>
        <w:trPr>
          <w:cantSplit/>
        </w:trPr>
        <w:tc>
          <w:tcPr>
            <w:tcW w:w="475" w:type="dxa"/>
            <w:vMerge w:val="continue"/>
            <w:vAlign w:val="center"/>
          </w:tcPr>
          <w:p w14:paraId="143FF3EE">
            <w:pPr>
              <w:rPr>
                <w:rFonts w:ascii="宋体" w:hAnsi="宋体"/>
                <w:szCs w:val="21"/>
                <w:highlight w:val="none"/>
              </w:rPr>
            </w:pPr>
          </w:p>
        </w:tc>
        <w:tc>
          <w:tcPr>
            <w:tcW w:w="400" w:type="dxa"/>
            <w:vMerge w:val="continue"/>
            <w:vAlign w:val="center"/>
          </w:tcPr>
          <w:p w14:paraId="26082F76">
            <w:pPr>
              <w:rPr>
                <w:rFonts w:ascii="宋体" w:hAnsi="宋体"/>
                <w:szCs w:val="21"/>
                <w:highlight w:val="none"/>
              </w:rPr>
            </w:pPr>
          </w:p>
        </w:tc>
        <w:tc>
          <w:tcPr>
            <w:tcW w:w="4987" w:type="dxa"/>
            <w:vAlign w:val="center"/>
          </w:tcPr>
          <w:p w14:paraId="2E903563">
            <w:pPr>
              <w:rPr>
                <w:rFonts w:ascii="宋体" w:hAnsi="宋体"/>
                <w:szCs w:val="21"/>
                <w:highlight w:val="none"/>
              </w:rPr>
            </w:pPr>
            <w:r>
              <w:rPr>
                <w:rFonts w:hint="eastAsia" w:ascii="宋体" w:hAnsi="宋体"/>
                <w:szCs w:val="21"/>
                <w:highlight w:val="none"/>
              </w:rPr>
              <w:t>5、将车辆上的垃圾倾倒在厂区内。</w:t>
            </w:r>
          </w:p>
        </w:tc>
        <w:tc>
          <w:tcPr>
            <w:tcW w:w="1600" w:type="dxa"/>
            <w:vAlign w:val="center"/>
          </w:tcPr>
          <w:p w14:paraId="354113CC">
            <w:pPr>
              <w:rPr>
                <w:rFonts w:ascii="宋体" w:hAnsi="宋体"/>
                <w:szCs w:val="21"/>
                <w:highlight w:val="none"/>
              </w:rPr>
            </w:pPr>
            <w:r>
              <w:rPr>
                <w:rFonts w:hint="eastAsia" w:ascii="宋体" w:hAnsi="宋体"/>
                <w:szCs w:val="21"/>
                <w:highlight w:val="none"/>
              </w:rPr>
              <w:t>罚款100元/次，并清理干净</w:t>
            </w:r>
          </w:p>
        </w:tc>
        <w:tc>
          <w:tcPr>
            <w:tcW w:w="2609" w:type="dxa"/>
            <w:vAlign w:val="center"/>
          </w:tcPr>
          <w:p w14:paraId="66E54CEC">
            <w:pPr>
              <w:rPr>
                <w:rFonts w:ascii="宋体" w:hAnsi="宋体"/>
                <w:szCs w:val="21"/>
                <w:highlight w:val="none"/>
              </w:rPr>
            </w:pPr>
            <w:r>
              <w:rPr>
                <w:rFonts w:hint="eastAsia" w:ascii="宋体" w:hAnsi="宋体"/>
                <w:szCs w:val="21"/>
                <w:highlight w:val="none"/>
              </w:rPr>
              <w:t xml:space="preserve">扣驾驶员0.5分/次，并责令清理干净 </w:t>
            </w:r>
          </w:p>
        </w:tc>
      </w:tr>
      <w:tr w14:paraId="0EE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427BD994">
            <w:pPr>
              <w:rPr>
                <w:rFonts w:ascii="宋体" w:hAnsi="宋体"/>
                <w:szCs w:val="21"/>
                <w:highlight w:val="none"/>
              </w:rPr>
            </w:pPr>
          </w:p>
        </w:tc>
        <w:tc>
          <w:tcPr>
            <w:tcW w:w="400" w:type="dxa"/>
            <w:vMerge w:val="continue"/>
            <w:vAlign w:val="center"/>
          </w:tcPr>
          <w:p w14:paraId="112AADD1">
            <w:pPr>
              <w:rPr>
                <w:rFonts w:ascii="宋体" w:hAnsi="宋体"/>
                <w:szCs w:val="21"/>
                <w:highlight w:val="none"/>
              </w:rPr>
            </w:pPr>
          </w:p>
        </w:tc>
        <w:tc>
          <w:tcPr>
            <w:tcW w:w="4987" w:type="dxa"/>
            <w:vAlign w:val="center"/>
          </w:tcPr>
          <w:p w14:paraId="69C14616">
            <w:pPr>
              <w:rPr>
                <w:rFonts w:ascii="宋体" w:hAnsi="宋体"/>
                <w:szCs w:val="21"/>
                <w:highlight w:val="none"/>
              </w:rPr>
            </w:pPr>
            <w:r>
              <w:rPr>
                <w:rFonts w:hint="eastAsia" w:ascii="宋体" w:hAnsi="宋体"/>
                <w:szCs w:val="21"/>
                <w:highlight w:val="none"/>
              </w:rPr>
              <w:t>6、叉车载人。</w:t>
            </w:r>
          </w:p>
        </w:tc>
        <w:tc>
          <w:tcPr>
            <w:tcW w:w="1600" w:type="dxa"/>
            <w:vAlign w:val="center"/>
          </w:tcPr>
          <w:p w14:paraId="5B62665F">
            <w:pPr>
              <w:rPr>
                <w:rFonts w:ascii="宋体" w:hAnsi="宋体"/>
                <w:szCs w:val="21"/>
                <w:highlight w:val="none"/>
              </w:rPr>
            </w:pPr>
            <w:r>
              <w:rPr>
                <w:rFonts w:hint="eastAsia" w:ascii="宋体" w:hAnsi="宋体"/>
                <w:szCs w:val="21"/>
                <w:highlight w:val="none"/>
              </w:rPr>
              <w:t>按所载人数，依50元/人罚款</w:t>
            </w:r>
          </w:p>
        </w:tc>
        <w:tc>
          <w:tcPr>
            <w:tcW w:w="2609" w:type="dxa"/>
            <w:vAlign w:val="center"/>
          </w:tcPr>
          <w:p w14:paraId="6688DF79">
            <w:pPr>
              <w:rPr>
                <w:rFonts w:ascii="宋体" w:hAnsi="宋体"/>
                <w:szCs w:val="21"/>
                <w:highlight w:val="none"/>
              </w:rPr>
            </w:pPr>
            <w:r>
              <w:rPr>
                <w:rFonts w:hint="eastAsia" w:ascii="宋体" w:hAnsi="宋体"/>
                <w:szCs w:val="21"/>
                <w:highlight w:val="none"/>
              </w:rPr>
              <w:t>扣驾驶员 1分／人×载人数</w:t>
            </w:r>
          </w:p>
        </w:tc>
      </w:tr>
      <w:tr w14:paraId="5E7C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5" w:type="dxa"/>
            <w:vMerge w:val="continue"/>
            <w:vAlign w:val="center"/>
          </w:tcPr>
          <w:p w14:paraId="010FC902">
            <w:pPr>
              <w:rPr>
                <w:rFonts w:ascii="宋体" w:hAnsi="宋体"/>
                <w:szCs w:val="21"/>
                <w:highlight w:val="none"/>
              </w:rPr>
            </w:pPr>
          </w:p>
        </w:tc>
        <w:tc>
          <w:tcPr>
            <w:tcW w:w="400" w:type="dxa"/>
            <w:vMerge w:val="continue"/>
            <w:vAlign w:val="center"/>
          </w:tcPr>
          <w:p w14:paraId="14814566">
            <w:pPr>
              <w:rPr>
                <w:rFonts w:ascii="宋体" w:hAnsi="宋体"/>
                <w:szCs w:val="21"/>
                <w:highlight w:val="none"/>
              </w:rPr>
            </w:pPr>
          </w:p>
        </w:tc>
        <w:tc>
          <w:tcPr>
            <w:tcW w:w="4987" w:type="dxa"/>
            <w:vAlign w:val="center"/>
          </w:tcPr>
          <w:p w14:paraId="162C1E9A">
            <w:pPr>
              <w:rPr>
                <w:rFonts w:ascii="宋体" w:hAnsi="宋体"/>
                <w:szCs w:val="21"/>
                <w:highlight w:val="none"/>
              </w:rPr>
            </w:pPr>
            <w:r>
              <w:rPr>
                <w:rFonts w:hint="eastAsia" w:ascii="宋体" w:hAnsi="宋体"/>
                <w:szCs w:val="21"/>
                <w:highlight w:val="none"/>
              </w:rPr>
              <w:t>7、车辆于厂区内行驶撞击损坏厂内设施的。</w:t>
            </w:r>
          </w:p>
        </w:tc>
        <w:tc>
          <w:tcPr>
            <w:tcW w:w="1600" w:type="dxa"/>
            <w:vAlign w:val="center"/>
          </w:tcPr>
          <w:p w14:paraId="7060A333">
            <w:pPr>
              <w:rPr>
                <w:rFonts w:ascii="宋体" w:hAnsi="宋体"/>
                <w:szCs w:val="21"/>
                <w:highlight w:val="none"/>
              </w:rPr>
            </w:pPr>
            <w:r>
              <w:rPr>
                <w:rFonts w:hint="eastAsia" w:ascii="宋体" w:hAnsi="宋体"/>
                <w:szCs w:val="21"/>
                <w:highlight w:val="none"/>
              </w:rPr>
              <w:t>罚款200元/次，并负责修复</w:t>
            </w:r>
          </w:p>
        </w:tc>
        <w:tc>
          <w:tcPr>
            <w:tcW w:w="2609" w:type="dxa"/>
            <w:vAlign w:val="center"/>
          </w:tcPr>
          <w:p w14:paraId="7EA59E76">
            <w:pPr>
              <w:rPr>
                <w:rFonts w:ascii="宋体" w:hAnsi="宋体"/>
                <w:szCs w:val="21"/>
                <w:highlight w:val="none"/>
              </w:rPr>
            </w:pPr>
            <w:r>
              <w:rPr>
                <w:rFonts w:hint="eastAsia" w:ascii="宋体" w:hAnsi="宋体"/>
                <w:szCs w:val="21"/>
                <w:highlight w:val="none"/>
              </w:rPr>
              <w:t>扣当事人 2分／次</w:t>
            </w:r>
          </w:p>
        </w:tc>
      </w:tr>
      <w:tr w14:paraId="248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475" w:type="dxa"/>
            <w:vMerge w:val="restart"/>
            <w:vAlign w:val="center"/>
          </w:tcPr>
          <w:p w14:paraId="4F7B1DB0">
            <w:pPr>
              <w:rPr>
                <w:rFonts w:ascii="宋体" w:hAnsi="宋体"/>
                <w:bCs/>
                <w:szCs w:val="21"/>
                <w:highlight w:val="none"/>
              </w:rPr>
            </w:pPr>
            <w:r>
              <w:rPr>
                <w:rFonts w:hint="eastAsia" w:ascii="宋体" w:hAnsi="宋体"/>
                <w:bCs/>
                <w:szCs w:val="21"/>
                <w:highlight w:val="none"/>
              </w:rPr>
              <w:t>3</w:t>
            </w:r>
          </w:p>
        </w:tc>
        <w:tc>
          <w:tcPr>
            <w:tcW w:w="400" w:type="dxa"/>
            <w:vMerge w:val="restart"/>
            <w:vAlign w:val="center"/>
          </w:tcPr>
          <w:p w14:paraId="05159197">
            <w:pPr>
              <w:rPr>
                <w:rFonts w:ascii="宋体" w:hAnsi="宋体"/>
                <w:bCs/>
                <w:szCs w:val="21"/>
                <w:highlight w:val="none"/>
              </w:rPr>
            </w:pPr>
            <w:r>
              <w:rPr>
                <w:rFonts w:hint="eastAsia" w:ascii="宋体" w:hAnsi="宋体"/>
                <w:bCs/>
                <w:szCs w:val="21"/>
                <w:highlight w:val="none"/>
              </w:rPr>
              <w:t>消防管制</w:t>
            </w:r>
          </w:p>
        </w:tc>
        <w:tc>
          <w:tcPr>
            <w:tcW w:w="4987" w:type="dxa"/>
            <w:vAlign w:val="center"/>
          </w:tcPr>
          <w:p w14:paraId="40713A97">
            <w:pPr>
              <w:rPr>
                <w:rFonts w:ascii="宋体" w:hAnsi="宋体"/>
                <w:szCs w:val="21"/>
                <w:highlight w:val="none"/>
              </w:rPr>
            </w:pPr>
            <w:r>
              <w:rPr>
                <w:rFonts w:hint="eastAsia" w:ascii="宋体" w:hAnsi="宋体"/>
                <w:szCs w:val="21"/>
                <w:highlight w:val="none"/>
              </w:rPr>
              <w:t>1、非消防用途，使用灭火器、消水带、消火栓、消火炮等消防器材、设施的（大量漏酸碱等紧急情况除外）。</w:t>
            </w:r>
          </w:p>
        </w:tc>
        <w:tc>
          <w:tcPr>
            <w:tcW w:w="1600" w:type="dxa"/>
            <w:vAlign w:val="center"/>
          </w:tcPr>
          <w:p w14:paraId="0BBAD4DB">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756586BB">
            <w:pPr>
              <w:rPr>
                <w:rFonts w:ascii="宋体" w:hAnsi="宋体"/>
                <w:szCs w:val="21"/>
                <w:highlight w:val="none"/>
              </w:rPr>
            </w:pPr>
            <w:r>
              <w:rPr>
                <w:rFonts w:hint="eastAsia" w:ascii="宋体" w:hAnsi="宋体"/>
                <w:szCs w:val="21"/>
                <w:highlight w:val="none"/>
              </w:rPr>
              <w:t>扣当事人2分/次，当班领班1分／次</w:t>
            </w:r>
          </w:p>
        </w:tc>
      </w:tr>
      <w:tr w14:paraId="7CE9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75" w:type="dxa"/>
            <w:vMerge w:val="continue"/>
            <w:vAlign w:val="center"/>
          </w:tcPr>
          <w:p w14:paraId="7325AA6F">
            <w:pPr>
              <w:rPr>
                <w:rFonts w:ascii="宋体" w:hAnsi="宋体"/>
                <w:szCs w:val="21"/>
                <w:highlight w:val="none"/>
              </w:rPr>
            </w:pPr>
          </w:p>
        </w:tc>
        <w:tc>
          <w:tcPr>
            <w:tcW w:w="400" w:type="dxa"/>
            <w:vMerge w:val="continue"/>
            <w:vAlign w:val="center"/>
          </w:tcPr>
          <w:p w14:paraId="1F8C7EFB">
            <w:pPr>
              <w:rPr>
                <w:rFonts w:ascii="宋体" w:hAnsi="宋体"/>
                <w:szCs w:val="21"/>
                <w:highlight w:val="none"/>
              </w:rPr>
            </w:pPr>
          </w:p>
        </w:tc>
        <w:tc>
          <w:tcPr>
            <w:tcW w:w="4987" w:type="dxa"/>
            <w:vAlign w:val="center"/>
          </w:tcPr>
          <w:p w14:paraId="18CB0848">
            <w:pPr>
              <w:rPr>
                <w:rFonts w:ascii="宋体" w:hAnsi="宋体"/>
                <w:szCs w:val="21"/>
                <w:highlight w:val="none"/>
              </w:rPr>
            </w:pPr>
            <w:r>
              <w:rPr>
                <w:rFonts w:hint="eastAsia" w:ascii="宋体" w:hAnsi="宋体"/>
                <w:szCs w:val="21"/>
                <w:highlight w:val="none"/>
              </w:rPr>
              <w:t>2、因工作需要，必须暂时使用消防水的，或消防水系统需停水维修时，没有按规定填写《消防水停（使）用申请表》，并经批准后使用或进行维修的。</w:t>
            </w:r>
          </w:p>
        </w:tc>
        <w:tc>
          <w:tcPr>
            <w:tcW w:w="1600" w:type="dxa"/>
            <w:vAlign w:val="center"/>
          </w:tcPr>
          <w:p w14:paraId="45AC616D">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5625403">
            <w:pPr>
              <w:rPr>
                <w:rFonts w:ascii="宋体" w:hAnsi="宋体"/>
                <w:szCs w:val="21"/>
                <w:highlight w:val="none"/>
              </w:rPr>
            </w:pPr>
            <w:r>
              <w:rPr>
                <w:rFonts w:hint="eastAsia" w:ascii="宋体" w:hAnsi="宋体"/>
                <w:szCs w:val="21"/>
                <w:highlight w:val="none"/>
              </w:rPr>
              <w:t>扣辖区当班领班1分/次，当事人2分/次</w:t>
            </w:r>
          </w:p>
        </w:tc>
      </w:tr>
      <w:tr w14:paraId="01E7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1D641EEC">
            <w:pPr>
              <w:rPr>
                <w:rFonts w:ascii="宋体" w:hAnsi="宋体"/>
                <w:szCs w:val="21"/>
                <w:highlight w:val="none"/>
              </w:rPr>
            </w:pPr>
          </w:p>
        </w:tc>
        <w:tc>
          <w:tcPr>
            <w:tcW w:w="400" w:type="dxa"/>
            <w:vMerge w:val="continue"/>
            <w:vAlign w:val="center"/>
          </w:tcPr>
          <w:p w14:paraId="0966FAF0">
            <w:pPr>
              <w:rPr>
                <w:rFonts w:ascii="宋体" w:hAnsi="宋体"/>
                <w:szCs w:val="21"/>
                <w:highlight w:val="none"/>
              </w:rPr>
            </w:pPr>
          </w:p>
        </w:tc>
        <w:tc>
          <w:tcPr>
            <w:tcW w:w="4987" w:type="dxa"/>
            <w:vAlign w:val="center"/>
          </w:tcPr>
          <w:p w14:paraId="3CCA4CA9">
            <w:pPr>
              <w:rPr>
                <w:rFonts w:ascii="宋体" w:hAnsi="宋体"/>
                <w:szCs w:val="21"/>
                <w:highlight w:val="none"/>
              </w:rPr>
            </w:pPr>
            <w:r>
              <w:rPr>
                <w:rFonts w:hint="eastAsia" w:ascii="宋体" w:hAnsi="宋体"/>
                <w:szCs w:val="21"/>
                <w:highlight w:val="none"/>
              </w:rPr>
              <w:t>3、未经批准擅自挪用或移位消防水带等消防设施（器材），或动用消防器材、设施后未及时放回原位的。</w:t>
            </w:r>
          </w:p>
        </w:tc>
        <w:tc>
          <w:tcPr>
            <w:tcW w:w="1600" w:type="dxa"/>
            <w:vAlign w:val="center"/>
          </w:tcPr>
          <w:p w14:paraId="39D487FA">
            <w:pPr>
              <w:rPr>
                <w:rFonts w:ascii="宋体" w:hAnsi="宋体"/>
                <w:szCs w:val="21"/>
                <w:highlight w:val="none"/>
              </w:rPr>
            </w:pPr>
            <w:r>
              <w:rPr>
                <w:rFonts w:hint="eastAsia" w:ascii="宋体" w:hAnsi="宋体"/>
                <w:szCs w:val="21"/>
                <w:highlight w:val="none"/>
              </w:rPr>
              <w:t>罚款100元/次，并立即恢复至原有完好状态</w:t>
            </w:r>
          </w:p>
        </w:tc>
        <w:tc>
          <w:tcPr>
            <w:tcW w:w="2609" w:type="dxa"/>
            <w:vAlign w:val="center"/>
          </w:tcPr>
          <w:p w14:paraId="14CA096E">
            <w:pPr>
              <w:rPr>
                <w:rFonts w:ascii="宋体" w:hAnsi="宋体"/>
                <w:szCs w:val="21"/>
                <w:highlight w:val="none"/>
              </w:rPr>
            </w:pPr>
            <w:r>
              <w:rPr>
                <w:rFonts w:hint="eastAsia" w:ascii="宋体" w:hAnsi="宋体"/>
                <w:szCs w:val="21"/>
                <w:highlight w:val="none"/>
              </w:rPr>
              <w:t>扣辖区当班领班1分/次，当事人2分/次</w:t>
            </w:r>
          </w:p>
        </w:tc>
      </w:tr>
      <w:tr w14:paraId="22F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475" w:type="dxa"/>
            <w:vMerge w:val="continue"/>
            <w:vAlign w:val="center"/>
          </w:tcPr>
          <w:p w14:paraId="258FA67E">
            <w:pPr>
              <w:rPr>
                <w:rFonts w:ascii="宋体" w:hAnsi="宋体"/>
                <w:szCs w:val="21"/>
                <w:highlight w:val="none"/>
              </w:rPr>
            </w:pPr>
          </w:p>
        </w:tc>
        <w:tc>
          <w:tcPr>
            <w:tcW w:w="400" w:type="dxa"/>
            <w:vMerge w:val="continue"/>
            <w:vAlign w:val="center"/>
          </w:tcPr>
          <w:p w14:paraId="22981DD7">
            <w:pPr>
              <w:rPr>
                <w:rFonts w:ascii="宋体" w:hAnsi="宋体"/>
                <w:szCs w:val="21"/>
                <w:highlight w:val="none"/>
              </w:rPr>
            </w:pPr>
          </w:p>
        </w:tc>
        <w:tc>
          <w:tcPr>
            <w:tcW w:w="4987" w:type="dxa"/>
            <w:vAlign w:val="center"/>
          </w:tcPr>
          <w:p w14:paraId="5205BA8F">
            <w:pPr>
              <w:rPr>
                <w:rFonts w:ascii="宋体" w:hAnsi="宋体"/>
                <w:szCs w:val="21"/>
                <w:highlight w:val="none"/>
              </w:rPr>
            </w:pPr>
            <w:r>
              <w:rPr>
                <w:rFonts w:hint="eastAsia" w:ascii="宋体" w:hAnsi="宋体"/>
                <w:szCs w:val="21"/>
                <w:highlight w:val="none"/>
              </w:rPr>
              <w:t>4、消防器材（设施）损坏后要在一周内修护，无法在一周内修护的要提出经单位主管确认的书面说明交QHSE部。</w:t>
            </w:r>
          </w:p>
        </w:tc>
        <w:tc>
          <w:tcPr>
            <w:tcW w:w="1600" w:type="dxa"/>
            <w:vAlign w:val="center"/>
          </w:tcPr>
          <w:p w14:paraId="6C7C0B31">
            <w:pPr>
              <w:rPr>
                <w:rFonts w:ascii="宋体" w:hAnsi="宋体"/>
                <w:szCs w:val="21"/>
                <w:highlight w:val="none"/>
              </w:rPr>
            </w:pPr>
          </w:p>
        </w:tc>
        <w:tc>
          <w:tcPr>
            <w:tcW w:w="2609" w:type="dxa"/>
            <w:vAlign w:val="center"/>
          </w:tcPr>
          <w:p w14:paraId="6BE50AD3">
            <w:pPr>
              <w:rPr>
                <w:rFonts w:ascii="宋体" w:hAnsi="宋体"/>
                <w:szCs w:val="21"/>
                <w:highlight w:val="none"/>
              </w:rPr>
            </w:pPr>
            <w:r>
              <w:rPr>
                <w:rFonts w:hint="eastAsia" w:ascii="宋体" w:hAnsi="宋体"/>
                <w:szCs w:val="21"/>
                <w:highlight w:val="none"/>
              </w:rPr>
              <w:t>扣辖区当班领班1分/次，当事人2分/次</w:t>
            </w:r>
          </w:p>
        </w:tc>
      </w:tr>
      <w:tr w14:paraId="72B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475" w:type="dxa"/>
            <w:vMerge w:val="continue"/>
            <w:vAlign w:val="center"/>
          </w:tcPr>
          <w:p w14:paraId="1B97B42C">
            <w:pPr>
              <w:rPr>
                <w:rFonts w:ascii="宋体" w:hAnsi="宋体"/>
                <w:szCs w:val="21"/>
                <w:highlight w:val="none"/>
              </w:rPr>
            </w:pPr>
          </w:p>
        </w:tc>
        <w:tc>
          <w:tcPr>
            <w:tcW w:w="400" w:type="dxa"/>
            <w:vMerge w:val="continue"/>
            <w:vAlign w:val="center"/>
          </w:tcPr>
          <w:p w14:paraId="1C6AE298">
            <w:pPr>
              <w:rPr>
                <w:rFonts w:ascii="宋体" w:hAnsi="宋体"/>
                <w:szCs w:val="21"/>
                <w:highlight w:val="none"/>
              </w:rPr>
            </w:pPr>
          </w:p>
        </w:tc>
        <w:tc>
          <w:tcPr>
            <w:tcW w:w="4987" w:type="dxa"/>
            <w:vAlign w:val="center"/>
          </w:tcPr>
          <w:p w14:paraId="50CCF67E">
            <w:pPr>
              <w:rPr>
                <w:rFonts w:ascii="宋体" w:hAnsi="宋体"/>
                <w:szCs w:val="21"/>
                <w:highlight w:val="none"/>
              </w:rPr>
            </w:pPr>
            <w:r>
              <w:rPr>
                <w:rFonts w:hint="eastAsia" w:ascii="宋体" w:hAnsi="宋体"/>
                <w:szCs w:val="21"/>
                <w:highlight w:val="none"/>
              </w:rPr>
              <w:t>5、谎报火警的。</w:t>
            </w:r>
          </w:p>
        </w:tc>
        <w:tc>
          <w:tcPr>
            <w:tcW w:w="1600" w:type="dxa"/>
            <w:vAlign w:val="center"/>
          </w:tcPr>
          <w:p w14:paraId="41FC8A7C">
            <w:pPr>
              <w:rPr>
                <w:rFonts w:ascii="宋体" w:hAnsi="宋体"/>
                <w:szCs w:val="21"/>
                <w:highlight w:val="none"/>
              </w:rPr>
            </w:pPr>
            <w:r>
              <w:rPr>
                <w:rFonts w:hint="eastAsia" w:ascii="宋体" w:hAnsi="宋体"/>
                <w:szCs w:val="21"/>
                <w:highlight w:val="none"/>
              </w:rPr>
              <w:t>罚款1000元/次</w:t>
            </w:r>
          </w:p>
        </w:tc>
        <w:tc>
          <w:tcPr>
            <w:tcW w:w="2609" w:type="dxa"/>
            <w:vAlign w:val="center"/>
          </w:tcPr>
          <w:p w14:paraId="32B2E200">
            <w:pPr>
              <w:rPr>
                <w:rFonts w:ascii="宋体" w:hAnsi="宋体"/>
                <w:szCs w:val="21"/>
                <w:highlight w:val="none"/>
              </w:rPr>
            </w:pPr>
            <w:r>
              <w:rPr>
                <w:rFonts w:hint="eastAsia" w:ascii="宋体" w:hAnsi="宋体"/>
                <w:szCs w:val="21"/>
                <w:highlight w:val="none"/>
              </w:rPr>
              <w:t>对报警人扣5分/次，无法确认的，则由报警电话所在办公室（休息室）当班人员共同承担</w:t>
            </w:r>
          </w:p>
        </w:tc>
      </w:tr>
      <w:tr w14:paraId="523A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5" w:type="dxa"/>
            <w:vMerge w:val="restart"/>
            <w:vAlign w:val="center"/>
          </w:tcPr>
          <w:p w14:paraId="12B66262">
            <w:pPr>
              <w:rPr>
                <w:rFonts w:ascii="宋体" w:hAnsi="宋体"/>
                <w:bCs/>
                <w:szCs w:val="21"/>
                <w:highlight w:val="none"/>
              </w:rPr>
            </w:pPr>
            <w:r>
              <w:rPr>
                <w:rFonts w:hint="eastAsia" w:ascii="宋体" w:hAnsi="宋体"/>
                <w:bCs/>
                <w:szCs w:val="21"/>
                <w:highlight w:val="none"/>
              </w:rPr>
              <w:t>4</w:t>
            </w:r>
          </w:p>
        </w:tc>
        <w:tc>
          <w:tcPr>
            <w:tcW w:w="400" w:type="dxa"/>
            <w:vMerge w:val="restart"/>
            <w:vAlign w:val="center"/>
          </w:tcPr>
          <w:p w14:paraId="1466C0B0">
            <w:pPr>
              <w:rPr>
                <w:rFonts w:ascii="宋体" w:hAnsi="宋体"/>
                <w:bCs/>
                <w:szCs w:val="21"/>
                <w:highlight w:val="none"/>
              </w:rPr>
            </w:pPr>
          </w:p>
          <w:p w14:paraId="473ABFE1">
            <w:pPr>
              <w:rPr>
                <w:rFonts w:ascii="宋体" w:hAnsi="宋体"/>
                <w:bCs/>
                <w:szCs w:val="21"/>
                <w:highlight w:val="none"/>
              </w:rPr>
            </w:pPr>
            <w:r>
              <w:rPr>
                <w:rFonts w:hint="eastAsia" w:ascii="宋体" w:hAnsi="宋体"/>
                <w:bCs/>
                <w:szCs w:val="21"/>
                <w:highlight w:val="none"/>
              </w:rPr>
              <w:t>电气管制</w:t>
            </w:r>
          </w:p>
        </w:tc>
        <w:tc>
          <w:tcPr>
            <w:tcW w:w="4987" w:type="dxa"/>
            <w:vAlign w:val="center"/>
          </w:tcPr>
          <w:p w14:paraId="1876EE3C">
            <w:pPr>
              <w:rPr>
                <w:rFonts w:ascii="宋体" w:hAnsi="宋体"/>
                <w:szCs w:val="21"/>
                <w:highlight w:val="none"/>
              </w:rPr>
            </w:pPr>
            <w:r>
              <w:rPr>
                <w:rFonts w:hint="eastAsia" w:ascii="宋体" w:hAnsi="宋体"/>
                <w:szCs w:val="21"/>
                <w:highlight w:val="none"/>
              </w:rPr>
              <w:t>1、电焊机、移动式电器具等用电设备绝缘不良或外壳未接地或未设置漏电保护装置的。</w:t>
            </w:r>
          </w:p>
        </w:tc>
        <w:tc>
          <w:tcPr>
            <w:tcW w:w="1600" w:type="dxa"/>
            <w:vMerge w:val="restart"/>
            <w:vAlign w:val="center"/>
          </w:tcPr>
          <w:p w14:paraId="28C368C8">
            <w:pPr>
              <w:rPr>
                <w:rFonts w:ascii="宋体" w:hAnsi="宋体"/>
                <w:szCs w:val="21"/>
                <w:highlight w:val="none"/>
              </w:rPr>
            </w:pPr>
            <w:r>
              <w:rPr>
                <w:rFonts w:hint="eastAsia" w:ascii="宋体" w:hAnsi="宋体"/>
                <w:szCs w:val="21"/>
                <w:highlight w:val="none"/>
              </w:rPr>
              <w:t>罚款100元/次</w:t>
            </w:r>
          </w:p>
        </w:tc>
        <w:tc>
          <w:tcPr>
            <w:tcW w:w="2609" w:type="dxa"/>
            <w:vMerge w:val="restart"/>
            <w:vAlign w:val="center"/>
          </w:tcPr>
          <w:p w14:paraId="67D467DA">
            <w:pPr>
              <w:rPr>
                <w:rFonts w:ascii="宋体" w:hAnsi="宋体"/>
                <w:szCs w:val="21"/>
                <w:highlight w:val="none"/>
              </w:rPr>
            </w:pPr>
            <w:r>
              <w:rPr>
                <w:rFonts w:hint="eastAsia" w:ascii="宋体" w:hAnsi="宋体"/>
                <w:szCs w:val="21"/>
                <w:highlight w:val="none"/>
              </w:rPr>
              <w:t>对当事人扣1分/次，对负责此项工作的直接主管扣0.5分/次</w:t>
            </w:r>
          </w:p>
        </w:tc>
      </w:tr>
      <w:tr w14:paraId="52B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09DD8868">
            <w:pPr>
              <w:rPr>
                <w:rFonts w:ascii="宋体" w:hAnsi="宋体"/>
                <w:bCs/>
                <w:szCs w:val="21"/>
                <w:highlight w:val="none"/>
              </w:rPr>
            </w:pPr>
          </w:p>
        </w:tc>
        <w:tc>
          <w:tcPr>
            <w:tcW w:w="400" w:type="dxa"/>
            <w:vMerge w:val="continue"/>
            <w:vAlign w:val="center"/>
          </w:tcPr>
          <w:p w14:paraId="656521A0">
            <w:pPr>
              <w:rPr>
                <w:rFonts w:ascii="宋体" w:hAnsi="宋体"/>
                <w:bCs/>
                <w:szCs w:val="21"/>
                <w:highlight w:val="none"/>
              </w:rPr>
            </w:pPr>
          </w:p>
        </w:tc>
        <w:tc>
          <w:tcPr>
            <w:tcW w:w="4987" w:type="dxa"/>
            <w:vAlign w:val="center"/>
          </w:tcPr>
          <w:p w14:paraId="1A1672B4">
            <w:pPr>
              <w:rPr>
                <w:rFonts w:ascii="宋体" w:hAnsi="宋体"/>
                <w:szCs w:val="21"/>
                <w:highlight w:val="none"/>
              </w:rPr>
            </w:pPr>
            <w:r>
              <w:rPr>
                <w:rFonts w:hint="eastAsia" w:ascii="宋体" w:hAnsi="宋体"/>
                <w:szCs w:val="21"/>
                <w:highlight w:val="none"/>
              </w:rPr>
              <w:t>2、电焊机接线不规范，将地线裸露搭接其它装置设备或框架上。</w:t>
            </w:r>
          </w:p>
        </w:tc>
        <w:tc>
          <w:tcPr>
            <w:tcW w:w="1600" w:type="dxa"/>
            <w:vMerge w:val="continue"/>
            <w:vAlign w:val="center"/>
          </w:tcPr>
          <w:p w14:paraId="1A2276CB">
            <w:pPr>
              <w:rPr>
                <w:rFonts w:ascii="宋体" w:hAnsi="宋体"/>
                <w:szCs w:val="21"/>
                <w:highlight w:val="none"/>
              </w:rPr>
            </w:pPr>
          </w:p>
        </w:tc>
        <w:tc>
          <w:tcPr>
            <w:tcW w:w="2609" w:type="dxa"/>
            <w:vMerge w:val="continue"/>
            <w:vAlign w:val="center"/>
          </w:tcPr>
          <w:p w14:paraId="0D876594">
            <w:pPr>
              <w:rPr>
                <w:rFonts w:ascii="宋体" w:hAnsi="宋体"/>
                <w:szCs w:val="21"/>
                <w:highlight w:val="none"/>
              </w:rPr>
            </w:pPr>
          </w:p>
        </w:tc>
      </w:tr>
      <w:tr w14:paraId="3E74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4CE06439">
            <w:pPr>
              <w:rPr>
                <w:rFonts w:ascii="宋体" w:hAnsi="宋体"/>
                <w:bCs/>
                <w:szCs w:val="21"/>
                <w:highlight w:val="none"/>
              </w:rPr>
            </w:pPr>
          </w:p>
        </w:tc>
        <w:tc>
          <w:tcPr>
            <w:tcW w:w="400" w:type="dxa"/>
            <w:vMerge w:val="continue"/>
            <w:vAlign w:val="center"/>
          </w:tcPr>
          <w:p w14:paraId="1B3AB3D0">
            <w:pPr>
              <w:rPr>
                <w:rFonts w:ascii="宋体" w:hAnsi="宋体"/>
                <w:bCs/>
                <w:szCs w:val="21"/>
                <w:highlight w:val="none"/>
              </w:rPr>
            </w:pPr>
          </w:p>
        </w:tc>
        <w:tc>
          <w:tcPr>
            <w:tcW w:w="4987" w:type="dxa"/>
            <w:vAlign w:val="center"/>
          </w:tcPr>
          <w:p w14:paraId="6FB72B46">
            <w:pPr>
              <w:rPr>
                <w:rFonts w:ascii="宋体" w:hAnsi="宋体"/>
                <w:szCs w:val="21"/>
                <w:highlight w:val="none"/>
              </w:rPr>
            </w:pPr>
            <w:r>
              <w:rPr>
                <w:rFonts w:hint="eastAsia" w:ascii="宋体" w:hAnsi="宋体"/>
                <w:szCs w:val="21"/>
                <w:highlight w:val="none"/>
              </w:rPr>
              <w:t>3、跨道或人员车辆出入场所之电气线路，未按规定设置安全防护的。</w:t>
            </w:r>
          </w:p>
        </w:tc>
        <w:tc>
          <w:tcPr>
            <w:tcW w:w="1600" w:type="dxa"/>
            <w:vMerge w:val="continue"/>
            <w:vAlign w:val="center"/>
          </w:tcPr>
          <w:p w14:paraId="7721C849">
            <w:pPr>
              <w:rPr>
                <w:rFonts w:ascii="宋体" w:hAnsi="宋体"/>
                <w:szCs w:val="21"/>
                <w:highlight w:val="none"/>
              </w:rPr>
            </w:pPr>
          </w:p>
        </w:tc>
        <w:tc>
          <w:tcPr>
            <w:tcW w:w="2609" w:type="dxa"/>
            <w:vMerge w:val="continue"/>
            <w:vAlign w:val="center"/>
          </w:tcPr>
          <w:p w14:paraId="20FBE56C">
            <w:pPr>
              <w:rPr>
                <w:rFonts w:ascii="宋体" w:hAnsi="宋体"/>
                <w:szCs w:val="21"/>
                <w:highlight w:val="none"/>
              </w:rPr>
            </w:pPr>
          </w:p>
        </w:tc>
      </w:tr>
      <w:tr w14:paraId="44CA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2CB5B619">
            <w:pPr>
              <w:rPr>
                <w:rFonts w:ascii="宋体" w:hAnsi="宋体"/>
                <w:bCs/>
                <w:szCs w:val="21"/>
                <w:highlight w:val="none"/>
              </w:rPr>
            </w:pPr>
          </w:p>
        </w:tc>
        <w:tc>
          <w:tcPr>
            <w:tcW w:w="400" w:type="dxa"/>
            <w:vMerge w:val="continue"/>
            <w:vAlign w:val="center"/>
          </w:tcPr>
          <w:p w14:paraId="4AD14D4C">
            <w:pPr>
              <w:rPr>
                <w:rFonts w:ascii="宋体" w:hAnsi="宋体"/>
                <w:bCs/>
                <w:szCs w:val="21"/>
                <w:highlight w:val="none"/>
              </w:rPr>
            </w:pPr>
          </w:p>
        </w:tc>
        <w:tc>
          <w:tcPr>
            <w:tcW w:w="4987" w:type="dxa"/>
            <w:vAlign w:val="center"/>
          </w:tcPr>
          <w:p w14:paraId="655FF451">
            <w:pPr>
              <w:rPr>
                <w:rFonts w:ascii="宋体" w:hAnsi="宋体"/>
                <w:szCs w:val="21"/>
                <w:highlight w:val="none"/>
              </w:rPr>
            </w:pPr>
            <w:r>
              <w:rPr>
                <w:rFonts w:hint="eastAsia" w:ascii="宋体" w:hAnsi="宋体"/>
                <w:szCs w:val="21"/>
                <w:highlight w:val="none"/>
              </w:rPr>
              <w:t>4、用电器具无插头，将电源线直接插入插座使用的。</w:t>
            </w:r>
          </w:p>
        </w:tc>
        <w:tc>
          <w:tcPr>
            <w:tcW w:w="1600" w:type="dxa"/>
            <w:vMerge w:val="continue"/>
            <w:vAlign w:val="center"/>
          </w:tcPr>
          <w:p w14:paraId="54498E0E">
            <w:pPr>
              <w:rPr>
                <w:rFonts w:ascii="宋体" w:hAnsi="宋体"/>
                <w:szCs w:val="21"/>
                <w:highlight w:val="none"/>
              </w:rPr>
            </w:pPr>
          </w:p>
        </w:tc>
        <w:tc>
          <w:tcPr>
            <w:tcW w:w="2609" w:type="dxa"/>
            <w:vMerge w:val="continue"/>
            <w:vAlign w:val="center"/>
          </w:tcPr>
          <w:p w14:paraId="143A2119">
            <w:pPr>
              <w:rPr>
                <w:rFonts w:ascii="宋体" w:hAnsi="宋体"/>
                <w:szCs w:val="21"/>
                <w:highlight w:val="none"/>
              </w:rPr>
            </w:pPr>
          </w:p>
        </w:tc>
      </w:tr>
      <w:tr w14:paraId="291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475" w:type="dxa"/>
            <w:vMerge w:val="continue"/>
            <w:vAlign w:val="center"/>
          </w:tcPr>
          <w:p w14:paraId="3E49A6E9">
            <w:pPr>
              <w:rPr>
                <w:rFonts w:ascii="宋体" w:hAnsi="宋体"/>
                <w:bCs/>
                <w:szCs w:val="21"/>
                <w:highlight w:val="none"/>
              </w:rPr>
            </w:pPr>
          </w:p>
        </w:tc>
        <w:tc>
          <w:tcPr>
            <w:tcW w:w="400" w:type="dxa"/>
            <w:vMerge w:val="continue"/>
            <w:vAlign w:val="center"/>
          </w:tcPr>
          <w:p w14:paraId="74EDA78A">
            <w:pPr>
              <w:rPr>
                <w:rFonts w:ascii="宋体" w:hAnsi="宋体"/>
                <w:bCs/>
                <w:szCs w:val="21"/>
                <w:highlight w:val="none"/>
              </w:rPr>
            </w:pPr>
          </w:p>
        </w:tc>
        <w:tc>
          <w:tcPr>
            <w:tcW w:w="4987" w:type="dxa"/>
            <w:vAlign w:val="center"/>
          </w:tcPr>
          <w:p w14:paraId="0A9B0F02">
            <w:pPr>
              <w:rPr>
                <w:rFonts w:ascii="宋体" w:hAnsi="宋体"/>
                <w:szCs w:val="21"/>
                <w:highlight w:val="none"/>
              </w:rPr>
            </w:pPr>
            <w:r>
              <w:rPr>
                <w:rFonts w:hint="eastAsia" w:ascii="宋体" w:hAnsi="宋体"/>
                <w:szCs w:val="21"/>
                <w:highlight w:val="none"/>
              </w:rPr>
              <w:t>5、电源开关箱等用电设备无防雨、防潮设施，或随意摆放于地面上，或未使用三相五线制的。</w:t>
            </w:r>
          </w:p>
        </w:tc>
        <w:tc>
          <w:tcPr>
            <w:tcW w:w="1600" w:type="dxa"/>
            <w:vMerge w:val="continue"/>
            <w:vAlign w:val="center"/>
          </w:tcPr>
          <w:p w14:paraId="1CCCD2F6">
            <w:pPr>
              <w:rPr>
                <w:rFonts w:ascii="宋体" w:hAnsi="宋体"/>
                <w:szCs w:val="21"/>
                <w:highlight w:val="none"/>
              </w:rPr>
            </w:pPr>
          </w:p>
        </w:tc>
        <w:tc>
          <w:tcPr>
            <w:tcW w:w="2609" w:type="dxa"/>
            <w:vMerge w:val="continue"/>
            <w:vAlign w:val="center"/>
          </w:tcPr>
          <w:p w14:paraId="1849FDC7">
            <w:pPr>
              <w:rPr>
                <w:rFonts w:ascii="宋体" w:hAnsi="宋体"/>
                <w:szCs w:val="21"/>
                <w:highlight w:val="none"/>
              </w:rPr>
            </w:pPr>
          </w:p>
        </w:tc>
      </w:tr>
      <w:tr w14:paraId="619F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475" w:type="dxa"/>
            <w:vMerge w:val="continue"/>
            <w:vAlign w:val="center"/>
          </w:tcPr>
          <w:p w14:paraId="05EF479E">
            <w:pPr>
              <w:rPr>
                <w:rFonts w:ascii="宋体" w:hAnsi="宋体"/>
                <w:bCs/>
                <w:szCs w:val="21"/>
                <w:highlight w:val="none"/>
              </w:rPr>
            </w:pPr>
          </w:p>
        </w:tc>
        <w:tc>
          <w:tcPr>
            <w:tcW w:w="400" w:type="dxa"/>
            <w:vMerge w:val="continue"/>
            <w:vAlign w:val="center"/>
          </w:tcPr>
          <w:p w14:paraId="2E2E2AEC">
            <w:pPr>
              <w:rPr>
                <w:rFonts w:ascii="宋体" w:hAnsi="宋体"/>
                <w:bCs/>
                <w:szCs w:val="21"/>
                <w:highlight w:val="none"/>
              </w:rPr>
            </w:pPr>
          </w:p>
        </w:tc>
        <w:tc>
          <w:tcPr>
            <w:tcW w:w="4987" w:type="dxa"/>
            <w:vAlign w:val="center"/>
          </w:tcPr>
          <w:p w14:paraId="68DA5DD5">
            <w:pPr>
              <w:rPr>
                <w:rFonts w:ascii="宋体" w:hAnsi="宋体"/>
                <w:szCs w:val="21"/>
                <w:highlight w:val="none"/>
              </w:rPr>
            </w:pPr>
            <w:r>
              <w:rPr>
                <w:rFonts w:hint="eastAsia" w:ascii="宋体" w:hAnsi="宋体"/>
                <w:szCs w:val="21"/>
                <w:highlight w:val="none"/>
              </w:rPr>
              <w:t>6、有限空间等特殊环境内作业的用电设备未采用安全电压的。</w:t>
            </w:r>
          </w:p>
        </w:tc>
        <w:tc>
          <w:tcPr>
            <w:tcW w:w="1600" w:type="dxa"/>
            <w:vMerge w:val="continue"/>
            <w:vAlign w:val="center"/>
          </w:tcPr>
          <w:p w14:paraId="39932A28">
            <w:pPr>
              <w:rPr>
                <w:rFonts w:ascii="宋体" w:hAnsi="宋体"/>
                <w:szCs w:val="21"/>
                <w:highlight w:val="none"/>
              </w:rPr>
            </w:pPr>
          </w:p>
        </w:tc>
        <w:tc>
          <w:tcPr>
            <w:tcW w:w="2609" w:type="dxa"/>
            <w:vMerge w:val="continue"/>
            <w:vAlign w:val="center"/>
          </w:tcPr>
          <w:p w14:paraId="12417791">
            <w:pPr>
              <w:rPr>
                <w:rFonts w:ascii="宋体" w:hAnsi="宋体"/>
                <w:szCs w:val="21"/>
                <w:highlight w:val="none"/>
              </w:rPr>
            </w:pPr>
          </w:p>
        </w:tc>
      </w:tr>
      <w:tr w14:paraId="295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75" w:type="dxa"/>
            <w:vMerge w:val="continue"/>
            <w:vAlign w:val="center"/>
          </w:tcPr>
          <w:p w14:paraId="309DE349">
            <w:pPr>
              <w:rPr>
                <w:rFonts w:ascii="宋体" w:hAnsi="宋体"/>
                <w:bCs/>
                <w:szCs w:val="21"/>
                <w:highlight w:val="none"/>
              </w:rPr>
            </w:pPr>
          </w:p>
        </w:tc>
        <w:tc>
          <w:tcPr>
            <w:tcW w:w="400" w:type="dxa"/>
            <w:vMerge w:val="continue"/>
            <w:vAlign w:val="center"/>
          </w:tcPr>
          <w:p w14:paraId="39F08E9A">
            <w:pPr>
              <w:rPr>
                <w:rFonts w:ascii="宋体" w:hAnsi="宋体"/>
                <w:bCs/>
                <w:szCs w:val="21"/>
                <w:highlight w:val="none"/>
              </w:rPr>
            </w:pPr>
          </w:p>
        </w:tc>
        <w:tc>
          <w:tcPr>
            <w:tcW w:w="4987" w:type="dxa"/>
            <w:vAlign w:val="center"/>
          </w:tcPr>
          <w:p w14:paraId="6D536B3F">
            <w:pPr>
              <w:rPr>
                <w:rFonts w:ascii="宋体" w:hAnsi="宋体"/>
                <w:szCs w:val="21"/>
                <w:highlight w:val="none"/>
              </w:rPr>
            </w:pPr>
            <w:r>
              <w:rPr>
                <w:rFonts w:hint="eastAsia" w:ascii="宋体" w:hAnsi="宋体"/>
                <w:szCs w:val="21"/>
                <w:highlight w:val="none"/>
              </w:rPr>
              <w:t>7、各项用电器具经检查不合格、或超出检验有效期，并通知禁止使用后仍继续使用的。</w:t>
            </w:r>
          </w:p>
        </w:tc>
        <w:tc>
          <w:tcPr>
            <w:tcW w:w="1600" w:type="dxa"/>
            <w:vMerge w:val="continue"/>
            <w:vAlign w:val="center"/>
          </w:tcPr>
          <w:p w14:paraId="24F409FD">
            <w:pPr>
              <w:rPr>
                <w:rFonts w:ascii="宋体" w:hAnsi="宋体"/>
                <w:szCs w:val="21"/>
                <w:highlight w:val="none"/>
              </w:rPr>
            </w:pPr>
          </w:p>
        </w:tc>
        <w:tc>
          <w:tcPr>
            <w:tcW w:w="2609" w:type="dxa"/>
            <w:vMerge w:val="continue"/>
            <w:vAlign w:val="center"/>
          </w:tcPr>
          <w:p w14:paraId="4D2C5EA7">
            <w:pPr>
              <w:rPr>
                <w:rFonts w:ascii="宋体" w:hAnsi="宋体"/>
                <w:szCs w:val="21"/>
                <w:highlight w:val="none"/>
              </w:rPr>
            </w:pPr>
          </w:p>
        </w:tc>
      </w:tr>
      <w:tr w14:paraId="01BA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475" w:type="dxa"/>
            <w:vMerge w:val="restart"/>
            <w:vAlign w:val="center"/>
          </w:tcPr>
          <w:p w14:paraId="72824BF6">
            <w:pPr>
              <w:rPr>
                <w:rFonts w:ascii="宋体" w:hAnsi="宋体"/>
                <w:szCs w:val="21"/>
                <w:highlight w:val="none"/>
              </w:rPr>
            </w:pPr>
            <w:r>
              <w:rPr>
                <w:rFonts w:hint="eastAsia" w:ascii="宋体" w:hAnsi="宋体"/>
                <w:szCs w:val="21"/>
                <w:highlight w:val="none"/>
              </w:rPr>
              <w:t>5</w:t>
            </w:r>
          </w:p>
        </w:tc>
        <w:tc>
          <w:tcPr>
            <w:tcW w:w="400" w:type="dxa"/>
            <w:vMerge w:val="restart"/>
            <w:vAlign w:val="center"/>
          </w:tcPr>
          <w:p w14:paraId="759BD639">
            <w:pPr>
              <w:rPr>
                <w:rFonts w:ascii="宋体" w:hAnsi="宋体"/>
                <w:szCs w:val="21"/>
                <w:highlight w:val="none"/>
              </w:rPr>
            </w:pPr>
          </w:p>
          <w:p w14:paraId="54A9A3BE">
            <w:pPr>
              <w:rPr>
                <w:rFonts w:ascii="宋体" w:hAnsi="宋体"/>
                <w:szCs w:val="21"/>
                <w:highlight w:val="none"/>
              </w:rPr>
            </w:pPr>
          </w:p>
          <w:p w14:paraId="02935F38">
            <w:pPr>
              <w:rPr>
                <w:rFonts w:ascii="宋体" w:hAnsi="宋体"/>
                <w:szCs w:val="21"/>
                <w:highlight w:val="none"/>
              </w:rPr>
            </w:pPr>
          </w:p>
          <w:p w14:paraId="35B0429A">
            <w:pPr>
              <w:rPr>
                <w:rFonts w:ascii="宋体" w:hAnsi="宋体"/>
                <w:szCs w:val="21"/>
                <w:highlight w:val="none"/>
              </w:rPr>
            </w:pPr>
          </w:p>
          <w:p w14:paraId="512DB8BC">
            <w:pPr>
              <w:rPr>
                <w:rFonts w:ascii="宋体" w:hAnsi="宋体"/>
                <w:szCs w:val="21"/>
                <w:highlight w:val="none"/>
              </w:rPr>
            </w:pPr>
          </w:p>
          <w:p w14:paraId="1BCDD5B6">
            <w:pPr>
              <w:rPr>
                <w:rFonts w:ascii="宋体" w:hAnsi="宋体"/>
                <w:szCs w:val="21"/>
                <w:highlight w:val="none"/>
              </w:rPr>
            </w:pPr>
          </w:p>
          <w:p w14:paraId="0CCD58C3">
            <w:pPr>
              <w:rPr>
                <w:rFonts w:ascii="宋体" w:hAnsi="宋体"/>
                <w:szCs w:val="21"/>
                <w:highlight w:val="none"/>
              </w:rPr>
            </w:pPr>
            <w:r>
              <w:rPr>
                <w:rFonts w:hint="eastAsia" w:ascii="宋体" w:hAnsi="宋体"/>
                <w:szCs w:val="21"/>
                <w:highlight w:val="none"/>
              </w:rPr>
              <w:t>纪律管制</w:t>
            </w:r>
          </w:p>
        </w:tc>
        <w:tc>
          <w:tcPr>
            <w:tcW w:w="4987" w:type="dxa"/>
            <w:vAlign w:val="center"/>
          </w:tcPr>
          <w:p w14:paraId="0A1809B1">
            <w:pPr>
              <w:rPr>
                <w:rFonts w:ascii="宋体" w:hAnsi="宋体"/>
                <w:szCs w:val="21"/>
                <w:highlight w:val="none"/>
              </w:rPr>
            </w:pPr>
            <w:r>
              <w:rPr>
                <w:rFonts w:hint="eastAsia" w:ascii="宋体" w:hAnsi="宋体"/>
                <w:szCs w:val="21"/>
                <w:highlight w:val="none"/>
              </w:rPr>
              <w:t xml:space="preserve">1、上班期间喝酒，或酒后上班（对外接待部门不在此列，但不得进入生产区域）。 </w:t>
            </w:r>
          </w:p>
        </w:tc>
        <w:tc>
          <w:tcPr>
            <w:tcW w:w="1600" w:type="dxa"/>
            <w:vMerge w:val="restart"/>
            <w:vAlign w:val="center"/>
          </w:tcPr>
          <w:p w14:paraId="4A1ED394">
            <w:pPr>
              <w:rPr>
                <w:rFonts w:ascii="宋体" w:hAnsi="宋体"/>
                <w:sz w:val="18"/>
                <w:szCs w:val="18"/>
                <w:highlight w:val="none"/>
              </w:rPr>
            </w:pPr>
            <w:r>
              <w:rPr>
                <w:rFonts w:hint="eastAsia" w:ascii="宋体" w:hAnsi="宋体"/>
                <w:sz w:val="18"/>
                <w:szCs w:val="18"/>
                <w:highlight w:val="none"/>
              </w:rPr>
              <w:t>罚款100元/次，责令立即离开</w:t>
            </w:r>
          </w:p>
        </w:tc>
        <w:tc>
          <w:tcPr>
            <w:tcW w:w="2609" w:type="dxa"/>
            <w:vMerge w:val="restart"/>
            <w:vAlign w:val="center"/>
          </w:tcPr>
          <w:p w14:paraId="056D7A26">
            <w:pPr>
              <w:rPr>
                <w:rFonts w:ascii="宋体" w:hAnsi="宋体"/>
                <w:sz w:val="18"/>
                <w:szCs w:val="18"/>
                <w:highlight w:val="none"/>
              </w:rPr>
            </w:pPr>
            <w:r>
              <w:rPr>
                <w:rFonts w:hint="eastAsia" w:ascii="宋体" w:hAnsi="宋体"/>
                <w:sz w:val="18"/>
                <w:szCs w:val="18"/>
                <w:highlight w:val="none"/>
              </w:rPr>
              <w:t>罚款2分/人，并责令立即离开；</w:t>
            </w:r>
          </w:p>
          <w:p w14:paraId="205829E1">
            <w:pPr>
              <w:rPr>
                <w:rFonts w:ascii="宋体" w:hAnsi="宋体"/>
                <w:szCs w:val="21"/>
                <w:highlight w:val="none"/>
              </w:rPr>
            </w:pPr>
            <w:r>
              <w:rPr>
                <w:rFonts w:hint="eastAsia" w:ascii="宋体" w:hAnsi="宋体"/>
                <w:sz w:val="18"/>
                <w:szCs w:val="18"/>
                <w:highlight w:val="none"/>
              </w:rPr>
              <w:t>违反7．2的,同时扣门岗当班人员１分</w:t>
            </w:r>
          </w:p>
        </w:tc>
      </w:tr>
      <w:tr w14:paraId="71FD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475" w:type="dxa"/>
            <w:vMerge w:val="continue"/>
            <w:vAlign w:val="center"/>
          </w:tcPr>
          <w:p w14:paraId="57DE2F60">
            <w:pPr>
              <w:rPr>
                <w:rFonts w:ascii="宋体" w:hAnsi="宋体"/>
                <w:szCs w:val="21"/>
                <w:highlight w:val="none"/>
              </w:rPr>
            </w:pPr>
          </w:p>
        </w:tc>
        <w:tc>
          <w:tcPr>
            <w:tcW w:w="400" w:type="dxa"/>
            <w:vMerge w:val="continue"/>
            <w:vAlign w:val="center"/>
          </w:tcPr>
          <w:p w14:paraId="35C3565C">
            <w:pPr>
              <w:rPr>
                <w:rFonts w:ascii="宋体" w:hAnsi="宋体"/>
                <w:szCs w:val="21"/>
                <w:highlight w:val="none"/>
              </w:rPr>
            </w:pPr>
          </w:p>
        </w:tc>
        <w:tc>
          <w:tcPr>
            <w:tcW w:w="4987" w:type="dxa"/>
            <w:vAlign w:val="center"/>
          </w:tcPr>
          <w:p w14:paraId="233F2D1C">
            <w:pPr>
              <w:rPr>
                <w:rFonts w:ascii="宋体" w:hAnsi="宋体"/>
                <w:szCs w:val="21"/>
                <w:highlight w:val="none"/>
              </w:rPr>
            </w:pPr>
            <w:r>
              <w:rPr>
                <w:rFonts w:hint="eastAsia" w:ascii="宋体" w:hAnsi="宋体"/>
                <w:szCs w:val="21"/>
                <w:highlight w:val="none"/>
              </w:rPr>
              <w:t>2、私自带客人或小孩进入厂区内。</w:t>
            </w:r>
          </w:p>
        </w:tc>
        <w:tc>
          <w:tcPr>
            <w:tcW w:w="1600" w:type="dxa"/>
            <w:vMerge w:val="continue"/>
            <w:vAlign w:val="center"/>
          </w:tcPr>
          <w:p w14:paraId="2A5926F5">
            <w:pPr>
              <w:rPr>
                <w:rFonts w:ascii="宋体" w:hAnsi="宋体"/>
                <w:sz w:val="18"/>
                <w:szCs w:val="18"/>
                <w:highlight w:val="none"/>
              </w:rPr>
            </w:pPr>
          </w:p>
        </w:tc>
        <w:tc>
          <w:tcPr>
            <w:tcW w:w="2609" w:type="dxa"/>
            <w:vMerge w:val="continue"/>
            <w:vAlign w:val="center"/>
          </w:tcPr>
          <w:p w14:paraId="3642BC03">
            <w:pPr>
              <w:rPr>
                <w:rFonts w:ascii="宋体" w:hAnsi="宋体"/>
                <w:szCs w:val="21"/>
                <w:highlight w:val="none"/>
              </w:rPr>
            </w:pPr>
          </w:p>
        </w:tc>
      </w:tr>
      <w:tr w14:paraId="52C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475" w:type="dxa"/>
            <w:vMerge w:val="continue"/>
            <w:vAlign w:val="center"/>
          </w:tcPr>
          <w:p w14:paraId="03BEAF1B">
            <w:pPr>
              <w:rPr>
                <w:rFonts w:ascii="宋体" w:hAnsi="宋体"/>
                <w:szCs w:val="21"/>
                <w:highlight w:val="none"/>
              </w:rPr>
            </w:pPr>
          </w:p>
        </w:tc>
        <w:tc>
          <w:tcPr>
            <w:tcW w:w="400" w:type="dxa"/>
            <w:vMerge w:val="continue"/>
            <w:vAlign w:val="center"/>
          </w:tcPr>
          <w:p w14:paraId="715CC0D7">
            <w:pPr>
              <w:rPr>
                <w:rFonts w:ascii="宋体" w:hAnsi="宋体"/>
                <w:szCs w:val="21"/>
                <w:highlight w:val="none"/>
              </w:rPr>
            </w:pPr>
          </w:p>
        </w:tc>
        <w:tc>
          <w:tcPr>
            <w:tcW w:w="4987" w:type="dxa"/>
            <w:vAlign w:val="center"/>
          </w:tcPr>
          <w:p w14:paraId="76AD4603">
            <w:pPr>
              <w:rPr>
                <w:rFonts w:ascii="宋体" w:hAnsi="宋体"/>
                <w:szCs w:val="21"/>
                <w:highlight w:val="none"/>
              </w:rPr>
            </w:pPr>
            <w:r>
              <w:rPr>
                <w:rFonts w:hint="eastAsia" w:ascii="宋体" w:hAnsi="宋体"/>
                <w:szCs w:val="21"/>
                <w:highlight w:val="none"/>
              </w:rPr>
              <w:t>3、私自对厂区生产情况进行拍摄。</w:t>
            </w:r>
          </w:p>
        </w:tc>
        <w:tc>
          <w:tcPr>
            <w:tcW w:w="1600" w:type="dxa"/>
            <w:vAlign w:val="center"/>
          </w:tcPr>
          <w:p w14:paraId="4F9796DC">
            <w:pPr>
              <w:rPr>
                <w:rFonts w:ascii="宋体" w:hAnsi="宋体"/>
                <w:sz w:val="18"/>
                <w:szCs w:val="18"/>
                <w:highlight w:val="none"/>
              </w:rPr>
            </w:pPr>
            <w:r>
              <w:rPr>
                <w:rFonts w:hint="eastAsia" w:ascii="宋体" w:hAnsi="宋体"/>
                <w:sz w:val="18"/>
                <w:szCs w:val="18"/>
                <w:highlight w:val="none"/>
              </w:rPr>
              <w:t>没收磁卡等存储介质，处200元罚款，责令立即离开</w:t>
            </w:r>
          </w:p>
        </w:tc>
        <w:tc>
          <w:tcPr>
            <w:tcW w:w="2609" w:type="dxa"/>
            <w:vAlign w:val="center"/>
          </w:tcPr>
          <w:p w14:paraId="19C76BB8">
            <w:pPr>
              <w:rPr>
                <w:rFonts w:ascii="宋体" w:hAnsi="宋体"/>
                <w:szCs w:val="21"/>
                <w:highlight w:val="none"/>
              </w:rPr>
            </w:pPr>
            <w:r>
              <w:rPr>
                <w:rFonts w:hint="eastAsia" w:ascii="宋体" w:hAnsi="宋体"/>
                <w:szCs w:val="21"/>
                <w:highlight w:val="none"/>
              </w:rPr>
              <w:t>责令立即离开,罚款1分/次,没收磁卡等存储介质</w:t>
            </w:r>
            <w:r>
              <w:rPr>
                <w:rFonts w:ascii="宋体" w:hAnsi="宋体"/>
                <w:szCs w:val="21"/>
                <w:highlight w:val="none"/>
              </w:rPr>
              <w:t xml:space="preserve"> </w:t>
            </w:r>
          </w:p>
        </w:tc>
      </w:tr>
      <w:tr w14:paraId="7795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75" w:type="dxa"/>
            <w:vMerge w:val="continue"/>
            <w:vAlign w:val="center"/>
          </w:tcPr>
          <w:p w14:paraId="44B2B71F">
            <w:pPr>
              <w:rPr>
                <w:rFonts w:ascii="宋体" w:hAnsi="宋体"/>
                <w:szCs w:val="21"/>
                <w:highlight w:val="none"/>
              </w:rPr>
            </w:pPr>
          </w:p>
        </w:tc>
        <w:tc>
          <w:tcPr>
            <w:tcW w:w="400" w:type="dxa"/>
            <w:vMerge w:val="continue"/>
            <w:vAlign w:val="center"/>
          </w:tcPr>
          <w:p w14:paraId="61DC6A9E">
            <w:pPr>
              <w:rPr>
                <w:rFonts w:ascii="宋体" w:hAnsi="宋体"/>
                <w:szCs w:val="21"/>
                <w:highlight w:val="none"/>
              </w:rPr>
            </w:pPr>
          </w:p>
        </w:tc>
        <w:tc>
          <w:tcPr>
            <w:tcW w:w="4987" w:type="dxa"/>
            <w:vAlign w:val="center"/>
          </w:tcPr>
          <w:p w14:paraId="75C200F3">
            <w:pPr>
              <w:rPr>
                <w:rFonts w:ascii="宋体" w:hAnsi="宋体"/>
                <w:szCs w:val="21"/>
                <w:highlight w:val="none"/>
              </w:rPr>
            </w:pPr>
            <w:r>
              <w:rPr>
                <w:rFonts w:hint="eastAsia" w:ascii="宋体" w:hAnsi="宋体"/>
                <w:szCs w:val="21"/>
                <w:highlight w:val="none"/>
              </w:rPr>
              <w:t>4、未依规定地点休息或随意在施工现场躺、睡，随意大小便的。</w:t>
            </w:r>
          </w:p>
        </w:tc>
        <w:tc>
          <w:tcPr>
            <w:tcW w:w="1600" w:type="dxa"/>
            <w:vAlign w:val="center"/>
          </w:tcPr>
          <w:p w14:paraId="743563BC">
            <w:pPr>
              <w:rPr>
                <w:rFonts w:ascii="宋体" w:hAnsi="宋体"/>
                <w:sz w:val="18"/>
                <w:szCs w:val="18"/>
                <w:highlight w:val="none"/>
              </w:rPr>
            </w:pPr>
            <w:r>
              <w:rPr>
                <w:rFonts w:hint="eastAsia" w:ascii="宋体" w:hAnsi="宋体"/>
                <w:sz w:val="18"/>
                <w:szCs w:val="18"/>
                <w:highlight w:val="none"/>
              </w:rPr>
              <w:t>罚款100元/次</w:t>
            </w:r>
          </w:p>
        </w:tc>
        <w:tc>
          <w:tcPr>
            <w:tcW w:w="2609" w:type="dxa"/>
            <w:vAlign w:val="center"/>
          </w:tcPr>
          <w:p w14:paraId="4E2B466A">
            <w:pPr>
              <w:rPr>
                <w:rFonts w:ascii="宋体" w:hAnsi="宋体"/>
                <w:szCs w:val="21"/>
                <w:highlight w:val="none"/>
              </w:rPr>
            </w:pPr>
          </w:p>
        </w:tc>
      </w:tr>
      <w:tr w14:paraId="3FDB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475" w:type="dxa"/>
            <w:vMerge w:val="continue"/>
            <w:vAlign w:val="center"/>
          </w:tcPr>
          <w:p w14:paraId="51337C37">
            <w:pPr>
              <w:rPr>
                <w:rFonts w:ascii="宋体" w:hAnsi="宋体"/>
                <w:szCs w:val="21"/>
                <w:highlight w:val="none"/>
              </w:rPr>
            </w:pPr>
          </w:p>
        </w:tc>
        <w:tc>
          <w:tcPr>
            <w:tcW w:w="400" w:type="dxa"/>
            <w:vMerge w:val="continue"/>
            <w:vAlign w:val="center"/>
          </w:tcPr>
          <w:p w14:paraId="582CCE35">
            <w:pPr>
              <w:rPr>
                <w:rFonts w:ascii="宋体" w:hAnsi="宋体"/>
                <w:szCs w:val="21"/>
                <w:highlight w:val="none"/>
              </w:rPr>
            </w:pPr>
          </w:p>
        </w:tc>
        <w:tc>
          <w:tcPr>
            <w:tcW w:w="4987" w:type="dxa"/>
            <w:vAlign w:val="center"/>
          </w:tcPr>
          <w:p w14:paraId="16BA2D9A">
            <w:pPr>
              <w:rPr>
                <w:rFonts w:ascii="宋体" w:hAnsi="宋体"/>
                <w:szCs w:val="21"/>
                <w:highlight w:val="none"/>
              </w:rPr>
            </w:pPr>
            <w:r>
              <w:rPr>
                <w:rFonts w:hint="eastAsia" w:ascii="宋体" w:hAnsi="宋体"/>
                <w:szCs w:val="21"/>
                <w:highlight w:val="none"/>
              </w:rPr>
              <w:t>5、未经允许，私自进入装置区的。</w:t>
            </w:r>
          </w:p>
        </w:tc>
        <w:tc>
          <w:tcPr>
            <w:tcW w:w="1600" w:type="dxa"/>
            <w:vAlign w:val="center"/>
          </w:tcPr>
          <w:p w14:paraId="3D0246B3">
            <w:pPr>
              <w:rPr>
                <w:rFonts w:ascii="宋体" w:hAnsi="宋体"/>
                <w:sz w:val="18"/>
                <w:szCs w:val="18"/>
                <w:highlight w:val="none"/>
              </w:rPr>
            </w:pPr>
            <w:r>
              <w:rPr>
                <w:rFonts w:hint="eastAsia" w:ascii="宋体" w:hAnsi="宋体"/>
                <w:sz w:val="18"/>
                <w:szCs w:val="18"/>
                <w:highlight w:val="none"/>
              </w:rPr>
              <w:t>罚款100元/次，责令立即离开</w:t>
            </w:r>
          </w:p>
        </w:tc>
        <w:tc>
          <w:tcPr>
            <w:tcW w:w="2609" w:type="dxa"/>
            <w:vAlign w:val="center"/>
          </w:tcPr>
          <w:p w14:paraId="11C3BEA5">
            <w:pPr>
              <w:rPr>
                <w:rFonts w:ascii="宋体" w:hAnsi="宋体"/>
                <w:szCs w:val="21"/>
                <w:highlight w:val="none"/>
              </w:rPr>
            </w:pPr>
          </w:p>
        </w:tc>
      </w:tr>
      <w:tr w14:paraId="2A6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475" w:type="dxa"/>
            <w:vMerge w:val="continue"/>
            <w:vAlign w:val="center"/>
          </w:tcPr>
          <w:p w14:paraId="711277C0">
            <w:pPr>
              <w:rPr>
                <w:rFonts w:ascii="宋体" w:hAnsi="宋体"/>
                <w:szCs w:val="21"/>
                <w:highlight w:val="none"/>
              </w:rPr>
            </w:pPr>
          </w:p>
        </w:tc>
        <w:tc>
          <w:tcPr>
            <w:tcW w:w="400" w:type="dxa"/>
            <w:vMerge w:val="continue"/>
            <w:vAlign w:val="center"/>
          </w:tcPr>
          <w:p w14:paraId="10FDF74F">
            <w:pPr>
              <w:rPr>
                <w:rFonts w:ascii="宋体" w:hAnsi="宋体"/>
                <w:szCs w:val="21"/>
                <w:highlight w:val="none"/>
              </w:rPr>
            </w:pPr>
          </w:p>
        </w:tc>
        <w:tc>
          <w:tcPr>
            <w:tcW w:w="4987" w:type="dxa"/>
            <w:vAlign w:val="center"/>
          </w:tcPr>
          <w:p w14:paraId="5B0B1A6B">
            <w:pPr>
              <w:rPr>
                <w:rFonts w:ascii="宋体" w:hAnsi="宋体"/>
                <w:szCs w:val="21"/>
                <w:highlight w:val="none"/>
              </w:rPr>
            </w:pPr>
            <w:r>
              <w:rPr>
                <w:rFonts w:hint="eastAsia" w:ascii="宋体" w:hAnsi="宋体"/>
                <w:szCs w:val="21"/>
                <w:highlight w:val="none"/>
              </w:rPr>
              <w:t>6、将入厂证或车辆入厂证转借他人使用。</w:t>
            </w:r>
          </w:p>
        </w:tc>
        <w:tc>
          <w:tcPr>
            <w:tcW w:w="1600" w:type="dxa"/>
            <w:vAlign w:val="center"/>
          </w:tcPr>
          <w:p w14:paraId="7C86D2EC">
            <w:pPr>
              <w:rPr>
                <w:rFonts w:ascii="宋体" w:hAnsi="宋体"/>
                <w:sz w:val="18"/>
                <w:szCs w:val="18"/>
                <w:highlight w:val="none"/>
              </w:rPr>
            </w:pPr>
            <w:r>
              <w:rPr>
                <w:rFonts w:hint="eastAsia" w:ascii="宋体" w:hAnsi="宋体"/>
                <w:sz w:val="18"/>
                <w:szCs w:val="18"/>
                <w:highlight w:val="none"/>
              </w:rPr>
              <w:t>对转借者和被借用者处罚100元/次，并禁止入厂</w:t>
            </w:r>
          </w:p>
        </w:tc>
        <w:tc>
          <w:tcPr>
            <w:tcW w:w="2609" w:type="dxa"/>
            <w:vAlign w:val="center"/>
          </w:tcPr>
          <w:p w14:paraId="6A9D0C05">
            <w:pPr>
              <w:rPr>
                <w:rFonts w:ascii="宋体" w:hAnsi="宋体"/>
                <w:szCs w:val="21"/>
                <w:highlight w:val="none"/>
              </w:rPr>
            </w:pPr>
          </w:p>
        </w:tc>
      </w:tr>
      <w:tr w14:paraId="378C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58A5FBB5">
            <w:pPr>
              <w:rPr>
                <w:rFonts w:ascii="宋体" w:hAnsi="宋体"/>
                <w:szCs w:val="21"/>
                <w:highlight w:val="none"/>
              </w:rPr>
            </w:pPr>
          </w:p>
        </w:tc>
        <w:tc>
          <w:tcPr>
            <w:tcW w:w="400" w:type="dxa"/>
            <w:vMerge w:val="continue"/>
            <w:vAlign w:val="center"/>
          </w:tcPr>
          <w:p w14:paraId="350D0E11">
            <w:pPr>
              <w:rPr>
                <w:rFonts w:ascii="宋体" w:hAnsi="宋体"/>
                <w:szCs w:val="21"/>
                <w:highlight w:val="none"/>
              </w:rPr>
            </w:pPr>
          </w:p>
        </w:tc>
        <w:tc>
          <w:tcPr>
            <w:tcW w:w="4987" w:type="dxa"/>
            <w:vAlign w:val="center"/>
          </w:tcPr>
          <w:p w14:paraId="4E93991D">
            <w:pPr>
              <w:rPr>
                <w:rFonts w:ascii="宋体" w:hAnsi="宋体"/>
                <w:szCs w:val="21"/>
                <w:highlight w:val="none"/>
              </w:rPr>
            </w:pPr>
            <w:r>
              <w:rPr>
                <w:rFonts w:hint="eastAsia" w:ascii="宋体" w:hAnsi="宋体"/>
                <w:szCs w:val="21"/>
                <w:highlight w:val="none"/>
              </w:rPr>
              <w:t>7、发生事故隐瞒不报。</w:t>
            </w:r>
          </w:p>
        </w:tc>
        <w:tc>
          <w:tcPr>
            <w:tcW w:w="1600" w:type="dxa"/>
            <w:vAlign w:val="center"/>
          </w:tcPr>
          <w:p w14:paraId="5203AFD0">
            <w:pPr>
              <w:rPr>
                <w:rFonts w:ascii="宋体" w:hAnsi="宋体"/>
                <w:sz w:val="18"/>
                <w:szCs w:val="18"/>
                <w:highlight w:val="none"/>
              </w:rPr>
            </w:pPr>
            <w:r>
              <w:rPr>
                <w:rFonts w:hint="eastAsia" w:ascii="宋体" w:hAnsi="宋体"/>
                <w:sz w:val="18"/>
                <w:szCs w:val="18"/>
                <w:highlight w:val="none"/>
              </w:rPr>
              <w:t>罚款500/起，同时责令一天内上报。</w:t>
            </w:r>
          </w:p>
        </w:tc>
        <w:tc>
          <w:tcPr>
            <w:tcW w:w="2609" w:type="dxa"/>
            <w:vAlign w:val="center"/>
          </w:tcPr>
          <w:p w14:paraId="3BF530E6">
            <w:pPr>
              <w:rPr>
                <w:rFonts w:ascii="宋体" w:hAnsi="宋体"/>
                <w:szCs w:val="21"/>
                <w:highlight w:val="none"/>
              </w:rPr>
            </w:pPr>
            <w:r>
              <w:rPr>
                <w:rFonts w:hint="eastAsia" w:ascii="宋体" w:hAnsi="宋体"/>
                <w:szCs w:val="21"/>
                <w:highlight w:val="none"/>
              </w:rPr>
              <w:t>依5分/起对辖区主管扣分</w:t>
            </w:r>
          </w:p>
        </w:tc>
      </w:tr>
      <w:tr w14:paraId="1B04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5" w:type="dxa"/>
            <w:vMerge w:val="continue"/>
            <w:vAlign w:val="center"/>
          </w:tcPr>
          <w:p w14:paraId="2010F550">
            <w:pPr>
              <w:rPr>
                <w:rFonts w:ascii="宋体" w:hAnsi="宋体"/>
                <w:szCs w:val="21"/>
                <w:highlight w:val="none"/>
              </w:rPr>
            </w:pPr>
          </w:p>
        </w:tc>
        <w:tc>
          <w:tcPr>
            <w:tcW w:w="400" w:type="dxa"/>
            <w:vMerge w:val="continue"/>
            <w:vAlign w:val="center"/>
          </w:tcPr>
          <w:p w14:paraId="53E2A2B9">
            <w:pPr>
              <w:rPr>
                <w:rFonts w:ascii="宋体" w:hAnsi="宋体"/>
                <w:szCs w:val="21"/>
                <w:highlight w:val="none"/>
              </w:rPr>
            </w:pPr>
          </w:p>
        </w:tc>
        <w:tc>
          <w:tcPr>
            <w:tcW w:w="4987" w:type="dxa"/>
            <w:vAlign w:val="center"/>
          </w:tcPr>
          <w:p w14:paraId="11BE5C86">
            <w:pPr>
              <w:rPr>
                <w:rFonts w:ascii="宋体" w:hAnsi="宋体"/>
                <w:szCs w:val="21"/>
                <w:highlight w:val="none"/>
              </w:rPr>
            </w:pPr>
            <w:r>
              <w:rPr>
                <w:rFonts w:hint="eastAsia" w:ascii="宋体" w:hAnsi="宋体"/>
                <w:szCs w:val="21"/>
                <w:highlight w:val="none"/>
              </w:rPr>
              <w:t>8、发生事故没有在1小时内报告。</w:t>
            </w:r>
          </w:p>
        </w:tc>
        <w:tc>
          <w:tcPr>
            <w:tcW w:w="1600" w:type="dxa"/>
            <w:vAlign w:val="center"/>
          </w:tcPr>
          <w:p w14:paraId="55078EE5">
            <w:pPr>
              <w:rPr>
                <w:rFonts w:ascii="宋体" w:hAnsi="宋体"/>
                <w:sz w:val="18"/>
                <w:szCs w:val="18"/>
                <w:highlight w:val="none"/>
              </w:rPr>
            </w:pPr>
            <w:r>
              <w:rPr>
                <w:rFonts w:hint="eastAsia" w:ascii="宋体" w:hAnsi="宋体"/>
                <w:sz w:val="18"/>
                <w:szCs w:val="18"/>
                <w:highlight w:val="none"/>
              </w:rPr>
              <w:t>每超过1小时20元扣罚</w:t>
            </w:r>
          </w:p>
        </w:tc>
        <w:tc>
          <w:tcPr>
            <w:tcW w:w="2609" w:type="dxa"/>
            <w:vAlign w:val="center"/>
          </w:tcPr>
          <w:p w14:paraId="4CBF6952">
            <w:pPr>
              <w:rPr>
                <w:rFonts w:ascii="宋体" w:hAnsi="宋体"/>
                <w:szCs w:val="21"/>
                <w:highlight w:val="none"/>
              </w:rPr>
            </w:pPr>
            <w:r>
              <w:rPr>
                <w:rFonts w:hint="eastAsia" w:ascii="宋体" w:hAnsi="宋体"/>
                <w:szCs w:val="21"/>
                <w:highlight w:val="none"/>
              </w:rPr>
              <w:t>对辖区主管按每迟报1小时扣0.5分处理</w:t>
            </w:r>
          </w:p>
        </w:tc>
      </w:tr>
      <w:tr w14:paraId="2DD8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75" w:type="dxa"/>
            <w:vMerge w:val="restart"/>
            <w:vAlign w:val="center"/>
          </w:tcPr>
          <w:p w14:paraId="597392BA">
            <w:pPr>
              <w:rPr>
                <w:rFonts w:ascii="宋体" w:hAnsi="宋体"/>
                <w:szCs w:val="21"/>
                <w:highlight w:val="none"/>
              </w:rPr>
            </w:pPr>
            <w:r>
              <w:rPr>
                <w:rFonts w:hint="eastAsia" w:ascii="宋体" w:hAnsi="宋体"/>
                <w:szCs w:val="21"/>
                <w:highlight w:val="none"/>
              </w:rPr>
              <w:t>6</w:t>
            </w:r>
          </w:p>
        </w:tc>
        <w:tc>
          <w:tcPr>
            <w:tcW w:w="400" w:type="dxa"/>
            <w:vMerge w:val="restart"/>
            <w:vAlign w:val="center"/>
          </w:tcPr>
          <w:p w14:paraId="2710216C">
            <w:pPr>
              <w:rPr>
                <w:rFonts w:ascii="宋体" w:hAnsi="宋体"/>
                <w:szCs w:val="21"/>
                <w:highlight w:val="none"/>
              </w:rPr>
            </w:pPr>
            <w:r>
              <w:rPr>
                <w:rFonts w:hint="eastAsia" w:ascii="宋体" w:hAnsi="宋体"/>
                <w:szCs w:val="21"/>
                <w:highlight w:val="none"/>
              </w:rPr>
              <w:t>环境管制</w:t>
            </w:r>
          </w:p>
        </w:tc>
        <w:tc>
          <w:tcPr>
            <w:tcW w:w="4987" w:type="dxa"/>
            <w:vAlign w:val="center"/>
          </w:tcPr>
          <w:p w14:paraId="1F3710F9">
            <w:pPr>
              <w:rPr>
                <w:rFonts w:ascii="宋体" w:hAnsi="宋体"/>
                <w:szCs w:val="21"/>
                <w:highlight w:val="none"/>
              </w:rPr>
            </w:pPr>
            <w:r>
              <w:rPr>
                <w:rFonts w:hint="eastAsia" w:ascii="宋体" w:hAnsi="宋体"/>
                <w:szCs w:val="21"/>
                <w:highlight w:val="none"/>
              </w:rPr>
              <w:t>1、施工机具、材料乱堆乱放，堵塞消防通道或影响人员的操作、巡检的。</w:t>
            </w:r>
          </w:p>
        </w:tc>
        <w:tc>
          <w:tcPr>
            <w:tcW w:w="1600" w:type="dxa"/>
            <w:vAlign w:val="center"/>
          </w:tcPr>
          <w:p w14:paraId="62E3D97D">
            <w:pPr>
              <w:rPr>
                <w:rFonts w:ascii="宋体" w:hAnsi="宋体"/>
                <w:sz w:val="18"/>
                <w:szCs w:val="18"/>
                <w:highlight w:val="none"/>
              </w:rPr>
            </w:pPr>
            <w:r>
              <w:rPr>
                <w:rFonts w:hint="eastAsia" w:ascii="宋体" w:hAnsi="宋体"/>
                <w:sz w:val="18"/>
                <w:szCs w:val="18"/>
                <w:highlight w:val="none"/>
              </w:rPr>
              <w:t>罚款200元/次，责令立即整改、清理</w:t>
            </w:r>
          </w:p>
        </w:tc>
        <w:tc>
          <w:tcPr>
            <w:tcW w:w="2609" w:type="dxa"/>
            <w:vMerge w:val="restart"/>
            <w:vAlign w:val="center"/>
          </w:tcPr>
          <w:p w14:paraId="71565251">
            <w:pPr>
              <w:rPr>
                <w:rFonts w:ascii="宋体" w:hAnsi="宋体"/>
                <w:szCs w:val="21"/>
                <w:highlight w:val="none"/>
              </w:rPr>
            </w:pPr>
            <w:r>
              <w:rPr>
                <w:rFonts w:hint="eastAsia" w:ascii="宋体" w:hAnsi="宋体"/>
                <w:szCs w:val="21"/>
                <w:highlight w:val="none"/>
              </w:rPr>
              <w:t>对当事人扣1分/次</w:t>
            </w:r>
          </w:p>
        </w:tc>
      </w:tr>
      <w:tr w14:paraId="226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475" w:type="dxa"/>
            <w:vMerge w:val="continue"/>
            <w:vAlign w:val="center"/>
          </w:tcPr>
          <w:p w14:paraId="7AF13BA9">
            <w:pPr>
              <w:rPr>
                <w:rFonts w:ascii="宋体" w:hAnsi="宋体"/>
                <w:szCs w:val="21"/>
                <w:highlight w:val="none"/>
              </w:rPr>
            </w:pPr>
          </w:p>
        </w:tc>
        <w:tc>
          <w:tcPr>
            <w:tcW w:w="400" w:type="dxa"/>
            <w:vMerge w:val="continue"/>
            <w:vAlign w:val="center"/>
          </w:tcPr>
          <w:p w14:paraId="7668E196">
            <w:pPr>
              <w:rPr>
                <w:rFonts w:ascii="宋体" w:hAnsi="宋体"/>
                <w:szCs w:val="21"/>
                <w:highlight w:val="none"/>
              </w:rPr>
            </w:pPr>
          </w:p>
        </w:tc>
        <w:tc>
          <w:tcPr>
            <w:tcW w:w="4987" w:type="dxa"/>
            <w:vAlign w:val="center"/>
          </w:tcPr>
          <w:p w14:paraId="483ED99D">
            <w:pPr>
              <w:rPr>
                <w:rFonts w:ascii="宋体" w:hAnsi="宋体"/>
                <w:szCs w:val="21"/>
                <w:highlight w:val="none"/>
              </w:rPr>
            </w:pPr>
            <w:r>
              <w:rPr>
                <w:rFonts w:hint="eastAsia" w:ascii="宋体" w:hAnsi="宋体"/>
                <w:szCs w:val="21"/>
                <w:highlight w:val="none"/>
              </w:rPr>
              <w:t>2、载运垃圾、废土、沙石等未加以适当防护，或未进行清理而造成环境污染的。</w:t>
            </w:r>
          </w:p>
        </w:tc>
        <w:tc>
          <w:tcPr>
            <w:tcW w:w="1600" w:type="dxa"/>
            <w:vAlign w:val="center"/>
          </w:tcPr>
          <w:p w14:paraId="50BFF615">
            <w:pPr>
              <w:rPr>
                <w:rFonts w:ascii="宋体" w:hAnsi="宋体"/>
                <w:sz w:val="18"/>
                <w:szCs w:val="18"/>
                <w:highlight w:val="none"/>
              </w:rPr>
            </w:pPr>
            <w:r>
              <w:rPr>
                <w:rFonts w:hint="eastAsia" w:ascii="宋体" w:hAnsi="宋体"/>
                <w:sz w:val="18"/>
                <w:szCs w:val="18"/>
                <w:highlight w:val="none"/>
              </w:rPr>
              <w:t>罚款200——500元/次，责令立即整改、清理</w:t>
            </w:r>
          </w:p>
        </w:tc>
        <w:tc>
          <w:tcPr>
            <w:tcW w:w="2609" w:type="dxa"/>
            <w:vMerge w:val="continue"/>
            <w:vAlign w:val="center"/>
          </w:tcPr>
          <w:p w14:paraId="3DC4DBC4">
            <w:pPr>
              <w:rPr>
                <w:rFonts w:ascii="宋体" w:hAnsi="宋体"/>
                <w:szCs w:val="21"/>
                <w:highlight w:val="none"/>
              </w:rPr>
            </w:pPr>
          </w:p>
        </w:tc>
      </w:tr>
      <w:tr w14:paraId="4BBE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475" w:type="dxa"/>
            <w:vMerge w:val="continue"/>
            <w:vAlign w:val="center"/>
          </w:tcPr>
          <w:p w14:paraId="1C55D25E">
            <w:pPr>
              <w:rPr>
                <w:rFonts w:ascii="宋体" w:hAnsi="宋体"/>
                <w:szCs w:val="21"/>
                <w:highlight w:val="none"/>
              </w:rPr>
            </w:pPr>
          </w:p>
        </w:tc>
        <w:tc>
          <w:tcPr>
            <w:tcW w:w="400" w:type="dxa"/>
            <w:vMerge w:val="continue"/>
            <w:vAlign w:val="center"/>
          </w:tcPr>
          <w:p w14:paraId="488366B6">
            <w:pPr>
              <w:rPr>
                <w:rFonts w:ascii="宋体" w:hAnsi="宋体"/>
                <w:szCs w:val="21"/>
                <w:highlight w:val="none"/>
              </w:rPr>
            </w:pPr>
          </w:p>
        </w:tc>
        <w:tc>
          <w:tcPr>
            <w:tcW w:w="4987" w:type="dxa"/>
            <w:vAlign w:val="center"/>
          </w:tcPr>
          <w:p w14:paraId="4507580A">
            <w:pPr>
              <w:rPr>
                <w:rFonts w:ascii="宋体" w:hAnsi="宋体"/>
                <w:szCs w:val="21"/>
                <w:highlight w:val="none"/>
              </w:rPr>
            </w:pPr>
            <w:r>
              <w:rPr>
                <w:rFonts w:hint="eastAsia" w:ascii="宋体" w:hAnsi="宋体"/>
                <w:szCs w:val="21"/>
                <w:highlight w:val="none"/>
              </w:rPr>
              <w:t>3、施工废料未按规定地点分类堆放，乱扔乱堆的。</w:t>
            </w:r>
          </w:p>
        </w:tc>
        <w:tc>
          <w:tcPr>
            <w:tcW w:w="1600" w:type="dxa"/>
            <w:vAlign w:val="center"/>
          </w:tcPr>
          <w:p w14:paraId="311A584D">
            <w:pPr>
              <w:rPr>
                <w:rFonts w:ascii="宋体" w:hAnsi="宋体"/>
                <w:szCs w:val="21"/>
                <w:highlight w:val="none"/>
              </w:rPr>
            </w:pPr>
            <w:r>
              <w:rPr>
                <w:rFonts w:hint="eastAsia" w:ascii="宋体" w:hAnsi="宋体"/>
                <w:szCs w:val="21"/>
                <w:highlight w:val="none"/>
              </w:rPr>
              <w:t>罚款200元/次，责令立即清理</w:t>
            </w:r>
          </w:p>
        </w:tc>
        <w:tc>
          <w:tcPr>
            <w:tcW w:w="2609" w:type="dxa"/>
            <w:vMerge w:val="continue"/>
            <w:vAlign w:val="center"/>
          </w:tcPr>
          <w:p w14:paraId="5E9693DB">
            <w:pPr>
              <w:rPr>
                <w:rFonts w:ascii="宋体" w:hAnsi="宋体"/>
                <w:szCs w:val="21"/>
                <w:highlight w:val="none"/>
              </w:rPr>
            </w:pPr>
          </w:p>
        </w:tc>
      </w:tr>
      <w:tr w14:paraId="3F8DF7E1">
        <w:tblPrEx>
          <w:tblCellMar>
            <w:top w:w="0" w:type="dxa"/>
            <w:left w:w="108" w:type="dxa"/>
            <w:bottom w:w="0" w:type="dxa"/>
            <w:right w:w="108" w:type="dxa"/>
          </w:tblCellMar>
        </w:tblPrEx>
        <w:trPr>
          <w:cantSplit/>
          <w:trHeight w:val="740" w:hRule="atLeast"/>
        </w:trPr>
        <w:tc>
          <w:tcPr>
            <w:tcW w:w="475" w:type="dxa"/>
            <w:vMerge w:val="restart"/>
            <w:vAlign w:val="center"/>
          </w:tcPr>
          <w:p w14:paraId="6D909A9A">
            <w:pPr>
              <w:rPr>
                <w:rFonts w:ascii="宋体" w:hAnsi="宋体"/>
                <w:szCs w:val="21"/>
                <w:highlight w:val="none"/>
              </w:rPr>
            </w:pPr>
            <w:r>
              <w:rPr>
                <w:rFonts w:hint="eastAsia" w:ascii="宋体" w:hAnsi="宋体"/>
                <w:szCs w:val="21"/>
                <w:highlight w:val="none"/>
              </w:rPr>
              <w:t>7</w:t>
            </w:r>
          </w:p>
        </w:tc>
        <w:tc>
          <w:tcPr>
            <w:tcW w:w="400" w:type="dxa"/>
            <w:vMerge w:val="restart"/>
            <w:vAlign w:val="center"/>
          </w:tcPr>
          <w:p w14:paraId="58ADE502">
            <w:pPr>
              <w:rPr>
                <w:rFonts w:ascii="宋体" w:hAnsi="宋体"/>
                <w:szCs w:val="21"/>
                <w:highlight w:val="none"/>
              </w:rPr>
            </w:pPr>
            <w:r>
              <w:rPr>
                <w:rFonts w:hint="eastAsia" w:ascii="宋体" w:hAnsi="宋体"/>
                <w:szCs w:val="21"/>
                <w:highlight w:val="none"/>
              </w:rPr>
              <w:t>其他管制</w:t>
            </w:r>
          </w:p>
        </w:tc>
        <w:tc>
          <w:tcPr>
            <w:tcW w:w="4987" w:type="dxa"/>
            <w:vAlign w:val="center"/>
          </w:tcPr>
          <w:p w14:paraId="196180C6">
            <w:pPr>
              <w:rPr>
                <w:rFonts w:ascii="宋体" w:hAnsi="宋体"/>
                <w:szCs w:val="21"/>
                <w:highlight w:val="none"/>
              </w:rPr>
            </w:pPr>
            <w:r>
              <w:rPr>
                <w:rFonts w:hint="eastAsia" w:ascii="宋体" w:hAnsi="宋体"/>
                <w:szCs w:val="21"/>
                <w:highlight w:val="none"/>
              </w:rPr>
              <w:t>1、</w:t>
            </w:r>
            <w:r>
              <w:rPr>
                <w:rFonts w:ascii="宋体" w:hAnsi="宋体"/>
                <w:szCs w:val="21"/>
                <w:highlight w:val="none"/>
              </w:rPr>
              <w:t>高处作业抛</w:t>
            </w:r>
            <w:r>
              <w:rPr>
                <w:rFonts w:hint="eastAsia" w:ascii="宋体" w:hAnsi="宋体"/>
                <w:szCs w:val="21"/>
                <w:highlight w:val="none"/>
              </w:rPr>
              <w:t>扔</w:t>
            </w:r>
            <w:r>
              <w:rPr>
                <w:rFonts w:ascii="宋体" w:hAnsi="宋体"/>
                <w:szCs w:val="21"/>
                <w:highlight w:val="none"/>
              </w:rPr>
              <w:t>物件</w:t>
            </w:r>
            <w:r>
              <w:rPr>
                <w:rFonts w:hint="eastAsia" w:ascii="宋体" w:hAnsi="宋体"/>
                <w:szCs w:val="21"/>
                <w:highlight w:val="none"/>
              </w:rPr>
              <w:t>、工具、杂物</w:t>
            </w:r>
            <w:r>
              <w:rPr>
                <w:rFonts w:ascii="宋体" w:hAnsi="宋体"/>
                <w:szCs w:val="21"/>
                <w:highlight w:val="none"/>
              </w:rPr>
              <w:t>或没有使用工具袋，使物件高处</w:t>
            </w:r>
            <w:r>
              <w:rPr>
                <w:rFonts w:hint="eastAsia" w:ascii="宋体" w:hAnsi="宋体"/>
                <w:szCs w:val="21"/>
                <w:highlight w:val="none"/>
              </w:rPr>
              <w:t>掉</w:t>
            </w:r>
            <w:r>
              <w:rPr>
                <w:rFonts w:ascii="宋体" w:hAnsi="宋体"/>
                <w:szCs w:val="21"/>
                <w:highlight w:val="none"/>
              </w:rPr>
              <w:t>落</w:t>
            </w:r>
            <w:r>
              <w:rPr>
                <w:rFonts w:hint="eastAsia" w:ascii="宋体" w:hAnsi="宋体"/>
                <w:szCs w:val="21"/>
                <w:highlight w:val="none"/>
              </w:rPr>
              <w:t>的。</w:t>
            </w:r>
          </w:p>
        </w:tc>
        <w:tc>
          <w:tcPr>
            <w:tcW w:w="1600" w:type="dxa"/>
            <w:vAlign w:val="center"/>
          </w:tcPr>
          <w:p w14:paraId="258CEEEA">
            <w:pPr>
              <w:rPr>
                <w:rFonts w:ascii="宋体" w:hAnsi="宋体"/>
                <w:szCs w:val="21"/>
                <w:highlight w:val="none"/>
              </w:rPr>
            </w:pPr>
            <w:r>
              <w:rPr>
                <w:rFonts w:hint="eastAsia" w:ascii="宋体" w:hAnsi="宋体"/>
                <w:szCs w:val="21"/>
                <w:highlight w:val="none"/>
              </w:rPr>
              <w:t>罚款100——500元/次</w:t>
            </w:r>
          </w:p>
        </w:tc>
        <w:tc>
          <w:tcPr>
            <w:tcW w:w="2609" w:type="dxa"/>
            <w:vMerge w:val="restart"/>
            <w:vAlign w:val="center"/>
          </w:tcPr>
          <w:p w14:paraId="5C688D9F">
            <w:pPr>
              <w:rPr>
                <w:rFonts w:ascii="宋体" w:hAnsi="宋体"/>
                <w:szCs w:val="21"/>
                <w:highlight w:val="none"/>
              </w:rPr>
            </w:pPr>
            <w:r>
              <w:rPr>
                <w:rFonts w:hint="eastAsia" w:ascii="宋体" w:hAnsi="宋体"/>
                <w:szCs w:val="21"/>
                <w:highlight w:val="none"/>
              </w:rPr>
              <w:t>对当事人扣1分/次，对负责此项工作的直接主管扣0.5分/次。</w:t>
            </w:r>
          </w:p>
        </w:tc>
      </w:tr>
      <w:tr w14:paraId="1864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75" w:type="dxa"/>
            <w:vMerge w:val="continue"/>
            <w:vAlign w:val="center"/>
          </w:tcPr>
          <w:p w14:paraId="6C230E0F">
            <w:pPr>
              <w:rPr>
                <w:rFonts w:ascii="宋体" w:hAnsi="宋体"/>
                <w:szCs w:val="21"/>
                <w:highlight w:val="none"/>
              </w:rPr>
            </w:pPr>
          </w:p>
        </w:tc>
        <w:tc>
          <w:tcPr>
            <w:tcW w:w="400" w:type="dxa"/>
            <w:vMerge w:val="continue"/>
            <w:vAlign w:val="center"/>
          </w:tcPr>
          <w:p w14:paraId="5860C1E1">
            <w:pPr>
              <w:rPr>
                <w:rFonts w:ascii="宋体" w:hAnsi="宋体"/>
                <w:szCs w:val="21"/>
                <w:highlight w:val="none"/>
              </w:rPr>
            </w:pPr>
          </w:p>
        </w:tc>
        <w:tc>
          <w:tcPr>
            <w:tcW w:w="4987" w:type="dxa"/>
            <w:vAlign w:val="center"/>
          </w:tcPr>
          <w:p w14:paraId="1124306E">
            <w:pPr>
              <w:ind w:left="210" w:hanging="210" w:hangingChars="100"/>
              <w:rPr>
                <w:rFonts w:ascii="宋体" w:hAnsi="宋体"/>
                <w:szCs w:val="21"/>
                <w:highlight w:val="none"/>
              </w:rPr>
            </w:pPr>
            <w:r>
              <w:rPr>
                <w:rFonts w:hint="eastAsia" w:ascii="宋体" w:hAnsi="宋体"/>
                <w:szCs w:val="21"/>
                <w:highlight w:val="none"/>
              </w:rPr>
              <w:t>2、</w:t>
            </w:r>
            <w:r>
              <w:rPr>
                <w:rFonts w:ascii="宋体" w:hAnsi="宋体"/>
                <w:szCs w:val="21"/>
                <w:highlight w:val="none"/>
              </w:rPr>
              <w:t>利用</w:t>
            </w:r>
            <w:r>
              <w:rPr>
                <w:rFonts w:hint="eastAsia" w:ascii="宋体" w:hAnsi="宋体"/>
                <w:szCs w:val="21"/>
                <w:highlight w:val="none"/>
              </w:rPr>
              <w:t>生产设备、工艺</w:t>
            </w:r>
            <w:r>
              <w:rPr>
                <w:rFonts w:ascii="宋体" w:hAnsi="宋体"/>
                <w:szCs w:val="21"/>
                <w:highlight w:val="none"/>
              </w:rPr>
              <w:t>管</w:t>
            </w:r>
            <w:r>
              <w:rPr>
                <w:rFonts w:hint="eastAsia" w:ascii="宋体" w:hAnsi="宋体"/>
                <w:szCs w:val="21"/>
                <w:highlight w:val="none"/>
              </w:rPr>
              <w:t>线</w:t>
            </w:r>
            <w:r>
              <w:rPr>
                <w:rFonts w:ascii="宋体" w:hAnsi="宋体"/>
                <w:szCs w:val="21"/>
                <w:highlight w:val="none"/>
              </w:rPr>
              <w:t>、</w:t>
            </w:r>
            <w:r>
              <w:rPr>
                <w:rFonts w:hint="eastAsia" w:ascii="宋体" w:hAnsi="宋体"/>
                <w:szCs w:val="21"/>
                <w:highlight w:val="none"/>
              </w:rPr>
              <w:t>管架</w:t>
            </w:r>
            <w:r>
              <w:rPr>
                <w:rFonts w:ascii="宋体" w:hAnsi="宋体"/>
                <w:szCs w:val="21"/>
                <w:highlight w:val="none"/>
              </w:rPr>
              <w:t>等</w:t>
            </w:r>
            <w:r>
              <w:rPr>
                <w:rFonts w:hint="eastAsia" w:ascii="宋体" w:hAnsi="宋体"/>
                <w:szCs w:val="21"/>
                <w:highlight w:val="none"/>
              </w:rPr>
              <w:t>做起重吊装锚</w:t>
            </w:r>
          </w:p>
          <w:p w14:paraId="075BB71D">
            <w:pPr>
              <w:ind w:left="210" w:hanging="210" w:hangingChars="100"/>
              <w:rPr>
                <w:rFonts w:ascii="宋体" w:hAnsi="宋体"/>
                <w:szCs w:val="21"/>
                <w:highlight w:val="none"/>
              </w:rPr>
            </w:pPr>
            <w:r>
              <w:rPr>
                <w:rFonts w:hint="eastAsia" w:ascii="宋体" w:hAnsi="宋体"/>
                <w:szCs w:val="21"/>
                <w:highlight w:val="none"/>
              </w:rPr>
              <w:t>点的。</w:t>
            </w:r>
          </w:p>
        </w:tc>
        <w:tc>
          <w:tcPr>
            <w:tcW w:w="1600" w:type="dxa"/>
            <w:vAlign w:val="center"/>
          </w:tcPr>
          <w:p w14:paraId="12E517DD">
            <w:pPr>
              <w:rPr>
                <w:rFonts w:ascii="宋体" w:hAnsi="宋体"/>
                <w:szCs w:val="21"/>
                <w:highlight w:val="none"/>
              </w:rPr>
            </w:pPr>
            <w:r>
              <w:rPr>
                <w:rFonts w:hint="eastAsia" w:ascii="宋体" w:hAnsi="宋体"/>
                <w:szCs w:val="21"/>
                <w:highlight w:val="none"/>
              </w:rPr>
              <w:t>罚款100——500元/次</w:t>
            </w:r>
          </w:p>
        </w:tc>
        <w:tc>
          <w:tcPr>
            <w:tcW w:w="2609" w:type="dxa"/>
            <w:vMerge w:val="continue"/>
            <w:vAlign w:val="center"/>
          </w:tcPr>
          <w:p w14:paraId="22A5610B">
            <w:pPr>
              <w:rPr>
                <w:rFonts w:ascii="宋体" w:hAnsi="宋体"/>
                <w:szCs w:val="21"/>
                <w:highlight w:val="none"/>
              </w:rPr>
            </w:pPr>
          </w:p>
        </w:tc>
      </w:tr>
      <w:tr w14:paraId="4AA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475" w:type="dxa"/>
            <w:vMerge w:val="continue"/>
            <w:vAlign w:val="center"/>
          </w:tcPr>
          <w:p w14:paraId="1A8EE6DB">
            <w:pPr>
              <w:rPr>
                <w:rFonts w:ascii="宋体" w:hAnsi="宋体"/>
                <w:szCs w:val="21"/>
                <w:highlight w:val="none"/>
              </w:rPr>
            </w:pPr>
          </w:p>
        </w:tc>
        <w:tc>
          <w:tcPr>
            <w:tcW w:w="400" w:type="dxa"/>
            <w:vMerge w:val="continue"/>
            <w:vAlign w:val="center"/>
          </w:tcPr>
          <w:p w14:paraId="4E66E132">
            <w:pPr>
              <w:rPr>
                <w:rFonts w:ascii="宋体" w:hAnsi="宋体"/>
                <w:szCs w:val="21"/>
                <w:highlight w:val="none"/>
              </w:rPr>
            </w:pPr>
          </w:p>
        </w:tc>
        <w:tc>
          <w:tcPr>
            <w:tcW w:w="4987" w:type="dxa"/>
            <w:vAlign w:val="center"/>
          </w:tcPr>
          <w:p w14:paraId="572917B9">
            <w:pPr>
              <w:ind w:left="4" w:hanging="4" w:hangingChars="2"/>
              <w:rPr>
                <w:rFonts w:ascii="宋体" w:hAnsi="宋体"/>
                <w:szCs w:val="21"/>
                <w:highlight w:val="none"/>
              </w:rPr>
            </w:pPr>
            <w:r>
              <w:rPr>
                <w:rFonts w:hint="eastAsia" w:ascii="宋体" w:hAnsi="宋体"/>
                <w:szCs w:val="21"/>
                <w:highlight w:val="none"/>
              </w:rPr>
              <w:t>3、吊车利用吊绳及吊钩直接当作人员上下之用的，或吊车直接用钢绳吊运气瓶的。</w:t>
            </w:r>
          </w:p>
        </w:tc>
        <w:tc>
          <w:tcPr>
            <w:tcW w:w="1600" w:type="dxa"/>
            <w:vAlign w:val="center"/>
          </w:tcPr>
          <w:p w14:paraId="61598819">
            <w:pPr>
              <w:rPr>
                <w:rFonts w:ascii="宋体" w:hAnsi="宋体"/>
                <w:szCs w:val="21"/>
                <w:highlight w:val="none"/>
              </w:rPr>
            </w:pPr>
            <w:r>
              <w:rPr>
                <w:rFonts w:hint="eastAsia" w:ascii="宋体" w:hAnsi="宋体"/>
                <w:szCs w:val="21"/>
                <w:highlight w:val="none"/>
              </w:rPr>
              <w:t>罚款200元/次</w:t>
            </w:r>
          </w:p>
        </w:tc>
        <w:tc>
          <w:tcPr>
            <w:tcW w:w="2609" w:type="dxa"/>
            <w:vMerge w:val="continue"/>
            <w:vAlign w:val="center"/>
          </w:tcPr>
          <w:p w14:paraId="1686C30D">
            <w:pPr>
              <w:rPr>
                <w:rFonts w:ascii="宋体" w:hAnsi="宋体"/>
                <w:szCs w:val="21"/>
                <w:highlight w:val="none"/>
              </w:rPr>
            </w:pPr>
          </w:p>
        </w:tc>
      </w:tr>
      <w:tr w14:paraId="611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475" w:type="dxa"/>
            <w:vMerge w:val="continue"/>
            <w:vAlign w:val="center"/>
          </w:tcPr>
          <w:p w14:paraId="017CC5CE">
            <w:pPr>
              <w:rPr>
                <w:rFonts w:ascii="宋体" w:hAnsi="宋体"/>
                <w:szCs w:val="21"/>
                <w:highlight w:val="none"/>
              </w:rPr>
            </w:pPr>
          </w:p>
        </w:tc>
        <w:tc>
          <w:tcPr>
            <w:tcW w:w="400" w:type="dxa"/>
            <w:vMerge w:val="continue"/>
            <w:vAlign w:val="center"/>
          </w:tcPr>
          <w:p w14:paraId="74571EA9">
            <w:pPr>
              <w:rPr>
                <w:rFonts w:ascii="宋体" w:hAnsi="宋体"/>
                <w:szCs w:val="21"/>
                <w:highlight w:val="none"/>
              </w:rPr>
            </w:pPr>
          </w:p>
        </w:tc>
        <w:tc>
          <w:tcPr>
            <w:tcW w:w="4987" w:type="dxa"/>
            <w:vAlign w:val="center"/>
          </w:tcPr>
          <w:p w14:paraId="608B8604">
            <w:pPr>
              <w:ind w:left="6" w:leftChars="3"/>
              <w:rPr>
                <w:rFonts w:ascii="宋体" w:hAnsi="宋体"/>
                <w:szCs w:val="21"/>
                <w:highlight w:val="none"/>
              </w:rPr>
            </w:pPr>
            <w:r>
              <w:rPr>
                <w:rFonts w:hint="eastAsia" w:ascii="宋体" w:hAnsi="宋体"/>
                <w:szCs w:val="21"/>
                <w:highlight w:val="none"/>
              </w:rPr>
              <w:t>4、起重吊装作业不符合安全规定和该工种的安全操作规程的。</w:t>
            </w:r>
          </w:p>
        </w:tc>
        <w:tc>
          <w:tcPr>
            <w:tcW w:w="1600" w:type="dxa"/>
            <w:vAlign w:val="center"/>
          </w:tcPr>
          <w:p w14:paraId="3A419575">
            <w:pPr>
              <w:rPr>
                <w:rFonts w:ascii="宋体" w:hAnsi="宋体"/>
                <w:szCs w:val="21"/>
                <w:highlight w:val="none"/>
              </w:rPr>
            </w:pPr>
            <w:r>
              <w:rPr>
                <w:rFonts w:hint="eastAsia" w:ascii="宋体" w:hAnsi="宋体"/>
                <w:szCs w:val="21"/>
                <w:highlight w:val="none"/>
              </w:rPr>
              <w:t>视情节轻重，罚款100——500元/次</w:t>
            </w:r>
          </w:p>
        </w:tc>
        <w:tc>
          <w:tcPr>
            <w:tcW w:w="2609" w:type="dxa"/>
            <w:vMerge w:val="continue"/>
            <w:vAlign w:val="center"/>
          </w:tcPr>
          <w:p w14:paraId="6EE11DBA">
            <w:pPr>
              <w:rPr>
                <w:rFonts w:ascii="宋体" w:hAnsi="宋体"/>
                <w:szCs w:val="21"/>
                <w:highlight w:val="none"/>
              </w:rPr>
            </w:pPr>
          </w:p>
        </w:tc>
      </w:tr>
      <w:tr w14:paraId="562A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75" w:type="dxa"/>
            <w:vMerge w:val="continue"/>
            <w:vAlign w:val="center"/>
          </w:tcPr>
          <w:p w14:paraId="1C791273">
            <w:pPr>
              <w:rPr>
                <w:rFonts w:ascii="宋体" w:hAnsi="宋体"/>
                <w:szCs w:val="21"/>
                <w:highlight w:val="none"/>
              </w:rPr>
            </w:pPr>
          </w:p>
        </w:tc>
        <w:tc>
          <w:tcPr>
            <w:tcW w:w="400" w:type="dxa"/>
            <w:vMerge w:val="continue"/>
            <w:vAlign w:val="center"/>
          </w:tcPr>
          <w:p w14:paraId="187E1689">
            <w:pPr>
              <w:rPr>
                <w:rFonts w:ascii="宋体" w:hAnsi="宋体"/>
                <w:szCs w:val="21"/>
                <w:highlight w:val="none"/>
              </w:rPr>
            </w:pPr>
          </w:p>
        </w:tc>
        <w:tc>
          <w:tcPr>
            <w:tcW w:w="4987" w:type="dxa"/>
            <w:vAlign w:val="center"/>
          </w:tcPr>
          <w:p w14:paraId="7BAED1D2">
            <w:pPr>
              <w:ind w:left="210" w:hanging="210" w:hangingChars="100"/>
              <w:rPr>
                <w:rFonts w:ascii="宋体" w:hAnsi="宋体"/>
                <w:szCs w:val="21"/>
                <w:highlight w:val="none"/>
              </w:rPr>
            </w:pPr>
            <w:r>
              <w:rPr>
                <w:rFonts w:hint="eastAsia" w:ascii="宋体" w:hAnsi="宋体"/>
                <w:szCs w:val="21"/>
                <w:highlight w:val="none"/>
              </w:rPr>
              <w:t>5、脚手架搭设不符合规定要求的。</w:t>
            </w:r>
          </w:p>
        </w:tc>
        <w:tc>
          <w:tcPr>
            <w:tcW w:w="1600" w:type="dxa"/>
            <w:vAlign w:val="center"/>
          </w:tcPr>
          <w:p w14:paraId="61733076">
            <w:pPr>
              <w:rPr>
                <w:rFonts w:ascii="宋体" w:hAnsi="宋体"/>
                <w:szCs w:val="21"/>
                <w:highlight w:val="none"/>
              </w:rPr>
            </w:pPr>
            <w:r>
              <w:rPr>
                <w:rFonts w:hint="eastAsia" w:ascii="宋体" w:hAnsi="宋体"/>
                <w:szCs w:val="21"/>
                <w:highlight w:val="none"/>
              </w:rPr>
              <w:t>视情节轻重，罚款100——500元/次</w:t>
            </w:r>
          </w:p>
        </w:tc>
        <w:tc>
          <w:tcPr>
            <w:tcW w:w="2609" w:type="dxa"/>
            <w:vMerge w:val="continue"/>
            <w:vAlign w:val="center"/>
          </w:tcPr>
          <w:p w14:paraId="09F82A98">
            <w:pPr>
              <w:rPr>
                <w:rFonts w:ascii="宋体" w:hAnsi="宋体"/>
                <w:szCs w:val="21"/>
                <w:highlight w:val="none"/>
              </w:rPr>
            </w:pPr>
          </w:p>
        </w:tc>
      </w:tr>
      <w:tr w14:paraId="1A24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75" w:type="dxa"/>
            <w:vMerge w:val="continue"/>
            <w:vAlign w:val="center"/>
          </w:tcPr>
          <w:p w14:paraId="423F4B1E">
            <w:pPr>
              <w:rPr>
                <w:rFonts w:ascii="宋体" w:hAnsi="宋体"/>
                <w:szCs w:val="21"/>
                <w:highlight w:val="none"/>
              </w:rPr>
            </w:pPr>
          </w:p>
        </w:tc>
        <w:tc>
          <w:tcPr>
            <w:tcW w:w="400" w:type="dxa"/>
            <w:vMerge w:val="continue"/>
            <w:vAlign w:val="center"/>
          </w:tcPr>
          <w:p w14:paraId="3290362A">
            <w:pPr>
              <w:rPr>
                <w:rFonts w:ascii="宋体" w:hAnsi="宋体"/>
                <w:szCs w:val="21"/>
                <w:highlight w:val="none"/>
              </w:rPr>
            </w:pPr>
          </w:p>
        </w:tc>
        <w:tc>
          <w:tcPr>
            <w:tcW w:w="4987" w:type="dxa"/>
            <w:vAlign w:val="center"/>
          </w:tcPr>
          <w:p w14:paraId="64D920FD">
            <w:pPr>
              <w:ind w:left="6" w:leftChars="3"/>
              <w:rPr>
                <w:rFonts w:ascii="宋体" w:hAnsi="宋体"/>
                <w:szCs w:val="21"/>
                <w:highlight w:val="none"/>
              </w:rPr>
            </w:pPr>
            <w:r>
              <w:rPr>
                <w:rFonts w:hint="eastAsia" w:ascii="宋体" w:hAnsi="宋体"/>
                <w:szCs w:val="21"/>
                <w:highlight w:val="none"/>
              </w:rPr>
              <w:t>6、预留洞口、坑、井的防护板未盖好或未采取相应的防护措施的。</w:t>
            </w:r>
          </w:p>
        </w:tc>
        <w:tc>
          <w:tcPr>
            <w:tcW w:w="1600" w:type="dxa"/>
            <w:vAlign w:val="center"/>
          </w:tcPr>
          <w:p w14:paraId="1FFC5D0F">
            <w:pPr>
              <w:rPr>
                <w:rFonts w:ascii="宋体" w:hAnsi="宋体"/>
                <w:szCs w:val="21"/>
                <w:highlight w:val="none"/>
              </w:rPr>
            </w:pPr>
            <w:r>
              <w:rPr>
                <w:rFonts w:hint="eastAsia" w:ascii="宋体" w:hAnsi="宋体"/>
                <w:szCs w:val="21"/>
                <w:highlight w:val="none"/>
              </w:rPr>
              <w:t>罚款100——500元/次</w:t>
            </w:r>
          </w:p>
        </w:tc>
        <w:tc>
          <w:tcPr>
            <w:tcW w:w="2609" w:type="dxa"/>
            <w:vMerge w:val="continue"/>
            <w:vAlign w:val="center"/>
          </w:tcPr>
          <w:p w14:paraId="59DADBAC">
            <w:pPr>
              <w:rPr>
                <w:rFonts w:ascii="宋体" w:hAnsi="宋体"/>
                <w:szCs w:val="21"/>
                <w:highlight w:val="none"/>
              </w:rPr>
            </w:pPr>
          </w:p>
        </w:tc>
      </w:tr>
      <w:tr w14:paraId="6CD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75" w:type="dxa"/>
            <w:vMerge w:val="continue"/>
            <w:vAlign w:val="center"/>
          </w:tcPr>
          <w:p w14:paraId="3FA56667">
            <w:pPr>
              <w:rPr>
                <w:rFonts w:ascii="宋体" w:hAnsi="宋体"/>
                <w:szCs w:val="21"/>
                <w:highlight w:val="none"/>
              </w:rPr>
            </w:pPr>
          </w:p>
        </w:tc>
        <w:tc>
          <w:tcPr>
            <w:tcW w:w="400" w:type="dxa"/>
            <w:vMerge w:val="continue"/>
            <w:vAlign w:val="center"/>
          </w:tcPr>
          <w:p w14:paraId="67282BF1">
            <w:pPr>
              <w:rPr>
                <w:rFonts w:ascii="宋体" w:hAnsi="宋体"/>
                <w:szCs w:val="21"/>
                <w:highlight w:val="none"/>
              </w:rPr>
            </w:pPr>
          </w:p>
        </w:tc>
        <w:tc>
          <w:tcPr>
            <w:tcW w:w="4987" w:type="dxa"/>
            <w:vAlign w:val="center"/>
          </w:tcPr>
          <w:p w14:paraId="33566272">
            <w:pPr>
              <w:rPr>
                <w:rFonts w:ascii="宋体" w:hAnsi="宋体"/>
                <w:szCs w:val="21"/>
                <w:highlight w:val="none"/>
              </w:rPr>
            </w:pPr>
            <w:r>
              <w:rPr>
                <w:rFonts w:hint="eastAsia" w:ascii="宋体" w:hAnsi="宋体"/>
                <w:szCs w:val="21"/>
                <w:highlight w:val="none"/>
              </w:rPr>
              <w:t>7、未经审批、许可擅自拆除安全防护设施，安全保护装置的。</w:t>
            </w:r>
          </w:p>
        </w:tc>
        <w:tc>
          <w:tcPr>
            <w:tcW w:w="1600" w:type="dxa"/>
            <w:vAlign w:val="center"/>
          </w:tcPr>
          <w:p w14:paraId="0F76635E">
            <w:pPr>
              <w:rPr>
                <w:rFonts w:ascii="宋体" w:hAnsi="宋体"/>
                <w:szCs w:val="21"/>
                <w:highlight w:val="none"/>
              </w:rPr>
            </w:pPr>
            <w:r>
              <w:rPr>
                <w:rFonts w:hint="eastAsia" w:ascii="宋体" w:hAnsi="宋体"/>
                <w:szCs w:val="21"/>
                <w:highlight w:val="none"/>
              </w:rPr>
              <w:t>罚款100——500元/次，责令立即恢复</w:t>
            </w:r>
          </w:p>
        </w:tc>
        <w:tc>
          <w:tcPr>
            <w:tcW w:w="2609" w:type="dxa"/>
            <w:vMerge w:val="restart"/>
            <w:vAlign w:val="center"/>
          </w:tcPr>
          <w:p w14:paraId="223F8FE0">
            <w:pPr>
              <w:rPr>
                <w:rFonts w:ascii="宋体" w:hAnsi="宋体"/>
                <w:szCs w:val="21"/>
                <w:highlight w:val="none"/>
              </w:rPr>
            </w:pPr>
            <w:r>
              <w:rPr>
                <w:rFonts w:hint="eastAsia" w:ascii="宋体" w:hAnsi="宋体"/>
                <w:szCs w:val="21"/>
                <w:highlight w:val="none"/>
              </w:rPr>
              <w:t>1、对当事人扣1分/次</w:t>
            </w:r>
          </w:p>
          <w:p w14:paraId="0B8AA4B7">
            <w:pPr>
              <w:rPr>
                <w:rFonts w:ascii="宋体" w:hAnsi="宋体"/>
                <w:szCs w:val="21"/>
                <w:highlight w:val="none"/>
              </w:rPr>
            </w:pPr>
            <w:r>
              <w:rPr>
                <w:rFonts w:hint="eastAsia" w:ascii="宋体" w:hAnsi="宋体"/>
                <w:szCs w:val="21"/>
                <w:highlight w:val="none"/>
              </w:rPr>
              <w:t>2、相应监工扣当月考绩2分/次</w:t>
            </w:r>
          </w:p>
        </w:tc>
      </w:tr>
      <w:tr w14:paraId="27C5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475" w:type="dxa"/>
            <w:vMerge w:val="continue"/>
            <w:vAlign w:val="center"/>
          </w:tcPr>
          <w:p w14:paraId="5012E3BB">
            <w:pPr>
              <w:rPr>
                <w:rFonts w:ascii="宋体" w:hAnsi="宋体"/>
                <w:szCs w:val="21"/>
                <w:highlight w:val="none"/>
              </w:rPr>
            </w:pPr>
          </w:p>
        </w:tc>
        <w:tc>
          <w:tcPr>
            <w:tcW w:w="400" w:type="dxa"/>
            <w:vMerge w:val="continue"/>
            <w:vAlign w:val="center"/>
          </w:tcPr>
          <w:p w14:paraId="242EAB00">
            <w:pPr>
              <w:rPr>
                <w:rFonts w:ascii="宋体" w:hAnsi="宋体"/>
                <w:szCs w:val="21"/>
                <w:highlight w:val="none"/>
              </w:rPr>
            </w:pPr>
          </w:p>
        </w:tc>
        <w:tc>
          <w:tcPr>
            <w:tcW w:w="4987" w:type="dxa"/>
            <w:vAlign w:val="center"/>
          </w:tcPr>
          <w:p w14:paraId="24608EA4">
            <w:pPr>
              <w:rPr>
                <w:rFonts w:ascii="宋体" w:hAnsi="宋体"/>
                <w:szCs w:val="21"/>
                <w:highlight w:val="none"/>
              </w:rPr>
            </w:pPr>
            <w:r>
              <w:rPr>
                <w:rFonts w:hint="eastAsia" w:ascii="宋体" w:hAnsi="宋体"/>
                <w:szCs w:val="21"/>
                <w:highlight w:val="none"/>
              </w:rPr>
              <w:t>8、施工人员私自触动正在生产的管道、阀门、电线和设备等的。</w:t>
            </w:r>
          </w:p>
        </w:tc>
        <w:tc>
          <w:tcPr>
            <w:tcW w:w="1600" w:type="dxa"/>
            <w:vAlign w:val="center"/>
          </w:tcPr>
          <w:p w14:paraId="0A29D0D7">
            <w:pPr>
              <w:rPr>
                <w:rFonts w:ascii="宋体" w:hAnsi="宋体"/>
                <w:szCs w:val="21"/>
                <w:highlight w:val="none"/>
              </w:rPr>
            </w:pPr>
            <w:r>
              <w:rPr>
                <w:rFonts w:hint="eastAsia" w:ascii="宋体" w:hAnsi="宋体"/>
                <w:szCs w:val="21"/>
                <w:highlight w:val="none"/>
              </w:rPr>
              <w:t>罚款500元/次</w:t>
            </w:r>
          </w:p>
        </w:tc>
        <w:tc>
          <w:tcPr>
            <w:tcW w:w="2609" w:type="dxa"/>
            <w:vMerge w:val="continue"/>
            <w:vAlign w:val="center"/>
          </w:tcPr>
          <w:p w14:paraId="3FE31C29">
            <w:pPr>
              <w:rPr>
                <w:rFonts w:ascii="宋体" w:hAnsi="宋体"/>
                <w:szCs w:val="21"/>
                <w:highlight w:val="none"/>
              </w:rPr>
            </w:pPr>
          </w:p>
        </w:tc>
      </w:tr>
      <w:tr w14:paraId="7D42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475" w:type="dxa"/>
            <w:vMerge w:val="continue"/>
            <w:vAlign w:val="center"/>
          </w:tcPr>
          <w:p w14:paraId="033F0E90">
            <w:pPr>
              <w:rPr>
                <w:rFonts w:ascii="宋体" w:hAnsi="宋体"/>
                <w:szCs w:val="21"/>
                <w:highlight w:val="none"/>
              </w:rPr>
            </w:pPr>
          </w:p>
        </w:tc>
        <w:tc>
          <w:tcPr>
            <w:tcW w:w="400" w:type="dxa"/>
            <w:vMerge w:val="continue"/>
            <w:vAlign w:val="center"/>
          </w:tcPr>
          <w:p w14:paraId="4C2A55A0">
            <w:pPr>
              <w:rPr>
                <w:rFonts w:ascii="宋体" w:hAnsi="宋体"/>
                <w:szCs w:val="21"/>
                <w:highlight w:val="none"/>
              </w:rPr>
            </w:pPr>
          </w:p>
        </w:tc>
        <w:tc>
          <w:tcPr>
            <w:tcW w:w="4987" w:type="dxa"/>
            <w:vAlign w:val="center"/>
          </w:tcPr>
          <w:p w14:paraId="72EB6974">
            <w:pPr>
              <w:rPr>
                <w:rFonts w:ascii="宋体" w:hAnsi="宋体"/>
                <w:szCs w:val="21"/>
                <w:highlight w:val="none"/>
              </w:rPr>
            </w:pPr>
            <w:r>
              <w:rPr>
                <w:rFonts w:hint="eastAsia" w:ascii="宋体" w:hAnsi="宋体"/>
                <w:szCs w:val="21"/>
                <w:highlight w:val="none"/>
              </w:rPr>
              <w:t>9、辐射场所、检修区域、施工地点未按要求做警戒标识或做好隔离的。</w:t>
            </w:r>
          </w:p>
        </w:tc>
        <w:tc>
          <w:tcPr>
            <w:tcW w:w="1600" w:type="dxa"/>
            <w:vAlign w:val="center"/>
          </w:tcPr>
          <w:p w14:paraId="59848E0C">
            <w:pPr>
              <w:rPr>
                <w:rFonts w:ascii="宋体" w:hAnsi="宋体"/>
                <w:szCs w:val="21"/>
                <w:highlight w:val="none"/>
              </w:rPr>
            </w:pPr>
            <w:r>
              <w:rPr>
                <w:rFonts w:hint="eastAsia" w:ascii="宋体" w:hAnsi="宋体"/>
                <w:szCs w:val="21"/>
                <w:highlight w:val="none"/>
              </w:rPr>
              <w:t>罚款100元/次</w:t>
            </w:r>
          </w:p>
        </w:tc>
        <w:tc>
          <w:tcPr>
            <w:tcW w:w="2609" w:type="dxa"/>
            <w:vAlign w:val="center"/>
          </w:tcPr>
          <w:p w14:paraId="10570B16">
            <w:pPr>
              <w:rPr>
                <w:rFonts w:ascii="宋体" w:hAnsi="宋体"/>
                <w:szCs w:val="21"/>
                <w:highlight w:val="none"/>
              </w:rPr>
            </w:pPr>
          </w:p>
        </w:tc>
      </w:tr>
      <w:tr w14:paraId="37D5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75" w:type="dxa"/>
            <w:vMerge w:val="continue"/>
            <w:vAlign w:val="center"/>
          </w:tcPr>
          <w:p w14:paraId="268CDB19">
            <w:pPr>
              <w:rPr>
                <w:rFonts w:ascii="宋体" w:hAnsi="宋体"/>
                <w:szCs w:val="21"/>
                <w:highlight w:val="none"/>
              </w:rPr>
            </w:pPr>
          </w:p>
        </w:tc>
        <w:tc>
          <w:tcPr>
            <w:tcW w:w="400" w:type="dxa"/>
            <w:vMerge w:val="continue"/>
            <w:vAlign w:val="center"/>
          </w:tcPr>
          <w:p w14:paraId="7B75B5CA">
            <w:pPr>
              <w:rPr>
                <w:rFonts w:ascii="宋体" w:hAnsi="宋体"/>
                <w:szCs w:val="21"/>
                <w:highlight w:val="none"/>
              </w:rPr>
            </w:pPr>
          </w:p>
        </w:tc>
        <w:tc>
          <w:tcPr>
            <w:tcW w:w="4987" w:type="dxa"/>
            <w:vAlign w:val="center"/>
          </w:tcPr>
          <w:p w14:paraId="6D2ACA94">
            <w:pPr>
              <w:rPr>
                <w:rFonts w:ascii="宋体" w:hAnsi="宋体"/>
                <w:szCs w:val="21"/>
                <w:highlight w:val="none"/>
              </w:rPr>
            </w:pPr>
            <w:r>
              <w:rPr>
                <w:rFonts w:hint="eastAsia" w:ascii="宋体" w:hAnsi="宋体"/>
                <w:szCs w:val="21"/>
                <w:highlight w:val="none"/>
              </w:rPr>
              <w:t>10、不服从业主管理的，对纠举人员出言恐吓施暴的。</w:t>
            </w:r>
          </w:p>
        </w:tc>
        <w:tc>
          <w:tcPr>
            <w:tcW w:w="1600" w:type="dxa"/>
            <w:vAlign w:val="center"/>
          </w:tcPr>
          <w:p w14:paraId="495F73D4">
            <w:pPr>
              <w:rPr>
                <w:rFonts w:ascii="宋体" w:hAnsi="宋体"/>
                <w:szCs w:val="21"/>
                <w:highlight w:val="none"/>
              </w:rPr>
            </w:pPr>
            <w:r>
              <w:rPr>
                <w:rFonts w:hint="eastAsia" w:ascii="宋体" w:hAnsi="宋体"/>
                <w:sz w:val="18"/>
                <w:szCs w:val="18"/>
                <w:highlight w:val="none"/>
              </w:rPr>
              <w:t>罚款500元/次，禁止入厂，严重者送警处理</w:t>
            </w:r>
          </w:p>
        </w:tc>
        <w:tc>
          <w:tcPr>
            <w:tcW w:w="2609" w:type="dxa"/>
            <w:vAlign w:val="center"/>
          </w:tcPr>
          <w:p w14:paraId="49F7570A">
            <w:pPr>
              <w:rPr>
                <w:rFonts w:ascii="宋体" w:hAnsi="宋体"/>
                <w:szCs w:val="21"/>
                <w:highlight w:val="none"/>
              </w:rPr>
            </w:pPr>
          </w:p>
        </w:tc>
      </w:tr>
      <w:tr w14:paraId="48F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75" w:type="dxa"/>
            <w:vMerge w:val="continue"/>
            <w:vAlign w:val="center"/>
          </w:tcPr>
          <w:p w14:paraId="44B31560">
            <w:pPr>
              <w:rPr>
                <w:rFonts w:ascii="宋体" w:hAnsi="宋体"/>
                <w:szCs w:val="21"/>
                <w:highlight w:val="none"/>
              </w:rPr>
            </w:pPr>
          </w:p>
        </w:tc>
        <w:tc>
          <w:tcPr>
            <w:tcW w:w="400" w:type="dxa"/>
            <w:vMerge w:val="continue"/>
            <w:vAlign w:val="center"/>
          </w:tcPr>
          <w:p w14:paraId="74995462">
            <w:pPr>
              <w:rPr>
                <w:rFonts w:ascii="宋体" w:hAnsi="宋体"/>
                <w:szCs w:val="21"/>
                <w:highlight w:val="none"/>
              </w:rPr>
            </w:pPr>
          </w:p>
        </w:tc>
        <w:tc>
          <w:tcPr>
            <w:tcW w:w="4987" w:type="dxa"/>
            <w:vAlign w:val="center"/>
          </w:tcPr>
          <w:p w14:paraId="2AF653B7">
            <w:pPr>
              <w:rPr>
                <w:rFonts w:ascii="宋体" w:hAnsi="宋体"/>
                <w:szCs w:val="21"/>
                <w:highlight w:val="none"/>
              </w:rPr>
            </w:pPr>
            <w:r>
              <w:rPr>
                <w:rFonts w:hint="eastAsia" w:ascii="宋体" w:hAnsi="宋体"/>
                <w:szCs w:val="21"/>
                <w:highlight w:val="none"/>
              </w:rPr>
              <w:t>11、上下班途中在厂区内未走人行道的。</w:t>
            </w:r>
          </w:p>
        </w:tc>
        <w:tc>
          <w:tcPr>
            <w:tcW w:w="1600" w:type="dxa"/>
            <w:vAlign w:val="center"/>
          </w:tcPr>
          <w:p w14:paraId="10610308">
            <w:pPr>
              <w:rPr>
                <w:rFonts w:ascii="宋体" w:hAnsi="宋体"/>
                <w:szCs w:val="21"/>
                <w:highlight w:val="none"/>
              </w:rPr>
            </w:pPr>
            <w:r>
              <w:rPr>
                <w:rFonts w:hint="eastAsia" w:ascii="宋体" w:hAnsi="宋体"/>
                <w:szCs w:val="21"/>
                <w:highlight w:val="none"/>
              </w:rPr>
              <w:t>罚款20元/人</w:t>
            </w:r>
          </w:p>
        </w:tc>
        <w:tc>
          <w:tcPr>
            <w:tcW w:w="2609" w:type="dxa"/>
            <w:vAlign w:val="center"/>
          </w:tcPr>
          <w:p w14:paraId="1EDDFE85">
            <w:pPr>
              <w:rPr>
                <w:rFonts w:ascii="宋体" w:hAnsi="宋体"/>
                <w:szCs w:val="21"/>
                <w:highlight w:val="none"/>
              </w:rPr>
            </w:pPr>
            <w:r>
              <w:rPr>
                <w:rFonts w:hint="eastAsia" w:ascii="宋体" w:hAnsi="宋体"/>
                <w:szCs w:val="21"/>
                <w:highlight w:val="none"/>
              </w:rPr>
              <w:t>对当事人扣0.5分/次</w:t>
            </w:r>
          </w:p>
        </w:tc>
      </w:tr>
      <w:tr w14:paraId="2765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475" w:type="dxa"/>
            <w:vMerge w:val="continue"/>
            <w:vAlign w:val="center"/>
          </w:tcPr>
          <w:p w14:paraId="59599D3E">
            <w:pPr>
              <w:rPr>
                <w:rFonts w:ascii="宋体" w:hAnsi="宋体"/>
                <w:szCs w:val="21"/>
                <w:highlight w:val="none"/>
              </w:rPr>
            </w:pPr>
          </w:p>
        </w:tc>
        <w:tc>
          <w:tcPr>
            <w:tcW w:w="400" w:type="dxa"/>
            <w:vMerge w:val="continue"/>
            <w:vAlign w:val="center"/>
          </w:tcPr>
          <w:p w14:paraId="78B0C019">
            <w:pPr>
              <w:rPr>
                <w:rFonts w:ascii="宋体" w:hAnsi="宋体"/>
                <w:szCs w:val="21"/>
                <w:highlight w:val="none"/>
              </w:rPr>
            </w:pPr>
          </w:p>
        </w:tc>
        <w:tc>
          <w:tcPr>
            <w:tcW w:w="4987" w:type="dxa"/>
            <w:vAlign w:val="center"/>
          </w:tcPr>
          <w:p w14:paraId="2CD3C9A8">
            <w:pPr>
              <w:rPr>
                <w:rFonts w:ascii="宋体" w:hAnsi="宋体"/>
                <w:szCs w:val="21"/>
                <w:highlight w:val="none"/>
              </w:rPr>
            </w:pPr>
            <w:r>
              <w:rPr>
                <w:rFonts w:hint="eastAsia" w:ascii="宋体" w:hAnsi="宋体"/>
                <w:szCs w:val="21"/>
                <w:highlight w:val="none"/>
              </w:rPr>
              <w:t>12、未列入本办法的其他安全隐患，经纠正未及时改善的。</w:t>
            </w:r>
          </w:p>
        </w:tc>
        <w:tc>
          <w:tcPr>
            <w:tcW w:w="1600" w:type="dxa"/>
            <w:vAlign w:val="center"/>
          </w:tcPr>
          <w:p w14:paraId="532F901E">
            <w:pPr>
              <w:rPr>
                <w:rFonts w:ascii="宋体" w:hAnsi="宋体"/>
                <w:szCs w:val="21"/>
                <w:highlight w:val="none"/>
              </w:rPr>
            </w:pPr>
            <w:r>
              <w:rPr>
                <w:rFonts w:hint="eastAsia" w:ascii="宋体" w:hAnsi="宋体"/>
                <w:szCs w:val="21"/>
                <w:highlight w:val="none"/>
              </w:rPr>
              <w:t>罚款200元/次</w:t>
            </w:r>
          </w:p>
        </w:tc>
        <w:tc>
          <w:tcPr>
            <w:tcW w:w="2609" w:type="dxa"/>
            <w:vAlign w:val="center"/>
          </w:tcPr>
          <w:p w14:paraId="4ACBE924">
            <w:pPr>
              <w:rPr>
                <w:rFonts w:ascii="宋体" w:hAnsi="宋体"/>
                <w:szCs w:val="21"/>
                <w:highlight w:val="none"/>
              </w:rPr>
            </w:pPr>
            <w:r>
              <w:rPr>
                <w:rFonts w:hint="eastAsia" w:ascii="宋体" w:hAnsi="宋体"/>
                <w:szCs w:val="21"/>
                <w:highlight w:val="none"/>
              </w:rPr>
              <w:t>对当事人扣1分/次</w:t>
            </w:r>
          </w:p>
        </w:tc>
      </w:tr>
      <w:tr w14:paraId="0840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475" w:type="dxa"/>
            <w:vMerge w:val="restart"/>
            <w:vAlign w:val="center"/>
          </w:tcPr>
          <w:p w14:paraId="7D55E550">
            <w:pPr>
              <w:rPr>
                <w:rFonts w:ascii="宋体" w:hAnsi="宋体"/>
                <w:szCs w:val="21"/>
                <w:highlight w:val="none"/>
              </w:rPr>
            </w:pPr>
            <w:r>
              <w:rPr>
                <w:rFonts w:hint="eastAsia" w:ascii="宋体" w:hAnsi="宋体"/>
                <w:szCs w:val="21"/>
                <w:highlight w:val="none"/>
              </w:rPr>
              <w:t>8</w:t>
            </w:r>
          </w:p>
        </w:tc>
        <w:tc>
          <w:tcPr>
            <w:tcW w:w="400" w:type="dxa"/>
            <w:vMerge w:val="restart"/>
            <w:vAlign w:val="center"/>
          </w:tcPr>
          <w:p w14:paraId="7F9F44F0">
            <w:pPr>
              <w:rPr>
                <w:rFonts w:ascii="宋体" w:hAnsi="宋体"/>
                <w:szCs w:val="21"/>
                <w:highlight w:val="none"/>
              </w:rPr>
            </w:pPr>
          </w:p>
          <w:p w14:paraId="6BB40266">
            <w:pPr>
              <w:rPr>
                <w:rFonts w:ascii="宋体" w:hAnsi="宋体"/>
                <w:szCs w:val="21"/>
                <w:highlight w:val="none"/>
              </w:rPr>
            </w:pPr>
          </w:p>
          <w:p w14:paraId="6BEBA93C">
            <w:pPr>
              <w:rPr>
                <w:rFonts w:ascii="宋体" w:hAnsi="宋体"/>
                <w:szCs w:val="21"/>
                <w:highlight w:val="none"/>
              </w:rPr>
            </w:pPr>
          </w:p>
          <w:p w14:paraId="494697E6">
            <w:pPr>
              <w:rPr>
                <w:rFonts w:ascii="宋体" w:hAnsi="宋体"/>
                <w:szCs w:val="21"/>
                <w:highlight w:val="none"/>
              </w:rPr>
            </w:pPr>
          </w:p>
          <w:p w14:paraId="2FB79A15">
            <w:pPr>
              <w:rPr>
                <w:rFonts w:ascii="宋体" w:hAnsi="宋体"/>
                <w:szCs w:val="21"/>
                <w:highlight w:val="none"/>
              </w:rPr>
            </w:pPr>
          </w:p>
          <w:p w14:paraId="01E505AE">
            <w:pPr>
              <w:rPr>
                <w:rFonts w:ascii="宋体" w:hAnsi="宋体"/>
                <w:szCs w:val="21"/>
                <w:highlight w:val="none"/>
              </w:rPr>
            </w:pPr>
            <w:r>
              <w:rPr>
                <w:rFonts w:hint="eastAsia" w:ascii="宋体" w:hAnsi="宋体"/>
                <w:szCs w:val="21"/>
                <w:highlight w:val="none"/>
              </w:rPr>
              <w:t>工程安全管制</w:t>
            </w:r>
          </w:p>
        </w:tc>
        <w:tc>
          <w:tcPr>
            <w:tcW w:w="4987" w:type="dxa"/>
            <w:vAlign w:val="center"/>
          </w:tcPr>
          <w:p w14:paraId="36EE349C">
            <w:pPr>
              <w:rPr>
                <w:rFonts w:ascii="宋体" w:hAnsi="宋体"/>
                <w:szCs w:val="21"/>
                <w:highlight w:val="none"/>
              </w:rPr>
            </w:pPr>
            <w:r>
              <w:rPr>
                <w:rFonts w:hint="eastAsia" w:ascii="宋体" w:hAnsi="宋体"/>
                <w:szCs w:val="21"/>
                <w:highlight w:val="none"/>
              </w:rPr>
              <w:t>1、承揽商无安全保证体系、确保工程项目顺利进行的施工方案、安全技术措施的，或虽有，未经公司审查的。</w:t>
            </w:r>
          </w:p>
        </w:tc>
        <w:tc>
          <w:tcPr>
            <w:tcW w:w="1600" w:type="dxa"/>
            <w:vMerge w:val="restart"/>
            <w:vAlign w:val="center"/>
          </w:tcPr>
          <w:p w14:paraId="21375A8C">
            <w:pPr>
              <w:rPr>
                <w:rFonts w:ascii="宋体" w:hAnsi="宋体"/>
                <w:szCs w:val="21"/>
                <w:highlight w:val="none"/>
              </w:rPr>
            </w:pPr>
            <w:r>
              <w:rPr>
                <w:rFonts w:hint="eastAsia" w:ascii="宋体" w:hAnsi="宋体"/>
                <w:szCs w:val="21"/>
                <w:highlight w:val="none"/>
              </w:rPr>
              <w:t>不予开工，承揽商强行开工者，罚款100至1000元/次</w:t>
            </w:r>
          </w:p>
        </w:tc>
        <w:tc>
          <w:tcPr>
            <w:tcW w:w="2609" w:type="dxa"/>
            <w:vMerge w:val="restart"/>
            <w:vAlign w:val="center"/>
          </w:tcPr>
          <w:p w14:paraId="08F5ECF1">
            <w:pPr>
              <w:rPr>
                <w:rFonts w:ascii="宋体" w:hAnsi="宋体"/>
                <w:szCs w:val="21"/>
                <w:highlight w:val="none"/>
              </w:rPr>
            </w:pPr>
          </w:p>
        </w:tc>
      </w:tr>
      <w:tr w14:paraId="1ADE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475" w:type="dxa"/>
            <w:vMerge w:val="continue"/>
            <w:vAlign w:val="center"/>
          </w:tcPr>
          <w:p w14:paraId="4D2E2782">
            <w:pPr>
              <w:rPr>
                <w:rFonts w:ascii="宋体" w:hAnsi="宋体"/>
                <w:szCs w:val="21"/>
                <w:highlight w:val="none"/>
              </w:rPr>
            </w:pPr>
          </w:p>
        </w:tc>
        <w:tc>
          <w:tcPr>
            <w:tcW w:w="400" w:type="dxa"/>
            <w:vMerge w:val="continue"/>
            <w:vAlign w:val="center"/>
          </w:tcPr>
          <w:p w14:paraId="60121546">
            <w:pPr>
              <w:rPr>
                <w:rFonts w:ascii="宋体" w:hAnsi="宋体"/>
                <w:szCs w:val="21"/>
                <w:highlight w:val="none"/>
              </w:rPr>
            </w:pPr>
          </w:p>
        </w:tc>
        <w:tc>
          <w:tcPr>
            <w:tcW w:w="4987" w:type="dxa"/>
            <w:vAlign w:val="center"/>
          </w:tcPr>
          <w:p w14:paraId="26F2C391">
            <w:pPr>
              <w:rPr>
                <w:rFonts w:ascii="宋体" w:hAnsi="宋体"/>
                <w:szCs w:val="21"/>
                <w:highlight w:val="none"/>
              </w:rPr>
            </w:pPr>
            <w:r>
              <w:rPr>
                <w:rFonts w:hint="eastAsia" w:ascii="宋体" w:hAnsi="宋体"/>
                <w:szCs w:val="21"/>
                <w:highlight w:val="none"/>
              </w:rPr>
              <w:t>2、承揽商没有为承担施工作业的人员提供必要的、功能安全的机械、工具、设备，并保证设备完好可用的。</w:t>
            </w:r>
          </w:p>
        </w:tc>
        <w:tc>
          <w:tcPr>
            <w:tcW w:w="1600" w:type="dxa"/>
            <w:vMerge w:val="continue"/>
            <w:vAlign w:val="center"/>
          </w:tcPr>
          <w:p w14:paraId="492418F9">
            <w:pPr>
              <w:rPr>
                <w:rFonts w:ascii="宋体" w:hAnsi="宋体"/>
                <w:szCs w:val="21"/>
                <w:highlight w:val="none"/>
              </w:rPr>
            </w:pPr>
          </w:p>
        </w:tc>
        <w:tc>
          <w:tcPr>
            <w:tcW w:w="2609" w:type="dxa"/>
            <w:vMerge w:val="continue"/>
            <w:vAlign w:val="center"/>
          </w:tcPr>
          <w:p w14:paraId="55C2D6C4">
            <w:pPr>
              <w:rPr>
                <w:rFonts w:ascii="宋体" w:hAnsi="宋体"/>
                <w:szCs w:val="21"/>
                <w:highlight w:val="none"/>
              </w:rPr>
            </w:pPr>
          </w:p>
        </w:tc>
      </w:tr>
      <w:tr w14:paraId="2350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75" w:type="dxa"/>
            <w:vMerge w:val="continue"/>
            <w:vAlign w:val="center"/>
          </w:tcPr>
          <w:p w14:paraId="00872BFD">
            <w:pPr>
              <w:rPr>
                <w:rFonts w:ascii="宋体" w:hAnsi="宋体"/>
                <w:szCs w:val="21"/>
                <w:highlight w:val="none"/>
              </w:rPr>
            </w:pPr>
          </w:p>
        </w:tc>
        <w:tc>
          <w:tcPr>
            <w:tcW w:w="400" w:type="dxa"/>
            <w:vMerge w:val="continue"/>
            <w:vAlign w:val="center"/>
          </w:tcPr>
          <w:p w14:paraId="7EE3BB59">
            <w:pPr>
              <w:rPr>
                <w:rFonts w:ascii="宋体" w:hAnsi="宋体"/>
                <w:szCs w:val="21"/>
                <w:highlight w:val="none"/>
              </w:rPr>
            </w:pPr>
          </w:p>
        </w:tc>
        <w:tc>
          <w:tcPr>
            <w:tcW w:w="4987" w:type="dxa"/>
            <w:vAlign w:val="center"/>
          </w:tcPr>
          <w:p w14:paraId="76A065FD">
            <w:pPr>
              <w:rPr>
                <w:rFonts w:ascii="宋体" w:hAnsi="宋体"/>
                <w:szCs w:val="21"/>
                <w:highlight w:val="none"/>
              </w:rPr>
            </w:pPr>
            <w:r>
              <w:rPr>
                <w:rFonts w:hint="eastAsia" w:ascii="宋体" w:hAnsi="宋体"/>
                <w:szCs w:val="21"/>
                <w:highlight w:val="none"/>
              </w:rPr>
              <w:t>3、承揽商没有为所管辖施工作业人员提供合乎国家或行业标准的个人劳动保护用品的。</w:t>
            </w:r>
          </w:p>
        </w:tc>
        <w:tc>
          <w:tcPr>
            <w:tcW w:w="1600" w:type="dxa"/>
            <w:vMerge w:val="continue"/>
            <w:vAlign w:val="center"/>
          </w:tcPr>
          <w:p w14:paraId="5D1D5024">
            <w:pPr>
              <w:rPr>
                <w:rFonts w:ascii="宋体" w:hAnsi="宋体"/>
                <w:szCs w:val="21"/>
                <w:highlight w:val="none"/>
              </w:rPr>
            </w:pPr>
          </w:p>
        </w:tc>
        <w:tc>
          <w:tcPr>
            <w:tcW w:w="2609" w:type="dxa"/>
            <w:vMerge w:val="continue"/>
            <w:vAlign w:val="center"/>
          </w:tcPr>
          <w:p w14:paraId="1FCD17AF">
            <w:pPr>
              <w:rPr>
                <w:rFonts w:ascii="宋体" w:hAnsi="宋体"/>
                <w:szCs w:val="21"/>
                <w:highlight w:val="none"/>
              </w:rPr>
            </w:pPr>
          </w:p>
        </w:tc>
      </w:tr>
      <w:tr w14:paraId="00AF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475" w:type="dxa"/>
            <w:vMerge w:val="continue"/>
            <w:vAlign w:val="center"/>
          </w:tcPr>
          <w:p w14:paraId="476643D8">
            <w:pPr>
              <w:rPr>
                <w:rFonts w:ascii="宋体" w:hAnsi="宋体"/>
                <w:szCs w:val="21"/>
                <w:highlight w:val="none"/>
              </w:rPr>
            </w:pPr>
          </w:p>
        </w:tc>
        <w:tc>
          <w:tcPr>
            <w:tcW w:w="400" w:type="dxa"/>
            <w:vMerge w:val="continue"/>
            <w:vAlign w:val="center"/>
          </w:tcPr>
          <w:p w14:paraId="29FF6B2C">
            <w:pPr>
              <w:rPr>
                <w:rFonts w:ascii="宋体" w:hAnsi="宋体"/>
                <w:szCs w:val="21"/>
                <w:highlight w:val="none"/>
              </w:rPr>
            </w:pPr>
          </w:p>
        </w:tc>
        <w:tc>
          <w:tcPr>
            <w:tcW w:w="4987" w:type="dxa"/>
            <w:vAlign w:val="center"/>
          </w:tcPr>
          <w:p w14:paraId="03720509">
            <w:pPr>
              <w:rPr>
                <w:rFonts w:ascii="宋体" w:hAnsi="宋体"/>
                <w:szCs w:val="21"/>
                <w:highlight w:val="none"/>
              </w:rPr>
            </w:pPr>
            <w:r>
              <w:rPr>
                <w:rFonts w:hint="eastAsia" w:ascii="宋体" w:hAnsi="宋体"/>
                <w:szCs w:val="21"/>
                <w:highlight w:val="none"/>
              </w:rPr>
              <w:t>4、承揽商没有为其施工作业人员办理工伤保险的。</w:t>
            </w:r>
          </w:p>
        </w:tc>
        <w:tc>
          <w:tcPr>
            <w:tcW w:w="1600" w:type="dxa"/>
            <w:vMerge w:val="continue"/>
            <w:vAlign w:val="center"/>
          </w:tcPr>
          <w:p w14:paraId="6C88C89F">
            <w:pPr>
              <w:rPr>
                <w:rFonts w:ascii="宋体" w:hAnsi="宋体"/>
                <w:szCs w:val="21"/>
                <w:highlight w:val="none"/>
              </w:rPr>
            </w:pPr>
          </w:p>
        </w:tc>
        <w:tc>
          <w:tcPr>
            <w:tcW w:w="2609" w:type="dxa"/>
            <w:vMerge w:val="continue"/>
            <w:vAlign w:val="center"/>
          </w:tcPr>
          <w:p w14:paraId="0E6566C0">
            <w:pPr>
              <w:rPr>
                <w:rFonts w:ascii="宋体" w:hAnsi="宋体"/>
                <w:szCs w:val="21"/>
                <w:highlight w:val="none"/>
              </w:rPr>
            </w:pPr>
          </w:p>
        </w:tc>
      </w:tr>
      <w:tr w14:paraId="3CFB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475" w:type="dxa"/>
            <w:vMerge w:val="continue"/>
            <w:vAlign w:val="center"/>
          </w:tcPr>
          <w:p w14:paraId="10B63BBC">
            <w:pPr>
              <w:rPr>
                <w:rFonts w:ascii="宋体" w:hAnsi="宋体"/>
                <w:szCs w:val="21"/>
                <w:highlight w:val="none"/>
              </w:rPr>
            </w:pPr>
          </w:p>
        </w:tc>
        <w:tc>
          <w:tcPr>
            <w:tcW w:w="400" w:type="dxa"/>
            <w:vMerge w:val="continue"/>
            <w:vAlign w:val="center"/>
          </w:tcPr>
          <w:p w14:paraId="5CDF86F9">
            <w:pPr>
              <w:rPr>
                <w:rFonts w:ascii="宋体" w:hAnsi="宋体"/>
                <w:szCs w:val="21"/>
                <w:highlight w:val="none"/>
              </w:rPr>
            </w:pPr>
          </w:p>
        </w:tc>
        <w:tc>
          <w:tcPr>
            <w:tcW w:w="4987" w:type="dxa"/>
            <w:vAlign w:val="center"/>
          </w:tcPr>
          <w:p w14:paraId="63345005">
            <w:pPr>
              <w:rPr>
                <w:rFonts w:ascii="宋体" w:hAnsi="宋体"/>
                <w:szCs w:val="21"/>
                <w:highlight w:val="none"/>
              </w:rPr>
            </w:pPr>
            <w:r>
              <w:rPr>
                <w:rFonts w:hint="eastAsia" w:ascii="宋体" w:hAnsi="宋体"/>
                <w:szCs w:val="21"/>
                <w:highlight w:val="none"/>
              </w:rPr>
              <w:t>5、承揽商未按所制定的施工、检修方案、事故预案等规章制度安排工作的。</w:t>
            </w:r>
          </w:p>
        </w:tc>
        <w:tc>
          <w:tcPr>
            <w:tcW w:w="1600" w:type="dxa"/>
            <w:vAlign w:val="center"/>
          </w:tcPr>
          <w:p w14:paraId="65BFD0B6">
            <w:pPr>
              <w:rPr>
                <w:rFonts w:ascii="宋体" w:hAnsi="宋体"/>
                <w:szCs w:val="21"/>
                <w:highlight w:val="none"/>
              </w:rPr>
            </w:pPr>
            <w:r>
              <w:rPr>
                <w:rFonts w:hint="eastAsia" w:ascii="宋体" w:hAnsi="宋体"/>
                <w:szCs w:val="21"/>
                <w:highlight w:val="none"/>
              </w:rPr>
              <w:t>罚款 200 元/次，责令立即整改</w:t>
            </w:r>
          </w:p>
        </w:tc>
        <w:tc>
          <w:tcPr>
            <w:tcW w:w="2609" w:type="dxa"/>
            <w:vAlign w:val="center"/>
          </w:tcPr>
          <w:p w14:paraId="031B5C1A">
            <w:pPr>
              <w:rPr>
                <w:rFonts w:ascii="宋体" w:hAnsi="宋体"/>
                <w:szCs w:val="21"/>
                <w:highlight w:val="none"/>
              </w:rPr>
            </w:pPr>
            <w:r>
              <w:rPr>
                <w:rFonts w:hint="eastAsia" w:ascii="宋体" w:hAnsi="宋体"/>
                <w:szCs w:val="21"/>
                <w:highlight w:val="none"/>
              </w:rPr>
              <w:t>相应监工扣当月考绩1分/次</w:t>
            </w:r>
          </w:p>
        </w:tc>
      </w:tr>
      <w:tr w14:paraId="04B6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5" w:type="dxa"/>
            <w:vMerge w:val="continue"/>
            <w:vAlign w:val="center"/>
          </w:tcPr>
          <w:p w14:paraId="73230170">
            <w:pPr>
              <w:rPr>
                <w:rFonts w:ascii="宋体" w:hAnsi="宋体"/>
                <w:szCs w:val="21"/>
                <w:highlight w:val="none"/>
              </w:rPr>
            </w:pPr>
          </w:p>
        </w:tc>
        <w:tc>
          <w:tcPr>
            <w:tcW w:w="400" w:type="dxa"/>
            <w:vMerge w:val="continue"/>
            <w:vAlign w:val="center"/>
          </w:tcPr>
          <w:p w14:paraId="35E9A747">
            <w:pPr>
              <w:rPr>
                <w:rFonts w:ascii="宋体" w:hAnsi="宋体"/>
                <w:szCs w:val="21"/>
                <w:highlight w:val="none"/>
              </w:rPr>
            </w:pPr>
          </w:p>
        </w:tc>
        <w:tc>
          <w:tcPr>
            <w:tcW w:w="4987" w:type="dxa"/>
            <w:vAlign w:val="center"/>
          </w:tcPr>
          <w:p w14:paraId="7859E42F">
            <w:pPr>
              <w:rPr>
                <w:rFonts w:ascii="宋体" w:hAnsi="宋体"/>
                <w:szCs w:val="21"/>
                <w:highlight w:val="none"/>
              </w:rPr>
            </w:pPr>
            <w:r>
              <w:rPr>
                <w:rFonts w:hint="eastAsia" w:ascii="宋体" w:hAnsi="宋体"/>
                <w:szCs w:val="21"/>
                <w:highlight w:val="none"/>
              </w:rPr>
              <w:t>6、由于监工宣导不力，或辖区人员稽查疏忽，导致承包商出现1－9项违规行为的。</w:t>
            </w:r>
          </w:p>
        </w:tc>
        <w:tc>
          <w:tcPr>
            <w:tcW w:w="1600" w:type="dxa"/>
            <w:vAlign w:val="center"/>
          </w:tcPr>
          <w:p w14:paraId="350B131A">
            <w:pPr>
              <w:rPr>
                <w:rFonts w:ascii="宋体" w:hAnsi="宋体"/>
                <w:szCs w:val="21"/>
                <w:highlight w:val="none"/>
              </w:rPr>
            </w:pPr>
            <w:r>
              <w:rPr>
                <w:rFonts w:hint="eastAsia" w:ascii="宋体" w:hAnsi="宋体"/>
                <w:szCs w:val="21"/>
                <w:highlight w:val="none"/>
              </w:rPr>
              <w:t>按相应条款处罚</w:t>
            </w:r>
          </w:p>
        </w:tc>
        <w:tc>
          <w:tcPr>
            <w:tcW w:w="2609" w:type="dxa"/>
            <w:vAlign w:val="center"/>
          </w:tcPr>
          <w:p w14:paraId="0A0A096E">
            <w:pPr>
              <w:rPr>
                <w:rFonts w:ascii="宋体" w:hAnsi="宋体"/>
                <w:szCs w:val="21"/>
                <w:highlight w:val="none"/>
              </w:rPr>
            </w:pPr>
            <w:r>
              <w:rPr>
                <w:rFonts w:hint="eastAsia" w:ascii="宋体" w:hAnsi="宋体"/>
                <w:szCs w:val="21"/>
                <w:highlight w:val="none"/>
              </w:rPr>
              <w:t>按相应条款扣减考绩分</w:t>
            </w:r>
          </w:p>
        </w:tc>
      </w:tr>
    </w:tbl>
    <w:p w14:paraId="024D31F7">
      <w:pPr>
        <w:pStyle w:val="2"/>
        <w:rPr>
          <w:highlight w:val="none"/>
        </w:rPr>
      </w:pPr>
    </w:p>
    <w:p w14:paraId="41D03241">
      <w:pPr>
        <w:spacing w:line="360" w:lineRule="auto"/>
        <w:rPr>
          <w:rFonts w:ascii="宋体" w:hAnsi="宋体"/>
          <w:sz w:val="32"/>
          <w:szCs w:val="32"/>
          <w:highlight w:val="none"/>
        </w:rPr>
      </w:pPr>
      <w:r>
        <w:rPr>
          <w:rFonts w:hint="eastAsia" w:ascii="宋体" w:hAnsi="宋体"/>
          <w:sz w:val="32"/>
          <w:szCs w:val="32"/>
          <w:highlight w:val="none"/>
        </w:rPr>
        <w:t>附件</w:t>
      </w:r>
      <w:r>
        <w:rPr>
          <w:rFonts w:ascii="宋体" w:hAnsi="宋体"/>
          <w:sz w:val="32"/>
          <w:szCs w:val="32"/>
          <w:highlight w:val="none"/>
        </w:rPr>
        <w:t>6</w:t>
      </w:r>
    </w:p>
    <w:p w14:paraId="1AAEA08A">
      <w:pPr>
        <w:spacing w:after="156" w:afterLines="50" w:line="360" w:lineRule="auto"/>
        <w:jc w:val="center"/>
        <w:rPr>
          <w:rFonts w:ascii="宋体" w:hAnsi="宋体"/>
          <w:b/>
          <w:sz w:val="32"/>
          <w:szCs w:val="32"/>
          <w:highlight w:val="none"/>
        </w:rPr>
      </w:pPr>
      <w:bookmarkStart w:id="2" w:name="_Hlk22735680"/>
      <w:r>
        <w:rPr>
          <w:rFonts w:hint="eastAsia" w:ascii="宋体" w:hAnsi="宋体"/>
          <w:b/>
          <w:sz w:val="32"/>
          <w:szCs w:val="32"/>
          <w:highlight w:val="none"/>
        </w:rPr>
        <w:t>化学品运输安全责任书</w:t>
      </w:r>
    </w:p>
    <w:p w14:paraId="27C6AB45">
      <w:pPr>
        <w:spacing w:line="360" w:lineRule="auto"/>
        <w:rPr>
          <w:b/>
          <w:bCs/>
          <w:szCs w:val="21"/>
          <w:highlight w:val="none"/>
        </w:rPr>
      </w:pPr>
      <w:r>
        <w:rPr>
          <w:rFonts w:hint="eastAsia"/>
          <w:b/>
          <w:bCs/>
          <w:szCs w:val="21"/>
          <w:highlight w:val="none"/>
        </w:rPr>
        <w:t>发包单位（甲方）：</w:t>
      </w:r>
      <w:r>
        <w:rPr>
          <w:b/>
          <w:bCs/>
          <w:szCs w:val="21"/>
          <w:highlight w:val="none"/>
        </w:rPr>
        <w:t>福建省福化古蕾化学有限公司、</w:t>
      </w:r>
      <w:r>
        <w:rPr>
          <w:rFonts w:hint="eastAsia"/>
          <w:b/>
          <w:bCs/>
          <w:szCs w:val="21"/>
          <w:highlight w:val="none"/>
        </w:rPr>
        <w:t>福建福海创石油化工有限公司</w:t>
      </w:r>
    </w:p>
    <w:p w14:paraId="677A144A">
      <w:pPr>
        <w:spacing w:after="156" w:afterLines="50" w:line="312" w:lineRule="auto"/>
        <w:ind w:left="-502" w:leftChars="-239" w:firstLine="445" w:firstLineChars="211"/>
        <w:rPr>
          <w:b/>
          <w:bCs/>
          <w:szCs w:val="21"/>
          <w:highlight w:val="none"/>
        </w:rPr>
      </w:pPr>
      <w:r>
        <w:rPr>
          <w:rFonts w:hint="eastAsia"/>
          <w:b/>
          <w:bCs/>
          <w:szCs w:val="21"/>
          <w:highlight w:val="none"/>
        </w:rPr>
        <w:t>承包单位（以下简称乙方）：</w:t>
      </w:r>
    </w:p>
    <w:p w14:paraId="5559B25D">
      <w:pPr>
        <w:spacing w:line="360" w:lineRule="auto"/>
        <w:rPr>
          <w:rFonts w:asciiTheme="minorEastAsia" w:hAnsiTheme="minorEastAsia" w:eastAsiaTheme="minorEastAsia" w:cstheme="minorEastAsia"/>
          <w:szCs w:val="21"/>
          <w:highlight w:val="none"/>
        </w:rPr>
      </w:pPr>
      <w:r>
        <w:rPr>
          <w:rFonts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因甲方委托乙方开展PTA等化学品运输项目，为加强道路运输安全管理，依照《危险化学品安全管理条例》《道路危险货物运输管理规定》等法律、法规规定，贯彻落实“安全第一、预防为主、综合治理”的安全生产方针，结合今年道路安全生产管理工作的重点和要求，防止和减少各类道路安全责任事故的发生，确保交通运输安全生产形势的持续稳定，经甲乙双方协商一致，签订以下安全责任管理责任书，并承诺共同遵守。</w:t>
      </w:r>
    </w:p>
    <w:p w14:paraId="5F7296F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1、运输化学品人员，必须接受有关法律、法规、规章和安全知识、专业技术、职业卫生保护和应急救援知识的培训，危险化学品人员必须经考核合格，持《从业资格证》上岗作业。</w:t>
      </w:r>
    </w:p>
    <w:p w14:paraId="7FA9450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2、化学品公路运输，必须携带本运行车辆的各种有效证件和安全标志，不得开带病车或带病开车，严禁开疲劳车、赌气车；严禁任意将车交给他人驾驶；严禁车上乘坐无关人员，严禁吸烟、喝酒。</w:t>
      </w:r>
    </w:p>
    <w:p w14:paraId="1EC4936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运输危险化学品的槽罐以及其他容器必须具有资质生产厂家的合格证，容器封口严密，能够承受正常运输条件下产生的内部压力和外部压力，保证危险化学品在运输中不因温度、湿度或者压力变化而发生任何渗（洒）漏。</w:t>
      </w:r>
    </w:p>
    <w:p w14:paraId="13998D2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危险化学品公路运输，必须配备押运人员，并随时处于押运人员的监督之下，不得超载、超装，不得进入危险化学品运输车辆禁止通行的区域，确需进入禁止通行区域的应当事先向当地公安部门报告，由公安部门为其制定行车时间和路线。运输危险化学品途中需要停车住宿或者遇有无法正常运输的情况时，应当向当地公安部门报告。</w:t>
      </w:r>
    </w:p>
    <w:p w14:paraId="3DC2A48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运输危险化学品车辆遇交通事故，必须按规定要求，采取相应的救急措施，防止事态扩大，并及时向当地有关部门报告，危险化学品在公路途中发生被盗、丢失、流散、泄漏等情况时，应当立即采取紧急救援补救措施，驾驶员和押运人员必须立即向当地公安部门报告。</w:t>
      </w:r>
    </w:p>
    <w:p w14:paraId="7CC7828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6、按时参加运管部门营运检测，二级维护每年四次，车辆二级维护以及维修必须到指定的具有一级汽车维修资质的企业检测、维护、维修。</w:t>
      </w:r>
    </w:p>
    <w:p w14:paraId="23BE6DE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7、落实车辆“日趟检”工作，做到完好车辆上路。</w:t>
      </w:r>
    </w:p>
    <w:p w14:paraId="4C0E64E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8、按规定配备好危险品运输车辆的标志牌，标志灯、标示等，“安全卡”随车携带。</w:t>
      </w:r>
    </w:p>
    <w:p w14:paraId="79B98C1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9、非药品类易制毒化学品（或剧毒品）运输车辆，除了按相关规定要求执行，还必须取得易制毒化学品（或剧毒品）运输相关资质，并做好相关人员专项安全专项教育。</w:t>
      </w:r>
    </w:p>
    <w:p w14:paraId="6088175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10、违反有关安全运输规定，发生交通事故和途中货物丢失、流散、泄漏等情况以及由此引发的污染环境及人身伤害，造成经济损失均由车辆运输责任人全额承担。</w:t>
      </w:r>
    </w:p>
    <w:p w14:paraId="6C7864C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乙方应了解并严格遵守甲方、起运地工厂及目的地工厂相关管理规定。工厂任何员工如有发现乙方人员或车辆存在不安全行为或不安全状态，有权责令停止或中止作业，要求整改，由此造成的相关损失或费用由乙方负责承担。</w:t>
      </w:r>
    </w:p>
    <w:p w14:paraId="3975EB7F">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12、物流车辆运行过程中，甲方有权对乙方进行检查，并提出整改要求，乙方应落实整改，并反馈整改结果。</w:t>
      </w:r>
    </w:p>
    <w:p w14:paraId="795F479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13、乙方出现违反以上规定以及甲方相关公司制度时，甲方有权对乙方做出通报批评、暂停业务、降级、冻结资格、列入黑名单等处罚措施。</w:t>
      </w:r>
    </w:p>
    <w:p w14:paraId="3E100B8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14、协议有效期：</w:t>
      </w:r>
      <w:r>
        <w:rPr>
          <w:rFonts w:hint="eastAsia" w:asciiTheme="minorEastAsia" w:hAnsiTheme="minorEastAsia" w:eastAsiaTheme="minorEastAsia" w:cstheme="minorEastAsia"/>
          <w:szCs w:val="21"/>
          <w:highlight w:val="none"/>
          <w:lang w:val="en-US" w:eastAsia="zh-CN"/>
        </w:rPr>
        <w:t>自合同签订之日起壹年</w:t>
      </w:r>
      <w:bookmarkStart w:id="3" w:name="_GoBack"/>
      <w:bookmarkEnd w:id="3"/>
      <w:r>
        <w:rPr>
          <w:rFonts w:hint="eastAsia" w:asciiTheme="minorEastAsia" w:hAnsiTheme="minorEastAsia" w:eastAsiaTheme="minorEastAsia" w:cstheme="minorEastAsia"/>
          <w:szCs w:val="21"/>
          <w:highlight w:val="none"/>
        </w:rPr>
        <w:t>。</w:t>
      </w:r>
    </w:p>
    <w:p w14:paraId="0B6FA5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15、本协议一式肆份，甲方叁份，乙方壹份，双方签字后生效，并具有同等法律效力。</w:t>
      </w:r>
    </w:p>
    <w:p w14:paraId="1C3E9679">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0CA29BF5">
      <w:pPr>
        <w:spacing w:line="560" w:lineRule="exact"/>
        <w:rPr>
          <w:rFonts w:asciiTheme="minorEastAsia" w:hAnsiTheme="minorEastAsia" w:eastAsiaTheme="minorEastAsia" w:cstheme="minorEastAsia"/>
          <w:szCs w:val="21"/>
          <w:highlight w:val="none"/>
        </w:rPr>
      </w:pPr>
    </w:p>
    <w:p w14:paraId="14BC50EE">
      <w:pPr>
        <w:spacing w:line="560" w:lineRule="exact"/>
        <w:rPr>
          <w:b/>
          <w:bCs/>
          <w:szCs w:val="21"/>
          <w:highlight w:val="none"/>
        </w:rPr>
      </w:pPr>
      <w:r>
        <w:rPr>
          <w:rFonts w:hint="eastAsia"/>
          <w:b/>
          <w:bCs/>
          <w:szCs w:val="21"/>
          <w:highlight w:val="none"/>
        </w:rPr>
        <w:t>甲方：</w:t>
      </w:r>
      <w:r>
        <w:rPr>
          <w:b/>
          <w:bCs/>
          <w:szCs w:val="21"/>
          <w:highlight w:val="none"/>
        </w:rPr>
        <w:t>福建省福化古蕾化学有限公司</w:t>
      </w:r>
      <w:r>
        <w:rPr>
          <w:rFonts w:hint="eastAsia"/>
          <w:b/>
          <w:bCs/>
          <w:szCs w:val="21"/>
          <w:highlight w:val="none"/>
        </w:rPr>
        <w:t xml:space="preserve">  </w:t>
      </w:r>
      <w:r>
        <w:rPr>
          <w:b/>
          <w:bCs/>
          <w:szCs w:val="21"/>
          <w:highlight w:val="none"/>
        </w:rPr>
        <w:t xml:space="preserve">             </w:t>
      </w:r>
      <w:r>
        <w:rPr>
          <w:rFonts w:hint="eastAsia"/>
          <w:b/>
          <w:bCs/>
          <w:szCs w:val="21"/>
          <w:highlight w:val="none"/>
        </w:rPr>
        <w:t>乙方：　</w:t>
      </w:r>
    </w:p>
    <w:p w14:paraId="40EA0353">
      <w:pPr>
        <w:spacing w:line="560" w:lineRule="exact"/>
        <w:ind w:firstLine="630" w:firstLineChars="300"/>
        <w:rPr>
          <w:rFonts w:asciiTheme="minorEastAsia" w:hAnsiTheme="minorEastAsia" w:eastAsiaTheme="minorEastAsia" w:cstheme="minorEastAsia"/>
          <w:szCs w:val="21"/>
          <w:highlight w:val="none"/>
        </w:rPr>
      </w:pPr>
    </w:p>
    <w:p w14:paraId="50DF12C8">
      <w:pPr>
        <w:spacing w:line="5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w:t>
      </w:r>
    </w:p>
    <w:p w14:paraId="63CFBEDD">
      <w:pPr>
        <w:pStyle w:val="2"/>
        <w:ind w:firstLine="632" w:firstLineChars="300"/>
        <w:rPr>
          <w:rFonts w:hint="eastAsia" w:ascii="Times New Roman" w:hAnsi="Times New Roman"/>
          <w:b/>
          <w:bCs/>
          <w:kern w:val="2"/>
          <w:sz w:val="21"/>
          <w:szCs w:val="21"/>
          <w:highlight w:val="none"/>
        </w:rPr>
      </w:pPr>
      <w:r>
        <w:rPr>
          <w:rFonts w:hint="eastAsia" w:ascii="Times New Roman" w:hAnsi="Times New Roman"/>
          <w:b/>
          <w:bCs/>
          <w:kern w:val="2"/>
          <w:sz w:val="21"/>
          <w:szCs w:val="21"/>
          <w:highlight w:val="none"/>
        </w:rPr>
        <w:t>福建福海创石油化工有限公司　</w:t>
      </w:r>
    </w:p>
    <w:p w14:paraId="3261BC46">
      <w:pPr>
        <w:pStyle w:val="2"/>
        <w:rPr>
          <w:rFonts w:hint="eastAsia"/>
          <w:highlight w:val="none"/>
        </w:rPr>
      </w:pPr>
    </w:p>
    <w:p w14:paraId="20DEB3E6">
      <w:pPr>
        <w:spacing w:line="560" w:lineRule="exact"/>
        <w:rPr>
          <w:rFonts w:asciiTheme="minorEastAsia" w:hAnsiTheme="minorEastAsia" w:eastAsiaTheme="minorEastAsia" w:cstheme="minorEastAsia"/>
          <w:szCs w:val="21"/>
          <w:highlight w:val="none"/>
        </w:rPr>
      </w:pPr>
    </w:p>
    <w:p w14:paraId="3DB5F427">
      <w:pPr>
        <w:spacing w:line="5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签订日期：202</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 xml:space="preserve"> 日</w:t>
      </w:r>
      <w:bookmarkEnd w:id="2"/>
    </w:p>
    <w:p w14:paraId="7E9FD487">
      <w:pPr>
        <w:pStyle w:val="2"/>
        <w:rPr>
          <w:rFonts w:asciiTheme="minorEastAsia" w:hAnsiTheme="minorEastAsia" w:eastAsiaTheme="minorEastAsia" w:cstheme="minorEastAsia"/>
          <w:sz w:val="21"/>
          <w:szCs w:val="21"/>
          <w:highlight w:val="none"/>
        </w:rPr>
      </w:pPr>
    </w:p>
    <w:p w14:paraId="1C1E2751">
      <w:pPr>
        <w:pStyle w:val="2"/>
        <w:rPr>
          <w:rFonts w:asciiTheme="minorEastAsia" w:hAnsiTheme="minorEastAsia" w:eastAsiaTheme="minorEastAsia" w:cstheme="minorEastAsia"/>
          <w:sz w:val="21"/>
          <w:szCs w:val="21"/>
          <w:highlight w:val="none"/>
        </w:rPr>
      </w:pPr>
    </w:p>
    <w:p w14:paraId="6DBFF5E3">
      <w:pPr>
        <w:pStyle w:val="2"/>
        <w:rPr>
          <w:rFonts w:asciiTheme="minorEastAsia" w:hAnsiTheme="minorEastAsia" w:eastAsiaTheme="minorEastAsia" w:cstheme="minorEastAsia"/>
          <w:sz w:val="21"/>
          <w:szCs w:val="21"/>
          <w:highlight w:val="none"/>
        </w:rPr>
      </w:pPr>
    </w:p>
    <w:p w14:paraId="39420B64">
      <w:pPr>
        <w:pStyle w:val="2"/>
        <w:rPr>
          <w:rFonts w:asciiTheme="minorEastAsia" w:hAnsiTheme="minorEastAsia" w:eastAsiaTheme="minorEastAsia" w:cstheme="minorEastAsia"/>
          <w:sz w:val="21"/>
          <w:szCs w:val="21"/>
          <w:highlight w:val="none"/>
        </w:rPr>
      </w:pPr>
    </w:p>
    <w:p w14:paraId="51AE1464">
      <w:pPr>
        <w:pStyle w:val="2"/>
        <w:rPr>
          <w:rFonts w:asciiTheme="minorEastAsia" w:hAnsiTheme="minorEastAsia" w:eastAsiaTheme="minorEastAsia" w:cstheme="minorEastAsia"/>
          <w:sz w:val="21"/>
          <w:szCs w:val="21"/>
          <w:highlight w:val="none"/>
        </w:rPr>
      </w:pPr>
    </w:p>
    <w:p w14:paraId="3342BABC">
      <w:pPr>
        <w:pStyle w:val="2"/>
        <w:rPr>
          <w:rFonts w:asciiTheme="minorEastAsia" w:hAnsiTheme="minorEastAsia" w:eastAsiaTheme="minorEastAsia" w:cstheme="minorEastAsia"/>
          <w:sz w:val="21"/>
          <w:szCs w:val="21"/>
          <w:highlight w:val="none"/>
        </w:rPr>
      </w:pPr>
    </w:p>
    <w:p w14:paraId="7412E306">
      <w:pPr>
        <w:pStyle w:val="2"/>
        <w:rPr>
          <w:rFonts w:asciiTheme="minorEastAsia" w:hAnsiTheme="minorEastAsia" w:eastAsiaTheme="minorEastAsia" w:cstheme="minorEastAsia"/>
          <w:sz w:val="21"/>
          <w:szCs w:val="21"/>
          <w:highlight w:val="none"/>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32D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9FF00">
                          <w:pPr>
                            <w:pStyle w:val="9"/>
                            <w:jc w:val="cen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D9FF00">
                    <w:pPr>
                      <w:pStyle w:val="9"/>
                      <w:jc w:val="cen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BEB6E4B"/>
    <w:multiLevelType w:val="multilevel"/>
    <w:tmpl w:val="0BEB6E4B"/>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33322FE5"/>
    <w:multiLevelType w:val="multilevel"/>
    <w:tmpl w:val="33322FE5"/>
    <w:lvl w:ilvl="0" w:tentative="0">
      <w:start w:val="5"/>
      <w:numFmt w:val="japaneseCounting"/>
      <w:lvlText w:val="%1、"/>
      <w:lvlJc w:val="left"/>
      <w:pPr>
        <w:ind w:left="720" w:hanging="720"/>
      </w:pPr>
      <w:rPr>
        <w:rFonts w:hint="default" w:cs="楷体_GB2312"/>
      </w:rPr>
    </w:lvl>
    <w:lvl w:ilvl="1" w:tentative="0">
      <w:start w:val="1"/>
      <w:numFmt w:val="lowerLetter"/>
      <w:lvlText w:val="%2)"/>
      <w:lvlJc w:val="left"/>
      <w:pPr>
        <w:ind w:left="902" w:hanging="420"/>
      </w:pPr>
    </w:lvl>
    <w:lvl w:ilvl="2" w:tentative="0">
      <w:start w:val="1"/>
      <w:numFmt w:val="lowerRoman"/>
      <w:lvlText w:val="%3."/>
      <w:lvlJc w:val="right"/>
      <w:pPr>
        <w:ind w:left="1322" w:hanging="420"/>
      </w:pPr>
    </w:lvl>
    <w:lvl w:ilvl="3" w:tentative="0">
      <w:start w:val="1"/>
      <w:numFmt w:val="decimal"/>
      <w:lvlText w:val="%4."/>
      <w:lvlJc w:val="left"/>
      <w:pPr>
        <w:ind w:left="1742" w:hanging="420"/>
      </w:pPr>
    </w:lvl>
    <w:lvl w:ilvl="4" w:tentative="0">
      <w:start w:val="1"/>
      <w:numFmt w:val="lowerLetter"/>
      <w:lvlText w:val="%5)"/>
      <w:lvlJc w:val="left"/>
      <w:pPr>
        <w:ind w:left="2162" w:hanging="420"/>
      </w:pPr>
    </w:lvl>
    <w:lvl w:ilvl="5" w:tentative="0">
      <w:start w:val="1"/>
      <w:numFmt w:val="lowerRoman"/>
      <w:lvlText w:val="%6."/>
      <w:lvlJc w:val="right"/>
      <w:pPr>
        <w:ind w:left="2582" w:hanging="420"/>
      </w:pPr>
    </w:lvl>
    <w:lvl w:ilvl="6" w:tentative="0">
      <w:start w:val="1"/>
      <w:numFmt w:val="decimal"/>
      <w:lvlText w:val="%7."/>
      <w:lvlJc w:val="left"/>
      <w:pPr>
        <w:ind w:left="3002" w:hanging="420"/>
      </w:pPr>
    </w:lvl>
    <w:lvl w:ilvl="7" w:tentative="0">
      <w:start w:val="1"/>
      <w:numFmt w:val="lowerLetter"/>
      <w:lvlText w:val="%8)"/>
      <w:lvlJc w:val="left"/>
      <w:pPr>
        <w:ind w:left="3422" w:hanging="420"/>
      </w:pPr>
    </w:lvl>
    <w:lvl w:ilvl="8" w:tentative="0">
      <w:start w:val="1"/>
      <w:numFmt w:val="lowerRoman"/>
      <w:lvlText w:val="%9."/>
      <w:lvlJc w:val="right"/>
      <w:pPr>
        <w:ind w:left="3842" w:hanging="420"/>
      </w:pPr>
    </w:lvl>
  </w:abstractNum>
  <w:abstractNum w:abstractNumId="7">
    <w:nsid w:val="37E205FC"/>
    <w:multiLevelType w:val="multilevel"/>
    <w:tmpl w:val="37E205FC"/>
    <w:lvl w:ilvl="0" w:tentative="0">
      <w:start w:val="1"/>
      <w:numFmt w:val="decimal"/>
      <w:lvlText w:val="%1."/>
      <w:lvlJc w:val="left"/>
      <w:pPr>
        <w:tabs>
          <w:tab w:val="left" w:pos="420"/>
        </w:tabs>
        <w:ind w:left="420" w:hanging="420"/>
      </w:pPr>
      <w:rPr>
        <w:rFonts w:hint="eastAsia"/>
        <w:lang w:val="en-US"/>
      </w:rPr>
    </w:lvl>
    <w:lvl w:ilvl="1" w:tentative="0">
      <w:start w:val="1"/>
      <w:numFmt w:val="decimal"/>
      <w:lvlText w:val="（%2）"/>
      <w:lvlJc w:val="left"/>
      <w:pPr>
        <w:tabs>
          <w:tab w:val="left" w:pos="885"/>
        </w:tabs>
        <w:ind w:left="885" w:hanging="885"/>
      </w:pPr>
      <w:rPr>
        <w:rFonts w:hint="eastAsia"/>
        <w:lang w:val="en-US"/>
      </w:rPr>
    </w:lvl>
    <w:lvl w:ilvl="2" w:tentative="0">
      <w:start w:val="1"/>
      <w:numFmt w:val="decimal"/>
      <w:lvlText w:val="(%3)"/>
      <w:lvlJc w:val="left"/>
      <w:pPr>
        <w:tabs>
          <w:tab w:val="left" w:pos="2130"/>
        </w:tabs>
        <w:ind w:left="2130" w:hanging="1290"/>
      </w:pPr>
      <w:rPr>
        <w:rFonts w:hint="default"/>
        <w:b/>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E9B71D6"/>
    <w:multiLevelType w:val="multilevel"/>
    <w:tmpl w:val="6E9B71D6"/>
    <w:lvl w:ilvl="0" w:tentative="0">
      <w:start w:val="1"/>
      <w:numFmt w:val="decimal"/>
      <w:lvlText w:val="%1、"/>
      <w:lvlJc w:val="left"/>
      <w:pPr>
        <w:tabs>
          <w:tab w:val="left" w:pos="165"/>
        </w:tabs>
        <w:ind w:left="165" w:hanging="360"/>
      </w:pPr>
      <w:rPr>
        <w:rFonts w:hint="default"/>
      </w:rPr>
    </w:lvl>
    <w:lvl w:ilvl="1" w:tentative="0">
      <w:start w:val="1"/>
      <w:numFmt w:val="lowerLetter"/>
      <w:lvlText w:val="%2)"/>
      <w:lvlJc w:val="left"/>
      <w:pPr>
        <w:tabs>
          <w:tab w:val="left" w:pos="645"/>
        </w:tabs>
        <w:ind w:left="645" w:hanging="420"/>
      </w:pPr>
    </w:lvl>
    <w:lvl w:ilvl="2" w:tentative="0">
      <w:start w:val="1"/>
      <w:numFmt w:val="lowerRoman"/>
      <w:lvlText w:val="%3."/>
      <w:lvlJc w:val="right"/>
      <w:pPr>
        <w:tabs>
          <w:tab w:val="left" w:pos="1065"/>
        </w:tabs>
        <w:ind w:left="1065" w:hanging="420"/>
      </w:pPr>
    </w:lvl>
    <w:lvl w:ilvl="3" w:tentative="0">
      <w:start w:val="1"/>
      <w:numFmt w:val="decimal"/>
      <w:lvlText w:val="%4."/>
      <w:lvlJc w:val="left"/>
      <w:pPr>
        <w:tabs>
          <w:tab w:val="left" w:pos="1485"/>
        </w:tabs>
        <w:ind w:left="1485" w:hanging="420"/>
      </w:pPr>
    </w:lvl>
    <w:lvl w:ilvl="4" w:tentative="0">
      <w:start w:val="1"/>
      <w:numFmt w:val="lowerLetter"/>
      <w:lvlText w:val="%5)"/>
      <w:lvlJc w:val="left"/>
      <w:pPr>
        <w:tabs>
          <w:tab w:val="left" w:pos="1905"/>
        </w:tabs>
        <w:ind w:left="1905" w:hanging="420"/>
      </w:pPr>
    </w:lvl>
    <w:lvl w:ilvl="5" w:tentative="0">
      <w:start w:val="1"/>
      <w:numFmt w:val="lowerRoman"/>
      <w:lvlText w:val="%6."/>
      <w:lvlJc w:val="right"/>
      <w:pPr>
        <w:tabs>
          <w:tab w:val="left" w:pos="2325"/>
        </w:tabs>
        <w:ind w:left="2325" w:hanging="420"/>
      </w:pPr>
    </w:lvl>
    <w:lvl w:ilvl="6" w:tentative="0">
      <w:start w:val="1"/>
      <w:numFmt w:val="decimal"/>
      <w:lvlText w:val="%7."/>
      <w:lvlJc w:val="left"/>
      <w:pPr>
        <w:tabs>
          <w:tab w:val="left" w:pos="2745"/>
        </w:tabs>
        <w:ind w:left="2745" w:hanging="420"/>
      </w:pPr>
    </w:lvl>
    <w:lvl w:ilvl="7" w:tentative="0">
      <w:start w:val="1"/>
      <w:numFmt w:val="lowerLetter"/>
      <w:lvlText w:val="%8)"/>
      <w:lvlJc w:val="left"/>
      <w:pPr>
        <w:tabs>
          <w:tab w:val="left" w:pos="3165"/>
        </w:tabs>
        <w:ind w:left="3165" w:hanging="420"/>
      </w:pPr>
    </w:lvl>
    <w:lvl w:ilvl="8" w:tentative="0">
      <w:start w:val="1"/>
      <w:numFmt w:val="lowerRoman"/>
      <w:lvlText w:val="%9."/>
      <w:lvlJc w:val="right"/>
      <w:pPr>
        <w:tabs>
          <w:tab w:val="left" w:pos="3585"/>
        </w:tabs>
        <w:ind w:left="3585" w:hanging="420"/>
      </w:pPr>
    </w:lvl>
  </w:abstractNum>
  <w:num w:numId="1">
    <w:abstractNumId w:val="3"/>
  </w:num>
  <w:num w:numId="2">
    <w:abstractNumId w:val="8"/>
  </w:num>
  <w:num w:numId="3">
    <w:abstractNumId w:val="6"/>
  </w:num>
  <w:num w:numId="4">
    <w:abstractNumId w:val="4"/>
  </w:num>
  <w:num w:numId="5">
    <w:abstractNumId w:val="1"/>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YjA2YmU3M2I2NGI0OTZmODA4YTY5NzhiM2Q0NjEifQ=="/>
  </w:docVars>
  <w:rsids>
    <w:rsidRoot w:val="000A54D1"/>
    <w:rsid w:val="00000883"/>
    <w:rsid w:val="00002C4E"/>
    <w:rsid w:val="00004902"/>
    <w:rsid w:val="00005E4C"/>
    <w:rsid w:val="00007233"/>
    <w:rsid w:val="0001003F"/>
    <w:rsid w:val="0001387C"/>
    <w:rsid w:val="0001476D"/>
    <w:rsid w:val="000147B0"/>
    <w:rsid w:val="00014B77"/>
    <w:rsid w:val="000159F8"/>
    <w:rsid w:val="00017C90"/>
    <w:rsid w:val="00017F9A"/>
    <w:rsid w:val="00020BB5"/>
    <w:rsid w:val="00022A1B"/>
    <w:rsid w:val="000247B1"/>
    <w:rsid w:val="00024FB6"/>
    <w:rsid w:val="00026076"/>
    <w:rsid w:val="00027555"/>
    <w:rsid w:val="00032F0C"/>
    <w:rsid w:val="000331E6"/>
    <w:rsid w:val="00037AD9"/>
    <w:rsid w:val="00040119"/>
    <w:rsid w:val="0004249F"/>
    <w:rsid w:val="00043211"/>
    <w:rsid w:val="0004478D"/>
    <w:rsid w:val="00046802"/>
    <w:rsid w:val="000553E7"/>
    <w:rsid w:val="00055C1A"/>
    <w:rsid w:val="0006093C"/>
    <w:rsid w:val="000640BC"/>
    <w:rsid w:val="00066B60"/>
    <w:rsid w:val="00066EA9"/>
    <w:rsid w:val="00070010"/>
    <w:rsid w:val="0007352B"/>
    <w:rsid w:val="0007491F"/>
    <w:rsid w:val="00084DF9"/>
    <w:rsid w:val="00091836"/>
    <w:rsid w:val="000973CA"/>
    <w:rsid w:val="000A05F5"/>
    <w:rsid w:val="000A0849"/>
    <w:rsid w:val="000A1A87"/>
    <w:rsid w:val="000A3AAC"/>
    <w:rsid w:val="000A3F9E"/>
    <w:rsid w:val="000A54D1"/>
    <w:rsid w:val="000A5B12"/>
    <w:rsid w:val="000A5D19"/>
    <w:rsid w:val="000A661C"/>
    <w:rsid w:val="000B0157"/>
    <w:rsid w:val="000B05A0"/>
    <w:rsid w:val="000B4D0C"/>
    <w:rsid w:val="000B5776"/>
    <w:rsid w:val="000B64D6"/>
    <w:rsid w:val="000B6AD0"/>
    <w:rsid w:val="000C1AA7"/>
    <w:rsid w:val="000C27BE"/>
    <w:rsid w:val="000C2FB6"/>
    <w:rsid w:val="000D0BE9"/>
    <w:rsid w:val="000D1DD0"/>
    <w:rsid w:val="000D27A4"/>
    <w:rsid w:val="000D2E82"/>
    <w:rsid w:val="000D53AD"/>
    <w:rsid w:val="000D5E36"/>
    <w:rsid w:val="000D6FCB"/>
    <w:rsid w:val="000E21AE"/>
    <w:rsid w:val="000E4587"/>
    <w:rsid w:val="000F3ADD"/>
    <w:rsid w:val="000F3DC1"/>
    <w:rsid w:val="000F7E7D"/>
    <w:rsid w:val="00100239"/>
    <w:rsid w:val="001002D0"/>
    <w:rsid w:val="001003C5"/>
    <w:rsid w:val="00103AB9"/>
    <w:rsid w:val="00106818"/>
    <w:rsid w:val="001068AD"/>
    <w:rsid w:val="00107EC3"/>
    <w:rsid w:val="00113F44"/>
    <w:rsid w:val="001157E2"/>
    <w:rsid w:val="001172A9"/>
    <w:rsid w:val="00117A40"/>
    <w:rsid w:val="001207B9"/>
    <w:rsid w:val="001225AF"/>
    <w:rsid w:val="001233F1"/>
    <w:rsid w:val="00130B94"/>
    <w:rsid w:val="001312EE"/>
    <w:rsid w:val="00133DBF"/>
    <w:rsid w:val="00135A7E"/>
    <w:rsid w:val="0014114C"/>
    <w:rsid w:val="00142455"/>
    <w:rsid w:val="00142A8C"/>
    <w:rsid w:val="00143336"/>
    <w:rsid w:val="0014371F"/>
    <w:rsid w:val="00143BF1"/>
    <w:rsid w:val="001448F8"/>
    <w:rsid w:val="0014621C"/>
    <w:rsid w:val="00146D46"/>
    <w:rsid w:val="00147594"/>
    <w:rsid w:val="001528B9"/>
    <w:rsid w:val="00152ED4"/>
    <w:rsid w:val="0015603D"/>
    <w:rsid w:val="0015628B"/>
    <w:rsid w:val="00156C3B"/>
    <w:rsid w:val="00156FB1"/>
    <w:rsid w:val="0015778D"/>
    <w:rsid w:val="00161B21"/>
    <w:rsid w:val="00162D1A"/>
    <w:rsid w:val="00162F9D"/>
    <w:rsid w:val="00163CE6"/>
    <w:rsid w:val="00164726"/>
    <w:rsid w:val="0016503A"/>
    <w:rsid w:val="00166BE6"/>
    <w:rsid w:val="00171323"/>
    <w:rsid w:val="00175410"/>
    <w:rsid w:val="00176EDD"/>
    <w:rsid w:val="00177EA9"/>
    <w:rsid w:val="00180CE9"/>
    <w:rsid w:val="001825A6"/>
    <w:rsid w:val="00182673"/>
    <w:rsid w:val="00184814"/>
    <w:rsid w:val="00190C35"/>
    <w:rsid w:val="00196816"/>
    <w:rsid w:val="001A0761"/>
    <w:rsid w:val="001A1C3B"/>
    <w:rsid w:val="001A2A74"/>
    <w:rsid w:val="001A5676"/>
    <w:rsid w:val="001B1259"/>
    <w:rsid w:val="001B36B4"/>
    <w:rsid w:val="001B4F49"/>
    <w:rsid w:val="001B69DC"/>
    <w:rsid w:val="001B6EB0"/>
    <w:rsid w:val="001B7972"/>
    <w:rsid w:val="001D107D"/>
    <w:rsid w:val="001D1AF1"/>
    <w:rsid w:val="001D296B"/>
    <w:rsid w:val="001D3900"/>
    <w:rsid w:val="001D5F65"/>
    <w:rsid w:val="001D6AC5"/>
    <w:rsid w:val="001E128E"/>
    <w:rsid w:val="001E2091"/>
    <w:rsid w:val="001E3D20"/>
    <w:rsid w:val="001E4889"/>
    <w:rsid w:val="001E7253"/>
    <w:rsid w:val="001F0B3B"/>
    <w:rsid w:val="001F1874"/>
    <w:rsid w:val="001F1879"/>
    <w:rsid w:val="001F3297"/>
    <w:rsid w:val="001F46C9"/>
    <w:rsid w:val="001F53F0"/>
    <w:rsid w:val="001F57C0"/>
    <w:rsid w:val="00202F3E"/>
    <w:rsid w:val="0020451A"/>
    <w:rsid w:val="0020729B"/>
    <w:rsid w:val="0021676F"/>
    <w:rsid w:val="00222AAF"/>
    <w:rsid w:val="0022393C"/>
    <w:rsid w:val="00224198"/>
    <w:rsid w:val="00224F8F"/>
    <w:rsid w:val="00231C83"/>
    <w:rsid w:val="00231EDB"/>
    <w:rsid w:val="00233FDD"/>
    <w:rsid w:val="002344BC"/>
    <w:rsid w:val="00234FB4"/>
    <w:rsid w:val="00242440"/>
    <w:rsid w:val="00243F4E"/>
    <w:rsid w:val="00250499"/>
    <w:rsid w:val="002539FC"/>
    <w:rsid w:val="00256350"/>
    <w:rsid w:val="002615DF"/>
    <w:rsid w:val="00261A7D"/>
    <w:rsid w:val="0026392E"/>
    <w:rsid w:val="00265166"/>
    <w:rsid w:val="002712BA"/>
    <w:rsid w:val="0027329C"/>
    <w:rsid w:val="002746A6"/>
    <w:rsid w:val="00275A5A"/>
    <w:rsid w:val="00280CA0"/>
    <w:rsid w:val="0028361C"/>
    <w:rsid w:val="00284678"/>
    <w:rsid w:val="002859B4"/>
    <w:rsid w:val="00287F53"/>
    <w:rsid w:val="00293FB6"/>
    <w:rsid w:val="002960E2"/>
    <w:rsid w:val="00296790"/>
    <w:rsid w:val="00297CEA"/>
    <w:rsid w:val="002A1248"/>
    <w:rsid w:val="002A3416"/>
    <w:rsid w:val="002A370B"/>
    <w:rsid w:val="002A5BFF"/>
    <w:rsid w:val="002B3937"/>
    <w:rsid w:val="002B664F"/>
    <w:rsid w:val="002B66FD"/>
    <w:rsid w:val="002B7826"/>
    <w:rsid w:val="002B7FE5"/>
    <w:rsid w:val="002C0276"/>
    <w:rsid w:val="002C2150"/>
    <w:rsid w:val="002C225D"/>
    <w:rsid w:val="002C26E6"/>
    <w:rsid w:val="002C32E5"/>
    <w:rsid w:val="002C435C"/>
    <w:rsid w:val="002D010A"/>
    <w:rsid w:val="002D0202"/>
    <w:rsid w:val="002D419C"/>
    <w:rsid w:val="002D64C6"/>
    <w:rsid w:val="002E5971"/>
    <w:rsid w:val="002E7A98"/>
    <w:rsid w:val="002F159F"/>
    <w:rsid w:val="002F3DED"/>
    <w:rsid w:val="002F4544"/>
    <w:rsid w:val="0030166A"/>
    <w:rsid w:val="003042AA"/>
    <w:rsid w:val="0030557B"/>
    <w:rsid w:val="003213FE"/>
    <w:rsid w:val="00321912"/>
    <w:rsid w:val="00321CE2"/>
    <w:rsid w:val="00330D6A"/>
    <w:rsid w:val="00332ACB"/>
    <w:rsid w:val="0033352A"/>
    <w:rsid w:val="00336124"/>
    <w:rsid w:val="00336586"/>
    <w:rsid w:val="0034168F"/>
    <w:rsid w:val="00342679"/>
    <w:rsid w:val="003426E1"/>
    <w:rsid w:val="00344E50"/>
    <w:rsid w:val="0034619B"/>
    <w:rsid w:val="00350831"/>
    <w:rsid w:val="00351ABA"/>
    <w:rsid w:val="00353798"/>
    <w:rsid w:val="003542D0"/>
    <w:rsid w:val="00360AA8"/>
    <w:rsid w:val="00360BFD"/>
    <w:rsid w:val="0036129C"/>
    <w:rsid w:val="0036157F"/>
    <w:rsid w:val="003664EF"/>
    <w:rsid w:val="00373165"/>
    <w:rsid w:val="0037328A"/>
    <w:rsid w:val="00374655"/>
    <w:rsid w:val="00374926"/>
    <w:rsid w:val="00380FC4"/>
    <w:rsid w:val="00383942"/>
    <w:rsid w:val="0038461C"/>
    <w:rsid w:val="0038611E"/>
    <w:rsid w:val="0039099D"/>
    <w:rsid w:val="00391CB4"/>
    <w:rsid w:val="003934B3"/>
    <w:rsid w:val="00397CB4"/>
    <w:rsid w:val="003A088A"/>
    <w:rsid w:val="003A0A08"/>
    <w:rsid w:val="003A1EA9"/>
    <w:rsid w:val="003A359A"/>
    <w:rsid w:val="003A4E1F"/>
    <w:rsid w:val="003A657C"/>
    <w:rsid w:val="003A7479"/>
    <w:rsid w:val="003A7952"/>
    <w:rsid w:val="003B008E"/>
    <w:rsid w:val="003B293F"/>
    <w:rsid w:val="003B495F"/>
    <w:rsid w:val="003B4D33"/>
    <w:rsid w:val="003B6DD3"/>
    <w:rsid w:val="003C4917"/>
    <w:rsid w:val="003C51C0"/>
    <w:rsid w:val="003C6549"/>
    <w:rsid w:val="003C6B15"/>
    <w:rsid w:val="003D034B"/>
    <w:rsid w:val="003D1789"/>
    <w:rsid w:val="003D34C9"/>
    <w:rsid w:val="003D515E"/>
    <w:rsid w:val="003D60D6"/>
    <w:rsid w:val="003D713C"/>
    <w:rsid w:val="003E1EAA"/>
    <w:rsid w:val="003E302E"/>
    <w:rsid w:val="003E5508"/>
    <w:rsid w:val="003E5F0C"/>
    <w:rsid w:val="003E60CB"/>
    <w:rsid w:val="003E6B3E"/>
    <w:rsid w:val="003E738D"/>
    <w:rsid w:val="003E77F8"/>
    <w:rsid w:val="003F0CD3"/>
    <w:rsid w:val="003F4046"/>
    <w:rsid w:val="003F466B"/>
    <w:rsid w:val="003F4B67"/>
    <w:rsid w:val="0040068A"/>
    <w:rsid w:val="00402087"/>
    <w:rsid w:val="00402ABC"/>
    <w:rsid w:val="00403431"/>
    <w:rsid w:val="004042A6"/>
    <w:rsid w:val="0040438C"/>
    <w:rsid w:val="00405049"/>
    <w:rsid w:val="00410195"/>
    <w:rsid w:val="0041262B"/>
    <w:rsid w:val="00420525"/>
    <w:rsid w:val="00424A84"/>
    <w:rsid w:val="00425FC2"/>
    <w:rsid w:val="00426E09"/>
    <w:rsid w:val="00427B01"/>
    <w:rsid w:val="0043055D"/>
    <w:rsid w:val="00432F23"/>
    <w:rsid w:val="004344C5"/>
    <w:rsid w:val="00436D13"/>
    <w:rsid w:val="00440441"/>
    <w:rsid w:val="004427BB"/>
    <w:rsid w:val="00443620"/>
    <w:rsid w:val="004440C1"/>
    <w:rsid w:val="0044576E"/>
    <w:rsid w:val="004469C1"/>
    <w:rsid w:val="0045160E"/>
    <w:rsid w:val="00455E6F"/>
    <w:rsid w:val="00455EBF"/>
    <w:rsid w:val="00457F14"/>
    <w:rsid w:val="00461229"/>
    <w:rsid w:val="00462511"/>
    <w:rsid w:val="00465C23"/>
    <w:rsid w:val="00465C30"/>
    <w:rsid w:val="0046660D"/>
    <w:rsid w:val="00466B10"/>
    <w:rsid w:val="00472637"/>
    <w:rsid w:val="00474819"/>
    <w:rsid w:val="00474BC1"/>
    <w:rsid w:val="004809BD"/>
    <w:rsid w:val="00483D7C"/>
    <w:rsid w:val="00484826"/>
    <w:rsid w:val="00487DEA"/>
    <w:rsid w:val="00490407"/>
    <w:rsid w:val="00490535"/>
    <w:rsid w:val="004911A1"/>
    <w:rsid w:val="00491C1B"/>
    <w:rsid w:val="004966FC"/>
    <w:rsid w:val="00496715"/>
    <w:rsid w:val="00496AA8"/>
    <w:rsid w:val="004A1791"/>
    <w:rsid w:val="004A2541"/>
    <w:rsid w:val="004A2D45"/>
    <w:rsid w:val="004A3713"/>
    <w:rsid w:val="004A5648"/>
    <w:rsid w:val="004A7EC3"/>
    <w:rsid w:val="004B0677"/>
    <w:rsid w:val="004B0A2C"/>
    <w:rsid w:val="004B1B41"/>
    <w:rsid w:val="004B248B"/>
    <w:rsid w:val="004B3AD8"/>
    <w:rsid w:val="004B3C07"/>
    <w:rsid w:val="004B5A79"/>
    <w:rsid w:val="004C12DE"/>
    <w:rsid w:val="004C1ABC"/>
    <w:rsid w:val="004C2D29"/>
    <w:rsid w:val="004C36D1"/>
    <w:rsid w:val="004C5318"/>
    <w:rsid w:val="004D1747"/>
    <w:rsid w:val="004D7874"/>
    <w:rsid w:val="004E1ECB"/>
    <w:rsid w:val="004E2AFC"/>
    <w:rsid w:val="004E4D42"/>
    <w:rsid w:val="004E7E9D"/>
    <w:rsid w:val="004F0D9A"/>
    <w:rsid w:val="004F326C"/>
    <w:rsid w:val="004F3D01"/>
    <w:rsid w:val="004F4489"/>
    <w:rsid w:val="004F5FFE"/>
    <w:rsid w:val="004F7A05"/>
    <w:rsid w:val="00501A31"/>
    <w:rsid w:val="005123CB"/>
    <w:rsid w:val="005165EB"/>
    <w:rsid w:val="00524201"/>
    <w:rsid w:val="00524A32"/>
    <w:rsid w:val="00524F02"/>
    <w:rsid w:val="00530680"/>
    <w:rsid w:val="00531658"/>
    <w:rsid w:val="00531686"/>
    <w:rsid w:val="00542269"/>
    <w:rsid w:val="0054235B"/>
    <w:rsid w:val="00553FE2"/>
    <w:rsid w:val="00557210"/>
    <w:rsid w:val="00561AA1"/>
    <w:rsid w:val="00561F9E"/>
    <w:rsid w:val="00562099"/>
    <w:rsid w:val="00562C60"/>
    <w:rsid w:val="005650E4"/>
    <w:rsid w:val="00565796"/>
    <w:rsid w:val="00565B57"/>
    <w:rsid w:val="005665F6"/>
    <w:rsid w:val="0057077C"/>
    <w:rsid w:val="00572045"/>
    <w:rsid w:val="00573292"/>
    <w:rsid w:val="00573A08"/>
    <w:rsid w:val="00574B04"/>
    <w:rsid w:val="00574DD3"/>
    <w:rsid w:val="005759D9"/>
    <w:rsid w:val="00576505"/>
    <w:rsid w:val="00576B8C"/>
    <w:rsid w:val="00577719"/>
    <w:rsid w:val="00577A4E"/>
    <w:rsid w:val="0058083F"/>
    <w:rsid w:val="00580D73"/>
    <w:rsid w:val="00583736"/>
    <w:rsid w:val="00583C23"/>
    <w:rsid w:val="00583DBF"/>
    <w:rsid w:val="005842BB"/>
    <w:rsid w:val="00584D35"/>
    <w:rsid w:val="00585370"/>
    <w:rsid w:val="00587AB8"/>
    <w:rsid w:val="00587BAA"/>
    <w:rsid w:val="00592157"/>
    <w:rsid w:val="005946AB"/>
    <w:rsid w:val="005952C7"/>
    <w:rsid w:val="005968D2"/>
    <w:rsid w:val="00597FA8"/>
    <w:rsid w:val="005A5EB9"/>
    <w:rsid w:val="005A6085"/>
    <w:rsid w:val="005A699F"/>
    <w:rsid w:val="005A6C1B"/>
    <w:rsid w:val="005A7833"/>
    <w:rsid w:val="005B2B5B"/>
    <w:rsid w:val="005B2D1D"/>
    <w:rsid w:val="005B30AF"/>
    <w:rsid w:val="005B3888"/>
    <w:rsid w:val="005B5752"/>
    <w:rsid w:val="005C14BF"/>
    <w:rsid w:val="005C2625"/>
    <w:rsid w:val="005C2AB1"/>
    <w:rsid w:val="005C37B6"/>
    <w:rsid w:val="005C5BDE"/>
    <w:rsid w:val="005C6BB8"/>
    <w:rsid w:val="005C7AE3"/>
    <w:rsid w:val="005D1C16"/>
    <w:rsid w:val="005D64E7"/>
    <w:rsid w:val="005D7B7C"/>
    <w:rsid w:val="005E1F48"/>
    <w:rsid w:val="005E2E81"/>
    <w:rsid w:val="005E361D"/>
    <w:rsid w:val="005E4BBD"/>
    <w:rsid w:val="005E63A9"/>
    <w:rsid w:val="005E7B49"/>
    <w:rsid w:val="005F3C49"/>
    <w:rsid w:val="005F43F2"/>
    <w:rsid w:val="005F4AE6"/>
    <w:rsid w:val="005F75EA"/>
    <w:rsid w:val="005F7601"/>
    <w:rsid w:val="005F7DCB"/>
    <w:rsid w:val="006006A3"/>
    <w:rsid w:val="0060086D"/>
    <w:rsid w:val="00601308"/>
    <w:rsid w:val="006053A2"/>
    <w:rsid w:val="00606B7B"/>
    <w:rsid w:val="00606F41"/>
    <w:rsid w:val="00607288"/>
    <w:rsid w:val="00614987"/>
    <w:rsid w:val="00615E49"/>
    <w:rsid w:val="00616409"/>
    <w:rsid w:val="00616BA7"/>
    <w:rsid w:val="00622D89"/>
    <w:rsid w:val="00622E39"/>
    <w:rsid w:val="00623E34"/>
    <w:rsid w:val="00624AF0"/>
    <w:rsid w:val="00631511"/>
    <w:rsid w:val="006322FD"/>
    <w:rsid w:val="006334E7"/>
    <w:rsid w:val="00634231"/>
    <w:rsid w:val="00635992"/>
    <w:rsid w:val="00636C38"/>
    <w:rsid w:val="00642F6A"/>
    <w:rsid w:val="00651260"/>
    <w:rsid w:val="00652788"/>
    <w:rsid w:val="00654E02"/>
    <w:rsid w:val="00656EE4"/>
    <w:rsid w:val="00656F79"/>
    <w:rsid w:val="00662248"/>
    <w:rsid w:val="00665319"/>
    <w:rsid w:val="00665C45"/>
    <w:rsid w:val="00670765"/>
    <w:rsid w:val="0067266C"/>
    <w:rsid w:val="00674176"/>
    <w:rsid w:val="00674E2D"/>
    <w:rsid w:val="006800A3"/>
    <w:rsid w:val="00682D6C"/>
    <w:rsid w:val="00683411"/>
    <w:rsid w:val="0068791D"/>
    <w:rsid w:val="00687AA8"/>
    <w:rsid w:val="00690932"/>
    <w:rsid w:val="006A1C97"/>
    <w:rsid w:val="006A2CCE"/>
    <w:rsid w:val="006A2E0D"/>
    <w:rsid w:val="006A4543"/>
    <w:rsid w:val="006A5EF4"/>
    <w:rsid w:val="006A7322"/>
    <w:rsid w:val="006B004D"/>
    <w:rsid w:val="006B0E79"/>
    <w:rsid w:val="006B2021"/>
    <w:rsid w:val="006B2CD2"/>
    <w:rsid w:val="006B3673"/>
    <w:rsid w:val="006B3E97"/>
    <w:rsid w:val="006B4124"/>
    <w:rsid w:val="006B69AB"/>
    <w:rsid w:val="006C2C3D"/>
    <w:rsid w:val="006C482B"/>
    <w:rsid w:val="006C6077"/>
    <w:rsid w:val="006C669F"/>
    <w:rsid w:val="006C71B9"/>
    <w:rsid w:val="006D0768"/>
    <w:rsid w:val="006D0AD6"/>
    <w:rsid w:val="006D3079"/>
    <w:rsid w:val="006D5F43"/>
    <w:rsid w:val="006F053C"/>
    <w:rsid w:val="006F12C7"/>
    <w:rsid w:val="006F3117"/>
    <w:rsid w:val="006F348D"/>
    <w:rsid w:val="006F3935"/>
    <w:rsid w:val="007010C0"/>
    <w:rsid w:val="00703C89"/>
    <w:rsid w:val="007063F3"/>
    <w:rsid w:val="00706EF5"/>
    <w:rsid w:val="00707087"/>
    <w:rsid w:val="00707653"/>
    <w:rsid w:val="0071253A"/>
    <w:rsid w:val="007129E1"/>
    <w:rsid w:val="007141F6"/>
    <w:rsid w:val="0071427A"/>
    <w:rsid w:val="0072025D"/>
    <w:rsid w:val="00723C36"/>
    <w:rsid w:val="0072689D"/>
    <w:rsid w:val="00726B3C"/>
    <w:rsid w:val="00732C6E"/>
    <w:rsid w:val="0073404F"/>
    <w:rsid w:val="00736D57"/>
    <w:rsid w:val="007375E1"/>
    <w:rsid w:val="007379B8"/>
    <w:rsid w:val="00737DDD"/>
    <w:rsid w:val="00745BB4"/>
    <w:rsid w:val="00750AAB"/>
    <w:rsid w:val="00750C9D"/>
    <w:rsid w:val="007510B0"/>
    <w:rsid w:val="0075112D"/>
    <w:rsid w:val="007513A9"/>
    <w:rsid w:val="00751A28"/>
    <w:rsid w:val="0075296C"/>
    <w:rsid w:val="00753EA2"/>
    <w:rsid w:val="00757969"/>
    <w:rsid w:val="007614CE"/>
    <w:rsid w:val="00761D47"/>
    <w:rsid w:val="00762E34"/>
    <w:rsid w:val="00764684"/>
    <w:rsid w:val="0076475F"/>
    <w:rsid w:val="007659E5"/>
    <w:rsid w:val="00767691"/>
    <w:rsid w:val="00771009"/>
    <w:rsid w:val="0077427D"/>
    <w:rsid w:val="00775F5D"/>
    <w:rsid w:val="007812D1"/>
    <w:rsid w:val="00782ED0"/>
    <w:rsid w:val="00783381"/>
    <w:rsid w:val="007853FA"/>
    <w:rsid w:val="0078693D"/>
    <w:rsid w:val="0079154B"/>
    <w:rsid w:val="00791FC1"/>
    <w:rsid w:val="007927C6"/>
    <w:rsid w:val="007957FD"/>
    <w:rsid w:val="007A30FA"/>
    <w:rsid w:val="007A3FF3"/>
    <w:rsid w:val="007A433E"/>
    <w:rsid w:val="007A4A38"/>
    <w:rsid w:val="007A4AC6"/>
    <w:rsid w:val="007A4B52"/>
    <w:rsid w:val="007A4D08"/>
    <w:rsid w:val="007A5678"/>
    <w:rsid w:val="007A718F"/>
    <w:rsid w:val="007B034C"/>
    <w:rsid w:val="007B4162"/>
    <w:rsid w:val="007B4216"/>
    <w:rsid w:val="007B51C5"/>
    <w:rsid w:val="007C02BA"/>
    <w:rsid w:val="007C49D3"/>
    <w:rsid w:val="007C5D0C"/>
    <w:rsid w:val="007D0D35"/>
    <w:rsid w:val="007D1ED3"/>
    <w:rsid w:val="007D3119"/>
    <w:rsid w:val="007D6597"/>
    <w:rsid w:val="007D70C1"/>
    <w:rsid w:val="007D77D9"/>
    <w:rsid w:val="007E319A"/>
    <w:rsid w:val="007E6F5C"/>
    <w:rsid w:val="007F15A4"/>
    <w:rsid w:val="007F19D0"/>
    <w:rsid w:val="007F299E"/>
    <w:rsid w:val="007F2F10"/>
    <w:rsid w:val="007F493A"/>
    <w:rsid w:val="007F7700"/>
    <w:rsid w:val="007F7B3D"/>
    <w:rsid w:val="008001A8"/>
    <w:rsid w:val="0080156F"/>
    <w:rsid w:val="00803002"/>
    <w:rsid w:val="008036C8"/>
    <w:rsid w:val="0080407B"/>
    <w:rsid w:val="0080409D"/>
    <w:rsid w:val="00805B14"/>
    <w:rsid w:val="00807CF6"/>
    <w:rsid w:val="008105A2"/>
    <w:rsid w:val="0081197D"/>
    <w:rsid w:val="00813945"/>
    <w:rsid w:val="00813BE1"/>
    <w:rsid w:val="00813C79"/>
    <w:rsid w:val="00822549"/>
    <w:rsid w:val="00826AAA"/>
    <w:rsid w:val="008309B6"/>
    <w:rsid w:val="0083453C"/>
    <w:rsid w:val="0083536A"/>
    <w:rsid w:val="00843158"/>
    <w:rsid w:val="00843CE6"/>
    <w:rsid w:val="008450BB"/>
    <w:rsid w:val="008470B7"/>
    <w:rsid w:val="0085114A"/>
    <w:rsid w:val="0085257E"/>
    <w:rsid w:val="00857716"/>
    <w:rsid w:val="00862EE2"/>
    <w:rsid w:val="00863F64"/>
    <w:rsid w:val="00864280"/>
    <w:rsid w:val="0087020B"/>
    <w:rsid w:val="00870563"/>
    <w:rsid w:val="00870604"/>
    <w:rsid w:val="00871274"/>
    <w:rsid w:val="00871373"/>
    <w:rsid w:val="008765A1"/>
    <w:rsid w:val="00876E0A"/>
    <w:rsid w:val="008777E7"/>
    <w:rsid w:val="0088001C"/>
    <w:rsid w:val="00880880"/>
    <w:rsid w:val="008809B8"/>
    <w:rsid w:val="0088314E"/>
    <w:rsid w:val="00885E8A"/>
    <w:rsid w:val="00886E08"/>
    <w:rsid w:val="0088762B"/>
    <w:rsid w:val="00893E66"/>
    <w:rsid w:val="0089412F"/>
    <w:rsid w:val="00895A6E"/>
    <w:rsid w:val="008A0991"/>
    <w:rsid w:val="008A106C"/>
    <w:rsid w:val="008A121A"/>
    <w:rsid w:val="008A34F0"/>
    <w:rsid w:val="008A4FE1"/>
    <w:rsid w:val="008A55EE"/>
    <w:rsid w:val="008A7488"/>
    <w:rsid w:val="008B0BF1"/>
    <w:rsid w:val="008B5FBC"/>
    <w:rsid w:val="008C0C66"/>
    <w:rsid w:val="008C12DF"/>
    <w:rsid w:val="008C12FB"/>
    <w:rsid w:val="008C21DC"/>
    <w:rsid w:val="008C26F8"/>
    <w:rsid w:val="008C2A43"/>
    <w:rsid w:val="008C3171"/>
    <w:rsid w:val="008C5F06"/>
    <w:rsid w:val="008C6A2B"/>
    <w:rsid w:val="008C70CE"/>
    <w:rsid w:val="008C7269"/>
    <w:rsid w:val="008C759F"/>
    <w:rsid w:val="008C79C3"/>
    <w:rsid w:val="008C7E24"/>
    <w:rsid w:val="008D05E3"/>
    <w:rsid w:val="008D168A"/>
    <w:rsid w:val="008D6828"/>
    <w:rsid w:val="008D6935"/>
    <w:rsid w:val="008D6E13"/>
    <w:rsid w:val="008D79AA"/>
    <w:rsid w:val="008E6646"/>
    <w:rsid w:val="008E69EC"/>
    <w:rsid w:val="008F2A0D"/>
    <w:rsid w:val="008F3CA3"/>
    <w:rsid w:val="008F4F37"/>
    <w:rsid w:val="008F5478"/>
    <w:rsid w:val="00901511"/>
    <w:rsid w:val="009018F8"/>
    <w:rsid w:val="00901AC4"/>
    <w:rsid w:val="00901E97"/>
    <w:rsid w:val="009021DD"/>
    <w:rsid w:val="00904E1A"/>
    <w:rsid w:val="00913BF9"/>
    <w:rsid w:val="009165D8"/>
    <w:rsid w:val="0091699B"/>
    <w:rsid w:val="00916AD6"/>
    <w:rsid w:val="0092028A"/>
    <w:rsid w:val="0092656E"/>
    <w:rsid w:val="009273A3"/>
    <w:rsid w:val="0092763C"/>
    <w:rsid w:val="00931DB5"/>
    <w:rsid w:val="0093396E"/>
    <w:rsid w:val="00934BA6"/>
    <w:rsid w:val="0094112E"/>
    <w:rsid w:val="00942736"/>
    <w:rsid w:val="00943313"/>
    <w:rsid w:val="00943DFC"/>
    <w:rsid w:val="00952656"/>
    <w:rsid w:val="00953082"/>
    <w:rsid w:val="00953899"/>
    <w:rsid w:val="00954F4A"/>
    <w:rsid w:val="0095706F"/>
    <w:rsid w:val="00957463"/>
    <w:rsid w:val="00960A13"/>
    <w:rsid w:val="00961F43"/>
    <w:rsid w:val="009643C0"/>
    <w:rsid w:val="0096500D"/>
    <w:rsid w:val="00965A95"/>
    <w:rsid w:val="00965CBE"/>
    <w:rsid w:val="00965E84"/>
    <w:rsid w:val="0097007A"/>
    <w:rsid w:val="00970E5D"/>
    <w:rsid w:val="009714B6"/>
    <w:rsid w:val="00973597"/>
    <w:rsid w:val="00973B7C"/>
    <w:rsid w:val="00974B41"/>
    <w:rsid w:val="00974E8A"/>
    <w:rsid w:val="0097692E"/>
    <w:rsid w:val="0097796F"/>
    <w:rsid w:val="009779D6"/>
    <w:rsid w:val="009806CA"/>
    <w:rsid w:val="00982CA3"/>
    <w:rsid w:val="00982E57"/>
    <w:rsid w:val="0098392E"/>
    <w:rsid w:val="009842D8"/>
    <w:rsid w:val="00984C1A"/>
    <w:rsid w:val="00984D39"/>
    <w:rsid w:val="00984D8D"/>
    <w:rsid w:val="009873A7"/>
    <w:rsid w:val="00987C81"/>
    <w:rsid w:val="00990764"/>
    <w:rsid w:val="009917F7"/>
    <w:rsid w:val="009936A0"/>
    <w:rsid w:val="00993777"/>
    <w:rsid w:val="00995C0D"/>
    <w:rsid w:val="00996716"/>
    <w:rsid w:val="00997324"/>
    <w:rsid w:val="009A01F2"/>
    <w:rsid w:val="009A3AD5"/>
    <w:rsid w:val="009A43CA"/>
    <w:rsid w:val="009A6A80"/>
    <w:rsid w:val="009B1DE3"/>
    <w:rsid w:val="009B56B6"/>
    <w:rsid w:val="009B5E45"/>
    <w:rsid w:val="009B71D8"/>
    <w:rsid w:val="009C0318"/>
    <w:rsid w:val="009C0DC6"/>
    <w:rsid w:val="009C4906"/>
    <w:rsid w:val="009D1E97"/>
    <w:rsid w:val="009D2F7D"/>
    <w:rsid w:val="009D59F6"/>
    <w:rsid w:val="009D73F8"/>
    <w:rsid w:val="009E396C"/>
    <w:rsid w:val="009E5889"/>
    <w:rsid w:val="009E5926"/>
    <w:rsid w:val="009E5BD9"/>
    <w:rsid w:val="009E61D5"/>
    <w:rsid w:val="009F181F"/>
    <w:rsid w:val="009F2C2A"/>
    <w:rsid w:val="009F4F02"/>
    <w:rsid w:val="009F63D0"/>
    <w:rsid w:val="009F6D76"/>
    <w:rsid w:val="00A0383F"/>
    <w:rsid w:val="00A04B4B"/>
    <w:rsid w:val="00A04C18"/>
    <w:rsid w:val="00A05B6F"/>
    <w:rsid w:val="00A05CA4"/>
    <w:rsid w:val="00A0773C"/>
    <w:rsid w:val="00A10CCB"/>
    <w:rsid w:val="00A112FB"/>
    <w:rsid w:val="00A115AB"/>
    <w:rsid w:val="00A11A2B"/>
    <w:rsid w:val="00A129B6"/>
    <w:rsid w:val="00A13671"/>
    <w:rsid w:val="00A162AD"/>
    <w:rsid w:val="00A22686"/>
    <w:rsid w:val="00A228DC"/>
    <w:rsid w:val="00A23117"/>
    <w:rsid w:val="00A247D2"/>
    <w:rsid w:val="00A27EA4"/>
    <w:rsid w:val="00A311F1"/>
    <w:rsid w:val="00A3456A"/>
    <w:rsid w:val="00A346CF"/>
    <w:rsid w:val="00A349A0"/>
    <w:rsid w:val="00A356FB"/>
    <w:rsid w:val="00A373D5"/>
    <w:rsid w:val="00A3769A"/>
    <w:rsid w:val="00A41F68"/>
    <w:rsid w:val="00A45A43"/>
    <w:rsid w:val="00A4640D"/>
    <w:rsid w:val="00A46B3D"/>
    <w:rsid w:val="00A5283D"/>
    <w:rsid w:val="00A57ADF"/>
    <w:rsid w:val="00A57C7E"/>
    <w:rsid w:val="00A6269F"/>
    <w:rsid w:val="00A6341B"/>
    <w:rsid w:val="00A6677A"/>
    <w:rsid w:val="00A6688B"/>
    <w:rsid w:val="00A66A75"/>
    <w:rsid w:val="00A7017E"/>
    <w:rsid w:val="00A805CF"/>
    <w:rsid w:val="00A81DF8"/>
    <w:rsid w:val="00A843F5"/>
    <w:rsid w:val="00A857AF"/>
    <w:rsid w:val="00A9017A"/>
    <w:rsid w:val="00A93520"/>
    <w:rsid w:val="00A93876"/>
    <w:rsid w:val="00A965C1"/>
    <w:rsid w:val="00A9778E"/>
    <w:rsid w:val="00AA1D4C"/>
    <w:rsid w:val="00AA2A32"/>
    <w:rsid w:val="00AA40D1"/>
    <w:rsid w:val="00AA51C9"/>
    <w:rsid w:val="00AA7DB2"/>
    <w:rsid w:val="00AB0376"/>
    <w:rsid w:val="00AB0949"/>
    <w:rsid w:val="00AB14AC"/>
    <w:rsid w:val="00AB6BBB"/>
    <w:rsid w:val="00AC4C9B"/>
    <w:rsid w:val="00AC60E0"/>
    <w:rsid w:val="00AC7CCB"/>
    <w:rsid w:val="00AD009B"/>
    <w:rsid w:val="00AD0C71"/>
    <w:rsid w:val="00AD128F"/>
    <w:rsid w:val="00AD12D0"/>
    <w:rsid w:val="00AD414E"/>
    <w:rsid w:val="00AE10AE"/>
    <w:rsid w:val="00AE657E"/>
    <w:rsid w:val="00AF1262"/>
    <w:rsid w:val="00AF15EC"/>
    <w:rsid w:val="00AF381E"/>
    <w:rsid w:val="00AF393E"/>
    <w:rsid w:val="00AF4F7B"/>
    <w:rsid w:val="00AF7900"/>
    <w:rsid w:val="00AF79D6"/>
    <w:rsid w:val="00B003D5"/>
    <w:rsid w:val="00B03BC4"/>
    <w:rsid w:val="00B06AB4"/>
    <w:rsid w:val="00B07C63"/>
    <w:rsid w:val="00B11BF3"/>
    <w:rsid w:val="00B11BFA"/>
    <w:rsid w:val="00B12C8F"/>
    <w:rsid w:val="00B1322F"/>
    <w:rsid w:val="00B15474"/>
    <w:rsid w:val="00B168EA"/>
    <w:rsid w:val="00B20172"/>
    <w:rsid w:val="00B208C3"/>
    <w:rsid w:val="00B21DA0"/>
    <w:rsid w:val="00B23899"/>
    <w:rsid w:val="00B2658C"/>
    <w:rsid w:val="00B27564"/>
    <w:rsid w:val="00B321F7"/>
    <w:rsid w:val="00B3364F"/>
    <w:rsid w:val="00B3514A"/>
    <w:rsid w:val="00B35DB0"/>
    <w:rsid w:val="00B4033F"/>
    <w:rsid w:val="00B409BC"/>
    <w:rsid w:val="00B41276"/>
    <w:rsid w:val="00B46760"/>
    <w:rsid w:val="00B5035E"/>
    <w:rsid w:val="00B52E6C"/>
    <w:rsid w:val="00B53496"/>
    <w:rsid w:val="00B5379F"/>
    <w:rsid w:val="00B554C6"/>
    <w:rsid w:val="00B6540A"/>
    <w:rsid w:val="00B676F3"/>
    <w:rsid w:val="00B70E3D"/>
    <w:rsid w:val="00B72126"/>
    <w:rsid w:val="00B76779"/>
    <w:rsid w:val="00B82C0B"/>
    <w:rsid w:val="00B82ED9"/>
    <w:rsid w:val="00B8380B"/>
    <w:rsid w:val="00B83A26"/>
    <w:rsid w:val="00B87790"/>
    <w:rsid w:val="00B92181"/>
    <w:rsid w:val="00B93A66"/>
    <w:rsid w:val="00B95855"/>
    <w:rsid w:val="00B9771F"/>
    <w:rsid w:val="00B979C9"/>
    <w:rsid w:val="00B97F6A"/>
    <w:rsid w:val="00BA11F7"/>
    <w:rsid w:val="00BA3075"/>
    <w:rsid w:val="00BA3D3C"/>
    <w:rsid w:val="00BA7EFA"/>
    <w:rsid w:val="00BB1312"/>
    <w:rsid w:val="00BB20D7"/>
    <w:rsid w:val="00BB2A39"/>
    <w:rsid w:val="00BB78DB"/>
    <w:rsid w:val="00BC19FC"/>
    <w:rsid w:val="00BC2A41"/>
    <w:rsid w:val="00BC2A47"/>
    <w:rsid w:val="00BC2CED"/>
    <w:rsid w:val="00BC4C9A"/>
    <w:rsid w:val="00BC4EC7"/>
    <w:rsid w:val="00BC7411"/>
    <w:rsid w:val="00BD0169"/>
    <w:rsid w:val="00BD0D58"/>
    <w:rsid w:val="00BD12F3"/>
    <w:rsid w:val="00BD135D"/>
    <w:rsid w:val="00BD2626"/>
    <w:rsid w:val="00BD4ABD"/>
    <w:rsid w:val="00BD6610"/>
    <w:rsid w:val="00BD6F95"/>
    <w:rsid w:val="00BE07DF"/>
    <w:rsid w:val="00BE1C04"/>
    <w:rsid w:val="00BE204F"/>
    <w:rsid w:val="00BE2C6B"/>
    <w:rsid w:val="00BE2D77"/>
    <w:rsid w:val="00BE32CA"/>
    <w:rsid w:val="00BE779C"/>
    <w:rsid w:val="00BF1E8F"/>
    <w:rsid w:val="00BF3418"/>
    <w:rsid w:val="00BF3EA2"/>
    <w:rsid w:val="00BF3F00"/>
    <w:rsid w:val="00BF4401"/>
    <w:rsid w:val="00C02C2C"/>
    <w:rsid w:val="00C05821"/>
    <w:rsid w:val="00C05EFF"/>
    <w:rsid w:val="00C07048"/>
    <w:rsid w:val="00C07FB7"/>
    <w:rsid w:val="00C10724"/>
    <w:rsid w:val="00C1385E"/>
    <w:rsid w:val="00C143B9"/>
    <w:rsid w:val="00C16957"/>
    <w:rsid w:val="00C24D30"/>
    <w:rsid w:val="00C2550D"/>
    <w:rsid w:val="00C2636B"/>
    <w:rsid w:val="00C267C7"/>
    <w:rsid w:val="00C30DD5"/>
    <w:rsid w:val="00C33915"/>
    <w:rsid w:val="00C33BD3"/>
    <w:rsid w:val="00C33F28"/>
    <w:rsid w:val="00C349A5"/>
    <w:rsid w:val="00C34E9A"/>
    <w:rsid w:val="00C40F4B"/>
    <w:rsid w:val="00C4267A"/>
    <w:rsid w:val="00C42B74"/>
    <w:rsid w:val="00C44E41"/>
    <w:rsid w:val="00C45100"/>
    <w:rsid w:val="00C4594D"/>
    <w:rsid w:val="00C51310"/>
    <w:rsid w:val="00C52B64"/>
    <w:rsid w:val="00C537EE"/>
    <w:rsid w:val="00C545CA"/>
    <w:rsid w:val="00C561C5"/>
    <w:rsid w:val="00C56906"/>
    <w:rsid w:val="00C607CD"/>
    <w:rsid w:val="00C641E9"/>
    <w:rsid w:val="00C64268"/>
    <w:rsid w:val="00C65954"/>
    <w:rsid w:val="00C65EDB"/>
    <w:rsid w:val="00C66CAF"/>
    <w:rsid w:val="00C67A89"/>
    <w:rsid w:val="00C709F0"/>
    <w:rsid w:val="00C72236"/>
    <w:rsid w:val="00C76715"/>
    <w:rsid w:val="00C76789"/>
    <w:rsid w:val="00C768FE"/>
    <w:rsid w:val="00C80FF0"/>
    <w:rsid w:val="00C813DD"/>
    <w:rsid w:val="00C816AE"/>
    <w:rsid w:val="00C823E2"/>
    <w:rsid w:val="00C84298"/>
    <w:rsid w:val="00C86289"/>
    <w:rsid w:val="00C86D33"/>
    <w:rsid w:val="00C879B5"/>
    <w:rsid w:val="00C94707"/>
    <w:rsid w:val="00C97D06"/>
    <w:rsid w:val="00CA0D76"/>
    <w:rsid w:val="00CA13A2"/>
    <w:rsid w:val="00CA1B86"/>
    <w:rsid w:val="00CA2160"/>
    <w:rsid w:val="00CA57A5"/>
    <w:rsid w:val="00CB2AB8"/>
    <w:rsid w:val="00CB495B"/>
    <w:rsid w:val="00CB5B96"/>
    <w:rsid w:val="00CC5243"/>
    <w:rsid w:val="00CC5CAF"/>
    <w:rsid w:val="00CC7F1D"/>
    <w:rsid w:val="00CD0704"/>
    <w:rsid w:val="00CD4F8C"/>
    <w:rsid w:val="00CD51B0"/>
    <w:rsid w:val="00CD6E46"/>
    <w:rsid w:val="00CE0852"/>
    <w:rsid w:val="00CE25BD"/>
    <w:rsid w:val="00CE2B39"/>
    <w:rsid w:val="00CE7AFD"/>
    <w:rsid w:val="00CF00A6"/>
    <w:rsid w:val="00CF199F"/>
    <w:rsid w:val="00CF41F6"/>
    <w:rsid w:val="00CF6B92"/>
    <w:rsid w:val="00D02393"/>
    <w:rsid w:val="00D0462C"/>
    <w:rsid w:val="00D06913"/>
    <w:rsid w:val="00D069C8"/>
    <w:rsid w:val="00D07E04"/>
    <w:rsid w:val="00D138B4"/>
    <w:rsid w:val="00D13DD2"/>
    <w:rsid w:val="00D16DE3"/>
    <w:rsid w:val="00D16EE8"/>
    <w:rsid w:val="00D228B3"/>
    <w:rsid w:val="00D231F2"/>
    <w:rsid w:val="00D242D6"/>
    <w:rsid w:val="00D25DB3"/>
    <w:rsid w:val="00D35383"/>
    <w:rsid w:val="00D36178"/>
    <w:rsid w:val="00D37FBC"/>
    <w:rsid w:val="00D442F0"/>
    <w:rsid w:val="00D449D1"/>
    <w:rsid w:val="00D45D34"/>
    <w:rsid w:val="00D46FC3"/>
    <w:rsid w:val="00D5092D"/>
    <w:rsid w:val="00D52BC1"/>
    <w:rsid w:val="00D602C3"/>
    <w:rsid w:val="00D61C25"/>
    <w:rsid w:val="00D62884"/>
    <w:rsid w:val="00D65925"/>
    <w:rsid w:val="00D671A9"/>
    <w:rsid w:val="00D67892"/>
    <w:rsid w:val="00D67896"/>
    <w:rsid w:val="00D71B1E"/>
    <w:rsid w:val="00D71B63"/>
    <w:rsid w:val="00D72673"/>
    <w:rsid w:val="00D72C42"/>
    <w:rsid w:val="00D7330A"/>
    <w:rsid w:val="00D74BAB"/>
    <w:rsid w:val="00D76674"/>
    <w:rsid w:val="00D77E08"/>
    <w:rsid w:val="00D8756B"/>
    <w:rsid w:val="00D907C7"/>
    <w:rsid w:val="00D92655"/>
    <w:rsid w:val="00D93281"/>
    <w:rsid w:val="00D94CEE"/>
    <w:rsid w:val="00D96413"/>
    <w:rsid w:val="00DA0619"/>
    <w:rsid w:val="00DA0B6A"/>
    <w:rsid w:val="00DA33ED"/>
    <w:rsid w:val="00DA5367"/>
    <w:rsid w:val="00DA6ACA"/>
    <w:rsid w:val="00DA7D7A"/>
    <w:rsid w:val="00DB13C3"/>
    <w:rsid w:val="00DB180C"/>
    <w:rsid w:val="00DB7AF6"/>
    <w:rsid w:val="00DC1223"/>
    <w:rsid w:val="00DC2FAD"/>
    <w:rsid w:val="00DC41F9"/>
    <w:rsid w:val="00DD0A7E"/>
    <w:rsid w:val="00DD23B2"/>
    <w:rsid w:val="00DD28C8"/>
    <w:rsid w:val="00DD4B33"/>
    <w:rsid w:val="00DD52C1"/>
    <w:rsid w:val="00DD55FD"/>
    <w:rsid w:val="00DD6B8C"/>
    <w:rsid w:val="00DE0457"/>
    <w:rsid w:val="00DE0A50"/>
    <w:rsid w:val="00DE2B36"/>
    <w:rsid w:val="00DE3284"/>
    <w:rsid w:val="00DE48F9"/>
    <w:rsid w:val="00DF127E"/>
    <w:rsid w:val="00DF2B1E"/>
    <w:rsid w:val="00DF4A40"/>
    <w:rsid w:val="00E01901"/>
    <w:rsid w:val="00E028D6"/>
    <w:rsid w:val="00E03B56"/>
    <w:rsid w:val="00E041D0"/>
    <w:rsid w:val="00E04B62"/>
    <w:rsid w:val="00E055DE"/>
    <w:rsid w:val="00E06CB4"/>
    <w:rsid w:val="00E10021"/>
    <w:rsid w:val="00E103A4"/>
    <w:rsid w:val="00E11C5C"/>
    <w:rsid w:val="00E1487D"/>
    <w:rsid w:val="00E16E9E"/>
    <w:rsid w:val="00E16F05"/>
    <w:rsid w:val="00E17761"/>
    <w:rsid w:val="00E2099C"/>
    <w:rsid w:val="00E228FD"/>
    <w:rsid w:val="00E238B4"/>
    <w:rsid w:val="00E24BDF"/>
    <w:rsid w:val="00E255AA"/>
    <w:rsid w:val="00E25837"/>
    <w:rsid w:val="00E26EC6"/>
    <w:rsid w:val="00E31329"/>
    <w:rsid w:val="00E345BA"/>
    <w:rsid w:val="00E347D8"/>
    <w:rsid w:val="00E377F1"/>
    <w:rsid w:val="00E41292"/>
    <w:rsid w:val="00E45888"/>
    <w:rsid w:val="00E4628D"/>
    <w:rsid w:val="00E4696B"/>
    <w:rsid w:val="00E47C20"/>
    <w:rsid w:val="00E51ED4"/>
    <w:rsid w:val="00E5221E"/>
    <w:rsid w:val="00E541B9"/>
    <w:rsid w:val="00E579F4"/>
    <w:rsid w:val="00E57D12"/>
    <w:rsid w:val="00E61185"/>
    <w:rsid w:val="00E70076"/>
    <w:rsid w:val="00E70546"/>
    <w:rsid w:val="00E71754"/>
    <w:rsid w:val="00E72E6F"/>
    <w:rsid w:val="00E72EE3"/>
    <w:rsid w:val="00E774A4"/>
    <w:rsid w:val="00E77E34"/>
    <w:rsid w:val="00E80CBC"/>
    <w:rsid w:val="00E81F0B"/>
    <w:rsid w:val="00E82D51"/>
    <w:rsid w:val="00E8376A"/>
    <w:rsid w:val="00E83DE7"/>
    <w:rsid w:val="00E8715D"/>
    <w:rsid w:val="00E87A1B"/>
    <w:rsid w:val="00E90097"/>
    <w:rsid w:val="00E91A6D"/>
    <w:rsid w:val="00E92850"/>
    <w:rsid w:val="00E9417A"/>
    <w:rsid w:val="00E94C03"/>
    <w:rsid w:val="00E95449"/>
    <w:rsid w:val="00E95D85"/>
    <w:rsid w:val="00E95DBA"/>
    <w:rsid w:val="00EA00E6"/>
    <w:rsid w:val="00EA0658"/>
    <w:rsid w:val="00EA15E9"/>
    <w:rsid w:val="00EA2775"/>
    <w:rsid w:val="00EA498D"/>
    <w:rsid w:val="00EB09FE"/>
    <w:rsid w:val="00EB4909"/>
    <w:rsid w:val="00EB6324"/>
    <w:rsid w:val="00EB6611"/>
    <w:rsid w:val="00EB664B"/>
    <w:rsid w:val="00EC13B2"/>
    <w:rsid w:val="00EC2592"/>
    <w:rsid w:val="00EC32AC"/>
    <w:rsid w:val="00EC32C1"/>
    <w:rsid w:val="00EC4EAA"/>
    <w:rsid w:val="00ED2AA8"/>
    <w:rsid w:val="00ED3969"/>
    <w:rsid w:val="00ED6F3C"/>
    <w:rsid w:val="00ED73F7"/>
    <w:rsid w:val="00ED7765"/>
    <w:rsid w:val="00ED7BD4"/>
    <w:rsid w:val="00EE2222"/>
    <w:rsid w:val="00EE2858"/>
    <w:rsid w:val="00EE3DFF"/>
    <w:rsid w:val="00EE42C9"/>
    <w:rsid w:val="00EE48D2"/>
    <w:rsid w:val="00EE564A"/>
    <w:rsid w:val="00EE6355"/>
    <w:rsid w:val="00EE6607"/>
    <w:rsid w:val="00EE69E1"/>
    <w:rsid w:val="00EF2FD8"/>
    <w:rsid w:val="00EF3B48"/>
    <w:rsid w:val="00EF52B6"/>
    <w:rsid w:val="00EF58EE"/>
    <w:rsid w:val="00EF63FA"/>
    <w:rsid w:val="00F009A9"/>
    <w:rsid w:val="00F009D3"/>
    <w:rsid w:val="00F02BB0"/>
    <w:rsid w:val="00F04E19"/>
    <w:rsid w:val="00F102A8"/>
    <w:rsid w:val="00F110B4"/>
    <w:rsid w:val="00F1129A"/>
    <w:rsid w:val="00F14984"/>
    <w:rsid w:val="00F14FFA"/>
    <w:rsid w:val="00F22395"/>
    <w:rsid w:val="00F25115"/>
    <w:rsid w:val="00F3035C"/>
    <w:rsid w:val="00F32640"/>
    <w:rsid w:val="00F34BFA"/>
    <w:rsid w:val="00F35315"/>
    <w:rsid w:val="00F36400"/>
    <w:rsid w:val="00F428D7"/>
    <w:rsid w:val="00F436AD"/>
    <w:rsid w:val="00F45C22"/>
    <w:rsid w:val="00F47B6B"/>
    <w:rsid w:val="00F50528"/>
    <w:rsid w:val="00F50FCE"/>
    <w:rsid w:val="00F53889"/>
    <w:rsid w:val="00F54107"/>
    <w:rsid w:val="00F55705"/>
    <w:rsid w:val="00F5607D"/>
    <w:rsid w:val="00F625BB"/>
    <w:rsid w:val="00F62613"/>
    <w:rsid w:val="00F64AF8"/>
    <w:rsid w:val="00F714E6"/>
    <w:rsid w:val="00F726EF"/>
    <w:rsid w:val="00F72F72"/>
    <w:rsid w:val="00F73A80"/>
    <w:rsid w:val="00F80EE5"/>
    <w:rsid w:val="00F81503"/>
    <w:rsid w:val="00F82727"/>
    <w:rsid w:val="00F82FAE"/>
    <w:rsid w:val="00F83C3E"/>
    <w:rsid w:val="00F85564"/>
    <w:rsid w:val="00F856C4"/>
    <w:rsid w:val="00F90B30"/>
    <w:rsid w:val="00F9231F"/>
    <w:rsid w:val="00F924F0"/>
    <w:rsid w:val="00F94C75"/>
    <w:rsid w:val="00FA2933"/>
    <w:rsid w:val="00FA3D6A"/>
    <w:rsid w:val="00FA3F2F"/>
    <w:rsid w:val="00FA5576"/>
    <w:rsid w:val="00FA6E49"/>
    <w:rsid w:val="00FA7A44"/>
    <w:rsid w:val="00FB0E01"/>
    <w:rsid w:val="00FC2E52"/>
    <w:rsid w:val="00FC51C8"/>
    <w:rsid w:val="00FC7C12"/>
    <w:rsid w:val="00FD1654"/>
    <w:rsid w:val="00FD1C10"/>
    <w:rsid w:val="00FD2CAC"/>
    <w:rsid w:val="00FD3D45"/>
    <w:rsid w:val="00FD7259"/>
    <w:rsid w:val="00FD78AA"/>
    <w:rsid w:val="00FD7B06"/>
    <w:rsid w:val="00FE23BB"/>
    <w:rsid w:val="00FE2D30"/>
    <w:rsid w:val="00FE4287"/>
    <w:rsid w:val="00FE42BC"/>
    <w:rsid w:val="00FE494D"/>
    <w:rsid w:val="00FE5225"/>
    <w:rsid w:val="00FE6A6A"/>
    <w:rsid w:val="00FE79B4"/>
    <w:rsid w:val="00FF046A"/>
    <w:rsid w:val="00FF7615"/>
    <w:rsid w:val="02441F1E"/>
    <w:rsid w:val="03057F54"/>
    <w:rsid w:val="03A74FFA"/>
    <w:rsid w:val="041A2F36"/>
    <w:rsid w:val="04705CE0"/>
    <w:rsid w:val="068047AD"/>
    <w:rsid w:val="071008DB"/>
    <w:rsid w:val="0803294A"/>
    <w:rsid w:val="08250E6E"/>
    <w:rsid w:val="086363C5"/>
    <w:rsid w:val="08EB1574"/>
    <w:rsid w:val="099717DA"/>
    <w:rsid w:val="0A88043F"/>
    <w:rsid w:val="0C0F5AE3"/>
    <w:rsid w:val="0C3D61E8"/>
    <w:rsid w:val="104E1EF2"/>
    <w:rsid w:val="1089067B"/>
    <w:rsid w:val="12CC240F"/>
    <w:rsid w:val="139E39AE"/>
    <w:rsid w:val="144F24E0"/>
    <w:rsid w:val="15916DD0"/>
    <w:rsid w:val="16071533"/>
    <w:rsid w:val="161D0664"/>
    <w:rsid w:val="170A6E3A"/>
    <w:rsid w:val="1717558F"/>
    <w:rsid w:val="17B44B03"/>
    <w:rsid w:val="19036E10"/>
    <w:rsid w:val="1BDE47F5"/>
    <w:rsid w:val="1CE526D8"/>
    <w:rsid w:val="1D580CCE"/>
    <w:rsid w:val="1F487860"/>
    <w:rsid w:val="1FEB315F"/>
    <w:rsid w:val="201E1D32"/>
    <w:rsid w:val="20540549"/>
    <w:rsid w:val="22674A02"/>
    <w:rsid w:val="23310033"/>
    <w:rsid w:val="250D286A"/>
    <w:rsid w:val="26263565"/>
    <w:rsid w:val="26456683"/>
    <w:rsid w:val="26DF56F5"/>
    <w:rsid w:val="279544FE"/>
    <w:rsid w:val="27F07987"/>
    <w:rsid w:val="2D487FAB"/>
    <w:rsid w:val="2D837C8F"/>
    <w:rsid w:val="2EAA7BD4"/>
    <w:rsid w:val="30324AE3"/>
    <w:rsid w:val="30D43837"/>
    <w:rsid w:val="316E5F97"/>
    <w:rsid w:val="31947336"/>
    <w:rsid w:val="326A190D"/>
    <w:rsid w:val="339E0A9E"/>
    <w:rsid w:val="379A154A"/>
    <w:rsid w:val="37E63EE3"/>
    <w:rsid w:val="38407197"/>
    <w:rsid w:val="3A2512D5"/>
    <w:rsid w:val="3A3E6C77"/>
    <w:rsid w:val="3B8259BC"/>
    <w:rsid w:val="3BCA1D2E"/>
    <w:rsid w:val="3C737B2D"/>
    <w:rsid w:val="3EFE69D5"/>
    <w:rsid w:val="40EB683C"/>
    <w:rsid w:val="41782A6F"/>
    <w:rsid w:val="41F331B5"/>
    <w:rsid w:val="433B361B"/>
    <w:rsid w:val="44241339"/>
    <w:rsid w:val="44874CDA"/>
    <w:rsid w:val="45C269AF"/>
    <w:rsid w:val="49117217"/>
    <w:rsid w:val="4D216AEF"/>
    <w:rsid w:val="4E2D426C"/>
    <w:rsid w:val="4E8B1908"/>
    <w:rsid w:val="4EFA6DA1"/>
    <w:rsid w:val="4F811B94"/>
    <w:rsid w:val="4FDA79D9"/>
    <w:rsid w:val="50871877"/>
    <w:rsid w:val="51DC324B"/>
    <w:rsid w:val="53F21F6F"/>
    <w:rsid w:val="541869C4"/>
    <w:rsid w:val="54F2345A"/>
    <w:rsid w:val="55582905"/>
    <w:rsid w:val="57392849"/>
    <w:rsid w:val="57F66D37"/>
    <w:rsid w:val="5A040EEC"/>
    <w:rsid w:val="5A552697"/>
    <w:rsid w:val="5A884BE1"/>
    <w:rsid w:val="5B775D80"/>
    <w:rsid w:val="5D1E7F55"/>
    <w:rsid w:val="5D432BDE"/>
    <w:rsid w:val="5DE401A7"/>
    <w:rsid w:val="5E381C81"/>
    <w:rsid w:val="5E856373"/>
    <w:rsid w:val="5F66197E"/>
    <w:rsid w:val="61112140"/>
    <w:rsid w:val="64151F48"/>
    <w:rsid w:val="652544EA"/>
    <w:rsid w:val="65802894"/>
    <w:rsid w:val="65E76C81"/>
    <w:rsid w:val="663D76EA"/>
    <w:rsid w:val="669D522D"/>
    <w:rsid w:val="66D73E74"/>
    <w:rsid w:val="69075D43"/>
    <w:rsid w:val="6A3C1FBD"/>
    <w:rsid w:val="6C4B3A8D"/>
    <w:rsid w:val="6C9624FF"/>
    <w:rsid w:val="6D2047B6"/>
    <w:rsid w:val="6D8A7502"/>
    <w:rsid w:val="6DFE48E6"/>
    <w:rsid w:val="6ED8637D"/>
    <w:rsid w:val="70853A82"/>
    <w:rsid w:val="71834A68"/>
    <w:rsid w:val="71B46E29"/>
    <w:rsid w:val="72316EA4"/>
    <w:rsid w:val="726E4F29"/>
    <w:rsid w:val="72EA0FF8"/>
    <w:rsid w:val="74850A24"/>
    <w:rsid w:val="763515C6"/>
    <w:rsid w:val="782A580B"/>
    <w:rsid w:val="78307C29"/>
    <w:rsid w:val="78E90A64"/>
    <w:rsid w:val="794968B3"/>
    <w:rsid w:val="7989331D"/>
    <w:rsid w:val="79FD75E1"/>
    <w:rsid w:val="7E9427BE"/>
    <w:rsid w:val="7EAA6854"/>
    <w:rsid w:val="7F634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tLeast"/>
      <w:jc w:val="lef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annotation text"/>
    <w:basedOn w:val="1"/>
    <w:link w:val="26"/>
    <w:semiHidden/>
    <w:qFormat/>
    <w:uiPriority w:val="0"/>
    <w:pPr>
      <w:jc w:val="left"/>
    </w:pPr>
  </w:style>
  <w:style w:type="paragraph" w:styleId="5">
    <w:name w:val="Body Text Indent"/>
    <w:basedOn w:val="1"/>
    <w:next w:val="6"/>
    <w:qFormat/>
    <w:uiPriority w:val="0"/>
    <w:pPr>
      <w:widowControl/>
      <w:tabs>
        <w:tab w:val="left" w:pos="0"/>
        <w:tab w:val="left" w:pos="993"/>
        <w:tab w:val="left" w:pos="1134"/>
      </w:tabs>
      <w:spacing w:line="500" w:lineRule="exact"/>
      <w:ind w:firstLine="567"/>
    </w:pPr>
    <w:rPr>
      <w:rFonts w:ascii="宋体"/>
      <w:sz w:val="28"/>
    </w:rPr>
  </w:style>
  <w:style w:type="paragraph" w:customStyle="1" w:styleId="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7">
    <w:name w:val="Plain Text"/>
    <w:basedOn w:val="1"/>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68"/>
    <w:qFormat/>
    <w:uiPriority w:val="0"/>
    <w:pPr>
      <w:tabs>
        <w:tab w:val="center" w:pos="4153"/>
        <w:tab w:val="right" w:pos="8306"/>
      </w:tabs>
      <w:snapToGrid w:val="0"/>
      <w:jc w:val="left"/>
    </w:pPr>
    <w:rPr>
      <w:sz w:val="18"/>
      <w:szCs w:val="18"/>
    </w:rPr>
  </w:style>
  <w:style w:type="paragraph" w:styleId="10">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12">
    <w:name w:val="Normal (Web)"/>
    <w:basedOn w:val="1"/>
    <w:qFormat/>
    <w:uiPriority w:val="0"/>
    <w:pPr>
      <w:jc w:val="left"/>
    </w:pPr>
    <w:rPr>
      <w:rFonts w:asciiTheme="minorHAnsi" w:hAnsiTheme="minorHAnsi" w:eastAsiaTheme="minorEastAsia"/>
      <w:kern w:val="0"/>
      <w:sz w:val="24"/>
    </w:rPr>
  </w:style>
  <w:style w:type="paragraph" w:styleId="13">
    <w:name w:val="annotation subject"/>
    <w:basedOn w:val="4"/>
    <w:next w:val="4"/>
    <w:link w:val="29"/>
    <w:qFormat/>
    <w:uiPriority w:val="0"/>
    <w:rPr>
      <w:b/>
      <w:bCs/>
    </w:rPr>
  </w:style>
  <w:style w:type="paragraph" w:styleId="14">
    <w:name w:val="Body Text First Indent 2"/>
    <w:basedOn w:val="5"/>
    <w:qFormat/>
    <w:uiPriority w:val="0"/>
    <w:pPr>
      <w:ind w:firstLine="420" w:firstLineChars="200"/>
    </w:pPr>
  </w:style>
  <w:style w:type="character" w:styleId="17">
    <w:name w:val="page number"/>
    <w:basedOn w:val="16"/>
    <w:qFormat/>
    <w:uiPriority w:val="0"/>
  </w:style>
  <w:style w:type="character" w:styleId="18">
    <w:name w:val="FollowedHyperlink"/>
    <w:basedOn w:val="16"/>
    <w:semiHidden/>
    <w:unhideWhenUsed/>
    <w:qFormat/>
    <w:uiPriority w:val="0"/>
    <w:rPr>
      <w:color w:val="2490F8"/>
      <w:u w:val="none"/>
    </w:rPr>
  </w:style>
  <w:style w:type="character" w:styleId="19">
    <w:name w:val="HTML Definition"/>
    <w:basedOn w:val="16"/>
    <w:semiHidden/>
    <w:unhideWhenUsed/>
    <w:qFormat/>
    <w:uiPriority w:val="0"/>
  </w:style>
  <w:style w:type="character" w:styleId="20">
    <w:name w:val="HTML Variable"/>
    <w:basedOn w:val="16"/>
    <w:semiHidden/>
    <w:unhideWhenUsed/>
    <w:qFormat/>
    <w:uiPriority w:val="0"/>
  </w:style>
  <w:style w:type="character" w:styleId="21">
    <w:name w:val="Hyperlink"/>
    <w:basedOn w:val="16"/>
    <w:semiHidden/>
    <w:unhideWhenUsed/>
    <w:qFormat/>
    <w:uiPriority w:val="0"/>
    <w:rPr>
      <w:color w:val="2490F8"/>
      <w:u w:val="none"/>
    </w:rPr>
  </w:style>
  <w:style w:type="character" w:styleId="22">
    <w:name w:val="HTML Code"/>
    <w:basedOn w:val="16"/>
    <w:semiHidden/>
    <w:unhideWhenUsed/>
    <w:qFormat/>
    <w:uiPriority w:val="0"/>
    <w:rPr>
      <w:rFonts w:ascii="Courier New" w:hAnsi="Courier New"/>
      <w:sz w:val="20"/>
    </w:rPr>
  </w:style>
  <w:style w:type="character" w:styleId="23">
    <w:name w:val="annotation reference"/>
    <w:basedOn w:val="16"/>
    <w:qFormat/>
    <w:uiPriority w:val="0"/>
    <w:rPr>
      <w:sz w:val="21"/>
      <w:szCs w:val="21"/>
    </w:rPr>
  </w:style>
  <w:style w:type="character" w:styleId="24">
    <w:name w:val="HTML Cite"/>
    <w:basedOn w:val="16"/>
    <w:semiHidden/>
    <w:unhideWhenUsed/>
    <w:qFormat/>
    <w:uiPriority w:val="0"/>
  </w:style>
  <w:style w:type="paragraph" w:customStyle="1" w:styleId="25">
    <w:name w:val="Char1 Char Char"/>
    <w:basedOn w:val="1"/>
    <w:qFormat/>
    <w:uiPriority w:val="0"/>
    <w:pPr>
      <w:widowControl/>
      <w:spacing w:after="160" w:line="240" w:lineRule="exact"/>
      <w:jc w:val="left"/>
    </w:pPr>
    <w:rPr>
      <w:szCs w:val="20"/>
    </w:rPr>
  </w:style>
  <w:style w:type="character" w:customStyle="1" w:styleId="26">
    <w:name w:val="批注文字 Char"/>
    <w:basedOn w:val="16"/>
    <w:link w:val="4"/>
    <w:semiHidden/>
    <w:qFormat/>
    <w:uiPriority w:val="0"/>
    <w:rPr>
      <w:rFonts w:eastAsia="宋体"/>
      <w:kern w:val="2"/>
      <w:sz w:val="21"/>
      <w:szCs w:val="24"/>
      <w:lang w:val="en-US" w:eastAsia="zh-CN" w:bidi="ar-SA"/>
    </w:rPr>
  </w:style>
  <w:style w:type="paragraph" w:customStyle="1" w:styleId="27">
    <w:name w:val="item"/>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8">
    <w:name w:val="HTML 预设格式 Char"/>
    <w:basedOn w:val="16"/>
    <w:link w:val="11"/>
    <w:qFormat/>
    <w:uiPriority w:val="0"/>
    <w:rPr>
      <w:rFonts w:ascii="宋体" w:hAnsi="宋体" w:cs="宋体"/>
      <w:color w:val="000000"/>
      <w:sz w:val="24"/>
      <w:szCs w:val="24"/>
    </w:rPr>
  </w:style>
  <w:style w:type="character" w:customStyle="1" w:styleId="29">
    <w:name w:val="批注主题 Char"/>
    <w:basedOn w:val="26"/>
    <w:link w:val="13"/>
    <w:qFormat/>
    <w:uiPriority w:val="0"/>
    <w:rPr>
      <w:rFonts w:eastAsia="宋体"/>
      <w:b/>
      <w:bCs/>
      <w:kern w:val="2"/>
      <w:sz w:val="21"/>
      <w:szCs w:val="24"/>
      <w:lang w:val="en-US" w:eastAsia="zh-CN" w:bidi="ar-SA"/>
    </w:rPr>
  </w:style>
  <w:style w:type="paragraph" w:customStyle="1" w:styleId="30">
    <w:name w:val="列表段落1"/>
    <w:basedOn w:val="1"/>
    <w:qFormat/>
    <w:uiPriority w:val="34"/>
    <w:pPr>
      <w:ind w:firstLine="420" w:firstLineChars="200"/>
    </w:pPr>
  </w:style>
  <w:style w:type="paragraph" w:customStyle="1" w:styleId="31">
    <w:name w:val="列出段落2"/>
    <w:basedOn w:val="1"/>
    <w:qFormat/>
    <w:uiPriority w:val="34"/>
    <w:pPr>
      <w:ind w:firstLine="420" w:firstLineChars="200"/>
    </w:pPr>
  </w:style>
  <w:style w:type="paragraph" w:customStyle="1" w:styleId="32">
    <w:name w:val="列表段落2"/>
    <w:basedOn w:val="1"/>
    <w:qFormat/>
    <w:uiPriority w:val="99"/>
    <w:pPr>
      <w:ind w:firstLine="420" w:firstLineChars="200"/>
    </w:pPr>
  </w:style>
  <w:style w:type="character" w:customStyle="1" w:styleId="33">
    <w:name w:val="xdrichtextbox2"/>
    <w:basedOn w:val="16"/>
    <w:qFormat/>
    <w:uiPriority w:val="0"/>
    <w:rPr>
      <w:color w:val="0000FF"/>
      <w:sz w:val="18"/>
      <w:szCs w:val="18"/>
      <w:u w:val="none"/>
      <w:bdr w:val="single" w:color="DCDCDC" w:sz="8" w:space="0"/>
      <w:shd w:val="clear" w:color="auto" w:fill="FFFFFF"/>
    </w:rPr>
  </w:style>
  <w:style w:type="paragraph" w:styleId="34">
    <w:name w:val="List Paragraph"/>
    <w:basedOn w:val="1"/>
    <w:qFormat/>
    <w:uiPriority w:val="99"/>
    <w:pPr>
      <w:ind w:firstLine="420" w:firstLineChars="200"/>
    </w:pPr>
  </w:style>
  <w:style w:type="paragraph" w:customStyle="1" w:styleId="35">
    <w:name w:val="标题1"/>
    <w:basedOn w:val="1"/>
    <w:link w:val="36"/>
    <w:qFormat/>
    <w:uiPriority w:val="0"/>
    <w:pPr>
      <w:shd w:val="clear" w:color="auto" w:fill="FFFFFF"/>
      <w:snapToGrid w:val="0"/>
      <w:spacing w:line="400" w:lineRule="exact"/>
    </w:pPr>
    <w:rPr>
      <w:rFonts w:ascii="宋体" w:hAnsi="宋体"/>
      <w:b/>
      <w:bCs/>
      <w:kern w:val="0"/>
      <w:szCs w:val="21"/>
      <w:lang w:val="zh-CN"/>
    </w:rPr>
  </w:style>
  <w:style w:type="character" w:customStyle="1" w:styleId="36">
    <w:name w:val="标题1 Char"/>
    <w:link w:val="35"/>
    <w:qFormat/>
    <w:uiPriority w:val="0"/>
    <w:rPr>
      <w:rFonts w:ascii="宋体" w:hAnsi="宋体"/>
      <w:b/>
      <w:bCs/>
      <w:sz w:val="21"/>
      <w:szCs w:val="21"/>
      <w:shd w:val="clear" w:color="auto" w:fill="FFFFFF"/>
      <w:lang w:val="zh-CN" w:eastAsia="zh-CN"/>
    </w:rPr>
  </w:style>
  <w:style w:type="character" w:customStyle="1" w:styleId="37">
    <w:name w:val="iconline2"/>
    <w:basedOn w:val="16"/>
    <w:qFormat/>
    <w:uiPriority w:val="0"/>
  </w:style>
  <w:style w:type="character" w:customStyle="1" w:styleId="38">
    <w:name w:val="iconline21"/>
    <w:basedOn w:val="16"/>
    <w:qFormat/>
    <w:uiPriority w:val="0"/>
  </w:style>
  <w:style w:type="character" w:customStyle="1" w:styleId="39">
    <w:name w:val="associateddata"/>
    <w:basedOn w:val="16"/>
    <w:qFormat/>
    <w:uiPriority w:val="0"/>
    <w:rPr>
      <w:shd w:val="clear" w:color="auto" w:fill="50A6F9"/>
    </w:rPr>
  </w:style>
  <w:style w:type="character" w:customStyle="1" w:styleId="40">
    <w:name w:val="button"/>
    <w:basedOn w:val="16"/>
    <w:qFormat/>
    <w:uiPriority w:val="0"/>
  </w:style>
  <w:style w:type="character" w:customStyle="1" w:styleId="41">
    <w:name w:val="ico1654"/>
    <w:basedOn w:val="16"/>
    <w:qFormat/>
    <w:uiPriority w:val="0"/>
  </w:style>
  <w:style w:type="character" w:customStyle="1" w:styleId="42">
    <w:name w:val="hilite6"/>
    <w:basedOn w:val="16"/>
    <w:qFormat/>
    <w:uiPriority w:val="0"/>
    <w:rPr>
      <w:color w:val="FFFFFF"/>
      <w:shd w:val="clear" w:color="auto" w:fill="666666"/>
    </w:rPr>
  </w:style>
  <w:style w:type="character" w:customStyle="1" w:styleId="43">
    <w:name w:val="active2"/>
    <w:basedOn w:val="16"/>
    <w:qFormat/>
    <w:uiPriority w:val="0"/>
    <w:rPr>
      <w:color w:val="00FF00"/>
      <w:shd w:val="clear" w:color="auto" w:fill="111111"/>
    </w:rPr>
  </w:style>
  <w:style w:type="character" w:customStyle="1" w:styleId="44">
    <w:name w:val="active3"/>
    <w:basedOn w:val="16"/>
    <w:qFormat/>
    <w:uiPriority w:val="0"/>
    <w:rPr>
      <w:shd w:val="clear" w:color="auto" w:fill="EC3535"/>
    </w:rPr>
  </w:style>
  <w:style w:type="character" w:customStyle="1" w:styleId="45">
    <w:name w:val="drapbtn"/>
    <w:basedOn w:val="16"/>
    <w:qFormat/>
    <w:uiPriority w:val="0"/>
  </w:style>
  <w:style w:type="character" w:customStyle="1" w:styleId="46">
    <w:name w:val="icontext2"/>
    <w:basedOn w:val="16"/>
    <w:qFormat/>
    <w:uiPriority w:val="0"/>
  </w:style>
  <w:style w:type="character" w:customStyle="1" w:styleId="47">
    <w:name w:val="biggerthanmax"/>
    <w:basedOn w:val="16"/>
    <w:qFormat/>
    <w:uiPriority w:val="0"/>
    <w:rPr>
      <w:shd w:val="clear" w:color="auto" w:fill="FFFF00"/>
    </w:rPr>
  </w:style>
  <w:style w:type="character" w:customStyle="1" w:styleId="48">
    <w:name w:val="cy"/>
    <w:basedOn w:val="16"/>
    <w:qFormat/>
    <w:uiPriority w:val="0"/>
  </w:style>
  <w:style w:type="character" w:customStyle="1" w:styleId="49">
    <w:name w:val="hover41"/>
    <w:basedOn w:val="16"/>
    <w:qFormat/>
    <w:uiPriority w:val="0"/>
    <w:rPr>
      <w:color w:val="FFFFFF"/>
    </w:rPr>
  </w:style>
  <w:style w:type="character" w:customStyle="1" w:styleId="50">
    <w:name w:val="cdropright"/>
    <w:basedOn w:val="16"/>
    <w:qFormat/>
    <w:uiPriority w:val="0"/>
  </w:style>
  <w:style w:type="character" w:customStyle="1" w:styleId="51">
    <w:name w:val="tmpztreemove_arrow"/>
    <w:basedOn w:val="16"/>
    <w:qFormat/>
    <w:uiPriority w:val="0"/>
  </w:style>
  <w:style w:type="character" w:customStyle="1" w:styleId="52">
    <w:name w:val="cdropleft"/>
    <w:basedOn w:val="16"/>
    <w:qFormat/>
    <w:uiPriority w:val="0"/>
  </w:style>
  <w:style w:type="character" w:customStyle="1" w:styleId="53">
    <w:name w:val="xdrichtextbox4"/>
    <w:basedOn w:val="16"/>
    <w:qFormat/>
    <w:uiPriority w:val="0"/>
  </w:style>
  <w:style w:type="character" w:customStyle="1" w:styleId="54">
    <w:name w:val="layui-layer-tabnow"/>
    <w:basedOn w:val="16"/>
    <w:qFormat/>
    <w:uiPriority w:val="0"/>
    <w:rPr>
      <w:bdr w:val="single" w:color="CCCCCC" w:sz="6" w:space="0"/>
      <w:shd w:val="clear" w:color="auto" w:fill="FFFFFF"/>
    </w:rPr>
  </w:style>
  <w:style w:type="character" w:customStyle="1" w:styleId="55">
    <w:name w:val="choosename"/>
    <w:basedOn w:val="16"/>
    <w:qFormat/>
    <w:uiPriority w:val="0"/>
  </w:style>
  <w:style w:type="character" w:customStyle="1" w:styleId="56">
    <w:name w:val="edit_class"/>
    <w:basedOn w:val="16"/>
    <w:qFormat/>
    <w:uiPriority w:val="0"/>
  </w:style>
  <w:style w:type="character" w:customStyle="1" w:styleId="57">
    <w:name w:val="icontext3"/>
    <w:basedOn w:val="16"/>
    <w:qFormat/>
    <w:uiPriority w:val="0"/>
  </w:style>
  <w:style w:type="character" w:customStyle="1" w:styleId="58">
    <w:name w:val="after"/>
    <w:basedOn w:val="16"/>
    <w:qFormat/>
    <w:uiPriority w:val="0"/>
    <w:rPr>
      <w:sz w:val="0"/>
      <w:szCs w:val="0"/>
    </w:rPr>
  </w:style>
  <w:style w:type="character" w:customStyle="1" w:styleId="59">
    <w:name w:val="pagechatarealistclose_box"/>
    <w:basedOn w:val="16"/>
    <w:qFormat/>
    <w:uiPriority w:val="0"/>
  </w:style>
  <w:style w:type="character" w:customStyle="1" w:styleId="60">
    <w:name w:val="pagechatarealistclose_box1"/>
    <w:basedOn w:val="16"/>
    <w:qFormat/>
    <w:uiPriority w:val="0"/>
  </w:style>
  <w:style w:type="character" w:customStyle="1" w:styleId="61">
    <w:name w:val="design_class"/>
    <w:basedOn w:val="16"/>
    <w:qFormat/>
    <w:uiPriority w:val="0"/>
  </w:style>
  <w:style w:type="character" w:customStyle="1" w:styleId="62">
    <w:name w:val="icontext1"/>
    <w:basedOn w:val="16"/>
    <w:qFormat/>
    <w:uiPriority w:val="0"/>
  </w:style>
  <w:style w:type="character" w:customStyle="1" w:styleId="63">
    <w:name w:val="icontext11"/>
    <w:basedOn w:val="16"/>
    <w:qFormat/>
    <w:uiPriority w:val="0"/>
  </w:style>
  <w:style w:type="character" w:customStyle="1" w:styleId="64">
    <w:name w:val="icontext12"/>
    <w:basedOn w:val="16"/>
    <w:qFormat/>
    <w:uiPriority w:val="0"/>
  </w:style>
  <w:style w:type="character" w:customStyle="1" w:styleId="65">
    <w:name w:val="w32"/>
    <w:basedOn w:val="16"/>
    <w:qFormat/>
    <w:uiPriority w:val="0"/>
  </w:style>
  <w:style w:type="character" w:customStyle="1" w:styleId="66">
    <w:name w:val="first-child"/>
    <w:basedOn w:val="16"/>
    <w:qFormat/>
    <w:uiPriority w:val="0"/>
  </w:style>
  <w:style w:type="character" w:customStyle="1" w:styleId="67">
    <w:name w:val="页眉 Char"/>
    <w:basedOn w:val="16"/>
    <w:link w:val="10"/>
    <w:qFormat/>
    <w:uiPriority w:val="0"/>
    <w:rPr>
      <w:kern w:val="2"/>
      <w:sz w:val="18"/>
      <w:szCs w:val="18"/>
    </w:rPr>
  </w:style>
  <w:style w:type="character" w:customStyle="1" w:styleId="68">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97D74-8565-40DD-A6B7-6D48CCEA0D22}">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23</Pages>
  <Words>13694</Words>
  <Characters>13931</Characters>
  <Lines>138</Lines>
  <Paragraphs>39</Paragraphs>
  <TotalTime>9</TotalTime>
  <ScaleCrop>false</ScaleCrop>
  <LinksUpToDate>false</LinksUpToDate>
  <CharactersWithSpaces>14074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2023-01-11T09:36:00Z</dcterms:created>
  <dc:creator>zchan</dc:creator>
  <cp:lastModifiedBy>寒梅（钦）</cp:lastModifiedBy>
  <cp:lastPrinted>2023-03-28T00:43:00Z</cp:lastPrinted>
  <dcterms:modified xsi:type="dcterms:W3CDTF">2026-05-20T06:58:30Z</dcterms:modified>
  <dc:title>运输合同（省外）</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C0D9365D315842E9AC932C8915C74298</vt:lpwstr>
  </property>
  <property fmtid="{D5CDD505-2E9C-101B-9397-08002B2CF9AE}" pid="4" name="KSOTemplateDocerSaveRecord">
    <vt:lpwstr>eyJoZGlkIjoiNTY1NGEwYmNkYmRjMWNmMjE0NWZlMjMzZjJmZDM4MjEiLCJ1c2VySWQiOiI5ODEyNzgwOTAifQ==</vt:lpwstr>
  </property>
</Properties>
</file>