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E3F1D">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福海创石油化工有限公司原料适应性技改项目</w:t>
      </w:r>
    </w:p>
    <w:p w14:paraId="2A68A77F">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1.5MTA沸腾床渣油加氢装置</w:t>
      </w:r>
    </w:p>
    <w:p w14:paraId="5BFC1291">
      <w:pPr>
        <w:jc w:val="center"/>
      </w:pPr>
      <w:r>
        <w:rPr>
          <w:rFonts w:hint="eastAsia" w:ascii="宋体" w:hAnsi="宋体" w:eastAsia="宋体" w:cs="宋体"/>
          <w:b/>
          <w:sz w:val="36"/>
          <w:szCs w:val="36"/>
          <w:lang w:val="en-US" w:eastAsia="zh-CN"/>
        </w:rPr>
        <w:t>自紧式法兰垫片采购技术要求</w:t>
      </w:r>
    </w:p>
    <w:p w14:paraId="395C240F">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sz w:val="28"/>
          <w:szCs w:val="28"/>
          <w:lang w:val="en-US" w:eastAsia="zh-CN"/>
        </w:rPr>
      </w:pPr>
      <w:bookmarkStart w:id="0" w:name="_Toc30166"/>
      <w:bookmarkStart w:id="1" w:name="_Toc29006"/>
      <w:bookmarkStart w:id="16" w:name="_GoBack"/>
      <w:bookmarkEnd w:id="16"/>
      <w:r>
        <w:rPr>
          <w:rFonts w:hint="eastAsia" w:ascii="宋体" w:hAnsi="宋体" w:eastAsia="宋体" w:cs="宋体"/>
          <w:b/>
          <w:bCs/>
          <w:sz w:val="28"/>
          <w:szCs w:val="28"/>
          <w:lang w:val="en-US" w:eastAsia="zh-CN"/>
        </w:rPr>
        <w:t>总则</w:t>
      </w:r>
      <w:bookmarkEnd w:id="0"/>
      <w:bookmarkEnd w:id="1"/>
    </w:p>
    <w:p w14:paraId="698AEA5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1.1本文件规定了产品的采购与供货基本要求，但不仅限于此。</w:t>
      </w:r>
    </w:p>
    <w:p w14:paraId="16D8122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1.2卖方必须具备所采购垫片的测绘数据。</w:t>
      </w:r>
    </w:p>
    <w:p w14:paraId="671BA35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1.3卖方必须严格依据本询价文件的技术条件，完成产品的采购、制造、试验、检验及运输，并对产品的质量与性能承担全部责任。</w:t>
      </w:r>
    </w:p>
    <w:p w14:paraId="67629F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 本文件作为采购合同的重要组成部分，经买卖双方代表签署后生效，与商务合同具有同等法律效力。</w:t>
      </w:r>
    </w:p>
    <w:p w14:paraId="48A44CB4">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bCs/>
          <w:sz w:val="28"/>
          <w:szCs w:val="28"/>
          <w:lang w:val="en-US" w:eastAsia="zh-CN"/>
        </w:rPr>
      </w:pPr>
      <w:bookmarkStart w:id="2" w:name="_Toc16940"/>
      <w:bookmarkStart w:id="3" w:name="_Toc17900"/>
      <w:r>
        <w:rPr>
          <w:rFonts w:hint="eastAsia" w:ascii="宋体" w:hAnsi="宋体" w:eastAsia="宋体" w:cs="宋体"/>
          <w:b/>
          <w:bCs/>
          <w:sz w:val="28"/>
          <w:szCs w:val="28"/>
          <w:lang w:val="en-US" w:eastAsia="zh-CN"/>
        </w:rPr>
        <w:t>基础数据</w:t>
      </w:r>
      <w:bookmarkEnd w:id="2"/>
      <w:bookmarkEnd w:id="3"/>
    </w:p>
    <w:p w14:paraId="7146BBE0">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0" w:firstLineChars="200"/>
        <w:jc w:val="both"/>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规范性引用文件</w:t>
      </w:r>
    </w:p>
    <w:p w14:paraId="2FF9BF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1）ASME BPVC SECTION Ⅷ《锅炉和压力容器规范第Ⅷ章》</w:t>
      </w:r>
    </w:p>
    <w:p w14:paraId="1F9B0A8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2）ASTM A638   《高温用沉淀硬化铁基超级耐热合金棒材、锻件和锻坯》</w:t>
      </w:r>
    </w:p>
    <w:p w14:paraId="10E0BD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3）ASTM A484   《不锈钢棒材、钢坯及锻件通用要求》</w:t>
      </w:r>
    </w:p>
    <w:p w14:paraId="7DCDAE2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4）ASTM A705   《时效硬化不锈和耐热钢锻件》</w:t>
      </w:r>
    </w:p>
    <w:p w14:paraId="794078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5）ASTM A788   《钢锻件通用要求》</w:t>
      </w:r>
    </w:p>
    <w:p w14:paraId="4154D2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6）NB/T 47013  《承压设备无损检测》</w:t>
      </w:r>
    </w:p>
    <w:p w14:paraId="63A6316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7）GB/T 223.5  《钢铁及合金化学分析方法》</w:t>
      </w:r>
    </w:p>
    <w:p w14:paraId="023358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8）GB/T 228.1  《金属材料室温拉伸试验方法》</w:t>
      </w:r>
    </w:p>
    <w:p w14:paraId="3CB2E7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9）GB/T 232    《金属材料 弯曲试验方法》</w:t>
      </w:r>
    </w:p>
    <w:p w14:paraId="1089C7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10）GB/T 10561 《钢中非金属夹杂物显微评定方法》</w:t>
      </w:r>
    </w:p>
    <w:p w14:paraId="1CBA6A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outlineLvl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11）GB/T 231.1 《金属布式硬度试验》</w:t>
      </w:r>
    </w:p>
    <w:p w14:paraId="02439060">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560" w:firstLineChars="200"/>
        <w:jc w:val="both"/>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项目技术参数</w:t>
      </w:r>
    </w:p>
    <w:p w14:paraId="376D772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本次密封环物资主要为买方装置现场替代国外卡兰品牌金属密封环使用。替代的国外自紧式卡兰品牌为GTLOK、TECHLOK、GRAYLOC品牌。密封环材料均为ASTM A638 Grade660（GR.660)，成品密封环表面应涂覆MoS2或氟碳涂层。</w:t>
      </w:r>
    </w:p>
    <w:p w14:paraId="4F179E21">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bCs/>
          <w:sz w:val="28"/>
          <w:szCs w:val="28"/>
          <w:lang w:val="en-US" w:eastAsia="zh-CN"/>
        </w:rPr>
      </w:pPr>
      <w:bookmarkStart w:id="4" w:name="_Toc6436"/>
      <w:bookmarkStart w:id="5" w:name="_Toc2694"/>
      <w:r>
        <w:rPr>
          <w:rFonts w:hint="eastAsia" w:ascii="宋体" w:hAnsi="宋体" w:eastAsia="宋体" w:cs="宋体"/>
          <w:b/>
          <w:bCs/>
          <w:sz w:val="28"/>
          <w:szCs w:val="28"/>
          <w:lang w:val="en-US" w:eastAsia="zh-CN"/>
        </w:rPr>
        <w:t>供货范围</w:t>
      </w:r>
      <w:bookmarkEnd w:id="4"/>
      <w:bookmarkEnd w:id="5"/>
    </w:p>
    <w:p w14:paraId="0595B9B3">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供货清单见下表所示（表中规格及数量仅供参考，具体以合同为准）：</w:t>
      </w:r>
    </w:p>
    <w:tbl>
      <w:tblPr>
        <w:tblStyle w:val="9"/>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710"/>
        <w:gridCol w:w="1416"/>
        <w:gridCol w:w="1770"/>
        <w:gridCol w:w="1215"/>
        <w:gridCol w:w="855"/>
        <w:gridCol w:w="930"/>
      </w:tblGrid>
      <w:tr w14:paraId="67EF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2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F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7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4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B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4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4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667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2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8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7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1GR5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9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7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E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5520">
            <w:pPr>
              <w:jc w:val="center"/>
              <w:rPr>
                <w:rFonts w:hint="eastAsia" w:ascii="宋体" w:hAnsi="宋体" w:eastAsia="宋体" w:cs="宋体"/>
                <w:i w:val="0"/>
                <w:iCs w:val="0"/>
                <w:color w:val="000000"/>
                <w:sz w:val="24"/>
                <w:szCs w:val="24"/>
                <w:u w:val="none"/>
              </w:rPr>
            </w:pPr>
          </w:p>
        </w:tc>
      </w:tr>
      <w:tr w14:paraId="6D0D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A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C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A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1GR7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4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A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9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8CED">
            <w:pPr>
              <w:jc w:val="center"/>
              <w:rPr>
                <w:rFonts w:hint="eastAsia" w:ascii="宋体" w:hAnsi="宋体" w:eastAsia="宋体" w:cs="宋体"/>
                <w:i w:val="0"/>
                <w:iCs w:val="0"/>
                <w:color w:val="000000"/>
                <w:sz w:val="24"/>
                <w:szCs w:val="24"/>
                <w:u w:val="none"/>
              </w:rPr>
            </w:pPr>
          </w:p>
        </w:tc>
      </w:tr>
      <w:tr w14:paraId="72BF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0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C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A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0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6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8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2205">
            <w:pPr>
              <w:jc w:val="center"/>
              <w:rPr>
                <w:rFonts w:hint="eastAsia" w:ascii="宋体" w:hAnsi="宋体" w:eastAsia="宋体" w:cs="宋体"/>
                <w:i w:val="0"/>
                <w:iCs w:val="0"/>
                <w:color w:val="000000"/>
                <w:sz w:val="24"/>
                <w:szCs w:val="24"/>
                <w:u w:val="none"/>
              </w:rPr>
            </w:pPr>
          </w:p>
        </w:tc>
      </w:tr>
      <w:tr w14:paraId="6FCE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A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D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A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8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2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C51D">
            <w:pPr>
              <w:jc w:val="center"/>
              <w:rPr>
                <w:rFonts w:hint="eastAsia" w:ascii="宋体" w:hAnsi="宋体" w:eastAsia="宋体" w:cs="宋体"/>
                <w:i w:val="0"/>
                <w:iCs w:val="0"/>
                <w:color w:val="000000"/>
                <w:sz w:val="24"/>
                <w:szCs w:val="24"/>
                <w:u w:val="none"/>
              </w:rPr>
            </w:pPr>
          </w:p>
        </w:tc>
      </w:tr>
      <w:tr w14:paraId="7E80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2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6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5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A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6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B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268B">
            <w:pPr>
              <w:jc w:val="center"/>
              <w:rPr>
                <w:rFonts w:hint="eastAsia" w:ascii="宋体" w:hAnsi="宋体" w:eastAsia="宋体" w:cs="宋体"/>
                <w:i w:val="0"/>
                <w:iCs w:val="0"/>
                <w:color w:val="000000"/>
                <w:sz w:val="24"/>
                <w:szCs w:val="24"/>
                <w:u w:val="none"/>
              </w:rPr>
            </w:pPr>
          </w:p>
        </w:tc>
      </w:tr>
      <w:tr w14:paraId="2135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C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E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5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7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0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5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5E09">
            <w:pPr>
              <w:jc w:val="center"/>
              <w:rPr>
                <w:rFonts w:hint="eastAsia" w:ascii="宋体" w:hAnsi="宋体" w:eastAsia="宋体" w:cs="宋体"/>
                <w:i w:val="0"/>
                <w:iCs w:val="0"/>
                <w:color w:val="000000"/>
                <w:sz w:val="24"/>
                <w:szCs w:val="24"/>
                <w:u w:val="none"/>
              </w:rPr>
            </w:pPr>
          </w:p>
        </w:tc>
      </w:tr>
      <w:tr w14:paraId="1DE5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B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0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A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E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9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9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EC96">
            <w:pPr>
              <w:jc w:val="center"/>
              <w:rPr>
                <w:rFonts w:hint="eastAsia" w:ascii="宋体" w:hAnsi="宋体" w:eastAsia="宋体" w:cs="宋体"/>
                <w:i w:val="0"/>
                <w:iCs w:val="0"/>
                <w:color w:val="000000"/>
                <w:sz w:val="24"/>
                <w:szCs w:val="24"/>
                <w:u w:val="none"/>
              </w:rPr>
            </w:pPr>
          </w:p>
        </w:tc>
      </w:tr>
      <w:tr w14:paraId="2DCF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9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4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F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B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4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8D9F">
            <w:pPr>
              <w:jc w:val="center"/>
              <w:rPr>
                <w:rFonts w:hint="eastAsia" w:ascii="宋体" w:hAnsi="宋体" w:eastAsia="宋体" w:cs="宋体"/>
                <w:i w:val="0"/>
                <w:iCs w:val="0"/>
                <w:color w:val="000000"/>
                <w:sz w:val="24"/>
                <w:szCs w:val="24"/>
                <w:u w:val="none"/>
              </w:rPr>
            </w:pPr>
          </w:p>
        </w:tc>
      </w:tr>
      <w:tr w14:paraId="7641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4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C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6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0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0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A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22D6">
            <w:pPr>
              <w:jc w:val="center"/>
              <w:rPr>
                <w:rFonts w:hint="eastAsia" w:ascii="宋体" w:hAnsi="宋体" w:eastAsia="宋体" w:cs="宋体"/>
                <w:i w:val="0"/>
                <w:iCs w:val="0"/>
                <w:color w:val="000000"/>
                <w:sz w:val="24"/>
                <w:szCs w:val="24"/>
                <w:u w:val="none"/>
              </w:rPr>
            </w:pPr>
          </w:p>
        </w:tc>
      </w:tr>
      <w:tr w14:paraId="2130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8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1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E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9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2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09C2">
            <w:pPr>
              <w:jc w:val="center"/>
              <w:rPr>
                <w:rFonts w:hint="eastAsia" w:ascii="宋体" w:hAnsi="宋体" w:eastAsia="宋体" w:cs="宋体"/>
                <w:i w:val="0"/>
                <w:iCs w:val="0"/>
                <w:color w:val="000000"/>
                <w:sz w:val="24"/>
                <w:szCs w:val="24"/>
                <w:u w:val="none"/>
              </w:rPr>
            </w:pPr>
          </w:p>
        </w:tc>
      </w:tr>
      <w:tr w14:paraId="6B6A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5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8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C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9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F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6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647C">
            <w:pPr>
              <w:jc w:val="center"/>
              <w:rPr>
                <w:rFonts w:hint="eastAsia" w:ascii="宋体" w:hAnsi="宋体" w:eastAsia="宋体" w:cs="宋体"/>
                <w:i w:val="0"/>
                <w:iCs w:val="0"/>
                <w:color w:val="000000"/>
                <w:sz w:val="24"/>
                <w:szCs w:val="24"/>
                <w:u w:val="none"/>
              </w:rPr>
            </w:pPr>
          </w:p>
        </w:tc>
      </w:tr>
      <w:tr w14:paraId="0EF7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7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1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7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D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8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B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6598">
            <w:pPr>
              <w:jc w:val="center"/>
              <w:rPr>
                <w:rFonts w:hint="eastAsia" w:ascii="宋体" w:hAnsi="宋体" w:eastAsia="宋体" w:cs="宋体"/>
                <w:i w:val="0"/>
                <w:iCs w:val="0"/>
                <w:color w:val="000000"/>
                <w:sz w:val="24"/>
                <w:szCs w:val="24"/>
                <w:u w:val="none"/>
              </w:rPr>
            </w:pPr>
          </w:p>
        </w:tc>
      </w:tr>
      <w:tr w14:paraId="5617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1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D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B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0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F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F500">
            <w:pPr>
              <w:jc w:val="center"/>
              <w:rPr>
                <w:rFonts w:hint="eastAsia" w:ascii="宋体" w:hAnsi="宋体" w:eastAsia="宋体" w:cs="宋体"/>
                <w:i w:val="0"/>
                <w:iCs w:val="0"/>
                <w:color w:val="000000"/>
                <w:sz w:val="24"/>
                <w:szCs w:val="24"/>
                <w:u w:val="none"/>
              </w:rPr>
            </w:pPr>
          </w:p>
        </w:tc>
      </w:tr>
      <w:tr w14:paraId="5AAB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2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C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D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8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2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8ABB">
            <w:pPr>
              <w:jc w:val="center"/>
              <w:rPr>
                <w:rFonts w:hint="eastAsia" w:ascii="宋体" w:hAnsi="宋体" w:eastAsia="宋体" w:cs="宋体"/>
                <w:i w:val="0"/>
                <w:iCs w:val="0"/>
                <w:color w:val="000000"/>
                <w:sz w:val="24"/>
                <w:szCs w:val="24"/>
                <w:u w:val="none"/>
              </w:rPr>
            </w:pPr>
          </w:p>
        </w:tc>
      </w:tr>
      <w:tr w14:paraId="5AB4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6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8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8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E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2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1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7F86">
            <w:pPr>
              <w:jc w:val="center"/>
              <w:rPr>
                <w:rFonts w:hint="eastAsia" w:ascii="宋体" w:hAnsi="宋体" w:eastAsia="宋体" w:cs="宋体"/>
                <w:i w:val="0"/>
                <w:iCs w:val="0"/>
                <w:color w:val="000000"/>
                <w:sz w:val="24"/>
                <w:szCs w:val="24"/>
                <w:u w:val="none"/>
              </w:rPr>
            </w:pPr>
          </w:p>
        </w:tc>
      </w:tr>
      <w:tr w14:paraId="73E7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1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C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9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5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E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6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17BD">
            <w:pPr>
              <w:jc w:val="center"/>
              <w:rPr>
                <w:rFonts w:hint="eastAsia" w:ascii="宋体" w:hAnsi="宋体" w:eastAsia="宋体" w:cs="宋体"/>
                <w:i w:val="0"/>
                <w:iCs w:val="0"/>
                <w:color w:val="000000"/>
                <w:sz w:val="24"/>
                <w:szCs w:val="24"/>
                <w:u w:val="none"/>
              </w:rPr>
            </w:pPr>
          </w:p>
        </w:tc>
      </w:tr>
      <w:tr w14:paraId="655F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2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E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F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8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0F1D">
            <w:pPr>
              <w:jc w:val="center"/>
              <w:rPr>
                <w:rFonts w:hint="eastAsia" w:ascii="宋体" w:hAnsi="宋体" w:eastAsia="宋体" w:cs="宋体"/>
                <w:i w:val="0"/>
                <w:iCs w:val="0"/>
                <w:color w:val="000000"/>
                <w:sz w:val="24"/>
                <w:szCs w:val="24"/>
                <w:u w:val="none"/>
              </w:rPr>
            </w:pPr>
          </w:p>
        </w:tc>
      </w:tr>
      <w:tr w14:paraId="3E25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C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2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GR14孔板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F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F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E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83C3">
            <w:pPr>
              <w:jc w:val="center"/>
              <w:rPr>
                <w:rFonts w:hint="eastAsia" w:ascii="宋体" w:hAnsi="宋体" w:eastAsia="宋体" w:cs="宋体"/>
                <w:i w:val="0"/>
                <w:iCs w:val="0"/>
                <w:color w:val="000000"/>
                <w:sz w:val="24"/>
                <w:szCs w:val="24"/>
                <w:u w:val="none"/>
              </w:rPr>
            </w:pPr>
          </w:p>
        </w:tc>
      </w:tr>
      <w:tr w14:paraId="43AA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C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0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3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GR23孔板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E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B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4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AD19">
            <w:pPr>
              <w:jc w:val="center"/>
              <w:rPr>
                <w:rFonts w:hint="eastAsia" w:ascii="宋体" w:hAnsi="宋体" w:eastAsia="宋体" w:cs="宋体"/>
                <w:i w:val="0"/>
                <w:iCs w:val="0"/>
                <w:color w:val="000000"/>
                <w:sz w:val="24"/>
                <w:szCs w:val="24"/>
                <w:u w:val="none"/>
              </w:rPr>
            </w:pPr>
          </w:p>
        </w:tc>
      </w:tr>
      <w:tr w14:paraId="79B1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5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A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0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GR31孔板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7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6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D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541E">
            <w:pPr>
              <w:jc w:val="center"/>
              <w:rPr>
                <w:rFonts w:hint="eastAsia" w:ascii="宋体" w:hAnsi="宋体" w:eastAsia="宋体" w:cs="宋体"/>
                <w:i w:val="0"/>
                <w:iCs w:val="0"/>
                <w:color w:val="000000"/>
                <w:sz w:val="24"/>
                <w:szCs w:val="24"/>
                <w:u w:val="none"/>
              </w:rPr>
            </w:pPr>
          </w:p>
        </w:tc>
      </w:tr>
      <w:tr w14:paraId="5A37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E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D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B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GR52孔板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4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A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0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8FE7">
            <w:pPr>
              <w:jc w:val="center"/>
              <w:rPr>
                <w:rFonts w:hint="eastAsia" w:ascii="宋体" w:hAnsi="宋体" w:eastAsia="宋体" w:cs="宋体"/>
                <w:i w:val="0"/>
                <w:iCs w:val="0"/>
                <w:color w:val="000000"/>
                <w:sz w:val="24"/>
                <w:szCs w:val="24"/>
                <w:u w:val="none"/>
              </w:rPr>
            </w:pPr>
          </w:p>
        </w:tc>
      </w:tr>
      <w:tr w14:paraId="0F67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1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5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A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GR67孔板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9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D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D33C">
            <w:pPr>
              <w:jc w:val="center"/>
              <w:rPr>
                <w:rFonts w:hint="eastAsia" w:ascii="宋体" w:hAnsi="宋体" w:eastAsia="宋体" w:cs="宋体"/>
                <w:i w:val="0"/>
                <w:iCs w:val="0"/>
                <w:color w:val="000000"/>
                <w:sz w:val="24"/>
                <w:szCs w:val="24"/>
                <w:u w:val="none"/>
              </w:rPr>
            </w:pPr>
          </w:p>
        </w:tc>
      </w:tr>
      <w:tr w14:paraId="75D7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C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7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Grayloc垫片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GR82孔板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3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4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A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5BB6">
            <w:pPr>
              <w:jc w:val="center"/>
              <w:rPr>
                <w:rFonts w:hint="eastAsia" w:ascii="宋体" w:hAnsi="宋体" w:eastAsia="宋体" w:cs="宋体"/>
                <w:i w:val="0"/>
                <w:iCs w:val="0"/>
                <w:color w:val="000000"/>
                <w:sz w:val="24"/>
                <w:szCs w:val="24"/>
                <w:u w:val="none"/>
              </w:rPr>
            </w:pPr>
          </w:p>
        </w:tc>
      </w:tr>
      <w:tr w14:paraId="6B08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7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0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4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X10H82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9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5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6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4107">
            <w:pPr>
              <w:jc w:val="center"/>
              <w:rPr>
                <w:rFonts w:hint="eastAsia" w:ascii="宋体" w:hAnsi="宋体" w:eastAsia="宋体" w:cs="宋体"/>
                <w:i w:val="0"/>
                <w:iCs w:val="0"/>
                <w:color w:val="000000"/>
                <w:sz w:val="24"/>
                <w:szCs w:val="24"/>
                <w:u w:val="none"/>
              </w:rPr>
            </w:pPr>
          </w:p>
        </w:tc>
      </w:tr>
      <w:tr w14:paraId="3A05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3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F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B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A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E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3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F919">
            <w:pPr>
              <w:jc w:val="center"/>
              <w:rPr>
                <w:rFonts w:hint="eastAsia" w:ascii="宋体" w:hAnsi="宋体" w:eastAsia="宋体" w:cs="宋体"/>
                <w:i w:val="0"/>
                <w:iCs w:val="0"/>
                <w:color w:val="000000"/>
                <w:sz w:val="24"/>
                <w:szCs w:val="24"/>
                <w:u w:val="none"/>
              </w:rPr>
            </w:pPr>
          </w:p>
        </w:tc>
      </w:tr>
      <w:tr w14:paraId="68C5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C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F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A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4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1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BE07">
            <w:pPr>
              <w:jc w:val="center"/>
              <w:rPr>
                <w:rFonts w:hint="eastAsia" w:ascii="宋体" w:hAnsi="宋体" w:eastAsia="宋体" w:cs="宋体"/>
                <w:i w:val="0"/>
                <w:iCs w:val="0"/>
                <w:color w:val="000000"/>
                <w:sz w:val="24"/>
                <w:szCs w:val="24"/>
                <w:u w:val="none"/>
              </w:rPr>
            </w:pPr>
          </w:p>
        </w:tc>
      </w:tr>
      <w:tr w14:paraId="2134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C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9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5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D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8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2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182F">
            <w:pPr>
              <w:jc w:val="center"/>
              <w:rPr>
                <w:rFonts w:hint="eastAsia" w:ascii="宋体" w:hAnsi="宋体" w:eastAsia="宋体" w:cs="宋体"/>
                <w:i w:val="0"/>
                <w:iCs w:val="0"/>
                <w:color w:val="000000"/>
                <w:sz w:val="24"/>
                <w:szCs w:val="24"/>
                <w:u w:val="none"/>
              </w:rPr>
            </w:pPr>
          </w:p>
        </w:tc>
      </w:tr>
      <w:tr w14:paraId="1B36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9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E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0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A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F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3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6666">
            <w:pPr>
              <w:jc w:val="center"/>
              <w:rPr>
                <w:rFonts w:hint="eastAsia" w:ascii="宋体" w:hAnsi="宋体" w:eastAsia="宋体" w:cs="宋体"/>
                <w:i w:val="0"/>
                <w:iCs w:val="0"/>
                <w:color w:val="000000"/>
                <w:sz w:val="24"/>
                <w:szCs w:val="24"/>
                <w:u w:val="none"/>
              </w:rPr>
            </w:pPr>
          </w:p>
        </w:tc>
      </w:tr>
      <w:tr w14:paraId="36DA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C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1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2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D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7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E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7675">
            <w:pPr>
              <w:jc w:val="center"/>
              <w:rPr>
                <w:rFonts w:hint="eastAsia" w:ascii="宋体" w:hAnsi="宋体" w:eastAsia="宋体" w:cs="宋体"/>
                <w:i w:val="0"/>
                <w:iCs w:val="0"/>
                <w:color w:val="000000"/>
                <w:sz w:val="24"/>
                <w:szCs w:val="24"/>
                <w:u w:val="none"/>
              </w:rPr>
            </w:pPr>
          </w:p>
        </w:tc>
      </w:tr>
      <w:tr w14:paraId="5703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2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9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3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6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7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1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A332">
            <w:pPr>
              <w:jc w:val="center"/>
              <w:rPr>
                <w:rFonts w:hint="eastAsia" w:ascii="宋体" w:hAnsi="宋体" w:eastAsia="宋体" w:cs="宋体"/>
                <w:i w:val="0"/>
                <w:iCs w:val="0"/>
                <w:color w:val="000000"/>
                <w:sz w:val="24"/>
                <w:szCs w:val="24"/>
                <w:u w:val="none"/>
              </w:rPr>
            </w:pPr>
          </w:p>
        </w:tc>
      </w:tr>
      <w:tr w14:paraId="4A92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7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1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1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5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E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3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A2E8">
            <w:pPr>
              <w:jc w:val="center"/>
              <w:rPr>
                <w:rFonts w:hint="eastAsia" w:ascii="宋体" w:hAnsi="宋体" w:eastAsia="宋体" w:cs="宋体"/>
                <w:i w:val="0"/>
                <w:iCs w:val="0"/>
                <w:color w:val="000000"/>
                <w:sz w:val="24"/>
                <w:szCs w:val="24"/>
                <w:u w:val="none"/>
              </w:rPr>
            </w:pPr>
          </w:p>
        </w:tc>
      </w:tr>
      <w:tr w14:paraId="7F7D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B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8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D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6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4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7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E09B">
            <w:pPr>
              <w:jc w:val="center"/>
              <w:rPr>
                <w:rFonts w:hint="eastAsia" w:ascii="宋体" w:hAnsi="宋体" w:eastAsia="宋体" w:cs="宋体"/>
                <w:i w:val="0"/>
                <w:iCs w:val="0"/>
                <w:color w:val="000000"/>
                <w:sz w:val="24"/>
                <w:szCs w:val="24"/>
                <w:u w:val="none"/>
              </w:rPr>
            </w:pPr>
          </w:p>
        </w:tc>
      </w:tr>
      <w:tr w14:paraId="4958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5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5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9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5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2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4245">
            <w:pPr>
              <w:jc w:val="center"/>
              <w:rPr>
                <w:rFonts w:hint="eastAsia" w:ascii="宋体" w:hAnsi="宋体" w:eastAsia="宋体" w:cs="宋体"/>
                <w:i w:val="0"/>
                <w:iCs w:val="0"/>
                <w:color w:val="000000"/>
                <w:sz w:val="24"/>
                <w:szCs w:val="24"/>
                <w:u w:val="none"/>
              </w:rPr>
            </w:pPr>
          </w:p>
        </w:tc>
      </w:tr>
      <w:tr w14:paraId="6C7C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0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4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F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3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4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5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EC19">
            <w:pPr>
              <w:jc w:val="center"/>
              <w:rPr>
                <w:rFonts w:hint="eastAsia" w:ascii="宋体" w:hAnsi="宋体" w:eastAsia="宋体" w:cs="宋体"/>
                <w:i w:val="0"/>
                <w:iCs w:val="0"/>
                <w:color w:val="000000"/>
                <w:sz w:val="24"/>
                <w:szCs w:val="24"/>
                <w:u w:val="none"/>
              </w:rPr>
            </w:pPr>
          </w:p>
        </w:tc>
      </w:tr>
      <w:tr w14:paraId="4530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B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D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D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4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E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8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6C9">
            <w:pPr>
              <w:jc w:val="center"/>
              <w:rPr>
                <w:rFonts w:hint="eastAsia" w:ascii="宋体" w:hAnsi="宋体" w:eastAsia="宋体" w:cs="宋体"/>
                <w:i w:val="0"/>
                <w:iCs w:val="0"/>
                <w:color w:val="000000"/>
                <w:sz w:val="24"/>
                <w:szCs w:val="24"/>
                <w:u w:val="none"/>
              </w:rPr>
            </w:pPr>
          </w:p>
        </w:tc>
      </w:tr>
      <w:tr w14:paraId="16CA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A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8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5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D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5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BF6D">
            <w:pPr>
              <w:jc w:val="center"/>
              <w:rPr>
                <w:rFonts w:hint="eastAsia" w:ascii="宋体" w:hAnsi="宋体" w:eastAsia="宋体" w:cs="宋体"/>
                <w:i w:val="0"/>
                <w:iCs w:val="0"/>
                <w:color w:val="000000"/>
                <w:sz w:val="24"/>
                <w:szCs w:val="24"/>
                <w:u w:val="none"/>
              </w:rPr>
            </w:pPr>
          </w:p>
        </w:tc>
      </w:tr>
      <w:tr w14:paraId="6FD7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2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F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E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H16"in/106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8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6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1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9D17">
            <w:pPr>
              <w:jc w:val="center"/>
              <w:rPr>
                <w:rFonts w:hint="eastAsia" w:ascii="宋体" w:hAnsi="宋体" w:eastAsia="宋体" w:cs="宋体"/>
                <w:i w:val="0"/>
                <w:iCs w:val="0"/>
                <w:color w:val="000000"/>
                <w:sz w:val="24"/>
                <w:szCs w:val="24"/>
                <w:u w:val="none"/>
              </w:rPr>
            </w:pPr>
          </w:p>
        </w:tc>
      </w:tr>
      <w:tr w14:paraId="4595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D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6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E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6in/27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9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1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8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E333">
            <w:pPr>
              <w:jc w:val="center"/>
              <w:rPr>
                <w:rFonts w:hint="eastAsia" w:ascii="宋体" w:hAnsi="宋体" w:eastAsia="宋体" w:cs="宋体"/>
                <w:i w:val="0"/>
                <w:iCs w:val="0"/>
                <w:color w:val="000000"/>
                <w:sz w:val="24"/>
                <w:szCs w:val="24"/>
                <w:u w:val="none"/>
              </w:rPr>
            </w:pPr>
          </w:p>
        </w:tc>
      </w:tr>
      <w:tr w14:paraId="0F6F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2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A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E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H10in/67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6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B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9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F55D">
            <w:pPr>
              <w:jc w:val="center"/>
              <w:rPr>
                <w:rFonts w:hint="eastAsia" w:ascii="宋体" w:hAnsi="宋体" w:eastAsia="宋体" w:cs="宋体"/>
                <w:i w:val="0"/>
                <w:iCs w:val="0"/>
                <w:color w:val="000000"/>
                <w:sz w:val="24"/>
                <w:szCs w:val="24"/>
                <w:u w:val="none"/>
              </w:rPr>
            </w:pPr>
          </w:p>
        </w:tc>
      </w:tr>
      <w:tr w14:paraId="469C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B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A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TECHLOK垫片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6in/34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0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D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5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CD18">
            <w:pPr>
              <w:jc w:val="center"/>
              <w:rPr>
                <w:rFonts w:hint="eastAsia" w:ascii="宋体" w:hAnsi="宋体" w:eastAsia="宋体" w:cs="宋体"/>
                <w:i w:val="0"/>
                <w:iCs w:val="0"/>
                <w:color w:val="000000"/>
                <w:sz w:val="24"/>
                <w:szCs w:val="24"/>
                <w:u w:val="none"/>
              </w:rPr>
            </w:pPr>
          </w:p>
        </w:tc>
      </w:tr>
      <w:tr w14:paraId="473C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B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26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6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B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3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3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A8B7">
            <w:pPr>
              <w:jc w:val="center"/>
              <w:rPr>
                <w:rFonts w:hint="eastAsia" w:ascii="宋体" w:hAnsi="宋体" w:eastAsia="宋体" w:cs="宋体"/>
                <w:i w:val="0"/>
                <w:iCs w:val="0"/>
                <w:color w:val="000000"/>
                <w:sz w:val="24"/>
                <w:szCs w:val="24"/>
                <w:u w:val="none"/>
              </w:rPr>
            </w:pPr>
          </w:p>
        </w:tc>
      </w:tr>
      <w:tr w14:paraId="0691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F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A8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1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1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1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9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1E31">
            <w:pPr>
              <w:jc w:val="center"/>
              <w:rPr>
                <w:rFonts w:hint="eastAsia" w:ascii="宋体" w:hAnsi="宋体" w:eastAsia="宋体" w:cs="宋体"/>
                <w:i w:val="0"/>
                <w:iCs w:val="0"/>
                <w:color w:val="000000"/>
                <w:sz w:val="24"/>
                <w:szCs w:val="24"/>
                <w:u w:val="none"/>
              </w:rPr>
            </w:pPr>
          </w:p>
        </w:tc>
      </w:tr>
      <w:tr w14:paraId="397D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E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E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0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C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D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E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6CFB">
            <w:pPr>
              <w:jc w:val="center"/>
              <w:rPr>
                <w:rFonts w:hint="eastAsia" w:ascii="宋体" w:hAnsi="宋体" w:eastAsia="宋体" w:cs="宋体"/>
                <w:i w:val="0"/>
                <w:iCs w:val="0"/>
                <w:color w:val="000000"/>
                <w:sz w:val="24"/>
                <w:szCs w:val="24"/>
                <w:u w:val="none"/>
              </w:rPr>
            </w:pPr>
          </w:p>
        </w:tc>
      </w:tr>
      <w:tr w14:paraId="3CF1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3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D5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7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6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F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2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825A">
            <w:pPr>
              <w:jc w:val="center"/>
              <w:rPr>
                <w:rFonts w:hint="eastAsia" w:ascii="宋体" w:hAnsi="宋体" w:eastAsia="宋体" w:cs="宋体"/>
                <w:i w:val="0"/>
                <w:iCs w:val="0"/>
                <w:color w:val="000000"/>
                <w:sz w:val="24"/>
                <w:szCs w:val="24"/>
                <w:u w:val="none"/>
              </w:rPr>
            </w:pPr>
          </w:p>
        </w:tc>
      </w:tr>
      <w:tr w14:paraId="6DC0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6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3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0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6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C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8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6E2D">
            <w:pPr>
              <w:jc w:val="center"/>
              <w:rPr>
                <w:rFonts w:hint="eastAsia" w:ascii="宋体" w:hAnsi="宋体" w:eastAsia="宋体" w:cs="宋体"/>
                <w:i w:val="0"/>
                <w:iCs w:val="0"/>
                <w:color w:val="000000"/>
                <w:sz w:val="24"/>
                <w:szCs w:val="24"/>
                <w:u w:val="none"/>
              </w:rPr>
            </w:pPr>
          </w:p>
        </w:tc>
      </w:tr>
      <w:tr w14:paraId="4A10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E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6D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8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2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A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0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ABC2">
            <w:pPr>
              <w:jc w:val="center"/>
              <w:rPr>
                <w:rFonts w:hint="eastAsia" w:ascii="宋体" w:hAnsi="宋体" w:eastAsia="宋体" w:cs="宋体"/>
                <w:i w:val="0"/>
                <w:iCs w:val="0"/>
                <w:color w:val="000000"/>
                <w:sz w:val="24"/>
                <w:szCs w:val="24"/>
                <w:u w:val="none"/>
              </w:rPr>
            </w:pPr>
          </w:p>
        </w:tc>
      </w:tr>
      <w:tr w14:paraId="34B9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5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7A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7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F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4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F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20D9">
            <w:pPr>
              <w:jc w:val="center"/>
              <w:rPr>
                <w:rFonts w:hint="eastAsia" w:ascii="宋体" w:hAnsi="宋体" w:eastAsia="宋体" w:cs="宋体"/>
                <w:i w:val="0"/>
                <w:iCs w:val="0"/>
                <w:color w:val="000000"/>
                <w:sz w:val="24"/>
                <w:szCs w:val="24"/>
                <w:u w:val="none"/>
              </w:rPr>
            </w:pPr>
          </w:p>
        </w:tc>
      </w:tr>
      <w:tr w14:paraId="2F3B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A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62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7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8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8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8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D720">
            <w:pPr>
              <w:jc w:val="center"/>
              <w:rPr>
                <w:rFonts w:hint="eastAsia" w:ascii="宋体" w:hAnsi="宋体" w:eastAsia="宋体" w:cs="宋体"/>
                <w:i w:val="0"/>
                <w:iCs w:val="0"/>
                <w:color w:val="000000"/>
                <w:sz w:val="24"/>
                <w:szCs w:val="24"/>
                <w:u w:val="none"/>
              </w:rPr>
            </w:pPr>
          </w:p>
        </w:tc>
      </w:tr>
      <w:tr w14:paraId="23E0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4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E5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兰石植源垫片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1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LS-LOC.52#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8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7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6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7DE7">
            <w:pPr>
              <w:jc w:val="center"/>
              <w:rPr>
                <w:rFonts w:hint="eastAsia" w:ascii="宋体" w:hAnsi="宋体" w:eastAsia="宋体" w:cs="宋体"/>
                <w:i w:val="0"/>
                <w:iCs w:val="0"/>
                <w:color w:val="000000"/>
                <w:sz w:val="24"/>
                <w:szCs w:val="24"/>
                <w:u w:val="none"/>
              </w:rPr>
            </w:pPr>
          </w:p>
        </w:tc>
      </w:tr>
      <w:tr w14:paraId="7A9C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3C532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BA51E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成都植源垫片</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C316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FF3B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nil"/>
              <w:right w:val="single" w:color="000000" w:sz="4" w:space="0"/>
            </w:tcBorders>
            <w:shd w:val="clear" w:color="auto" w:fill="auto"/>
            <w:noWrap/>
            <w:vAlign w:val="center"/>
          </w:tcPr>
          <w:p w14:paraId="20D94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405F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3062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20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6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9E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成都植源垫片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2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4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A638 Gr.660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9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9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6735">
            <w:pPr>
              <w:jc w:val="center"/>
              <w:rPr>
                <w:rFonts w:hint="eastAsia" w:ascii="宋体" w:hAnsi="宋体" w:eastAsia="宋体" w:cs="宋体"/>
                <w:i w:val="0"/>
                <w:iCs w:val="0"/>
                <w:color w:val="000000"/>
                <w:sz w:val="24"/>
                <w:szCs w:val="24"/>
                <w:u w:val="none"/>
              </w:rPr>
            </w:pPr>
          </w:p>
        </w:tc>
      </w:tr>
      <w:tr w14:paraId="760F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1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BEC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357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213B">
            <w:pPr>
              <w:jc w:val="center"/>
              <w:rPr>
                <w:rFonts w:hint="eastAsia" w:ascii="宋体" w:hAnsi="宋体" w:eastAsia="宋体" w:cs="宋体"/>
                <w:i w:val="0"/>
                <w:iCs w:val="0"/>
                <w:color w:val="000000"/>
                <w:sz w:val="24"/>
                <w:szCs w:val="24"/>
                <w:u w:val="none"/>
              </w:rPr>
            </w:pPr>
          </w:p>
        </w:tc>
      </w:tr>
    </w:tbl>
    <w:p w14:paraId="5378F329">
      <w:pPr>
        <w:pStyle w:val="2"/>
        <w:rPr>
          <w:rFonts w:hint="eastAsia"/>
          <w:lang w:val="en-US" w:eastAsia="zh-CN"/>
        </w:rPr>
      </w:pPr>
    </w:p>
    <w:p w14:paraId="111F08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lang w:val="en-US" w:eastAsia="zh-CN"/>
        </w:rPr>
      </w:pPr>
      <w:r>
        <w:rPr>
          <w:rFonts w:hint="eastAsia" w:ascii="宋体" w:hAnsi="宋体" w:eastAsia="宋体" w:cs="宋体"/>
          <w:sz w:val="28"/>
          <w:szCs w:val="28"/>
          <w:lang w:val="en-US" w:eastAsia="zh-CN"/>
        </w:rPr>
        <w:t>注：供货的密封环必须保证能匹配对应的进口品牌（GTLOK、TECHLOK、GRAYLOC）卡兰和国产品牌（兰石植源、成都植源）卡兰使用，并且安装后应有良好的密封性能。</w:t>
      </w:r>
    </w:p>
    <w:p w14:paraId="630CBA3C">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560" w:firstLineChars="0"/>
        <w:jc w:val="both"/>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供货范围：</w:t>
      </w:r>
    </w:p>
    <w:p w14:paraId="21F04F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1）采购清单中规定的所有产品（应以合同约定为准）；</w:t>
      </w:r>
    </w:p>
    <w:p w14:paraId="0EB18D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2）材质证明书、检验报告等随货技术资料；</w:t>
      </w:r>
    </w:p>
    <w:p w14:paraId="1307DD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3）现场卡兰安装指导服务；</w:t>
      </w:r>
    </w:p>
    <w:p w14:paraId="2717376E">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bCs/>
          <w:sz w:val="28"/>
          <w:szCs w:val="28"/>
          <w:lang w:val="en-US" w:eastAsia="zh-CN"/>
        </w:rPr>
      </w:pPr>
      <w:bookmarkStart w:id="6" w:name="_Toc30336"/>
      <w:bookmarkStart w:id="7" w:name="_Toc6603"/>
      <w:r>
        <w:rPr>
          <w:rFonts w:hint="eastAsia" w:ascii="宋体" w:hAnsi="宋体" w:eastAsia="宋体" w:cs="宋体"/>
          <w:b/>
          <w:bCs/>
          <w:sz w:val="28"/>
          <w:szCs w:val="28"/>
          <w:lang w:val="en-US" w:eastAsia="zh-CN"/>
        </w:rPr>
        <w:t>材料要求</w:t>
      </w:r>
      <w:bookmarkEnd w:id="6"/>
      <w:bookmarkEnd w:id="7"/>
    </w:p>
    <w:p w14:paraId="15265A03">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密封环材质：ASTM A638 Grade660（GR.660)，MOS2 或氟碳。</w:t>
      </w:r>
    </w:p>
    <w:p w14:paraId="02A3D6EE">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密封环毛坯材料必须锻制成型，不允许使用钢板、铸件制作，锻件的锻造比不得小于3.0。</w:t>
      </w:r>
    </w:p>
    <w:p w14:paraId="5EF09FEC">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密封环A638 Gr.660材料技术要求：</w:t>
      </w:r>
    </w:p>
    <w:p w14:paraId="6410B8D9">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A638 Gr.660锻件应按ASTM A638标准进行熔炼分析、力学性能试验、工艺性能试验并符合相应要求。</w:t>
      </w:r>
    </w:p>
    <w:p w14:paraId="07A2FD71">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锻件需进行固溶+沉淀硬化处理，热处理制度按国家标准执行。</w:t>
      </w:r>
    </w:p>
    <w:p w14:paraId="442D8994">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锻件应提供钢厂的钢材质量合格证书原件，证书内容须包含：按标准执行的全部试验结果、交货热处理状态、固溶温度及冷却方式、原始热处理曲线图与报告、附加试验结果等。</w:t>
      </w:r>
    </w:p>
    <w:p w14:paraId="595A54CF">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firstLine="560" w:firstLineChars="200"/>
        <w:jc w:val="both"/>
        <w:textAlignment w:val="auto"/>
        <w:outlineLvl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密封环锻件逐件进行硬度检查，硬度值应不大于35HRC，硬度值应记录在质量证明书中。</w:t>
      </w:r>
    </w:p>
    <w:p w14:paraId="1BEDD06D">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锻件应逐件进行100% UT检测，检测按照 NB/T47013.3执行，Ⅰ级合格。</w:t>
      </w:r>
    </w:p>
    <w:p w14:paraId="0F38A1C4">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锻件应逐件进行全表面100% PT检测，检测按照 NB/T47013.5执行，Ⅰ级合格。</w:t>
      </w:r>
    </w:p>
    <w:p w14:paraId="632015D9">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kern w:val="2"/>
          <w:sz w:val="28"/>
          <w:szCs w:val="28"/>
          <w:lang w:val="en-US" w:eastAsia="zh-CN" w:bidi="ar-SA"/>
        </w:rPr>
      </w:pPr>
      <w:bookmarkStart w:id="8" w:name="_Toc10101"/>
      <w:bookmarkStart w:id="9" w:name="_Toc13586"/>
      <w:r>
        <w:rPr>
          <w:rFonts w:hint="eastAsia" w:ascii="宋体" w:hAnsi="宋体" w:eastAsia="宋体" w:cs="宋体"/>
          <w:b/>
          <w:bCs/>
          <w:sz w:val="28"/>
          <w:szCs w:val="28"/>
          <w:lang w:val="en-US" w:eastAsia="zh-CN"/>
        </w:rPr>
        <w:t>制造技术要求</w:t>
      </w:r>
      <w:bookmarkEnd w:id="8"/>
      <w:bookmarkEnd w:id="9"/>
    </w:p>
    <w:p w14:paraId="060E45F8">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79" w:leftChars="133" w:firstLine="280" w:firstLineChars="1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 卖方必须对密封环的原材料进行复验，复验结果应符合ASTM A638标准要求，否则判定为不合格。复验合格的原材料方可投入生产，不合格的原材料应判废处理，重新采购新的原材料生产制造。复验内容及要求如下：</w:t>
      </w:r>
    </w:p>
    <w:p w14:paraId="1A7DE872">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1）原材料应按同一炉批号复验材料的力学性能，按GB/T 228.1执行。</w:t>
      </w:r>
    </w:p>
    <w:p w14:paraId="3B72603A">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2）原材料应按同一炉批号复验材料的化学成分，按GB/T 223.5执行。</w:t>
      </w:r>
    </w:p>
    <w:p w14:paraId="54252F7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3）原材料到厂后需优先逐件进行100% UT检测，检测按照NB/T47013.3执行，Ⅰ级合格。如因尺寸限制无法进行UT检测，则应进行</w:t>
      </w:r>
      <w:r>
        <w:rPr>
          <w:rFonts w:hint="eastAsia" w:ascii="宋体" w:hAnsi="宋体" w:eastAsia="宋体" w:cs="宋体"/>
          <w:sz w:val="28"/>
          <w:szCs w:val="28"/>
          <w:lang w:val="en-US" w:eastAsia="zh-CN"/>
        </w:rPr>
        <w:t>100% PT检测，检测按照NB/T47013.5执行，Ⅰ级合格。</w:t>
      </w:r>
    </w:p>
    <w:p w14:paraId="35776262">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 机加完成后应对机加工全表面进行100% PT检测，PT检测按照NB/T47013.5执行，Ⅰ级合格。</w:t>
      </w:r>
    </w:p>
    <w:p w14:paraId="39F501ED">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 密封环本体的表面缺陷应机加法或者研磨法去除，不允许焊补。</w:t>
      </w:r>
    </w:p>
    <w:p w14:paraId="243E9688">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 密封环的密封面区域不得有任何表面缺陷，包括毛刺、划伤或其他降低连接可靠性的缺陷。</w:t>
      </w:r>
    </w:p>
    <w:p w14:paraId="2426B0A6">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 密封环的尺寸、公差和粗糙度应满足施工图纸以及相应标准、规范及规定的要求。</w:t>
      </w:r>
    </w:p>
    <w:p w14:paraId="715CD1D3">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 密封环机加工完毕，应全表面涂覆MoS2或氟碳涂层。</w:t>
      </w:r>
    </w:p>
    <w:p w14:paraId="262CD155">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7. 卖方供货密封环必须保证能匹配对应的进口品牌（</w:t>
      </w:r>
      <w:r>
        <w:rPr>
          <w:rFonts w:hint="eastAsia" w:ascii="宋体" w:hAnsi="宋体" w:eastAsia="宋体" w:cs="宋体"/>
          <w:sz w:val="28"/>
          <w:szCs w:val="28"/>
          <w:lang w:val="en-US" w:eastAsia="zh-CN"/>
        </w:rPr>
        <w:t>WIRELOC、TECHLOK、GRAYLOC</w:t>
      </w:r>
      <w:r>
        <w:rPr>
          <w:rFonts w:hint="eastAsia" w:ascii="宋体" w:hAnsi="宋体" w:eastAsia="宋体" w:cs="宋体"/>
          <w:kern w:val="2"/>
          <w:sz w:val="28"/>
          <w:szCs w:val="28"/>
          <w:lang w:val="en-US" w:eastAsia="zh-CN" w:bidi="ar-SA"/>
        </w:rPr>
        <w:t>）卡兰使用，</w:t>
      </w:r>
      <w:r>
        <w:rPr>
          <w:rFonts w:hint="eastAsia" w:ascii="宋体" w:hAnsi="宋体" w:eastAsia="宋体" w:cs="宋体"/>
          <w:sz w:val="28"/>
          <w:szCs w:val="28"/>
          <w:lang w:val="en-US" w:eastAsia="zh-CN"/>
        </w:rPr>
        <w:t>并且安装后应有良好的密封性能</w:t>
      </w:r>
      <w:r>
        <w:rPr>
          <w:rFonts w:hint="eastAsia" w:ascii="宋体" w:hAnsi="宋体" w:eastAsia="宋体" w:cs="宋体"/>
          <w:kern w:val="2"/>
          <w:sz w:val="28"/>
          <w:szCs w:val="28"/>
          <w:lang w:val="en-US" w:eastAsia="zh-CN" w:bidi="ar-SA"/>
        </w:rPr>
        <w:t>。</w:t>
      </w:r>
    </w:p>
    <w:p w14:paraId="1C1217A8">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b/>
          <w:bCs/>
          <w:sz w:val="28"/>
          <w:szCs w:val="28"/>
          <w:lang w:val="en-US" w:eastAsia="zh-CN"/>
        </w:rPr>
      </w:pPr>
      <w:bookmarkStart w:id="10" w:name="_Toc8792"/>
      <w:bookmarkStart w:id="11" w:name="_Toc11963"/>
      <w:r>
        <w:rPr>
          <w:rFonts w:hint="eastAsia" w:ascii="宋体" w:hAnsi="宋体" w:eastAsia="宋体" w:cs="宋体"/>
          <w:b/>
          <w:bCs/>
          <w:sz w:val="28"/>
          <w:szCs w:val="28"/>
          <w:lang w:val="en-US" w:eastAsia="zh-CN"/>
        </w:rPr>
        <w:t>产品标记</w:t>
      </w:r>
      <w:bookmarkEnd w:id="10"/>
      <w:bookmarkEnd w:id="11"/>
    </w:p>
    <w:p w14:paraId="39E28170">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应通过钢印、模板喷绘、压制或刻印方法施加标记，但做标记时不应造成零件的变形。所有密封环应标记下述几项内容： </w:t>
      </w:r>
    </w:p>
    <w:p w14:paraId="312596AA">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-制造厂标志或名称</w:t>
      </w:r>
    </w:p>
    <w:p w14:paraId="29539A74">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-材料等级及类型</w:t>
      </w:r>
    </w:p>
    <w:p w14:paraId="3029FC73">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-对应的何种国外卡兰品牌  </w:t>
      </w:r>
    </w:p>
    <w:p w14:paraId="66A1C486">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-公称直径或环号 </w:t>
      </w:r>
    </w:p>
    <w:p w14:paraId="24B74E05">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-材料炉批号</w:t>
      </w:r>
    </w:p>
    <w:p w14:paraId="656C4F29">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outlineLvl w:val="0"/>
        <w:rPr>
          <w:rFonts w:hint="eastAsia" w:ascii="宋体" w:hAnsi="宋体" w:eastAsia="宋体" w:cs="宋体"/>
          <w:kern w:val="2"/>
          <w:sz w:val="28"/>
          <w:szCs w:val="28"/>
          <w:lang w:val="en-US" w:eastAsia="zh-CN" w:bidi="ar-SA"/>
        </w:rPr>
      </w:pPr>
      <w:bookmarkStart w:id="12" w:name="_Toc8202"/>
      <w:bookmarkStart w:id="13" w:name="_Toc6336"/>
      <w:r>
        <w:rPr>
          <w:rFonts w:hint="eastAsia" w:ascii="宋体" w:hAnsi="宋体" w:eastAsia="宋体" w:cs="宋体"/>
          <w:b/>
          <w:bCs/>
          <w:sz w:val="28"/>
          <w:szCs w:val="28"/>
          <w:lang w:val="en-US" w:eastAsia="zh-CN"/>
        </w:rPr>
        <w:t>包装发运要求</w:t>
      </w:r>
      <w:bookmarkEnd w:id="12"/>
      <w:bookmarkEnd w:id="13"/>
    </w:p>
    <w:p w14:paraId="1903D1B5">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1"/>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1. 密封环的标记必须清楚易识别，且不易擦除。  </w:t>
      </w:r>
    </w:p>
    <w:p w14:paraId="158EE208">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2. 所有包装应适合运输，防潮、防震、防锈、防野蛮装卸以及符合盲盖、密封环产品的要求。包装材料由卖方负责，卖方应正确地包装和贮运，以防止其在运输过程中的损坏。在装运之前，必须处于完全干燥、没有湿气或外部杂物的状态；其中包装木箱适合长途运输，以保护产品安全。  </w:t>
      </w:r>
    </w:p>
    <w:p w14:paraId="1235936F">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3. 包装时，密封环的密封面应进行可靠的保护，以免造成损伤。  </w:t>
      </w:r>
    </w:p>
    <w:p w14:paraId="186F56E0">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4. 每个包装箱均应标记箱号，且均应有装箱单，装箱单格式优先执行买方相关文件规定（如有）。装箱单至少应写明订货单位、合同号、收货人、货物名称、规格、材质及数量。箱单应能与箱号一一对应。发货前，卖方应提交装箱单供买方审查。  </w:t>
      </w:r>
    </w:p>
    <w:p w14:paraId="60371A8A">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5. 匹配的各品牌密封环应按品牌类型分开装箱。  </w:t>
      </w:r>
    </w:p>
    <w:p w14:paraId="0F752179">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1"/>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6. 包装物由卖方提供并负责包装，不计费，不回收。  </w:t>
      </w:r>
    </w:p>
    <w:p w14:paraId="68E50EB2">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 由卖方承担运输责任，运输过程中发生的盲盖、密封环的损坏由卖方负责。</w:t>
      </w:r>
    </w:p>
    <w:p w14:paraId="18F504FE">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0"/>
        <w:rPr>
          <w:rFonts w:hint="default" w:ascii="宋体" w:hAnsi="宋体" w:eastAsia="宋体" w:cs="宋体"/>
          <w:kern w:val="2"/>
          <w:sz w:val="28"/>
          <w:szCs w:val="28"/>
          <w:lang w:val="en-US" w:eastAsia="zh-CN" w:bidi="ar-SA"/>
        </w:rPr>
      </w:pPr>
      <w:bookmarkStart w:id="14" w:name="_Toc3914"/>
      <w:bookmarkStart w:id="15" w:name="_Toc12012"/>
      <w:r>
        <w:rPr>
          <w:rFonts w:hint="eastAsia" w:ascii="宋体" w:hAnsi="宋体" w:eastAsia="宋体" w:cs="宋体"/>
          <w:b/>
          <w:bCs/>
          <w:kern w:val="2"/>
          <w:sz w:val="28"/>
          <w:szCs w:val="28"/>
          <w:lang w:val="en-US" w:eastAsia="zh-CN" w:bidi="ar-SA"/>
        </w:rPr>
        <w:t>八、售后服务</w:t>
      </w:r>
      <w:bookmarkEnd w:id="14"/>
      <w:bookmarkEnd w:id="15"/>
    </w:p>
    <w:p w14:paraId="1BDAAE58">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1. </w:t>
      </w:r>
      <w:r>
        <w:rPr>
          <w:rFonts w:hint="default" w:ascii="宋体" w:hAnsi="宋体" w:eastAsia="宋体" w:cs="宋体"/>
          <w:kern w:val="2"/>
          <w:sz w:val="28"/>
          <w:szCs w:val="28"/>
          <w:lang w:val="en-US" w:eastAsia="zh-CN" w:bidi="ar-SA"/>
        </w:rPr>
        <w:t>买方在</w:t>
      </w:r>
      <w:r>
        <w:rPr>
          <w:rFonts w:hint="eastAsia" w:ascii="宋体" w:hAnsi="宋体" w:eastAsia="宋体" w:cs="宋体"/>
          <w:kern w:val="2"/>
          <w:sz w:val="28"/>
          <w:szCs w:val="28"/>
          <w:lang w:val="en-US" w:eastAsia="zh-CN" w:bidi="ar-SA"/>
        </w:rPr>
        <w:t>物资</w:t>
      </w:r>
      <w:r>
        <w:rPr>
          <w:rFonts w:hint="default" w:ascii="宋体" w:hAnsi="宋体" w:eastAsia="宋体" w:cs="宋体"/>
          <w:kern w:val="2"/>
          <w:sz w:val="28"/>
          <w:szCs w:val="28"/>
          <w:lang w:val="en-US" w:eastAsia="zh-CN" w:bidi="ar-SA"/>
        </w:rPr>
        <w:t>安装前一周通知卖方，卖方应及时安排专业技术人员到达业主装置现场进行现场安装指导、培训。培训对象包括但不限于业主技术人员、保运人员、施工队。</w:t>
      </w:r>
    </w:p>
    <w:p w14:paraId="3C9EBFEF">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 卖方提供的产品必须符合买方技术协议和标准的规定。若卖方产品有任意一项不符合技术协议和标准的规定，则产品视为不合格，不合格产品进行退货处理，卖方应根据不合格产品的数量和规格，必须补齐相同数量和规格的合格产品。买方保留向卖方就不合格产品导致的额外费用进行索赔的权利。</w:t>
      </w:r>
    </w:p>
    <w:p w14:paraId="15CAECAA">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eastAsia"/>
          <w:lang w:val="en-US" w:eastAsia="zh-CN"/>
        </w:rPr>
      </w:pPr>
      <w:r>
        <w:rPr>
          <w:rFonts w:hint="eastAsia" w:ascii="宋体" w:hAnsi="宋体" w:eastAsia="宋体" w:cs="宋体"/>
          <w:b w:val="0"/>
          <w:kern w:val="2"/>
          <w:sz w:val="28"/>
          <w:szCs w:val="28"/>
          <w:lang w:val="en-US" w:eastAsia="zh-CN" w:bidi="ar-SA"/>
        </w:rPr>
        <w:t>3. 在质保期内，卖方对买方由于质量问题提出的技术服务要求，接到通知后24小时内作出响应和答复，在尽可能短(最迟48小时内)的时间内派有经验的技术人员到达现场处理。</w:t>
      </w:r>
    </w:p>
    <w:p w14:paraId="4C22169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Roma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0EFE0">
    <w:pPr>
      <w:pStyle w:val="5"/>
      <w:tabs>
        <w:tab w:val="center" w:pos="4472"/>
        <w:tab w:val="left" w:pos="6480"/>
      </w:tabs>
      <w:ind w:right="360"/>
      <w:jc w:val="left"/>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881B0">
                          <w:pPr>
                            <w:pStyle w:val="5"/>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C881B0">
                    <w:pPr>
                      <w:pStyle w:val="5"/>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w:t>
                    </w:r>
                    <w:r>
                      <w:t>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BA0243"/>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BBA0243"/>
                </w:txbxContent>
              </v:textbox>
            </v:shape>
          </w:pict>
        </mc:Fallback>
      </mc:AlternateContent>
    </w:r>
    <w:r>
      <w:rPr>
        <w:rFonts w:hint="eastAsia"/>
        <w:lang w:val="en-US" w:eastAsia="zh-CN"/>
      </w:rPr>
      <w:tab/>
    </w:r>
    <w:r>
      <w:rPr>
        <w:rFonts w:hint="eastAsia"/>
        <w:lang w:val="en-US"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150">
    <w:pPr>
      <w:pStyle w:val="6"/>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EDD35"/>
    <w:multiLevelType w:val="singleLevel"/>
    <w:tmpl w:val="897EDD35"/>
    <w:lvl w:ilvl="0" w:tentative="0">
      <w:start w:val="1"/>
      <w:numFmt w:val="decimal"/>
      <w:suff w:val="space"/>
      <w:lvlText w:val="%1."/>
      <w:lvlJc w:val="left"/>
      <w:pPr>
        <w:ind w:left="0" w:firstLine="40"/>
      </w:pPr>
    </w:lvl>
  </w:abstractNum>
  <w:abstractNum w:abstractNumId="1">
    <w:nsid w:val="8E3AC80A"/>
    <w:multiLevelType w:val="singleLevel"/>
    <w:tmpl w:val="8E3AC80A"/>
    <w:lvl w:ilvl="0" w:tentative="0">
      <w:start w:val="1"/>
      <w:numFmt w:val="chineseCounting"/>
      <w:suff w:val="nothing"/>
      <w:lvlText w:val="%1、"/>
      <w:lvlJc w:val="left"/>
      <w:rPr>
        <w:rFonts w:hint="eastAsia"/>
      </w:rPr>
    </w:lvl>
  </w:abstractNum>
  <w:abstractNum w:abstractNumId="2">
    <w:nsid w:val="E5ACB9ED"/>
    <w:multiLevelType w:val="singleLevel"/>
    <w:tmpl w:val="E5ACB9ED"/>
    <w:lvl w:ilvl="0" w:tentative="0">
      <w:start w:val="1"/>
      <w:numFmt w:val="decimal"/>
      <w:suff w:val="space"/>
      <w:lvlText w:val="%1."/>
      <w:lvlJc w:val="left"/>
      <w:pPr>
        <w:ind w:left="0" w:leftChars="0" w:firstLine="40" w:firstLineChars="0"/>
      </w:pPr>
    </w:lvl>
  </w:abstractNum>
  <w:abstractNum w:abstractNumId="3">
    <w:nsid w:val="EA0A0114"/>
    <w:multiLevelType w:val="multilevel"/>
    <w:tmpl w:val="EA0A0114"/>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F043B0F4"/>
    <w:multiLevelType w:val="singleLevel"/>
    <w:tmpl w:val="F043B0F4"/>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WU1ODdiOTQzZDYyY2RiMjFkOGNmNjE4MTMyOTkifQ=="/>
  </w:docVars>
  <w:rsids>
    <w:rsidRoot w:val="00000000"/>
    <w:rsid w:val="03201360"/>
    <w:rsid w:val="045D61BE"/>
    <w:rsid w:val="04ED2D68"/>
    <w:rsid w:val="05762DCC"/>
    <w:rsid w:val="05FA65EA"/>
    <w:rsid w:val="06147E59"/>
    <w:rsid w:val="066F56EB"/>
    <w:rsid w:val="07271627"/>
    <w:rsid w:val="080C703A"/>
    <w:rsid w:val="09905E87"/>
    <w:rsid w:val="0ACA1658"/>
    <w:rsid w:val="0B9C6927"/>
    <w:rsid w:val="0BE65DF4"/>
    <w:rsid w:val="0C230DF6"/>
    <w:rsid w:val="0F9B2D3F"/>
    <w:rsid w:val="10FE773C"/>
    <w:rsid w:val="12303925"/>
    <w:rsid w:val="12466BC6"/>
    <w:rsid w:val="129A3494"/>
    <w:rsid w:val="14074B59"/>
    <w:rsid w:val="140C2170"/>
    <w:rsid w:val="14333BA0"/>
    <w:rsid w:val="15522E28"/>
    <w:rsid w:val="166B7ACC"/>
    <w:rsid w:val="16A13043"/>
    <w:rsid w:val="16E55368"/>
    <w:rsid w:val="177B1913"/>
    <w:rsid w:val="184C6142"/>
    <w:rsid w:val="19A25874"/>
    <w:rsid w:val="19F722EA"/>
    <w:rsid w:val="1A4C59BC"/>
    <w:rsid w:val="1B9238A2"/>
    <w:rsid w:val="1BAD4238"/>
    <w:rsid w:val="1CC57360"/>
    <w:rsid w:val="1E0D5462"/>
    <w:rsid w:val="1E4946EC"/>
    <w:rsid w:val="1EB51819"/>
    <w:rsid w:val="1ED24843"/>
    <w:rsid w:val="1F144E73"/>
    <w:rsid w:val="20F66DB0"/>
    <w:rsid w:val="210668C5"/>
    <w:rsid w:val="21BF0821"/>
    <w:rsid w:val="222175E4"/>
    <w:rsid w:val="222A4B6D"/>
    <w:rsid w:val="22963C78"/>
    <w:rsid w:val="22B30583"/>
    <w:rsid w:val="22EB40D2"/>
    <w:rsid w:val="23152DEF"/>
    <w:rsid w:val="23EB6868"/>
    <w:rsid w:val="24114385"/>
    <w:rsid w:val="243279D1"/>
    <w:rsid w:val="245040DE"/>
    <w:rsid w:val="246A0F18"/>
    <w:rsid w:val="248629DC"/>
    <w:rsid w:val="26CD39E1"/>
    <w:rsid w:val="2899521D"/>
    <w:rsid w:val="2A614DAF"/>
    <w:rsid w:val="2A68414C"/>
    <w:rsid w:val="2B97636B"/>
    <w:rsid w:val="2EDE49DD"/>
    <w:rsid w:val="2F7C5FA4"/>
    <w:rsid w:val="2FD0400A"/>
    <w:rsid w:val="300A1801"/>
    <w:rsid w:val="30C916BD"/>
    <w:rsid w:val="31480833"/>
    <w:rsid w:val="31E16592"/>
    <w:rsid w:val="32056724"/>
    <w:rsid w:val="32A45F3D"/>
    <w:rsid w:val="336F2325"/>
    <w:rsid w:val="346C24D7"/>
    <w:rsid w:val="34AE3A24"/>
    <w:rsid w:val="34D77D35"/>
    <w:rsid w:val="34DB5135"/>
    <w:rsid w:val="35D2691D"/>
    <w:rsid w:val="35E259C7"/>
    <w:rsid w:val="36E5166C"/>
    <w:rsid w:val="374534D2"/>
    <w:rsid w:val="377B5ECA"/>
    <w:rsid w:val="395B4E7C"/>
    <w:rsid w:val="3A775CE5"/>
    <w:rsid w:val="3AF640B9"/>
    <w:rsid w:val="3C3C0F95"/>
    <w:rsid w:val="3E00245E"/>
    <w:rsid w:val="3E4F0D94"/>
    <w:rsid w:val="3E95269E"/>
    <w:rsid w:val="3EBB0897"/>
    <w:rsid w:val="415D3E87"/>
    <w:rsid w:val="431B5DA8"/>
    <w:rsid w:val="434F5A51"/>
    <w:rsid w:val="441C2E2D"/>
    <w:rsid w:val="4505448C"/>
    <w:rsid w:val="454113CA"/>
    <w:rsid w:val="45B93656"/>
    <w:rsid w:val="466D1286"/>
    <w:rsid w:val="47134245"/>
    <w:rsid w:val="48CA7D42"/>
    <w:rsid w:val="49AF724A"/>
    <w:rsid w:val="49E1317B"/>
    <w:rsid w:val="49FE7635"/>
    <w:rsid w:val="4A050C18"/>
    <w:rsid w:val="4CB076DD"/>
    <w:rsid w:val="4CF65190"/>
    <w:rsid w:val="4CF72E5F"/>
    <w:rsid w:val="4EA73BC3"/>
    <w:rsid w:val="4ED82D9F"/>
    <w:rsid w:val="5006393C"/>
    <w:rsid w:val="511A2F4B"/>
    <w:rsid w:val="51EE6435"/>
    <w:rsid w:val="52BE405A"/>
    <w:rsid w:val="53AE5A53"/>
    <w:rsid w:val="54767AC8"/>
    <w:rsid w:val="54FC48C4"/>
    <w:rsid w:val="561352C1"/>
    <w:rsid w:val="569A6B04"/>
    <w:rsid w:val="58253672"/>
    <w:rsid w:val="589F66DB"/>
    <w:rsid w:val="5A386DE8"/>
    <w:rsid w:val="5A584D94"/>
    <w:rsid w:val="5A99345B"/>
    <w:rsid w:val="5B9242D5"/>
    <w:rsid w:val="5BAA0022"/>
    <w:rsid w:val="5C4C6AD5"/>
    <w:rsid w:val="5CF50ED2"/>
    <w:rsid w:val="5DDC1489"/>
    <w:rsid w:val="5DE87221"/>
    <w:rsid w:val="5E2A2EEB"/>
    <w:rsid w:val="5E766130"/>
    <w:rsid w:val="5FD9280A"/>
    <w:rsid w:val="60E94744"/>
    <w:rsid w:val="637F15E3"/>
    <w:rsid w:val="661029C7"/>
    <w:rsid w:val="66896FA3"/>
    <w:rsid w:val="66A46758"/>
    <w:rsid w:val="66CD08B8"/>
    <w:rsid w:val="6744501E"/>
    <w:rsid w:val="67E265E5"/>
    <w:rsid w:val="680227E3"/>
    <w:rsid w:val="68DD3CF0"/>
    <w:rsid w:val="68E35133"/>
    <w:rsid w:val="697370F4"/>
    <w:rsid w:val="699658D9"/>
    <w:rsid w:val="6ABD7D4C"/>
    <w:rsid w:val="6AE54422"/>
    <w:rsid w:val="6B0845B4"/>
    <w:rsid w:val="6C2E1DF8"/>
    <w:rsid w:val="6C40264F"/>
    <w:rsid w:val="6DE22867"/>
    <w:rsid w:val="6F062BB9"/>
    <w:rsid w:val="6F064FA0"/>
    <w:rsid w:val="6F40431D"/>
    <w:rsid w:val="70585696"/>
    <w:rsid w:val="713F03DD"/>
    <w:rsid w:val="71EB10CF"/>
    <w:rsid w:val="725A21C1"/>
    <w:rsid w:val="73072A84"/>
    <w:rsid w:val="73585C05"/>
    <w:rsid w:val="73C0182D"/>
    <w:rsid w:val="74220495"/>
    <w:rsid w:val="7438542E"/>
    <w:rsid w:val="74C07CAE"/>
    <w:rsid w:val="75E74B4A"/>
    <w:rsid w:val="7648379E"/>
    <w:rsid w:val="76982B3F"/>
    <w:rsid w:val="7709764F"/>
    <w:rsid w:val="772A140E"/>
    <w:rsid w:val="78713799"/>
    <w:rsid w:val="7948710D"/>
    <w:rsid w:val="79BF22E2"/>
    <w:rsid w:val="7A5B7181"/>
    <w:rsid w:val="7C745650"/>
    <w:rsid w:val="7DA97531"/>
    <w:rsid w:val="7DE1257B"/>
    <w:rsid w:val="7E6C1BDB"/>
    <w:rsid w:val="7E77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outlineLvl w:val="1"/>
    </w:pPr>
    <w:rPr>
      <w:rFonts w:ascii="Arial" w:hAnsi="Arial"/>
      <w:b/>
    </w:rPr>
  </w:style>
  <w:style w:type="paragraph" w:styleId="3">
    <w:name w:val="heading 3"/>
    <w:basedOn w:val="1"/>
    <w:next w:val="4"/>
    <w:autoRedefine/>
    <w:qFormat/>
    <w:uiPriority w:val="0"/>
    <w:pPr>
      <w:keepNext/>
      <w:outlineLvl w:val="2"/>
    </w:pPr>
    <w:rPr>
      <w:rFonts w:ascii="Arial" w:hAnsi="Arial"/>
      <w:b/>
      <w:sz w:val="2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4">
    <w:name w:val="Text"/>
    <w:autoRedefine/>
    <w:qFormat/>
    <w:uiPriority w:val="0"/>
    <w:pPr>
      <w:spacing w:before="120" w:line="360" w:lineRule="auto"/>
      <w:ind w:left="1134" w:right="567"/>
      <w:jc w:val="both"/>
    </w:pPr>
    <w:rPr>
      <w:rFonts w:ascii="Arial" w:hAnsi="Arial" w:eastAsia="宋体" w:cs="Times New Roman"/>
      <w:lang w:val="en-US" w:eastAsia="zh-CN" w:bidi="ar-SA"/>
    </w:rPr>
  </w:style>
  <w:style w:type="paragraph" w:styleId="5">
    <w:name w:val="footer"/>
    <w:basedOn w:val="1"/>
    <w:qFormat/>
    <w:uiPriority w:val="0"/>
    <w:pPr>
      <w:tabs>
        <w:tab w:val="center" w:pos="4153"/>
        <w:tab w:val="right" w:pos="8306"/>
      </w:tabs>
      <w:snapToGrid w:val="0"/>
      <w:jc w:val="left"/>
    </w:pPr>
    <w:rPr>
      <w:rFonts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cs="Times New Roman"/>
      <w:sz w:val="18"/>
    </w:rPr>
  </w:style>
  <w:style w:type="paragraph" w:styleId="7">
    <w:name w:val="toc 1"/>
    <w:basedOn w:val="1"/>
    <w:next w:val="1"/>
    <w:qFormat/>
    <w:uiPriority w:val="0"/>
  </w:style>
  <w:style w:type="paragraph" w:styleId="8">
    <w:name w:val="Normal (Web)"/>
    <w:basedOn w:val="1"/>
    <w:qFormat/>
    <w:uiPriority w:val="99"/>
    <w:pPr>
      <w:spacing w:before="100" w:beforeAutospacing="1" w:after="100" w:afterAutospacing="1" w:line="240" w:lineRule="auto"/>
      <w:jc w:val="both"/>
    </w:pPr>
    <w:rPr>
      <w:rFonts w:ascii="宋体" w:hAnsi="宋体" w:eastAsia="宋体" w:cs="宋体"/>
      <w:sz w:val="24"/>
      <w14:ligatures w14: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style01"/>
    <w:autoRedefine/>
    <w:qFormat/>
    <w:uiPriority w:val="0"/>
    <w:rPr>
      <w:rFonts w:hint="default" w:ascii="Times-Roman" w:hAnsi="Times-Roman"/>
      <w:color w:val="1C1C1C"/>
      <w:sz w:val="20"/>
      <w:szCs w:val="20"/>
    </w:rPr>
  </w:style>
  <w:style w:type="paragraph" w:styleId="13">
    <w:name w:val="List Paragraph"/>
    <w:basedOn w:val="1"/>
    <w:autoRedefine/>
    <w:qFormat/>
    <w:uiPriority w:val="34"/>
    <w:pPr>
      <w:ind w:left="720"/>
    </w:p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639</Words>
  <Characters>785</Characters>
  <Lines>0</Lines>
  <Paragraphs>0</Paragraphs>
  <TotalTime>106</TotalTime>
  <ScaleCrop>false</ScaleCrop>
  <LinksUpToDate>false</LinksUpToDate>
  <CharactersWithSpaces>855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兰石植源1</dc:creator>
  <cp:lastModifiedBy>张华娟</cp:lastModifiedBy>
  <cp:lastPrinted>2025-08-14T07:31:00Z</cp:lastPrinted>
  <dcterms:modified xsi:type="dcterms:W3CDTF">2025-10-10T09:23:01Z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727751834EFE4447A2E3B931BA4C88F6</vt:lpwstr>
  </property>
  <property fmtid="{D5CDD505-2E9C-101B-9397-08002B2CF9AE}" pid="4" name="KSOTemplateDocerSaveRecord">
    <vt:lpwstr>eyJoZGlkIjoiM2RjZTMyYzJjNTA4OWEwZTA4YTBlMjcyOTRiYjQzNmYiLCJ1c2VySWQiOiIxNTY4Mzk2MzIyIn0=</vt:lpwstr>
  </property>
</Properties>
</file>