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5"/>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7115F042">
      <w:pPr>
        <w:pStyle w:val="5"/>
        <w:jc w:val="center"/>
        <w:rPr>
          <w:rFonts w:hint="eastAsia" w:ascii="宋体" w:hAnsi="宋体" w:eastAsia="宋体" w:cs="宋体"/>
          <w:b/>
          <w:color w:val="FF0000"/>
          <w:sz w:val="48"/>
          <w:szCs w:val="48"/>
          <w:u w:val="single"/>
          <w:lang w:eastAsia="zh-CN"/>
        </w:rPr>
      </w:pPr>
      <w:r>
        <w:rPr>
          <w:rFonts w:hint="eastAsia" w:cs="宋体"/>
          <w:b/>
          <w:color w:val="FF0000"/>
          <w:sz w:val="48"/>
          <w:szCs w:val="48"/>
          <w:u w:val="single"/>
          <w:lang w:eastAsia="zh-CN"/>
        </w:rPr>
        <w:t>43-C-202塔顶气相余热利用项目钢结构框架</w:t>
      </w:r>
      <w:r>
        <w:rPr>
          <w:rFonts w:hint="eastAsia" w:cs="宋体"/>
          <w:b/>
          <w:color w:val="FF0000"/>
          <w:sz w:val="48"/>
          <w:szCs w:val="48"/>
          <w:u w:val="single"/>
          <w:lang w:val="en-US" w:eastAsia="zh-CN"/>
        </w:rPr>
        <w:t>采购</w:t>
      </w:r>
      <w:r>
        <w:rPr>
          <w:rFonts w:hint="eastAsia" w:ascii="宋体" w:hAnsi="宋体" w:eastAsia="宋体" w:cs="宋体"/>
          <w:b/>
          <w:color w:val="FF0000"/>
          <w:sz w:val="48"/>
          <w:szCs w:val="48"/>
          <w:u w:val="single"/>
          <w:lang w:eastAsia="zh-CN"/>
        </w:rPr>
        <w:t>项目</w:t>
      </w:r>
    </w:p>
    <w:p w14:paraId="157BEC94">
      <w:pPr>
        <w:pStyle w:val="5"/>
        <w:jc w:val="center"/>
        <w:rPr>
          <w:rFonts w:hint="eastAsia" w:ascii="宋体" w:hAnsi="宋体" w:eastAsia="宋体" w:cs="宋体"/>
          <w:b/>
          <w:color w:val="FF0000"/>
          <w:sz w:val="72"/>
          <w:szCs w:val="72"/>
          <w:u w:val="single"/>
          <w:lang w:eastAsia="zh-CN"/>
        </w:rPr>
      </w:pPr>
      <w:r>
        <w:rPr>
          <w:rFonts w:hint="eastAsia" w:cs="宋体"/>
          <w:b/>
          <w:color w:val="FF0000"/>
          <w:sz w:val="48"/>
          <w:szCs w:val="48"/>
          <w:u w:val="single"/>
          <w:lang w:val="en-US" w:eastAsia="zh-CN"/>
        </w:rPr>
        <w:t>非招</w:t>
      </w:r>
      <w:r>
        <w:rPr>
          <w:rFonts w:hint="eastAsia" w:ascii="宋体" w:hAnsi="宋体" w:eastAsia="宋体" w:cs="宋体"/>
          <w:b/>
          <w:color w:val="FF0000"/>
          <w:sz w:val="48"/>
          <w:szCs w:val="48"/>
          <w:u w:val="single"/>
          <w:lang w:eastAsia="zh-CN"/>
        </w:rPr>
        <w:t>询比文件</w:t>
      </w:r>
    </w:p>
    <w:p w14:paraId="3E0186C7">
      <w:pPr>
        <w:pStyle w:val="17"/>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QGD-3122-260512-0738</w:t>
      </w:r>
      <w:r>
        <w:rPr>
          <w:rFonts w:hint="eastAsia" w:ascii="宋体" w:hAnsi="宋体" w:eastAsia="宋体" w:cs="宋体"/>
          <w:sz w:val="28"/>
          <w:szCs w:val="28"/>
        </w:rPr>
        <w:t xml:space="preserve"> ）</w:t>
      </w:r>
    </w:p>
    <w:p w14:paraId="17FE584D">
      <w:pPr>
        <w:pStyle w:val="5"/>
        <w:rPr>
          <w:rFonts w:hint="eastAsia" w:ascii="宋体" w:hAnsi="宋体" w:eastAsia="宋体" w:cs="宋体"/>
          <w:b/>
          <w:sz w:val="94"/>
          <w:lang w:eastAsia="zh-CN"/>
        </w:rPr>
      </w:pPr>
    </w:p>
    <w:p w14:paraId="5A26101B">
      <w:pPr>
        <w:pStyle w:val="5"/>
        <w:rPr>
          <w:rFonts w:hint="eastAsia" w:ascii="宋体" w:hAnsi="宋体" w:eastAsia="宋体" w:cs="宋体"/>
          <w:b/>
          <w:sz w:val="94"/>
          <w:lang w:eastAsia="zh-CN"/>
        </w:rPr>
      </w:pPr>
    </w:p>
    <w:p w14:paraId="4D364419">
      <w:pPr>
        <w:pStyle w:val="5"/>
        <w:rPr>
          <w:rFonts w:hint="eastAsia" w:ascii="宋体" w:hAnsi="宋体" w:eastAsia="宋体" w:cs="宋体"/>
          <w:b/>
          <w:sz w:val="32"/>
          <w:szCs w:val="32"/>
          <w:lang w:eastAsia="zh-CN"/>
        </w:rPr>
      </w:pPr>
    </w:p>
    <w:p w14:paraId="004F3CCF">
      <w:pPr>
        <w:pStyle w:val="5"/>
        <w:rPr>
          <w:rFonts w:hint="eastAsia" w:ascii="宋体" w:hAnsi="宋体" w:eastAsia="宋体" w:cs="宋体"/>
          <w:b/>
          <w:sz w:val="32"/>
          <w:szCs w:val="32"/>
          <w:lang w:eastAsia="zh-CN"/>
        </w:rPr>
      </w:pPr>
    </w:p>
    <w:p w14:paraId="28C5BEAD">
      <w:pPr>
        <w:pStyle w:val="5"/>
        <w:rPr>
          <w:rFonts w:hint="eastAsia" w:ascii="宋体" w:hAnsi="宋体" w:eastAsia="宋体" w:cs="宋体"/>
          <w:b/>
          <w:sz w:val="32"/>
          <w:szCs w:val="32"/>
          <w:lang w:eastAsia="zh-CN"/>
        </w:rPr>
      </w:pPr>
    </w:p>
    <w:p w14:paraId="398573E0">
      <w:pPr>
        <w:pStyle w:val="5"/>
        <w:rPr>
          <w:rFonts w:hint="eastAsia" w:ascii="宋体" w:hAnsi="宋体" w:eastAsia="宋体" w:cs="宋体"/>
          <w:b/>
          <w:sz w:val="32"/>
          <w:szCs w:val="32"/>
          <w:lang w:eastAsia="zh-CN"/>
        </w:rPr>
      </w:pPr>
    </w:p>
    <w:p w14:paraId="7262C469">
      <w:pPr>
        <w:pStyle w:val="5"/>
        <w:rPr>
          <w:rFonts w:hint="eastAsia" w:ascii="宋体" w:hAnsi="宋体" w:eastAsia="宋体" w:cs="宋体"/>
          <w:b/>
          <w:sz w:val="32"/>
          <w:szCs w:val="32"/>
          <w:lang w:eastAsia="zh-CN"/>
        </w:rPr>
      </w:pPr>
    </w:p>
    <w:p w14:paraId="3CF6428C">
      <w:pPr>
        <w:pStyle w:val="17"/>
        <w:jc w:val="center"/>
        <w:rPr>
          <w:rFonts w:hint="eastAsia" w:ascii="宋体" w:hAnsi="宋体" w:eastAsia="宋体" w:cs="宋体"/>
          <w:b/>
          <w:sz w:val="28"/>
          <w:szCs w:val="28"/>
        </w:rPr>
      </w:pPr>
    </w:p>
    <w:p w14:paraId="05F33D11">
      <w:pPr>
        <w:pStyle w:val="17"/>
        <w:jc w:val="center"/>
        <w:rPr>
          <w:rFonts w:hint="eastAsia" w:ascii="宋体" w:hAnsi="宋体" w:eastAsia="宋体" w:cs="宋体"/>
          <w:b/>
          <w:sz w:val="28"/>
          <w:szCs w:val="28"/>
        </w:rPr>
      </w:pPr>
    </w:p>
    <w:p w14:paraId="21DB5A8A">
      <w:pPr>
        <w:pStyle w:val="17"/>
        <w:jc w:val="center"/>
        <w:rPr>
          <w:rFonts w:hint="eastAsia" w:ascii="宋体" w:hAnsi="宋体" w:eastAsia="宋体" w:cs="宋体"/>
          <w:b/>
          <w:sz w:val="28"/>
          <w:szCs w:val="28"/>
        </w:rPr>
      </w:pPr>
    </w:p>
    <w:p w14:paraId="31D8A99D">
      <w:pPr>
        <w:pStyle w:val="17"/>
        <w:jc w:val="center"/>
        <w:rPr>
          <w:rFonts w:hint="eastAsia" w:ascii="宋体" w:hAnsi="宋体" w:eastAsia="宋体" w:cs="宋体"/>
          <w:b/>
          <w:sz w:val="28"/>
          <w:szCs w:val="28"/>
        </w:rPr>
      </w:pPr>
    </w:p>
    <w:p w14:paraId="1150F103">
      <w:pPr>
        <w:pStyle w:val="17"/>
        <w:jc w:val="center"/>
        <w:rPr>
          <w:rFonts w:hint="eastAsia" w:ascii="宋体" w:hAnsi="宋体" w:eastAsia="宋体" w:cs="宋体"/>
          <w:b/>
          <w:sz w:val="28"/>
          <w:szCs w:val="28"/>
        </w:rPr>
      </w:pPr>
    </w:p>
    <w:p w14:paraId="46E218A1">
      <w:pPr>
        <w:pStyle w:val="17"/>
        <w:jc w:val="center"/>
        <w:rPr>
          <w:rFonts w:hint="eastAsia" w:ascii="宋体" w:hAnsi="宋体" w:eastAsia="宋体" w:cs="宋体"/>
          <w:b/>
          <w:sz w:val="28"/>
          <w:szCs w:val="28"/>
        </w:rPr>
      </w:pPr>
    </w:p>
    <w:p w14:paraId="3E1905F6">
      <w:pPr>
        <w:pStyle w:val="17"/>
        <w:jc w:val="center"/>
        <w:rPr>
          <w:rFonts w:hint="eastAsia" w:ascii="宋体" w:hAnsi="宋体" w:eastAsia="宋体" w:cs="宋体"/>
          <w:b/>
          <w:sz w:val="28"/>
          <w:szCs w:val="28"/>
        </w:rPr>
      </w:pPr>
    </w:p>
    <w:p w14:paraId="05A40631">
      <w:pPr>
        <w:pStyle w:val="17"/>
        <w:jc w:val="center"/>
        <w:rPr>
          <w:rFonts w:hint="eastAsia" w:ascii="宋体" w:hAnsi="宋体" w:eastAsia="宋体" w:cs="宋体"/>
          <w:b/>
          <w:sz w:val="28"/>
          <w:szCs w:val="28"/>
        </w:rPr>
      </w:pPr>
    </w:p>
    <w:p w14:paraId="521732B7">
      <w:pPr>
        <w:pStyle w:val="17"/>
        <w:jc w:val="center"/>
        <w:rPr>
          <w:rFonts w:hint="eastAsia" w:ascii="宋体" w:hAnsi="宋体" w:eastAsia="宋体" w:cs="宋体"/>
          <w:b/>
          <w:sz w:val="28"/>
          <w:szCs w:val="28"/>
        </w:rPr>
      </w:pPr>
    </w:p>
    <w:p w14:paraId="0D167314">
      <w:pPr>
        <w:pStyle w:val="17"/>
        <w:jc w:val="center"/>
        <w:rPr>
          <w:rFonts w:hint="eastAsia" w:ascii="宋体" w:hAnsi="宋体" w:eastAsia="宋体" w:cs="宋体"/>
          <w:b/>
          <w:sz w:val="28"/>
          <w:szCs w:val="28"/>
        </w:rPr>
      </w:pPr>
    </w:p>
    <w:p w14:paraId="03DB5B84">
      <w:pPr>
        <w:pStyle w:val="17"/>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78E2B9D7">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年</w:t>
      </w:r>
      <w:r>
        <w:rPr>
          <w:rFonts w:hint="eastAsia" w:cs="宋体"/>
          <w:b/>
          <w:color w:val="FF0000"/>
          <w:w w:val="95"/>
          <w:sz w:val="32"/>
          <w:lang w:val="en-US" w:eastAsia="zh-CN"/>
        </w:rPr>
        <w:t>五</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5"/>
        <w:rPr>
          <w:rFonts w:hint="eastAsia" w:ascii="宋体" w:hAnsi="宋体" w:eastAsia="宋体" w:cs="宋体"/>
          <w:sz w:val="20"/>
          <w:lang w:eastAsia="zh-CN"/>
        </w:rPr>
      </w:pPr>
    </w:p>
    <w:p w14:paraId="1BDB9FBE">
      <w:pPr>
        <w:pStyle w:val="5"/>
        <w:rPr>
          <w:rFonts w:hint="eastAsia" w:ascii="宋体" w:hAnsi="宋体" w:eastAsia="宋体" w:cs="宋体"/>
          <w:sz w:val="20"/>
          <w:lang w:eastAsia="zh-CN"/>
        </w:rPr>
      </w:pPr>
    </w:p>
    <w:p w14:paraId="7AB87184">
      <w:pPr>
        <w:pStyle w:val="5"/>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6352767E">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17"/>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1B58A6DB">
      <w:pPr>
        <w:jc w:val="center"/>
        <w:rPr>
          <w:rFonts w:hint="eastAsia" w:ascii="宋体" w:hAnsi="宋体" w:eastAsia="宋体" w:cs="宋体"/>
          <w:b/>
          <w:bCs/>
          <w:color w:val="FF0000"/>
          <w:sz w:val="32"/>
          <w:shd w:val="pct10" w:color="auto" w:fill="FFFFFF"/>
          <w:lang w:eastAsia="zh-CN"/>
        </w:rPr>
      </w:pPr>
      <w:r>
        <w:rPr>
          <w:rFonts w:hint="eastAsia" w:cs="宋体"/>
          <w:b/>
          <w:bCs/>
          <w:color w:val="FF0000"/>
          <w:sz w:val="32"/>
          <w:shd w:val="pct10" w:color="auto" w:fill="FFFFFF"/>
          <w:lang w:eastAsia="zh-CN"/>
        </w:rPr>
        <w:t>43-C-202塔顶气相余热利用项目钢结构框架</w:t>
      </w:r>
      <w:r>
        <w:rPr>
          <w:rFonts w:hint="eastAsia" w:ascii="宋体" w:hAnsi="宋体" w:eastAsia="宋体" w:cs="宋体"/>
          <w:b/>
          <w:bCs/>
          <w:color w:val="FF0000"/>
          <w:sz w:val="32"/>
          <w:shd w:val="pct10" w:color="auto" w:fill="FFFFFF"/>
          <w:lang w:eastAsia="zh-CN"/>
        </w:rPr>
        <w:t>采购项目</w:t>
      </w:r>
    </w:p>
    <w:p w14:paraId="01AC7060">
      <w:pPr>
        <w:jc w:val="center"/>
        <w:rPr>
          <w:rFonts w:hint="eastAsia" w:ascii="宋体" w:hAnsi="宋体" w:eastAsia="宋体" w:cs="宋体"/>
          <w:b/>
          <w:bCs/>
          <w:sz w:val="32"/>
          <w:lang w:eastAsia="zh-CN"/>
        </w:rPr>
      </w:pPr>
      <w:r>
        <w:rPr>
          <w:rFonts w:hint="eastAsia" w:ascii="宋体" w:hAnsi="宋体" w:eastAsia="宋体" w:cs="宋体"/>
          <w:b/>
          <w:bCs/>
          <w:sz w:val="32"/>
          <w:lang w:eastAsia="zh-CN"/>
        </w:rPr>
        <w:t>询比公告</w:t>
      </w:r>
    </w:p>
    <w:p w14:paraId="6E3F3F23">
      <w:pPr>
        <w:pStyle w:val="5"/>
        <w:rPr>
          <w:rFonts w:hint="eastAsia" w:ascii="宋体" w:hAnsi="宋体" w:eastAsia="宋体" w:cs="宋体"/>
          <w:b/>
          <w:sz w:val="28"/>
          <w:lang w:eastAsia="zh-CN"/>
        </w:rPr>
      </w:pPr>
    </w:p>
    <w:p w14:paraId="0F0D0DF4">
      <w:pPr>
        <w:pStyle w:val="5"/>
        <w:spacing w:before="26"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eastAsia="zh-CN"/>
        </w:rPr>
        <w:t>43-C-202塔顶气相余热利用项目钢结构框架采购项目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QGD-3122-260512-0738</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w:t>
      </w:r>
      <w:r>
        <w:rPr>
          <w:rFonts w:hint="eastAsia" w:cs="宋体"/>
          <w:sz w:val="28"/>
          <w:szCs w:val="28"/>
          <w:lang w:eastAsia="zh-CN"/>
        </w:rPr>
        <w:t>厂</w:t>
      </w:r>
      <w:r>
        <w:rPr>
          <w:rFonts w:hint="eastAsia" w:ascii="宋体" w:hAnsi="宋体" w:eastAsia="宋体" w:cs="宋体"/>
          <w:sz w:val="28"/>
          <w:szCs w:val="28"/>
          <w:lang w:eastAsia="zh-CN"/>
        </w:rPr>
        <w:t>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315D439F">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43-C-202塔顶气相余热利用项目钢结构框架</w:t>
      </w:r>
      <w:r>
        <w:rPr>
          <w:rFonts w:hint="eastAsia" w:ascii="宋体" w:hAnsi="宋体" w:eastAsia="宋体" w:cs="宋体"/>
          <w:sz w:val="28"/>
          <w:szCs w:val="28"/>
          <w:lang w:val="en-US" w:eastAsia="zh-CN"/>
        </w:rPr>
        <w:t>采购项目</w:t>
      </w:r>
    </w:p>
    <w:p w14:paraId="01D0E00B">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2.询比项目说明：</w:t>
      </w:r>
    </w:p>
    <w:p w14:paraId="14A96ECC">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w:t>
      </w:r>
      <w:r>
        <w:rPr>
          <w:rFonts w:hint="eastAsia" w:ascii="宋体" w:hAnsi="宋体" w:eastAsia="宋体" w:cs="宋体"/>
          <w:color w:val="000000" w:themeColor="text1"/>
          <w:sz w:val="28"/>
          <w:szCs w:val="28"/>
          <w:lang w:val="en-US" w:eastAsia="zh-CN" w:bidi="ar-SA"/>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bidi="ar-SA"/>
          <w14:textFill>
            <w14:solidFill>
              <w14:schemeClr w14:val="tx1"/>
            </w14:solidFill>
          </w14:textFill>
        </w:rPr>
        <w:instrText xml:space="preserve"> HYPERLINK "https://erp.fjnhjt.com/mdf-node/busiobj/pc.product.Product?id=2534979274198220844" </w:instrText>
      </w:r>
      <w:r>
        <w:rPr>
          <w:rFonts w:hint="eastAsia" w:ascii="宋体" w:hAnsi="宋体" w:eastAsia="宋体" w:cs="宋体"/>
          <w:color w:val="000000" w:themeColor="text1"/>
          <w:sz w:val="28"/>
          <w:szCs w:val="28"/>
          <w:lang w:val="en-US" w:eastAsia="zh-CN" w:bidi="ar-SA"/>
          <w14:textFill>
            <w14:solidFill>
              <w14:schemeClr w14:val="tx1"/>
            </w14:solidFill>
          </w14:textFill>
        </w:rPr>
        <w:fldChar w:fldCharType="separate"/>
      </w:r>
      <w:r>
        <w:rPr>
          <w:rFonts w:hint="default" w:ascii="宋体" w:hAnsi="宋体" w:eastAsia="宋体" w:cs="宋体"/>
          <w:color w:val="000000" w:themeColor="text1"/>
          <w:sz w:val="28"/>
          <w:szCs w:val="28"/>
          <w:lang w:val="en-US" w:eastAsia="zh-CN" w:bidi="ar-SA"/>
          <w14:textFill>
            <w14:solidFill>
              <w14:schemeClr w14:val="tx1"/>
            </w14:solidFill>
          </w14:textFill>
        </w:rPr>
        <w:t>构316</w:t>
      </w:r>
      <w:r>
        <w:rPr>
          <w:rFonts w:hint="default" w:ascii="宋体" w:hAnsi="宋体" w:eastAsia="宋体" w:cs="宋体"/>
          <w:color w:val="000000" w:themeColor="text1"/>
          <w:sz w:val="28"/>
          <w:szCs w:val="28"/>
          <w:lang w:val="en-US" w:eastAsia="zh-CN" w:bidi="ar-SA"/>
          <w14:textFill>
            <w14:solidFill>
              <w14:schemeClr w14:val="tx1"/>
            </w14:solidFill>
          </w14:textFill>
        </w:rPr>
        <w:fldChar w:fldCharType="end"/>
      </w:r>
      <w:r>
        <w:rPr>
          <w:rFonts w:hint="eastAsia" w:ascii="宋体" w:hAnsi="宋体" w:eastAsia="宋体" w:cs="宋体"/>
          <w:color w:val="000000" w:themeColor="text1"/>
          <w:sz w:val="28"/>
          <w:szCs w:val="28"/>
          <w:lang w:val="en-US" w:eastAsia="zh-CN" w:bidi="ar-SA"/>
          <w14:textFill>
            <w14:solidFill>
              <w14:schemeClr w14:val="tx1"/>
            </w14:solidFill>
          </w14:textFill>
        </w:rPr>
        <w:t xml:space="preserve">  数量:1套， 规格型号：□构316（43-E-232绕管换热器钢结构框架）：12*11*40.5m（长*宽*高）；预估框架总重：250吨（主材包含H型钢、槽钢、角钢、钢板等型钢及连接件）；\范围：原材料、预制加工和防腐等；详见框架图纸、设计说明和相关技术要求\GB 55001、GB 50153、SH/T 3603。</w:t>
      </w:r>
    </w:p>
    <w:p w14:paraId="246DCAE0">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default" w:ascii="宋体" w:hAnsi="宋体" w:eastAsia="宋体" w:cs="宋体"/>
          <w:color w:val="000000" w:themeColor="text1"/>
          <w:sz w:val="28"/>
          <w:szCs w:val="28"/>
          <w:lang w:val="en-US" w:eastAsia="zh-CN" w:bidi="ar-SA"/>
          <w14:textFill>
            <w14:solidFill>
              <w14:schemeClr w14:val="tx1"/>
            </w14:solidFill>
          </w14:textFill>
        </w:rPr>
        <w:fldChar w:fldCharType="begin"/>
      </w:r>
      <w:r>
        <w:rPr>
          <w:rFonts w:hint="default" w:ascii="宋体" w:hAnsi="宋体" w:eastAsia="宋体" w:cs="宋体"/>
          <w:color w:val="000000" w:themeColor="text1"/>
          <w:sz w:val="28"/>
          <w:szCs w:val="28"/>
          <w:lang w:val="en-US" w:eastAsia="zh-CN" w:bidi="ar-SA"/>
          <w14:textFill>
            <w14:solidFill>
              <w14:schemeClr w14:val="tx1"/>
            </w14:solidFill>
          </w14:textFill>
        </w:rPr>
        <w:instrText xml:space="preserve"> HYPERLINK "https://erp.fjnhjt.com/mdf-node/busiobj/pc.product.Product?id=2534979231248547879" </w:instrText>
      </w:r>
      <w:r>
        <w:rPr>
          <w:rFonts w:hint="default" w:ascii="宋体" w:hAnsi="宋体" w:eastAsia="宋体" w:cs="宋体"/>
          <w:color w:val="000000" w:themeColor="text1"/>
          <w:sz w:val="28"/>
          <w:szCs w:val="28"/>
          <w:lang w:val="en-US" w:eastAsia="zh-CN" w:bidi="ar-SA"/>
          <w14:textFill>
            <w14:solidFill>
              <w14:schemeClr w14:val="tx1"/>
            </w14:solidFill>
          </w14:textFill>
        </w:rPr>
        <w:fldChar w:fldCharType="separate"/>
      </w:r>
      <w:r>
        <w:rPr>
          <w:rFonts w:hint="default" w:ascii="宋体" w:hAnsi="宋体" w:eastAsia="宋体" w:cs="宋体"/>
          <w:color w:val="000000" w:themeColor="text1"/>
          <w:sz w:val="28"/>
          <w:szCs w:val="28"/>
          <w:lang w:val="en-US" w:eastAsia="zh-CN" w:bidi="ar-SA"/>
          <w14:textFill>
            <w14:solidFill>
              <w14:schemeClr w14:val="tx1"/>
            </w14:solidFill>
          </w14:textFill>
        </w:rPr>
        <w:t>302管廊加高平台</w:t>
      </w:r>
      <w:r>
        <w:rPr>
          <w:rFonts w:hint="default" w:ascii="宋体" w:hAnsi="宋体" w:eastAsia="宋体" w:cs="宋体"/>
          <w:color w:val="000000" w:themeColor="text1"/>
          <w:sz w:val="28"/>
          <w:szCs w:val="28"/>
          <w:lang w:val="en-US" w:eastAsia="zh-CN" w:bidi="ar-SA"/>
          <w14:textFill>
            <w14:solidFill>
              <w14:schemeClr w14:val="tx1"/>
            </w14:solidFill>
          </w14:textFill>
        </w:rPr>
        <w:fldChar w:fldCharType="end"/>
      </w:r>
      <w:r>
        <w:rPr>
          <w:rFonts w:hint="eastAsia" w:ascii="宋体" w:hAnsi="宋体" w:eastAsia="宋体" w:cs="宋体"/>
          <w:color w:val="000000" w:themeColor="text1"/>
          <w:sz w:val="28"/>
          <w:szCs w:val="28"/>
          <w:lang w:val="en-US" w:eastAsia="zh-CN" w:bidi="ar-SA"/>
          <w14:textFill>
            <w14:solidFill>
              <w14:schemeClr w14:val="tx1"/>
            </w14:solidFill>
          </w14:textFill>
        </w:rPr>
        <w:t xml:space="preserve">  数量:1套， 规格型号：</w:t>
      </w:r>
      <w:r>
        <w:rPr>
          <w:rFonts w:hint="default" w:ascii="宋体" w:hAnsi="宋体" w:eastAsia="宋体" w:cs="宋体"/>
          <w:color w:val="000000" w:themeColor="text1"/>
          <w:sz w:val="28"/>
          <w:szCs w:val="28"/>
          <w:lang w:val="en-US" w:eastAsia="zh-CN" w:bidi="ar-SA"/>
          <w14:textFill>
            <w14:solidFill>
              <w14:schemeClr w14:val="tx1"/>
            </w14:solidFill>
          </w14:textFill>
        </w:rPr>
        <w:t>302管廊加高平台（43单元302管廊平台加高钢结构框架及相应管架）：12*9*8m（长*宽*高）；预估框架总重：60吨（主材包含H型钢、槽钢、角钢、钢板等型钢及连接件）；\范围：原材料、预制加工和防腐等；详见框架图纸、设计说明和相关技术要求\GB 55001、GB 50153、SH/T 3603</w:t>
      </w:r>
      <w:r>
        <w:rPr>
          <w:rFonts w:hint="eastAsia" w:ascii="宋体" w:hAnsi="宋体" w:eastAsia="宋体" w:cs="宋体"/>
          <w:color w:val="000000" w:themeColor="text1"/>
          <w:sz w:val="28"/>
          <w:szCs w:val="28"/>
          <w:lang w:val="en-US" w:eastAsia="zh-CN" w:bidi="ar-SA"/>
          <w14:textFill>
            <w14:solidFill>
              <w14:schemeClr w14:val="tx1"/>
            </w14:solidFill>
          </w14:textFill>
        </w:rPr>
        <w:t>。</w:t>
      </w:r>
    </w:p>
    <w:p w14:paraId="523EDA27">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（2）询比控制价：263.00万元（13%含税总价）</w:t>
      </w:r>
    </w:p>
    <w:p w14:paraId="2FF50665">
      <w:pPr>
        <w:tabs>
          <w:tab w:val="left" w:pos="709"/>
        </w:tabs>
        <w:spacing w:line="360" w:lineRule="auto"/>
        <w:ind w:firstLine="560" w:firstLineChars="200"/>
        <w:rPr>
          <w:rFonts w:hint="default"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3.交货期：中标通知后35天内（不限于分批次交付）</w:t>
      </w:r>
    </w:p>
    <w:p w14:paraId="6520554A">
      <w:pPr>
        <w:tabs>
          <w:tab w:val="left" w:pos="709"/>
        </w:tabs>
        <w:spacing w:line="360" w:lineRule="auto"/>
        <w:ind w:firstLine="562"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b/>
          <w:bCs/>
          <w:sz w:val="28"/>
          <w:szCs w:val="28"/>
          <w:lang w:val="en-US" w:eastAsia="zh-CN"/>
        </w:rPr>
        <w:t>二、参比人资格要求</w:t>
      </w:r>
    </w:p>
    <w:p w14:paraId="2BD79254">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1.参选人必须具备有效的企业法人营业执照，经营范围必须包含：钢结构制造/钢结构加工 /金属结构制作、安装，或石油化工建筑工程钢结构安装。</w:t>
      </w:r>
    </w:p>
    <w:p w14:paraId="63AF1AA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4D90B137">
      <w:pPr>
        <w:tabs>
          <w:tab w:val="left" w:pos="709"/>
        </w:tabs>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color w:val="000000" w:themeColor="text1"/>
          <w:sz w:val="28"/>
          <w:szCs w:val="28"/>
          <w:lang w:val="en-US" w:eastAsia="zh-CN" w:bidi="ar-SA"/>
          <w14:textFill>
            <w14:solidFill>
              <w14:schemeClr w14:val="tx1"/>
            </w14:solidFill>
          </w14:textFill>
        </w:rPr>
        <w:t>3</w:t>
      </w:r>
      <w:r>
        <w:rPr>
          <w:rFonts w:hint="eastAsia" w:ascii="宋体" w:hAnsi="宋体" w:eastAsia="宋体" w:cs="宋体"/>
          <w:b w:val="0"/>
          <w:bCs w:val="0"/>
          <w:sz w:val="28"/>
          <w:szCs w:val="28"/>
          <w:lang w:val="en-US" w:eastAsia="zh-CN"/>
        </w:rPr>
        <w:t>.参选单位应满足以下之一：中国钢结构协会颁发的一级《中国钢结构制造企业资质证书》、住建部颁发的《建筑业企业资质证书》石油化工工程施工总承包壹级资质或《建筑业企业资质证书》钢结构工程专业承包贰级资质；</w:t>
      </w:r>
    </w:p>
    <w:p w14:paraId="11A7B292">
      <w:pPr>
        <w:tabs>
          <w:tab w:val="left" w:pos="709"/>
        </w:tabs>
        <w:spacing w:line="360" w:lineRule="auto"/>
        <w:ind w:firstLine="560" w:firstLineChars="200"/>
        <w:rPr>
          <w:rFonts w:hint="eastAsia" w:ascii="宋体" w:hAnsi="宋体" w:eastAsia="宋体" w:cs="宋体"/>
          <w:b w:val="0"/>
          <w:bCs w:val="0"/>
          <w:sz w:val="28"/>
          <w:szCs w:val="28"/>
          <w:lang w:val="en-US" w:eastAsia="zh-CN"/>
        </w:rPr>
      </w:pPr>
      <w:r>
        <w:rPr>
          <w:rFonts w:hint="eastAsia" w:cs="宋体"/>
          <w:b w:val="0"/>
          <w:bCs w:val="0"/>
          <w:sz w:val="28"/>
          <w:szCs w:val="28"/>
          <w:lang w:val="en-US" w:eastAsia="zh-CN"/>
        </w:rPr>
        <w:t>4.</w:t>
      </w:r>
      <w:r>
        <w:rPr>
          <w:rFonts w:hint="eastAsia" w:ascii="宋体" w:hAnsi="宋体" w:eastAsia="宋体" w:cs="宋体"/>
          <w:b w:val="0"/>
          <w:bCs w:val="0"/>
          <w:sz w:val="28"/>
          <w:szCs w:val="28"/>
          <w:lang w:val="en-US" w:eastAsia="zh-CN"/>
        </w:rPr>
        <w:t>参选单位须覆盖有钢结构产品加工或石油化工工程、房屋建筑工程类别的质量管理体系和质量保障措施。</w:t>
      </w:r>
    </w:p>
    <w:p w14:paraId="1EA0D60E">
      <w:pPr>
        <w:tabs>
          <w:tab w:val="left" w:pos="709"/>
        </w:tabs>
        <w:spacing w:line="360" w:lineRule="auto"/>
        <w:ind w:firstLine="560" w:firstLineChars="200"/>
        <w:rPr>
          <w:rFonts w:hint="eastAsia" w:ascii="宋体" w:hAnsi="宋体" w:eastAsia="宋体" w:cs="宋体"/>
          <w:b w:val="0"/>
          <w:bCs w:val="0"/>
          <w:sz w:val="28"/>
          <w:szCs w:val="28"/>
          <w:lang w:val="en-US" w:eastAsia="zh-CN"/>
        </w:rPr>
      </w:pPr>
      <w:r>
        <w:rPr>
          <w:rFonts w:hint="eastAsia" w:cs="宋体"/>
          <w:b w:val="0"/>
          <w:bCs w:val="0"/>
          <w:sz w:val="28"/>
          <w:szCs w:val="28"/>
          <w:lang w:val="en-US" w:eastAsia="zh-CN"/>
        </w:rPr>
        <w:t>5</w:t>
      </w:r>
      <w:r>
        <w:rPr>
          <w:rFonts w:hint="eastAsia" w:ascii="宋体" w:hAnsi="宋体" w:eastAsia="宋体" w:cs="宋体"/>
          <w:b w:val="0"/>
          <w:bCs w:val="0"/>
          <w:sz w:val="28"/>
          <w:szCs w:val="28"/>
          <w:lang w:val="en-US" w:eastAsia="zh-CN"/>
        </w:rPr>
        <w:t>.参选单位需提供2023年以来</w:t>
      </w:r>
      <w:r>
        <w:rPr>
          <w:rFonts w:hint="eastAsia" w:cs="宋体"/>
          <w:b w:val="0"/>
          <w:bCs w:val="0"/>
          <w:sz w:val="28"/>
          <w:szCs w:val="28"/>
          <w:lang w:val="en-US" w:eastAsia="zh-CN"/>
        </w:rPr>
        <w:t>，</w:t>
      </w:r>
      <w:r>
        <w:rPr>
          <w:rFonts w:hint="eastAsia" w:ascii="宋体" w:hAnsi="宋体" w:eastAsia="宋体" w:cs="宋体"/>
          <w:b w:val="0"/>
          <w:bCs w:val="0"/>
          <w:sz w:val="28"/>
          <w:szCs w:val="28"/>
          <w:lang w:val="en-US" w:eastAsia="zh-CN"/>
        </w:rPr>
        <w:t>不少于1000万的模块化钢结构加工与供货业绩或不低于3年的石油化工装置的维保或安装业绩。业绩佐证材料须提供对应合同关键页（含标物规格、工况信息）、发票或技术协议等，业绩材料不得涂改、伪造，否则取消资格。</w:t>
      </w:r>
    </w:p>
    <w:p w14:paraId="2FAF836A">
      <w:pPr>
        <w:tabs>
          <w:tab w:val="left" w:pos="709"/>
        </w:tabs>
        <w:spacing w:line="360" w:lineRule="auto"/>
        <w:ind w:firstLine="560" w:firstLineChars="200"/>
        <w:rPr>
          <w:rFonts w:hint="eastAsia" w:ascii="宋体" w:hAnsi="宋体" w:eastAsia="宋体" w:cs="宋体"/>
          <w:b w:val="0"/>
          <w:bCs w:val="0"/>
          <w:sz w:val="28"/>
          <w:szCs w:val="28"/>
          <w:lang w:val="en-US" w:eastAsia="zh-CN"/>
        </w:rPr>
      </w:pPr>
      <w:r>
        <w:rPr>
          <w:rFonts w:hint="eastAsia" w:cs="宋体"/>
          <w:b w:val="0"/>
          <w:bCs w:val="0"/>
          <w:sz w:val="28"/>
          <w:szCs w:val="28"/>
          <w:lang w:val="en-US" w:eastAsia="zh-CN"/>
        </w:rPr>
        <w:t>6</w:t>
      </w:r>
      <w:r>
        <w:rPr>
          <w:rFonts w:hint="eastAsia" w:ascii="宋体" w:hAnsi="宋体" w:eastAsia="宋体" w:cs="宋体"/>
          <w:b w:val="0"/>
          <w:bCs w:val="0"/>
          <w:sz w:val="28"/>
          <w:szCs w:val="28"/>
          <w:lang w:val="en-US" w:eastAsia="zh-CN"/>
        </w:rPr>
        <w:t>.本采购项目不接受联合体参选。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p>
    <w:p w14:paraId="5CCD46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1.报名时间：公告之日起至20</w:t>
      </w:r>
      <w:r>
        <w:rPr>
          <w:rFonts w:hint="eastAsia" w:cs="宋体"/>
          <w:color w:val="000000" w:themeColor="text1"/>
          <w:sz w:val="28"/>
          <w:szCs w:val="28"/>
          <w:lang w:val="en-US" w:eastAsia="zh-CN" w:bidi="ar-SA"/>
          <w14:textFill>
            <w14:solidFill>
              <w14:schemeClr w14:val="tx1"/>
            </w14:solidFill>
          </w14:textFill>
        </w:rPr>
        <w:t>26</w:t>
      </w:r>
      <w:r>
        <w:rPr>
          <w:rFonts w:hint="eastAsia" w:ascii="宋体" w:hAnsi="宋体" w:eastAsia="宋体" w:cs="宋体"/>
          <w:color w:val="000000" w:themeColor="text1"/>
          <w:sz w:val="28"/>
          <w:szCs w:val="28"/>
          <w:lang w:val="en-US" w:eastAsia="zh-CN" w:bidi="ar-SA"/>
          <w14:textFill>
            <w14:solidFill>
              <w14:schemeClr w14:val="tx1"/>
            </w14:solidFill>
          </w14:textFill>
        </w:rPr>
        <w:t>年</w:t>
      </w:r>
      <w:r>
        <w:rPr>
          <w:rFonts w:hint="eastAsia" w:cs="宋体"/>
          <w:color w:val="000000" w:themeColor="text1"/>
          <w:sz w:val="28"/>
          <w:szCs w:val="28"/>
          <w:lang w:val="en-US" w:eastAsia="zh-CN" w:bidi="ar-SA"/>
          <w14:textFill>
            <w14:solidFill>
              <w14:schemeClr w14:val="tx1"/>
            </w14:solidFill>
          </w14:textFill>
        </w:rPr>
        <w:t>05</w:t>
      </w:r>
      <w:r>
        <w:rPr>
          <w:rFonts w:hint="eastAsia" w:ascii="宋体" w:hAnsi="宋体" w:eastAsia="宋体" w:cs="宋体"/>
          <w:color w:val="000000" w:themeColor="text1"/>
          <w:sz w:val="28"/>
          <w:szCs w:val="28"/>
          <w:lang w:val="en-US" w:eastAsia="zh-CN" w:bidi="ar-SA"/>
          <w14:textFill>
            <w14:solidFill>
              <w14:schemeClr w14:val="tx1"/>
            </w14:solidFill>
          </w14:textFill>
        </w:rPr>
        <w:t>月</w:t>
      </w:r>
      <w:r>
        <w:rPr>
          <w:rFonts w:hint="eastAsia" w:cs="宋体"/>
          <w:color w:val="000000" w:themeColor="text1"/>
          <w:sz w:val="28"/>
          <w:szCs w:val="28"/>
          <w:lang w:val="en-US" w:eastAsia="zh-CN" w:bidi="ar-SA"/>
          <w14:textFill>
            <w14:solidFill>
              <w14:schemeClr w14:val="tx1"/>
            </w14:solidFill>
          </w14:textFill>
        </w:rPr>
        <w:t>20</w:t>
      </w:r>
      <w:r>
        <w:rPr>
          <w:rFonts w:hint="eastAsia" w:ascii="宋体" w:hAnsi="宋体" w:eastAsia="宋体" w:cs="宋体"/>
          <w:color w:val="000000" w:themeColor="text1"/>
          <w:sz w:val="28"/>
          <w:szCs w:val="28"/>
          <w:lang w:val="en-US" w:eastAsia="zh-CN" w:bidi="ar-SA"/>
          <w14:textFill>
            <w14:solidFill>
              <w14:schemeClr w14:val="tx1"/>
            </w14:solidFill>
          </w14:textFill>
        </w:rPr>
        <w:t>日</w:t>
      </w:r>
      <w:r>
        <w:rPr>
          <w:rFonts w:hint="eastAsia" w:cs="宋体"/>
          <w:color w:val="000000" w:themeColor="text1"/>
          <w:sz w:val="28"/>
          <w:szCs w:val="28"/>
          <w:lang w:val="en-US" w:eastAsia="zh-CN" w:bidi="ar-SA"/>
          <w14:textFill>
            <w14:solidFill>
              <w14:schemeClr w14:val="tx1"/>
            </w14:solidFill>
          </w14:textFill>
        </w:rPr>
        <w:t>（含当日）</w:t>
      </w:r>
      <w:bookmarkStart w:id="1" w:name="_GoBack"/>
      <w:bookmarkEnd w:id="1"/>
    </w:p>
    <w:p w14:paraId="7D777256">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val="en-US" w:eastAsia="zh-CN" w:bidi="ar-SA"/>
          <w14:textFill>
            <w14:solidFill>
              <w14:schemeClr w14:val="tx1"/>
            </w14:solidFill>
          </w14:textFill>
        </w:rPr>
        <w:t>，报名文件包含：</w:t>
      </w:r>
    </w:p>
    <w:p w14:paraId="2191D8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（1）法定代表人身份证复印件（正反面）（加盖单位公章的扫描件）；</w:t>
      </w:r>
    </w:p>
    <w:p w14:paraId="2DC291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（2）营业执照（加盖单位公章的扫描件）和商务联系人电话、邮箱；</w:t>
      </w:r>
    </w:p>
    <w:p w14:paraId="2255DEBB">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（3）资质文件及相关业绩(业绩要提供相应合同扫描件）。</w:t>
      </w:r>
    </w:p>
    <w:p w14:paraId="1BB742DF">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报名时间截止后，报名成功参比人须与现场技术人员进行前期技术交流，需详细阅读比选项目说明，并按照相关要求提供相关方案。技术交流后经比选人技术人员确认合格并签订技术协议书后，参比人方可参与后续比选，未进行报名和技术交流确认，未签订技术协议书的参比人不能参加比选。技术交流及技术协议签订时间暂定为报名截止后15天内完成。</w:t>
      </w:r>
    </w:p>
    <w:p w14:paraId="79E010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3.报名完成后，参比文件将发送至参选人邮箱，获取图纸（特别声明：未进行登记报名的参选人，其递交的参选文件将被拒收。参选单位需要在福建能化阳光采购平台进行注册，http://nhygcg.fjshgx.com/  （福建能化阳光采购平台））</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58C459D">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47F740DE">
      <w:pPr>
        <w:tabs>
          <w:tab w:val="left" w:pos="709"/>
        </w:tabs>
        <w:spacing w:line="360" w:lineRule="auto"/>
        <w:ind w:firstLine="560" w:firstLineChars="200"/>
        <w:rPr>
          <w:rFonts w:hint="default" w:ascii="宋体" w:hAnsi="宋体" w:eastAsia="宋体" w:cs="宋体"/>
          <w:color w:val="000000" w:themeColor="text1"/>
          <w:sz w:val="28"/>
          <w:szCs w:val="28"/>
          <w:highlight w:val="yellow"/>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2.递交截止时间：参选文件递交截止时间（以送达时间为准）：</w:t>
      </w:r>
      <w:r>
        <w:rPr>
          <w:rFonts w:hint="eastAsia" w:cs="宋体"/>
          <w:color w:val="000000" w:themeColor="text1"/>
          <w:sz w:val="28"/>
          <w:szCs w:val="28"/>
          <w:highlight w:val="yellow"/>
          <w:lang w:val="en-US" w:eastAsia="zh-CN"/>
          <w14:textFill>
            <w14:solidFill>
              <w14:schemeClr w14:val="tx1"/>
            </w14:solidFill>
          </w14:textFill>
        </w:rPr>
        <w:t>待定</w:t>
      </w:r>
    </w:p>
    <w:p w14:paraId="3BD33B96">
      <w:pPr>
        <w:pStyle w:val="5"/>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52000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70238E0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注明用途：</w:t>
      </w:r>
      <w:r>
        <w:rPr>
          <w:rFonts w:hint="eastAsia" w:cs="宋体"/>
          <w:sz w:val="28"/>
          <w:szCs w:val="28"/>
          <w:lang w:eastAsia="zh-CN"/>
        </w:rPr>
        <w:t>43-C-202塔顶气相余热利用项目钢结构框架</w:t>
      </w:r>
      <w:r>
        <w:rPr>
          <w:rFonts w:hint="eastAsia" w:cs="宋体"/>
          <w:sz w:val="28"/>
          <w:szCs w:val="28"/>
          <w:lang w:val="en-US" w:eastAsia="zh-CN"/>
        </w:rPr>
        <w:t>采购</w:t>
      </w:r>
      <w:r>
        <w:rPr>
          <w:rFonts w:hint="eastAsia" w:cs="宋体"/>
          <w:sz w:val="28"/>
          <w:szCs w:val="28"/>
          <w:lang w:eastAsia="zh-CN"/>
        </w:rPr>
        <w:t>项目</w:t>
      </w:r>
    </w:p>
    <w:p w14:paraId="7ECBE6C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参比保证金有效期：90日历天。</w:t>
      </w:r>
    </w:p>
    <w:p w14:paraId="617CAFC0">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72FB97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w:t>
      </w:r>
      <w:r>
        <w:rPr>
          <w:rFonts w:hint="eastAsia" w:cs="宋体"/>
          <w:sz w:val="28"/>
          <w:szCs w:val="28"/>
          <w:lang w:eastAsia="zh-CN"/>
        </w:rPr>
        <w:t>中选</w:t>
      </w:r>
      <w:r>
        <w:rPr>
          <w:rFonts w:hint="eastAsia" w:ascii="宋体" w:hAnsi="宋体" w:eastAsia="宋体" w:cs="宋体"/>
          <w:sz w:val="28"/>
          <w:szCs w:val="28"/>
          <w:lang w:eastAsia="zh-CN"/>
        </w:rPr>
        <w:t>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联系地址：福建省漳州市古雷开发区纵四路西侧福化古雷运营中心</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p w14:paraId="07327C6D">
      <w:pPr>
        <w:pStyle w:val="17"/>
        <w:rPr>
          <w:rFonts w:hint="eastAsia" w:ascii="宋体" w:hAnsi="宋体" w:eastAsia="宋体" w:cs="宋体"/>
          <w:lang w:eastAsia="zh-CN"/>
        </w:rPr>
      </w:pPr>
    </w:p>
    <w:p w14:paraId="094DD9E1">
      <w:pPr>
        <w:pStyle w:val="17"/>
        <w:rPr>
          <w:rFonts w:hint="eastAsia" w:ascii="宋体" w:hAnsi="宋体" w:eastAsia="宋体" w:cs="宋体"/>
          <w:lang w:eastAsia="zh-CN"/>
        </w:rPr>
      </w:pPr>
    </w:p>
    <w:p w14:paraId="7BBCA29D">
      <w:pPr>
        <w:pStyle w:val="17"/>
        <w:rPr>
          <w:rFonts w:hint="eastAsia" w:ascii="宋体" w:hAnsi="宋体" w:eastAsia="宋体" w:cs="宋体"/>
          <w:lang w:eastAsia="zh-CN"/>
        </w:rPr>
      </w:pPr>
    </w:p>
    <w:p w14:paraId="17E6BE08">
      <w:pPr>
        <w:pStyle w:val="17"/>
        <w:rPr>
          <w:rFonts w:hint="eastAsia" w:ascii="宋体" w:hAnsi="宋体" w:eastAsia="宋体" w:cs="宋体"/>
          <w:lang w:eastAsia="zh-CN"/>
        </w:rPr>
      </w:pPr>
    </w:p>
    <w:p w14:paraId="3E4273B9">
      <w:pPr>
        <w:pStyle w:val="17"/>
        <w:rPr>
          <w:rFonts w:hint="eastAsia" w:ascii="宋体" w:hAnsi="宋体" w:eastAsia="宋体" w:cs="宋体"/>
          <w:lang w:eastAsia="zh-CN"/>
        </w:rPr>
      </w:pPr>
    </w:p>
    <w:p w14:paraId="7290ACC7">
      <w:pPr>
        <w:pStyle w:val="17"/>
        <w:rPr>
          <w:rFonts w:hint="eastAsia" w:ascii="宋体" w:hAnsi="宋体" w:eastAsia="宋体" w:cs="宋体"/>
          <w:lang w:eastAsia="zh-CN"/>
        </w:rPr>
      </w:pPr>
    </w:p>
    <w:p w14:paraId="5872A7CB">
      <w:pPr>
        <w:pStyle w:val="17"/>
        <w:rPr>
          <w:rFonts w:hint="eastAsia" w:ascii="宋体" w:hAnsi="宋体" w:eastAsia="宋体" w:cs="宋体"/>
          <w:lang w:eastAsia="zh-CN"/>
        </w:rPr>
      </w:pPr>
    </w:p>
    <w:p w14:paraId="4155A3A1">
      <w:pPr>
        <w:pStyle w:val="17"/>
        <w:rPr>
          <w:rFonts w:hint="eastAsia" w:ascii="宋体" w:hAnsi="宋体" w:eastAsia="宋体" w:cs="宋体"/>
          <w:lang w:eastAsia="zh-CN"/>
        </w:rPr>
      </w:pPr>
    </w:p>
    <w:p w14:paraId="2965CE01">
      <w:pPr>
        <w:pStyle w:val="17"/>
        <w:rPr>
          <w:rFonts w:hint="eastAsia" w:ascii="宋体" w:hAnsi="宋体" w:eastAsia="宋体" w:cs="宋体"/>
          <w:lang w:eastAsia="zh-CN"/>
        </w:rPr>
      </w:pPr>
    </w:p>
    <w:p w14:paraId="5CAD5879">
      <w:pPr>
        <w:pStyle w:val="17"/>
        <w:rPr>
          <w:rFonts w:hint="eastAsia" w:ascii="宋体" w:hAnsi="宋体" w:eastAsia="宋体" w:cs="宋体"/>
          <w:lang w:eastAsia="zh-CN"/>
        </w:rPr>
      </w:pPr>
    </w:p>
    <w:p w14:paraId="5313758F">
      <w:pPr>
        <w:pStyle w:val="17"/>
        <w:rPr>
          <w:rFonts w:hint="eastAsia" w:ascii="宋体" w:hAnsi="宋体" w:eastAsia="宋体" w:cs="宋体"/>
          <w:lang w:eastAsia="zh-CN"/>
        </w:rPr>
      </w:pPr>
    </w:p>
    <w:p w14:paraId="41309719">
      <w:pPr>
        <w:pStyle w:val="17"/>
        <w:rPr>
          <w:rFonts w:hint="eastAsia" w:ascii="宋体" w:hAnsi="宋体" w:eastAsia="宋体" w:cs="宋体"/>
          <w:lang w:eastAsia="zh-CN"/>
        </w:rPr>
      </w:pPr>
    </w:p>
    <w:p w14:paraId="02D0EB6A">
      <w:pPr>
        <w:pStyle w:val="17"/>
        <w:rPr>
          <w:rFonts w:hint="eastAsia" w:ascii="宋体" w:hAnsi="宋体" w:eastAsia="宋体" w:cs="宋体"/>
          <w:lang w:eastAsia="zh-CN"/>
        </w:rPr>
      </w:pPr>
    </w:p>
    <w:p w14:paraId="05618317">
      <w:pPr>
        <w:pStyle w:val="17"/>
        <w:rPr>
          <w:rFonts w:hint="eastAsia" w:ascii="宋体" w:hAnsi="宋体" w:eastAsia="宋体" w:cs="宋体"/>
          <w:lang w:eastAsia="zh-CN"/>
        </w:rPr>
      </w:pPr>
    </w:p>
    <w:p w14:paraId="1E424472">
      <w:pPr>
        <w:pStyle w:val="17"/>
        <w:rPr>
          <w:rFonts w:hint="eastAsia" w:ascii="宋体" w:hAnsi="宋体" w:eastAsia="宋体" w:cs="宋体"/>
          <w:lang w:eastAsia="zh-CN"/>
        </w:rPr>
      </w:pPr>
    </w:p>
    <w:p w14:paraId="00BC25B1">
      <w:pPr>
        <w:pStyle w:val="17"/>
        <w:rPr>
          <w:rFonts w:hint="eastAsia" w:ascii="宋体" w:hAnsi="宋体" w:eastAsia="宋体" w:cs="宋体"/>
          <w:lang w:eastAsia="zh-CN"/>
        </w:rPr>
      </w:pPr>
    </w:p>
    <w:p w14:paraId="719CE1F7">
      <w:pPr>
        <w:pStyle w:val="17"/>
        <w:rPr>
          <w:rFonts w:hint="eastAsia" w:ascii="宋体" w:hAnsi="宋体" w:eastAsia="宋体" w:cs="宋体"/>
          <w:lang w:eastAsia="zh-CN"/>
        </w:rPr>
      </w:pPr>
    </w:p>
    <w:p w14:paraId="72AAECE2">
      <w:pPr>
        <w:pStyle w:val="17"/>
        <w:rPr>
          <w:rFonts w:hint="eastAsia" w:ascii="宋体" w:hAnsi="宋体" w:eastAsia="宋体" w:cs="宋体"/>
          <w:lang w:eastAsia="zh-CN"/>
        </w:rPr>
      </w:pPr>
    </w:p>
    <w:p w14:paraId="7FD63251">
      <w:pPr>
        <w:pStyle w:val="17"/>
        <w:rPr>
          <w:rFonts w:hint="eastAsia" w:ascii="宋体" w:hAnsi="宋体" w:eastAsia="宋体" w:cs="宋体"/>
          <w:lang w:eastAsia="zh-CN"/>
        </w:rPr>
      </w:pPr>
    </w:p>
    <w:p w14:paraId="3ADCDE07">
      <w:pPr>
        <w:pStyle w:val="17"/>
        <w:rPr>
          <w:rFonts w:hint="eastAsia" w:ascii="宋体" w:hAnsi="宋体" w:eastAsia="宋体" w:cs="宋体"/>
          <w:lang w:eastAsia="zh-CN"/>
        </w:rPr>
      </w:pPr>
    </w:p>
    <w:p w14:paraId="76832382">
      <w:pPr>
        <w:pStyle w:val="17"/>
        <w:rPr>
          <w:rFonts w:hint="eastAsia" w:ascii="宋体" w:hAnsi="宋体" w:eastAsia="宋体" w:cs="宋体"/>
          <w:lang w:eastAsia="zh-CN"/>
        </w:rPr>
      </w:pPr>
    </w:p>
    <w:p w14:paraId="7E6949C8">
      <w:pPr>
        <w:pStyle w:val="17"/>
        <w:rPr>
          <w:rFonts w:hint="eastAsia" w:ascii="宋体" w:hAnsi="宋体" w:eastAsia="宋体" w:cs="宋体"/>
          <w:lang w:eastAsia="zh-CN"/>
        </w:rPr>
      </w:pPr>
    </w:p>
    <w:p w14:paraId="19038AFC">
      <w:pPr>
        <w:pStyle w:val="17"/>
        <w:rPr>
          <w:rFonts w:hint="eastAsia" w:ascii="宋体" w:hAnsi="宋体" w:eastAsia="宋体" w:cs="宋体"/>
          <w:lang w:eastAsia="zh-CN"/>
        </w:rPr>
      </w:pPr>
    </w:p>
    <w:p w14:paraId="18B13980">
      <w:pPr>
        <w:pStyle w:val="17"/>
        <w:rPr>
          <w:rFonts w:hint="eastAsia" w:ascii="宋体" w:hAnsi="宋体" w:eastAsia="宋体" w:cs="宋体"/>
          <w:lang w:eastAsia="zh-CN"/>
        </w:rPr>
      </w:pPr>
    </w:p>
    <w:p w14:paraId="58F1C74E">
      <w:pPr>
        <w:pStyle w:val="17"/>
        <w:rPr>
          <w:rFonts w:hint="eastAsia" w:ascii="宋体" w:hAnsi="宋体" w:eastAsia="宋体" w:cs="宋体"/>
          <w:lang w:eastAsia="zh-CN"/>
        </w:rPr>
      </w:pPr>
    </w:p>
    <w:p w14:paraId="53B55E14">
      <w:pPr>
        <w:pStyle w:val="17"/>
        <w:rPr>
          <w:rFonts w:hint="eastAsia" w:ascii="宋体" w:hAnsi="宋体" w:eastAsia="宋体" w:cs="宋体"/>
          <w:lang w:eastAsia="zh-CN"/>
        </w:rPr>
      </w:pPr>
    </w:p>
    <w:p w14:paraId="038211A4">
      <w:pPr>
        <w:pStyle w:val="17"/>
        <w:rPr>
          <w:rFonts w:hint="eastAsia" w:ascii="宋体" w:hAnsi="宋体" w:eastAsia="宋体" w:cs="宋体"/>
          <w:lang w:eastAsia="zh-CN"/>
        </w:rPr>
      </w:pPr>
    </w:p>
    <w:p w14:paraId="1DB83B8B">
      <w:pPr>
        <w:pStyle w:val="17"/>
        <w:rPr>
          <w:rFonts w:hint="eastAsia" w:ascii="宋体" w:hAnsi="宋体" w:eastAsia="宋体" w:cs="宋体"/>
          <w:lang w:eastAsia="zh-CN"/>
        </w:rPr>
      </w:pPr>
    </w:p>
    <w:p w14:paraId="599C36EB">
      <w:pPr>
        <w:pStyle w:val="17"/>
        <w:rPr>
          <w:rFonts w:hint="eastAsia" w:ascii="宋体" w:hAnsi="宋体" w:eastAsia="宋体" w:cs="宋体"/>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0CB5338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cs="宋体"/>
          <w:color w:val="FF0000"/>
          <w:sz w:val="28"/>
          <w:szCs w:val="28"/>
          <w:u w:val="single"/>
          <w:lang w:eastAsia="zh-CN"/>
        </w:rPr>
        <w:t>43-C-202塔顶气相余热利用项目钢结构框架采购项目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QGD-3122-260512-0738</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7820459F">
      <w:pPr>
        <w:pStyle w:val="17"/>
        <w:rPr>
          <w:rFonts w:hint="eastAsia" w:ascii="宋体" w:hAnsi="宋体" w:eastAsia="宋体" w:cs="宋体"/>
        </w:rPr>
        <w:sectPr>
          <w:pgSz w:w="11910" w:h="16840"/>
          <w:pgMar w:top="1500" w:right="1020" w:bottom="740" w:left="1300" w:header="0" w:footer="551" w:gutter="0"/>
          <w:cols w:space="720" w:num="1"/>
        </w:sectPr>
      </w:pPr>
    </w:p>
    <w:p w14:paraId="7553D1B1">
      <w:pPr>
        <w:pStyle w:val="2"/>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597C729">
      <w:pPr>
        <w:tabs>
          <w:tab w:val="left" w:pos="709"/>
        </w:tabs>
        <w:spacing w:line="360" w:lineRule="auto"/>
        <w:ind w:firstLine="220" w:firstLineChars="10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1.项目名称：</w:t>
      </w:r>
      <w:r>
        <w:rPr>
          <w:rFonts w:hint="eastAsia" w:cs="宋体"/>
          <w:sz w:val="28"/>
          <w:szCs w:val="28"/>
          <w:lang w:eastAsia="zh-CN"/>
        </w:rPr>
        <w:t>43-C-202塔顶气相余热利用项目钢结构框架采购项目</w:t>
      </w:r>
      <w:r>
        <w:rPr>
          <w:rFonts w:hint="eastAsia" w:ascii="宋体" w:hAnsi="宋体" w:eastAsia="宋体" w:cs="宋体"/>
          <w:sz w:val="28"/>
          <w:szCs w:val="28"/>
          <w:lang w:eastAsia="zh-CN"/>
        </w:rPr>
        <w:t xml:space="preserve">采购项目 </w:t>
      </w:r>
    </w:p>
    <w:p w14:paraId="6106428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2.项目地点：福建福海创石油化工有限公司</w:t>
      </w:r>
      <w:r>
        <w:rPr>
          <w:rFonts w:hint="eastAsia" w:cs="宋体"/>
          <w:sz w:val="28"/>
          <w:szCs w:val="28"/>
          <w:lang w:val="en-US" w:eastAsia="zh-CN"/>
        </w:rPr>
        <w:t>PX</w:t>
      </w:r>
      <w:r>
        <w:rPr>
          <w:rFonts w:hint="eastAsia" w:ascii="宋体" w:hAnsi="宋体" w:eastAsia="宋体" w:cs="宋体"/>
          <w:sz w:val="28"/>
          <w:szCs w:val="28"/>
          <w:lang w:eastAsia="zh-CN"/>
        </w:rPr>
        <w:t>厂区</w:t>
      </w:r>
    </w:p>
    <w:p w14:paraId="54E04BD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6FE433BD">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技术联系人：</w:t>
      </w:r>
      <w:r>
        <w:rPr>
          <w:rFonts w:hint="eastAsia" w:ascii="宋体" w:hAnsi="宋体" w:eastAsia="宋体" w:cs="宋体"/>
          <w:sz w:val="28"/>
          <w:szCs w:val="28"/>
          <w:lang w:val="en-US" w:eastAsia="zh-CN"/>
        </w:rPr>
        <w:t>林钊腾 13695954541，ztlin@fhcpec.com.cn</w:t>
      </w:r>
      <w:r>
        <w:rPr>
          <w:rFonts w:hint="eastAsia" w:ascii="宋体" w:hAnsi="宋体" w:eastAsia="宋体" w:cs="宋体"/>
          <w:sz w:val="28"/>
          <w:szCs w:val="28"/>
          <w:lang w:eastAsia="zh-CN"/>
        </w:rPr>
        <w:t xml:space="preserve"> </w:t>
      </w:r>
    </w:p>
    <w:p w14:paraId="38F98E3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cs="宋体"/>
          <w:sz w:val="28"/>
          <w:szCs w:val="28"/>
          <w:lang w:val="en-US" w:eastAsia="zh-CN"/>
        </w:rPr>
        <w:t>，</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56BC7287">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1.参选人必须具备有效的企业法人营业执照，经营范围必须包含：钢结构制造/钢结构加工 /金属结构制作、安装，或石油化工建筑工程钢结构安装。</w:t>
      </w:r>
    </w:p>
    <w:p w14:paraId="4594C2A2">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5A51B8A8">
      <w:pPr>
        <w:tabs>
          <w:tab w:val="left" w:pos="709"/>
        </w:tabs>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color w:val="000000" w:themeColor="text1"/>
          <w:sz w:val="28"/>
          <w:szCs w:val="28"/>
          <w:lang w:val="en-US" w:eastAsia="zh-CN" w:bidi="ar-SA"/>
          <w14:textFill>
            <w14:solidFill>
              <w14:schemeClr w14:val="tx1"/>
            </w14:solidFill>
          </w14:textFill>
        </w:rPr>
        <w:t>3</w:t>
      </w:r>
      <w:r>
        <w:rPr>
          <w:rFonts w:hint="eastAsia" w:ascii="宋体" w:hAnsi="宋体" w:eastAsia="宋体" w:cs="宋体"/>
          <w:b w:val="0"/>
          <w:bCs w:val="0"/>
          <w:sz w:val="28"/>
          <w:szCs w:val="28"/>
          <w:lang w:val="en-US" w:eastAsia="zh-CN"/>
        </w:rPr>
        <w:t>.参选单位应满足以下之一：中国钢结构协会颁发的一级《中国钢结构制造企业资质证书》、住建部颁发的《建筑业企业资质证书》石油化工工程施工总承包壹级资质或《建筑业企业资质证书》钢结构工程专业承包贰级资质；</w:t>
      </w:r>
    </w:p>
    <w:p w14:paraId="2832E756">
      <w:pPr>
        <w:tabs>
          <w:tab w:val="left" w:pos="709"/>
        </w:tabs>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4.参选单位须覆盖有钢结构产品加工或石油化工工程、房屋建筑工程类别的质量管理体系和质量保障措施。</w:t>
      </w:r>
    </w:p>
    <w:p w14:paraId="54F84291">
      <w:pPr>
        <w:tabs>
          <w:tab w:val="left" w:pos="709"/>
        </w:tabs>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5.参选单位需提供2023年以来</w:t>
      </w:r>
      <w:r>
        <w:rPr>
          <w:rFonts w:hint="eastAsia" w:cs="宋体"/>
          <w:b w:val="0"/>
          <w:bCs w:val="0"/>
          <w:sz w:val="28"/>
          <w:szCs w:val="28"/>
          <w:lang w:val="en-US" w:eastAsia="zh-CN"/>
        </w:rPr>
        <w:t>，</w:t>
      </w:r>
      <w:r>
        <w:rPr>
          <w:rFonts w:hint="eastAsia" w:ascii="宋体" w:hAnsi="宋体" w:eastAsia="宋体" w:cs="宋体"/>
          <w:b w:val="0"/>
          <w:bCs w:val="0"/>
          <w:sz w:val="28"/>
          <w:szCs w:val="28"/>
          <w:lang w:val="en-US" w:eastAsia="zh-CN"/>
        </w:rPr>
        <w:t>不少于1000万的模块化钢结构加工与供货业绩或不低于3年的石油化工装置的维保或安装业绩。业绩佐证材料须提供对应合同关键页（含标物规格、工况信息）、发票或技术协议等，业绩材料不得涂改、伪造，否则取消资格。</w:t>
      </w:r>
    </w:p>
    <w:p w14:paraId="2396FA3E">
      <w:pPr>
        <w:tabs>
          <w:tab w:val="left" w:pos="709"/>
        </w:tabs>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52000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4F1D516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注明用途：</w:t>
      </w:r>
      <w:r>
        <w:rPr>
          <w:rFonts w:hint="eastAsia" w:cs="宋体"/>
          <w:sz w:val="28"/>
          <w:szCs w:val="28"/>
          <w:lang w:eastAsia="zh-CN"/>
        </w:rPr>
        <w:t>43-C-202塔顶气相余热利用项目钢结构框架采购项目</w:t>
      </w:r>
    </w:p>
    <w:p w14:paraId="0736B5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参比保证金有效期：90日历天。</w:t>
      </w:r>
    </w:p>
    <w:p w14:paraId="5F5AB7E4">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6692C7D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w:t>
      </w:r>
      <w:r>
        <w:rPr>
          <w:rFonts w:hint="eastAsia" w:cs="宋体"/>
          <w:sz w:val="28"/>
          <w:szCs w:val="28"/>
          <w:lang w:eastAsia="zh-CN"/>
        </w:rPr>
        <w:t>中选</w:t>
      </w:r>
      <w:r>
        <w:rPr>
          <w:rFonts w:hint="eastAsia" w:ascii="宋体" w:hAnsi="宋体" w:eastAsia="宋体" w:cs="宋体"/>
          <w:sz w:val="28"/>
          <w:szCs w:val="28"/>
          <w:lang w:eastAsia="zh-CN"/>
        </w:rPr>
        <w:t>通知书后规定的时间内签定合同。</w:t>
      </w: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62DC6CCB">
      <w:pPr>
        <w:tabs>
          <w:tab w:val="left" w:pos="709"/>
        </w:tabs>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1.参比文件递交的截止时间</w:t>
      </w:r>
      <w:r>
        <w:rPr>
          <w:rFonts w:hint="eastAsia" w:ascii="宋体" w:hAnsi="宋体" w:eastAsia="宋体" w:cs="宋体"/>
          <w:color w:val="FF0000"/>
          <w:sz w:val="28"/>
          <w:szCs w:val="28"/>
          <w:lang w:eastAsia="zh-CN"/>
        </w:rPr>
        <w:t>：</w:t>
      </w:r>
      <w:r>
        <w:rPr>
          <w:rFonts w:hint="eastAsia" w:cs="宋体"/>
          <w:color w:val="000000" w:themeColor="text1"/>
          <w:sz w:val="28"/>
          <w:szCs w:val="28"/>
          <w:highlight w:val="yellow"/>
          <w:lang w:val="en-US" w:eastAsia="zh-CN"/>
          <w14:textFill>
            <w14:solidFill>
              <w14:schemeClr w14:val="tx1"/>
            </w14:solidFill>
          </w14:textFill>
        </w:rPr>
        <w:t>待定</w:t>
      </w:r>
    </w:p>
    <w:p w14:paraId="2A44BAFB">
      <w:pPr>
        <w:pStyle w:val="3"/>
        <w:tabs>
          <w:tab w:val="left" w:pos="6879"/>
        </w:tabs>
        <w:spacing w:before="107" w:line="321" w:lineRule="auto"/>
        <w:ind w:left="0" w:right="106" w:firstLine="522"/>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ascii="宋体" w:hAnsi="宋体" w:eastAsia="宋体" w:cs="宋体"/>
          <w:spacing w:val="4"/>
          <w:sz w:val="28"/>
          <w:szCs w:val="28"/>
          <w:lang w:eastAsia="zh-CN"/>
        </w:rPr>
        <w:t>递交</w:t>
      </w:r>
      <w:r>
        <w:rPr>
          <w:rFonts w:hint="eastAsia" w:ascii="宋体" w:hAnsi="宋体" w:eastAsia="宋体" w:cs="宋体"/>
          <w:sz w:val="28"/>
          <w:szCs w:val="28"/>
          <w:lang w:eastAsia="zh-CN"/>
        </w:rPr>
        <w:t>参</w:t>
      </w:r>
      <w:r>
        <w:rPr>
          <w:rFonts w:hint="eastAsia" w:ascii="宋体" w:hAnsi="宋体" w:eastAsia="宋体" w:cs="宋体"/>
          <w:spacing w:val="4"/>
          <w:sz w:val="28"/>
          <w:szCs w:val="28"/>
          <w:lang w:eastAsia="zh-CN"/>
        </w:rPr>
        <w:t>比文件的地点为：</w:t>
      </w:r>
      <w:r>
        <w:rPr>
          <w:rFonts w:hint="eastAsia" w:ascii="宋体" w:hAnsi="宋体" w:eastAsia="宋体" w:cs="宋体"/>
          <w:color w:val="000000" w:themeColor="text1"/>
          <w:sz w:val="28"/>
          <w:szCs w:val="28"/>
          <w:lang w:val="en-US" w:eastAsia="zh-CN"/>
          <w14:textFill>
            <w14:solidFill>
              <w14:schemeClr w14:val="tx1"/>
            </w14:solidFill>
          </w14:textFill>
        </w:rPr>
        <w:t>线</w:t>
      </w:r>
      <w:r>
        <w:rPr>
          <w:rFonts w:hint="eastAsia" w:cs="宋体"/>
          <w:color w:val="000000" w:themeColor="text1"/>
          <w:sz w:val="28"/>
          <w:szCs w:val="28"/>
          <w:lang w:val="en-US" w:eastAsia="zh-CN"/>
          <w14:textFill>
            <w14:solidFill>
              <w14:schemeClr w14:val="tx1"/>
            </w14:solidFill>
          </w14:textFill>
        </w:rPr>
        <w:t>下</w:t>
      </w:r>
      <w:r>
        <w:rPr>
          <w:rFonts w:hint="eastAsia" w:ascii="宋体" w:hAnsi="宋体" w:eastAsia="宋体" w:cs="宋体"/>
          <w:color w:val="000000" w:themeColor="text1"/>
          <w:sz w:val="28"/>
          <w:szCs w:val="28"/>
          <w:lang w:val="en-US" w:eastAsia="zh-CN"/>
          <w14:textFill>
            <w14:solidFill>
              <w14:schemeClr w14:val="tx1"/>
            </w14:solidFill>
          </w14:textFill>
        </w:rPr>
        <w:t>递交</w:t>
      </w:r>
      <w:r>
        <w:rPr>
          <w:rFonts w:hint="eastAsia" w:ascii="宋体" w:hAnsi="宋体" w:eastAsia="宋体" w:cs="宋体"/>
          <w:spacing w:val="-4"/>
          <w:sz w:val="28"/>
          <w:szCs w:val="28"/>
          <w:lang w:eastAsia="zh-CN"/>
        </w:rPr>
        <w:t>。</w:t>
      </w:r>
      <w:r>
        <w:rPr>
          <w:rFonts w:hint="eastAsia" w:ascii="宋体" w:hAnsi="宋体" w:eastAsia="宋体" w:cs="宋体"/>
          <w:color w:val="000000" w:themeColor="text1"/>
          <w:sz w:val="28"/>
          <w:szCs w:val="28"/>
          <w:lang w:eastAsia="zh-CN"/>
          <w14:textFill>
            <w14:solidFill>
              <w14:schemeClr w14:val="tx1"/>
            </w14:solidFill>
          </w14:textFill>
        </w:rPr>
        <w:t>福建省漳州市古雷开发区纵四路西侧福化古雷运营中心福海创17楼综合采购团队。收件人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7BA848B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AD6D639">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2"/>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17"/>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17"/>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079715FC">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FFA9DD8">
      <w:pPr>
        <w:pStyle w:val="2"/>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1CCA6B35">
      <w:pPr>
        <w:spacing w:before="15" w:line="360" w:lineRule="auto"/>
        <w:ind w:firstLine="429" w:firstLineChars="15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一、规则</w:t>
      </w:r>
    </w:p>
    <w:p w14:paraId="6B60F3E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1.采购人在评审时，将优先对技术参比文件进行评审，技术参比文件符合业主要求方可进行下一轮商务报价评审。</w:t>
      </w:r>
    </w:p>
    <w:p w14:paraId="29B5CB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2.参比人串选、相互勾结故意压低标价以排挤竞争对手的公平竞争的，其参比无效。</w:t>
      </w:r>
    </w:p>
    <w:p w14:paraId="687DBFA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17DFE2FF">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47E2C32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33900A2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三、评审办法</w:t>
      </w:r>
    </w:p>
    <w:p w14:paraId="4A585F1D">
      <w:pPr>
        <w:pStyle w:val="5"/>
        <w:spacing w:line="360" w:lineRule="auto"/>
        <w:ind w:right="121"/>
        <w:jc w:val="both"/>
        <w:rPr>
          <w:rFonts w:hint="eastAsia" w:ascii="宋体" w:hAnsi="宋体" w:eastAsia="宋体" w:cs="宋体"/>
          <w:sz w:val="28"/>
          <w:szCs w:val="28"/>
          <w:u w:val="single"/>
          <w:lang w:val="en-US" w:eastAsia="zh-CN"/>
        </w:rPr>
      </w:pPr>
      <w:r>
        <w:rPr>
          <w:rFonts w:hint="eastAsia" w:ascii="宋体" w:hAnsi="宋体" w:eastAsia="宋体" w:cs="宋体"/>
          <w:b/>
          <w:color w:val="FF0000"/>
          <w:sz w:val="28"/>
          <w:szCs w:val="28"/>
          <w:lang w:eastAsia="zh-CN"/>
        </w:rPr>
        <w:t>本项目设置最高控制价</w:t>
      </w:r>
      <w:r>
        <w:rPr>
          <w:rFonts w:hint="eastAsia" w:ascii="宋体" w:hAnsi="宋体" w:eastAsia="宋体" w:cs="宋体"/>
          <w:b/>
          <w:color w:val="FF0000"/>
          <w:sz w:val="28"/>
          <w:szCs w:val="28"/>
          <w:lang w:val="en-US" w:eastAsia="zh-CN"/>
        </w:rPr>
        <w:t>263.00万元</w:t>
      </w:r>
      <w:r>
        <w:rPr>
          <w:rFonts w:hint="eastAsia" w:ascii="宋体" w:hAnsi="宋体" w:eastAsia="宋体" w:cs="宋体"/>
          <w:b/>
          <w:color w:val="FF0000"/>
          <w:sz w:val="28"/>
          <w:szCs w:val="28"/>
          <w:lang w:eastAsia="zh-CN"/>
        </w:rPr>
        <w:t>整（含税包干总价）</w:t>
      </w:r>
      <w:r>
        <w:rPr>
          <w:rFonts w:hint="eastAsia" w:ascii="宋体" w:hAnsi="宋体" w:eastAsia="宋体" w:cs="宋体"/>
          <w:sz w:val="28"/>
          <w:szCs w:val="28"/>
          <w:lang w:eastAsia="zh-CN"/>
        </w:rPr>
        <w:t>。参比人所填报的报价高于本项目最高限价的，其参比将被比选小组予以否决。</w:t>
      </w:r>
      <w:r>
        <w:rPr>
          <w:rFonts w:hint="eastAsia" w:ascii="宋体" w:hAnsi="宋体" w:eastAsia="宋体" w:cs="宋体"/>
        </w:rPr>
        <w:fldChar w:fldCharType="begin"/>
      </w:r>
      <w:r>
        <w:rPr>
          <w:rFonts w:hint="eastAsia" w:ascii="宋体" w:hAnsi="宋体" w:eastAsia="宋体" w:cs="宋体"/>
          <w:lang w:eastAsia="zh-CN"/>
        </w:rPr>
        <w:instrText xml:space="preserve"> HYPERLINK "mailto:如参比人对控制价存疑请于报价截止前发邮件至xqyang@fhcpec.com.cn" </w:instrText>
      </w:r>
      <w:r>
        <w:rPr>
          <w:rFonts w:hint="eastAsia" w:ascii="宋体" w:hAnsi="宋体" w:eastAsia="宋体" w:cs="宋体"/>
        </w:rPr>
        <w:fldChar w:fldCharType="separate"/>
      </w:r>
      <w:r>
        <w:rPr>
          <w:rStyle w:val="16"/>
          <w:rFonts w:hint="eastAsia" w:ascii="宋体" w:hAnsi="宋体" w:eastAsia="宋体" w:cs="宋体"/>
          <w:sz w:val="28"/>
          <w:szCs w:val="28"/>
          <w:lang w:eastAsia="zh-CN"/>
        </w:rPr>
        <w:t>如参比人对控制价存疑请于报价截止前发</w:t>
      </w:r>
      <w:r>
        <w:rPr>
          <w:rStyle w:val="16"/>
          <w:rFonts w:hint="eastAsia" w:ascii="宋体" w:hAnsi="宋体" w:eastAsia="宋体" w:cs="宋体"/>
          <w:sz w:val="28"/>
          <w:szCs w:val="28"/>
          <w:u w:val="single"/>
          <w:lang w:eastAsia="zh-CN"/>
        </w:rPr>
        <w:t>邮件至</w:t>
      </w:r>
      <w:r>
        <w:rPr>
          <w:rFonts w:hint="eastAsia" w:ascii="宋体" w:hAnsi="宋体" w:eastAsia="宋体" w:cs="宋体"/>
          <w:sz w:val="28"/>
          <w:szCs w:val="28"/>
          <w:u w:val="single"/>
          <w:lang w:eastAsia="zh-CN"/>
        </w:rPr>
        <w:t>xrshen@fhcpec.com.cn。</w:t>
      </w:r>
    </w:p>
    <w:p w14:paraId="1E0CE60E">
      <w:pPr>
        <w:pStyle w:val="5"/>
        <w:spacing w:line="360" w:lineRule="auto"/>
        <w:ind w:right="121"/>
        <w:jc w:val="both"/>
        <w:rPr>
          <w:rFonts w:hint="eastAsia" w:ascii="宋体" w:hAnsi="宋体" w:eastAsia="宋体" w:cs="宋体"/>
          <w:color w:val="000000"/>
          <w:sz w:val="28"/>
          <w:szCs w:val="28"/>
          <w:shd w:val="clear" w:color="auto" w:fill="FFFFFF"/>
          <w:lang w:eastAsia="zh-CN"/>
        </w:rPr>
      </w:pPr>
      <w:r>
        <w:rPr>
          <w:rStyle w:val="16"/>
          <w:rFonts w:hint="eastAsia" w:ascii="宋体" w:hAnsi="宋体" w:eastAsia="宋体" w:cs="宋体"/>
          <w:sz w:val="28"/>
          <w:szCs w:val="28"/>
          <w:lang w:eastAsia="zh-CN"/>
        </w:rPr>
        <w:fldChar w:fldCharType="end"/>
      </w:r>
      <w:r>
        <w:rPr>
          <w:rStyle w:val="16"/>
          <w:rFonts w:hint="eastAsia" w:ascii="宋体" w:hAnsi="宋体" w:eastAsia="宋体" w:cs="宋体"/>
          <w:sz w:val="28"/>
          <w:szCs w:val="28"/>
          <w:u w:val="none"/>
          <w:lang w:val="en-US" w:eastAsia="zh-CN"/>
        </w:rPr>
        <w:t xml:space="preserve">    </w:t>
      </w:r>
      <w:r>
        <w:rPr>
          <w:rFonts w:hint="eastAsia" w:ascii="宋体" w:hAnsi="宋体" w:eastAsia="宋体" w:cs="宋体"/>
          <w:sz w:val="28"/>
          <w:szCs w:val="28"/>
          <w:lang w:eastAsia="zh-CN"/>
        </w:rPr>
        <w:t>技术参比文件符合业主要求，</w:t>
      </w:r>
      <w:r>
        <w:rPr>
          <w:rFonts w:hint="eastAsia" w:ascii="宋体" w:hAnsi="宋体" w:eastAsia="宋体" w:cs="宋体"/>
          <w:color w:val="000000"/>
          <w:sz w:val="28"/>
          <w:szCs w:val="28"/>
          <w:shd w:val="clear" w:color="auto" w:fill="FFFFFF"/>
          <w:lang w:eastAsia="zh-CN"/>
        </w:rPr>
        <w:t>采用商务报价决标评选的方式，从价格和付款方式两方面进行评选，满足</w:t>
      </w:r>
    </w:p>
    <w:p w14:paraId="641A8BAF">
      <w:pPr>
        <w:spacing w:before="15" w:line="360" w:lineRule="auto"/>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rPr>
        <w:t>（1）付款条件：货到验收合格付90%，留10%质保；</w:t>
      </w:r>
    </w:p>
    <w:p w14:paraId="5F523F51">
      <w:pPr>
        <w:spacing w:before="15" w:line="360" w:lineRule="auto"/>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rPr>
        <w:t>（2）总价最低者作为第一中选人，以此类推。</w:t>
      </w:r>
    </w:p>
    <w:p w14:paraId="393158D9">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1A00092F">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19E0724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1E70BDA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40E6363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77A635E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1429750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260850F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7C217AA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109BC0F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4.采购人将根据评审结果与中标人签订合同。</w:t>
      </w:r>
    </w:p>
    <w:p w14:paraId="7305AEE8">
      <w:pPr>
        <w:rPr>
          <w:rFonts w:hint="eastAsia" w:ascii="宋体" w:hAnsi="宋体" w:eastAsia="宋体" w:cs="宋体"/>
          <w:lang w:eastAsia="zh-CN"/>
        </w:rPr>
      </w:pPr>
    </w:p>
    <w:p w14:paraId="75A74CBD">
      <w:pPr>
        <w:pStyle w:val="5"/>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w:t>
      </w:r>
      <w:r>
        <w:rPr>
          <w:rFonts w:hint="eastAsia" w:cs="宋体"/>
          <w:sz w:val="28"/>
          <w:szCs w:val="28"/>
          <w:lang w:eastAsia="zh-CN"/>
        </w:rPr>
        <w:t>中选</w:t>
      </w:r>
      <w:r>
        <w:rPr>
          <w:rFonts w:hint="eastAsia" w:ascii="宋体" w:hAnsi="宋体" w:eastAsia="宋体" w:cs="宋体"/>
          <w:sz w:val="28"/>
          <w:szCs w:val="28"/>
          <w:lang w:eastAsia="zh-CN"/>
        </w:rPr>
        <w:t>人；在授予前，仍需进行资格审查。</w:t>
      </w:r>
    </w:p>
    <w:p w14:paraId="62F9A6D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cs="宋体"/>
          <w:sz w:val="28"/>
          <w:szCs w:val="28"/>
          <w:lang w:eastAsia="zh-CN"/>
        </w:rPr>
        <w:t>中选</w:t>
      </w:r>
      <w:r>
        <w:rPr>
          <w:rFonts w:hint="eastAsia" w:ascii="宋体" w:hAnsi="宋体" w:eastAsia="宋体" w:cs="宋体"/>
          <w:sz w:val="28"/>
          <w:szCs w:val="28"/>
          <w:lang w:eastAsia="zh-CN"/>
        </w:rPr>
        <w:t>人确定后，采购将通知</w:t>
      </w:r>
      <w:r>
        <w:rPr>
          <w:rFonts w:hint="eastAsia" w:cs="宋体"/>
          <w:sz w:val="28"/>
          <w:szCs w:val="28"/>
          <w:lang w:eastAsia="zh-CN"/>
        </w:rPr>
        <w:t>中选</w:t>
      </w:r>
      <w:r>
        <w:rPr>
          <w:rFonts w:hint="eastAsia" w:ascii="宋体" w:hAnsi="宋体" w:eastAsia="宋体" w:cs="宋体"/>
          <w:sz w:val="28"/>
          <w:szCs w:val="28"/>
          <w:lang w:eastAsia="zh-CN"/>
        </w:rPr>
        <w:t>人，并将</w:t>
      </w:r>
      <w:r>
        <w:rPr>
          <w:rFonts w:hint="eastAsia" w:cs="宋体"/>
          <w:sz w:val="28"/>
          <w:szCs w:val="28"/>
          <w:lang w:eastAsia="zh-CN"/>
        </w:rPr>
        <w:t>中选</w:t>
      </w:r>
      <w:r>
        <w:rPr>
          <w:rFonts w:hint="eastAsia" w:ascii="宋体" w:hAnsi="宋体" w:eastAsia="宋体" w:cs="宋体"/>
          <w:sz w:val="28"/>
          <w:szCs w:val="28"/>
          <w:lang w:eastAsia="zh-CN"/>
        </w:rPr>
        <w:t>结果公示在采购人官网。</w:t>
      </w:r>
    </w:p>
    <w:p w14:paraId="6569D35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w:t>
      </w:r>
      <w:r>
        <w:rPr>
          <w:rFonts w:hint="eastAsia" w:cs="宋体"/>
          <w:sz w:val="28"/>
          <w:szCs w:val="28"/>
          <w:lang w:eastAsia="zh-CN"/>
        </w:rPr>
        <w:t>中选</w:t>
      </w:r>
      <w:r>
        <w:rPr>
          <w:rFonts w:hint="eastAsia" w:ascii="宋体" w:hAnsi="宋体" w:eastAsia="宋体" w:cs="宋体"/>
          <w:sz w:val="28"/>
          <w:szCs w:val="28"/>
          <w:lang w:eastAsia="zh-CN"/>
        </w:rPr>
        <w:t>通知对采购人和参比人具有法律效力。</w:t>
      </w:r>
      <w:r>
        <w:rPr>
          <w:rStyle w:val="15"/>
          <w:rFonts w:hint="eastAsia" w:ascii="宋体" w:hAnsi="宋体" w:eastAsia="宋体" w:cs="宋体"/>
          <w:color w:val="FF0000"/>
          <w:sz w:val="28"/>
          <w:szCs w:val="28"/>
          <w:lang w:eastAsia="zh-CN"/>
        </w:rPr>
        <w:t>福建福海创石油化工有限公司指定由其权属子公司“</w:t>
      </w:r>
      <w:r>
        <w:rPr>
          <w:rStyle w:val="15"/>
          <w:rFonts w:hint="eastAsia" w:ascii="宋体" w:hAnsi="宋体" w:eastAsia="宋体" w:cs="宋体"/>
          <w:color w:val="FF0000"/>
          <w:sz w:val="28"/>
          <w:szCs w:val="28"/>
          <w:lang w:val="en-US" w:eastAsia="zh-CN"/>
        </w:rPr>
        <w:t>腾龙芳烃</w:t>
      </w:r>
      <w:r>
        <w:rPr>
          <w:rStyle w:val="15"/>
          <w:rFonts w:hint="eastAsia" w:ascii="宋体" w:hAnsi="宋体" w:eastAsia="宋体" w:cs="宋体"/>
          <w:color w:val="FF0000"/>
          <w:sz w:val="28"/>
          <w:szCs w:val="28"/>
          <w:lang w:eastAsia="zh-CN"/>
        </w:rPr>
        <w:t>（漳州）有限公司”作为本合同执行主体，将于中选结果公示流程结束之日起30日内与中选人完成合同签订事宜</w:t>
      </w:r>
      <w:r>
        <w:rPr>
          <w:rFonts w:hint="eastAsia" w:ascii="宋体" w:hAnsi="宋体" w:eastAsia="宋体" w:cs="宋体"/>
          <w:color w:val="FF0000"/>
          <w:sz w:val="28"/>
          <w:szCs w:val="28"/>
          <w:lang w:eastAsia="zh-CN"/>
        </w:rPr>
        <w:t>。</w:t>
      </w:r>
      <w:r>
        <w:rPr>
          <w:rFonts w:hint="eastAsia" w:ascii="宋体" w:hAnsi="宋体" w:eastAsia="宋体" w:cs="宋体"/>
          <w:sz w:val="28"/>
          <w:szCs w:val="28"/>
          <w:lang w:eastAsia="zh-CN"/>
        </w:rPr>
        <w:t>若因</w:t>
      </w:r>
      <w:r>
        <w:rPr>
          <w:rFonts w:hint="eastAsia" w:cs="宋体"/>
          <w:sz w:val="28"/>
          <w:szCs w:val="28"/>
          <w:lang w:eastAsia="zh-CN"/>
        </w:rPr>
        <w:t>中选</w:t>
      </w:r>
      <w:r>
        <w:rPr>
          <w:rFonts w:hint="eastAsia" w:ascii="宋体" w:hAnsi="宋体" w:eastAsia="宋体" w:cs="宋体"/>
          <w:sz w:val="28"/>
          <w:szCs w:val="28"/>
          <w:lang w:eastAsia="zh-CN"/>
        </w:rPr>
        <w:t>单位原因未在规定的时间和地点与采购人签署合同，采购人有权单方取消</w:t>
      </w:r>
      <w:r>
        <w:rPr>
          <w:rFonts w:hint="eastAsia" w:cs="宋体"/>
          <w:sz w:val="28"/>
          <w:szCs w:val="28"/>
          <w:lang w:eastAsia="zh-CN"/>
        </w:rPr>
        <w:t>中选</w:t>
      </w:r>
      <w:r>
        <w:rPr>
          <w:rFonts w:hint="eastAsia" w:ascii="宋体" w:hAnsi="宋体" w:eastAsia="宋体" w:cs="宋体"/>
          <w:sz w:val="28"/>
          <w:szCs w:val="28"/>
          <w:lang w:eastAsia="zh-CN"/>
        </w:rPr>
        <w:t>单位的资格。同时，由此给采购人造成的损失，采购人有权追究</w:t>
      </w:r>
      <w:r>
        <w:rPr>
          <w:rFonts w:hint="eastAsia" w:cs="宋体"/>
          <w:sz w:val="28"/>
          <w:szCs w:val="28"/>
          <w:lang w:eastAsia="zh-CN"/>
        </w:rPr>
        <w:t>中选</w:t>
      </w:r>
      <w:r>
        <w:rPr>
          <w:rFonts w:hint="eastAsia" w:ascii="宋体" w:hAnsi="宋体" w:eastAsia="宋体" w:cs="宋体"/>
          <w:sz w:val="28"/>
          <w:szCs w:val="28"/>
          <w:lang w:eastAsia="zh-CN"/>
        </w:rPr>
        <w:t>单位的全部责任。</w:t>
      </w:r>
    </w:p>
    <w:p w14:paraId="20E1464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w:t>
      </w:r>
      <w:r>
        <w:rPr>
          <w:rFonts w:hint="eastAsia" w:cs="宋体"/>
          <w:sz w:val="28"/>
          <w:szCs w:val="28"/>
          <w:lang w:eastAsia="zh-CN"/>
        </w:rPr>
        <w:t>中选</w:t>
      </w:r>
      <w:r>
        <w:rPr>
          <w:rFonts w:hint="eastAsia" w:ascii="宋体" w:hAnsi="宋体" w:eastAsia="宋体" w:cs="宋体"/>
          <w:sz w:val="28"/>
          <w:szCs w:val="28"/>
          <w:lang w:eastAsia="zh-CN"/>
        </w:rPr>
        <w:t>人签署合同后必须履行合同要求。若因</w:t>
      </w:r>
      <w:r>
        <w:rPr>
          <w:rFonts w:hint="eastAsia" w:cs="宋体"/>
          <w:sz w:val="28"/>
          <w:szCs w:val="28"/>
          <w:lang w:eastAsia="zh-CN"/>
        </w:rPr>
        <w:t>中选</w:t>
      </w:r>
      <w:r>
        <w:rPr>
          <w:rFonts w:hint="eastAsia" w:ascii="宋体" w:hAnsi="宋体" w:eastAsia="宋体" w:cs="宋体"/>
          <w:sz w:val="28"/>
          <w:szCs w:val="28"/>
          <w:lang w:eastAsia="zh-CN"/>
        </w:rPr>
        <w:t>单位原因未在规定的时间内完成合同内容等相关工作，则采购人有权单方面取消</w:t>
      </w:r>
      <w:r>
        <w:rPr>
          <w:rFonts w:hint="eastAsia" w:cs="宋体"/>
          <w:sz w:val="28"/>
          <w:szCs w:val="28"/>
          <w:lang w:eastAsia="zh-CN"/>
        </w:rPr>
        <w:t>中选</w:t>
      </w:r>
      <w:r>
        <w:rPr>
          <w:rFonts w:hint="eastAsia" w:ascii="宋体" w:hAnsi="宋体" w:eastAsia="宋体" w:cs="宋体"/>
          <w:sz w:val="28"/>
          <w:szCs w:val="28"/>
          <w:lang w:eastAsia="zh-CN"/>
        </w:rPr>
        <w:t>单位的资格。并取消参比人三年内在采购人的业务中的参比资格，由此给采购人造成的损失，采购人有权追究中选方的全部责任。</w:t>
      </w:r>
    </w:p>
    <w:p w14:paraId="6B0E5F9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5.采购文件与合同附件作为签订合同的条款，采购文件合同条款中没有规定的内容，采购人、参比人认为有必要进行补充，可另行商定解决。</w:t>
      </w:r>
    </w:p>
    <w:p w14:paraId="06E60D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42C4A0E2">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 xml:space="preserve">第六章  </w:t>
      </w:r>
      <w:r>
        <w:rPr>
          <w:rFonts w:hint="eastAsia" w:cs="宋体"/>
          <w:b/>
          <w:w w:val="95"/>
          <w:sz w:val="30"/>
          <w:szCs w:val="30"/>
          <w:lang w:eastAsia="zh-CN"/>
        </w:rPr>
        <w:t>中选</w:t>
      </w:r>
      <w:r>
        <w:rPr>
          <w:rFonts w:hint="eastAsia" w:ascii="宋体" w:hAnsi="宋体" w:eastAsia="宋体" w:cs="宋体"/>
          <w:b/>
          <w:w w:val="95"/>
          <w:sz w:val="30"/>
          <w:szCs w:val="30"/>
          <w:lang w:eastAsia="zh-CN"/>
        </w:rPr>
        <w:t>后相关履约要求</w:t>
      </w:r>
    </w:p>
    <w:p w14:paraId="09B0E2B4">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cs="宋体"/>
          <w:sz w:val="28"/>
          <w:szCs w:val="28"/>
          <w:lang w:eastAsia="zh-CN"/>
        </w:rPr>
        <w:t>中选</w:t>
      </w:r>
      <w:r>
        <w:rPr>
          <w:rFonts w:hint="eastAsia" w:ascii="宋体" w:hAnsi="宋体" w:eastAsia="宋体" w:cs="宋体"/>
          <w:sz w:val="28"/>
          <w:szCs w:val="28"/>
          <w:lang w:eastAsia="zh-CN"/>
        </w:rPr>
        <w:t>单位要服从采购人的管理规定，不得影响采购人的生产运行，如有违反，取消</w:t>
      </w:r>
      <w:r>
        <w:rPr>
          <w:rFonts w:hint="eastAsia" w:cs="宋体"/>
          <w:sz w:val="28"/>
          <w:szCs w:val="28"/>
          <w:lang w:eastAsia="zh-CN"/>
        </w:rPr>
        <w:t>中选</w:t>
      </w:r>
      <w:r>
        <w:rPr>
          <w:rFonts w:hint="eastAsia" w:ascii="宋体" w:hAnsi="宋体" w:eastAsia="宋体" w:cs="宋体"/>
          <w:sz w:val="28"/>
          <w:szCs w:val="28"/>
          <w:lang w:eastAsia="zh-CN"/>
        </w:rPr>
        <w:t>单位的继续履行合同的资格，同时，由此给采购人造成的损失，采购人有权追究</w:t>
      </w:r>
      <w:r>
        <w:rPr>
          <w:rFonts w:hint="eastAsia" w:cs="宋体"/>
          <w:sz w:val="28"/>
          <w:szCs w:val="28"/>
          <w:lang w:eastAsia="zh-CN"/>
        </w:rPr>
        <w:t>中选</w:t>
      </w:r>
      <w:r>
        <w:rPr>
          <w:rFonts w:hint="eastAsia" w:ascii="宋体" w:hAnsi="宋体" w:eastAsia="宋体" w:cs="宋体"/>
          <w:sz w:val="28"/>
          <w:szCs w:val="28"/>
          <w:lang w:eastAsia="zh-CN"/>
        </w:rPr>
        <w:t>单位的全部责任。</w:t>
      </w:r>
    </w:p>
    <w:p w14:paraId="77BEFDD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cs="宋体"/>
          <w:sz w:val="28"/>
          <w:szCs w:val="28"/>
          <w:lang w:eastAsia="zh-CN"/>
        </w:rPr>
        <w:t>中选</w:t>
      </w:r>
      <w:r>
        <w:rPr>
          <w:rFonts w:hint="eastAsia" w:ascii="宋体" w:hAnsi="宋体" w:eastAsia="宋体" w:cs="宋体"/>
          <w:sz w:val="28"/>
          <w:szCs w:val="28"/>
          <w:lang w:eastAsia="zh-CN"/>
        </w:rPr>
        <w:t>单位必须严格执行采购合同（详见附件一）的规定。</w:t>
      </w:r>
    </w:p>
    <w:p w14:paraId="2F16A0B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w:t>
      </w:r>
      <w:r>
        <w:rPr>
          <w:rFonts w:hint="eastAsia" w:cs="宋体"/>
          <w:sz w:val="28"/>
          <w:szCs w:val="28"/>
          <w:lang w:eastAsia="zh-CN"/>
        </w:rPr>
        <w:t>中选</w:t>
      </w:r>
      <w:r>
        <w:rPr>
          <w:rFonts w:hint="eastAsia" w:ascii="宋体" w:hAnsi="宋体" w:eastAsia="宋体" w:cs="宋体"/>
          <w:sz w:val="28"/>
          <w:szCs w:val="28"/>
          <w:lang w:eastAsia="zh-CN"/>
        </w:rPr>
        <w:t>单位需遵守采购人的各项管理规章制度。如违反相关条例者则按福建福海创石油化工有限公司相应条款进行处罚。</w:t>
      </w:r>
    </w:p>
    <w:p w14:paraId="2410984F">
      <w:pPr>
        <w:pStyle w:val="5"/>
        <w:spacing w:before="26" w:line="321" w:lineRule="auto"/>
        <w:ind w:left="118" w:right="106" w:firstLine="480"/>
        <w:jc w:val="both"/>
        <w:rPr>
          <w:rFonts w:hint="eastAsia" w:ascii="宋体" w:hAnsi="宋体" w:eastAsia="宋体" w:cs="宋体"/>
          <w:lang w:eastAsia="zh-CN"/>
        </w:rPr>
      </w:pPr>
    </w:p>
    <w:p w14:paraId="7D1039C7">
      <w:pPr>
        <w:pStyle w:val="2"/>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2"/>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2"/>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2"/>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2"/>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2"/>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2"/>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2"/>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2"/>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2"/>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2"/>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2"/>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2"/>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2"/>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2"/>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2"/>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2"/>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2"/>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2"/>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2"/>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2"/>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2"/>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2"/>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17"/>
        <w:rPr>
          <w:rFonts w:hint="eastAsia" w:ascii="宋体" w:hAnsi="宋体" w:eastAsia="宋体" w:cs="宋体"/>
        </w:rPr>
      </w:pPr>
    </w:p>
    <w:p w14:paraId="25979C4D">
      <w:pPr>
        <w:pStyle w:val="17"/>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w:t>
      </w:r>
      <w:r>
        <w:rPr>
          <w:rFonts w:hint="eastAsia" w:cs="宋体"/>
          <w:sz w:val="28"/>
          <w:szCs w:val="28"/>
          <w:lang w:val="en-US" w:eastAsia="zh-CN"/>
        </w:rPr>
        <w:t>选</w:t>
      </w:r>
      <w:r>
        <w:rPr>
          <w:rFonts w:hint="eastAsia" w:ascii="宋体" w:hAnsi="宋体" w:eastAsia="宋体" w:cs="宋体"/>
          <w:sz w:val="28"/>
          <w:szCs w:val="28"/>
          <w:lang w:eastAsia="zh-CN"/>
        </w:rPr>
        <w:t>，均不退回。</w:t>
      </w:r>
    </w:p>
    <w:p w14:paraId="7DE7B10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5"/>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0" w:name="_Toc251742852"/>
    </w:p>
    <w:p w14:paraId="37E58E22">
      <w:pPr>
        <w:pStyle w:val="5"/>
        <w:rPr>
          <w:b/>
          <w:sz w:val="44"/>
          <w:szCs w:val="44"/>
          <w:lang w:eastAsia="zh-CN"/>
        </w:rPr>
      </w:pPr>
      <w:r>
        <w:rPr>
          <w:rFonts w:hint="eastAsia" w:ascii="宋体" w:hAnsi="宋体" w:eastAsia="宋体" w:cs="宋体"/>
          <w:b/>
          <w:bCs/>
          <w:lang w:eastAsia="zh-CN"/>
        </w:rPr>
        <w:t>附件一、合同文本</w:t>
      </w:r>
    </w:p>
    <w:p w14:paraId="7150C1FD">
      <w:pPr>
        <w:spacing w:line="360" w:lineRule="auto"/>
        <w:jc w:val="center"/>
        <w:rPr>
          <w:rFonts w:hint="eastAsia" w:ascii="宋体" w:hAnsi="宋体" w:eastAsia="宋体" w:cs="宋体"/>
          <w:b/>
          <w:sz w:val="44"/>
          <w:szCs w:val="44"/>
          <w:lang w:val="en-US" w:eastAsia="zh-CN"/>
        </w:rPr>
      </w:pPr>
      <w:r>
        <w:rPr>
          <w:rFonts w:hint="eastAsia" w:cs="宋体"/>
          <w:b/>
          <w:sz w:val="44"/>
          <w:szCs w:val="44"/>
          <w:lang w:eastAsia="zh-CN"/>
        </w:rPr>
        <w:t>43-C-202塔顶气相余热利用项目钢结构框架</w:t>
      </w:r>
      <w:r>
        <w:rPr>
          <w:rFonts w:hint="eastAsia" w:ascii="宋体" w:hAnsi="宋体" w:eastAsia="宋体" w:cs="宋体"/>
          <w:b/>
          <w:sz w:val="44"/>
          <w:szCs w:val="44"/>
          <w:lang w:eastAsia="zh-CN"/>
        </w:rPr>
        <w:t>项目</w:t>
      </w:r>
      <w:r>
        <w:rPr>
          <w:rFonts w:hint="eastAsia"/>
          <w:b/>
          <w:sz w:val="44"/>
          <w:szCs w:val="44"/>
          <w:lang w:eastAsia="zh-CN"/>
        </w:rPr>
        <w:t>采购</w:t>
      </w:r>
      <w:r>
        <w:rPr>
          <w:rFonts w:hint="eastAsia" w:ascii="宋体" w:hAnsi="宋体" w:eastAsia="宋体" w:cs="宋体"/>
          <w:b/>
          <w:sz w:val="44"/>
          <w:szCs w:val="44"/>
          <w:lang w:val="en-US" w:eastAsia="zh-CN"/>
        </w:rPr>
        <w:t>项目</w:t>
      </w:r>
    </w:p>
    <w:p w14:paraId="6ED00C2C">
      <w:pPr>
        <w:spacing w:line="360" w:lineRule="auto"/>
        <w:ind w:left="883" w:hanging="883" w:hangingChars="200"/>
        <w:jc w:val="center"/>
        <w:rPr>
          <w:b/>
          <w:sz w:val="44"/>
          <w:szCs w:val="44"/>
          <w:lang w:eastAsia="zh-CN"/>
        </w:rPr>
      </w:pPr>
    </w:p>
    <w:p w14:paraId="5B149643">
      <w:pPr>
        <w:spacing w:line="360" w:lineRule="auto"/>
        <w:ind w:left="883" w:hanging="883" w:hangingChars="200"/>
        <w:jc w:val="center"/>
        <w:rPr>
          <w:b/>
          <w:sz w:val="44"/>
          <w:szCs w:val="44"/>
          <w:lang w:eastAsia="zh-CN"/>
        </w:rPr>
      </w:pPr>
    </w:p>
    <w:p w14:paraId="6517CCF8">
      <w:pPr>
        <w:spacing w:line="360" w:lineRule="auto"/>
        <w:ind w:left="883" w:hanging="883" w:hangingChars="200"/>
        <w:jc w:val="center"/>
        <w:rPr>
          <w:b/>
          <w:sz w:val="44"/>
          <w:szCs w:val="44"/>
          <w:lang w:eastAsia="zh-CN"/>
        </w:rPr>
      </w:pPr>
    </w:p>
    <w:p w14:paraId="2B536BBE">
      <w:pPr>
        <w:spacing w:line="360" w:lineRule="auto"/>
        <w:ind w:left="1446" w:hanging="1446" w:hangingChars="200"/>
        <w:jc w:val="center"/>
        <w:rPr>
          <w:b/>
          <w:sz w:val="72"/>
          <w:szCs w:val="72"/>
          <w:lang w:eastAsia="zh-CN"/>
        </w:rPr>
      </w:pPr>
      <w:r>
        <w:rPr>
          <w:rFonts w:hint="eastAsia"/>
          <w:b/>
          <w:sz w:val="72"/>
          <w:szCs w:val="72"/>
          <w:lang w:eastAsia="zh-CN"/>
        </w:rPr>
        <w:t>合</w:t>
      </w:r>
    </w:p>
    <w:p w14:paraId="4C8C40DA">
      <w:pPr>
        <w:spacing w:line="360" w:lineRule="auto"/>
        <w:ind w:left="1446" w:hanging="1446" w:hangingChars="200"/>
        <w:jc w:val="center"/>
        <w:rPr>
          <w:b/>
          <w:sz w:val="72"/>
          <w:szCs w:val="72"/>
          <w:lang w:eastAsia="zh-CN"/>
        </w:rPr>
      </w:pPr>
    </w:p>
    <w:p w14:paraId="5ED3C91A">
      <w:pPr>
        <w:spacing w:line="360" w:lineRule="auto"/>
        <w:ind w:left="1446" w:hanging="1446" w:hangingChars="200"/>
        <w:jc w:val="center"/>
        <w:rPr>
          <w:b/>
          <w:sz w:val="72"/>
          <w:szCs w:val="72"/>
          <w:lang w:eastAsia="zh-CN"/>
        </w:rPr>
      </w:pPr>
      <w:r>
        <w:rPr>
          <w:rFonts w:hint="eastAsia"/>
          <w:b/>
          <w:sz w:val="72"/>
          <w:szCs w:val="72"/>
          <w:lang w:eastAsia="zh-CN"/>
        </w:rPr>
        <w:t>同</w:t>
      </w:r>
    </w:p>
    <w:p w14:paraId="74646EA1">
      <w:pPr>
        <w:spacing w:line="360" w:lineRule="auto"/>
        <w:ind w:left="1446" w:hanging="1446" w:hangingChars="200"/>
        <w:jc w:val="center"/>
        <w:rPr>
          <w:b/>
          <w:sz w:val="72"/>
          <w:szCs w:val="72"/>
          <w:lang w:eastAsia="zh-CN"/>
        </w:rPr>
      </w:pPr>
    </w:p>
    <w:p w14:paraId="2173C174">
      <w:pPr>
        <w:spacing w:line="360" w:lineRule="auto"/>
        <w:ind w:left="1446" w:hanging="1446" w:hangingChars="200"/>
        <w:jc w:val="center"/>
        <w:rPr>
          <w:b/>
          <w:sz w:val="72"/>
          <w:szCs w:val="72"/>
          <w:lang w:eastAsia="zh-CN"/>
        </w:rPr>
      </w:pPr>
      <w:r>
        <w:rPr>
          <w:rFonts w:hint="eastAsia"/>
          <w:b/>
          <w:sz w:val="72"/>
          <w:szCs w:val="72"/>
          <w:lang w:eastAsia="zh-CN"/>
        </w:rPr>
        <w:t>书</w:t>
      </w:r>
    </w:p>
    <w:p w14:paraId="0EA0DB4F">
      <w:pPr>
        <w:spacing w:line="360" w:lineRule="auto"/>
        <w:ind w:left="883" w:hanging="883" w:hangingChars="200"/>
        <w:jc w:val="center"/>
        <w:rPr>
          <w:b/>
          <w:sz w:val="44"/>
          <w:szCs w:val="44"/>
          <w:lang w:eastAsia="zh-CN"/>
        </w:rPr>
      </w:pPr>
    </w:p>
    <w:p w14:paraId="0EC0DB2B">
      <w:pPr>
        <w:spacing w:line="360" w:lineRule="auto"/>
        <w:ind w:left="883" w:hanging="883" w:hangingChars="200"/>
        <w:jc w:val="center"/>
        <w:rPr>
          <w:b/>
          <w:sz w:val="44"/>
          <w:szCs w:val="44"/>
          <w:lang w:eastAsia="zh-CN"/>
        </w:rPr>
      </w:pPr>
    </w:p>
    <w:p w14:paraId="208BF43E">
      <w:pPr>
        <w:spacing w:line="360" w:lineRule="auto"/>
        <w:ind w:firstLine="1606" w:firstLineChars="500"/>
        <w:jc w:val="both"/>
        <w:rPr>
          <w:b/>
          <w:sz w:val="32"/>
          <w:szCs w:val="32"/>
          <w:lang w:eastAsia="zh-CN"/>
        </w:rPr>
      </w:pPr>
      <w:r>
        <w:rPr>
          <w:rFonts w:hint="eastAsia"/>
          <w:b/>
          <w:sz w:val="32"/>
          <w:szCs w:val="32"/>
          <w:lang w:eastAsia="zh-CN"/>
        </w:rPr>
        <w:t>合同编号</w:t>
      </w:r>
    </w:p>
    <w:p w14:paraId="202F097A">
      <w:pPr>
        <w:spacing w:line="360" w:lineRule="auto"/>
        <w:ind w:left="883" w:hanging="883" w:hangingChars="200"/>
        <w:jc w:val="center"/>
        <w:rPr>
          <w:b/>
          <w:sz w:val="44"/>
          <w:szCs w:val="44"/>
          <w:lang w:eastAsia="zh-CN"/>
        </w:rPr>
      </w:pPr>
    </w:p>
    <w:p w14:paraId="4E996089">
      <w:pPr>
        <w:spacing w:line="360" w:lineRule="auto"/>
        <w:ind w:left="643" w:hanging="643" w:hangingChars="200"/>
        <w:rPr>
          <w:rFonts w:hint="eastAsia" w:ascii="宋体" w:hAnsi="宋体" w:eastAsia="宋体" w:cs="宋体"/>
          <w:b/>
          <w:sz w:val="32"/>
          <w:szCs w:val="32"/>
          <w:lang w:eastAsia="zh-CN"/>
        </w:rPr>
      </w:pPr>
      <w:r>
        <w:rPr>
          <w:rFonts w:hint="eastAsia"/>
          <w:b/>
          <w:sz w:val="32"/>
          <w:szCs w:val="32"/>
          <w:lang w:eastAsia="zh-CN"/>
        </w:rPr>
        <w:t xml:space="preserve">          甲方：</w:t>
      </w:r>
      <w:r>
        <w:rPr>
          <w:rFonts w:hint="eastAsia" w:ascii="宋体" w:hAnsi="宋体" w:eastAsia="宋体" w:cs="宋体"/>
          <w:b/>
          <w:sz w:val="32"/>
          <w:szCs w:val="32"/>
          <w:lang w:val="en-US" w:eastAsia="zh-CN"/>
        </w:rPr>
        <w:t>腾龙芳烃</w:t>
      </w:r>
      <w:r>
        <w:rPr>
          <w:rFonts w:hint="eastAsia" w:ascii="宋体" w:hAnsi="宋体" w:eastAsia="宋体" w:cs="宋体"/>
          <w:b/>
          <w:sz w:val="32"/>
          <w:szCs w:val="32"/>
          <w:lang w:eastAsia="zh-CN"/>
        </w:rPr>
        <w:t>（漳州）有限公司</w:t>
      </w:r>
    </w:p>
    <w:p w14:paraId="0EA97CA7">
      <w:pPr>
        <w:spacing w:line="360" w:lineRule="auto"/>
        <w:ind w:left="643" w:hanging="643" w:hangingChars="200"/>
        <w:rPr>
          <w:rFonts w:hint="default"/>
          <w:b/>
          <w:sz w:val="32"/>
          <w:szCs w:val="32"/>
          <w:lang w:val="en-US" w:eastAsia="zh-CN"/>
        </w:rPr>
      </w:pPr>
    </w:p>
    <w:p w14:paraId="6DCD95B3">
      <w:pPr>
        <w:spacing w:line="360" w:lineRule="auto"/>
        <w:ind w:firstLine="1606" w:firstLineChars="500"/>
        <w:jc w:val="both"/>
        <w:rPr>
          <w:rFonts w:hint="eastAsia"/>
          <w:b/>
          <w:sz w:val="32"/>
          <w:szCs w:val="32"/>
          <w:lang w:eastAsia="zh-CN"/>
        </w:rPr>
      </w:pPr>
      <w:r>
        <w:rPr>
          <w:rFonts w:hint="eastAsia"/>
          <w:b/>
          <w:sz w:val="32"/>
          <w:szCs w:val="32"/>
          <w:lang w:eastAsia="zh-CN"/>
        </w:rPr>
        <w:t>乙方：</w:t>
      </w:r>
    </w:p>
    <w:p w14:paraId="399B98F5">
      <w:pPr>
        <w:spacing w:line="360" w:lineRule="auto"/>
        <w:ind w:firstLine="1928" w:firstLineChars="600"/>
        <w:jc w:val="both"/>
        <w:rPr>
          <w:rFonts w:hint="default"/>
          <w:b/>
          <w:sz w:val="32"/>
          <w:szCs w:val="32"/>
          <w:lang w:val="en-US" w:eastAsia="zh-CN"/>
        </w:rPr>
      </w:pPr>
      <w:r>
        <w:rPr>
          <w:rFonts w:hint="eastAsia"/>
          <w:b/>
          <w:sz w:val="32"/>
          <w:szCs w:val="32"/>
          <w:lang w:val="en-US" w:eastAsia="zh-CN"/>
        </w:rPr>
        <w:t>签订日期：2025</w:t>
      </w:r>
      <w:r>
        <w:rPr>
          <w:rFonts w:hint="eastAsia"/>
          <w:b/>
          <w:sz w:val="32"/>
          <w:szCs w:val="32"/>
          <w:lang w:eastAsia="zh-CN"/>
        </w:rPr>
        <w:t>年</w:t>
      </w:r>
      <w:r>
        <w:rPr>
          <w:rFonts w:hint="eastAsia"/>
          <w:b/>
          <w:sz w:val="32"/>
          <w:szCs w:val="32"/>
          <w:lang w:val="en-US" w:eastAsia="zh-CN"/>
        </w:rPr>
        <w:t xml:space="preserve">  </w:t>
      </w:r>
      <w:r>
        <w:rPr>
          <w:rFonts w:hint="eastAsia"/>
          <w:b/>
          <w:sz w:val="32"/>
          <w:szCs w:val="32"/>
          <w:lang w:eastAsia="zh-CN"/>
        </w:rPr>
        <w:t>月</w:t>
      </w:r>
      <w:r>
        <w:rPr>
          <w:rFonts w:hint="eastAsia"/>
          <w:b/>
          <w:sz w:val="32"/>
          <w:szCs w:val="32"/>
          <w:lang w:val="en-US" w:eastAsia="zh-CN"/>
        </w:rPr>
        <w:t xml:space="preserve">  日</w:t>
      </w:r>
    </w:p>
    <w:p w14:paraId="448AED4F">
      <w:pPr>
        <w:snapToGrid w:val="0"/>
        <w:spacing w:line="360" w:lineRule="auto"/>
        <w:rPr>
          <w:szCs w:val="21"/>
          <w:lang w:eastAsia="zh-CN"/>
        </w:rPr>
      </w:pPr>
    </w:p>
    <w:p w14:paraId="0CD613CC">
      <w:pPr>
        <w:snapToGrid w:val="0"/>
        <w:spacing w:line="360" w:lineRule="auto"/>
        <w:jc w:val="center"/>
        <w:rPr>
          <w:rFonts w:hint="eastAsia"/>
          <w:b/>
          <w:szCs w:val="21"/>
          <w:lang w:eastAsia="zh-CN"/>
        </w:rPr>
      </w:pPr>
    </w:p>
    <w:p w14:paraId="740A1CFF">
      <w:pPr>
        <w:snapToGrid w:val="0"/>
        <w:spacing w:line="360" w:lineRule="auto"/>
        <w:jc w:val="center"/>
        <w:rPr>
          <w:rFonts w:hint="eastAsia"/>
          <w:b/>
          <w:szCs w:val="21"/>
          <w:lang w:eastAsia="zh-CN"/>
        </w:rPr>
      </w:pPr>
    </w:p>
    <w:p w14:paraId="4642AB81">
      <w:pPr>
        <w:snapToGrid w:val="0"/>
        <w:spacing w:line="360" w:lineRule="auto"/>
        <w:jc w:val="center"/>
        <w:rPr>
          <w:rFonts w:hint="eastAsia"/>
          <w:b/>
          <w:szCs w:val="21"/>
          <w:lang w:eastAsia="zh-CN"/>
        </w:rPr>
      </w:pPr>
    </w:p>
    <w:p w14:paraId="0E868464">
      <w:pPr>
        <w:snapToGrid w:val="0"/>
        <w:spacing w:line="360" w:lineRule="auto"/>
        <w:jc w:val="center"/>
        <w:rPr>
          <w:rFonts w:hint="eastAsia"/>
          <w:b/>
          <w:szCs w:val="21"/>
          <w:lang w:eastAsia="zh-CN"/>
        </w:rPr>
      </w:pPr>
    </w:p>
    <w:p w14:paraId="01B8C39D">
      <w:pPr>
        <w:snapToGrid w:val="0"/>
        <w:spacing w:line="360" w:lineRule="auto"/>
        <w:jc w:val="center"/>
        <w:rPr>
          <w:rFonts w:hint="eastAsia"/>
          <w:b/>
          <w:szCs w:val="21"/>
          <w:lang w:eastAsia="zh-CN"/>
        </w:rPr>
      </w:pPr>
    </w:p>
    <w:p w14:paraId="4404F136">
      <w:pPr>
        <w:snapToGrid w:val="0"/>
        <w:spacing w:line="360" w:lineRule="auto"/>
        <w:jc w:val="center"/>
        <w:rPr>
          <w:b/>
          <w:szCs w:val="21"/>
          <w:lang w:eastAsia="zh-CN"/>
        </w:rPr>
      </w:pPr>
      <w:r>
        <w:rPr>
          <w:rFonts w:hint="eastAsia"/>
          <w:b/>
          <w:szCs w:val="21"/>
          <w:lang w:eastAsia="zh-CN"/>
        </w:rPr>
        <w:t>一、总则</w:t>
      </w:r>
    </w:p>
    <w:p w14:paraId="3C37A352">
      <w:pPr>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1.1 甲方委托乙方承担</w:t>
      </w:r>
      <w:r>
        <w:rPr>
          <w:rFonts w:hint="eastAsia" w:ascii="宋体" w:hAnsi="宋体" w:eastAsia="宋体" w:cs="宋体"/>
          <w:szCs w:val="21"/>
          <w:u w:val="single"/>
          <w:lang w:eastAsia="zh-CN"/>
        </w:rPr>
        <w:t xml:space="preserve">            </w:t>
      </w:r>
      <w:r>
        <w:rPr>
          <w:rFonts w:hint="eastAsia" w:ascii="宋体" w:hAnsi="宋体" w:eastAsia="宋体" w:cs="宋体"/>
          <w:szCs w:val="21"/>
          <w:lang w:eastAsia="zh-CN"/>
        </w:rPr>
        <w:t xml:space="preserve">制造工作。乙方接受甲方的委托，双方根据《中华人民共和国民法典》的规定，经过协商，达成一致意见，签订本合同。 </w:t>
      </w:r>
    </w:p>
    <w:p w14:paraId="31BDAC77">
      <w:pPr>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 xml:space="preserve">    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3A554CE3">
      <w:pPr>
        <w:snapToGrid w:val="0"/>
        <w:spacing w:line="360" w:lineRule="auto"/>
        <w:rPr>
          <w:szCs w:val="21"/>
          <w:lang w:eastAsia="zh-CN"/>
        </w:rPr>
      </w:pPr>
      <w:r>
        <w:rPr>
          <w:rFonts w:hint="eastAsia"/>
          <w:szCs w:val="21"/>
          <w:lang w:eastAsia="zh-CN"/>
        </w:rPr>
        <w:t>1.2 委托制造的货物名称、型号、规格、数量详见《技术规格书》或《技术协议》。</w:t>
      </w:r>
    </w:p>
    <w:p w14:paraId="1D4F0FA4">
      <w:pPr>
        <w:snapToGrid w:val="0"/>
        <w:spacing w:line="360" w:lineRule="auto"/>
        <w:rPr>
          <w:szCs w:val="21"/>
          <w:lang w:eastAsia="zh-CN"/>
        </w:rPr>
      </w:pPr>
      <w:r>
        <w:rPr>
          <w:rFonts w:hint="eastAsia"/>
          <w:szCs w:val="21"/>
          <w:lang w:eastAsia="zh-CN"/>
        </w:rPr>
        <w:t>1.3 乙方按本合同和《技术规格书》或《技术协议》规定制造合同产品，并就设备的质量、技术和性能等向甲方负责。</w:t>
      </w:r>
    </w:p>
    <w:p w14:paraId="1C347805">
      <w:pPr>
        <w:snapToGrid w:val="0"/>
        <w:spacing w:line="360" w:lineRule="auto"/>
        <w:rPr>
          <w:szCs w:val="21"/>
          <w:lang w:eastAsia="zh-CN"/>
        </w:rPr>
      </w:pPr>
      <w:r>
        <w:rPr>
          <w:rFonts w:hint="eastAsia"/>
          <w:szCs w:val="21"/>
          <w:lang w:eastAsia="zh-CN"/>
        </w:rPr>
        <w:t>1.4</w:t>
      </w:r>
      <w:r>
        <w:rPr>
          <w:szCs w:val="21"/>
          <w:lang w:eastAsia="zh-CN"/>
        </w:rPr>
        <w:t>乙方</w:t>
      </w:r>
      <w:r>
        <w:rPr>
          <w:rFonts w:hint="eastAsia"/>
          <w:szCs w:val="21"/>
          <w:lang w:eastAsia="zh-CN"/>
        </w:rPr>
        <w:t>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5D922356">
      <w:pPr>
        <w:snapToGrid w:val="0"/>
        <w:spacing w:line="360" w:lineRule="auto"/>
        <w:jc w:val="center"/>
        <w:rPr>
          <w:b/>
          <w:szCs w:val="21"/>
          <w:lang w:eastAsia="zh-CN"/>
        </w:rPr>
      </w:pPr>
      <w:r>
        <w:rPr>
          <w:rFonts w:hint="eastAsia"/>
          <w:b/>
          <w:szCs w:val="21"/>
          <w:lang w:eastAsia="zh-CN"/>
        </w:rPr>
        <w:t>二、价格</w:t>
      </w:r>
    </w:p>
    <w:p w14:paraId="7E842996">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Pr>
          <w:rFonts w:hint="eastAsia"/>
          <w:szCs w:val="21"/>
          <w:u w:val="single"/>
          <w:lang w:eastAsia="zh-CN"/>
        </w:rPr>
        <w:t xml:space="preserve">     </w:t>
      </w:r>
      <w:r>
        <w:rPr>
          <w:rFonts w:hint="eastAsia"/>
          <w:szCs w:val="21"/>
          <w:lang w:eastAsia="zh-CN"/>
        </w:rPr>
        <w:t>%税率）</w:t>
      </w:r>
    </w:p>
    <w:p w14:paraId="0755E631">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14:paraId="5BFCE071">
      <w:pPr>
        <w:snapToGrid w:val="0"/>
        <w:spacing w:line="360" w:lineRule="auto"/>
        <w:rPr>
          <w:szCs w:val="21"/>
          <w:lang w:eastAsia="zh-CN"/>
        </w:rPr>
      </w:pPr>
      <w:r>
        <w:rPr>
          <w:rFonts w:hint="eastAsia"/>
          <w:szCs w:val="21"/>
          <w:lang w:eastAsia="zh-CN"/>
        </w:rPr>
        <w:t>2.3 合同总价为一次不变价。以上总价为货到甲方现场指定地点车板交货价。现场交货前一切风险和费用由乙方承担。</w:t>
      </w:r>
    </w:p>
    <w:p w14:paraId="7D2639E5">
      <w:pPr>
        <w:snapToGrid w:val="0"/>
        <w:spacing w:line="360" w:lineRule="auto"/>
        <w:jc w:val="center"/>
        <w:rPr>
          <w:b/>
          <w:szCs w:val="21"/>
          <w:lang w:eastAsia="zh-CN"/>
        </w:rPr>
      </w:pPr>
      <w:r>
        <w:rPr>
          <w:rFonts w:hint="eastAsia"/>
          <w:b/>
          <w:szCs w:val="21"/>
          <w:lang w:eastAsia="zh-CN"/>
        </w:rPr>
        <w:t>三、支付条款</w:t>
      </w:r>
    </w:p>
    <w:p w14:paraId="72B1E479">
      <w:pPr>
        <w:snapToGrid w:val="0"/>
        <w:spacing w:line="360" w:lineRule="auto"/>
        <w:rPr>
          <w:lang w:eastAsia="zh-CN"/>
        </w:rPr>
      </w:pPr>
      <w:r>
        <w:rPr>
          <w:rFonts w:hint="eastAsia"/>
          <w:lang w:eastAsia="zh-CN"/>
        </w:rPr>
        <w:t>3.</w:t>
      </w:r>
      <w:r>
        <w:rPr>
          <w:rFonts w:hint="eastAsia"/>
          <w:lang w:val="en-US" w:eastAsia="zh-CN"/>
        </w:rPr>
        <w:t>1</w:t>
      </w:r>
      <w:r>
        <w:rPr>
          <w:rFonts w:hint="eastAsia"/>
          <w:lang w:eastAsia="zh-CN"/>
        </w:rPr>
        <w:t xml:space="preserve"> 设备到货开箱验收合格,且甲方收到乙方提供合同总价的</w:t>
      </w:r>
      <w:r>
        <w:rPr>
          <w:rFonts w:hint="eastAsia"/>
          <w:u w:val="single"/>
          <w:lang w:val="en-US" w:eastAsia="zh-CN"/>
        </w:rPr>
        <w:t xml:space="preserve"> 13 </w:t>
      </w:r>
      <w:r>
        <w:rPr>
          <w:rFonts w:hint="eastAsia"/>
          <w:lang w:eastAsia="zh-CN"/>
        </w:rPr>
        <w:t>%等额增值税专用发票后的60（六十）个日历天内支付合同总价的</w:t>
      </w:r>
      <w:r>
        <w:rPr>
          <w:rFonts w:hint="eastAsia"/>
          <w:u w:val="single"/>
          <w:lang w:eastAsia="zh-CN"/>
        </w:rPr>
        <w:t xml:space="preserve"> </w:t>
      </w:r>
      <w:r>
        <w:rPr>
          <w:rFonts w:hint="eastAsia"/>
          <w:u w:val="single"/>
          <w:lang w:val="en-US" w:eastAsia="zh-CN"/>
        </w:rPr>
        <w:t>9</w:t>
      </w:r>
      <w:r>
        <w:rPr>
          <w:rFonts w:hint="eastAsia"/>
          <w:u w:val="single"/>
          <w:lang w:eastAsia="zh-CN"/>
        </w:rPr>
        <w:t>0</w:t>
      </w:r>
      <w:r>
        <w:rPr>
          <w:rFonts w:hint="eastAsia"/>
          <w:u w:val="single"/>
          <w:lang w:val="en-US" w:eastAsia="zh-CN"/>
        </w:rPr>
        <w:t xml:space="preserve"> </w:t>
      </w:r>
      <w:r>
        <w:rPr>
          <w:rFonts w:hint="eastAsia"/>
          <w:lang w:eastAsia="zh-CN"/>
        </w:rPr>
        <w:t>%合同款，即人民币￥</w:t>
      </w:r>
      <w:r>
        <w:rPr>
          <w:rFonts w:hint="eastAsia"/>
          <w:u w:val="single"/>
          <w:lang w:eastAsia="zh-CN"/>
        </w:rPr>
        <w:t xml:space="preserve"> </w:t>
      </w:r>
      <w:r>
        <w:rPr>
          <w:rFonts w:hint="eastAsia"/>
          <w:lang w:eastAsia="zh-CN"/>
        </w:rPr>
        <w:t>元（</w:t>
      </w:r>
      <w:r>
        <w:rPr>
          <w:rFonts w:hint="eastAsia"/>
          <w:u w:val="single"/>
          <w:lang w:eastAsia="zh-CN"/>
        </w:rPr>
        <w:t xml:space="preserve">   </w:t>
      </w:r>
      <w:r>
        <w:rPr>
          <w:rFonts w:hint="eastAsia"/>
          <w:lang w:eastAsia="zh-CN"/>
        </w:rPr>
        <w:t>元整）。</w:t>
      </w:r>
    </w:p>
    <w:p w14:paraId="72202D72">
      <w:pPr>
        <w:snapToGrid w:val="0"/>
        <w:spacing w:line="360" w:lineRule="auto"/>
        <w:rPr>
          <w:lang w:eastAsia="zh-CN"/>
        </w:rPr>
      </w:pPr>
      <w:r>
        <w:rPr>
          <w:rFonts w:hint="eastAsia"/>
          <w:lang w:eastAsia="zh-CN"/>
        </w:rPr>
        <w:t>3.</w:t>
      </w:r>
      <w:r>
        <w:rPr>
          <w:rFonts w:hint="eastAsia"/>
          <w:lang w:val="en-US" w:eastAsia="zh-CN"/>
        </w:rPr>
        <w:t>2</w:t>
      </w:r>
      <w:r>
        <w:rPr>
          <w:rFonts w:hint="eastAsia"/>
          <w:lang w:eastAsia="zh-CN"/>
        </w:rPr>
        <w:t xml:space="preserve"> 质保金：本项目质保金为合同总价的10%，即为人民币￥</w:t>
      </w:r>
      <w:r>
        <w:rPr>
          <w:rFonts w:hint="eastAsia"/>
          <w:u w:val="single"/>
          <w:lang w:eastAsia="zh-CN"/>
        </w:rPr>
        <w:t xml:space="preserve">    </w:t>
      </w:r>
      <w:r>
        <w:rPr>
          <w:rFonts w:hint="eastAsia"/>
          <w:lang w:eastAsia="zh-CN"/>
        </w:rPr>
        <w:t>元（</w:t>
      </w:r>
      <w:r>
        <w:rPr>
          <w:rFonts w:hint="eastAsia"/>
          <w:u w:val="single"/>
          <w:lang w:eastAsia="zh-CN"/>
        </w:rPr>
        <w:t xml:space="preserve">    </w:t>
      </w:r>
      <w:r>
        <w:rPr>
          <w:u w:val="single"/>
          <w:lang w:eastAsia="zh-CN"/>
        </w:rPr>
        <w:t xml:space="preserve">     </w:t>
      </w:r>
      <w:r>
        <w:rPr>
          <w:rFonts w:hint="eastAsia"/>
          <w:lang w:eastAsia="zh-CN"/>
        </w:rPr>
        <w:t>元整）。质量保证期结束后且乙方没有违反保证的情形下，甲方在质保期满的60（六十）个日历天内，一次性付清。</w:t>
      </w:r>
    </w:p>
    <w:p w14:paraId="451E0CBE">
      <w:pPr>
        <w:snapToGrid w:val="0"/>
        <w:spacing w:line="360" w:lineRule="auto"/>
        <w:rPr>
          <w:lang w:eastAsia="zh-CN"/>
        </w:rPr>
      </w:pPr>
      <w:r>
        <w:rPr>
          <w:rFonts w:hint="eastAsia"/>
          <w:lang w:eastAsia="zh-CN"/>
        </w:rPr>
        <w:t>3.</w:t>
      </w:r>
      <w:r>
        <w:rPr>
          <w:rFonts w:hint="eastAsia"/>
          <w:lang w:val="en-US" w:eastAsia="zh-CN"/>
        </w:rPr>
        <w:t>3</w:t>
      </w:r>
      <w:r>
        <w:rPr>
          <w:rFonts w:hint="eastAsia"/>
          <w:lang w:eastAsia="zh-CN"/>
        </w:rPr>
        <w:t xml:space="preserve"> 甲方的付款并不限制甲方在随后时间对已开具发票的费用提出争议或对合同中不满意的服务、不符合要求的产品进行索赔的权利。</w:t>
      </w:r>
    </w:p>
    <w:p w14:paraId="104BF738">
      <w:pPr>
        <w:snapToGrid w:val="0"/>
        <w:spacing w:line="360" w:lineRule="auto"/>
        <w:rPr>
          <w:lang w:eastAsia="zh-CN"/>
        </w:rPr>
      </w:pPr>
      <w:r>
        <w:rPr>
          <w:rFonts w:hint="eastAsia"/>
          <w:lang w:eastAsia="zh-CN"/>
        </w:rPr>
        <w:t>3.</w:t>
      </w:r>
      <w:r>
        <w:rPr>
          <w:rFonts w:hint="eastAsia"/>
          <w:lang w:val="en-US" w:eastAsia="zh-CN"/>
        </w:rPr>
        <w:t>4</w:t>
      </w:r>
      <w:r>
        <w:rPr>
          <w:rFonts w:hint="eastAsia"/>
          <w:lang w:eastAsia="zh-CN"/>
        </w:rPr>
        <w:t xml:space="preserve"> 甲方有权从应付乙方的款项中抵扣乙方按本合同应支付给甲方的费用，包括但不限于违约金、赔偿金、乙方造成的一切损失、债务。</w:t>
      </w:r>
    </w:p>
    <w:p w14:paraId="4895F9A9">
      <w:pPr>
        <w:snapToGrid w:val="0"/>
        <w:spacing w:line="360" w:lineRule="auto"/>
        <w:jc w:val="center"/>
        <w:rPr>
          <w:b/>
          <w:szCs w:val="21"/>
          <w:lang w:eastAsia="zh-CN"/>
        </w:rPr>
      </w:pPr>
      <w:r>
        <w:rPr>
          <w:rFonts w:hint="eastAsia"/>
          <w:b/>
          <w:szCs w:val="21"/>
          <w:lang w:eastAsia="zh-CN"/>
        </w:rPr>
        <w:t>四、交货</w:t>
      </w:r>
    </w:p>
    <w:p w14:paraId="23B60BC6">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日前。如甲方要求推迟交货，则乙方应无条件答应并保管好货物。</w:t>
      </w:r>
    </w:p>
    <w:p w14:paraId="6C878469">
      <w:pPr>
        <w:snapToGrid w:val="0"/>
        <w:spacing w:line="360" w:lineRule="auto"/>
        <w:rPr>
          <w:szCs w:val="21"/>
          <w:lang w:eastAsia="zh-CN"/>
        </w:rPr>
      </w:pPr>
      <w:r>
        <w:rPr>
          <w:rFonts w:hint="eastAsia"/>
          <w:szCs w:val="21"/>
          <w:lang w:eastAsia="zh-CN"/>
        </w:rPr>
        <w:t>4.2 收货人：</w:t>
      </w:r>
    </w:p>
    <w:p w14:paraId="09CCD8F1">
      <w:pPr>
        <w:snapToGrid w:val="0"/>
        <w:spacing w:line="360" w:lineRule="auto"/>
        <w:rPr>
          <w:szCs w:val="21"/>
          <w:lang w:eastAsia="zh-CN"/>
        </w:rPr>
      </w:pPr>
      <w:r>
        <w:rPr>
          <w:rFonts w:hint="eastAsia"/>
          <w:szCs w:val="21"/>
          <w:lang w:eastAsia="zh-CN"/>
        </w:rPr>
        <w:t>交货地点：甲方指定的地点</w:t>
      </w:r>
    </w:p>
    <w:p w14:paraId="6FDB02DA">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14:paraId="71454EDD">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14:paraId="44857827">
      <w:pPr>
        <w:snapToGrid w:val="0"/>
        <w:spacing w:line="360" w:lineRule="auto"/>
        <w:rPr>
          <w:szCs w:val="21"/>
          <w:lang w:eastAsia="zh-CN"/>
        </w:rPr>
      </w:pPr>
      <w:r>
        <w:rPr>
          <w:rFonts w:hint="eastAsia"/>
          <w:szCs w:val="21"/>
          <w:lang w:eastAsia="zh-CN"/>
        </w:rPr>
        <w:t>4.5交货设备铭牌的内容至少应包括下列内容：</w:t>
      </w:r>
    </w:p>
    <w:p w14:paraId="2CE05920">
      <w:pPr>
        <w:snapToGrid w:val="0"/>
        <w:spacing w:line="360" w:lineRule="auto"/>
        <w:rPr>
          <w:szCs w:val="21"/>
          <w:lang w:eastAsia="zh-CN"/>
        </w:rPr>
      </w:pPr>
      <w:r>
        <w:rPr>
          <w:rFonts w:hint="eastAsia"/>
          <w:szCs w:val="21"/>
          <w:lang w:eastAsia="zh-CN"/>
        </w:rPr>
        <w:t xml:space="preserve">   1.制造厂名称和制造许可证号；</w:t>
      </w:r>
    </w:p>
    <w:p w14:paraId="5DB61ABF">
      <w:pPr>
        <w:snapToGrid w:val="0"/>
        <w:spacing w:line="360" w:lineRule="auto"/>
        <w:rPr>
          <w:szCs w:val="21"/>
          <w:lang w:eastAsia="zh-CN"/>
        </w:rPr>
      </w:pPr>
      <w:r>
        <w:rPr>
          <w:rFonts w:hint="eastAsia"/>
          <w:szCs w:val="21"/>
          <w:lang w:eastAsia="zh-CN"/>
        </w:rPr>
        <w:t xml:space="preserve">   2.产品编号和制造日期；</w:t>
      </w:r>
    </w:p>
    <w:p w14:paraId="32AB73F9">
      <w:pPr>
        <w:snapToGrid w:val="0"/>
        <w:spacing w:line="360" w:lineRule="auto"/>
        <w:rPr>
          <w:szCs w:val="21"/>
          <w:lang w:eastAsia="zh-CN"/>
        </w:rPr>
      </w:pPr>
      <w:r>
        <w:rPr>
          <w:rFonts w:hint="eastAsia"/>
          <w:szCs w:val="21"/>
          <w:lang w:eastAsia="zh-CN"/>
        </w:rPr>
        <w:t xml:space="preserve">   3.设备位号和名称；</w:t>
      </w:r>
    </w:p>
    <w:p w14:paraId="59969681">
      <w:pPr>
        <w:snapToGrid w:val="0"/>
        <w:spacing w:line="360" w:lineRule="auto"/>
        <w:rPr>
          <w:szCs w:val="21"/>
          <w:lang w:eastAsia="zh-CN"/>
        </w:rPr>
      </w:pPr>
      <w:r>
        <w:rPr>
          <w:rFonts w:hint="eastAsia"/>
          <w:szCs w:val="21"/>
          <w:lang w:eastAsia="zh-CN"/>
        </w:rPr>
        <w:t xml:space="preserve">   4.设备规格，包括设计/试验温度/压力、材质、重量等。</w:t>
      </w:r>
    </w:p>
    <w:p w14:paraId="71D45C4C">
      <w:pPr>
        <w:snapToGrid w:val="0"/>
        <w:spacing w:line="360" w:lineRule="auto"/>
        <w:rPr>
          <w:szCs w:val="21"/>
          <w:lang w:eastAsia="zh-CN"/>
        </w:rPr>
      </w:pPr>
      <w:r>
        <w:rPr>
          <w:rFonts w:hint="eastAsia"/>
          <w:szCs w:val="21"/>
          <w:lang w:eastAsia="zh-CN"/>
        </w:rPr>
        <w:t>4.6设备交货时乙方需要提供的文字资料包括：</w:t>
      </w:r>
    </w:p>
    <w:p w14:paraId="38BC79E0">
      <w:pPr>
        <w:snapToGrid w:val="0"/>
        <w:spacing w:line="360" w:lineRule="auto"/>
        <w:rPr>
          <w:szCs w:val="21"/>
          <w:lang w:eastAsia="zh-CN"/>
        </w:rPr>
      </w:pPr>
      <w:r>
        <w:rPr>
          <w:rFonts w:hint="eastAsia"/>
          <w:szCs w:val="21"/>
          <w:lang w:eastAsia="zh-CN"/>
        </w:rPr>
        <w:t xml:space="preserve">   1.供货清单、文件和图纸目录清单；</w:t>
      </w:r>
    </w:p>
    <w:p w14:paraId="052D922A">
      <w:pPr>
        <w:snapToGrid w:val="0"/>
        <w:spacing w:line="360" w:lineRule="auto"/>
        <w:rPr>
          <w:szCs w:val="21"/>
          <w:lang w:eastAsia="zh-CN"/>
        </w:rPr>
      </w:pPr>
      <w:r>
        <w:rPr>
          <w:rFonts w:hint="eastAsia"/>
          <w:szCs w:val="21"/>
          <w:lang w:eastAsia="zh-CN"/>
        </w:rPr>
        <w:t xml:space="preserve">   2.材质证明文件；</w:t>
      </w:r>
    </w:p>
    <w:p w14:paraId="0C8E044D">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14:paraId="2981FB3B">
      <w:pPr>
        <w:snapToGrid w:val="0"/>
        <w:spacing w:line="360" w:lineRule="auto"/>
        <w:rPr>
          <w:szCs w:val="21"/>
          <w:lang w:eastAsia="zh-CN"/>
        </w:rPr>
      </w:pPr>
      <w:r>
        <w:rPr>
          <w:rFonts w:hint="eastAsia"/>
          <w:szCs w:val="21"/>
          <w:lang w:eastAsia="zh-CN"/>
        </w:rPr>
        <w:t xml:space="preserve">   4.与实物相符的设备竣工图；</w:t>
      </w:r>
    </w:p>
    <w:p w14:paraId="6FD5F1F9">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14:paraId="41BB9C62">
      <w:pPr>
        <w:snapToGrid w:val="0"/>
        <w:spacing w:line="360" w:lineRule="auto"/>
        <w:rPr>
          <w:szCs w:val="21"/>
          <w:lang w:eastAsia="zh-CN"/>
        </w:rPr>
      </w:pPr>
      <w:r>
        <w:rPr>
          <w:rFonts w:hint="eastAsia"/>
          <w:szCs w:val="21"/>
          <w:lang w:eastAsia="zh-CN"/>
        </w:rPr>
        <w:t xml:space="preserve">   6.备品配件清单；</w:t>
      </w:r>
    </w:p>
    <w:p w14:paraId="64C6A843">
      <w:pPr>
        <w:snapToGrid w:val="0"/>
        <w:spacing w:line="360" w:lineRule="auto"/>
        <w:rPr>
          <w:szCs w:val="21"/>
          <w:lang w:eastAsia="zh-CN"/>
        </w:rPr>
      </w:pPr>
      <w:r>
        <w:rPr>
          <w:rFonts w:hint="eastAsia"/>
          <w:szCs w:val="21"/>
          <w:lang w:eastAsia="zh-CN"/>
        </w:rPr>
        <w:t xml:space="preserve">   7.产品合格证及质量证明书；</w:t>
      </w:r>
    </w:p>
    <w:p w14:paraId="7BD22175">
      <w:pPr>
        <w:snapToGrid w:val="0"/>
        <w:spacing w:line="360" w:lineRule="auto"/>
        <w:rPr>
          <w:szCs w:val="21"/>
          <w:lang w:eastAsia="zh-CN"/>
        </w:rPr>
      </w:pPr>
      <w:r>
        <w:rPr>
          <w:rFonts w:hint="eastAsia"/>
          <w:szCs w:val="21"/>
          <w:lang w:eastAsia="zh-CN"/>
        </w:rPr>
        <w:t xml:space="preserve">   8.安装调试的技术条件；</w:t>
      </w:r>
    </w:p>
    <w:p w14:paraId="7452C948">
      <w:pPr>
        <w:snapToGrid w:val="0"/>
        <w:spacing w:line="360" w:lineRule="auto"/>
        <w:rPr>
          <w:szCs w:val="21"/>
          <w:lang w:eastAsia="zh-CN"/>
        </w:rPr>
      </w:pPr>
      <w:r>
        <w:rPr>
          <w:rFonts w:hint="eastAsia"/>
          <w:szCs w:val="21"/>
          <w:lang w:eastAsia="zh-CN"/>
        </w:rPr>
        <w:t xml:space="preserve">   9.按规定所应提供的其它资料。</w:t>
      </w:r>
    </w:p>
    <w:p w14:paraId="3C24C66D">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14:paraId="7E42EA41">
      <w:pPr>
        <w:snapToGrid w:val="0"/>
        <w:spacing w:line="360" w:lineRule="auto"/>
        <w:jc w:val="center"/>
        <w:rPr>
          <w:b/>
          <w:szCs w:val="21"/>
          <w:lang w:eastAsia="zh-CN"/>
        </w:rPr>
      </w:pPr>
      <w:r>
        <w:rPr>
          <w:rFonts w:hint="eastAsia"/>
          <w:b/>
          <w:szCs w:val="21"/>
          <w:lang w:eastAsia="zh-CN"/>
        </w:rPr>
        <w:t>五、包装与运输</w:t>
      </w:r>
    </w:p>
    <w:p w14:paraId="11D9807C">
      <w:pPr>
        <w:snapToGrid w:val="0"/>
        <w:spacing w:line="360" w:lineRule="auto"/>
        <w:rPr>
          <w:szCs w:val="21"/>
          <w:lang w:eastAsia="zh-CN"/>
        </w:rPr>
      </w:pPr>
      <w:r>
        <w:rPr>
          <w:rFonts w:hint="eastAsia"/>
          <w:szCs w:val="21"/>
          <w:lang w:eastAsia="zh-CN"/>
        </w:rPr>
        <w:t>5.1设备整体包装发运，按JB2536－80标准执行。</w:t>
      </w:r>
    </w:p>
    <w:p w14:paraId="5819157D">
      <w:pPr>
        <w:snapToGrid w:val="0"/>
        <w:spacing w:line="360" w:lineRule="auto"/>
        <w:rPr>
          <w:szCs w:val="21"/>
          <w:lang w:eastAsia="zh-CN"/>
        </w:rPr>
      </w:pPr>
      <w:r>
        <w:rPr>
          <w:rFonts w:hint="eastAsia"/>
          <w:szCs w:val="21"/>
          <w:lang w:eastAsia="zh-CN"/>
        </w:rPr>
        <w:t>5.2设备包装应符合安全、经济和不受损以及室外存放半年以上的要求。乙方应对不合格的包装引起的设备生锈、损坏和丢失承担全部责任。</w:t>
      </w:r>
    </w:p>
    <w:p w14:paraId="4751A159">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0B97CF9B">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14:paraId="74E84E8F">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14:paraId="0555DC8D">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14:paraId="66171F23">
      <w:pPr>
        <w:snapToGrid w:val="0"/>
        <w:spacing w:line="360" w:lineRule="auto"/>
        <w:jc w:val="center"/>
        <w:rPr>
          <w:b/>
          <w:szCs w:val="21"/>
          <w:lang w:eastAsia="zh-CN"/>
        </w:rPr>
      </w:pPr>
      <w:r>
        <w:rPr>
          <w:rFonts w:hint="eastAsia"/>
          <w:b/>
          <w:szCs w:val="21"/>
          <w:lang w:eastAsia="zh-CN"/>
        </w:rPr>
        <w:t>六、保证与索赔</w:t>
      </w:r>
    </w:p>
    <w:p w14:paraId="6056AA64">
      <w:pPr>
        <w:spacing w:line="360" w:lineRule="auto"/>
        <w:rPr>
          <w:szCs w:val="21"/>
          <w:lang w:eastAsia="zh-CN"/>
        </w:rPr>
      </w:pPr>
      <w:r>
        <w:rPr>
          <w:rFonts w:hint="eastAsia"/>
          <w:szCs w:val="21"/>
          <w:lang w:eastAsia="zh-CN"/>
        </w:rPr>
        <w:t>6.1质保期为设备安装、调试试车合格后12个月或设备运达甲方现场18个月，以先到为准。  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4182B0E1">
      <w:pPr>
        <w:spacing w:line="360" w:lineRule="auto"/>
        <w:rPr>
          <w:szCs w:val="21"/>
          <w:lang w:eastAsia="zh-CN"/>
        </w:rPr>
      </w:pPr>
      <w:r>
        <w:rPr>
          <w:rFonts w:hint="eastAsia"/>
          <w:szCs w:val="21"/>
          <w:lang w:eastAsia="zh-CN"/>
        </w:rPr>
        <w:t>6.3</w:t>
      </w:r>
      <w:r>
        <w:rPr>
          <w:szCs w:val="21"/>
          <w:lang w:eastAsia="zh-CN"/>
        </w:rPr>
        <w:t>在产品质量保证期内，如因产品质量问题给</w:t>
      </w:r>
      <w:r>
        <w:rPr>
          <w:rFonts w:hint="eastAsia"/>
          <w:szCs w:val="21"/>
          <w:lang w:eastAsia="zh-CN"/>
        </w:rPr>
        <w:t>甲方</w:t>
      </w:r>
      <w:r>
        <w:rPr>
          <w:szCs w:val="21"/>
          <w:lang w:eastAsia="zh-CN"/>
        </w:rPr>
        <w:t>造成损失的，</w:t>
      </w:r>
      <w:r>
        <w:rPr>
          <w:rFonts w:hint="eastAsia"/>
          <w:szCs w:val="21"/>
          <w:lang w:eastAsia="zh-CN"/>
        </w:rPr>
        <w:t>乙方</w:t>
      </w:r>
      <w:r>
        <w:rPr>
          <w:szCs w:val="21"/>
          <w:lang w:eastAsia="zh-CN"/>
        </w:rPr>
        <w:t>还应赔偿</w:t>
      </w:r>
      <w:r>
        <w:rPr>
          <w:rFonts w:hint="eastAsia"/>
          <w:szCs w:val="21"/>
          <w:lang w:eastAsia="zh-CN"/>
        </w:rPr>
        <w:t>甲方由此</w:t>
      </w:r>
      <w:r>
        <w:rPr>
          <w:szCs w:val="21"/>
          <w:lang w:eastAsia="zh-CN"/>
        </w:rPr>
        <w:t>遭受的损失</w:t>
      </w:r>
      <w:r>
        <w:rPr>
          <w:rFonts w:hint="eastAsia"/>
          <w:szCs w:val="21"/>
          <w:lang w:eastAsia="zh-CN"/>
        </w:rPr>
        <w:t>及相关费用</w:t>
      </w:r>
      <w:r>
        <w:rPr>
          <w:szCs w:val="21"/>
          <w:lang w:eastAsia="zh-CN"/>
        </w:rPr>
        <w:t>。</w:t>
      </w:r>
    </w:p>
    <w:p w14:paraId="2B742F38">
      <w:pPr>
        <w:spacing w:line="360" w:lineRule="auto"/>
        <w:rPr>
          <w:szCs w:val="21"/>
          <w:lang w:eastAsia="zh-CN"/>
        </w:rPr>
      </w:pPr>
      <w:r>
        <w:rPr>
          <w:rFonts w:hint="eastAsia"/>
          <w:szCs w:val="21"/>
          <w:lang w:eastAsia="zh-CN"/>
        </w:rPr>
        <w:t>6.4</w:t>
      </w:r>
      <w:r>
        <w:rPr>
          <w:szCs w:val="21"/>
          <w:lang w:eastAsia="zh-CN"/>
        </w:rPr>
        <w:t>.</w:t>
      </w:r>
      <w:r>
        <w:rPr>
          <w:rFonts w:hint="eastAsia"/>
          <w:szCs w:val="21"/>
          <w:lang w:eastAsia="zh-CN"/>
        </w:rPr>
        <w:t>质量保证期的顺延：</w:t>
      </w:r>
      <w:r>
        <w:rPr>
          <w:szCs w:val="21"/>
          <w:lang w:eastAsia="zh-CN"/>
        </w:rPr>
        <w:t>在质量保证期内，</w:t>
      </w:r>
      <w:r>
        <w:rPr>
          <w:rFonts w:hint="eastAsia"/>
          <w:szCs w:val="21"/>
          <w:lang w:eastAsia="zh-CN"/>
        </w:rPr>
        <w:t>因需要修理有缺陷的设备，而使合同设备停运或推迟安装时，则保证期应按实际修理所延误的时间做相应的延长。非因甲方</w:t>
      </w:r>
      <w:r>
        <w:rPr>
          <w:szCs w:val="21"/>
          <w:lang w:eastAsia="zh-CN"/>
        </w:rPr>
        <w:t>原因导致全部货物或零部件更换时，则所更换部件/货物的质量保证期为自更换并验收合格之日起重新计算。</w:t>
      </w:r>
    </w:p>
    <w:p w14:paraId="64606CC3">
      <w:pPr>
        <w:spacing w:line="360" w:lineRule="auto"/>
        <w:rPr>
          <w:szCs w:val="21"/>
          <w:lang w:eastAsia="zh-CN"/>
        </w:rPr>
      </w:pPr>
      <w:r>
        <w:rPr>
          <w:rFonts w:hint="eastAsia"/>
          <w:szCs w:val="21"/>
          <w:lang w:eastAsia="zh-CN"/>
        </w:rPr>
        <w:t>6.5产品质量缺陷责任：</w:t>
      </w:r>
      <w:r>
        <w:rPr>
          <w:szCs w:val="21"/>
          <w:lang w:eastAsia="zh-CN"/>
        </w:rPr>
        <w:t>在质量保证期过后</w:t>
      </w:r>
      <w:r>
        <w:rPr>
          <w:rFonts w:hint="eastAsia"/>
          <w:szCs w:val="21"/>
          <w:lang w:eastAsia="zh-CN"/>
        </w:rPr>
        <w:t>甲方</w:t>
      </w:r>
      <w:r>
        <w:rPr>
          <w:szCs w:val="21"/>
          <w:lang w:eastAsia="zh-CN"/>
        </w:rPr>
        <w:t>发现的比如材质错误等原则性</w:t>
      </w:r>
      <w:r>
        <w:rPr>
          <w:rFonts w:hint="eastAsia"/>
          <w:szCs w:val="21"/>
          <w:lang w:eastAsia="zh-CN"/>
        </w:rPr>
        <w:t>产品质量缺陷</w:t>
      </w:r>
      <w:r>
        <w:rPr>
          <w:szCs w:val="21"/>
          <w:lang w:eastAsia="zh-CN"/>
        </w:rPr>
        <w:t>问题，仍属于</w:t>
      </w:r>
      <w:r>
        <w:rPr>
          <w:rFonts w:hint="eastAsia"/>
          <w:szCs w:val="21"/>
          <w:lang w:eastAsia="zh-CN"/>
        </w:rPr>
        <w:t>乙方</w:t>
      </w:r>
      <w:r>
        <w:rPr>
          <w:szCs w:val="21"/>
          <w:lang w:eastAsia="zh-CN"/>
        </w:rPr>
        <w:t>的</w:t>
      </w:r>
      <w:r>
        <w:rPr>
          <w:rFonts w:hint="eastAsia"/>
          <w:szCs w:val="21"/>
          <w:lang w:eastAsia="zh-CN"/>
        </w:rPr>
        <w:t>质量</w:t>
      </w:r>
      <w:r>
        <w:rPr>
          <w:szCs w:val="21"/>
          <w:lang w:eastAsia="zh-CN"/>
        </w:rPr>
        <w:t>责任，</w:t>
      </w:r>
      <w:r>
        <w:rPr>
          <w:rFonts w:hint="eastAsia"/>
          <w:szCs w:val="21"/>
          <w:lang w:eastAsia="zh-CN"/>
        </w:rPr>
        <w:t>乙方</w:t>
      </w:r>
      <w:r>
        <w:rPr>
          <w:szCs w:val="21"/>
          <w:lang w:eastAsia="zh-CN"/>
        </w:rPr>
        <w:t>仍需承担</w:t>
      </w:r>
      <w:r>
        <w:rPr>
          <w:rFonts w:hint="eastAsia"/>
          <w:szCs w:val="21"/>
          <w:lang w:eastAsia="zh-CN"/>
        </w:rPr>
        <w:t>相应责任</w:t>
      </w:r>
      <w:r>
        <w:rPr>
          <w:szCs w:val="21"/>
          <w:lang w:eastAsia="zh-CN"/>
        </w:rPr>
        <w:t>，如该货物给</w:t>
      </w:r>
      <w:r>
        <w:rPr>
          <w:rFonts w:hint="eastAsia"/>
          <w:szCs w:val="21"/>
          <w:lang w:eastAsia="zh-CN"/>
        </w:rPr>
        <w:t>甲方</w:t>
      </w:r>
      <w:r>
        <w:rPr>
          <w:szCs w:val="21"/>
          <w:lang w:eastAsia="zh-CN"/>
        </w:rPr>
        <w:t>或第三方造成损失的，</w:t>
      </w:r>
      <w:r>
        <w:rPr>
          <w:rFonts w:hint="eastAsia"/>
          <w:szCs w:val="21"/>
          <w:lang w:eastAsia="zh-CN"/>
        </w:rPr>
        <w:t>乙方</w:t>
      </w:r>
      <w:r>
        <w:rPr>
          <w:szCs w:val="21"/>
          <w:lang w:eastAsia="zh-CN"/>
        </w:rPr>
        <w:t>还应承担赔偿责任。</w:t>
      </w:r>
    </w:p>
    <w:p w14:paraId="1181C428">
      <w:pPr>
        <w:snapToGrid w:val="0"/>
        <w:spacing w:line="360" w:lineRule="auto"/>
        <w:jc w:val="center"/>
        <w:rPr>
          <w:b/>
          <w:szCs w:val="21"/>
          <w:lang w:eastAsia="zh-CN"/>
        </w:rPr>
      </w:pPr>
      <w:r>
        <w:rPr>
          <w:rFonts w:hint="eastAsia"/>
          <w:b/>
          <w:szCs w:val="21"/>
          <w:lang w:eastAsia="zh-CN"/>
        </w:rPr>
        <w:t>七、 保密义务</w:t>
      </w:r>
    </w:p>
    <w:p w14:paraId="7EA279BA">
      <w:pPr>
        <w:snapToGrid w:val="0"/>
        <w:spacing w:line="360" w:lineRule="auto"/>
        <w:rPr>
          <w:szCs w:val="21"/>
          <w:lang w:eastAsia="zh-CN"/>
        </w:rPr>
      </w:pPr>
      <w:r>
        <w:rPr>
          <w:rFonts w:hint="eastAsia"/>
          <w:szCs w:val="21"/>
          <w:lang w:eastAsia="zh-CN"/>
        </w:rPr>
        <w:t>乙方必须对本合同的所有资料保密，未经甲方同意，不得向第三方透露本合同资料相关内容，亦不得用于本合同之外的目的。</w:t>
      </w:r>
    </w:p>
    <w:p w14:paraId="33380EAC">
      <w:pPr>
        <w:snapToGrid w:val="0"/>
        <w:spacing w:line="360" w:lineRule="auto"/>
        <w:jc w:val="center"/>
        <w:rPr>
          <w:b/>
          <w:szCs w:val="21"/>
          <w:lang w:eastAsia="zh-CN"/>
        </w:rPr>
      </w:pPr>
      <w:r>
        <w:rPr>
          <w:rFonts w:hint="eastAsia"/>
          <w:b/>
          <w:szCs w:val="21"/>
          <w:lang w:eastAsia="zh-CN"/>
        </w:rPr>
        <w:t>八、违约责任</w:t>
      </w:r>
    </w:p>
    <w:p w14:paraId="51630AB5">
      <w:pPr>
        <w:snapToGrid w:val="0"/>
        <w:spacing w:line="360" w:lineRule="auto"/>
        <w:rPr>
          <w:szCs w:val="21"/>
          <w:lang w:eastAsia="zh-CN"/>
        </w:rPr>
      </w:pPr>
      <w:r>
        <w:rPr>
          <w:rFonts w:hint="eastAsia"/>
          <w:szCs w:val="21"/>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602E41">
      <w:pPr>
        <w:spacing w:line="360" w:lineRule="auto"/>
        <w:rPr>
          <w:szCs w:val="21"/>
          <w:lang w:eastAsia="zh-CN"/>
        </w:rPr>
      </w:pPr>
      <w:r>
        <w:rPr>
          <w:rFonts w:hint="eastAsia"/>
          <w:szCs w:val="21"/>
          <w:lang w:eastAsia="zh-CN"/>
        </w:rPr>
        <w:t>乙方逾期交货的，每日按照合同总额的</w:t>
      </w:r>
      <w:r>
        <w:rPr>
          <w:color w:val="FF0000"/>
          <w:szCs w:val="21"/>
          <w:u w:val="single"/>
          <w:lang w:eastAsia="zh-CN"/>
        </w:rPr>
        <w:t xml:space="preserve"> </w:t>
      </w:r>
      <w:r>
        <w:rPr>
          <w:rFonts w:hint="eastAsia"/>
          <w:color w:val="FF0000"/>
          <w:szCs w:val="21"/>
          <w:u w:val="single"/>
          <w:lang w:eastAsia="zh-CN"/>
        </w:rPr>
        <w:t>0.1</w:t>
      </w:r>
      <w:r>
        <w:rPr>
          <w:rFonts w:hint="eastAsia"/>
          <w:szCs w:val="21"/>
          <w:lang w:eastAsia="zh-CN"/>
        </w:rPr>
        <w:t>%向甲方支付违约金，逾期超过</w:t>
      </w:r>
      <w:r>
        <w:rPr>
          <w:rFonts w:hint="eastAsia"/>
          <w:szCs w:val="21"/>
          <w:u w:val="single"/>
          <w:lang w:eastAsia="zh-CN"/>
        </w:rPr>
        <w:t>30</w:t>
      </w:r>
      <w:r>
        <w:rPr>
          <w:rFonts w:hint="eastAsia"/>
          <w:szCs w:val="21"/>
          <w:lang w:eastAsia="zh-CN"/>
        </w:rPr>
        <w:t>日的，甲方有权解除合同，并要求乙方一次性支付合同总额</w:t>
      </w:r>
      <w:r>
        <w:rPr>
          <w:rFonts w:hint="eastAsia"/>
          <w:szCs w:val="21"/>
          <w:u w:val="single"/>
          <w:lang w:eastAsia="zh-CN"/>
        </w:rPr>
        <w:t>10</w:t>
      </w:r>
      <w:r>
        <w:rPr>
          <w:rFonts w:hint="eastAsia"/>
          <w:szCs w:val="21"/>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592BAA5B">
      <w:pPr>
        <w:snapToGrid w:val="0"/>
        <w:spacing w:line="360" w:lineRule="auto"/>
        <w:rPr>
          <w:szCs w:val="21"/>
          <w:lang w:eastAsia="zh-CN"/>
        </w:rPr>
      </w:pPr>
      <w:r>
        <w:rPr>
          <w:rFonts w:hint="eastAsia"/>
          <w:szCs w:val="21"/>
          <w:lang w:eastAsia="zh-CN"/>
        </w:rPr>
        <w:t>8.2如果由于乙方提供技术服务的延误，造成执行合同延误，每延误工期一日，乙方应向甲方支付合同总价0.1%的违约金。</w:t>
      </w:r>
    </w:p>
    <w:p w14:paraId="33E7B671">
      <w:pPr>
        <w:snapToGrid w:val="0"/>
        <w:spacing w:line="360" w:lineRule="auto"/>
        <w:rPr>
          <w:szCs w:val="21"/>
          <w:lang w:eastAsia="zh-CN"/>
        </w:rPr>
      </w:pPr>
      <w:r>
        <w:rPr>
          <w:rFonts w:hint="eastAsia"/>
          <w:szCs w:val="21"/>
          <w:lang w:eastAsia="zh-CN"/>
        </w:rPr>
        <w:t>8.3乙方交付的产品经甲方验收不合格的，应根据甲方要求进行修理、更换或退货。如甲方选择退货，即解除或部分解除合同的</w:t>
      </w:r>
      <w:r>
        <w:rPr>
          <w:rFonts w:hint="eastAsia"/>
          <w:b/>
          <w:szCs w:val="21"/>
          <w:lang w:eastAsia="zh-CN"/>
        </w:rPr>
        <w:t>，</w:t>
      </w:r>
      <w:r>
        <w:rPr>
          <w:rFonts w:hint="eastAsia"/>
          <w:szCs w:val="21"/>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0468AD81">
      <w:pPr>
        <w:spacing w:line="360" w:lineRule="auto"/>
        <w:rPr>
          <w:szCs w:val="21"/>
          <w:lang w:eastAsia="zh-CN"/>
        </w:rPr>
      </w:pPr>
      <w:r>
        <w:rPr>
          <w:rFonts w:hint="eastAsia"/>
          <w:szCs w:val="21"/>
          <w:lang w:eastAsia="zh-CN"/>
        </w:rPr>
        <w:t>8.4 甲方无故逾期付款的，按照全国银行间同业拆借中心公布的贷款市场报价利率支付利息。</w:t>
      </w:r>
    </w:p>
    <w:p w14:paraId="0EB7AC9A">
      <w:pPr>
        <w:spacing w:line="360" w:lineRule="auto"/>
        <w:rPr>
          <w:szCs w:val="21"/>
          <w:lang w:eastAsia="zh-CN"/>
        </w:rPr>
      </w:pPr>
      <w:r>
        <w:rPr>
          <w:rFonts w:hint="eastAsia"/>
          <w:szCs w:val="21"/>
          <w:lang w:eastAsia="zh-CN"/>
        </w:rPr>
        <w:t>8.5一方的违约行为给对方造成的损失超过本合同约定的违约金数额的，超出部分，违约方应予以赔偿。</w:t>
      </w:r>
    </w:p>
    <w:p w14:paraId="41DDC395">
      <w:pPr>
        <w:snapToGrid w:val="0"/>
        <w:spacing w:line="360" w:lineRule="auto"/>
        <w:jc w:val="center"/>
        <w:rPr>
          <w:b/>
          <w:szCs w:val="21"/>
          <w:lang w:eastAsia="zh-CN"/>
        </w:rPr>
      </w:pPr>
      <w:r>
        <w:rPr>
          <w:rFonts w:hint="eastAsia"/>
          <w:b/>
          <w:szCs w:val="21"/>
          <w:lang w:eastAsia="zh-CN"/>
        </w:rPr>
        <w:t>九、纠纷解决</w:t>
      </w:r>
    </w:p>
    <w:p w14:paraId="11827347">
      <w:pPr>
        <w:snapToGrid w:val="0"/>
        <w:spacing w:line="360" w:lineRule="auto"/>
        <w:rPr>
          <w:szCs w:val="21"/>
          <w:lang w:eastAsia="zh-CN"/>
        </w:rPr>
      </w:pPr>
      <w:r>
        <w:rPr>
          <w:rFonts w:hint="eastAsia"/>
          <w:szCs w:val="21"/>
          <w:lang w:eastAsia="zh-CN"/>
        </w:rPr>
        <w:t>9.1 本合同各方之间产生有关本合同的一切争议,应本着实事求是的原则友好协商解决。如仍达不成协议时,任何一方都可将这些争议提交给甲方所在地人民法院解决。</w:t>
      </w:r>
    </w:p>
    <w:p w14:paraId="1A49C0DC">
      <w:pPr>
        <w:snapToGrid w:val="0"/>
        <w:spacing w:line="360" w:lineRule="auto"/>
        <w:jc w:val="center"/>
        <w:rPr>
          <w:b/>
          <w:szCs w:val="21"/>
          <w:lang w:eastAsia="zh-CN"/>
        </w:rPr>
      </w:pPr>
      <w:r>
        <w:rPr>
          <w:rFonts w:hint="eastAsia"/>
          <w:b/>
          <w:szCs w:val="21"/>
          <w:lang w:eastAsia="zh-CN"/>
        </w:rPr>
        <w:t>十、其它</w:t>
      </w:r>
    </w:p>
    <w:p w14:paraId="2712DBB2">
      <w:pPr>
        <w:snapToGrid w:val="0"/>
        <w:spacing w:line="360" w:lineRule="auto"/>
        <w:rPr>
          <w:szCs w:val="21"/>
          <w:lang w:eastAsia="zh-CN"/>
        </w:rPr>
      </w:pPr>
      <w:r>
        <w:rPr>
          <w:rFonts w:hint="eastAsia"/>
          <w:szCs w:val="21"/>
          <w:lang w:eastAsia="zh-CN"/>
        </w:rPr>
        <w:t>10.1本合同未尽事宜，合同各方应本着实事求是友好协商的原则解决。</w:t>
      </w:r>
    </w:p>
    <w:p w14:paraId="74FCABF2">
      <w:pPr>
        <w:snapToGrid w:val="0"/>
        <w:spacing w:line="360" w:lineRule="auto"/>
        <w:rPr>
          <w:szCs w:val="21"/>
          <w:lang w:eastAsia="zh-CN"/>
        </w:rPr>
      </w:pPr>
      <w:r>
        <w:rPr>
          <w:rFonts w:hint="eastAsia"/>
          <w:szCs w:val="21"/>
          <w:lang w:eastAsia="zh-CN"/>
        </w:rPr>
        <w:t>10.2合同签订后壹周内，乙方向甲方提供甲方工程设计所需的技术资料，（详见技术规格书）。</w:t>
      </w:r>
    </w:p>
    <w:p w14:paraId="44F38187">
      <w:pPr>
        <w:snapToGrid w:val="0"/>
        <w:spacing w:line="360" w:lineRule="auto"/>
        <w:rPr>
          <w:szCs w:val="21"/>
          <w:lang w:eastAsia="zh-CN"/>
        </w:rPr>
      </w:pPr>
      <w:r>
        <w:rPr>
          <w:rFonts w:hint="eastAsia"/>
          <w:szCs w:val="21"/>
          <w:lang w:eastAsia="zh-CN"/>
        </w:rPr>
        <w:t>10.3技术规格书、技术要求同为本合同组成要件，具有法律效力。当各文件的内容发生抵触时，以时间在后文件的表述为准。</w:t>
      </w:r>
    </w:p>
    <w:p w14:paraId="26CA9008">
      <w:pPr>
        <w:snapToGrid w:val="0"/>
        <w:spacing w:line="360" w:lineRule="auto"/>
        <w:rPr>
          <w:szCs w:val="21"/>
          <w:lang w:eastAsia="zh-CN"/>
        </w:rPr>
      </w:pPr>
      <w:r>
        <w:rPr>
          <w:rFonts w:hint="eastAsia"/>
          <w:szCs w:val="21"/>
          <w:lang w:eastAsia="zh-CN"/>
        </w:rPr>
        <w:t>10.4本合同在执行过程中的修改、补充，凡经本合同各方同意，并形成正式文件，都可视为本合同的组成部分，并与本合同具有同等法律效力。</w:t>
      </w:r>
    </w:p>
    <w:p w14:paraId="4524D8B1">
      <w:pPr>
        <w:snapToGrid w:val="0"/>
        <w:spacing w:line="360" w:lineRule="auto"/>
        <w:rPr>
          <w:szCs w:val="21"/>
          <w:lang w:eastAsia="zh-CN"/>
        </w:rPr>
      </w:pPr>
      <w:r>
        <w:rPr>
          <w:rFonts w:hint="eastAsia"/>
          <w:szCs w:val="21"/>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491ABD5">
      <w:pPr>
        <w:snapToGrid w:val="0"/>
        <w:spacing w:line="360" w:lineRule="auto"/>
        <w:rPr>
          <w:szCs w:val="21"/>
          <w:lang w:eastAsia="zh-CN"/>
        </w:rPr>
      </w:pPr>
      <w:r>
        <w:rPr>
          <w:rFonts w:hint="eastAsia"/>
          <w:szCs w:val="21"/>
          <w:lang w:eastAsia="zh-CN"/>
        </w:rPr>
        <w:t>10.6本合同经各方签订后生效。本合同正本一式四份，甲方执三份，乙方执一份。</w:t>
      </w:r>
    </w:p>
    <w:tbl>
      <w:tblPr>
        <w:tblStyle w:val="12"/>
        <w:tblW w:w="8900" w:type="dxa"/>
        <w:tblInd w:w="89" w:type="dxa"/>
        <w:tblLayout w:type="autofit"/>
        <w:tblCellMar>
          <w:top w:w="0" w:type="dxa"/>
          <w:left w:w="108" w:type="dxa"/>
          <w:bottom w:w="0" w:type="dxa"/>
          <w:right w:w="108" w:type="dxa"/>
        </w:tblCellMar>
      </w:tblPr>
      <w:tblGrid>
        <w:gridCol w:w="4357"/>
        <w:gridCol w:w="4543"/>
      </w:tblGrid>
      <w:tr w14:paraId="5604EA87">
        <w:tblPrEx>
          <w:tblCellMar>
            <w:top w:w="0" w:type="dxa"/>
            <w:left w:w="108" w:type="dxa"/>
            <w:bottom w:w="0" w:type="dxa"/>
            <w:right w:w="108" w:type="dxa"/>
          </w:tblCellMar>
        </w:tblPrEx>
        <w:trPr>
          <w:trHeight w:val="510" w:hRule="atLeast"/>
        </w:trPr>
        <w:tc>
          <w:tcPr>
            <w:tcW w:w="4357" w:type="dxa"/>
            <w:noWrap/>
            <w:vAlign w:val="center"/>
          </w:tcPr>
          <w:p w14:paraId="5DA9F77C">
            <w:pPr>
              <w:spacing w:line="360" w:lineRule="auto"/>
              <w:ind w:left="643" w:hanging="440" w:hangingChars="200"/>
              <w:rPr>
                <w:rFonts w:hint="default"/>
                <w:szCs w:val="21"/>
                <w:lang w:val="en-US" w:eastAsia="zh-CN"/>
              </w:rPr>
            </w:pPr>
            <w:r>
              <w:rPr>
                <w:rFonts w:hint="eastAsia"/>
                <w:szCs w:val="21"/>
                <w:lang w:eastAsia="zh-CN"/>
              </w:rPr>
              <w:t>甲方</w:t>
            </w:r>
            <w:r>
              <w:rPr>
                <w:rFonts w:hint="eastAsia" w:ascii="宋体" w:hAnsi="宋体" w:eastAsia="宋体" w:cs="宋体"/>
                <w:szCs w:val="21"/>
                <w:lang w:eastAsia="zh-CN"/>
              </w:rPr>
              <w:t>：</w:t>
            </w:r>
            <w:r>
              <w:rPr>
                <w:rFonts w:hint="eastAsia" w:ascii="宋体" w:hAnsi="宋体" w:eastAsia="宋体" w:cs="宋体"/>
                <w:szCs w:val="21"/>
                <w:lang w:val="en-US" w:eastAsia="zh-CN"/>
              </w:rPr>
              <w:t>腾龙芳烃</w:t>
            </w:r>
            <w:r>
              <w:rPr>
                <w:rFonts w:hint="eastAsia" w:ascii="宋体" w:hAnsi="宋体" w:eastAsia="宋体" w:cs="宋体"/>
                <w:szCs w:val="21"/>
                <w:lang w:eastAsia="zh-CN"/>
              </w:rPr>
              <w:t>（漳州）有限公司</w:t>
            </w:r>
          </w:p>
        </w:tc>
        <w:tc>
          <w:tcPr>
            <w:tcW w:w="4543" w:type="dxa"/>
            <w:vAlign w:val="center"/>
          </w:tcPr>
          <w:p w14:paraId="2A1CE85A">
            <w:pPr>
              <w:ind w:left="248"/>
              <w:rPr>
                <w:szCs w:val="21"/>
              </w:rPr>
            </w:pPr>
            <w:r>
              <w:rPr>
                <w:rFonts w:hint="eastAsia"/>
                <w:szCs w:val="21"/>
              </w:rPr>
              <w:t xml:space="preserve">乙方： </w:t>
            </w:r>
          </w:p>
        </w:tc>
      </w:tr>
      <w:tr w14:paraId="1CBBA528">
        <w:tblPrEx>
          <w:tblCellMar>
            <w:top w:w="0" w:type="dxa"/>
            <w:left w:w="108" w:type="dxa"/>
            <w:bottom w:w="0" w:type="dxa"/>
            <w:right w:w="108" w:type="dxa"/>
          </w:tblCellMar>
        </w:tblPrEx>
        <w:trPr>
          <w:trHeight w:val="510" w:hRule="atLeast"/>
        </w:trPr>
        <w:tc>
          <w:tcPr>
            <w:tcW w:w="4357" w:type="dxa"/>
            <w:noWrap/>
            <w:vAlign w:val="center"/>
          </w:tcPr>
          <w:p w14:paraId="43985D02">
            <w:pPr>
              <w:widowControl/>
              <w:rPr>
                <w:szCs w:val="21"/>
              </w:rPr>
            </w:pPr>
            <w:r>
              <w:rPr>
                <w:rFonts w:hint="eastAsia"/>
                <w:szCs w:val="21"/>
              </w:rPr>
              <w:t>（公章）</w:t>
            </w:r>
          </w:p>
        </w:tc>
        <w:tc>
          <w:tcPr>
            <w:tcW w:w="4543" w:type="dxa"/>
            <w:vAlign w:val="center"/>
          </w:tcPr>
          <w:p w14:paraId="4B7A85A6">
            <w:pPr>
              <w:ind w:left="248"/>
              <w:rPr>
                <w:szCs w:val="21"/>
              </w:rPr>
            </w:pPr>
            <w:r>
              <w:rPr>
                <w:rFonts w:hint="eastAsia"/>
                <w:szCs w:val="21"/>
              </w:rPr>
              <w:t xml:space="preserve">（公章）      </w:t>
            </w:r>
          </w:p>
        </w:tc>
      </w:tr>
      <w:tr w14:paraId="4B8D38A2">
        <w:tblPrEx>
          <w:tblCellMar>
            <w:top w:w="0" w:type="dxa"/>
            <w:left w:w="108" w:type="dxa"/>
            <w:bottom w:w="0" w:type="dxa"/>
            <w:right w:w="108" w:type="dxa"/>
          </w:tblCellMar>
        </w:tblPrEx>
        <w:trPr>
          <w:trHeight w:val="510" w:hRule="atLeast"/>
        </w:trPr>
        <w:tc>
          <w:tcPr>
            <w:tcW w:w="4357" w:type="dxa"/>
            <w:noWrap/>
            <w:vAlign w:val="center"/>
          </w:tcPr>
          <w:p w14:paraId="3E2986AD">
            <w:pPr>
              <w:widowControl/>
              <w:rPr>
                <w:szCs w:val="21"/>
              </w:rPr>
            </w:pPr>
            <w:r>
              <w:rPr>
                <w:rFonts w:hint="eastAsia"/>
                <w:szCs w:val="21"/>
              </w:rPr>
              <w:t>地     址:</w:t>
            </w:r>
          </w:p>
        </w:tc>
        <w:tc>
          <w:tcPr>
            <w:tcW w:w="4543" w:type="dxa"/>
            <w:vAlign w:val="center"/>
          </w:tcPr>
          <w:p w14:paraId="62CFDBE2">
            <w:pPr>
              <w:ind w:left="248"/>
              <w:rPr>
                <w:szCs w:val="21"/>
              </w:rPr>
            </w:pPr>
            <w:r>
              <w:rPr>
                <w:rFonts w:hint="eastAsia"/>
                <w:szCs w:val="21"/>
              </w:rPr>
              <w:t xml:space="preserve">地     址：       </w:t>
            </w:r>
          </w:p>
        </w:tc>
      </w:tr>
      <w:tr w14:paraId="6D9A4248">
        <w:tblPrEx>
          <w:tblCellMar>
            <w:top w:w="0" w:type="dxa"/>
            <w:left w:w="108" w:type="dxa"/>
            <w:bottom w:w="0" w:type="dxa"/>
            <w:right w:w="108" w:type="dxa"/>
          </w:tblCellMar>
        </w:tblPrEx>
        <w:trPr>
          <w:trHeight w:val="510" w:hRule="atLeast"/>
        </w:trPr>
        <w:tc>
          <w:tcPr>
            <w:tcW w:w="4357" w:type="dxa"/>
            <w:noWrap/>
            <w:vAlign w:val="center"/>
          </w:tcPr>
          <w:p w14:paraId="3D01BD1A">
            <w:pPr>
              <w:widowControl/>
              <w:rPr>
                <w:szCs w:val="21"/>
              </w:rPr>
            </w:pPr>
            <w:r>
              <w:rPr>
                <w:rFonts w:hint="eastAsia"/>
                <w:szCs w:val="21"/>
              </w:rPr>
              <w:t xml:space="preserve">法定代表人：      </w:t>
            </w:r>
          </w:p>
        </w:tc>
        <w:tc>
          <w:tcPr>
            <w:tcW w:w="4543" w:type="dxa"/>
            <w:vAlign w:val="center"/>
          </w:tcPr>
          <w:p w14:paraId="48A51BBD">
            <w:pPr>
              <w:ind w:left="248"/>
              <w:rPr>
                <w:szCs w:val="21"/>
              </w:rPr>
            </w:pPr>
            <w:r>
              <w:rPr>
                <w:rFonts w:hint="eastAsia"/>
                <w:szCs w:val="21"/>
              </w:rPr>
              <w:t xml:space="preserve">法定代表人：           </w:t>
            </w:r>
          </w:p>
        </w:tc>
      </w:tr>
      <w:tr w14:paraId="28F63D11">
        <w:tblPrEx>
          <w:tblCellMar>
            <w:top w:w="0" w:type="dxa"/>
            <w:left w:w="108" w:type="dxa"/>
            <w:bottom w:w="0" w:type="dxa"/>
            <w:right w:w="108" w:type="dxa"/>
          </w:tblCellMar>
        </w:tblPrEx>
        <w:trPr>
          <w:trHeight w:val="510" w:hRule="atLeast"/>
        </w:trPr>
        <w:tc>
          <w:tcPr>
            <w:tcW w:w="4357" w:type="dxa"/>
            <w:noWrap/>
            <w:vAlign w:val="center"/>
          </w:tcPr>
          <w:p w14:paraId="35981026">
            <w:pPr>
              <w:widowControl/>
              <w:rPr>
                <w:szCs w:val="21"/>
              </w:rPr>
            </w:pPr>
            <w:r>
              <w:rPr>
                <w:rFonts w:hint="eastAsia"/>
                <w:szCs w:val="21"/>
              </w:rPr>
              <w:t xml:space="preserve">委托代表人：      </w:t>
            </w:r>
          </w:p>
        </w:tc>
        <w:tc>
          <w:tcPr>
            <w:tcW w:w="4543" w:type="dxa"/>
            <w:vAlign w:val="center"/>
          </w:tcPr>
          <w:p w14:paraId="6BAA6D93">
            <w:pPr>
              <w:ind w:left="248"/>
              <w:rPr>
                <w:szCs w:val="21"/>
              </w:rPr>
            </w:pPr>
            <w:r>
              <w:rPr>
                <w:rFonts w:hint="eastAsia"/>
                <w:szCs w:val="21"/>
              </w:rPr>
              <w:t xml:space="preserve">委托代表人：           </w:t>
            </w:r>
          </w:p>
        </w:tc>
      </w:tr>
      <w:tr w14:paraId="475066AE">
        <w:tblPrEx>
          <w:tblCellMar>
            <w:top w:w="0" w:type="dxa"/>
            <w:left w:w="108" w:type="dxa"/>
            <w:bottom w:w="0" w:type="dxa"/>
            <w:right w:w="108" w:type="dxa"/>
          </w:tblCellMar>
        </w:tblPrEx>
        <w:trPr>
          <w:trHeight w:val="510" w:hRule="atLeast"/>
        </w:trPr>
        <w:tc>
          <w:tcPr>
            <w:tcW w:w="4357" w:type="dxa"/>
            <w:noWrap/>
            <w:vAlign w:val="center"/>
          </w:tcPr>
          <w:p w14:paraId="0E0BE8C3">
            <w:pPr>
              <w:widowControl/>
              <w:rPr>
                <w:szCs w:val="21"/>
              </w:rPr>
            </w:pPr>
            <w:r>
              <w:rPr>
                <w:rFonts w:hint="eastAsia"/>
                <w:szCs w:val="21"/>
              </w:rPr>
              <w:t xml:space="preserve">电     话：       </w:t>
            </w:r>
          </w:p>
        </w:tc>
        <w:tc>
          <w:tcPr>
            <w:tcW w:w="4543" w:type="dxa"/>
            <w:vAlign w:val="center"/>
          </w:tcPr>
          <w:p w14:paraId="7BD4BCEC">
            <w:pPr>
              <w:ind w:left="248"/>
              <w:rPr>
                <w:szCs w:val="21"/>
              </w:rPr>
            </w:pPr>
            <w:r>
              <w:rPr>
                <w:rFonts w:hint="eastAsia"/>
                <w:szCs w:val="21"/>
              </w:rPr>
              <w:t xml:space="preserve">电     话：      </w:t>
            </w:r>
          </w:p>
        </w:tc>
      </w:tr>
      <w:tr w14:paraId="4A523148">
        <w:tblPrEx>
          <w:tblCellMar>
            <w:top w:w="0" w:type="dxa"/>
            <w:left w:w="108" w:type="dxa"/>
            <w:bottom w:w="0" w:type="dxa"/>
            <w:right w:w="108" w:type="dxa"/>
          </w:tblCellMar>
        </w:tblPrEx>
        <w:trPr>
          <w:trHeight w:val="510" w:hRule="atLeast"/>
        </w:trPr>
        <w:tc>
          <w:tcPr>
            <w:tcW w:w="4357" w:type="dxa"/>
            <w:noWrap/>
            <w:vAlign w:val="center"/>
          </w:tcPr>
          <w:p w14:paraId="2561C11D">
            <w:pPr>
              <w:widowControl/>
              <w:rPr>
                <w:szCs w:val="21"/>
              </w:rPr>
            </w:pPr>
            <w:r>
              <w:rPr>
                <w:rFonts w:hint="eastAsia"/>
                <w:szCs w:val="21"/>
              </w:rPr>
              <w:t xml:space="preserve">传     真：     </w:t>
            </w:r>
          </w:p>
        </w:tc>
        <w:tc>
          <w:tcPr>
            <w:tcW w:w="4543" w:type="dxa"/>
            <w:vAlign w:val="center"/>
          </w:tcPr>
          <w:p w14:paraId="4D14A30B">
            <w:pPr>
              <w:ind w:left="248"/>
              <w:rPr>
                <w:szCs w:val="21"/>
              </w:rPr>
            </w:pPr>
            <w:r>
              <w:rPr>
                <w:rFonts w:hint="eastAsia"/>
                <w:szCs w:val="21"/>
              </w:rPr>
              <w:t xml:space="preserve">传     真：      </w:t>
            </w:r>
          </w:p>
        </w:tc>
      </w:tr>
      <w:tr w14:paraId="4AB4EA63">
        <w:tblPrEx>
          <w:tblCellMar>
            <w:top w:w="0" w:type="dxa"/>
            <w:left w:w="108" w:type="dxa"/>
            <w:bottom w:w="0" w:type="dxa"/>
            <w:right w:w="108" w:type="dxa"/>
          </w:tblCellMar>
        </w:tblPrEx>
        <w:trPr>
          <w:trHeight w:val="510" w:hRule="atLeast"/>
        </w:trPr>
        <w:tc>
          <w:tcPr>
            <w:tcW w:w="4357" w:type="dxa"/>
            <w:noWrap/>
            <w:vAlign w:val="center"/>
          </w:tcPr>
          <w:p w14:paraId="5DAA3F6A">
            <w:pPr>
              <w:widowControl/>
              <w:rPr>
                <w:szCs w:val="21"/>
              </w:rPr>
            </w:pPr>
            <w:r>
              <w:rPr>
                <w:rFonts w:hint="eastAsia"/>
                <w:szCs w:val="21"/>
              </w:rPr>
              <w:t>纳税人识别号</w:t>
            </w:r>
            <w:r>
              <w:rPr>
                <w:rFonts w:hint="eastAsia"/>
                <w:szCs w:val="21"/>
                <w:u w:val="single"/>
              </w:rPr>
              <w:t>:</w:t>
            </w:r>
          </w:p>
        </w:tc>
        <w:tc>
          <w:tcPr>
            <w:tcW w:w="4543" w:type="dxa"/>
            <w:vAlign w:val="center"/>
          </w:tcPr>
          <w:p w14:paraId="1F3D4802">
            <w:pPr>
              <w:ind w:left="248"/>
              <w:rPr>
                <w:szCs w:val="21"/>
              </w:rPr>
            </w:pPr>
            <w:r>
              <w:rPr>
                <w:rFonts w:hint="eastAsia"/>
                <w:szCs w:val="21"/>
              </w:rPr>
              <w:t>纳税人识别号</w:t>
            </w:r>
            <w:r>
              <w:rPr>
                <w:rFonts w:hint="eastAsia"/>
                <w:szCs w:val="21"/>
                <w:u w:val="single"/>
              </w:rPr>
              <w:t>:</w:t>
            </w:r>
          </w:p>
        </w:tc>
      </w:tr>
      <w:tr w14:paraId="7F8CA3C8">
        <w:tblPrEx>
          <w:tblCellMar>
            <w:top w:w="0" w:type="dxa"/>
            <w:left w:w="108" w:type="dxa"/>
            <w:bottom w:w="0" w:type="dxa"/>
            <w:right w:w="108" w:type="dxa"/>
          </w:tblCellMar>
        </w:tblPrEx>
        <w:trPr>
          <w:trHeight w:val="510" w:hRule="atLeast"/>
        </w:trPr>
        <w:tc>
          <w:tcPr>
            <w:tcW w:w="4357" w:type="dxa"/>
            <w:noWrap/>
            <w:vAlign w:val="center"/>
          </w:tcPr>
          <w:p w14:paraId="6326445C">
            <w:pPr>
              <w:widowControl/>
              <w:rPr>
                <w:szCs w:val="21"/>
              </w:rPr>
            </w:pPr>
            <w:r>
              <w:rPr>
                <w:rFonts w:hint="eastAsia"/>
                <w:szCs w:val="21"/>
              </w:rPr>
              <w:t>开户银行：</w:t>
            </w:r>
          </w:p>
        </w:tc>
        <w:tc>
          <w:tcPr>
            <w:tcW w:w="4543" w:type="dxa"/>
            <w:vAlign w:val="center"/>
          </w:tcPr>
          <w:p w14:paraId="2CFF2540">
            <w:pPr>
              <w:ind w:left="248"/>
              <w:rPr>
                <w:szCs w:val="21"/>
              </w:rPr>
            </w:pPr>
            <w:r>
              <w:rPr>
                <w:rFonts w:hint="eastAsia"/>
                <w:szCs w:val="21"/>
              </w:rPr>
              <w:t xml:space="preserve">开户银行： </w:t>
            </w:r>
          </w:p>
        </w:tc>
      </w:tr>
      <w:tr w14:paraId="45485DE8">
        <w:tblPrEx>
          <w:tblCellMar>
            <w:top w:w="0" w:type="dxa"/>
            <w:left w:w="108" w:type="dxa"/>
            <w:bottom w:w="0" w:type="dxa"/>
            <w:right w:w="108" w:type="dxa"/>
          </w:tblCellMar>
        </w:tblPrEx>
        <w:trPr>
          <w:trHeight w:val="510" w:hRule="atLeast"/>
        </w:trPr>
        <w:tc>
          <w:tcPr>
            <w:tcW w:w="4357" w:type="dxa"/>
            <w:noWrap/>
            <w:vAlign w:val="center"/>
          </w:tcPr>
          <w:p w14:paraId="5DEA9782">
            <w:pPr>
              <w:widowControl/>
              <w:rPr>
                <w:szCs w:val="21"/>
              </w:rPr>
            </w:pPr>
            <w:r>
              <w:rPr>
                <w:rFonts w:hint="eastAsia"/>
                <w:szCs w:val="21"/>
              </w:rPr>
              <w:t>帐     号：</w:t>
            </w:r>
          </w:p>
        </w:tc>
        <w:tc>
          <w:tcPr>
            <w:tcW w:w="4543" w:type="dxa"/>
            <w:vAlign w:val="center"/>
          </w:tcPr>
          <w:p w14:paraId="553EA016">
            <w:pPr>
              <w:ind w:left="248"/>
              <w:rPr>
                <w:szCs w:val="21"/>
              </w:rPr>
            </w:pPr>
            <w:r>
              <w:rPr>
                <w:rFonts w:hint="eastAsia"/>
                <w:szCs w:val="21"/>
              </w:rPr>
              <w:t>帐    号：</w:t>
            </w:r>
          </w:p>
        </w:tc>
      </w:tr>
      <w:tr w14:paraId="4106AD47">
        <w:tblPrEx>
          <w:tblCellMar>
            <w:top w:w="0" w:type="dxa"/>
            <w:left w:w="108" w:type="dxa"/>
            <w:bottom w:w="0" w:type="dxa"/>
            <w:right w:w="108" w:type="dxa"/>
          </w:tblCellMar>
        </w:tblPrEx>
        <w:trPr>
          <w:trHeight w:val="510" w:hRule="atLeast"/>
        </w:trPr>
        <w:tc>
          <w:tcPr>
            <w:tcW w:w="4357" w:type="dxa"/>
            <w:noWrap/>
            <w:vAlign w:val="center"/>
          </w:tcPr>
          <w:p w14:paraId="59A1B9E2">
            <w:pPr>
              <w:widowControl/>
              <w:rPr>
                <w:szCs w:val="21"/>
              </w:rPr>
            </w:pPr>
            <w:r>
              <w:rPr>
                <w:rFonts w:hint="eastAsia"/>
                <w:szCs w:val="21"/>
              </w:rPr>
              <w:t>邮政编码：</w:t>
            </w:r>
          </w:p>
        </w:tc>
        <w:tc>
          <w:tcPr>
            <w:tcW w:w="4543" w:type="dxa"/>
            <w:vAlign w:val="center"/>
          </w:tcPr>
          <w:p w14:paraId="1882BBFF">
            <w:pPr>
              <w:ind w:left="248"/>
              <w:rPr>
                <w:szCs w:val="21"/>
              </w:rPr>
            </w:pPr>
            <w:r>
              <w:rPr>
                <w:rFonts w:hint="eastAsia"/>
                <w:szCs w:val="21"/>
              </w:rPr>
              <w:t>邮政编码：</w:t>
            </w:r>
          </w:p>
        </w:tc>
      </w:tr>
    </w:tbl>
    <w:p w14:paraId="492F9D8F">
      <w:pPr>
        <w:pStyle w:val="17"/>
        <w:rPr>
          <w:rFonts w:hint="eastAsia" w:ascii="宋体" w:hAnsi="宋体" w:eastAsia="宋体" w:cs="宋体"/>
          <w:b/>
          <w:sz w:val="30"/>
          <w:szCs w:val="30"/>
          <w:lang w:val="en-US" w:eastAsia="zh-CN" w:bidi="ar-SA"/>
        </w:rPr>
      </w:pPr>
    </w:p>
    <w:p w14:paraId="2A67BD1F">
      <w:pPr>
        <w:pStyle w:val="17"/>
        <w:rPr>
          <w:rFonts w:hint="eastAsia" w:ascii="宋体" w:hAnsi="宋体" w:eastAsia="宋体" w:cs="宋体"/>
          <w:b/>
          <w:sz w:val="30"/>
          <w:szCs w:val="30"/>
          <w:lang w:val="en-US" w:eastAsia="zh-CN" w:bidi="ar-SA"/>
        </w:rPr>
      </w:pPr>
    </w:p>
    <w:p w14:paraId="1909887E">
      <w:pPr>
        <w:pStyle w:val="17"/>
        <w:rPr>
          <w:rFonts w:hint="eastAsia" w:ascii="宋体" w:hAnsi="宋体" w:eastAsia="宋体" w:cs="宋体"/>
          <w:b/>
          <w:sz w:val="30"/>
          <w:szCs w:val="30"/>
          <w:lang w:val="en-US" w:eastAsia="zh-CN" w:bidi="ar-SA"/>
        </w:rPr>
      </w:pPr>
    </w:p>
    <w:p w14:paraId="0DCA01EB">
      <w:pPr>
        <w:pStyle w:val="17"/>
        <w:rPr>
          <w:rFonts w:hint="eastAsia" w:ascii="宋体" w:hAnsi="宋体" w:eastAsia="宋体" w:cs="宋体"/>
          <w:b/>
          <w:sz w:val="30"/>
          <w:szCs w:val="30"/>
          <w:lang w:val="en-US" w:eastAsia="zh-CN" w:bidi="ar-SA"/>
        </w:rPr>
      </w:pPr>
    </w:p>
    <w:p w14:paraId="339EB8BF">
      <w:pPr>
        <w:pStyle w:val="17"/>
        <w:rPr>
          <w:rFonts w:hint="eastAsia" w:ascii="宋体" w:hAnsi="宋体" w:eastAsia="宋体" w:cs="宋体"/>
          <w:b/>
          <w:sz w:val="30"/>
          <w:szCs w:val="30"/>
          <w:lang w:val="en-US" w:eastAsia="zh-CN" w:bidi="ar-SA"/>
        </w:rPr>
      </w:pPr>
    </w:p>
    <w:p w14:paraId="553737B3">
      <w:pPr>
        <w:pStyle w:val="17"/>
        <w:rPr>
          <w:rFonts w:hint="eastAsia" w:ascii="宋体" w:hAnsi="宋体" w:eastAsia="宋体" w:cs="宋体"/>
          <w:b/>
          <w:sz w:val="30"/>
          <w:szCs w:val="30"/>
          <w:lang w:val="en-US" w:eastAsia="zh-CN" w:bidi="ar-SA"/>
        </w:rPr>
      </w:pPr>
    </w:p>
    <w:p w14:paraId="0DBBDC57">
      <w:pPr>
        <w:pStyle w:val="17"/>
        <w:rPr>
          <w:rFonts w:hint="eastAsia" w:ascii="宋体" w:hAnsi="宋体" w:eastAsia="宋体" w:cs="宋体"/>
          <w:b/>
          <w:sz w:val="30"/>
          <w:szCs w:val="30"/>
          <w:lang w:val="en-US" w:eastAsia="zh-CN" w:bidi="ar-SA"/>
        </w:rPr>
      </w:pPr>
    </w:p>
    <w:p w14:paraId="43E83294">
      <w:pPr>
        <w:pStyle w:val="17"/>
        <w:rPr>
          <w:rFonts w:hint="eastAsia" w:ascii="宋体" w:hAnsi="宋体" w:eastAsia="宋体" w:cs="宋体"/>
          <w:b/>
          <w:sz w:val="30"/>
          <w:szCs w:val="30"/>
          <w:lang w:val="en-US" w:eastAsia="zh-CN" w:bidi="ar-SA"/>
        </w:rPr>
      </w:pPr>
    </w:p>
    <w:p w14:paraId="73BD6D3F">
      <w:pPr>
        <w:pStyle w:val="17"/>
        <w:rPr>
          <w:rFonts w:hint="eastAsia" w:ascii="宋体" w:hAnsi="宋体" w:eastAsia="宋体" w:cs="宋体"/>
          <w:b/>
          <w:sz w:val="30"/>
          <w:szCs w:val="30"/>
          <w:lang w:val="en-US" w:eastAsia="zh-CN" w:bidi="ar-SA"/>
        </w:rPr>
      </w:pPr>
    </w:p>
    <w:p w14:paraId="17742E68">
      <w:pPr>
        <w:pStyle w:val="17"/>
        <w:rPr>
          <w:rFonts w:hint="eastAsia" w:ascii="宋体" w:hAnsi="宋体" w:eastAsia="宋体" w:cs="宋体"/>
          <w:b/>
          <w:sz w:val="30"/>
          <w:szCs w:val="30"/>
          <w:lang w:val="en-US" w:eastAsia="zh-CN" w:bidi="ar-SA"/>
        </w:rPr>
      </w:pPr>
    </w:p>
    <w:p w14:paraId="4CA5E9BC">
      <w:pPr>
        <w:pStyle w:val="17"/>
        <w:rPr>
          <w:rFonts w:hint="eastAsia" w:ascii="宋体" w:hAnsi="宋体" w:eastAsia="宋体" w:cs="宋体"/>
          <w:b/>
          <w:sz w:val="30"/>
          <w:szCs w:val="30"/>
          <w:lang w:val="en-US" w:eastAsia="zh-CN" w:bidi="ar-SA"/>
        </w:rPr>
      </w:pPr>
    </w:p>
    <w:p w14:paraId="749E4102">
      <w:pPr>
        <w:pStyle w:val="17"/>
        <w:rPr>
          <w:rFonts w:hint="eastAsia" w:ascii="宋体" w:hAnsi="宋体" w:eastAsia="宋体" w:cs="宋体"/>
          <w:b/>
          <w:sz w:val="30"/>
          <w:szCs w:val="30"/>
          <w:lang w:val="en-US" w:eastAsia="zh-CN" w:bidi="ar-SA"/>
        </w:rPr>
      </w:pPr>
    </w:p>
    <w:p w14:paraId="6D282281">
      <w:pPr>
        <w:pStyle w:val="17"/>
        <w:rPr>
          <w:rFonts w:hint="eastAsia" w:ascii="宋体" w:hAnsi="宋体" w:eastAsia="宋体" w:cs="宋体"/>
          <w:b/>
          <w:sz w:val="30"/>
          <w:szCs w:val="30"/>
          <w:lang w:val="en-US" w:eastAsia="zh-CN" w:bidi="ar-SA"/>
        </w:rPr>
      </w:pPr>
    </w:p>
    <w:p w14:paraId="44E14973">
      <w:pPr>
        <w:pStyle w:val="17"/>
        <w:rPr>
          <w:rFonts w:hint="eastAsia" w:ascii="宋体" w:hAnsi="宋体" w:eastAsia="宋体" w:cs="宋体"/>
          <w:b/>
          <w:sz w:val="30"/>
          <w:szCs w:val="30"/>
          <w:lang w:val="en-US" w:eastAsia="zh-CN" w:bidi="ar-SA"/>
        </w:rPr>
      </w:pPr>
    </w:p>
    <w:p w14:paraId="3181D6A6">
      <w:pPr>
        <w:pStyle w:val="17"/>
        <w:rPr>
          <w:rFonts w:hint="eastAsia" w:ascii="宋体" w:hAnsi="宋体" w:eastAsia="宋体" w:cs="宋体"/>
          <w:b/>
          <w:sz w:val="30"/>
          <w:szCs w:val="30"/>
          <w:lang w:val="en-US" w:eastAsia="zh-CN" w:bidi="ar-SA"/>
        </w:rPr>
      </w:pPr>
    </w:p>
    <w:p w14:paraId="22C11E3C">
      <w:pPr>
        <w:pStyle w:val="17"/>
        <w:rPr>
          <w:rFonts w:hint="eastAsia" w:ascii="宋体" w:hAnsi="宋体" w:eastAsia="宋体" w:cs="宋体"/>
          <w:b/>
          <w:sz w:val="30"/>
          <w:szCs w:val="30"/>
          <w:lang w:val="en-US" w:eastAsia="zh-CN" w:bidi="ar-SA"/>
        </w:rPr>
      </w:pPr>
    </w:p>
    <w:p w14:paraId="7DC2DCAD">
      <w:pPr>
        <w:pStyle w:val="17"/>
        <w:rPr>
          <w:rFonts w:hint="eastAsia" w:ascii="宋体" w:hAnsi="宋体" w:eastAsia="宋体" w:cs="宋体"/>
          <w:b/>
          <w:sz w:val="30"/>
          <w:szCs w:val="30"/>
          <w:lang w:val="en-US" w:eastAsia="zh-CN" w:bidi="ar-SA"/>
        </w:rPr>
      </w:pPr>
    </w:p>
    <w:p w14:paraId="7061F972">
      <w:pPr>
        <w:pStyle w:val="17"/>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7"/>
        <w:jc w:val="center"/>
        <w:rPr>
          <w:rFonts w:hint="eastAsia" w:ascii="宋体" w:hAnsi="宋体" w:eastAsia="宋体" w:cs="宋体"/>
          <w:b/>
          <w:sz w:val="52"/>
          <w:szCs w:val="52"/>
          <w:lang w:eastAsia="zh-CN"/>
        </w:rPr>
      </w:pPr>
    </w:p>
    <w:p w14:paraId="2CBD0752">
      <w:pPr>
        <w:pStyle w:val="7"/>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5B59DECF">
      <w:pPr>
        <w:spacing w:line="1000" w:lineRule="exact"/>
        <w:jc w:val="center"/>
        <w:rPr>
          <w:rFonts w:hint="eastAsia" w:ascii="宋体" w:hAnsi="宋体" w:eastAsia="宋体" w:cs="宋体"/>
          <w:b/>
          <w:sz w:val="44"/>
          <w:szCs w:val="44"/>
          <w:lang w:eastAsia="zh-CN"/>
        </w:rPr>
      </w:pPr>
      <w:r>
        <w:rPr>
          <w:rFonts w:hint="eastAsia" w:cs="宋体"/>
          <w:b/>
          <w:color w:val="FF0000"/>
          <w:sz w:val="44"/>
          <w:szCs w:val="44"/>
          <w:lang w:eastAsia="zh-CN"/>
        </w:rPr>
        <w:t>43-C-202塔顶气相余热利用项目钢结构框架采购项目</w:t>
      </w:r>
      <w:r>
        <w:rPr>
          <w:rFonts w:hint="eastAsia" w:ascii="宋体" w:hAnsi="宋体" w:eastAsia="宋体" w:cs="宋体"/>
          <w:b/>
          <w:sz w:val="44"/>
          <w:szCs w:val="44"/>
          <w:lang w:eastAsia="zh-CN"/>
        </w:rPr>
        <w:t>参比文件</w:t>
      </w:r>
    </w:p>
    <w:p w14:paraId="799DB0BF">
      <w:pPr>
        <w:pStyle w:val="17"/>
        <w:rPr>
          <w:rFonts w:hint="eastAsia" w:ascii="宋体" w:hAnsi="宋体" w:eastAsia="宋体" w:cs="宋体"/>
        </w:rPr>
      </w:pPr>
    </w:p>
    <w:p w14:paraId="66430289">
      <w:pPr>
        <w:pStyle w:val="7"/>
        <w:rPr>
          <w:rFonts w:hint="eastAsia" w:ascii="宋体" w:hAnsi="宋体" w:eastAsia="宋体" w:cs="宋体"/>
          <w:lang w:eastAsia="zh-CN"/>
        </w:rPr>
      </w:pPr>
    </w:p>
    <w:p w14:paraId="303A44C3">
      <w:pPr>
        <w:pStyle w:val="7"/>
        <w:rPr>
          <w:rFonts w:hint="eastAsia" w:ascii="宋体" w:hAnsi="宋体" w:eastAsia="宋体" w:cs="宋体"/>
          <w:lang w:eastAsia="zh-CN"/>
        </w:rPr>
      </w:pPr>
    </w:p>
    <w:p w14:paraId="559558BB">
      <w:pPr>
        <w:pStyle w:val="7"/>
        <w:rPr>
          <w:rFonts w:hint="eastAsia" w:ascii="宋体" w:hAnsi="宋体" w:eastAsia="宋体" w:cs="宋体"/>
          <w:lang w:eastAsia="zh-CN"/>
        </w:rPr>
      </w:pPr>
    </w:p>
    <w:p w14:paraId="35D9A259">
      <w:pPr>
        <w:pStyle w:val="7"/>
        <w:rPr>
          <w:rFonts w:hint="eastAsia" w:ascii="宋体" w:hAnsi="宋体" w:eastAsia="宋体" w:cs="宋体"/>
          <w:lang w:eastAsia="zh-CN"/>
        </w:rPr>
      </w:pPr>
    </w:p>
    <w:p w14:paraId="0CC5A5D1">
      <w:pPr>
        <w:pStyle w:val="7"/>
        <w:rPr>
          <w:rFonts w:hint="eastAsia" w:ascii="宋体" w:hAnsi="宋体" w:eastAsia="宋体" w:cs="宋体"/>
          <w:lang w:eastAsia="zh-CN"/>
        </w:rPr>
      </w:pPr>
    </w:p>
    <w:p w14:paraId="5C6052BA">
      <w:pPr>
        <w:pStyle w:val="7"/>
        <w:rPr>
          <w:rFonts w:hint="eastAsia" w:ascii="宋体" w:hAnsi="宋体" w:eastAsia="宋体" w:cs="宋体"/>
          <w:b/>
          <w:bCs/>
          <w:sz w:val="32"/>
          <w:szCs w:val="32"/>
          <w:lang w:eastAsia="zh-CN"/>
        </w:rPr>
      </w:pPr>
    </w:p>
    <w:p w14:paraId="59C232A5">
      <w:pPr>
        <w:pStyle w:val="7"/>
        <w:rPr>
          <w:rFonts w:hint="eastAsia" w:ascii="宋体" w:hAnsi="宋体" w:eastAsia="宋体" w:cs="宋体"/>
          <w:b/>
          <w:bCs/>
          <w:sz w:val="32"/>
          <w:szCs w:val="32"/>
          <w:lang w:eastAsia="zh-CN"/>
        </w:rPr>
      </w:pPr>
    </w:p>
    <w:p w14:paraId="402D501D">
      <w:pPr>
        <w:pStyle w:val="7"/>
        <w:rPr>
          <w:rFonts w:hint="eastAsia" w:ascii="宋体" w:hAnsi="宋体" w:eastAsia="宋体" w:cs="宋体"/>
          <w:b/>
          <w:bCs/>
          <w:sz w:val="32"/>
          <w:szCs w:val="32"/>
          <w:lang w:eastAsia="zh-CN"/>
        </w:rPr>
      </w:pPr>
    </w:p>
    <w:p w14:paraId="1224C0F5">
      <w:pPr>
        <w:pStyle w:val="7"/>
        <w:rPr>
          <w:rFonts w:hint="eastAsia" w:ascii="宋体" w:hAnsi="宋体" w:eastAsia="宋体" w:cs="宋体"/>
          <w:b/>
          <w:bCs/>
          <w:sz w:val="32"/>
          <w:szCs w:val="36"/>
          <w:lang w:eastAsia="zh-CN"/>
        </w:rPr>
      </w:pPr>
    </w:p>
    <w:p w14:paraId="179B654D">
      <w:pPr>
        <w:pStyle w:val="7"/>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7"/>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w:t>
      </w:r>
      <w:r>
        <w:rPr>
          <w:rFonts w:hint="eastAsia" w:hAnsi="宋体" w:cs="宋体"/>
          <w:b/>
          <w:bCs/>
          <w:color w:val="FF0000"/>
          <w:w w:val="95"/>
          <w:sz w:val="32"/>
          <w:lang w:val="en-US" w:eastAsia="zh-CN"/>
        </w:rPr>
        <w:t>6</w:t>
      </w:r>
      <w:r>
        <w:rPr>
          <w:rFonts w:hint="eastAsia" w:ascii="宋体" w:hAnsi="宋体" w:eastAsia="宋体" w:cs="宋体"/>
          <w:b/>
          <w:bCs/>
          <w:color w:val="FF0000"/>
          <w:w w:val="95"/>
          <w:sz w:val="32"/>
          <w:lang w:eastAsia="zh-CN"/>
        </w:rPr>
        <w:t>年 月</w:t>
      </w:r>
    </w:p>
    <w:p w14:paraId="26B5AD43">
      <w:pPr>
        <w:rPr>
          <w:rFonts w:hint="eastAsia" w:ascii="宋体" w:hAnsi="宋体" w:eastAsia="宋体" w:cs="宋体"/>
          <w:lang w:eastAsia="zh-CN"/>
        </w:rPr>
      </w:pPr>
    </w:p>
    <w:p w14:paraId="066019F2">
      <w:pPr>
        <w:pStyle w:val="17"/>
        <w:rPr>
          <w:rFonts w:hint="eastAsia" w:ascii="宋体" w:hAnsi="宋体" w:eastAsia="宋体" w:cs="宋体"/>
        </w:rPr>
      </w:pPr>
    </w:p>
    <w:p w14:paraId="1B40AA16">
      <w:pPr>
        <w:pStyle w:val="17"/>
        <w:rPr>
          <w:rFonts w:hint="eastAsia" w:ascii="宋体" w:hAnsi="宋体" w:eastAsia="宋体" w:cs="宋体"/>
        </w:rPr>
      </w:pPr>
    </w:p>
    <w:p w14:paraId="62CE8FE6">
      <w:pPr>
        <w:pStyle w:val="17"/>
        <w:rPr>
          <w:rFonts w:hint="eastAsia" w:ascii="宋体" w:hAnsi="宋体" w:eastAsia="宋体" w:cs="宋体"/>
        </w:rPr>
      </w:pPr>
    </w:p>
    <w:p w14:paraId="72182172">
      <w:pPr>
        <w:pStyle w:val="17"/>
        <w:rPr>
          <w:rFonts w:hint="eastAsia" w:ascii="宋体" w:hAnsi="宋体" w:eastAsia="宋体" w:cs="宋体"/>
        </w:rPr>
      </w:pPr>
    </w:p>
    <w:p w14:paraId="4AA21FD5">
      <w:pPr>
        <w:pStyle w:val="17"/>
        <w:rPr>
          <w:rFonts w:hint="eastAsia" w:ascii="宋体" w:hAnsi="宋体" w:eastAsia="宋体" w:cs="宋体"/>
        </w:rPr>
      </w:pPr>
    </w:p>
    <w:p w14:paraId="4068E097">
      <w:pPr>
        <w:pStyle w:val="17"/>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17"/>
        <w:rPr>
          <w:rFonts w:hint="eastAsia" w:ascii="宋体" w:hAnsi="宋体" w:eastAsia="宋体" w:cs="宋体"/>
          <w:sz w:val="28"/>
          <w:szCs w:val="28"/>
        </w:rPr>
      </w:pPr>
    </w:p>
    <w:p w14:paraId="01650629">
      <w:pPr>
        <w:pStyle w:val="17"/>
        <w:rPr>
          <w:rFonts w:hint="eastAsia" w:ascii="宋体" w:hAnsi="宋体" w:eastAsia="宋体" w:cs="宋体"/>
        </w:rPr>
      </w:pPr>
    </w:p>
    <w:p w14:paraId="2239D7F9">
      <w:pPr>
        <w:pStyle w:val="17"/>
        <w:rPr>
          <w:rFonts w:hint="eastAsia" w:ascii="宋体" w:hAnsi="宋体" w:eastAsia="宋体" w:cs="宋体"/>
        </w:rPr>
      </w:pPr>
    </w:p>
    <w:p w14:paraId="511814B1">
      <w:pPr>
        <w:pStyle w:val="17"/>
        <w:rPr>
          <w:rFonts w:hint="eastAsia" w:ascii="宋体" w:hAnsi="宋体" w:eastAsia="宋体" w:cs="宋体"/>
        </w:rPr>
      </w:pPr>
    </w:p>
    <w:p w14:paraId="585CAA79">
      <w:pPr>
        <w:pStyle w:val="17"/>
        <w:rPr>
          <w:rFonts w:hint="eastAsia" w:ascii="宋体" w:hAnsi="宋体" w:eastAsia="宋体" w:cs="宋体"/>
        </w:rPr>
      </w:pPr>
    </w:p>
    <w:p w14:paraId="215395B8">
      <w:pPr>
        <w:pStyle w:val="17"/>
        <w:rPr>
          <w:rFonts w:hint="eastAsia" w:ascii="宋体" w:hAnsi="宋体" w:eastAsia="宋体" w:cs="宋体"/>
        </w:rPr>
      </w:pPr>
    </w:p>
    <w:p w14:paraId="2041CC29">
      <w:pPr>
        <w:pStyle w:val="17"/>
        <w:rPr>
          <w:rFonts w:hint="eastAsia" w:ascii="宋体" w:hAnsi="宋体" w:eastAsia="宋体" w:cs="宋体"/>
        </w:rPr>
      </w:pPr>
    </w:p>
    <w:p w14:paraId="41673E0F">
      <w:pPr>
        <w:pStyle w:val="17"/>
        <w:rPr>
          <w:rFonts w:hint="eastAsia" w:ascii="宋体" w:hAnsi="宋体" w:eastAsia="宋体" w:cs="宋体"/>
        </w:rPr>
      </w:pPr>
    </w:p>
    <w:p w14:paraId="0D0C2EF0">
      <w:pPr>
        <w:pStyle w:val="17"/>
        <w:rPr>
          <w:rFonts w:hint="eastAsia" w:ascii="宋体" w:hAnsi="宋体" w:eastAsia="宋体" w:cs="宋体"/>
        </w:rPr>
      </w:pPr>
    </w:p>
    <w:p w14:paraId="57229CB8">
      <w:pPr>
        <w:pStyle w:val="17"/>
        <w:rPr>
          <w:rFonts w:hint="eastAsia" w:ascii="宋体" w:hAnsi="宋体" w:eastAsia="宋体" w:cs="宋体"/>
        </w:rPr>
      </w:pPr>
    </w:p>
    <w:p w14:paraId="79C1207A">
      <w:pPr>
        <w:pStyle w:val="17"/>
        <w:rPr>
          <w:rFonts w:hint="eastAsia" w:ascii="宋体" w:hAnsi="宋体" w:eastAsia="宋体" w:cs="宋体"/>
        </w:rPr>
      </w:pPr>
    </w:p>
    <w:p w14:paraId="3A2E7E07">
      <w:pPr>
        <w:pStyle w:val="17"/>
        <w:rPr>
          <w:rFonts w:hint="eastAsia" w:ascii="宋体" w:hAnsi="宋体" w:eastAsia="宋体" w:cs="宋体"/>
        </w:rPr>
      </w:pPr>
    </w:p>
    <w:p w14:paraId="7F3387D6">
      <w:pPr>
        <w:pStyle w:val="17"/>
        <w:rPr>
          <w:rFonts w:hint="eastAsia" w:ascii="宋体" w:hAnsi="宋体" w:eastAsia="宋体" w:cs="宋体"/>
        </w:rPr>
      </w:pPr>
    </w:p>
    <w:p w14:paraId="771D921A">
      <w:pPr>
        <w:pStyle w:val="17"/>
        <w:rPr>
          <w:rFonts w:hint="eastAsia" w:ascii="宋体" w:hAnsi="宋体" w:eastAsia="宋体" w:cs="宋体"/>
        </w:rPr>
      </w:pPr>
    </w:p>
    <w:p w14:paraId="505778A1">
      <w:pPr>
        <w:pStyle w:val="17"/>
        <w:rPr>
          <w:rFonts w:hint="eastAsia" w:ascii="宋体" w:hAnsi="宋体" w:eastAsia="宋体" w:cs="宋体"/>
        </w:rPr>
      </w:pPr>
    </w:p>
    <w:p w14:paraId="049FFE20">
      <w:pPr>
        <w:pStyle w:val="17"/>
        <w:rPr>
          <w:rFonts w:hint="eastAsia" w:ascii="宋体" w:hAnsi="宋体" w:eastAsia="宋体" w:cs="宋体"/>
        </w:rPr>
      </w:pPr>
    </w:p>
    <w:p w14:paraId="5401509C">
      <w:pPr>
        <w:pStyle w:val="17"/>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17"/>
        <w:rPr>
          <w:rFonts w:hint="eastAsia" w:ascii="宋体" w:hAnsi="宋体" w:eastAsia="宋体" w:cs="宋体"/>
          <w:b/>
          <w:bCs/>
          <w:sz w:val="36"/>
          <w:szCs w:val="36"/>
        </w:rPr>
      </w:pPr>
    </w:p>
    <w:p w14:paraId="340BCC72">
      <w:pPr>
        <w:pStyle w:val="17"/>
        <w:rPr>
          <w:rFonts w:hint="eastAsia" w:ascii="宋体" w:hAnsi="宋体" w:eastAsia="宋体" w:cs="宋体"/>
          <w:b/>
          <w:bCs/>
          <w:sz w:val="36"/>
          <w:szCs w:val="36"/>
        </w:rPr>
      </w:pPr>
    </w:p>
    <w:p w14:paraId="355D38E7">
      <w:pPr>
        <w:pStyle w:val="17"/>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17"/>
        <w:rPr>
          <w:rFonts w:hint="eastAsia" w:ascii="宋体" w:hAnsi="宋体" w:eastAsia="宋体" w:cs="宋体"/>
          <w:b/>
          <w:bCs/>
          <w:sz w:val="36"/>
          <w:szCs w:val="36"/>
        </w:rPr>
      </w:pPr>
    </w:p>
    <w:p w14:paraId="24D79123">
      <w:pPr>
        <w:pStyle w:val="17"/>
        <w:rPr>
          <w:rFonts w:hint="eastAsia" w:ascii="宋体" w:hAnsi="宋体" w:eastAsia="宋体" w:cs="宋体"/>
          <w:b/>
          <w:bCs/>
          <w:sz w:val="36"/>
          <w:szCs w:val="36"/>
        </w:rPr>
      </w:pPr>
    </w:p>
    <w:p w14:paraId="024EFB28">
      <w:pPr>
        <w:pStyle w:val="17"/>
        <w:rPr>
          <w:rFonts w:hint="eastAsia" w:ascii="宋体" w:hAnsi="宋体" w:eastAsia="宋体" w:cs="宋体"/>
        </w:rPr>
      </w:pPr>
    </w:p>
    <w:p w14:paraId="2C65D7B7">
      <w:pPr>
        <w:pStyle w:val="17"/>
        <w:rPr>
          <w:rFonts w:hint="eastAsia" w:ascii="宋体" w:hAnsi="宋体" w:eastAsia="宋体" w:cs="宋体"/>
        </w:rPr>
      </w:pPr>
    </w:p>
    <w:p w14:paraId="4385FD1F">
      <w:pPr>
        <w:pStyle w:val="17"/>
        <w:rPr>
          <w:rFonts w:hint="eastAsia" w:ascii="宋体" w:hAnsi="宋体" w:eastAsia="宋体" w:cs="宋体"/>
        </w:rPr>
      </w:pPr>
    </w:p>
    <w:p w14:paraId="7E986680">
      <w:pPr>
        <w:pStyle w:val="17"/>
        <w:rPr>
          <w:rFonts w:hint="eastAsia" w:ascii="宋体" w:hAnsi="宋体" w:eastAsia="宋体" w:cs="宋体"/>
        </w:rPr>
      </w:pPr>
    </w:p>
    <w:p w14:paraId="5802E1F4">
      <w:pPr>
        <w:pStyle w:val="17"/>
        <w:rPr>
          <w:rFonts w:hint="eastAsia" w:ascii="宋体" w:hAnsi="宋体" w:eastAsia="宋体" w:cs="宋体"/>
        </w:rPr>
      </w:pPr>
    </w:p>
    <w:p w14:paraId="5ECF2963">
      <w:pPr>
        <w:pStyle w:val="17"/>
        <w:rPr>
          <w:rFonts w:hint="eastAsia" w:ascii="宋体" w:hAnsi="宋体" w:eastAsia="宋体" w:cs="宋体"/>
        </w:rPr>
      </w:pPr>
    </w:p>
    <w:p w14:paraId="4AF283DE">
      <w:pPr>
        <w:pStyle w:val="17"/>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w:t>
      </w:r>
      <w:r>
        <w:rPr>
          <w:rFonts w:hint="eastAsia" w:cs="宋体"/>
          <w:sz w:val="24"/>
          <w:lang w:eastAsia="zh-CN"/>
        </w:rPr>
        <w:t>中选</w:t>
      </w:r>
      <w:r>
        <w:rPr>
          <w:rFonts w:hint="eastAsia" w:ascii="宋体" w:hAnsi="宋体" w:eastAsia="宋体" w:cs="宋体"/>
          <w:sz w:val="24"/>
          <w:lang w:eastAsia="zh-CN"/>
        </w:rPr>
        <w:t>，将严格按照合同约定履行各项义务。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w:t>
      </w:r>
      <w:r>
        <w:rPr>
          <w:rFonts w:hint="eastAsia" w:cs="宋体"/>
          <w:sz w:val="24"/>
          <w:lang w:eastAsia="zh-CN"/>
        </w:rPr>
        <w:t>中选</w:t>
      </w:r>
      <w:r>
        <w:rPr>
          <w:rFonts w:hint="eastAsia" w:ascii="宋体" w:hAnsi="宋体" w:eastAsia="宋体" w:cs="宋体"/>
          <w:sz w:val="24"/>
          <w:lang w:eastAsia="zh-CN"/>
        </w:rPr>
        <w:t>，有效期将延长至合同执行完毕。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17"/>
        <w:rPr>
          <w:rFonts w:hint="eastAsia" w:ascii="宋体" w:hAnsi="宋体" w:eastAsia="宋体" w:cs="宋体"/>
        </w:rPr>
      </w:pPr>
    </w:p>
    <w:p w14:paraId="057638D8">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17"/>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17"/>
        <w:jc w:val="center"/>
        <w:rPr>
          <w:rFonts w:hint="eastAsia" w:ascii="宋体" w:hAnsi="宋体" w:eastAsia="宋体" w:cs="宋体"/>
        </w:rPr>
      </w:pPr>
    </w:p>
    <w:p w14:paraId="67147497">
      <w:pPr>
        <w:pStyle w:val="17"/>
        <w:jc w:val="center"/>
        <w:rPr>
          <w:rFonts w:hint="eastAsia" w:ascii="宋体" w:hAnsi="宋体" w:eastAsia="宋体" w:cs="宋体"/>
        </w:rPr>
      </w:pPr>
    </w:p>
    <w:p w14:paraId="131EF3F0">
      <w:pPr>
        <w:pStyle w:val="17"/>
        <w:jc w:val="center"/>
        <w:rPr>
          <w:rFonts w:hint="eastAsia" w:ascii="宋体" w:hAnsi="宋体" w:eastAsia="宋体" w:cs="宋体"/>
        </w:rPr>
      </w:pPr>
    </w:p>
    <w:p w14:paraId="18C044F7">
      <w:pPr>
        <w:pStyle w:val="17"/>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17"/>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w:t>
      </w:r>
      <w:r>
        <w:rPr>
          <w:rFonts w:hint="eastAsia" w:cs="宋体"/>
          <w:color w:val="00B050"/>
          <w:sz w:val="28"/>
          <w:szCs w:val="28"/>
          <w:u w:val="single"/>
          <w:lang w:val="en-US" w:eastAsia="zh-CN"/>
        </w:rPr>
        <w:t>6</w:t>
      </w:r>
      <w:r>
        <w:rPr>
          <w:rFonts w:hint="eastAsia" w:ascii="宋体" w:hAnsi="宋体" w:eastAsia="宋体" w:cs="宋体"/>
          <w:color w:val="00B050"/>
          <w:sz w:val="28"/>
          <w:szCs w:val="28"/>
          <w:u w:val="single"/>
          <w:lang w:eastAsia="zh-CN"/>
        </w:rPr>
        <w:t>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17"/>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17"/>
        <w:rPr>
          <w:rFonts w:hint="eastAsia" w:ascii="宋体" w:hAnsi="宋体" w:eastAsia="宋体" w:cs="宋体"/>
        </w:rPr>
      </w:pPr>
    </w:p>
    <w:p w14:paraId="659FA83A">
      <w:pPr>
        <w:pStyle w:val="17"/>
        <w:rPr>
          <w:rFonts w:hint="eastAsia" w:ascii="宋体" w:hAnsi="宋体" w:eastAsia="宋体" w:cs="宋体"/>
        </w:rPr>
      </w:pPr>
    </w:p>
    <w:p w14:paraId="7837B619">
      <w:pPr>
        <w:pStyle w:val="17"/>
        <w:rPr>
          <w:rFonts w:hint="eastAsia" w:ascii="宋体" w:hAnsi="宋体" w:eastAsia="宋体" w:cs="宋体"/>
        </w:rPr>
      </w:pPr>
    </w:p>
    <w:p w14:paraId="6CBC2A0F">
      <w:pPr>
        <w:pStyle w:val="17"/>
        <w:rPr>
          <w:rFonts w:hint="eastAsia" w:ascii="宋体" w:hAnsi="宋体" w:eastAsia="宋体" w:cs="宋体"/>
        </w:rPr>
      </w:pPr>
    </w:p>
    <w:p w14:paraId="35D7CB36">
      <w:pPr>
        <w:pStyle w:val="17"/>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17"/>
        <w:jc w:val="center"/>
        <w:rPr>
          <w:rFonts w:hint="eastAsia" w:ascii="宋体" w:hAnsi="宋体" w:eastAsia="宋体" w:cs="宋体"/>
          <w:color w:val="4E6127"/>
        </w:rPr>
      </w:pPr>
    </w:p>
    <w:p w14:paraId="50039A4A">
      <w:pPr>
        <w:pStyle w:val="17"/>
        <w:jc w:val="center"/>
        <w:rPr>
          <w:rFonts w:hint="eastAsia" w:ascii="宋体" w:hAnsi="宋体" w:eastAsia="宋体" w:cs="宋体"/>
        </w:rPr>
      </w:pPr>
    </w:p>
    <w:p w14:paraId="0920C7A9">
      <w:pPr>
        <w:pStyle w:val="17"/>
        <w:jc w:val="center"/>
        <w:rPr>
          <w:rFonts w:hint="eastAsia" w:ascii="宋体" w:hAnsi="宋体" w:eastAsia="宋体" w:cs="宋体"/>
        </w:rPr>
      </w:pPr>
    </w:p>
    <w:p w14:paraId="2F4A945B">
      <w:pPr>
        <w:pStyle w:val="17"/>
        <w:jc w:val="center"/>
        <w:rPr>
          <w:rFonts w:hint="eastAsia" w:ascii="宋体" w:hAnsi="宋体" w:eastAsia="宋体" w:cs="宋体"/>
        </w:rPr>
      </w:pPr>
    </w:p>
    <w:p w14:paraId="6ADFABA8">
      <w:pPr>
        <w:pStyle w:val="17"/>
        <w:jc w:val="center"/>
        <w:rPr>
          <w:rFonts w:hint="eastAsia" w:ascii="宋体" w:hAnsi="宋体" w:eastAsia="宋体" w:cs="宋体"/>
        </w:rPr>
      </w:pPr>
    </w:p>
    <w:p w14:paraId="0F2FF226">
      <w:pPr>
        <w:pStyle w:val="17"/>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17"/>
        <w:rPr>
          <w:rFonts w:hint="eastAsia" w:ascii="宋体" w:hAnsi="宋体" w:eastAsia="宋体" w:cs="宋体"/>
          <w:b/>
          <w:bCs/>
          <w:color w:val="4E6127"/>
          <w:sz w:val="36"/>
          <w:szCs w:val="36"/>
        </w:rPr>
      </w:pPr>
    </w:p>
    <w:p w14:paraId="31480A80">
      <w:pPr>
        <w:pStyle w:val="17"/>
        <w:rPr>
          <w:rFonts w:hint="eastAsia" w:ascii="宋体" w:hAnsi="宋体" w:eastAsia="宋体" w:cs="宋体"/>
          <w:b/>
          <w:bCs/>
          <w:color w:val="4E6127"/>
          <w:sz w:val="36"/>
          <w:szCs w:val="36"/>
        </w:rPr>
      </w:pPr>
    </w:p>
    <w:p w14:paraId="37F55F60">
      <w:pPr>
        <w:pStyle w:val="17"/>
        <w:rPr>
          <w:rFonts w:hint="eastAsia" w:ascii="宋体" w:hAnsi="宋体" w:eastAsia="宋体" w:cs="宋体"/>
          <w:b/>
          <w:bCs/>
          <w:color w:val="4E6127"/>
          <w:sz w:val="36"/>
          <w:szCs w:val="36"/>
        </w:rPr>
      </w:pPr>
    </w:p>
    <w:p w14:paraId="1D5DC6B2">
      <w:pPr>
        <w:pStyle w:val="17"/>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17"/>
        <w:rPr>
          <w:rFonts w:hint="eastAsia" w:ascii="宋体" w:hAnsi="宋体" w:eastAsia="宋体" w:cs="宋体"/>
          <w:b/>
          <w:bCs/>
          <w:sz w:val="36"/>
          <w:szCs w:val="36"/>
        </w:rPr>
      </w:pPr>
    </w:p>
    <w:p w14:paraId="56FE4AB3">
      <w:pPr>
        <w:pStyle w:val="17"/>
        <w:rPr>
          <w:rFonts w:hint="eastAsia" w:ascii="宋体" w:hAnsi="宋体" w:eastAsia="宋体" w:cs="宋体"/>
          <w:b/>
          <w:bCs/>
          <w:sz w:val="36"/>
          <w:szCs w:val="36"/>
        </w:rPr>
      </w:pPr>
    </w:p>
    <w:p w14:paraId="4082A934">
      <w:pPr>
        <w:pStyle w:val="17"/>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17"/>
        <w:jc w:val="center"/>
        <w:rPr>
          <w:rFonts w:hint="eastAsia" w:ascii="宋体" w:hAnsi="宋体" w:eastAsia="宋体" w:cs="宋体"/>
          <w:color w:val="FF0000"/>
        </w:rPr>
      </w:pPr>
    </w:p>
    <w:p w14:paraId="5387328F">
      <w:pPr>
        <w:pStyle w:val="17"/>
        <w:jc w:val="center"/>
        <w:rPr>
          <w:rFonts w:hint="eastAsia" w:ascii="宋体" w:hAnsi="宋体" w:eastAsia="宋体" w:cs="宋体"/>
        </w:rPr>
      </w:pPr>
    </w:p>
    <w:p w14:paraId="0102840C">
      <w:pPr>
        <w:pStyle w:val="17"/>
        <w:jc w:val="center"/>
        <w:rPr>
          <w:rFonts w:hint="eastAsia" w:ascii="宋体" w:hAnsi="宋体" w:eastAsia="宋体" w:cs="宋体"/>
        </w:rPr>
      </w:pPr>
    </w:p>
    <w:p w14:paraId="634EE69A">
      <w:pPr>
        <w:pStyle w:val="17"/>
        <w:jc w:val="center"/>
        <w:rPr>
          <w:rFonts w:hint="eastAsia" w:ascii="宋体" w:hAnsi="宋体" w:eastAsia="宋体" w:cs="宋体"/>
        </w:rPr>
      </w:pPr>
    </w:p>
    <w:p w14:paraId="149B8867">
      <w:pPr>
        <w:pStyle w:val="17"/>
        <w:jc w:val="center"/>
        <w:rPr>
          <w:rFonts w:hint="eastAsia" w:ascii="宋体" w:hAnsi="宋体" w:eastAsia="宋体" w:cs="宋体"/>
        </w:rPr>
      </w:pPr>
    </w:p>
    <w:p w14:paraId="77B291E9">
      <w:pPr>
        <w:pStyle w:val="17"/>
        <w:jc w:val="center"/>
        <w:rPr>
          <w:rFonts w:hint="eastAsia" w:ascii="宋体" w:hAnsi="宋体" w:eastAsia="宋体" w:cs="宋体"/>
        </w:rPr>
      </w:pPr>
    </w:p>
    <w:p w14:paraId="179A504F">
      <w:pPr>
        <w:pStyle w:val="17"/>
        <w:jc w:val="center"/>
        <w:rPr>
          <w:rFonts w:hint="eastAsia" w:ascii="宋体" w:hAnsi="宋体" w:eastAsia="宋体" w:cs="宋体"/>
        </w:rPr>
      </w:pPr>
    </w:p>
    <w:p w14:paraId="5CAFDA94">
      <w:pPr>
        <w:pStyle w:val="17"/>
        <w:jc w:val="center"/>
        <w:rPr>
          <w:rFonts w:hint="eastAsia" w:ascii="宋体" w:hAnsi="宋体" w:eastAsia="宋体" w:cs="宋体"/>
        </w:rPr>
      </w:pPr>
    </w:p>
    <w:p w14:paraId="4451840C">
      <w:pPr>
        <w:pStyle w:val="17"/>
        <w:jc w:val="center"/>
        <w:rPr>
          <w:rFonts w:hint="eastAsia" w:ascii="宋体" w:hAnsi="宋体" w:eastAsia="宋体" w:cs="宋体"/>
        </w:rPr>
      </w:pPr>
    </w:p>
    <w:p w14:paraId="0A5770F0">
      <w:pPr>
        <w:pStyle w:val="17"/>
        <w:jc w:val="center"/>
        <w:rPr>
          <w:rFonts w:hint="eastAsia" w:ascii="宋体" w:hAnsi="宋体" w:eastAsia="宋体" w:cs="宋体"/>
        </w:rPr>
      </w:pPr>
    </w:p>
    <w:p w14:paraId="55630743">
      <w:pPr>
        <w:pStyle w:val="17"/>
        <w:jc w:val="center"/>
        <w:rPr>
          <w:rFonts w:hint="eastAsia" w:ascii="宋体" w:hAnsi="宋体" w:eastAsia="宋体" w:cs="宋体"/>
        </w:rPr>
      </w:pPr>
    </w:p>
    <w:p w14:paraId="25F80610">
      <w:pPr>
        <w:pStyle w:val="17"/>
        <w:jc w:val="center"/>
        <w:rPr>
          <w:rFonts w:hint="eastAsia" w:ascii="宋体" w:hAnsi="宋体" w:eastAsia="宋体" w:cs="宋体"/>
        </w:rPr>
      </w:pPr>
    </w:p>
    <w:p w14:paraId="39C69273">
      <w:pPr>
        <w:pStyle w:val="17"/>
        <w:jc w:val="center"/>
        <w:rPr>
          <w:rFonts w:hint="eastAsia" w:ascii="宋体" w:hAnsi="宋体" w:eastAsia="宋体" w:cs="宋体"/>
        </w:rPr>
      </w:pPr>
    </w:p>
    <w:p w14:paraId="0B695781">
      <w:pPr>
        <w:pStyle w:val="17"/>
        <w:jc w:val="center"/>
        <w:rPr>
          <w:rFonts w:hint="eastAsia" w:ascii="宋体" w:hAnsi="宋体" w:eastAsia="宋体" w:cs="宋体"/>
        </w:rPr>
      </w:pPr>
    </w:p>
    <w:p w14:paraId="0A309931">
      <w:pPr>
        <w:pStyle w:val="17"/>
        <w:jc w:val="center"/>
        <w:rPr>
          <w:rFonts w:hint="eastAsia" w:ascii="宋体" w:hAnsi="宋体" w:eastAsia="宋体" w:cs="宋体"/>
        </w:rPr>
      </w:pPr>
    </w:p>
    <w:p w14:paraId="2FC1F9AB">
      <w:pPr>
        <w:pStyle w:val="17"/>
        <w:jc w:val="center"/>
        <w:rPr>
          <w:rFonts w:hint="eastAsia" w:ascii="宋体" w:hAnsi="宋体" w:eastAsia="宋体" w:cs="宋体"/>
        </w:rPr>
      </w:pPr>
    </w:p>
    <w:p w14:paraId="0CAAE5D0">
      <w:pPr>
        <w:pStyle w:val="17"/>
        <w:jc w:val="center"/>
        <w:rPr>
          <w:rFonts w:hint="eastAsia" w:ascii="宋体" w:hAnsi="宋体" w:eastAsia="宋体" w:cs="宋体"/>
        </w:rPr>
      </w:pPr>
    </w:p>
    <w:p w14:paraId="53B1DA61">
      <w:pPr>
        <w:pStyle w:val="17"/>
        <w:jc w:val="center"/>
        <w:rPr>
          <w:rFonts w:hint="eastAsia" w:ascii="宋体" w:hAnsi="宋体" w:eastAsia="宋体" w:cs="宋体"/>
        </w:rPr>
      </w:pPr>
    </w:p>
    <w:p w14:paraId="44B736F7">
      <w:pPr>
        <w:pStyle w:val="17"/>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17"/>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17"/>
        <w:jc w:val="center"/>
        <w:rPr>
          <w:rFonts w:hint="eastAsia" w:ascii="宋体" w:hAnsi="宋体" w:eastAsia="宋体" w:cs="宋体"/>
        </w:rPr>
      </w:pPr>
    </w:p>
    <w:p w14:paraId="134BD03B">
      <w:pPr>
        <w:pStyle w:val="17"/>
        <w:jc w:val="center"/>
        <w:rPr>
          <w:rFonts w:hint="eastAsia" w:ascii="宋体" w:hAnsi="宋体" w:eastAsia="宋体" w:cs="宋体"/>
        </w:rPr>
      </w:pPr>
    </w:p>
    <w:p w14:paraId="4DC9CA0A">
      <w:pPr>
        <w:pStyle w:val="17"/>
        <w:jc w:val="center"/>
        <w:rPr>
          <w:rFonts w:hint="eastAsia" w:ascii="宋体" w:hAnsi="宋体" w:eastAsia="宋体" w:cs="宋体"/>
        </w:rPr>
      </w:pPr>
    </w:p>
    <w:p w14:paraId="58BD69EE">
      <w:pPr>
        <w:pStyle w:val="17"/>
        <w:jc w:val="center"/>
        <w:rPr>
          <w:rFonts w:hint="eastAsia" w:ascii="宋体" w:hAnsi="宋体" w:eastAsia="宋体" w:cs="宋体"/>
        </w:rPr>
      </w:pPr>
    </w:p>
    <w:p w14:paraId="0407A769">
      <w:pPr>
        <w:pStyle w:val="17"/>
        <w:jc w:val="center"/>
        <w:rPr>
          <w:rFonts w:hint="eastAsia" w:ascii="宋体" w:hAnsi="宋体" w:eastAsia="宋体" w:cs="宋体"/>
        </w:rPr>
      </w:pPr>
    </w:p>
    <w:p w14:paraId="00DCFCF0">
      <w:pPr>
        <w:pStyle w:val="17"/>
        <w:jc w:val="center"/>
        <w:rPr>
          <w:rFonts w:hint="eastAsia" w:ascii="宋体" w:hAnsi="宋体" w:eastAsia="宋体" w:cs="宋体"/>
        </w:rPr>
      </w:pPr>
    </w:p>
    <w:p w14:paraId="0DAF1E17">
      <w:pPr>
        <w:pStyle w:val="17"/>
        <w:jc w:val="center"/>
        <w:rPr>
          <w:rFonts w:hint="eastAsia" w:ascii="宋体" w:hAnsi="宋体" w:eastAsia="宋体" w:cs="宋体"/>
        </w:rPr>
      </w:pPr>
    </w:p>
    <w:p w14:paraId="0FED7F89">
      <w:pPr>
        <w:pStyle w:val="17"/>
        <w:jc w:val="center"/>
        <w:rPr>
          <w:rFonts w:hint="eastAsia" w:ascii="宋体" w:hAnsi="宋体" w:eastAsia="宋体" w:cs="宋体"/>
        </w:rPr>
      </w:pPr>
    </w:p>
    <w:p w14:paraId="3B51FA27">
      <w:pPr>
        <w:pStyle w:val="17"/>
        <w:jc w:val="center"/>
        <w:rPr>
          <w:rFonts w:hint="eastAsia" w:ascii="宋体" w:hAnsi="宋体" w:eastAsia="宋体" w:cs="宋体"/>
        </w:rPr>
      </w:pPr>
    </w:p>
    <w:p w14:paraId="41E2E596">
      <w:pPr>
        <w:pStyle w:val="17"/>
        <w:jc w:val="center"/>
        <w:rPr>
          <w:rFonts w:hint="eastAsia" w:ascii="宋体" w:hAnsi="宋体" w:eastAsia="宋体" w:cs="宋体"/>
        </w:rPr>
      </w:pPr>
    </w:p>
    <w:p w14:paraId="63C39446">
      <w:pPr>
        <w:pStyle w:val="17"/>
        <w:jc w:val="center"/>
        <w:rPr>
          <w:rFonts w:hint="eastAsia" w:ascii="宋体" w:hAnsi="宋体" w:eastAsia="宋体" w:cs="宋体"/>
        </w:rPr>
      </w:pPr>
    </w:p>
    <w:p w14:paraId="7AEC7268">
      <w:pPr>
        <w:pStyle w:val="17"/>
        <w:rPr>
          <w:rFonts w:hint="eastAsia" w:ascii="宋体" w:hAnsi="宋体" w:eastAsia="宋体" w:cs="宋体"/>
        </w:rPr>
      </w:pPr>
    </w:p>
    <w:p w14:paraId="4957E307">
      <w:pPr>
        <w:pStyle w:val="17"/>
        <w:rPr>
          <w:rFonts w:hint="eastAsia" w:ascii="宋体" w:hAnsi="宋体" w:eastAsia="宋体" w:cs="宋体"/>
        </w:rPr>
      </w:pPr>
    </w:p>
    <w:p w14:paraId="3FB37B22">
      <w:pPr>
        <w:pStyle w:val="17"/>
        <w:rPr>
          <w:rFonts w:hint="eastAsia" w:ascii="宋体" w:hAnsi="宋体" w:eastAsia="宋体" w:cs="宋体"/>
        </w:rPr>
      </w:pPr>
    </w:p>
    <w:p w14:paraId="11323277">
      <w:pPr>
        <w:pStyle w:val="17"/>
        <w:rPr>
          <w:rFonts w:hint="eastAsia" w:ascii="宋体" w:hAnsi="宋体" w:eastAsia="宋体" w:cs="宋体"/>
        </w:rPr>
      </w:pPr>
    </w:p>
    <w:p w14:paraId="5DB04789">
      <w:pPr>
        <w:pStyle w:val="17"/>
        <w:rPr>
          <w:rFonts w:hint="eastAsia" w:ascii="宋体" w:hAnsi="宋体" w:eastAsia="宋体" w:cs="宋体"/>
        </w:rPr>
      </w:pPr>
    </w:p>
    <w:p w14:paraId="69A8C2B9">
      <w:pPr>
        <w:pStyle w:val="17"/>
        <w:rPr>
          <w:rFonts w:hint="eastAsia" w:ascii="宋体" w:hAnsi="宋体" w:eastAsia="宋体" w:cs="宋体"/>
        </w:rPr>
      </w:pPr>
    </w:p>
    <w:p w14:paraId="75CE5622">
      <w:pPr>
        <w:pStyle w:val="17"/>
        <w:rPr>
          <w:rFonts w:hint="eastAsia" w:ascii="宋体" w:hAnsi="宋体" w:eastAsia="宋体" w:cs="宋体"/>
        </w:rPr>
      </w:pPr>
    </w:p>
    <w:p w14:paraId="273A2B27">
      <w:pPr>
        <w:pStyle w:val="17"/>
        <w:rPr>
          <w:rFonts w:hint="eastAsia" w:ascii="宋体" w:hAnsi="宋体" w:eastAsia="宋体" w:cs="宋体"/>
        </w:rPr>
      </w:pPr>
    </w:p>
    <w:p w14:paraId="25045C9A">
      <w:pPr>
        <w:pStyle w:val="17"/>
        <w:rPr>
          <w:rFonts w:hint="eastAsia" w:ascii="宋体" w:hAnsi="宋体" w:eastAsia="宋体" w:cs="宋体"/>
        </w:rPr>
      </w:pPr>
    </w:p>
    <w:p w14:paraId="00F92A37">
      <w:pPr>
        <w:pStyle w:val="17"/>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640D648B">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416D9A13">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200E3D5">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val="en-US" w:eastAsia="zh-CN"/>
        </w:rPr>
        <w:t xml:space="preserve"> </w:t>
      </w:r>
      <w:r>
        <w:rPr>
          <w:rFonts w:hint="eastAsia" w:ascii="Times New Roman" w:hAnsi="ˎ̥" w:cs="宋体"/>
          <w:sz w:val="28"/>
          <w:szCs w:val="28"/>
          <w:u w:val="single"/>
          <w:lang w:val="en-US" w:eastAsia="zh-CN"/>
        </w:rPr>
        <w:t>43-C-202塔顶气相余热利用项目钢结构框架</w:t>
      </w:r>
      <w:r>
        <w:rPr>
          <w:rFonts w:hint="eastAsia" w:ascii="Times New Roman" w:hAnsi="ˎ̥" w:eastAsia="宋体" w:cs="宋体"/>
          <w:sz w:val="28"/>
          <w:szCs w:val="28"/>
          <w:u w:val="single"/>
          <w:lang w:val="en-US" w:eastAsia="zh-CN"/>
        </w:rPr>
        <w:t xml:space="preserve">采购项目 </w:t>
      </w:r>
      <w:r>
        <w:rPr>
          <w:rFonts w:hint="eastAsia" w:ascii="Times New Roman" w:hAnsi="ˎ̥" w:eastAsia="宋体" w:cs="宋体"/>
          <w:sz w:val="28"/>
          <w:szCs w:val="28"/>
          <w:lang w:eastAsia="zh-CN"/>
        </w:rPr>
        <w:t>询</w:t>
      </w:r>
      <w:r>
        <w:rPr>
          <w:rFonts w:hint="eastAsia" w:ascii="Times New Roman" w:hAnsi="ˎ̥"/>
          <w:sz w:val="28"/>
          <w:szCs w:val="28"/>
          <w:lang w:eastAsia="zh-CN"/>
        </w:rPr>
        <w:t>比</w:t>
      </w:r>
      <w:r>
        <w:rPr>
          <w:rFonts w:hint="eastAsia" w:ascii="Times New Roman" w:hAnsi="ˎ̥"/>
          <w:color w:val="000000" w:themeColor="text1"/>
          <w:sz w:val="28"/>
          <w:szCs w:val="28"/>
          <w:lang w:eastAsia="zh-CN"/>
          <w14:textFill>
            <w14:solidFill>
              <w14:schemeClr w14:val="tx1"/>
            </w14:solidFill>
          </w14:textFill>
        </w:rPr>
        <w:t>文件</w:t>
      </w:r>
      <w:r>
        <w:rPr>
          <w:rFonts w:hint="eastAsia" w:ascii="Times New Roman" w:hAnsi="ˎ̥"/>
          <w:sz w:val="28"/>
          <w:szCs w:val="28"/>
          <w:lang w:eastAsia="zh-CN"/>
        </w:rPr>
        <w:t>的全部内容后，我方愿以以下报价，严格按照自主询比文件的要求，交付本项目并维修其中的任何缺陷。</w:t>
      </w:r>
    </w:p>
    <w:p w14:paraId="1E8AF8A3">
      <w:pPr>
        <w:widowControl/>
        <w:autoSpaceDE/>
        <w:autoSpaceDN/>
        <w:jc w:val="center"/>
        <w:rPr>
          <w:b/>
          <w:bCs/>
          <w:sz w:val="24"/>
          <w:szCs w:val="24"/>
          <w:lang w:eastAsia="zh-CN"/>
        </w:rPr>
      </w:pPr>
      <w:r>
        <w:rPr>
          <w:rFonts w:hint="eastAsia" w:cs="宋体"/>
          <w:b/>
          <w:bCs/>
          <w:sz w:val="24"/>
          <w:szCs w:val="24"/>
          <w:lang w:val="en-US" w:eastAsia="zh-CN"/>
        </w:rPr>
        <w:t>43-C-202塔顶气相余热利用项目钢结构框架</w:t>
      </w:r>
      <w:r>
        <w:rPr>
          <w:rFonts w:hint="eastAsia" w:ascii="宋体" w:hAnsi="宋体" w:eastAsia="宋体" w:cs="宋体"/>
          <w:b/>
          <w:bCs/>
          <w:sz w:val="24"/>
          <w:szCs w:val="24"/>
          <w:lang w:val="en-US" w:eastAsia="zh-CN"/>
        </w:rPr>
        <w:t>采购</w:t>
      </w:r>
      <w:r>
        <w:rPr>
          <w:rFonts w:hint="eastAsia"/>
          <w:b/>
          <w:bCs/>
          <w:sz w:val="24"/>
          <w:szCs w:val="24"/>
          <w:lang w:val="en-US" w:eastAsia="zh-CN"/>
        </w:rPr>
        <w:t>项目</w:t>
      </w:r>
      <w:r>
        <w:rPr>
          <w:rFonts w:hint="eastAsia"/>
          <w:b/>
          <w:bCs/>
          <w:sz w:val="24"/>
          <w:szCs w:val="24"/>
          <w:lang w:eastAsia="zh-CN"/>
        </w:rPr>
        <w:t>价格清单</w:t>
      </w:r>
    </w:p>
    <w:tbl>
      <w:tblPr>
        <w:tblStyle w:val="12"/>
        <w:tblpPr w:leftFromText="180" w:rightFromText="180" w:vertAnchor="text" w:horzAnchor="page" w:tblpXSpec="center" w:tblpY="287"/>
        <w:tblOverlap w:val="never"/>
        <w:tblW w:w="9256" w:type="dxa"/>
        <w:tblInd w:w="128" w:type="dxa"/>
        <w:tblLayout w:type="fixed"/>
        <w:tblCellMar>
          <w:top w:w="15" w:type="dxa"/>
          <w:left w:w="15" w:type="dxa"/>
          <w:bottom w:w="15" w:type="dxa"/>
          <w:right w:w="15" w:type="dxa"/>
        </w:tblCellMar>
      </w:tblPr>
      <w:tblGrid>
        <w:gridCol w:w="953"/>
        <w:gridCol w:w="866"/>
        <w:gridCol w:w="567"/>
        <w:gridCol w:w="3600"/>
        <w:gridCol w:w="330"/>
        <w:gridCol w:w="820"/>
        <w:gridCol w:w="905"/>
        <w:gridCol w:w="1215"/>
      </w:tblGrid>
      <w:tr w14:paraId="77A84EDC">
        <w:tblPrEx>
          <w:tblCellMar>
            <w:top w:w="15" w:type="dxa"/>
            <w:left w:w="15" w:type="dxa"/>
            <w:bottom w:w="15" w:type="dxa"/>
            <w:right w:w="15" w:type="dxa"/>
          </w:tblCellMar>
        </w:tblPrEx>
        <w:trPr>
          <w:trHeight w:val="87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24BA">
            <w:pPr>
              <w:widowControl/>
              <w:jc w:val="center"/>
              <w:textAlignment w:val="center"/>
              <w:rPr>
                <w:color w:val="000000"/>
                <w:sz w:val="24"/>
                <w:szCs w:val="24"/>
              </w:rPr>
            </w:pPr>
            <w:r>
              <w:rPr>
                <w:rFonts w:hint="eastAsia"/>
                <w:color w:val="000000"/>
                <w:sz w:val="24"/>
                <w:szCs w:val="24"/>
                <w:lang w:bidi="ar"/>
              </w:rPr>
              <w:t>请购单号</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474">
            <w:pPr>
              <w:widowControl/>
              <w:jc w:val="center"/>
              <w:textAlignment w:val="center"/>
              <w:rPr>
                <w:color w:val="000000"/>
                <w:sz w:val="24"/>
                <w:szCs w:val="24"/>
              </w:rPr>
            </w:pPr>
            <w:r>
              <w:rPr>
                <w:rFonts w:hint="eastAsia"/>
                <w:color w:val="000000"/>
                <w:sz w:val="24"/>
                <w:szCs w:val="24"/>
                <w:lang w:bidi="ar"/>
              </w:rPr>
              <w:t>存货编码</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2BA">
            <w:pPr>
              <w:widowControl/>
              <w:jc w:val="center"/>
              <w:textAlignment w:val="center"/>
              <w:rPr>
                <w:color w:val="000000"/>
                <w:sz w:val="24"/>
                <w:szCs w:val="24"/>
              </w:rPr>
            </w:pPr>
            <w:r>
              <w:rPr>
                <w:rFonts w:hint="eastAsia"/>
                <w:color w:val="000000"/>
                <w:sz w:val="24"/>
                <w:szCs w:val="24"/>
                <w:lang w:bidi="ar"/>
              </w:rPr>
              <w:t>存货名称</w:t>
            </w:r>
          </w:p>
        </w:tc>
        <w:tc>
          <w:tcPr>
            <w:tcW w:w="3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4D80D771">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23A">
            <w:pPr>
              <w:widowControl/>
              <w:jc w:val="center"/>
              <w:textAlignment w:val="center"/>
              <w:rPr>
                <w:color w:val="000000"/>
                <w:sz w:val="24"/>
                <w:szCs w:val="24"/>
              </w:rPr>
            </w:pPr>
            <w:r>
              <w:rPr>
                <w:rFonts w:hint="eastAsia"/>
                <w:color w:val="000000"/>
                <w:sz w:val="24"/>
                <w:szCs w:val="24"/>
                <w:lang w:bidi="ar"/>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1BE">
            <w:pPr>
              <w:widowControl/>
              <w:jc w:val="center"/>
              <w:textAlignment w:val="center"/>
              <w:rPr>
                <w:color w:val="000000"/>
                <w:sz w:val="24"/>
                <w:szCs w:val="24"/>
              </w:rPr>
            </w:pPr>
            <w:r>
              <w:rPr>
                <w:rFonts w:hint="eastAsia"/>
                <w:color w:val="000000"/>
                <w:sz w:val="24"/>
                <w:szCs w:val="24"/>
                <w:lang w:bidi="ar"/>
              </w:rPr>
              <w:t>数量</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452">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FAD">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60CB63FD">
        <w:tblPrEx>
          <w:tblCellMar>
            <w:top w:w="15" w:type="dxa"/>
            <w:left w:w="15" w:type="dxa"/>
            <w:bottom w:w="15" w:type="dxa"/>
            <w:right w:w="15" w:type="dxa"/>
          </w:tblCellMar>
        </w:tblPrEx>
        <w:trPr>
          <w:trHeight w:val="1157"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9A0A">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br w:type="textWrapping"/>
            </w:r>
            <w:r>
              <w:rPr>
                <w:rFonts w:hint="eastAsia" w:ascii="宋体" w:hAnsi="宋体" w:eastAsia="宋体" w:cs="宋体"/>
                <w:color w:val="000000"/>
                <w:sz w:val="24"/>
                <w:szCs w:val="24"/>
                <w:lang w:eastAsia="zh-CN" w:bidi="ar"/>
              </w:rPr>
              <w:t>QGD-3122-260512-0738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2FEB">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fldChar w:fldCharType="begin"/>
            </w:r>
            <w:r>
              <w:rPr>
                <w:rFonts w:hint="eastAsia" w:ascii="宋体" w:hAnsi="宋体" w:eastAsia="宋体" w:cs="宋体"/>
                <w:color w:val="000000"/>
                <w:sz w:val="24"/>
                <w:szCs w:val="24"/>
                <w:lang w:eastAsia="zh-CN" w:bidi="ar"/>
              </w:rPr>
              <w:instrText xml:space="preserve"> HYPERLINK "https://erp.fjnhjt.com/mdf-node/busiobj/pc.product.Product?id=2534979274198220844" </w:instrText>
            </w:r>
            <w:r>
              <w:rPr>
                <w:rFonts w:hint="eastAsia" w:ascii="宋体" w:hAnsi="宋体" w:eastAsia="宋体" w:cs="宋体"/>
                <w:color w:val="000000"/>
                <w:sz w:val="24"/>
                <w:szCs w:val="24"/>
                <w:lang w:eastAsia="zh-CN" w:bidi="ar"/>
              </w:rPr>
              <w:fldChar w:fldCharType="separate"/>
            </w:r>
            <w:r>
              <w:rPr>
                <w:rFonts w:hint="default" w:ascii="宋体" w:hAnsi="宋体" w:eastAsia="宋体" w:cs="宋体"/>
                <w:color w:val="000000"/>
                <w:sz w:val="24"/>
                <w:szCs w:val="24"/>
                <w:lang w:eastAsia="zh-CN" w:bidi="ar"/>
              </w:rPr>
              <w:t>10306753</w:t>
            </w:r>
            <w:r>
              <w:rPr>
                <w:rFonts w:hint="default" w:ascii="宋体" w:hAnsi="宋体" w:eastAsia="宋体" w:cs="宋体"/>
                <w:color w:val="000000"/>
                <w:sz w:val="24"/>
                <w:szCs w:val="24"/>
                <w:lang w:eastAsia="zh-CN" w:bidi="ar"/>
              </w:rPr>
              <w:fldChar w:fldCharType="end"/>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9E2">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fldChar w:fldCharType="begin"/>
            </w:r>
            <w:r>
              <w:rPr>
                <w:rFonts w:hint="eastAsia" w:ascii="宋体" w:hAnsi="宋体" w:eastAsia="宋体" w:cs="宋体"/>
                <w:color w:val="000000"/>
                <w:sz w:val="24"/>
                <w:szCs w:val="24"/>
                <w:lang w:eastAsia="zh-CN" w:bidi="ar"/>
              </w:rPr>
              <w:instrText xml:space="preserve"> HYPERLINK "https://erp.fjnhjt.com/mdf-node/busiobj/pc.product.Product?id=2534979274198220844" </w:instrText>
            </w:r>
            <w:r>
              <w:rPr>
                <w:rFonts w:hint="eastAsia" w:ascii="宋体" w:hAnsi="宋体" w:eastAsia="宋体" w:cs="宋体"/>
                <w:color w:val="000000"/>
                <w:sz w:val="24"/>
                <w:szCs w:val="24"/>
                <w:lang w:eastAsia="zh-CN" w:bidi="ar"/>
              </w:rPr>
              <w:fldChar w:fldCharType="separate"/>
            </w:r>
            <w:r>
              <w:rPr>
                <w:rFonts w:hint="default" w:ascii="宋体" w:hAnsi="宋体" w:eastAsia="宋体" w:cs="宋体"/>
                <w:color w:val="000000"/>
                <w:sz w:val="24"/>
                <w:szCs w:val="24"/>
                <w:lang w:eastAsia="zh-CN" w:bidi="ar"/>
              </w:rPr>
              <w:t>构316</w:t>
            </w:r>
            <w:r>
              <w:rPr>
                <w:rFonts w:hint="default" w:ascii="宋体" w:hAnsi="宋体" w:eastAsia="宋体" w:cs="宋体"/>
                <w:color w:val="000000"/>
                <w:sz w:val="24"/>
                <w:szCs w:val="24"/>
                <w:lang w:eastAsia="zh-CN" w:bidi="ar"/>
              </w:rPr>
              <w:fldChar w:fldCharType="end"/>
            </w:r>
          </w:p>
        </w:tc>
        <w:tc>
          <w:tcPr>
            <w:tcW w:w="3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5C4430C8">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构316（43-E-232绕管换热器钢结构框架）：12*11*40.5m（长*宽*高）；预估框架总重：250吨（主材包含H型钢、槽钢、角钢、钢板等型钢及连接件）；\范围：原材料、预制加工和防腐等；详见框架图纸、设计说明和相关技术要求\GB 55001、GB 50153、SH/T 3603</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F61">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套</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34E">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AE7">
            <w:pPr>
              <w:widowControl/>
              <w:jc w:val="center"/>
              <w:textAlignment w:val="center"/>
              <w:rPr>
                <w:rFonts w:hint="eastAsia" w:ascii="宋体" w:hAnsi="宋体" w:eastAsia="宋体" w:cs="宋体"/>
                <w:color w:val="000000"/>
                <w:sz w:val="24"/>
                <w:szCs w:val="24"/>
                <w:lang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357">
            <w:pPr>
              <w:widowControl/>
              <w:jc w:val="center"/>
              <w:textAlignment w:val="center"/>
              <w:rPr>
                <w:rFonts w:hint="eastAsia" w:ascii="宋体" w:hAnsi="宋体" w:eastAsia="宋体" w:cs="宋体"/>
                <w:color w:val="000000"/>
                <w:sz w:val="24"/>
                <w:szCs w:val="24"/>
                <w:lang w:eastAsia="zh-CN" w:bidi="ar"/>
              </w:rPr>
            </w:pPr>
          </w:p>
        </w:tc>
      </w:tr>
      <w:tr w14:paraId="7C336ABA">
        <w:tblPrEx>
          <w:tblCellMar>
            <w:top w:w="15" w:type="dxa"/>
            <w:left w:w="15" w:type="dxa"/>
            <w:bottom w:w="15" w:type="dxa"/>
            <w:right w:w="15" w:type="dxa"/>
          </w:tblCellMar>
        </w:tblPrEx>
        <w:trPr>
          <w:trHeight w:val="1157"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63A1">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QGD-3122-260512-0738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F7E1">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fldChar w:fldCharType="begin"/>
            </w:r>
            <w:r>
              <w:rPr>
                <w:rFonts w:hint="eastAsia" w:ascii="宋体" w:hAnsi="宋体" w:eastAsia="宋体" w:cs="宋体"/>
                <w:color w:val="000000"/>
                <w:sz w:val="24"/>
                <w:szCs w:val="24"/>
                <w:lang w:eastAsia="zh-CN" w:bidi="ar"/>
              </w:rPr>
              <w:instrText xml:space="preserve"> HYPERLINK "https://erp.fjnhjt.com/mdf-node/busiobj/pc.product.Product?id=2534979231248547879" </w:instrText>
            </w:r>
            <w:r>
              <w:rPr>
                <w:rFonts w:hint="eastAsia" w:ascii="宋体" w:hAnsi="宋体" w:eastAsia="宋体" w:cs="宋体"/>
                <w:color w:val="000000"/>
                <w:sz w:val="24"/>
                <w:szCs w:val="24"/>
                <w:lang w:eastAsia="zh-CN" w:bidi="ar"/>
              </w:rPr>
              <w:fldChar w:fldCharType="separate"/>
            </w:r>
            <w:r>
              <w:rPr>
                <w:rFonts w:hint="default" w:ascii="宋体" w:hAnsi="宋体" w:eastAsia="宋体" w:cs="宋体"/>
                <w:color w:val="000000"/>
                <w:sz w:val="24"/>
                <w:szCs w:val="24"/>
                <w:lang w:eastAsia="zh-CN" w:bidi="ar"/>
              </w:rPr>
              <w:t>10306754</w:t>
            </w:r>
            <w:r>
              <w:rPr>
                <w:rFonts w:hint="default" w:ascii="宋体" w:hAnsi="宋体" w:eastAsia="宋体" w:cs="宋体"/>
                <w:color w:val="000000"/>
                <w:sz w:val="24"/>
                <w:szCs w:val="24"/>
                <w:lang w:eastAsia="zh-CN" w:bidi="ar"/>
              </w:rPr>
              <w:fldChar w:fldCharType="end"/>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6BD2">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fldChar w:fldCharType="begin"/>
            </w:r>
            <w:r>
              <w:rPr>
                <w:rFonts w:hint="eastAsia" w:ascii="宋体" w:hAnsi="宋体" w:eastAsia="宋体" w:cs="宋体"/>
                <w:color w:val="000000"/>
                <w:sz w:val="24"/>
                <w:szCs w:val="24"/>
                <w:lang w:eastAsia="zh-CN" w:bidi="ar"/>
              </w:rPr>
              <w:instrText xml:space="preserve"> HYPERLINK "https://erp.fjnhjt.com/mdf-node/busiobj/pc.product.Product?id=2534979231248547879" </w:instrText>
            </w:r>
            <w:r>
              <w:rPr>
                <w:rFonts w:hint="eastAsia" w:ascii="宋体" w:hAnsi="宋体" w:eastAsia="宋体" w:cs="宋体"/>
                <w:color w:val="000000"/>
                <w:sz w:val="24"/>
                <w:szCs w:val="24"/>
                <w:lang w:eastAsia="zh-CN" w:bidi="ar"/>
              </w:rPr>
              <w:fldChar w:fldCharType="separate"/>
            </w:r>
            <w:r>
              <w:rPr>
                <w:rFonts w:hint="default" w:ascii="宋体" w:hAnsi="宋体" w:eastAsia="宋体" w:cs="宋体"/>
                <w:color w:val="000000"/>
                <w:sz w:val="24"/>
                <w:szCs w:val="24"/>
                <w:lang w:eastAsia="zh-CN" w:bidi="ar"/>
              </w:rPr>
              <w:t>302管廊加高平台</w:t>
            </w:r>
            <w:r>
              <w:rPr>
                <w:rFonts w:hint="default" w:ascii="宋体" w:hAnsi="宋体" w:eastAsia="宋体" w:cs="宋体"/>
                <w:color w:val="000000"/>
                <w:sz w:val="24"/>
                <w:szCs w:val="24"/>
                <w:lang w:eastAsia="zh-CN" w:bidi="ar"/>
              </w:rPr>
              <w:fldChar w:fldCharType="end"/>
            </w:r>
          </w:p>
        </w:tc>
        <w:tc>
          <w:tcPr>
            <w:tcW w:w="3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7F618E2C">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302管廊加高平台（43单元302管廊平台加高钢结构框架及相应管架）：12*9*8m（长*宽*高）；预估框架总重：60吨（主材包含H型钢、槽钢、角钢、钢板等型钢及连接件）；\范围：原材料、预制加工和防腐等；详见框架图纸、设计说明和相关技术要求\GB 55001、GB 50153、SH/T 3603</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1CE6">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套</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76C2">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BA69">
            <w:pPr>
              <w:widowControl/>
              <w:jc w:val="center"/>
              <w:textAlignment w:val="center"/>
              <w:rPr>
                <w:rFonts w:hint="eastAsia" w:ascii="宋体" w:hAnsi="宋体" w:eastAsia="宋体" w:cs="宋体"/>
                <w:color w:val="000000"/>
                <w:sz w:val="24"/>
                <w:szCs w:val="24"/>
                <w:lang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D218">
            <w:pPr>
              <w:widowControl/>
              <w:jc w:val="center"/>
              <w:textAlignment w:val="center"/>
              <w:rPr>
                <w:rFonts w:hint="eastAsia" w:ascii="宋体" w:hAnsi="宋体" w:eastAsia="宋体" w:cs="宋体"/>
                <w:color w:val="000000"/>
                <w:sz w:val="24"/>
                <w:szCs w:val="24"/>
                <w:lang w:eastAsia="zh-CN" w:bidi="ar"/>
              </w:rPr>
            </w:pPr>
          </w:p>
        </w:tc>
      </w:tr>
      <w:tr w14:paraId="2FF492BE">
        <w:tblPrEx>
          <w:tblCellMar>
            <w:top w:w="15" w:type="dxa"/>
            <w:left w:w="15" w:type="dxa"/>
            <w:bottom w:w="15" w:type="dxa"/>
            <w:right w:w="15" w:type="dxa"/>
          </w:tblCellMar>
        </w:tblPrEx>
        <w:trPr>
          <w:trHeight w:val="117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69B5">
            <w:pPr>
              <w:jc w:val="center"/>
              <w:rPr>
                <w:rFonts w:asciiTheme="minorEastAsia" w:hAnsiTheme="minorEastAsia" w:eastAsiaTheme="minorEastAsia"/>
                <w:color w:val="000000"/>
                <w:sz w:val="24"/>
                <w:szCs w:val="24"/>
              </w:rPr>
            </w:pPr>
            <w:r>
              <w:rPr>
                <w:color w:val="000000"/>
                <w:sz w:val="24"/>
                <w:szCs w:val="24"/>
              </w:rPr>
              <w:t>合</w:t>
            </w:r>
            <w:r>
              <w:rPr>
                <w:rFonts w:hint="eastAsia"/>
                <w:color w:val="000000"/>
                <w:sz w:val="24"/>
                <w:szCs w:val="24"/>
              </w:rPr>
              <w:t xml:space="preserve">  </w:t>
            </w:r>
            <w:r>
              <w:rPr>
                <w:color w:val="000000"/>
                <w:sz w:val="24"/>
                <w:szCs w:val="24"/>
              </w:rPr>
              <w:t>计</w:t>
            </w:r>
          </w:p>
        </w:tc>
        <w:tc>
          <w:tcPr>
            <w:tcW w:w="70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60C16">
            <w:pPr>
              <w:rPr>
                <w:rFonts w:asciiTheme="minorEastAsia" w:hAnsiTheme="minorEastAsia" w:eastAsiaTheme="minorEastAsia"/>
                <w:color w:val="000000"/>
                <w:sz w:val="18"/>
                <w:szCs w:val="18"/>
              </w:rPr>
            </w:pPr>
            <w:r>
              <w:rPr>
                <w:rFonts w:hint="eastAsia"/>
                <w:b/>
                <w:color w:val="000000"/>
                <w:szCs w:val="21"/>
              </w:rPr>
              <w:t>（大写）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3E9">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（小写）</w:t>
            </w:r>
          </w:p>
        </w:tc>
      </w:tr>
    </w:tbl>
    <w:tbl>
      <w:tblPr>
        <w:tblStyle w:val="12"/>
        <w:tblW w:w="9499" w:type="dxa"/>
        <w:tblInd w:w="-318" w:type="dxa"/>
        <w:tblLayout w:type="autofit"/>
        <w:tblCellMar>
          <w:top w:w="0" w:type="dxa"/>
          <w:left w:w="108" w:type="dxa"/>
          <w:bottom w:w="0" w:type="dxa"/>
          <w:right w:w="108" w:type="dxa"/>
        </w:tblCellMar>
      </w:tblPr>
      <w:tblGrid>
        <w:gridCol w:w="9499"/>
      </w:tblGrid>
      <w:tr w14:paraId="3AD5E2FE">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30A5FBDD">
            <w:pPr>
              <w:spacing w:line="500" w:lineRule="exact"/>
              <w:rPr>
                <w:b/>
                <w:bCs/>
                <w:sz w:val="24"/>
                <w:lang w:eastAsia="zh-CN"/>
              </w:rPr>
            </w:pPr>
            <w:r>
              <w:rPr>
                <w:rFonts w:hint="eastAsia"/>
                <w:b/>
                <w:bCs/>
                <w:sz w:val="24"/>
                <w:lang w:eastAsia="zh-CN"/>
              </w:rPr>
              <w:t>价格说明：</w:t>
            </w:r>
          </w:p>
          <w:p w14:paraId="3420733D">
            <w:pPr>
              <w:pStyle w:val="9"/>
              <w:shd w:val="clear" w:color="auto" w:fill="FFFFFF"/>
              <w:spacing w:before="0" w:beforeAutospacing="0" w:after="0" w:afterAutospacing="0" w:line="432" w:lineRule="atLeast"/>
              <w:rPr>
                <w:b/>
                <w:bCs/>
              </w:rPr>
            </w:pPr>
            <w:r>
              <w:rPr>
                <w:rFonts w:hint="eastAsia"/>
                <w:b/>
                <w:bCs/>
              </w:rPr>
              <w:t>A、报价单不需随附</w:t>
            </w:r>
            <w:r>
              <w:rPr>
                <w:rFonts w:hint="eastAsia"/>
                <w:b/>
                <w:bCs/>
                <w:lang w:val="en-US" w:eastAsia="zh-CN"/>
              </w:rPr>
              <w:t>发包要求</w:t>
            </w:r>
            <w:r>
              <w:rPr>
                <w:rFonts w:hint="eastAsia"/>
                <w:b/>
                <w:bCs/>
              </w:rPr>
              <w:t>：</w:t>
            </w:r>
          </w:p>
          <w:p w14:paraId="5D4F71A7">
            <w:pPr>
              <w:pStyle w:val="9"/>
              <w:spacing w:before="0" w:beforeAutospacing="0" w:after="0" w:afterAutospacing="0" w:line="432" w:lineRule="atLeast"/>
              <w:rPr>
                <w:rFonts w:ascii="Arial" w:hAnsi="Arial" w:cs="Arial"/>
                <w:color w:val="111111"/>
              </w:rPr>
            </w:pPr>
            <w:r>
              <w:rPr>
                <w:rFonts w:ascii="Arial" w:hAnsi="Arial" w:cs="Arial"/>
                <w:color w:val="111111"/>
              </w:rPr>
              <w:t>1</w:t>
            </w:r>
            <w:r>
              <w:rPr>
                <w:rFonts w:hint="eastAsia" w:ascii="Arial" w:hAnsi="Arial" w:cs="Arial"/>
                <w:color w:val="111111"/>
              </w:rPr>
              <w:t>.</w:t>
            </w:r>
            <w:r>
              <w:rPr>
                <w:rFonts w:hint="eastAsia" w:ascii="宋体" w:hAnsi="宋体" w:eastAsia="宋体" w:cs="宋体"/>
                <w:b/>
                <w:bCs/>
                <w:sz w:val="24"/>
                <w:szCs w:val="22"/>
                <w:lang w:val="en-US" w:eastAsia="zh-CN" w:bidi="ar-SA"/>
              </w:rPr>
              <w:t>具体事宜以请购规格和采购技术要求为准。</w:t>
            </w:r>
          </w:p>
          <w:p w14:paraId="11A5C690">
            <w:pPr>
              <w:numPr>
                <w:ilvl w:val="255"/>
                <w:numId w:val="0"/>
              </w:numPr>
              <w:spacing w:line="500" w:lineRule="exact"/>
              <w:rPr>
                <w:b/>
                <w:bCs/>
                <w:sz w:val="24"/>
                <w:lang w:eastAsia="zh-CN"/>
              </w:rPr>
            </w:pPr>
            <w:r>
              <w:rPr>
                <w:rFonts w:hint="eastAsia"/>
                <w:b/>
                <w:bCs/>
                <w:sz w:val="24"/>
                <w:lang w:eastAsia="zh-CN"/>
              </w:rPr>
              <w:t>B、</w:t>
            </w:r>
            <w:r>
              <w:rPr>
                <w:rFonts w:hint="eastAsia"/>
                <w:b/>
                <w:bCs/>
                <w:sz w:val="24"/>
                <w:shd w:val="clear" w:color="FFFFFF" w:fill="D9D9D9"/>
                <w:lang w:eastAsia="zh-CN"/>
              </w:rPr>
              <w:t>含</w:t>
            </w:r>
            <w:r>
              <w:rPr>
                <w:rFonts w:hint="eastAsia"/>
                <w:b/>
                <w:bCs/>
                <w:sz w:val="24"/>
                <w:u w:val="single"/>
                <w:shd w:val="clear" w:color="FFFFFF" w:fill="D9D9D9"/>
                <w:lang w:eastAsia="zh-CN"/>
              </w:rPr>
              <w:t xml:space="preserve"> 13% </w:t>
            </w:r>
            <w:r>
              <w:rPr>
                <w:rFonts w:hint="eastAsia"/>
                <w:b/>
                <w:bCs/>
                <w:sz w:val="24"/>
                <w:lang w:eastAsia="zh-CN"/>
              </w:rPr>
              <w:t>增值税送到厂价；</w:t>
            </w:r>
          </w:p>
          <w:p w14:paraId="606EFF24">
            <w:pPr>
              <w:numPr>
                <w:ilvl w:val="255"/>
                <w:numId w:val="0"/>
              </w:numPr>
              <w:spacing w:line="500" w:lineRule="exact"/>
              <w:rPr>
                <w:rFonts w:hint="eastAsia"/>
                <w:b/>
                <w:bCs/>
                <w:sz w:val="24"/>
                <w:lang w:eastAsia="zh-CN"/>
              </w:rPr>
            </w:pPr>
            <w:r>
              <w:rPr>
                <w:rFonts w:hint="eastAsia"/>
                <w:b/>
                <w:bCs/>
                <w:sz w:val="24"/>
                <w:lang w:eastAsia="zh-CN"/>
              </w:rPr>
              <w:t>C、付款方式：</w:t>
            </w:r>
            <w:r>
              <w:rPr>
                <w:rFonts w:hint="eastAsia" w:ascii="仿宋_GB2312" w:hAnsi="仿宋" w:eastAsia="仿宋_GB2312"/>
                <w:b/>
                <w:bCs/>
                <w:sz w:val="24"/>
                <w:lang w:eastAsia="zh-CN"/>
              </w:rPr>
              <w:t>全</w:t>
            </w:r>
            <w:r>
              <w:rPr>
                <w:rFonts w:hint="eastAsia"/>
                <w:b/>
                <w:bCs/>
                <w:sz w:val="24"/>
                <w:lang w:eastAsia="zh-CN"/>
              </w:rPr>
              <w:t>部货款均以现汇方式支付，预付30%提供等额保函，货到验收合格付60%，10%质保；未提供保函按照货到验收合格付90%，留10%质保。</w:t>
            </w:r>
          </w:p>
          <w:p w14:paraId="7641FFB9">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14:paraId="1C126CD0">
            <w:pPr>
              <w:spacing w:line="360" w:lineRule="exact"/>
              <w:rPr>
                <w:sz w:val="24"/>
                <w:lang w:eastAsia="zh-CN"/>
              </w:rPr>
            </w:pPr>
            <w:r>
              <w:rPr>
                <w:rFonts w:hint="eastAsia"/>
                <w:sz w:val="24"/>
                <w:lang w:eastAsia="zh-CN"/>
              </w:rPr>
              <w:t>四、其它约定以双方签订合同为准。</w:t>
            </w:r>
          </w:p>
        </w:tc>
      </w:tr>
    </w:tbl>
    <w:p w14:paraId="64CDF45F">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0AC8095E">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3386B2D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14:paraId="1AC5C37F">
      <w:pPr>
        <w:pStyle w:val="17"/>
        <w:spacing w:line="360" w:lineRule="auto"/>
        <w:jc w:val="both"/>
        <w:rPr>
          <w:rFonts w:hint="eastAsia" w:ascii="宋体" w:hAnsi="宋体" w:eastAsia="宋体" w:cs="宋体"/>
          <w:b/>
          <w:sz w:val="36"/>
          <w:szCs w:val="36"/>
        </w:rPr>
      </w:pPr>
    </w:p>
    <w:p w14:paraId="72529D5A">
      <w:pPr>
        <w:pStyle w:val="17"/>
        <w:spacing w:line="360" w:lineRule="auto"/>
        <w:jc w:val="center"/>
        <w:rPr>
          <w:rFonts w:hint="eastAsia" w:ascii="宋体" w:hAnsi="宋体" w:eastAsia="宋体" w:cs="宋体"/>
          <w:b/>
          <w:sz w:val="36"/>
          <w:szCs w:val="36"/>
        </w:rPr>
      </w:pPr>
    </w:p>
    <w:p w14:paraId="1C8725A9">
      <w:pPr>
        <w:pStyle w:val="17"/>
        <w:spacing w:line="360" w:lineRule="auto"/>
        <w:jc w:val="center"/>
        <w:rPr>
          <w:rFonts w:hint="eastAsia" w:ascii="宋体" w:hAnsi="宋体" w:eastAsia="宋体" w:cs="宋体"/>
          <w:b/>
          <w:sz w:val="36"/>
          <w:szCs w:val="36"/>
        </w:rPr>
      </w:pPr>
    </w:p>
    <w:p w14:paraId="090C8772">
      <w:pPr>
        <w:pStyle w:val="17"/>
        <w:spacing w:line="360" w:lineRule="auto"/>
        <w:jc w:val="center"/>
        <w:rPr>
          <w:rFonts w:hint="eastAsia" w:ascii="宋体" w:hAnsi="宋体" w:eastAsia="宋体" w:cs="宋体"/>
          <w:b/>
          <w:sz w:val="36"/>
          <w:szCs w:val="36"/>
        </w:rPr>
      </w:pPr>
    </w:p>
    <w:p w14:paraId="1C4AA630">
      <w:pPr>
        <w:pStyle w:val="17"/>
        <w:spacing w:line="360" w:lineRule="auto"/>
        <w:jc w:val="center"/>
        <w:rPr>
          <w:rFonts w:hint="eastAsia" w:ascii="宋体" w:hAnsi="宋体" w:eastAsia="宋体" w:cs="宋体"/>
          <w:b/>
          <w:sz w:val="36"/>
          <w:szCs w:val="36"/>
        </w:rPr>
      </w:pPr>
    </w:p>
    <w:p w14:paraId="3C3CA3ED">
      <w:pPr>
        <w:pStyle w:val="17"/>
        <w:spacing w:line="360" w:lineRule="auto"/>
        <w:jc w:val="center"/>
        <w:rPr>
          <w:rFonts w:hint="eastAsia" w:ascii="宋体" w:hAnsi="宋体" w:eastAsia="宋体" w:cs="宋体"/>
          <w:b/>
          <w:sz w:val="36"/>
          <w:szCs w:val="36"/>
        </w:rPr>
      </w:pPr>
    </w:p>
    <w:p w14:paraId="30336948">
      <w:pPr>
        <w:pStyle w:val="17"/>
        <w:spacing w:line="360" w:lineRule="auto"/>
        <w:jc w:val="center"/>
        <w:rPr>
          <w:rFonts w:hint="eastAsia" w:ascii="宋体" w:hAnsi="宋体" w:eastAsia="宋体" w:cs="宋体"/>
          <w:b/>
          <w:sz w:val="36"/>
          <w:szCs w:val="36"/>
        </w:rPr>
      </w:pPr>
    </w:p>
    <w:p w14:paraId="7F43D3F8">
      <w:pPr>
        <w:pStyle w:val="17"/>
        <w:spacing w:line="360" w:lineRule="auto"/>
        <w:jc w:val="center"/>
        <w:rPr>
          <w:rFonts w:hint="eastAsia" w:ascii="宋体" w:hAnsi="宋体" w:eastAsia="宋体" w:cs="宋体"/>
          <w:b/>
          <w:sz w:val="36"/>
          <w:szCs w:val="36"/>
        </w:rPr>
      </w:pPr>
    </w:p>
    <w:p w14:paraId="7D3B94B1">
      <w:pPr>
        <w:pStyle w:val="17"/>
        <w:spacing w:line="360" w:lineRule="auto"/>
        <w:jc w:val="center"/>
        <w:rPr>
          <w:rFonts w:hint="eastAsia" w:ascii="宋体" w:hAnsi="宋体" w:eastAsia="宋体" w:cs="宋体"/>
          <w:b/>
          <w:sz w:val="36"/>
          <w:szCs w:val="36"/>
        </w:rPr>
      </w:pPr>
    </w:p>
    <w:p w14:paraId="25BCB732">
      <w:pPr>
        <w:pStyle w:val="17"/>
        <w:spacing w:line="360" w:lineRule="auto"/>
        <w:jc w:val="center"/>
        <w:rPr>
          <w:rFonts w:hint="eastAsia" w:ascii="宋体" w:hAnsi="宋体" w:eastAsia="宋体" w:cs="宋体"/>
          <w:b/>
          <w:sz w:val="36"/>
          <w:szCs w:val="36"/>
        </w:rPr>
      </w:pPr>
    </w:p>
    <w:p w14:paraId="24353190">
      <w:pPr>
        <w:pStyle w:val="17"/>
        <w:spacing w:line="360" w:lineRule="auto"/>
        <w:jc w:val="center"/>
        <w:rPr>
          <w:rFonts w:hint="eastAsia" w:ascii="宋体" w:hAnsi="宋体" w:eastAsia="宋体" w:cs="宋体"/>
          <w:b/>
          <w:sz w:val="36"/>
          <w:szCs w:val="36"/>
        </w:rPr>
      </w:pPr>
    </w:p>
    <w:p w14:paraId="46542E4B">
      <w:pPr>
        <w:pStyle w:val="17"/>
        <w:spacing w:line="360" w:lineRule="auto"/>
        <w:jc w:val="center"/>
        <w:rPr>
          <w:rFonts w:hint="eastAsia" w:ascii="宋体" w:hAnsi="宋体" w:eastAsia="宋体" w:cs="宋体"/>
          <w:b/>
          <w:sz w:val="36"/>
          <w:szCs w:val="36"/>
        </w:rPr>
      </w:pPr>
    </w:p>
    <w:p w14:paraId="7469342E">
      <w:pPr>
        <w:pStyle w:val="17"/>
        <w:spacing w:line="360" w:lineRule="auto"/>
        <w:jc w:val="center"/>
        <w:rPr>
          <w:rFonts w:hint="eastAsia" w:ascii="宋体" w:hAnsi="宋体" w:eastAsia="宋体" w:cs="宋体"/>
          <w:b/>
          <w:sz w:val="36"/>
          <w:szCs w:val="36"/>
        </w:rPr>
      </w:pPr>
    </w:p>
    <w:p w14:paraId="5F3BA51D">
      <w:pPr>
        <w:pStyle w:val="17"/>
        <w:spacing w:line="360" w:lineRule="auto"/>
        <w:jc w:val="center"/>
        <w:rPr>
          <w:rFonts w:hint="eastAsia" w:ascii="宋体" w:hAnsi="宋体" w:eastAsia="宋体" w:cs="宋体"/>
          <w:b/>
          <w:sz w:val="36"/>
          <w:szCs w:val="36"/>
        </w:rPr>
      </w:pPr>
    </w:p>
    <w:p w14:paraId="30829F36">
      <w:pPr>
        <w:pStyle w:val="17"/>
        <w:spacing w:line="360" w:lineRule="auto"/>
        <w:jc w:val="center"/>
        <w:rPr>
          <w:rFonts w:hint="eastAsia" w:ascii="宋体" w:hAnsi="宋体" w:eastAsia="宋体" w:cs="宋体"/>
          <w:b/>
          <w:sz w:val="36"/>
          <w:szCs w:val="36"/>
        </w:rPr>
      </w:pPr>
    </w:p>
    <w:p w14:paraId="55B10B41">
      <w:pPr>
        <w:pStyle w:val="17"/>
        <w:spacing w:line="360" w:lineRule="auto"/>
        <w:jc w:val="center"/>
        <w:rPr>
          <w:rFonts w:hint="eastAsia" w:ascii="宋体" w:hAnsi="宋体" w:eastAsia="宋体" w:cs="宋体"/>
          <w:b/>
          <w:sz w:val="36"/>
          <w:szCs w:val="36"/>
        </w:rPr>
      </w:pPr>
    </w:p>
    <w:p w14:paraId="5758E658">
      <w:pPr>
        <w:pStyle w:val="17"/>
        <w:spacing w:line="360" w:lineRule="auto"/>
        <w:jc w:val="center"/>
        <w:rPr>
          <w:rFonts w:hint="eastAsia" w:ascii="宋体" w:hAnsi="宋体" w:eastAsia="宋体" w:cs="宋体"/>
          <w:b/>
          <w:sz w:val="36"/>
          <w:szCs w:val="36"/>
        </w:rPr>
      </w:pPr>
    </w:p>
    <w:p w14:paraId="75242A5F">
      <w:pPr>
        <w:pStyle w:val="17"/>
        <w:spacing w:line="360" w:lineRule="auto"/>
        <w:jc w:val="center"/>
        <w:rPr>
          <w:rFonts w:hint="eastAsia" w:ascii="宋体" w:hAnsi="宋体" w:eastAsia="宋体" w:cs="宋体"/>
          <w:b/>
          <w:sz w:val="36"/>
          <w:szCs w:val="36"/>
        </w:rPr>
      </w:pPr>
    </w:p>
    <w:p w14:paraId="376D4BF9">
      <w:pPr>
        <w:pStyle w:val="17"/>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17"/>
        <w:spacing w:line="360" w:lineRule="auto"/>
        <w:rPr>
          <w:rFonts w:hint="eastAsia" w:ascii="宋体" w:hAnsi="宋体" w:eastAsia="宋体" w:cs="宋体"/>
          <w:sz w:val="28"/>
          <w:szCs w:val="28"/>
        </w:rPr>
      </w:pPr>
    </w:p>
    <w:bookmarkEnd w:id="0"/>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3791AAE"/>
    <w:rsid w:val="0BFF33C3"/>
    <w:rsid w:val="145F4C75"/>
    <w:rsid w:val="15E4596F"/>
    <w:rsid w:val="1ECF2269"/>
    <w:rsid w:val="249471B2"/>
    <w:rsid w:val="2B9065EA"/>
    <w:rsid w:val="2C3614AA"/>
    <w:rsid w:val="2D144DDE"/>
    <w:rsid w:val="2E092DE3"/>
    <w:rsid w:val="315C7007"/>
    <w:rsid w:val="34921CE4"/>
    <w:rsid w:val="38E7731C"/>
    <w:rsid w:val="3C7C4D38"/>
    <w:rsid w:val="3CBB5B89"/>
    <w:rsid w:val="40A14897"/>
    <w:rsid w:val="44710BA7"/>
    <w:rsid w:val="4ACC66D4"/>
    <w:rsid w:val="4B661EB8"/>
    <w:rsid w:val="4C65157D"/>
    <w:rsid w:val="4D50309A"/>
    <w:rsid w:val="50C91F87"/>
    <w:rsid w:val="550F31D2"/>
    <w:rsid w:val="57F06B97"/>
    <w:rsid w:val="57F45C8F"/>
    <w:rsid w:val="58671C4C"/>
    <w:rsid w:val="5B047D71"/>
    <w:rsid w:val="62F917B9"/>
    <w:rsid w:val="6441422F"/>
    <w:rsid w:val="672B3381"/>
    <w:rsid w:val="71D65F0B"/>
    <w:rsid w:val="75542A4A"/>
    <w:rsid w:val="7A4D543A"/>
    <w:rsid w:val="7B8D2223"/>
    <w:rsid w:val="7BB44529"/>
    <w:rsid w:val="7EEF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0">
    <w:name w:val="Title"/>
    <w:basedOn w:val="1"/>
    <w:qFormat/>
    <w:uiPriority w:val="0"/>
    <w:pPr>
      <w:jc w:val="center"/>
    </w:pPr>
    <w:rPr>
      <w:sz w:val="32"/>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26E5" w:themeColor="hyperlink"/>
      <w:u w:val="single"/>
      <w14:textFill>
        <w14:solidFill>
          <w14:schemeClr w14:val="hlink"/>
        </w14:solidFill>
      </w14:textFill>
    </w:r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12036</Words>
  <Characters>12872</Characters>
  <Lines>0</Lines>
  <Paragraphs>0</Paragraphs>
  <TotalTime>9</TotalTime>
  <ScaleCrop>false</ScaleCrop>
  <LinksUpToDate>false</LinksUpToDate>
  <CharactersWithSpaces>14114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GM9</cp:lastModifiedBy>
  <dcterms:modified xsi:type="dcterms:W3CDTF">2026-05-14T00:49:58Z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