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3E1DD">
      <w:pPr>
        <w:pStyle w:val="18"/>
        <w:keepNext w:val="0"/>
        <w:keepLines w:val="0"/>
        <w:pageBreakBefore w:val="0"/>
        <w:widowControl w:val="0"/>
        <w:kinsoku/>
        <w:wordWrap/>
        <w:overflowPunct/>
        <w:topLinePunct w:val="0"/>
        <w:bidi w:val="0"/>
        <w:snapToGrid/>
        <w:spacing w:line="360" w:lineRule="auto"/>
        <w:jc w:val="center"/>
        <w:rPr>
          <w:rFonts w:hint="default" w:ascii="Times New Roman" w:hAnsi="Times New Roman" w:eastAsia="宋体" w:cs="Times New Roman"/>
          <w:b/>
          <w:bCs/>
          <w:sz w:val="36"/>
          <w:szCs w:val="36"/>
        </w:rPr>
      </w:pPr>
      <w:bookmarkStart w:id="0" w:name="_GoBack"/>
    </w:p>
    <w:p w14:paraId="34F14903">
      <w:pPr>
        <w:pStyle w:val="18"/>
        <w:keepNext w:val="0"/>
        <w:keepLines w:val="0"/>
        <w:pageBreakBefore w:val="0"/>
        <w:widowControl w:val="0"/>
        <w:kinsoku/>
        <w:wordWrap/>
        <w:overflowPunct/>
        <w:topLinePunct w:val="0"/>
        <w:bidi w:val="0"/>
        <w:snapToGrid/>
        <w:spacing w:line="360" w:lineRule="auto"/>
        <w:jc w:val="center"/>
        <w:rPr>
          <w:rFonts w:hint="default" w:ascii="Times New Roman" w:hAnsi="Times New Roman" w:eastAsia="宋体" w:cs="Times New Roman"/>
          <w:b/>
          <w:bCs/>
          <w:sz w:val="36"/>
          <w:szCs w:val="36"/>
        </w:rPr>
      </w:pPr>
    </w:p>
    <w:p w14:paraId="119C3FE3">
      <w:pPr>
        <w:pStyle w:val="18"/>
        <w:keepNext w:val="0"/>
        <w:keepLines w:val="0"/>
        <w:pageBreakBefore w:val="0"/>
        <w:widowControl w:val="0"/>
        <w:kinsoku/>
        <w:wordWrap/>
        <w:overflowPunct/>
        <w:topLinePunct w:val="0"/>
        <w:bidi w:val="0"/>
        <w:snapToGrid/>
        <w:spacing w:line="360" w:lineRule="auto"/>
        <w:jc w:val="center"/>
        <w:rPr>
          <w:rFonts w:hint="default" w:ascii="Times New Roman" w:hAnsi="Times New Roman" w:eastAsia="宋体" w:cs="Times New Roman"/>
          <w:b/>
          <w:bCs/>
          <w:sz w:val="36"/>
          <w:szCs w:val="36"/>
        </w:rPr>
      </w:pPr>
    </w:p>
    <w:p w14:paraId="37D30A41">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Times New Roman" w:hAnsi="Times New Roman" w:eastAsia="宋体" w:cs="Times New Roman"/>
          <w:b/>
          <w:bCs/>
          <w:color w:val="000000"/>
          <w:sz w:val="36"/>
          <w:szCs w:val="36"/>
          <w:lang w:eastAsia="zh-CN"/>
        </w:rPr>
      </w:pPr>
      <w:r>
        <w:rPr>
          <w:rFonts w:hint="eastAsia" w:ascii="Times New Roman" w:hAnsi="Times New Roman" w:eastAsia="宋体" w:cs="Times New Roman"/>
          <w:b/>
          <w:bCs/>
          <w:color w:val="000000"/>
          <w:sz w:val="36"/>
          <w:szCs w:val="36"/>
          <w:lang w:val="en-US" w:eastAsia="zh-CN"/>
        </w:rPr>
        <w:t>202</w:t>
      </w:r>
      <w:r>
        <w:rPr>
          <w:rFonts w:hint="eastAsia" w:ascii="Times New Roman" w:hAnsi="Times New Roman" w:cs="Times New Roman"/>
          <w:b/>
          <w:bCs/>
          <w:color w:val="000000"/>
          <w:sz w:val="36"/>
          <w:szCs w:val="36"/>
          <w:lang w:val="en-US" w:eastAsia="zh-CN"/>
        </w:rPr>
        <w:t>6</w:t>
      </w:r>
      <w:r>
        <w:rPr>
          <w:rFonts w:hint="eastAsia" w:ascii="Times New Roman" w:hAnsi="Times New Roman" w:eastAsia="宋体" w:cs="Times New Roman"/>
          <w:b/>
          <w:bCs/>
          <w:color w:val="000000"/>
          <w:sz w:val="36"/>
          <w:szCs w:val="36"/>
          <w:lang w:val="en-US" w:eastAsia="zh-CN"/>
        </w:rPr>
        <w:t>年</w:t>
      </w:r>
      <w:r>
        <w:rPr>
          <w:rFonts w:hint="eastAsia" w:ascii="Times New Roman" w:hAnsi="Times New Roman" w:eastAsia="宋体" w:cs="Times New Roman"/>
          <w:b/>
          <w:bCs/>
          <w:color w:val="000000"/>
          <w:sz w:val="36"/>
          <w:szCs w:val="36"/>
          <w:lang w:eastAsia="zh-CN"/>
        </w:rPr>
        <w:t>职业病危害因素检测、评价年约</w:t>
      </w:r>
    </w:p>
    <w:p w14:paraId="5CC9B72E">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b/>
          <w:bCs/>
          <w:color w:val="000000"/>
          <w:sz w:val="36"/>
          <w:szCs w:val="36"/>
          <w:lang w:eastAsia="zh-CN"/>
        </w:rPr>
      </w:pPr>
      <w:r>
        <w:rPr>
          <w:rFonts w:hint="default" w:ascii="Times New Roman" w:hAnsi="Times New Roman" w:eastAsia="宋体" w:cs="Times New Roman"/>
          <w:b/>
          <w:bCs/>
          <w:color w:val="000000"/>
          <w:sz w:val="36"/>
          <w:szCs w:val="36"/>
          <w:lang w:eastAsia="zh-CN"/>
        </w:rPr>
        <w:t>技术服务合同</w:t>
      </w:r>
    </w:p>
    <w:p w14:paraId="25E5AEF7">
      <w:pPr>
        <w:adjustRightInd w:val="0"/>
        <w:jc w:val="both"/>
        <w:rPr>
          <w:rFonts w:hint="default" w:ascii="Times New Roman" w:hAnsi="Times New Roman" w:eastAsia="宋体" w:cs="Times New Roman"/>
          <w:color w:val="000000"/>
          <w:sz w:val="28"/>
          <w:szCs w:val="28"/>
          <w:lang w:eastAsia="zh-CN"/>
        </w:rPr>
      </w:pPr>
    </w:p>
    <w:p w14:paraId="77FDD746">
      <w:pPr>
        <w:adjustRightInd w:val="0"/>
        <w:ind w:firstLine="840" w:firstLineChars="300"/>
        <w:jc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eastAsia="zh-CN"/>
        </w:rPr>
        <w:t>(合同编号</w:t>
      </w:r>
      <w:r>
        <w:rPr>
          <w:rFonts w:hint="default" w:ascii="Times New Roman" w:hAnsi="Times New Roman" w:cs="Times New Roman"/>
          <w:color w:val="000000"/>
          <w:sz w:val="28"/>
          <w:szCs w:val="28"/>
          <w:lang w:eastAsia="zh-CN"/>
        </w:rPr>
        <w:t>：</w:t>
      </w:r>
      <w:r>
        <w:rPr>
          <w:rFonts w:hint="eastAsia" w:ascii="Times New Roman" w:hAnsi="Times New Roman" w:cs="Times New Roman"/>
          <w:color w:val="000000"/>
          <w:sz w:val="28"/>
          <w:szCs w:val="28"/>
          <w:lang w:val="en-US" w:eastAsia="zh-CN"/>
        </w:rPr>
        <w:t xml:space="preserve">          </w:t>
      </w:r>
      <w:r>
        <w:rPr>
          <w:rFonts w:hint="default" w:ascii="Times New Roman" w:hAnsi="Times New Roman" w:cs="Times New Roman"/>
          <w:color w:val="000000"/>
          <w:sz w:val="28"/>
          <w:szCs w:val="28"/>
          <w:lang w:eastAsia="zh-CN"/>
        </w:rPr>
        <w:t>)</w:t>
      </w:r>
    </w:p>
    <w:p w14:paraId="4F7E7338">
      <w:pPr>
        <w:pStyle w:val="18"/>
        <w:rPr>
          <w:rFonts w:hint="eastAsia" w:ascii="Times New Roman" w:hAnsi="Times New Roman" w:cs="Times New Roman"/>
          <w:b/>
          <w:bCs/>
          <w:color w:val="000000"/>
          <w:sz w:val="24"/>
          <w:szCs w:val="24"/>
          <w:lang w:val="en-US" w:eastAsia="zh-CN"/>
        </w:rPr>
      </w:pPr>
      <w:r>
        <w:rPr>
          <w:rFonts w:hint="eastAsia" w:ascii="Times New Roman" w:hAnsi="Times New Roman" w:cs="Times New Roman"/>
          <w:b/>
          <w:bCs/>
          <w:color w:val="000000"/>
          <w:sz w:val="24"/>
          <w:szCs w:val="24"/>
          <w:lang w:val="en-US" w:eastAsia="zh-CN"/>
        </w:rPr>
        <w:t xml:space="preserve">    </w:t>
      </w:r>
    </w:p>
    <w:p w14:paraId="644E0D49">
      <w:pPr>
        <w:pStyle w:val="18"/>
        <w:rPr>
          <w:rFonts w:hint="eastAsia" w:ascii="Times New Roman" w:hAnsi="Times New Roman" w:cs="Times New Roman"/>
          <w:b/>
          <w:bCs/>
          <w:color w:val="000000"/>
          <w:sz w:val="24"/>
          <w:szCs w:val="24"/>
          <w:lang w:val="en-US" w:eastAsia="zh-CN"/>
        </w:rPr>
      </w:pPr>
    </w:p>
    <w:p w14:paraId="6AF3D538">
      <w:pPr>
        <w:pStyle w:val="18"/>
        <w:rPr>
          <w:rFonts w:hint="default" w:ascii="Times New Roman" w:hAnsi="Times New Roman" w:cs="Times New Roman"/>
          <w:b/>
          <w:bCs/>
          <w:color w:val="000000"/>
          <w:sz w:val="24"/>
          <w:szCs w:val="24"/>
          <w:lang w:val="en-US" w:eastAsia="zh-CN"/>
        </w:rPr>
      </w:pPr>
    </w:p>
    <w:p w14:paraId="61DA17DA">
      <w:pPr>
        <w:pStyle w:val="18"/>
        <w:rPr>
          <w:rFonts w:hint="default" w:ascii="Times New Roman" w:hAnsi="Times New Roman" w:eastAsia="宋体" w:cs="Times New Roman"/>
          <w:sz w:val="24"/>
          <w:szCs w:val="24"/>
        </w:rPr>
      </w:pPr>
    </w:p>
    <w:p w14:paraId="367868C3">
      <w:pPr>
        <w:ind w:left="1323" w:leftChars="300" w:hanging="663" w:hangingChars="275"/>
        <w:rPr>
          <w:rFonts w:hint="default" w:ascii="Times New Roman" w:hAnsi="Times New Roman" w:eastAsia="宋体" w:cs="Times New Roman"/>
          <w:b/>
          <w:bCs/>
          <w:color w:val="000000"/>
          <w:sz w:val="24"/>
          <w:szCs w:val="24"/>
          <w:lang w:eastAsia="zh-CN"/>
        </w:rPr>
      </w:pPr>
    </w:p>
    <w:p w14:paraId="77CF441A">
      <w:pPr>
        <w:widowControl/>
        <w:ind w:left="1488" w:leftChars="300" w:hanging="828" w:hangingChars="275"/>
        <w:rPr>
          <w:rFonts w:hint="default" w:ascii="Times New Roman" w:hAnsi="Times New Roman" w:eastAsia="宋体" w:cs="Times New Roman"/>
          <w:b/>
          <w:bCs/>
          <w:color w:val="000000"/>
          <w:sz w:val="30"/>
          <w:szCs w:val="30"/>
          <w:lang w:eastAsia="zh-CN"/>
        </w:rPr>
      </w:pPr>
    </w:p>
    <w:p w14:paraId="769108F4">
      <w:pPr>
        <w:widowControl/>
        <w:ind w:left="1488" w:leftChars="300" w:hanging="828" w:hangingChars="275"/>
        <w:rPr>
          <w:rFonts w:hint="default" w:ascii="Times New Roman" w:hAnsi="Times New Roman" w:eastAsia="宋体" w:cs="Times New Roman"/>
          <w:b/>
          <w:bCs/>
          <w:color w:val="000000"/>
          <w:sz w:val="30"/>
          <w:szCs w:val="30"/>
          <w:lang w:eastAsia="zh-CN"/>
        </w:rPr>
      </w:pPr>
    </w:p>
    <w:p w14:paraId="5C3CA7DC">
      <w:pPr>
        <w:widowControl/>
        <w:ind w:left="1488" w:leftChars="300" w:hanging="828" w:hangingChars="275"/>
        <w:rPr>
          <w:rFonts w:hint="default" w:ascii="Times New Roman" w:hAnsi="Times New Roman" w:eastAsia="宋体" w:cs="Times New Roman"/>
          <w:b/>
          <w:bCs/>
          <w:color w:val="000000"/>
          <w:sz w:val="30"/>
          <w:szCs w:val="30"/>
          <w:lang w:eastAsia="zh-CN"/>
        </w:rPr>
      </w:pPr>
    </w:p>
    <w:p w14:paraId="5981DC50">
      <w:pPr>
        <w:widowControl/>
        <w:ind w:left="1488" w:leftChars="300" w:hanging="828" w:hangingChars="275"/>
        <w:rPr>
          <w:rFonts w:hint="default" w:ascii="Times New Roman" w:hAnsi="Times New Roman" w:eastAsia="宋体" w:cs="Times New Roman"/>
          <w:b/>
          <w:bCs/>
          <w:color w:val="000000"/>
          <w:sz w:val="30"/>
          <w:szCs w:val="30"/>
          <w:lang w:eastAsia="zh-CN"/>
        </w:rPr>
      </w:pPr>
      <w:r>
        <w:rPr>
          <w:rFonts w:hint="default" w:ascii="Times New Roman" w:hAnsi="Times New Roman" w:eastAsia="宋体" w:cs="Times New Roman"/>
          <w:b/>
          <w:bCs/>
          <w:color w:val="000000"/>
          <w:sz w:val="30"/>
          <w:szCs w:val="30"/>
          <w:lang w:eastAsia="zh-CN"/>
        </w:rPr>
        <w:t>甲方：</w:t>
      </w:r>
      <w:r>
        <w:rPr>
          <w:rFonts w:hint="eastAsia" w:ascii="Times New Roman" w:hAnsi="Times New Roman" w:cs="Times New Roman"/>
          <w:b/>
          <w:bCs/>
          <w:color w:val="000000"/>
          <w:sz w:val="30"/>
          <w:szCs w:val="30"/>
          <w:lang w:val="en-US" w:eastAsia="zh-CN"/>
        </w:rPr>
        <w:t xml:space="preserve"> </w:t>
      </w:r>
      <w:r>
        <w:rPr>
          <w:rFonts w:hint="eastAsia" w:ascii="Times New Roman" w:hAnsi="Times New Roman" w:eastAsia="宋体" w:cs="Times New Roman"/>
          <w:b/>
          <w:bCs/>
          <w:color w:val="000000"/>
          <w:sz w:val="30"/>
          <w:szCs w:val="30"/>
          <w:lang w:val="en-US" w:eastAsia="zh-CN" w:bidi="ar-SA"/>
        </w:rPr>
        <w:t>福建福海创石油化工</w:t>
      </w:r>
      <w:r>
        <w:rPr>
          <w:rFonts w:hint="default" w:ascii="Times New Roman" w:hAnsi="Times New Roman" w:eastAsia="宋体" w:cs="Times New Roman"/>
          <w:b/>
          <w:bCs/>
          <w:color w:val="000000"/>
          <w:sz w:val="30"/>
          <w:szCs w:val="30"/>
          <w:lang w:val="en-US" w:eastAsia="zh-CN" w:bidi="ar-SA"/>
        </w:rPr>
        <w:t>有限公司</w:t>
      </w:r>
    </w:p>
    <w:p w14:paraId="2F775FE3">
      <w:pPr>
        <w:pStyle w:val="18"/>
        <w:ind w:left="1558" w:leftChars="708" w:firstLine="75" w:firstLineChars="25"/>
        <w:rPr>
          <w:rFonts w:hint="default" w:ascii="Times New Roman" w:hAnsi="Times New Roman" w:eastAsia="宋体" w:cs="Times New Roman"/>
          <w:b/>
          <w:bCs/>
          <w:color w:val="000000"/>
          <w:sz w:val="30"/>
          <w:szCs w:val="30"/>
          <w:lang w:val="en-US" w:eastAsia="zh-CN" w:bidi="ar-SA"/>
        </w:rPr>
      </w:pPr>
      <w:r>
        <w:rPr>
          <w:rFonts w:hint="default" w:ascii="Times New Roman" w:hAnsi="Times New Roman" w:eastAsia="宋体" w:cs="Times New Roman"/>
          <w:b/>
          <w:bCs/>
          <w:color w:val="000000"/>
          <w:sz w:val="30"/>
          <w:szCs w:val="30"/>
          <w:lang w:eastAsia="zh-CN"/>
        </w:rPr>
        <w:t>腾龙芳烃</w:t>
      </w:r>
      <w:r>
        <w:rPr>
          <w:rFonts w:hint="default" w:ascii="Times New Roman" w:hAnsi="Times New Roman" w:eastAsia="宋体" w:cs="Times New Roman"/>
          <w:b/>
          <w:bCs/>
          <w:color w:val="000000"/>
          <w:sz w:val="30"/>
          <w:szCs w:val="30"/>
          <w:lang w:val="en-US" w:eastAsia="zh-CN" w:bidi="ar-SA"/>
        </w:rPr>
        <w:t>（漳州）有限公司</w:t>
      </w:r>
    </w:p>
    <w:p w14:paraId="6F52F24D">
      <w:pPr>
        <w:pStyle w:val="18"/>
        <w:ind w:left="1558" w:leftChars="708" w:firstLine="75" w:firstLineChars="25"/>
        <w:rPr>
          <w:rFonts w:hint="default" w:ascii="Times New Roman" w:hAnsi="Times New Roman" w:eastAsia="宋体" w:cs="Times New Roman"/>
          <w:b/>
          <w:bCs/>
          <w:color w:val="000000"/>
          <w:sz w:val="30"/>
          <w:szCs w:val="30"/>
        </w:rPr>
      </w:pPr>
      <w:r>
        <w:rPr>
          <w:rFonts w:hint="default" w:ascii="Times New Roman" w:hAnsi="Times New Roman" w:eastAsia="宋体" w:cs="Times New Roman"/>
          <w:b/>
          <w:bCs/>
          <w:color w:val="000000"/>
          <w:sz w:val="30"/>
          <w:szCs w:val="30"/>
        </w:rPr>
        <w:t>翔鹭码头投资管理（漳州）有限公司</w:t>
      </w:r>
    </w:p>
    <w:p w14:paraId="0767B911">
      <w:pPr>
        <w:pStyle w:val="18"/>
        <w:ind w:left="1558" w:leftChars="708" w:firstLine="75" w:firstLineChars="25"/>
        <w:rPr>
          <w:rFonts w:hint="default" w:ascii="Times New Roman" w:hAnsi="Times New Roman" w:eastAsia="宋体" w:cs="Times New Roman"/>
          <w:b/>
          <w:bCs/>
          <w:color w:val="000000"/>
          <w:sz w:val="30"/>
          <w:szCs w:val="30"/>
        </w:rPr>
      </w:pPr>
      <w:r>
        <w:rPr>
          <w:rFonts w:hint="default" w:ascii="Times New Roman" w:hAnsi="Times New Roman" w:eastAsia="宋体" w:cs="Times New Roman"/>
          <w:b/>
          <w:bCs/>
          <w:color w:val="000000"/>
          <w:sz w:val="30"/>
          <w:szCs w:val="30"/>
        </w:rPr>
        <w:t>福建福化古蕾化学有限公司</w:t>
      </w:r>
    </w:p>
    <w:p w14:paraId="007891AC">
      <w:pPr>
        <w:widowControl/>
        <w:ind w:left="1488" w:leftChars="300" w:hanging="828" w:hangingChars="275"/>
        <w:rPr>
          <w:rFonts w:hint="default" w:ascii="Times New Roman" w:hAnsi="Times New Roman" w:eastAsia="宋体" w:cs="Times New Roman"/>
          <w:b/>
          <w:bCs/>
          <w:color w:val="000000"/>
          <w:sz w:val="30"/>
          <w:szCs w:val="30"/>
          <w:lang w:eastAsia="zh-CN"/>
        </w:rPr>
      </w:pPr>
    </w:p>
    <w:p w14:paraId="5373267F">
      <w:pPr>
        <w:pStyle w:val="18"/>
        <w:ind w:left="1488" w:leftChars="300" w:hanging="828" w:hangingChars="275"/>
        <w:rPr>
          <w:rFonts w:hint="default" w:ascii="Times New Roman" w:hAnsi="Times New Roman" w:eastAsia="宋体" w:cs="Times New Roman"/>
          <w:b/>
          <w:bCs/>
          <w:color w:val="000000"/>
          <w:sz w:val="30"/>
          <w:szCs w:val="30"/>
          <w:lang w:eastAsia="zh-CN"/>
        </w:rPr>
      </w:pPr>
    </w:p>
    <w:p w14:paraId="6D089A18">
      <w:pPr>
        <w:pStyle w:val="18"/>
        <w:ind w:left="1488" w:leftChars="300" w:hanging="828" w:hangingChars="275"/>
        <w:rPr>
          <w:rFonts w:hint="default" w:ascii="Times New Roman" w:hAnsi="Times New Roman" w:eastAsia="宋体" w:cs="Times New Roman"/>
          <w:sz w:val="30"/>
          <w:szCs w:val="30"/>
          <w:lang w:val="en-US" w:eastAsia="zh-CN"/>
        </w:rPr>
      </w:pPr>
      <w:r>
        <w:rPr>
          <w:rFonts w:hint="default" w:ascii="Times New Roman" w:hAnsi="Times New Roman" w:eastAsia="宋体" w:cs="Times New Roman"/>
          <w:b/>
          <w:bCs/>
          <w:color w:val="000000"/>
          <w:sz w:val="30"/>
          <w:szCs w:val="30"/>
          <w:lang w:eastAsia="zh-CN"/>
        </w:rPr>
        <w:t>乙方：</w:t>
      </w:r>
    </w:p>
    <w:p w14:paraId="46F3284B">
      <w:pPr>
        <w:tabs>
          <w:tab w:val="right" w:pos="9638"/>
        </w:tabs>
        <w:jc w:val="center"/>
        <w:rPr>
          <w:rFonts w:hint="eastAsia" w:ascii="Times New Roman" w:hAnsi="Times New Roman" w:cs="Times New Roman"/>
          <w:sz w:val="30"/>
          <w:szCs w:val="30"/>
          <w:lang w:val="en-US" w:eastAsia="zh-CN"/>
        </w:rPr>
      </w:pPr>
      <w:r>
        <w:rPr>
          <w:rFonts w:hint="eastAsia" w:ascii="Times New Roman" w:hAnsi="Times New Roman" w:cs="Times New Roman"/>
          <w:sz w:val="30"/>
          <w:szCs w:val="30"/>
          <w:lang w:val="en-US" w:eastAsia="zh-CN"/>
        </w:rPr>
        <w:t xml:space="preserve">                         </w:t>
      </w:r>
    </w:p>
    <w:p w14:paraId="2F76AE5C">
      <w:pPr>
        <w:tabs>
          <w:tab w:val="right" w:pos="9638"/>
        </w:tabs>
        <w:jc w:val="center"/>
        <w:rPr>
          <w:rFonts w:hint="default" w:ascii="Times New Roman" w:hAnsi="Times New Roman" w:eastAsia="宋体" w:cs="Times New Roman"/>
          <w:sz w:val="30"/>
          <w:szCs w:val="30"/>
          <w:lang w:eastAsia="zh-CN"/>
        </w:rPr>
      </w:pPr>
      <w:r>
        <w:rPr>
          <w:rFonts w:hint="eastAsia" w:ascii="Times New Roman" w:hAnsi="Times New Roman" w:cs="Times New Roman"/>
          <w:sz w:val="30"/>
          <w:szCs w:val="30"/>
          <w:lang w:val="en-US" w:eastAsia="zh-CN"/>
        </w:rPr>
        <w:t xml:space="preserve">                             </w:t>
      </w:r>
      <w:r>
        <w:rPr>
          <w:rFonts w:hint="default" w:ascii="Times New Roman" w:hAnsi="Times New Roman" w:eastAsia="宋体" w:cs="Times New Roman"/>
          <w:sz w:val="30"/>
          <w:szCs w:val="30"/>
          <w:lang w:eastAsia="zh-CN"/>
        </w:rPr>
        <w:t>签订日期: 202</w:t>
      </w:r>
      <w:r>
        <w:rPr>
          <w:rFonts w:hint="eastAsia" w:ascii="Times New Roman" w:hAnsi="Times New Roman" w:cs="Times New Roman"/>
          <w:sz w:val="30"/>
          <w:szCs w:val="30"/>
          <w:lang w:val="en-US" w:eastAsia="zh-CN"/>
        </w:rPr>
        <w:t>6</w:t>
      </w:r>
      <w:r>
        <w:rPr>
          <w:rFonts w:hint="default" w:ascii="Times New Roman" w:hAnsi="Times New Roman" w:eastAsia="宋体" w:cs="Times New Roman"/>
          <w:sz w:val="30"/>
          <w:szCs w:val="30"/>
          <w:lang w:eastAsia="zh-CN"/>
        </w:rPr>
        <w:t>年</w:t>
      </w:r>
      <w:r>
        <w:rPr>
          <w:rFonts w:hint="eastAsia" w:ascii="Times New Roman" w:hAnsi="Times New Roman" w:cs="Times New Roman"/>
          <w:sz w:val="30"/>
          <w:szCs w:val="30"/>
          <w:lang w:val="en-US" w:eastAsia="zh-CN"/>
        </w:rPr>
        <w:t xml:space="preserve">  </w:t>
      </w:r>
      <w:r>
        <w:rPr>
          <w:rFonts w:hint="default" w:ascii="Times New Roman" w:hAnsi="Times New Roman" w:eastAsia="宋体" w:cs="Times New Roman"/>
          <w:sz w:val="30"/>
          <w:szCs w:val="30"/>
          <w:lang w:eastAsia="zh-CN"/>
        </w:rPr>
        <w:t>月</w:t>
      </w:r>
      <w:r>
        <w:rPr>
          <w:rFonts w:hint="eastAsia" w:ascii="Times New Roman" w:hAnsi="Times New Roman" w:cs="Times New Roman"/>
          <w:sz w:val="30"/>
          <w:szCs w:val="30"/>
          <w:lang w:val="en-US" w:eastAsia="zh-CN"/>
        </w:rPr>
        <w:t xml:space="preserve">  </w:t>
      </w:r>
      <w:r>
        <w:rPr>
          <w:rFonts w:hint="default" w:ascii="Times New Roman" w:hAnsi="Times New Roman" w:eastAsia="宋体" w:cs="Times New Roman"/>
          <w:sz w:val="30"/>
          <w:szCs w:val="30"/>
          <w:lang w:eastAsia="zh-CN"/>
        </w:rPr>
        <w:t>日</w:t>
      </w:r>
    </w:p>
    <w:p w14:paraId="75CF9C9C">
      <w:pPr>
        <w:pStyle w:val="18"/>
        <w:jc w:val="center"/>
        <w:rPr>
          <w:rFonts w:hint="default" w:ascii="Times New Roman" w:hAnsi="Times New Roman" w:eastAsia="宋体" w:cs="Times New Roman"/>
          <w:b/>
          <w:bCs/>
          <w:sz w:val="30"/>
          <w:szCs w:val="30"/>
          <w:lang w:eastAsia="zh-CN"/>
        </w:rPr>
      </w:pPr>
      <w:r>
        <w:rPr>
          <w:rFonts w:hint="eastAsia" w:ascii="Times New Roman" w:hAnsi="Times New Roman" w:cs="Times New Roman"/>
          <w:sz w:val="30"/>
          <w:szCs w:val="30"/>
          <w:lang w:val="en-US" w:eastAsia="zh-CN"/>
        </w:rPr>
        <w:t xml:space="preserve">                           </w:t>
      </w:r>
      <w:r>
        <w:rPr>
          <w:rFonts w:hint="default" w:ascii="Times New Roman" w:hAnsi="Times New Roman" w:eastAsia="宋体" w:cs="Times New Roman"/>
          <w:sz w:val="30"/>
          <w:szCs w:val="30"/>
        </w:rPr>
        <w:t>签订地点：福建漳州漳浦</w:t>
      </w:r>
    </w:p>
    <w:p w14:paraId="38B8738B">
      <w:pPr>
        <w:pStyle w:val="5"/>
        <w:spacing w:line="400" w:lineRule="exact"/>
        <w:rPr>
          <w:rFonts w:hint="default" w:ascii="Times New Roman" w:hAnsi="Times New Roman" w:eastAsia="宋体" w:cs="Times New Roman"/>
          <w:b/>
          <w:bCs/>
          <w:sz w:val="30"/>
          <w:szCs w:val="30"/>
          <w:lang w:eastAsia="zh-CN"/>
        </w:rPr>
      </w:pPr>
      <w:r>
        <w:rPr>
          <w:rFonts w:hint="default" w:ascii="Times New Roman" w:hAnsi="Times New Roman" w:eastAsia="宋体" w:cs="Times New Roman"/>
          <w:b/>
          <w:bCs/>
          <w:sz w:val="30"/>
          <w:szCs w:val="30"/>
          <w:lang w:eastAsia="zh-CN"/>
        </w:rPr>
        <w:br w:type="page"/>
      </w:r>
    </w:p>
    <w:p w14:paraId="79A88119">
      <w:pPr>
        <w:widowControl/>
        <w:rPr>
          <w:rFonts w:hint="default" w:ascii="Times New Roman" w:hAnsi="Times New Roman" w:eastAsia="宋体" w:cs="Times New Roman"/>
          <w:b/>
          <w:bCs w:val="0"/>
          <w:sz w:val="24"/>
          <w:szCs w:val="24"/>
          <w:u w:val="single"/>
          <w:lang w:eastAsia="zh-CN"/>
        </w:rPr>
      </w:pPr>
    </w:p>
    <w:p w14:paraId="23A85072">
      <w:pPr>
        <w:keepNext w:val="0"/>
        <w:keepLines w:val="0"/>
        <w:pageBreakBefore w:val="0"/>
        <w:widowControl/>
        <w:kinsoku/>
        <w:wordWrap/>
        <w:overflowPunct/>
        <w:topLinePunct w:val="0"/>
        <w:bidi w:val="0"/>
        <w:snapToGrid/>
        <w:spacing w:line="288" w:lineRule="auto"/>
        <w:rPr>
          <w:rFonts w:hint="default" w:ascii="Times New Roman" w:hAnsi="Times New Roman" w:eastAsia="宋体" w:cs="Times New Roman"/>
          <w:b/>
          <w:bCs w:val="0"/>
          <w:sz w:val="24"/>
          <w:szCs w:val="24"/>
          <w:u w:val="single"/>
          <w:lang w:eastAsia="zh-CN"/>
        </w:rPr>
      </w:pPr>
      <w:r>
        <w:rPr>
          <w:rFonts w:hint="default" w:ascii="Times New Roman" w:hAnsi="Times New Roman" w:eastAsia="宋体" w:cs="Times New Roman"/>
          <w:b/>
          <w:bCs w:val="0"/>
          <w:sz w:val="24"/>
          <w:szCs w:val="24"/>
          <w:u w:val="single"/>
          <w:lang w:eastAsia="zh-CN"/>
        </w:rPr>
        <w:t>甲方（委托方）：</w:t>
      </w:r>
      <w:r>
        <w:rPr>
          <w:rFonts w:hint="eastAsia" w:ascii="Times New Roman" w:hAnsi="Times New Roman" w:cs="Times New Roman"/>
          <w:b/>
          <w:bCs w:val="0"/>
          <w:sz w:val="24"/>
          <w:szCs w:val="24"/>
          <w:u w:val="single"/>
          <w:lang w:val="en-US" w:eastAsia="zh-CN"/>
        </w:rPr>
        <w:t>福建福海创石油化工</w:t>
      </w:r>
      <w:r>
        <w:rPr>
          <w:rFonts w:hint="default" w:ascii="Times New Roman" w:hAnsi="Times New Roman" w:eastAsia="宋体" w:cs="Times New Roman"/>
          <w:b/>
          <w:bCs w:val="0"/>
          <w:sz w:val="24"/>
          <w:szCs w:val="24"/>
          <w:u w:val="single"/>
          <w:lang w:eastAsia="zh-CN"/>
        </w:rPr>
        <w:t>有限公司</w:t>
      </w:r>
    </w:p>
    <w:p w14:paraId="6A8DF09A">
      <w:pPr>
        <w:pStyle w:val="18"/>
        <w:keepNext w:val="0"/>
        <w:keepLines w:val="0"/>
        <w:pageBreakBefore w:val="0"/>
        <w:kinsoku/>
        <w:wordWrap/>
        <w:overflowPunct/>
        <w:topLinePunct w:val="0"/>
        <w:bidi w:val="0"/>
        <w:snapToGrid/>
        <w:spacing w:line="288" w:lineRule="auto"/>
        <w:ind w:firstLine="1928" w:firstLineChars="800"/>
        <w:rPr>
          <w:rFonts w:hint="default" w:ascii="Times New Roman" w:hAnsi="Times New Roman" w:eastAsia="宋体" w:cs="Times New Roman"/>
          <w:b/>
          <w:bCs w:val="0"/>
          <w:sz w:val="24"/>
          <w:szCs w:val="24"/>
          <w:u w:val="single"/>
          <w:lang w:val="en-US" w:eastAsia="zh-CN" w:bidi="ar-SA"/>
        </w:rPr>
      </w:pPr>
      <w:r>
        <w:rPr>
          <w:rFonts w:hint="default" w:ascii="Times New Roman" w:hAnsi="Times New Roman" w:eastAsia="宋体" w:cs="Times New Roman"/>
          <w:b/>
          <w:bCs w:val="0"/>
          <w:sz w:val="24"/>
          <w:szCs w:val="24"/>
          <w:u w:val="single"/>
          <w:lang w:eastAsia="zh-CN"/>
        </w:rPr>
        <w:t>腾龙芳烃</w:t>
      </w:r>
      <w:r>
        <w:rPr>
          <w:rFonts w:hint="default" w:ascii="Times New Roman" w:hAnsi="Times New Roman" w:eastAsia="宋体" w:cs="Times New Roman"/>
          <w:b/>
          <w:bCs w:val="0"/>
          <w:sz w:val="24"/>
          <w:szCs w:val="24"/>
          <w:u w:val="single"/>
          <w:lang w:val="en-US" w:eastAsia="zh-CN" w:bidi="ar-SA"/>
        </w:rPr>
        <w:t>（漳州）有限公司</w:t>
      </w:r>
    </w:p>
    <w:p w14:paraId="32607D8F">
      <w:pPr>
        <w:keepNext w:val="0"/>
        <w:keepLines w:val="0"/>
        <w:pageBreakBefore w:val="0"/>
        <w:widowControl/>
        <w:kinsoku/>
        <w:wordWrap/>
        <w:overflowPunct/>
        <w:topLinePunct w:val="0"/>
        <w:bidi w:val="0"/>
        <w:snapToGrid/>
        <w:spacing w:line="288" w:lineRule="auto"/>
        <w:ind w:firstLine="1928" w:firstLineChars="800"/>
        <w:rPr>
          <w:rFonts w:hint="default" w:ascii="Times New Roman" w:hAnsi="Times New Roman" w:eastAsia="宋体" w:cs="Times New Roman"/>
          <w:b/>
          <w:bCs w:val="0"/>
          <w:sz w:val="24"/>
          <w:szCs w:val="24"/>
          <w:u w:val="single"/>
          <w:lang w:eastAsia="zh-CN"/>
        </w:rPr>
      </w:pPr>
      <w:r>
        <w:rPr>
          <w:rFonts w:hint="default" w:ascii="Times New Roman" w:hAnsi="Times New Roman" w:eastAsia="宋体" w:cs="Times New Roman"/>
          <w:b/>
          <w:bCs w:val="0"/>
          <w:sz w:val="24"/>
          <w:szCs w:val="24"/>
          <w:u w:val="single"/>
          <w:lang w:eastAsia="zh-CN"/>
        </w:rPr>
        <w:t>翔鹭码头投资管理（漳州）有限公司</w:t>
      </w:r>
    </w:p>
    <w:p w14:paraId="3667B1DE">
      <w:pPr>
        <w:keepNext w:val="0"/>
        <w:keepLines w:val="0"/>
        <w:pageBreakBefore w:val="0"/>
        <w:widowControl/>
        <w:kinsoku/>
        <w:wordWrap/>
        <w:overflowPunct/>
        <w:topLinePunct w:val="0"/>
        <w:bidi w:val="0"/>
        <w:snapToGrid/>
        <w:spacing w:line="288" w:lineRule="auto"/>
        <w:ind w:firstLine="1928" w:firstLineChars="800"/>
        <w:rPr>
          <w:rFonts w:hint="default" w:ascii="Times New Roman" w:hAnsi="Times New Roman" w:eastAsia="宋体" w:cs="Times New Roman"/>
          <w:b/>
          <w:bCs w:val="0"/>
          <w:sz w:val="24"/>
          <w:szCs w:val="24"/>
          <w:u w:val="single"/>
          <w:lang w:eastAsia="zh-CN"/>
        </w:rPr>
      </w:pPr>
      <w:r>
        <w:rPr>
          <w:rFonts w:hint="default" w:ascii="Times New Roman" w:hAnsi="Times New Roman" w:eastAsia="宋体" w:cs="Times New Roman"/>
          <w:b/>
          <w:bCs w:val="0"/>
          <w:sz w:val="24"/>
          <w:szCs w:val="24"/>
          <w:u w:val="single"/>
          <w:lang w:eastAsia="zh-CN"/>
        </w:rPr>
        <w:t>福建福化古蕾化学有限公司</w:t>
      </w:r>
    </w:p>
    <w:p w14:paraId="6DA235D8">
      <w:pPr>
        <w:widowControl/>
        <w:rPr>
          <w:rFonts w:hint="default" w:ascii="Times New Roman" w:hAnsi="Times New Roman" w:eastAsia="宋体" w:cs="Times New Roman"/>
          <w:b/>
          <w:bCs w:val="0"/>
          <w:sz w:val="24"/>
          <w:szCs w:val="24"/>
          <w:u w:val="single"/>
          <w:lang w:eastAsia="zh-CN"/>
        </w:rPr>
      </w:pPr>
    </w:p>
    <w:p w14:paraId="3841CD0B">
      <w:pPr>
        <w:widowControl/>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val="0"/>
          <w:sz w:val="24"/>
          <w:szCs w:val="24"/>
          <w:u w:val="single"/>
          <w:lang w:eastAsia="zh-CN"/>
        </w:rPr>
        <w:t>乙方（受托方）：</w:t>
      </w:r>
      <w:r>
        <w:rPr>
          <w:rFonts w:hint="eastAsia" w:ascii="Times New Roman" w:hAnsi="Times New Roman" w:cs="Times New Roman"/>
          <w:b/>
          <w:bCs w:val="0"/>
          <w:sz w:val="24"/>
          <w:szCs w:val="24"/>
          <w:u w:val="single"/>
          <w:lang w:val="en-US" w:eastAsia="zh-CN"/>
        </w:rPr>
        <w:t xml:space="preserve">                    </w:t>
      </w:r>
    </w:p>
    <w:p w14:paraId="6505723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本合同由甲方委托乙方就</w:t>
      </w:r>
      <w:r>
        <w:rPr>
          <w:rFonts w:hint="eastAsia" w:ascii="Times New Roman" w:hAnsi="Times New Roman" w:eastAsia="宋体" w:cs="Times New Roman"/>
          <w:b/>
          <w:bCs/>
          <w:sz w:val="24"/>
          <w:szCs w:val="24"/>
          <w:u w:val="single"/>
          <w:lang w:eastAsia="zh-CN"/>
        </w:rPr>
        <w:t>202</w:t>
      </w:r>
      <w:r>
        <w:rPr>
          <w:rFonts w:hint="eastAsia" w:ascii="Times New Roman" w:hAnsi="Times New Roman" w:cs="Times New Roman"/>
          <w:b/>
          <w:bCs/>
          <w:sz w:val="24"/>
          <w:szCs w:val="24"/>
          <w:u w:val="single"/>
          <w:lang w:val="en-US" w:eastAsia="zh-CN"/>
        </w:rPr>
        <w:t>6</w:t>
      </w:r>
      <w:r>
        <w:rPr>
          <w:rFonts w:hint="eastAsia" w:ascii="Times New Roman" w:hAnsi="Times New Roman" w:eastAsia="宋体" w:cs="Times New Roman"/>
          <w:b/>
          <w:bCs/>
          <w:sz w:val="24"/>
          <w:szCs w:val="24"/>
          <w:u w:val="single"/>
          <w:lang w:eastAsia="zh-CN"/>
        </w:rPr>
        <w:t>年度职业病危害因素检测、评价年约服务项目</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b/>
          <w:sz w:val="24"/>
          <w:szCs w:val="24"/>
          <w:u w:val="none"/>
          <w:lang w:eastAsia="zh-CN"/>
        </w:rPr>
        <w:t>并支付技术服务及咨询报酬。</w:t>
      </w:r>
      <w:r>
        <w:rPr>
          <w:rFonts w:hint="default" w:ascii="Times New Roman" w:hAnsi="Times New Roman" w:eastAsia="宋体" w:cs="Times New Roman"/>
          <w:sz w:val="24"/>
          <w:szCs w:val="24"/>
          <w:lang w:eastAsia="zh-CN"/>
        </w:rPr>
        <w:t>双方经过平等协商，在真实、充分地表达各自意愿的基础上，根据《中华人民共和国民法典》合同编及其他相关规定，达成如下协议，并由双方共同恪守。</w:t>
      </w:r>
    </w:p>
    <w:p w14:paraId="21205A67">
      <w:pPr>
        <w:pStyle w:val="5"/>
        <w:keepNext w:val="0"/>
        <w:keepLines w:val="0"/>
        <w:pageBreakBefore w:val="0"/>
        <w:widowControl w:val="0"/>
        <w:kinsoku/>
        <w:wordWrap/>
        <w:overflowPunct/>
        <w:topLinePunct w:val="0"/>
        <w:autoSpaceDE w:val="0"/>
        <w:autoSpaceDN w:val="0"/>
        <w:bidi w:val="0"/>
        <w:adjustRightInd/>
        <w:snapToGrid/>
        <w:spacing w:before="157" w:beforeLines="50" w:line="360" w:lineRule="auto"/>
        <w:textAlignment w:val="auto"/>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第一条　乙方进行技术咨询的内容、要求、方式：</w:t>
      </w:r>
    </w:p>
    <w:p w14:paraId="423C7E26">
      <w:pPr>
        <w:spacing w:line="360" w:lineRule="auto"/>
        <w:ind w:left="0" w:leftChars="0" w:firstLine="0" w:firstLineChars="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1</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lang w:eastAsia="zh-CN"/>
        </w:rPr>
        <w:t>详见附件1《</w:t>
      </w:r>
      <w:r>
        <w:rPr>
          <w:rFonts w:hint="eastAsia" w:ascii="Times New Roman" w:hAnsi="Times New Roman" w:cs="Times New Roman"/>
          <w:sz w:val="24"/>
          <w:szCs w:val="24"/>
          <w:lang w:val="en-US" w:eastAsia="zh-CN"/>
        </w:rPr>
        <w:t>福海创石油化工有限公司2026年度职业病危害因素检测评价发包方案</w:t>
      </w:r>
      <w:r>
        <w:rPr>
          <w:rFonts w:hint="default" w:ascii="Times New Roman" w:hAnsi="Times New Roman" w:eastAsia="宋体" w:cs="Times New Roman"/>
          <w:sz w:val="24"/>
          <w:szCs w:val="24"/>
          <w:lang w:eastAsia="zh-CN"/>
        </w:rPr>
        <w:t>》。</w:t>
      </w:r>
    </w:p>
    <w:p w14:paraId="151E8E29">
      <w:pPr>
        <w:pStyle w:val="5"/>
        <w:spacing w:line="360" w:lineRule="auto"/>
        <w:ind w:left="0" w:leftChars="0" w:firstLine="0" w:firstLineChars="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w:t>
      </w:r>
      <w:r>
        <w:rPr>
          <w:rFonts w:hint="eastAsia"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lang w:eastAsia="zh-CN"/>
        </w:rPr>
        <w:t>技术服务及咨询要求：对合同约定的项目进行检测并出具检测报告。</w:t>
      </w:r>
    </w:p>
    <w:p w14:paraId="35BAEA14">
      <w:pPr>
        <w:pStyle w:val="5"/>
        <w:keepNext w:val="0"/>
        <w:keepLines w:val="0"/>
        <w:pageBreakBefore w:val="0"/>
        <w:widowControl w:val="0"/>
        <w:kinsoku/>
        <w:wordWrap/>
        <w:overflowPunct/>
        <w:topLinePunct w:val="0"/>
        <w:autoSpaceDE w:val="0"/>
        <w:autoSpaceDN w:val="0"/>
        <w:bidi w:val="0"/>
        <w:adjustRightInd/>
        <w:snapToGrid/>
        <w:spacing w:before="157" w:beforeLines="50" w:line="360" w:lineRule="auto"/>
        <w:textAlignment w:val="auto"/>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第二条</w:t>
      </w:r>
      <w:r>
        <w:rPr>
          <w:rFonts w:hint="default" w:ascii="Times New Roman" w:hAnsi="Times New Roman" w:eastAsia="宋体" w:cs="Times New Roman"/>
          <w:b/>
          <w:bCs/>
          <w:sz w:val="24"/>
          <w:szCs w:val="24"/>
          <w:lang w:val="en-US" w:eastAsia="zh-CN"/>
        </w:rPr>
        <w:t xml:space="preserve"> </w:t>
      </w:r>
      <w:r>
        <w:rPr>
          <w:rFonts w:hint="default" w:ascii="Times New Roman" w:hAnsi="Times New Roman" w:eastAsia="宋体" w:cs="Times New Roman"/>
          <w:b/>
          <w:bCs/>
          <w:sz w:val="24"/>
          <w:szCs w:val="24"/>
          <w:lang w:eastAsia="zh-CN"/>
        </w:rPr>
        <w:t>乙方按照下列要求进行本合同项目的技术咨询工作：</w:t>
      </w:r>
    </w:p>
    <w:p w14:paraId="1AF3C4EF">
      <w:pPr>
        <w:pStyle w:val="5"/>
        <w:spacing w:line="360" w:lineRule="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w:t>
      </w:r>
      <w:r>
        <w:rPr>
          <w:rFonts w:hint="eastAsia"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lang w:eastAsia="zh-CN"/>
        </w:rPr>
        <w:t>技术服务及咨询地点：</w:t>
      </w:r>
      <w:r>
        <w:rPr>
          <w:rFonts w:hint="default" w:ascii="Times New Roman" w:hAnsi="Times New Roman" w:eastAsia="宋体" w:cs="Times New Roman"/>
          <w:sz w:val="24"/>
          <w:szCs w:val="24"/>
          <w:u w:val="single"/>
          <w:lang w:eastAsia="zh-CN"/>
        </w:rPr>
        <w:t>甲方所在地。</w:t>
      </w:r>
    </w:p>
    <w:p w14:paraId="61A3722F">
      <w:pPr>
        <w:spacing w:line="360" w:lineRule="auto"/>
        <w:ind w:left="240" w:hanging="240" w:hangingChars="100"/>
        <w:rPr>
          <w:rFonts w:hint="eastAsia" w:asciiTheme="minorEastAsia" w:hAnsiTheme="minorEastAsia" w:eastAsiaTheme="minorEastAsia"/>
          <w:color w:val="000000"/>
          <w:sz w:val="24"/>
          <w:lang w:eastAsia="zh-CN"/>
        </w:rPr>
      </w:pPr>
      <w:r>
        <w:rPr>
          <w:rFonts w:hint="default" w:ascii="Times New Roman" w:hAnsi="Times New Roman" w:eastAsia="宋体" w:cs="Times New Roman"/>
          <w:sz w:val="24"/>
          <w:szCs w:val="24"/>
          <w:lang w:eastAsia="zh-CN"/>
        </w:rPr>
        <w:t>2.</w:t>
      </w:r>
      <w:r>
        <w:rPr>
          <w:rFonts w:hint="eastAsia"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lang w:eastAsia="zh-CN"/>
        </w:rPr>
        <w:t>技术服务及咨询期限：</w:t>
      </w:r>
      <w:r>
        <w:rPr>
          <w:rFonts w:hint="default" w:ascii="Times New Roman" w:hAnsi="Times New Roman" w:eastAsia="宋体" w:cs="Times New Roman"/>
          <w:sz w:val="24"/>
          <w:szCs w:val="24"/>
          <w:u w:val="single"/>
          <w:lang w:eastAsia="zh-CN"/>
        </w:rPr>
        <w:t>合同签订之日起</w:t>
      </w:r>
      <w:r>
        <w:rPr>
          <w:rFonts w:hint="eastAsia" w:ascii="Times New Roman" w:hAnsi="Times New Roman" w:cs="Times New Roman"/>
          <w:sz w:val="24"/>
          <w:szCs w:val="24"/>
          <w:u w:val="single"/>
          <w:lang w:val="en-US" w:eastAsia="zh-CN"/>
        </w:rPr>
        <w:t>壹</w:t>
      </w:r>
      <w:r>
        <w:rPr>
          <w:rFonts w:hint="eastAsia" w:ascii="Times New Roman" w:hAnsi="Times New Roman" w:cs="Times New Roman"/>
          <w:sz w:val="24"/>
          <w:szCs w:val="24"/>
          <w:highlight w:val="none"/>
          <w:u w:val="single"/>
          <w:lang w:val="en-US" w:eastAsia="zh-CN"/>
        </w:rPr>
        <w:t>年。</w:t>
      </w:r>
      <w:r>
        <w:rPr>
          <w:rFonts w:hint="eastAsia" w:ascii="Times New Roman" w:hAnsi="Times New Roman" w:cs="Times New Roman"/>
          <w:sz w:val="24"/>
          <w:szCs w:val="24"/>
          <w:u w:val="single"/>
          <w:lang w:eastAsia="zh-CN"/>
        </w:rPr>
        <w:t>（</w:t>
      </w:r>
      <w:r>
        <w:rPr>
          <w:rFonts w:hint="eastAsia" w:ascii="Times New Roman" w:hAnsi="Times New Roman" w:cs="Times New Roman"/>
          <w:sz w:val="24"/>
          <w:szCs w:val="24"/>
          <w:u w:val="single"/>
          <w:lang w:val="en-US" w:eastAsia="zh-CN"/>
        </w:rPr>
        <w:t>每年</w:t>
      </w:r>
      <w:r>
        <w:rPr>
          <w:rFonts w:hint="eastAsia" w:asciiTheme="minorEastAsia" w:hAnsiTheme="minorEastAsia" w:eastAsiaTheme="minorEastAsia"/>
          <w:color w:val="000000"/>
          <w:sz w:val="24"/>
          <w:lang w:eastAsia="zh-CN"/>
        </w:rPr>
        <w:t>由</w:t>
      </w:r>
      <w:r>
        <w:rPr>
          <w:rFonts w:hint="eastAsia" w:asciiTheme="minorEastAsia" w:hAnsiTheme="minorEastAsia" w:eastAsiaTheme="minorEastAsia"/>
          <w:color w:val="000000"/>
          <w:sz w:val="24"/>
          <w:lang w:val="en-US" w:eastAsia="zh-CN"/>
        </w:rPr>
        <w:t>甲方</w:t>
      </w:r>
      <w:r>
        <w:rPr>
          <w:rFonts w:hint="eastAsia" w:asciiTheme="minorEastAsia" w:hAnsiTheme="minorEastAsia" w:eastAsiaTheme="minorEastAsia"/>
          <w:color w:val="000000"/>
          <w:sz w:val="24"/>
          <w:lang w:eastAsia="zh-CN"/>
        </w:rPr>
        <w:t>通知项目开始启动后开始</w:t>
      </w:r>
      <w:r>
        <w:rPr>
          <w:rFonts w:hint="eastAsia" w:asciiTheme="minorEastAsia" w:hAnsiTheme="minorEastAsia" w:eastAsiaTheme="minorEastAsia"/>
          <w:color w:val="000000"/>
          <w:sz w:val="24"/>
        </w:rPr>
        <w:t>检测</w:t>
      </w:r>
      <w:r>
        <w:rPr>
          <w:rFonts w:hint="eastAsia" w:asciiTheme="minorEastAsia" w:hAnsiTheme="minorEastAsia" w:eastAsiaTheme="minorEastAsia"/>
          <w:color w:val="000000"/>
          <w:sz w:val="24"/>
          <w:lang w:eastAsia="zh-CN"/>
        </w:rPr>
        <w:t>，</w:t>
      </w:r>
      <w:r>
        <w:rPr>
          <w:rFonts w:hint="eastAsia" w:asciiTheme="minorEastAsia" w:hAnsiTheme="minorEastAsia" w:eastAsiaTheme="minorEastAsia"/>
          <w:color w:val="000000"/>
          <w:sz w:val="24"/>
          <w:lang w:val="en-US" w:eastAsia="zh-CN"/>
        </w:rPr>
        <w:t>3个月内出具检测/评价报告</w:t>
      </w: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lang w:eastAsia="zh-CN"/>
        </w:rPr>
        <w:t>）</w:t>
      </w:r>
    </w:p>
    <w:p w14:paraId="36196875">
      <w:pPr>
        <w:spacing w:line="360" w:lineRule="auto"/>
        <w:rPr>
          <w:rFonts w:hint="default" w:ascii="Times New Roman" w:hAnsi="Times New Roman" w:eastAsia="宋体" w:cs="Times New Roman"/>
          <w:b w:val="0"/>
          <w:bCs w:val="0"/>
          <w:sz w:val="24"/>
          <w:szCs w:val="24"/>
          <w:u w:val="single"/>
          <w:lang w:eastAsia="zh-CN"/>
        </w:rPr>
      </w:pPr>
      <w:r>
        <w:rPr>
          <w:rFonts w:hint="eastAsia" w:ascii="Times New Roman" w:hAnsi="Times New Roman" w:cs="Times New Roman"/>
          <w:b w:val="0"/>
          <w:bCs w:val="0"/>
          <w:sz w:val="24"/>
          <w:szCs w:val="24"/>
          <w:lang w:val="en-US" w:eastAsia="zh-CN"/>
        </w:rPr>
        <w:t xml:space="preserve">3. </w:t>
      </w:r>
      <w:r>
        <w:rPr>
          <w:rFonts w:hint="default" w:ascii="Times New Roman" w:hAnsi="Times New Roman" w:eastAsia="宋体" w:cs="Times New Roman"/>
          <w:b w:val="0"/>
          <w:bCs w:val="0"/>
          <w:sz w:val="24"/>
          <w:szCs w:val="24"/>
          <w:lang w:eastAsia="zh-CN"/>
        </w:rPr>
        <w:t>技术服务及咨询质量要求：</w:t>
      </w:r>
    </w:p>
    <w:p w14:paraId="3BAAA7FF">
      <w:pPr>
        <w:spacing w:line="360" w:lineRule="auto"/>
        <w:ind w:left="380" w:leftChars="9" w:hanging="360" w:hangingChars="150"/>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（1）采样方式、检测方法、检测仪器应符合国家、地方相关法律法规、符合相关国家标准及行业标准。</w:t>
      </w:r>
    </w:p>
    <w:p w14:paraId="50AA80E5">
      <w:pPr>
        <w:spacing w:line="360" w:lineRule="auto"/>
        <w:ind w:left="380" w:leftChars="9" w:hanging="360" w:hangingChars="150"/>
        <w:rPr>
          <w:rFonts w:hint="default" w:ascii="Times New Roman" w:hAnsi="Times New Roman" w:eastAsia="宋体" w:cs="Times New Roman"/>
          <w:sz w:val="24"/>
          <w:szCs w:val="24"/>
          <w:lang w:eastAsia="zh-CN"/>
        </w:rPr>
      </w:pPr>
      <w:r>
        <w:rPr>
          <w:rFonts w:hint="default" w:ascii="Times New Roman" w:hAnsi="Times New Roman" w:eastAsia="宋体" w:cs="Times New Roman"/>
          <w:color w:val="000000"/>
          <w:sz w:val="24"/>
          <w:szCs w:val="24"/>
          <w:lang w:eastAsia="zh-CN"/>
        </w:rPr>
        <w:t>（2）</w:t>
      </w:r>
      <w:r>
        <w:rPr>
          <w:rFonts w:hint="default" w:ascii="Times New Roman" w:hAnsi="Times New Roman" w:eastAsia="宋体" w:cs="Times New Roman"/>
          <w:sz w:val="24"/>
          <w:szCs w:val="24"/>
          <w:lang w:eastAsia="zh-CN"/>
        </w:rPr>
        <w:t>检测</w:t>
      </w:r>
      <w:r>
        <w:rPr>
          <w:rFonts w:hint="default" w:ascii="Times New Roman" w:hAnsi="Times New Roman" w:eastAsia="宋体" w:cs="Times New Roman"/>
          <w:color w:val="000000"/>
          <w:sz w:val="24"/>
          <w:szCs w:val="24"/>
          <w:lang w:eastAsia="zh-CN"/>
        </w:rPr>
        <w:t>报告应遵守国家、地方相关法律法规、符合相关国家标准及行业实际情况。</w:t>
      </w:r>
    </w:p>
    <w:p w14:paraId="0D289433">
      <w:pPr>
        <w:spacing w:line="360" w:lineRule="auto"/>
        <w:ind w:left="240" w:hanging="240" w:hangingChars="100"/>
        <w:rPr>
          <w:rFonts w:hint="eastAsia" w:asciiTheme="minorEastAsia" w:hAnsiTheme="minorEastAsia" w:eastAsiaTheme="minorEastAsia"/>
          <w:color w:val="000000"/>
          <w:sz w:val="24"/>
          <w:u w:val="single"/>
          <w:lang w:eastAsia="zh-CN"/>
        </w:rPr>
      </w:pPr>
      <w:r>
        <w:rPr>
          <w:rFonts w:hint="eastAsia" w:ascii="Times New Roman" w:hAnsi="Times New Roman" w:cs="Times New Roman"/>
          <w:b w:val="0"/>
          <w:bCs w:val="0"/>
          <w:sz w:val="24"/>
          <w:szCs w:val="24"/>
          <w:lang w:val="en-US" w:eastAsia="zh-CN"/>
        </w:rPr>
        <w:t xml:space="preserve">4. </w:t>
      </w:r>
      <w:r>
        <w:rPr>
          <w:rFonts w:hint="default" w:ascii="Times New Roman" w:hAnsi="Times New Roman" w:eastAsia="宋体" w:cs="Times New Roman"/>
          <w:b w:val="0"/>
          <w:bCs w:val="0"/>
          <w:sz w:val="24"/>
          <w:szCs w:val="24"/>
          <w:lang w:eastAsia="zh-CN"/>
        </w:rPr>
        <w:t>技术服务及咨询质量期限要求：</w:t>
      </w:r>
      <w:r>
        <w:rPr>
          <w:rFonts w:hint="default" w:ascii="Times New Roman" w:hAnsi="Times New Roman" w:eastAsia="宋体" w:cs="Times New Roman"/>
          <w:sz w:val="24"/>
          <w:szCs w:val="24"/>
          <w:u w:val="single"/>
          <w:lang w:eastAsia="zh-CN"/>
        </w:rPr>
        <w:t>合同签订之日起</w:t>
      </w:r>
      <w:r>
        <w:rPr>
          <w:rFonts w:hint="eastAsia" w:ascii="Times New Roman" w:hAnsi="Times New Roman" w:cs="Times New Roman"/>
          <w:sz w:val="24"/>
          <w:szCs w:val="24"/>
          <w:u w:val="single"/>
          <w:lang w:val="en-US" w:eastAsia="zh-CN"/>
        </w:rPr>
        <w:t>壹</w:t>
      </w:r>
      <w:r>
        <w:rPr>
          <w:rFonts w:hint="eastAsia" w:ascii="Times New Roman" w:hAnsi="Times New Roman" w:cs="Times New Roman"/>
          <w:sz w:val="24"/>
          <w:szCs w:val="24"/>
          <w:highlight w:val="none"/>
          <w:u w:val="single"/>
          <w:lang w:val="en-US" w:eastAsia="zh-CN"/>
        </w:rPr>
        <w:t>年，</w:t>
      </w:r>
      <w:r>
        <w:rPr>
          <w:rFonts w:hint="eastAsia" w:asciiTheme="minorEastAsia" w:hAnsiTheme="minorEastAsia" w:eastAsiaTheme="minorEastAsia"/>
          <w:color w:val="000000"/>
          <w:sz w:val="24"/>
          <w:u w:val="single"/>
          <w:lang w:eastAsia="zh-CN"/>
        </w:rPr>
        <w:t>由</w:t>
      </w:r>
      <w:r>
        <w:rPr>
          <w:rFonts w:hint="eastAsia" w:asciiTheme="minorEastAsia" w:hAnsiTheme="minorEastAsia" w:eastAsiaTheme="minorEastAsia"/>
          <w:color w:val="000000"/>
          <w:sz w:val="24"/>
          <w:u w:val="single"/>
          <w:lang w:val="en-US" w:eastAsia="zh-CN"/>
        </w:rPr>
        <w:t>甲方</w:t>
      </w:r>
      <w:r>
        <w:rPr>
          <w:rFonts w:hint="eastAsia" w:asciiTheme="minorEastAsia" w:hAnsiTheme="minorEastAsia" w:eastAsiaTheme="minorEastAsia"/>
          <w:color w:val="000000"/>
          <w:sz w:val="24"/>
          <w:u w:val="single"/>
          <w:lang w:eastAsia="zh-CN"/>
        </w:rPr>
        <w:t>通知项目开始启动后开始</w:t>
      </w:r>
      <w:r>
        <w:rPr>
          <w:rFonts w:hint="eastAsia" w:asciiTheme="minorEastAsia" w:hAnsiTheme="minorEastAsia" w:eastAsiaTheme="minorEastAsia"/>
          <w:color w:val="000000"/>
          <w:sz w:val="24"/>
          <w:u w:val="single"/>
        </w:rPr>
        <w:t>检测</w:t>
      </w:r>
      <w:r>
        <w:rPr>
          <w:rFonts w:hint="eastAsia" w:asciiTheme="minorEastAsia" w:hAnsiTheme="minorEastAsia" w:eastAsiaTheme="minorEastAsia"/>
          <w:color w:val="000000"/>
          <w:sz w:val="24"/>
          <w:u w:val="single"/>
          <w:lang w:eastAsia="zh-CN"/>
        </w:rPr>
        <w:t>，</w:t>
      </w:r>
      <w:r>
        <w:rPr>
          <w:rFonts w:hint="eastAsia" w:asciiTheme="minorEastAsia" w:hAnsiTheme="minorEastAsia" w:eastAsiaTheme="minorEastAsia"/>
          <w:color w:val="000000"/>
          <w:sz w:val="24"/>
          <w:u w:val="single"/>
          <w:lang w:val="en-US" w:eastAsia="zh-CN"/>
        </w:rPr>
        <w:t>3个月内出具检测/评价报告</w:t>
      </w:r>
      <w:r>
        <w:rPr>
          <w:rFonts w:hint="eastAsia" w:asciiTheme="minorEastAsia" w:hAnsiTheme="minorEastAsia" w:eastAsiaTheme="minorEastAsia"/>
          <w:color w:val="000000"/>
          <w:sz w:val="24"/>
          <w:u w:val="single"/>
        </w:rPr>
        <w:t>。</w:t>
      </w:r>
    </w:p>
    <w:p w14:paraId="55E8AEBB">
      <w:pPr>
        <w:pStyle w:val="5"/>
        <w:keepNext w:val="0"/>
        <w:keepLines w:val="0"/>
        <w:pageBreakBefore w:val="0"/>
        <w:widowControl w:val="0"/>
        <w:kinsoku/>
        <w:wordWrap/>
        <w:overflowPunct/>
        <w:topLinePunct w:val="0"/>
        <w:autoSpaceDE w:val="0"/>
        <w:autoSpaceDN w:val="0"/>
        <w:bidi w:val="0"/>
        <w:adjustRightInd/>
        <w:snapToGrid/>
        <w:spacing w:before="157" w:beforeLines="50" w:line="360" w:lineRule="auto"/>
        <w:textAlignment w:val="auto"/>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第三条</w:t>
      </w:r>
      <w:r>
        <w:rPr>
          <w:rFonts w:hint="eastAsia" w:ascii="Times New Roman" w:hAnsi="Times New Roman" w:cs="Times New Roman"/>
          <w:b/>
          <w:bCs/>
          <w:sz w:val="24"/>
          <w:szCs w:val="24"/>
          <w:lang w:eastAsia="zh-CN"/>
        </w:rPr>
        <w:t>、</w:t>
      </w:r>
      <w:r>
        <w:rPr>
          <w:rFonts w:hint="eastAsia" w:ascii="Times New Roman" w:hAnsi="Times New Roman" w:cs="Times New Roman"/>
          <w:b/>
          <w:bCs/>
          <w:sz w:val="24"/>
          <w:szCs w:val="24"/>
          <w:lang w:val="en-US" w:eastAsia="zh-CN"/>
        </w:rPr>
        <w:t>为</w:t>
      </w:r>
      <w:r>
        <w:rPr>
          <w:rFonts w:hint="default" w:ascii="Times New Roman" w:hAnsi="Times New Roman" w:eastAsia="宋体" w:cs="Times New Roman"/>
          <w:b/>
          <w:bCs/>
          <w:sz w:val="24"/>
          <w:szCs w:val="24"/>
          <w:lang w:eastAsia="zh-CN"/>
        </w:rPr>
        <w:t>保证乙方有效进行技术咨询工作，甲方应当向乙方提供下列协作事项：</w:t>
      </w:r>
    </w:p>
    <w:p w14:paraId="7AC97D2A">
      <w:pPr>
        <w:pStyle w:val="5"/>
        <w:spacing w:line="360" w:lineRule="auto"/>
        <w:ind w:left="0" w:leftChars="0"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提供技术资料：</w:t>
      </w:r>
      <w:r>
        <w:rPr>
          <w:rFonts w:hint="default" w:ascii="Times New Roman" w:hAnsi="Times New Roman" w:eastAsia="宋体" w:cs="Times New Roman"/>
          <w:sz w:val="24"/>
          <w:szCs w:val="24"/>
          <w:u w:val="single"/>
          <w:lang w:eastAsia="zh-CN"/>
        </w:rPr>
        <w:t>提供与本案工作需要的相关资料。</w:t>
      </w:r>
    </w:p>
    <w:p w14:paraId="40608CD5">
      <w:pPr>
        <w:pStyle w:val="5"/>
        <w:keepNext w:val="0"/>
        <w:keepLines w:val="0"/>
        <w:pageBreakBefore w:val="0"/>
        <w:widowControl w:val="0"/>
        <w:kinsoku/>
        <w:wordWrap/>
        <w:overflowPunct/>
        <w:topLinePunct w:val="0"/>
        <w:autoSpaceDE w:val="0"/>
        <w:autoSpaceDN w:val="0"/>
        <w:bidi w:val="0"/>
        <w:adjustRightInd/>
        <w:snapToGrid/>
        <w:spacing w:before="157" w:beforeLines="50" w:line="360" w:lineRule="auto"/>
        <w:ind w:left="0" w:leftChars="0" w:firstLine="0" w:firstLineChars="0"/>
        <w:textAlignment w:val="auto"/>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第四条</w:t>
      </w:r>
      <w:r>
        <w:rPr>
          <w:rFonts w:hint="eastAsia" w:ascii="Times New Roman" w:hAnsi="Times New Roman" w:cs="Times New Roman"/>
          <w:b/>
          <w:bCs/>
          <w:sz w:val="24"/>
          <w:szCs w:val="24"/>
          <w:lang w:val="en-US" w:eastAsia="zh-CN"/>
        </w:rPr>
        <w:t xml:space="preserve"> </w:t>
      </w:r>
      <w:r>
        <w:rPr>
          <w:rFonts w:hint="default" w:ascii="Times New Roman" w:hAnsi="Times New Roman" w:eastAsia="宋体" w:cs="Times New Roman"/>
          <w:b/>
          <w:bCs/>
          <w:sz w:val="24"/>
          <w:szCs w:val="24"/>
          <w:lang w:eastAsia="zh-CN"/>
        </w:rPr>
        <w:t>甲方向乙方支付技术服务及咨询报酬及支付方式为：</w:t>
      </w:r>
    </w:p>
    <w:p w14:paraId="35396152">
      <w:pPr>
        <w:pStyle w:val="5"/>
        <w:spacing w:line="360" w:lineRule="auto"/>
        <w:ind w:left="0" w:leftChars="0"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技术服务及咨询报酬含税总价为</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u w:val="single"/>
          <w:lang w:eastAsia="zh-CN"/>
        </w:rPr>
        <w:t>RMB</w:t>
      </w:r>
      <w:r>
        <w:rPr>
          <w:rFonts w:hint="eastAsia" w:ascii="Times New Roman" w:hAnsi="Times New Roman"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u w:val="single"/>
          <w:lang w:eastAsia="zh-CN"/>
        </w:rPr>
        <w:t>元（含</w:t>
      </w:r>
      <w:r>
        <w:rPr>
          <w:rFonts w:hint="eastAsia" w:ascii="Times New Roman" w:hAnsi="Times New Roman"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u w:val="single"/>
          <w:lang w:eastAsia="zh-CN"/>
        </w:rPr>
        <w:t>增值税专用发票）</w:t>
      </w:r>
      <w:r>
        <w:rPr>
          <w:rFonts w:hint="default" w:ascii="Times New Roman" w:hAnsi="Times New Roman" w:eastAsia="宋体" w:cs="Times New Roman"/>
          <w:sz w:val="24"/>
          <w:szCs w:val="24"/>
          <w:lang w:eastAsia="zh-CN"/>
        </w:rPr>
        <w:t>。具体各</w:t>
      </w:r>
      <w:r>
        <w:rPr>
          <w:rFonts w:hint="default" w:ascii="Times New Roman" w:hAnsi="Times New Roman" w:eastAsia="宋体" w:cs="Times New Roman"/>
          <w:sz w:val="24"/>
          <w:szCs w:val="24"/>
          <w:lang w:val="en-US" w:eastAsia="zh-CN"/>
        </w:rPr>
        <w:t>项目</w:t>
      </w:r>
      <w:r>
        <w:rPr>
          <w:rFonts w:hint="default" w:ascii="Times New Roman" w:hAnsi="Times New Roman" w:eastAsia="宋体" w:cs="Times New Roman"/>
          <w:sz w:val="24"/>
          <w:szCs w:val="24"/>
          <w:lang w:eastAsia="zh-CN"/>
        </w:rPr>
        <w:t>价</w:t>
      </w:r>
      <w:r>
        <w:rPr>
          <w:rFonts w:hint="default" w:ascii="Times New Roman" w:hAnsi="Times New Roman" w:eastAsia="宋体" w:cs="Times New Roman"/>
          <w:sz w:val="24"/>
          <w:szCs w:val="24"/>
          <w:lang w:val="en-US" w:eastAsia="zh-CN"/>
        </w:rPr>
        <w:t>格</w:t>
      </w:r>
      <w:r>
        <w:rPr>
          <w:rFonts w:hint="default" w:ascii="Times New Roman" w:hAnsi="Times New Roman" w:eastAsia="宋体" w:cs="Times New Roman"/>
          <w:sz w:val="24"/>
          <w:szCs w:val="24"/>
          <w:lang w:eastAsia="zh-CN"/>
        </w:rPr>
        <w:t>清单如下：</w:t>
      </w:r>
    </w:p>
    <w:p w14:paraId="284F626B">
      <w:pPr>
        <w:pStyle w:val="5"/>
        <w:spacing w:line="360" w:lineRule="auto"/>
        <w:ind w:left="0" w:leftChars="0" w:firstLine="480" w:firstLineChars="200"/>
        <w:rPr>
          <w:rFonts w:hint="default" w:ascii="Times New Roman" w:hAnsi="Times New Roman" w:eastAsia="宋体" w:cs="Times New Roman"/>
          <w:sz w:val="24"/>
          <w:szCs w:val="24"/>
          <w:lang w:eastAsia="zh-CN"/>
        </w:rPr>
      </w:pPr>
    </w:p>
    <w:p w14:paraId="64301DA3">
      <w:pPr>
        <w:pStyle w:val="5"/>
        <w:spacing w:line="360" w:lineRule="auto"/>
        <w:ind w:left="0" w:leftChars="0" w:firstLine="480" w:firstLineChars="200"/>
        <w:rPr>
          <w:rFonts w:hint="default" w:ascii="Times New Roman" w:hAnsi="Times New Roman" w:eastAsia="宋体" w:cs="Times New Roman"/>
          <w:sz w:val="24"/>
          <w:szCs w:val="24"/>
          <w:lang w:eastAsia="zh-CN"/>
        </w:rPr>
      </w:pPr>
    </w:p>
    <w:p w14:paraId="467EE525">
      <w:pPr>
        <w:pStyle w:val="5"/>
        <w:spacing w:line="360" w:lineRule="auto"/>
        <w:ind w:left="0" w:leftChars="0" w:firstLine="480" w:firstLineChars="200"/>
        <w:rPr>
          <w:rFonts w:hint="default" w:ascii="Times New Roman" w:hAnsi="Times New Roman" w:eastAsia="宋体" w:cs="Times New Roman"/>
          <w:sz w:val="24"/>
          <w:szCs w:val="24"/>
          <w:lang w:eastAsia="zh-CN"/>
        </w:rPr>
      </w:pPr>
    </w:p>
    <w:tbl>
      <w:tblPr>
        <w:tblStyle w:val="9"/>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27"/>
        <w:gridCol w:w="5435"/>
        <w:gridCol w:w="2460"/>
      </w:tblGrid>
      <w:tr w14:paraId="008C92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27" w:type="dxa"/>
            <w:vAlign w:val="center"/>
          </w:tcPr>
          <w:p w14:paraId="6D5E59E1">
            <w:pPr>
              <w:keepNext w:val="0"/>
              <w:keepLines w:val="0"/>
              <w:widowControl/>
              <w:suppressLineNumbers w:val="0"/>
              <w:spacing w:before="0" w:beforeAutospacing="0" w:after="0" w:afterAutospacing="0" w:line="360" w:lineRule="auto"/>
              <w:ind w:left="0" w:right="0"/>
              <w:jc w:val="center"/>
              <w:rPr>
                <w:rFonts w:hint="default" w:asciiTheme="minorEastAsia" w:hAnsiTheme="minorEastAsia" w:eastAsiaTheme="minorEastAsia"/>
                <w:b/>
                <w:kern w:val="2"/>
                <w:sz w:val="24"/>
              </w:rPr>
            </w:pPr>
            <w:r>
              <w:rPr>
                <w:rFonts w:hint="eastAsia" w:asciiTheme="minorEastAsia" w:hAnsiTheme="minorEastAsia" w:eastAsiaTheme="minorEastAsia"/>
                <w:b/>
                <w:kern w:val="2"/>
                <w:sz w:val="24"/>
              </w:rPr>
              <w:t>序号</w:t>
            </w:r>
          </w:p>
        </w:tc>
        <w:tc>
          <w:tcPr>
            <w:tcW w:w="5435" w:type="dxa"/>
            <w:vAlign w:val="center"/>
          </w:tcPr>
          <w:p w14:paraId="46444C0B">
            <w:pPr>
              <w:keepNext w:val="0"/>
              <w:keepLines w:val="0"/>
              <w:widowControl/>
              <w:suppressLineNumbers w:val="0"/>
              <w:spacing w:before="0" w:beforeAutospacing="0" w:after="0" w:afterAutospacing="0" w:line="360" w:lineRule="auto"/>
              <w:ind w:left="0" w:right="0"/>
              <w:jc w:val="center"/>
              <w:rPr>
                <w:rFonts w:hint="default" w:asciiTheme="minorEastAsia" w:hAnsiTheme="minorEastAsia" w:eastAsiaTheme="minorEastAsia"/>
                <w:b/>
                <w:kern w:val="2"/>
                <w:sz w:val="24"/>
              </w:rPr>
            </w:pPr>
            <w:r>
              <w:rPr>
                <w:rFonts w:hint="eastAsia" w:asciiTheme="minorEastAsia" w:hAnsiTheme="minorEastAsia" w:eastAsiaTheme="minorEastAsia"/>
                <w:b/>
                <w:kern w:val="2"/>
                <w:sz w:val="24"/>
              </w:rPr>
              <w:t>项目</w:t>
            </w:r>
          </w:p>
        </w:tc>
        <w:tc>
          <w:tcPr>
            <w:tcW w:w="2460" w:type="dxa"/>
            <w:vAlign w:val="center"/>
          </w:tcPr>
          <w:p w14:paraId="1492B15E">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b/>
                <w:kern w:val="2"/>
                <w:sz w:val="24"/>
                <w:lang w:val="en-US" w:eastAsia="zh-CN"/>
              </w:rPr>
            </w:pPr>
            <w:r>
              <w:rPr>
                <w:rFonts w:hint="eastAsia" w:asciiTheme="minorEastAsia" w:hAnsiTheme="minorEastAsia" w:eastAsiaTheme="minorEastAsia"/>
                <w:b/>
                <w:kern w:val="2"/>
                <w:sz w:val="24"/>
                <w:lang w:val="en-US" w:eastAsia="zh-CN"/>
              </w:rPr>
              <w:t>合同价格</w:t>
            </w:r>
          </w:p>
          <w:p w14:paraId="2D708E80">
            <w:pPr>
              <w:keepNext w:val="0"/>
              <w:keepLines w:val="0"/>
              <w:widowControl/>
              <w:suppressLineNumbers w:val="0"/>
              <w:spacing w:before="0" w:beforeAutospacing="0" w:after="0" w:afterAutospacing="0" w:line="360" w:lineRule="auto"/>
              <w:ind w:left="0" w:right="0"/>
              <w:jc w:val="center"/>
              <w:rPr>
                <w:rFonts w:hint="default" w:asciiTheme="minorEastAsia" w:hAnsiTheme="minorEastAsia" w:eastAsiaTheme="minorEastAsia"/>
                <w:b/>
                <w:kern w:val="2"/>
                <w:sz w:val="24"/>
                <w:lang w:val="en-US" w:eastAsia="zh-CN"/>
              </w:rPr>
            </w:pPr>
            <w:r>
              <w:rPr>
                <w:rFonts w:hint="eastAsia" w:asciiTheme="minorEastAsia" w:hAnsiTheme="minorEastAsia" w:eastAsiaTheme="minorEastAsia"/>
                <w:b/>
                <w:kern w:val="2"/>
                <w:sz w:val="24"/>
                <w:lang w:val="en-US" w:eastAsia="zh-CN"/>
              </w:rPr>
              <w:t>（元）</w:t>
            </w:r>
          </w:p>
        </w:tc>
      </w:tr>
      <w:tr w14:paraId="01A24E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27" w:type="dxa"/>
            <w:vAlign w:val="top"/>
          </w:tcPr>
          <w:p w14:paraId="202C0E00">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kern w:val="2"/>
                <w:sz w:val="24"/>
              </w:rPr>
            </w:pPr>
            <w:r>
              <w:rPr>
                <w:rFonts w:hint="eastAsia" w:ascii="宋体" w:hAnsi="宋体" w:eastAsia="宋体" w:cs="宋体"/>
                <w:b w:val="0"/>
                <w:bCs/>
                <w:color w:val="000000"/>
                <w:kern w:val="2"/>
                <w:sz w:val="24"/>
                <w:szCs w:val="24"/>
                <w:highlight w:val="none"/>
                <w:vertAlign w:val="baseline"/>
                <w:lang w:val="en-US" w:eastAsia="zh-CN"/>
              </w:rPr>
              <w:t>1</w:t>
            </w:r>
          </w:p>
        </w:tc>
        <w:tc>
          <w:tcPr>
            <w:tcW w:w="5435" w:type="dxa"/>
            <w:vAlign w:val="top"/>
          </w:tcPr>
          <w:p w14:paraId="04AE359C">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kern w:val="2"/>
                <w:sz w:val="24"/>
                <w:highlight w:val="none"/>
              </w:rPr>
            </w:pPr>
            <w:r>
              <w:rPr>
                <w:rFonts w:hint="eastAsia" w:ascii="宋体" w:hAnsi="宋体" w:eastAsia="宋体" w:cs="宋体"/>
                <w:b w:val="0"/>
                <w:bCs/>
                <w:color w:val="000000"/>
                <w:kern w:val="2"/>
                <w:sz w:val="24"/>
                <w:szCs w:val="24"/>
                <w:highlight w:val="none"/>
                <w:vertAlign w:val="baseline"/>
              </w:rPr>
              <w:t>202</w:t>
            </w:r>
            <w:r>
              <w:rPr>
                <w:rFonts w:hint="eastAsia" w:ascii="宋体" w:hAnsi="宋体" w:eastAsia="宋体" w:cs="宋体"/>
                <w:b w:val="0"/>
                <w:bCs/>
                <w:color w:val="000000"/>
                <w:kern w:val="2"/>
                <w:sz w:val="24"/>
                <w:szCs w:val="24"/>
                <w:highlight w:val="none"/>
                <w:vertAlign w:val="baseline"/>
                <w:lang w:val="en-US" w:eastAsia="zh-CN"/>
              </w:rPr>
              <w:t>6</w:t>
            </w:r>
            <w:r>
              <w:rPr>
                <w:rFonts w:hint="eastAsia" w:ascii="宋体" w:hAnsi="宋体" w:eastAsia="宋体" w:cs="宋体"/>
                <w:b w:val="0"/>
                <w:bCs/>
                <w:color w:val="000000"/>
                <w:kern w:val="2"/>
                <w:sz w:val="24"/>
                <w:szCs w:val="24"/>
                <w:highlight w:val="none"/>
                <w:vertAlign w:val="baseline"/>
              </w:rPr>
              <w:t>年翔鹭码头职业病危害因素定期检测</w:t>
            </w:r>
          </w:p>
        </w:tc>
        <w:tc>
          <w:tcPr>
            <w:tcW w:w="2460" w:type="dxa"/>
            <w:vAlign w:val="center"/>
          </w:tcPr>
          <w:p w14:paraId="25928DF6">
            <w:pPr>
              <w:keepNext w:val="0"/>
              <w:keepLines w:val="0"/>
              <w:widowControl/>
              <w:suppressLineNumbers w:val="0"/>
              <w:spacing w:before="0" w:beforeAutospacing="0" w:after="0" w:afterAutospacing="0" w:line="360" w:lineRule="auto"/>
              <w:ind w:left="0" w:right="0"/>
              <w:jc w:val="center"/>
              <w:rPr>
                <w:rFonts w:hint="default" w:asciiTheme="minorEastAsia" w:hAnsiTheme="minorEastAsia" w:eastAsiaTheme="minorEastAsia"/>
                <w:b w:val="0"/>
                <w:bCs/>
                <w:kern w:val="2"/>
                <w:sz w:val="24"/>
                <w:lang w:val="en-US" w:eastAsia="zh-CN"/>
              </w:rPr>
            </w:pPr>
          </w:p>
        </w:tc>
      </w:tr>
      <w:tr w14:paraId="4A9A09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27" w:type="dxa"/>
            <w:vAlign w:val="top"/>
          </w:tcPr>
          <w:p w14:paraId="15FD87EA">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kern w:val="2"/>
                <w:sz w:val="24"/>
              </w:rPr>
            </w:pPr>
            <w:r>
              <w:rPr>
                <w:rFonts w:hint="eastAsia" w:ascii="宋体" w:hAnsi="宋体" w:eastAsia="宋体" w:cs="宋体"/>
                <w:b w:val="0"/>
                <w:bCs/>
                <w:color w:val="000000"/>
                <w:kern w:val="2"/>
                <w:sz w:val="24"/>
                <w:szCs w:val="24"/>
                <w:highlight w:val="none"/>
                <w:vertAlign w:val="baseline"/>
                <w:lang w:val="en-US" w:eastAsia="zh-CN"/>
              </w:rPr>
              <w:t>2</w:t>
            </w:r>
          </w:p>
        </w:tc>
        <w:tc>
          <w:tcPr>
            <w:tcW w:w="5435" w:type="dxa"/>
            <w:vAlign w:val="top"/>
          </w:tcPr>
          <w:p w14:paraId="5DB4F16D">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kern w:val="2"/>
                <w:sz w:val="24"/>
              </w:rPr>
            </w:pPr>
            <w:r>
              <w:rPr>
                <w:rFonts w:hint="eastAsia" w:ascii="宋体" w:hAnsi="宋体" w:eastAsia="宋体" w:cs="宋体"/>
                <w:b w:val="0"/>
                <w:bCs/>
                <w:color w:val="000000"/>
                <w:kern w:val="2"/>
                <w:sz w:val="24"/>
                <w:szCs w:val="24"/>
                <w:highlight w:val="none"/>
                <w:vertAlign w:val="baseline"/>
                <w:lang w:val="en-US" w:eastAsia="zh-CN"/>
              </w:rPr>
              <w:t>2026年古蕾化学</w:t>
            </w:r>
            <w:r>
              <w:rPr>
                <w:rFonts w:hint="eastAsia" w:ascii="宋体" w:hAnsi="宋体" w:eastAsia="宋体" w:cs="宋体"/>
                <w:b w:val="0"/>
                <w:bCs/>
                <w:color w:val="000000"/>
                <w:kern w:val="2"/>
                <w:sz w:val="24"/>
                <w:szCs w:val="24"/>
                <w:highlight w:val="none"/>
                <w:vertAlign w:val="baseline"/>
              </w:rPr>
              <w:t>职业病危害因素定期检测</w:t>
            </w:r>
          </w:p>
        </w:tc>
        <w:tc>
          <w:tcPr>
            <w:tcW w:w="2460" w:type="dxa"/>
            <w:vAlign w:val="center"/>
          </w:tcPr>
          <w:p w14:paraId="6C9DC35C">
            <w:pPr>
              <w:keepNext w:val="0"/>
              <w:keepLines w:val="0"/>
              <w:widowControl/>
              <w:suppressLineNumbers w:val="0"/>
              <w:spacing w:before="0" w:beforeAutospacing="0" w:after="0" w:afterAutospacing="0" w:line="360" w:lineRule="auto"/>
              <w:ind w:left="0" w:right="0"/>
              <w:jc w:val="center"/>
              <w:rPr>
                <w:rFonts w:hint="default" w:asciiTheme="minorEastAsia" w:hAnsiTheme="minorEastAsia" w:eastAsiaTheme="minorEastAsia"/>
                <w:b w:val="0"/>
                <w:bCs/>
                <w:kern w:val="2"/>
                <w:sz w:val="24"/>
                <w:lang w:val="en-US" w:eastAsia="zh-CN"/>
              </w:rPr>
            </w:pPr>
          </w:p>
        </w:tc>
      </w:tr>
      <w:tr w14:paraId="5FF11F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27" w:type="dxa"/>
            <w:vAlign w:val="top"/>
          </w:tcPr>
          <w:p w14:paraId="126A4C62">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kern w:val="2"/>
                <w:sz w:val="24"/>
              </w:rPr>
            </w:pPr>
            <w:r>
              <w:rPr>
                <w:rFonts w:hint="eastAsia" w:ascii="宋体" w:hAnsi="宋体" w:eastAsia="宋体" w:cs="宋体"/>
                <w:b w:val="0"/>
                <w:bCs/>
                <w:color w:val="000000"/>
                <w:kern w:val="2"/>
                <w:sz w:val="24"/>
                <w:szCs w:val="24"/>
                <w:highlight w:val="none"/>
                <w:vertAlign w:val="baseline"/>
                <w:lang w:val="en-US" w:eastAsia="zh-CN"/>
              </w:rPr>
              <w:t>3</w:t>
            </w:r>
          </w:p>
        </w:tc>
        <w:tc>
          <w:tcPr>
            <w:tcW w:w="5435" w:type="dxa"/>
            <w:vAlign w:val="top"/>
          </w:tcPr>
          <w:p w14:paraId="475831D8">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kern w:val="2"/>
                <w:sz w:val="24"/>
                <w:highlight w:val="none"/>
              </w:rPr>
            </w:pPr>
            <w:r>
              <w:rPr>
                <w:rFonts w:hint="eastAsia" w:ascii="宋体" w:hAnsi="宋体" w:eastAsia="宋体" w:cs="宋体"/>
                <w:b w:val="0"/>
                <w:bCs/>
                <w:color w:val="000000"/>
                <w:kern w:val="2"/>
                <w:sz w:val="24"/>
                <w:szCs w:val="24"/>
                <w:highlight w:val="none"/>
                <w:vertAlign w:val="baseline"/>
              </w:rPr>
              <w:t>202</w:t>
            </w:r>
            <w:r>
              <w:rPr>
                <w:rFonts w:hint="eastAsia" w:ascii="宋体" w:hAnsi="宋体" w:eastAsia="宋体" w:cs="宋体"/>
                <w:b w:val="0"/>
                <w:bCs/>
                <w:color w:val="000000"/>
                <w:kern w:val="2"/>
                <w:sz w:val="24"/>
                <w:szCs w:val="24"/>
                <w:highlight w:val="none"/>
                <w:vertAlign w:val="baseline"/>
                <w:lang w:val="en-US" w:eastAsia="zh-CN"/>
              </w:rPr>
              <w:t>6</w:t>
            </w:r>
            <w:r>
              <w:rPr>
                <w:rFonts w:hint="eastAsia" w:ascii="宋体" w:hAnsi="宋体" w:eastAsia="宋体" w:cs="宋体"/>
                <w:b w:val="0"/>
                <w:bCs/>
                <w:color w:val="000000"/>
                <w:kern w:val="2"/>
                <w:sz w:val="24"/>
                <w:szCs w:val="24"/>
                <w:highlight w:val="none"/>
                <w:vertAlign w:val="baseline"/>
              </w:rPr>
              <w:t>年腾龙芳烃职业病危害因素定期检测</w:t>
            </w:r>
          </w:p>
        </w:tc>
        <w:tc>
          <w:tcPr>
            <w:tcW w:w="2460" w:type="dxa"/>
            <w:vAlign w:val="center"/>
          </w:tcPr>
          <w:p w14:paraId="0FB11F5B">
            <w:pPr>
              <w:keepNext w:val="0"/>
              <w:keepLines w:val="0"/>
              <w:widowControl/>
              <w:suppressLineNumbers w:val="0"/>
              <w:spacing w:before="0" w:beforeAutospacing="0" w:after="0" w:afterAutospacing="0" w:line="360" w:lineRule="auto"/>
              <w:ind w:left="0" w:right="0"/>
              <w:jc w:val="center"/>
              <w:rPr>
                <w:rFonts w:hint="default" w:asciiTheme="minorEastAsia" w:hAnsiTheme="minorEastAsia" w:eastAsiaTheme="minorEastAsia"/>
                <w:b w:val="0"/>
                <w:bCs/>
                <w:kern w:val="2"/>
                <w:sz w:val="24"/>
                <w:lang w:val="en-US" w:eastAsia="zh-CN"/>
              </w:rPr>
            </w:pPr>
          </w:p>
        </w:tc>
      </w:tr>
      <w:tr w14:paraId="003267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27" w:type="dxa"/>
            <w:vAlign w:val="top"/>
          </w:tcPr>
          <w:p w14:paraId="206EA8F0">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kern w:val="2"/>
                <w:sz w:val="24"/>
              </w:rPr>
            </w:pPr>
            <w:r>
              <w:rPr>
                <w:rFonts w:hint="eastAsia" w:ascii="宋体" w:hAnsi="宋体" w:eastAsia="宋体" w:cs="宋体"/>
                <w:b w:val="0"/>
                <w:bCs/>
                <w:color w:val="000000"/>
                <w:kern w:val="2"/>
                <w:sz w:val="24"/>
                <w:szCs w:val="24"/>
                <w:highlight w:val="none"/>
                <w:vertAlign w:val="baseline"/>
                <w:lang w:val="en-US" w:eastAsia="zh-CN"/>
              </w:rPr>
              <w:t>4</w:t>
            </w:r>
          </w:p>
        </w:tc>
        <w:tc>
          <w:tcPr>
            <w:tcW w:w="5435" w:type="dxa"/>
            <w:vAlign w:val="top"/>
          </w:tcPr>
          <w:p w14:paraId="1B0D4A2D">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kern w:val="2"/>
                <w:sz w:val="24"/>
                <w:highlight w:val="none"/>
              </w:rPr>
            </w:pPr>
            <w:r>
              <w:rPr>
                <w:rFonts w:hint="eastAsia" w:ascii="宋体" w:hAnsi="宋体" w:eastAsia="宋体" w:cs="宋体"/>
                <w:b w:val="0"/>
                <w:bCs/>
                <w:color w:val="000000"/>
                <w:kern w:val="2"/>
                <w:sz w:val="24"/>
                <w:szCs w:val="24"/>
                <w:highlight w:val="none"/>
                <w:vertAlign w:val="baseline"/>
              </w:rPr>
              <w:t>202</w:t>
            </w:r>
            <w:r>
              <w:rPr>
                <w:rFonts w:hint="eastAsia" w:ascii="宋体" w:hAnsi="宋体" w:eastAsia="宋体" w:cs="宋体"/>
                <w:b w:val="0"/>
                <w:bCs/>
                <w:color w:val="000000"/>
                <w:kern w:val="2"/>
                <w:sz w:val="24"/>
                <w:szCs w:val="24"/>
                <w:highlight w:val="none"/>
                <w:vertAlign w:val="baseline"/>
                <w:lang w:val="en-US" w:eastAsia="zh-CN"/>
              </w:rPr>
              <w:t>6</w:t>
            </w:r>
            <w:r>
              <w:rPr>
                <w:rFonts w:hint="eastAsia" w:ascii="宋体" w:hAnsi="宋体" w:eastAsia="宋体" w:cs="宋体"/>
                <w:b w:val="0"/>
                <w:bCs/>
                <w:color w:val="000000"/>
                <w:kern w:val="2"/>
                <w:sz w:val="24"/>
                <w:szCs w:val="24"/>
                <w:highlight w:val="none"/>
                <w:vertAlign w:val="baseline"/>
              </w:rPr>
              <w:t>年</w:t>
            </w:r>
            <w:r>
              <w:rPr>
                <w:rFonts w:hint="eastAsia" w:ascii="宋体" w:hAnsi="宋体" w:eastAsia="宋体" w:cs="宋体"/>
                <w:b w:val="0"/>
                <w:bCs/>
                <w:color w:val="000000"/>
                <w:kern w:val="2"/>
                <w:sz w:val="24"/>
                <w:szCs w:val="24"/>
                <w:highlight w:val="none"/>
                <w:vertAlign w:val="baseline"/>
                <w:lang w:eastAsia="zh-CN"/>
              </w:rPr>
              <w:t>福海创</w:t>
            </w:r>
            <w:r>
              <w:rPr>
                <w:rFonts w:hint="eastAsia" w:ascii="宋体" w:hAnsi="宋体" w:eastAsia="宋体" w:cs="宋体"/>
                <w:b w:val="0"/>
                <w:bCs/>
                <w:color w:val="000000"/>
                <w:kern w:val="2"/>
                <w:sz w:val="24"/>
                <w:szCs w:val="24"/>
                <w:highlight w:val="none"/>
                <w:vertAlign w:val="baseline"/>
              </w:rPr>
              <w:t>职业病危害因素定期检测</w:t>
            </w:r>
          </w:p>
        </w:tc>
        <w:tc>
          <w:tcPr>
            <w:tcW w:w="2460" w:type="dxa"/>
            <w:vAlign w:val="center"/>
          </w:tcPr>
          <w:p w14:paraId="31EF8AA7">
            <w:pPr>
              <w:keepNext w:val="0"/>
              <w:keepLines w:val="0"/>
              <w:widowControl/>
              <w:suppressLineNumbers w:val="0"/>
              <w:spacing w:before="0" w:beforeAutospacing="0" w:after="0" w:afterAutospacing="0" w:line="360" w:lineRule="auto"/>
              <w:ind w:left="0" w:right="0"/>
              <w:jc w:val="center"/>
              <w:rPr>
                <w:rFonts w:hint="default" w:asciiTheme="minorEastAsia" w:hAnsiTheme="minorEastAsia" w:eastAsiaTheme="minorEastAsia"/>
                <w:b w:val="0"/>
                <w:bCs/>
                <w:kern w:val="2"/>
                <w:sz w:val="24"/>
                <w:lang w:val="en-US" w:eastAsia="zh-CN"/>
              </w:rPr>
            </w:pPr>
          </w:p>
        </w:tc>
      </w:tr>
      <w:tr w14:paraId="1E5887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27" w:type="dxa"/>
            <w:vAlign w:val="top"/>
          </w:tcPr>
          <w:p w14:paraId="078A455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kern w:val="2"/>
                <w:sz w:val="24"/>
              </w:rPr>
            </w:pPr>
            <w:r>
              <w:rPr>
                <w:rFonts w:hint="eastAsia" w:ascii="宋体" w:hAnsi="宋体" w:eastAsia="宋体" w:cs="宋体"/>
                <w:b w:val="0"/>
                <w:bCs/>
                <w:color w:val="000000"/>
                <w:kern w:val="2"/>
                <w:sz w:val="24"/>
                <w:szCs w:val="24"/>
                <w:highlight w:val="none"/>
                <w:vertAlign w:val="baseline"/>
                <w:lang w:val="en-US" w:eastAsia="zh-CN"/>
              </w:rPr>
              <w:t>5</w:t>
            </w:r>
          </w:p>
        </w:tc>
        <w:tc>
          <w:tcPr>
            <w:tcW w:w="5435" w:type="dxa"/>
            <w:vAlign w:val="top"/>
          </w:tcPr>
          <w:p w14:paraId="1A83ACB9">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kern w:val="2"/>
                <w:sz w:val="24"/>
              </w:rPr>
            </w:pPr>
            <w:r>
              <w:rPr>
                <w:rFonts w:hint="eastAsia" w:ascii="宋体" w:hAnsi="宋体" w:eastAsia="宋体" w:cs="宋体"/>
                <w:b w:val="0"/>
                <w:bCs/>
                <w:color w:val="000000"/>
                <w:kern w:val="2"/>
                <w:sz w:val="24"/>
                <w:szCs w:val="24"/>
                <w:highlight w:val="none"/>
                <w:vertAlign w:val="baseline"/>
              </w:rPr>
              <w:t>202</w:t>
            </w:r>
            <w:r>
              <w:rPr>
                <w:rFonts w:hint="eastAsia" w:ascii="宋体" w:hAnsi="宋体" w:eastAsia="宋体" w:cs="宋体"/>
                <w:b w:val="0"/>
                <w:bCs/>
                <w:color w:val="000000"/>
                <w:kern w:val="2"/>
                <w:sz w:val="24"/>
                <w:szCs w:val="24"/>
                <w:highlight w:val="none"/>
                <w:vertAlign w:val="baseline"/>
                <w:lang w:val="en-US" w:eastAsia="zh-CN"/>
              </w:rPr>
              <w:t>6</w:t>
            </w:r>
            <w:r>
              <w:rPr>
                <w:rFonts w:hint="eastAsia" w:ascii="宋体" w:hAnsi="宋体" w:eastAsia="宋体" w:cs="宋体"/>
                <w:b w:val="0"/>
                <w:bCs/>
                <w:color w:val="000000"/>
                <w:kern w:val="2"/>
                <w:sz w:val="24"/>
                <w:szCs w:val="24"/>
                <w:highlight w:val="none"/>
                <w:vertAlign w:val="baseline"/>
              </w:rPr>
              <w:t>年上半年腾龙芳烃高毒控制效果评价</w:t>
            </w:r>
          </w:p>
        </w:tc>
        <w:tc>
          <w:tcPr>
            <w:tcW w:w="2460" w:type="dxa"/>
            <w:vAlign w:val="center"/>
          </w:tcPr>
          <w:p w14:paraId="436FFD47">
            <w:pPr>
              <w:keepNext w:val="0"/>
              <w:keepLines w:val="0"/>
              <w:widowControl/>
              <w:suppressLineNumbers w:val="0"/>
              <w:spacing w:before="0" w:beforeAutospacing="0" w:after="0" w:afterAutospacing="0" w:line="360" w:lineRule="auto"/>
              <w:ind w:left="0" w:right="0"/>
              <w:jc w:val="center"/>
              <w:rPr>
                <w:rFonts w:hint="default" w:asciiTheme="minorEastAsia" w:hAnsiTheme="minorEastAsia" w:eastAsiaTheme="minorEastAsia"/>
                <w:b w:val="0"/>
                <w:bCs/>
                <w:kern w:val="2"/>
                <w:sz w:val="24"/>
                <w:lang w:val="en-US" w:eastAsia="zh-CN"/>
              </w:rPr>
            </w:pPr>
          </w:p>
        </w:tc>
      </w:tr>
      <w:tr w14:paraId="7F0C23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27" w:type="dxa"/>
            <w:vAlign w:val="top"/>
          </w:tcPr>
          <w:p w14:paraId="3B5F6EE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kern w:val="2"/>
                <w:sz w:val="24"/>
              </w:rPr>
            </w:pPr>
            <w:r>
              <w:rPr>
                <w:rFonts w:hint="eastAsia" w:ascii="宋体" w:hAnsi="宋体" w:eastAsia="宋体" w:cs="宋体"/>
                <w:b w:val="0"/>
                <w:bCs/>
                <w:color w:val="000000"/>
                <w:kern w:val="2"/>
                <w:sz w:val="24"/>
                <w:szCs w:val="24"/>
                <w:highlight w:val="none"/>
                <w:vertAlign w:val="baseline"/>
                <w:lang w:val="en-US" w:eastAsia="zh-CN"/>
              </w:rPr>
              <w:t>6</w:t>
            </w:r>
          </w:p>
        </w:tc>
        <w:tc>
          <w:tcPr>
            <w:tcW w:w="5435" w:type="dxa"/>
            <w:vAlign w:val="top"/>
          </w:tcPr>
          <w:p w14:paraId="793E9ECC">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kern w:val="2"/>
                <w:sz w:val="24"/>
                <w:highlight w:val="none"/>
              </w:rPr>
            </w:pPr>
            <w:r>
              <w:rPr>
                <w:rFonts w:hint="eastAsia" w:ascii="宋体" w:hAnsi="宋体" w:eastAsia="宋体" w:cs="宋体"/>
                <w:b w:val="0"/>
                <w:bCs/>
                <w:color w:val="000000"/>
                <w:kern w:val="2"/>
                <w:sz w:val="24"/>
                <w:szCs w:val="24"/>
                <w:highlight w:val="none"/>
                <w:vertAlign w:val="baseline"/>
              </w:rPr>
              <w:t>202</w:t>
            </w:r>
            <w:r>
              <w:rPr>
                <w:rFonts w:hint="eastAsia" w:ascii="宋体" w:hAnsi="宋体" w:eastAsia="宋体" w:cs="宋体"/>
                <w:b w:val="0"/>
                <w:bCs/>
                <w:color w:val="000000"/>
                <w:kern w:val="2"/>
                <w:sz w:val="24"/>
                <w:szCs w:val="24"/>
                <w:highlight w:val="none"/>
                <w:vertAlign w:val="baseline"/>
                <w:lang w:val="en-US" w:eastAsia="zh-CN"/>
              </w:rPr>
              <w:t>6</w:t>
            </w:r>
            <w:r>
              <w:rPr>
                <w:rFonts w:hint="eastAsia" w:ascii="宋体" w:hAnsi="宋体" w:eastAsia="宋体" w:cs="宋体"/>
                <w:b w:val="0"/>
                <w:bCs/>
                <w:color w:val="000000"/>
                <w:kern w:val="2"/>
                <w:sz w:val="24"/>
                <w:szCs w:val="24"/>
                <w:highlight w:val="none"/>
                <w:vertAlign w:val="baseline"/>
              </w:rPr>
              <w:t>年下半年腾龙芳烃高毒控制效果评价</w:t>
            </w:r>
          </w:p>
        </w:tc>
        <w:tc>
          <w:tcPr>
            <w:tcW w:w="2460" w:type="dxa"/>
            <w:vAlign w:val="center"/>
          </w:tcPr>
          <w:p w14:paraId="08791E58">
            <w:pPr>
              <w:keepNext w:val="0"/>
              <w:keepLines w:val="0"/>
              <w:widowControl/>
              <w:suppressLineNumbers w:val="0"/>
              <w:spacing w:before="0" w:beforeAutospacing="0" w:after="0" w:afterAutospacing="0" w:line="360" w:lineRule="auto"/>
              <w:ind w:left="0" w:right="0"/>
              <w:jc w:val="center"/>
              <w:rPr>
                <w:rFonts w:hint="default" w:asciiTheme="minorEastAsia" w:hAnsiTheme="minorEastAsia" w:eastAsiaTheme="minorEastAsia"/>
                <w:b w:val="0"/>
                <w:bCs/>
                <w:kern w:val="2"/>
                <w:sz w:val="24"/>
                <w:lang w:val="en-US" w:eastAsia="zh-CN"/>
              </w:rPr>
            </w:pPr>
          </w:p>
        </w:tc>
      </w:tr>
      <w:tr w14:paraId="180FBA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27" w:type="dxa"/>
            <w:vAlign w:val="top"/>
          </w:tcPr>
          <w:p w14:paraId="0797721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kern w:val="2"/>
                <w:sz w:val="24"/>
              </w:rPr>
            </w:pPr>
            <w:r>
              <w:rPr>
                <w:rFonts w:hint="eastAsia" w:ascii="宋体" w:hAnsi="宋体" w:eastAsia="宋体" w:cs="宋体"/>
                <w:b w:val="0"/>
                <w:bCs/>
                <w:color w:val="000000"/>
                <w:kern w:val="2"/>
                <w:sz w:val="24"/>
                <w:szCs w:val="24"/>
                <w:highlight w:val="none"/>
                <w:vertAlign w:val="baseline"/>
                <w:lang w:val="en-US" w:eastAsia="zh-CN"/>
              </w:rPr>
              <w:t>7</w:t>
            </w:r>
          </w:p>
        </w:tc>
        <w:tc>
          <w:tcPr>
            <w:tcW w:w="5435" w:type="dxa"/>
            <w:vAlign w:val="top"/>
          </w:tcPr>
          <w:p w14:paraId="7757C23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kern w:val="2"/>
                <w:sz w:val="24"/>
                <w:highlight w:val="none"/>
              </w:rPr>
            </w:pPr>
            <w:r>
              <w:rPr>
                <w:rFonts w:hint="eastAsia" w:ascii="宋体" w:hAnsi="宋体" w:eastAsia="宋体" w:cs="宋体"/>
                <w:b w:val="0"/>
                <w:bCs/>
                <w:color w:val="000000"/>
                <w:kern w:val="2"/>
                <w:sz w:val="24"/>
                <w:szCs w:val="24"/>
                <w:highlight w:val="none"/>
                <w:vertAlign w:val="baseline"/>
              </w:rPr>
              <w:t>202</w:t>
            </w:r>
            <w:r>
              <w:rPr>
                <w:rFonts w:hint="eastAsia" w:ascii="宋体" w:hAnsi="宋体" w:eastAsia="宋体" w:cs="宋体"/>
                <w:b w:val="0"/>
                <w:bCs/>
                <w:color w:val="000000"/>
                <w:kern w:val="2"/>
                <w:sz w:val="24"/>
                <w:szCs w:val="24"/>
                <w:highlight w:val="none"/>
                <w:vertAlign w:val="baseline"/>
                <w:lang w:val="en-US" w:eastAsia="zh-CN"/>
              </w:rPr>
              <w:t>6</w:t>
            </w:r>
            <w:r>
              <w:rPr>
                <w:rFonts w:hint="eastAsia" w:ascii="宋体" w:hAnsi="宋体" w:eastAsia="宋体" w:cs="宋体"/>
                <w:b w:val="0"/>
                <w:bCs/>
                <w:color w:val="000000"/>
                <w:kern w:val="2"/>
                <w:sz w:val="24"/>
                <w:szCs w:val="24"/>
                <w:highlight w:val="none"/>
                <w:vertAlign w:val="baseline"/>
              </w:rPr>
              <w:t>年</w:t>
            </w:r>
            <w:r>
              <w:rPr>
                <w:rFonts w:hint="eastAsia" w:ascii="宋体" w:hAnsi="宋体" w:cs="宋体"/>
                <w:b w:val="0"/>
                <w:bCs/>
                <w:color w:val="000000"/>
                <w:kern w:val="2"/>
                <w:sz w:val="24"/>
                <w:szCs w:val="24"/>
                <w:highlight w:val="none"/>
                <w:vertAlign w:val="baseline"/>
                <w:lang w:eastAsia="zh-CN"/>
              </w:rPr>
              <w:t>上</w:t>
            </w:r>
            <w:r>
              <w:rPr>
                <w:rFonts w:hint="eastAsia" w:ascii="宋体" w:hAnsi="宋体" w:eastAsia="宋体" w:cs="宋体"/>
                <w:b w:val="0"/>
                <w:bCs/>
                <w:color w:val="000000"/>
                <w:kern w:val="2"/>
                <w:sz w:val="24"/>
                <w:szCs w:val="24"/>
                <w:highlight w:val="none"/>
                <w:vertAlign w:val="baseline"/>
              </w:rPr>
              <w:t>半年</w:t>
            </w:r>
            <w:r>
              <w:rPr>
                <w:rFonts w:hint="eastAsia" w:ascii="宋体" w:hAnsi="宋体" w:eastAsia="宋体" w:cs="宋体"/>
                <w:b w:val="0"/>
                <w:bCs/>
                <w:color w:val="000000"/>
                <w:kern w:val="2"/>
                <w:sz w:val="24"/>
                <w:szCs w:val="24"/>
                <w:highlight w:val="none"/>
                <w:vertAlign w:val="baseline"/>
                <w:lang w:eastAsia="zh-CN"/>
              </w:rPr>
              <w:t>福海创</w:t>
            </w:r>
            <w:r>
              <w:rPr>
                <w:rFonts w:hint="eastAsia" w:ascii="宋体" w:hAnsi="宋体" w:eastAsia="宋体" w:cs="宋体"/>
                <w:b w:val="0"/>
                <w:bCs/>
                <w:color w:val="000000"/>
                <w:kern w:val="2"/>
                <w:sz w:val="24"/>
                <w:szCs w:val="24"/>
                <w:highlight w:val="none"/>
                <w:vertAlign w:val="baseline"/>
              </w:rPr>
              <w:t>高毒控制效果评价</w:t>
            </w:r>
          </w:p>
        </w:tc>
        <w:tc>
          <w:tcPr>
            <w:tcW w:w="2460" w:type="dxa"/>
            <w:vAlign w:val="center"/>
          </w:tcPr>
          <w:p w14:paraId="183E126F">
            <w:pPr>
              <w:keepNext w:val="0"/>
              <w:keepLines w:val="0"/>
              <w:widowControl/>
              <w:suppressLineNumbers w:val="0"/>
              <w:spacing w:before="0" w:beforeAutospacing="0" w:after="0" w:afterAutospacing="0" w:line="360" w:lineRule="auto"/>
              <w:ind w:left="0" w:right="0"/>
              <w:jc w:val="center"/>
              <w:rPr>
                <w:rFonts w:hint="default" w:asciiTheme="minorEastAsia" w:hAnsiTheme="minorEastAsia" w:eastAsiaTheme="minorEastAsia"/>
                <w:b w:val="0"/>
                <w:bCs/>
                <w:kern w:val="2"/>
                <w:sz w:val="24"/>
                <w:lang w:val="en-US" w:eastAsia="zh-CN"/>
              </w:rPr>
            </w:pPr>
          </w:p>
        </w:tc>
      </w:tr>
      <w:tr w14:paraId="40BD8A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27" w:type="dxa"/>
            <w:vAlign w:val="top"/>
          </w:tcPr>
          <w:p w14:paraId="3A5EAB7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kern w:val="2"/>
                <w:sz w:val="24"/>
              </w:rPr>
            </w:pPr>
            <w:r>
              <w:rPr>
                <w:rFonts w:hint="eastAsia" w:ascii="宋体" w:hAnsi="宋体" w:eastAsia="宋体" w:cs="宋体"/>
                <w:b w:val="0"/>
                <w:bCs/>
                <w:color w:val="000000"/>
                <w:kern w:val="2"/>
                <w:sz w:val="24"/>
                <w:szCs w:val="24"/>
                <w:highlight w:val="none"/>
                <w:vertAlign w:val="baseline"/>
                <w:lang w:val="en-US" w:eastAsia="zh-CN"/>
              </w:rPr>
              <w:t>8</w:t>
            </w:r>
          </w:p>
        </w:tc>
        <w:tc>
          <w:tcPr>
            <w:tcW w:w="5435" w:type="dxa"/>
            <w:vAlign w:val="top"/>
          </w:tcPr>
          <w:p w14:paraId="0AA5607C">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kern w:val="2"/>
                <w:sz w:val="24"/>
                <w:highlight w:val="none"/>
              </w:rPr>
            </w:pPr>
            <w:r>
              <w:rPr>
                <w:rFonts w:hint="eastAsia" w:ascii="宋体" w:hAnsi="宋体" w:eastAsia="宋体" w:cs="宋体"/>
                <w:b w:val="0"/>
                <w:bCs/>
                <w:color w:val="000000"/>
                <w:kern w:val="2"/>
                <w:sz w:val="24"/>
                <w:szCs w:val="24"/>
                <w:highlight w:val="none"/>
                <w:vertAlign w:val="baseline"/>
              </w:rPr>
              <w:t>202</w:t>
            </w:r>
            <w:r>
              <w:rPr>
                <w:rFonts w:hint="eastAsia" w:ascii="宋体" w:hAnsi="宋体" w:eastAsia="宋体" w:cs="宋体"/>
                <w:b w:val="0"/>
                <w:bCs/>
                <w:color w:val="000000"/>
                <w:kern w:val="2"/>
                <w:sz w:val="24"/>
                <w:szCs w:val="24"/>
                <w:highlight w:val="none"/>
                <w:vertAlign w:val="baseline"/>
                <w:lang w:val="en-US" w:eastAsia="zh-CN"/>
              </w:rPr>
              <w:t>6</w:t>
            </w:r>
            <w:r>
              <w:rPr>
                <w:rFonts w:hint="eastAsia" w:ascii="宋体" w:hAnsi="宋体" w:eastAsia="宋体" w:cs="宋体"/>
                <w:b w:val="0"/>
                <w:bCs/>
                <w:color w:val="000000"/>
                <w:kern w:val="2"/>
                <w:sz w:val="24"/>
                <w:szCs w:val="24"/>
                <w:highlight w:val="none"/>
                <w:vertAlign w:val="baseline"/>
              </w:rPr>
              <w:t>年</w:t>
            </w:r>
            <w:r>
              <w:rPr>
                <w:rFonts w:hint="eastAsia" w:ascii="宋体" w:hAnsi="宋体" w:eastAsia="宋体" w:cs="宋体"/>
                <w:b w:val="0"/>
                <w:bCs/>
                <w:color w:val="000000"/>
                <w:kern w:val="2"/>
                <w:sz w:val="24"/>
                <w:szCs w:val="24"/>
                <w:highlight w:val="none"/>
                <w:vertAlign w:val="baseline"/>
                <w:lang w:eastAsia="zh-CN"/>
              </w:rPr>
              <w:t>下</w:t>
            </w:r>
            <w:r>
              <w:rPr>
                <w:rFonts w:hint="eastAsia" w:ascii="宋体" w:hAnsi="宋体" w:eastAsia="宋体" w:cs="宋体"/>
                <w:b w:val="0"/>
                <w:bCs/>
                <w:color w:val="000000"/>
                <w:kern w:val="2"/>
                <w:sz w:val="24"/>
                <w:szCs w:val="24"/>
                <w:highlight w:val="none"/>
                <w:vertAlign w:val="baseline"/>
              </w:rPr>
              <w:t>半年</w:t>
            </w:r>
            <w:r>
              <w:rPr>
                <w:rFonts w:hint="eastAsia" w:ascii="宋体" w:hAnsi="宋体" w:eastAsia="宋体" w:cs="宋体"/>
                <w:b w:val="0"/>
                <w:bCs/>
                <w:color w:val="000000"/>
                <w:kern w:val="2"/>
                <w:sz w:val="24"/>
                <w:szCs w:val="24"/>
                <w:highlight w:val="none"/>
                <w:vertAlign w:val="baseline"/>
                <w:lang w:eastAsia="zh-CN"/>
              </w:rPr>
              <w:t>福海创</w:t>
            </w:r>
            <w:r>
              <w:rPr>
                <w:rFonts w:hint="eastAsia" w:ascii="宋体" w:hAnsi="宋体" w:eastAsia="宋体" w:cs="宋体"/>
                <w:b w:val="0"/>
                <w:bCs/>
                <w:color w:val="000000"/>
                <w:kern w:val="2"/>
                <w:sz w:val="24"/>
                <w:szCs w:val="24"/>
                <w:highlight w:val="none"/>
                <w:vertAlign w:val="baseline"/>
              </w:rPr>
              <w:t>高毒控制效果评价</w:t>
            </w:r>
          </w:p>
        </w:tc>
        <w:tc>
          <w:tcPr>
            <w:tcW w:w="2460" w:type="dxa"/>
            <w:vAlign w:val="center"/>
          </w:tcPr>
          <w:p w14:paraId="46C2A6D7">
            <w:pPr>
              <w:keepNext w:val="0"/>
              <w:keepLines w:val="0"/>
              <w:widowControl/>
              <w:suppressLineNumbers w:val="0"/>
              <w:spacing w:before="0" w:beforeAutospacing="0" w:after="0" w:afterAutospacing="0" w:line="360" w:lineRule="auto"/>
              <w:ind w:left="0" w:right="0"/>
              <w:jc w:val="center"/>
              <w:rPr>
                <w:rFonts w:hint="default" w:asciiTheme="minorEastAsia" w:hAnsiTheme="minorEastAsia" w:eastAsiaTheme="minorEastAsia"/>
                <w:b w:val="0"/>
                <w:bCs/>
                <w:kern w:val="2"/>
                <w:sz w:val="24"/>
                <w:lang w:val="en-US" w:eastAsia="zh-CN"/>
              </w:rPr>
            </w:pPr>
          </w:p>
        </w:tc>
      </w:tr>
      <w:tr w14:paraId="3D2055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062" w:type="dxa"/>
            <w:gridSpan w:val="2"/>
            <w:vAlign w:val="top"/>
          </w:tcPr>
          <w:p w14:paraId="6FFD0C4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kern w:val="2"/>
                <w:sz w:val="24"/>
              </w:rPr>
            </w:pPr>
            <w:r>
              <w:rPr>
                <w:rFonts w:hint="eastAsia" w:ascii="宋体" w:hAnsi="宋体" w:eastAsia="宋体" w:cs="宋体"/>
                <w:b w:val="0"/>
                <w:bCs/>
                <w:color w:val="000000"/>
                <w:kern w:val="2"/>
                <w:sz w:val="24"/>
                <w:szCs w:val="24"/>
                <w:highlight w:val="none"/>
                <w:vertAlign w:val="baseline"/>
                <w:lang w:eastAsia="zh-CN"/>
              </w:rPr>
              <w:t>合计</w:t>
            </w:r>
          </w:p>
        </w:tc>
        <w:tc>
          <w:tcPr>
            <w:tcW w:w="2460" w:type="dxa"/>
            <w:vAlign w:val="center"/>
          </w:tcPr>
          <w:p w14:paraId="64590978">
            <w:pPr>
              <w:keepNext w:val="0"/>
              <w:keepLines w:val="0"/>
              <w:widowControl/>
              <w:suppressLineNumbers w:val="0"/>
              <w:spacing w:before="0" w:beforeAutospacing="0" w:after="0" w:afterAutospacing="0" w:line="360" w:lineRule="auto"/>
              <w:ind w:left="0" w:right="0"/>
              <w:jc w:val="center"/>
              <w:rPr>
                <w:rFonts w:hint="default" w:asciiTheme="minorEastAsia" w:hAnsiTheme="minorEastAsia" w:eastAsiaTheme="minorEastAsia"/>
                <w:b w:val="0"/>
                <w:bCs/>
                <w:kern w:val="2"/>
                <w:sz w:val="24"/>
                <w:lang w:val="en-US" w:eastAsia="zh-CN"/>
              </w:rPr>
            </w:pPr>
          </w:p>
        </w:tc>
      </w:tr>
    </w:tbl>
    <w:p w14:paraId="5746E855">
      <w:pPr>
        <w:widowControl/>
        <w:autoSpaceDE/>
        <w:autoSpaceDN/>
        <w:rPr>
          <w:rFonts w:hint="default" w:ascii="Times New Roman" w:hAnsi="Times New Roman" w:eastAsia="宋体" w:cs="Times New Roman"/>
          <w:sz w:val="24"/>
          <w:szCs w:val="24"/>
          <w:lang w:eastAsia="zh-CN"/>
        </w:rPr>
      </w:pPr>
    </w:p>
    <w:p w14:paraId="0EF42749">
      <w:pPr>
        <w:pStyle w:val="5"/>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以上价格为含税包干价，包括了乙方完成本合同约定所有工作所涉及的全部所需费用</w:t>
      </w:r>
      <w:r>
        <w:rPr>
          <w:rFonts w:hint="eastAsia" w:ascii="Times New Roman" w:hAnsi="Times New Roman" w:cs="Times New Roman"/>
          <w:sz w:val="24"/>
          <w:szCs w:val="24"/>
          <w:lang w:eastAsia="zh-CN"/>
        </w:rPr>
        <w:t>，</w:t>
      </w:r>
      <w:r>
        <w:rPr>
          <w:rFonts w:hint="eastAsia" w:ascii="宋体" w:hAnsi="宋体"/>
          <w:color w:val="000000"/>
          <w:sz w:val="24"/>
        </w:rPr>
        <w:t>以实际检测的</w:t>
      </w:r>
      <w:r>
        <w:rPr>
          <w:rFonts w:hint="eastAsia" w:hAnsi="宋体"/>
          <w:color w:val="000000"/>
          <w:sz w:val="24"/>
          <w:lang w:val="en-US" w:eastAsia="zh-CN"/>
        </w:rPr>
        <w:t>装置、项目</w:t>
      </w:r>
      <w:r>
        <w:rPr>
          <w:rFonts w:hint="eastAsia" w:ascii="宋体" w:hAnsi="宋体"/>
          <w:color w:val="000000"/>
          <w:sz w:val="24"/>
        </w:rPr>
        <w:t>进行结算</w:t>
      </w:r>
      <w:r>
        <w:rPr>
          <w:rFonts w:hint="default" w:ascii="Times New Roman" w:hAnsi="Times New Roman" w:eastAsia="宋体" w:cs="Times New Roman"/>
          <w:sz w:val="24"/>
          <w:szCs w:val="24"/>
          <w:lang w:eastAsia="zh-CN"/>
        </w:rPr>
        <w:t>。除非合同另外有约定外，否则甲方不再另外支付任何费用。</w:t>
      </w:r>
    </w:p>
    <w:p w14:paraId="061A8131">
      <w:pPr>
        <w:pStyle w:val="5"/>
        <w:spacing w:line="360" w:lineRule="auto"/>
        <w:ind w:firstLine="482" w:firstLineChars="200"/>
        <w:rPr>
          <w:rFonts w:hint="default" w:ascii="Times New Roman" w:hAnsi="Times New Roman" w:eastAsia="宋体" w:cs="Times New Roman"/>
          <w:b/>
          <w:bCs/>
          <w:color w:val="FF0000"/>
          <w:sz w:val="24"/>
          <w:szCs w:val="24"/>
          <w:lang w:eastAsia="zh-CN"/>
        </w:rPr>
      </w:pPr>
      <w:r>
        <w:rPr>
          <w:rFonts w:hint="default" w:ascii="Times New Roman" w:hAnsi="Times New Roman" w:eastAsia="宋体" w:cs="Times New Roman"/>
          <w:b/>
          <w:bCs/>
          <w:sz w:val="24"/>
          <w:szCs w:val="24"/>
          <w:lang w:eastAsia="zh-CN"/>
        </w:rPr>
        <w:t>具体支付方式和时间分配如下：</w:t>
      </w:r>
    </w:p>
    <w:p w14:paraId="3B2F2172">
      <w:pPr>
        <w:pStyle w:val="5"/>
        <w:spacing w:line="360" w:lineRule="auto"/>
        <w:ind w:firstLine="480" w:firstLineChars="200"/>
        <w:rPr>
          <w:rFonts w:hint="default"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1、</w:t>
      </w:r>
      <w:r>
        <w:rPr>
          <w:rFonts w:hint="default" w:ascii="Times New Roman" w:hAnsi="Times New Roman" w:eastAsia="宋体" w:cs="Times New Roman"/>
          <w:sz w:val="24"/>
          <w:szCs w:val="24"/>
          <w:lang w:eastAsia="zh-CN"/>
        </w:rPr>
        <w:t>乙方按合同约定完成所有相关工作出具相应报告并由甲方认可后，双方确认无误后，乙方开具相应金额100%的增值税专用发票，甲方收到相应发票原件后</w:t>
      </w:r>
      <w:r>
        <w:rPr>
          <w:rFonts w:hint="eastAsia" w:ascii="Times New Roman" w:hAnsi="Times New Roman" w:cs="Times New Roman"/>
          <w:sz w:val="24"/>
          <w:szCs w:val="24"/>
          <w:lang w:val="en-US" w:eastAsia="zh-CN"/>
        </w:rPr>
        <w:t>60</w:t>
      </w:r>
      <w:r>
        <w:rPr>
          <w:rFonts w:hint="default" w:ascii="Times New Roman" w:hAnsi="Times New Roman" w:eastAsia="宋体" w:cs="Times New Roman"/>
          <w:sz w:val="24"/>
          <w:szCs w:val="24"/>
          <w:lang w:eastAsia="zh-CN"/>
        </w:rPr>
        <w:t>日内付清相应金额100%费用。</w:t>
      </w:r>
    </w:p>
    <w:p w14:paraId="1A9DC791">
      <w:pPr>
        <w:pStyle w:val="5"/>
        <w:spacing w:line="360" w:lineRule="auto"/>
        <w:ind w:firstLine="480" w:firstLineChars="200"/>
        <w:rPr>
          <w:rFonts w:hint="default" w:ascii="Times New Roman" w:hAnsi="Times New Roman" w:eastAsia="宋体" w:cs="Times New Roman"/>
          <w:sz w:val="24"/>
          <w:szCs w:val="24"/>
          <w:highlight w:val="yellow"/>
          <w:lang w:eastAsia="zh-CN"/>
        </w:rPr>
      </w:pPr>
      <w:r>
        <w:rPr>
          <w:rFonts w:hint="eastAsia" w:ascii="Times New Roman" w:hAnsi="Times New Roman" w:cs="Times New Roman"/>
          <w:sz w:val="24"/>
          <w:szCs w:val="24"/>
          <w:highlight w:val="yellow"/>
          <w:lang w:val="en-US" w:eastAsia="zh-CN"/>
        </w:rPr>
        <w:t>2、</w:t>
      </w:r>
      <w:r>
        <w:rPr>
          <w:rFonts w:hint="default" w:ascii="Times New Roman" w:hAnsi="Times New Roman" w:eastAsia="宋体" w:cs="Times New Roman"/>
          <w:sz w:val="24"/>
          <w:szCs w:val="24"/>
          <w:highlight w:val="yellow"/>
          <w:lang w:eastAsia="zh-CN"/>
        </w:rPr>
        <w:t>结算时，根据各项目所属公司，分别按以上</w:t>
      </w:r>
      <w:r>
        <w:rPr>
          <w:rFonts w:hint="eastAsia" w:ascii="Times New Roman" w:hAnsi="Times New Roman" w:cs="Times New Roman"/>
          <w:sz w:val="24"/>
          <w:szCs w:val="24"/>
          <w:highlight w:val="yellow"/>
          <w:lang w:val="en-US" w:eastAsia="zh-CN"/>
        </w:rPr>
        <w:t>四</w:t>
      </w:r>
      <w:r>
        <w:rPr>
          <w:rFonts w:hint="default" w:ascii="Times New Roman" w:hAnsi="Times New Roman" w:eastAsia="宋体" w:cs="Times New Roman"/>
          <w:sz w:val="24"/>
          <w:szCs w:val="24"/>
          <w:highlight w:val="yellow"/>
          <w:lang w:eastAsia="zh-CN"/>
        </w:rPr>
        <w:t>家公司进行开票和付款。</w:t>
      </w:r>
    </w:p>
    <w:p w14:paraId="6A0CB46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5"/>
          <w:kern w:val="0"/>
          <w:sz w:val="24"/>
          <w:szCs w:val="24"/>
          <w:lang w:eastAsia="zh-CN"/>
        </w:rPr>
      </w:pPr>
      <w:r>
        <w:rPr>
          <w:rFonts w:hint="eastAsia" w:ascii="Times New Roman" w:hAnsi="Times New Roman" w:cs="Times New Roman"/>
          <w:sz w:val="24"/>
          <w:szCs w:val="24"/>
          <w:highlight w:val="yellow"/>
          <w:lang w:val="en-US" w:eastAsia="zh-CN"/>
        </w:rPr>
        <w:t>3、</w:t>
      </w:r>
      <w:r>
        <w:rPr>
          <w:rFonts w:hint="eastAsia" w:cs="宋体"/>
          <w:color w:val="auto"/>
          <w:spacing w:val="-5"/>
          <w:kern w:val="0"/>
          <w:sz w:val="24"/>
          <w:szCs w:val="24"/>
          <w:lang w:val="en-US" w:eastAsia="zh-CN"/>
        </w:rPr>
        <w:t>甲</w:t>
      </w:r>
      <w:r>
        <w:rPr>
          <w:rFonts w:hint="eastAsia" w:ascii="宋体" w:hAnsi="宋体" w:eastAsia="宋体" w:cs="宋体"/>
          <w:color w:val="auto"/>
          <w:spacing w:val="-5"/>
          <w:kern w:val="0"/>
          <w:sz w:val="24"/>
          <w:szCs w:val="24"/>
          <w:lang w:eastAsia="zh-CN"/>
        </w:rPr>
        <w:t>方无故逾期付款的，按照全国银行间同业拆借中心公布的一年期贷款市场报价利率支付利息。</w:t>
      </w:r>
    </w:p>
    <w:p w14:paraId="7155C751">
      <w:pPr>
        <w:autoSpaceDE w:val="0"/>
        <w:autoSpaceDN w:val="0"/>
        <w:spacing w:line="360" w:lineRule="auto"/>
        <w:rPr>
          <w:rFonts w:ascii="宋体" w:hAnsi="宋体" w:eastAsia="宋体" w:cs="宋体"/>
          <w:b/>
          <w:bCs/>
          <w:color w:val="000000"/>
          <w:spacing w:val="-5"/>
          <w:kern w:val="0"/>
          <w:sz w:val="24"/>
          <w:szCs w:val="24"/>
          <w:highlight w:val="none"/>
          <w:lang w:eastAsia="zh-CN"/>
        </w:rPr>
      </w:pPr>
      <w:r>
        <w:rPr>
          <w:rFonts w:hint="eastAsia" w:ascii="宋体" w:hAnsi="宋体" w:eastAsia="宋体" w:cs="宋体"/>
          <w:b/>
          <w:bCs/>
          <w:color w:val="000000"/>
          <w:spacing w:val="-5"/>
          <w:kern w:val="0"/>
          <w:sz w:val="24"/>
          <w:szCs w:val="24"/>
          <w:highlight w:val="none"/>
          <w:lang w:eastAsia="zh-CN"/>
        </w:rPr>
        <w:t>第</w:t>
      </w:r>
      <w:r>
        <w:rPr>
          <w:rFonts w:hint="eastAsia" w:cs="宋体"/>
          <w:b/>
          <w:bCs/>
          <w:color w:val="000000"/>
          <w:spacing w:val="-5"/>
          <w:kern w:val="0"/>
          <w:sz w:val="24"/>
          <w:szCs w:val="24"/>
          <w:highlight w:val="none"/>
          <w:lang w:val="en-US" w:eastAsia="zh-CN"/>
        </w:rPr>
        <w:t>六</w:t>
      </w:r>
      <w:r>
        <w:rPr>
          <w:rFonts w:hint="eastAsia" w:ascii="宋体" w:hAnsi="宋体" w:eastAsia="宋体" w:cs="宋体"/>
          <w:b/>
          <w:bCs/>
          <w:color w:val="000000"/>
          <w:spacing w:val="-5"/>
          <w:kern w:val="0"/>
          <w:sz w:val="24"/>
          <w:szCs w:val="24"/>
          <w:highlight w:val="none"/>
          <w:lang w:eastAsia="zh-CN"/>
        </w:rPr>
        <w:t>条</w:t>
      </w:r>
      <w:r>
        <w:rPr>
          <w:rFonts w:ascii="宋体" w:hAnsi="宋体" w:eastAsia="宋体" w:cs="宋体"/>
          <w:b/>
          <w:bCs/>
          <w:color w:val="000000"/>
          <w:spacing w:val="-5"/>
          <w:kern w:val="0"/>
          <w:sz w:val="24"/>
          <w:szCs w:val="24"/>
          <w:highlight w:val="none"/>
          <w:lang w:eastAsia="zh-CN"/>
        </w:rPr>
        <w:t xml:space="preserve">  </w:t>
      </w:r>
      <w:r>
        <w:rPr>
          <w:rFonts w:hint="eastAsia" w:ascii="宋体" w:hAnsi="宋体" w:eastAsia="宋体" w:cs="宋体"/>
          <w:b/>
          <w:bCs/>
          <w:color w:val="000000"/>
          <w:spacing w:val="-5"/>
          <w:kern w:val="0"/>
          <w:sz w:val="24"/>
          <w:szCs w:val="24"/>
          <w:highlight w:val="none"/>
          <w:lang w:eastAsia="zh-CN"/>
        </w:rPr>
        <w:t>履约保证</w:t>
      </w:r>
    </w:p>
    <w:p w14:paraId="2C5ED0FB">
      <w:pPr>
        <w:autoSpaceDE w:val="0"/>
        <w:autoSpaceDN w:val="0"/>
        <w:spacing w:line="360" w:lineRule="auto"/>
        <w:ind w:firstLine="460" w:firstLineChars="200"/>
        <w:rPr>
          <w:rFonts w:hint="default" w:ascii="宋体" w:hAnsi="宋体" w:eastAsia="宋体" w:cs="宋体"/>
          <w:color w:val="auto"/>
          <w:spacing w:val="-5"/>
          <w:kern w:val="0"/>
          <w:sz w:val="24"/>
          <w:szCs w:val="24"/>
          <w:lang w:val="en-US" w:eastAsia="zh-CN"/>
        </w:rPr>
      </w:pPr>
      <w:r>
        <w:rPr>
          <w:rFonts w:hint="eastAsia" w:ascii="宋体" w:hAnsi="宋体" w:eastAsia="宋体" w:cs="宋体"/>
          <w:color w:val="auto"/>
          <w:spacing w:val="-5"/>
          <w:kern w:val="0"/>
          <w:sz w:val="24"/>
          <w:szCs w:val="24"/>
          <w:lang w:eastAsia="zh-CN"/>
        </w:rPr>
        <w:t>1、</w:t>
      </w:r>
      <w:r>
        <w:rPr>
          <w:rFonts w:hint="eastAsia" w:ascii="宋体" w:hAnsi="宋体" w:eastAsia="宋体" w:cs="宋体"/>
          <w:color w:val="auto"/>
          <w:spacing w:val="-5"/>
          <w:sz w:val="24"/>
          <w:szCs w:val="24"/>
          <w:lang w:eastAsia="zh-CN"/>
        </w:rPr>
        <w:t>履约保证金：合同签订后，</w:t>
      </w:r>
      <w:r>
        <w:rPr>
          <w:rFonts w:hint="eastAsia" w:ascii="宋体" w:hAnsi="宋体" w:eastAsia="宋体" w:cs="宋体"/>
          <w:color w:val="auto"/>
          <w:spacing w:val="-5"/>
          <w:sz w:val="24"/>
          <w:szCs w:val="24"/>
          <w:lang w:eastAsia="zh-CN"/>
        </w:rPr>
        <w:t>乙方的参选保证金</w:t>
      </w:r>
      <w:r>
        <w:rPr>
          <w:rFonts w:hint="eastAsia" w:ascii="宋体" w:hAnsi="宋体" w:eastAsia="宋体" w:cs="宋体"/>
          <w:color w:val="auto"/>
          <w:spacing w:val="-5"/>
          <w:sz w:val="24"/>
          <w:szCs w:val="24"/>
          <w:u w:val="none"/>
          <w:lang w:eastAsia="zh-CN"/>
        </w:rPr>
        <w:t>人</w:t>
      </w:r>
      <w:r>
        <w:rPr>
          <w:rFonts w:hint="eastAsia" w:ascii="宋体" w:hAnsi="宋体" w:eastAsia="宋体" w:cs="宋体"/>
          <w:color w:val="auto"/>
          <w:spacing w:val="-5"/>
          <w:sz w:val="24"/>
          <w:szCs w:val="24"/>
          <w:u w:val="none"/>
          <w:lang w:val="en-US" w:eastAsia="zh-CN"/>
        </w:rPr>
        <w:t>民币12000</w:t>
      </w:r>
      <w:r>
        <w:rPr>
          <w:rFonts w:hint="eastAsia" w:ascii="宋体" w:hAnsi="宋体" w:eastAsia="宋体" w:cs="宋体"/>
          <w:color w:val="auto"/>
          <w:spacing w:val="-5"/>
          <w:sz w:val="24"/>
          <w:szCs w:val="24"/>
          <w:u w:val="none"/>
          <w:lang w:eastAsia="zh-CN"/>
        </w:rPr>
        <w:t>元</w:t>
      </w:r>
      <w:r>
        <w:rPr>
          <w:rFonts w:hint="eastAsia" w:ascii="宋体" w:hAnsi="宋体" w:eastAsia="宋体" w:cs="宋体"/>
          <w:color w:val="auto"/>
          <w:spacing w:val="-5"/>
          <w:sz w:val="24"/>
          <w:szCs w:val="24"/>
          <w:lang w:eastAsia="zh-CN"/>
        </w:rPr>
        <w:t>整</w:t>
      </w:r>
      <w:r>
        <w:rPr>
          <w:rFonts w:hint="eastAsia" w:ascii="宋体" w:hAnsi="宋体" w:eastAsia="宋体" w:cs="宋体"/>
          <w:color w:val="auto"/>
          <w:spacing w:val="-5"/>
          <w:sz w:val="24"/>
          <w:szCs w:val="24"/>
          <w:lang w:eastAsia="zh-CN"/>
        </w:rPr>
        <w:t>将自动转为合同履约保证金</w:t>
      </w:r>
      <w:r>
        <w:rPr>
          <w:rFonts w:hint="eastAsia" w:ascii="宋体" w:hAnsi="宋体" w:eastAsia="宋体" w:cs="宋体"/>
          <w:color w:val="auto"/>
          <w:spacing w:val="-5"/>
          <w:kern w:val="0"/>
          <w:sz w:val="24"/>
          <w:szCs w:val="24"/>
          <w:lang w:eastAsia="zh-CN"/>
        </w:rPr>
        <w:t>。</w:t>
      </w:r>
      <w:r>
        <w:rPr>
          <w:rFonts w:hint="eastAsia" w:ascii="宋体" w:hAnsi="宋体" w:eastAsia="宋体" w:cs="宋体"/>
          <w:color w:val="auto"/>
          <w:spacing w:val="-5"/>
          <w:kern w:val="0"/>
          <w:sz w:val="24"/>
          <w:szCs w:val="24"/>
          <w:lang w:eastAsia="zh-CN"/>
        </w:rPr>
        <w:t>乙</w:t>
      </w:r>
      <w:r>
        <w:rPr>
          <w:rFonts w:hint="eastAsia" w:ascii="宋体" w:hAnsi="宋体" w:eastAsia="宋体" w:cs="宋体"/>
          <w:color w:val="auto"/>
          <w:spacing w:val="-5"/>
          <w:kern w:val="0"/>
          <w:sz w:val="24"/>
          <w:szCs w:val="24"/>
          <w:lang w:eastAsia="zh-CN"/>
        </w:rPr>
        <w:t>方违约或发生本协议约定的其他事由的，甲方有权从履行保证金中优先扣除乙方违约金及其他应付款项；由此造成履约保证金不足的，乙方应在5日内补足，逾期每日按照应缴金额的千分之一支付违约金。</w:t>
      </w:r>
      <w:r>
        <w:rPr>
          <w:rFonts w:hint="eastAsia" w:ascii="宋体" w:hAnsi="宋体" w:eastAsia="宋体" w:cs="宋体"/>
          <w:color w:val="auto"/>
          <w:spacing w:val="-5"/>
          <w:kern w:val="0"/>
          <w:sz w:val="24"/>
          <w:szCs w:val="24"/>
          <w:lang w:val="en-US" w:eastAsia="zh-CN"/>
        </w:rPr>
        <w:t>以下为甲方收款帐号：</w:t>
      </w:r>
    </w:p>
    <w:p w14:paraId="01620BF5">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0" w:leftChars="0" w:right="0" w:firstLine="480" w:firstLineChars="200"/>
        <w:textAlignment w:val="auto"/>
        <w:rPr>
          <w:rFonts w:ascii="宋体" w:hAnsi="宋体"/>
          <w:b w:val="0"/>
          <w:bCs w:val="0"/>
          <w:sz w:val="24"/>
          <w:szCs w:val="24"/>
          <w:highlight w:val="none"/>
        </w:rPr>
      </w:pPr>
      <w:r>
        <w:rPr>
          <w:rFonts w:hint="eastAsia" w:ascii="宋体" w:hAnsi="宋体"/>
          <w:b w:val="0"/>
          <w:bCs w:val="0"/>
          <w:sz w:val="24"/>
          <w:szCs w:val="24"/>
          <w:highlight w:val="none"/>
        </w:rPr>
        <w:t>甲方收款账号：</w:t>
      </w:r>
      <w:r>
        <w:rPr>
          <w:rFonts w:hint="eastAsia"/>
          <w:b w:val="0"/>
          <w:bCs w:val="0"/>
          <w:color w:val="000000"/>
          <w:sz w:val="24"/>
          <w:szCs w:val="24"/>
          <w:highlight w:val="none"/>
          <w:lang w:eastAsia="zh-CN"/>
        </w:rPr>
        <w:t>406574816628</w:t>
      </w:r>
    </w:p>
    <w:p w14:paraId="427DC20D">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b w:val="0"/>
          <w:bCs w:val="0"/>
          <w:sz w:val="24"/>
          <w:szCs w:val="24"/>
          <w:highlight w:val="none"/>
        </w:rPr>
      </w:pPr>
      <w:r>
        <w:rPr>
          <w:rFonts w:hint="eastAsia" w:ascii="宋体" w:hAnsi="宋体"/>
          <w:b w:val="0"/>
          <w:bCs w:val="0"/>
          <w:sz w:val="24"/>
          <w:szCs w:val="24"/>
          <w:highlight w:val="none"/>
        </w:rPr>
        <w:t>甲方收款账户名称：</w:t>
      </w:r>
      <w:r>
        <w:rPr>
          <w:rFonts w:hint="eastAsia"/>
          <w:b w:val="0"/>
          <w:bCs w:val="0"/>
          <w:color w:val="000000"/>
          <w:sz w:val="24"/>
          <w:szCs w:val="24"/>
          <w:highlight w:val="none"/>
          <w:lang w:eastAsia="zh-CN"/>
        </w:rPr>
        <w:t>福建福海创石油化工有限公司</w:t>
      </w:r>
      <w:r>
        <w:rPr>
          <w:rFonts w:ascii="宋体" w:hAnsi="宋体"/>
          <w:b w:val="0"/>
          <w:bCs w:val="0"/>
          <w:sz w:val="24"/>
          <w:szCs w:val="24"/>
          <w:highlight w:val="none"/>
        </w:rPr>
        <w:t xml:space="preserve"> </w:t>
      </w:r>
    </w:p>
    <w:p w14:paraId="5D862DB5">
      <w:pPr>
        <w:keepNext w:val="0"/>
        <w:keepLines w:val="0"/>
        <w:pageBreakBefore w:val="0"/>
        <w:widowControl w:val="0"/>
        <w:numPr>
          <w:ilvl w:val="0"/>
          <w:numId w:val="0"/>
        </w:numPr>
        <w:kinsoku/>
        <w:wordWrap/>
        <w:overflowPunct/>
        <w:topLinePunct w:val="0"/>
        <w:autoSpaceDE/>
        <w:autoSpaceDN/>
        <w:bidi w:val="0"/>
        <w:adjustRightInd/>
        <w:snapToGrid/>
        <w:spacing w:after="144" w:afterLines="50" w:line="360" w:lineRule="auto"/>
        <w:ind w:firstLine="480" w:firstLineChars="200"/>
        <w:textAlignment w:val="auto"/>
        <w:rPr>
          <w:rFonts w:ascii="宋体" w:hAnsi="宋体"/>
          <w:b w:val="0"/>
          <w:bCs w:val="0"/>
          <w:sz w:val="24"/>
          <w:szCs w:val="24"/>
          <w:highlight w:val="none"/>
        </w:rPr>
      </w:pPr>
      <w:r>
        <w:rPr>
          <w:rFonts w:hint="eastAsia" w:ascii="宋体" w:hAnsi="宋体"/>
          <w:b w:val="0"/>
          <w:bCs w:val="0"/>
          <w:sz w:val="24"/>
          <w:szCs w:val="24"/>
          <w:highlight w:val="none"/>
        </w:rPr>
        <w:t>开户行：</w:t>
      </w:r>
      <w:r>
        <w:rPr>
          <w:rFonts w:hint="eastAsia"/>
          <w:b w:val="0"/>
          <w:bCs w:val="0"/>
          <w:color w:val="000000"/>
          <w:sz w:val="24"/>
          <w:szCs w:val="24"/>
          <w:highlight w:val="none"/>
          <w:lang w:eastAsia="zh-CN"/>
        </w:rPr>
        <w:t>中国银行漳州古雷支行</w:t>
      </w:r>
      <w:r>
        <w:rPr>
          <w:rFonts w:ascii="宋体" w:hAnsi="宋体"/>
          <w:b w:val="0"/>
          <w:bCs w:val="0"/>
          <w:sz w:val="24"/>
          <w:szCs w:val="24"/>
          <w:highlight w:val="none"/>
        </w:rPr>
        <w:t xml:space="preserve"> </w:t>
      </w:r>
    </w:p>
    <w:p w14:paraId="3E155ACA">
      <w:pPr>
        <w:numPr>
          <w:ilvl w:val="0"/>
          <w:numId w:val="2"/>
        </w:numPr>
        <w:autoSpaceDE w:val="0"/>
        <w:autoSpaceDN w:val="0"/>
        <w:spacing w:line="360" w:lineRule="auto"/>
        <w:ind w:firstLine="460" w:firstLineChars="200"/>
        <w:rPr>
          <w:rFonts w:hint="eastAsia" w:ascii="宋体" w:hAnsi="宋体" w:eastAsia="宋体" w:cs="宋体"/>
          <w:color w:val="auto"/>
          <w:spacing w:val="-5"/>
          <w:kern w:val="0"/>
          <w:sz w:val="24"/>
          <w:szCs w:val="24"/>
          <w:lang w:eastAsia="zh-CN"/>
        </w:rPr>
      </w:pPr>
      <w:r>
        <w:rPr>
          <w:rFonts w:hint="eastAsia" w:ascii="宋体" w:hAnsi="宋体" w:eastAsia="宋体" w:cs="宋体"/>
          <w:color w:val="auto"/>
          <w:spacing w:val="-5"/>
          <w:kern w:val="0"/>
          <w:sz w:val="24"/>
          <w:szCs w:val="24"/>
          <w:lang w:eastAsia="zh-CN"/>
        </w:rPr>
        <w:t>履约保证金在乙方全面履行完毕本框架协议义务</w:t>
      </w:r>
      <w:r>
        <w:rPr>
          <w:rFonts w:hint="eastAsia" w:cs="宋体"/>
          <w:color w:val="auto"/>
          <w:spacing w:val="-5"/>
          <w:kern w:val="0"/>
          <w:sz w:val="24"/>
          <w:szCs w:val="24"/>
          <w:lang w:val="en-US" w:eastAsia="zh-CN"/>
        </w:rPr>
        <w:t>且</w:t>
      </w:r>
      <w:r>
        <w:rPr>
          <w:rFonts w:hint="eastAsia" w:ascii="宋体" w:hAnsi="宋体" w:eastAsia="宋体" w:cs="宋体"/>
          <w:color w:val="auto"/>
          <w:spacing w:val="-5"/>
          <w:sz w:val="24"/>
          <w:szCs w:val="24"/>
          <w:lang w:eastAsia="zh-CN"/>
        </w:rPr>
        <w:t>并无任何明显违约行为情况下</w:t>
      </w:r>
      <w:r>
        <w:rPr>
          <w:rFonts w:hint="eastAsia" w:ascii="宋体" w:hAnsi="宋体" w:eastAsia="宋体" w:cs="宋体"/>
          <w:color w:val="auto"/>
          <w:spacing w:val="-5"/>
          <w:kern w:val="0"/>
          <w:sz w:val="24"/>
          <w:szCs w:val="24"/>
          <w:lang w:eastAsia="zh-CN"/>
        </w:rPr>
        <w:t>30天内</w:t>
      </w:r>
      <w:r>
        <w:rPr>
          <w:rFonts w:hint="eastAsia" w:ascii="宋体" w:hAnsi="宋体" w:eastAsia="宋体" w:cs="宋体"/>
          <w:color w:val="auto"/>
          <w:spacing w:val="-5"/>
          <w:sz w:val="24"/>
          <w:szCs w:val="24"/>
          <w:lang w:eastAsia="zh-CN"/>
        </w:rPr>
        <w:t>全额无息退还</w:t>
      </w:r>
      <w:r>
        <w:rPr>
          <w:rFonts w:hint="eastAsia" w:ascii="宋体" w:hAnsi="宋体" w:eastAsia="宋体" w:cs="宋体"/>
          <w:color w:val="auto"/>
          <w:spacing w:val="-5"/>
          <w:kern w:val="0"/>
          <w:sz w:val="24"/>
          <w:szCs w:val="24"/>
          <w:lang w:eastAsia="zh-CN"/>
        </w:rPr>
        <w:t>。但履约保证金退还后发现任何应由乙方承担责任的行为或事件的，乙方仍应承担责任。</w:t>
      </w:r>
    </w:p>
    <w:p w14:paraId="07046621">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360" w:lineRule="auto"/>
        <w:ind w:leftChars="0" w:firstLine="482" w:firstLineChars="200"/>
        <w:contextualSpacing/>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第七条  项目</w:t>
      </w:r>
      <w:r>
        <w:rPr>
          <w:rFonts w:hint="eastAsia" w:ascii="宋体" w:hAnsi="宋体" w:eastAsia="宋体" w:cs="宋体"/>
          <w:b/>
          <w:bCs/>
          <w:sz w:val="24"/>
          <w:szCs w:val="24"/>
          <w:lang w:eastAsia="zh-CN"/>
        </w:rPr>
        <w:t>服务</w:t>
      </w:r>
      <w:r>
        <w:rPr>
          <w:rFonts w:hint="eastAsia" w:ascii="宋体" w:hAnsi="宋体" w:eastAsia="宋体" w:cs="宋体"/>
          <w:b/>
          <w:bCs/>
          <w:sz w:val="24"/>
          <w:szCs w:val="24"/>
        </w:rPr>
        <w:t>要求</w:t>
      </w:r>
    </w:p>
    <w:p w14:paraId="47DC31D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cs="宋体"/>
          <w:sz w:val="24"/>
          <w:szCs w:val="24"/>
          <w:lang w:val="en-US" w:eastAsia="zh-CN"/>
        </w:rPr>
        <w:t>乙方应</w:t>
      </w:r>
      <w:r>
        <w:rPr>
          <w:rFonts w:hint="eastAsia" w:ascii="宋体" w:hAnsi="宋体" w:eastAsia="宋体" w:cs="宋体"/>
          <w:sz w:val="24"/>
          <w:szCs w:val="24"/>
        </w:rPr>
        <w:t>按照法律法规、技术规范开展</w:t>
      </w:r>
      <w:r>
        <w:rPr>
          <w:rFonts w:hint="eastAsia" w:ascii="宋体" w:hAnsi="宋体" w:eastAsia="宋体" w:cs="宋体"/>
          <w:sz w:val="24"/>
          <w:szCs w:val="24"/>
          <w:lang w:eastAsia="zh-CN"/>
        </w:rPr>
        <w:t>职业病危害检测及评价服务</w:t>
      </w:r>
      <w:r>
        <w:rPr>
          <w:rFonts w:hint="eastAsia" w:ascii="宋体" w:hAnsi="宋体" w:eastAsia="宋体" w:cs="宋体"/>
          <w:sz w:val="24"/>
          <w:szCs w:val="24"/>
        </w:rPr>
        <w:t>工作，包括</w:t>
      </w:r>
      <w:r>
        <w:rPr>
          <w:rFonts w:hint="eastAsia" w:ascii="宋体" w:hAnsi="宋体" w:eastAsia="宋体" w:cs="宋体"/>
          <w:sz w:val="24"/>
          <w:szCs w:val="24"/>
          <w:lang w:eastAsia="zh-CN"/>
        </w:rPr>
        <w:t>但不</w:t>
      </w:r>
      <w:r>
        <w:rPr>
          <w:rFonts w:hint="eastAsia" w:ascii="宋体" w:hAnsi="宋体" w:eastAsia="宋体" w:cs="宋体"/>
          <w:sz w:val="24"/>
          <w:szCs w:val="24"/>
        </w:rPr>
        <w:t>限于以下：</w:t>
      </w:r>
    </w:p>
    <w:p w14:paraId="525BF70C">
      <w:pPr>
        <w:keepNext w:val="0"/>
        <w:keepLines w:val="0"/>
        <w:pageBreakBefore w:val="0"/>
        <w:kinsoku/>
        <w:wordWrap/>
        <w:overflowPunct/>
        <w:topLinePunct w:val="0"/>
        <w:bidi w:val="0"/>
        <w:snapToGrid w:val="0"/>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《中华人民共和国职业病防治法》（2018年修正）</w:t>
      </w:r>
    </w:p>
    <w:p w14:paraId="4DC6575B">
      <w:pPr>
        <w:keepNext w:val="0"/>
        <w:keepLines w:val="0"/>
        <w:pageBreakBefore w:val="0"/>
        <w:kinsoku/>
        <w:wordWrap/>
        <w:overflowPunct/>
        <w:topLinePunct w:val="0"/>
        <w:bidi w:val="0"/>
        <w:snapToGrid w:val="0"/>
        <w:spacing w:line="360" w:lineRule="auto"/>
        <w:ind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《职业卫生技术服务机构工作规范》（安监总厅安健〔2014〕39号）</w:t>
      </w:r>
    </w:p>
    <w:p w14:paraId="47044119">
      <w:pPr>
        <w:keepNext w:val="0"/>
        <w:keepLines w:val="0"/>
        <w:pageBreakBefore w:val="0"/>
        <w:kinsoku/>
        <w:wordWrap/>
        <w:overflowPunct/>
        <w:topLinePunct w:val="0"/>
        <w:bidi w:val="0"/>
        <w:snapToGrid w:val="0"/>
        <w:spacing w:line="360" w:lineRule="auto"/>
        <w:ind w:firstLine="480" w:firstLineChars="200"/>
        <w:contextualSpacing/>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《用人单位职业病危害因素定期检测管理规范》（安监总厅安健〔2015〕16号）</w:t>
      </w:r>
    </w:p>
    <w:p w14:paraId="1D1A6BF8">
      <w:pPr>
        <w:keepNext w:val="0"/>
        <w:keepLines w:val="0"/>
        <w:pageBreakBefore w:val="0"/>
        <w:kinsoku/>
        <w:wordWrap/>
        <w:overflowPunct/>
        <w:topLinePunct w:val="0"/>
        <w:bidi w:val="0"/>
        <w:snapToGrid w:val="0"/>
        <w:spacing w:line="360" w:lineRule="auto"/>
        <w:ind w:firstLine="480" w:firstLineChars="200"/>
        <w:contextualSpacing/>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《职业卫生技术服务机构检测工作规范》（安监总厅安健〔2016〕9号）</w:t>
      </w:r>
    </w:p>
    <w:p w14:paraId="284FB477">
      <w:pPr>
        <w:keepNext w:val="0"/>
        <w:keepLines w:val="0"/>
        <w:pageBreakBefore w:val="0"/>
        <w:kinsoku/>
        <w:wordWrap/>
        <w:overflowPunct/>
        <w:topLinePunct w:val="0"/>
        <w:bidi w:val="0"/>
        <w:snapToGrid w:val="0"/>
        <w:spacing w:line="360" w:lineRule="auto"/>
        <w:ind w:firstLine="480" w:firstLineChars="200"/>
        <w:contextualSpacing/>
        <w:jc w:val="center"/>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《建设项目职业病危害控制效果评价报告编制要求》（ZW-JB-2014-003）</w:t>
      </w:r>
    </w:p>
    <w:p w14:paraId="168BB47C">
      <w:pPr>
        <w:keepNext w:val="0"/>
        <w:keepLines w:val="0"/>
        <w:pageBreakBefore w:val="0"/>
        <w:kinsoku/>
        <w:wordWrap/>
        <w:overflowPunct/>
        <w:topLinePunct w:val="0"/>
        <w:bidi w:val="0"/>
        <w:snapToGrid w:val="0"/>
        <w:spacing w:line="360" w:lineRule="auto"/>
        <w:ind w:firstLine="480" w:firstLineChars="200"/>
        <w:contextualSpacing/>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《职业卫生技术服务工作规范》（GBZ 331-2024）</w:t>
      </w:r>
    </w:p>
    <w:p w14:paraId="510E41B7">
      <w:pPr>
        <w:keepNext w:val="0"/>
        <w:keepLines w:val="0"/>
        <w:pageBreakBefore w:val="0"/>
        <w:kinsoku/>
        <w:wordWrap/>
        <w:overflowPunct/>
        <w:topLinePunct w:val="0"/>
        <w:bidi w:val="0"/>
        <w:snapToGrid w:val="0"/>
        <w:spacing w:line="360" w:lineRule="auto"/>
        <w:ind w:firstLine="480" w:firstLineChars="200"/>
        <w:contextualSpacing/>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《工作场所空气中有害物质监测的采样规范》（GBZ 159-2004）</w:t>
      </w:r>
    </w:p>
    <w:p w14:paraId="6D1BC9F5">
      <w:pPr>
        <w:keepNext w:val="0"/>
        <w:keepLines w:val="0"/>
        <w:pageBreakBefore w:val="0"/>
        <w:kinsoku/>
        <w:wordWrap/>
        <w:overflowPunct/>
        <w:topLinePunct w:val="0"/>
        <w:bidi w:val="0"/>
        <w:snapToGrid w:val="0"/>
        <w:spacing w:line="360" w:lineRule="auto"/>
        <w:ind w:firstLine="480" w:firstLineChars="200"/>
        <w:contextualSpacing/>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《工作场所物理因素测量》（GBZ/T 189）</w:t>
      </w:r>
    </w:p>
    <w:p w14:paraId="644A7D1A">
      <w:pPr>
        <w:keepNext w:val="0"/>
        <w:keepLines w:val="0"/>
        <w:pageBreakBefore w:val="0"/>
        <w:kinsoku/>
        <w:wordWrap/>
        <w:overflowPunct/>
        <w:topLinePunct w:val="0"/>
        <w:bidi w:val="0"/>
        <w:snapToGrid w:val="0"/>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lang w:val="zh-CN" w:eastAsia="zh-CN"/>
        </w:rPr>
        <w:t>《工作场所空气中粉尘测定》（GBZ/T 192）</w:t>
      </w:r>
    </w:p>
    <w:p w14:paraId="20EAD9C2">
      <w:pPr>
        <w:keepNext w:val="0"/>
        <w:keepLines w:val="0"/>
        <w:pageBreakBefore w:val="0"/>
        <w:kinsoku/>
        <w:wordWrap/>
        <w:overflowPunct/>
        <w:topLinePunct w:val="0"/>
        <w:bidi w:val="0"/>
        <w:snapToGrid w:val="0"/>
        <w:spacing w:line="360" w:lineRule="auto"/>
        <w:ind w:firstLine="480" w:firstLineChars="200"/>
        <w:contextualSpacing/>
        <w:textAlignment w:val="auto"/>
        <w:rPr>
          <w:rFonts w:hint="eastAsia" w:ascii="宋体" w:hAnsi="宋体" w:eastAsia="宋体" w:cs="宋体"/>
          <w:sz w:val="24"/>
          <w:szCs w:val="24"/>
          <w:lang w:eastAsia="zh-CN"/>
        </w:rPr>
      </w:pPr>
      <w:r>
        <w:rPr>
          <w:rFonts w:hint="eastAsia" w:ascii="宋体" w:hAnsi="宋体" w:eastAsia="宋体" w:cs="宋体"/>
          <w:sz w:val="24"/>
          <w:szCs w:val="24"/>
        </w:rPr>
        <w:t>《工作场所空气有毒物质测定</w:t>
      </w:r>
      <w:r>
        <w:rPr>
          <w:rFonts w:hint="eastAsia" w:ascii="宋体" w:hAnsi="宋体" w:eastAsia="宋体" w:cs="宋体"/>
          <w:sz w:val="24"/>
          <w:szCs w:val="24"/>
          <w:lang w:eastAsia="zh-CN"/>
        </w:rPr>
        <w:t>》（</w:t>
      </w:r>
      <w:r>
        <w:rPr>
          <w:rFonts w:hint="eastAsia" w:ascii="宋体" w:hAnsi="宋体" w:eastAsia="宋体" w:cs="宋体"/>
          <w:sz w:val="24"/>
          <w:szCs w:val="24"/>
        </w:rPr>
        <w:t>GBZ/T 160</w:t>
      </w:r>
      <w:r>
        <w:rPr>
          <w:rFonts w:hint="eastAsia" w:ascii="宋体" w:hAnsi="宋体" w:eastAsia="宋体" w:cs="宋体"/>
          <w:sz w:val="24"/>
          <w:szCs w:val="24"/>
          <w:lang w:eastAsia="zh-CN"/>
        </w:rPr>
        <w:t>）</w:t>
      </w:r>
    </w:p>
    <w:p w14:paraId="354306EC">
      <w:pPr>
        <w:keepNext w:val="0"/>
        <w:keepLines w:val="0"/>
        <w:pageBreakBefore w:val="0"/>
        <w:kinsoku/>
        <w:wordWrap/>
        <w:overflowPunct/>
        <w:topLinePunct w:val="0"/>
        <w:bidi w:val="0"/>
        <w:snapToGrid w:val="0"/>
        <w:spacing w:line="360" w:lineRule="auto"/>
        <w:ind w:firstLine="480" w:firstLineChars="200"/>
        <w:contextualSpacing/>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《工作场所空气有毒物质测定》（GBZ/T 300）</w:t>
      </w:r>
    </w:p>
    <w:p w14:paraId="58E266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color w:val="000000"/>
          <w:sz w:val="24"/>
          <w:szCs w:val="24"/>
        </w:rPr>
      </w:pPr>
      <w:r>
        <w:rPr>
          <w:rFonts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二</w:t>
      </w:r>
      <w:r>
        <w:rPr>
          <w:rFonts w:ascii="宋体" w:hAnsi="宋体" w:eastAsia="宋体" w:cs="宋体"/>
          <w:color w:val="000000"/>
          <w:kern w:val="0"/>
          <w:sz w:val="24"/>
          <w:szCs w:val="24"/>
          <w:lang w:val="en-US" w:eastAsia="zh-CN" w:bidi="ar"/>
        </w:rPr>
        <w:t>）</w:t>
      </w:r>
      <w:r>
        <w:rPr>
          <w:rFonts w:hint="eastAsia" w:ascii="宋体" w:hAnsi="宋体" w:cs="宋体"/>
          <w:sz w:val="24"/>
          <w:szCs w:val="24"/>
          <w:lang w:val="en-US" w:eastAsia="zh-CN"/>
        </w:rPr>
        <w:t>乙方</w:t>
      </w:r>
      <w:r>
        <w:rPr>
          <w:rFonts w:ascii="宋体" w:hAnsi="宋体" w:eastAsia="宋体" w:cs="宋体"/>
          <w:color w:val="000000"/>
          <w:kern w:val="0"/>
          <w:sz w:val="24"/>
          <w:szCs w:val="24"/>
          <w:lang w:val="en-US" w:eastAsia="zh-CN" w:bidi="ar"/>
        </w:rPr>
        <w:t>须为所有参与检测人员（含司机）购买工伤保险或施工意外伤害保险（意外伤害保险保额不低于 100 万元 / 人），并配备安全帽、安全鞋、工作服等劳动防护用品及防爆型便携式气体检测仪；夏季作业时，须为检测人员提供防暑降温药品及饮品。</w:t>
      </w:r>
    </w:p>
    <w:p w14:paraId="4F4DE6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color w:val="000000"/>
          <w:sz w:val="24"/>
          <w:szCs w:val="24"/>
        </w:rPr>
      </w:pPr>
      <w:r>
        <w:rPr>
          <w:rFonts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三</w:t>
      </w:r>
      <w:r>
        <w:rPr>
          <w:rFonts w:ascii="宋体" w:hAnsi="宋体" w:eastAsia="宋体" w:cs="宋体"/>
          <w:color w:val="000000"/>
          <w:kern w:val="0"/>
          <w:sz w:val="24"/>
          <w:szCs w:val="24"/>
          <w:lang w:val="en-US" w:eastAsia="zh-CN" w:bidi="ar"/>
        </w:rPr>
        <w:t>）</w:t>
      </w:r>
      <w:r>
        <w:rPr>
          <w:rFonts w:hint="eastAsia" w:ascii="宋体" w:hAnsi="宋体" w:cs="宋体"/>
          <w:sz w:val="24"/>
          <w:szCs w:val="24"/>
          <w:lang w:val="en-US" w:eastAsia="zh-CN"/>
        </w:rPr>
        <w:t>乙方</w:t>
      </w:r>
      <w:r>
        <w:rPr>
          <w:rFonts w:ascii="宋体" w:hAnsi="宋体" w:eastAsia="宋体" w:cs="宋体"/>
          <w:color w:val="000000"/>
          <w:kern w:val="0"/>
          <w:sz w:val="24"/>
          <w:szCs w:val="24"/>
          <w:lang w:val="en-US" w:eastAsia="zh-CN" w:bidi="ar"/>
        </w:rPr>
        <w:t>须按</w:t>
      </w:r>
      <w:r>
        <w:rPr>
          <w:rFonts w:hint="eastAsia" w:ascii="宋体" w:hAnsi="宋体" w:cs="宋体"/>
          <w:color w:val="000000"/>
          <w:kern w:val="0"/>
          <w:sz w:val="24"/>
          <w:szCs w:val="24"/>
          <w:lang w:val="en-US" w:eastAsia="zh-CN" w:bidi="ar"/>
        </w:rPr>
        <w:t>甲方</w:t>
      </w:r>
      <w:r>
        <w:rPr>
          <w:rFonts w:ascii="宋体" w:hAnsi="宋体" w:eastAsia="宋体" w:cs="宋体"/>
          <w:color w:val="000000"/>
          <w:kern w:val="0"/>
          <w:sz w:val="24"/>
          <w:szCs w:val="24"/>
          <w:lang w:val="en-US" w:eastAsia="zh-CN" w:bidi="ar"/>
        </w:rPr>
        <w:t>要求，为所有进厂检测人员（含司机）办理入厂资质审批手续，并完成各装置三级安全教育培训且考核合格后，方可进厂开展检测工作。</w:t>
      </w:r>
    </w:p>
    <w:p w14:paraId="5C4AECA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（四）乙方</w:t>
      </w:r>
      <w:r>
        <w:rPr>
          <w:rFonts w:ascii="宋体" w:hAnsi="宋体" w:eastAsia="宋体" w:cs="宋体"/>
          <w:color w:val="000000"/>
          <w:kern w:val="0"/>
          <w:sz w:val="24"/>
          <w:szCs w:val="24"/>
          <w:lang w:val="en-US" w:eastAsia="zh-CN" w:bidi="ar"/>
        </w:rPr>
        <w:t>应根据</w:t>
      </w:r>
      <w:r>
        <w:rPr>
          <w:rFonts w:hint="eastAsia" w:ascii="宋体" w:hAnsi="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现场实际情况开展</w:t>
      </w:r>
      <w:r>
        <w:rPr>
          <w:rFonts w:hint="eastAsia" w:ascii="宋体" w:hAnsi="宋体" w:eastAsia="宋体" w:cs="宋体"/>
          <w:color w:val="000000"/>
          <w:kern w:val="0"/>
          <w:sz w:val="24"/>
          <w:szCs w:val="24"/>
          <w:lang w:val="en-US" w:eastAsia="zh-CN" w:bidi="ar"/>
        </w:rPr>
        <w:t>现场调查</w:t>
      </w:r>
      <w:r>
        <w:rPr>
          <w:rFonts w:ascii="宋体" w:hAnsi="宋体" w:eastAsia="宋体" w:cs="宋体"/>
          <w:color w:val="000000"/>
          <w:kern w:val="0"/>
          <w:sz w:val="24"/>
          <w:szCs w:val="24"/>
          <w:lang w:val="en-US" w:eastAsia="zh-CN" w:bidi="ar"/>
        </w:rPr>
        <w:t>，并于检测工作实施前 7 日提交检测方案及检测计划，经</w:t>
      </w:r>
      <w:r>
        <w:rPr>
          <w:rFonts w:hint="eastAsia" w:ascii="宋体" w:hAnsi="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审核通过后方可开展检测工作。</w:t>
      </w:r>
    </w:p>
    <w:p w14:paraId="46B0DFE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ascii="宋体" w:hAnsi="宋体" w:eastAsia="宋体" w:cs="宋体"/>
          <w:color w:val="000000"/>
          <w:kern w:val="0"/>
          <w:sz w:val="24"/>
          <w:szCs w:val="24"/>
          <w:lang w:val="en-US" w:eastAsia="zh-CN" w:bidi="ar"/>
        </w:rPr>
      </w:pPr>
      <w:r>
        <w:rPr>
          <w:rFonts w:hint="eastAsia" w:ascii="宋体" w:hAnsi="宋体" w:eastAsia="宋体" w:cs="宋体"/>
          <w:sz w:val="24"/>
          <w:szCs w:val="24"/>
          <w:lang w:eastAsia="zh-CN"/>
        </w:rPr>
        <w:t>（五）</w:t>
      </w:r>
      <w:r>
        <w:rPr>
          <w:rFonts w:hint="eastAsia" w:ascii="宋体" w:hAnsi="宋体" w:cs="宋体"/>
          <w:sz w:val="24"/>
          <w:szCs w:val="24"/>
          <w:lang w:val="en-US" w:eastAsia="zh-CN"/>
        </w:rPr>
        <w:t>乙方</w:t>
      </w:r>
      <w:r>
        <w:rPr>
          <w:rFonts w:ascii="宋体" w:hAnsi="宋体" w:eastAsia="宋体" w:cs="宋体"/>
          <w:sz w:val="24"/>
          <w:szCs w:val="24"/>
        </w:rPr>
        <w:t>应在检测实施前，提供检测所用仪器设备清单及有效期内的检定/校准证书。</w:t>
      </w:r>
    </w:p>
    <w:p w14:paraId="7E522D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color w:val="000000"/>
          <w:sz w:val="24"/>
          <w:szCs w:val="24"/>
        </w:rPr>
      </w:pPr>
      <w:r>
        <w:rPr>
          <w:rFonts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六）</w:t>
      </w:r>
      <w:r>
        <w:rPr>
          <w:rFonts w:hint="eastAsia" w:ascii="宋体" w:hAnsi="宋体" w:cs="宋体"/>
          <w:sz w:val="24"/>
          <w:szCs w:val="24"/>
          <w:lang w:val="en-US" w:eastAsia="zh-CN"/>
        </w:rPr>
        <w:t>乙方</w:t>
      </w:r>
      <w:r>
        <w:rPr>
          <w:rFonts w:ascii="宋体" w:hAnsi="宋体" w:eastAsia="宋体" w:cs="宋体"/>
          <w:color w:val="000000"/>
          <w:kern w:val="0"/>
          <w:sz w:val="24"/>
          <w:szCs w:val="24"/>
          <w:lang w:val="en-US" w:eastAsia="zh-CN" w:bidi="ar"/>
        </w:rPr>
        <w:t>须严格依照法律法规及相关规范开展现场检测</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需连续采样3天的，应按规范要求完成连续采样。检测报告中采样时间须与实际采样时间一致，采样人员须为实际现场采样人员，严禁弄虚作假。</w:t>
      </w:r>
      <w:r>
        <w:rPr>
          <w:rFonts w:hint="eastAsia" w:ascii="宋体" w:hAnsi="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将通过现场陪同人员、门禁系统、现场监控及人员定位卡实施全过程实时监督。因检测或评价不规范引发的一切不良后果及责任，均由</w:t>
      </w:r>
      <w:r>
        <w:rPr>
          <w:rFonts w:hint="eastAsia" w:ascii="宋体" w:hAnsi="宋体" w:cs="宋体"/>
          <w:color w:val="000000"/>
          <w:kern w:val="0"/>
          <w:sz w:val="24"/>
          <w:szCs w:val="24"/>
          <w:lang w:val="en-US" w:eastAsia="zh-CN" w:bidi="ar"/>
        </w:rPr>
        <w:t>中选人</w:t>
      </w:r>
      <w:r>
        <w:rPr>
          <w:rFonts w:ascii="宋体" w:hAnsi="宋体" w:eastAsia="宋体" w:cs="宋体"/>
          <w:color w:val="000000"/>
          <w:kern w:val="0"/>
          <w:sz w:val="24"/>
          <w:szCs w:val="24"/>
          <w:lang w:val="en-US" w:eastAsia="zh-CN" w:bidi="ar"/>
        </w:rPr>
        <w:t>自行承担。</w:t>
      </w:r>
    </w:p>
    <w:p w14:paraId="0DE7DE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color w:val="000000"/>
          <w:sz w:val="24"/>
          <w:szCs w:val="24"/>
        </w:rPr>
      </w:pPr>
      <w:r>
        <w:rPr>
          <w:rFonts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七</w:t>
      </w:r>
      <w:r>
        <w:rPr>
          <w:rFonts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乙方在</w:t>
      </w:r>
      <w:r>
        <w:rPr>
          <w:rFonts w:ascii="宋体" w:hAnsi="宋体" w:eastAsia="宋体" w:cs="宋体"/>
          <w:color w:val="000000"/>
          <w:kern w:val="0"/>
          <w:sz w:val="24"/>
          <w:szCs w:val="24"/>
          <w:lang w:val="en-US" w:eastAsia="zh-CN" w:bidi="ar"/>
        </w:rPr>
        <w:t>采样全过程所使用的设备必须为防爆型设备。</w:t>
      </w:r>
    </w:p>
    <w:p w14:paraId="34338E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color w:val="000000"/>
          <w:sz w:val="24"/>
          <w:szCs w:val="24"/>
        </w:rPr>
      </w:pPr>
      <w:r>
        <w:rPr>
          <w:rFonts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八</w:t>
      </w:r>
      <w:r>
        <w:rPr>
          <w:rFonts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乙方在</w:t>
      </w:r>
      <w:r>
        <w:rPr>
          <w:rFonts w:ascii="宋体" w:hAnsi="宋体" w:eastAsia="宋体" w:cs="宋体"/>
          <w:color w:val="000000"/>
          <w:kern w:val="0"/>
          <w:sz w:val="24"/>
          <w:szCs w:val="24"/>
          <w:lang w:val="en-US" w:eastAsia="zh-CN" w:bidi="ar"/>
        </w:rPr>
        <w:t>开展检测作业前，须按</w:t>
      </w:r>
      <w:r>
        <w:rPr>
          <w:rFonts w:hint="eastAsia" w:ascii="宋体" w:hAnsi="宋体" w:cs="宋体"/>
          <w:color w:val="000000"/>
          <w:kern w:val="0"/>
          <w:sz w:val="24"/>
          <w:szCs w:val="24"/>
          <w:lang w:val="en-US" w:eastAsia="zh-CN" w:bidi="ar"/>
        </w:rPr>
        <w:t>甲方</w:t>
      </w:r>
      <w:r>
        <w:rPr>
          <w:rFonts w:ascii="宋体" w:hAnsi="宋体" w:eastAsia="宋体" w:cs="宋体"/>
          <w:color w:val="000000"/>
          <w:kern w:val="0"/>
          <w:sz w:val="24"/>
          <w:szCs w:val="24"/>
          <w:lang w:val="en-US" w:eastAsia="zh-CN" w:bidi="ar"/>
        </w:rPr>
        <w:t>要求办理作业票审批手续，审批通过后方可作业</w:t>
      </w:r>
      <w:r>
        <w:rPr>
          <w:rFonts w:hint="eastAsia" w:ascii="宋体" w:hAnsi="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作业期间须严格遵守</w:t>
      </w:r>
      <w:r>
        <w:rPr>
          <w:rFonts w:hint="eastAsia" w:ascii="宋体" w:hAnsi="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各项管理制度及操作规程。</w:t>
      </w:r>
    </w:p>
    <w:p w14:paraId="7F42B7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color w:val="000000"/>
          <w:sz w:val="24"/>
          <w:szCs w:val="24"/>
        </w:rPr>
      </w:pPr>
      <w:r>
        <w:rPr>
          <w:rFonts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九</w:t>
      </w:r>
      <w:r>
        <w:rPr>
          <w:rFonts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甲方</w:t>
      </w:r>
      <w:r>
        <w:rPr>
          <w:rFonts w:ascii="宋体" w:hAnsi="宋体" w:eastAsia="宋体" w:cs="宋体"/>
          <w:color w:val="000000"/>
          <w:kern w:val="0"/>
          <w:sz w:val="24"/>
          <w:szCs w:val="24"/>
          <w:lang w:val="en-US" w:eastAsia="zh-CN" w:bidi="ar"/>
        </w:rPr>
        <w:t>下达项目启动通知后，</w:t>
      </w:r>
      <w:r>
        <w:rPr>
          <w:rFonts w:hint="eastAsia" w:ascii="宋体" w:hAnsi="宋体" w:cs="宋体"/>
          <w:color w:val="000000"/>
          <w:kern w:val="0"/>
          <w:sz w:val="24"/>
          <w:szCs w:val="24"/>
          <w:lang w:val="en-US" w:eastAsia="zh-CN" w:bidi="ar"/>
        </w:rPr>
        <w:t>乙</w:t>
      </w:r>
      <w:r>
        <w:rPr>
          <w:rFonts w:ascii="宋体" w:hAnsi="宋体" w:eastAsia="宋体" w:cs="宋体"/>
          <w:color w:val="000000"/>
          <w:kern w:val="0"/>
          <w:sz w:val="24"/>
          <w:szCs w:val="24"/>
          <w:lang w:val="en-US" w:eastAsia="zh-CN" w:bidi="ar"/>
        </w:rPr>
        <w:t>方可启动检测工作，并须在3个月内提交检测 / 评价报告（装订成册）纸质版 5 份、电子版 1 份。</w:t>
      </w:r>
    </w:p>
    <w:p w14:paraId="50B8CB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color w:val="000000"/>
          <w:sz w:val="24"/>
          <w:szCs w:val="24"/>
        </w:rPr>
      </w:pPr>
      <w:r>
        <w:rPr>
          <w:rFonts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十</w:t>
      </w:r>
      <w:r>
        <w:rPr>
          <w:rFonts w:ascii="宋体" w:hAnsi="宋体" w:eastAsia="宋体" w:cs="宋体"/>
          <w:color w:val="000000"/>
          <w:kern w:val="0"/>
          <w:sz w:val="24"/>
          <w:szCs w:val="24"/>
          <w:lang w:val="en-US" w:eastAsia="zh-CN" w:bidi="ar"/>
        </w:rPr>
        <w:t>）检测过程中如发现遗漏、未识别的检测点位，</w:t>
      </w:r>
      <w:r>
        <w:rPr>
          <w:rFonts w:hint="eastAsia" w:ascii="宋体" w:hAnsi="宋体" w:eastAsia="宋体" w:cs="宋体"/>
          <w:color w:val="000000"/>
          <w:kern w:val="0"/>
          <w:sz w:val="24"/>
          <w:szCs w:val="24"/>
          <w:lang w:val="en-US" w:eastAsia="zh-CN" w:bidi="ar"/>
        </w:rPr>
        <w:t>乙方</w:t>
      </w:r>
      <w:r>
        <w:rPr>
          <w:rFonts w:ascii="宋体" w:hAnsi="宋体" w:eastAsia="宋体" w:cs="宋体"/>
          <w:color w:val="000000"/>
          <w:kern w:val="0"/>
          <w:sz w:val="24"/>
          <w:szCs w:val="24"/>
          <w:lang w:val="en-US" w:eastAsia="zh-CN" w:bidi="ar"/>
        </w:rPr>
        <w:t>应主动予以识别并补测</w:t>
      </w:r>
      <w:r>
        <w:rPr>
          <w:rFonts w:hint="eastAsia" w:ascii="宋体" w:hAnsi="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如发现超标点位，须提出整改建议，并在整改完成后组织复测。</w:t>
      </w:r>
    </w:p>
    <w:p w14:paraId="74EEE6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spacing w:val="-5"/>
          <w:kern w:val="0"/>
          <w:sz w:val="24"/>
          <w:szCs w:val="24"/>
          <w:lang w:eastAsia="zh-CN"/>
        </w:rPr>
      </w:pPr>
      <w:r>
        <w:rPr>
          <w:rFonts w:ascii="宋体" w:hAnsi="宋体" w:eastAsia="宋体" w:cs="宋体"/>
          <w:color w:val="000000"/>
          <w:kern w:val="0"/>
          <w:sz w:val="24"/>
          <w:szCs w:val="24"/>
          <w:lang w:val="en-US" w:eastAsia="zh-CN" w:bidi="ar"/>
        </w:rPr>
        <w:t>（十</w:t>
      </w:r>
      <w:r>
        <w:rPr>
          <w:rFonts w:hint="eastAsia" w:ascii="宋体" w:hAnsi="宋体" w:cs="宋体"/>
          <w:color w:val="000000"/>
          <w:kern w:val="0"/>
          <w:sz w:val="24"/>
          <w:szCs w:val="24"/>
          <w:lang w:val="en-US" w:eastAsia="zh-CN" w:bidi="ar"/>
        </w:rPr>
        <w:t>一</w:t>
      </w:r>
      <w:r>
        <w:rPr>
          <w:rFonts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乙方</w:t>
      </w:r>
      <w:r>
        <w:rPr>
          <w:rFonts w:ascii="宋体" w:hAnsi="宋体" w:eastAsia="宋体" w:cs="宋体"/>
          <w:color w:val="000000"/>
          <w:kern w:val="0"/>
          <w:sz w:val="24"/>
          <w:szCs w:val="24"/>
          <w:lang w:val="en-US" w:eastAsia="zh-CN" w:bidi="ar"/>
        </w:rPr>
        <w:t>对</w:t>
      </w:r>
      <w:r>
        <w:rPr>
          <w:rFonts w:hint="eastAsia" w:ascii="宋体" w:hAnsi="宋体" w:cs="宋体"/>
          <w:color w:val="000000"/>
          <w:kern w:val="0"/>
          <w:sz w:val="24"/>
          <w:szCs w:val="24"/>
          <w:lang w:val="en-US" w:eastAsia="zh-CN" w:bidi="ar"/>
        </w:rPr>
        <w:t>甲方</w:t>
      </w:r>
      <w:r>
        <w:rPr>
          <w:rFonts w:ascii="宋体" w:hAnsi="宋体" w:eastAsia="宋体" w:cs="宋体"/>
          <w:color w:val="000000"/>
          <w:kern w:val="0"/>
          <w:sz w:val="24"/>
          <w:szCs w:val="24"/>
          <w:lang w:val="en-US" w:eastAsia="zh-CN" w:bidi="ar"/>
        </w:rPr>
        <w:t>提供的文件、资料、数据负有保密义务，未经</w:t>
      </w:r>
      <w:r>
        <w:rPr>
          <w:rFonts w:hint="eastAsia" w:ascii="宋体" w:hAnsi="宋体" w:cs="宋体"/>
          <w:color w:val="000000"/>
          <w:kern w:val="0"/>
          <w:sz w:val="24"/>
          <w:szCs w:val="24"/>
          <w:lang w:val="en-US" w:eastAsia="zh-CN" w:bidi="ar"/>
        </w:rPr>
        <w:t>甲方</w:t>
      </w:r>
      <w:r>
        <w:rPr>
          <w:rFonts w:ascii="宋体" w:hAnsi="宋体" w:eastAsia="宋体" w:cs="宋体"/>
          <w:color w:val="000000"/>
          <w:kern w:val="0"/>
          <w:sz w:val="24"/>
          <w:szCs w:val="24"/>
          <w:lang w:val="en-US" w:eastAsia="zh-CN" w:bidi="ar"/>
        </w:rPr>
        <w:t>书面同意，不得以任何形式向第三方泄露。</w:t>
      </w:r>
    </w:p>
    <w:p w14:paraId="0F552F6E">
      <w:pPr>
        <w:pStyle w:val="5"/>
        <w:keepNext w:val="0"/>
        <w:keepLines w:val="0"/>
        <w:pageBreakBefore w:val="0"/>
        <w:widowControl w:val="0"/>
        <w:kinsoku/>
        <w:wordWrap/>
        <w:overflowPunct/>
        <w:topLinePunct w:val="0"/>
        <w:autoSpaceDE w:val="0"/>
        <w:autoSpaceDN w:val="0"/>
        <w:bidi w:val="0"/>
        <w:adjustRightInd/>
        <w:snapToGrid/>
        <w:spacing w:before="157" w:beforeLines="50" w:after="157" w:afterLines="50" w:line="360" w:lineRule="auto"/>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b/>
          <w:bCs/>
          <w:sz w:val="24"/>
          <w:szCs w:val="24"/>
          <w:lang w:eastAsia="zh-CN"/>
        </w:rPr>
        <w:t>第</w:t>
      </w:r>
      <w:r>
        <w:rPr>
          <w:rFonts w:hint="eastAsia" w:ascii="Times New Roman" w:hAnsi="Times New Roman" w:cs="Times New Roman"/>
          <w:b/>
          <w:bCs/>
          <w:sz w:val="24"/>
          <w:szCs w:val="24"/>
          <w:lang w:val="en-US" w:eastAsia="zh-CN"/>
        </w:rPr>
        <w:t>八</w:t>
      </w:r>
      <w:r>
        <w:rPr>
          <w:rFonts w:hint="default" w:ascii="Times New Roman" w:hAnsi="Times New Roman" w:eastAsia="宋体" w:cs="Times New Roman"/>
          <w:b/>
          <w:bCs/>
          <w:sz w:val="24"/>
          <w:szCs w:val="24"/>
          <w:lang w:eastAsia="zh-CN"/>
        </w:rPr>
        <w:t>条</w:t>
      </w:r>
      <w:r>
        <w:rPr>
          <w:rFonts w:hint="eastAsia" w:ascii="Times New Roman" w:hAnsi="Times New Roman" w:cs="Times New Roman"/>
          <w:b/>
          <w:bCs/>
          <w:sz w:val="24"/>
          <w:szCs w:val="24"/>
          <w:lang w:val="en-US" w:eastAsia="zh-CN"/>
        </w:rPr>
        <w:t xml:space="preserve"> </w:t>
      </w:r>
      <w:r>
        <w:rPr>
          <w:rFonts w:hint="default" w:ascii="Times New Roman" w:hAnsi="Times New Roman" w:eastAsia="宋体" w:cs="Times New Roman"/>
          <w:b/>
          <w:bCs/>
          <w:sz w:val="24"/>
          <w:szCs w:val="24"/>
          <w:lang w:eastAsia="zh-CN"/>
        </w:rPr>
        <w:t>双方确定因履行本合同应遵守的保密义务如下：</w:t>
      </w:r>
    </w:p>
    <w:p w14:paraId="738A3A2F">
      <w:pPr>
        <w:pStyle w:val="5"/>
        <w:spacing w:line="360" w:lineRule="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甲方：</w:t>
      </w:r>
    </w:p>
    <w:p w14:paraId="339889D2">
      <w:pPr>
        <w:pStyle w:val="5"/>
        <w:numPr>
          <w:ilvl w:val="0"/>
          <w:numId w:val="3"/>
        </w:numPr>
        <w:spacing w:line="360" w:lineRule="auto"/>
        <w:ind w:left="275" w:leftChars="-9" w:hanging="295" w:hangingChars="123"/>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保密内容：乙方提供的资料，服务咨询报告及该服务咨询报告的附件资料除外。</w:t>
      </w:r>
    </w:p>
    <w:p w14:paraId="5D349F25">
      <w:pPr>
        <w:pStyle w:val="5"/>
        <w:numPr>
          <w:ilvl w:val="0"/>
          <w:numId w:val="3"/>
        </w:numPr>
        <w:spacing w:line="360" w:lineRule="auto"/>
        <w:ind w:left="275" w:leftChars="-9" w:hanging="295" w:hangingChars="123"/>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涉密人员范围：甲方及甲方工作人员</w:t>
      </w:r>
    </w:p>
    <w:p w14:paraId="6338C9EB">
      <w:pPr>
        <w:pStyle w:val="5"/>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left="275" w:leftChars="-9" w:hanging="295" w:hangingChars="123"/>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泄密责任：按本合同约定及国家有关保密法的规定执行</w:t>
      </w:r>
    </w:p>
    <w:p w14:paraId="481BA55E">
      <w:pPr>
        <w:pStyle w:val="5"/>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乙方：</w:t>
      </w:r>
    </w:p>
    <w:p w14:paraId="09C7734B">
      <w:pPr>
        <w:pStyle w:val="5"/>
        <w:keepNext w:val="0"/>
        <w:keepLines w:val="0"/>
        <w:pageBreakBefore w:val="0"/>
        <w:widowControl w:val="0"/>
        <w:numPr>
          <w:ilvl w:val="0"/>
          <w:numId w:val="4"/>
        </w:numPr>
        <w:kinsoku/>
        <w:wordWrap/>
        <w:overflowPunct/>
        <w:topLinePunct w:val="0"/>
        <w:autoSpaceDE w:val="0"/>
        <w:autoSpaceDN w:val="0"/>
        <w:bidi w:val="0"/>
        <w:adjustRightInd/>
        <w:snapToGrid/>
        <w:spacing w:line="360" w:lineRule="auto"/>
        <w:ind w:left="292" w:leftChars="0" w:hanging="292" w:hangingChars="122"/>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保密内容：甲方提供的资料以及乙方在提供本合同约定服务过程中知悉的甲方技术信息、经营信息、生产工艺、操作流程等。</w:t>
      </w:r>
    </w:p>
    <w:p w14:paraId="328C75D1">
      <w:pPr>
        <w:pStyle w:val="5"/>
        <w:keepNext w:val="0"/>
        <w:keepLines w:val="0"/>
        <w:pageBreakBefore w:val="0"/>
        <w:widowControl w:val="0"/>
        <w:numPr>
          <w:ilvl w:val="0"/>
          <w:numId w:val="4"/>
        </w:numPr>
        <w:kinsoku/>
        <w:wordWrap/>
        <w:overflowPunct/>
        <w:topLinePunct w:val="0"/>
        <w:autoSpaceDE w:val="0"/>
        <w:autoSpaceDN w:val="0"/>
        <w:bidi w:val="0"/>
        <w:adjustRightInd/>
        <w:snapToGrid/>
        <w:spacing w:line="360" w:lineRule="auto"/>
        <w:ind w:left="292" w:leftChars="0" w:hanging="292" w:hangingChars="122"/>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涉密人员范围：乙方及乙方工作人员</w:t>
      </w:r>
    </w:p>
    <w:p w14:paraId="444C97B7">
      <w:pPr>
        <w:pStyle w:val="5"/>
        <w:keepNext w:val="0"/>
        <w:keepLines w:val="0"/>
        <w:pageBreakBefore w:val="0"/>
        <w:widowControl w:val="0"/>
        <w:numPr>
          <w:ilvl w:val="0"/>
          <w:numId w:val="4"/>
        </w:numPr>
        <w:kinsoku/>
        <w:wordWrap/>
        <w:overflowPunct/>
        <w:topLinePunct w:val="0"/>
        <w:autoSpaceDE w:val="0"/>
        <w:autoSpaceDN w:val="0"/>
        <w:bidi w:val="0"/>
        <w:adjustRightInd/>
        <w:snapToGrid/>
        <w:spacing w:line="360" w:lineRule="auto"/>
        <w:ind w:left="292" w:leftChars="0" w:hanging="292" w:hangingChars="122"/>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泄密责任：按本合同约定及国家有关保密法的规定执行</w:t>
      </w:r>
    </w:p>
    <w:p w14:paraId="06F9D9E5">
      <w:pPr>
        <w:pStyle w:val="5"/>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第</w:t>
      </w:r>
      <w:r>
        <w:rPr>
          <w:rFonts w:hint="eastAsia" w:ascii="Times New Roman" w:hAnsi="Times New Roman" w:cs="Times New Roman"/>
          <w:sz w:val="24"/>
          <w:szCs w:val="24"/>
          <w:lang w:val="en-US" w:eastAsia="zh-CN"/>
        </w:rPr>
        <w:t>九</w:t>
      </w:r>
      <w:r>
        <w:rPr>
          <w:rFonts w:hint="default" w:ascii="Times New Roman" w:hAnsi="Times New Roman" w:eastAsia="宋体" w:cs="Times New Roman"/>
          <w:sz w:val="24"/>
          <w:szCs w:val="24"/>
          <w:lang w:eastAsia="zh-CN"/>
        </w:rPr>
        <w:t>条</w:t>
      </w:r>
      <w:r>
        <w:rPr>
          <w:rFonts w:hint="eastAsia"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lang w:eastAsia="zh-CN"/>
        </w:rPr>
        <w:t>本合同的变更必须由双方协商一致，并以书面形式确定。</w:t>
      </w:r>
    </w:p>
    <w:p w14:paraId="79443148">
      <w:pPr>
        <w:pStyle w:val="5"/>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第</w:t>
      </w:r>
      <w:r>
        <w:rPr>
          <w:rFonts w:hint="eastAsia" w:ascii="Times New Roman" w:hAnsi="Times New Roman" w:cs="Times New Roman"/>
          <w:sz w:val="24"/>
          <w:szCs w:val="24"/>
          <w:lang w:val="en-US" w:eastAsia="zh-CN"/>
        </w:rPr>
        <w:t>十</w:t>
      </w:r>
      <w:r>
        <w:rPr>
          <w:rFonts w:hint="default" w:ascii="Times New Roman" w:hAnsi="Times New Roman" w:eastAsia="宋体" w:cs="Times New Roman"/>
          <w:sz w:val="24"/>
          <w:szCs w:val="24"/>
          <w:lang w:eastAsia="zh-CN"/>
        </w:rPr>
        <w:t>条</w:t>
      </w:r>
      <w:r>
        <w:rPr>
          <w:rFonts w:hint="eastAsia"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lang w:eastAsia="zh-CN"/>
        </w:rPr>
        <w:t>双方确定，按以下标准和方式对乙方提交的技术咨询工作成果进行验收：</w:t>
      </w:r>
    </w:p>
    <w:p w14:paraId="43D2B810">
      <w:pPr>
        <w:pStyle w:val="5"/>
        <w:keepNext w:val="0"/>
        <w:keepLines w:val="0"/>
        <w:pageBreakBefore w:val="0"/>
        <w:widowControl w:val="0"/>
        <w:kinsoku/>
        <w:wordWrap/>
        <w:overflowPunct/>
        <w:topLinePunct w:val="0"/>
        <w:autoSpaceDE w:val="0"/>
        <w:autoSpaceDN w:val="0"/>
        <w:bidi w:val="0"/>
        <w:adjustRightInd/>
        <w:snapToGrid/>
        <w:spacing w:line="360" w:lineRule="auto"/>
        <w:ind w:left="296" w:leftChars="-9" w:hanging="316" w:hangingChars="132"/>
        <w:textAlignment w:val="auto"/>
        <w:rPr>
          <w:rFonts w:hint="default" w:ascii="Times New Roman" w:hAnsi="Times New Roman" w:eastAsia="宋体" w:cs="Times New Roman"/>
          <w:sz w:val="24"/>
          <w:szCs w:val="24"/>
          <w:u w:val="single"/>
          <w:lang w:eastAsia="zh-CN"/>
        </w:rPr>
      </w:pPr>
      <w:r>
        <w:rPr>
          <w:rFonts w:hint="default" w:ascii="Times New Roman" w:hAnsi="Times New Roman" w:eastAsia="宋体" w:cs="Times New Roman"/>
          <w:sz w:val="24"/>
          <w:szCs w:val="24"/>
          <w:lang w:eastAsia="zh-CN"/>
        </w:rPr>
        <w:t>1.</w:t>
      </w:r>
      <w:r>
        <w:rPr>
          <w:rFonts w:hint="eastAsia"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lang w:eastAsia="zh-CN"/>
        </w:rPr>
        <w:t>乙方提交技术工作成果的形式：对进行</w:t>
      </w:r>
      <w:r>
        <w:rPr>
          <w:rFonts w:hint="default" w:ascii="Times New Roman" w:hAnsi="Times New Roman" w:eastAsia="宋体" w:cs="Times New Roman"/>
          <w:sz w:val="24"/>
          <w:szCs w:val="24"/>
          <w:u w:val="single"/>
          <w:lang w:eastAsia="zh-CN"/>
        </w:rPr>
        <w:t>职业病危害因素检测并出具检测报告</w:t>
      </w:r>
      <w:r>
        <w:rPr>
          <w:rFonts w:hint="eastAsia" w:ascii="Times New Roman" w:hAnsi="Times New Roman" w:cs="Times New Roman"/>
          <w:sz w:val="24"/>
          <w:szCs w:val="24"/>
          <w:u w:val="single"/>
          <w:lang w:val="en-US" w:eastAsia="zh-CN"/>
        </w:rPr>
        <w:t>/评价报告</w:t>
      </w:r>
      <w:r>
        <w:rPr>
          <w:rFonts w:hint="default" w:ascii="Times New Roman" w:hAnsi="Times New Roman" w:eastAsia="宋体" w:cs="Times New Roman"/>
          <w:sz w:val="24"/>
          <w:szCs w:val="24"/>
          <w:u w:val="single"/>
          <w:lang w:eastAsia="zh-CN"/>
        </w:rPr>
        <w:t>。</w:t>
      </w:r>
    </w:p>
    <w:p w14:paraId="5FFFE152">
      <w:pPr>
        <w:pStyle w:val="5"/>
        <w:spacing w:line="360" w:lineRule="auto"/>
        <w:ind w:left="296" w:leftChars="-9" w:hanging="316" w:hangingChars="132"/>
        <w:rPr>
          <w:rFonts w:hint="default" w:ascii="Times New Roman" w:hAnsi="Times New Roman" w:eastAsia="宋体" w:cs="Times New Roman"/>
          <w:sz w:val="24"/>
          <w:szCs w:val="24"/>
          <w:u w:val="single"/>
          <w:lang w:eastAsia="zh-CN"/>
        </w:rPr>
      </w:pPr>
      <w:r>
        <w:rPr>
          <w:rFonts w:hint="default" w:ascii="Times New Roman" w:hAnsi="Times New Roman" w:eastAsia="宋体" w:cs="Times New Roman"/>
          <w:sz w:val="24"/>
          <w:szCs w:val="24"/>
          <w:lang w:eastAsia="zh-CN"/>
        </w:rPr>
        <w:t>2.</w:t>
      </w:r>
      <w:r>
        <w:rPr>
          <w:rFonts w:hint="eastAsia"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lang w:eastAsia="zh-CN"/>
        </w:rPr>
        <w:t>技术工作成果的验收标准：</w:t>
      </w:r>
    </w:p>
    <w:p w14:paraId="6FF4BB9D">
      <w:pPr>
        <w:spacing w:line="360" w:lineRule="auto"/>
        <w:ind w:left="809" w:leftChars="126" w:hanging="532" w:hangingChars="222"/>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2.1</w:t>
      </w:r>
      <w:r>
        <w:rPr>
          <w:rFonts w:hint="eastAsia" w:ascii="Times New Roman" w:hAnsi="Times New Roman" w:cs="Times New Roman"/>
          <w:kern w:val="2"/>
          <w:sz w:val="24"/>
          <w:szCs w:val="24"/>
          <w:lang w:val="en-US" w:eastAsia="zh-CN"/>
        </w:rPr>
        <w:t xml:space="preserve"> </w:t>
      </w:r>
      <w:r>
        <w:rPr>
          <w:rFonts w:hint="default" w:ascii="Times New Roman" w:hAnsi="Times New Roman" w:eastAsia="宋体" w:cs="Times New Roman"/>
          <w:kern w:val="2"/>
          <w:sz w:val="24"/>
          <w:szCs w:val="24"/>
          <w:lang w:eastAsia="zh-CN"/>
        </w:rPr>
        <w:t>验收标准：国家法律法规、政策、标准规范。</w:t>
      </w:r>
    </w:p>
    <w:p w14:paraId="301B1340">
      <w:pPr>
        <w:pStyle w:val="5"/>
        <w:spacing w:line="360" w:lineRule="auto"/>
        <w:ind w:left="809" w:leftChars="126" w:hanging="532" w:hangingChars="222"/>
        <w:rPr>
          <w:rFonts w:hint="default" w:ascii="Times New Roman" w:hAnsi="Times New Roman" w:eastAsia="宋体" w:cs="Times New Roman"/>
          <w:sz w:val="24"/>
          <w:szCs w:val="24"/>
          <w:lang w:eastAsia="zh-CN"/>
        </w:rPr>
      </w:pPr>
      <w:r>
        <w:rPr>
          <w:rFonts w:hint="default" w:ascii="Times New Roman" w:hAnsi="Times New Roman" w:eastAsia="宋体" w:cs="Times New Roman"/>
          <w:kern w:val="2"/>
          <w:sz w:val="24"/>
          <w:szCs w:val="24"/>
          <w:lang w:eastAsia="zh-CN"/>
        </w:rPr>
        <w:t>2.2</w:t>
      </w:r>
      <w:r>
        <w:rPr>
          <w:rFonts w:hint="eastAsia" w:ascii="Times New Roman" w:hAnsi="Times New Roman" w:cs="Times New Roman"/>
          <w:kern w:val="2"/>
          <w:sz w:val="24"/>
          <w:szCs w:val="24"/>
          <w:lang w:val="en-US" w:eastAsia="zh-CN"/>
        </w:rPr>
        <w:t xml:space="preserve"> </w:t>
      </w:r>
      <w:r>
        <w:rPr>
          <w:rFonts w:hint="default" w:ascii="Times New Roman" w:hAnsi="Times New Roman" w:eastAsia="宋体" w:cs="Times New Roman"/>
          <w:kern w:val="2"/>
          <w:sz w:val="24"/>
          <w:szCs w:val="24"/>
          <w:lang w:eastAsia="zh-CN"/>
        </w:rPr>
        <w:t>验收方法：</w:t>
      </w:r>
      <w:r>
        <w:rPr>
          <w:rFonts w:hint="default" w:ascii="Times New Roman" w:hAnsi="Times New Roman" w:eastAsia="宋体" w:cs="Times New Roman"/>
          <w:sz w:val="24"/>
          <w:szCs w:val="24"/>
          <w:u w:val="single"/>
          <w:lang w:eastAsia="zh-CN"/>
        </w:rPr>
        <w:t>乙方根据合同约定对相应项目进行职业病危害因素检测并出具检测报告</w:t>
      </w:r>
      <w:r>
        <w:rPr>
          <w:rFonts w:hint="eastAsia" w:ascii="Times New Roman" w:hAnsi="Times New Roman" w:cs="Times New Roman"/>
          <w:sz w:val="24"/>
          <w:szCs w:val="24"/>
          <w:u w:val="single"/>
          <w:lang w:val="en-US" w:eastAsia="zh-CN"/>
        </w:rPr>
        <w:t>/评价报告</w:t>
      </w:r>
      <w:r>
        <w:rPr>
          <w:rFonts w:hint="default" w:ascii="Times New Roman" w:hAnsi="Times New Roman" w:eastAsia="宋体" w:cs="Times New Roman"/>
          <w:sz w:val="24"/>
          <w:szCs w:val="24"/>
          <w:u w:val="single"/>
          <w:lang w:eastAsia="zh-CN"/>
        </w:rPr>
        <w:t>，报告经由甲方认可接受后</w:t>
      </w:r>
      <w:r>
        <w:rPr>
          <w:rFonts w:hint="default" w:ascii="Times New Roman" w:hAnsi="Times New Roman" w:eastAsia="宋体" w:cs="Times New Roman"/>
          <w:kern w:val="2"/>
          <w:sz w:val="24"/>
          <w:szCs w:val="24"/>
          <w:u w:val="single"/>
          <w:lang w:eastAsia="zh-CN"/>
        </w:rPr>
        <w:t>视为验收合格。</w:t>
      </w:r>
    </w:p>
    <w:p w14:paraId="32EB7629">
      <w:pPr>
        <w:pStyle w:val="5"/>
        <w:spacing w:line="360" w:lineRule="auto"/>
        <w:ind w:left="296" w:leftChars="-9" w:hanging="316" w:hangingChars="132"/>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3.</w:t>
      </w:r>
      <w:r>
        <w:rPr>
          <w:rFonts w:hint="eastAsia"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lang w:eastAsia="zh-CN"/>
        </w:rPr>
        <w:t>验收地点：</w:t>
      </w:r>
      <w:r>
        <w:rPr>
          <w:rFonts w:hint="default" w:ascii="Times New Roman" w:hAnsi="Times New Roman" w:eastAsia="宋体" w:cs="Times New Roman"/>
          <w:sz w:val="24"/>
          <w:szCs w:val="24"/>
          <w:u w:val="single"/>
          <w:lang w:eastAsia="zh-CN"/>
        </w:rPr>
        <w:t>甲方所在地。</w:t>
      </w:r>
    </w:p>
    <w:p w14:paraId="528DCD02">
      <w:pPr>
        <w:spacing w:line="360" w:lineRule="auto"/>
        <w:ind w:left="296" w:leftChars="-9" w:hanging="316" w:hangingChars="132"/>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4.</w:t>
      </w:r>
      <w:r>
        <w:rPr>
          <w:rFonts w:hint="eastAsia"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lang w:eastAsia="zh-CN"/>
        </w:rPr>
        <w:t>双方确认，甲方的验收仅作为付款依据，不代表甲方对乙方工作成果的最终认可。在技术咨询成果运用过程中，如有证据表明乙方存在弄虚作假等违反合同约定的情形，甲方有权主张乙方返还服务费用。乙方保证报告内容的客观性，并不会侵犯其他第三方的知识产权，否则由乙方负责解决，并使甲方免受经济损失。</w:t>
      </w:r>
    </w:p>
    <w:p w14:paraId="5AD0AB41">
      <w:pPr>
        <w:pStyle w:val="5"/>
        <w:keepNext w:val="0"/>
        <w:keepLines w:val="0"/>
        <w:pageBreakBefore w:val="0"/>
        <w:widowControl w:val="0"/>
        <w:kinsoku/>
        <w:wordWrap/>
        <w:overflowPunct/>
        <w:topLinePunct w:val="0"/>
        <w:autoSpaceDE w:val="0"/>
        <w:autoSpaceDN w:val="0"/>
        <w:bidi w:val="0"/>
        <w:adjustRightInd/>
        <w:snapToGrid/>
        <w:spacing w:before="157" w:beforeLines="50" w:line="360" w:lineRule="auto"/>
        <w:ind w:left="296" w:leftChars="-9" w:hanging="316" w:hangingChars="132"/>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第</w:t>
      </w:r>
      <w:r>
        <w:rPr>
          <w:rFonts w:hint="eastAsia" w:ascii="Times New Roman" w:hAnsi="Times New Roman" w:cs="Times New Roman"/>
          <w:sz w:val="24"/>
          <w:szCs w:val="24"/>
          <w:lang w:val="en-US" w:eastAsia="zh-CN"/>
        </w:rPr>
        <w:t>十一</w:t>
      </w:r>
      <w:r>
        <w:rPr>
          <w:rFonts w:hint="default" w:ascii="Times New Roman" w:hAnsi="Times New Roman" w:eastAsia="宋体" w:cs="Times New Roman"/>
          <w:sz w:val="24"/>
          <w:szCs w:val="24"/>
          <w:lang w:eastAsia="zh-CN"/>
        </w:rPr>
        <w:t>条</w:t>
      </w:r>
      <w:r>
        <w:rPr>
          <w:rFonts w:hint="eastAsia"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lang w:eastAsia="zh-CN"/>
        </w:rPr>
        <w:t>双方确定，甲方指定</w:t>
      </w:r>
      <w:r>
        <w:rPr>
          <w:rFonts w:hint="eastAsia" w:ascii="Times New Roman" w:hAnsi="Times New Roman" w:cs="Times New Roman"/>
          <w:sz w:val="24"/>
          <w:szCs w:val="24"/>
          <w:u w:val="single"/>
          <w:lang w:val="en-US" w:eastAsia="zh-CN"/>
        </w:rPr>
        <w:t xml:space="preserve"> </w:t>
      </w:r>
      <w:r>
        <w:rPr>
          <w:rFonts w:hint="default" w:ascii="Times New Roman" w:hAnsi="Times New Roman" w:eastAsia="宋体" w:cs="Times New Roman"/>
          <w:bCs/>
          <w:sz w:val="24"/>
          <w:szCs w:val="24"/>
          <w:u w:val="single"/>
          <w:lang w:eastAsia="zh-CN"/>
        </w:rPr>
        <w:t>黄小玲 0596-6311102  邮箱：</w:t>
      </w:r>
      <w:r>
        <w:rPr>
          <w:rFonts w:hint="default" w:ascii="Times New Roman" w:hAnsi="Times New Roman" w:eastAsia="宋体" w:cs="Times New Roman"/>
          <w:sz w:val="24"/>
          <w:szCs w:val="24"/>
          <w:u w:val="single"/>
        </w:rPr>
        <w:fldChar w:fldCharType="begin"/>
      </w:r>
      <w:r>
        <w:rPr>
          <w:rFonts w:hint="default" w:ascii="Times New Roman" w:hAnsi="Times New Roman" w:eastAsia="宋体" w:cs="Times New Roman"/>
          <w:sz w:val="24"/>
          <w:szCs w:val="24"/>
          <w:u w:val="single"/>
          <w:lang w:eastAsia="zh-CN"/>
        </w:rPr>
        <w:instrText xml:space="preserve"> HYPERLINK "mailto:xlhuang@fhcpec.com.cn" </w:instrText>
      </w:r>
      <w:r>
        <w:rPr>
          <w:rFonts w:hint="default" w:ascii="Times New Roman" w:hAnsi="Times New Roman" w:eastAsia="宋体" w:cs="Times New Roman"/>
          <w:sz w:val="24"/>
          <w:szCs w:val="24"/>
          <w:u w:val="single"/>
        </w:rPr>
        <w:fldChar w:fldCharType="separate"/>
      </w:r>
      <w:r>
        <w:rPr>
          <w:rFonts w:hint="default" w:ascii="Times New Roman" w:hAnsi="Times New Roman" w:eastAsia="宋体" w:cs="Times New Roman"/>
          <w:sz w:val="24"/>
          <w:szCs w:val="24"/>
          <w:u w:val="single"/>
          <w:lang w:eastAsia="zh-CN"/>
        </w:rPr>
        <w:t>xlhuang@fhcpec.com.cn</w:t>
      </w:r>
      <w:r>
        <w:rPr>
          <w:rFonts w:hint="default" w:ascii="Times New Roman" w:hAnsi="Times New Roman" w:eastAsia="宋体" w:cs="Times New Roman"/>
          <w:sz w:val="24"/>
          <w:szCs w:val="24"/>
          <w:u w:val="single"/>
        </w:rPr>
        <w:fldChar w:fldCharType="end"/>
      </w:r>
      <w:r>
        <w:rPr>
          <w:rFonts w:hint="default" w:ascii="Times New Roman" w:hAnsi="Times New Roman" w:eastAsia="宋体" w:cs="Times New Roman"/>
          <w:sz w:val="24"/>
          <w:szCs w:val="24"/>
          <w:u w:val="none"/>
          <w:lang w:eastAsia="zh-CN"/>
        </w:rPr>
        <w:t>为</w:t>
      </w:r>
      <w:r>
        <w:rPr>
          <w:rFonts w:hint="default" w:ascii="Times New Roman" w:hAnsi="Times New Roman" w:eastAsia="宋体" w:cs="Times New Roman"/>
          <w:sz w:val="24"/>
          <w:szCs w:val="24"/>
          <w:lang w:eastAsia="zh-CN"/>
        </w:rPr>
        <w:t>甲方项目联系人，乙方指定</w:t>
      </w:r>
      <w:r>
        <w:rPr>
          <w:rFonts w:hint="default" w:ascii="Times New Roman" w:hAnsi="Times New Roman" w:eastAsia="宋体" w:cs="Times New Roman"/>
          <w:sz w:val="24"/>
          <w:szCs w:val="24"/>
          <w:u w:val="single"/>
          <w:lang w:eastAsia="zh-CN"/>
        </w:rPr>
        <w:t xml:space="preserve"> </w:t>
      </w:r>
      <w:r>
        <w:rPr>
          <w:rFonts w:hint="eastAsia" w:ascii="Times New Roman" w:hAnsi="Times New Roman" w:cs="Times New Roman"/>
          <w:sz w:val="24"/>
          <w:szCs w:val="24"/>
          <w:u w:val="single"/>
          <w:lang w:val="en-US" w:eastAsia="zh-CN"/>
        </w:rPr>
        <w:t xml:space="preserve">       </w:t>
      </w:r>
      <w:r>
        <w:rPr>
          <w:rFonts w:hint="default" w:ascii="Times New Roman" w:hAnsi="Times New Roman" w:eastAsia="宋体" w:cs="Times New Roman"/>
          <w:sz w:val="24"/>
          <w:szCs w:val="24"/>
          <w:u w:val="single"/>
          <w:lang w:eastAsia="zh-CN"/>
        </w:rPr>
        <w:t xml:space="preserve"> </w:t>
      </w:r>
      <w:r>
        <w:rPr>
          <w:rFonts w:hint="eastAsia" w:ascii="Times New Roman" w:hAnsi="Times New Roman" w:cs="Times New Roman"/>
          <w:sz w:val="24"/>
          <w:szCs w:val="24"/>
          <w:u w:val="single"/>
          <w:lang w:val="en-US" w:eastAsia="zh-CN"/>
        </w:rPr>
        <w:t xml:space="preserve">电话：     </w:t>
      </w:r>
      <w:r>
        <w:rPr>
          <w:rFonts w:hint="default" w:ascii="Times New Roman" w:hAnsi="Times New Roman" w:eastAsia="宋体" w:cs="Times New Roman"/>
          <w:sz w:val="24"/>
          <w:szCs w:val="24"/>
          <w:highlight w:val="none"/>
          <w:u w:val="single"/>
          <w:lang w:eastAsia="zh-CN"/>
        </w:rPr>
        <w:t xml:space="preserve"> </w:t>
      </w:r>
      <w:r>
        <w:rPr>
          <w:rFonts w:hint="eastAsia" w:ascii="Times New Roman" w:hAnsi="Times New Roman" w:cs="Times New Roman"/>
          <w:sz w:val="24"/>
          <w:szCs w:val="24"/>
          <w:highlight w:val="none"/>
          <w:u w:val="single"/>
          <w:lang w:val="en-US" w:eastAsia="zh-CN"/>
        </w:rPr>
        <w:t xml:space="preserve">邮箱： </w:t>
      </w:r>
      <w:r>
        <w:rPr>
          <w:rFonts w:hint="default" w:ascii="Times New Roman" w:hAnsi="Times New Roman" w:eastAsia="宋体" w:cs="Times New Roman"/>
          <w:sz w:val="24"/>
          <w:szCs w:val="24"/>
          <w:lang w:eastAsia="zh-CN"/>
        </w:rPr>
        <w:t>为乙方项目联系人。</w:t>
      </w:r>
    </w:p>
    <w:p w14:paraId="7503BB61">
      <w:pPr>
        <w:pStyle w:val="5"/>
        <w:spacing w:line="360" w:lineRule="auto"/>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第</w:t>
      </w:r>
      <w:r>
        <w:rPr>
          <w:rFonts w:hint="eastAsia" w:ascii="Times New Roman" w:hAnsi="Times New Roman" w:cs="Times New Roman"/>
          <w:b/>
          <w:bCs/>
          <w:sz w:val="24"/>
          <w:szCs w:val="24"/>
          <w:lang w:val="en-US" w:eastAsia="zh-CN"/>
        </w:rPr>
        <w:t>十二</w:t>
      </w:r>
      <w:r>
        <w:rPr>
          <w:rFonts w:hint="default" w:ascii="Times New Roman" w:hAnsi="Times New Roman" w:eastAsia="宋体" w:cs="Times New Roman"/>
          <w:b/>
          <w:bCs/>
          <w:sz w:val="24"/>
          <w:szCs w:val="24"/>
          <w:lang w:eastAsia="zh-CN"/>
        </w:rPr>
        <w:t>条</w:t>
      </w:r>
      <w:r>
        <w:rPr>
          <w:rFonts w:hint="eastAsia" w:ascii="Times New Roman" w:hAnsi="Times New Roman" w:cs="Times New Roman"/>
          <w:b/>
          <w:bCs/>
          <w:sz w:val="24"/>
          <w:szCs w:val="24"/>
          <w:lang w:val="en-US" w:eastAsia="zh-CN"/>
        </w:rPr>
        <w:t xml:space="preserve"> </w:t>
      </w:r>
      <w:r>
        <w:rPr>
          <w:rFonts w:hint="default" w:ascii="Times New Roman" w:hAnsi="Times New Roman" w:eastAsia="宋体" w:cs="Times New Roman"/>
          <w:b/>
          <w:bCs/>
          <w:sz w:val="24"/>
          <w:szCs w:val="24"/>
          <w:lang w:eastAsia="zh-CN"/>
        </w:rPr>
        <w:t>违约责任</w:t>
      </w:r>
    </w:p>
    <w:p w14:paraId="59757FA3">
      <w:pPr>
        <w:spacing w:line="360" w:lineRule="auto"/>
        <w:ind w:left="376" w:leftChars="-9" w:hanging="396" w:hangingChars="165"/>
        <w:rPr>
          <w:rStyle w:val="21"/>
          <w:rFonts w:hint="default" w:ascii="Times New Roman" w:hAnsi="Times New Roman" w:eastAsia="宋体" w:cs="Times New Roman"/>
          <w:b w:val="0"/>
          <w:bCs/>
          <w:color w:val="000000"/>
          <w:sz w:val="24"/>
          <w:szCs w:val="24"/>
          <w:lang w:eastAsia="zh-CN"/>
        </w:rPr>
      </w:pPr>
      <w:r>
        <w:rPr>
          <w:rStyle w:val="21"/>
          <w:rFonts w:hint="default" w:ascii="Times New Roman" w:hAnsi="Times New Roman" w:eastAsia="宋体" w:cs="Times New Roman"/>
          <w:b w:val="0"/>
          <w:bCs/>
          <w:color w:val="000000"/>
          <w:sz w:val="24"/>
          <w:szCs w:val="24"/>
          <w:lang w:eastAsia="zh-CN"/>
        </w:rPr>
        <w:t>1．乙方因自身原因逾期完成服务的，每日应向甲方支付违约金人民币</w:t>
      </w:r>
      <w:r>
        <w:rPr>
          <w:rFonts w:hint="default" w:ascii="Times New Roman" w:hAnsi="Times New Roman" w:eastAsia="宋体" w:cs="Times New Roman"/>
          <w:b w:val="0"/>
          <w:bCs/>
          <w:sz w:val="24"/>
          <w:szCs w:val="24"/>
          <w:u w:val="single"/>
          <w:lang w:eastAsia="zh-CN"/>
        </w:rPr>
        <w:t>200</w:t>
      </w:r>
      <w:r>
        <w:rPr>
          <w:rStyle w:val="21"/>
          <w:rFonts w:hint="default" w:ascii="Times New Roman" w:hAnsi="Times New Roman" w:eastAsia="宋体" w:cs="Times New Roman"/>
          <w:b w:val="0"/>
          <w:bCs/>
          <w:color w:val="000000"/>
          <w:sz w:val="24"/>
          <w:szCs w:val="24"/>
          <w:lang w:eastAsia="zh-CN"/>
        </w:rPr>
        <w:t>元，逾期超过</w:t>
      </w:r>
      <w:r>
        <w:rPr>
          <w:rFonts w:hint="default" w:ascii="Times New Roman" w:hAnsi="Times New Roman" w:eastAsia="宋体" w:cs="Times New Roman"/>
          <w:b w:val="0"/>
          <w:bCs/>
          <w:sz w:val="24"/>
          <w:szCs w:val="24"/>
          <w:u w:val="single"/>
          <w:lang w:eastAsia="zh-CN"/>
        </w:rPr>
        <w:t xml:space="preserve">10 </w:t>
      </w:r>
      <w:r>
        <w:rPr>
          <w:rStyle w:val="21"/>
          <w:rFonts w:hint="default" w:ascii="Times New Roman" w:hAnsi="Times New Roman" w:eastAsia="宋体" w:cs="Times New Roman"/>
          <w:b w:val="0"/>
          <w:bCs/>
          <w:color w:val="000000"/>
          <w:sz w:val="24"/>
          <w:szCs w:val="24"/>
          <w:lang w:eastAsia="zh-CN"/>
        </w:rPr>
        <w:t>日的，甲方还有权解除本合同并保留向乙方追索由此造成的直接损失的权利。</w:t>
      </w:r>
    </w:p>
    <w:p w14:paraId="4A173490">
      <w:pPr>
        <w:pStyle w:val="5"/>
        <w:spacing w:line="360" w:lineRule="auto"/>
        <w:ind w:left="376" w:leftChars="-9" w:hanging="396" w:hangingChars="165"/>
        <w:rPr>
          <w:rStyle w:val="21"/>
          <w:rFonts w:hint="default" w:ascii="Times New Roman" w:hAnsi="Times New Roman" w:eastAsia="宋体" w:cs="Times New Roman"/>
          <w:b w:val="0"/>
          <w:bCs/>
          <w:color w:val="000000"/>
          <w:sz w:val="24"/>
          <w:szCs w:val="24"/>
          <w:lang w:eastAsia="zh-CN"/>
        </w:rPr>
      </w:pPr>
      <w:r>
        <w:rPr>
          <w:rStyle w:val="21"/>
          <w:rFonts w:hint="default" w:ascii="Times New Roman" w:hAnsi="Times New Roman" w:eastAsia="宋体" w:cs="Times New Roman"/>
          <w:b w:val="0"/>
          <w:bCs/>
          <w:color w:val="000000"/>
          <w:sz w:val="24"/>
          <w:szCs w:val="24"/>
          <w:lang w:eastAsia="zh-CN"/>
        </w:rPr>
        <w:t>2．乙方提交的服务咨询不符合合同约定的，应在双方协商的合理期限内修改完善直至符合合同约定为止，乙方因自身原因超过甲方指定期限更改报告内容的按照第1款约定执行。</w:t>
      </w:r>
    </w:p>
    <w:p w14:paraId="7D727045">
      <w:pPr>
        <w:pStyle w:val="5"/>
        <w:spacing w:line="360" w:lineRule="auto"/>
        <w:ind w:left="376" w:leftChars="-9" w:hanging="396" w:hangingChars="165"/>
        <w:rPr>
          <w:rFonts w:hint="default" w:ascii="Times New Roman" w:hAnsi="Times New Roman" w:eastAsia="宋体" w:cs="Times New Roman"/>
          <w:b w:val="0"/>
          <w:bCs/>
          <w:sz w:val="24"/>
          <w:szCs w:val="24"/>
          <w:lang w:eastAsia="zh-CN"/>
        </w:rPr>
      </w:pPr>
      <w:r>
        <w:rPr>
          <w:rStyle w:val="21"/>
          <w:rFonts w:hint="default" w:ascii="Times New Roman" w:hAnsi="Times New Roman" w:eastAsia="宋体" w:cs="Times New Roman"/>
          <w:b w:val="0"/>
          <w:bCs/>
          <w:color w:val="000000"/>
          <w:sz w:val="24"/>
          <w:szCs w:val="24"/>
          <w:lang w:eastAsia="zh-CN"/>
        </w:rPr>
        <w:t>3．任何一方违反保密义务的，应向对方支付违约金人民币</w:t>
      </w:r>
      <w:r>
        <w:rPr>
          <w:rFonts w:hint="default" w:ascii="Times New Roman" w:hAnsi="Times New Roman" w:eastAsia="宋体" w:cs="Times New Roman"/>
          <w:b w:val="0"/>
          <w:bCs/>
          <w:sz w:val="24"/>
          <w:szCs w:val="24"/>
          <w:u w:val="single"/>
          <w:lang w:eastAsia="zh-CN"/>
        </w:rPr>
        <w:t xml:space="preserve"> 100000 </w:t>
      </w:r>
      <w:r>
        <w:rPr>
          <w:rStyle w:val="21"/>
          <w:rFonts w:hint="default" w:ascii="Times New Roman" w:hAnsi="Times New Roman" w:eastAsia="宋体" w:cs="Times New Roman"/>
          <w:b w:val="0"/>
          <w:bCs/>
          <w:color w:val="000000"/>
          <w:sz w:val="24"/>
          <w:szCs w:val="24"/>
          <w:lang w:eastAsia="zh-CN"/>
        </w:rPr>
        <w:t>元，赔偿由此给对方造成的损失。</w:t>
      </w:r>
    </w:p>
    <w:p w14:paraId="7BCC848B">
      <w:pPr>
        <w:pStyle w:val="5"/>
        <w:spacing w:line="360" w:lineRule="auto"/>
        <w:ind w:left="376" w:leftChars="-9" w:hanging="396" w:hangingChars="165"/>
        <w:rPr>
          <w:rFonts w:hint="default" w:ascii="Times New Roman" w:hAnsi="Times New Roman" w:eastAsia="宋体" w:cs="Times New Roman"/>
          <w:b w:val="0"/>
          <w:bCs/>
          <w:sz w:val="24"/>
          <w:szCs w:val="24"/>
          <w:lang w:eastAsia="zh-CN"/>
        </w:rPr>
      </w:pPr>
      <w:r>
        <w:rPr>
          <w:rFonts w:hint="default" w:ascii="Times New Roman" w:hAnsi="Times New Roman" w:eastAsia="宋体" w:cs="Times New Roman"/>
          <w:b w:val="0"/>
          <w:bCs/>
          <w:sz w:val="24"/>
          <w:szCs w:val="24"/>
          <w:lang w:eastAsia="zh-CN"/>
        </w:rPr>
        <w:t>4.</w:t>
      </w:r>
      <w:r>
        <w:rPr>
          <w:rFonts w:hint="eastAsia" w:ascii="Times New Roman" w:hAnsi="Times New Roman" w:cs="Times New Roman"/>
          <w:b w:val="0"/>
          <w:bCs/>
          <w:sz w:val="24"/>
          <w:szCs w:val="24"/>
          <w:lang w:val="en-US" w:eastAsia="zh-CN"/>
        </w:rPr>
        <w:t xml:space="preserve"> </w:t>
      </w:r>
      <w:r>
        <w:rPr>
          <w:rFonts w:hint="default" w:ascii="Times New Roman" w:hAnsi="Times New Roman" w:eastAsia="宋体" w:cs="Times New Roman"/>
          <w:b w:val="0"/>
          <w:bCs/>
          <w:sz w:val="24"/>
          <w:szCs w:val="24"/>
          <w:lang w:eastAsia="zh-CN"/>
        </w:rPr>
        <w:t>甲方已就本合同涉及乙方重大利害关系的条款向乙方进行详细说明，乙方理解这些条款的含义，并自愿签订本合同。</w:t>
      </w:r>
    </w:p>
    <w:p w14:paraId="635DA0A1">
      <w:pPr>
        <w:pStyle w:val="5"/>
        <w:keepNext w:val="0"/>
        <w:keepLines w:val="0"/>
        <w:pageBreakBefore w:val="0"/>
        <w:widowControl w:val="0"/>
        <w:kinsoku/>
        <w:wordWrap/>
        <w:overflowPunct/>
        <w:topLinePunct w:val="0"/>
        <w:autoSpaceDE w:val="0"/>
        <w:autoSpaceDN w:val="0"/>
        <w:bidi w:val="0"/>
        <w:adjustRightInd/>
        <w:snapToGrid/>
        <w:spacing w:before="157" w:beforeLines="50" w:line="360" w:lineRule="auto"/>
        <w:textAlignment w:val="auto"/>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第十</w:t>
      </w:r>
      <w:r>
        <w:rPr>
          <w:rFonts w:hint="eastAsia" w:ascii="Times New Roman" w:hAnsi="Times New Roman" w:cs="Times New Roman"/>
          <w:b w:val="0"/>
          <w:bCs w:val="0"/>
          <w:sz w:val="24"/>
          <w:szCs w:val="24"/>
          <w:lang w:val="en-US" w:eastAsia="zh-CN"/>
        </w:rPr>
        <w:t>三</w:t>
      </w:r>
      <w:r>
        <w:rPr>
          <w:rFonts w:hint="default" w:ascii="Times New Roman" w:hAnsi="Times New Roman" w:eastAsia="宋体" w:cs="Times New Roman"/>
          <w:b w:val="0"/>
          <w:bCs w:val="0"/>
          <w:sz w:val="24"/>
          <w:szCs w:val="24"/>
          <w:lang w:eastAsia="zh-CN"/>
        </w:rPr>
        <w:t>条</w:t>
      </w:r>
      <w:r>
        <w:rPr>
          <w:rFonts w:hint="eastAsia" w:ascii="Times New Roman" w:hAnsi="Times New Roman" w:cs="Times New Roman"/>
          <w:b w:val="0"/>
          <w:bCs w:val="0"/>
          <w:sz w:val="24"/>
          <w:szCs w:val="24"/>
          <w:lang w:val="en-US" w:eastAsia="zh-CN"/>
        </w:rPr>
        <w:t xml:space="preserve"> </w:t>
      </w:r>
      <w:r>
        <w:rPr>
          <w:rFonts w:hint="default" w:ascii="Times New Roman" w:hAnsi="Times New Roman" w:eastAsia="宋体" w:cs="Times New Roman"/>
          <w:b w:val="0"/>
          <w:bCs w:val="0"/>
          <w:sz w:val="24"/>
          <w:szCs w:val="24"/>
          <w:lang w:eastAsia="zh-CN"/>
        </w:rPr>
        <w:t>双方因履行本合同而发生的争议，可协商、调解解决，也可直接采取下列第</w:t>
      </w:r>
      <w:r>
        <w:rPr>
          <w:rFonts w:hint="default" w:ascii="Times New Roman" w:hAnsi="Times New Roman" w:eastAsia="宋体" w:cs="Times New Roman"/>
          <w:b w:val="0"/>
          <w:bCs w:val="0"/>
          <w:sz w:val="24"/>
          <w:szCs w:val="24"/>
          <w:u w:val="single"/>
          <w:lang w:eastAsia="zh-CN"/>
        </w:rPr>
        <w:t xml:space="preserve"> 2 </w:t>
      </w:r>
      <w:r>
        <w:rPr>
          <w:rFonts w:hint="default" w:ascii="Times New Roman" w:hAnsi="Times New Roman" w:eastAsia="宋体" w:cs="Times New Roman"/>
          <w:b w:val="0"/>
          <w:bCs w:val="0"/>
          <w:sz w:val="24"/>
          <w:szCs w:val="24"/>
          <w:lang w:eastAsia="zh-CN"/>
        </w:rPr>
        <w:t>种方式解决：</w:t>
      </w:r>
    </w:p>
    <w:p w14:paraId="3BCA78D6">
      <w:pPr>
        <w:pStyle w:val="5"/>
        <w:spacing w:line="360" w:lineRule="auto"/>
        <w:ind w:firstLine="480" w:firstLineChars="200"/>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1．向仲裁委员会申请仲裁；</w:t>
      </w:r>
    </w:p>
    <w:p w14:paraId="2D5773EF">
      <w:pPr>
        <w:pStyle w:val="5"/>
        <w:spacing w:line="360" w:lineRule="auto"/>
        <w:ind w:firstLine="480" w:firstLineChars="200"/>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2．向甲方所在地人民法院提起诉讼。</w:t>
      </w:r>
    </w:p>
    <w:p w14:paraId="20F71833">
      <w:pPr>
        <w:pStyle w:val="5"/>
        <w:spacing w:line="360" w:lineRule="auto"/>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第十</w:t>
      </w:r>
      <w:r>
        <w:rPr>
          <w:rFonts w:hint="eastAsia" w:ascii="Times New Roman" w:hAnsi="Times New Roman" w:cs="Times New Roman"/>
          <w:b w:val="0"/>
          <w:bCs w:val="0"/>
          <w:sz w:val="24"/>
          <w:szCs w:val="24"/>
          <w:lang w:val="en-US" w:eastAsia="zh-CN"/>
        </w:rPr>
        <w:t>四</w:t>
      </w:r>
      <w:r>
        <w:rPr>
          <w:rFonts w:hint="default" w:ascii="Times New Roman" w:hAnsi="Times New Roman" w:eastAsia="宋体" w:cs="Times New Roman"/>
          <w:b w:val="0"/>
          <w:bCs w:val="0"/>
          <w:sz w:val="24"/>
          <w:szCs w:val="24"/>
          <w:lang w:eastAsia="zh-CN"/>
        </w:rPr>
        <w:t>条</w:t>
      </w:r>
      <w:r>
        <w:rPr>
          <w:rFonts w:hint="eastAsia" w:ascii="Times New Roman" w:hAnsi="Times New Roman" w:cs="Times New Roman"/>
          <w:b w:val="0"/>
          <w:bCs w:val="0"/>
          <w:sz w:val="24"/>
          <w:szCs w:val="24"/>
          <w:lang w:val="en-US" w:eastAsia="zh-CN"/>
        </w:rPr>
        <w:t xml:space="preserve"> </w:t>
      </w:r>
      <w:r>
        <w:rPr>
          <w:rFonts w:hint="default" w:ascii="Times New Roman" w:hAnsi="Times New Roman" w:eastAsia="宋体" w:cs="Times New Roman"/>
          <w:b w:val="0"/>
          <w:bCs w:val="0"/>
          <w:sz w:val="24"/>
          <w:szCs w:val="24"/>
          <w:lang w:eastAsia="zh-CN"/>
        </w:rPr>
        <w:t>其他</w:t>
      </w:r>
    </w:p>
    <w:p w14:paraId="585BA421">
      <w:pPr>
        <w:pStyle w:val="5"/>
        <w:spacing w:line="360" w:lineRule="auto"/>
        <w:ind w:firstLine="480" w:firstLineChars="200"/>
        <w:rPr>
          <w:rStyle w:val="21"/>
          <w:rFonts w:hint="default" w:ascii="Times New Roman" w:hAnsi="Times New Roman" w:eastAsia="宋体" w:cs="Times New Roman"/>
          <w:color w:val="000000"/>
          <w:sz w:val="24"/>
          <w:szCs w:val="24"/>
          <w:lang w:eastAsia="zh-CN"/>
        </w:rPr>
      </w:pPr>
      <w:r>
        <w:rPr>
          <w:rStyle w:val="21"/>
          <w:rFonts w:hint="default" w:ascii="Times New Roman" w:hAnsi="Times New Roman" w:eastAsia="宋体" w:cs="Times New Roman"/>
          <w:color w:val="000000"/>
          <w:sz w:val="24"/>
          <w:szCs w:val="24"/>
          <w:lang w:eastAsia="zh-CN"/>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58BBB55A">
      <w:pPr>
        <w:pStyle w:val="5"/>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14:paraId="2FD7B9EC">
      <w:pPr>
        <w:pStyle w:val="5"/>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3.</w:t>
      </w:r>
      <w:r>
        <w:rPr>
          <w:rStyle w:val="21"/>
          <w:rFonts w:hint="default" w:ascii="Times New Roman" w:hAnsi="Times New Roman" w:eastAsia="宋体" w:cs="Times New Roman"/>
          <w:color w:val="000000"/>
          <w:sz w:val="24"/>
          <w:szCs w:val="24"/>
          <w:lang w:eastAsia="zh-CN"/>
        </w:rPr>
        <w:t>为进一步明确甲乙双方在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2《安全环保协议》，作为主合同的附件。</w:t>
      </w:r>
    </w:p>
    <w:p w14:paraId="620BDFD9">
      <w:pPr>
        <w:pStyle w:val="5"/>
        <w:spacing w:line="360" w:lineRule="auto"/>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第十</w:t>
      </w:r>
      <w:r>
        <w:rPr>
          <w:rFonts w:hint="eastAsia" w:ascii="Times New Roman" w:hAnsi="Times New Roman" w:cs="Times New Roman"/>
          <w:b/>
          <w:bCs/>
          <w:sz w:val="24"/>
          <w:szCs w:val="24"/>
          <w:lang w:val="en-US" w:eastAsia="zh-CN"/>
        </w:rPr>
        <w:t>五</w:t>
      </w:r>
      <w:r>
        <w:rPr>
          <w:rFonts w:hint="default" w:ascii="Times New Roman" w:hAnsi="Times New Roman" w:eastAsia="宋体" w:cs="Times New Roman"/>
          <w:b/>
          <w:bCs/>
          <w:sz w:val="24"/>
          <w:szCs w:val="24"/>
          <w:lang w:eastAsia="zh-CN"/>
        </w:rPr>
        <w:t>条</w:t>
      </w:r>
      <w:r>
        <w:rPr>
          <w:rFonts w:hint="eastAsia" w:ascii="Times New Roman" w:hAnsi="Times New Roman" w:cs="Times New Roman"/>
          <w:b/>
          <w:bCs/>
          <w:sz w:val="24"/>
          <w:szCs w:val="24"/>
          <w:lang w:val="en-US" w:eastAsia="zh-CN"/>
        </w:rPr>
        <w:t xml:space="preserve"> </w:t>
      </w:r>
      <w:r>
        <w:rPr>
          <w:rFonts w:hint="default" w:ascii="Times New Roman" w:hAnsi="Times New Roman" w:eastAsia="宋体" w:cs="Times New Roman"/>
          <w:b/>
          <w:bCs/>
          <w:sz w:val="24"/>
          <w:szCs w:val="24"/>
          <w:lang w:eastAsia="zh-CN"/>
        </w:rPr>
        <w:t>本合同经双方盖章后生效。本合同一式</w:t>
      </w:r>
      <w:r>
        <w:rPr>
          <w:rFonts w:hint="eastAsia" w:ascii="Times New Roman" w:hAnsi="Times New Roman" w:cs="Times New Roman"/>
          <w:b/>
          <w:bCs/>
          <w:sz w:val="24"/>
          <w:szCs w:val="24"/>
          <w:u w:val="single"/>
          <w:lang w:val="en-US" w:eastAsia="zh-CN"/>
        </w:rPr>
        <w:t xml:space="preserve"> 陆 </w:t>
      </w:r>
      <w:r>
        <w:rPr>
          <w:rFonts w:hint="default" w:ascii="Times New Roman" w:hAnsi="Times New Roman" w:eastAsia="宋体" w:cs="Times New Roman"/>
          <w:b/>
          <w:bCs/>
          <w:sz w:val="24"/>
          <w:szCs w:val="24"/>
          <w:lang w:eastAsia="zh-CN"/>
        </w:rPr>
        <w:t>份，甲方执</w:t>
      </w:r>
      <w:r>
        <w:rPr>
          <w:rFonts w:hint="eastAsia" w:ascii="Times New Roman" w:hAnsi="Times New Roman" w:cs="Times New Roman"/>
          <w:b/>
          <w:bCs/>
          <w:sz w:val="24"/>
          <w:szCs w:val="24"/>
          <w:u w:val="single"/>
          <w:lang w:val="en-US" w:eastAsia="zh-CN"/>
        </w:rPr>
        <w:t xml:space="preserve"> 伍 </w:t>
      </w:r>
      <w:r>
        <w:rPr>
          <w:rFonts w:hint="default" w:ascii="Times New Roman" w:hAnsi="Times New Roman" w:eastAsia="宋体" w:cs="Times New Roman"/>
          <w:b/>
          <w:bCs/>
          <w:sz w:val="24"/>
          <w:szCs w:val="24"/>
          <w:lang w:eastAsia="zh-CN"/>
        </w:rPr>
        <w:t>份，乙方执</w:t>
      </w:r>
      <w:r>
        <w:rPr>
          <w:rFonts w:hint="eastAsia" w:ascii="Times New Roman" w:hAnsi="Times New Roman" w:cs="Times New Roman"/>
          <w:b/>
          <w:bCs/>
          <w:sz w:val="24"/>
          <w:szCs w:val="24"/>
          <w:lang w:val="en-US" w:eastAsia="zh-CN"/>
        </w:rPr>
        <w:t xml:space="preserve"> </w:t>
      </w:r>
      <w:r>
        <w:rPr>
          <w:rFonts w:hint="default" w:ascii="Times New Roman" w:hAnsi="Times New Roman" w:eastAsia="宋体" w:cs="Times New Roman"/>
          <w:b/>
          <w:bCs/>
          <w:sz w:val="24"/>
          <w:szCs w:val="24"/>
          <w:u w:val="single"/>
          <w:lang w:eastAsia="zh-CN"/>
        </w:rPr>
        <w:t>壹</w:t>
      </w:r>
      <w:r>
        <w:rPr>
          <w:rFonts w:hint="default" w:ascii="Times New Roman" w:hAnsi="Times New Roman" w:eastAsia="宋体" w:cs="Times New Roman"/>
          <w:b/>
          <w:bCs/>
          <w:sz w:val="24"/>
          <w:szCs w:val="24"/>
          <w:lang w:eastAsia="zh-CN"/>
        </w:rPr>
        <w:t>份，具有同等法律效力。</w:t>
      </w:r>
    </w:p>
    <w:p w14:paraId="2AFAD07A">
      <w:pPr>
        <w:spacing w:line="360" w:lineRule="auto"/>
        <w:rPr>
          <w:rFonts w:hint="default" w:ascii="Times New Roman" w:hAnsi="Times New Roman" w:eastAsia="宋体" w:cs="Times New Roman"/>
          <w:sz w:val="24"/>
          <w:szCs w:val="24"/>
          <w:lang w:eastAsia="zh-CN"/>
        </w:rPr>
      </w:pPr>
    </w:p>
    <w:p w14:paraId="32900F3C">
      <w:pPr>
        <w:spacing w:line="360" w:lineRule="auto"/>
        <w:rPr>
          <w:rFonts w:hint="default" w:ascii="Times New Roman" w:hAnsi="Times New Roman" w:eastAsia="宋体" w:cs="Times New Roman"/>
          <w:b/>
          <w:sz w:val="24"/>
          <w:szCs w:val="24"/>
          <w:lang w:eastAsia="zh-CN"/>
        </w:rPr>
      </w:pPr>
      <w:r>
        <w:rPr>
          <w:rFonts w:hint="default" w:ascii="Times New Roman" w:hAnsi="Times New Roman" w:eastAsia="宋体" w:cs="Times New Roman"/>
          <w:sz w:val="24"/>
          <w:szCs w:val="24"/>
          <w:lang w:eastAsia="zh-CN"/>
        </w:rPr>
        <w:t>以下无正文。</w:t>
      </w:r>
    </w:p>
    <w:p w14:paraId="6B9D905D">
      <w:pPr>
        <w:pStyle w:val="18"/>
        <w:rPr>
          <w:rFonts w:hint="default" w:ascii="Times New Roman" w:hAnsi="Times New Roman" w:eastAsia="宋体" w:cs="Times New Roman"/>
          <w:sz w:val="24"/>
          <w:szCs w:val="24"/>
        </w:rPr>
      </w:pPr>
    </w:p>
    <w:p w14:paraId="6E4B83F4">
      <w:pPr>
        <w:pStyle w:val="18"/>
        <w:rPr>
          <w:rFonts w:hint="default" w:ascii="Times New Roman" w:hAnsi="Times New Roman" w:eastAsia="宋体" w:cs="Times New Roman"/>
          <w:sz w:val="24"/>
          <w:szCs w:val="24"/>
        </w:rPr>
      </w:pPr>
    </w:p>
    <w:p w14:paraId="6424B023">
      <w:pPr>
        <w:pStyle w:val="18"/>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（以下为签署页）</w:t>
      </w:r>
    </w:p>
    <w:p w14:paraId="1890F132">
      <w:pPr>
        <w:pStyle w:val="18"/>
        <w:rPr>
          <w:rFonts w:hint="default" w:ascii="Times New Roman" w:hAnsi="Times New Roman" w:eastAsia="宋体" w:cs="Times New Roman"/>
          <w:sz w:val="24"/>
          <w:szCs w:val="24"/>
          <w:lang w:val="en-US" w:eastAsia="zh-CN"/>
        </w:rPr>
      </w:pPr>
    </w:p>
    <w:p w14:paraId="1769D748">
      <w:pPr>
        <w:pStyle w:val="18"/>
        <w:rPr>
          <w:rFonts w:hint="default" w:ascii="Times New Roman" w:hAnsi="Times New Roman" w:eastAsia="宋体" w:cs="Times New Roman"/>
          <w:sz w:val="24"/>
          <w:szCs w:val="24"/>
          <w:lang w:val="en-US" w:eastAsia="zh-CN"/>
        </w:rPr>
      </w:pPr>
    </w:p>
    <w:p w14:paraId="2A5BDD66">
      <w:pPr>
        <w:keepNext w:val="0"/>
        <w:keepLines w:val="0"/>
        <w:pageBreakBefore w:val="0"/>
        <w:widowControl/>
        <w:kinsoku/>
        <w:wordWrap/>
        <w:overflowPunct/>
        <w:topLinePunct w:val="0"/>
        <w:bidi w:val="0"/>
        <w:snapToGrid/>
        <w:spacing w:line="360" w:lineRule="auto"/>
        <w:ind w:firstLine="723" w:firstLineChars="300"/>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eastAsia="zh-CN"/>
        </w:rPr>
        <w:t xml:space="preserve">甲方: </w:t>
      </w:r>
      <w:r>
        <w:rPr>
          <w:rFonts w:hint="eastAsia" w:ascii="Times New Roman" w:hAnsi="Times New Roman" w:cs="Times New Roman"/>
          <w:b/>
          <w:sz w:val="24"/>
          <w:szCs w:val="24"/>
          <w:lang w:val="en-US" w:eastAsia="zh-CN"/>
        </w:rPr>
        <w:t xml:space="preserve">                                </w:t>
      </w:r>
      <w:r>
        <w:rPr>
          <w:rFonts w:hint="default" w:ascii="Times New Roman" w:hAnsi="Times New Roman" w:eastAsia="宋体" w:cs="Times New Roman"/>
          <w:b/>
          <w:sz w:val="24"/>
          <w:szCs w:val="24"/>
          <w:lang w:eastAsia="zh-CN"/>
        </w:rPr>
        <w:t>乙方：</w:t>
      </w:r>
    </w:p>
    <w:p w14:paraId="05E9246D">
      <w:pPr>
        <w:keepNext w:val="0"/>
        <w:keepLines w:val="0"/>
        <w:pageBreakBefore w:val="0"/>
        <w:widowControl/>
        <w:kinsoku/>
        <w:wordWrap/>
        <w:overflowPunct/>
        <w:topLinePunct w:val="0"/>
        <w:bidi w:val="0"/>
        <w:snapToGrid/>
        <w:spacing w:line="360" w:lineRule="auto"/>
        <w:ind w:firstLine="720" w:firstLineChars="300"/>
        <w:rPr>
          <w:rFonts w:hint="default" w:ascii="Times New Roman" w:hAnsi="Times New Roman" w:eastAsia="宋体" w:cs="Times New Roman"/>
          <w:b w:val="0"/>
          <w:bCs/>
          <w:sz w:val="24"/>
          <w:szCs w:val="24"/>
          <w:lang w:eastAsia="zh-CN"/>
        </w:rPr>
      </w:pPr>
      <w:r>
        <w:rPr>
          <w:rFonts w:hint="eastAsia" w:ascii="Times New Roman" w:hAnsi="Times New Roman" w:cs="Times New Roman"/>
          <w:b w:val="0"/>
          <w:bCs/>
          <w:sz w:val="24"/>
          <w:szCs w:val="24"/>
          <w:lang w:val="en-US" w:eastAsia="zh-CN"/>
        </w:rPr>
        <w:t>公司名称：福建福海创石油化工有限公司</w:t>
      </w:r>
      <w:r>
        <w:rPr>
          <w:rFonts w:hint="default" w:ascii="Times New Roman" w:hAnsi="Times New Roman" w:eastAsia="宋体" w:cs="Times New Roman"/>
          <w:b w:val="0"/>
          <w:bCs/>
          <w:sz w:val="24"/>
          <w:szCs w:val="24"/>
          <w:lang w:eastAsia="zh-CN"/>
        </w:rPr>
        <w:t xml:space="preserve">  </w:t>
      </w:r>
      <w:r>
        <w:rPr>
          <w:rFonts w:hint="eastAsia" w:ascii="Times New Roman" w:hAnsi="Times New Roman" w:cs="Times New Roman"/>
          <w:b w:val="0"/>
          <w:bCs/>
          <w:sz w:val="24"/>
          <w:szCs w:val="24"/>
          <w:lang w:val="en-US" w:eastAsia="zh-CN"/>
        </w:rPr>
        <w:t>公司名称</w:t>
      </w:r>
      <w:r>
        <w:rPr>
          <w:rFonts w:hint="default" w:ascii="Times New Roman" w:hAnsi="Times New Roman" w:eastAsia="宋体" w:cs="Times New Roman"/>
          <w:b w:val="0"/>
          <w:bCs/>
          <w:sz w:val="24"/>
          <w:szCs w:val="24"/>
          <w:lang w:eastAsia="zh-CN"/>
        </w:rPr>
        <w:t>：</w:t>
      </w:r>
    </w:p>
    <w:p w14:paraId="1ECFDB93">
      <w:pPr>
        <w:keepNext w:val="0"/>
        <w:keepLines w:val="0"/>
        <w:pageBreakBefore w:val="0"/>
        <w:widowControl/>
        <w:kinsoku/>
        <w:wordWrap/>
        <w:overflowPunct/>
        <w:topLinePunct w:val="0"/>
        <w:bidi w:val="0"/>
        <w:snapToGrid/>
        <w:spacing w:line="360" w:lineRule="auto"/>
        <w:ind w:firstLine="720" w:firstLineChars="300"/>
        <w:rPr>
          <w:rFonts w:hint="eastAsia"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账号：</w:t>
      </w:r>
      <w:r>
        <w:rPr>
          <w:rFonts w:hint="eastAsia" w:ascii="Times New Roman" w:hAnsi="Times New Roman" w:eastAsia="宋体" w:cs="Times New Roman"/>
          <w:b w:val="0"/>
          <w:bCs/>
          <w:sz w:val="24"/>
          <w:szCs w:val="24"/>
          <w:lang w:val="en-US" w:eastAsia="zh-CN"/>
        </w:rPr>
        <w:t>406574816628</w:t>
      </w:r>
      <w:r>
        <w:rPr>
          <w:rFonts w:hint="default" w:ascii="Times New Roman" w:hAnsi="Times New Roman" w:eastAsia="宋体" w:cs="Times New Roman"/>
          <w:b w:val="0"/>
          <w:bCs/>
          <w:sz w:val="24"/>
          <w:szCs w:val="24"/>
          <w:lang w:val="en-US" w:eastAsia="zh-CN"/>
        </w:rPr>
        <w:t xml:space="preserve">      </w:t>
      </w:r>
      <w:r>
        <w:rPr>
          <w:rFonts w:hint="eastAsia" w:ascii="Times New Roman" w:hAnsi="Times New Roman" w:eastAsia="宋体" w:cs="Times New Roman"/>
          <w:b w:val="0"/>
          <w:bCs/>
          <w:sz w:val="24"/>
          <w:szCs w:val="24"/>
          <w:lang w:val="en-US" w:eastAsia="zh-CN"/>
        </w:rPr>
        <w:t xml:space="preserve">  </w:t>
      </w:r>
      <w:r>
        <w:rPr>
          <w:rFonts w:hint="default" w:ascii="Times New Roman" w:hAnsi="Times New Roman" w:eastAsia="宋体" w:cs="Times New Roman"/>
          <w:b w:val="0"/>
          <w:bCs/>
          <w:sz w:val="24"/>
          <w:szCs w:val="24"/>
          <w:lang w:val="en-US" w:eastAsia="zh-CN"/>
        </w:rPr>
        <w:t xml:space="preserve">  </w:t>
      </w:r>
      <w:r>
        <w:rPr>
          <w:rFonts w:hint="eastAsia" w:ascii="Times New Roman" w:hAnsi="Times New Roman" w:eastAsia="宋体" w:cs="Times New Roman"/>
          <w:b w:val="0"/>
          <w:bCs/>
          <w:sz w:val="24"/>
          <w:szCs w:val="24"/>
          <w:lang w:val="en-US" w:eastAsia="zh-CN"/>
        </w:rPr>
        <w:t xml:space="preserve">  </w:t>
      </w:r>
      <w:r>
        <w:rPr>
          <w:rFonts w:hint="default" w:ascii="Times New Roman" w:hAnsi="Times New Roman" w:eastAsia="宋体" w:cs="Times New Roman"/>
          <w:b w:val="0"/>
          <w:bCs/>
          <w:sz w:val="24"/>
          <w:szCs w:val="24"/>
          <w:lang w:val="en-US" w:eastAsia="zh-CN"/>
        </w:rPr>
        <w:t xml:space="preserve">  </w:t>
      </w:r>
      <w:r>
        <w:rPr>
          <w:rFonts w:hint="eastAsia" w:ascii="Times New Roman" w:hAnsi="Times New Roman" w:eastAsia="宋体" w:cs="Times New Roman"/>
          <w:b w:val="0"/>
          <w:bCs/>
          <w:sz w:val="24"/>
          <w:szCs w:val="24"/>
          <w:lang w:val="en-US" w:eastAsia="zh-CN"/>
        </w:rPr>
        <w:t xml:space="preserve">      </w:t>
      </w:r>
      <w:r>
        <w:rPr>
          <w:rFonts w:hint="default" w:ascii="Times New Roman" w:hAnsi="Times New Roman" w:eastAsia="宋体" w:cs="Times New Roman"/>
          <w:b w:val="0"/>
          <w:bCs/>
          <w:sz w:val="24"/>
          <w:szCs w:val="24"/>
          <w:lang w:val="en-US" w:eastAsia="zh-CN"/>
        </w:rPr>
        <w:t>账号：</w:t>
      </w:r>
    </w:p>
    <w:p w14:paraId="33BD3D2E">
      <w:pPr>
        <w:keepNext w:val="0"/>
        <w:keepLines w:val="0"/>
        <w:pageBreakBefore w:val="0"/>
        <w:widowControl/>
        <w:kinsoku/>
        <w:wordWrap/>
        <w:overflowPunct/>
        <w:topLinePunct w:val="0"/>
        <w:bidi w:val="0"/>
        <w:snapToGrid/>
        <w:spacing w:line="360" w:lineRule="auto"/>
        <w:ind w:firstLine="720" w:firstLineChars="300"/>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val="0"/>
          <w:bCs/>
          <w:sz w:val="24"/>
          <w:szCs w:val="24"/>
          <w:lang w:val="en-US" w:eastAsia="zh-CN"/>
        </w:rPr>
        <w:t>开户行：</w:t>
      </w:r>
      <w:r>
        <w:rPr>
          <w:rFonts w:hint="eastAsia" w:ascii="Times New Roman" w:hAnsi="Times New Roman" w:eastAsia="宋体" w:cs="Times New Roman"/>
          <w:b w:val="0"/>
          <w:bCs/>
          <w:sz w:val="24"/>
          <w:szCs w:val="24"/>
          <w:lang w:val="en-US" w:eastAsia="zh-CN"/>
        </w:rPr>
        <w:t>中国银行股份有限公司</w:t>
      </w:r>
      <w:r>
        <w:rPr>
          <w:rFonts w:hint="default" w:ascii="Times New Roman" w:hAnsi="Times New Roman" w:eastAsia="宋体" w:cs="Times New Roman"/>
          <w:b w:val="0"/>
          <w:bCs/>
          <w:sz w:val="24"/>
          <w:szCs w:val="24"/>
          <w:lang w:val="en-US" w:eastAsia="zh-CN"/>
        </w:rPr>
        <w:t xml:space="preserve"> </w:t>
      </w:r>
      <w:r>
        <w:rPr>
          <w:rFonts w:hint="default" w:ascii="Times New Roman" w:hAnsi="Times New Roman" w:eastAsia="宋体" w:cs="Times New Roman"/>
          <w:b/>
          <w:sz w:val="24"/>
          <w:szCs w:val="24"/>
          <w:lang w:val="en-US" w:eastAsia="zh-CN"/>
        </w:rPr>
        <w:t xml:space="preserve">   </w:t>
      </w:r>
      <w:r>
        <w:rPr>
          <w:rFonts w:hint="eastAsia" w:ascii="Times New Roman" w:hAnsi="Times New Roman" w:eastAsia="宋体" w:cs="Times New Roman"/>
          <w:b/>
          <w:sz w:val="24"/>
          <w:szCs w:val="24"/>
          <w:lang w:val="en-US" w:eastAsia="zh-CN"/>
        </w:rPr>
        <w:t xml:space="preserve">   </w:t>
      </w:r>
      <w:r>
        <w:rPr>
          <w:rFonts w:hint="default" w:ascii="Times New Roman" w:hAnsi="Times New Roman" w:eastAsia="宋体" w:cs="Times New Roman"/>
          <w:b/>
          <w:sz w:val="24"/>
          <w:szCs w:val="24"/>
          <w:lang w:val="en-US" w:eastAsia="zh-CN"/>
        </w:rPr>
        <w:t xml:space="preserve"> </w:t>
      </w:r>
      <w:r>
        <w:rPr>
          <w:rFonts w:hint="eastAsia" w:ascii="Times New Roman" w:hAnsi="Times New Roman" w:eastAsia="宋体" w:cs="Times New Roman"/>
          <w:b/>
          <w:sz w:val="24"/>
          <w:szCs w:val="24"/>
          <w:lang w:val="en-US" w:eastAsia="zh-CN"/>
        </w:rPr>
        <w:t xml:space="preserve"> </w:t>
      </w:r>
      <w:r>
        <w:rPr>
          <w:rFonts w:hint="default" w:ascii="Times New Roman" w:hAnsi="Times New Roman" w:eastAsia="宋体" w:cs="Times New Roman"/>
          <w:b/>
          <w:sz w:val="24"/>
          <w:szCs w:val="24"/>
          <w:lang w:val="en-US" w:eastAsia="zh-CN"/>
        </w:rPr>
        <w:t xml:space="preserve"> </w:t>
      </w:r>
      <w:r>
        <w:rPr>
          <w:rFonts w:hint="default" w:ascii="Times New Roman" w:hAnsi="Times New Roman" w:eastAsia="宋体" w:cs="Times New Roman"/>
          <w:b w:val="0"/>
          <w:bCs/>
          <w:sz w:val="24"/>
          <w:szCs w:val="24"/>
          <w:lang w:val="en-US" w:eastAsia="zh-CN"/>
        </w:rPr>
        <w:t>开户行：</w:t>
      </w:r>
    </w:p>
    <w:p w14:paraId="492D9BF4">
      <w:pPr>
        <w:keepNext w:val="0"/>
        <w:keepLines w:val="0"/>
        <w:pageBreakBefore w:val="0"/>
        <w:widowControl/>
        <w:kinsoku/>
        <w:wordWrap/>
        <w:overflowPunct/>
        <w:topLinePunct w:val="0"/>
        <w:bidi w:val="0"/>
        <w:snapToGrid/>
        <w:spacing w:line="360" w:lineRule="auto"/>
        <w:ind w:firstLine="723" w:firstLineChars="300"/>
        <w:rPr>
          <w:rFonts w:hint="default"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 xml:space="preserve">        </w:t>
      </w:r>
      <w:r>
        <w:rPr>
          <w:rFonts w:hint="eastAsia" w:ascii="Times New Roman" w:hAnsi="Times New Roman" w:eastAsia="宋体" w:cs="Times New Roman"/>
          <w:b w:val="0"/>
          <w:bCs/>
          <w:sz w:val="24"/>
          <w:szCs w:val="24"/>
          <w:lang w:val="en-US" w:eastAsia="zh-CN"/>
        </w:rPr>
        <w:t>漳州古雷经济开发区支行</w:t>
      </w:r>
    </w:p>
    <w:p w14:paraId="663CFB59">
      <w:pPr>
        <w:pStyle w:val="18"/>
        <w:keepNext w:val="0"/>
        <w:keepLines w:val="0"/>
        <w:pageBreakBefore w:val="0"/>
        <w:kinsoku/>
        <w:wordWrap/>
        <w:overflowPunct/>
        <w:topLinePunct w:val="0"/>
        <w:bidi w:val="0"/>
        <w:snapToGrid/>
        <w:spacing w:line="360" w:lineRule="auto"/>
        <w:rPr>
          <w:rFonts w:hint="default" w:ascii="Times New Roman" w:hAnsi="Times New Roman" w:eastAsia="宋体" w:cs="Times New Roman"/>
          <w:b/>
          <w:sz w:val="24"/>
          <w:szCs w:val="24"/>
          <w:lang w:eastAsia="zh-CN"/>
        </w:rPr>
      </w:pPr>
      <w:r>
        <w:rPr>
          <w:rFonts w:hint="default" w:ascii="Times New Roman" w:hAnsi="Times New Roman" w:eastAsia="宋体" w:cs="Times New Roman"/>
          <w:b/>
          <w:sz w:val="24"/>
          <w:szCs w:val="24"/>
          <w:lang w:eastAsia="zh-CN"/>
        </w:rPr>
        <w:t xml:space="preserve">  </w:t>
      </w:r>
    </w:p>
    <w:p w14:paraId="4CFBCB51">
      <w:pPr>
        <w:pStyle w:val="18"/>
        <w:keepNext w:val="0"/>
        <w:keepLines w:val="0"/>
        <w:pageBreakBefore w:val="0"/>
        <w:kinsoku/>
        <w:wordWrap/>
        <w:overflowPunct/>
        <w:topLinePunct w:val="0"/>
        <w:bidi w:val="0"/>
        <w:snapToGrid/>
        <w:spacing w:line="360" w:lineRule="auto"/>
        <w:rPr>
          <w:rFonts w:hint="default" w:ascii="Times New Roman" w:hAnsi="Times New Roman" w:eastAsia="宋体" w:cs="Times New Roman"/>
          <w:b/>
          <w:sz w:val="24"/>
          <w:szCs w:val="24"/>
          <w:lang w:eastAsia="zh-CN"/>
        </w:rPr>
      </w:pPr>
    </w:p>
    <w:p w14:paraId="58A25A75">
      <w:pPr>
        <w:keepNext w:val="0"/>
        <w:keepLines w:val="0"/>
        <w:pageBreakBefore w:val="0"/>
        <w:widowControl/>
        <w:kinsoku/>
        <w:wordWrap/>
        <w:overflowPunct/>
        <w:topLinePunct w:val="0"/>
        <w:autoSpaceDE w:val="0"/>
        <w:autoSpaceDN w:val="0"/>
        <w:bidi w:val="0"/>
        <w:adjustRightInd/>
        <w:snapToGrid/>
        <w:spacing w:line="360" w:lineRule="auto"/>
        <w:ind w:firstLine="720" w:firstLineChars="300"/>
        <w:textAlignment w:val="auto"/>
        <w:rPr>
          <w:rFonts w:hint="default" w:ascii="Times New Roman" w:hAnsi="Times New Roman" w:eastAsia="宋体" w:cs="Times New Roman"/>
          <w:b w:val="0"/>
          <w:bCs/>
          <w:sz w:val="24"/>
          <w:szCs w:val="24"/>
          <w:lang w:eastAsia="zh-CN"/>
        </w:rPr>
      </w:pPr>
      <w:r>
        <w:rPr>
          <w:rFonts w:hint="eastAsia" w:ascii="Times New Roman" w:hAnsi="Times New Roman" w:eastAsia="宋体" w:cs="Times New Roman"/>
          <w:b w:val="0"/>
          <w:bCs/>
          <w:sz w:val="24"/>
          <w:szCs w:val="24"/>
          <w:lang w:val="en-US" w:eastAsia="zh-CN"/>
        </w:rPr>
        <w:t>公司</w:t>
      </w:r>
      <w:r>
        <w:rPr>
          <w:rFonts w:hint="eastAsia" w:ascii="Times New Roman" w:hAnsi="Times New Roman" w:cs="Times New Roman"/>
          <w:b w:val="0"/>
          <w:bCs/>
          <w:sz w:val="24"/>
          <w:szCs w:val="24"/>
          <w:lang w:val="en-US" w:eastAsia="zh-CN"/>
        </w:rPr>
        <w:t>名称</w:t>
      </w:r>
      <w:r>
        <w:rPr>
          <w:rFonts w:hint="eastAsia" w:ascii="Times New Roman" w:hAnsi="Times New Roman" w:eastAsia="宋体" w:cs="Times New Roman"/>
          <w:b w:val="0"/>
          <w:bCs/>
          <w:sz w:val="24"/>
          <w:szCs w:val="24"/>
          <w:lang w:val="en-US" w:eastAsia="zh-CN"/>
        </w:rPr>
        <w:t>：</w:t>
      </w:r>
      <w:r>
        <w:rPr>
          <w:rFonts w:hint="default" w:ascii="Times New Roman" w:hAnsi="Times New Roman" w:eastAsia="宋体" w:cs="Times New Roman"/>
          <w:b w:val="0"/>
          <w:bCs/>
          <w:sz w:val="24"/>
          <w:szCs w:val="24"/>
          <w:lang w:eastAsia="zh-CN"/>
        </w:rPr>
        <w:t xml:space="preserve">腾龙芳烃（漳州）有限公司   </w:t>
      </w:r>
    </w:p>
    <w:p w14:paraId="07560107">
      <w:pPr>
        <w:keepNext w:val="0"/>
        <w:keepLines w:val="0"/>
        <w:pageBreakBefore w:val="0"/>
        <w:widowControl/>
        <w:kinsoku/>
        <w:wordWrap/>
        <w:overflowPunct/>
        <w:topLinePunct w:val="0"/>
        <w:autoSpaceDE w:val="0"/>
        <w:autoSpaceDN w:val="0"/>
        <w:bidi w:val="0"/>
        <w:adjustRightInd/>
        <w:snapToGrid/>
        <w:spacing w:line="360" w:lineRule="auto"/>
        <w:ind w:firstLine="720" w:firstLineChars="300"/>
        <w:textAlignment w:val="auto"/>
        <w:rPr>
          <w:rFonts w:hint="default" w:ascii="Times New Roman" w:hAnsi="Times New Roman" w:eastAsia="宋体" w:cs="Times New Roman"/>
          <w:b w:val="0"/>
          <w:bCs/>
          <w:sz w:val="24"/>
          <w:szCs w:val="24"/>
          <w:lang w:eastAsia="zh-CN"/>
        </w:rPr>
      </w:pPr>
      <w:r>
        <w:rPr>
          <w:rFonts w:hint="default" w:ascii="Times New Roman" w:hAnsi="Times New Roman" w:eastAsia="宋体" w:cs="Times New Roman"/>
          <w:b w:val="0"/>
          <w:bCs/>
          <w:sz w:val="24"/>
          <w:szCs w:val="24"/>
          <w:lang w:eastAsia="zh-CN"/>
        </w:rPr>
        <w:t>账号：</w:t>
      </w:r>
      <w:r>
        <w:rPr>
          <w:rFonts w:hint="default" w:ascii="Times New Roman" w:hAnsi="Times New Roman" w:eastAsia="宋体" w:cs="Times New Roman"/>
          <w:b w:val="0"/>
          <w:bCs/>
          <w:sz w:val="24"/>
          <w:szCs w:val="24"/>
        </w:rPr>
        <w:t>162070100100021071</w:t>
      </w:r>
    </w:p>
    <w:p w14:paraId="4A2289A4">
      <w:pPr>
        <w:keepNext w:val="0"/>
        <w:keepLines w:val="0"/>
        <w:pageBreakBefore w:val="0"/>
        <w:widowControl/>
        <w:kinsoku/>
        <w:wordWrap/>
        <w:overflowPunct/>
        <w:topLinePunct w:val="0"/>
        <w:autoSpaceDE w:val="0"/>
        <w:autoSpaceDN w:val="0"/>
        <w:bidi w:val="0"/>
        <w:adjustRightInd/>
        <w:snapToGrid/>
        <w:spacing w:line="360" w:lineRule="auto"/>
        <w:ind w:firstLine="720" w:firstLineChars="300"/>
        <w:textAlignment w:val="auto"/>
        <w:rPr>
          <w:rFonts w:hint="default" w:ascii="Times New Roman" w:hAnsi="Times New Roman" w:eastAsia="宋体" w:cs="Times New Roman"/>
          <w:b w:val="0"/>
          <w:bCs/>
          <w:sz w:val="24"/>
          <w:szCs w:val="24"/>
          <w:lang w:eastAsia="zh-CN"/>
        </w:rPr>
      </w:pPr>
      <w:r>
        <w:rPr>
          <w:rFonts w:hint="default" w:ascii="Times New Roman" w:hAnsi="Times New Roman" w:eastAsia="宋体" w:cs="Times New Roman"/>
          <w:b w:val="0"/>
          <w:bCs/>
          <w:sz w:val="24"/>
          <w:szCs w:val="24"/>
          <w:lang w:eastAsia="zh-CN"/>
        </w:rPr>
        <w:t>开户行：兴业银行漳州古雷支行</w:t>
      </w:r>
    </w:p>
    <w:p w14:paraId="25F36AC1">
      <w:pPr>
        <w:pStyle w:val="18"/>
        <w:keepNext w:val="0"/>
        <w:keepLines w:val="0"/>
        <w:pageBreakBefore w:val="0"/>
        <w:kinsoku/>
        <w:wordWrap/>
        <w:overflowPunct/>
        <w:topLinePunct w:val="0"/>
        <w:bidi w:val="0"/>
        <w:snapToGrid/>
        <w:spacing w:line="360" w:lineRule="auto"/>
        <w:rPr>
          <w:rFonts w:hint="default" w:ascii="Times New Roman" w:hAnsi="Times New Roman" w:eastAsia="宋体" w:cs="Times New Roman"/>
          <w:b w:val="0"/>
          <w:bCs/>
          <w:sz w:val="24"/>
          <w:szCs w:val="24"/>
        </w:rPr>
      </w:pPr>
    </w:p>
    <w:p w14:paraId="0590E8F1">
      <w:pPr>
        <w:pStyle w:val="18"/>
        <w:keepNext w:val="0"/>
        <w:keepLines w:val="0"/>
        <w:pageBreakBefore w:val="0"/>
        <w:kinsoku/>
        <w:wordWrap/>
        <w:overflowPunct/>
        <w:topLinePunct w:val="0"/>
        <w:bidi w:val="0"/>
        <w:snapToGrid/>
        <w:spacing w:line="360" w:lineRule="auto"/>
        <w:rPr>
          <w:rFonts w:hint="default" w:ascii="Times New Roman" w:hAnsi="Times New Roman" w:eastAsia="宋体" w:cs="Times New Roman"/>
          <w:b w:val="0"/>
          <w:bCs/>
          <w:sz w:val="24"/>
          <w:szCs w:val="24"/>
        </w:rPr>
      </w:pPr>
    </w:p>
    <w:p w14:paraId="708D586F">
      <w:pPr>
        <w:keepNext w:val="0"/>
        <w:keepLines w:val="0"/>
        <w:pageBreakBefore w:val="0"/>
        <w:widowControl/>
        <w:kinsoku/>
        <w:wordWrap/>
        <w:overflowPunct/>
        <w:topLinePunct w:val="0"/>
        <w:bidi w:val="0"/>
        <w:snapToGrid/>
        <w:spacing w:line="360" w:lineRule="auto"/>
        <w:ind w:firstLine="720" w:firstLineChars="300"/>
        <w:rPr>
          <w:rFonts w:hint="default" w:ascii="Times New Roman" w:hAnsi="Times New Roman" w:eastAsia="宋体" w:cs="Times New Roman"/>
          <w:b w:val="0"/>
          <w:bCs/>
          <w:sz w:val="24"/>
          <w:szCs w:val="24"/>
          <w:lang w:eastAsia="zh-CN"/>
        </w:rPr>
      </w:pPr>
      <w:r>
        <w:rPr>
          <w:rFonts w:hint="eastAsia" w:ascii="Times New Roman" w:hAnsi="Times New Roman" w:cs="Times New Roman"/>
          <w:b w:val="0"/>
          <w:bCs/>
          <w:sz w:val="24"/>
          <w:szCs w:val="24"/>
          <w:lang w:val="en-US" w:eastAsia="zh-CN"/>
        </w:rPr>
        <w:t>公司名称：</w:t>
      </w:r>
      <w:r>
        <w:rPr>
          <w:rFonts w:hint="default" w:ascii="Times New Roman" w:hAnsi="Times New Roman" w:eastAsia="宋体" w:cs="Times New Roman"/>
          <w:b w:val="0"/>
          <w:bCs/>
          <w:sz w:val="24"/>
          <w:szCs w:val="24"/>
          <w:lang w:eastAsia="zh-CN"/>
        </w:rPr>
        <w:t>翔鹭码头投资管理（漳州）有限公司</w:t>
      </w:r>
    </w:p>
    <w:p w14:paraId="72EBDA15">
      <w:pPr>
        <w:keepNext w:val="0"/>
        <w:keepLines w:val="0"/>
        <w:pageBreakBefore w:val="0"/>
        <w:widowControl/>
        <w:kinsoku/>
        <w:wordWrap/>
        <w:overflowPunct/>
        <w:topLinePunct w:val="0"/>
        <w:bidi w:val="0"/>
        <w:snapToGrid/>
        <w:spacing w:line="360" w:lineRule="auto"/>
        <w:ind w:firstLine="720" w:firstLineChars="300"/>
        <w:rPr>
          <w:rFonts w:hint="default" w:ascii="Times New Roman" w:hAnsi="Times New Roman" w:eastAsia="宋体" w:cs="Times New Roman"/>
          <w:b w:val="0"/>
          <w:bCs/>
          <w:sz w:val="24"/>
          <w:szCs w:val="24"/>
          <w:lang w:eastAsia="zh-CN"/>
        </w:rPr>
      </w:pPr>
      <w:r>
        <w:rPr>
          <w:rFonts w:hint="default" w:ascii="Times New Roman" w:hAnsi="Times New Roman" w:eastAsia="宋体" w:cs="Times New Roman"/>
          <w:b w:val="0"/>
          <w:bCs/>
          <w:sz w:val="24"/>
          <w:szCs w:val="24"/>
          <w:lang w:eastAsia="zh-CN"/>
        </w:rPr>
        <w:t>账号：423467650735</w:t>
      </w:r>
    </w:p>
    <w:p w14:paraId="5989F1D3">
      <w:pPr>
        <w:pStyle w:val="18"/>
        <w:keepNext w:val="0"/>
        <w:keepLines w:val="0"/>
        <w:pageBreakBefore w:val="0"/>
        <w:kinsoku/>
        <w:wordWrap/>
        <w:overflowPunct/>
        <w:topLinePunct w:val="0"/>
        <w:bidi w:val="0"/>
        <w:snapToGrid/>
        <w:spacing w:line="360" w:lineRule="auto"/>
        <w:ind w:firstLine="720" w:firstLineChars="300"/>
        <w:rPr>
          <w:rFonts w:hint="default" w:ascii="Times New Roman" w:hAnsi="Times New Roman" w:eastAsia="宋体" w:cs="Times New Roman"/>
          <w:b w:val="0"/>
          <w:bCs/>
          <w:sz w:val="24"/>
          <w:szCs w:val="24"/>
          <w:lang w:eastAsia="zh-CN"/>
        </w:rPr>
      </w:pPr>
      <w:r>
        <w:rPr>
          <w:rFonts w:hint="default" w:ascii="Times New Roman" w:hAnsi="Times New Roman" w:eastAsia="宋体" w:cs="Times New Roman"/>
          <w:b w:val="0"/>
          <w:bCs/>
          <w:sz w:val="24"/>
          <w:szCs w:val="24"/>
        </w:rPr>
        <w:t>开户行：中国银行漳浦支行</w:t>
      </w:r>
    </w:p>
    <w:p w14:paraId="13924C6C">
      <w:pPr>
        <w:widowControl/>
        <w:autoSpaceDE/>
        <w:autoSpaceDN/>
        <w:rPr>
          <w:rFonts w:hint="default" w:ascii="Times New Roman" w:hAnsi="Times New Roman" w:eastAsia="宋体" w:cs="Times New Roman"/>
          <w:b w:val="0"/>
          <w:bCs/>
          <w:sz w:val="24"/>
          <w:szCs w:val="24"/>
          <w:lang w:eastAsia="zh-CN"/>
        </w:rPr>
      </w:pPr>
    </w:p>
    <w:p w14:paraId="77037068">
      <w:pPr>
        <w:widowControl/>
        <w:autoSpaceDE/>
        <w:autoSpaceDN/>
        <w:rPr>
          <w:rFonts w:hint="default" w:ascii="Times New Roman" w:hAnsi="Times New Roman" w:eastAsia="宋体" w:cs="Times New Roman"/>
          <w:b w:val="0"/>
          <w:bCs/>
          <w:sz w:val="24"/>
          <w:szCs w:val="24"/>
          <w:lang w:eastAsia="zh-CN"/>
        </w:rPr>
      </w:pPr>
    </w:p>
    <w:p w14:paraId="2DF1379C">
      <w:pPr>
        <w:widowControl/>
        <w:autoSpaceDE/>
        <w:autoSpaceDN/>
        <w:ind w:firstLine="720" w:firstLineChars="3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公司</w:t>
      </w:r>
      <w:r>
        <w:rPr>
          <w:rFonts w:hint="eastAsia" w:ascii="Times New Roman" w:hAnsi="Times New Roman" w:cs="Times New Roman"/>
          <w:b w:val="0"/>
          <w:bCs/>
          <w:sz w:val="24"/>
          <w:szCs w:val="24"/>
          <w:lang w:val="en-US" w:eastAsia="zh-CN"/>
        </w:rPr>
        <w:t>名称</w:t>
      </w:r>
      <w:r>
        <w:rPr>
          <w:rFonts w:hint="eastAsia" w:ascii="宋体" w:hAnsi="宋体" w:eastAsia="宋体" w:cs="宋体"/>
          <w:b w:val="0"/>
          <w:bCs/>
          <w:sz w:val="24"/>
          <w:szCs w:val="24"/>
          <w:lang w:val="en-US" w:eastAsia="zh-CN"/>
        </w:rPr>
        <w:t>：福建福化古蕾化学有限公司</w:t>
      </w:r>
    </w:p>
    <w:p w14:paraId="4B406EC4">
      <w:pPr>
        <w:keepNext w:val="0"/>
        <w:keepLines w:val="0"/>
        <w:pageBreakBefore w:val="0"/>
        <w:widowControl/>
        <w:kinsoku/>
        <w:wordWrap/>
        <w:overflowPunct/>
        <w:topLinePunct w:val="0"/>
        <w:bidi w:val="0"/>
        <w:snapToGrid/>
        <w:spacing w:line="360" w:lineRule="auto"/>
        <w:ind w:firstLine="720" w:firstLineChars="300"/>
        <w:rPr>
          <w:rFonts w:hint="default" w:ascii="Times New Roman" w:hAnsi="Times New Roman" w:eastAsia="宋体" w:cs="Times New Roman"/>
          <w:b w:val="0"/>
          <w:bCs/>
          <w:sz w:val="24"/>
          <w:szCs w:val="24"/>
          <w:lang w:eastAsia="zh-CN"/>
        </w:rPr>
      </w:pPr>
      <w:r>
        <w:rPr>
          <w:rFonts w:hint="default" w:ascii="Times New Roman" w:hAnsi="Times New Roman" w:eastAsia="宋体" w:cs="Times New Roman"/>
          <w:b w:val="0"/>
          <w:bCs/>
          <w:sz w:val="24"/>
          <w:szCs w:val="24"/>
          <w:lang w:eastAsia="zh-CN"/>
        </w:rPr>
        <w:t>账号：</w:t>
      </w:r>
    </w:p>
    <w:p w14:paraId="508347E1">
      <w:pPr>
        <w:pStyle w:val="18"/>
        <w:keepNext w:val="0"/>
        <w:keepLines w:val="0"/>
        <w:pageBreakBefore w:val="0"/>
        <w:kinsoku/>
        <w:wordWrap/>
        <w:overflowPunct/>
        <w:topLinePunct w:val="0"/>
        <w:bidi w:val="0"/>
        <w:snapToGrid/>
        <w:spacing w:line="360" w:lineRule="auto"/>
        <w:ind w:firstLine="720" w:firstLineChars="300"/>
        <w:rPr>
          <w:rFonts w:hint="default" w:ascii="Times New Roman" w:hAnsi="Times New Roman" w:eastAsia="宋体" w:cs="Times New Roman"/>
          <w:b w:val="0"/>
          <w:bCs/>
          <w:sz w:val="24"/>
          <w:szCs w:val="24"/>
          <w:lang w:eastAsia="zh-CN"/>
        </w:rPr>
      </w:pPr>
      <w:r>
        <w:rPr>
          <w:rFonts w:hint="default" w:ascii="Times New Roman" w:hAnsi="Times New Roman" w:eastAsia="宋体" w:cs="Times New Roman"/>
          <w:b w:val="0"/>
          <w:bCs/>
          <w:sz w:val="24"/>
          <w:szCs w:val="24"/>
        </w:rPr>
        <w:t>开户行：</w:t>
      </w:r>
    </w:p>
    <w:p w14:paraId="0C0A53A1">
      <w:pPr>
        <w:widowControl/>
        <w:autoSpaceDE/>
        <w:autoSpaceDN/>
        <w:ind w:firstLine="720" w:firstLineChars="300"/>
        <w:rPr>
          <w:rFonts w:hint="default" w:ascii="宋体" w:hAnsi="宋体" w:eastAsia="宋体" w:cs="宋体"/>
          <w:bCs/>
          <w:sz w:val="24"/>
          <w:szCs w:val="24"/>
          <w:lang w:val="en-US" w:eastAsia="zh-CN"/>
        </w:rPr>
      </w:pPr>
    </w:p>
    <w:p w14:paraId="061ADABE">
      <w:pPr>
        <w:adjustRightInd w:val="0"/>
        <w:snapToGrid w:val="0"/>
        <w:spacing w:before="156" w:beforeLines="50" w:after="156" w:afterLines="50" w:line="360" w:lineRule="auto"/>
        <w:jc w:val="center"/>
        <w:rPr>
          <w:rFonts w:asciiTheme="minorEastAsia" w:hAnsiTheme="minorEastAsia" w:eastAsiaTheme="minorEastAsia"/>
          <w:b/>
          <w:sz w:val="28"/>
          <w:szCs w:val="28"/>
        </w:rPr>
      </w:pPr>
      <w:r>
        <w:rPr>
          <w:rFonts w:hint="default" w:ascii="Times New Roman" w:hAnsi="Times New Roman" w:eastAsia="宋体" w:cs="Times New Roman"/>
          <w:sz w:val="24"/>
          <w:szCs w:val="24"/>
          <w:lang w:eastAsia="zh-CN"/>
        </w:rPr>
        <w:t>附件1、</w:t>
      </w:r>
      <w:r>
        <w:rPr>
          <w:rFonts w:hint="eastAsia" w:ascii="Times New Roman" w:hAnsi="Times New Roman" w:eastAsia="宋体" w:cs="Times New Roman"/>
          <w:b/>
          <w:bCs/>
          <w:sz w:val="32"/>
          <w:szCs w:val="32"/>
          <w:lang w:val="en-US" w:eastAsia="zh-CN"/>
        </w:rPr>
        <w:t>2026年职业病危害检测及评价项目发包</w:t>
      </w:r>
      <w:r>
        <w:rPr>
          <w:rFonts w:hint="eastAsia" w:ascii="Times New Roman" w:hAnsi="Times New Roman" w:eastAsia="宋体" w:cs="Times New Roman"/>
          <w:b/>
          <w:bCs/>
          <w:sz w:val="32"/>
          <w:szCs w:val="32"/>
          <w:lang w:eastAsia="zh-CN"/>
        </w:rPr>
        <w:t>方案</w:t>
      </w:r>
    </w:p>
    <w:p w14:paraId="35A3D67D">
      <w:pPr>
        <w:keepNext w:val="0"/>
        <w:keepLines w:val="0"/>
        <w:pageBreakBefore w:val="0"/>
        <w:widowControl/>
        <w:numPr>
          <w:ilvl w:val="0"/>
          <w:numId w:val="5"/>
        </w:numPr>
        <w:kinsoku/>
        <w:wordWrap/>
        <w:overflowPunct/>
        <w:topLinePunct w:val="0"/>
        <w:autoSpaceDE/>
        <w:autoSpaceDN/>
        <w:bidi w:val="0"/>
        <w:adjustRightInd/>
        <w:snapToGrid/>
        <w:spacing w:after="157" w:afterLines="50" w:line="360" w:lineRule="auto"/>
        <w:jc w:val="left"/>
        <w:textAlignment w:val="auto"/>
        <w:outlineLvl w:val="0"/>
        <w:rPr>
          <w:rFonts w:hint="eastAsia" w:ascii="宋体" w:hAnsi="宋体" w:eastAsia="宋体" w:cs="宋体"/>
          <w:b/>
          <w:bCs/>
          <w:sz w:val="24"/>
          <w:szCs w:val="24"/>
        </w:rPr>
      </w:pPr>
      <w:r>
        <w:rPr>
          <w:rFonts w:hint="eastAsia" w:ascii="宋体" w:hAnsi="宋体" w:cs="宋体"/>
          <w:b/>
          <w:bCs/>
          <w:sz w:val="24"/>
          <w:szCs w:val="24"/>
          <w:lang w:val="en-US" w:eastAsia="zh-CN"/>
        </w:rPr>
        <w:t>采购发包</w:t>
      </w:r>
      <w:r>
        <w:rPr>
          <w:rFonts w:hint="eastAsia" w:ascii="宋体" w:hAnsi="宋体" w:eastAsia="宋体" w:cs="宋体"/>
          <w:b/>
          <w:bCs/>
          <w:sz w:val="24"/>
          <w:szCs w:val="24"/>
        </w:rPr>
        <w:t>背景</w:t>
      </w:r>
    </w:p>
    <w:p w14:paraId="25BF444F">
      <w:pPr>
        <w:snapToGrid w:val="0"/>
        <w:spacing w:line="360" w:lineRule="auto"/>
        <w:ind w:firstLine="480" w:firstLineChars="200"/>
        <w:contextualSpacing/>
        <w:rPr>
          <w:rFonts w:hint="eastAsia" w:ascii="宋体" w:hAnsi="宋体" w:eastAsia="宋体" w:cs="宋体"/>
          <w:bCs/>
          <w:sz w:val="24"/>
          <w:szCs w:val="24"/>
        </w:rPr>
      </w:pPr>
      <w:r>
        <w:rPr>
          <w:rFonts w:hint="eastAsia" w:ascii="宋体" w:hAnsi="宋体" w:eastAsia="宋体" w:cs="宋体"/>
          <w:bCs/>
          <w:sz w:val="24"/>
          <w:szCs w:val="24"/>
        </w:rPr>
        <w:t>福建福海创石油化工有限公司</w:t>
      </w:r>
      <w:r>
        <w:rPr>
          <w:rFonts w:hint="eastAsia" w:ascii="宋体" w:hAnsi="宋体" w:eastAsia="宋体" w:cs="宋体"/>
          <w:bCs/>
          <w:sz w:val="24"/>
          <w:szCs w:val="24"/>
          <w:lang w:val="en-US" w:eastAsia="zh-CN"/>
        </w:rPr>
        <w:t>职业病危害检测及评价合同将</w:t>
      </w:r>
      <w:r>
        <w:rPr>
          <w:rFonts w:hint="eastAsia" w:ascii="宋体" w:hAnsi="宋体" w:eastAsia="宋体" w:cs="宋体"/>
          <w:bCs/>
          <w:sz w:val="24"/>
          <w:szCs w:val="24"/>
        </w:rPr>
        <w:t>于202</w:t>
      </w:r>
      <w:r>
        <w:rPr>
          <w:rFonts w:hint="eastAsia" w:ascii="宋体" w:hAnsi="宋体" w:eastAsia="宋体" w:cs="宋体"/>
          <w:bCs/>
          <w:sz w:val="24"/>
          <w:szCs w:val="24"/>
          <w:lang w:val="en-US" w:eastAsia="zh-CN"/>
        </w:rPr>
        <w:t>6</w:t>
      </w:r>
      <w:r>
        <w:rPr>
          <w:rFonts w:hint="eastAsia" w:ascii="宋体" w:hAnsi="宋体" w:eastAsia="宋体" w:cs="宋体"/>
          <w:bCs/>
          <w:sz w:val="24"/>
          <w:szCs w:val="24"/>
        </w:rPr>
        <w:t>年</w:t>
      </w:r>
      <w:r>
        <w:rPr>
          <w:rFonts w:hint="eastAsia" w:ascii="宋体" w:hAnsi="宋体" w:eastAsia="宋体" w:cs="宋体"/>
          <w:bCs/>
          <w:sz w:val="24"/>
          <w:szCs w:val="24"/>
          <w:lang w:val="en-US" w:eastAsia="zh-CN"/>
        </w:rPr>
        <w:t>4</w:t>
      </w:r>
      <w:r>
        <w:rPr>
          <w:rFonts w:hint="eastAsia" w:ascii="宋体" w:hAnsi="宋体" w:eastAsia="宋体" w:cs="宋体"/>
          <w:bCs/>
          <w:sz w:val="24"/>
          <w:szCs w:val="24"/>
        </w:rPr>
        <w:t>月</w:t>
      </w:r>
      <w:r>
        <w:rPr>
          <w:rFonts w:hint="eastAsia" w:ascii="宋体" w:hAnsi="宋体" w:eastAsia="宋体" w:cs="宋体"/>
          <w:bCs/>
          <w:sz w:val="24"/>
          <w:szCs w:val="24"/>
          <w:lang w:val="en-US" w:eastAsia="zh-CN"/>
        </w:rPr>
        <w:t>27</w:t>
      </w:r>
      <w:r>
        <w:rPr>
          <w:rFonts w:hint="eastAsia" w:ascii="宋体" w:hAnsi="宋体" w:eastAsia="宋体" w:cs="宋体"/>
          <w:bCs/>
          <w:sz w:val="24"/>
          <w:szCs w:val="24"/>
        </w:rPr>
        <w:t>日到期，拟重新采购。本次</w:t>
      </w:r>
      <w:r>
        <w:rPr>
          <w:rFonts w:hint="eastAsia" w:ascii="宋体" w:hAnsi="宋体" w:cs="宋体"/>
          <w:bCs/>
          <w:sz w:val="24"/>
          <w:szCs w:val="24"/>
          <w:lang w:val="en-US" w:eastAsia="zh-CN"/>
        </w:rPr>
        <w:t>采购范围</w:t>
      </w:r>
      <w:r>
        <w:rPr>
          <w:rFonts w:hint="eastAsia" w:ascii="宋体" w:hAnsi="宋体" w:eastAsia="宋体" w:cs="宋体"/>
          <w:bCs/>
          <w:sz w:val="24"/>
          <w:szCs w:val="24"/>
        </w:rPr>
        <w:t>涵盖</w:t>
      </w:r>
      <w:r>
        <w:rPr>
          <w:rFonts w:hint="eastAsia" w:ascii="宋体" w:hAnsi="宋体" w:eastAsia="宋体" w:cs="宋体"/>
          <w:bCs/>
          <w:sz w:val="24"/>
          <w:szCs w:val="24"/>
          <w:lang w:val="en-US" w:eastAsia="zh-CN"/>
        </w:rPr>
        <w:t>福建福海创石油化工有限公司、腾龙芳烃（漳州）有限公司、</w:t>
      </w:r>
      <w:r>
        <w:rPr>
          <w:rFonts w:hint="eastAsia" w:ascii="宋体" w:hAnsi="宋体" w:eastAsia="宋体" w:cs="宋体"/>
          <w:bCs/>
          <w:sz w:val="24"/>
          <w:szCs w:val="24"/>
        </w:rPr>
        <w:t>翔鹭码头投资管理（漳州）有限公司</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福建福化古蕾化学有限公司检测及评价服务</w:t>
      </w:r>
      <w:r>
        <w:rPr>
          <w:rFonts w:hint="eastAsia" w:ascii="宋体" w:hAnsi="宋体" w:eastAsia="宋体" w:cs="宋体"/>
          <w:bCs/>
          <w:sz w:val="24"/>
          <w:szCs w:val="24"/>
        </w:rPr>
        <w:t>，</w:t>
      </w:r>
      <w:r>
        <w:rPr>
          <w:rFonts w:hint="eastAsia" w:ascii="宋体" w:hAnsi="宋体" w:eastAsia="宋体" w:cs="宋体"/>
          <w:bCs/>
          <w:sz w:val="24"/>
          <w:szCs w:val="24"/>
          <w:lang w:eastAsia="zh-CN"/>
        </w:rPr>
        <w:t>需根据服务内容</w:t>
      </w:r>
      <w:r>
        <w:rPr>
          <w:rFonts w:hint="eastAsia" w:ascii="宋体" w:hAnsi="宋体" w:eastAsia="宋体" w:cs="宋体"/>
          <w:bCs/>
          <w:sz w:val="24"/>
          <w:szCs w:val="24"/>
        </w:rPr>
        <w:t>分别出具相应公司的检测</w:t>
      </w:r>
      <w:r>
        <w:rPr>
          <w:rFonts w:hint="eastAsia" w:ascii="宋体" w:hAnsi="宋体" w:eastAsia="宋体" w:cs="宋体"/>
          <w:bCs/>
          <w:sz w:val="24"/>
          <w:szCs w:val="24"/>
          <w:lang w:eastAsia="zh-CN"/>
        </w:rPr>
        <w:t>及评价</w:t>
      </w:r>
      <w:r>
        <w:rPr>
          <w:rFonts w:hint="eastAsia" w:ascii="宋体" w:hAnsi="宋体" w:eastAsia="宋体" w:cs="宋体"/>
          <w:bCs/>
          <w:sz w:val="24"/>
          <w:szCs w:val="24"/>
        </w:rPr>
        <w:t>报告。</w:t>
      </w:r>
    </w:p>
    <w:p w14:paraId="088D87CD">
      <w:pPr>
        <w:keepNext w:val="0"/>
        <w:keepLines w:val="0"/>
        <w:pageBreakBefore w:val="0"/>
        <w:widowControl/>
        <w:numPr>
          <w:ilvl w:val="0"/>
          <w:numId w:val="5"/>
        </w:numPr>
        <w:kinsoku/>
        <w:wordWrap/>
        <w:overflowPunct/>
        <w:topLinePunct w:val="0"/>
        <w:autoSpaceDE/>
        <w:autoSpaceDN/>
        <w:bidi w:val="0"/>
        <w:adjustRightInd/>
        <w:snapToGrid/>
        <w:spacing w:after="157" w:afterLines="50" w:line="360" w:lineRule="auto"/>
        <w:jc w:val="left"/>
        <w:textAlignment w:val="auto"/>
        <w:outlineLvl w:val="0"/>
        <w:rPr>
          <w:rFonts w:hint="eastAsia" w:ascii="宋体" w:hAnsi="宋体" w:eastAsia="宋体" w:cs="宋体"/>
          <w:b/>
          <w:bCs/>
          <w:sz w:val="24"/>
          <w:szCs w:val="24"/>
        </w:rPr>
      </w:pPr>
      <w:r>
        <w:rPr>
          <w:rFonts w:hint="eastAsia" w:ascii="宋体" w:hAnsi="宋体" w:cs="宋体"/>
          <w:b/>
          <w:bCs/>
          <w:sz w:val="24"/>
          <w:szCs w:val="24"/>
          <w:lang w:val="en-US" w:eastAsia="zh-CN"/>
        </w:rPr>
        <w:t>采购</w:t>
      </w:r>
      <w:r>
        <w:rPr>
          <w:rFonts w:hint="eastAsia" w:ascii="宋体" w:hAnsi="宋体" w:eastAsia="宋体" w:cs="宋体"/>
          <w:b/>
          <w:bCs/>
          <w:sz w:val="24"/>
          <w:szCs w:val="24"/>
          <w:lang w:eastAsia="zh-CN"/>
        </w:rPr>
        <w:t>内容及控制价</w:t>
      </w:r>
    </w:p>
    <w:p w14:paraId="696595E7">
      <w:pPr>
        <w:keepNext w:val="0"/>
        <w:keepLines w:val="0"/>
        <w:pageBreakBefore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bCs/>
          <w:sz w:val="24"/>
          <w:szCs w:val="24"/>
        </w:rPr>
      </w:pPr>
      <w:r>
        <w:rPr>
          <w:rFonts w:hint="eastAsia" w:ascii="宋体" w:hAnsi="宋体" w:eastAsia="宋体" w:cs="宋体"/>
          <w:bCs/>
          <w:sz w:val="24"/>
          <w:szCs w:val="24"/>
        </w:rPr>
        <w:t>（一）项目名称：2026年度</w:t>
      </w:r>
      <w:r>
        <w:rPr>
          <w:rFonts w:hint="eastAsia" w:ascii="宋体" w:hAnsi="宋体" w:eastAsia="宋体" w:cs="宋体"/>
          <w:bCs/>
          <w:sz w:val="24"/>
          <w:szCs w:val="24"/>
          <w:lang w:val="en-US" w:eastAsia="zh-CN"/>
        </w:rPr>
        <w:t>职业病危害检测及评价服务合同</w:t>
      </w:r>
    </w:p>
    <w:p w14:paraId="7413F919">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Cs/>
          <w:sz w:val="24"/>
          <w:szCs w:val="24"/>
        </w:rPr>
        <w:t>（二）项目期限：</w:t>
      </w:r>
      <w:r>
        <w:rPr>
          <w:rFonts w:hint="eastAsia" w:ascii="宋体" w:hAnsi="宋体" w:eastAsia="宋体" w:cs="宋体"/>
          <w:sz w:val="24"/>
          <w:szCs w:val="24"/>
        </w:rPr>
        <w:t>本项目期限为合同签</w:t>
      </w:r>
      <w:r>
        <w:rPr>
          <w:rFonts w:hint="eastAsia" w:ascii="宋体" w:hAnsi="宋体" w:eastAsia="宋体" w:cs="宋体"/>
          <w:sz w:val="24"/>
          <w:szCs w:val="24"/>
          <w:lang w:eastAsia="zh-CN"/>
        </w:rPr>
        <w:t>订之</w:t>
      </w:r>
      <w:r>
        <w:rPr>
          <w:rFonts w:hint="eastAsia" w:ascii="宋体" w:hAnsi="宋体" w:eastAsia="宋体" w:cs="宋体"/>
          <w:sz w:val="24"/>
          <w:szCs w:val="24"/>
        </w:rPr>
        <w:t>日起</w:t>
      </w:r>
      <w:r>
        <w:rPr>
          <w:rFonts w:hint="eastAsia" w:ascii="宋体" w:hAnsi="宋体" w:eastAsia="宋体" w:cs="宋体"/>
          <w:sz w:val="24"/>
          <w:szCs w:val="24"/>
          <w:lang w:eastAsia="zh-CN"/>
        </w:rPr>
        <w:t>一</w:t>
      </w:r>
      <w:r>
        <w:rPr>
          <w:rFonts w:hint="eastAsia" w:ascii="宋体" w:hAnsi="宋体" w:eastAsia="宋体" w:cs="宋体"/>
          <w:sz w:val="24"/>
          <w:szCs w:val="24"/>
        </w:rPr>
        <w:t>年</w:t>
      </w:r>
      <w:r>
        <w:rPr>
          <w:rFonts w:hint="eastAsia" w:ascii="宋体" w:hAnsi="宋体" w:cs="宋体"/>
          <w:sz w:val="24"/>
          <w:szCs w:val="24"/>
          <w:lang w:eastAsia="zh-CN"/>
        </w:rPr>
        <w:t>。</w:t>
      </w:r>
    </w:p>
    <w:p w14:paraId="65744B53">
      <w:pPr>
        <w:keepNext w:val="0"/>
        <w:keepLines w:val="0"/>
        <w:pageBreakBefore w:val="0"/>
        <w:widowControl/>
        <w:numPr>
          <w:ilvl w:val="0"/>
          <w:numId w:val="0"/>
        </w:numPr>
        <w:kinsoku/>
        <w:wordWrap/>
        <w:overflowPunct/>
        <w:topLinePunct w:val="0"/>
        <w:autoSpaceDE/>
        <w:autoSpaceDN/>
        <w:bidi w:val="0"/>
        <w:adjustRightInd/>
        <w:snapToGrid/>
        <w:spacing w:after="313" w:afterLines="100" w:line="360" w:lineRule="auto"/>
        <w:ind w:firstLine="480" w:firstLineChars="200"/>
        <w:jc w:val="left"/>
        <w:textAlignment w:val="auto"/>
        <w:outlineLvl w:val="0"/>
        <w:rPr>
          <w:rFonts w:hint="eastAsia" w:ascii="宋体" w:hAnsi="宋体" w:eastAsia="宋体" w:cs="宋体"/>
          <w:color w:val="auto"/>
          <w:kern w:val="2"/>
          <w:sz w:val="24"/>
          <w:szCs w:val="24"/>
          <w:lang w:eastAsia="zh-CN"/>
        </w:rPr>
      </w:pPr>
      <w:r>
        <w:rPr>
          <w:rFonts w:hint="eastAsia" w:ascii="宋体" w:hAnsi="宋体" w:eastAsia="宋体" w:cs="宋体"/>
          <w:bCs/>
          <w:sz w:val="24"/>
          <w:szCs w:val="24"/>
        </w:rPr>
        <w:t>（三）项目内容</w:t>
      </w:r>
      <w:r>
        <w:rPr>
          <w:rFonts w:hint="eastAsia" w:ascii="宋体" w:hAnsi="宋体" w:eastAsia="宋体" w:cs="宋体"/>
          <w:bCs/>
          <w:sz w:val="24"/>
          <w:szCs w:val="24"/>
          <w:lang w:eastAsia="zh-CN"/>
        </w:rPr>
        <w:t>：</w:t>
      </w:r>
    </w:p>
    <w:tbl>
      <w:tblPr>
        <w:tblStyle w:val="9"/>
        <w:tblW w:w="6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5749"/>
      </w:tblGrid>
      <w:tr w14:paraId="5E67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Pr>
          <w:p w14:paraId="60BA794E">
            <w:pPr>
              <w:keepNext w:val="0"/>
              <w:keepLines w:val="0"/>
              <w:suppressLineNumbers w:val="0"/>
              <w:spacing w:before="0" w:beforeAutospacing="0" w:after="0" w:afterAutospacing="0" w:line="360" w:lineRule="auto"/>
              <w:ind w:left="0" w:right="0"/>
              <w:jc w:val="center"/>
              <w:rPr>
                <w:rFonts w:hint="eastAsia" w:ascii="宋体" w:hAnsi="宋体" w:eastAsia="宋体" w:cs="宋体"/>
                <w:b/>
                <w:bCs w:val="0"/>
                <w:color w:val="000000"/>
                <w:kern w:val="2"/>
                <w:sz w:val="24"/>
                <w:szCs w:val="24"/>
                <w:vertAlign w:val="baseline"/>
                <w:lang w:eastAsia="zh-CN"/>
              </w:rPr>
            </w:pPr>
            <w:r>
              <w:rPr>
                <w:rFonts w:hint="eastAsia" w:ascii="宋体" w:hAnsi="宋体" w:eastAsia="宋体" w:cs="宋体"/>
                <w:b/>
                <w:bCs w:val="0"/>
                <w:color w:val="000000"/>
                <w:kern w:val="2"/>
                <w:sz w:val="24"/>
                <w:szCs w:val="24"/>
                <w:vertAlign w:val="baseline"/>
                <w:lang w:eastAsia="zh-CN"/>
              </w:rPr>
              <w:t>序号</w:t>
            </w:r>
          </w:p>
        </w:tc>
        <w:tc>
          <w:tcPr>
            <w:tcW w:w="5749" w:type="dxa"/>
          </w:tcPr>
          <w:p w14:paraId="5749C3D1">
            <w:pPr>
              <w:keepNext w:val="0"/>
              <w:keepLines w:val="0"/>
              <w:suppressLineNumbers w:val="0"/>
              <w:spacing w:before="0" w:beforeAutospacing="0" w:after="0" w:afterAutospacing="0" w:line="360" w:lineRule="auto"/>
              <w:ind w:left="0" w:right="0"/>
              <w:jc w:val="center"/>
              <w:rPr>
                <w:rFonts w:hint="eastAsia" w:ascii="宋体" w:hAnsi="宋体" w:eastAsia="宋体" w:cs="宋体"/>
                <w:b/>
                <w:bCs w:val="0"/>
                <w:color w:val="000000"/>
                <w:kern w:val="2"/>
                <w:sz w:val="24"/>
                <w:szCs w:val="24"/>
                <w:vertAlign w:val="baseline"/>
                <w:lang w:eastAsia="zh-CN"/>
              </w:rPr>
            </w:pPr>
            <w:r>
              <w:rPr>
                <w:rFonts w:hint="eastAsia" w:ascii="宋体" w:hAnsi="宋体" w:eastAsia="宋体" w:cs="宋体"/>
                <w:b/>
                <w:bCs w:val="0"/>
                <w:color w:val="000000"/>
                <w:kern w:val="2"/>
                <w:sz w:val="24"/>
                <w:szCs w:val="24"/>
                <w:vertAlign w:val="baseline"/>
                <w:lang w:eastAsia="zh-CN"/>
              </w:rPr>
              <w:t>项目</w:t>
            </w:r>
          </w:p>
        </w:tc>
      </w:tr>
      <w:tr w14:paraId="008B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Pr>
          <w:p w14:paraId="4EF1E6AE">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000000"/>
                <w:kern w:val="2"/>
                <w:sz w:val="24"/>
                <w:szCs w:val="24"/>
                <w:vertAlign w:val="baseline"/>
                <w:lang w:val="en-US" w:eastAsia="zh-CN"/>
              </w:rPr>
            </w:pPr>
            <w:r>
              <w:rPr>
                <w:rFonts w:hint="eastAsia" w:ascii="宋体" w:hAnsi="宋体" w:eastAsia="宋体" w:cs="宋体"/>
                <w:b w:val="0"/>
                <w:bCs/>
                <w:color w:val="000000"/>
                <w:kern w:val="2"/>
                <w:sz w:val="24"/>
                <w:szCs w:val="24"/>
                <w:vertAlign w:val="baseline"/>
                <w:lang w:val="en-US" w:eastAsia="zh-CN"/>
              </w:rPr>
              <w:t>1</w:t>
            </w:r>
          </w:p>
        </w:tc>
        <w:tc>
          <w:tcPr>
            <w:tcW w:w="5749" w:type="dxa"/>
          </w:tcPr>
          <w:p w14:paraId="261D101E">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000000"/>
                <w:kern w:val="2"/>
                <w:sz w:val="24"/>
                <w:szCs w:val="24"/>
                <w:vertAlign w:val="baseline"/>
              </w:rPr>
            </w:pPr>
            <w:r>
              <w:rPr>
                <w:rFonts w:hint="eastAsia" w:ascii="宋体" w:hAnsi="宋体" w:eastAsia="宋体" w:cs="宋体"/>
                <w:b w:val="0"/>
                <w:bCs/>
                <w:color w:val="000000"/>
                <w:kern w:val="2"/>
                <w:sz w:val="24"/>
                <w:szCs w:val="24"/>
                <w:vertAlign w:val="baseline"/>
              </w:rPr>
              <w:t>202</w:t>
            </w:r>
            <w:r>
              <w:rPr>
                <w:rFonts w:hint="eastAsia" w:ascii="宋体" w:hAnsi="宋体" w:eastAsia="宋体" w:cs="宋体"/>
                <w:b w:val="0"/>
                <w:bCs/>
                <w:color w:val="000000"/>
                <w:kern w:val="2"/>
                <w:sz w:val="24"/>
                <w:szCs w:val="24"/>
                <w:vertAlign w:val="baseline"/>
                <w:lang w:val="en-US" w:eastAsia="zh-CN"/>
              </w:rPr>
              <w:t>6</w:t>
            </w:r>
            <w:r>
              <w:rPr>
                <w:rFonts w:hint="eastAsia" w:ascii="宋体" w:hAnsi="宋体" w:eastAsia="宋体" w:cs="宋体"/>
                <w:b w:val="0"/>
                <w:bCs/>
                <w:color w:val="000000"/>
                <w:kern w:val="2"/>
                <w:sz w:val="24"/>
                <w:szCs w:val="24"/>
                <w:vertAlign w:val="baseline"/>
              </w:rPr>
              <w:t>年翔鹭码头职业病危害因素定期检测</w:t>
            </w:r>
          </w:p>
        </w:tc>
      </w:tr>
      <w:tr w14:paraId="1610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Pr>
          <w:p w14:paraId="6FA0D052">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000000"/>
                <w:kern w:val="2"/>
                <w:sz w:val="24"/>
                <w:szCs w:val="24"/>
                <w:vertAlign w:val="baseline"/>
                <w:lang w:val="en-US" w:eastAsia="zh-CN"/>
              </w:rPr>
            </w:pPr>
            <w:r>
              <w:rPr>
                <w:rFonts w:hint="eastAsia" w:ascii="宋体" w:hAnsi="宋体" w:eastAsia="宋体" w:cs="宋体"/>
                <w:b w:val="0"/>
                <w:bCs/>
                <w:color w:val="000000"/>
                <w:kern w:val="2"/>
                <w:sz w:val="24"/>
                <w:szCs w:val="24"/>
                <w:vertAlign w:val="baseline"/>
                <w:lang w:val="en-US" w:eastAsia="zh-CN"/>
              </w:rPr>
              <w:t>2</w:t>
            </w:r>
          </w:p>
        </w:tc>
        <w:tc>
          <w:tcPr>
            <w:tcW w:w="5749" w:type="dxa"/>
          </w:tcPr>
          <w:p w14:paraId="3FD12757">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000000"/>
                <w:kern w:val="2"/>
                <w:sz w:val="24"/>
                <w:szCs w:val="24"/>
                <w:vertAlign w:val="baseline"/>
                <w:lang w:val="en-US" w:eastAsia="zh-CN"/>
              </w:rPr>
            </w:pPr>
            <w:r>
              <w:rPr>
                <w:rFonts w:hint="eastAsia" w:ascii="宋体" w:hAnsi="宋体" w:eastAsia="宋体" w:cs="宋体"/>
                <w:b w:val="0"/>
                <w:bCs/>
                <w:color w:val="000000"/>
                <w:kern w:val="2"/>
                <w:sz w:val="24"/>
                <w:szCs w:val="24"/>
                <w:vertAlign w:val="baseline"/>
                <w:lang w:val="en-US" w:eastAsia="zh-CN"/>
              </w:rPr>
              <w:t>2026年古蕾化学</w:t>
            </w:r>
            <w:r>
              <w:rPr>
                <w:rFonts w:hint="eastAsia" w:ascii="宋体" w:hAnsi="宋体" w:eastAsia="宋体" w:cs="宋体"/>
                <w:b w:val="0"/>
                <w:bCs/>
                <w:color w:val="000000"/>
                <w:kern w:val="2"/>
                <w:sz w:val="24"/>
                <w:szCs w:val="24"/>
                <w:vertAlign w:val="baseline"/>
              </w:rPr>
              <w:t>职业病危害因素定期检测</w:t>
            </w:r>
          </w:p>
        </w:tc>
      </w:tr>
      <w:tr w14:paraId="0ED2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Pr>
          <w:p w14:paraId="1C55C044">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000000"/>
                <w:kern w:val="2"/>
                <w:sz w:val="24"/>
                <w:szCs w:val="24"/>
                <w:vertAlign w:val="baseline"/>
                <w:lang w:val="en-US" w:eastAsia="zh-CN"/>
              </w:rPr>
            </w:pPr>
            <w:r>
              <w:rPr>
                <w:rFonts w:hint="eastAsia" w:ascii="宋体" w:hAnsi="宋体" w:eastAsia="宋体" w:cs="宋体"/>
                <w:b w:val="0"/>
                <w:bCs/>
                <w:color w:val="000000"/>
                <w:kern w:val="2"/>
                <w:sz w:val="24"/>
                <w:szCs w:val="24"/>
                <w:vertAlign w:val="baseline"/>
                <w:lang w:val="en-US" w:eastAsia="zh-CN"/>
              </w:rPr>
              <w:t>3</w:t>
            </w:r>
          </w:p>
        </w:tc>
        <w:tc>
          <w:tcPr>
            <w:tcW w:w="5749" w:type="dxa"/>
          </w:tcPr>
          <w:p w14:paraId="25A0C287">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000000"/>
                <w:kern w:val="2"/>
                <w:sz w:val="24"/>
                <w:szCs w:val="24"/>
                <w:vertAlign w:val="baseline"/>
              </w:rPr>
            </w:pPr>
            <w:r>
              <w:rPr>
                <w:rFonts w:hint="eastAsia" w:ascii="宋体" w:hAnsi="宋体" w:eastAsia="宋体" w:cs="宋体"/>
                <w:b w:val="0"/>
                <w:bCs/>
                <w:color w:val="000000"/>
                <w:kern w:val="2"/>
                <w:sz w:val="24"/>
                <w:szCs w:val="24"/>
                <w:vertAlign w:val="baseline"/>
              </w:rPr>
              <w:t>202</w:t>
            </w:r>
            <w:r>
              <w:rPr>
                <w:rFonts w:hint="eastAsia" w:ascii="宋体" w:hAnsi="宋体" w:eastAsia="宋体" w:cs="宋体"/>
                <w:b w:val="0"/>
                <w:bCs/>
                <w:color w:val="000000"/>
                <w:kern w:val="2"/>
                <w:sz w:val="24"/>
                <w:szCs w:val="24"/>
                <w:vertAlign w:val="baseline"/>
                <w:lang w:val="en-US" w:eastAsia="zh-CN"/>
              </w:rPr>
              <w:t>6</w:t>
            </w:r>
            <w:r>
              <w:rPr>
                <w:rFonts w:hint="eastAsia" w:ascii="宋体" w:hAnsi="宋体" w:eastAsia="宋体" w:cs="宋体"/>
                <w:b w:val="0"/>
                <w:bCs/>
                <w:color w:val="000000"/>
                <w:kern w:val="2"/>
                <w:sz w:val="24"/>
                <w:szCs w:val="24"/>
                <w:vertAlign w:val="baseline"/>
              </w:rPr>
              <w:t>年腾龙芳烃职业病危害因素定期检测</w:t>
            </w:r>
          </w:p>
        </w:tc>
      </w:tr>
      <w:tr w14:paraId="4261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Pr>
          <w:p w14:paraId="334DA5F7">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000000"/>
                <w:kern w:val="2"/>
                <w:sz w:val="24"/>
                <w:szCs w:val="24"/>
                <w:vertAlign w:val="baseline"/>
                <w:lang w:val="en-US" w:eastAsia="zh-CN"/>
              </w:rPr>
            </w:pPr>
            <w:r>
              <w:rPr>
                <w:rFonts w:hint="eastAsia" w:ascii="宋体" w:hAnsi="宋体" w:eastAsia="宋体" w:cs="宋体"/>
                <w:b w:val="0"/>
                <w:bCs/>
                <w:color w:val="000000"/>
                <w:kern w:val="2"/>
                <w:sz w:val="24"/>
                <w:szCs w:val="24"/>
                <w:vertAlign w:val="baseline"/>
                <w:lang w:val="en-US" w:eastAsia="zh-CN"/>
              </w:rPr>
              <w:t>4</w:t>
            </w:r>
          </w:p>
        </w:tc>
        <w:tc>
          <w:tcPr>
            <w:tcW w:w="5749" w:type="dxa"/>
          </w:tcPr>
          <w:p w14:paraId="6EB1783C">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000000"/>
                <w:kern w:val="2"/>
                <w:sz w:val="24"/>
                <w:szCs w:val="24"/>
                <w:vertAlign w:val="baseline"/>
              </w:rPr>
            </w:pPr>
            <w:r>
              <w:rPr>
                <w:rFonts w:hint="eastAsia" w:ascii="宋体" w:hAnsi="宋体" w:eastAsia="宋体" w:cs="宋体"/>
                <w:b w:val="0"/>
                <w:bCs/>
                <w:color w:val="000000"/>
                <w:kern w:val="2"/>
                <w:sz w:val="24"/>
                <w:szCs w:val="24"/>
                <w:vertAlign w:val="baseline"/>
              </w:rPr>
              <w:t>202</w:t>
            </w:r>
            <w:r>
              <w:rPr>
                <w:rFonts w:hint="eastAsia" w:ascii="宋体" w:hAnsi="宋体" w:eastAsia="宋体" w:cs="宋体"/>
                <w:b w:val="0"/>
                <w:bCs/>
                <w:color w:val="000000"/>
                <w:kern w:val="2"/>
                <w:sz w:val="24"/>
                <w:szCs w:val="24"/>
                <w:vertAlign w:val="baseline"/>
                <w:lang w:val="en-US" w:eastAsia="zh-CN"/>
              </w:rPr>
              <w:t>6</w:t>
            </w:r>
            <w:r>
              <w:rPr>
                <w:rFonts w:hint="eastAsia" w:ascii="宋体" w:hAnsi="宋体" w:eastAsia="宋体" w:cs="宋体"/>
                <w:b w:val="0"/>
                <w:bCs/>
                <w:color w:val="000000"/>
                <w:kern w:val="2"/>
                <w:sz w:val="24"/>
                <w:szCs w:val="24"/>
                <w:vertAlign w:val="baseline"/>
              </w:rPr>
              <w:t>年</w:t>
            </w:r>
            <w:r>
              <w:rPr>
                <w:rFonts w:hint="eastAsia" w:ascii="宋体" w:hAnsi="宋体" w:eastAsia="宋体" w:cs="宋体"/>
                <w:b w:val="0"/>
                <w:bCs/>
                <w:color w:val="000000"/>
                <w:kern w:val="2"/>
                <w:sz w:val="24"/>
                <w:szCs w:val="24"/>
                <w:vertAlign w:val="baseline"/>
                <w:lang w:eastAsia="zh-CN"/>
              </w:rPr>
              <w:t>福海创</w:t>
            </w:r>
            <w:r>
              <w:rPr>
                <w:rFonts w:hint="eastAsia" w:ascii="宋体" w:hAnsi="宋体" w:eastAsia="宋体" w:cs="宋体"/>
                <w:b w:val="0"/>
                <w:bCs/>
                <w:color w:val="000000"/>
                <w:kern w:val="2"/>
                <w:sz w:val="24"/>
                <w:szCs w:val="24"/>
                <w:vertAlign w:val="baseline"/>
              </w:rPr>
              <w:t>职业病危害因素定期检测</w:t>
            </w:r>
          </w:p>
        </w:tc>
      </w:tr>
      <w:tr w14:paraId="392F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Pr>
          <w:p w14:paraId="3F846E7B">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000000"/>
                <w:kern w:val="2"/>
                <w:sz w:val="24"/>
                <w:szCs w:val="24"/>
                <w:vertAlign w:val="baseline"/>
                <w:lang w:val="en-US" w:eastAsia="zh-CN"/>
              </w:rPr>
            </w:pPr>
            <w:r>
              <w:rPr>
                <w:rFonts w:hint="eastAsia" w:ascii="宋体" w:hAnsi="宋体" w:eastAsia="宋体" w:cs="宋体"/>
                <w:b w:val="0"/>
                <w:bCs/>
                <w:color w:val="000000"/>
                <w:kern w:val="2"/>
                <w:sz w:val="24"/>
                <w:szCs w:val="24"/>
                <w:vertAlign w:val="baseline"/>
                <w:lang w:val="en-US" w:eastAsia="zh-CN"/>
              </w:rPr>
              <w:t>5</w:t>
            </w:r>
          </w:p>
        </w:tc>
        <w:tc>
          <w:tcPr>
            <w:tcW w:w="5749" w:type="dxa"/>
          </w:tcPr>
          <w:p w14:paraId="2ABE922E">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000000"/>
                <w:kern w:val="2"/>
                <w:sz w:val="24"/>
                <w:szCs w:val="24"/>
                <w:vertAlign w:val="baseline"/>
              </w:rPr>
            </w:pPr>
            <w:r>
              <w:rPr>
                <w:rFonts w:hint="eastAsia" w:ascii="宋体" w:hAnsi="宋体" w:eastAsia="宋体" w:cs="宋体"/>
                <w:b w:val="0"/>
                <w:bCs/>
                <w:color w:val="000000"/>
                <w:kern w:val="2"/>
                <w:sz w:val="24"/>
                <w:szCs w:val="24"/>
                <w:vertAlign w:val="baseline"/>
              </w:rPr>
              <w:t>202</w:t>
            </w:r>
            <w:r>
              <w:rPr>
                <w:rFonts w:hint="eastAsia" w:ascii="宋体" w:hAnsi="宋体" w:eastAsia="宋体" w:cs="宋体"/>
                <w:b w:val="0"/>
                <w:bCs/>
                <w:color w:val="000000"/>
                <w:kern w:val="2"/>
                <w:sz w:val="24"/>
                <w:szCs w:val="24"/>
                <w:vertAlign w:val="baseline"/>
                <w:lang w:val="en-US" w:eastAsia="zh-CN"/>
              </w:rPr>
              <w:t>6</w:t>
            </w:r>
            <w:r>
              <w:rPr>
                <w:rFonts w:hint="eastAsia" w:ascii="宋体" w:hAnsi="宋体" w:eastAsia="宋体" w:cs="宋体"/>
                <w:b w:val="0"/>
                <w:bCs/>
                <w:color w:val="000000"/>
                <w:kern w:val="2"/>
                <w:sz w:val="24"/>
                <w:szCs w:val="24"/>
                <w:vertAlign w:val="baseline"/>
              </w:rPr>
              <w:t>年上半年腾龙芳烃高毒控制效果评价</w:t>
            </w:r>
          </w:p>
        </w:tc>
      </w:tr>
      <w:tr w14:paraId="0644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Pr>
          <w:p w14:paraId="707BC0D7">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000000"/>
                <w:kern w:val="2"/>
                <w:sz w:val="24"/>
                <w:szCs w:val="24"/>
                <w:vertAlign w:val="baseline"/>
                <w:lang w:val="en-US" w:eastAsia="zh-CN"/>
              </w:rPr>
            </w:pPr>
            <w:r>
              <w:rPr>
                <w:rFonts w:hint="eastAsia" w:ascii="宋体" w:hAnsi="宋体" w:eastAsia="宋体" w:cs="宋体"/>
                <w:b w:val="0"/>
                <w:bCs/>
                <w:color w:val="000000"/>
                <w:kern w:val="2"/>
                <w:sz w:val="24"/>
                <w:szCs w:val="24"/>
                <w:vertAlign w:val="baseline"/>
                <w:lang w:val="en-US" w:eastAsia="zh-CN"/>
              </w:rPr>
              <w:t>6</w:t>
            </w:r>
          </w:p>
        </w:tc>
        <w:tc>
          <w:tcPr>
            <w:tcW w:w="5749" w:type="dxa"/>
          </w:tcPr>
          <w:p w14:paraId="6B534CB8">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000000"/>
                <w:kern w:val="2"/>
                <w:sz w:val="24"/>
                <w:szCs w:val="24"/>
                <w:vertAlign w:val="baseline"/>
              </w:rPr>
            </w:pPr>
            <w:r>
              <w:rPr>
                <w:rFonts w:hint="eastAsia" w:ascii="宋体" w:hAnsi="宋体" w:eastAsia="宋体" w:cs="宋体"/>
                <w:b w:val="0"/>
                <w:bCs/>
                <w:color w:val="000000"/>
                <w:kern w:val="2"/>
                <w:sz w:val="24"/>
                <w:szCs w:val="24"/>
                <w:vertAlign w:val="baseline"/>
              </w:rPr>
              <w:t>202</w:t>
            </w:r>
            <w:r>
              <w:rPr>
                <w:rFonts w:hint="eastAsia" w:ascii="宋体" w:hAnsi="宋体" w:eastAsia="宋体" w:cs="宋体"/>
                <w:b w:val="0"/>
                <w:bCs/>
                <w:color w:val="000000"/>
                <w:kern w:val="2"/>
                <w:sz w:val="24"/>
                <w:szCs w:val="24"/>
                <w:vertAlign w:val="baseline"/>
                <w:lang w:val="en-US" w:eastAsia="zh-CN"/>
              </w:rPr>
              <w:t>6</w:t>
            </w:r>
            <w:r>
              <w:rPr>
                <w:rFonts w:hint="eastAsia" w:ascii="宋体" w:hAnsi="宋体" w:eastAsia="宋体" w:cs="宋体"/>
                <w:b w:val="0"/>
                <w:bCs/>
                <w:color w:val="000000"/>
                <w:kern w:val="2"/>
                <w:sz w:val="24"/>
                <w:szCs w:val="24"/>
                <w:vertAlign w:val="baseline"/>
              </w:rPr>
              <w:t>年下半年腾龙芳烃高毒控制效果评价</w:t>
            </w:r>
          </w:p>
        </w:tc>
      </w:tr>
      <w:tr w14:paraId="6640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Pr>
          <w:p w14:paraId="4A0E7D4E">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000000"/>
                <w:kern w:val="2"/>
                <w:sz w:val="24"/>
                <w:szCs w:val="24"/>
                <w:vertAlign w:val="baseline"/>
                <w:lang w:val="en-US" w:eastAsia="zh-CN"/>
              </w:rPr>
            </w:pPr>
            <w:r>
              <w:rPr>
                <w:rFonts w:hint="eastAsia" w:ascii="宋体" w:hAnsi="宋体" w:eastAsia="宋体" w:cs="宋体"/>
                <w:b w:val="0"/>
                <w:bCs/>
                <w:color w:val="000000"/>
                <w:kern w:val="2"/>
                <w:sz w:val="24"/>
                <w:szCs w:val="24"/>
                <w:vertAlign w:val="baseline"/>
                <w:lang w:val="en-US" w:eastAsia="zh-CN"/>
              </w:rPr>
              <w:t>7</w:t>
            </w:r>
          </w:p>
        </w:tc>
        <w:tc>
          <w:tcPr>
            <w:tcW w:w="5749" w:type="dxa"/>
          </w:tcPr>
          <w:p w14:paraId="6C0DEB2F">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000000"/>
                <w:kern w:val="2"/>
                <w:sz w:val="24"/>
                <w:szCs w:val="24"/>
                <w:vertAlign w:val="baseline"/>
              </w:rPr>
            </w:pPr>
            <w:r>
              <w:rPr>
                <w:rFonts w:hint="eastAsia" w:ascii="宋体" w:hAnsi="宋体" w:eastAsia="宋体" w:cs="宋体"/>
                <w:b w:val="0"/>
                <w:bCs/>
                <w:color w:val="000000"/>
                <w:kern w:val="2"/>
                <w:sz w:val="24"/>
                <w:szCs w:val="24"/>
                <w:vertAlign w:val="baseline"/>
              </w:rPr>
              <w:t>202</w:t>
            </w:r>
            <w:r>
              <w:rPr>
                <w:rFonts w:hint="eastAsia" w:ascii="宋体" w:hAnsi="宋体" w:eastAsia="宋体" w:cs="宋体"/>
                <w:b w:val="0"/>
                <w:bCs/>
                <w:color w:val="000000"/>
                <w:kern w:val="2"/>
                <w:sz w:val="24"/>
                <w:szCs w:val="24"/>
                <w:vertAlign w:val="baseline"/>
                <w:lang w:val="en-US" w:eastAsia="zh-CN"/>
              </w:rPr>
              <w:t>6</w:t>
            </w:r>
            <w:r>
              <w:rPr>
                <w:rFonts w:hint="eastAsia" w:ascii="宋体" w:hAnsi="宋体" w:eastAsia="宋体" w:cs="宋体"/>
                <w:b w:val="0"/>
                <w:bCs/>
                <w:color w:val="000000"/>
                <w:kern w:val="2"/>
                <w:sz w:val="24"/>
                <w:szCs w:val="24"/>
                <w:vertAlign w:val="baseline"/>
              </w:rPr>
              <w:t>年</w:t>
            </w:r>
            <w:r>
              <w:rPr>
                <w:rFonts w:hint="eastAsia" w:ascii="宋体" w:hAnsi="宋体" w:cs="宋体"/>
                <w:b w:val="0"/>
                <w:bCs/>
                <w:color w:val="000000"/>
                <w:kern w:val="2"/>
                <w:sz w:val="24"/>
                <w:szCs w:val="24"/>
                <w:vertAlign w:val="baseline"/>
                <w:lang w:eastAsia="zh-CN"/>
              </w:rPr>
              <w:t>上</w:t>
            </w:r>
            <w:r>
              <w:rPr>
                <w:rFonts w:hint="eastAsia" w:ascii="宋体" w:hAnsi="宋体" w:eastAsia="宋体" w:cs="宋体"/>
                <w:b w:val="0"/>
                <w:bCs/>
                <w:color w:val="000000"/>
                <w:kern w:val="2"/>
                <w:sz w:val="24"/>
                <w:szCs w:val="24"/>
                <w:vertAlign w:val="baseline"/>
              </w:rPr>
              <w:t>半年</w:t>
            </w:r>
            <w:r>
              <w:rPr>
                <w:rFonts w:hint="eastAsia" w:ascii="宋体" w:hAnsi="宋体" w:eastAsia="宋体" w:cs="宋体"/>
                <w:b w:val="0"/>
                <w:bCs/>
                <w:color w:val="000000"/>
                <w:kern w:val="2"/>
                <w:sz w:val="24"/>
                <w:szCs w:val="24"/>
                <w:vertAlign w:val="baseline"/>
                <w:lang w:eastAsia="zh-CN"/>
              </w:rPr>
              <w:t>福海创</w:t>
            </w:r>
            <w:r>
              <w:rPr>
                <w:rFonts w:hint="eastAsia" w:ascii="宋体" w:hAnsi="宋体" w:eastAsia="宋体" w:cs="宋体"/>
                <w:b w:val="0"/>
                <w:bCs/>
                <w:color w:val="000000"/>
                <w:kern w:val="2"/>
                <w:sz w:val="24"/>
                <w:szCs w:val="24"/>
                <w:vertAlign w:val="baseline"/>
              </w:rPr>
              <w:t>高毒控制效果评价</w:t>
            </w:r>
          </w:p>
        </w:tc>
      </w:tr>
      <w:tr w14:paraId="60A0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shd w:val="clear" w:color="auto" w:fill="auto"/>
            <w:vAlign w:val="top"/>
          </w:tcPr>
          <w:p w14:paraId="5AB1AD48">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rPr>
              <w:t>8</w:t>
            </w:r>
          </w:p>
        </w:tc>
        <w:tc>
          <w:tcPr>
            <w:tcW w:w="5749" w:type="dxa"/>
            <w:shd w:val="clear" w:color="auto" w:fill="auto"/>
            <w:vAlign w:val="top"/>
          </w:tcPr>
          <w:p w14:paraId="0586FC7B">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rPr>
              <w:t>202</w:t>
            </w:r>
            <w:r>
              <w:rPr>
                <w:rFonts w:hint="eastAsia" w:ascii="宋体" w:hAnsi="宋体" w:eastAsia="宋体" w:cs="宋体"/>
                <w:b w:val="0"/>
                <w:bCs/>
                <w:color w:val="000000"/>
                <w:kern w:val="2"/>
                <w:sz w:val="24"/>
                <w:szCs w:val="24"/>
                <w:vertAlign w:val="baseline"/>
                <w:lang w:val="en-US" w:eastAsia="zh-CN"/>
              </w:rPr>
              <w:t>6</w:t>
            </w:r>
            <w:r>
              <w:rPr>
                <w:rFonts w:hint="eastAsia" w:ascii="宋体" w:hAnsi="宋体" w:eastAsia="宋体" w:cs="宋体"/>
                <w:b w:val="0"/>
                <w:bCs/>
                <w:color w:val="000000"/>
                <w:kern w:val="2"/>
                <w:sz w:val="24"/>
                <w:szCs w:val="24"/>
                <w:vertAlign w:val="baseline"/>
              </w:rPr>
              <w:t>年</w:t>
            </w:r>
            <w:r>
              <w:rPr>
                <w:rFonts w:hint="eastAsia" w:ascii="宋体" w:hAnsi="宋体" w:eastAsia="宋体" w:cs="宋体"/>
                <w:b w:val="0"/>
                <w:bCs/>
                <w:color w:val="000000"/>
                <w:kern w:val="2"/>
                <w:sz w:val="24"/>
                <w:szCs w:val="24"/>
                <w:vertAlign w:val="baseline"/>
                <w:lang w:eastAsia="zh-CN"/>
              </w:rPr>
              <w:t>下</w:t>
            </w:r>
            <w:r>
              <w:rPr>
                <w:rFonts w:hint="eastAsia" w:ascii="宋体" w:hAnsi="宋体" w:eastAsia="宋体" w:cs="宋体"/>
                <w:b w:val="0"/>
                <w:bCs/>
                <w:color w:val="000000"/>
                <w:kern w:val="2"/>
                <w:sz w:val="24"/>
                <w:szCs w:val="24"/>
                <w:vertAlign w:val="baseline"/>
              </w:rPr>
              <w:t>半年</w:t>
            </w:r>
            <w:r>
              <w:rPr>
                <w:rFonts w:hint="eastAsia" w:ascii="宋体" w:hAnsi="宋体" w:eastAsia="宋体" w:cs="宋体"/>
                <w:b w:val="0"/>
                <w:bCs/>
                <w:color w:val="000000"/>
                <w:kern w:val="2"/>
                <w:sz w:val="24"/>
                <w:szCs w:val="24"/>
                <w:vertAlign w:val="baseline"/>
                <w:lang w:eastAsia="zh-CN"/>
              </w:rPr>
              <w:t>福海创</w:t>
            </w:r>
            <w:r>
              <w:rPr>
                <w:rFonts w:hint="eastAsia" w:ascii="宋体" w:hAnsi="宋体" w:eastAsia="宋体" w:cs="宋体"/>
                <w:b w:val="0"/>
                <w:bCs/>
                <w:color w:val="000000"/>
                <w:kern w:val="2"/>
                <w:sz w:val="24"/>
                <w:szCs w:val="24"/>
                <w:vertAlign w:val="baseline"/>
              </w:rPr>
              <w:t>高毒控制效果评价</w:t>
            </w:r>
          </w:p>
        </w:tc>
      </w:tr>
    </w:tbl>
    <w:p w14:paraId="7726293C">
      <w:pPr>
        <w:keepNext w:val="0"/>
        <w:keepLines w:val="0"/>
        <w:pageBreakBefore w:val="0"/>
        <w:widowControl/>
        <w:numPr>
          <w:ilvl w:val="0"/>
          <w:numId w:val="0"/>
        </w:numPr>
        <w:kinsoku/>
        <w:wordWrap/>
        <w:overflowPunct/>
        <w:topLinePunct w:val="0"/>
        <w:autoSpaceDE/>
        <w:autoSpaceDN/>
        <w:bidi w:val="0"/>
        <w:adjustRightInd/>
        <w:snapToGrid/>
        <w:spacing w:before="313" w:beforeLines="100" w:line="360" w:lineRule="auto"/>
        <w:ind w:firstLine="480" w:firstLineChars="200"/>
        <w:jc w:val="left"/>
        <w:textAlignment w:val="auto"/>
        <w:outlineLvl w:val="0"/>
        <w:rPr>
          <w:rFonts w:hint="eastAsia" w:ascii="宋体" w:hAnsi="宋体" w:eastAsia="宋体" w:cs="宋体"/>
          <w:bCs/>
          <w:sz w:val="24"/>
          <w:szCs w:val="24"/>
        </w:rPr>
      </w:pPr>
      <w:r>
        <w:rPr>
          <w:rFonts w:hint="eastAsia" w:ascii="宋体" w:hAnsi="宋体" w:eastAsia="宋体" w:cs="宋体"/>
          <w:bCs/>
          <w:sz w:val="24"/>
          <w:szCs w:val="24"/>
          <w:lang w:eastAsia="zh-CN"/>
        </w:rPr>
        <w:t>（四）</w:t>
      </w:r>
      <w:r>
        <w:rPr>
          <w:rFonts w:hint="eastAsia" w:ascii="宋体" w:hAnsi="宋体" w:eastAsia="宋体" w:cs="宋体"/>
          <w:bCs/>
          <w:sz w:val="24"/>
          <w:szCs w:val="24"/>
        </w:rPr>
        <w:t>项目基本情况</w:t>
      </w:r>
    </w:p>
    <w:p w14:paraId="6420C819">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sz w:val="24"/>
          <w:szCs w:val="24"/>
        </w:rPr>
        <w:t>翔鹭码头投资管理（漳州）有限公司南8号泊位及仓储、南9号泊位</w:t>
      </w:r>
    </w:p>
    <w:p w14:paraId="2E4365F7">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（1）南9号泊位主要用于PTA的储存与装运，2018年2月</w:t>
      </w:r>
      <w:r>
        <w:rPr>
          <w:rFonts w:hint="eastAsia" w:ascii="宋体" w:hAnsi="宋体" w:eastAsia="宋体" w:cs="宋体"/>
          <w:color w:val="000000"/>
          <w:sz w:val="24"/>
          <w:szCs w:val="24"/>
        </w:rPr>
        <w:t>完成职业病防护设施竣工验收</w:t>
      </w:r>
      <w:r>
        <w:rPr>
          <w:rFonts w:hint="eastAsia" w:ascii="宋体" w:hAnsi="宋体" w:eastAsia="宋体" w:cs="宋体"/>
          <w:sz w:val="24"/>
          <w:szCs w:val="24"/>
        </w:rPr>
        <w:t>。南9#泊位工程为1个5万吨级通用泊位，生产及辅助生产建筑物有综合楼、PTA仓库、候工楼、中心变电所、机修间、门卫、流机库、消防泵房、地磅房、转运站等</w:t>
      </w:r>
      <w:r>
        <w:rPr>
          <w:rFonts w:hint="eastAsia" w:ascii="宋体" w:hAnsi="宋体" w:eastAsia="宋体" w:cs="宋体"/>
          <w:color w:val="000000"/>
          <w:sz w:val="24"/>
          <w:szCs w:val="24"/>
        </w:rPr>
        <w:t>。</w:t>
      </w:r>
    </w:p>
    <w:p w14:paraId="1B3372CC">
      <w:pPr>
        <w:pStyle w:val="5"/>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（2）</w:t>
      </w:r>
      <w:r>
        <w:rPr>
          <w:rFonts w:hint="eastAsia" w:ascii="宋体" w:hAnsi="宋体" w:eastAsia="宋体" w:cs="宋体"/>
          <w:sz w:val="24"/>
          <w:szCs w:val="24"/>
        </w:rPr>
        <w:t>南8号泊位2020年11月完成</w:t>
      </w:r>
      <w:r>
        <w:rPr>
          <w:rFonts w:hint="eastAsia" w:ascii="宋体" w:hAnsi="宋体" w:eastAsia="宋体" w:cs="宋体"/>
          <w:color w:val="000000"/>
          <w:sz w:val="24"/>
          <w:szCs w:val="24"/>
        </w:rPr>
        <w:t>职业病防护设施竣工验收</w:t>
      </w:r>
      <w:r>
        <w:rPr>
          <w:rFonts w:hint="eastAsia" w:ascii="宋体" w:hAnsi="宋体" w:eastAsia="宋体" w:cs="宋体"/>
          <w:sz w:val="24"/>
          <w:szCs w:val="24"/>
        </w:rPr>
        <w:t>。本工程建设规模为1个150000吨级通用泊位。南8号泊位仓储工程为9栋PTA仓库。</w:t>
      </w:r>
    </w:p>
    <w:p w14:paraId="5E01C97D">
      <w:pPr>
        <w:rPr>
          <w:rFonts w:hint="eastAsia" w:ascii="宋体" w:hAnsi="宋体" w:eastAsia="宋体" w:cs="宋体"/>
          <w:sz w:val="24"/>
          <w:szCs w:val="24"/>
        </w:rPr>
      </w:pPr>
      <w:r>
        <w:rPr>
          <w:rFonts w:hint="eastAsia" w:ascii="宋体" w:hAnsi="宋体" w:eastAsia="宋体" w:cs="宋体"/>
          <w:sz w:val="24"/>
          <w:szCs w:val="24"/>
        </w:rPr>
        <w:br w:type="page"/>
      </w:r>
    </w:p>
    <w:p w14:paraId="5273CDA0">
      <w:pPr>
        <w:pStyle w:val="5"/>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color w:val="000000"/>
          <w:kern w:val="0"/>
          <w:sz w:val="24"/>
          <w:szCs w:val="24"/>
          <w:lang w:val="en-US" w:eastAsia="zh-CN"/>
        </w:rPr>
        <w:t>福建福化古蕾化学有限</w:t>
      </w:r>
      <w:r>
        <w:rPr>
          <w:rFonts w:hint="eastAsia" w:ascii="宋体" w:hAnsi="宋体" w:eastAsia="宋体" w:cs="宋体"/>
          <w:sz w:val="24"/>
          <w:szCs w:val="24"/>
          <w:lang w:val="en-US" w:eastAsia="zh-CN"/>
        </w:rPr>
        <w:t>公司</w:t>
      </w:r>
      <w:r>
        <w:rPr>
          <w:rFonts w:hint="eastAsia" w:ascii="宋体" w:hAnsi="宋体" w:eastAsia="宋体" w:cs="宋体"/>
          <w:sz w:val="24"/>
          <w:szCs w:val="24"/>
          <w:lang w:eastAsia="zh-CN"/>
        </w:rPr>
        <w:t>苯酐项目</w:t>
      </w:r>
    </w:p>
    <w:p w14:paraId="230EA949">
      <w:pPr>
        <w:pStyle w:val="5"/>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福建福化古蕾化学有限公司</w:t>
      </w:r>
      <w:r>
        <w:rPr>
          <w:rFonts w:hint="eastAsia" w:ascii="宋体" w:hAnsi="宋体" w:eastAsia="宋体" w:cs="宋体"/>
          <w:sz w:val="24"/>
          <w:szCs w:val="24"/>
          <w:lang w:eastAsia="zh-CN"/>
        </w:rPr>
        <w:t>26万吨苯酐项目于</w:t>
      </w:r>
      <w:r>
        <w:rPr>
          <w:rFonts w:hint="eastAsia" w:ascii="宋体" w:hAnsi="宋体" w:eastAsia="宋体" w:cs="宋体"/>
          <w:sz w:val="24"/>
          <w:szCs w:val="24"/>
          <w:lang w:val="en-US" w:eastAsia="zh-CN"/>
        </w:rPr>
        <w:t>2024年6月</w:t>
      </w:r>
      <w:r>
        <w:rPr>
          <w:rFonts w:hint="eastAsia" w:ascii="宋体" w:hAnsi="宋体" w:eastAsia="宋体" w:cs="宋体"/>
          <w:sz w:val="24"/>
          <w:szCs w:val="24"/>
        </w:rPr>
        <w:t>完成职业病防护设施竣工验收。</w:t>
      </w:r>
      <w:r>
        <w:rPr>
          <w:rFonts w:hint="eastAsia" w:ascii="宋体" w:hAnsi="宋体" w:eastAsia="宋体" w:cs="宋体"/>
          <w:sz w:val="24"/>
          <w:szCs w:val="24"/>
          <w:lang w:eastAsia="zh-CN"/>
        </w:rPr>
        <w:t>苯酐项目主要包括</w:t>
      </w:r>
      <w:r>
        <w:rPr>
          <w:rFonts w:hint="eastAsia" w:ascii="宋体" w:hAnsi="宋体" w:eastAsia="宋体" w:cs="宋体"/>
          <w:sz w:val="24"/>
          <w:szCs w:val="24"/>
        </w:rPr>
        <w:t>苯酐装置</w:t>
      </w:r>
      <w:r>
        <w:rPr>
          <w:rFonts w:hint="eastAsia" w:ascii="宋体" w:hAnsi="宋体" w:eastAsia="宋体" w:cs="宋体"/>
          <w:sz w:val="24"/>
          <w:szCs w:val="24"/>
          <w:lang w:eastAsia="zh-CN"/>
        </w:rPr>
        <w:t>、</w:t>
      </w:r>
      <w:r>
        <w:rPr>
          <w:rFonts w:hint="eastAsia" w:ascii="宋体" w:hAnsi="宋体" w:eastAsia="宋体" w:cs="宋体"/>
          <w:sz w:val="24"/>
          <w:szCs w:val="24"/>
        </w:rPr>
        <w:t>富马酸装置</w:t>
      </w:r>
      <w:r>
        <w:rPr>
          <w:rFonts w:hint="eastAsia" w:ascii="宋体" w:hAnsi="宋体" w:eastAsia="宋体" w:cs="宋体"/>
          <w:sz w:val="24"/>
          <w:szCs w:val="24"/>
          <w:lang w:eastAsia="zh-CN"/>
        </w:rPr>
        <w:t>、结片车间、罐区、仓库、</w:t>
      </w:r>
      <w:r>
        <w:rPr>
          <w:rFonts w:hint="eastAsia" w:ascii="宋体" w:hAnsi="宋体" w:eastAsia="宋体" w:cs="宋体"/>
          <w:sz w:val="24"/>
          <w:szCs w:val="24"/>
        </w:rPr>
        <w:t>维修车间</w:t>
      </w:r>
      <w:r>
        <w:rPr>
          <w:rFonts w:hint="eastAsia" w:ascii="宋体" w:hAnsi="宋体" w:eastAsia="宋体" w:cs="宋体"/>
          <w:sz w:val="24"/>
          <w:szCs w:val="24"/>
          <w:lang w:eastAsia="zh-CN"/>
        </w:rPr>
        <w:t>、</w:t>
      </w:r>
      <w:r>
        <w:rPr>
          <w:rFonts w:hint="eastAsia" w:ascii="宋体" w:hAnsi="宋体" w:eastAsia="宋体" w:cs="宋体"/>
          <w:sz w:val="24"/>
          <w:szCs w:val="24"/>
        </w:rPr>
        <w:t>循环水站</w:t>
      </w:r>
      <w:r>
        <w:rPr>
          <w:rFonts w:hint="eastAsia" w:ascii="宋体" w:hAnsi="宋体" w:eastAsia="宋体" w:cs="宋体"/>
          <w:sz w:val="24"/>
          <w:szCs w:val="24"/>
          <w:lang w:eastAsia="zh-CN"/>
        </w:rPr>
        <w:t>、</w:t>
      </w:r>
      <w:r>
        <w:rPr>
          <w:rFonts w:hint="eastAsia" w:ascii="宋体" w:hAnsi="宋体" w:eastAsia="宋体" w:cs="宋体"/>
          <w:sz w:val="24"/>
          <w:szCs w:val="24"/>
        </w:rPr>
        <w:t>变配电站</w:t>
      </w:r>
      <w:r>
        <w:rPr>
          <w:rFonts w:hint="eastAsia" w:ascii="宋体" w:hAnsi="宋体" w:eastAsia="宋体" w:cs="宋体"/>
          <w:sz w:val="24"/>
          <w:szCs w:val="24"/>
          <w:lang w:eastAsia="zh-CN"/>
        </w:rPr>
        <w:t>、</w:t>
      </w:r>
      <w:r>
        <w:rPr>
          <w:rFonts w:hint="eastAsia" w:ascii="宋体" w:hAnsi="宋体" w:eastAsia="宋体" w:cs="宋体"/>
          <w:sz w:val="24"/>
          <w:szCs w:val="24"/>
        </w:rPr>
        <w:t>事故及雨水收集池</w:t>
      </w:r>
      <w:r>
        <w:rPr>
          <w:rFonts w:hint="eastAsia" w:ascii="宋体" w:hAnsi="宋体" w:eastAsia="宋体" w:cs="宋体"/>
          <w:sz w:val="24"/>
          <w:szCs w:val="24"/>
          <w:lang w:eastAsia="zh-CN"/>
        </w:rPr>
        <w:t>、综合楼等。</w:t>
      </w:r>
    </w:p>
    <w:p w14:paraId="525BBB5F">
      <w:pPr>
        <w:pStyle w:val="19"/>
        <w:keepNext w:val="0"/>
        <w:keepLines w:val="0"/>
        <w:pageBreakBefore w:val="0"/>
        <w:widowControl w:val="0"/>
        <w:numPr>
          <w:ilvl w:val="0"/>
          <w:numId w:val="0"/>
        </w:numPr>
        <w:kinsoku/>
        <w:wordWrap/>
        <w:overflowPunct/>
        <w:topLinePunct w:val="0"/>
        <w:autoSpaceDE/>
        <w:autoSpaceDN/>
        <w:bidi w:val="0"/>
        <w:spacing w:line="360" w:lineRule="auto"/>
        <w:ind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腾龙芳烃（漳州）有限公司PX项目</w:t>
      </w:r>
    </w:p>
    <w:p w14:paraId="0DA1BAB4">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腾龙芳烃（漳州）有限公司PX项目以凝析油为主要原料，生产规模为160万吨/年对二甲苯（PX），2018年12月重新开始试生产，2019年12月完成职业病防护设施竣工验收。PX项目主要包括凝析油加氢装置、凝析油分离装置、加氢裂化装置、PSA及制氢装置、硫磺回收装置</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2套</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、石脑油预加氢装置、连续重整装置</w:t>
      </w:r>
      <w:r>
        <w:rPr>
          <w:rFonts w:hint="eastAsia" w:ascii="宋体" w:hAnsi="宋体" w:eastAsia="宋体" w:cs="宋体"/>
          <w:color w:val="000000"/>
          <w:sz w:val="24"/>
          <w:szCs w:val="24"/>
          <w:lang w:eastAsia="zh-CN"/>
        </w:rPr>
        <w:t>（含放射料位计）</w:t>
      </w:r>
      <w:r>
        <w:rPr>
          <w:rFonts w:hint="eastAsia" w:ascii="宋体" w:hAnsi="宋体" w:eastAsia="宋体" w:cs="宋体"/>
          <w:color w:val="000000"/>
          <w:sz w:val="24"/>
          <w:szCs w:val="24"/>
        </w:rPr>
        <w:t>、抽提</w:t>
      </w:r>
      <w:r>
        <w:rPr>
          <w:rFonts w:hint="eastAsia" w:ascii="宋体" w:hAnsi="宋体" w:eastAsia="宋体" w:cs="宋体"/>
          <w:color w:val="000000"/>
          <w:sz w:val="24"/>
          <w:szCs w:val="24"/>
          <w:lang w:eastAsia="zh-CN"/>
        </w:rPr>
        <w:t>装置（</w:t>
      </w:r>
      <w:r>
        <w:rPr>
          <w:rFonts w:hint="eastAsia" w:ascii="宋体" w:hAnsi="宋体" w:eastAsia="宋体" w:cs="宋体"/>
          <w:color w:val="000000"/>
          <w:sz w:val="24"/>
          <w:szCs w:val="24"/>
          <w:lang w:val="en-US" w:eastAsia="zh-CN"/>
        </w:rPr>
        <w:t>2套</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歧化装置、邻二甲苯装置、吸附分离装置（2套）、异构化装置（2套）、减压装置、</w:t>
      </w:r>
      <w:r>
        <w:rPr>
          <w:rFonts w:hint="eastAsia" w:ascii="宋体" w:hAnsi="宋体" w:eastAsia="宋体" w:cs="宋体"/>
          <w:color w:val="000000"/>
          <w:sz w:val="24"/>
          <w:szCs w:val="24"/>
          <w:lang w:eastAsia="zh-CN"/>
        </w:rPr>
        <w:t>工业己烷装置、</w:t>
      </w:r>
      <w:r>
        <w:rPr>
          <w:rFonts w:hint="eastAsia" w:ascii="宋体" w:hAnsi="宋体" w:eastAsia="宋体" w:cs="宋体"/>
          <w:color w:val="000000"/>
          <w:sz w:val="24"/>
          <w:szCs w:val="24"/>
        </w:rPr>
        <w:t>沸腾床渣油加氢</w:t>
      </w:r>
      <w:r>
        <w:rPr>
          <w:rFonts w:hint="eastAsia" w:ascii="宋体" w:hAnsi="宋体" w:eastAsia="宋体" w:cs="宋体"/>
          <w:color w:val="000000"/>
          <w:sz w:val="24"/>
          <w:szCs w:val="24"/>
          <w:lang w:eastAsia="zh-CN"/>
        </w:rPr>
        <w:t>装置（含放射料位计）、</w:t>
      </w:r>
      <w:r>
        <w:rPr>
          <w:rFonts w:hint="eastAsia" w:ascii="宋体" w:hAnsi="宋体" w:eastAsia="宋体" w:cs="宋体"/>
          <w:color w:val="000000"/>
          <w:sz w:val="24"/>
          <w:szCs w:val="24"/>
        </w:rPr>
        <w:t>罐区、装车台、脱臭装置、制氮站、制冷站、空压站、污水处理站、水处理站、循环水站、</w:t>
      </w:r>
      <w:r>
        <w:rPr>
          <w:rFonts w:hint="eastAsia" w:ascii="宋体" w:hAnsi="宋体" w:eastAsia="宋体" w:cs="宋体"/>
          <w:color w:val="000000"/>
          <w:sz w:val="24"/>
          <w:szCs w:val="24"/>
          <w:lang w:val="en-US" w:eastAsia="zh-CN"/>
        </w:rPr>
        <w:t>2#净水场、3#循环水场、中和废水处理装置、雨水监控池及事故池、事故废水罐、3#消防泵站、2#除盐水站、余热回收站、2#制冷站、</w:t>
      </w:r>
      <w:r>
        <w:rPr>
          <w:rFonts w:hint="eastAsia" w:ascii="宋体" w:hAnsi="宋体" w:eastAsia="宋体" w:cs="宋体"/>
          <w:color w:val="000000"/>
          <w:sz w:val="24"/>
          <w:szCs w:val="24"/>
        </w:rPr>
        <w:t>化验室、维修厂房、仓库、火炬、厂外管廊等。</w:t>
      </w:r>
    </w:p>
    <w:p w14:paraId="6B928745">
      <w:pPr>
        <w:pStyle w:val="19"/>
        <w:keepNext w:val="0"/>
        <w:keepLines w:val="0"/>
        <w:pageBreakBefore w:val="0"/>
        <w:widowControl w:val="0"/>
        <w:numPr>
          <w:ilvl w:val="0"/>
          <w:numId w:val="0"/>
        </w:numPr>
        <w:kinsoku/>
        <w:wordWrap/>
        <w:overflowPunct/>
        <w:topLinePunct w:val="0"/>
        <w:autoSpaceDE/>
        <w:autoSpaceDN/>
        <w:bidi w:val="0"/>
        <w:spacing w:line="360" w:lineRule="auto"/>
        <w:ind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福建福海创石油化工</w:t>
      </w:r>
      <w:r>
        <w:rPr>
          <w:rFonts w:hint="eastAsia" w:ascii="宋体" w:hAnsi="宋体" w:eastAsia="宋体" w:cs="宋体"/>
          <w:color w:val="000000"/>
          <w:sz w:val="24"/>
          <w:szCs w:val="24"/>
        </w:rPr>
        <w:t>有限公司精对苯二甲酸（PTA）项目</w:t>
      </w:r>
    </w:p>
    <w:p w14:paraId="61C6AFB3">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福建福海创石油化工</w:t>
      </w:r>
      <w:r>
        <w:rPr>
          <w:rFonts w:hint="eastAsia" w:ascii="宋体" w:hAnsi="宋体" w:eastAsia="宋体" w:cs="宋体"/>
          <w:color w:val="000000"/>
          <w:sz w:val="24"/>
          <w:szCs w:val="24"/>
        </w:rPr>
        <w:t>有限公司精对苯二甲酸（PTA）项目装置2017年11月重新开始试生产，2018年11月完成职业病危害控制效果评价验收</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以对二甲苯（PX）为主要原料，现生产规模为450万吨/年精</w:t>
      </w:r>
      <w:r>
        <w:rPr>
          <w:rFonts w:hint="eastAsia" w:ascii="宋体" w:hAnsi="宋体" w:eastAsia="宋体" w:cs="宋体"/>
          <w:color w:val="000000"/>
          <w:sz w:val="24"/>
          <w:szCs w:val="24"/>
          <w:lang w:eastAsia="zh-CN"/>
        </w:rPr>
        <w:t>对苯二甲酸</w:t>
      </w:r>
      <w:r>
        <w:rPr>
          <w:rFonts w:hint="eastAsia" w:ascii="宋体" w:hAnsi="宋体" w:eastAsia="宋体" w:cs="宋体"/>
          <w:color w:val="000000"/>
          <w:sz w:val="24"/>
          <w:szCs w:val="24"/>
        </w:rPr>
        <w:t>（PTA）。精对二甲酸（PTA）项目主要包括氧化装置</w:t>
      </w:r>
      <w:r>
        <w:rPr>
          <w:rFonts w:hint="eastAsia" w:ascii="宋体" w:hAnsi="宋体" w:eastAsia="宋体" w:cs="宋体"/>
          <w:color w:val="000000"/>
          <w:sz w:val="24"/>
          <w:szCs w:val="24"/>
          <w:lang w:eastAsia="zh-CN"/>
        </w:rPr>
        <w:t>（含放射料位计）</w:t>
      </w:r>
      <w:r>
        <w:rPr>
          <w:rFonts w:hint="eastAsia" w:ascii="宋体" w:hAnsi="宋体" w:eastAsia="宋体" w:cs="宋体"/>
          <w:color w:val="000000"/>
          <w:sz w:val="24"/>
          <w:szCs w:val="24"/>
        </w:rPr>
        <w:t>、精制装置</w:t>
      </w:r>
      <w:r>
        <w:rPr>
          <w:rFonts w:hint="eastAsia" w:ascii="宋体" w:hAnsi="宋体" w:eastAsia="宋体" w:cs="宋体"/>
          <w:color w:val="000000"/>
          <w:sz w:val="24"/>
          <w:szCs w:val="24"/>
          <w:lang w:eastAsia="zh-CN"/>
        </w:rPr>
        <w:t>（含放射料位计）</w:t>
      </w:r>
      <w:r>
        <w:rPr>
          <w:rFonts w:hint="eastAsia" w:ascii="宋体" w:hAnsi="宋体" w:eastAsia="宋体" w:cs="宋体"/>
          <w:color w:val="000000"/>
          <w:sz w:val="24"/>
          <w:szCs w:val="24"/>
        </w:rPr>
        <w:t>、成品打包装置、甲醇制氢装置、低压蒸汽余热余压回收利用装置、空压机房、原辅料罐区、原辅料装卸站、污水处理场、海水泵房、变电站、IA/PA室、H2/N2加压站、检维修车间、化验室、操作室等。</w:t>
      </w:r>
    </w:p>
    <w:p w14:paraId="7F0EC2FC">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360" w:lineRule="auto"/>
        <w:ind w:leftChars="0" w:firstLine="482" w:firstLineChars="200"/>
        <w:contextualSpacing/>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lang w:eastAsia="zh-CN"/>
        </w:rPr>
        <w:t>、服务</w:t>
      </w:r>
      <w:r>
        <w:rPr>
          <w:rFonts w:hint="eastAsia" w:ascii="宋体" w:hAnsi="宋体" w:eastAsia="宋体" w:cs="宋体"/>
          <w:b/>
          <w:bCs/>
          <w:sz w:val="24"/>
          <w:szCs w:val="24"/>
        </w:rPr>
        <w:t>要求</w:t>
      </w:r>
    </w:p>
    <w:p w14:paraId="243E172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cs="宋体"/>
          <w:sz w:val="24"/>
          <w:szCs w:val="24"/>
          <w:lang w:eastAsia="zh-CN"/>
        </w:rPr>
        <w:t>中选人</w:t>
      </w:r>
      <w:r>
        <w:rPr>
          <w:rFonts w:hint="eastAsia" w:ascii="宋体" w:hAnsi="宋体" w:eastAsia="宋体" w:cs="宋体"/>
          <w:sz w:val="24"/>
          <w:szCs w:val="24"/>
        </w:rPr>
        <w:t>按照法律法规、技术规范开展</w:t>
      </w:r>
      <w:r>
        <w:rPr>
          <w:rFonts w:hint="eastAsia" w:ascii="宋体" w:hAnsi="宋体" w:eastAsia="宋体" w:cs="宋体"/>
          <w:sz w:val="24"/>
          <w:szCs w:val="24"/>
          <w:lang w:eastAsia="zh-CN"/>
        </w:rPr>
        <w:t>职业病危害检测及评价服务</w:t>
      </w:r>
      <w:r>
        <w:rPr>
          <w:rFonts w:hint="eastAsia" w:ascii="宋体" w:hAnsi="宋体" w:eastAsia="宋体" w:cs="宋体"/>
          <w:sz w:val="24"/>
          <w:szCs w:val="24"/>
        </w:rPr>
        <w:t>工作，包括</w:t>
      </w:r>
      <w:r>
        <w:rPr>
          <w:rFonts w:hint="eastAsia" w:ascii="宋体" w:hAnsi="宋体" w:eastAsia="宋体" w:cs="宋体"/>
          <w:sz w:val="24"/>
          <w:szCs w:val="24"/>
          <w:lang w:eastAsia="zh-CN"/>
        </w:rPr>
        <w:t>但不</w:t>
      </w:r>
      <w:r>
        <w:rPr>
          <w:rFonts w:hint="eastAsia" w:ascii="宋体" w:hAnsi="宋体" w:eastAsia="宋体" w:cs="宋体"/>
          <w:sz w:val="24"/>
          <w:szCs w:val="24"/>
        </w:rPr>
        <w:t>限于以下：</w:t>
      </w:r>
    </w:p>
    <w:p w14:paraId="7AC0E4B9">
      <w:pPr>
        <w:keepNext w:val="0"/>
        <w:keepLines w:val="0"/>
        <w:pageBreakBefore w:val="0"/>
        <w:kinsoku/>
        <w:wordWrap/>
        <w:overflowPunct/>
        <w:topLinePunct w:val="0"/>
        <w:bidi w:val="0"/>
        <w:snapToGrid w:val="0"/>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《中华人民共和国职业病防治法》（2018年修正）</w:t>
      </w:r>
    </w:p>
    <w:p w14:paraId="1BA4331C">
      <w:pPr>
        <w:keepNext w:val="0"/>
        <w:keepLines w:val="0"/>
        <w:pageBreakBefore w:val="0"/>
        <w:kinsoku/>
        <w:wordWrap/>
        <w:overflowPunct/>
        <w:topLinePunct w:val="0"/>
        <w:bidi w:val="0"/>
        <w:snapToGrid w:val="0"/>
        <w:spacing w:line="360" w:lineRule="auto"/>
        <w:ind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《职业卫生技术服务机构工作规范》（安监总厅安健〔2014〕39号）</w:t>
      </w:r>
    </w:p>
    <w:p w14:paraId="3AF888E6">
      <w:pPr>
        <w:keepNext w:val="0"/>
        <w:keepLines w:val="0"/>
        <w:pageBreakBefore w:val="0"/>
        <w:kinsoku/>
        <w:wordWrap/>
        <w:overflowPunct/>
        <w:topLinePunct w:val="0"/>
        <w:bidi w:val="0"/>
        <w:snapToGrid w:val="0"/>
        <w:spacing w:line="360" w:lineRule="auto"/>
        <w:ind w:firstLine="480" w:firstLineChars="200"/>
        <w:contextualSpacing/>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《用人单位职业病危害因素定期检测管理规范》（安监总厅安健〔2015〕16号）</w:t>
      </w:r>
    </w:p>
    <w:p w14:paraId="4229C5F5">
      <w:pPr>
        <w:keepNext w:val="0"/>
        <w:keepLines w:val="0"/>
        <w:pageBreakBefore w:val="0"/>
        <w:kinsoku/>
        <w:wordWrap/>
        <w:overflowPunct/>
        <w:topLinePunct w:val="0"/>
        <w:bidi w:val="0"/>
        <w:snapToGrid w:val="0"/>
        <w:spacing w:line="360" w:lineRule="auto"/>
        <w:ind w:firstLine="480" w:firstLineChars="200"/>
        <w:contextualSpacing/>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《职业卫生技术服务机构检测工作规范》（安监总厅安健〔2016〕9号）</w:t>
      </w:r>
    </w:p>
    <w:p w14:paraId="2E759C44">
      <w:pPr>
        <w:keepNext w:val="0"/>
        <w:keepLines w:val="0"/>
        <w:pageBreakBefore w:val="0"/>
        <w:kinsoku/>
        <w:wordWrap/>
        <w:overflowPunct/>
        <w:topLinePunct w:val="0"/>
        <w:bidi w:val="0"/>
        <w:snapToGrid w:val="0"/>
        <w:spacing w:line="360" w:lineRule="auto"/>
        <w:ind w:firstLine="480" w:firstLineChars="200"/>
        <w:contextualSpacing/>
        <w:jc w:val="center"/>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《建设项目职业病危害控制效果评价报告编制要求》（ZW-JB-2014-003）</w:t>
      </w:r>
    </w:p>
    <w:p w14:paraId="2C47F8CC">
      <w:pPr>
        <w:keepNext w:val="0"/>
        <w:keepLines w:val="0"/>
        <w:pageBreakBefore w:val="0"/>
        <w:kinsoku/>
        <w:wordWrap/>
        <w:overflowPunct/>
        <w:topLinePunct w:val="0"/>
        <w:bidi w:val="0"/>
        <w:snapToGrid w:val="0"/>
        <w:spacing w:line="360" w:lineRule="auto"/>
        <w:ind w:firstLine="480" w:firstLineChars="200"/>
        <w:contextualSpacing/>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《职业卫生技术服务工作规范》（GBZ 331-2024）</w:t>
      </w:r>
    </w:p>
    <w:p w14:paraId="2CF2E503">
      <w:pPr>
        <w:keepNext w:val="0"/>
        <w:keepLines w:val="0"/>
        <w:pageBreakBefore w:val="0"/>
        <w:kinsoku/>
        <w:wordWrap/>
        <w:overflowPunct/>
        <w:topLinePunct w:val="0"/>
        <w:bidi w:val="0"/>
        <w:snapToGrid w:val="0"/>
        <w:spacing w:line="360" w:lineRule="auto"/>
        <w:ind w:firstLine="480" w:firstLineChars="200"/>
        <w:contextualSpacing/>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《工作场所空气中有害物质监测的采样规范》（GBZ 159-2004）</w:t>
      </w:r>
    </w:p>
    <w:p w14:paraId="5ACFB0EB">
      <w:pPr>
        <w:keepNext w:val="0"/>
        <w:keepLines w:val="0"/>
        <w:pageBreakBefore w:val="0"/>
        <w:kinsoku/>
        <w:wordWrap/>
        <w:overflowPunct/>
        <w:topLinePunct w:val="0"/>
        <w:bidi w:val="0"/>
        <w:snapToGrid w:val="0"/>
        <w:spacing w:line="360" w:lineRule="auto"/>
        <w:ind w:firstLine="480" w:firstLineChars="200"/>
        <w:contextualSpacing/>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《工作场所物理因素测量》（GBZ/T 189）</w:t>
      </w:r>
    </w:p>
    <w:p w14:paraId="29AB7C4E">
      <w:pPr>
        <w:keepNext w:val="0"/>
        <w:keepLines w:val="0"/>
        <w:pageBreakBefore w:val="0"/>
        <w:kinsoku/>
        <w:wordWrap/>
        <w:overflowPunct/>
        <w:topLinePunct w:val="0"/>
        <w:bidi w:val="0"/>
        <w:snapToGrid w:val="0"/>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lang w:val="zh-CN" w:eastAsia="zh-CN"/>
        </w:rPr>
        <w:t>《工作场所空气中粉尘测定》（GBZ/T 192）</w:t>
      </w:r>
    </w:p>
    <w:p w14:paraId="45F7A033">
      <w:pPr>
        <w:keepNext w:val="0"/>
        <w:keepLines w:val="0"/>
        <w:pageBreakBefore w:val="0"/>
        <w:kinsoku/>
        <w:wordWrap/>
        <w:overflowPunct/>
        <w:topLinePunct w:val="0"/>
        <w:bidi w:val="0"/>
        <w:snapToGrid w:val="0"/>
        <w:spacing w:line="360" w:lineRule="auto"/>
        <w:ind w:firstLine="480" w:firstLineChars="200"/>
        <w:contextualSpacing/>
        <w:textAlignment w:val="auto"/>
        <w:rPr>
          <w:rFonts w:hint="eastAsia" w:ascii="宋体" w:hAnsi="宋体" w:eastAsia="宋体" w:cs="宋体"/>
          <w:sz w:val="24"/>
          <w:szCs w:val="24"/>
          <w:lang w:eastAsia="zh-CN"/>
        </w:rPr>
      </w:pPr>
      <w:r>
        <w:rPr>
          <w:rFonts w:hint="eastAsia" w:ascii="宋体" w:hAnsi="宋体" w:eastAsia="宋体" w:cs="宋体"/>
          <w:sz w:val="24"/>
          <w:szCs w:val="24"/>
        </w:rPr>
        <w:t>《工作场所空气有毒物质测定</w:t>
      </w:r>
      <w:r>
        <w:rPr>
          <w:rFonts w:hint="eastAsia" w:ascii="宋体" w:hAnsi="宋体" w:eastAsia="宋体" w:cs="宋体"/>
          <w:sz w:val="24"/>
          <w:szCs w:val="24"/>
          <w:lang w:eastAsia="zh-CN"/>
        </w:rPr>
        <w:t>》（</w:t>
      </w:r>
      <w:r>
        <w:rPr>
          <w:rFonts w:hint="eastAsia" w:ascii="宋体" w:hAnsi="宋体" w:eastAsia="宋体" w:cs="宋体"/>
          <w:sz w:val="24"/>
          <w:szCs w:val="24"/>
        </w:rPr>
        <w:t>GBZ/T 160</w:t>
      </w:r>
      <w:r>
        <w:rPr>
          <w:rFonts w:hint="eastAsia" w:ascii="宋体" w:hAnsi="宋体" w:eastAsia="宋体" w:cs="宋体"/>
          <w:sz w:val="24"/>
          <w:szCs w:val="24"/>
          <w:lang w:eastAsia="zh-CN"/>
        </w:rPr>
        <w:t>）</w:t>
      </w:r>
    </w:p>
    <w:p w14:paraId="532B16CC">
      <w:pPr>
        <w:keepNext w:val="0"/>
        <w:keepLines w:val="0"/>
        <w:pageBreakBefore w:val="0"/>
        <w:kinsoku/>
        <w:wordWrap/>
        <w:overflowPunct/>
        <w:topLinePunct w:val="0"/>
        <w:bidi w:val="0"/>
        <w:snapToGrid w:val="0"/>
        <w:spacing w:line="360" w:lineRule="auto"/>
        <w:ind w:firstLine="480" w:firstLineChars="200"/>
        <w:contextualSpacing/>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《工作场所空气有毒物质测定》（GBZ/T 300）</w:t>
      </w:r>
    </w:p>
    <w:p w14:paraId="32154C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color w:val="000000"/>
          <w:sz w:val="24"/>
          <w:szCs w:val="24"/>
        </w:rPr>
      </w:pPr>
      <w:r>
        <w:rPr>
          <w:rFonts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二</w:t>
      </w:r>
      <w:r>
        <w:rPr>
          <w:rFonts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中选人</w:t>
      </w:r>
      <w:r>
        <w:rPr>
          <w:rFonts w:ascii="宋体" w:hAnsi="宋体" w:eastAsia="宋体" w:cs="宋体"/>
          <w:color w:val="000000"/>
          <w:kern w:val="0"/>
          <w:sz w:val="24"/>
          <w:szCs w:val="24"/>
          <w:lang w:val="en-US" w:eastAsia="zh-CN" w:bidi="ar"/>
        </w:rPr>
        <w:t>须为所有参与检测人员（含司机）购买工伤保险或施工意外伤害保险（意外伤害保险保额不低于 100 万元 / 人），并配备安全帽、安全鞋、工作服等劳动防护用品及防爆型便携式气体检测仪；夏季作业时，须为检测人员提供防暑降温药品及饮品。</w:t>
      </w:r>
    </w:p>
    <w:p w14:paraId="5129D8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color w:val="000000"/>
          <w:sz w:val="24"/>
          <w:szCs w:val="24"/>
        </w:rPr>
      </w:pPr>
      <w:r>
        <w:rPr>
          <w:rFonts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三</w:t>
      </w:r>
      <w:r>
        <w:rPr>
          <w:rFonts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中选人</w:t>
      </w:r>
      <w:r>
        <w:rPr>
          <w:rFonts w:ascii="宋体" w:hAnsi="宋体" w:eastAsia="宋体" w:cs="宋体"/>
          <w:color w:val="000000"/>
          <w:kern w:val="0"/>
          <w:sz w:val="24"/>
          <w:szCs w:val="24"/>
          <w:lang w:val="en-US" w:eastAsia="zh-CN" w:bidi="ar"/>
        </w:rPr>
        <w:t>须按</w:t>
      </w:r>
      <w:r>
        <w:rPr>
          <w:rFonts w:hint="eastAsia" w:ascii="宋体" w:hAnsi="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要求，为所有进厂检测人员（含司机）办理入厂资质审批手续，并完成各装置三级安全教育培训且考核合格后，方可进厂开展检测工作。</w:t>
      </w:r>
    </w:p>
    <w:p w14:paraId="0098C72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（四）中选人</w:t>
      </w:r>
      <w:r>
        <w:rPr>
          <w:rFonts w:ascii="宋体" w:hAnsi="宋体" w:eastAsia="宋体" w:cs="宋体"/>
          <w:color w:val="000000"/>
          <w:kern w:val="0"/>
          <w:sz w:val="24"/>
          <w:szCs w:val="24"/>
          <w:lang w:val="en-US" w:eastAsia="zh-CN" w:bidi="ar"/>
        </w:rPr>
        <w:t>应根据</w:t>
      </w:r>
      <w:r>
        <w:rPr>
          <w:rFonts w:hint="eastAsia" w:ascii="宋体" w:hAnsi="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现场实际情况开展</w:t>
      </w:r>
      <w:r>
        <w:rPr>
          <w:rFonts w:hint="eastAsia" w:ascii="宋体" w:hAnsi="宋体" w:eastAsia="宋体" w:cs="宋体"/>
          <w:color w:val="000000"/>
          <w:kern w:val="0"/>
          <w:sz w:val="24"/>
          <w:szCs w:val="24"/>
          <w:lang w:val="en-US" w:eastAsia="zh-CN" w:bidi="ar"/>
        </w:rPr>
        <w:t>现场调查</w:t>
      </w:r>
      <w:r>
        <w:rPr>
          <w:rFonts w:ascii="宋体" w:hAnsi="宋体" w:eastAsia="宋体" w:cs="宋体"/>
          <w:color w:val="000000"/>
          <w:kern w:val="0"/>
          <w:sz w:val="24"/>
          <w:szCs w:val="24"/>
          <w:lang w:val="en-US" w:eastAsia="zh-CN" w:bidi="ar"/>
        </w:rPr>
        <w:t>，并于检测工作实施前 7 日提交检测方案及检测计划，经</w:t>
      </w:r>
      <w:r>
        <w:rPr>
          <w:rFonts w:hint="eastAsia" w:ascii="宋体" w:hAnsi="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审核通过后方可开展检测工作。</w:t>
      </w:r>
    </w:p>
    <w:p w14:paraId="66F59C5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ascii="宋体" w:hAnsi="宋体" w:eastAsia="宋体" w:cs="宋体"/>
          <w:color w:val="000000"/>
          <w:kern w:val="0"/>
          <w:sz w:val="24"/>
          <w:szCs w:val="24"/>
          <w:lang w:val="en-US" w:eastAsia="zh-CN" w:bidi="ar"/>
        </w:rPr>
      </w:pPr>
      <w:r>
        <w:rPr>
          <w:rFonts w:hint="eastAsia" w:ascii="宋体" w:hAnsi="宋体" w:eastAsia="宋体" w:cs="宋体"/>
          <w:sz w:val="24"/>
          <w:szCs w:val="24"/>
          <w:lang w:eastAsia="zh-CN"/>
        </w:rPr>
        <w:t>（五）</w:t>
      </w:r>
      <w:r>
        <w:rPr>
          <w:rFonts w:hint="eastAsia" w:ascii="宋体" w:hAnsi="宋体" w:cs="宋体"/>
          <w:sz w:val="24"/>
          <w:szCs w:val="24"/>
          <w:lang w:eastAsia="zh-CN"/>
        </w:rPr>
        <w:t>中选人</w:t>
      </w:r>
      <w:r>
        <w:rPr>
          <w:rFonts w:ascii="宋体" w:hAnsi="宋体" w:eastAsia="宋体" w:cs="宋体"/>
          <w:sz w:val="24"/>
          <w:szCs w:val="24"/>
        </w:rPr>
        <w:t>应在检测实施前，提供检测所用仪器设备清单及有效期内的检定 / 校准证书。</w:t>
      </w:r>
    </w:p>
    <w:p w14:paraId="09C59B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color w:val="000000"/>
          <w:sz w:val="24"/>
          <w:szCs w:val="24"/>
        </w:rPr>
      </w:pPr>
      <w:r>
        <w:rPr>
          <w:rFonts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六）中选人</w:t>
      </w:r>
      <w:r>
        <w:rPr>
          <w:rFonts w:ascii="宋体" w:hAnsi="宋体" w:eastAsia="宋体" w:cs="宋体"/>
          <w:color w:val="000000"/>
          <w:kern w:val="0"/>
          <w:sz w:val="24"/>
          <w:szCs w:val="24"/>
          <w:lang w:val="en-US" w:eastAsia="zh-CN" w:bidi="ar"/>
        </w:rPr>
        <w:t>须严格依照法律法规及相关规范开展现场检测</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需连续采样 3 天的，应按规范要求完成连续采样。检测报告中采样时间须与实际采样时间一致，采样人员须为实际现场采样人员，严禁弄虚作假。</w:t>
      </w:r>
      <w:r>
        <w:rPr>
          <w:rFonts w:hint="eastAsia" w:ascii="宋体" w:hAnsi="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将通过现场陪同人员、门禁系统、现场监控及人员定位卡实施全过程实时监督。因检测或评价不规范引发的一切不良后果及责任，均由</w:t>
      </w:r>
      <w:r>
        <w:rPr>
          <w:rFonts w:hint="eastAsia" w:ascii="宋体" w:hAnsi="宋体" w:cs="宋体"/>
          <w:color w:val="000000"/>
          <w:kern w:val="0"/>
          <w:sz w:val="24"/>
          <w:szCs w:val="24"/>
          <w:lang w:val="en-US" w:eastAsia="zh-CN" w:bidi="ar"/>
        </w:rPr>
        <w:t>中选人</w:t>
      </w:r>
      <w:r>
        <w:rPr>
          <w:rFonts w:ascii="宋体" w:hAnsi="宋体" w:eastAsia="宋体" w:cs="宋体"/>
          <w:color w:val="000000"/>
          <w:kern w:val="0"/>
          <w:sz w:val="24"/>
          <w:szCs w:val="24"/>
          <w:lang w:val="en-US" w:eastAsia="zh-CN" w:bidi="ar"/>
        </w:rPr>
        <w:t>自行承担。</w:t>
      </w:r>
    </w:p>
    <w:p w14:paraId="01D1A3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color w:val="000000"/>
          <w:sz w:val="24"/>
          <w:szCs w:val="24"/>
        </w:rPr>
      </w:pPr>
      <w:r>
        <w:rPr>
          <w:rFonts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七</w:t>
      </w:r>
      <w:r>
        <w:rPr>
          <w:rFonts w:ascii="宋体" w:hAnsi="宋体" w:eastAsia="宋体" w:cs="宋体"/>
          <w:color w:val="000000"/>
          <w:kern w:val="0"/>
          <w:sz w:val="24"/>
          <w:szCs w:val="24"/>
          <w:lang w:val="en-US" w:eastAsia="zh-CN" w:bidi="ar"/>
        </w:rPr>
        <w:t>）采样全过程所使用的设备必须为防爆型设备。</w:t>
      </w:r>
    </w:p>
    <w:p w14:paraId="3F6BD9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color w:val="000000"/>
          <w:sz w:val="24"/>
          <w:szCs w:val="24"/>
        </w:rPr>
      </w:pPr>
      <w:r>
        <w:rPr>
          <w:rFonts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八</w:t>
      </w:r>
      <w:r>
        <w:rPr>
          <w:rFonts w:ascii="宋体" w:hAnsi="宋体" w:eastAsia="宋体" w:cs="宋体"/>
          <w:color w:val="000000"/>
          <w:kern w:val="0"/>
          <w:sz w:val="24"/>
          <w:szCs w:val="24"/>
          <w:lang w:val="en-US" w:eastAsia="zh-CN" w:bidi="ar"/>
        </w:rPr>
        <w:t>）开展检测作业前，须按</w:t>
      </w:r>
      <w:r>
        <w:rPr>
          <w:rFonts w:hint="eastAsia" w:ascii="宋体" w:hAnsi="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要求办理作业票审批手续，审批通过后方可作业</w:t>
      </w:r>
      <w:r>
        <w:rPr>
          <w:rFonts w:hint="eastAsia" w:ascii="宋体" w:hAnsi="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作业期间须严格遵守</w:t>
      </w:r>
      <w:r>
        <w:rPr>
          <w:rFonts w:hint="eastAsia" w:ascii="宋体" w:hAnsi="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各项管理制度及操作规程。</w:t>
      </w:r>
    </w:p>
    <w:p w14:paraId="274CD8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color w:val="000000"/>
          <w:sz w:val="24"/>
          <w:szCs w:val="24"/>
        </w:rPr>
      </w:pPr>
      <w:r>
        <w:rPr>
          <w:rFonts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九</w:t>
      </w:r>
      <w:r>
        <w:rPr>
          <w:rFonts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下达项目启动通知后，</w:t>
      </w:r>
      <w:r>
        <w:rPr>
          <w:rFonts w:hint="eastAsia" w:ascii="宋体" w:hAnsi="宋体" w:cs="宋体"/>
          <w:color w:val="000000"/>
          <w:kern w:val="0"/>
          <w:sz w:val="24"/>
          <w:szCs w:val="24"/>
          <w:lang w:val="en-US" w:eastAsia="zh-CN" w:bidi="ar"/>
        </w:rPr>
        <w:t>中选人</w:t>
      </w:r>
      <w:r>
        <w:rPr>
          <w:rFonts w:ascii="宋体" w:hAnsi="宋体" w:eastAsia="宋体" w:cs="宋体"/>
          <w:color w:val="000000"/>
          <w:kern w:val="0"/>
          <w:sz w:val="24"/>
          <w:szCs w:val="24"/>
          <w:lang w:val="en-US" w:eastAsia="zh-CN" w:bidi="ar"/>
        </w:rPr>
        <w:t>方可启动检测工作，并须在 3 个月内提交检测 / 评价报告（装订成册）纸质版 5 份、电子版 1 份。</w:t>
      </w:r>
    </w:p>
    <w:p w14:paraId="6ECE6B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color w:val="000000"/>
          <w:sz w:val="24"/>
          <w:szCs w:val="24"/>
        </w:rPr>
      </w:pPr>
      <w:r>
        <w:rPr>
          <w:rFonts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十</w:t>
      </w:r>
      <w:r>
        <w:rPr>
          <w:rFonts w:ascii="宋体" w:hAnsi="宋体" w:eastAsia="宋体" w:cs="宋体"/>
          <w:color w:val="000000"/>
          <w:kern w:val="0"/>
          <w:sz w:val="24"/>
          <w:szCs w:val="24"/>
          <w:lang w:val="en-US" w:eastAsia="zh-CN" w:bidi="ar"/>
        </w:rPr>
        <w:t>）检测过程中如发现遗漏、未识别的检测点位，</w:t>
      </w:r>
      <w:r>
        <w:rPr>
          <w:rFonts w:hint="eastAsia" w:ascii="宋体" w:hAnsi="宋体" w:cs="宋体"/>
          <w:color w:val="000000"/>
          <w:kern w:val="0"/>
          <w:sz w:val="24"/>
          <w:szCs w:val="24"/>
          <w:lang w:val="en-US" w:eastAsia="zh-CN" w:bidi="ar"/>
        </w:rPr>
        <w:t>中选人</w:t>
      </w:r>
      <w:r>
        <w:rPr>
          <w:rFonts w:ascii="宋体" w:hAnsi="宋体" w:eastAsia="宋体" w:cs="宋体"/>
          <w:color w:val="000000"/>
          <w:kern w:val="0"/>
          <w:sz w:val="24"/>
          <w:szCs w:val="24"/>
          <w:lang w:val="en-US" w:eastAsia="zh-CN" w:bidi="ar"/>
        </w:rPr>
        <w:t>应主动予以识别并补测</w:t>
      </w:r>
      <w:r>
        <w:rPr>
          <w:rFonts w:hint="eastAsia" w:ascii="宋体" w:hAnsi="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如发现超标点位，须提出整改建议，并在整改完成后组织复测。</w:t>
      </w:r>
    </w:p>
    <w:p w14:paraId="73D9A4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color w:val="000000"/>
          <w:sz w:val="24"/>
          <w:szCs w:val="24"/>
        </w:rPr>
      </w:pPr>
      <w:r>
        <w:rPr>
          <w:rFonts w:ascii="宋体" w:hAnsi="宋体" w:eastAsia="宋体" w:cs="宋体"/>
          <w:color w:val="000000"/>
          <w:kern w:val="0"/>
          <w:sz w:val="24"/>
          <w:szCs w:val="24"/>
          <w:lang w:val="en-US" w:eastAsia="zh-CN" w:bidi="ar"/>
        </w:rPr>
        <w:t>（十</w:t>
      </w:r>
      <w:r>
        <w:rPr>
          <w:rFonts w:hint="eastAsia" w:ascii="宋体" w:hAnsi="宋体" w:cs="宋体"/>
          <w:color w:val="000000"/>
          <w:kern w:val="0"/>
          <w:sz w:val="24"/>
          <w:szCs w:val="24"/>
          <w:lang w:val="en-US" w:eastAsia="zh-CN" w:bidi="ar"/>
        </w:rPr>
        <w:t>一</w:t>
      </w:r>
      <w:r>
        <w:rPr>
          <w:rFonts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中选人</w:t>
      </w:r>
      <w:r>
        <w:rPr>
          <w:rFonts w:ascii="宋体" w:hAnsi="宋体" w:eastAsia="宋体" w:cs="宋体"/>
          <w:color w:val="000000"/>
          <w:kern w:val="0"/>
          <w:sz w:val="24"/>
          <w:szCs w:val="24"/>
          <w:lang w:val="en-US" w:eastAsia="zh-CN" w:bidi="ar"/>
        </w:rPr>
        <w:t>对</w:t>
      </w:r>
      <w:r>
        <w:rPr>
          <w:rFonts w:hint="eastAsia" w:ascii="宋体" w:hAnsi="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提供的文件、资料、数据负有保密义务，未经</w:t>
      </w:r>
      <w:r>
        <w:rPr>
          <w:rFonts w:hint="eastAsia" w:ascii="宋体" w:hAnsi="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书面同意，不得以任何形式向第三方泄露。</w:t>
      </w:r>
    </w:p>
    <w:p w14:paraId="410CD308">
      <w:pPr>
        <w:pStyle w:val="5"/>
        <w:spacing w:after="468" w:afterLines="150" w:line="276" w:lineRule="auto"/>
        <w:ind w:left="-551" w:leftChars="-339" w:hanging="195" w:hangingChars="89"/>
        <w:jc w:val="center"/>
        <w:rPr>
          <w:rFonts w:ascii="黑体" w:hAnsi="宋体" w:eastAsia="黑体"/>
          <w:b/>
          <w:sz w:val="48"/>
          <w:szCs w:val="48"/>
        </w:rPr>
      </w:pPr>
      <w:r>
        <w:rPr>
          <w:rFonts w:hint="eastAsia" w:ascii="宋体" w:hAnsi="宋体" w:eastAsia="宋体" w:cs="微软雅黑"/>
          <w:color w:val="auto"/>
          <w:lang w:val="en-US" w:eastAsia="zh-CN"/>
        </w:rPr>
        <w:t xml:space="preserve"> </w:t>
      </w:r>
      <w:r>
        <w:rPr>
          <w:rFonts w:hint="default" w:ascii="Times New Roman" w:hAnsi="Times New Roman" w:eastAsia="宋体" w:cs="Times New Roman"/>
          <w:b/>
          <w:sz w:val="24"/>
          <w:szCs w:val="24"/>
          <w:lang w:eastAsia="zh-CN"/>
        </w:rPr>
        <w:t>附件2、</w:t>
      </w:r>
      <w:r>
        <w:rPr>
          <w:rFonts w:hint="eastAsia" w:ascii="黑体" w:hAnsi="宋体" w:eastAsia="黑体"/>
          <w:b/>
          <w:sz w:val="32"/>
          <w:szCs w:val="32"/>
        </w:rPr>
        <w:t>安全环保协议书</w:t>
      </w:r>
    </w:p>
    <w:p w14:paraId="0CC8A75C">
      <w:pPr>
        <w:spacing w:line="360" w:lineRule="auto"/>
        <w:rPr>
          <w:rFonts w:hint="eastAsia" w:ascii="Times New Roman" w:hAnsi="Times New Roman" w:eastAsia="宋体" w:cs="Times New Roman"/>
          <w:b/>
          <w:bCs w:val="0"/>
          <w:sz w:val="24"/>
          <w:szCs w:val="24"/>
          <w:u w:val="single"/>
          <w:lang w:val="en-US" w:eastAsia="zh-CN"/>
        </w:rPr>
      </w:pPr>
      <w:r>
        <w:rPr>
          <w:rFonts w:hint="eastAsia" w:asciiTheme="minorEastAsia" w:hAnsiTheme="minorEastAsia" w:eastAsiaTheme="minorEastAsia"/>
          <w:b/>
          <w:bCs/>
          <w:sz w:val="24"/>
          <w:szCs w:val="24"/>
        </w:rPr>
        <w:t>发包单位（以下简称甲方）：</w:t>
      </w:r>
      <w:r>
        <w:rPr>
          <w:rFonts w:hint="eastAsia" w:ascii="宋体" w:hAnsi="宋体"/>
          <w:b/>
          <w:bCs/>
          <w:szCs w:val="21"/>
          <w:u w:val="single"/>
        </w:rPr>
        <w:t xml:space="preserve"> </w:t>
      </w:r>
      <w:r>
        <w:rPr>
          <w:rFonts w:hint="eastAsia" w:ascii="Times New Roman" w:hAnsi="Times New Roman" w:cs="Times New Roman"/>
          <w:b/>
          <w:bCs w:val="0"/>
          <w:sz w:val="24"/>
          <w:szCs w:val="24"/>
          <w:u w:val="single"/>
          <w:lang w:val="en-US" w:eastAsia="zh-CN"/>
        </w:rPr>
        <w:t>福建福海创石油化工</w:t>
      </w:r>
      <w:r>
        <w:rPr>
          <w:rFonts w:hint="eastAsia" w:ascii="Times New Roman" w:hAnsi="Times New Roman" w:eastAsia="宋体" w:cs="Times New Roman"/>
          <w:b/>
          <w:bCs w:val="0"/>
          <w:sz w:val="24"/>
          <w:szCs w:val="24"/>
          <w:u w:val="single"/>
          <w:lang w:val="en-US" w:eastAsia="zh-CN"/>
        </w:rPr>
        <w:t>有限公司</w:t>
      </w:r>
    </w:p>
    <w:p w14:paraId="595AFA28">
      <w:pPr>
        <w:spacing w:line="360" w:lineRule="auto"/>
        <w:ind w:left="2999" w:leftChars="1363" w:firstLine="224" w:firstLineChars="93"/>
        <w:rPr>
          <w:rFonts w:hint="eastAsia" w:ascii="Times New Roman" w:hAnsi="Times New Roman" w:eastAsia="宋体" w:cs="Times New Roman"/>
          <w:b/>
          <w:bCs w:val="0"/>
          <w:sz w:val="24"/>
          <w:szCs w:val="24"/>
          <w:u w:val="single"/>
          <w:lang w:val="en-US" w:eastAsia="zh-CN"/>
        </w:rPr>
      </w:pPr>
      <w:r>
        <w:rPr>
          <w:rFonts w:hint="eastAsia" w:ascii="Times New Roman" w:hAnsi="Times New Roman" w:eastAsia="宋体" w:cs="Times New Roman"/>
          <w:b/>
          <w:bCs w:val="0"/>
          <w:sz w:val="24"/>
          <w:szCs w:val="24"/>
          <w:u w:val="single"/>
          <w:lang w:val="en-US" w:eastAsia="zh-CN"/>
        </w:rPr>
        <w:t>腾龙芳烃（漳州）有限公司</w:t>
      </w:r>
    </w:p>
    <w:p w14:paraId="73EFA118">
      <w:pPr>
        <w:spacing w:line="360" w:lineRule="auto"/>
        <w:ind w:left="2999" w:leftChars="1363" w:firstLine="224" w:firstLineChars="93"/>
        <w:rPr>
          <w:rFonts w:hint="eastAsia" w:ascii="宋体" w:hAnsi="宋体"/>
          <w:b/>
          <w:bCs/>
          <w:szCs w:val="21"/>
        </w:rPr>
      </w:pPr>
      <w:r>
        <w:rPr>
          <w:rFonts w:hint="eastAsia" w:ascii="Times New Roman" w:hAnsi="Times New Roman" w:eastAsia="宋体" w:cs="Times New Roman"/>
          <w:b/>
          <w:bCs w:val="0"/>
          <w:sz w:val="24"/>
          <w:szCs w:val="24"/>
          <w:u w:val="single"/>
          <w:lang w:val="en-US" w:eastAsia="zh-CN"/>
        </w:rPr>
        <w:t>翔鹭码头投资管理（漳州）有限公司</w:t>
      </w:r>
      <w:r>
        <w:rPr>
          <w:rFonts w:hint="eastAsia" w:ascii="宋体" w:hAnsi="宋体"/>
          <w:b/>
          <w:bCs/>
          <w:szCs w:val="21"/>
        </w:rPr>
        <w:t xml:space="preserve">  </w:t>
      </w:r>
    </w:p>
    <w:p w14:paraId="7D13F27F">
      <w:pPr>
        <w:spacing w:line="360" w:lineRule="auto"/>
        <w:ind w:left="2999" w:leftChars="1363" w:firstLine="224" w:firstLineChars="93"/>
        <w:rPr>
          <w:rFonts w:hint="eastAsia" w:ascii="Times New Roman" w:hAnsi="Times New Roman" w:eastAsia="宋体" w:cs="Times New Roman"/>
          <w:b/>
          <w:bCs w:val="0"/>
          <w:sz w:val="24"/>
          <w:szCs w:val="24"/>
          <w:u w:val="single"/>
          <w:lang w:val="en-US" w:eastAsia="zh-CN"/>
        </w:rPr>
      </w:pPr>
      <w:r>
        <w:rPr>
          <w:rFonts w:hint="eastAsia" w:ascii="Times New Roman" w:hAnsi="Times New Roman" w:eastAsia="宋体" w:cs="Times New Roman"/>
          <w:b/>
          <w:bCs w:val="0"/>
          <w:sz w:val="24"/>
          <w:szCs w:val="24"/>
          <w:u w:val="single"/>
          <w:lang w:val="en-US" w:eastAsia="zh-CN"/>
        </w:rPr>
        <w:t>福建福化古蕾化学有限公司</w:t>
      </w:r>
    </w:p>
    <w:p w14:paraId="219946F8">
      <w:pPr>
        <w:spacing w:line="360" w:lineRule="auto"/>
        <w:ind w:left="-636" w:leftChars="-289" w:firstLine="723" w:firstLineChars="300"/>
        <w:rPr>
          <w:rFonts w:asciiTheme="minorEastAsia" w:hAnsiTheme="minorEastAsia" w:eastAsiaTheme="minorEastAsia"/>
          <w:szCs w:val="21"/>
        </w:rPr>
      </w:pPr>
      <w:r>
        <w:rPr>
          <w:rFonts w:hint="eastAsia" w:asciiTheme="minorEastAsia" w:hAnsiTheme="minorEastAsia" w:eastAsiaTheme="minorEastAsia"/>
          <w:b/>
          <w:bCs/>
          <w:sz w:val="24"/>
          <w:szCs w:val="24"/>
        </w:rPr>
        <w:t>承包单位（以下简称乙方）：</w:t>
      </w:r>
      <w:r>
        <w:rPr>
          <w:rFonts w:hint="eastAsia" w:ascii="宋体" w:hAnsi="宋体"/>
          <w:b/>
          <w:bCs/>
          <w:szCs w:val="21"/>
          <w:u w:val="single"/>
        </w:rPr>
        <w:t xml:space="preserve"> </w:t>
      </w:r>
      <w:r>
        <w:rPr>
          <w:rFonts w:hint="eastAsia" w:ascii="宋体" w:hAnsi="宋体"/>
          <w:b/>
          <w:bCs/>
          <w:szCs w:val="21"/>
        </w:rPr>
        <w:t xml:space="preserve">   </w:t>
      </w:r>
      <w:r>
        <w:rPr>
          <w:rFonts w:hint="eastAsia" w:asciiTheme="minorEastAsia" w:hAnsiTheme="minorEastAsia" w:eastAsiaTheme="minorEastAsia"/>
          <w:b/>
          <w:bCs/>
          <w:szCs w:val="21"/>
        </w:rPr>
        <w:t xml:space="preserve"> </w:t>
      </w:r>
      <w:r>
        <w:rPr>
          <w:rFonts w:hint="eastAsia" w:asciiTheme="minorEastAsia" w:hAnsiTheme="minorEastAsia" w:eastAsiaTheme="minorEastAsia"/>
          <w:szCs w:val="21"/>
        </w:rPr>
        <w:t xml:space="preserve">                  </w:t>
      </w:r>
    </w:p>
    <w:p w14:paraId="05B72316">
      <w:pPr>
        <w:pStyle w:val="1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110" w:firstLineChars="50"/>
        <w:textAlignment w:val="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 xml:space="preserve">     双方就 2024-2025年度职业病危害因素检测、评价年约服务</w:t>
      </w:r>
      <w:r>
        <w:rPr>
          <w:rFonts w:hint="eastAsia" w:cs="宋体" w:asciiTheme="minorEastAsia" w:hAnsiTheme="minorEastAsia" w:eastAsiaTheme="minorEastAsia"/>
          <w:szCs w:val="21"/>
          <w:lang w:val="en-US" w:eastAsia="zh-CN"/>
        </w:rPr>
        <w:t xml:space="preserve"> </w:t>
      </w:r>
      <w:r>
        <w:rPr>
          <w:rFonts w:hint="eastAsia" w:cs="宋体" w:asciiTheme="minorEastAsia" w:hAnsiTheme="minorEastAsia" w:eastAsiaTheme="minorEastAsia"/>
          <w:szCs w:val="21"/>
        </w:rPr>
        <w:t>工程/项目签订了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14:paraId="4D652BA8">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10" w:firstLineChars="50"/>
        <w:textAlignment w:val="auto"/>
        <w:rPr>
          <w:rFonts w:asciiTheme="minorEastAsia" w:hAnsiTheme="minorEastAsia" w:eastAsiaTheme="minorEastAsia"/>
          <w:szCs w:val="21"/>
        </w:rPr>
      </w:pPr>
      <w:r>
        <w:rPr>
          <w:rFonts w:hint="eastAsia" w:asciiTheme="minorEastAsia" w:hAnsiTheme="minorEastAsia" w:eastAsiaTheme="minorEastAsia"/>
          <w:b/>
          <w:szCs w:val="21"/>
        </w:rPr>
        <w:t>一、甲方的权利和义务：</w:t>
      </w:r>
    </w:p>
    <w:p w14:paraId="3A004C43">
      <w:pPr>
        <w:pStyle w:val="1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110" w:firstLineChars="50"/>
        <w:textAlignment w:val="auto"/>
        <w:rPr>
          <w:rFonts w:asciiTheme="minorEastAsia" w:hAnsiTheme="minorEastAsia" w:eastAsiaTheme="minorEastAsia"/>
          <w:szCs w:val="21"/>
        </w:rPr>
      </w:pPr>
      <w:r>
        <w:rPr>
          <w:rFonts w:hint="eastAsia" w:asciiTheme="minorEastAsia" w:hAnsiTheme="minorEastAsia" w:eastAsiaTheme="minorEastAsia"/>
          <w:szCs w:val="21"/>
        </w:rPr>
        <w:t>1、甲方有权对乙方的资质进行审查，确认其符合且具备进厂条件，方可进厂施工。</w:t>
      </w:r>
    </w:p>
    <w:p w14:paraId="611E8224">
      <w:pPr>
        <w:pStyle w:val="1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110" w:firstLineChars="50"/>
        <w:textAlignment w:val="auto"/>
        <w:rPr>
          <w:rFonts w:asciiTheme="minorEastAsia" w:hAnsiTheme="minorEastAsia" w:eastAsiaTheme="minorEastAsia"/>
          <w:szCs w:val="21"/>
        </w:rPr>
      </w:pPr>
      <w:r>
        <w:rPr>
          <w:rFonts w:hint="eastAsia" w:asciiTheme="minorEastAsia" w:hAnsiTheme="minorEastAsia" w:eastAsiaTheme="minorEastAsia"/>
          <w:szCs w:val="21"/>
        </w:rPr>
        <w:t>2、甲方有权要求乙方维护好甲方相关的安全环保设施、设备和器材。</w:t>
      </w:r>
    </w:p>
    <w:p w14:paraId="058D3838">
      <w:pPr>
        <w:keepNext w:val="0"/>
        <w:keepLines w:val="0"/>
        <w:pageBreakBefore w:val="0"/>
        <w:widowControl w:val="0"/>
        <w:tabs>
          <w:tab w:val="left" w:pos="360"/>
          <w:tab w:val="left" w:pos="840"/>
        </w:tabs>
        <w:kinsoku/>
        <w:wordWrap/>
        <w:overflowPunct/>
        <w:topLinePunct w:val="0"/>
        <w:autoSpaceDE w:val="0"/>
        <w:autoSpaceDN w:val="0"/>
        <w:bidi w:val="0"/>
        <w:adjustRightInd/>
        <w:snapToGrid/>
        <w:spacing w:line="360" w:lineRule="auto"/>
        <w:ind w:left="0" w:leftChars="0" w:firstLine="110" w:firstLineChars="50"/>
        <w:textAlignment w:val="auto"/>
        <w:rPr>
          <w:rFonts w:asciiTheme="minorEastAsia" w:hAnsiTheme="minorEastAsia" w:eastAsiaTheme="minorEastAsia"/>
          <w:szCs w:val="21"/>
        </w:rPr>
      </w:pPr>
      <w:r>
        <w:rPr>
          <w:rFonts w:hint="eastAsia" w:asciiTheme="minorEastAsia" w:hAnsiTheme="minorEastAsia" w:eastAsiaTheme="minorEastAsia"/>
          <w:szCs w:val="21"/>
        </w:rPr>
        <w:t>3、甲方有权全程检查乙方施工作业现场，对乙方人员在施工作业中违反有关安全生产规章制度的行为予以制止、纠正和处罚，并发出书面整改通知书；对严重违章的行为立即勒令其停止工作。</w:t>
      </w:r>
    </w:p>
    <w:p w14:paraId="71BAB3BF">
      <w:pPr>
        <w:keepNext w:val="0"/>
        <w:keepLines w:val="0"/>
        <w:pageBreakBefore w:val="0"/>
        <w:widowControl w:val="0"/>
        <w:tabs>
          <w:tab w:val="left" w:pos="360"/>
          <w:tab w:val="left" w:pos="840"/>
        </w:tabs>
        <w:kinsoku/>
        <w:wordWrap/>
        <w:overflowPunct/>
        <w:topLinePunct w:val="0"/>
        <w:autoSpaceDE w:val="0"/>
        <w:autoSpaceDN w:val="0"/>
        <w:bidi w:val="0"/>
        <w:adjustRightInd/>
        <w:snapToGrid/>
        <w:spacing w:line="360" w:lineRule="auto"/>
        <w:ind w:left="0" w:leftChars="0" w:firstLine="110" w:firstLineChars="50"/>
        <w:textAlignment w:val="auto"/>
        <w:rPr>
          <w:rFonts w:asciiTheme="minorEastAsia" w:hAnsiTheme="minorEastAsia" w:eastAsiaTheme="minorEastAsia"/>
          <w:szCs w:val="21"/>
        </w:rPr>
      </w:pPr>
      <w:r>
        <w:rPr>
          <w:rFonts w:hint="eastAsia" w:asciiTheme="minorEastAsia" w:hAnsiTheme="minorEastAsia" w:eastAsiaTheme="minorEastAsia"/>
          <w:szCs w:val="21"/>
        </w:rPr>
        <w:t>4、甲方有权要求乙方制定施工方案，对危险性较大的分项工程，乙方必须制定专项安全环保施工方案，明确组织措施、安全环保措施、技术措施，经甲方各相关管理部门审查合格后方可进行施工作业。</w:t>
      </w:r>
    </w:p>
    <w:p w14:paraId="78138A2C">
      <w:pPr>
        <w:keepNext w:val="0"/>
        <w:keepLines w:val="0"/>
        <w:pageBreakBefore w:val="0"/>
        <w:widowControl w:val="0"/>
        <w:tabs>
          <w:tab w:val="left" w:pos="360"/>
          <w:tab w:val="left" w:pos="840"/>
        </w:tabs>
        <w:kinsoku/>
        <w:wordWrap/>
        <w:overflowPunct/>
        <w:topLinePunct w:val="0"/>
        <w:autoSpaceDE w:val="0"/>
        <w:autoSpaceDN w:val="0"/>
        <w:bidi w:val="0"/>
        <w:adjustRightInd/>
        <w:snapToGrid/>
        <w:spacing w:line="360" w:lineRule="auto"/>
        <w:ind w:left="0" w:leftChars="0" w:firstLine="110" w:firstLineChars="50"/>
        <w:textAlignment w:val="auto"/>
        <w:rPr>
          <w:color w:val="FF0000"/>
          <w:szCs w:val="21"/>
        </w:rPr>
      </w:pPr>
      <w:r>
        <w:rPr>
          <w:rFonts w:hint="eastAsia" w:asciiTheme="minorEastAsia" w:hAnsiTheme="minorEastAsia" w:eastAsiaTheme="minorEastAsia"/>
          <w:szCs w:val="21"/>
        </w:rPr>
        <w:t>5、 甲方有权对乙方不服从管理和严重违章者，驱除施工现场。</w:t>
      </w:r>
    </w:p>
    <w:p w14:paraId="1DB95FB0">
      <w:pPr>
        <w:pStyle w:val="1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110" w:firstLineChars="50"/>
        <w:textAlignment w:val="auto"/>
        <w:rPr>
          <w:rFonts w:asciiTheme="minorEastAsia" w:hAnsiTheme="minorEastAsia" w:eastAsiaTheme="minorEastAsia"/>
          <w:b/>
          <w:szCs w:val="21"/>
        </w:rPr>
      </w:pPr>
      <w:r>
        <w:rPr>
          <w:rFonts w:hint="eastAsia" w:asciiTheme="minorEastAsia" w:hAnsiTheme="minorEastAsia" w:eastAsiaTheme="minorEastAsia"/>
          <w:szCs w:val="21"/>
        </w:rPr>
        <w:t>6、 甲方负责对乙方进行厂级和部门级安全培训教育和考核，考核合格方可办理入厂手续。</w:t>
      </w:r>
    </w:p>
    <w:p w14:paraId="1FABDC67">
      <w:pPr>
        <w:keepNext w:val="0"/>
        <w:keepLines w:val="0"/>
        <w:pageBreakBefore w:val="0"/>
        <w:widowControl w:val="0"/>
        <w:tabs>
          <w:tab w:val="left" w:pos="360"/>
          <w:tab w:val="left" w:pos="840"/>
        </w:tabs>
        <w:kinsoku/>
        <w:wordWrap/>
        <w:overflowPunct/>
        <w:topLinePunct w:val="0"/>
        <w:autoSpaceDE w:val="0"/>
        <w:autoSpaceDN w:val="0"/>
        <w:bidi w:val="0"/>
        <w:adjustRightInd/>
        <w:snapToGrid/>
        <w:spacing w:line="360" w:lineRule="auto"/>
        <w:ind w:left="0" w:leftChars="0" w:firstLine="110" w:firstLineChars="50"/>
        <w:textAlignment w:val="auto"/>
        <w:rPr>
          <w:rFonts w:asciiTheme="minorEastAsia" w:hAnsiTheme="minorEastAsia" w:eastAsiaTheme="minorEastAsia"/>
          <w:szCs w:val="21"/>
        </w:rPr>
      </w:pPr>
      <w:r>
        <w:rPr>
          <w:rFonts w:hint="eastAsia" w:asciiTheme="minorEastAsia" w:hAnsiTheme="minorEastAsia" w:eastAsiaTheme="minorEastAsia"/>
          <w:szCs w:val="21"/>
        </w:rPr>
        <w:t>7、甲方负责各装置的工艺处理、退料、置换、吹扫及盲板隔离工作，为本项目提供安全的施工条件。</w:t>
      </w:r>
    </w:p>
    <w:p w14:paraId="59C3D5C2">
      <w:pPr>
        <w:keepNext w:val="0"/>
        <w:keepLines w:val="0"/>
        <w:pageBreakBefore w:val="0"/>
        <w:widowControl w:val="0"/>
        <w:tabs>
          <w:tab w:val="left" w:pos="360"/>
          <w:tab w:val="left" w:pos="840"/>
        </w:tabs>
        <w:kinsoku/>
        <w:wordWrap/>
        <w:overflowPunct/>
        <w:topLinePunct w:val="0"/>
        <w:autoSpaceDE w:val="0"/>
        <w:autoSpaceDN w:val="0"/>
        <w:bidi w:val="0"/>
        <w:adjustRightInd/>
        <w:snapToGrid/>
        <w:spacing w:line="360" w:lineRule="auto"/>
        <w:ind w:left="0" w:leftChars="0" w:firstLine="110" w:firstLineChars="50"/>
        <w:textAlignment w:val="auto"/>
        <w:rPr>
          <w:rFonts w:asciiTheme="minorEastAsia" w:hAnsiTheme="minorEastAsia" w:eastAsiaTheme="minorEastAsia"/>
          <w:szCs w:val="21"/>
        </w:rPr>
      </w:pPr>
      <w:r>
        <w:rPr>
          <w:rFonts w:hint="eastAsia" w:asciiTheme="minorEastAsia" w:hAnsiTheme="minorEastAsia" w:eastAsiaTheme="minorEastAsia"/>
          <w:szCs w:val="21"/>
        </w:rPr>
        <w:t>8、甲方</w:t>
      </w:r>
      <w:r>
        <w:rPr>
          <w:rFonts w:hint="eastAsia" w:ascii="宋体" w:hAnsi="宋体"/>
          <w:szCs w:val="21"/>
        </w:rPr>
        <w:t>应乙方要求，向乙方提供与乙方作业相关的甲方有毒有害、易燃易爆物品的数据</w:t>
      </w:r>
      <w:r>
        <w:rPr>
          <w:rFonts w:hint="eastAsia" w:ascii="宋体" w:hAnsi="宋体"/>
          <w:sz w:val="32"/>
          <w:szCs w:val="32"/>
        </w:rPr>
        <w:t>。</w:t>
      </w:r>
    </w:p>
    <w:p w14:paraId="4204AC91">
      <w:pPr>
        <w:keepNext w:val="0"/>
        <w:keepLines w:val="0"/>
        <w:pageBreakBefore w:val="0"/>
        <w:widowControl w:val="0"/>
        <w:tabs>
          <w:tab w:val="left" w:pos="360"/>
          <w:tab w:val="left" w:pos="840"/>
        </w:tabs>
        <w:kinsoku/>
        <w:wordWrap/>
        <w:overflowPunct/>
        <w:topLinePunct w:val="0"/>
        <w:autoSpaceDE w:val="0"/>
        <w:autoSpaceDN w:val="0"/>
        <w:bidi w:val="0"/>
        <w:adjustRightInd/>
        <w:snapToGrid/>
        <w:spacing w:line="360" w:lineRule="auto"/>
        <w:ind w:left="0" w:leftChars="0" w:firstLine="110" w:firstLineChars="50"/>
        <w:textAlignment w:val="auto"/>
        <w:rPr>
          <w:rFonts w:asciiTheme="minorEastAsia" w:hAnsiTheme="minorEastAsia" w:eastAsiaTheme="minorEastAsia"/>
          <w:szCs w:val="21"/>
        </w:rPr>
      </w:pPr>
      <w:r>
        <w:rPr>
          <w:rFonts w:hint="eastAsia" w:asciiTheme="minorEastAsia" w:hAnsiTheme="minorEastAsia" w:eastAsiaTheme="minorEastAsia"/>
          <w:szCs w:val="21"/>
        </w:rPr>
        <w:t>9、甲方在开工前必须对乙方进行全面的安全技术及文明施工交底。</w:t>
      </w:r>
    </w:p>
    <w:p w14:paraId="577006FE">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10" w:firstLineChars="50"/>
        <w:textAlignment w:val="auto"/>
        <w:rPr>
          <w:rFonts w:asciiTheme="minorEastAsia" w:hAnsiTheme="minorEastAsia" w:eastAsiaTheme="minorEastAsia"/>
          <w:b/>
          <w:szCs w:val="21"/>
        </w:rPr>
      </w:pPr>
      <w:r>
        <w:rPr>
          <w:rFonts w:hint="eastAsia" w:asciiTheme="minorEastAsia" w:hAnsiTheme="minorEastAsia" w:eastAsiaTheme="minorEastAsia"/>
          <w:b/>
          <w:szCs w:val="21"/>
        </w:rPr>
        <w:t>二、乙方的权利和义务：</w:t>
      </w:r>
    </w:p>
    <w:p w14:paraId="038FBC56">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10" w:firstLineChars="50"/>
        <w:textAlignment w:val="auto"/>
        <w:rPr>
          <w:rFonts w:asciiTheme="minorEastAsia" w:hAnsiTheme="minorEastAsia" w:eastAsiaTheme="minorEastAsia"/>
          <w:szCs w:val="21"/>
        </w:rPr>
      </w:pPr>
      <w:r>
        <w:rPr>
          <w:rFonts w:hint="eastAsia" w:asciiTheme="minorEastAsia" w:hAnsiTheme="minorEastAsia" w:eastAsiaTheme="minorEastAsia"/>
          <w:szCs w:val="21"/>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4DE2C70A">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10" w:firstLineChars="50"/>
        <w:textAlignment w:val="auto"/>
        <w:rPr>
          <w:rFonts w:asciiTheme="minorEastAsia" w:hAnsiTheme="minorEastAsia" w:eastAsiaTheme="minorEastAsia"/>
          <w:szCs w:val="21"/>
        </w:rPr>
      </w:pPr>
      <w:r>
        <w:rPr>
          <w:rFonts w:hint="eastAsia" w:asciiTheme="minorEastAsia" w:hAnsiTheme="minorEastAsia" w:eastAsiaTheme="minorEastAsia"/>
          <w:szCs w:val="21"/>
        </w:rPr>
        <w:t>2、乙方有权对甲方安全管理工作提出合理化建议或改进措施。</w:t>
      </w:r>
    </w:p>
    <w:p w14:paraId="59C07CEC">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10" w:firstLineChars="50"/>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3、乙方对甲方管理人员违章指挥、强令冒险作业、有权拒绝执行。对打击和报复行为有权向上级和有关部门汇报。 </w:t>
      </w:r>
    </w:p>
    <w:p w14:paraId="65748B9F">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10" w:firstLineChars="50"/>
        <w:textAlignment w:val="auto"/>
        <w:rPr>
          <w:rFonts w:asciiTheme="minorEastAsia" w:hAnsiTheme="minorEastAsia" w:eastAsiaTheme="minorEastAsia"/>
          <w:szCs w:val="21"/>
        </w:rPr>
      </w:pPr>
      <w:r>
        <w:rPr>
          <w:rFonts w:hint="eastAsia" w:asciiTheme="minorEastAsia" w:hAnsiTheme="minorEastAsia" w:eastAsiaTheme="minorEastAsia"/>
          <w:szCs w:val="21"/>
        </w:rPr>
        <w:t>4、乙方对危及生命安全和身体健康的施工作业条件和环境，有权提出整改建议或拒绝施工作业。</w:t>
      </w:r>
    </w:p>
    <w:p w14:paraId="5B3A6B7B">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10" w:firstLineChars="50"/>
        <w:textAlignment w:val="auto"/>
        <w:rPr>
          <w:rFonts w:asciiTheme="minorEastAsia" w:hAnsiTheme="minorEastAsia" w:eastAsiaTheme="minorEastAsia"/>
          <w:szCs w:val="21"/>
        </w:rPr>
      </w:pPr>
      <w:r>
        <w:rPr>
          <w:rFonts w:hint="eastAsia" w:asciiTheme="minorEastAsia" w:hAnsiTheme="minorEastAsia" w:eastAsiaTheme="minorEastAsia"/>
          <w:szCs w:val="21"/>
        </w:rPr>
        <w:t>5、乙方施工过程中在发生严重危及作业人员生命安全的不可抗拒紧急情况时，有权采取必要的避险措施，并立即向管理部门报告。</w:t>
      </w:r>
    </w:p>
    <w:p w14:paraId="169A6C9B">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10" w:firstLineChars="50"/>
        <w:textAlignment w:val="auto"/>
        <w:rPr>
          <w:rFonts w:ascii="宋体" w:hAnsi="宋体"/>
          <w:szCs w:val="21"/>
        </w:rPr>
      </w:pPr>
      <w:r>
        <w:rPr>
          <w:rFonts w:hint="eastAsia" w:asciiTheme="minorEastAsia" w:hAnsiTheme="minorEastAsia" w:eastAsiaTheme="minorEastAsia"/>
          <w:szCs w:val="21"/>
        </w:rPr>
        <w:t>6、乙方</w:t>
      </w:r>
      <w:r>
        <w:rPr>
          <w:rFonts w:hint="eastAsia" w:ascii="宋体" w:hAnsi="宋体"/>
          <w:szCs w:val="21"/>
        </w:rPr>
        <w:t>有权要求甲方提供相关的安全资料。</w:t>
      </w:r>
    </w:p>
    <w:p w14:paraId="55FC932E">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10" w:firstLineChars="50"/>
        <w:textAlignment w:val="auto"/>
        <w:rPr>
          <w:rFonts w:ascii="宋体" w:hAnsi="宋体"/>
          <w:b/>
          <w:szCs w:val="21"/>
        </w:rPr>
      </w:pPr>
      <w:r>
        <w:rPr>
          <w:rFonts w:hint="eastAsia" w:asciiTheme="minorEastAsia" w:hAnsiTheme="minorEastAsia" w:eastAsiaTheme="minorEastAsia"/>
          <w:szCs w:val="21"/>
        </w:rPr>
        <w:t>7、</w:t>
      </w:r>
      <w:r>
        <w:rPr>
          <w:rFonts w:hint="eastAsia" w:hAnsi="宋体" w:cs="Arial"/>
        </w:rPr>
        <w:t>乙方必须建立健全HSE管理网络、HSE保证体系和HSE责任制，成立专职HSE管理机构</w:t>
      </w:r>
      <w:r>
        <w:rPr>
          <w:rFonts w:hint="eastAsia" w:ascii="宋体" w:hAnsi="宋体"/>
          <w:szCs w:val="21"/>
        </w:rPr>
        <w:t>，依照《安全生产法》的要求配备专职或兼职安全生产管理人员；施工队伍超过50人的应按比例配足专职安全员，</w:t>
      </w:r>
      <w:r>
        <w:rPr>
          <w:rFonts w:hint="eastAsia" w:hAnsi="宋体" w:cs="Arial"/>
        </w:rPr>
        <w:t>并佩戴明显标志；编制和实施各安全环保施工方案和专项应急预案。</w:t>
      </w:r>
    </w:p>
    <w:p w14:paraId="39389209">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10" w:firstLineChars="50"/>
        <w:textAlignment w:val="auto"/>
        <w:rPr>
          <w:rFonts w:asciiTheme="minorEastAsia" w:hAnsiTheme="minorEastAsia" w:eastAsiaTheme="minorEastAsia"/>
          <w:szCs w:val="21"/>
        </w:rPr>
      </w:pPr>
      <w:r>
        <w:rPr>
          <w:rFonts w:hint="eastAsia" w:asciiTheme="minorEastAsia" w:hAnsiTheme="minorEastAsia" w:eastAsiaTheme="minorEastAsia"/>
          <w:szCs w:val="21"/>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0EEE6B6B">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10" w:firstLineChars="50"/>
        <w:textAlignment w:val="auto"/>
        <w:rPr>
          <w:rFonts w:asciiTheme="minorEastAsia" w:hAnsiTheme="minorEastAsia" w:eastAsiaTheme="minorEastAsia"/>
          <w:szCs w:val="21"/>
        </w:rPr>
      </w:pPr>
      <w:r>
        <w:rPr>
          <w:rFonts w:hint="eastAsia" w:asciiTheme="minorEastAsia" w:hAnsiTheme="minorEastAsia" w:eastAsiaTheme="minorEastAsia"/>
          <w:szCs w:val="21"/>
        </w:rPr>
        <w:t>9、在工程开工前，乙方必须对全体人员分工种进行安全教育、技能考试，合格后方可进行施工作业。施工作业前，必须向作业人员进行安全环保技术交底，掌握工程特点及施工安全环保措施。</w:t>
      </w:r>
    </w:p>
    <w:p w14:paraId="140F74AE">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10" w:firstLineChars="50"/>
        <w:textAlignment w:val="auto"/>
        <w:rPr>
          <w:rFonts w:asciiTheme="minorEastAsia" w:hAnsiTheme="minorEastAsia" w:eastAsiaTheme="minorEastAsia"/>
          <w:szCs w:val="21"/>
        </w:rPr>
      </w:pPr>
      <w:r>
        <w:rPr>
          <w:rFonts w:hint="eastAsia" w:asciiTheme="minorEastAsia" w:hAnsiTheme="minorEastAsia" w:eastAsiaTheme="minorEastAsia"/>
          <w:szCs w:val="21"/>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541F34CD">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10" w:firstLineChars="50"/>
        <w:textAlignment w:val="auto"/>
        <w:rPr>
          <w:rFonts w:asciiTheme="minorEastAsia" w:hAnsiTheme="minorEastAsia" w:eastAsiaTheme="minorEastAsia"/>
          <w:szCs w:val="21"/>
        </w:rPr>
      </w:pPr>
      <w:r>
        <w:rPr>
          <w:rFonts w:hint="eastAsia" w:asciiTheme="minorEastAsia" w:hAnsiTheme="minorEastAsia" w:eastAsiaTheme="minorEastAsia"/>
          <w:szCs w:val="21"/>
        </w:rPr>
        <w:t>11、乙方应按《中华人民共和国劳动法》等法律、法规、规定用工，严禁使用未成年工和有职业禁忌的人员进行施工作业。</w:t>
      </w:r>
      <w:r>
        <w:rPr>
          <w:rFonts w:asciiTheme="minorEastAsia" w:hAnsiTheme="minorEastAsia" w:eastAsiaTheme="minorEastAsia"/>
          <w:szCs w:val="21"/>
        </w:rPr>
        <w:t xml:space="preserve"> </w:t>
      </w:r>
    </w:p>
    <w:p w14:paraId="67BEE69A">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10" w:firstLineChars="50"/>
        <w:textAlignment w:val="auto"/>
        <w:rPr>
          <w:rFonts w:asciiTheme="minorEastAsia" w:hAnsiTheme="minorEastAsia" w:eastAsiaTheme="minorEastAsia"/>
          <w:szCs w:val="21"/>
        </w:rPr>
      </w:pPr>
      <w:r>
        <w:rPr>
          <w:rFonts w:hint="eastAsia" w:asciiTheme="minorEastAsia" w:hAnsiTheme="minorEastAsia" w:eastAsiaTheme="minorEastAsia"/>
          <w:szCs w:val="21"/>
        </w:rPr>
        <w:t>12、乙方必须按国家有关规定，</w:t>
      </w:r>
      <w:r>
        <w:rPr>
          <w:rFonts w:hint="eastAsia" w:ascii="宋体" w:hAnsi="宋体"/>
          <w:szCs w:val="21"/>
        </w:rPr>
        <w:t>为施工人员办理工伤保险、意外伤害保险（施工人员较多的承包商建议购买建筑工程团体意外险），</w:t>
      </w:r>
      <w:r>
        <w:rPr>
          <w:rFonts w:hint="eastAsia" w:asciiTheme="minorEastAsia" w:hAnsiTheme="minorEastAsia" w:eastAsiaTheme="minorEastAsia"/>
          <w:szCs w:val="21"/>
        </w:rPr>
        <w:t>为施工人员配备合格的劳动防护用品及安全用具，并保证施工工具、器械使用安全。</w:t>
      </w:r>
    </w:p>
    <w:p w14:paraId="7B8AAFAD">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10" w:firstLineChars="50"/>
        <w:textAlignment w:val="auto"/>
        <w:rPr>
          <w:rFonts w:asciiTheme="minorEastAsia" w:hAnsiTheme="minorEastAsia" w:eastAsiaTheme="minorEastAsia"/>
          <w:szCs w:val="21"/>
        </w:rPr>
      </w:pPr>
      <w:r>
        <w:rPr>
          <w:rFonts w:hint="eastAsia" w:asciiTheme="minorEastAsia" w:hAnsiTheme="minorEastAsia" w:eastAsiaTheme="minorEastAsia"/>
          <w:szCs w:val="21"/>
        </w:rPr>
        <w:t>13、乙方需</w:t>
      </w:r>
      <w:r>
        <w:rPr>
          <w:rFonts w:hint="eastAsia" w:ascii="宋体" w:hAnsi="宋体"/>
          <w:szCs w:val="21"/>
        </w:rPr>
        <w:t>建立安全检查制度，指定专人负责现场安全监督检查工作，认真开展安全检查，发现作业过程中不安全行为、隐患、重大险情，应采取有效措施及时处理并报告甲方。</w:t>
      </w:r>
    </w:p>
    <w:p w14:paraId="76E3C006">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10" w:firstLineChars="50"/>
        <w:textAlignment w:val="auto"/>
        <w:rPr>
          <w:rFonts w:asciiTheme="minorEastAsia" w:hAnsiTheme="minorEastAsia" w:eastAsiaTheme="minorEastAsia"/>
          <w:szCs w:val="21"/>
        </w:rPr>
      </w:pPr>
      <w:r>
        <w:rPr>
          <w:rFonts w:hint="eastAsia" w:asciiTheme="minorEastAsia" w:hAnsiTheme="minorEastAsia" w:eastAsiaTheme="minorEastAsia"/>
          <w:szCs w:val="21"/>
        </w:rPr>
        <w:t>14、</w:t>
      </w:r>
      <w:r>
        <w:rPr>
          <w:rFonts w:hint="eastAsia" w:ascii="宋体" w:hAnsi="宋体"/>
          <w:szCs w:val="21"/>
        </w:rPr>
        <w:t>发生事故时，乙方必须及时向甲方报告。同时根据指令迅速组织实施现场人员疏散和抢救工作、采取相应的措施保护好现场，并要积极配合甲方或上级有关部门对事故的调查和现场勘查。</w:t>
      </w:r>
    </w:p>
    <w:p w14:paraId="6768FEBB">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10" w:firstLineChars="50"/>
        <w:textAlignment w:val="auto"/>
        <w:rPr>
          <w:rFonts w:asciiTheme="minorEastAsia" w:hAnsiTheme="minorEastAsia" w:eastAsiaTheme="minorEastAsia"/>
          <w:szCs w:val="21"/>
        </w:rPr>
      </w:pPr>
      <w:r>
        <w:rPr>
          <w:rFonts w:hint="eastAsia" w:asciiTheme="minorEastAsia" w:hAnsiTheme="minorEastAsia" w:eastAsiaTheme="minorEastAsia"/>
          <w:szCs w:val="21"/>
        </w:rPr>
        <w:t>15、乙方</w:t>
      </w:r>
      <w:r>
        <w:rPr>
          <w:rFonts w:hint="eastAsia" w:ascii="宋体" w:hAnsi="宋体"/>
          <w:szCs w:val="21"/>
        </w:rPr>
        <w:t>进入现场的施工人员，严禁动用装置区机泵、容器、塔、加热炉等任何部位阀门，防止误开误关，造成意外事故。如确实需用，经与装置有关人员联系，同意后，由操作人员启闭阀门。</w:t>
      </w:r>
    </w:p>
    <w:p w14:paraId="3123B05F">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10" w:firstLineChars="50"/>
        <w:textAlignment w:val="auto"/>
        <w:rPr>
          <w:rFonts w:asciiTheme="minorEastAsia" w:hAnsiTheme="minorEastAsia" w:eastAsiaTheme="minorEastAsia"/>
          <w:szCs w:val="21"/>
        </w:rPr>
      </w:pPr>
      <w:r>
        <w:rPr>
          <w:rFonts w:hint="eastAsia" w:asciiTheme="minorEastAsia" w:hAnsiTheme="minorEastAsia" w:eastAsiaTheme="minorEastAsia"/>
          <w:szCs w:val="21"/>
        </w:rPr>
        <w:t>16、乙方</w:t>
      </w:r>
      <w:r>
        <w:rPr>
          <w:rFonts w:hint="eastAsia" w:ascii="宋体" w:hAnsi="宋体"/>
          <w:szCs w:val="21"/>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682F6AB0">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10" w:firstLineChars="50"/>
        <w:textAlignment w:val="auto"/>
        <w:rPr>
          <w:rFonts w:asciiTheme="minorEastAsia" w:hAnsiTheme="minorEastAsia" w:eastAsiaTheme="minorEastAsia"/>
          <w:szCs w:val="21"/>
        </w:rPr>
      </w:pPr>
      <w:r>
        <w:rPr>
          <w:rFonts w:hint="eastAsia" w:asciiTheme="minorEastAsia" w:hAnsiTheme="minorEastAsia" w:eastAsiaTheme="minorEastAsia"/>
          <w:szCs w:val="21"/>
        </w:rPr>
        <w:t>17、</w:t>
      </w:r>
      <w:r>
        <w:rPr>
          <w:rFonts w:hint="eastAsia" w:asciiTheme="minorEastAsia" w:hAnsiTheme="minorEastAsia" w:eastAsiaTheme="minorEastAsia"/>
          <w:bCs/>
        </w:rPr>
        <w:t>乙方</w:t>
      </w:r>
      <w:r>
        <w:rPr>
          <w:rFonts w:hint="eastAsia" w:ascii="宋体" w:hAnsi="宋体"/>
          <w:bCs/>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530F4FD6">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10" w:firstLineChars="50"/>
        <w:textAlignment w:val="auto"/>
        <w:rPr>
          <w:rFonts w:asciiTheme="minorEastAsia" w:hAnsiTheme="minorEastAsia" w:eastAsiaTheme="minorEastAsia"/>
          <w:bCs/>
        </w:rPr>
      </w:pPr>
      <w:r>
        <w:rPr>
          <w:rFonts w:hint="eastAsia" w:asciiTheme="minorEastAsia" w:hAnsiTheme="minorEastAsia" w:eastAsiaTheme="minorEastAsia"/>
          <w:bCs/>
        </w:rPr>
        <w:t>18、</w:t>
      </w:r>
      <w:r>
        <w:rPr>
          <w:rFonts w:hint="eastAsia" w:asciiTheme="minorEastAsia" w:hAnsiTheme="minorEastAsia" w:eastAsiaTheme="minorEastAsia"/>
          <w:szCs w:val="21"/>
        </w:rPr>
        <w:t>乙方</w:t>
      </w:r>
      <w:r>
        <w:rPr>
          <w:rFonts w:hint="eastAsia" w:ascii="宋体" w:hAnsi="宋体"/>
          <w:bCs/>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ascii="宋体" w:hAnsi="宋体"/>
        </w:rPr>
        <w:t>GB 2894-2008）</w:t>
      </w:r>
      <w:r>
        <w:rPr>
          <w:rFonts w:hint="eastAsia" w:ascii="宋体" w:hAnsi="宋体"/>
          <w:bCs/>
        </w:rPr>
        <w:t>的规定。</w:t>
      </w:r>
    </w:p>
    <w:p w14:paraId="2323A459">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10" w:firstLineChars="50"/>
        <w:textAlignment w:val="auto"/>
        <w:rPr>
          <w:rFonts w:asciiTheme="minorEastAsia" w:hAnsiTheme="minorEastAsia" w:eastAsiaTheme="minorEastAsia"/>
          <w:szCs w:val="21"/>
        </w:rPr>
      </w:pPr>
      <w:r>
        <w:rPr>
          <w:rFonts w:hint="eastAsia" w:asciiTheme="minorEastAsia" w:hAnsiTheme="minorEastAsia" w:eastAsiaTheme="minorEastAsia"/>
          <w:bCs/>
        </w:rPr>
        <w:t>19、</w:t>
      </w:r>
      <w:r>
        <w:rPr>
          <w:rFonts w:hint="eastAsia" w:asciiTheme="minorEastAsia" w:hAnsiTheme="minorEastAsia" w:eastAsiaTheme="minorEastAsia"/>
          <w:szCs w:val="21"/>
        </w:rPr>
        <w:t>乙方</w:t>
      </w:r>
      <w:r>
        <w:rPr>
          <w:rFonts w:hint="eastAsia" w:ascii="宋体" w:hAnsi="宋体"/>
          <w:bCs/>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2637799C">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10" w:firstLineChars="50"/>
        <w:textAlignment w:val="auto"/>
        <w:rPr>
          <w:rFonts w:asciiTheme="minorEastAsia" w:hAnsiTheme="minorEastAsia" w:eastAsiaTheme="minorEastAsia"/>
          <w:szCs w:val="21"/>
        </w:rPr>
      </w:pPr>
      <w:r>
        <w:rPr>
          <w:rFonts w:hint="eastAsia" w:asciiTheme="minorEastAsia" w:hAnsiTheme="minorEastAsia" w:eastAsiaTheme="minorEastAsia"/>
          <w:szCs w:val="21"/>
        </w:rPr>
        <w:t>20、乙方施工产生的</w:t>
      </w:r>
      <w:r>
        <w:rPr>
          <w:rFonts w:hint="eastAsia" w:ascii="宋体" w:hAnsi="宋体"/>
          <w:bCs/>
        </w:rPr>
        <w:t>任何有毒、有害物质，油类，化学品，废水，生活污水及其它污染物绝不能排入雨边沟、地井或污染地表土，必须按国家及地方的相关规定进行妥善处置。</w:t>
      </w:r>
      <w:r>
        <w:rPr>
          <w:rFonts w:hint="eastAsia" w:asciiTheme="minorEastAsia" w:hAnsiTheme="minorEastAsia" w:eastAsiaTheme="minorEastAsia"/>
          <w:szCs w:val="21"/>
        </w:rPr>
        <w:t>产生的废物应进行鉴别，一般固废和危险废物应妥善包装、分类堆放，并及时清理</w:t>
      </w:r>
      <w:r>
        <w:rPr>
          <w:rFonts w:hint="eastAsia" w:asciiTheme="minorEastAsia" w:hAnsiTheme="minorEastAsia" w:eastAsiaTheme="minorEastAsia"/>
          <w:sz w:val="24"/>
        </w:rPr>
        <w:t>。</w:t>
      </w:r>
      <w:r>
        <w:rPr>
          <w:rFonts w:hint="eastAsia" w:asciiTheme="minorEastAsia" w:hAnsiTheme="minorEastAsia" w:eastAsiaTheme="minorEastAsia"/>
          <w:szCs w:val="21"/>
        </w:rPr>
        <w:t>不能任意排放和丢弃。</w:t>
      </w:r>
    </w:p>
    <w:p w14:paraId="12037A31">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10" w:firstLineChars="50"/>
        <w:textAlignment w:val="auto"/>
        <w:rPr>
          <w:rFonts w:asciiTheme="minorEastAsia" w:hAnsiTheme="minorEastAsia" w:eastAsiaTheme="minorEastAsia"/>
          <w:sz w:val="24"/>
        </w:rPr>
      </w:pPr>
      <w:r>
        <w:rPr>
          <w:rFonts w:hint="eastAsia" w:asciiTheme="minorEastAsia" w:hAnsiTheme="minorEastAsia" w:eastAsiaTheme="minorEastAsia"/>
          <w:szCs w:val="21"/>
        </w:rPr>
        <w:t>21、</w:t>
      </w:r>
      <w:r>
        <w:rPr>
          <w:rFonts w:hint="eastAsia" w:ascii="宋体" w:hAnsi="宋体"/>
          <w:szCs w:val="21"/>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65078E74">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10" w:firstLineChars="50"/>
        <w:textAlignment w:val="auto"/>
        <w:rPr>
          <w:rFonts w:asciiTheme="minorEastAsia" w:hAnsiTheme="minorEastAsia" w:eastAsiaTheme="minorEastAsia"/>
          <w:szCs w:val="21"/>
        </w:rPr>
      </w:pPr>
      <w:r>
        <w:rPr>
          <w:rFonts w:hint="eastAsia" w:asciiTheme="minorEastAsia" w:hAnsiTheme="minorEastAsia" w:eastAsiaTheme="minorEastAsia"/>
          <w:szCs w:val="21"/>
        </w:rPr>
        <w:t>22、</w:t>
      </w:r>
      <w:r>
        <w:rPr>
          <w:rFonts w:hint="eastAsia" w:ascii="宋体" w:hAnsi="宋体"/>
          <w:bCs/>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53585980">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10" w:firstLineChars="50"/>
        <w:textAlignment w:val="auto"/>
        <w:rPr>
          <w:rFonts w:asciiTheme="minorEastAsia" w:hAnsiTheme="minorEastAsia" w:eastAsiaTheme="minorEastAsia"/>
          <w:b/>
          <w:szCs w:val="21"/>
        </w:rPr>
      </w:pPr>
      <w:r>
        <w:rPr>
          <w:rFonts w:hint="eastAsia" w:asciiTheme="minorEastAsia" w:hAnsiTheme="minorEastAsia" w:eastAsiaTheme="minorEastAsia"/>
          <w:b/>
          <w:szCs w:val="21"/>
        </w:rPr>
        <w:t>三、违约责任及处理</w:t>
      </w:r>
    </w:p>
    <w:p w14:paraId="23E040C9">
      <w:pPr>
        <w:pStyle w:val="19"/>
        <w:keepNext w:val="0"/>
        <w:keepLines w:val="0"/>
        <w:pageBreakBefore w:val="0"/>
        <w:widowControl w:val="0"/>
        <w:numPr>
          <w:ilvl w:val="0"/>
          <w:numId w:val="6"/>
        </w:numPr>
        <w:kinsoku/>
        <w:wordWrap/>
        <w:overflowPunct/>
        <w:topLinePunct w:val="0"/>
        <w:autoSpaceDE w:val="0"/>
        <w:autoSpaceDN w:val="0"/>
        <w:bidi w:val="0"/>
        <w:adjustRightInd/>
        <w:snapToGrid/>
        <w:spacing w:before="0" w:line="360" w:lineRule="auto"/>
        <w:ind w:left="0" w:leftChars="0" w:firstLine="110" w:firstLineChars="50"/>
        <w:textAlignment w:val="auto"/>
        <w:rPr>
          <w:rFonts w:asciiTheme="minorEastAsia" w:hAnsiTheme="minorEastAsia" w:eastAsiaTheme="minorEastAsia"/>
          <w:b/>
          <w:szCs w:val="21"/>
        </w:rPr>
      </w:pPr>
      <w:r>
        <w:rPr>
          <w:rFonts w:hint="eastAsia" w:ascii="宋体" w:hAnsi="宋体"/>
          <w:szCs w:val="21"/>
        </w:rPr>
        <w:t>乙方不得将工程违法转包、分包。</w:t>
      </w:r>
    </w:p>
    <w:p w14:paraId="0311F207">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10" w:firstLineChars="50"/>
        <w:textAlignment w:val="auto"/>
        <w:rPr>
          <w:rFonts w:asciiTheme="minorEastAsia" w:hAnsiTheme="minorEastAsia" w:eastAsiaTheme="minorEastAsia"/>
          <w:szCs w:val="21"/>
        </w:rPr>
      </w:pPr>
      <w:r>
        <w:rPr>
          <w:rFonts w:hint="eastAsia" w:asciiTheme="minorEastAsia" w:hAnsiTheme="minorEastAsia" w:eastAsiaTheme="minorEastAsia"/>
          <w:szCs w:val="21"/>
        </w:rPr>
        <w:t>2、发生安全事故时，甲乙双方均有抢险、救灾的义务，所发生的费用由责任方承担。</w:t>
      </w:r>
    </w:p>
    <w:p w14:paraId="6AB16A4C">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10" w:firstLineChars="5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szCs w:val="21"/>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63C4EE33">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10" w:firstLineChars="50"/>
        <w:textAlignment w:val="auto"/>
        <w:rPr>
          <w:rFonts w:asciiTheme="minorEastAsia" w:hAnsiTheme="minorEastAsia" w:eastAsiaTheme="minorEastAsia"/>
          <w:szCs w:val="21"/>
        </w:rPr>
      </w:pPr>
      <w:r>
        <w:rPr>
          <w:rFonts w:hint="eastAsia" w:asciiTheme="minorEastAsia" w:hAnsiTheme="minorEastAsia" w:eastAsiaTheme="minorEastAsia"/>
          <w:szCs w:val="21"/>
        </w:rPr>
        <w:t>4、甲方违约造成的事故，甲方承担全部责任，并按规定追究有关人员责任及上报。</w:t>
      </w:r>
    </w:p>
    <w:p w14:paraId="6E7E2DD9">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10" w:firstLineChars="50"/>
        <w:textAlignment w:val="auto"/>
        <w:rPr>
          <w:rFonts w:asciiTheme="minorEastAsia" w:hAnsiTheme="minorEastAsia" w:eastAsiaTheme="minorEastAsia"/>
          <w:szCs w:val="21"/>
        </w:rPr>
      </w:pPr>
      <w:r>
        <w:rPr>
          <w:rFonts w:hint="eastAsia" w:asciiTheme="minorEastAsia" w:hAnsiTheme="minorEastAsia" w:eastAsiaTheme="minorEastAsia"/>
          <w:szCs w:val="21"/>
        </w:rPr>
        <w:t>5、乙方在施工过程中如果有违法、违规和违章行为，甲方将按照按国家法律、法规和甲方的HSE管理制度进行处罚。</w:t>
      </w:r>
      <w:r>
        <w:rPr>
          <w:rFonts w:hint="eastAsia" w:ascii="宋体" w:hAnsi="宋体"/>
          <w:szCs w:val="21"/>
        </w:rPr>
        <w:t>处罚款由乙方现金形式交到甲方财务部，对不按时缴纳罚款的，甲方可以从乙方工程款双倍扣除。</w:t>
      </w:r>
    </w:p>
    <w:p w14:paraId="13D19669">
      <w:pPr>
        <w:keepNext w:val="0"/>
        <w:keepLines w:val="0"/>
        <w:pageBreakBefore w:val="0"/>
        <w:widowControl w:val="0"/>
        <w:tabs>
          <w:tab w:val="left" w:pos="360"/>
          <w:tab w:val="left" w:pos="840"/>
        </w:tabs>
        <w:kinsoku/>
        <w:wordWrap/>
        <w:overflowPunct/>
        <w:topLinePunct w:val="0"/>
        <w:autoSpaceDE w:val="0"/>
        <w:autoSpaceDN w:val="0"/>
        <w:bidi w:val="0"/>
        <w:adjustRightInd/>
        <w:snapToGrid/>
        <w:spacing w:line="360" w:lineRule="auto"/>
        <w:ind w:left="0" w:leftChars="0" w:firstLine="110" w:firstLineChars="50"/>
        <w:textAlignment w:val="auto"/>
        <w:rPr>
          <w:rFonts w:asciiTheme="minorEastAsia" w:hAnsiTheme="minorEastAsia" w:eastAsiaTheme="minorEastAsia"/>
          <w:color w:val="FF0000"/>
          <w:szCs w:val="21"/>
        </w:rPr>
      </w:pPr>
      <w:r>
        <w:rPr>
          <w:rFonts w:hint="eastAsia" w:asciiTheme="minorEastAsia" w:hAnsiTheme="minorEastAsia" w:eastAsiaTheme="minorEastAsia"/>
          <w:szCs w:val="21"/>
        </w:rPr>
        <w:t>6、乙方违约造成的事故，乙方承担全部责任，</w:t>
      </w:r>
      <w:r>
        <w:rPr>
          <w:rFonts w:hint="eastAsia"/>
          <w:szCs w:val="21"/>
        </w:rPr>
        <w:t>对于事故后果影响较大的承包商，由甲方主管部门下达停工通知单，勒令承包商停工整顿，在承包商问题隐患整改完毕、人员培训学习合格后方可重新准予开工，</w:t>
      </w:r>
      <w:r>
        <w:rPr>
          <w:rFonts w:hint="eastAsia" w:asciiTheme="minorEastAsia" w:hAnsiTheme="minorEastAsia" w:eastAsiaTheme="minorEastAsia"/>
          <w:szCs w:val="21"/>
        </w:rPr>
        <w:t>并按规定追究有关人员责任并报告甲方；由于乙方工程服务质量、检修质量及购买的原材料质量导致的事故，由乙方承担全部责任构成犯罪的，依法追究刑事责任。</w:t>
      </w:r>
    </w:p>
    <w:p w14:paraId="72A66095">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10" w:firstLineChars="50"/>
        <w:textAlignment w:val="auto"/>
        <w:rPr>
          <w:rFonts w:asciiTheme="minorEastAsia" w:hAnsiTheme="minorEastAsia" w:eastAsiaTheme="minorEastAsia"/>
          <w:color w:val="FF0000"/>
          <w:szCs w:val="21"/>
        </w:rPr>
      </w:pPr>
      <w:r>
        <w:rPr>
          <w:rFonts w:hint="eastAsia" w:asciiTheme="minorEastAsia" w:hAnsiTheme="minorEastAsia" w:eastAsiaTheme="minorEastAsia"/>
          <w:szCs w:val="21"/>
        </w:rPr>
        <w:t>7、对乙方发生事故后弄虚作假、隐瞒不报、迟报或谎报，一经查出，按有关规定处罚，并</w:t>
      </w:r>
      <w:r>
        <w:rPr>
          <w:rFonts w:hint="eastAsia"/>
          <w:szCs w:val="21"/>
        </w:rPr>
        <w:t>向所有在甲方范围内施工的其它承包商进行通报，并将通报送达承包商。</w:t>
      </w:r>
      <w:r>
        <w:rPr>
          <w:rFonts w:hint="eastAsia" w:asciiTheme="minorEastAsia" w:hAnsiTheme="minorEastAsia" w:eastAsiaTheme="minorEastAsia"/>
          <w:szCs w:val="21"/>
        </w:rPr>
        <w:t>情节严重的，取消其进入甲方的市场资格。</w:t>
      </w:r>
    </w:p>
    <w:p w14:paraId="5D8AA182">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10" w:firstLineChars="50"/>
        <w:textAlignment w:val="auto"/>
        <w:rPr>
          <w:rFonts w:asciiTheme="minorEastAsia" w:hAnsiTheme="minorEastAsia" w:eastAsiaTheme="minorEastAsia"/>
          <w:b/>
          <w:szCs w:val="21"/>
        </w:rPr>
      </w:pPr>
      <w:r>
        <w:rPr>
          <w:rFonts w:hint="eastAsia" w:asciiTheme="minorEastAsia" w:hAnsiTheme="minorEastAsia" w:eastAsiaTheme="minorEastAsia"/>
          <w:b/>
          <w:szCs w:val="21"/>
        </w:rPr>
        <w:t>四、 不可抗力：</w:t>
      </w:r>
    </w:p>
    <w:p w14:paraId="37C003C6">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10" w:firstLineChars="50"/>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由于不可抗力造成合同项目施工作业事故及产生的损失，甲乙双方各自承担相应的损失。</w:t>
      </w:r>
    </w:p>
    <w:p w14:paraId="7A46116D">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10" w:firstLineChars="50"/>
        <w:textAlignment w:val="auto"/>
        <w:rPr>
          <w:rFonts w:asciiTheme="minorEastAsia" w:hAnsiTheme="minorEastAsia" w:eastAsiaTheme="minorEastAsia"/>
          <w:szCs w:val="21"/>
        </w:rPr>
      </w:pPr>
      <w:r>
        <w:rPr>
          <w:rFonts w:hint="eastAsia" w:asciiTheme="minorEastAsia" w:hAnsiTheme="minorEastAsia" w:eastAsiaTheme="minorEastAsia"/>
          <w:b/>
          <w:szCs w:val="21"/>
        </w:rPr>
        <w:t>五、</w:t>
      </w:r>
      <w:r>
        <w:rPr>
          <w:rFonts w:hint="eastAsia" w:asciiTheme="minorEastAsia" w:hAnsiTheme="minorEastAsia" w:eastAsiaTheme="minorEastAsia"/>
          <w:szCs w:val="21"/>
        </w:rPr>
        <w:t>本协议书一式两份，甲乙双方各执一份。</w:t>
      </w:r>
    </w:p>
    <w:p w14:paraId="488ED2B3">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10" w:firstLineChars="50"/>
        <w:textAlignment w:val="auto"/>
        <w:rPr>
          <w:rFonts w:asciiTheme="minorEastAsia" w:hAnsiTheme="minorEastAsia" w:eastAsiaTheme="minorEastAsia"/>
          <w:szCs w:val="21"/>
        </w:rPr>
      </w:pPr>
      <w:r>
        <w:rPr>
          <w:rFonts w:hint="eastAsia" w:asciiTheme="minorEastAsia" w:hAnsiTheme="minorEastAsia" w:eastAsiaTheme="minorEastAsia"/>
          <w:b/>
          <w:szCs w:val="21"/>
        </w:rPr>
        <w:t>六、</w:t>
      </w:r>
      <w:r>
        <w:rPr>
          <w:rFonts w:hint="eastAsia" w:asciiTheme="minorEastAsia" w:hAnsiTheme="minorEastAsia" w:eastAsiaTheme="minorEastAsia"/>
          <w:szCs w:val="21"/>
        </w:rPr>
        <w:t>本协议书经双方盖章后生效。</w:t>
      </w:r>
    </w:p>
    <w:p w14:paraId="11A4551D">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10" w:firstLineChars="50"/>
        <w:textAlignment w:val="auto"/>
        <w:rPr>
          <w:rFonts w:asciiTheme="minorEastAsia" w:hAnsiTheme="minorEastAsia" w:eastAsiaTheme="minorEastAsia"/>
          <w:b/>
          <w:szCs w:val="21"/>
        </w:rPr>
      </w:pPr>
      <w:r>
        <w:rPr>
          <w:rFonts w:hint="eastAsia" w:asciiTheme="minorEastAsia" w:hAnsiTheme="minorEastAsia" w:eastAsiaTheme="minorEastAsia"/>
          <w:b/>
          <w:szCs w:val="21"/>
        </w:rPr>
        <w:t>七、协议期限：</w:t>
      </w:r>
    </w:p>
    <w:p w14:paraId="79868C48">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10" w:firstLineChars="50"/>
        <w:textAlignment w:val="auto"/>
        <w:rPr>
          <w:rFonts w:asciiTheme="minorEastAsia" w:hAnsiTheme="minorEastAsia" w:eastAsiaTheme="minorEastAsia"/>
          <w:szCs w:val="21"/>
        </w:rPr>
      </w:pPr>
      <w:r>
        <w:rPr>
          <w:rFonts w:hint="eastAsia" w:asciiTheme="minorEastAsia" w:hAnsiTheme="minorEastAsia" w:eastAsiaTheme="minorEastAsia"/>
          <w:szCs w:val="21"/>
        </w:rPr>
        <w:t>本协议期限应与主合同期限一致。如果主合同因故需要变更期限，本合同应与主同变更至相同期限。</w:t>
      </w:r>
    </w:p>
    <w:p w14:paraId="27059ED3">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10" w:firstLineChars="50"/>
        <w:textAlignment w:val="auto"/>
        <w:rPr>
          <w:rFonts w:asciiTheme="minorEastAsia" w:hAnsiTheme="minorEastAsia" w:eastAsiaTheme="minorEastAsia"/>
          <w:szCs w:val="21"/>
        </w:rPr>
      </w:pPr>
      <w:r>
        <w:rPr>
          <w:rFonts w:hint="eastAsia" w:asciiTheme="minorEastAsia" w:hAnsiTheme="minorEastAsia" w:eastAsiaTheme="minorEastAsia"/>
          <w:szCs w:val="21"/>
        </w:rPr>
        <w:t>（以下无正文）</w:t>
      </w:r>
    </w:p>
    <w:p w14:paraId="3A7A73A7">
      <w:pPr>
        <w:widowControl/>
        <w:ind w:left="0" w:leftChars="0" w:firstLine="0" w:firstLineChars="0"/>
        <w:rPr>
          <w:rFonts w:hint="default" w:ascii="Times New Roman" w:hAnsi="Times New Roman" w:eastAsia="宋体" w:cs="Times New Roman"/>
          <w:b/>
          <w:sz w:val="21"/>
          <w:szCs w:val="21"/>
          <w:lang w:eastAsia="zh-CN"/>
        </w:rPr>
      </w:pPr>
    </w:p>
    <w:p w14:paraId="438A323F">
      <w:pPr>
        <w:spacing w:line="360" w:lineRule="auto"/>
        <w:rPr>
          <w:rFonts w:hint="default" w:ascii="Times New Roman" w:hAnsi="Times New Roman" w:eastAsia="宋体" w:cs="Times New Roman"/>
          <w:b/>
          <w:bCs w:val="0"/>
          <w:sz w:val="24"/>
          <w:szCs w:val="24"/>
          <w:u w:val="none"/>
          <w:lang w:val="en-US" w:eastAsia="zh-CN"/>
        </w:rPr>
      </w:pPr>
      <w:r>
        <w:rPr>
          <w:rFonts w:hint="eastAsia" w:ascii="Times New Roman" w:hAnsi="Times New Roman" w:eastAsia="宋体" w:cs="Times New Roman"/>
          <w:b/>
          <w:bCs w:val="0"/>
          <w:sz w:val="24"/>
          <w:szCs w:val="24"/>
          <w:u w:val="none"/>
          <w:lang w:val="en-US" w:eastAsia="zh-CN"/>
        </w:rPr>
        <w:t>甲方：                                 乙方：</w:t>
      </w:r>
    </w:p>
    <w:p w14:paraId="185AE10F">
      <w:pPr>
        <w:spacing w:line="360" w:lineRule="auto"/>
        <w:rPr>
          <w:rFonts w:hint="eastAsia" w:ascii="Times New Roman" w:hAnsi="Times New Roman" w:eastAsia="宋体" w:cs="Times New Roman"/>
          <w:b/>
          <w:bCs w:val="0"/>
          <w:sz w:val="21"/>
          <w:szCs w:val="21"/>
          <w:u w:val="none"/>
          <w:lang w:val="en-US" w:eastAsia="zh-CN"/>
        </w:rPr>
      </w:pPr>
      <w:r>
        <w:rPr>
          <w:rFonts w:hint="eastAsia" w:ascii="Times New Roman" w:hAnsi="Times New Roman" w:cs="Times New Roman"/>
          <w:b/>
          <w:bCs w:val="0"/>
          <w:sz w:val="21"/>
          <w:szCs w:val="21"/>
          <w:u w:val="none"/>
          <w:lang w:val="en-US" w:eastAsia="zh-CN"/>
        </w:rPr>
        <w:t>福建福海创石油化工</w:t>
      </w:r>
      <w:r>
        <w:rPr>
          <w:rFonts w:hint="eastAsia" w:ascii="Times New Roman" w:hAnsi="Times New Roman" w:eastAsia="宋体" w:cs="Times New Roman"/>
          <w:b/>
          <w:bCs w:val="0"/>
          <w:sz w:val="21"/>
          <w:szCs w:val="21"/>
          <w:u w:val="none"/>
          <w:lang w:val="en-US" w:eastAsia="zh-CN"/>
        </w:rPr>
        <w:t>有限公司</w:t>
      </w:r>
    </w:p>
    <w:p w14:paraId="190C6881">
      <w:pPr>
        <w:spacing w:line="360" w:lineRule="auto"/>
        <w:rPr>
          <w:rFonts w:hint="eastAsia" w:ascii="Times New Roman" w:hAnsi="Times New Roman" w:eastAsia="宋体" w:cs="Times New Roman"/>
          <w:b/>
          <w:bCs w:val="0"/>
          <w:sz w:val="21"/>
          <w:szCs w:val="21"/>
          <w:u w:val="none"/>
          <w:lang w:val="en-US" w:eastAsia="zh-CN"/>
        </w:rPr>
      </w:pPr>
      <w:r>
        <w:rPr>
          <w:rFonts w:hint="eastAsia" w:ascii="Times New Roman" w:hAnsi="Times New Roman" w:eastAsia="宋体" w:cs="Times New Roman"/>
          <w:b/>
          <w:bCs w:val="0"/>
          <w:sz w:val="21"/>
          <w:szCs w:val="21"/>
          <w:u w:val="none"/>
          <w:lang w:val="en-US" w:eastAsia="zh-CN"/>
        </w:rPr>
        <w:t>腾龙芳烃（漳州）有限公司</w:t>
      </w:r>
    </w:p>
    <w:p w14:paraId="57990445">
      <w:pPr>
        <w:spacing w:line="360" w:lineRule="auto"/>
        <w:rPr>
          <w:rFonts w:hint="eastAsia" w:ascii="宋体" w:hAnsi="宋体"/>
          <w:b/>
          <w:bCs/>
          <w:sz w:val="21"/>
          <w:szCs w:val="21"/>
          <w:u w:val="none"/>
        </w:rPr>
      </w:pPr>
      <w:r>
        <w:rPr>
          <w:rFonts w:hint="eastAsia" w:ascii="Times New Roman" w:hAnsi="Times New Roman" w:eastAsia="宋体" w:cs="Times New Roman"/>
          <w:b/>
          <w:bCs w:val="0"/>
          <w:sz w:val="21"/>
          <w:szCs w:val="21"/>
          <w:u w:val="none"/>
          <w:lang w:val="en-US" w:eastAsia="zh-CN"/>
        </w:rPr>
        <w:t>翔鹭码头投资管理（漳州）有限公司</w:t>
      </w:r>
      <w:r>
        <w:rPr>
          <w:rFonts w:hint="eastAsia" w:ascii="宋体" w:hAnsi="宋体"/>
          <w:b/>
          <w:bCs/>
          <w:sz w:val="21"/>
          <w:szCs w:val="21"/>
          <w:u w:val="none"/>
        </w:rPr>
        <w:t xml:space="preserve">  </w:t>
      </w:r>
    </w:p>
    <w:p w14:paraId="6CA94DD5">
      <w:pPr>
        <w:spacing w:line="360" w:lineRule="auto"/>
        <w:rPr>
          <w:rFonts w:hint="eastAsia" w:ascii="Times New Roman" w:hAnsi="Times New Roman" w:eastAsia="宋体" w:cs="Times New Roman"/>
          <w:b/>
          <w:bCs w:val="0"/>
          <w:sz w:val="21"/>
          <w:szCs w:val="21"/>
          <w:u w:val="none"/>
          <w:lang w:val="en-US" w:eastAsia="zh-CN"/>
        </w:rPr>
      </w:pPr>
      <w:r>
        <w:rPr>
          <w:rFonts w:hint="eastAsia" w:ascii="Times New Roman" w:hAnsi="Times New Roman" w:eastAsia="宋体" w:cs="Times New Roman"/>
          <w:b/>
          <w:bCs w:val="0"/>
          <w:sz w:val="21"/>
          <w:szCs w:val="21"/>
          <w:u w:val="none"/>
          <w:lang w:val="en-US" w:eastAsia="zh-CN"/>
        </w:rPr>
        <w:t>福建福化古蕾化学有限公司</w:t>
      </w:r>
    </w:p>
    <w:p w14:paraId="2AD0F82E">
      <w:pPr>
        <w:keepNext w:val="0"/>
        <w:keepLines w:val="0"/>
        <w:pageBreakBefore w:val="0"/>
        <w:widowControl/>
        <w:kinsoku/>
        <w:wordWrap/>
        <w:overflowPunct/>
        <w:topLinePunct w:val="0"/>
        <w:autoSpaceDE w:val="0"/>
        <w:autoSpaceDN w:val="0"/>
        <w:bidi w:val="0"/>
        <w:adjustRightInd/>
        <w:snapToGrid/>
        <w:spacing w:line="360" w:lineRule="auto"/>
        <w:ind w:left="220" w:leftChars="100" w:firstLine="0" w:firstLineChars="0"/>
        <w:jc w:val="center"/>
        <w:textAlignment w:val="auto"/>
        <w:rPr>
          <w:rFonts w:hint="eastAsia" w:ascii="Times New Roman" w:hAnsi="Times New Roman" w:cs="Times New Roman"/>
          <w:b w:val="0"/>
          <w:bCs/>
          <w:sz w:val="21"/>
          <w:szCs w:val="21"/>
          <w:highlight w:val="none"/>
          <w:lang w:val="en-US" w:eastAsia="zh-CN"/>
        </w:rPr>
      </w:pPr>
      <w:r>
        <w:rPr>
          <w:rFonts w:hint="eastAsia" w:ascii="Times New Roman" w:hAnsi="Times New Roman" w:cs="Times New Roman"/>
          <w:b w:val="0"/>
          <w:bCs/>
          <w:sz w:val="21"/>
          <w:szCs w:val="21"/>
          <w:highlight w:val="none"/>
          <w:lang w:val="en-US" w:eastAsia="zh-CN"/>
        </w:rPr>
        <w:t>签订日期：2026年4月  日</w:t>
      </w:r>
    </w:p>
    <w:p w14:paraId="0B145446">
      <w:pPr>
        <w:pStyle w:val="18"/>
        <w:jc w:val="center"/>
        <w:rPr>
          <w:rFonts w:hint="default" w:ascii="Times New Roman" w:hAnsi="Times New Roman" w:cs="Times New Roman"/>
          <w:b w:val="0"/>
          <w:bCs/>
          <w:sz w:val="21"/>
          <w:szCs w:val="21"/>
          <w:highlight w:val="none"/>
          <w:lang w:val="en-US" w:eastAsia="zh-CN"/>
        </w:rPr>
      </w:pPr>
    </w:p>
    <w:p w14:paraId="7C9DDA9C">
      <w:pPr>
        <w:pStyle w:val="18"/>
        <w:ind w:firstLine="723" w:firstLineChars="300"/>
        <w:rPr>
          <w:rFonts w:hint="default" w:ascii="Times New Roman" w:hAnsi="Times New Roman" w:eastAsia="宋体" w:cs="Times New Roman"/>
          <w:b/>
          <w:sz w:val="24"/>
          <w:szCs w:val="24"/>
          <w:highlight w:val="none"/>
        </w:rPr>
      </w:pPr>
    </w:p>
    <w:p w14:paraId="2772A223">
      <w:pPr>
        <w:pStyle w:val="19"/>
        <w:keepNext w:val="0"/>
        <w:keepLines w:val="0"/>
        <w:pageBreakBefore w:val="0"/>
        <w:widowControl w:val="0"/>
        <w:numPr>
          <w:ilvl w:val="0"/>
          <w:numId w:val="0"/>
        </w:numPr>
        <w:kinsoku/>
        <w:wordWrap/>
        <w:overflowPunct/>
        <w:topLinePunct w:val="0"/>
        <w:autoSpaceDE w:val="0"/>
        <w:autoSpaceDN w:val="0"/>
        <w:bidi w:val="0"/>
        <w:adjustRightInd/>
        <w:snapToGrid/>
        <w:spacing w:before="0" w:after="157" w:afterLines="50"/>
        <w:ind w:leftChars="0"/>
        <w:jc w:val="center"/>
        <w:textAlignment w:val="auto"/>
        <w:rPr>
          <w:rFonts w:hint="eastAsia"/>
          <w:b/>
          <w:bCs/>
          <w:sz w:val="32"/>
          <w:szCs w:val="36"/>
          <w:lang w:val="en-US" w:eastAsia="zh-CN"/>
        </w:rPr>
      </w:pPr>
      <w:r>
        <w:rPr>
          <w:rFonts w:hint="eastAsia"/>
          <w:b/>
          <w:bCs/>
          <w:sz w:val="32"/>
          <w:szCs w:val="36"/>
          <w:lang w:val="en-US" w:eastAsia="zh-CN"/>
        </w:rPr>
        <w:t>附件3. 人员、车辆入厂安全管理协议</w:t>
      </w:r>
    </w:p>
    <w:p w14:paraId="708C903A">
      <w:pPr>
        <w:spacing w:line="360" w:lineRule="auto"/>
        <w:rPr>
          <w:rFonts w:hint="eastAsia" w:cs="宋体" w:asciiTheme="minorEastAsia" w:hAnsiTheme="minorEastAsia" w:eastAsiaTheme="minorEastAsia"/>
          <w:b/>
          <w:bCs/>
          <w:szCs w:val="21"/>
          <w:lang w:val="en-US" w:eastAsia="zh-CN"/>
        </w:rPr>
      </w:pPr>
      <w:r>
        <w:rPr>
          <w:rFonts w:hint="eastAsia" w:asciiTheme="minorEastAsia" w:hAnsiTheme="minorEastAsia" w:eastAsiaTheme="minorEastAsia"/>
          <w:b/>
          <w:bCs/>
          <w:szCs w:val="21"/>
        </w:rPr>
        <w:t>发包单位（以下简称甲方）：</w:t>
      </w:r>
      <w:r>
        <w:rPr>
          <w:rFonts w:hint="eastAsia" w:ascii="宋体" w:hAnsi="宋体"/>
          <w:b/>
          <w:bCs/>
          <w:szCs w:val="21"/>
          <w:u w:val="single"/>
        </w:rPr>
        <w:t xml:space="preserve"> </w:t>
      </w:r>
      <w:r>
        <w:rPr>
          <w:rFonts w:hint="eastAsia" w:cs="宋体" w:asciiTheme="minorEastAsia" w:hAnsiTheme="minorEastAsia" w:eastAsiaTheme="minorEastAsia"/>
          <w:b/>
          <w:bCs/>
          <w:szCs w:val="21"/>
          <w:lang w:val="en-US" w:eastAsia="zh-CN"/>
        </w:rPr>
        <w:t>福建福海创石油化工有限公司</w:t>
      </w:r>
    </w:p>
    <w:p w14:paraId="65482F3A">
      <w:pPr>
        <w:spacing w:line="360" w:lineRule="auto"/>
        <w:ind w:left="2979" w:leftChars="1354" w:firstLine="0" w:firstLineChars="0"/>
        <w:rPr>
          <w:rFonts w:hint="eastAsia" w:cs="宋体" w:asciiTheme="minorEastAsia" w:hAnsiTheme="minorEastAsia" w:eastAsiaTheme="minorEastAsia"/>
          <w:b/>
          <w:bCs/>
          <w:szCs w:val="21"/>
          <w:u w:val="single"/>
          <w:lang w:val="en-US" w:eastAsia="zh-CN"/>
        </w:rPr>
      </w:pPr>
      <w:r>
        <w:rPr>
          <w:rFonts w:hint="eastAsia" w:cs="宋体" w:asciiTheme="minorEastAsia" w:hAnsiTheme="minorEastAsia" w:eastAsiaTheme="minorEastAsia"/>
          <w:b/>
          <w:bCs/>
          <w:szCs w:val="21"/>
          <w:u w:val="single"/>
          <w:lang w:val="en-US" w:eastAsia="zh-CN"/>
        </w:rPr>
        <w:t>腾龙芳烃（漳州）有限公司</w:t>
      </w:r>
    </w:p>
    <w:p w14:paraId="55259001">
      <w:pPr>
        <w:spacing w:line="360" w:lineRule="auto"/>
        <w:ind w:left="2979" w:leftChars="1354" w:firstLine="0" w:firstLineChars="0"/>
        <w:rPr>
          <w:rFonts w:hint="eastAsia" w:cs="宋体" w:asciiTheme="minorEastAsia" w:hAnsiTheme="minorEastAsia" w:eastAsiaTheme="minorEastAsia"/>
          <w:b/>
          <w:bCs/>
          <w:szCs w:val="21"/>
          <w:u w:val="single"/>
        </w:rPr>
      </w:pPr>
      <w:r>
        <w:rPr>
          <w:rFonts w:hint="eastAsia" w:cs="宋体" w:asciiTheme="minorEastAsia" w:hAnsiTheme="minorEastAsia" w:eastAsiaTheme="minorEastAsia"/>
          <w:b/>
          <w:bCs/>
          <w:szCs w:val="21"/>
          <w:u w:val="single"/>
          <w:lang w:val="en-US" w:eastAsia="zh-CN"/>
        </w:rPr>
        <w:t>翔鹭码头投资管理（漳州）有限公司</w:t>
      </w:r>
      <w:r>
        <w:rPr>
          <w:rFonts w:hint="eastAsia" w:cs="宋体" w:asciiTheme="minorEastAsia" w:hAnsiTheme="minorEastAsia" w:eastAsiaTheme="minorEastAsia"/>
          <w:b/>
          <w:bCs/>
          <w:szCs w:val="21"/>
          <w:u w:val="single"/>
        </w:rPr>
        <w:t xml:space="preserve">  </w:t>
      </w:r>
    </w:p>
    <w:p w14:paraId="66666A93">
      <w:pPr>
        <w:spacing w:line="360" w:lineRule="auto"/>
        <w:ind w:left="2979" w:leftChars="1354" w:firstLine="0" w:firstLineChars="0"/>
        <w:rPr>
          <w:rFonts w:hint="eastAsia" w:cs="宋体" w:asciiTheme="minorEastAsia" w:hAnsiTheme="minorEastAsia" w:eastAsiaTheme="minorEastAsia"/>
          <w:b/>
          <w:bCs/>
          <w:szCs w:val="21"/>
          <w:u w:val="single"/>
          <w:lang w:val="en-US" w:eastAsia="zh-CN"/>
        </w:rPr>
      </w:pPr>
      <w:r>
        <w:rPr>
          <w:rFonts w:hint="eastAsia" w:cs="宋体" w:asciiTheme="minorEastAsia" w:hAnsiTheme="minorEastAsia" w:eastAsiaTheme="minorEastAsia"/>
          <w:b/>
          <w:bCs/>
          <w:szCs w:val="21"/>
          <w:u w:val="single"/>
          <w:lang w:val="en-US" w:eastAsia="zh-CN"/>
        </w:rPr>
        <w:t>福建福化古蕾化学有限公司</w:t>
      </w:r>
    </w:p>
    <w:p w14:paraId="51AAE6C2">
      <w:pPr>
        <w:pStyle w:val="19"/>
        <w:keepNext w:val="0"/>
        <w:keepLines w:val="0"/>
        <w:pageBreakBefore w:val="0"/>
        <w:widowControl w:val="0"/>
        <w:numPr>
          <w:ilvl w:val="0"/>
          <w:numId w:val="0"/>
        </w:numPr>
        <w:kinsoku/>
        <w:wordWrap/>
        <w:overflowPunct/>
        <w:topLinePunct w:val="0"/>
        <w:autoSpaceDE w:val="0"/>
        <w:autoSpaceDN w:val="0"/>
        <w:bidi w:val="0"/>
        <w:adjustRightInd/>
        <w:snapToGrid/>
        <w:spacing w:before="0" w:after="157" w:afterLines="50" w:line="360" w:lineRule="auto"/>
        <w:ind w:leftChars="0"/>
        <w:jc w:val="left"/>
        <w:textAlignment w:val="auto"/>
        <w:rPr>
          <w:rFonts w:hint="default"/>
          <w:b/>
          <w:bCs/>
          <w:szCs w:val="21"/>
          <w:u w:val="single"/>
          <w:lang w:val="en-US" w:eastAsia="zh-CN"/>
        </w:rPr>
      </w:pPr>
      <w:r>
        <w:rPr>
          <w:rFonts w:hint="eastAsia" w:cs="宋体" w:asciiTheme="minorEastAsia" w:hAnsiTheme="minorEastAsia" w:eastAsiaTheme="minorEastAsia"/>
          <w:b/>
          <w:bCs/>
          <w:sz w:val="22"/>
          <w:szCs w:val="21"/>
          <w:lang w:val="en-US" w:eastAsia="zh-CN" w:bidi="ar-SA"/>
        </w:rPr>
        <w:t>乙方</w:t>
      </w:r>
      <w:r>
        <w:rPr>
          <w:rFonts w:hint="eastAsia" w:asciiTheme="minorEastAsia" w:hAnsiTheme="minorEastAsia" w:eastAsiaTheme="minorEastAsia"/>
          <w:b/>
          <w:bCs/>
          <w:szCs w:val="21"/>
        </w:rPr>
        <w:t>（以下简称</w:t>
      </w:r>
      <w:r>
        <w:rPr>
          <w:rFonts w:hint="eastAsia" w:asciiTheme="minorEastAsia" w:hAnsiTheme="minorEastAsia" w:eastAsiaTheme="minorEastAsia"/>
          <w:b/>
          <w:bCs/>
          <w:szCs w:val="21"/>
          <w:lang w:val="en-US" w:eastAsia="zh-CN"/>
        </w:rPr>
        <w:t>乙</w:t>
      </w:r>
      <w:r>
        <w:rPr>
          <w:rFonts w:hint="eastAsia" w:asciiTheme="minorEastAsia" w:hAnsiTheme="minorEastAsia" w:eastAsiaTheme="minorEastAsia"/>
          <w:b/>
          <w:bCs/>
          <w:szCs w:val="21"/>
        </w:rPr>
        <w:t>方）</w:t>
      </w:r>
      <w:r>
        <w:rPr>
          <w:rFonts w:hint="eastAsia" w:cs="宋体" w:asciiTheme="minorEastAsia" w:hAnsiTheme="minorEastAsia" w:eastAsiaTheme="minorEastAsia"/>
          <w:b/>
          <w:bCs/>
          <w:sz w:val="22"/>
          <w:szCs w:val="21"/>
          <w:lang w:val="en-US" w:eastAsia="zh-CN" w:bidi="ar-SA"/>
        </w:rPr>
        <w:t xml:space="preserve">： </w:t>
      </w:r>
      <w:r>
        <w:rPr>
          <w:rFonts w:hint="eastAsia"/>
          <w:b/>
          <w:bCs/>
          <w:szCs w:val="21"/>
          <w:u w:val="single"/>
          <w:lang w:val="en-US" w:eastAsia="zh-CN"/>
        </w:rPr>
        <w:t xml:space="preserve"> </w:t>
      </w:r>
    </w:p>
    <w:p w14:paraId="0C63A021">
      <w:pPr>
        <w:keepNext w:val="0"/>
        <w:keepLines w:val="0"/>
        <w:pageBreakBefore w:val="0"/>
        <w:widowControl w:val="0"/>
        <w:kinsoku/>
        <w:wordWrap/>
        <w:overflowPunct/>
        <w:topLinePunct w:val="0"/>
        <w:autoSpaceDE w:val="0"/>
        <w:autoSpaceDN w:val="0"/>
        <w:bidi w:val="0"/>
        <w:adjustRightInd/>
        <w:snapToGrid/>
        <w:spacing w:line="288" w:lineRule="auto"/>
        <w:ind w:left="-84" w:leftChars="-38" w:firstLine="457" w:firstLineChars="208"/>
        <w:textAlignment w:val="auto"/>
        <w:rPr>
          <w:rFonts w:hint="eastAsia" w:ascii="宋体" w:hAnsi="宋体"/>
          <w:szCs w:val="21"/>
        </w:rPr>
      </w:pPr>
      <w:r>
        <w:rPr>
          <w:rFonts w:hint="eastAsia" w:ascii="宋体" w:hAnsi="宋体"/>
          <w:szCs w:val="21"/>
        </w:rPr>
        <w:t>为进一步明确甲乙双方在合同履行过程中的</w:t>
      </w:r>
      <w:r>
        <w:rPr>
          <w:rFonts w:hint="eastAsia" w:ascii="宋体" w:hAnsi="宋体"/>
          <w:szCs w:val="21"/>
          <w:lang w:val="en-US" w:eastAsia="zh-CN"/>
        </w:rPr>
        <w:t>安全生产</w:t>
      </w:r>
      <w:r>
        <w:rPr>
          <w:rFonts w:hint="eastAsia" w:ascii="宋体" w:hAnsi="宋体"/>
          <w:szCs w:val="21"/>
        </w:rPr>
        <w:t>权利和义务及责任，经双方协商，双方自愿签订本协议，作为主合同的附件。</w:t>
      </w:r>
    </w:p>
    <w:p w14:paraId="77CF0083">
      <w:pPr>
        <w:keepNext w:val="0"/>
        <w:keepLines w:val="0"/>
        <w:pageBreakBefore w:val="0"/>
        <w:widowControl w:val="0"/>
        <w:numPr>
          <w:ilvl w:val="0"/>
          <w:numId w:val="7"/>
        </w:numPr>
        <w:kinsoku/>
        <w:wordWrap/>
        <w:overflowPunct/>
        <w:topLinePunct w:val="0"/>
        <w:autoSpaceDE w:val="0"/>
        <w:autoSpaceDN w:val="0"/>
        <w:bidi w:val="0"/>
        <w:adjustRightInd/>
        <w:snapToGrid/>
        <w:spacing w:line="288" w:lineRule="auto"/>
        <w:ind w:left="-526" w:leftChars="-239" w:firstLine="466" w:firstLineChars="211"/>
        <w:textAlignment w:val="auto"/>
        <w:rPr>
          <w:rFonts w:hint="eastAsia" w:ascii="宋体" w:hAnsi="宋体"/>
          <w:b/>
          <w:bCs/>
          <w:szCs w:val="21"/>
          <w:lang w:val="en-US" w:eastAsia="zh-CN"/>
        </w:rPr>
      </w:pPr>
      <w:r>
        <w:rPr>
          <w:rFonts w:hint="eastAsia" w:ascii="宋体" w:hAnsi="宋体"/>
          <w:b/>
          <w:bCs/>
          <w:szCs w:val="21"/>
          <w:lang w:val="en-US" w:eastAsia="zh-CN"/>
        </w:rPr>
        <w:t>甲方的权利和义务</w:t>
      </w:r>
    </w:p>
    <w:p w14:paraId="679AEE09">
      <w:pPr>
        <w:keepNext w:val="0"/>
        <w:keepLines w:val="0"/>
        <w:pageBreakBefore w:val="0"/>
        <w:widowControl w:val="0"/>
        <w:numPr>
          <w:ilvl w:val="0"/>
          <w:numId w:val="8"/>
        </w:numPr>
        <w:kinsoku/>
        <w:wordWrap/>
        <w:overflowPunct/>
        <w:topLinePunct w:val="0"/>
        <w:autoSpaceDE w:val="0"/>
        <w:autoSpaceDN w:val="0"/>
        <w:bidi w:val="0"/>
        <w:adjustRightInd/>
        <w:snapToGrid/>
        <w:spacing w:line="288" w:lineRule="auto"/>
        <w:ind w:leftChars="-28"/>
        <w:textAlignment w:val="auto"/>
        <w:rPr>
          <w:rFonts w:hint="default" w:ascii="宋体" w:hAnsi="宋体"/>
          <w:szCs w:val="21"/>
          <w:lang w:val="en-US" w:eastAsia="zh-CN"/>
        </w:rPr>
      </w:pPr>
      <w:r>
        <w:rPr>
          <w:rFonts w:hint="eastAsia" w:ascii="宋体" w:hAnsi="宋体"/>
          <w:szCs w:val="21"/>
          <w:lang w:val="en-US" w:eastAsia="zh-CN"/>
        </w:rPr>
        <w:t>甲方负责向乙方提供乙方需遵守的安全环保管理规定，并在入厂前向需要进入甲方厂区的人员进行安全告知。</w:t>
      </w:r>
    </w:p>
    <w:p w14:paraId="1FFB0F2C">
      <w:pPr>
        <w:keepNext w:val="0"/>
        <w:keepLines w:val="0"/>
        <w:pageBreakBefore w:val="0"/>
        <w:widowControl w:val="0"/>
        <w:numPr>
          <w:ilvl w:val="0"/>
          <w:numId w:val="8"/>
        </w:numPr>
        <w:kinsoku/>
        <w:wordWrap/>
        <w:overflowPunct/>
        <w:topLinePunct w:val="0"/>
        <w:autoSpaceDE w:val="0"/>
        <w:autoSpaceDN w:val="0"/>
        <w:bidi w:val="0"/>
        <w:adjustRightInd/>
        <w:snapToGrid/>
        <w:spacing w:line="288" w:lineRule="auto"/>
        <w:ind w:leftChars="-28"/>
        <w:textAlignment w:val="auto"/>
        <w:rPr>
          <w:rFonts w:hint="default" w:ascii="宋体" w:hAnsi="宋体"/>
          <w:szCs w:val="21"/>
          <w:lang w:val="en-US" w:eastAsia="zh-CN"/>
        </w:rPr>
      </w:pPr>
      <w:r>
        <w:rPr>
          <w:rFonts w:hint="eastAsia" w:ascii="宋体" w:hAnsi="宋体"/>
          <w:szCs w:val="21"/>
          <w:lang w:val="en-US" w:eastAsia="zh-CN"/>
        </w:rPr>
        <w:t>甲方应为乙方指定甲方厂区内的安全行车路线。</w:t>
      </w:r>
    </w:p>
    <w:p w14:paraId="3546AFA2">
      <w:pPr>
        <w:keepNext w:val="0"/>
        <w:keepLines w:val="0"/>
        <w:pageBreakBefore w:val="0"/>
        <w:widowControl w:val="0"/>
        <w:numPr>
          <w:ilvl w:val="0"/>
          <w:numId w:val="8"/>
        </w:numPr>
        <w:kinsoku/>
        <w:wordWrap/>
        <w:overflowPunct/>
        <w:topLinePunct w:val="0"/>
        <w:autoSpaceDE w:val="0"/>
        <w:autoSpaceDN w:val="0"/>
        <w:bidi w:val="0"/>
        <w:adjustRightInd/>
        <w:snapToGrid/>
        <w:spacing w:line="288" w:lineRule="auto"/>
        <w:ind w:leftChars="-28"/>
        <w:textAlignment w:val="auto"/>
        <w:rPr>
          <w:rFonts w:hint="default" w:ascii="宋体" w:hAnsi="宋体"/>
          <w:szCs w:val="21"/>
          <w:lang w:val="en-US" w:eastAsia="zh-CN"/>
        </w:rPr>
      </w:pPr>
      <w:r>
        <w:rPr>
          <w:rFonts w:hint="eastAsia" w:ascii="宋体" w:hAnsi="宋体"/>
          <w:szCs w:val="21"/>
          <w:lang w:val="en-US" w:eastAsia="zh-CN"/>
        </w:rPr>
        <w:t>甲方负责对乙方的入厂车辆和人员进行安全资质、车辆完好情况及人员健康情况进行检查，禁止不合格的车辆和人员入厂。</w:t>
      </w:r>
    </w:p>
    <w:p w14:paraId="67FF4EB4">
      <w:pPr>
        <w:keepNext w:val="0"/>
        <w:keepLines w:val="0"/>
        <w:pageBreakBefore w:val="0"/>
        <w:widowControl w:val="0"/>
        <w:numPr>
          <w:ilvl w:val="0"/>
          <w:numId w:val="8"/>
        </w:numPr>
        <w:kinsoku/>
        <w:wordWrap/>
        <w:overflowPunct/>
        <w:topLinePunct w:val="0"/>
        <w:autoSpaceDE w:val="0"/>
        <w:autoSpaceDN w:val="0"/>
        <w:bidi w:val="0"/>
        <w:adjustRightInd/>
        <w:snapToGrid/>
        <w:spacing w:line="288" w:lineRule="auto"/>
        <w:ind w:leftChars="-28"/>
        <w:textAlignment w:val="auto"/>
        <w:rPr>
          <w:rFonts w:hint="default" w:ascii="宋体" w:hAnsi="宋体"/>
          <w:szCs w:val="21"/>
          <w:lang w:val="en-US" w:eastAsia="zh-CN"/>
        </w:rPr>
      </w:pPr>
      <w:r>
        <w:rPr>
          <w:rFonts w:hint="eastAsia" w:ascii="宋体" w:hAnsi="宋体"/>
          <w:szCs w:val="21"/>
          <w:lang w:val="en-US" w:eastAsia="zh-CN"/>
        </w:rPr>
        <w:t>甲方对乙方车辆在甲方厂区门口、停车场及厂区内停放和行驶情况进行监督检查，有权对违规的车辆和人员按照甲方的规定进行处罚。</w:t>
      </w:r>
    </w:p>
    <w:p w14:paraId="10EA711F">
      <w:pPr>
        <w:keepNext w:val="0"/>
        <w:keepLines w:val="0"/>
        <w:pageBreakBefore w:val="0"/>
        <w:widowControl w:val="0"/>
        <w:numPr>
          <w:ilvl w:val="0"/>
          <w:numId w:val="8"/>
        </w:numPr>
        <w:kinsoku/>
        <w:wordWrap/>
        <w:overflowPunct/>
        <w:topLinePunct w:val="0"/>
        <w:autoSpaceDE w:val="0"/>
        <w:autoSpaceDN w:val="0"/>
        <w:bidi w:val="0"/>
        <w:adjustRightInd/>
        <w:snapToGrid/>
        <w:spacing w:line="288" w:lineRule="auto"/>
        <w:ind w:leftChars="-28"/>
        <w:textAlignment w:val="auto"/>
        <w:rPr>
          <w:rFonts w:hint="default" w:ascii="宋体" w:hAnsi="宋体"/>
          <w:szCs w:val="21"/>
          <w:lang w:val="en-US" w:eastAsia="zh-CN"/>
        </w:rPr>
      </w:pPr>
      <w:r>
        <w:rPr>
          <w:rFonts w:hint="eastAsia" w:ascii="宋体" w:hAnsi="宋体"/>
          <w:szCs w:val="21"/>
          <w:lang w:val="en-US" w:eastAsia="zh-CN"/>
        </w:rPr>
        <w:t>甲方业务主管部门应全程委托专门人员引导乙方车辆和人员按指定的路线进入厂区、到达指定位置。</w:t>
      </w:r>
    </w:p>
    <w:p w14:paraId="3E78F124">
      <w:pPr>
        <w:keepNext w:val="0"/>
        <w:keepLines w:val="0"/>
        <w:pageBreakBefore w:val="0"/>
        <w:widowControl w:val="0"/>
        <w:numPr>
          <w:ilvl w:val="0"/>
          <w:numId w:val="7"/>
        </w:numPr>
        <w:kinsoku/>
        <w:wordWrap/>
        <w:overflowPunct/>
        <w:topLinePunct w:val="0"/>
        <w:autoSpaceDE w:val="0"/>
        <w:autoSpaceDN w:val="0"/>
        <w:bidi w:val="0"/>
        <w:adjustRightInd/>
        <w:snapToGrid/>
        <w:spacing w:line="288" w:lineRule="auto"/>
        <w:ind w:left="-526" w:leftChars="-239" w:firstLine="466" w:firstLineChars="211"/>
        <w:textAlignment w:val="auto"/>
        <w:rPr>
          <w:rFonts w:hint="default" w:ascii="宋体" w:hAnsi="宋体"/>
          <w:b/>
          <w:bCs/>
          <w:szCs w:val="21"/>
          <w:lang w:val="en-US" w:eastAsia="zh-CN"/>
        </w:rPr>
      </w:pPr>
      <w:r>
        <w:rPr>
          <w:rFonts w:hint="eastAsia" w:ascii="宋体" w:hAnsi="宋体"/>
          <w:b/>
          <w:bCs/>
          <w:szCs w:val="21"/>
          <w:lang w:val="en-US" w:eastAsia="zh-CN"/>
        </w:rPr>
        <w:t>乙方的权利和义务</w:t>
      </w:r>
    </w:p>
    <w:p w14:paraId="7B3C5F8B">
      <w:pPr>
        <w:keepNext w:val="0"/>
        <w:keepLines w:val="0"/>
        <w:pageBreakBefore w:val="0"/>
        <w:widowControl w:val="0"/>
        <w:numPr>
          <w:ilvl w:val="0"/>
          <w:numId w:val="9"/>
        </w:numPr>
        <w:kinsoku/>
        <w:wordWrap/>
        <w:overflowPunct/>
        <w:topLinePunct w:val="0"/>
        <w:autoSpaceDE w:val="0"/>
        <w:autoSpaceDN w:val="0"/>
        <w:bidi w:val="0"/>
        <w:adjustRightInd/>
        <w:snapToGrid/>
        <w:spacing w:line="288" w:lineRule="auto"/>
        <w:ind w:leftChars="-28"/>
        <w:textAlignment w:val="auto"/>
        <w:rPr>
          <w:rFonts w:hint="eastAsia" w:ascii="宋体" w:hAnsi="宋体"/>
          <w:szCs w:val="21"/>
          <w:lang w:val="en-US" w:eastAsia="zh-CN"/>
        </w:rPr>
      </w:pPr>
      <w:r>
        <w:rPr>
          <w:rFonts w:hint="eastAsia" w:ascii="宋体" w:hAnsi="宋体"/>
          <w:szCs w:val="21"/>
          <w:lang w:val="en-US" w:eastAsia="zh-CN"/>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14:paraId="3E2C11F1">
      <w:pPr>
        <w:keepNext w:val="0"/>
        <w:keepLines w:val="0"/>
        <w:pageBreakBefore w:val="0"/>
        <w:widowControl w:val="0"/>
        <w:numPr>
          <w:ilvl w:val="0"/>
          <w:numId w:val="9"/>
        </w:numPr>
        <w:kinsoku/>
        <w:wordWrap/>
        <w:overflowPunct/>
        <w:topLinePunct w:val="0"/>
        <w:autoSpaceDE w:val="0"/>
        <w:autoSpaceDN w:val="0"/>
        <w:bidi w:val="0"/>
        <w:adjustRightInd/>
        <w:snapToGrid/>
        <w:spacing w:line="288" w:lineRule="auto"/>
        <w:ind w:leftChars="-28"/>
        <w:textAlignment w:val="auto"/>
        <w:rPr>
          <w:rFonts w:hint="eastAsia" w:ascii="宋体" w:hAnsi="宋体"/>
          <w:szCs w:val="21"/>
          <w:lang w:val="en-US" w:eastAsia="zh-CN"/>
        </w:rPr>
      </w:pPr>
      <w:r>
        <w:rPr>
          <w:rFonts w:hint="eastAsia" w:ascii="宋体" w:hAnsi="宋体"/>
          <w:szCs w:val="21"/>
          <w:lang w:val="en-US" w:eastAsia="zh-CN"/>
        </w:rPr>
        <w:t>乙方应为需进入甲方厂区的人员提供符合甲方要求的安全帽、劳保服、劳保鞋等劳动防护用品，并督促入厂人员规范佩戴和使用。</w:t>
      </w:r>
    </w:p>
    <w:p w14:paraId="62A0A4C3">
      <w:pPr>
        <w:keepNext w:val="0"/>
        <w:keepLines w:val="0"/>
        <w:pageBreakBefore w:val="0"/>
        <w:widowControl w:val="0"/>
        <w:numPr>
          <w:ilvl w:val="0"/>
          <w:numId w:val="9"/>
        </w:numPr>
        <w:kinsoku/>
        <w:wordWrap/>
        <w:overflowPunct/>
        <w:topLinePunct w:val="0"/>
        <w:autoSpaceDE w:val="0"/>
        <w:autoSpaceDN w:val="0"/>
        <w:bidi w:val="0"/>
        <w:adjustRightInd/>
        <w:snapToGrid/>
        <w:spacing w:line="288" w:lineRule="auto"/>
        <w:ind w:leftChars="-28"/>
        <w:textAlignment w:val="auto"/>
        <w:rPr>
          <w:rFonts w:hint="default" w:ascii="宋体" w:hAnsi="宋体"/>
          <w:szCs w:val="21"/>
          <w:lang w:val="en-US" w:eastAsia="zh-CN"/>
        </w:rPr>
      </w:pPr>
      <w:r>
        <w:rPr>
          <w:rFonts w:hint="eastAsia" w:ascii="宋体" w:hAnsi="宋体"/>
          <w:szCs w:val="21"/>
          <w:lang w:val="en-US" w:eastAsia="zh-CN"/>
        </w:rPr>
        <w:t>乙方应遵守甲方相关管理规定（以甲方发给乙方的制度内容为准），并提前向入厂人员做好宣贯，禁止入厂人员违规携带香烟、打火机、非防爆手机等器具。如按规定遭受甲方处罚时，应按期缴纳罚款。</w:t>
      </w:r>
    </w:p>
    <w:p w14:paraId="014676BC">
      <w:pPr>
        <w:keepNext w:val="0"/>
        <w:keepLines w:val="0"/>
        <w:pageBreakBefore w:val="0"/>
        <w:widowControl w:val="0"/>
        <w:numPr>
          <w:ilvl w:val="0"/>
          <w:numId w:val="9"/>
        </w:numPr>
        <w:kinsoku/>
        <w:wordWrap/>
        <w:overflowPunct/>
        <w:topLinePunct w:val="0"/>
        <w:autoSpaceDE w:val="0"/>
        <w:autoSpaceDN w:val="0"/>
        <w:bidi w:val="0"/>
        <w:adjustRightInd/>
        <w:snapToGrid/>
        <w:spacing w:line="288" w:lineRule="auto"/>
        <w:ind w:leftChars="-28"/>
        <w:textAlignment w:val="auto"/>
        <w:rPr>
          <w:rFonts w:hint="eastAsia" w:ascii="宋体" w:hAnsi="宋体"/>
          <w:szCs w:val="21"/>
          <w:lang w:val="en-US" w:eastAsia="zh-CN"/>
        </w:rPr>
      </w:pPr>
      <w:r>
        <w:rPr>
          <w:rFonts w:hint="eastAsia" w:ascii="宋体" w:hAnsi="宋体"/>
          <w:szCs w:val="21"/>
          <w:lang w:val="en-US" w:eastAsia="zh-CN"/>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14:paraId="404D76CF">
      <w:pPr>
        <w:keepNext w:val="0"/>
        <w:keepLines w:val="0"/>
        <w:pageBreakBefore w:val="0"/>
        <w:widowControl w:val="0"/>
        <w:numPr>
          <w:ilvl w:val="0"/>
          <w:numId w:val="9"/>
        </w:numPr>
        <w:kinsoku/>
        <w:wordWrap/>
        <w:overflowPunct/>
        <w:topLinePunct w:val="0"/>
        <w:autoSpaceDE w:val="0"/>
        <w:autoSpaceDN w:val="0"/>
        <w:bidi w:val="0"/>
        <w:adjustRightInd/>
        <w:snapToGrid/>
        <w:spacing w:line="288" w:lineRule="auto"/>
        <w:ind w:leftChars="-28"/>
        <w:textAlignment w:val="auto"/>
        <w:rPr>
          <w:rFonts w:hint="default" w:ascii="宋体" w:hAnsi="宋体"/>
          <w:szCs w:val="21"/>
          <w:lang w:val="en-US" w:eastAsia="zh-CN"/>
        </w:rPr>
      </w:pPr>
      <w:r>
        <w:rPr>
          <w:rFonts w:hint="eastAsia" w:ascii="宋体" w:hAnsi="宋体"/>
          <w:szCs w:val="21"/>
          <w:lang w:val="en-US" w:eastAsia="zh-CN"/>
        </w:rPr>
        <w:t>在厂区内卸货过程应根据甲方的要求进行卸货，积极接受甲方的现场管理，开具相应的作业许可证，并按甲方的操作规程进行卸货及作业。</w:t>
      </w:r>
    </w:p>
    <w:p w14:paraId="7E6F41F4">
      <w:pPr>
        <w:keepNext w:val="0"/>
        <w:keepLines w:val="0"/>
        <w:pageBreakBefore w:val="0"/>
        <w:widowControl w:val="0"/>
        <w:numPr>
          <w:ilvl w:val="0"/>
          <w:numId w:val="9"/>
        </w:numPr>
        <w:kinsoku/>
        <w:wordWrap/>
        <w:overflowPunct/>
        <w:topLinePunct w:val="0"/>
        <w:autoSpaceDE w:val="0"/>
        <w:autoSpaceDN w:val="0"/>
        <w:bidi w:val="0"/>
        <w:adjustRightInd/>
        <w:snapToGrid/>
        <w:spacing w:line="288" w:lineRule="auto"/>
        <w:ind w:leftChars="-28"/>
        <w:textAlignment w:val="auto"/>
        <w:rPr>
          <w:rFonts w:hint="default" w:ascii="宋体" w:hAnsi="宋体"/>
          <w:szCs w:val="21"/>
          <w:lang w:val="en-US" w:eastAsia="zh-CN"/>
        </w:rPr>
      </w:pPr>
      <w:r>
        <w:rPr>
          <w:rFonts w:hint="eastAsia" w:ascii="宋体" w:hAnsi="宋体"/>
          <w:szCs w:val="21"/>
          <w:lang w:val="en-US" w:eastAsia="zh-CN"/>
        </w:rPr>
        <w:t>对于甲方在安全生产监管中发现的问题，乙方应按要求落实整改。</w:t>
      </w:r>
    </w:p>
    <w:p w14:paraId="6072D4A5">
      <w:pPr>
        <w:keepNext w:val="0"/>
        <w:keepLines w:val="0"/>
        <w:pageBreakBefore w:val="0"/>
        <w:widowControl w:val="0"/>
        <w:numPr>
          <w:ilvl w:val="0"/>
          <w:numId w:val="7"/>
        </w:numPr>
        <w:kinsoku/>
        <w:wordWrap/>
        <w:overflowPunct/>
        <w:topLinePunct w:val="0"/>
        <w:autoSpaceDE w:val="0"/>
        <w:autoSpaceDN w:val="0"/>
        <w:bidi w:val="0"/>
        <w:adjustRightInd/>
        <w:snapToGrid/>
        <w:spacing w:line="288" w:lineRule="auto"/>
        <w:ind w:left="-526" w:leftChars="-239" w:firstLine="466" w:firstLineChars="211"/>
        <w:textAlignment w:val="auto"/>
        <w:rPr>
          <w:rFonts w:hint="eastAsia" w:asciiTheme="minorEastAsia" w:hAnsiTheme="minorEastAsia" w:eastAsiaTheme="minorEastAsia"/>
          <w:b/>
          <w:szCs w:val="21"/>
        </w:rPr>
      </w:pPr>
      <w:r>
        <w:rPr>
          <w:rFonts w:hint="eastAsia" w:asciiTheme="minorEastAsia" w:hAnsiTheme="minorEastAsia" w:eastAsiaTheme="minorEastAsia"/>
          <w:b/>
          <w:szCs w:val="21"/>
        </w:rPr>
        <w:t>违约责任及处理</w:t>
      </w:r>
    </w:p>
    <w:p w14:paraId="579E8F40">
      <w:pPr>
        <w:keepNext w:val="0"/>
        <w:keepLines w:val="0"/>
        <w:pageBreakBefore w:val="0"/>
        <w:widowControl w:val="0"/>
        <w:numPr>
          <w:ilvl w:val="0"/>
          <w:numId w:val="10"/>
        </w:numPr>
        <w:kinsoku/>
        <w:wordWrap/>
        <w:overflowPunct/>
        <w:topLinePunct w:val="0"/>
        <w:autoSpaceDE w:val="0"/>
        <w:autoSpaceDN w:val="0"/>
        <w:bidi w:val="0"/>
        <w:adjustRightInd/>
        <w:snapToGrid/>
        <w:spacing w:line="288" w:lineRule="auto"/>
        <w:ind w:leftChars="-28"/>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发生安全事故时，甲乙双方均有抢险、救灾的义务，所发生的费用由责任方承担。</w:t>
      </w:r>
    </w:p>
    <w:p w14:paraId="3EAE0F05">
      <w:pPr>
        <w:keepNext w:val="0"/>
        <w:keepLines w:val="0"/>
        <w:pageBreakBefore w:val="0"/>
        <w:widowControl w:val="0"/>
        <w:numPr>
          <w:ilvl w:val="0"/>
          <w:numId w:val="10"/>
        </w:numPr>
        <w:kinsoku/>
        <w:wordWrap/>
        <w:overflowPunct/>
        <w:topLinePunct w:val="0"/>
        <w:autoSpaceDE w:val="0"/>
        <w:autoSpaceDN w:val="0"/>
        <w:bidi w:val="0"/>
        <w:adjustRightInd/>
        <w:snapToGrid/>
        <w:spacing w:line="288" w:lineRule="auto"/>
        <w:ind w:leftChars="-28"/>
        <w:textAlignment w:val="auto"/>
        <w:rPr>
          <w:rFonts w:asciiTheme="minorEastAsia" w:hAnsiTheme="minorEastAsia" w:eastAsiaTheme="minorEastAsia"/>
          <w:szCs w:val="21"/>
        </w:rPr>
      </w:pPr>
      <w:r>
        <w:rPr>
          <w:rFonts w:hint="eastAsia" w:ascii="宋体" w:hAnsi="宋体"/>
          <w:szCs w:val="21"/>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69EAFD55">
      <w:pPr>
        <w:keepNext w:val="0"/>
        <w:keepLines w:val="0"/>
        <w:pageBreakBefore w:val="0"/>
        <w:widowControl w:val="0"/>
        <w:numPr>
          <w:ilvl w:val="0"/>
          <w:numId w:val="10"/>
        </w:numPr>
        <w:kinsoku/>
        <w:wordWrap/>
        <w:overflowPunct/>
        <w:topLinePunct w:val="0"/>
        <w:autoSpaceDE w:val="0"/>
        <w:autoSpaceDN w:val="0"/>
        <w:bidi w:val="0"/>
        <w:adjustRightInd/>
        <w:snapToGrid/>
        <w:spacing w:line="288" w:lineRule="auto"/>
        <w:ind w:leftChars="-28"/>
        <w:textAlignment w:val="auto"/>
        <w:rPr>
          <w:rFonts w:asciiTheme="minorEastAsia" w:hAnsiTheme="minorEastAsia" w:eastAsiaTheme="minorEastAsia"/>
          <w:szCs w:val="21"/>
        </w:rPr>
      </w:pPr>
      <w:r>
        <w:rPr>
          <w:rFonts w:hint="eastAsia" w:asciiTheme="minorEastAsia" w:hAnsiTheme="minorEastAsia" w:eastAsiaTheme="minorEastAsia"/>
          <w:szCs w:val="21"/>
        </w:rPr>
        <w:t>甲方违约造成的事故，甲方承担全部责任，并按规定追究有关人员责任及上报。</w:t>
      </w:r>
    </w:p>
    <w:p w14:paraId="47105547">
      <w:pPr>
        <w:keepNext w:val="0"/>
        <w:keepLines w:val="0"/>
        <w:pageBreakBefore w:val="0"/>
        <w:widowControl w:val="0"/>
        <w:numPr>
          <w:ilvl w:val="0"/>
          <w:numId w:val="10"/>
        </w:numPr>
        <w:kinsoku/>
        <w:wordWrap/>
        <w:overflowPunct/>
        <w:topLinePunct w:val="0"/>
        <w:autoSpaceDE w:val="0"/>
        <w:autoSpaceDN w:val="0"/>
        <w:bidi w:val="0"/>
        <w:adjustRightInd/>
        <w:snapToGrid/>
        <w:spacing w:line="288" w:lineRule="auto"/>
        <w:ind w:leftChars="-28"/>
        <w:textAlignment w:val="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乙方在</w:t>
      </w:r>
      <w:r>
        <w:rPr>
          <w:rFonts w:hint="eastAsia" w:asciiTheme="minorEastAsia" w:hAnsiTheme="minorEastAsia"/>
          <w:color w:val="auto"/>
          <w:szCs w:val="21"/>
          <w:lang w:val="en-US" w:eastAsia="zh-CN"/>
        </w:rPr>
        <w:t>厂区内</w:t>
      </w:r>
      <w:r>
        <w:rPr>
          <w:rFonts w:hint="eastAsia" w:asciiTheme="minorEastAsia" w:hAnsiTheme="minorEastAsia" w:eastAsiaTheme="minorEastAsia"/>
          <w:color w:val="auto"/>
          <w:szCs w:val="21"/>
        </w:rPr>
        <w:t>中如果有违法、违规和违章行为，甲方将按照按国家法律、法规和甲方的HSE管理制度进行处罚。</w:t>
      </w:r>
      <w:r>
        <w:rPr>
          <w:rFonts w:hint="eastAsia" w:ascii="宋体" w:hAnsi="宋体"/>
          <w:color w:val="auto"/>
          <w:szCs w:val="21"/>
        </w:rPr>
        <w:t>处罚款由乙方</w:t>
      </w:r>
      <w:r>
        <w:rPr>
          <w:rFonts w:hint="eastAsia" w:ascii="宋体" w:hAnsi="宋体"/>
          <w:color w:val="auto"/>
          <w:szCs w:val="21"/>
          <w:lang w:val="en-US" w:eastAsia="zh-CN"/>
        </w:rPr>
        <w:t>按甲方要求</w:t>
      </w:r>
      <w:r>
        <w:rPr>
          <w:rFonts w:hint="eastAsia" w:ascii="宋体" w:hAnsi="宋体"/>
          <w:color w:val="auto"/>
          <w:szCs w:val="21"/>
        </w:rPr>
        <w:t>交到甲方</w:t>
      </w:r>
      <w:r>
        <w:rPr>
          <w:rFonts w:hint="eastAsia" w:ascii="宋体" w:hAnsi="宋体"/>
          <w:color w:val="auto"/>
          <w:szCs w:val="21"/>
          <w:lang w:val="en-US" w:eastAsia="zh-CN"/>
        </w:rPr>
        <w:t>指定部门或账户</w:t>
      </w:r>
      <w:r>
        <w:rPr>
          <w:rFonts w:hint="eastAsia" w:ascii="宋体" w:hAnsi="宋体"/>
          <w:color w:val="auto"/>
          <w:szCs w:val="21"/>
        </w:rPr>
        <w:t>，对不按时缴纳罚款的，甲方可以从乙方</w:t>
      </w:r>
      <w:r>
        <w:rPr>
          <w:rFonts w:hint="eastAsia" w:ascii="宋体" w:hAnsi="宋体"/>
          <w:color w:val="auto"/>
          <w:szCs w:val="21"/>
          <w:lang w:val="en-US" w:eastAsia="zh-CN"/>
        </w:rPr>
        <w:t>合同</w:t>
      </w:r>
      <w:r>
        <w:rPr>
          <w:rFonts w:hint="eastAsia" w:ascii="宋体" w:hAnsi="宋体"/>
          <w:color w:val="auto"/>
          <w:szCs w:val="21"/>
        </w:rPr>
        <w:t>款双倍扣除。</w:t>
      </w:r>
    </w:p>
    <w:p w14:paraId="166BCE61">
      <w:pPr>
        <w:keepNext w:val="0"/>
        <w:keepLines w:val="0"/>
        <w:pageBreakBefore w:val="0"/>
        <w:widowControl w:val="0"/>
        <w:numPr>
          <w:ilvl w:val="0"/>
          <w:numId w:val="10"/>
        </w:numPr>
        <w:kinsoku/>
        <w:wordWrap/>
        <w:overflowPunct/>
        <w:topLinePunct w:val="0"/>
        <w:autoSpaceDE w:val="0"/>
        <w:autoSpaceDN w:val="0"/>
        <w:bidi w:val="0"/>
        <w:adjustRightInd/>
        <w:snapToGrid/>
        <w:spacing w:line="288" w:lineRule="auto"/>
        <w:ind w:leftChars="-28"/>
        <w:textAlignment w:val="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乙方违约造成的事故，乙方承担全部责任；由于乙方</w:t>
      </w:r>
      <w:r>
        <w:rPr>
          <w:rFonts w:hint="eastAsia" w:asciiTheme="minorEastAsia" w:hAnsiTheme="minorEastAsia"/>
          <w:color w:val="auto"/>
          <w:szCs w:val="21"/>
          <w:lang w:val="en-US" w:eastAsia="zh-CN"/>
        </w:rPr>
        <w:t>的</w:t>
      </w:r>
      <w:r>
        <w:rPr>
          <w:rFonts w:hint="eastAsia" w:asciiTheme="minorEastAsia" w:hAnsiTheme="minorEastAsia" w:eastAsiaTheme="minorEastAsia"/>
          <w:color w:val="auto"/>
          <w:szCs w:val="21"/>
        </w:rPr>
        <w:t>服务质量及</w:t>
      </w:r>
      <w:r>
        <w:rPr>
          <w:rFonts w:hint="eastAsia" w:asciiTheme="minorEastAsia" w:hAnsiTheme="minorEastAsia"/>
          <w:color w:val="auto"/>
          <w:szCs w:val="21"/>
          <w:lang w:val="en-US" w:eastAsia="zh-CN"/>
        </w:rPr>
        <w:t>货物</w:t>
      </w:r>
      <w:r>
        <w:rPr>
          <w:rFonts w:hint="eastAsia" w:asciiTheme="minorEastAsia" w:hAnsiTheme="minorEastAsia" w:eastAsiaTheme="minorEastAsia"/>
          <w:color w:val="auto"/>
          <w:szCs w:val="21"/>
        </w:rPr>
        <w:t>质量导致的事故，由乙方承担全部责任构成犯罪的，依法追究刑事责任。</w:t>
      </w:r>
    </w:p>
    <w:p w14:paraId="7D44A336">
      <w:pPr>
        <w:keepNext w:val="0"/>
        <w:keepLines w:val="0"/>
        <w:pageBreakBefore w:val="0"/>
        <w:widowControl w:val="0"/>
        <w:numPr>
          <w:ilvl w:val="0"/>
          <w:numId w:val="10"/>
        </w:numPr>
        <w:kinsoku/>
        <w:wordWrap/>
        <w:overflowPunct/>
        <w:topLinePunct w:val="0"/>
        <w:autoSpaceDE w:val="0"/>
        <w:autoSpaceDN w:val="0"/>
        <w:bidi w:val="0"/>
        <w:adjustRightInd/>
        <w:snapToGrid/>
        <w:spacing w:line="288" w:lineRule="auto"/>
        <w:ind w:leftChars="-28"/>
        <w:textAlignment w:val="auto"/>
        <w:rPr>
          <w:rFonts w:asciiTheme="minorEastAsia" w:hAnsiTheme="minorEastAsia" w:eastAsiaTheme="minorEastAsia"/>
          <w:color w:val="auto"/>
          <w:szCs w:val="21"/>
        </w:rPr>
      </w:pPr>
      <w:r>
        <w:rPr>
          <w:rFonts w:hint="eastAsia" w:asciiTheme="minorEastAsia" w:hAnsiTheme="minorEastAsia" w:eastAsiaTheme="minorEastAsia"/>
          <w:color w:val="auto"/>
          <w:szCs w:val="21"/>
        </w:rPr>
        <w:t>对乙方发生事故后弄虚作假、隐瞒不报、迟报或谎报，一经查出，按有关规定处罚</w:t>
      </w:r>
      <w:r>
        <w:rPr>
          <w:rFonts w:hint="eastAsia" w:asciiTheme="minorEastAsia" w:hAnsiTheme="minorEastAsia"/>
          <w:color w:val="auto"/>
          <w:szCs w:val="21"/>
          <w:lang w:eastAsia="zh-CN"/>
        </w:rPr>
        <w:t>，</w:t>
      </w:r>
      <w:r>
        <w:rPr>
          <w:rFonts w:hint="eastAsia" w:asciiTheme="minorEastAsia" w:hAnsiTheme="minorEastAsia" w:eastAsiaTheme="minorEastAsia"/>
          <w:color w:val="auto"/>
          <w:szCs w:val="21"/>
        </w:rPr>
        <w:t>情节严重的，取消其进入甲方的市场资格。</w:t>
      </w:r>
    </w:p>
    <w:p w14:paraId="17DA149C">
      <w:pPr>
        <w:keepNext w:val="0"/>
        <w:keepLines w:val="0"/>
        <w:pageBreakBefore w:val="0"/>
        <w:widowControl w:val="0"/>
        <w:kinsoku/>
        <w:wordWrap/>
        <w:overflowPunct/>
        <w:topLinePunct w:val="0"/>
        <w:autoSpaceDE w:val="0"/>
        <w:autoSpaceDN w:val="0"/>
        <w:bidi w:val="0"/>
        <w:adjustRightInd/>
        <w:snapToGrid/>
        <w:spacing w:line="288" w:lineRule="auto"/>
        <w:ind w:left="-526" w:leftChars="-239" w:firstLine="466" w:firstLineChars="211"/>
        <w:textAlignment w:val="auto"/>
        <w:rPr>
          <w:rFonts w:asciiTheme="minorEastAsia" w:hAnsiTheme="minorEastAsia" w:eastAsiaTheme="minorEastAsia"/>
          <w:b/>
          <w:szCs w:val="21"/>
        </w:rPr>
      </w:pPr>
      <w:r>
        <w:rPr>
          <w:rFonts w:hint="eastAsia" w:asciiTheme="minorEastAsia" w:hAnsiTheme="minorEastAsia" w:eastAsiaTheme="minorEastAsia"/>
          <w:b/>
          <w:szCs w:val="21"/>
        </w:rPr>
        <w:t>四、 不可抗力：</w:t>
      </w:r>
    </w:p>
    <w:p w14:paraId="2B917D94">
      <w:pPr>
        <w:keepNext w:val="0"/>
        <w:keepLines w:val="0"/>
        <w:pageBreakBefore w:val="0"/>
        <w:widowControl w:val="0"/>
        <w:kinsoku/>
        <w:wordWrap/>
        <w:overflowPunct/>
        <w:topLinePunct w:val="0"/>
        <w:autoSpaceDE w:val="0"/>
        <w:autoSpaceDN w:val="0"/>
        <w:bidi w:val="0"/>
        <w:adjustRightInd/>
        <w:snapToGrid/>
        <w:spacing w:line="288" w:lineRule="auto"/>
        <w:ind w:left="-551" w:leftChars="-339" w:hanging="195" w:hangingChars="89"/>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szCs w:val="21"/>
          <w:lang w:val="en-US" w:eastAsia="zh-CN"/>
        </w:rPr>
        <w:t xml:space="preserve">  </w:t>
      </w:r>
      <w:r>
        <w:rPr>
          <w:rFonts w:hint="eastAsia" w:asciiTheme="minorEastAsia" w:hAnsiTheme="minorEastAsia" w:eastAsiaTheme="minorEastAsia"/>
          <w:szCs w:val="21"/>
        </w:rPr>
        <w:t xml:space="preserve"> 由于不可抗力造成事故及产生的损失，甲乙双方各自承担相应的损失。</w:t>
      </w:r>
    </w:p>
    <w:p w14:paraId="5548B515">
      <w:pPr>
        <w:keepNext w:val="0"/>
        <w:keepLines w:val="0"/>
        <w:pageBreakBefore w:val="0"/>
        <w:widowControl w:val="0"/>
        <w:kinsoku/>
        <w:wordWrap/>
        <w:overflowPunct/>
        <w:topLinePunct w:val="0"/>
        <w:autoSpaceDE w:val="0"/>
        <w:autoSpaceDN w:val="0"/>
        <w:bidi w:val="0"/>
        <w:adjustRightInd/>
        <w:snapToGrid/>
        <w:spacing w:line="288" w:lineRule="auto"/>
        <w:ind w:left="-526" w:leftChars="-239" w:firstLine="466" w:firstLineChars="211"/>
        <w:textAlignment w:val="auto"/>
        <w:rPr>
          <w:rFonts w:asciiTheme="minorEastAsia" w:hAnsiTheme="minorEastAsia" w:eastAsiaTheme="minorEastAsia"/>
          <w:szCs w:val="21"/>
        </w:rPr>
      </w:pPr>
      <w:r>
        <w:rPr>
          <w:rFonts w:hint="eastAsia" w:asciiTheme="minorEastAsia" w:hAnsiTheme="minorEastAsia" w:eastAsiaTheme="minorEastAsia"/>
          <w:b/>
          <w:szCs w:val="21"/>
        </w:rPr>
        <w:t>五、</w:t>
      </w:r>
      <w:r>
        <w:rPr>
          <w:rFonts w:hint="eastAsia" w:asciiTheme="minorEastAsia" w:hAnsiTheme="minorEastAsia" w:eastAsiaTheme="minorEastAsia"/>
          <w:szCs w:val="21"/>
        </w:rPr>
        <w:t>本协议书一式两份，甲乙双方各执一份。</w:t>
      </w:r>
    </w:p>
    <w:p w14:paraId="6B4845E6">
      <w:pPr>
        <w:keepNext w:val="0"/>
        <w:keepLines w:val="0"/>
        <w:pageBreakBefore w:val="0"/>
        <w:widowControl w:val="0"/>
        <w:kinsoku/>
        <w:wordWrap/>
        <w:overflowPunct/>
        <w:topLinePunct w:val="0"/>
        <w:autoSpaceDE w:val="0"/>
        <w:autoSpaceDN w:val="0"/>
        <w:bidi w:val="0"/>
        <w:adjustRightInd/>
        <w:snapToGrid/>
        <w:spacing w:line="288" w:lineRule="auto"/>
        <w:ind w:left="-526" w:leftChars="-239" w:firstLine="466" w:firstLineChars="211"/>
        <w:textAlignment w:val="auto"/>
        <w:rPr>
          <w:rFonts w:asciiTheme="minorEastAsia" w:hAnsiTheme="minorEastAsia" w:eastAsiaTheme="minorEastAsia"/>
          <w:szCs w:val="21"/>
        </w:rPr>
      </w:pPr>
      <w:r>
        <w:rPr>
          <w:rFonts w:hint="eastAsia" w:asciiTheme="minorEastAsia" w:hAnsiTheme="minorEastAsia" w:eastAsiaTheme="minorEastAsia"/>
          <w:b/>
          <w:szCs w:val="21"/>
        </w:rPr>
        <w:t>六、</w:t>
      </w:r>
      <w:r>
        <w:rPr>
          <w:rFonts w:hint="eastAsia" w:asciiTheme="minorEastAsia" w:hAnsiTheme="minorEastAsia" w:eastAsiaTheme="minorEastAsia"/>
          <w:szCs w:val="21"/>
        </w:rPr>
        <w:t>本协议书经双方盖章后生效。</w:t>
      </w:r>
    </w:p>
    <w:p w14:paraId="79708315">
      <w:pPr>
        <w:keepNext w:val="0"/>
        <w:keepLines w:val="0"/>
        <w:pageBreakBefore w:val="0"/>
        <w:widowControl w:val="0"/>
        <w:kinsoku/>
        <w:wordWrap/>
        <w:overflowPunct/>
        <w:topLinePunct w:val="0"/>
        <w:autoSpaceDE w:val="0"/>
        <w:autoSpaceDN w:val="0"/>
        <w:bidi w:val="0"/>
        <w:adjustRightInd/>
        <w:snapToGrid/>
        <w:spacing w:line="288" w:lineRule="auto"/>
        <w:ind w:left="-526" w:leftChars="-239" w:firstLine="466" w:firstLineChars="211"/>
        <w:textAlignment w:val="auto"/>
        <w:rPr>
          <w:rFonts w:asciiTheme="minorEastAsia" w:hAnsiTheme="minorEastAsia" w:eastAsiaTheme="minorEastAsia"/>
          <w:b/>
          <w:szCs w:val="21"/>
        </w:rPr>
      </w:pPr>
      <w:r>
        <w:rPr>
          <w:rFonts w:hint="eastAsia" w:asciiTheme="minorEastAsia" w:hAnsiTheme="minorEastAsia" w:eastAsiaTheme="minorEastAsia"/>
          <w:b/>
          <w:szCs w:val="21"/>
        </w:rPr>
        <w:t>七、协议期限：</w:t>
      </w:r>
    </w:p>
    <w:p w14:paraId="55405BB2">
      <w:pPr>
        <w:keepNext w:val="0"/>
        <w:keepLines w:val="0"/>
        <w:pageBreakBefore w:val="0"/>
        <w:widowControl w:val="0"/>
        <w:kinsoku/>
        <w:wordWrap/>
        <w:overflowPunct/>
        <w:topLinePunct w:val="0"/>
        <w:autoSpaceDE w:val="0"/>
        <w:autoSpaceDN w:val="0"/>
        <w:bidi w:val="0"/>
        <w:adjustRightInd/>
        <w:snapToGrid/>
        <w:spacing w:line="288" w:lineRule="auto"/>
        <w:ind w:left="-636" w:leftChars="-289" w:firstLine="550" w:firstLineChars="250"/>
        <w:textAlignment w:val="auto"/>
        <w:rPr>
          <w:rFonts w:asciiTheme="minorEastAsia" w:hAnsiTheme="minorEastAsia" w:eastAsiaTheme="minorEastAsia"/>
          <w:szCs w:val="21"/>
        </w:rPr>
      </w:pPr>
      <w:r>
        <w:rPr>
          <w:rFonts w:hint="eastAsia" w:asciiTheme="minorEastAsia" w:hAnsiTheme="minorEastAsia" w:eastAsiaTheme="minorEastAsia"/>
          <w:szCs w:val="21"/>
        </w:rPr>
        <w:t>本协议期限应与主合同期限一致。如果主合同因故需要变更期限，本合同应与主同变更至相同期限。</w:t>
      </w:r>
    </w:p>
    <w:p w14:paraId="0AA2C733">
      <w:pPr>
        <w:spacing w:line="360" w:lineRule="auto"/>
        <w:ind w:left="-416" w:leftChars="-189" w:firstLine="354" w:firstLineChars="161"/>
        <w:rPr>
          <w:rFonts w:asciiTheme="minorEastAsia" w:hAnsiTheme="minorEastAsia" w:eastAsiaTheme="minorEastAsia"/>
          <w:szCs w:val="21"/>
        </w:rPr>
      </w:pPr>
      <w:r>
        <w:rPr>
          <w:rFonts w:hint="eastAsia" w:asciiTheme="minorEastAsia" w:hAnsiTheme="minorEastAsia" w:eastAsiaTheme="minorEastAsia"/>
          <w:szCs w:val="21"/>
        </w:rPr>
        <w:t>（以下</w:t>
      </w:r>
      <w:r>
        <w:rPr>
          <w:rFonts w:hint="eastAsia" w:asciiTheme="minorEastAsia" w:hAnsiTheme="minorEastAsia" w:eastAsiaTheme="minorEastAsia"/>
          <w:szCs w:val="21"/>
          <w:lang w:val="en-US" w:eastAsia="zh-CN"/>
        </w:rPr>
        <w:t>为签署页</w:t>
      </w:r>
      <w:r>
        <w:rPr>
          <w:rFonts w:hint="eastAsia" w:asciiTheme="minorEastAsia" w:hAnsiTheme="minorEastAsia" w:eastAsiaTheme="minorEastAsia"/>
          <w:szCs w:val="21"/>
        </w:rPr>
        <w:t>）</w:t>
      </w:r>
    </w:p>
    <w:p w14:paraId="2F543F5A">
      <w:pPr>
        <w:spacing w:line="276" w:lineRule="auto"/>
        <w:ind w:left="208" w:leftChars="11" w:hanging="184" w:hangingChars="88"/>
        <w:rPr>
          <w:rFonts w:ascii="宋体" w:hAnsi="宋体"/>
          <w:sz w:val="21"/>
          <w:szCs w:val="21"/>
        </w:rPr>
      </w:pPr>
    </w:p>
    <w:p w14:paraId="7A3EC487">
      <w:pPr>
        <w:widowControl/>
        <w:ind w:left="0" w:leftChars="0" w:firstLine="0" w:firstLineChars="0"/>
        <w:rPr>
          <w:rFonts w:hint="default" w:ascii="Times New Roman" w:hAnsi="Times New Roman" w:eastAsia="宋体" w:cs="Times New Roman"/>
          <w:b/>
          <w:sz w:val="21"/>
          <w:szCs w:val="21"/>
          <w:lang w:eastAsia="zh-CN"/>
        </w:rPr>
      </w:pPr>
    </w:p>
    <w:p w14:paraId="059DC184">
      <w:pPr>
        <w:widowControl/>
        <w:ind w:left="0" w:leftChars="0" w:firstLine="0" w:firstLineChars="0"/>
        <w:rPr>
          <w:rFonts w:hint="default" w:ascii="Times New Roman" w:hAnsi="Times New Roman" w:eastAsia="宋体" w:cs="Times New Roman"/>
          <w:b/>
          <w:sz w:val="21"/>
          <w:szCs w:val="21"/>
          <w:lang w:eastAsia="zh-CN"/>
        </w:rPr>
      </w:pPr>
      <w:r>
        <w:rPr>
          <w:rFonts w:hint="default" w:ascii="Times New Roman" w:hAnsi="Times New Roman" w:eastAsia="宋体" w:cs="Times New Roman"/>
          <w:b/>
          <w:sz w:val="21"/>
          <w:szCs w:val="21"/>
          <w:lang w:eastAsia="zh-CN"/>
        </w:rPr>
        <w:t>甲方</w:t>
      </w:r>
      <w:r>
        <w:rPr>
          <w:rFonts w:hint="eastAsia" w:ascii="Times New Roman" w:hAnsi="Times New Roman" w:cs="Times New Roman"/>
          <w:b/>
          <w:sz w:val="21"/>
          <w:szCs w:val="21"/>
          <w:lang w:val="en-US" w:eastAsia="zh-CN"/>
        </w:rPr>
        <w:t>1</w:t>
      </w:r>
      <w:r>
        <w:rPr>
          <w:rFonts w:hint="default" w:ascii="Times New Roman" w:hAnsi="Times New Roman" w:eastAsia="宋体" w:cs="Times New Roman"/>
          <w:b/>
          <w:sz w:val="21"/>
          <w:szCs w:val="21"/>
          <w:lang w:eastAsia="zh-CN"/>
        </w:rPr>
        <w:t xml:space="preserve">: </w:t>
      </w:r>
      <w:r>
        <w:rPr>
          <w:rFonts w:hint="eastAsia" w:ascii="Times New Roman" w:hAnsi="Times New Roman" w:cs="Times New Roman"/>
          <w:b/>
          <w:sz w:val="21"/>
          <w:szCs w:val="21"/>
          <w:lang w:val="en-US" w:eastAsia="zh-CN"/>
        </w:rPr>
        <w:t>福建福沧创石油化工有限公司</w:t>
      </w:r>
      <w:r>
        <w:rPr>
          <w:rFonts w:hint="default" w:ascii="Times New Roman" w:hAnsi="Times New Roman" w:eastAsia="宋体" w:cs="Times New Roman"/>
          <w:b/>
          <w:sz w:val="21"/>
          <w:szCs w:val="21"/>
          <w:lang w:eastAsia="zh-CN"/>
        </w:rPr>
        <w:t xml:space="preserve">      </w:t>
      </w:r>
      <w:r>
        <w:rPr>
          <w:rFonts w:hint="default" w:ascii="Times New Roman" w:hAnsi="Times New Roman" w:eastAsia="宋体" w:cs="Times New Roman"/>
          <w:b/>
          <w:sz w:val="21"/>
          <w:szCs w:val="21"/>
          <w:lang w:val="en-US" w:eastAsia="zh-CN"/>
        </w:rPr>
        <w:t xml:space="preserve">  </w:t>
      </w:r>
      <w:r>
        <w:rPr>
          <w:rFonts w:hint="default" w:ascii="Times New Roman" w:hAnsi="Times New Roman" w:eastAsia="宋体" w:cs="Times New Roman"/>
          <w:b/>
          <w:sz w:val="21"/>
          <w:szCs w:val="21"/>
          <w:lang w:eastAsia="zh-CN"/>
        </w:rPr>
        <w:t xml:space="preserve"> 乙方：</w:t>
      </w:r>
    </w:p>
    <w:p w14:paraId="297EBC61">
      <w:pPr>
        <w:spacing w:line="276" w:lineRule="auto"/>
        <w:ind w:left="208" w:leftChars="11" w:hanging="184" w:hangingChars="88"/>
        <w:rPr>
          <w:rFonts w:hint="default" w:ascii="Times New Roman" w:hAnsi="Times New Roman" w:eastAsia="宋体" w:cs="Times New Roman"/>
          <w:sz w:val="21"/>
          <w:szCs w:val="21"/>
        </w:rPr>
      </w:pPr>
    </w:p>
    <w:p w14:paraId="4A846856">
      <w:pPr>
        <w:keepNext w:val="0"/>
        <w:keepLines w:val="0"/>
        <w:pageBreakBefore w:val="0"/>
        <w:widowControl/>
        <w:kinsoku/>
        <w:wordWrap/>
        <w:overflowPunct/>
        <w:topLinePunct w:val="0"/>
        <w:autoSpaceDE w:val="0"/>
        <w:autoSpaceDN w:val="0"/>
        <w:bidi w:val="0"/>
        <w:adjustRightInd/>
        <w:snapToGrid/>
        <w:spacing w:before="313" w:beforeLines="100" w:after="313" w:afterLines="100" w:line="360" w:lineRule="auto"/>
        <w:ind w:left="0" w:leftChars="0" w:firstLine="0" w:firstLineChars="0"/>
        <w:textAlignment w:val="auto"/>
        <w:rPr>
          <w:rFonts w:hint="default" w:ascii="Times New Roman" w:hAnsi="Times New Roman" w:eastAsia="宋体" w:cs="Times New Roman"/>
          <w:b/>
          <w:sz w:val="21"/>
          <w:szCs w:val="21"/>
          <w:lang w:eastAsia="zh-CN"/>
        </w:rPr>
      </w:pPr>
      <w:r>
        <w:rPr>
          <w:rFonts w:hint="default" w:ascii="Times New Roman" w:hAnsi="Times New Roman" w:eastAsia="宋体" w:cs="Times New Roman"/>
          <w:b/>
          <w:sz w:val="21"/>
          <w:szCs w:val="21"/>
          <w:lang w:eastAsia="zh-CN"/>
        </w:rPr>
        <w:t>甲方</w:t>
      </w:r>
      <w:r>
        <w:rPr>
          <w:rFonts w:hint="eastAsia" w:ascii="Times New Roman" w:hAnsi="Times New Roman" w:cs="Times New Roman"/>
          <w:b/>
          <w:sz w:val="21"/>
          <w:szCs w:val="21"/>
          <w:lang w:val="en-US" w:eastAsia="zh-CN"/>
        </w:rPr>
        <w:t>2</w:t>
      </w:r>
      <w:r>
        <w:rPr>
          <w:rFonts w:hint="default" w:ascii="Times New Roman" w:hAnsi="Times New Roman" w:eastAsia="宋体" w:cs="Times New Roman"/>
          <w:b/>
          <w:sz w:val="21"/>
          <w:szCs w:val="21"/>
          <w:lang w:eastAsia="zh-CN"/>
        </w:rPr>
        <w:t xml:space="preserve">:腾龙芳烃（漳州）有限公司   </w:t>
      </w:r>
    </w:p>
    <w:p w14:paraId="1764098C">
      <w:pPr>
        <w:keepNext w:val="0"/>
        <w:keepLines w:val="0"/>
        <w:pageBreakBefore w:val="0"/>
        <w:widowControl/>
        <w:kinsoku/>
        <w:wordWrap/>
        <w:overflowPunct/>
        <w:topLinePunct w:val="0"/>
        <w:autoSpaceDE w:val="0"/>
        <w:autoSpaceDN w:val="0"/>
        <w:bidi w:val="0"/>
        <w:adjustRightInd/>
        <w:snapToGrid/>
        <w:spacing w:before="313" w:beforeLines="100" w:after="313" w:afterLines="100" w:line="360" w:lineRule="auto"/>
        <w:ind w:left="0" w:leftChars="0" w:firstLine="0" w:firstLineChars="0"/>
        <w:textAlignment w:val="auto"/>
        <w:rPr>
          <w:rFonts w:hint="default" w:ascii="Times New Roman" w:hAnsi="Times New Roman" w:eastAsia="宋体" w:cs="Times New Roman"/>
          <w:b/>
          <w:sz w:val="21"/>
          <w:szCs w:val="21"/>
          <w:lang w:eastAsia="zh-CN"/>
        </w:rPr>
      </w:pPr>
    </w:p>
    <w:p w14:paraId="624E7A02">
      <w:pPr>
        <w:keepNext w:val="0"/>
        <w:keepLines w:val="0"/>
        <w:pageBreakBefore w:val="0"/>
        <w:widowControl/>
        <w:kinsoku/>
        <w:wordWrap/>
        <w:overflowPunct/>
        <w:topLinePunct w:val="0"/>
        <w:autoSpaceDE w:val="0"/>
        <w:autoSpaceDN w:val="0"/>
        <w:bidi w:val="0"/>
        <w:adjustRightInd/>
        <w:snapToGrid/>
        <w:spacing w:before="313" w:beforeLines="100" w:after="313" w:afterLines="100" w:line="360" w:lineRule="auto"/>
        <w:ind w:left="0" w:leftChars="0" w:firstLine="0" w:firstLineChars="0"/>
        <w:textAlignment w:val="auto"/>
        <w:rPr>
          <w:rFonts w:hint="default" w:ascii="Times New Roman" w:hAnsi="Times New Roman" w:eastAsia="宋体" w:cs="Times New Roman"/>
          <w:b/>
          <w:sz w:val="21"/>
          <w:szCs w:val="21"/>
          <w:highlight w:val="none"/>
          <w:lang w:eastAsia="zh-CN"/>
        </w:rPr>
      </w:pPr>
      <w:r>
        <w:rPr>
          <w:rFonts w:hint="default" w:ascii="Times New Roman" w:hAnsi="Times New Roman" w:eastAsia="宋体" w:cs="Times New Roman"/>
          <w:b/>
          <w:sz w:val="21"/>
          <w:szCs w:val="21"/>
          <w:lang w:eastAsia="zh-CN"/>
        </w:rPr>
        <w:t>甲方</w:t>
      </w:r>
      <w:r>
        <w:rPr>
          <w:rFonts w:hint="eastAsia" w:ascii="Times New Roman" w:hAnsi="Times New Roman" w:cs="Times New Roman"/>
          <w:b/>
          <w:sz w:val="21"/>
          <w:szCs w:val="21"/>
          <w:lang w:val="en-US" w:eastAsia="zh-CN"/>
        </w:rPr>
        <w:t>3</w:t>
      </w:r>
      <w:r>
        <w:rPr>
          <w:rFonts w:hint="default" w:ascii="Times New Roman" w:hAnsi="Times New Roman" w:eastAsia="宋体" w:cs="Times New Roman"/>
          <w:b/>
          <w:sz w:val="21"/>
          <w:szCs w:val="21"/>
          <w:lang w:eastAsia="zh-CN"/>
        </w:rPr>
        <w:t>:</w:t>
      </w:r>
      <w:r>
        <w:rPr>
          <w:rFonts w:hint="eastAsia" w:ascii="Times New Roman" w:hAnsi="Times New Roman" w:eastAsia="宋体" w:cs="Times New Roman"/>
          <w:b/>
          <w:sz w:val="21"/>
          <w:szCs w:val="21"/>
          <w:lang w:val="en-US" w:eastAsia="zh-CN"/>
        </w:rPr>
        <w:t xml:space="preserve"> </w:t>
      </w:r>
      <w:r>
        <w:rPr>
          <w:rFonts w:hint="default" w:ascii="Times New Roman" w:hAnsi="Times New Roman" w:eastAsia="宋体" w:cs="Times New Roman"/>
          <w:b/>
          <w:sz w:val="21"/>
          <w:szCs w:val="21"/>
          <w:highlight w:val="none"/>
          <w:lang w:eastAsia="zh-CN"/>
        </w:rPr>
        <w:t>翔鹭码头投资管理（漳州）有限公司</w:t>
      </w:r>
    </w:p>
    <w:p w14:paraId="0D242F07">
      <w:pPr>
        <w:keepNext w:val="0"/>
        <w:keepLines w:val="0"/>
        <w:pageBreakBefore w:val="0"/>
        <w:widowControl/>
        <w:kinsoku/>
        <w:wordWrap/>
        <w:overflowPunct/>
        <w:topLinePunct w:val="0"/>
        <w:autoSpaceDE w:val="0"/>
        <w:autoSpaceDN w:val="0"/>
        <w:bidi w:val="0"/>
        <w:adjustRightInd/>
        <w:snapToGrid/>
        <w:spacing w:before="313" w:beforeLines="100" w:after="313" w:afterLines="100" w:line="360" w:lineRule="auto"/>
        <w:ind w:left="0" w:leftChars="0" w:firstLine="0" w:firstLineChars="0"/>
        <w:textAlignment w:val="auto"/>
        <w:rPr>
          <w:rFonts w:hint="default" w:ascii="Times New Roman" w:hAnsi="Times New Roman" w:eastAsia="宋体" w:cs="Times New Roman"/>
          <w:b/>
          <w:sz w:val="21"/>
          <w:szCs w:val="21"/>
          <w:highlight w:val="none"/>
          <w:lang w:eastAsia="zh-CN"/>
        </w:rPr>
      </w:pPr>
    </w:p>
    <w:p w14:paraId="12E891D0">
      <w:pPr>
        <w:spacing w:line="360" w:lineRule="auto"/>
        <w:rPr>
          <w:rFonts w:hint="eastAsia" w:cs="宋体" w:asciiTheme="minorEastAsia" w:hAnsiTheme="minorEastAsia" w:eastAsiaTheme="minorEastAsia"/>
          <w:b/>
          <w:bCs/>
          <w:szCs w:val="21"/>
          <w:u w:val="single"/>
          <w:lang w:val="en-US" w:eastAsia="zh-CN"/>
        </w:rPr>
      </w:pPr>
      <w:r>
        <w:rPr>
          <w:rFonts w:hint="default" w:ascii="Times New Roman" w:hAnsi="Times New Roman" w:eastAsia="宋体" w:cs="Times New Roman"/>
          <w:b/>
          <w:sz w:val="21"/>
          <w:szCs w:val="21"/>
          <w:lang w:eastAsia="zh-CN"/>
        </w:rPr>
        <w:t>甲方</w:t>
      </w:r>
      <w:r>
        <w:rPr>
          <w:rFonts w:hint="eastAsia" w:ascii="Times New Roman" w:hAnsi="Times New Roman" w:eastAsia="宋体" w:cs="Times New Roman"/>
          <w:b/>
          <w:sz w:val="21"/>
          <w:szCs w:val="21"/>
          <w:lang w:val="en-US" w:eastAsia="zh-CN"/>
        </w:rPr>
        <w:t>4</w:t>
      </w:r>
      <w:r>
        <w:rPr>
          <w:rFonts w:hint="default" w:ascii="Times New Roman" w:hAnsi="Times New Roman" w:eastAsia="宋体" w:cs="Times New Roman"/>
          <w:b/>
          <w:sz w:val="21"/>
          <w:szCs w:val="21"/>
          <w:lang w:eastAsia="zh-CN"/>
        </w:rPr>
        <w:t>:</w:t>
      </w:r>
      <w:r>
        <w:rPr>
          <w:rFonts w:hint="eastAsia" w:ascii="Times New Roman" w:hAnsi="Times New Roman" w:eastAsia="宋体" w:cs="Times New Roman"/>
          <w:b/>
          <w:sz w:val="21"/>
          <w:szCs w:val="21"/>
          <w:u w:val="none"/>
          <w:lang w:val="en-US" w:eastAsia="zh-CN"/>
        </w:rPr>
        <w:t xml:space="preserve"> </w:t>
      </w:r>
      <w:r>
        <w:rPr>
          <w:rFonts w:hint="eastAsia" w:cs="宋体" w:asciiTheme="minorEastAsia" w:hAnsiTheme="minorEastAsia" w:eastAsiaTheme="minorEastAsia"/>
          <w:b/>
          <w:bCs/>
          <w:szCs w:val="21"/>
          <w:u w:val="none"/>
          <w:lang w:val="en-US" w:eastAsia="zh-CN"/>
        </w:rPr>
        <w:t>福建福化古蕾化学有限公司</w:t>
      </w:r>
    </w:p>
    <w:p w14:paraId="3C8DEA9B">
      <w:pPr>
        <w:pStyle w:val="18"/>
        <w:jc w:val="center"/>
        <w:rPr>
          <w:rFonts w:hint="eastAsia" w:ascii="Times New Roman" w:hAnsi="Times New Roman" w:cs="Times New Roman"/>
          <w:b w:val="0"/>
          <w:bCs/>
          <w:sz w:val="21"/>
          <w:szCs w:val="21"/>
          <w:highlight w:val="none"/>
          <w:lang w:val="en-US" w:eastAsia="zh-CN"/>
        </w:rPr>
      </w:pPr>
    </w:p>
    <w:p w14:paraId="46716633">
      <w:pPr>
        <w:pStyle w:val="18"/>
        <w:jc w:val="center"/>
        <w:rPr>
          <w:rFonts w:hint="default" w:ascii="Times New Roman" w:hAnsi="Times New Roman" w:eastAsia="宋体" w:cs="Times New Roman"/>
          <w:sz w:val="24"/>
          <w:szCs w:val="24"/>
          <w:lang w:val="en-US"/>
        </w:rPr>
      </w:pPr>
      <w:r>
        <w:rPr>
          <w:rFonts w:hint="eastAsia" w:ascii="Times New Roman" w:hAnsi="Times New Roman" w:cs="Times New Roman"/>
          <w:b w:val="0"/>
          <w:bCs/>
          <w:sz w:val="21"/>
          <w:szCs w:val="21"/>
          <w:highlight w:val="none"/>
          <w:lang w:val="en-US" w:eastAsia="zh-CN"/>
        </w:rPr>
        <w:t>签订日期：2026年4月  日</w:t>
      </w:r>
    </w:p>
    <w:bookmarkEnd w:id="0"/>
    <w:sectPr>
      <w:footerReference r:id="rId3" w:type="default"/>
      <w:pgSz w:w="11910" w:h="16840"/>
      <w:pgMar w:top="1418" w:right="1416" w:bottom="851" w:left="1574" w:header="0" w:footer="5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D181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DB60A">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DDB60A">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79E7A"/>
    <w:multiLevelType w:val="singleLevel"/>
    <w:tmpl w:val="AE679E7A"/>
    <w:lvl w:ilvl="0" w:tentative="0">
      <w:start w:val="1"/>
      <w:numFmt w:val="decimal"/>
      <w:suff w:val="nothing"/>
      <w:lvlText w:val="%1、"/>
      <w:lvlJc w:val="left"/>
    </w:lvl>
  </w:abstractNum>
  <w:abstractNum w:abstractNumId="1">
    <w:nsid w:val="CEB101E9"/>
    <w:multiLevelType w:val="singleLevel"/>
    <w:tmpl w:val="CEB101E9"/>
    <w:lvl w:ilvl="0" w:tentative="0">
      <w:start w:val="1"/>
      <w:numFmt w:val="chineseCounting"/>
      <w:suff w:val="nothing"/>
      <w:lvlText w:val="%1、"/>
      <w:lvlJc w:val="left"/>
      <w:rPr>
        <w:rFonts w:hint="eastAsia"/>
      </w:rPr>
    </w:lvl>
  </w:abstractNum>
  <w:abstractNum w:abstractNumId="2">
    <w:nsid w:val="F43C8E24"/>
    <w:multiLevelType w:val="singleLevel"/>
    <w:tmpl w:val="F43C8E24"/>
    <w:lvl w:ilvl="0" w:tentative="0">
      <w:start w:val="1"/>
      <w:numFmt w:val="decimal"/>
      <w:suff w:val="nothing"/>
      <w:lvlText w:val="%1、"/>
      <w:lvlJc w:val="left"/>
    </w:lvl>
  </w:abstractNum>
  <w:abstractNum w:abstractNumId="3">
    <w:nsid w:val="0E603979"/>
    <w:multiLevelType w:val="multilevel"/>
    <w:tmpl w:val="0E603979"/>
    <w:lvl w:ilvl="0" w:tentative="0">
      <w:start w:val="1"/>
      <w:numFmt w:val="decimal"/>
      <w:lvlText w:val="%1、"/>
      <w:lvlJc w:val="left"/>
      <w:pPr>
        <w:ind w:left="-37" w:hanging="360"/>
      </w:pPr>
      <w:rPr>
        <w:rFonts w:hint="default" w:ascii="宋体" w:hAnsi="宋体" w:eastAsia="宋体"/>
        <w:b w:val="0"/>
      </w:rPr>
    </w:lvl>
    <w:lvl w:ilvl="1" w:tentative="0">
      <w:start w:val="1"/>
      <w:numFmt w:val="lowerLetter"/>
      <w:lvlText w:val="%2)"/>
      <w:lvlJc w:val="left"/>
      <w:pPr>
        <w:ind w:left="443" w:hanging="420"/>
      </w:pPr>
    </w:lvl>
    <w:lvl w:ilvl="2" w:tentative="0">
      <w:start w:val="1"/>
      <w:numFmt w:val="lowerRoman"/>
      <w:lvlText w:val="%3."/>
      <w:lvlJc w:val="right"/>
      <w:pPr>
        <w:ind w:left="863" w:hanging="420"/>
      </w:pPr>
    </w:lvl>
    <w:lvl w:ilvl="3" w:tentative="0">
      <w:start w:val="1"/>
      <w:numFmt w:val="decimal"/>
      <w:lvlText w:val="%4."/>
      <w:lvlJc w:val="left"/>
      <w:pPr>
        <w:ind w:left="1283" w:hanging="420"/>
      </w:pPr>
    </w:lvl>
    <w:lvl w:ilvl="4" w:tentative="0">
      <w:start w:val="1"/>
      <w:numFmt w:val="lowerLetter"/>
      <w:lvlText w:val="%5)"/>
      <w:lvlJc w:val="left"/>
      <w:pPr>
        <w:ind w:left="1703" w:hanging="420"/>
      </w:pPr>
    </w:lvl>
    <w:lvl w:ilvl="5" w:tentative="0">
      <w:start w:val="1"/>
      <w:numFmt w:val="lowerRoman"/>
      <w:lvlText w:val="%6."/>
      <w:lvlJc w:val="right"/>
      <w:pPr>
        <w:ind w:left="2123" w:hanging="420"/>
      </w:pPr>
    </w:lvl>
    <w:lvl w:ilvl="6" w:tentative="0">
      <w:start w:val="1"/>
      <w:numFmt w:val="decimal"/>
      <w:lvlText w:val="%7."/>
      <w:lvlJc w:val="left"/>
      <w:pPr>
        <w:ind w:left="2543" w:hanging="420"/>
      </w:pPr>
    </w:lvl>
    <w:lvl w:ilvl="7" w:tentative="0">
      <w:start w:val="1"/>
      <w:numFmt w:val="lowerLetter"/>
      <w:lvlText w:val="%8)"/>
      <w:lvlJc w:val="left"/>
      <w:pPr>
        <w:ind w:left="2963" w:hanging="420"/>
      </w:pPr>
    </w:lvl>
    <w:lvl w:ilvl="8" w:tentative="0">
      <w:start w:val="1"/>
      <w:numFmt w:val="lowerRoman"/>
      <w:lvlText w:val="%9."/>
      <w:lvlJc w:val="right"/>
      <w:pPr>
        <w:ind w:left="3383" w:hanging="420"/>
      </w:pPr>
    </w:lvl>
  </w:abstractNum>
  <w:abstractNum w:abstractNumId="4">
    <w:nsid w:val="2754E09E"/>
    <w:multiLevelType w:val="singleLevel"/>
    <w:tmpl w:val="2754E09E"/>
    <w:lvl w:ilvl="0" w:tentative="0">
      <w:start w:val="1"/>
      <w:numFmt w:val="chineseCounting"/>
      <w:suff w:val="nothing"/>
      <w:lvlText w:val="%1、"/>
      <w:lvlJc w:val="left"/>
      <w:rPr>
        <w:rFonts w:hint="eastAsia"/>
      </w:rPr>
    </w:lvl>
  </w:abstractNum>
  <w:abstractNum w:abstractNumId="5">
    <w:nsid w:val="2B86DC3C"/>
    <w:multiLevelType w:val="singleLevel"/>
    <w:tmpl w:val="2B86DC3C"/>
    <w:lvl w:ilvl="0" w:tentative="0">
      <w:start w:val="1"/>
      <w:numFmt w:val="decimal"/>
      <w:suff w:val="nothing"/>
      <w:lvlText w:val="%1、"/>
      <w:lvlJc w:val="left"/>
    </w:lvl>
  </w:abstractNum>
  <w:abstractNum w:abstractNumId="6">
    <w:nsid w:val="3A451854"/>
    <w:multiLevelType w:val="multilevel"/>
    <w:tmpl w:val="3A451854"/>
    <w:lvl w:ilvl="0" w:tentative="0">
      <w:start w:val="1"/>
      <w:numFmt w:val="chineseCountingThousand"/>
      <w:lvlText w:val="第%1章 "/>
      <w:lvlJc w:val="left"/>
      <w:pPr>
        <w:tabs>
          <w:tab w:val="left" w:pos="425"/>
        </w:tabs>
        <w:ind w:left="0" w:firstLine="0"/>
      </w:pPr>
      <w:rPr>
        <w:rFonts w:hint="eastAsia" w:ascii="宋体" w:eastAsia="宋体"/>
        <w:b/>
        <w:i w:val="0"/>
        <w:sz w:val="32"/>
        <w:szCs w:val="32"/>
      </w:rPr>
    </w:lvl>
    <w:lvl w:ilvl="1" w:tentative="0">
      <w:start w:val="1"/>
      <w:numFmt w:val="decimal"/>
      <w:lvlText w:val="第%2节"/>
      <w:lvlJc w:val="left"/>
      <w:pPr>
        <w:tabs>
          <w:tab w:val="left" w:pos="992"/>
        </w:tabs>
        <w:ind w:left="0" w:firstLine="0"/>
      </w:pPr>
      <w:rPr>
        <w:rFonts w:hint="eastAsia" w:ascii="宋体" w:eastAsia="宋体"/>
        <w:b/>
        <w:i w:val="0"/>
        <w:sz w:val="30"/>
        <w:szCs w:val="30"/>
      </w:rPr>
    </w:lvl>
    <w:lvl w:ilvl="2" w:tentative="0">
      <w:start w:val="1"/>
      <w:numFmt w:val="decimal"/>
      <w:pStyle w:val="64"/>
      <w:lvlText w:val="%3"/>
      <w:lvlJc w:val="left"/>
      <w:pPr>
        <w:tabs>
          <w:tab w:val="left" w:pos="567"/>
        </w:tabs>
        <w:ind w:left="0" w:firstLine="0"/>
      </w:pPr>
      <w:rPr>
        <w:rFonts w:hint="eastAsia" w:ascii="宋体" w:eastAsia="宋体"/>
        <w:b/>
        <w:i w:val="0"/>
        <w:sz w:val="24"/>
        <w:szCs w:val="24"/>
      </w:rPr>
    </w:lvl>
    <w:lvl w:ilvl="3" w:tentative="0">
      <w:start w:val="1"/>
      <w:numFmt w:val="decimal"/>
      <w:pStyle w:val="63"/>
      <w:lvlText w:val="%3.%4"/>
      <w:lvlJc w:val="left"/>
      <w:pPr>
        <w:tabs>
          <w:tab w:val="left" w:pos="737"/>
        </w:tabs>
        <w:ind w:left="0" w:firstLine="284"/>
      </w:pPr>
      <w:rPr>
        <w:rFonts w:hint="eastAsia" w:ascii="宋体" w:eastAsia="宋体"/>
        <w:b/>
        <w:i w:val="0"/>
        <w:sz w:val="24"/>
        <w:szCs w:val="24"/>
      </w:rPr>
    </w:lvl>
    <w:lvl w:ilvl="4" w:tentative="0">
      <w:start w:val="1"/>
      <w:numFmt w:val="decimal"/>
      <w:lvlText w:val="6.4.%5"/>
      <w:lvlJc w:val="left"/>
      <w:pPr>
        <w:tabs>
          <w:tab w:val="left" w:pos="907"/>
        </w:tabs>
        <w:ind w:left="0" w:firstLine="0"/>
      </w:pPr>
      <w:rPr>
        <w:rFonts w:hint="eastAsia" w:ascii="宋体" w:eastAsia="宋体"/>
        <w:b w:val="0"/>
        <w:i w:val="0"/>
        <w:sz w:val="24"/>
        <w:szCs w:val="24"/>
      </w:rPr>
    </w:lvl>
    <w:lvl w:ilvl="5" w:tentative="0">
      <w:start w:val="1"/>
      <w:numFmt w:val="decimal"/>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5E120C06"/>
    <w:multiLevelType w:val="singleLevel"/>
    <w:tmpl w:val="5E120C06"/>
    <w:lvl w:ilvl="0" w:tentative="0">
      <w:start w:val="2"/>
      <w:numFmt w:val="decimal"/>
      <w:suff w:val="nothing"/>
      <w:lvlText w:val="%1、"/>
      <w:lvlJc w:val="left"/>
    </w:lvl>
  </w:abstractNum>
  <w:abstractNum w:abstractNumId="8">
    <w:nsid w:val="5FAF3907"/>
    <w:multiLevelType w:val="singleLevel"/>
    <w:tmpl w:val="5FAF3907"/>
    <w:lvl w:ilvl="0" w:tentative="0">
      <w:start w:val="1"/>
      <w:numFmt w:val="decimal"/>
      <w:suff w:val="space"/>
      <w:lvlText w:val="%1."/>
      <w:lvlJc w:val="left"/>
    </w:lvl>
  </w:abstractNum>
  <w:abstractNum w:abstractNumId="9">
    <w:nsid w:val="79BB743A"/>
    <w:multiLevelType w:val="singleLevel"/>
    <w:tmpl w:val="79BB743A"/>
    <w:lvl w:ilvl="0" w:tentative="0">
      <w:start w:val="1"/>
      <w:numFmt w:val="decimal"/>
      <w:suff w:val="space"/>
      <w:lvlText w:val="%1."/>
      <w:lvlJc w:val="left"/>
    </w:lvl>
  </w:abstractNum>
  <w:num w:numId="1">
    <w:abstractNumId w:val="6"/>
  </w:num>
  <w:num w:numId="2">
    <w:abstractNumId w:val="7"/>
  </w:num>
  <w:num w:numId="3">
    <w:abstractNumId w:val="9"/>
  </w:num>
  <w:num w:numId="4">
    <w:abstractNumId w:val="8"/>
  </w:num>
  <w:num w:numId="5">
    <w:abstractNumId w:val="4"/>
  </w:num>
  <w:num w:numId="6">
    <w:abstractNumId w:val="3"/>
  </w:num>
  <w:num w:numId="7">
    <w:abstractNumId w:val="1"/>
  </w:num>
  <w:num w:numId="8">
    <w:abstractNumId w:val="5"/>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3MzdiMzE4MzFlMGM4YjJmMmJlYzg4YzE4MDZmMGQifQ=="/>
  </w:docVars>
  <w:rsids>
    <w:rsidRoot w:val="11E81133"/>
    <w:rsid w:val="00326613"/>
    <w:rsid w:val="0123798F"/>
    <w:rsid w:val="013E63D1"/>
    <w:rsid w:val="06275C2E"/>
    <w:rsid w:val="0631155A"/>
    <w:rsid w:val="068E2CDB"/>
    <w:rsid w:val="06FA566D"/>
    <w:rsid w:val="07293DD8"/>
    <w:rsid w:val="07EE290D"/>
    <w:rsid w:val="09104F07"/>
    <w:rsid w:val="0AB56FFB"/>
    <w:rsid w:val="0BC87032"/>
    <w:rsid w:val="0C0D5805"/>
    <w:rsid w:val="10886FE5"/>
    <w:rsid w:val="10F63288"/>
    <w:rsid w:val="11E81133"/>
    <w:rsid w:val="145F6743"/>
    <w:rsid w:val="156A5A32"/>
    <w:rsid w:val="15746347"/>
    <w:rsid w:val="15D33122"/>
    <w:rsid w:val="16395424"/>
    <w:rsid w:val="16583785"/>
    <w:rsid w:val="172A1132"/>
    <w:rsid w:val="177F0CB9"/>
    <w:rsid w:val="1A580F49"/>
    <w:rsid w:val="1DBA2C3C"/>
    <w:rsid w:val="1E8E228B"/>
    <w:rsid w:val="1F784DBD"/>
    <w:rsid w:val="200846E2"/>
    <w:rsid w:val="20783067"/>
    <w:rsid w:val="22403686"/>
    <w:rsid w:val="226363A3"/>
    <w:rsid w:val="226A2526"/>
    <w:rsid w:val="24002D23"/>
    <w:rsid w:val="2502278B"/>
    <w:rsid w:val="27796377"/>
    <w:rsid w:val="288B1631"/>
    <w:rsid w:val="28C72137"/>
    <w:rsid w:val="2A6F3451"/>
    <w:rsid w:val="2E0F2F3E"/>
    <w:rsid w:val="2E1B38BD"/>
    <w:rsid w:val="31971EFF"/>
    <w:rsid w:val="327F1ADE"/>
    <w:rsid w:val="3368502A"/>
    <w:rsid w:val="361E1824"/>
    <w:rsid w:val="39F67FF4"/>
    <w:rsid w:val="3A3E04A1"/>
    <w:rsid w:val="3B3D0CDD"/>
    <w:rsid w:val="3C211594"/>
    <w:rsid w:val="3C682C89"/>
    <w:rsid w:val="3C6D3164"/>
    <w:rsid w:val="3CBE61CB"/>
    <w:rsid w:val="3D082A2B"/>
    <w:rsid w:val="40B7350C"/>
    <w:rsid w:val="40C90CF4"/>
    <w:rsid w:val="41A923E8"/>
    <w:rsid w:val="4226331F"/>
    <w:rsid w:val="42A23A6A"/>
    <w:rsid w:val="45AB6510"/>
    <w:rsid w:val="45AD1EAD"/>
    <w:rsid w:val="478E5C21"/>
    <w:rsid w:val="4A003E5E"/>
    <w:rsid w:val="4BEF3080"/>
    <w:rsid w:val="4BF1637D"/>
    <w:rsid w:val="4CE31438"/>
    <w:rsid w:val="4D0645BC"/>
    <w:rsid w:val="4D0F6E8D"/>
    <w:rsid w:val="4DF767DC"/>
    <w:rsid w:val="4E60447E"/>
    <w:rsid w:val="4EAF5230"/>
    <w:rsid w:val="4F1F5AC7"/>
    <w:rsid w:val="4F255B56"/>
    <w:rsid w:val="50B40621"/>
    <w:rsid w:val="51B24403"/>
    <w:rsid w:val="5272104B"/>
    <w:rsid w:val="56F7250C"/>
    <w:rsid w:val="5B4137A1"/>
    <w:rsid w:val="5BE54EFE"/>
    <w:rsid w:val="5C7A3A37"/>
    <w:rsid w:val="5C944BFE"/>
    <w:rsid w:val="5CCD2F5A"/>
    <w:rsid w:val="5D0E1328"/>
    <w:rsid w:val="5F574FA6"/>
    <w:rsid w:val="61A23E90"/>
    <w:rsid w:val="621276CB"/>
    <w:rsid w:val="62824198"/>
    <w:rsid w:val="640E0157"/>
    <w:rsid w:val="65811736"/>
    <w:rsid w:val="66707909"/>
    <w:rsid w:val="66780829"/>
    <w:rsid w:val="67E92685"/>
    <w:rsid w:val="69237984"/>
    <w:rsid w:val="6928573A"/>
    <w:rsid w:val="6B5A6C72"/>
    <w:rsid w:val="6C581902"/>
    <w:rsid w:val="6C9135A8"/>
    <w:rsid w:val="6CAD32BE"/>
    <w:rsid w:val="6CD36F21"/>
    <w:rsid w:val="6D411FFE"/>
    <w:rsid w:val="6DA86872"/>
    <w:rsid w:val="6DC6202A"/>
    <w:rsid w:val="70FB3E07"/>
    <w:rsid w:val="713F0604"/>
    <w:rsid w:val="72A11F60"/>
    <w:rsid w:val="74092506"/>
    <w:rsid w:val="744A328A"/>
    <w:rsid w:val="77E5633B"/>
    <w:rsid w:val="78C32B91"/>
    <w:rsid w:val="78EE65A3"/>
    <w:rsid w:val="79A5403D"/>
    <w:rsid w:val="7AC657A8"/>
    <w:rsid w:val="7AF44AD7"/>
    <w:rsid w:val="7BB00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0"/>
    <w:pPr>
      <w:ind w:left="538"/>
      <w:outlineLvl w:val="0"/>
    </w:pPr>
    <w:rPr>
      <w:b/>
      <w:bCs/>
      <w:sz w:val="28"/>
      <w:szCs w:val="28"/>
    </w:rPr>
  </w:style>
  <w:style w:type="character" w:default="1" w:styleId="10">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3">
    <w:name w:val="Normal Indent"/>
    <w:basedOn w:val="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4">
    <w:name w:val="Body Text"/>
    <w:basedOn w:val="1"/>
    <w:qFormat/>
    <w:uiPriority w:val="1"/>
    <w:rPr>
      <w:sz w:val="24"/>
      <w:szCs w:val="24"/>
    </w:rPr>
  </w:style>
  <w:style w:type="paragraph" w:styleId="5">
    <w:name w:val="Plain Text"/>
    <w:basedOn w:val="1"/>
    <w:qFormat/>
    <w:uiPriority w:val="0"/>
    <w:rPr>
      <w:rFonts w:hAnsi="Courier New" w:cs="Courier New"/>
      <w:szCs w:val="21"/>
    </w:rPr>
  </w:style>
  <w:style w:type="paragraph" w:styleId="6">
    <w:name w:val="footer"/>
    <w:basedOn w:val="1"/>
    <w:qFormat/>
    <w:uiPriority w:val="99"/>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FollowedHyperlink"/>
    <w:basedOn w:val="10"/>
    <w:qFormat/>
    <w:uiPriority w:val="0"/>
    <w:rPr>
      <w:color w:val="2490F8"/>
      <w:u w:val="none"/>
    </w:rPr>
  </w:style>
  <w:style w:type="character" w:styleId="13">
    <w:name w:val="HTML Definition"/>
    <w:basedOn w:val="10"/>
    <w:qFormat/>
    <w:uiPriority w:val="0"/>
  </w:style>
  <w:style w:type="character" w:styleId="14">
    <w:name w:val="HTML Variable"/>
    <w:basedOn w:val="10"/>
    <w:qFormat/>
    <w:uiPriority w:val="0"/>
  </w:style>
  <w:style w:type="character" w:styleId="15">
    <w:name w:val="Hyperlink"/>
    <w:basedOn w:val="10"/>
    <w:qFormat/>
    <w:uiPriority w:val="0"/>
    <w:rPr>
      <w:color w:val="2490F8"/>
      <w:u w:val="none"/>
    </w:rPr>
  </w:style>
  <w:style w:type="character" w:styleId="16">
    <w:name w:val="HTML Code"/>
    <w:basedOn w:val="10"/>
    <w:qFormat/>
    <w:uiPriority w:val="0"/>
    <w:rPr>
      <w:rFonts w:ascii="Courier New" w:hAnsi="Courier New"/>
      <w:sz w:val="20"/>
    </w:rPr>
  </w:style>
  <w:style w:type="character" w:styleId="17">
    <w:name w:val="HTML Cite"/>
    <w:basedOn w:val="10"/>
    <w:qFormat/>
    <w:uiPriority w:val="0"/>
  </w:style>
  <w:style w:type="paragraph" w:customStyle="1" w:styleId="18">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19">
    <w:name w:val="List Paragraph"/>
    <w:basedOn w:val="1"/>
    <w:qFormat/>
    <w:uiPriority w:val="34"/>
    <w:pPr>
      <w:spacing w:before="206"/>
      <w:ind w:left="959" w:hanging="361"/>
    </w:pPr>
  </w:style>
  <w:style w:type="paragraph" w:customStyle="1" w:styleId="20">
    <w:name w:val="No Spacing"/>
    <w:qFormat/>
    <w:uiPriority w:val="1"/>
    <w:rPr>
      <w:rFonts w:ascii="Calibri" w:hAnsi="Calibri" w:eastAsia="宋体" w:cs="Times New Roman"/>
      <w:sz w:val="22"/>
      <w:szCs w:val="22"/>
      <w:lang w:val="en-US" w:eastAsia="zh-CN" w:bidi="ar-SA"/>
    </w:rPr>
  </w:style>
  <w:style w:type="character" w:customStyle="1" w:styleId="21">
    <w:name w:val="apple-converted-space"/>
    <w:basedOn w:val="10"/>
    <w:qFormat/>
    <w:uiPriority w:val="99"/>
  </w:style>
  <w:style w:type="paragraph" w:customStyle="1" w:styleId="22">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23">
    <w:name w:val="after"/>
    <w:basedOn w:val="10"/>
    <w:qFormat/>
    <w:uiPriority w:val="0"/>
    <w:rPr>
      <w:sz w:val="0"/>
      <w:szCs w:val="0"/>
    </w:rPr>
  </w:style>
  <w:style w:type="character" w:customStyle="1" w:styleId="24">
    <w:name w:val="icontext2"/>
    <w:basedOn w:val="10"/>
    <w:qFormat/>
    <w:uiPriority w:val="0"/>
  </w:style>
  <w:style w:type="character" w:customStyle="1" w:styleId="25">
    <w:name w:val="iconline2"/>
    <w:basedOn w:val="10"/>
    <w:qFormat/>
    <w:uiPriority w:val="0"/>
  </w:style>
  <w:style w:type="character" w:customStyle="1" w:styleId="26">
    <w:name w:val="pagechatarealistclose_box"/>
    <w:basedOn w:val="10"/>
    <w:qFormat/>
    <w:uiPriority w:val="0"/>
  </w:style>
  <w:style w:type="character" w:customStyle="1" w:styleId="27">
    <w:name w:val="pagechatarealistclose_box1"/>
    <w:basedOn w:val="10"/>
    <w:qFormat/>
    <w:uiPriority w:val="0"/>
  </w:style>
  <w:style w:type="character" w:customStyle="1" w:styleId="28">
    <w:name w:val="layui-layer-tabnow"/>
    <w:basedOn w:val="10"/>
    <w:qFormat/>
    <w:uiPriority w:val="0"/>
    <w:rPr>
      <w:bdr w:val="single" w:color="CCCCCC" w:sz="4" w:space="0"/>
      <w:shd w:val="clear" w:fill="FFFFFF"/>
    </w:rPr>
  </w:style>
  <w:style w:type="character" w:customStyle="1" w:styleId="29">
    <w:name w:val="hover36"/>
    <w:basedOn w:val="10"/>
    <w:qFormat/>
    <w:uiPriority w:val="0"/>
    <w:rPr>
      <w:color w:val="FFFFFF"/>
    </w:rPr>
  </w:style>
  <w:style w:type="character" w:customStyle="1" w:styleId="30">
    <w:name w:val="cdropleft"/>
    <w:basedOn w:val="10"/>
    <w:qFormat/>
    <w:uiPriority w:val="0"/>
  </w:style>
  <w:style w:type="character" w:customStyle="1" w:styleId="31">
    <w:name w:val="hilite"/>
    <w:basedOn w:val="10"/>
    <w:qFormat/>
    <w:uiPriority w:val="0"/>
    <w:rPr>
      <w:color w:val="FFFFFF"/>
      <w:shd w:val="clear" w:fill="666666"/>
    </w:rPr>
  </w:style>
  <w:style w:type="character" w:customStyle="1" w:styleId="32">
    <w:name w:val="cy"/>
    <w:basedOn w:val="10"/>
    <w:qFormat/>
    <w:uiPriority w:val="0"/>
  </w:style>
  <w:style w:type="character" w:customStyle="1" w:styleId="33">
    <w:name w:val="w32"/>
    <w:basedOn w:val="10"/>
    <w:qFormat/>
    <w:uiPriority w:val="0"/>
  </w:style>
  <w:style w:type="character" w:customStyle="1" w:styleId="34">
    <w:name w:val="first-child"/>
    <w:basedOn w:val="10"/>
    <w:qFormat/>
    <w:uiPriority w:val="0"/>
  </w:style>
  <w:style w:type="character" w:customStyle="1" w:styleId="35">
    <w:name w:val="xdrichtextbox"/>
    <w:basedOn w:val="10"/>
    <w:qFormat/>
    <w:uiPriority w:val="0"/>
    <w:rPr>
      <w:color w:val="auto"/>
      <w:u w:val="none"/>
      <w:bdr w:val="single" w:color="DCDCDC" w:sz="8" w:space="0"/>
      <w:shd w:val="clear" w:fill="auto"/>
    </w:rPr>
  </w:style>
  <w:style w:type="character" w:customStyle="1" w:styleId="36">
    <w:name w:val="cdropright"/>
    <w:basedOn w:val="10"/>
    <w:qFormat/>
    <w:uiPriority w:val="0"/>
  </w:style>
  <w:style w:type="character" w:customStyle="1" w:styleId="37">
    <w:name w:val="associateddata"/>
    <w:basedOn w:val="10"/>
    <w:qFormat/>
    <w:uiPriority w:val="0"/>
    <w:rPr>
      <w:shd w:val="clear" w:fill="50A6F9"/>
    </w:rPr>
  </w:style>
  <w:style w:type="character" w:customStyle="1" w:styleId="38">
    <w:name w:val="drapbtn"/>
    <w:basedOn w:val="10"/>
    <w:qFormat/>
    <w:uiPriority w:val="0"/>
  </w:style>
  <w:style w:type="character" w:customStyle="1" w:styleId="39">
    <w:name w:val="ico1654"/>
    <w:basedOn w:val="10"/>
    <w:qFormat/>
    <w:uiPriority w:val="0"/>
  </w:style>
  <w:style w:type="character" w:customStyle="1" w:styleId="40">
    <w:name w:val="ico1655"/>
    <w:basedOn w:val="10"/>
    <w:qFormat/>
    <w:uiPriority w:val="0"/>
  </w:style>
  <w:style w:type="character" w:customStyle="1" w:styleId="41">
    <w:name w:val="active5"/>
    <w:basedOn w:val="10"/>
    <w:qFormat/>
    <w:uiPriority w:val="0"/>
    <w:rPr>
      <w:color w:val="00FF00"/>
      <w:shd w:val="clear" w:fill="111111"/>
    </w:rPr>
  </w:style>
  <w:style w:type="character" w:customStyle="1" w:styleId="42">
    <w:name w:val="active6"/>
    <w:basedOn w:val="10"/>
    <w:qFormat/>
    <w:uiPriority w:val="0"/>
    <w:rPr>
      <w:shd w:val="clear" w:fill="EC3535"/>
    </w:rPr>
  </w:style>
  <w:style w:type="character" w:customStyle="1" w:styleId="43">
    <w:name w:val="icontext1"/>
    <w:basedOn w:val="10"/>
    <w:qFormat/>
    <w:uiPriority w:val="0"/>
  </w:style>
  <w:style w:type="character" w:customStyle="1" w:styleId="44">
    <w:name w:val="icontext11"/>
    <w:basedOn w:val="10"/>
    <w:qFormat/>
    <w:uiPriority w:val="0"/>
  </w:style>
  <w:style w:type="character" w:customStyle="1" w:styleId="45">
    <w:name w:val="icontext12"/>
    <w:basedOn w:val="10"/>
    <w:qFormat/>
    <w:uiPriority w:val="0"/>
  </w:style>
  <w:style w:type="character" w:customStyle="1" w:styleId="46">
    <w:name w:val="choosename"/>
    <w:basedOn w:val="10"/>
    <w:qFormat/>
    <w:uiPriority w:val="0"/>
  </w:style>
  <w:style w:type="character" w:customStyle="1" w:styleId="47">
    <w:name w:val="biggerthanmax"/>
    <w:basedOn w:val="10"/>
    <w:qFormat/>
    <w:uiPriority w:val="0"/>
    <w:rPr>
      <w:shd w:val="clear" w:fill="FFFF00"/>
    </w:rPr>
  </w:style>
  <w:style w:type="character" w:customStyle="1" w:styleId="48">
    <w:name w:val="tmpztreemove_arrow"/>
    <w:basedOn w:val="10"/>
    <w:qFormat/>
    <w:uiPriority w:val="0"/>
  </w:style>
  <w:style w:type="character" w:customStyle="1" w:styleId="49">
    <w:name w:val="icontext3"/>
    <w:basedOn w:val="10"/>
    <w:qFormat/>
    <w:uiPriority w:val="0"/>
  </w:style>
  <w:style w:type="character" w:customStyle="1" w:styleId="50">
    <w:name w:val="button4"/>
    <w:basedOn w:val="10"/>
    <w:qFormat/>
    <w:uiPriority w:val="0"/>
  </w:style>
  <w:style w:type="character" w:customStyle="1" w:styleId="51">
    <w:name w:val="edit_class"/>
    <w:basedOn w:val="10"/>
    <w:qFormat/>
    <w:uiPriority w:val="0"/>
  </w:style>
  <w:style w:type="character" w:customStyle="1" w:styleId="52">
    <w:name w:val="design_class"/>
    <w:basedOn w:val="10"/>
    <w:qFormat/>
    <w:uiPriority w:val="0"/>
  </w:style>
  <w:style w:type="character" w:customStyle="1" w:styleId="53">
    <w:name w:val="button"/>
    <w:basedOn w:val="10"/>
    <w:qFormat/>
    <w:uiPriority w:val="0"/>
  </w:style>
  <w:style w:type="character" w:customStyle="1" w:styleId="54">
    <w:name w:val="iconline21"/>
    <w:basedOn w:val="10"/>
    <w:qFormat/>
    <w:uiPriority w:val="0"/>
  </w:style>
  <w:style w:type="character" w:customStyle="1" w:styleId="55">
    <w:name w:val="ico16"/>
    <w:basedOn w:val="10"/>
    <w:qFormat/>
    <w:uiPriority w:val="0"/>
  </w:style>
  <w:style w:type="character" w:customStyle="1" w:styleId="56">
    <w:name w:val="ico161"/>
    <w:basedOn w:val="10"/>
    <w:qFormat/>
    <w:uiPriority w:val="0"/>
  </w:style>
  <w:style w:type="character" w:customStyle="1" w:styleId="57">
    <w:name w:val="hover40"/>
    <w:basedOn w:val="10"/>
    <w:qFormat/>
    <w:uiPriority w:val="0"/>
    <w:rPr>
      <w:color w:val="FFFFFF"/>
    </w:rPr>
  </w:style>
  <w:style w:type="character" w:customStyle="1" w:styleId="58">
    <w:name w:val="xdrichtextbox4"/>
    <w:basedOn w:val="10"/>
    <w:qFormat/>
    <w:uiPriority w:val="0"/>
  </w:style>
  <w:style w:type="character" w:customStyle="1" w:styleId="59">
    <w:name w:val="hilite6"/>
    <w:basedOn w:val="10"/>
    <w:qFormat/>
    <w:uiPriority w:val="0"/>
    <w:rPr>
      <w:color w:val="FFFFFF"/>
      <w:shd w:val="clear" w:fill="666666"/>
    </w:rPr>
  </w:style>
  <w:style w:type="character" w:customStyle="1" w:styleId="60">
    <w:name w:val="active7"/>
    <w:basedOn w:val="10"/>
    <w:qFormat/>
    <w:uiPriority w:val="0"/>
    <w:rPr>
      <w:color w:val="00FF00"/>
      <w:shd w:val="clear" w:fill="111111"/>
    </w:rPr>
  </w:style>
  <w:style w:type="character" w:customStyle="1" w:styleId="61">
    <w:name w:val="active8"/>
    <w:basedOn w:val="10"/>
    <w:qFormat/>
    <w:uiPriority w:val="0"/>
    <w:rPr>
      <w:shd w:val="clear" w:fill="EC3535"/>
    </w:rPr>
  </w:style>
  <w:style w:type="character" w:customStyle="1" w:styleId="62">
    <w:name w:val="hover41"/>
    <w:basedOn w:val="10"/>
    <w:qFormat/>
    <w:uiPriority w:val="0"/>
    <w:rPr>
      <w:color w:val="FFFFFF"/>
    </w:rPr>
  </w:style>
  <w:style w:type="paragraph" w:customStyle="1" w:styleId="63">
    <w:name w:val="大纲4"/>
    <w:basedOn w:val="64"/>
    <w:qFormat/>
    <w:uiPriority w:val="0"/>
    <w:pPr>
      <w:numPr>
        <w:ilvl w:val="3"/>
      </w:numPr>
      <w:tabs>
        <w:tab w:val="left" w:pos="567"/>
      </w:tabs>
      <w:outlineLvl w:val="3"/>
    </w:pPr>
  </w:style>
  <w:style w:type="paragraph" w:customStyle="1" w:styleId="64">
    <w:name w:val="大纲3"/>
    <w:basedOn w:val="1"/>
    <w:qFormat/>
    <w:uiPriority w:val="0"/>
    <w:pPr>
      <w:numPr>
        <w:ilvl w:val="2"/>
        <w:numId w:val="1"/>
      </w:numPr>
      <w:adjustRightInd w:val="0"/>
      <w:spacing w:line="360" w:lineRule="auto"/>
      <w:textAlignment w:val="baseline"/>
      <w:outlineLvl w:val="2"/>
    </w:pPr>
    <w:rPr>
      <w:rFonts w:ascii="Times New Roman" w:hAnsi="Times New Roman" w:eastAsia="宋体" w:cs="Times New Roman"/>
      <w:b/>
      <w:sz w:val="24"/>
      <w:szCs w:val="24"/>
    </w:rPr>
  </w:style>
  <w:style w:type="paragraph" w:customStyle="1" w:styleId="65">
    <w:name w:val="Default"/>
    <w:qFormat/>
    <w:uiPriority w:val="0"/>
    <w:pPr>
      <w:widowControl w:val="0"/>
      <w:autoSpaceDE w:val="0"/>
      <w:autoSpaceDN w:val="0"/>
      <w:adjustRightInd w:val="0"/>
    </w:pPr>
    <w:rPr>
      <w:rFonts w:ascii="Arial" w:hAnsi="Arial" w:cs="Arial"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11354</Words>
  <Characters>11828</Characters>
  <Lines>0</Lines>
  <Paragraphs>0</Paragraphs>
  <TotalTime>3</TotalTime>
  <ScaleCrop>false</ScaleCrop>
  <LinksUpToDate>false</LinksUpToDate>
  <CharactersWithSpaces>12251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2022-03-31T06:59:00Z</dcterms:created>
  <dc:creator>DELL</dc:creator>
  <cp:lastModifiedBy>寒梅（钦）</cp:lastModifiedBy>
  <dcterms:modified xsi:type="dcterms:W3CDTF">2026-03-30T08:13:36Z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8007279E7BE74245859AB1DD2371BBE4_13</vt:lpwstr>
  </property>
  <property fmtid="{D5CDD505-2E9C-101B-9397-08002B2CF9AE}" pid="4" name="KSOTemplateDocerSaveRecord">
    <vt:lpwstr>eyJoZGlkIjoiNTY1NGEwYmNkYmRjMWNmMjE0NWZlMjMzZjJmZDM4MjEiLCJ1c2VySWQiOiI5ODEyNzgwOTAifQ==</vt:lpwstr>
  </property>
</Properties>
</file>