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670B">
      <w:pPr>
        <w:pStyle w:val="20"/>
        <w:rPr>
          <w:rFonts w:ascii="Times New Roman"/>
          <w:sz w:val="20"/>
          <w:lang w:eastAsia="zh-CN"/>
        </w:rPr>
      </w:pPr>
    </w:p>
    <w:p w14:paraId="459C04E6">
      <w:pPr>
        <w:pStyle w:val="20"/>
        <w:rPr>
          <w:rFonts w:ascii="Times New Roman"/>
          <w:sz w:val="20"/>
        </w:rPr>
      </w:pPr>
    </w:p>
    <w:p w14:paraId="765B37C0">
      <w:pPr>
        <w:pStyle w:val="20"/>
        <w:rPr>
          <w:rFonts w:ascii="Times New Roman"/>
          <w:sz w:val="20"/>
        </w:rPr>
      </w:pPr>
    </w:p>
    <w:p w14:paraId="06CBDCC4">
      <w:pPr>
        <w:pStyle w:val="20"/>
        <w:rPr>
          <w:rFonts w:ascii="Times New Roman"/>
          <w:sz w:val="20"/>
        </w:rPr>
      </w:pPr>
    </w:p>
    <w:p w14:paraId="3AF4FB86">
      <w:pPr>
        <w:pStyle w:val="20"/>
        <w:rPr>
          <w:rFonts w:ascii="Times New Roman"/>
          <w:sz w:val="20"/>
        </w:rPr>
      </w:pPr>
    </w:p>
    <w:p w14:paraId="731B76CE">
      <w:pPr>
        <w:pStyle w:val="20"/>
        <w:spacing w:before="5"/>
        <w:rPr>
          <w:rFonts w:ascii="Times New Roman"/>
          <w:sz w:val="20"/>
        </w:rPr>
      </w:pPr>
    </w:p>
    <w:p w14:paraId="52D7B970">
      <w:pPr>
        <w:pStyle w:val="20"/>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6D112668">
      <w:pPr>
        <w:spacing w:line="720" w:lineRule="auto"/>
        <w:jc w:val="center"/>
        <w:rPr>
          <w:rFonts w:ascii="微软雅黑" w:hAnsi="宋体" w:eastAsia="微软雅黑" w:cs="宋体"/>
          <w:kern w:val="0"/>
          <w:sz w:val="36"/>
          <w:szCs w:val="36"/>
        </w:rPr>
      </w:pPr>
    </w:p>
    <w:p w14:paraId="1C88A1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eastAsia="微软雅黑"/>
          <w:b/>
          <w:sz w:val="36"/>
          <w:szCs w:val="36"/>
          <w:u w:val="single"/>
          <w:lang w:val="en-US" w:eastAsia="zh-CN"/>
        </w:rPr>
      </w:pPr>
      <w:r>
        <w:rPr>
          <w:rFonts w:hint="eastAsia" w:ascii="微软雅黑" w:eastAsia="微软雅黑"/>
          <w:b/>
          <w:sz w:val="36"/>
          <w:szCs w:val="36"/>
          <w:u w:val="single"/>
          <w:lang w:val="en-US" w:eastAsia="zh-CN"/>
        </w:rPr>
        <w:t>2026年职业病危害检测及评价项目</w:t>
      </w:r>
    </w:p>
    <w:p w14:paraId="214787D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微软雅黑" w:eastAsia="微软雅黑"/>
          <w:b/>
          <w:sz w:val="36"/>
          <w:szCs w:val="36"/>
          <w:u w:val="single"/>
        </w:rPr>
      </w:pPr>
      <w:r>
        <w:rPr>
          <w:rFonts w:hint="eastAsia" w:ascii="微软雅黑" w:eastAsia="微软雅黑"/>
          <w:b/>
          <w:sz w:val="36"/>
          <w:szCs w:val="36"/>
          <w:u w:val="single"/>
        </w:rPr>
        <w:t>询比采购文件</w:t>
      </w:r>
    </w:p>
    <w:p w14:paraId="6A94C887">
      <w:pPr>
        <w:pStyle w:val="55"/>
        <w:jc w:val="center"/>
        <w:rPr>
          <w:sz w:val="28"/>
          <w:szCs w:val="28"/>
        </w:rPr>
      </w:pPr>
      <w:r>
        <w:rPr>
          <w:rFonts w:hint="eastAsia"/>
          <w:sz w:val="28"/>
          <w:szCs w:val="28"/>
        </w:rPr>
        <w:t>（文件编号：PB260313000003）</w:t>
      </w:r>
    </w:p>
    <w:p w14:paraId="72C234B2">
      <w:pPr>
        <w:pStyle w:val="20"/>
        <w:rPr>
          <w:rFonts w:ascii="微软雅黑"/>
          <w:b/>
          <w:sz w:val="94"/>
          <w:lang w:eastAsia="zh-CN"/>
        </w:rPr>
      </w:pPr>
    </w:p>
    <w:p w14:paraId="2AB0FF6F">
      <w:pPr>
        <w:pStyle w:val="20"/>
        <w:rPr>
          <w:rFonts w:ascii="微软雅黑"/>
          <w:b/>
          <w:sz w:val="32"/>
          <w:szCs w:val="32"/>
          <w:lang w:eastAsia="zh-CN"/>
        </w:rPr>
      </w:pPr>
    </w:p>
    <w:p w14:paraId="0D8DACE4">
      <w:pPr>
        <w:pStyle w:val="20"/>
        <w:rPr>
          <w:rFonts w:ascii="微软雅黑"/>
          <w:b/>
          <w:sz w:val="32"/>
          <w:szCs w:val="32"/>
          <w:lang w:eastAsia="zh-CN"/>
        </w:rPr>
      </w:pPr>
    </w:p>
    <w:p w14:paraId="256DE0A6">
      <w:pPr>
        <w:pStyle w:val="20"/>
        <w:rPr>
          <w:rFonts w:ascii="微软雅黑"/>
          <w:b/>
          <w:sz w:val="32"/>
          <w:szCs w:val="32"/>
          <w:lang w:eastAsia="zh-CN"/>
        </w:rPr>
      </w:pPr>
    </w:p>
    <w:p w14:paraId="48CA2185">
      <w:pPr>
        <w:pStyle w:val="20"/>
        <w:rPr>
          <w:rFonts w:ascii="微软雅黑"/>
          <w:b/>
          <w:sz w:val="32"/>
          <w:szCs w:val="32"/>
          <w:lang w:eastAsia="zh-CN"/>
        </w:rPr>
      </w:pPr>
    </w:p>
    <w:p w14:paraId="1168006C">
      <w:pPr>
        <w:pStyle w:val="20"/>
        <w:rPr>
          <w:rFonts w:ascii="微软雅黑"/>
          <w:b/>
          <w:sz w:val="32"/>
          <w:szCs w:val="32"/>
          <w:lang w:eastAsia="zh-CN"/>
        </w:rPr>
      </w:pPr>
    </w:p>
    <w:p w14:paraId="27FA9B89">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2F1D839E">
      <w:pPr>
        <w:spacing w:line="271" w:lineRule="auto"/>
        <w:ind w:right="1889"/>
        <w:rPr>
          <w:rFonts w:ascii="微软雅黑" w:eastAsia="微软雅黑"/>
          <w:b/>
          <w:w w:val="95"/>
          <w:sz w:val="32"/>
        </w:rPr>
        <w:sectPr>
          <w:footerReference r:id="rId3" w:type="default"/>
          <w:type w:val="continuous"/>
          <w:pgSz w:w="11910" w:h="16840"/>
          <w:pgMar w:top="1600" w:right="1680" w:bottom="280" w:left="1680" w:header="720" w:footer="737" w:gutter="0"/>
          <w:pgNumType w:fmt="decimal"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年三月</w:t>
      </w:r>
    </w:p>
    <w:p w14:paraId="598A2FB0">
      <w:pPr>
        <w:tabs>
          <w:tab w:val="left" w:pos="959"/>
        </w:tabs>
        <w:spacing w:line="395" w:lineRule="exact"/>
        <w:ind w:right="170"/>
        <w:jc w:val="center"/>
        <w:rPr>
          <w:rFonts w:ascii="黑体" w:eastAsia="黑体"/>
          <w:sz w:val="32"/>
        </w:rPr>
      </w:pPr>
    </w:p>
    <w:p w14:paraId="3E8C1876">
      <w:pPr>
        <w:tabs>
          <w:tab w:val="left" w:pos="959"/>
        </w:tabs>
        <w:spacing w:line="395" w:lineRule="exact"/>
        <w:ind w:right="170"/>
        <w:jc w:val="center"/>
        <w:rPr>
          <w:rFonts w:ascii="黑体" w:eastAsia="黑体"/>
          <w:sz w:val="32"/>
        </w:rPr>
      </w:pPr>
    </w:p>
    <w:p w14:paraId="102FA2CF">
      <w:pPr>
        <w:tabs>
          <w:tab w:val="left" w:pos="959"/>
        </w:tabs>
        <w:spacing w:line="395" w:lineRule="exact"/>
        <w:ind w:right="170"/>
        <w:jc w:val="center"/>
        <w:rPr>
          <w:rFonts w:ascii="黑体" w:eastAsia="黑体"/>
          <w:sz w:val="32"/>
        </w:rPr>
      </w:pPr>
    </w:p>
    <w:p w14:paraId="4E80AF15">
      <w:pPr>
        <w:tabs>
          <w:tab w:val="left" w:pos="959"/>
        </w:tabs>
        <w:spacing w:line="395" w:lineRule="exact"/>
        <w:ind w:right="170"/>
        <w:jc w:val="center"/>
        <w:rPr>
          <w:rFonts w:ascii="黑体" w:eastAsia="黑体"/>
          <w:sz w:val="32"/>
        </w:rPr>
      </w:pPr>
    </w:p>
    <w:p w14:paraId="39ABDE99">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3CD77C56">
      <w:pPr>
        <w:pStyle w:val="20"/>
        <w:rPr>
          <w:rFonts w:ascii="黑体"/>
          <w:sz w:val="20"/>
          <w:lang w:eastAsia="zh-CN"/>
        </w:rPr>
      </w:pPr>
    </w:p>
    <w:p w14:paraId="6A8B1887">
      <w:pPr>
        <w:pStyle w:val="20"/>
        <w:rPr>
          <w:rFonts w:ascii="黑体"/>
          <w:sz w:val="20"/>
          <w:lang w:eastAsia="zh-CN"/>
        </w:rPr>
      </w:pPr>
    </w:p>
    <w:p w14:paraId="375FD64B">
      <w:pPr>
        <w:pStyle w:val="20"/>
        <w:spacing w:before="9"/>
        <w:rPr>
          <w:rFonts w:ascii="黑体"/>
          <w:lang w:eastAsia="zh-CN"/>
        </w:rPr>
      </w:pPr>
    </w:p>
    <w:p w14:paraId="1722BB4F">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3842A619">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447F638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ADBDAAA">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29FB36D1">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193079E5">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7088C3ED">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398B65D1">
      <w:pPr>
        <w:tabs>
          <w:tab w:val="left" w:pos="709"/>
        </w:tabs>
        <w:spacing w:line="360" w:lineRule="auto"/>
        <w:ind w:firstLine="480" w:firstLineChars="200"/>
        <w:rPr>
          <w:sz w:val="24"/>
          <w:szCs w:val="24"/>
        </w:rPr>
      </w:pPr>
    </w:p>
    <w:p w14:paraId="3CC1616F">
      <w:pPr>
        <w:tabs>
          <w:tab w:val="left" w:pos="709"/>
        </w:tabs>
        <w:spacing w:line="360" w:lineRule="auto"/>
        <w:ind w:firstLine="480" w:firstLineChars="200"/>
        <w:rPr>
          <w:sz w:val="24"/>
          <w:szCs w:val="24"/>
        </w:rPr>
      </w:pPr>
    </w:p>
    <w:p w14:paraId="774E5F7B">
      <w:pPr>
        <w:tabs>
          <w:tab w:val="left" w:pos="709"/>
        </w:tabs>
        <w:spacing w:line="360" w:lineRule="auto"/>
        <w:ind w:firstLine="480" w:firstLineChars="200"/>
        <w:rPr>
          <w:sz w:val="24"/>
          <w:szCs w:val="24"/>
        </w:rPr>
      </w:pPr>
    </w:p>
    <w:p w14:paraId="74D6B852">
      <w:pPr>
        <w:tabs>
          <w:tab w:val="left" w:pos="709"/>
        </w:tabs>
        <w:spacing w:line="360" w:lineRule="auto"/>
        <w:ind w:firstLine="480" w:firstLineChars="200"/>
        <w:rPr>
          <w:sz w:val="24"/>
          <w:szCs w:val="24"/>
        </w:rPr>
      </w:pPr>
    </w:p>
    <w:p w14:paraId="7B32393B">
      <w:pPr>
        <w:tabs>
          <w:tab w:val="left" w:pos="709"/>
        </w:tabs>
        <w:spacing w:line="360" w:lineRule="auto"/>
        <w:ind w:firstLine="480" w:firstLineChars="200"/>
        <w:rPr>
          <w:sz w:val="24"/>
          <w:szCs w:val="24"/>
        </w:rPr>
      </w:pPr>
    </w:p>
    <w:p w14:paraId="41FC76E9">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2835F8AE">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08C3BA69">
      <w:pPr>
        <w:spacing w:line="408" w:lineRule="auto"/>
        <w:rPr>
          <w:sz w:val="28"/>
        </w:rPr>
      </w:pPr>
    </w:p>
    <w:p w14:paraId="49CE27EF">
      <w:pPr>
        <w:spacing w:line="408" w:lineRule="auto"/>
        <w:rPr>
          <w:sz w:val="28"/>
        </w:rPr>
      </w:pPr>
    </w:p>
    <w:p w14:paraId="273E1A9E">
      <w:pPr>
        <w:spacing w:line="408" w:lineRule="auto"/>
        <w:rPr>
          <w:sz w:val="28"/>
        </w:rPr>
      </w:pPr>
    </w:p>
    <w:p w14:paraId="109EB82A">
      <w:pPr>
        <w:spacing w:line="408" w:lineRule="auto"/>
        <w:rPr>
          <w:sz w:val="28"/>
        </w:rPr>
      </w:pPr>
    </w:p>
    <w:p w14:paraId="486830AB">
      <w:pPr>
        <w:spacing w:line="408" w:lineRule="auto"/>
        <w:rPr>
          <w:sz w:val="28"/>
        </w:rPr>
      </w:pPr>
    </w:p>
    <w:p w14:paraId="7BF4D1FC">
      <w:pPr>
        <w:spacing w:line="408" w:lineRule="auto"/>
        <w:rPr>
          <w:sz w:val="28"/>
        </w:rPr>
      </w:pPr>
    </w:p>
    <w:p w14:paraId="1D4CB6DB">
      <w:pPr>
        <w:spacing w:line="408" w:lineRule="auto"/>
        <w:rPr>
          <w:sz w:val="28"/>
        </w:rPr>
      </w:pPr>
    </w:p>
    <w:p w14:paraId="1BA3E9FE">
      <w:pPr>
        <w:spacing w:line="408" w:lineRule="auto"/>
        <w:rPr>
          <w:sz w:val="28"/>
        </w:rPr>
      </w:pPr>
    </w:p>
    <w:p w14:paraId="0386CEE2">
      <w:pPr>
        <w:spacing w:line="408" w:lineRule="auto"/>
        <w:rPr>
          <w:sz w:val="28"/>
        </w:rPr>
      </w:pPr>
    </w:p>
    <w:p w14:paraId="0EAECDF2">
      <w:pPr>
        <w:spacing w:line="408" w:lineRule="auto"/>
        <w:rPr>
          <w:sz w:val="28"/>
        </w:rPr>
      </w:pPr>
    </w:p>
    <w:p w14:paraId="1F91BA4C">
      <w:pPr>
        <w:pStyle w:val="71"/>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44310F03">
      <w:pPr>
        <w:pStyle w:val="55"/>
      </w:pPr>
    </w:p>
    <w:p w14:paraId="2C9F1E26">
      <w:pPr>
        <w:spacing w:line="312" w:lineRule="auto"/>
        <w:jc w:val="center"/>
        <w:rPr>
          <w:b/>
          <w:bCs/>
          <w:sz w:val="30"/>
          <w:szCs w:val="30"/>
        </w:rPr>
      </w:pPr>
      <w:r>
        <w:rPr>
          <w:rFonts w:hint="eastAsia"/>
          <w:b/>
          <w:bCs/>
          <w:sz w:val="30"/>
          <w:szCs w:val="30"/>
        </w:rPr>
        <w:t>福建福海创石油化工有限公司</w:t>
      </w:r>
    </w:p>
    <w:p w14:paraId="16E03CEA">
      <w:pPr>
        <w:spacing w:line="312" w:lineRule="auto"/>
        <w:jc w:val="center"/>
        <w:rPr>
          <w:rFonts w:hint="eastAsia"/>
          <w:b/>
          <w:bCs/>
          <w:sz w:val="30"/>
          <w:szCs w:val="30"/>
          <w:lang w:val="en-US" w:eastAsia="zh-CN"/>
        </w:rPr>
      </w:pPr>
      <w:r>
        <w:rPr>
          <w:rFonts w:hint="eastAsia"/>
          <w:b/>
          <w:bCs/>
          <w:sz w:val="30"/>
          <w:szCs w:val="30"/>
          <w:lang w:val="en-US" w:eastAsia="zh-CN"/>
        </w:rPr>
        <w:t>2026年职业病危害检测及评价项目</w:t>
      </w:r>
    </w:p>
    <w:p w14:paraId="0082AA5A">
      <w:pPr>
        <w:spacing w:line="312" w:lineRule="auto"/>
        <w:jc w:val="center"/>
        <w:rPr>
          <w:b/>
          <w:bCs/>
          <w:sz w:val="30"/>
          <w:szCs w:val="30"/>
        </w:rPr>
      </w:pPr>
      <w:r>
        <w:rPr>
          <w:rFonts w:hint="eastAsia"/>
          <w:b/>
          <w:bCs/>
          <w:sz w:val="30"/>
          <w:szCs w:val="30"/>
        </w:rPr>
        <w:t>询比公告</w:t>
      </w:r>
    </w:p>
    <w:p w14:paraId="200F9ACF">
      <w:pPr>
        <w:pStyle w:val="20"/>
        <w:spacing w:line="360" w:lineRule="auto"/>
        <w:ind w:firstLine="420" w:firstLineChars="200"/>
        <w:rPr>
          <w:sz w:val="21"/>
          <w:szCs w:val="21"/>
          <w:lang w:eastAsia="zh-CN"/>
        </w:rPr>
      </w:pPr>
      <w:r>
        <w:rPr>
          <w:rFonts w:hint="eastAsia"/>
          <w:sz w:val="21"/>
          <w:szCs w:val="21"/>
          <w:lang w:eastAsia="zh-CN"/>
        </w:rPr>
        <w:t>福建福海创石油化工有限公司就</w:t>
      </w:r>
      <w:r>
        <w:rPr>
          <w:rFonts w:hint="eastAsia"/>
          <w:sz w:val="21"/>
          <w:szCs w:val="21"/>
          <w:u w:val="single"/>
          <w:lang w:eastAsia="zh-CN"/>
        </w:rPr>
        <w:t>“</w:t>
      </w:r>
      <w:r>
        <w:rPr>
          <w:rFonts w:hint="eastAsia" w:ascii="宋体" w:hAnsi="宋体" w:eastAsia="宋体" w:cs="宋体"/>
          <w:sz w:val="21"/>
          <w:szCs w:val="21"/>
          <w:u w:val="single"/>
          <w:lang w:val="en-US" w:eastAsia="zh-CN"/>
        </w:rPr>
        <w:t>2026年职业病危害检测及评价项目</w:t>
      </w:r>
      <w:r>
        <w:rPr>
          <w:rFonts w:hint="eastAsia"/>
          <w:sz w:val="21"/>
          <w:szCs w:val="21"/>
          <w:u w:val="single"/>
          <w:lang w:eastAsia="zh-CN"/>
        </w:rPr>
        <w:t>（项目编号：PB260313000003）</w:t>
      </w:r>
      <w:r>
        <w:rPr>
          <w:rFonts w:hint="eastAsia"/>
          <w:sz w:val="21"/>
          <w:szCs w:val="21"/>
          <w:lang w:eastAsia="zh-CN"/>
        </w:rPr>
        <w:t>”，该项目己具备采购执行条件，现对该项目进行采购，欢迎符合条件的供应商积极参加。</w:t>
      </w:r>
    </w:p>
    <w:p w14:paraId="69D65820">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334EC2C3">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1. 项目名称：</w:t>
      </w:r>
      <w:r>
        <w:rPr>
          <w:rFonts w:hint="eastAsia" w:ascii="Times New Roman" w:hAnsi="Times New Roman" w:cs="Times New Roman"/>
          <w:szCs w:val="21"/>
          <w:lang w:val="en-US" w:eastAsia="zh-CN"/>
        </w:rPr>
        <w:t>2026年职业病危害检测及评价项目</w:t>
      </w:r>
      <w:r>
        <w:rPr>
          <w:rFonts w:hint="eastAsia" w:ascii="Times New Roman" w:hAnsi="Times New Roman" w:cs="Times New Roman"/>
          <w:szCs w:val="21"/>
        </w:rPr>
        <w:t xml:space="preserve"> </w:t>
      </w:r>
    </w:p>
    <w:p w14:paraId="226FAFC1">
      <w:pPr>
        <w:tabs>
          <w:tab w:val="left" w:pos="420"/>
        </w:tabs>
        <w:spacing w:line="336" w:lineRule="auto"/>
        <w:ind w:left="623" w:leftChars="189" w:hanging="226" w:hangingChars="108"/>
        <w:rPr>
          <w:rFonts w:hint="eastAsia" w:eastAsiaTheme="minorEastAsia"/>
          <w:lang w:eastAsia="zh-CN"/>
        </w:rPr>
      </w:pPr>
      <w:r>
        <w:rPr>
          <w:rFonts w:hint="eastAsia" w:ascii="Times New Roman" w:hAnsi="Times New Roman" w:cs="Times New Roman"/>
          <w:szCs w:val="21"/>
        </w:rPr>
        <w:t>2. 项目</w:t>
      </w:r>
      <w:r>
        <w:rPr>
          <w:rFonts w:hint="eastAsia" w:ascii="Times New Roman" w:hAnsi="Times New Roman" w:cs="Times New Roman"/>
          <w:szCs w:val="21"/>
          <w:lang w:val="en-US" w:eastAsia="zh-CN"/>
        </w:rPr>
        <w:t>内容</w:t>
      </w:r>
      <w:r>
        <w:rPr>
          <w:rFonts w:hint="eastAsia" w:ascii="Times New Roman" w:hAnsi="Times New Roman" w:cs="Times New Roman"/>
          <w:szCs w:val="21"/>
        </w:rPr>
        <w:t>：</w:t>
      </w:r>
      <w:r>
        <w:rPr>
          <w:rFonts w:hint="eastAsia" w:ascii="Times New Roman" w:hAnsi="Times New Roman" w:cs="Times New Roman"/>
          <w:szCs w:val="21"/>
          <w:lang w:val="en-US" w:eastAsia="zh-CN"/>
        </w:rPr>
        <w:t>按甲方要求</w:t>
      </w:r>
      <w:r>
        <w:rPr>
          <w:rFonts w:hint="eastAsia" w:ascii="Times New Roman" w:hAnsi="Times New Roman" w:cs="Times New Roman"/>
          <w:szCs w:val="21"/>
        </w:rPr>
        <w:t>出具相应公司的检测</w:t>
      </w:r>
      <w:r>
        <w:rPr>
          <w:rFonts w:hint="eastAsia" w:ascii="Times New Roman" w:hAnsi="Times New Roman" w:cs="Times New Roman"/>
          <w:szCs w:val="21"/>
          <w:lang w:eastAsia="zh-CN"/>
        </w:rPr>
        <w:t>及评价</w:t>
      </w:r>
      <w:r>
        <w:rPr>
          <w:rFonts w:hint="eastAsia" w:ascii="Times New Roman" w:hAnsi="Times New Roman" w:cs="Times New Roman"/>
          <w:szCs w:val="21"/>
        </w:rPr>
        <w:t>报告</w:t>
      </w:r>
      <w:r>
        <w:rPr>
          <w:rFonts w:hint="eastAsia" w:ascii="Times New Roman" w:hAnsi="Times New Roman" w:cs="Times New Roman"/>
          <w:szCs w:val="21"/>
          <w:lang w:eastAsia="zh-CN"/>
        </w:rPr>
        <w:t>，</w:t>
      </w:r>
      <w:r>
        <w:rPr>
          <w:rFonts w:hint="eastAsia" w:ascii="Times New Roman" w:hAnsi="Times New Roman" w:cs="Times New Roman"/>
          <w:szCs w:val="21"/>
        </w:rPr>
        <w:t>详见附件《</w:t>
      </w:r>
      <w:r>
        <w:rPr>
          <w:rFonts w:hint="eastAsia" w:ascii="Times New Roman" w:hAnsi="Times New Roman" w:cs="Times New Roman"/>
          <w:szCs w:val="21"/>
          <w:lang w:val="en-US" w:eastAsia="zh-CN"/>
        </w:rPr>
        <w:t>2026年度职业病危害因素检测评价发包方案</w:t>
      </w:r>
      <w:r>
        <w:rPr>
          <w:rFonts w:hint="eastAsia" w:ascii="Times New Roman" w:hAnsi="Times New Roman" w:cs="Times New Roman"/>
          <w:szCs w:val="21"/>
        </w:rPr>
        <w:t>》</w:t>
      </w:r>
      <w:r>
        <w:rPr>
          <w:rFonts w:hint="eastAsia" w:ascii="Times New Roman" w:hAnsi="Times New Roman" w:cs="Times New Roman"/>
          <w:szCs w:val="21"/>
          <w:lang w:eastAsia="zh-CN"/>
        </w:rPr>
        <w:t>。</w:t>
      </w:r>
    </w:p>
    <w:p w14:paraId="74E53E95">
      <w:pPr>
        <w:spacing w:line="336" w:lineRule="auto"/>
        <w:ind w:left="630" w:leftChars="200" w:hanging="210" w:hangingChars="100"/>
        <w:rPr>
          <w:rFonts w:ascii="Times New Roman" w:hAnsi="Times New Roman" w:cs="Times New Roman"/>
          <w:szCs w:val="21"/>
        </w:rPr>
      </w:pPr>
      <w:r>
        <w:rPr>
          <w:rFonts w:hint="eastAsia" w:ascii="Times New Roman" w:hAnsi="Times New Roman" w:cs="Times New Roman"/>
          <w:szCs w:val="21"/>
        </w:rPr>
        <w:t xml:space="preserve">3. </w:t>
      </w:r>
      <w:r>
        <w:rPr>
          <w:rFonts w:hint="eastAsia" w:ascii="Times New Roman" w:hAnsi="Times New Roman" w:cs="Times New Roman"/>
          <w:b/>
          <w:szCs w:val="21"/>
        </w:rPr>
        <w:t>项目控制价格：人民币</w:t>
      </w:r>
      <w:r>
        <w:rPr>
          <w:rFonts w:hint="eastAsia" w:ascii="Times New Roman" w:hAnsi="Times New Roman" w:cs="Times New Roman"/>
          <w:b/>
          <w:szCs w:val="21"/>
          <w:lang w:val="en-US" w:eastAsia="zh-CN"/>
        </w:rPr>
        <w:t>61.80</w:t>
      </w:r>
      <w:r>
        <w:rPr>
          <w:rFonts w:hint="eastAsia" w:ascii="Times New Roman" w:hAnsi="Times New Roman" w:cs="Times New Roman"/>
          <w:b/>
          <w:szCs w:val="21"/>
        </w:rPr>
        <w:t>万元（</w:t>
      </w:r>
      <w:r>
        <w:rPr>
          <w:rFonts w:hint="eastAsia" w:ascii="Times New Roman" w:hAnsi="Times New Roman" w:cs="Times New Roman"/>
          <w:szCs w:val="21"/>
        </w:rPr>
        <w:t>含税价）</w:t>
      </w:r>
    </w:p>
    <w:p w14:paraId="6E85BEB1">
      <w:pPr>
        <w:pStyle w:val="3"/>
        <w:spacing w:line="336" w:lineRule="auto"/>
        <w:ind w:left="0"/>
        <w:rPr>
          <w:rFonts w:ascii="Times New Roman" w:hAnsi="Times New Roman" w:cs="Times New Roman"/>
          <w:b w:val="0"/>
          <w:bCs w:val="0"/>
          <w:color w:val="000000"/>
          <w:sz w:val="21"/>
          <w:szCs w:val="21"/>
          <w:lang w:eastAsia="zh-CN"/>
        </w:rPr>
      </w:pPr>
      <w:r>
        <w:rPr>
          <w:rFonts w:hint="eastAsia" w:ascii="Times New Roman" w:hAnsi="Times New Roman" w:cs="Times New Roman"/>
          <w:b w:val="0"/>
          <w:bCs w:val="0"/>
          <w:color w:val="000000"/>
          <w:sz w:val="21"/>
          <w:szCs w:val="21"/>
          <w:lang w:eastAsia="zh-CN"/>
        </w:rPr>
        <w:t>二、</w:t>
      </w:r>
      <w:r>
        <w:rPr>
          <w:rFonts w:ascii="Times New Roman" w:hAnsi="Times New Roman" w:cs="Times New Roman"/>
          <w:b w:val="0"/>
          <w:bCs w:val="0"/>
          <w:color w:val="000000"/>
          <w:sz w:val="21"/>
          <w:szCs w:val="21"/>
          <w:lang w:eastAsia="zh-CN"/>
        </w:rPr>
        <w:t>参</w:t>
      </w:r>
      <w:r>
        <w:rPr>
          <w:rFonts w:hint="eastAsia" w:ascii="Times New Roman" w:hAnsi="Times New Roman" w:cs="Times New Roman"/>
          <w:b w:val="0"/>
          <w:bCs w:val="0"/>
          <w:color w:val="000000"/>
          <w:sz w:val="21"/>
          <w:szCs w:val="21"/>
          <w:lang w:val="en-US" w:eastAsia="zh-CN"/>
        </w:rPr>
        <w:t>比</w:t>
      </w:r>
      <w:r>
        <w:rPr>
          <w:rFonts w:ascii="Times New Roman" w:hAnsi="Times New Roman" w:cs="Times New Roman"/>
          <w:b w:val="0"/>
          <w:bCs w:val="0"/>
          <w:color w:val="000000"/>
          <w:sz w:val="21"/>
          <w:szCs w:val="21"/>
          <w:lang w:eastAsia="zh-CN"/>
        </w:rPr>
        <w:t>人资格要求：</w:t>
      </w:r>
    </w:p>
    <w:p w14:paraId="1CAEEA3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 xml:space="preserve"> 参比人必须具备有效的企业法人营业执照，具有在中华人民共和国注册的法人资格。</w:t>
      </w:r>
    </w:p>
    <w:p w14:paraId="6DAE38C0">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2.</w:t>
      </w:r>
      <w:r>
        <w:rPr>
          <w:rFonts w:hint="eastAsia" w:ascii="Times New Roman" w:hAnsi="Times New Roman" w:cs="Times New Roman" w:eastAsiaTheme="minorEastAsia"/>
          <w:b w:val="0"/>
          <w:bCs/>
          <w:kern w:val="2"/>
          <w:sz w:val="21"/>
          <w:szCs w:val="21"/>
          <w:lang w:val="en-US" w:eastAsia="zh-CN" w:bidi="ar-SA"/>
        </w:rPr>
        <w:t xml:space="preserve"> 参比人具有职业卫生技术服务机构资质（提供资质证书或政府部门出具的资质证明文件），具备石化行业、放射评价及检测资质。</w:t>
      </w:r>
    </w:p>
    <w:p w14:paraId="45B7BF32">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 xml:space="preserve">3. </w:t>
      </w:r>
      <w:r>
        <w:rPr>
          <w:rFonts w:hint="eastAsia" w:ascii="Times New Roman" w:hAnsi="Times New Roman" w:cs="Times New Roman" w:eastAsiaTheme="minorEastAsia"/>
          <w:b w:val="0"/>
          <w:bCs/>
          <w:kern w:val="2"/>
          <w:sz w:val="21"/>
          <w:szCs w:val="21"/>
          <w:lang w:val="en-US" w:eastAsia="zh-CN" w:bidi="ar-SA"/>
        </w:rPr>
        <w:t>参比人近三年（2023年—2025年）有石化项目职业病危害评价服务业绩（提供项目合同复印件、评价报告，报告至少包含首页、签署页）</w:t>
      </w:r>
      <w:r>
        <w:rPr>
          <w:rFonts w:hint="eastAsia" w:cs="Times New Roman" w:eastAsiaTheme="minorEastAsia"/>
          <w:b w:val="0"/>
          <w:bCs/>
          <w:kern w:val="2"/>
          <w:sz w:val="21"/>
          <w:szCs w:val="21"/>
          <w:lang w:val="en-US" w:eastAsia="zh-CN" w:bidi="ar-SA"/>
        </w:rPr>
        <w:t>。</w:t>
      </w:r>
    </w:p>
    <w:p w14:paraId="3CD5F30A">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 xml:space="preserve">4. </w:t>
      </w:r>
      <w:r>
        <w:rPr>
          <w:rFonts w:hint="eastAsia" w:ascii="Times New Roman" w:hAnsi="Times New Roman" w:cs="Times New Roman" w:eastAsiaTheme="minorEastAsia"/>
          <w:b w:val="0"/>
          <w:bCs/>
          <w:kern w:val="2"/>
          <w:sz w:val="21"/>
          <w:szCs w:val="21"/>
          <w:lang w:val="en-US" w:eastAsia="zh-CN" w:bidi="ar-SA"/>
        </w:rPr>
        <w:t>参比人处于被责令停业，或财产被接管、冻结、查封，或破产等权利受限导致不能正常履约状态的，不得参加</w:t>
      </w:r>
      <w:r>
        <w:rPr>
          <w:rFonts w:hint="eastAsia" w:cs="Times New Roman" w:eastAsiaTheme="minorEastAsia"/>
          <w:b w:val="0"/>
          <w:bCs/>
          <w:kern w:val="2"/>
          <w:sz w:val="21"/>
          <w:szCs w:val="21"/>
          <w:lang w:val="en-US" w:eastAsia="zh-CN" w:bidi="ar-SA"/>
        </w:rPr>
        <w:t>本项目</w:t>
      </w:r>
      <w:r>
        <w:rPr>
          <w:rFonts w:hint="eastAsia" w:ascii="Times New Roman" w:hAnsi="Times New Roman" w:cs="Times New Roman" w:eastAsiaTheme="minorEastAsia"/>
          <w:b w:val="0"/>
          <w:bCs/>
          <w:kern w:val="2"/>
          <w:sz w:val="21"/>
          <w:szCs w:val="21"/>
          <w:lang w:val="en-US" w:eastAsia="zh-CN" w:bidi="ar-SA"/>
        </w:rPr>
        <w:t>。</w:t>
      </w:r>
    </w:p>
    <w:p w14:paraId="4AAB58A4">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 xml:space="preserve">. </w:t>
      </w:r>
      <w:r>
        <w:rPr>
          <w:rFonts w:hint="eastAsia" w:ascii="Times New Roman" w:hAnsi="Times New Roman" w:cs="Times New Roman" w:eastAsiaTheme="minorEastAsia"/>
          <w:b w:val="0"/>
          <w:bCs/>
          <w:kern w:val="2"/>
          <w:sz w:val="21"/>
          <w:szCs w:val="21"/>
          <w:lang w:val="en-US" w:eastAsia="zh-CN" w:bidi="ar-SA"/>
        </w:rPr>
        <w:t>参比人</w:t>
      </w:r>
      <w:r>
        <w:rPr>
          <w:rFonts w:ascii="Times New Roman" w:hAnsi="Times New Roman" w:cs="Times New Roman"/>
          <w:szCs w:val="21"/>
        </w:rPr>
        <w:t>与</w:t>
      </w:r>
      <w:r>
        <w:rPr>
          <w:rFonts w:hint="eastAsia" w:ascii="Times New Roman" w:hAnsi="Times New Roman" w:cs="Times New Roman"/>
          <w:szCs w:val="21"/>
        </w:rPr>
        <w:t>采购人</w:t>
      </w:r>
      <w:r>
        <w:rPr>
          <w:rFonts w:ascii="Times New Roman" w:hAnsi="Times New Roman" w:cs="Times New Roman"/>
          <w:szCs w:val="21"/>
        </w:rPr>
        <w:t>无诉讼纠纷</w:t>
      </w:r>
      <w:r>
        <w:rPr>
          <w:rFonts w:hint="eastAsia" w:ascii="Times New Roman" w:hAnsi="Times New Roman" w:cs="Times New Roman"/>
          <w:szCs w:val="21"/>
        </w:rPr>
        <w:t>。</w:t>
      </w:r>
    </w:p>
    <w:p w14:paraId="5AC2DE2F">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6</w:t>
      </w:r>
      <w:r>
        <w:rPr>
          <w:rFonts w:hint="eastAsia" w:ascii="Times New Roman" w:hAnsi="Times New Roman" w:cs="Times New Roman"/>
          <w:szCs w:val="21"/>
        </w:rPr>
        <w:t>. 本项目不接受联合体</w:t>
      </w:r>
      <w:r>
        <w:rPr>
          <w:rFonts w:hint="eastAsia" w:ascii="Times New Roman" w:hAnsi="Times New Roman" w:cs="Times New Roman"/>
          <w:szCs w:val="21"/>
          <w:lang w:val="en-US" w:eastAsia="zh-CN"/>
        </w:rPr>
        <w:t>参比</w:t>
      </w:r>
      <w:r>
        <w:rPr>
          <w:rFonts w:ascii="Times New Roman" w:hAnsi="Times New Roman" w:cs="Times New Roman"/>
          <w:szCs w:val="21"/>
        </w:rPr>
        <w:t>。</w:t>
      </w:r>
    </w:p>
    <w:p w14:paraId="5E42598E">
      <w:pPr>
        <w:snapToGrid w:val="0"/>
        <w:spacing w:line="360" w:lineRule="auto"/>
        <w:ind w:firstLine="420" w:firstLineChars="200"/>
        <w:rPr>
          <w:szCs w:val="21"/>
        </w:rPr>
      </w:pPr>
      <w:r>
        <w:rPr>
          <w:rFonts w:hint="eastAsia"/>
          <w:szCs w:val="21"/>
        </w:rPr>
        <w:t>三、采购文件的获取</w:t>
      </w:r>
    </w:p>
    <w:p w14:paraId="55BB7753">
      <w:pPr>
        <w:tabs>
          <w:tab w:val="left" w:pos="709"/>
        </w:tabs>
        <w:spacing w:line="360" w:lineRule="auto"/>
        <w:ind w:firstLine="420" w:firstLineChars="200"/>
        <w:rPr>
          <w:szCs w:val="21"/>
        </w:rPr>
      </w:pPr>
      <w:r>
        <w:rPr>
          <w:szCs w:val="21"/>
        </w:rPr>
        <w:t xml:space="preserve">1. </w:t>
      </w:r>
      <w:r>
        <w:rPr>
          <w:rFonts w:hint="eastAsia"/>
          <w:szCs w:val="21"/>
        </w:rPr>
        <w:t>凡有意愿参加的单位，请</w:t>
      </w:r>
      <w:r>
        <w:rPr>
          <w:rFonts w:hint="eastAsia"/>
          <w:b/>
          <w:bCs/>
          <w:szCs w:val="21"/>
          <w:highlight w:val="yellow"/>
          <w:lang w:val="en-US" w:eastAsia="zh-CN"/>
        </w:rPr>
        <w:t>务必</w:t>
      </w:r>
      <w:r>
        <w:rPr>
          <w:rFonts w:hint="eastAsia"/>
          <w:szCs w:val="21"/>
        </w:rPr>
        <w:t>在 http://nhygcg.fjshgx.com/(福建能化阳光采购平台)上免费注册，下载电子采购文件；</w:t>
      </w:r>
      <w:r>
        <w:rPr>
          <w:rFonts w:hint="eastAsia"/>
          <w:szCs w:val="21"/>
          <w:lang w:val="en-US" w:eastAsia="zh-CN"/>
        </w:rPr>
        <w:t>并请</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p>
    <w:p w14:paraId="7FFB6B87">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39BCBB7C">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1E2658C2">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 xml:space="preserve">. </w:t>
      </w:r>
      <w:r>
        <w:rPr>
          <w:rFonts w:hint="eastAsia"/>
          <w:color w:val="000000" w:themeColor="text1"/>
          <w:szCs w:val="21"/>
        </w:rPr>
        <w:t>报名时间：</w:t>
      </w:r>
      <w:r>
        <w:rPr>
          <w:rFonts w:hint="eastAsia"/>
          <w:color w:val="000000" w:themeColor="text1"/>
          <w:szCs w:val="21"/>
          <w:lang w:eastAsia="zh-CN"/>
        </w:rPr>
        <w:t>自公告之日起</w:t>
      </w:r>
      <w:r>
        <w:rPr>
          <w:rFonts w:hint="eastAsia"/>
          <w:color w:val="000000" w:themeColor="text1"/>
          <w:szCs w:val="21"/>
          <w:lang w:val="en-US" w:eastAsia="zh-CN"/>
        </w:rPr>
        <w:t>至2026年04月11 日17：00截止，</w:t>
      </w:r>
      <w:r>
        <w:rPr>
          <w:color w:val="000000" w:themeColor="text1"/>
          <w:szCs w:val="21"/>
        </w:rPr>
        <w:t>公示期间请有意向参</w:t>
      </w:r>
      <w:r>
        <w:rPr>
          <w:rFonts w:hint="eastAsia"/>
          <w:color w:val="000000" w:themeColor="text1"/>
          <w:szCs w:val="21"/>
          <w:lang w:val="en-US" w:eastAsia="zh-CN"/>
        </w:rPr>
        <w:t>比</w:t>
      </w:r>
      <w:r>
        <w:rPr>
          <w:color w:val="000000" w:themeColor="text1"/>
          <w:szCs w:val="21"/>
        </w:rPr>
        <w:t>人联系采购人进行</w:t>
      </w:r>
      <w:r>
        <w:rPr>
          <w:rFonts w:hint="eastAsia"/>
          <w:color w:val="000000" w:themeColor="text1"/>
          <w:szCs w:val="21"/>
        </w:rPr>
        <w:t>实地勘察及技术</w:t>
      </w:r>
      <w:r>
        <w:rPr>
          <w:color w:val="000000" w:themeColor="text1"/>
          <w:szCs w:val="21"/>
        </w:rPr>
        <w:t>交流澄清。</w:t>
      </w:r>
    </w:p>
    <w:p w14:paraId="4C71B87A">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 xml:space="preserve">. </w:t>
      </w:r>
      <w:r>
        <w:rPr>
          <w:rFonts w:hint="eastAsia"/>
          <w:color w:val="000000" w:themeColor="text1"/>
          <w:szCs w:val="21"/>
        </w:rPr>
        <w:t>报名方式：参比人在报名时间内将报名文件发送至邮箱huangmq@f</w:t>
      </w:r>
      <w:r>
        <w:rPr>
          <w:color w:val="000000" w:themeColor="text1"/>
          <w:szCs w:val="21"/>
        </w:rPr>
        <w:t>j</w:t>
      </w:r>
      <w:r>
        <w:rPr>
          <w:rFonts w:hint="eastAsia"/>
          <w:color w:val="000000" w:themeColor="text1"/>
          <w:szCs w:val="21"/>
        </w:rPr>
        <w:t>pec.com.cn，报名文件包含：</w:t>
      </w:r>
    </w:p>
    <w:p w14:paraId="4E8BA7FF">
      <w:pPr>
        <w:tabs>
          <w:tab w:val="left" w:pos="709"/>
        </w:tabs>
        <w:spacing w:line="360" w:lineRule="auto"/>
        <w:ind w:firstLine="420" w:firstLineChars="200"/>
        <w:rPr>
          <w:color w:val="000000" w:themeColor="text1"/>
          <w:szCs w:val="21"/>
        </w:rPr>
      </w:pPr>
      <w:r>
        <w:rPr>
          <w:rFonts w:hint="eastAsia"/>
          <w:color w:val="000000" w:themeColor="text1"/>
          <w:szCs w:val="21"/>
        </w:rPr>
        <w:t>（1）法定代表人身份证复印件（正反面）（加盖单位公章的扫描件）；</w:t>
      </w:r>
    </w:p>
    <w:p w14:paraId="57B1AFA1">
      <w:pPr>
        <w:tabs>
          <w:tab w:val="left" w:pos="709"/>
        </w:tabs>
        <w:spacing w:line="360" w:lineRule="auto"/>
        <w:ind w:firstLine="420" w:firstLineChars="200"/>
        <w:rPr>
          <w:color w:val="000000" w:themeColor="text1"/>
          <w:szCs w:val="21"/>
        </w:rPr>
      </w:pPr>
      <w:r>
        <w:rPr>
          <w:rFonts w:hint="eastAsia"/>
          <w:color w:val="000000" w:themeColor="text1"/>
          <w:szCs w:val="21"/>
        </w:rPr>
        <w:t>（2）营业执照（加盖单位公章的扫描件）。</w:t>
      </w:r>
    </w:p>
    <w:p w14:paraId="4178A65E">
      <w:pPr>
        <w:tabs>
          <w:tab w:val="left" w:pos="709"/>
        </w:tabs>
        <w:spacing w:line="360" w:lineRule="auto"/>
        <w:ind w:firstLine="630" w:firstLineChars="300"/>
        <w:rPr>
          <w:color w:val="000000" w:themeColor="text1"/>
          <w:szCs w:val="21"/>
        </w:rPr>
      </w:pPr>
      <w:r>
        <w:rPr>
          <w:rFonts w:hint="eastAsia"/>
          <w:color w:val="000000" w:themeColor="text1"/>
          <w:szCs w:val="21"/>
        </w:rPr>
        <w:t>报名成功后，参比人可与现场技术人员进行技术交流。如有异议需在询比前提出，参比人参加询比即视为已充分了解现场情况、技术要求、安全要求等。</w:t>
      </w:r>
    </w:p>
    <w:p w14:paraId="2B88721F">
      <w:pPr>
        <w:tabs>
          <w:tab w:val="left" w:pos="709"/>
        </w:tabs>
        <w:spacing w:line="360" w:lineRule="auto"/>
        <w:ind w:firstLine="420" w:firstLineChars="200"/>
        <w:jc w:val="left"/>
        <w:rPr>
          <w:color w:val="000000" w:themeColor="text1"/>
          <w:szCs w:val="21"/>
        </w:rPr>
      </w:pPr>
      <w:r>
        <w:rPr>
          <w:rFonts w:hint="eastAsia"/>
          <w:color w:val="000000" w:themeColor="text1"/>
          <w:szCs w:val="21"/>
        </w:rPr>
        <w:t>3.</w:t>
      </w:r>
      <w:r>
        <w:rPr>
          <w:color w:val="000000" w:themeColor="text1"/>
          <w:szCs w:val="21"/>
        </w:rPr>
        <w:t xml:space="preserve"> </w:t>
      </w:r>
      <w:r>
        <w:rPr>
          <w:rFonts w:hint="eastAsia"/>
          <w:color w:val="000000" w:themeColor="text1"/>
          <w:szCs w:val="21"/>
        </w:rPr>
        <w:t>获取采购文件：本项目采购文件请有意向参比人</w:t>
      </w:r>
      <w:r>
        <w:rPr>
          <w:rFonts w:hint="eastAsia"/>
          <w:b/>
          <w:bCs/>
          <w:color w:val="000000" w:themeColor="text1"/>
          <w:szCs w:val="21"/>
          <w:highlight w:val="yellow"/>
          <w:lang w:val="en-US" w:eastAsia="zh-CN"/>
        </w:rPr>
        <w:t>务必</w:t>
      </w:r>
      <w:r>
        <w:rPr>
          <w:rFonts w:hint="eastAsia"/>
          <w:szCs w:val="21"/>
        </w:rPr>
        <w:t>在 http://nhygcg.fjshgx.com/(福建能化阳光采购平台)上免费注册；</w:t>
      </w:r>
      <w:r>
        <w:rPr>
          <w:rFonts w:hint="eastAsia"/>
          <w:szCs w:val="21"/>
          <w:lang w:val="en-US" w:eastAsia="zh-CN"/>
        </w:rPr>
        <w:t>并</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r>
        <w:rPr>
          <w:rFonts w:hint="eastAsia"/>
          <w:color w:val="000000" w:themeColor="text1"/>
          <w:szCs w:val="21"/>
        </w:rPr>
        <w:t>不收取费用。（特别声明：未进行登记报名的参比人，其递交的参比文件将被拒收。）</w:t>
      </w:r>
    </w:p>
    <w:p w14:paraId="6ED7C091">
      <w:pPr>
        <w:tabs>
          <w:tab w:val="left" w:pos="709"/>
        </w:tabs>
        <w:spacing w:line="360" w:lineRule="auto"/>
        <w:ind w:firstLine="480"/>
        <w:rPr>
          <w:b/>
          <w:snapToGrid w:val="0"/>
          <w:color w:val="000000" w:themeColor="text1"/>
          <w:spacing w:val="8"/>
          <w:szCs w:val="21"/>
        </w:rPr>
      </w:pPr>
      <w:r>
        <w:rPr>
          <w:rFonts w:hint="eastAsia"/>
          <w:b/>
          <w:snapToGrid w:val="0"/>
          <w:color w:val="000000" w:themeColor="text1"/>
          <w:spacing w:val="8"/>
          <w:szCs w:val="21"/>
        </w:rPr>
        <w:t>五、参比文件递交要求</w:t>
      </w:r>
    </w:p>
    <w:p w14:paraId="01D6BE46">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w:t>
      </w:r>
      <w:r>
        <w:rPr>
          <w:rFonts w:hint="eastAsia"/>
          <w:color w:val="000000" w:themeColor="text1"/>
          <w:szCs w:val="21"/>
        </w:rPr>
        <w:t xml:space="preserve"> 参比文件递交地点：漳州市漳浦县杜浔镇杜昌路9号，福海创办公楼三楼综合采购团队，黄梅钦0596-631107</w:t>
      </w:r>
      <w:r>
        <w:rPr>
          <w:color w:val="000000" w:themeColor="text1"/>
          <w:szCs w:val="21"/>
        </w:rPr>
        <w:t>3</w:t>
      </w:r>
      <w:r>
        <w:rPr>
          <w:rFonts w:hint="eastAsia"/>
          <w:color w:val="000000" w:themeColor="text1"/>
          <w:szCs w:val="21"/>
        </w:rPr>
        <w:t>。</w:t>
      </w:r>
    </w:p>
    <w:p w14:paraId="2AC62F19">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w:t>
      </w:r>
      <w:r>
        <w:rPr>
          <w:rFonts w:hint="eastAsia"/>
          <w:color w:val="000000" w:themeColor="text1"/>
          <w:szCs w:val="21"/>
        </w:rPr>
        <w:t xml:space="preserve"> 参比文件递交截止时间（以送达时间为准）：</w:t>
      </w:r>
      <w:r>
        <w:rPr>
          <w:rFonts w:hint="eastAsia"/>
          <w:color w:val="000000" w:themeColor="text1"/>
          <w:szCs w:val="21"/>
          <w:lang w:val="en-US" w:eastAsia="zh-CN"/>
        </w:rPr>
        <w:t>请参比人于</w:t>
      </w:r>
      <w:r>
        <w:rPr>
          <w:rFonts w:hint="eastAsia"/>
          <w:color w:val="000000" w:themeColor="text1"/>
          <w:szCs w:val="21"/>
        </w:rPr>
        <w:t>202</w:t>
      </w:r>
      <w:r>
        <w:rPr>
          <w:rFonts w:hint="eastAsia"/>
          <w:color w:val="000000" w:themeColor="text1"/>
          <w:szCs w:val="21"/>
          <w:lang w:val="en-US" w:eastAsia="zh-CN"/>
        </w:rPr>
        <w:t>6</w:t>
      </w:r>
      <w:r>
        <w:rPr>
          <w:rFonts w:hint="eastAsia"/>
          <w:color w:val="000000" w:themeColor="text1"/>
          <w:szCs w:val="21"/>
        </w:rPr>
        <w:t>年</w:t>
      </w:r>
      <w:r>
        <w:rPr>
          <w:rFonts w:hint="eastAsia"/>
          <w:color w:val="000000" w:themeColor="text1"/>
          <w:szCs w:val="21"/>
          <w:lang w:val="en-US" w:eastAsia="zh-CN"/>
        </w:rPr>
        <w:t>04</w:t>
      </w:r>
      <w:r>
        <w:rPr>
          <w:rFonts w:hint="eastAsia"/>
          <w:color w:val="000000" w:themeColor="text1"/>
          <w:szCs w:val="21"/>
        </w:rPr>
        <w:t>月</w:t>
      </w:r>
      <w:r>
        <w:rPr>
          <w:rFonts w:hint="eastAsia"/>
          <w:color w:val="000000" w:themeColor="text1"/>
          <w:szCs w:val="21"/>
          <w:lang w:val="en-US" w:eastAsia="zh-CN"/>
        </w:rPr>
        <w:t xml:space="preserve">13 </w:t>
      </w:r>
      <w:r>
        <w:rPr>
          <w:rFonts w:hint="eastAsia"/>
          <w:color w:val="000000" w:themeColor="text1"/>
          <w:szCs w:val="21"/>
        </w:rPr>
        <w:t>日</w:t>
      </w:r>
      <w:r>
        <w:rPr>
          <w:rFonts w:hint="eastAsia"/>
          <w:color w:val="000000" w:themeColor="text1"/>
          <w:szCs w:val="21"/>
          <w:lang w:val="en-US" w:eastAsia="zh-CN"/>
        </w:rPr>
        <w:t>17：00前将参比文件送达采购人指定地点（</w:t>
      </w:r>
      <w:r>
        <w:rPr>
          <w:rFonts w:hint="default" w:ascii="Times New Roman" w:hAnsi="Times New Roman" w:eastAsia="宋体" w:cs="Times New Roman"/>
          <w:sz w:val="21"/>
          <w:szCs w:val="21"/>
        </w:rPr>
        <w:t>以收到参</w:t>
      </w:r>
      <w:r>
        <w:rPr>
          <w:rFonts w:hint="eastAsia" w:ascii="Times New Roman" w:hAnsi="Times New Roman" w:eastAsia="宋体" w:cs="Times New Roman"/>
          <w:sz w:val="21"/>
          <w:szCs w:val="21"/>
          <w:lang w:val="en-US" w:eastAsia="zh-CN"/>
        </w:rPr>
        <w:t>比人参比</w:t>
      </w:r>
      <w:r>
        <w:rPr>
          <w:rFonts w:hint="default" w:ascii="Times New Roman" w:hAnsi="Times New Roman" w:eastAsia="宋体" w:cs="Times New Roman"/>
          <w:sz w:val="21"/>
          <w:szCs w:val="21"/>
        </w:rPr>
        <w:t>文件为准）</w:t>
      </w:r>
      <w:r>
        <w:rPr>
          <w:rFonts w:hint="eastAsia"/>
          <w:color w:val="000000" w:themeColor="text1"/>
          <w:szCs w:val="21"/>
        </w:rPr>
        <w:t>。</w:t>
      </w:r>
    </w:p>
    <w:p w14:paraId="5A5EAB95">
      <w:pPr>
        <w:tabs>
          <w:tab w:val="left" w:pos="709"/>
        </w:tabs>
        <w:spacing w:line="360" w:lineRule="auto"/>
        <w:ind w:firstLine="422" w:firstLineChars="200"/>
        <w:rPr>
          <w:rFonts w:hint="eastAsia" w:eastAsiaTheme="minorEastAsia"/>
          <w:szCs w:val="21"/>
          <w:lang w:eastAsia="zh-CN"/>
        </w:rPr>
      </w:pPr>
      <w:r>
        <w:rPr>
          <w:rFonts w:hint="eastAsia"/>
          <w:b/>
          <w:szCs w:val="21"/>
        </w:rPr>
        <w:t>六、发布公告的媒介：</w:t>
      </w:r>
      <w:r>
        <w:rPr>
          <w:rStyle w:val="53"/>
          <w:rFonts w:hint="eastAsia"/>
        </w:rPr>
        <w:t>http://nhygcg.fjshgx.com/</w:t>
      </w:r>
      <w:r>
        <w:rPr>
          <w:rFonts w:hint="eastAsia"/>
          <w:szCs w:val="21"/>
        </w:rPr>
        <w:t>(福建能化阳光采购平台)和</w:t>
      </w:r>
      <w:r>
        <w:rPr>
          <w:rStyle w:val="53"/>
          <w:szCs w:val="21"/>
        </w:rPr>
        <w:t xml:space="preserve">http://www.fhcpec.com.cn/ </w:t>
      </w:r>
      <w:r>
        <w:rPr>
          <w:szCs w:val="21"/>
        </w:rPr>
        <w:t>（</w:t>
      </w:r>
      <w:r>
        <w:fldChar w:fldCharType="begin"/>
      </w:r>
      <w:r>
        <w:instrText xml:space="preserve"> HYPERLINK "http://www.fhcpec.com.cn/" </w:instrText>
      </w:r>
      <w:r>
        <w:fldChar w:fldCharType="separate"/>
      </w:r>
      <w:r>
        <w:rPr>
          <w:rStyle w:val="53"/>
          <w:szCs w:val="21"/>
        </w:rPr>
        <w:t>福建福海创石油化工有限公司</w:t>
      </w:r>
      <w:r>
        <w:rPr>
          <w:rStyle w:val="53"/>
          <w:szCs w:val="21"/>
        </w:rPr>
        <w:fldChar w:fldCharType="end"/>
      </w:r>
      <w:r>
        <w:rPr>
          <w:rFonts w:hint="eastAsia"/>
          <w:szCs w:val="21"/>
        </w:rPr>
        <w:t>）</w:t>
      </w:r>
      <w:r>
        <w:rPr>
          <w:rFonts w:hint="eastAsia"/>
          <w:szCs w:val="21"/>
          <w:lang w:eastAsia="zh-CN"/>
        </w:rPr>
        <w:t>。</w:t>
      </w:r>
    </w:p>
    <w:p w14:paraId="57892997">
      <w:pPr>
        <w:tabs>
          <w:tab w:val="left" w:pos="709"/>
        </w:tabs>
        <w:spacing w:line="360" w:lineRule="auto"/>
        <w:ind w:firstLine="422" w:firstLineChars="200"/>
        <w:rPr>
          <w:rFonts w:hint="eastAsia" w:eastAsiaTheme="minorEastAsia"/>
          <w:b/>
          <w:szCs w:val="21"/>
          <w:lang w:eastAsia="zh-CN"/>
        </w:rPr>
      </w:pPr>
      <w:r>
        <w:rPr>
          <w:b/>
          <w:szCs w:val="21"/>
        </w:rPr>
        <w:t>七、本项目参比保证金：</w:t>
      </w:r>
      <w:r>
        <w:rPr>
          <w:rFonts w:hint="eastAsia"/>
          <w:b/>
          <w:szCs w:val="21"/>
        </w:rPr>
        <w:t>人民币</w:t>
      </w:r>
      <w:r>
        <w:rPr>
          <w:rFonts w:hint="eastAsia"/>
          <w:b/>
          <w:szCs w:val="21"/>
          <w:lang w:val="en-US" w:eastAsia="zh-CN"/>
        </w:rPr>
        <w:t>1.20万</w:t>
      </w:r>
      <w:r>
        <w:rPr>
          <w:b/>
          <w:szCs w:val="21"/>
        </w:rPr>
        <w:t>元</w:t>
      </w:r>
      <w:r>
        <w:rPr>
          <w:rFonts w:hint="eastAsia"/>
          <w:b/>
          <w:szCs w:val="21"/>
          <w:lang w:eastAsia="zh-CN"/>
        </w:rPr>
        <w:t>。</w:t>
      </w:r>
    </w:p>
    <w:p w14:paraId="4E9EAAA9">
      <w:pPr>
        <w:spacing w:line="336" w:lineRule="auto"/>
        <w:ind w:firstLine="420" w:firstLineChars="200"/>
        <w:rPr>
          <w:b/>
          <w:szCs w:val="21"/>
        </w:rPr>
      </w:pPr>
      <w:r>
        <w:rPr>
          <w:color w:val="000000" w:themeColor="text1"/>
          <w:szCs w:val="21"/>
        </w:rPr>
        <w:t>八、本项目采用综合评分法，经技术评</w:t>
      </w:r>
      <w:r>
        <w:rPr>
          <w:rFonts w:hint="eastAsia"/>
          <w:color w:val="000000" w:themeColor="text1"/>
          <w:szCs w:val="21"/>
          <w:lang w:val="en-US" w:eastAsia="zh-CN"/>
        </w:rPr>
        <w:t>审</w:t>
      </w:r>
      <w:r>
        <w:rPr>
          <w:color w:val="000000" w:themeColor="text1"/>
          <w:szCs w:val="21"/>
        </w:rPr>
        <w:t>和商务评</w:t>
      </w:r>
      <w:r>
        <w:rPr>
          <w:rFonts w:hint="eastAsia"/>
          <w:color w:val="000000" w:themeColor="text1"/>
          <w:szCs w:val="21"/>
          <w:lang w:val="en-US" w:eastAsia="zh-CN"/>
        </w:rPr>
        <w:t>审</w:t>
      </w:r>
      <w:r>
        <w:rPr>
          <w:color w:val="000000" w:themeColor="text1"/>
          <w:szCs w:val="21"/>
        </w:rPr>
        <w:t>后选择综合总分最高者作为中选单位，技术</w:t>
      </w:r>
      <w:r>
        <w:rPr>
          <w:rFonts w:hint="eastAsia"/>
          <w:color w:val="000000" w:themeColor="text1"/>
          <w:szCs w:val="21"/>
        </w:rPr>
        <w:t>部分</w:t>
      </w:r>
      <w:r>
        <w:rPr>
          <w:color w:val="000000" w:themeColor="text1"/>
          <w:szCs w:val="21"/>
        </w:rPr>
        <w:t>和</w:t>
      </w:r>
      <w:r>
        <w:rPr>
          <w:rFonts w:hint="eastAsia"/>
          <w:color w:val="000000" w:themeColor="text1"/>
          <w:szCs w:val="21"/>
        </w:rPr>
        <w:t>商务部分</w:t>
      </w:r>
      <w:r>
        <w:rPr>
          <w:color w:val="000000" w:themeColor="text1"/>
          <w:szCs w:val="21"/>
        </w:rPr>
        <w:t>占比</w:t>
      </w:r>
      <w:r>
        <w:rPr>
          <w:rFonts w:hint="eastAsia"/>
          <w:color w:val="000000" w:themeColor="text1"/>
          <w:szCs w:val="21"/>
          <w:lang w:val="en-US" w:eastAsia="zh-CN"/>
        </w:rPr>
        <w:t>2</w:t>
      </w:r>
      <w:r>
        <w:rPr>
          <w:rFonts w:hint="eastAsia"/>
          <w:color w:val="000000" w:themeColor="text1"/>
          <w:szCs w:val="21"/>
        </w:rPr>
        <w:t>:</w:t>
      </w:r>
      <w:r>
        <w:rPr>
          <w:rFonts w:hint="eastAsia"/>
          <w:color w:val="000000" w:themeColor="text1"/>
          <w:szCs w:val="21"/>
          <w:lang w:val="en-US" w:eastAsia="zh-CN"/>
        </w:rPr>
        <w:t>8</w:t>
      </w:r>
      <w:r>
        <w:rPr>
          <w:color w:val="000000" w:themeColor="text1"/>
          <w:szCs w:val="21"/>
        </w:rPr>
        <w:t>。</w:t>
      </w:r>
    </w:p>
    <w:p w14:paraId="673B4FDB">
      <w:pPr>
        <w:tabs>
          <w:tab w:val="left" w:pos="709"/>
        </w:tabs>
        <w:spacing w:line="360" w:lineRule="auto"/>
        <w:ind w:firstLine="454" w:firstLineChars="200"/>
        <w:rPr>
          <w:szCs w:val="21"/>
        </w:rPr>
      </w:pPr>
      <w:r>
        <w:rPr>
          <w:rFonts w:hint="eastAsia"/>
          <w:b/>
          <w:bCs/>
          <w:snapToGrid w:val="0"/>
          <w:spacing w:val="8"/>
          <w:szCs w:val="21"/>
        </w:rPr>
        <w:t>九、联系方式</w:t>
      </w:r>
      <w:r>
        <w:rPr>
          <w:rFonts w:hint="eastAsia"/>
          <w:szCs w:val="21"/>
        </w:rPr>
        <w:t xml:space="preserve"> </w:t>
      </w:r>
    </w:p>
    <w:p w14:paraId="0E527553">
      <w:pPr>
        <w:tabs>
          <w:tab w:val="left" w:pos="709"/>
        </w:tabs>
        <w:spacing w:line="360" w:lineRule="auto"/>
        <w:ind w:firstLine="420" w:firstLineChars="200"/>
        <w:rPr>
          <w:szCs w:val="21"/>
        </w:rPr>
      </w:pPr>
      <w:r>
        <w:rPr>
          <w:rFonts w:hint="eastAsia"/>
          <w:szCs w:val="21"/>
        </w:rPr>
        <w:t>商务联系人：黄梅钦 电话：0</w:t>
      </w:r>
      <w:r>
        <w:rPr>
          <w:szCs w:val="21"/>
        </w:rPr>
        <w:t>596-6311073</w:t>
      </w:r>
      <w:r>
        <w:rPr>
          <w:rFonts w:hint="eastAsia"/>
          <w:szCs w:val="21"/>
        </w:rPr>
        <w:t xml:space="preserve"> 邮箱：</w:t>
      </w:r>
      <w:r>
        <w:fldChar w:fldCharType="begin"/>
      </w:r>
      <w:r>
        <w:instrText xml:space="preserve"> HYPERLINK "mailto:huangmq@fjpec.com.cn" </w:instrText>
      </w:r>
      <w:r>
        <w:fldChar w:fldCharType="separate"/>
      </w:r>
      <w:r>
        <w:rPr>
          <w:rStyle w:val="53"/>
          <w:rFonts w:hint="eastAsia"/>
          <w:color w:val="auto"/>
          <w:szCs w:val="21"/>
        </w:rPr>
        <w:t>hu</w:t>
      </w:r>
      <w:r>
        <w:rPr>
          <w:rStyle w:val="53"/>
          <w:color w:val="auto"/>
          <w:szCs w:val="21"/>
        </w:rPr>
        <w:t>angmq</w:t>
      </w:r>
      <w:r>
        <w:rPr>
          <w:rStyle w:val="53"/>
          <w:rFonts w:hint="eastAsia"/>
          <w:color w:val="auto"/>
          <w:szCs w:val="21"/>
        </w:rPr>
        <w:t>@f</w:t>
      </w:r>
      <w:r>
        <w:rPr>
          <w:rStyle w:val="53"/>
          <w:color w:val="auto"/>
          <w:szCs w:val="21"/>
        </w:rPr>
        <w:t>j</w:t>
      </w:r>
      <w:r>
        <w:rPr>
          <w:rStyle w:val="53"/>
          <w:rFonts w:hint="eastAsia"/>
          <w:color w:val="auto"/>
          <w:szCs w:val="21"/>
        </w:rPr>
        <w:t>pec.com.cn</w:t>
      </w:r>
      <w:r>
        <w:rPr>
          <w:rStyle w:val="53"/>
          <w:rFonts w:hint="eastAsia"/>
          <w:color w:val="auto"/>
          <w:szCs w:val="21"/>
        </w:rPr>
        <w:fldChar w:fldCharType="end"/>
      </w:r>
    </w:p>
    <w:p w14:paraId="30C70DFD">
      <w:pPr>
        <w:tabs>
          <w:tab w:val="left" w:pos="709"/>
        </w:tabs>
        <w:spacing w:line="360" w:lineRule="auto"/>
        <w:ind w:firstLine="420" w:firstLineChars="200"/>
        <w:rPr>
          <w:szCs w:val="21"/>
        </w:rPr>
      </w:pPr>
      <w:r>
        <w:rPr>
          <w:szCs w:val="21"/>
        </w:rPr>
        <w:t>现场技术联系人：</w:t>
      </w:r>
      <w:r>
        <w:rPr>
          <w:rFonts w:hint="eastAsia"/>
          <w:szCs w:val="21"/>
          <w:lang w:val="en-US" w:eastAsia="zh-CN"/>
        </w:rPr>
        <w:t>黄小玲 电话：</w:t>
      </w:r>
      <w:r>
        <w:rPr>
          <w:rFonts w:hint="default"/>
          <w:szCs w:val="21"/>
          <w:lang w:val="en-US" w:eastAsia="zh-CN"/>
        </w:rPr>
        <w:t>15260561396</w:t>
      </w:r>
      <w:r>
        <w:rPr>
          <w:rFonts w:hint="eastAsia"/>
          <w:szCs w:val="21"/>
          <w:lang w:val="en-US" w:eastAsia="zh-CN"/>
        </w:rPr>
        <w:t xml:space="preserve">  </w:t>
      </w:r>
      <w:r>
        <w:rPr>
          <w:rFonts w:hint="default"/>
          <w:szCs w:val="21"/>
          <w:lang w:val="en-US" w:eastAsia="zh-CN"/>
        </w:rPr>
        <w:t>邮</w:t>
      </w:r>
      <w:r>
        <w:rPr>
          <w:rFonts w:hint="default" w:ascii="Times New Roman" w:hAnsi="Times New Roman" w:eastAsia="宋体" w:cs="Times New Roman"/>
          <w:sz w:val="21"/>
          <w:szCs w:val="21"/>
          <w:lang w:eastAsia="zh-CN"/>
        </w:rPr>
        <w:t>箱：</w:t>
      </w:r>
      <w:r>
        <w:rPr>
          <w:rStyle w:val="53"/>
          <w:rFonts w:hint="eastAsia" w:ascii="Times New Roman" w:hAnsi="Times New Roman" w:eastAsia="宋体" w:cs="Times New Roman"/>
          <w:color w:val="auto"/>
          <w:szCs w:val="21"/>
          <w:lang w:val="en-US" w:eastAsia="zh-CN"/>
        </w:rPr>
        <w:t>xlhuang</w:t>
      </w:r>
      <w:r>
        <w:rPr>
          <w:rStyle w:val="53"/>
          <w:rFonts w:hint="default" w:ascii="Times New Roman" w:hAnsi="Times New Roman" w:eastAsia="宋体" w:cs="Times New Roman"/>
          <w:color w:val="auto"/>
          <w:szCs w:val="21"/>
          <w:lang w:val="en-US" w:eastAsia="zh-CN"/>
        </w:rPr>
        <w:t>@fhcpec.com.cn  </w:t>
      </w:r>
    </w:p>
    <w:p w14:paraId="2CC92D81">
      <w:pPr>
        <w:tabs>
          <w:tab w:val="left" w:pos="709"/>
        </w:tabs>
        <w:spacing w:line="360" w:lineRule="auto"/>
        <w:ind w:firstLine="420" w:firstLineChars="200"/>
        <w:rPr>
          <w:szCs w:val="21"/>
        </w:rPr>
      </w:pPr>
      <w:r>
        <w:rPr>
          <w:rFonts w:hint="eastAsia"/>
          <w:szCs w:val="21"/>
        </w:rPr>
        <w:t xml:space="preserve">纪检监察室电话：0596-6311774  </w:t>
      </w:r>
    </w:p>
    <w:p w14:paraId="5F3366DC">
      <w:pPr>
        <w:tabs>
          <w:tab w:val="left" w:pos="709"/>
        </w:tabs>
        <w:spacing w:line="360" w:lineRule="auto"/>
        <w:ind w:left="420" w:leftChars="200" w:firstLine="73" w:firstLineChars="35"/>
        <w:rPr>
          <w:szCs w:val="21"/>
        </w:rPr>
      </w:pPr>
      <w:r>
        <w:rPr>
          <w:rFonts w:hint="eastAsia"/>
          <w:szCs w:val="21"/>
        </w:rPr>
        <w:t>联系地址：漳州市漳浦县杜浔镇杜昌路9号福海创办公楼三楼综合采购团队。</w:t>
      </w:r>
    </w:p>
    <w:p w14:paraId="71820CF5">
      <w:pPr>
        <w:tabs>
          <w:tab w:val="left" w:pos="709"/>
        </w:tabs>
        <w:spacing w:line="360" w:lineRule="auto"/>
        <w:ind w:left="420" w:leftChars="200" w:firstLine="73" w:firstLineChars="35"/>
        <w:rPr>
          <w:szCs w:val="21"/>
        </w:rPr>
      </w:pPr>
      <w:r>
        <w:rPr>
          <w:rFonts w:hint="eastAsia"/>
          <w:szCs w:val="21"/>
        </w:rPr>
        <w:t>邮  编：363216</w:t>
      </w:r>
    </w:p>
    <w:p w14:paraId="4FC3A1B7">
      <w:pPr>
        <w:spacing w:line="360" w:lineRule="auto"/>
        <w:rPr>
          <w:szCs w:val="21"/>
        </w:rPr>
      </w:pPr>
    </w:p>
    <w:p w14:paraId="713A0F61">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62F9AEB5">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szCs w:val="21"/>
        </w:rPr>
        <w:t>0</w:t>
      </w:r>
      <w:r>
        <w:rPr>
          <w:rFonts w:hint="eastAsia"/>
          <w:szCs w:val="21"/>
          <w:lang w:val="en-US" w:eastAsia="zh-CN"/>
        </w:rPr>
        <w:t>4</w:t>
      </w:r>
      <w:r>
        <w:rPr>
          <w:rFonts w:hint="eastAsia"/>
          <w:szCs w:val="21"/>
        </w:rPr>
        <w:t>月</w:t>
      </w:r>
      <w:r>
        <w:rPr>
          <w:rFonts w:hint="eastAsia"/>
          <w:szCs w:val="21"/>
          <w:lang w:val="en-US" w:eastAsia="zh-CN"/>
        </w:rPr>
        <w:t>03</w:t>
      </w:r>
      <w:r>
        <w:rPr>
          <w:rFonts w:hint="eastAsia"/>
          <w:szCs w:val="21"/>
        </w:rPr>
        <w:t>日</w:t>
      </w:r>
    </w:p>
    <w:p w14:paraId="6F1094FF">
      <w:pPr>
        <w:pStyle w:val="2"/>
        <w:tabs>
          <w:tab w:val="left" w:pos="1262"/>
        </w:tabs>
        <w:spacing w:line="360" w:lineRule="auto"/>
        <w:ind w:left="0" w:right="108"/>
        <w:jc w:val="center"/>
        <w:rPr>
          <w:sz w:val="21"/>
          <w:szCs w:val="21"/>
          <w:lang w:eastAsia="zh-CN"/>
        </w:rPr>
      </w:pPr>
    </w:p>
    <w:p w14:paraId="2C4CA6FE">
      <w:pPr>
        <w:jc w:val="center"/>
        <w:outlineLvl w:val="0"/>
        <w:rPr>
          <w:rFonts w:ascii="黑体" w:hAnsi="黑体" w:eastAsia="黑体"/>
          <w:sz w:val="32"/>
          <w:szCs w:val="32"/>
        </w:rPr>
      </w:pPr>
    </w:p>
    <w:p w14:paraId="4C0684E1">
      <w:pPr>
        <w:jc w:val="center"/>
        <w:outlineLvl w:val="0"/>
        <w:rPr>
          <w:rFonts w:ascii="黑体" w:hAnsi="黑体" w:eastAsia="黑体"/>
          <w:sz w:val="32"/>
          <w:szCs w:val="32"/>
        </w:rPr>
      </w:pPr>
    </w:p>
    <w:p w14:paraId="43C0C270">
      <w:pPr>
        <w:jc w:val="center"/>
        <w:outlineLvl w:val="0"/>
        <w:rPr>
          <w:rFonts w:ascii="黑体" w:hAnsi="黑体" w:eastAsia="黑体"/>
          <w:sz w:val="32"/>
          <w:szCs w:val="32"/>
        </w:rPr>
      </w:pPr>
    </w:p>
    <w:p w14:paraId="46A58471">
      <w:pPr>
        <w:jc w:val="center"/>
        <w:outlineLvl w:val="0"/>
        <w:rPr>
          <w:rFonts w:ascii="黑体" w:hAnsi="黑体" w:eastAsia="黑体"/>
          <w:sz w:val="32"/>
          <w:szCs w:val="32"/>
        </w:rPr>
      </w:pPr>
    </w:p>
    <w:p w14:paraId="0DAF2949">
      <w:pPr>
        <w:jc w:val="center"/>
        <w:outlineLvl w:val="0"/>
        <w:rPr>
          <w:rFonts w:ascii="黑体" w:hAnsi="黑体" w:eastAsia="黑体"/>
          <w:sz w:val="32"/>
          <w:szCs w:val="32"/>
        </w:rPr>
      </w:pPr>
    </w:p>
    <w:p w14:paraId="3A3D4D41">
      <w:pPr>
        <w:jc w:val="center"/>
        <w:outlineLvl w:val="0"/>
        <w:rPr>
          <w:rFonts w:ascii="黑体" w:hAnsi="黑体" w:eastAsia="黑体"/>
          <w:sz w:val="32"/>
          <w:szCs w:val="32"/>
        </w:rPr>
      </w:pPr>
    </w:p>
    <w:p w14:paraId="656AF41E">
      <w:pPr>
        <w:jc w:val="center"/>
        <w:outlineLvl w:val="0"/>
        <w:rPr>
          <w:rFonts w:ascii="黑体" w:hAnsi="黑体" w:eastAsia="黑体"/>
          <w:sz w:val="32"/>
          <w:szCs w:val="32"/>
        </w:rPr>
      </w:pPr>
    </w:p>
    <w:p w14:paraId="1EFB3D21">
      <w:pPr>
        <w:jc w:val="center"/>
        <w:outlineLvl w:val="0"/>
        <w:rPr>
          <w:rFonts w:ascii="黑体" w:hAnsi="黑体" w:eastAsia="黑体"/>
          <w:sz w:val="32"/>
          <w:szCs w:val="32"/>
        </w:rPr>
      </w:pPr>
    </w:p>
    <w:p w14:paraId="3776B615">
      <w:pPr>
        <w:jc w:val="center"/>
        <w:outlineLvl w:val="0"/>
        <w:rPr>
          <w:rFonts w:ascii="黑体" w:hAnsi="黑体" w:eastAsia="黑体"/>
          <w:sz w:val="32"/>
          <w:szCs w:val="32"/>
        </w:rPr>
      </w:pPr>
    </w:p>
    <w:p w14:paraId="07FBBEFE">
      <w:pPr>
        <w:jc w:val="center"/>
        <w:outlineLvl w:val="0"/>
        <w:rPr>
          <w:rFonts w:ascii="黑体" w:hAnsi="黑体" w:eastAsia="黑体"/>
          <w:sz w:val="32"/>
          <w:szCs w:val="32"/>
        </w:rPr>
      </w:pPr>
    </w:p>
    <w:p w14:paraId="14168717">
      <w:pPr>
        <w:jc w:val="center"/>
        <w:outlineLvl w:val="0"/>
        <w:rPr>
          <w:rFonts w:ascii="黑体" w:hAnsi="黑体" w:eastAsia="黑体"/>
          <w:sz w:val="32"/>
          <w:szCs w:val="32"/>
        </w:rPr>
      </w:pPr>
    </w:p>
    <w:p w14:paraId="383238E4">
      <w:pPr>
        <w:jc w:val="center"/>
        <w:outlineLvl w:val="0"/>
        <w:rPr>
          <w:rFonts w:ascii="黑体" w:hAnsi="黑体" w:eastAsia="黑体"/>
          <w:sz w:val="32"/>
          <w:szCs w:val="32"/>
        </w:rPr>
      </w:pPr>
    </w:p>
    <w:p w14:paraId="42FDC4FC">
      <w:pPr>
        <w:jc w:val="center"/>
        <w:outlineLvl w:val="0"/>
        <w:rPr>
          <w:rFonts w:ascii="黑体" w:hAnsi="黑体" w:eastAsia="黑体"/>
          <w:sz w:val="32"/>
          <w:szCs w:val="32"/>
        </w:rPr>
      </w:pPr>
    </w:p>
    <w:p w14:paraId="29475E58">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6FE2D86">
      <w:pPr>
        <w:ind w:left="218" w:leftChars="104" w:right="294" w:rightChars="140" w:firstLine="0" w:firstLineChars="0"/>
        <w:jc w:val="center"/>
        <w:outlineLvl w:val="0"/>
        <w:rPr>
          <w:rFonts w:ascii="黑体" w:hAnsi="黑体" w:eastAsia="黑体"/>
        </w:rPr>
      </w:pPr>
    </w:p>
    <w:p w14:paraId="4F575E68">
      <w:pPr>
        <w:spacing w:line="360" w:lineRule="auto"/>
        <w:ind w:left="218" w:leftChars="104" w:right="294" w:rightChars="140" w:firstLine="0" w:firstLineChars="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ascii="宋体" w:hAnsi="宋体" w:eastAsia="宋体" w:cs="宋体"/>
          <w:b/>
          <w:bCs/>
          <w:sz w:val="28"/>
          <w:szCs w:val="28"/>
          <w:u w:val="single"/>
          <w:lang w:val="en-US" w:eastAsia="zh-CN"/>
        </w:rPr>
        <w:t>2026年职业病危害检测及评价项目</w:t>
      </w:r>
      <w:r>
        <w:rPr>
          <w:rFonts w:hint="eastAsia" w:ascii="宋体" w:hAnsi="宋体" w:eastAsia="宋体" w:cs="宋体"/>
          <w:b/>
          <w:bCs/>
          <w:sz w:val="28"/>
          <w:szCs w:val="28"/>
          <w:u w:val="single"/>
          <w:lang w:eastAsia="zh-CN"/>
        </w:rPr>
        <w:t>（项目编号：PB260313000003）</w:t>
      </w:r>
      <w:r>
        <w:rPr>
          <w:rFonts w:hint="eastAsia" w:hAnsi="Calibri" w:cs="黑体"/>
          <w:sz w:val="24"/>
          <w:szCs w:val="24"/>
        </w:rPr>
        <w:t>的询比活动，并代表我方全权处理一切与之有关的具体事务和签署相关文件，我均予以承认。</w:t>
      </w:r>
    </w:p>
    <w:p w14:paraId="0E9624C6">
      <w:pPr>
        <w:spacing w:line="360" w:lineRule="auto"/>
        <w:ind w:left="218" w:leftChars="104" w:right="294" w:rightChars="140" w:firstLine="0" w:firstLineChars="0"/>
        <w:rPr>
          <w:rFonts w:hAnsi="Calibri" w:cs="黑体"/>
          <w:sz w:val="24"/>
          <w:szCs w:val="24"/>
        </w:rPr>
      </w:pPr>
      <w:r>
        <w:rPr>
          <w:rFonts w:hint="eastAsia" w:hAnsi="Calibri" w:cs="黑体"/>
          <w:sz w:val="24"/>
          <w:szCs w:val="24"/>
        </w:rPr>
        <w:t>代理人无权转让委托权。</w:t>
      </w:r>
    </w:p>
    <w:p w14:paraId="52B2AA4D">
      <w:pPr>
        <w:spacing w:line="360" w:lineRule="auto"/>
        <w:ind w:left="218" w:leftChars="104" w:right="294" w:rightChars="140" w:firstLine="0" w:firstLineChars="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1F708FA4">
      <w:pPr>
        <w:spacing w:line="360" w:lineRule="auto"/>
        <w:ind w:left="218" w:leftChars="104" w:right="294" w:rightChars="140" w:firstLine="0" w:firstLineChars="0"/>
        <w:rPr>
          <w:rFonts w:hAnsi="Calibri" w:cs="黑体"/>
          <w:sz w:val="24"/>
          <w:szCs w:val="24"/>
        </w:rPr>
      </w:pPr>
      <w:r>
        <w:rPr>
          <w:rFonts w:hint="eastAsia" w:hAnsi="Calibri" w:cs="黑体"/>
          <w:sz w:val="24"/>
          <w:szCs w:val="24"/>
        </w:rPr>
        <w:t>特此声明。</w:t>
      </w:r>
    </w:p>
    <w:p w14:paraId="505AC701">
      <w:pPr>
        <w:ind w:left="218" w:leftChars="104" w:right="294" w:rightChars="140" w:firstLine="0" w:firstLineChars="0"/>
        <w:rPr>
          <w:rFonts w:hAnsi="Calibri" w:cs="黑体"/>
          <w:sz w:val="24"/>
          <w:szCs w:val="24"/>
        </w:rPr>
      </w:pPr>
    </w:p>
    <w:p w14:paraId="67A18E5D">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参比人（公章）：</w:t>
      </w:r>
    </w:p>
    <w:p w14:paraId="18DCA5A2">
      <w:pPr>
        <w:spacing w:line="360" w:lineRule="auto"/>
        <w:ind w:left="218" w:leftChars="104" w:right="294" w:rightChars="140" w:firstLine="0" w:firstLineChars="0"/>
        <w:rPr>
          <w:rFonts w:hAnsi="Calibri" w:cs="黑体"/>
          <w:sz w:val="24"/>
          <w:szCs w:val="24"/>
        </w:rPr>
      </w:pPr>
      <w:r>
        <w:rPr>
          <w:rFonts w:hint="eastAsia" w:hAnsi="Calibri" w:cs="黑体"/>
          <w:sz w:val="24"/>
          <w:szCs w:val="24"/>
        </w:rPr>
        <w:t>法定代表人（授权人）签字或盖章：</w:t>
      </w:r>
    </w:p>
    <w:p w14:paraId="15453AEF">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参比人代表（被授权人）签字或盖章：</w:t>
      </w:r>
    </w:p>
    <w:p w14:paraId="772A1B8C">
      <w:pPr>
        <w:spacing w:line="360" w:lineRule="auto"/>
        <w:ind w:left="218" w:leftChars="104" w:right="294" w:rightChars="140" w:firstLine="0" w:firstLineChars="0"/>
        <w:rPr>
          <w:rFonts w:hAnsi="Calibri" w:cs="黑体"/>
          <w:sz w:val="24"/>
          <w:szCs w:val="24"/>
        </w:rPr>
      </w:pPr>
      <w:r>
        <w:rPr>
          <w:rFonts w:hint="eastAsia" w:hAnsi="Calibri" w:cs="黑体"/>
          <w:sz w:val="24"/>
          <w:szCs w:val="24"/>
        </w:rPr>
        <w:t>日期：</w:t>
      </w:r>
    </w:p>
    <w:p w14:paraId="2BA82E72">
      <w:pPr>
        <w:ind w:left="218" w:leftChars="104" w:right="294" w:rightChars="140" w:firstLine="0" w:firstLineChars="0"/>
        <w:rPr>
          <w:rFonts w:hAnsi="Calibri" w:cs="黑体"/>
          <w:sz w:val="24"/>
          <w:szCs w:val="24"/>
        </w:rPr>
      </w:pPr>
    </w:p>
    <w:p w14:paraId="3CBA4257">
      <w:pPr>
        <w:ind w:left="218" w:leftChars="104" w:right="294" w:rightChars="140" w:firstLine="0" w:firstLineChars="0"/>
        <w:rPr>
          <w:rFonts w:hAnsi="Calibri" w:cs="黑体"/>
          <w:sz w:val="24"/>
          <w:szCs w:val="24"/>
        </w:rPr>
      </w:pPr>
      <w:r>
        <w:rPr>
          <w:rFonts w:hint="eastAsia" w:hAnsi="Calibri" w:cs="黑体"/>
          <w:sz w:val="24"/>
          <w:szCs w:val="24"/>
        </w:rPr>
        <w:t>参比人代表（被授权人）身份证正面和反面复印件</w:t>
      </w:r>
    </w:p>
    <w:p w14:paraId="61C12849">
      <w:pPr>
        <w:pStyle w:val="55"/>
        <w:sectPr>
          <w:footerReference r:id="rId4" w:type="default"/>
          <w:type w:val="continuous"/>
          <w:pgSz w:w="11910" w:h="16840"/>
          <w:pgMar w:top="1500" w:right="1020" w:bottom="1120" w:left="1134" w:header="0" w:footer="680" w:gutter="0"/>
          <w:pgNumType w:fmt="decimal"/>
          <w:cols w:space="720" w:num="1"/>
        </w:sectPr>
      </w:pPr>
    </w:p>
    <w:p w14:paraId="0E13B22E">
      <w:pPr>
        <w:pStyle w:val="2"/>
        <w:tabs>
          <w:tab w:val="left" w:pos="1262"/>
        </w:tabs>
        <w:spacing w:line="355" w:lineRule="exact"/>
        <w:ind w:left="0" w:right="108"/>
        <w:jc w:val="center"/>
        <w:rPr>
          <w:lang w:eastAsia="zh-CN"/>
        </w:rPr>
      </w:pPr>
    </w:p>
    <w:p w14:paraId="74BE00FC">
      <w:pPr>
        <w:pStyle w:val="2"/>
        <w:tabs>
          <w:tab w:val="left" w:pos="1262"/>
        </w:tabs>
        <w:spacing w:line="355" w:lineRule="exact"/>
        <w:ind w:left="0" w:right="108"/>
        <w:jc w:val="center"/>
        <w:rPr>
          <w:lang w:eastAsia="zh-CN"/>
        </w:rPr>
      </w:pPr>
    </w:p>
    <w:p w14:paraId="2C35BD76">
      <w:pPr>
        <w:pStyle w:val="2"/>
        <w:tabs>
          <w:tab w:val="left" w:pos="1262"/>
        </w:tabs>
        <w:spacing w:line="355" w:lineRule="exact"/>
        <w:ind w:left="0" w:right="108"/>
        <w:jc w:val="center"/>
        <w:rPr>
          <w:lang w:eastAsia="zh-CN"/>
        </w:rPr>
      </w:pPr>
    </w:p>
    <w:p w14:paraId="416C0A6D">
      <w:pPr>
        <w:rPr>
          <w:lang w:eastAsia="zh-CN"/>
        </w:rPr>
      </w:pPr>
    </w:p>
    <w:p w14:paraId="073A8D73">
      <w:pPr>
        <w:pStyle w:val="2"/>
        <w:tabs>
          <w:tab w:val="left" w:pos="1262"/>
        </w:tabs>
        <w:spacing w:line="355" w:lineRule="exact"/>
        <w:ind w:left="0" w:right="108"/>
        <w:jc w:val="center"/>
        <w:rPr>
          <w:lang w:eastAsia="zh-CN"/>
        </w:rPr>
      </w:pPr>
    </w:p>
    <w:p w14:paraId="070A1BE2">
      <w:pPr>
        <w:pStyle w:val="2"/>
        <w:tabs>
          <w:tab w:val="left" w:pos="1262"/>
        </w:tabs>
        <w:spacing w:line="355" w:lineRule="exact"/>
        <w:ind w:left="0" w:right="108"/>
        <w:jc w:val="center"/>
        <w:rPr>
          <w:lang w:eastAsia="zh-CN"/>
        </w:rPr>
      </w:pPr>
    </w:p>
    <w:p w14:paraId="2044E25E">
      <w:pPr>
        <w:pStyle w:val="2"/>
        <w:tabs>
          <w:tab w:val="left" w:pos="1262"/>
        </w:tabs>
        <w:spacing w:line="355" w:lineRule="exact"/>
        <w:ind w:left="0" w:right="108"/>
        <w:jc w:val="center"/>
        <w:rPr>
          <w:lang w:eastAsia="zh-CN"/>
        </w:rPr>
      </w:pPr>
    </w:p>
    <w:p w14:paraId="2883E022">
      <w:pPr>
        <w:pStyle w:val="2"/>
        <w:tabs>
          <w:tab w:val="left" w:pos="1262"/>
        </w:tabs>
        <w:spacing w:line="355" w:lineRule="exact"/>
        <w:ind w:left="0" w:right="108"/>
        <w:jc w:val="center"/>
        <w:rPr>
          <w:lang w:eastAsia="zh-CN"/>
        </w:rPr>
      </w:pPr>
    </w:p>
    <w:p w14:paraId="36E478BB">
      <w:pPr>
        <w:pStyle w:val="2"/>
        <w:tabs>
          <w:tab w:val="left" w:pos="1262"/>
        </w:tabs>
        <w:spacing w:line="355" w:lineRule="exact"/>
        <w:ind w:left="0" w:right="108"/>
        <w:jc w:val="center"/>
        <w:rPr>
          <w:lang w:eastAsia="zh-CN"/>
        </w:rPr>
      </w:pPr>
    </w:p>
    <w:p w14:paraId="0E4A05BD">
      <w:pPr>
        <w:pStyle w:val="2"/>
        <w:tabs>
          <w:tab w:val="left" w:pos="1262"/>
        </w:tabs>
        <w:spacing w:line="355" w:lineRule="exact"/>
        <w:ind w:left="0" w:right="108"/>
        <w:jc w:val="center"/>
        <w:rPr>
          <w:lang w:eastAsia="zh-CN"/>
        </w:rPr>
      </w:pPr>
    </w:p>
    <w:p w14:paraId="024C7947">
      <w:pPr>
        <w:pStyle w:val="2"/>
        <w:tabs>
          <w:tab w:val="left" w:pos="1262"/>
        </w:tabs>
        <w:spacing w:line="355" w:lineRule="exact"/>
        <w:ind w:left="0" w:right="108"/>
        <w:jc w:val="center"/>
        <w:rPr>
          <w:lang w:eastAsia="zh-CN"/>
        </w:rPr>
      </w:pPr>
    </w:p>
    <w:p w14:paraId="47CA19D7">
      <w:pPr>
        <w:pStyle w:val="2"/>
        <w:tabs>
          <w:tab w:val="left" w:pos="1262"/>
        </w:tabs>
        <w:spacing w:line="355" w:lineRule="exact"/>
        <w:ind w:left="0" w:right="108"/>
        <w:jc w:val="center"/>
        <w:rPr>
          <w:lang w:eastAsia="zh-CN"/>
        </w:rPr>
      </w:pPr>
    </w:p>
    <w:p w14:paraId="27774849">
      <w:pPr>
        <w:pStyle w:val="2"/>
        <w:tabs>
          <w:tab w:val="left" w:pos="1262"/>
        </w:tabs>
        <w:spacing w:line="355" w:lineRule="exact"/>
        <w:ind w:left="0" w:right="108"/>
        <w:jc w:val="center"/>
        <w:rPr>
          <w:lang w:eastAsia="zh-CN"/>
        </w:rPr>
      </w:pPr>
    </w:p>
    <w:p w14:paraId="57D24C59">
      <w:pPr>
        <w:pStyle w:val="2"/>
        <w:tabs>
          <w:tab w:val="left" w:pos="1262"/>
        </w:tabs>
        <w:spacing w:line="355" w:lineRule="exact"/>
        <w:ind w:left="0" w:right="108"/>
        <w:jc w:val="center"/>
        <w:rPr>
          <w:lang w:eastAsia="zh-CN"/>
        </w:rPr>
      </w:pPr>
    </w:p>
    <w:p w14:paraId="72063612">
      <w:pPr>
        <w:rPr>
          <w:lang w:eastAsia="zh-CN"/>
        </w:rPr>
      </w:pPr>
    </w:p>
    <w:p w14:paraId="08023719">
      <w:pPr>
        <w:pStyle w:val="2"/>
        <w:tabs>
          <w:tab w:val="left" w:pos="1262"/>
        </w:tabs>
        <w:spacing w:line="355" w:lineRule="exact"/>
        <w:ind w:left="0" w:right="108"/>
        <w:jc w:val="center"/>
        <w:rPr>
          <w:lang w:eastAsia="zh-CN"/>
        </w:rPr>
      </w:pPr>
    </w:p>
    <w:p w14:paraId="2025986C">
      <w:pPr>
        <w:pStyle w:val="2"/>
        <w:tabs>
          <w:tab w:val="left" w:pos="1262"/>
        </w:tabs>
        <w:spacing w:line="355" w:lineRule="exact"/>
        <w:ind w:left="0" w:right="108"/>
        <w:jc w:val="center"/>
        <w:rPr>
          <w:lang w:eastAsia="zh-CN"/>
        </w:rPr>
        <w:sectPr>
          <w:footerReference r:id="rId5" w:type="default"/>
          <w:type w:val="continuous"/>
          <w:pgSz w:w="11910" w:h="16840"/>
          <w:pgMar w:top="1500" w:right="1020" w:bottom="1174" w:left="1185" w:header="0" w:footer="680" w:gutter="0"/>
          <w:pgNumType w:fmt="decimal" w:start="10"/>
          <w:cols w:space="720" w:num="1"/>
        </w:sectPr>
      </w:pPr>
    </w:p>
    <w:p w14:paraId="5ABA950A">
      <w:pPr>
        <w:rPr>
          <w:lang w:eastAsia="zh-CN"/>
        </w:rPr>
      </w:pPr>
    </w:p>
    <w:p w14:paraId="0F0A84AC">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6"/>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502"/>
        <w:gridCol w:w="7223"/>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502"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223"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502"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223"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502"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223" w:type="dxa"/>
            <w:tcBorders>
              <w:top w:val="single" w:color="auto" w:sz="4" w:space="0"/>
              <w:left w:val="single" w:color="auto" w:sz="4" w:space="0"/>
              <w:bottom w:val="single" w:color="auto" w:sz="4" w:space="0"/>
              <w:right w:val="single" w:color="auto" w:sz="4" w:space="0"/>
            </w:tcBorders>
            <w:vAlign w:val="center"/>
          </w:tcPr>
          <w:p w14:paraId="676F6E00">
            <w:pPr>
              <w:snapToGrid w:val="0"/>
              <w:spacing w:line="264"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2026年职业病危害检测及评价项目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502"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223" w:type="dxa"/>
            <w:tcBorders>
              <w:top w:val="single" w:color="auto" w:sz="4" w:space="0"/>
              <w:left w:val="single" w:color="auto" w:sz="4" w:space="0"/>
              <w:bottom w:val="single" w:color="auto" w:sz="4" w:space="0"/>
              <w:right w:val="single" w:color="auto" w:sz="4" w:space="0"/>
            </w:tcBorders>
            <w:vAlign w:val="center"/>
          </w:tcPr>
          <w:p w14:paraId="06840FA4">
            <w:pPr>
              <w:spacing w:before="15"/>
              <w:ind w:left="0" w:leftChars="0" w:firstLine="0" w:firstLineChars="0"/>
              <w:jc w:val="left"/>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本项目涵盖福建福海创石油化工有限公司、腾龙芳烃（漳州）有限公司、翔鹭码头投资管理（漳州）有限公司、福建福化古蕾化学有限公司检测及评价服务，需根据服务内容分别出具相应公司的检测及评价报告</w:t>
            </w:r>
            <w:r>
              <w:rPr>
                <w:rFonts w:hint="eastAsia" w:asciiTheme="minorEastAsia" w:hAnsiTheme="minorEastAsia" w:cstheme="minorEastAsia"/>
                <w:color w:val="auto"/>
                <w:sz w:val="21"/>
                <w:szCs w:val="21"/>
                <w:highlight w:val="none"/>
                <w:u w:val="none"/>
                <w:lang w:val="en-US" w:eastAsia="zh-CN"/>
              </w:rPr>
              <w:t>(</w:t>
            </w:r>
            <w:r>
              <w:rPr>
                <w:rFonts w:hint="eastAsia"/>
                <w:b w:val="0"/>
                <w:bCs w:val="0"/>
                <w:szCs w:val="21"/>
                <w:u w:val="none"/>
                <w:lang w:val="en-US" w:eastAsia="zh-CN"/>
              </w:rPr>
              <w:t>详见附件</w:t>
            </w:r>
            <w:r>
              <w:rPr>
                <w:rFonts w:hint="eastAsia" w:ascii="Times New Roman" w:hAnsi="Times New Roman" w:cs="Times New Roman"/>
                <w:szCs w:val="21"/>
                <w:u w:val="none"/>
              </w:rPr>
              <w:t>《</w:t>
            </w:r>
            <w:r>
              <w:rPr>
                <w:rFonts w:hint="eastAsia" w:ascii="Times New Roman" w:hAnsi="Times New Roman" w:cs="Times New Roman"/>
                <w:szCs w:val="21"/>
                <w:u w:val="none"/>
                <w:lang w:val="en-US" w:eastAsia="zh-CN"/>
              </w:rPr>
              <w:t>2026年度职业病危害因素检测评价发包方案</w:t>
            </w:r>
            <w:r>
              <w:rPr>
                <w:rFonts w:hint="eastAsia" w:ascii="Times New Roman" w:hAnsi="Times New Roman" w:cs="Times New Roman"/>
                <w:szCs w:val="21"/>
                <w:u w:val="none"/>
              </w:rPr>
              <w:t>》</w:t>
            </w:r>
            <w:r>
              <w:rPr>
                <w:rFonts w:hint="eastAsia"/>
                <w:u w:val="none"/>
              </w:rPr>
              <w:t>。</w:t>
            </w:r>
            <w:r>
              <w:rPr>
                <w:rFonts w:hint="eastAsia"/>
                <w:u w:val="none"/>
                <w:lang w:val="en-US" w:eastAsia="zh-CN"/>
              </w:rPr>
              <w:t>)</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502"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223"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cstheme="minorEastAsia"/>
                <w:color w:val="auto"/>
                <w:kern w:val="2"/>
                <w:sz w:val="21"/>
                <w:szCs w:val="21"/>
                <w:highlight w:val="none"/>
                <w:lang w:val="en-US" w:eastAsia="zh-CN"/>
              </w:rPr>
              <w:t>61.80</w:t>
            </w:r>
            <w:r>
              <w:rPr>
                <w:rFonts w:hint="eastAsia" w:asciiTheme="minorEastAsia" w:hAnsiTheme="minorEastAsia" w:eastAsiaTheme="minorEastAsia" w:cstheme="minorEastAsia"/>
                <w:color w:val="auto"/>
                <w:kern w:val="2"/>
                <w:sz w:val="21"/>
                <w:szCs w:val="21"/>
                <w:highlight w:val="none"/>
                <w:lang w:val="en-US" w:eastAsia="zh-CN"/>
              </w:rPr>
              <w:t>万元</w:t>
            </w:r>
            <w:r>
              <w:rPr>
                <w:rFonts w:hint="eastAsia" w:asciiTheme="minorEastAsia" w:hAnsiTheme="minorEastAsia" w:cstheme="minorEastAsia"/>
                <w:color w:val="auto"/>
                <w:kern w:val="2"/>
                <w:sz w:val="21"/>
                <w:szCs w:val="21"/>
                <w:highlight w:val="none"/>
                <w:lang w:val="en-US" w:eastAsia="zh-CN"/>
              </w:rPr>
              <w:t>（含税）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502"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223"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cstheme="minorEastAsia"/>
                <w:color w:val="auto"/>
                <w:sz w:val="21"/>
                <w:szCs w:val="21"/>
                <w:highlight w:val="none"/>
                <w:lang w:val="en-US" w:eastAsia="zh-CN"/>
              </w:rPr>
              <w:t>1.20万</w:t>
            </w:r>
            <w:r>
              <w:rPr>
                <w:rFonts w:hint="eastAsia" w:asciiTheme="minorEastAsia" w:hAnsiTheme="minorEastAsia" w:eastAsiaTheme="minorEastAsia" w:cstheme="minorEastAsia"/>
                <w:color w:val="auto"/>
                <w:sz w:val="21"/>
                <w:szCs w:val="21"/>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502"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223"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cstheme="minorEastAsia"/>
                <w:color w:val="auto"/>
                <w:sz w:val="21"/>
                <w:szCs w:val="21"/>
                <w:highlight w:val="none"/>
                <w:lang w:val="en-US" w:eastAsia="zh-CN"/>
              </w:rPr>
              <w:t>1.20万</w:t>
            </w:r>
            <w:r>
              <w:rPr>
                <w:rFonts w:hint="eastAsia" w:asciiTheme="minorEastAsia" w:hAnsiTheme="minorEastAsia" w:eastAsiaTheme="minorEastAsia" w:cstheme="minorEastAsia"/>
                <w:color w:val="auto"/>
                <w:sz w:val="21"/>
                <w:szCs w:val="21"/>
                <w:highlight w:val="none"/>
                <w:lang w:eastAsia="zh-CN"/>
              </w:rPr>
              <w:t>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502"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223"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502"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223"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502"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223"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502"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223"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502"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223"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 xml:space="preserve">13 </w:t>
            </w:r>
            <w:r>
              <w:rPr>
                <w:rFonts w:hint="eastAsia" w:asciiTheme="minorEastAsia" w:hAnsiTheme="minorEastAsia" w:eastAsiaTheme="minorEastAsia" w:cstheme="minorEastAsia"/>
                <w:color w:val="auto"/>
                <w:sz w:val="21"/>
                <w:szCs w:val="21"/>
                <w:highlight w:val="none"/>
              </w:rPr>
              <w:t>日</w:t>
            </w:r>
            <w:r>
              <w:rPr>
                <w:rFonts w:hint="eastAsia"/>
                <w:color w:val="000000" w:themeColor="text1"/>
                <w:szCs w:val="21"/>
                <w:lang w:val="en-US" w:eastAsia="zh-CN"/>
              </w:rPr>
              <w:t>17：00止</w:t>
            </w:r>
            <w:bookmarkStart w:id="9" w:name="_GoBack"/>
            <w:bookmarkEnd w:id="9"/>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502"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223"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502"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223" w:type="dxa"/>
            <w:tcBorders>
              <w:top w:val="single" w:color="auto" w:sz="4" w:space="0"/>
              <w:left w:val="single" w:color="auto" w:sz="4" w:space="0"/>
              <w:bottom w:val="single" w:color="auto" w:sz="4" w:space="0"/>
              <w:right w:val="single" w:color="auto" w:sz="4" w:space="0"/>
            </w:tcBorders>
            <w:vAlign w:val="center"/>
          </w:tcPr>
          <w:p w14:paraId="4B39058B">
            <w:pPr>
              <w:numPr>
                <w:ilvl w:val="0"/>
                <w:numId w:val="7"/>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cstheme="minorEastAsia"/>
                <w:color w:val="auto"/>
                <w:sz w:val="21"/>
                <w:szCs w:val="21"/>
                <w:highlight w:val="none"/>
                <w:lang w:val="en-US" w:eastAsia="zh-CN"/>
              </w:rPr>
              <w:t xml:space="preserve">黄小玲 </w:t>
            </w:r>
            <w:r>
              <w:rPr>
                <w:rFonts w:hint="eastAsia" w:asciiTheme="minorEastAsia" w:hAnsiTheme="minorEastAsia" w:eastAsiaTheme="minorEastAsia" w:cstheme="minorEastAsia"/>
                <w:color w:val="auto"/>
                <w:sz w:val="21"/>
                <w:szCs w:val="21"/>
                <w:highlight w:val="none"/>
                <w:lang w:eastAsia="zh-CN"/>
              </w:rPr>
              <w:t xml:space="preserve"> 邮箱：</w:t>
            </w:r>
            <w:r>
              <w:rPr>
                <w:rFonts w:hint="eastAsia" w:asciiTheme="minorEastAsia" w:hAnsiTheme="minorEastAsia" w:cstheme="minorEastAsia"/>
                <w:color w:val="auto"/>
                <w:sz w:val="21"/>
                <w:szCs w:val="21"/>
                <w:highlight w:val="none"/>
                <w:lang w:val="en-US" w:eastAsia="zh-CN"/>
              </w:rPr>
              <w:t>xlhuang</w:t>
            </w:r>
            <w:r>
              <w:rPr>
                <w:rFonts w:hint="eastAsia" w:asciiTheme="minorEastAsia" w:hAnsiTheme="minorEastAsia" w:eastAsiaTheme="minorEastAsia" w:cstheme="minorEastAsia"/>
                <w:color w:val="auto"/>
                <w:sz w:val="21"/>
                <w:szCs w:val="21"/>
                <w:highlight w:val="none"/>
                <w:lang w:eastAsia="zh-CN"/>
              </w:rPr>
              <w:t xml:space="preserve">@fhcpec.com.cn </w:t>
            </w:r>
          </w:p>
          <w:p w14:paraId="520116A5">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502"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223"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2918C92B">
      <w:pPr>
        <w:widowControl w:val="0"/>
        <w:numPr>
          <w:ilvl w:val="0"/>
          <w:numId w:val="0"/>
        </w:numPr>
        <w:spacing w:before="15"/>
        <w:jc w:val="both"/>
        <w:rPr>
          <w:rFonts w:ascii="Times New Roman" w:hAnsi="Times New Roman" w:cs="Times New Roman"/>
          <w:b/>
          <w:szCs w:val="21"/>
        </w:rPr>
      </w:pPr>
    </w:p>
    <w:p w14:paraId="10368912">
      <w:pPr>
        <w:pStyle w:val="20"/>
        <w:spacing w:line="360" w:lineRule="auto"/>
        <w:ind w:right="121"/>
        <w:jc w:val="both"/>
        <w:rPr>
          <w:rFonts w:hint="eastAsia"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keepNext w:val="0"/>
        <w:keepLines w:val="0"/>
        <w:pageBreakBefore w:val="0"/>
        <w:widowControl w:val="0"/>
        <w:tabs>
          <w:tab w:val="left" w:pos="709"/>
        </w:tabs>
        <w:kinsoku/>
        <w:wordWrap/>
        <w:overflowPunct/>
        <w:topLinePunct w:val="0"/>
        <w:bidi w:val="0"/>
        <w:adjustRightInd/>
        <w:snapToGrid/>
        <w:spacing w:line="336" w:lineRule="auto"/>
        <w:textAlignment w:val="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六、参比保证金</w:t>
      </w:r>
    </w:p>
    <w:p w14:paraId="1F687660">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240" w:firstLineChars="1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1.参比人应缴纳参比保证金，保证金金额</w:t>
      </w:r>
      <w:r>
        <w:rPr>
          <w:rFonts w:hint="eastAsia" w:ascii="仿宋" w:hAnsi="仿宋" w:eastAsia="仿宋"/>
          <w:color w:val="auto"/>
          <w:sz w:val="24"/>
          <w:szCs w:val="24"/>
          <w:highlight w:val="none"/>
          <w:lang w:val="en-US" w:eastAsia="zh-CN"/>
        </w:rPr>
        <w:t>人民币12000</w:t>
      </w:r>
      <w:r>
        <w:rPr>
          <w:rFonts w:hint="eastAsia" w:ascii="仿宋" w:hAnsi="仿宋" w:eastAsia="仿宋"/>
          <w:color w:val="auto"/>
          <w:sz w:val="24"/>
          <w:szCs w:val="24"/>
          <w:highlight w:val="none"/>
          <w:lang w:eastAsia="zh-CN"/>
        </w:rPr>
        <w:t>元整，参比人应以电汇或银行转账的形式在</w:t>
      </w:r>
      <w:r>
        <w:rPr>
          <w:rFonts w:hint="eastAsia" w:ascii="仿宋" w:hAnsi="仿宋" w:eastAsia="仿宋"/>
          <w:b/>
          <w:bCs/>
          <w:color w:val="auto"/>
          <w:sz w:val="24"/>
          <w:szCs w:val="24"/>
          <w:highlight w:val="none"/>
          <w:lang w:eastAsia="zh-CN"/>
        </w:rPr>
        <w:t>递交截止时间前</w:t>
      </w:r>
      <w:r>
        <w:rPr>
          <w:rFonts w:hint="eastAsia" w:ascii="仿宋" w:hAnsi="仿宋" w:eastAsia="仿宋"/>
          <w:color w:val="auto"/>
          <w:sz w:val="24"/>
          <w:szCs w:val="24"/>
          <w:highlight w:val="none"/>
          <w:lang w:eastAsia="zh-CN"/>
        </w:rPr>
        <w:t>从参比人</w:t>
      </w:r>
      <w:r>
        <w:rPr>
          <w:rFonts w:hint="eastAsia" w:ascii="仿宋" w:hAnsi="仿宋" w:eastAsia="仿宋"/>
          <w:b/>
          <w:bCs/>
          <w:color w:val="auto"/>
          <w:sz w:val="24"/>
          <w:szCs w:val="24"/>
          <w:highlight w:val="none"/>
          <w:lang w:eastAsia="zh-CN"/>
        </w:rPr>
        <w:t>基本账户</w:t>
      </w:r>
      <w:r>
        <w:rPr>
          <w:rFonts w:hint="eastAsia" w:ascii="仿宋" w:hAnsi="仿宋" w:eastAsia="仿宋"/>
          <w:color w:val="auto"/>
          <w:sz w:val="24"/>
          <w:szCs w:val="24"/>
          <w:highlight w:val="none"/>
          <w:lang w:eastAsia="zh-CN"/>
        </w:rPr>
        <w:t>转入采购人的账户，采购人账户信息如下：</w:t>
      </w:r>
    </w:p>
    <w:p w14:paraId="0591F494">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开户名称：福建福海创石油化工有限公司</w:t>
      </w:r>
    </w:p>
    <w:p w14:paraId="4B6091FB">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开户银行：中国银行股份有限公司漳州古雷经济开发区支行</w:t>
      </w:r>
    </w:p>
    <w:p w14:paraId="52CD1736">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帐</w:t>
      </w:r>
      <w:r>
        <w:rPr>
          <w:rFonts w:hint="eastAsia"/>
          <w:color w:val="auto"/>
          <w:sz w:val="24"/>
          <w:szCs w:val="24"/>
          <w:highlight w:val="none"/>
          <w:lang w:eastAsia="zh-CN"/>
        </w:rPr>
        <w:t>  </w:t>
      </w:r>
      <w:r>
        <w:rPr>
          <w:rFonts w:hint="eastAsia" w:ascii="仿宋" w:hAnsi="仿宋" w:eastAsia="仿宋"/>
          <w:color w:val="auto"/>
          <w:sz w:val="24"/>
          <w:szCs w:val="24"/>
          <w:highlight w:val="none"/>
          <w:lang w:eastAsia="zh-CN"/>
        </w:rPr>
        <w:t>号：</w:t>
      </w:r>
      <w:r>
        <w:rPr>
          <w:rFonts w:ascii="仿宋" w:hAnsi="仿宋" w:eastAsia="仿宋"/>
          <w:color w:val="auto"/>
          <w:sz w:val="24"/>
          <w:szCs w:val="24"/>
          <w:highlight w:val="none"/>
          <w:lang w:eastAsia="zh-CN"/>
        </w:rPr>
        <w:t>4065</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7481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6628</w:t>
      </w:r>
    </w:p>
    <w:p w14:paraId="210041F8">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注明用途：</w:t>
      </w:r>
      <w:r>
        <w:rPr>
          <w:rFonts w:hint="eastAsia" w:ascii="仿宋" w:hAnsi="仿宋" w:eastAsia="仿宋"/>
          <w:color w:val="auto"/>
          <w:sz w:val="24"/>
          <w:szCs w:val="24"/>
          <w:highlight w:val="none"/>
          <w:u w:val="single"/>
          <w:lang w:val="en-US" w:eastAsia="zh-CN"/>
        </w:rPr>
        <w:t>2026年职业病危害检测及评价项目</w:t>
      </w:r>
      <w:r>
        <w:rPr>
          <w:rFonts w:hint="eastAsia" w:ascii="仿宋" w:hAnsi="仿宋" w:eastAsia="仿宋" w:cs="宋体"/>
          <w:color w:val="auto"/>
          <w:sz w:val="24"/>
          <w:szCs w:val="24"/>
          <w:highlight w:val="none"/>
          <w:lang w:eastAsia="zh-CN"/>
        </w:rPr>
        <w:t>参比保</w:t>
      </w:r>
      <w:r>
        <w:rPr>
          <w:rFonts w:hint="eastAsia" w:ascii="仿宋" w:hAnsi="仿宋" w:eastAsia="仿宋"/>
          <w:color w:val="auto"/>
          <w:sz w:val="24"/>
          <w:szCs w:val="24"/>
          <w:highlight w:val="none"/>
          <w:lang w:eastAsia="zh-CN"/>
        </w:rPr>
        <w:t>证金</w:t>
      </w:r>
    </w:p>
    <w:p w14:paraId="21EF8849">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参比有效期为参比文件接收截止期后 90 个日历天，参比保证金有效期与参比有效期一致。</w:t>
      </w:r>
    </w:p>
    <w:p w14:paraId="7D4C0D0A">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2.对于未能按要求提交保证金的参比文件，采购人将视为不符合参比要求而予以拒绝；</w:t>
      </w:r>
    </w:p>
    <w:p w14:paraId="5180058F">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10" w:firstLineChars="171"/>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3.询比结束后将原账户无息退还参比选保证金，最迟不超过本项目规定的参比有效期满后的20天。</w:t>
      </w:r>
    </w:p>
    <w:p w14:paraId="3762126C">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4.如有下列情况发生，将被没收参比保证金：</w:t>
      </w:r>
    </w:p>
    <w:p w14:paraId="48697A0C">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（1）参比人在参比有效期内撤回参比文件；</w:t>
      </w:r>
    </w:p>
    <w:p w14:paraId="117BFCC6">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（2）参比人未按中选通知书规定的时间内签定合同。</w:t>
      </w: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before="0" w:beforeLines="50" w:after="0" w:afterLines="5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44805DE6">
      <w:pPr>
        <w:pStyle w:val="20"/>
        <w:keepNext w:val="0"/>
        <w:keepLines w:val="0"/>
        <w:pageBreakBefore w:val="0"/>
        <w:widowControl w:val="0"/>
        <w:kinsoku/>
        <w:wordWrap/>
        <w:overflowPunct/>
        <w:topLinePunct w:val="0"/>
        <w:bidi w:val="0"/>
        <w:adjustRightInd/>
        <w:spacing w:line="336" w:lineRule="auto"/>
        <w:ind w:right="121"/>
        <w:jc w:val="both"/>
        <w:textAlignment w:val="auto"/>
        <w:rPr>
          <w:rFonts w:ascii="仿宋" w:hAnsi="仿宋" w:eastAsia="仿宋"/>
          <w:color w:val="auto"/>
          <w:sz w:val="24"/>
          <w:szCs w:val="24"/>
          <w:highlight w:val="none"/>
          <w:lang w:eastAsia="zh-CN"/>
        </w:rPr>
      </w:pPr>
      <w:r>
        <w:rPr>
          <w:rFonts w:ascii="仿宋" w:hAnsi="仿宋" w:eastAsia="仿宋"/>
          <w:b/>
          <w:color w:val="auto"/>
          <w:w w:val="95"/>
          <w:sz w:val="24"/>
          <w:szCs w:val="24"/>
          <w:highlight w:val="none"/>
          <w:lang w:eastAsia="zh-CN"/>
        </w:rPr>
        <w:t>一、</w:t>
      </w:r>
      <w:r>
        <w:rPr>
          <w:rFonts w:hint="eastAsia" w:ascii="仿宋" w:hAnsi="仿宋" w:eastAsia="仿宋"/>
          <w:b/>
          <w:color w:val="auto"/>
          <w:w w:val="95"/>
          <w:sz w:val="24"/>
          <w:szCs w:val="24"/>
          <w:highlight w:val="none"/>
          <w:lang w:eastAsia="zh-CN"/>
        </w:rPr>
        <w:t>本项目采用综合评分法评审，规则：</w:t>
      </w:r>
    </w:p>
    <w:p w14:paraId="0B9F2051">
      <w:pPr>
        <w:keepNext w:val="0"/>
        <w:keepLines w:val="0"/>
        <w:pageBreakBefore w:val="0"/>
        <w:widowControl w:val="0"/>
        <w:kinsoku/>
        <w:wordWrap/>
        <w:overflowPunct/>
        <w:topLinePunct w:val="0"/>
        <w:bidi w:val="0"/>
        <w:adjustRightInd/>
        <w:spacing w:line="336" w:lineRule="auto"/>
        <w:ind w:firstLine="480" w:firstLineChars="200"/>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1.1评审委员按照评分细则打分，综合得分最高者作为第一中选候选人，综合得分相等时，最终报价低者优先；最终报价也相等的，技术得分高者优先；如果技术得分也相等时，由评审小组投票表决。</w:t>
      </w:r>
    </w:p>
    <w:p w14:paraId="72A77C25">
      <w:pPr>
        <w:pStyle w:val="20"/>
        <w:keepNext w:val="0"/>
        <w:keepLines w:val="0"/>
        <w:pageBreakBefore w:val="0"/>
        <w:widowControl w:val="0"/>
        <w:kinsoku/>
        <w:wordWrap/>
        <w:overflowPunct/>
        <w:topLinePunct w:val="0"/>
        <w:bidi w:val="0"/>
        <w:adjustRightInd/>
        <w:spacing w:line="336" w:lineRule="auto"/>
        <w:ind w:right="121"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1.2 </w:t>
      </w:r>
      <w:r>
        <w:rPr>
          <w:rFonts w:ascii="仿宋" w:hAnsi="仿宋" w:eastAsia="仿宋"/>
          <w:color w:val="auto"/>
          <w:sz w:val="24"/>
          <w:szCs w:val="24"/>
          <w:highlight w:val="none"/>
          <w:lang w:eastAsia="zh-CN"/>
        </w:rPr>
        <w:t>替补候选人的设定与使用</w:t>
      </w:r>
      <w:r>
        <w:rPr>
          <w:rFonts w:hint="eastAsia" w:ascii="仿宋" w:hAnsi="仿宋" w:eastAsia="仿宋"/>
          <w:color w:val="auto"/>
          <w:sz w:val="24"/>
          <w:szCs w:val="24"/>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4"/>
          <w:szCs w:val="24"/>
          <w:highlight w:val="none"/>
          <w:lang w:eastAsia="zh-CN"/>
        </w:rPr>
        <w:t>保留依法追究的权利</w:t>
      </w:r>
      <w:r>
        <w:rPr>
          <w:rFonts w:hint="eastAsia" w:ascii="仿宋" w:hAnsi="仿宋" w:eastAsia="仿宋"/>
          <w:color w:val="auto"/>
          <w:sz w:val="24"/>
          <w:szCs w:val="24"/>
          <w:highlight w:val="none"/>
          <w:lang w:eastAsia="zh-CN"/>
        </w:rPr>
        <w:t>。采购人可以</w:t>
      </w:r>
      <w:r>
        <w:rPr>
          <w:rFonts w:ascii="仿宋" w:hAnsi="仿宋" w:eastAsia="仿宋"/>
          <w:color w:val="auto"/>
          <w:sz w:val="24"/>
          <w:szCs w:val="24"/>
          <w:highlight w:val="none"/>
          <w:lang w:eastAsia="zh-CN"/>
        </w:rPr>
        <w:t>确定排名第二名的中选候选人为本项目的中选人。</w:t>
      </w:r>
    </w:p>
    <w:p w14:paraId="7470FADA">
      <w:pPr>
        <w:pStyle w:val="20"/>
        <w:keepNext w:val="0"/>
        <w:keepLines w:val="0"/>
        <w:pageBreakBefore w:val="0"/>
        <w:widowControl w:val="0"/>
        <w:kinsoku/>
        <w:wordWrap/>
        <w:overflowPunct/>
        <w:topLinePunct w:val="0"/>
        <w:bidi w:val="0"/>
        <w:adjustRightInd/>
        <w:spacing w:line="336" w:lineRule="auto"/>
        <w:ind w:right="121"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1.3 </w:t>
      </w: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报价部分评分办法和标准如下：</w:t>
      </w:r>
    </w:p>
    <w:p w14:paraId="2A976E0C">
      <w:pPr>
        <w:keepNext w:val="0"/>
        <w:keepLines w:val="0"/>
        <w:pageBreakBefore w:val="0"/>
        <w:widowControl w:val="0"/>
        <w:kinsoku/>
        <w:wordWrap/>
        <w:overflowPunct/>
        <w:topLinePunct w:val="0"/>
        <w:bidi w:val="0"/>
        <w:adjustRightInd/>
        <w:snapToGrid w:val="0"/>
        <w:spacing w:line="336" w:lineRule="auto"/>
        <w:ind w:firstLine="480" w:firstLineChars="200"/>
        <w:contextualSpacing/>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（一）本次公开询比采用综合评分法，满分100分，其中技术部分占20分，报价部分占80分；</w:t>
      </w:r>
    </w:p>
    <w:p w14:paraId="23D283F9">
      <w:pPr>
        <w:keepNext w:val="0"/>
        <w:keepLines w:val="0"/>
        <w:pageBreakBefore w:val="0"/>
        <w:widowControl w:val="0"/>
        <w:kinsoku/>
        <w:wordWrap/>
        <w:overflowPunct/>
        <w:topLinePunct w:val="0"/>
        <w:bidi w:val="0"/>
        <w:adjustRightInd/>
        <w:snapToGrid w:val="0"/>
        <w:spacing w:line="336" w:lineRule="auto"/>
        <w:ind w:firstLine="480" w:firstLineChars="200"/>
        <w:contextualSpacing/>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（二）参比人按照要求递交参比文件。开选评审后，根据评分标准，综合得分排名第一的为中选人</w:t>
      </w:r>
      <w:bookmarkStart w:id="0" w:name="_Toc141689014"/>
      <w:r>
        <w:rPr>
          <w:rFonts w:hint="eastAsia" w:ascii="仿宋" w:hAnsi="仿宋" w:eastAsia="仿宋" w:cs="仿宋"/>
          <w:color w:val="auto"/>
          <w:sz w:val="24"/>
          <w:szCs w:val="24"/>
          <w:highlight w:val="none"/>
          <w:lang w:val="en-US" w:eastAsia="zh-CN" w:bidi="ar-SA"/>
        </w:rPr>
        <w:t>；</w:t>
      </w:r>
    </w:p>
    <w:bookmarkEnd w:id="0"/>
    <w:p w14:paraId="0CAB0727">
      <w:pPr>
        <w:spacing w:line="360" w:lineRule="auto"/>
        <w:ind w:firstLine="480"/>
        <w:rPr>
          <w:rFonts w:hint="eastAsia" w:ascii="仿宋" w:hAnsi="仿宋" w:eastAsia="仿宋" w:cs="仿宋"/>
          <w:color w:val="auto"/>
          <w:sz w:val="24"/>
          <w:szCs w:val="24"/>
          <w:highlight w:val="none"/>
          <w:lang w:val="en-US" w:eastAsia="zh-CN" w:bidi="ar-SA"/>
        </w:rPr>
      </w:pPr>
    </w:p>
    <w:tbl>
      <w:tblPr>
        <w:tblStyle w:val="4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35"/>
        <w:gridCol w:w="790"/>
        <w:gridCol w:w="6285"/>
      </w:tblGrid>
      <w:tr w14:paraId="3C09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9426" w:type="dxa"/>
            <w:gridSpan w:val="4"/>
            <w:tcBorders>
              <w:top w:val="single" w:color="auto" w:sz="4" w:space="0"/>
              <w:left w:val="single" w:color="auto" w:sz="4" w:space="0"/>
              <w:bottom w:val="single" w:color="auto" w:sz="4" w:space="0"/>
              <w:right w:val="single" w:color="auto" w:sz="4" w:space="0"/>
            </w:tcBorders>
            <w:vAlign w:val="center"/>
          </w:tcPr>
          <w:p w14:paraId="0356607B">
            <w:pPr>
              <w:spacing w:line="360" w:lineRule="auto"/>
              <w:jc w:val="left"/>
              <w:rPr>
                <w:rFonts w:hint="default" w:ascii="Times New Roman" w:hAnsi="Times New Roman" w:eastAsia="宋体" w:cs="Times New Roman"/>
                <w:b/>
                <w:bCs/>
                <w:color w:val="000000" w:themeColor="text1"/>
                <w:sz w:val="21"/>
                <w:szCs w:val="21"/>
                <w:lang w:val="en-US" w:eastAsia="zh-CN"/>
              </w:rPr>
            </w:pPr>
            <w:r>
              <w:rPr>
                <w:rFonts w:hint="eastAsia" w:ascii="Times New Roman" w:hAnsi="Times New Roman" w:eastAsia="宋体" w:cs="Times New Roman"/>
                <w:b/>
                <w:bCs/>
                <w:color w:val="000000" w:themeColor="text1"/>
                <w:sz w:val="21"/>
                <w:szCs w:val="21"/>
                <w:lang w:val="en-US" w:eastAsia="zh-CN"/>
              </w:rPr>
              <w:t>（三） 技术部分（满分20分）</w:t>
            </w:r>
          </w:p>
        </w:tc>
      </w:tr>
      <w:tr w14:paraId="4DB2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14:paraId="10A92AED">
            <w:pPr>
              <w:spacing w:line="360" w:lineRule="auto"/>
              <w:jc w:val="center"/>
              <w:rPr>
                <w:rFonts w:hint="eastAsia" w:ascii="仿宋" w:hAnsi="仿宋" w:eastAsia="仿宋" w:cs="仿宋"/>
                <w:b/>
                <w:bCs/>
                <w:color w:val="auto"/>
                <w:sz w:val="21"/>
                <w:szCs w:val="21"/>
                <w:highlight w:val="none"/>
                <w:lang w:val="en-US" w:eastAsia="zh-CN" w:bidi="ar-SA"/>
              </w:rPr>
            </w:pPr>
            <w:r>
              <w:rPr>
                <w:rFonts w:hint="eastAsia" w:ascii="仿宋" w:hAnsi="仿宋" w:eastAsia="仿宋" w:cs="仿宋"/>
                <w:b/>
                <w:bCs/>
                <w:color w:val="auto"/>
                <w:sz w:val="21"/>
                <w:szCs w:val="21"/>
                <w:highlight w:val="none"/>
                <w:lang w:val="en-US" w:eastAsia="zh-CN" w:bidi="ar-SA"/>
              </w:rPr>
              <w:t>序号</w:t>
            </w:r>
          </w:p>
        </w:tc>
        <w:tc>
          <w:tcPr>
            <w:tcW w:w="1535" w:type="dxa"/>
            <w:tcBorders>
              <w:top w:val="single" w:color="auto" w:sz="4" w:space="0"/>
              <w:left w:val="single" w:color="auto" w:sz="4" w:space="0"/>
              <w:bottom w:val="single" w:color="auto" w:sz="4" w:space="0"/>
              <w:right w:val="single" w:color="auto" w:sz="4" w:space="0"/>
            </w:tcBorders>
            <w:vAlign w:val="center"/>
          </w:tcPr>
          <w:p w14:paraId="2D89805D">
            <w:pPr>
              <w:spacing w:line="360" w:lineRule="auto"/>
              <w:jc w:val="center"/>
              <w:rPr>
                <w:rFonts w:hint="default" w:ascii="仿宋" w:hAnsi="仿宋" w:eastAsia="仿宋" w:cs="仿宋"/>
                <w:b/>
                <w:bCs/>
                <w:color w:val="auto"/>
                <w:sz w:val="21"/>
                <w:szCs w:val="21"/>
                <w:highlight w:val="none"/>
                <w:lang w:val="zh-CN" w:eastAsia="zh-CN" w:bidi="ar-SA"/>
              </w:rPr>
            </w:pPr>
            <w:r>
              <w:rPr>
                <w:rFonts w:hint="default" w:ascii="仿宋" w:hAnsi="仿宋" w:eastAsia="仿宋" w:cs="仿宋"/>
                <w:b/>
                <w:bCs/>
                <w:color w:val="auto"/>
                <w:sz w:val="21"/>
                <w:szCs w:val="21"/>
                <w:highlight w:val="none"/>
                <w:lang w:val="zh-CN" w:eastAsia="zh-CN" w:bidi="ar-SA"/>
              </w:rPr>
              <w:t>评标项目</w:t>
            </w:r>
          </w:p>
        </w:tc>
        <w:tc>
          <w:tcPr>
            <w:tcW w:w="790" w:type="dxa"/>
            <w:tcBorders>
              <w:top w:val="single" w:color="auto" w:sz="4" w:space="0"/>
              <w:left w:val="single" w:color="auto" w:sz="4" w:space="0"/>
              <w:bottom w:val="single" w:color="auto" w:sz="4" w:space="0"/>
              <w:right w:val="single" w:color="auto" w:sz="4" w:space="0"/>
            </w:tcBorders>
            <w:vAlign w:val="center"/>
          </w:tcPr>
          <w:p w14:paraId="574FC9F3">
            <w:pPr>
              <w:spacing w:line="360" w:lineRule="auto"/>
              <w:jc w:val="center"/>
              <w:rPr>
                <w:rFonts w:hint="default" w:ascii="仿宋" w:hAnsi="仿宋" w:eastAsia="仿宋" w:cs="仿宋"/>
                <w:b/>
                <w:bCs/>
                <w:color w:val="auto"/>
                <w:sz w:val="21"/>
                <w:szCs w:val="21"/>
                <w:highlight w:val="none"/>
                <w:lang w:val="zh-CN" w:eastAsia="zh-CN" w:bidi="ar-SA"/>
              </w:rPr>
            </w:pPr>
            <w:r>
              <w:rPr>
                <w:rFonts w:hint="default" w:ascii="仿宋" w:hAnsi="仿宋" w:eastAsia="仿宋" w:cs="仿宋"/>
                <w:b/>
                <w:bCs/>
                <w:color w:val="auto"/>
                <w:sz w:val="21"/>
                <w:szCs w:val="21"/>
                <w:highlight w:val="none"/>
                <w:lang w:val="zh-CN" w:eastAsia="zh-CN" w:bidi="ar-SA"/>
              </w:rPr>
              <w:t>评标分值</w:t>
            </w:r>
          </w:p>
        </w:tc>
        <w:tc>
          <w:tcPr>
            <w:tcW w:w="6285" w:type="dxa"/>
            <w:tcBorders>
              <w:top w:val="single" w:color="auto" w:sz="4" w:space="0"/>
              <w:left w:val="single" w:color="auto" w:sz="4" w:space="0"/>
              <w:bottom w:val="single" w:color="auto" w:sz="4" w:space="0"/>
              <w:right w:val="single" w:color="auto" w:sz="4" w:space="0"/>
            </w:tcBorders>
            <w:vAlign w:val="center"/>
          </w:tcPr>
          <w:p w14:paraId="37E41FCF">
            <w:pPr>
              <w:spacing w:line="360" w:lineRule="auto"/>
              <w:jc w:val="center"/>
              <w:rPr>
                <w:rFonts w:hint="default" w:ascii="仿宋" w:hAnsi="仿宋" w:eastAsia="仿宋" w:cs="仿宋"/>
                <w:b/>
                <w:bCs/>
                <w:color w:val="auto"/>
                <w:sz w:val="21"/>
                <w:szCs w:val="21"/>
                <w:highlight w:val="none"/>
                <w:lang w:val="en-US" w:eastAsia="zh-CN" w:bidi="ar-SA"/>
              </w:rPr>
            </w:pPr>
            <w:r>
              <w:rPr>
                <w:rFonts w:hint="default" w:ascii="仿宋" w:hAnsi="仿宋" w:eastAsia="仿宋" w:cs="仿宋"/>
                <w:b/>
                <w:bCs/>
                <w:color w:val="auto"/>
                <w:sz w:val="21"/>
                <w:szCs w:val="21"/>
                <w:highlight w:val="none"/>
                <w:lang w:val="en-US" w:eastAsia="zh-CN" w:bidi="ar-SA"/>
              </w:rPr>
              <w:t>评分内容</w:t>
            </w:r>
          </w:p>
        </w:tc>
      </w:tr>
      <w:tr w14:paraId="19DA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14:paraId="77218394">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w:t>
            </w:r>
          </w:p>
        </w:tc>
        <w:tc>
          <w:tcPr>
            <w:tcW w:w="1535" w:type="dxa"/>
            <w:tcBorders>
              <w:top w:val="single" w:color="auto" w:sz="4" w:space="0"/>
              <w:left w:val="single" w:color="auto" w:sz="4" w:space="0"/>
              <w:bottom w:val="single" w:color="auto" w:sz="4" w:space="0"/>
              <w:right w:val="single" w:color="auto" w:sz="4" w:space="0"/>
            </w:tcBorders>
            <w:vAlign w:val="center"/>
          </w:tcPr>
          <w:p w14:paraId="5E01008C">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评价业绩</w:t>
            </w:r>
          </w:p>
        </w:tc>
        <w:tc>
          <w:tcPr>
            <w:tcW w:w="790" w:type="dxa"/>
            <w:tcBorders>
              <w:top w:val="single" w:color="auto" w:sz="4" w:space="0"/>
              <w:left w:val="single" w:color="auto" w:sz="4" w:space="0"/>
              <w:bottom w:val="single" w:color="auto" w:sz="4" w:space="0"/>
              <w:right w:val="single" w:color="auto" w:sz="4" w:space="0"/>
            </w:tcBorders>
            <w:vAlign w:val="center"/>
          </w:tcPr>
          <w:p w14:paraId="05103D16">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3AE57115">
            <w:pPr>
              <w:pStyle w:val="75"/>
              <w:numPr>
                <w:ilvl w:val="0"/>
                <w:numId w:val="0"/>
              </w:numPr>
              <w:ind w:left="0" w:leftChars="0" w:firstLine="0" w:firstLineChars="0"/>
              <w:rPr>
                <w:rFonts w:hint="eastAsia" w:ascii="仿宋" w:hAnsi="仿宋" w:eastAsia="仿宋" w:cs="仿宋"/>
                <w:b w:val="0"/>
                <w:bCs w:val="0"/>
                <w:sz w:val="21"/>
                <w:szCs w:val="21"/>
                <w:highlight w:val="none"/>
                <w:lang w:val="en-US" w:eastAsia="zh-CN"/>
              </w:rPr>
            </w:pPr>
            <w:r>
              <w:rPr>
                <w:rFonts w:hint="eastAsia" w:ascii="仿宋" w:hAnsi="仿宋" w:eastAsia="仿宋" w:cs="仿宋"/>
                <w:sz w:val="21"/>
                <w:szCs w:val="21"/>
                <w:highlight w:val="none"/>
                <w:lang w:val="en-US" w:eastAsia="zh-CN"/>
              </w:rPr>
              <w:t>近三年（2023年—2025年）</w:t>
            </w:r>
            <w:r>
              <w:rPr>
                <w:rFonts w:hint="eastAsia" w:ascii="仿宋" w:hAnsi="仿宋" w:eastAsia="仿宋" w:cs="仿宋"/>
                <w:b w:val="0"/>
                <w:bCs w:val="0"/>
                <w:sz w:val="21"/>
                <w:szCs w:val="21"/>
                <w:highlight w:val="none"/>
                <w:lang w:val="en-US" w:eastAsia="zh-CN"/>
              </w:rPr>
              <w:t>有评价服务业绩单项合同金额≥15万元，得3分，10万元≤单项合同金额&lt;15万元，得2分，5万元≤单项合同金额&lt;10万元，得1分。</w:t>
            </w:r>
          </w:p>
          <w:p w14:paraId="1237B1C4">
            <w:pPr>
              <w:pStyle w:val="75"/>
              <w:numPr>
                <w:ilvl w:val="0"/>
                <w:numId w:val="0"/>
              </w:numPr>
              <w:ind w:left="0" w:leftChars="0" w:firstLine="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[注：需提供合同关键页(封面、合同双方盖章、合同签订生效日期、承包范围、合同金额等评审要素的关键页面]。</w:t>
            </w:r>
          </w:p>
        </w:tc>
      </w:tr>
      <w:tr w14:paraId="422F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14:paraId="58A2511B">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w:t>
            </w:r>
          </w:p>
        </w:tc>
        <w:tc>
          <w:tcPr>
            <w:tcW w:w="1535" w:type="dxa"/>
            <w:tcBorders>
              <w:top w:val="single" w:color="auto" w:sz="4" w:space="0"/>
              <w:left w:val="single" w:color="auto" w:sz="4" w:space="0"/>
              <w:bottom w:val="single" w:color="auto" w:sz="4" w:space="0"/>
              <w:right w:val="single" w:color="auto" w:sz="4" w:space="0"/>
            </w:tcBorders>
            <w:vAlign w:val="center"/>
          </w:tcPr>
          <w:p w14:paraId="2241EDAE">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技术方案及进度控制</w:t>
            </w:r>
          </w:p>
        </w:tc>
        <w:tc>
          <w:tcPr>
            <w:tcW w:w="790" w:type="dxa"/>
            <w:tcBorders>
              <w:top w:val="single" w:color="auto" w:sz="4" w:space="0"/>
              <w:left w:val="single" w:color="auto" w:sz="4" w:space="0"/>
              <w:bottom w:val="single" w:color="auto" w:sz="4" w:space="0"/>
              <w:right w:val="single" w:color="auto" w:sz="4" w:space="0"/>
            </w:tcBorders>
            <w:vAlign w:val="center"/>
          </w:tcPr>
          <w:p w14:paraId="7B0B854F">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4DCE56FF">
            <w:pPr>
              <w:pStyle w:val="75"/>
              <w:ind w:left="0" w:leftChars="0" w:firstLine="0" w:firstLineChars="0"/>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编制的技术方案及进度控制方案内容全面，程序清晰，细节描述准确，可操作性强，有针对性的，优秀得</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分，一般得</w:t>
            </w: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分，较差</w:t>
            </w:r>
            <w:r>
              <w:rPr>
                <w:rFonts w:hint="eastAsia" w:ascii="仿宋" w:hAnsi="仿宋" w:eastAsia="仿宋" w:cs="仿宋"/>
                <w:b w:val="0"/>
                <w:bCs w:val="0"/>
                <w:sz w:val="21"/>
                <w:szCs w:val="21"/>
                <w:highlight w:val="none"/>
                <w:lang w:eastAsia="zh-CN"/>
              </w:rPr>
              <w:t>得</w:t>
            </w:r>
            <w:r>
              <w:rPr>
                <w:rFonts w:hint="eastAsia" w:ascii="仿宋" w:hAnsi="仿宋" w:eastAsia="仿宋" w:cs="仿宋"/>
                <w:b w:val="0"/>
                <w:bCs w:val="0"/>
                <w:sz w:val="21"/>
                <w:szCs w:val="21"/>
                <w:highlight w:val="none"/>
                <w:lang w:val="en-US" w:eastAsia="zh-CN"/>
              </w:rPr>
              <w:t>1分，</w:t>
            </w:r>
            <w:r>
              <w:rPr>
                <w:rFonts w:hint="eastAsia" w:ascii="仿宋" w:hAnsi="仿宋" w:eastAsia="仿宋" w:cs="仿宋"/>
                <w:b w:val="0"/>
                <w:bCs w:val="0"/>
                <w:sz w:val="21"/>
                <w:szCs w:val="21"/>
                <w:highlight w:val="none"/>
                <w:lang w:eastAsia="zh-CN"/>
              </w:rPr>
              <w:t>未编制不得分。</w:t>
            </w:r>
          </w:p>
          <w:p w14:paraId="06514561">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[注：需提供项目技术方案及进度控制方案，需有公司公章]。</w:t>
            </w:r>
          </w:p>
        </w:tc>
      </w:tr>
      <w:tr w14:paraId="56C7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DDD94A7">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w:t>
            </w:r>
          </w:p>
        </w:tc>
        <w:tc>
          <w:tcPr>
            <w:tcW w:w="1535" w:type="dxa"/>
            <w:tcBorders>
              <w:top w:val="single" w:color="auto" w:sz="4" w:space="0"/>
              <w:left w:val="single" w:color="auto" w:sz="4" w:space="0"/>
              <w:bottom w:val="single" w:color="auto" w:sz="4" w:space="0"/>
              <w:right w:val="single" w:color="auto" w:sz="4" w:space="0"/>
            </w:tcBorders>
            <w:vAlign w:val="center"/>
          </w:tcPr>
          <w:p w14:paraId="0F39D717">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检测能力对比情况</w:t>
            </w:r>
          </w:p>
        </w:tc>
        <w:tc>
          <w:tcPr>
            <w:tcW w:w="790" w:type="dxa"/>
            <w:tcBorders>
              <w:top w:val="single" w:color="auto" w:sz="4" w:space="0"/>
              <w:left w:val="single" w:color="auto" w:sz="4" w:space="0"/>
              <w:bottom w:val="single" w:color="auto" w:sz="4" w:space="0"/>
              <w:right w:val="single" w:color="auto" w:sz="4" w:space="0"/>
            </w:tcBorders>
            <w:vAlign w:val="center"/>
          </w:tcPr>
          <w:p w14:paraId="6CCF2EEB">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2</w:t>
            </w:r>
          </w:p>
        </w:tc>
        <w:tc>
          <w:tcPr>
            <w:tcW w:w="6285" w:type="dxa"/>
            <w:tcBorders>
              <w:top w:val="single" w:color="auto" w:sz="4" w:space="0"/>
              <w:left w:val="single" w:color="auto" w:sz="4" w:space="0"/>
              <w:bottom w:val="single" w:color="auto" w:sz="4" w:space="0"/>
              <w:right w:val="single" w:color="auto" w:sz="4" w:space="0"/>
            </w:tcBorders>
            <w:vAlign w:val="center"/>
          </w:tcPr>
          <w:p w14:paraId="23926C51">
            <w:pPr>
              <w:pStyle w:val="75"/>
              <w:numPr>
                <w:ilvl w:val="0"/>
                <w:numId w:val="0"/>
              </w:numPr>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近三年（2023年—2025年）响应人参加过国家级或者省级组织的实验室检测能力对比，取得国家级综合评定结果优秀得2分，取得省级综合评定结果优秀得1分。</w:t>
            </w:r>
          </w:p>
          <w:p w14:paraId="36EAE3EA">
            <w:pPr>
              <w:pStyle w:val="75"/>
              <w:numPr>
                <w:ilvl w:val="0"/>
                <w:numId w:val="0"/>
              </w:numPr>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需提供</w:t>
            </w:r>
            <w:r>
              <w:rPr>
                <w:rFonts w:hint="eastAsia" w:ascii="仿宋" w:hAnsi="仿宋" w:eastAsia="仿宋" w:cs="仿宋"/>
                <w:b/>
                <w:bCs/>
                <w:sz w:val="21"/>
                <w:szCs w:val="21"/>
                <w:highlight w:val="none"/>
                <w:lang w:eastAsia="zh-CN"/>
              </w:rPr>
              <w:t>比对结果证明材料]。</w:t>
            </w:r>
          </w:p>
        </w:tc>
      </w:tr>
      <w:tr w14:paraId="324B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AB7E38E">
            <w:pPr>
              <w:spacing w:line="360" w:lineRule="auto"/>
              <w:ind w:left="0" w:leftChars="0"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w:t>
            </w:r>
          </w:p>
        </w:tc>
        <w:tc>
          <w:tcPr>
            <w:tcW w:w="1535" w:type="dxa"/>
            <w:tcBorders>
              <w:top w:val="single" w:color="auto" w:sz="4" w:space="0"/>
              <w:left w:val="single" w:color="auto" w:sz="4" w:space="0"/>
              <w:bottom w:val="single" w:color="auto" w:sz="4" w:space="0"/>
              <w:right w:val="single" w:color="auto" w:sz="4" w:space="0"/>
            </w:tcBorders>
            <w:vAlign w:val="center"/>
          </w:tcPr>
          <w:p w14:paraId="718B855A">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设备配置</w:t>
            </w:r>
          </w:p>
        </w:tc>
        <w:tc>
          <w:tcPr>
            <w:tcW w:w="790" w:type="dxa"/>
            <w:tcBorders>
              <w:top w:val="single" w:color="auto" w:sz="4" w:space="0"/>
              <w:left w:val="single" w:color="auto" w:sz="4" w:space="0"/>
              <w:bottom w:val="single" w:color="auto" w:sz="4" w:space="0"/>
              <w:right w:val="single" w:color="auto" w:sz="4" w:space="0"/>
            </w:tcBorders>
            <w:vAlign w:val="center"/>
          </w:tcPr>
          <w:p w14:paraId="151EB4B4">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76FE1F6A">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防爆采样器及个体采样器数量‌≥20套，得3分；15套</w:t>
            </w:r>
            <w:r>
              <w:rPr>
                <w:rFonts w:hint="eastAsia" w:ascii="仿宋" w:hAnsi="仿宋" w:eastAsia="仿宋" w:cs="仿宋"/>
                <w:b w:val="0"/>
                <w:bCs w:val="0"/>
                <w:sz w:val="21"/>
                <w:szCs w:val="21"/>
                <w:highlight w:val="none"/>
                <w:lang w:val="en-US" w:eastAsia="zh-CN"/>
              </w:rPr>
              <w:t>≤数量&lt;20套</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得2分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10套</w:t>
            </w:r>
            <w:r>
              <w:rPr>
                <w:rFonts w:hint="eastAsia" w:ascii="仿宋" w:hAnsi="仿宋" w:eastAsia="仿宋" w:cs="仿宋"/>
                <w:b w:val="0"/>
                <w:bCs w:val="0"/>
                <w:sz w:val="21"/>
                <w:szCs w:val="21"/>
                <w:highlight w:val="none"/>
                <w:lang w:val="en-US" w:eastAsia="zh-CN"/>
              </w:rPr>
              <w:t>≤数量&lt;15套</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得1分。</w:t>
            </w:r>
          </w:p>
          <w:p w14:paraId="4B188366">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需提供本项目投标截止时间前设备有效期内的校准证书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未提供不得分</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w:t>
            </w:r>
          </w:p>
        </w:tc>
      </w:tr>
      <w:tr w14:paraId="050D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3BA58D">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5</w:t>
            </w:r>
          </w:p>
        </w:tc>
        <w:tc>
          <w:tcPr>
            <w:tcW w:w="1535" w:type="dxa"/>
            <w:tcBorders>
              <w:top w:val="single" w:color="auto" w:sz="4" w:space="0"/>
              <w:left w:val="single" w:color="auto" w:sz="4" w:space="0"/>
              <w:bottom w:val="single" w:color="auto" w:sz="4" w:space="0"/>
              <w:right w:val="single" w:color="auto" w:sz="4" w:space="0"/>
            </w:tcBorders>
            <w:vAlign w:val="center"/>
          </w:tcPr>
          <w:p w14:paraId="0B86D355">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项目负责人</w:t>
            </w:r>
          </w:p>
        </w:tc>
        <w:tc>
          <w:tcPr>
            <w:tcW w:w="790" w:type="dxa"/>
            <w:tcBorders>
              <w:top w:val="single" w:color="auto" w:sz="4" w:space="0"/>
              <w:left w:val="single" w:color="auto" w:sz="4" w:space="0"/>
              <w:bottom w:val="single" w:color="auto" w:sz="4" w:space="0"/>
              <w:right w:val="single" w:color="auto" w:sz="4" w:space="0"/>
            </w:tcBorders>
            <w:vAlign w:val="center"/>
          </w:tcPr>
          <w:p w14:paraId="277F8D47">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4F757B47">
            <w:pPr>
              <w:pStyle w:val="75"/>
              <w:ind w:left="0" w:leftChars="0" w:firstLine="0" w:firstLineChars="0"/>
              <w:rPr>
                <w:rFonts w:hint="eastAsia" w:ascii="仿宋" w:hAnsi="仿宋" w:eastAsia="仿宋" w:cs="仿宋"/>
                <w:b w:val="0"/>
                <w:bCs w:val="0"/>
                <w:sz w:val="21"/>
                <w:szCs w:val="21"/>
                <w:highlight w:val="none"/>
              </w:rPr>
            </w:pPr>
            <w:r>
              <w:rPr>
                <w:rFonts w:hint="eastAsia" w:ascii="仿宋" w:hAnsi="仿宋" w:eastAsia="仿宋" w:cs="仿宋"/>
                <w:sz w:val="21"/>
                <w:szCs w:val="21"/>
                <w:highlight w:val="none"/>
                <w:lang w:val="en-US" w:eastAsia="zh-CN"/>
              </w:rPr>
              <w:t>拟派</w:t>
            </w:r>
            <w:r>
              <w:rPr>
                <w:rFonts w:hint="eastAsia" w:ascii="仿宋" w:hAnsi="仿宋" w:eastAsia="仿宋" w:cs="仿宋"/>
                <w:b w:val="0"/>
                <w:bCs w:val="0"/>
                <w:sz w:val="21"/>
                <w:szCs w:val="21"/>
                <w:highlight w:val="none"/>
              </w:rPr>
              <w:t>项目负责人合格通过卫生健康主管部门的职业卫生专业技术人员考核且具有高级及以上职称的得</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分，项目负责人合格通过卫生健康主管部门的职业卫生专业技术人员考核且具有中级职称的得</w:t>
            </w: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分，其他不得分</w:t>
            </w:r>
            <w:r>
              <w:rPr>
                <w:rFonts w:hint="eastAsia" w:ascii="仿宋" w:hAnsi="仿宋" w:eastAsia="仿宋" w:cs="仿宋"/>
                <w:b w:val="0"/>
                <w:bCs w:val="0"/>
                <w:sz w:val="21"/>
                <w:szCs w:val="21"/>
                <w:highlight w:val="none"/>
                <w:lang w:eastAsia="zh-CN"/>
              </w:rPr>
              <w:t>。</w:t>
            </w:r>
          </w:p>
          <w:p w14:paraId="5E3D02E7">
            <w:pPr>
              <w:pStyle w:val="75"/>
              <w:ind w:left="0" w:leftChars="0" w:firstLine="0" w:firstLine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人员应为投标人本单位在职员工，需提供社保缴费证明</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投标截止时间前90天</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含</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内任意时间</w:t>
            </w:r>
            <w:r>
              <w:rPr>
                <w:rFonts w:hint="eastAsia" w:ascii="仿宋" w:hAnsi="仿宋" w:eastAsia="仿宋" w:cs="仿宋"/>
                <w:b/>
                <w:bCs/>
                <w:sz w:val="21"/>
                <w:szCs w:val="21"/>
                <w:highlight w:val="none"/>
                <w:lang w:eastAsia="zh-CN"/>
              </w:rPr>
              <w:t>）及人员资质证明。</w:t>
            </w:r>
          </w:p>
        </w:tc>
      </w:tr>
      <w:tr w14:paraId="581F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0E4C33C">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6</w:t>
            </w:r>
          </w:p>
        </w:tc>
        <w:tc>
          <w:tcPr>
            <w:tcW w:w="1535" w:type="dxa"/>
            <w:tcBorders>
              <w:top w:val="single" w:color="auto" w:sz="4" w:space="0"/>
              <w:left w:val="single" w:color="auto" w:sz="4" w:space="0"/>
              <w:bottom w:val="single" w:color="auto" w:sz="4" w:space="0"/>
              <w:right w:val="single" w:color="auto" w:sz="4" w:space="0"/>
            </w:tcBorders>
            <w:vAlign w:val="center"/>
          </w:tcPr>
          <w:p w14:paraId="45DBC99B">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zh-CN" w:eastAsia="zh-CN" w:bidi="ar-SA"/>
              </w:rPr>
              <w:t>检测人员配置</w:t>
            </w:r>
          </w:p>
        </w:tc>
        <w:tc>
          <w:tcPr>
            <w:tcW w:w="790" w:type="dxa"/>
            <w:tcBorders>
              <w:top w:val="single" w:color="auto" w:sz="4" w:space="0"/>
              <w:left w:val="single" w:color="auto" w:sz="4" w:space="0"/>
              <w:bottom w:val="single" w:color="auto" w:sz="4" w:space="0"/>
              <w:right w:val="single" w:color="auto" w:sz="4" w:space="0"/>
            </w:tcBorders>
            <w:vAlign w:val="center"/>
          </w:tcPr>
          <w:p w14:paraId="2EC55129">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75C9093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拟派检测人员不低于4人，6人得2分，8人及以上得3分。</w:t>
            </w:r>
          </w:p>
          <w:p w14:paraId="222DC5C9">
            <w:pPr>
              <w:pStyle w:val="75"/>
              <w:ind w:left="0" w:leftChars="0" w:firstLine="0" w:firstLineChars="0"/>
              <w:rPr>
                <w:rFonts w:hint="eastAsia" w:ascii="仿宋" w:hAnsi="仿宋" w:eastAsia="仿宋" w:cs="仿宋"/>
                <w:sz w:val="21"/>
                <w:szCs w:val="21"/>
                <w:highlight w:val="none"/>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人员应为投标人本单位在职员工，需提供社保缴费证明</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1社保机构开具2所属投标人缴纳3缴费时间</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投标截止时间前90天</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含</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内任意时间</w:t>
            </w:r>
            <w:r>
              <w:rPr>
                <w:rFonts w:hint="eastAsia" w:ascii="仿宋" w:hAnsi="仿宋" w:eastAsia="仿宋" w:cs="仿宋"/>
                <w:b/>
                <w:bCs/>
                <w:sz w:val="21"/>
                <w:szCs w:val="21"/>
                <w:highlight w:val="none"/>
                <w:lang w:eastAsia="zh-CN"/>
              </w:rPr>
              <w:t>]。</w:t>
            </w:r>
          </w:p>
        </w:tc>
      </w:tr>
      <w:tr w14:paraId="28D6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9FF063E">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7</w:t>
            </w:r>
          </w:p>
        </w:tc>
        <w:tc>
          <w:tcPr>
            <w:tcW w:w="1535" w:type="dxa"/>
            <w:tcBorders>
              <w:top w:val="single" w:color="auto" w:sz="4" w:space="0"/>
              <w:left w:val="single" w:color="auto" w:sz="4" w:space="0"/>
              <w:bottom w:val="single" w:color="auto" w:sz="4" w:space="0"/>
              <w:right w:val="single" w:color="auto" w:sz="4" w:space="0"/>
            </w:tcBorders>
            <w:vAlign w:val="center"/>
          </w:tcPr>
          <w:p w14:paraId="74C3E16C">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本项目资质能力匹配情况</w:t>
            </w:r>
          </w:p>
        </w:tc>
        <w:tc>
          <w:tcPr>
            <w:tcW w:w="790" w:type="dxa"/>
            <w:tcBorders>
              <w:top w:val="single" w:color="auto" w:sz="4" w:space="0"/>
              <w:left w:val="single" w:color="auto" w:sz="4" w:space="0"/>
              <w:bottom w:val="single" w:color="auto" w:sz="4" w:space="0"/>
              <w:right w:val="single" w:color="auto" w:sz="4" w:space="0"/>
            </w:tcBorders>
            <w:vAlign w:val="center"/>
          </w:tcPr>
          <w:p w14:paraId="1CF2B409">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45773461">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本项目所有检测项目均具备工作场所检测资质能力且没有项目外包的得3分，有项目外包的不得分。</w:t>
            </w:r>
          </w:p>
          <w:p w14:paraId="71AD8842">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[注：提供有效期内职业卫生技术服务机构资质证书及本项目全部检测项目对应资质能力附表截图]。</w:t>
            </w:r>
          </w:p>
        </w:tc>
      </w:tr>
      <w:tr w14:paraId="68C3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426" w:type="dxa"/>
            <w:gridSpan w:val="4"/>
            <w:tcBorders>
              <w:top w:val="single" w:color="auto" w:sz="4" w:space="0"/>
              <w:left w:val="single" w:color="auto" w:sz="4" w:space="0"/>
              <w:bottom w:val="single" w:color="auto" w:sz="4" w:space="0"/>
              <w:right w:val="single" w:color="auto" w:sz="4" w:space="0"/>
            </w:tcBorders>
            <w:vAlign w:val="center"/>
          </w:tcPr>
          <w:p w14:paraId="74155799">
            <w:pPr>
              <w:numPr>
                <w:ilvl w:val="0"/>
                <w:numId w:val="8"/>
              </w:numPr>
              <w:spacing w:line="360" w:lineRule="auto"/>
              <w:jc w:val="left"/>
              <w:rPr>
                <w:rFonts w:hint="default" w:ascii="仿宋" w:hAnsi="仿宋" w:eastAsia="仿宋" w:cs="仿宋"/>
                <w:b/>
                <w:bCs/>
                <w:sz w:val="21"/>
                <w:szCs w:val="21"/>
                <w:highlight w:val="none"/>
                <w:lang w:val="en-US" w:eastAsia="zh-CN"/>
              </w:rPr>
            </w:pPr>
            <w:r>
              <w:rPr>
                <w:rFonts w:hint="eastAsia" w:ascii="仿宋" w:hAnsi="仿宋" w:eastAsia="仿宋" w:cs="仿宋"/>
                <w:b/>
                <w:bCs/>
                <w:color w:val="auto"/>
                <w:sz w:val="24"/>
                <w:szCs w:val="24"/>
                <w:highlight w:val="none"/>
                <w:lang w:val="en-US" w:eastAsia="zh-CN" w:bidi="ar-SA"/>
              </w:rPr>
              <w:t>价格部分（满分80分）</w:t>
            </w:r>
          </w:p>
        </w:tc>
      </w:tr>
      <w:tr w14:paraId="4B0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5B5B1DC">
            <w:pPr>
              <w:spacing w:line="36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w:t>
            </w:r>
          </w:p>
        </w:tc>
        <w:tc>
          <w:tcPr>
            <w:tcW w:w="1535" w:type="dxa"/>
            <w:tcBorders>
              <w:top w:val="single" w:color="auto" w:sz="4" w:space="0"/>
              <w:left w:val="single" w:color="auto" w:sz="4" w:space="0"/>
              <w:bottom w:val="single" w:color="auto" w:sz="4" w:space="0"/>
              <w:right w:val="single" w:color="auto" w:sz="4" w:space="0"/>
            </w:tcBorders>
            <w:vAlign w:val="center"/>
          </w:tcPr>
          <w:p w14:paraId="38DA991D">
            <w:pPr>
              <w:spacing w:line="360" w:lineRule="auto"/>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报价部分</w:t>
            </w:r>
          </w:p>
        </w:tc>
        <w:tc>
          <w:tcPr>
            <w:tcW w:w="790" w:type="dxa"/>
            <w:tcBorders>
              <w:top w:val="single" w:color="auto" w:sz="4" w:space="0"/>
              <w:left w:val="single" w:color="auto" w:sz="4" w:space="0"/>
              <w:bottom w:val="single" w:color="auto" w:sz="4" w:space="0"/>
              <w:right w:val="single" w:color="auto" w:sz="4" w:space="0"/>
            </w:tcBorders>
            <w:vAlign w:val="center"/>
          </w:tcPr>
          <w:p w14:paraId="1878453B">
            <w:pPr>
              <w:spacing w:line="360" w:lineRule="auto"/>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80分</w:t>
            </w:r>
          </w:p>
        </w:tc>
        <w:tc>
          <w:tcPr>
            <w:tcW w:w="6285" w:type="dxa"/>
            <w:tcBorders>
              <w:top w:val="single" w:color="auto" w:sz="4" w:space="0"/>
              <w:left w:val="single" w:color="auto" w:sz="4" w:space="0"/>
              <w:bottom w:val="single" w:color="auto" w:sz="4" w:space="0"/>
              <w:right w:val="single" w:color="auto" w:sz="4" w:space="0"/>
            </w:tcBorders>
            <w:vAlign w:val="center"/>
          </w:tcPr>
          <w:p w14:paraId="559E6959">
            <w:pPr>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评分： PF＝ ( Bn/ B基准)×80   </w:t>
            </w:r>
          </w:p>
          <w:p w14:paraId="77AD89C2">
            <w:pPr>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式中：</w:t>
            </w:r>
          </w:p>
          <w:p w14:paraId="5A3B048B">
            <w:pPr>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Bn -- 进入报价部分评分的各合格参比人的报价评选价；</w:t>
            </w:r>
          </w:p>
          <w:p w14:paraId="4E1524A7">
            <w:pPr>
              <w:spacing w:line="360" w:lineRule="auto"/>
              <w:rPr>
                <w:rFonts w:hint="eastAsia" w:ascii="仿宋" w:hAnsi="仿宋" w:eastAsia="仿宋" w:cs="仿宋"/>
                <w:b/>
                <w:bCs/>
                <w:sz w:val="21"/>
                <w:szCs w:val="21"/>
                <w:highlight w:val="none"/>
                <w:lang w:val="en-US" w:eastAsia="zh-CN"/>
              </w:rPr>
            </w:pPr>
            <w:r>
              <w:rPr>
                <w:rFonts w:hint="eastAsia" w:ascii="仿宋" w:hAnsi="仿宋" w:eastAsia="仿宋" w:cs="仿宋"/>
                <w:color w:val="auto"/>
                <w:sz w:val="21"/>
                <w:szCs w:val="21"/>
                <w:highlight w:val="none"/>
                <w:lang w:val="en-US" w:eastAsia="zh-CN" w:bidi="ar-SA"/>
              </w:rPr>
              <w:t>B基准---进入报价部分评分的各合格参比人中最高的报价评选价。</w:t>
            </w:r>
          </w:p>
        </w:tc>
      </w:tr>
    </w:tbl>
    <w:p w14:paraId="11F8D044">
      <w:pPr>
        <w:spacing w:line="360" w:lineRule="auto"/>
        <w:ind w:left="0" w:leftChars="0" w:firstLine="0" w:firstLineChars="0"/>
        <w:rPr>
          <w:rFonts w:hint="eastAsia" w:ascii="仿宋" w:hAnsi="仿宋" w:eastAsia="仿宋" w:cs="仿宋"/>
          <w:color w:val="auto"/>
          <w:sz w:val="24"/>
          <w:szCs w:val="24"/>
          <w:highlight w:val="none"/>
          <w:lang w:val="en-US" w:eastAsia="zh-CN" w:bidi="ar-SA"/>
        </w:rPr>
      </w:pPr>
    </w:p>
    <w:p w14:paraId="21BEC7BF">
      <w:pPr>
        <w:spacing w:before="15" w:line="360" w:lineRule="auto"/>
        <w:ind w:firstLine="458" w:firstLineChars="200"/>
        <w:rPr>
          <w:rFonts w:ascii="仿宋" w:hAnsi="仿宋" w:eastAsia="仿宋"/>
          <w:b/>
          <w:color w:val="auto"/>
          <w:w w:val="95"/>
          <w:sz w:val="24"/>
          <w:szCs w:val="24"/>
          <w:highlight w:val="none"/>
          <w:lang w:eastAsia="zh-CN"/>
        </w:rPr>
      </w:pPr>
    </w:p>
    <w:p w14:paraId="493114DA">
      <w:pPr>
        <w:spacing w:before="15" w:line="360" w:lineRule="auto"/>
        <w:ind w:firstLine="458" w:firstLineChars="200"/>
        <w:rPr>
          <w:rFonts w:ascii="仿宋" w:hAnsi="仿宋" w:eastAsia="仿宋"/>
          <w:b/>
          <w:color w:val="auto"/>
          <w:w w:val="95"/>
          <w:sz w:val="24"/>
          <w:szCs w:val="24"/>
          <w:highlight w:val="none"/>
          <w:lang w:eastAsia="zh-CN"/>
        </w:rPr>
      </w:pPr>
    </w:p>
    <w:p w14:paraId="42F510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二、资格审查</w:t>
      </w:r>
    </w:p>
    <w:p w14:paraId="4E99405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委员会将按照</w:t>
      </w:r>
      <w:r>
        <w:rPr>
          <w:rFonts w:hint="eastAsia" w:ascii="仿宋" w:hAnsi="仿宋" w:eastAsia="仿宋"/>
          <w:color w:val="auto"/>
          <w:sz w:val="24"/>
          <w:szCs w:val="24"/>
          <w:highlight w:val="none"/>
          <w:lang w:eastAsia="zh-CN"/>
        </w:rPr>
        <w:t>前述的</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人资格”的要求对参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人进行资格审查，以确定是否为符合</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文件规定要求的合格参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人提供的资格证明文件审查参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人的法人资格、营业范围、财务，以确定参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人是否有资格履行合同。经上述资格审查合格的参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人进入下一程序的评审，经上述资格审查不合格的</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资格将被评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委员会予以否决。</w:t>
      </w:r>
    </w:p>
    <w:p w14:paraId="6846AE5C">
      <w:pPr>
        <w:pStyle w:val="20"/>
        <w:spacing w:line="360" w:lineRule="auto"/>
        <w:ind w:right="121" w:firstLine="458" w:firstLineChars="200"/>
        <w:jc w:val="both"/>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三</w:t>
      </w:r>
      <w:r>
        <w:rPr>
          <w:rFonts w:ascii="仿宋" w:hAnsi="仿宋" w:eastAsia="仿宋"/>
          <w:b/>
          <w:color w:val="auto"/>
          <w:w w:val="95"/>
          <w:sz w:val="24"/>
          <w:szCs w:val="24"/>
          <w:highlight w:val="none"/>
          <w:lang w:eastAsia="zh-CN"/>
        </w:rPr>
        <w:t>、评</w:t>
      </w:r>
      <w:r>
        <w:rPr>
          <w:rFonts w:hint="eastAsia" w:ascii="仿宋" w:hAnsi="仿宋" w:eastAsia="仿宋"/>
          <w:b/>
          <w:color w:val="auto"/>
          <w:w w:val="95"/>
          <w:sz w:val="24"/>
          <w:szCs w:val="24"/>
          <w:highlight w:val="none"/>
          <w:lang w:eastAsia="zh-CN"/>
        </w:rPr>
        <w:t>审</w:t>
      </w:r>
    </w:p>
    <w:p w14:paraId="7A9BEE50">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人将在参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递交</w:t>
      </w:r>
      <w:r>
        <w:rPr>
          <w:rFonts w:ascii="仿宋" w:hAnsi="仿宋" w:eastAsia="仿宋"/>
          <w:color w:val="auto"/>
          <w:sz w:val="24"/>
          <w:szCs w:val="24"/>
          <w:highlight w:val="none"/>
          <w:lang w:eastAsia="zh-CN"/>
        </w:rPr>
        <w:t>截止日期后择日组织</w:t>
      </w:r>
      <w:r>
        <w:rPr>
          <w:rFonts w:hint="eastAsia" w:ascii="仿宋" w:hAnsi="仿宋" w:eastAsia="仿宋"/>
          <w:color w:val="auto"/>
          <w:sz w:val="24"/>
          <w:szCs w:val="24"/>
          <w:highlight w:val="none"/>
          <w:lang w:eastAsia="zh-CN"/>
        </w:rPr>
        <w:t>评审</w:t>
      </w:r>
      <w:r>
        <w:rPr>
          <w:rFonts w:ascii="仿宋" w:hAnsi="仿宋" w:eastAsia="仿宋"/>
          <w:color w:val="auto"/>
          <w:sz w:val="24"/>
          <w:szCs w:val="24"/>
          <w:highlight w:val="none"/>
          <w:lang w:eastAsia="zh-CN"/>
        </w:rPr>
        <w:t>会，</w:t>
      </w:r>
      <w:r>
        <w:rPr>
          <w:rFonts w:hint="eastAsia" w:ascii="仿宋" w:hAnsi="仿宋" w:eastAsia="仿宋"/>
          <w:color w:val="auto"/>
          <w:sz w:val="24"/>
          <w:szCs w:val="24"/>
          <w:highlight w:val="none"/>
          <w:lang w:eastAsia="zh-CN"/>
        </w:rPr>
        <w:t>中选人的</w:t>
      </w:r>
      <w:r>
        <w:rPr>
          <w:rFonts w:ascii="仿宋" w:hAnsi="仿宋" w:eastAsia="仿宋"/>
          <w:color w:val="auto"/>
          <w:sz w:val="24"/>
          <w:szCs w:val="24"/>
          <w:highlight w:val="none"/>
          <w:lang w:eastAsia="zh-CN"/>
        </w:rPr>
        <w:t>选定工作在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人有关部门监督下，由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人依法组建的评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委员会负责。</w:t>
      </w:r>
    </w:p>
    <w:p w14:paraId="4B126CAC">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2.在开</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时没有启封和读出的参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文件，在评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时将不予考虑。</w:t>
      </w:r>
    </w:p>
    <w:p w14:paraId="1CDFD4D5">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人将做开选记录。</w:t>
      </w:r>
    </w:p>
    <w:p w14:paraId="51F4BAC2">
      <w:pPr>
        <w:pStyle w:val="20"/>
        <w:spacing w:line="360" w:lineRule="auto"/>
        <w:ind w:right="121" w:firstLine="480" w:firstLineChars="200"/>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4.采购人将根据评审结果与中选人签订合同。</w:t>
      </w:r>
    </w:p>
    <w:p w14:paraId="34AD73FA">
      <w:pPr>
        <w:spacing w:before="15" w:line="360" w:lineRule="auto"/>
        <w:ind w:firstLine="458" w:firstLineChars="200"/>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四</w:t>
      </w:r>
      <w:r>
        <w:rPr>
          <w:rFonts w:ascii="仿宋" w:hAnsi="仿宋" w:eastAsia="仿宋"/>
          <w:b/>
          <w:color w:val="auto"/>
          <w:w w:val="95"/>
          <w:sz w:val="24"/>
          <w:szCs w:val="24"/>
          <w:highlight w:val="none"/>
          <w:lang w:eastAsia="zh-CN"/>
        </w:rPr>
        <w:t>、以下情况作废选处理</w:t>
      </w:r>
    </w:p>
    <w:p w14:paraId="7D470CF1">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1.实质性响应要求的内容未按规定由参比人签名或加盖公章的；</w:t>
      </w:r>
    </w:p>
    <w:p w14:paraId="29C87290">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2.未按照采购文件要求提交参比保证金的；</w:t>
      </w:r>
    </w:p>
    <w:p w14:paraId="09DFBF47">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3.参比人不符合采购文件规定的资格条件；</w:t>
      </w:r>
    </w:p>
    <w:p w14:paraId="67B9CCC6">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4.</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文件存在重大偏差的</w:t>
      </w:r>
      <w:r>
        <w:rPr>
          <w:rFonts w:hint="eastAsia" w:ascii="仿宋" w:hAnsi="仿宋" w:eastAsia="仿宋"/>
          <w:color w:val="auto"/>
          <w:sz w:val="24"/>
          <w:szCs w:val="24"/>
          <w:highlight w:val="none"/>
          <w:lang w:eastAsia="zh-CN"/>
        </w:rPr>
        <w:t>，不能满足完成本项目采购的相关要求，不能响应比选文件实质性要求的；</w:t>
      </w:r>
    </w:p>
    <w:p w14:paraId="5DF1BACB">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5.违反规定影响开评审工作或采取其他方式对采购人施加影响的。</w:t>
      </w:r>
    </w:p>
    <w:p w14:paraId="1D97E90C">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6.参比人串标、相互勾结故意压低标价以排挤竞争对手的公平竞争的，其参比无效。 </w:t>
      </w:r>
    </w:p>
    <w:p w14:paraId="67D42907">
      <w:pPr>
        <w:rPr>
          <w:rFonts w:ascii="仿宋" w:hAnsi="仿宋" w:eastAsia="仿宋"/>
          <w:color w:val="auto"/>
          <w:sz w:val="24"/>
          <w:szCs w:val="24"/>
          <w:highlight w:val="none"/>
          <w:lang w:eastAsia="zh-CN"/>
        </w:rPr>
      </w:pPr>
    </w:p>
    <w:p w14:paraId="2E416AC5">
      <w:pPr>
        <w:spacing w:before="15" w:line="360" w:lineRule="auto"/>
        <w:jc w:val="center"/>
        <w:rPr>
          <w:rFonts w:ascii="仿宋" w:hAnsi="仿宋" w:eastAsia="仿宋"/>
          <w:b/>
          <w:color w:val="auto"/>
          <w:w w:val="95"/>
          <w:sz w:val="30"/>
          <w:szCs w:val="30"/>
          <w:highlight w:val="none"/>
          <w:lang w:eastAsia="zh-CN"/>
        </w:rPr>
      </w:pPr>
    </w:p>
    <w:p w14:paraId="65698602">
      <w:pPr>
        <w:spacing w:before="15" w:line="360" w:lineRule="auto"/>
        <w:jc w:val="center"/>
        <w:rPr>
          <w:rFonts w:ascii="仿宋" w:hAnsi="仿宋" w:eastAsia="仿宋"/>
          <w:b/>
          <w:color w:val="auto"/>
          <w:w w:val="95"/>
          <w:sz w:val="30"/>
          <w:szCs w:val="30"/>
          <w:highlight w:val="none"/>
          <w:lang w:eastAsia="zh-CN"/>
        </w:rPr>
      </w:pPr>
    </w:p>
    <w:p w14:paraId="7B8D3B41">
      <w:pPr>
        <w:spacing w:before="15" w:line="360" w:lineRule="auto"/>
        <w:jc w:val="center"/>
        <w:rPr>
          <w:rFonts w:ascii="仿宋" w:hAnsi="仿宋" w:eastAsia="仿宋"/>
          <w:b/>
          <w:color w:val="auto"/>
          <w:w w:val="95"/>
          <w:sz w:val="30"/>
          <w:szCs w:val="30"/>
          <w:highlight w:val="none"/>
          <w:lang w:eastAsia="zh-CN"/>
        </w:rPr>
      </w:pPr>
    </w:p>
    <w:p w14:paraId="3DD1E687">
      <w:pPr>
        <w:spacing w:before="15" w:line="360" w:lineRule="auto"/>
        <w:jc w:val="center"/>
        <w:rPr>
          <w:rFonts w:ascii="仿宋" w:hAnsi="仿宋" w:eastAsia="仿宋"/>
          <w:b/>
          <w:color w:val="auto"/>
          <w:w w:val="95"/>
          <w:sz w:val="30"/>
          <w:szCs w:val="30"/>
          <w:highlight w:val="none"/>
          <w:lang w:eastAsia="zh-CN"/>
        </w:rPr>
      </w:pPr>
    </w:p>
    <w:p w14:paraId="77151B3D">
      <w:pPr>
        <w:spacing w:before="15" w:line="360" w:lineRule="auto"/>
        <w:jc w:val="center"/>
        <w:rPr>
          <w:rFonts w:ascii="仿宋" w:hAnsi="仿宋" w:eastAsia="仿宋"/>
          <w:b/>
          <w:color w:val="auto"/>
          <w:w w:val="95"/>
          <w:sz w:val="30"/>
          <w:szCs w:val="30"/>
          <w:highlight w:val="none"/>
          <w:lang w:eastAsia="zh-CN"/>
        </w:rPr>
      </w:pPr>
    </w:p>
    <w:p w14:paraId="6F23FB7E">
      <w:pPr>
        <w:spacing w:before="15" w:line="360" w:lineRule="auto"/>
        <w:jc w:val="center"/>
        <w:rPr>
          <w:rFonts w:ascii="仿宋" w:hAnsi="仿宋" w:eastAsia="仿宋"/>
          <w:b/>
          <w:color w:val="auto"/>
          <w:w w:val="95"/>
          <w:sz w:val="30"/>
          <w:szCs w:val="30"/>
          <w:highlight w:val="none"/>
          <w:lang w:eastAsia="zh-CN"/>
        </w:rPr>
      </w:pPr>
    </w:p>
    <w:p w14:paraId="6ACC4C07">
      <w:pPr>
        <w:spacing w:before="15" w:line="360" w:lineRule="auto"/>
        <w:jc w:val="center"/>
        <w:rPr>
          <w:rFonts w:ascii="仿宋" w:hAnsi="仿宋" w:eastAsia="仿宋"/>
          <w:b/>
          <w:color w:val="auto"/>
          <w:w w:val="95"/>
          <w:sz w:val="30"/>
          <w:szCs w:val="30"/>
          <w:highlight w:val="none"/>
          <w:lang w:eastAsia="zh-CN"/>
        </w:rPr>
      </w:pPr>
    </w:p>
    <w:p w14:paraId="0D0736F9">
      <w:pPr>
        <w:spacing w:before="15" w:line="360" w:lineRule="auto"/>
        <w:jc w:val="center"/>
        <w:rPr>
          <w:rFonts w:ascii="仿宋" w:hAnsi="仿宋" w:eastAsia="仿宋"/>
          <w:b/>
          <w:color w:val="auto"/>
          <w:w w:val="95"/>
          <w:sz w:val="30"/>
          <w:szCs w:val="30"/>
          <w:highlight w:val="none"/>
          <w:lang w:eastAsia="zh-CN"/>
        </w:r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9"/>
          <w:rFonts w:hint="eastAsia" w:ascii="仿宋" w:hAnsi="仿宋" w:eastAsia="仿宋"/>
          <w:color w:val="auto"/>
          <w:sz w:val="24"/>
          <w:szCs w:val="24"/>
          <w:highlight w:val="none"/>
          <w:lang w:eastAsia="zh-CN"/>
        </w:rPr>
        <w:t>福建福海创石油化工有限公司</w:t>
      </w:r>
      <w:r>
        <w:rPr>
          <w:rStyle w:val="49"/>
          <w:rFonts w:hint="eastAsia" w:ascii="仿宋" w:hAnsi="仿宋" w:eastAsia="仿宋"/>
          <w:i/>
          <w:iCs/>
          <w:color w:val="auto"/>
          <w:sz w:val="24"/>
          <w:szCs w:val="24"/>
          <w:highlight w:val="none"/>
          <w:lang w:eastAsia="zh-CN"/>
        </w:rPr>
        <w:t>指定由</w:t>
      </w:r>
      <w:r>
        <w:rPr>
          <w:rStyle w:val="49"/>
          <w:rFonts w:ascii="仿宋" w:hAnsi="仿宋" w:eastAsia="仿宋"/>
          <w:i/>
          <w:iCs/>
          <w:color w:val="auto"/>
          <w:sz w:val="24"/>
          <w:szCs w:val="24"/>
          <w:highlight w:val="none"/>
          <w:lang w:eastAsia="zh-CN"/>
        </w:rPr>
        <w:t>其</w:t>
      </w:r>
      <w:r>
        <w:rPr>
          <w:rStyle w:val="49"/>
          <w:rFonts w:hint="eastAsia" w:ascii="仿宋" w:hAnsi="仿宋" w:eastAsia="仿宋"/>
          <w:i/>
          <w:iCs/>
          <w:color w:val="auto"/>
          <w:sz w:val="24"/>
          <w:szCs w:val="24"/>
          <w:highlight w:val="none"/>
          <w:lang w:val="en-US" w:eastAsia="zh-CN"/>
        </w:rPr>
        <w:t>及其</w:t>
      </w:r>
      <w:r>
        <w:rPr>
          <w:rStyle w:val="49"/>
          <w:rFonts w:hint="eastAsia" w:ascii="仿宋" w:hAnsi="仿宋" w:eastAsia="仿宋"/>
          <w:i/>
          <w:iCs/>
          <w:color w:val="auto"/>
          <w:sz w:val="24"/>
          <w:szCs w:val="24"/>
          <w:highlight w:val="none"/>
          <w:lang w:eastAsia="zh-CN"/>
        </w:rPr>
        <w:t>权属子公司“</w:t>
      </w:r>
      <w:r>
        <w:rPr>
          <w:rStyle w:val="49"/>
          <w:rFonts w:hint="eastAsia" w:ascii="仿宋" w:hAnsi="仿宋" w:eastAsia="仿宋"/>
          <w:i/>
          <w:iCs/>
          <w:color w:val="auto"/>
          <w:sz w:val="24"/>
          <w:szCs w:val="24"/>
          <w:highlight w:val="none"/>
          <w:lang w:val="en-US" w:eastAsia="zh-CN"/>
        </w:rPr>
        <w:t>腾龙芳烃</w:t>
      </w:r>
      <w:r>
        <w:rPr>
          <w:rStyle w:val="49"/>
          <w:rFonts w:hint="eastAsia" w:ascii="仿宋" w:hAnsi="仿宋" w:eastAsia="仿宋"/>
          <w:i/>
          <w:iCs/>
          <w:color w:val="auto"/>
          <w:sz w:val="24"/>
          <w:szCs w:val="24"/>
          <w:highlight w:val="none"/>
          <w:lang w:eastAsia="zh-CN"/>
        </w:rPr>
        <w:t>（漳州）有限公司”、“</w:t>
      </w:r>
      <w:r>
        <w:rPr>
          <w:rStyle w:val="49"/>
          <w:rFonts w:hint="eastAsia" w:ascii="仿宋" w:hAnsi="仿宋" w:eastAsia="仿宋" w:cs="Times New Roman"/>
          <w:i/>
          <w:iCs/>
          <w:color w:val="auto"/>
          <w:sz w:val="24"/>
          <w:szCs w:val="24"/>
          <w:highlight w:val="none"/>
          <w:lang w:val="en-US" w:eastAsia="zh-CN"/>
        </w:rPr>
        <w:t>翔鹭码头投资管理（漳州）有限公司</w:t>
      </w:r>
      <w:r>
        <w:rPr>
          <w:rStyle w:val="49"/>
          <w:rFonts w:hint="default" w:ascii="仿宋" w:hAnsi="仿宋" w:eastAsia="仿宋" w:cs="Times New Roman"/>
          <w:i/>
          <w:iCs/>
          <w:color w:val="auto"/>
          <w:sz w:val="24"/>
          <w:szCs w:val="24"/>
          <w:highlight w:val="none"/>
          <w:lang w:val="en-US" w:eastAsia="zh-CN"/>
        </w:rPr>
        <w:t>”</w:t>
      </w:r>
      <w:r>
        <w:rPr>
          <w:rStyle w:val="49"/>
          <w:rFonts w:hint="eastAsia" w:ascii="仿宋" w:hAnsi="仿宋" w:eastAsia="仿宋" w:cs="Times New Roman"/>
          <w:i/>
          <w:iCs/>
          <w:color w:val="auto"/>
          <w:sz w:val="24"/>
          <w:szCs w:val="24"/>
          <w:highlight w:val="none"/>
          <w:lang w:val="en-US" w:eastAsia="zh-CN"/>
        </w:rPr>
        <w:t>、“</w:t>
      </w:r>
      <w:r>
        <w:rPr>
          <w:rStyle w:val="49"/>
          <w:rFonts w:hint="eastAsia" w:ascii="仿宋" w:hAnsi="仿宋" w:eastAsia="仿宋"/>
          <w:i/>
          <w:iCs/>
          <w:color w:val="auto"/>
          <w:sz w:val="24"/>
          <w:szCs w:val="24"/>
          <w:highlight w:val="none"/>
          <w:lang w:val="en-US" w:eastAsia="zh-CN"/>
        </w:rPr>
        <w:t>福建省福化古蕾化学有限公司</w:t>
      </w:r>
      <w:r>
        <w:rPr>
          <w:rStyle w:val="49"/>
          <w:rFonts w:hint="default" w:ascii="仿宋" w:hAnsi="仿宋" w:eastAsia="仿宋"/>
          <w:i/>
          <w:iCs/>
          <w:color w:val="auto"/>
          <w:sz w:val="24"/>
          <w:szCs w:val="24"/>
          <w:highlight w:val="none"/>
          <w:lang w:val="en-US" w:eastAsia="zh-CN"/>
        </w:rPr>
        <w:t>”</w:t>
      </w:r>
      <w:r>
        <w:rPr>
          <w:rStyle w:val="49"/>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6" w:type="default"/>
          <w:pgSz w:w="11910" w:h="16840"/>
          <w:pgMar w:top="1500" w:right="1020" w:bottom="1174" w:left="1185" w:header="0" w:footer="794" w:gutter="0"/>
          <w:pgNumType w:fmt="decimal" w:start="6"/>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76FAC0CD">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32A3FE17">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1FDA2598">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3E90CB9">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71CB217A">
      <w:pPr>
        <w:pStyle w:val="2"/>
        <w:tabs>
          <w:tab w:val="left" w:pos="1912"/>
        </w:tabs>
        <w:spacing w:line="355" w:lineRule="exact"/>
        <w:ind w:left="0" w:leftChars="0" w:firstLine="0" w:firstLineChars="0"/>
        <w:jc w:val="center"/>
        <w:rPr>
          <w:rFonts w:ascii="仿宋" w:hAnsi="仿宋" w:eastAsia="仿宋" w:cstheme="minorBidi"/>
          <w:b/>
          <w:bCs w:val="0"/>
          <w:color w:val="auto"/>
          <w:w w:val="95"/>
          <w:kern w:val="2"/>
          <w:sz w:val="30"/>
          <w:szCs w:val="30"/>
          <w:highlight w:val="none"/>
          <w:lang w:val="en-US" w:eastAsia="zh-CN" w:bidi="ar-SA"/>
        </w:rPr>
      </w:pPr>
      <w:r>
        <w:rPr>
          <w:rFonts w:hint="eastAsia" w:ascii="仿宋" w:hAnsi="仿宋" w:eastAsia="仿宋" w:cstheme="minorBidi"/>
          <w:b/>
          <w:bCs w:val="0"/>
          <w:color w:val="auto"/>
          <w:w w:val="95"/>
          <w:kern w:val="2"/>
          <w:sz w:val="30"/>
          <w:szCs w:val="30"/>
          <w:highlight w:val="none"/>
          <w:lang w:val="en-US" w:eastAsia="zh-CN" w:bidi="ar-SA"/>
        </w:rPr>
        <w:t>第八章  采购内容及要求</w:t>
      </w:r>
    </w:p>
    <w:p w14:paraId="18D028C1">
      <w:pPr>
        <w:spacing w:line="360" w:lineRule="auto"/>
        <w:rPr>
          <w:rFonts w:hint="eastAsia"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一、</w:t>
      </w:r>
      <w:r>
        <w:rPr>
          <w:rFonts w:hint="eastAsia" w:ascii="仿宋" w:hAnsi="仿宋" w:eastAsia="仿宋"/>
          <w:b/>
          <w:color w:val="auto"/>
          <w:w w:val="95"/>
          <w:sz w:val="28"/>
          <w:szCs w:val="28"/>
          <w:highlight w:val="none"/>
          <w:lang w:eastAsia="zh-CN"/>
        </w:rPr>
        <w:t>采购内容一览表</w:t>
      </w:r>
    </w:p>
    <w:tbl>
      <w:tblPr>
        <w:tblStyle w:val="47"/>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4967"/>
        <w:gridCol w:w="2438"/>
      </w:tblGrid>
      <w:tr w14:paraId="123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0BA794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序号</w:t>
            </w:r>
          </w:p>
        </w:tc>
        <w:tc>
          <w:tcPr>
            <w:tcW w:w="4967" w:type="dxa"/>
            <w:vAlign w:val="top"/>
          </w:tcPr>
          <w:p w14:paraId="5749C3D1">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项目</w:t>
            </w:r>
          </w:p>
        </w:tc>
        <w:tc>
          <w:tcPr>
            <w:tcW w:w="2438" w:type="dxa"/>
            <w:vAlign w:val="top"/>
          </w:tcPr>
          <w:p w14:paraId="0B223508">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单项控制价格（万元）</w:t>
            </w:r>
          </w:p>
        </w:tc>
      </w:tr>
      <w:tr w14:paraId="0B48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EF1E6A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4967" w:type="dxa"/>
            <w:vAlign w:val="top"/>
          </w:tcPr>
          <w:p w14:paraId="261D101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2026年翔鹭码头职业病危害因素定期检测</w:t>
            </w:r>
          </w:p>
        </w:tc>
        <w:tc>
          <w:tcPr>
            <w:tcW w:w="2438" w:type="dxa"/>
            <w:vAlign w:val="top"/>
          </w:tcPr>
          <w:p w14:paraId="657BA6E3">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0.80</w:t>
            </w:r>
          </w:p>
        </w:tc>
      </w:tr>
      <w:tr w14:paraId="396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FA0D052">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w:t>
            </w:r>
          </w:p>
        </w:tc>
        <w:tc>
          <w:tcPr>
            <w:tcW w:w="4967" w:type="dxa"/>
            <w:vAlign w:val="top"/>
          </w:tcPr>
          <w:p w14:paraId="3FD1275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2026年古蕾化学职业病危害因素定期检测</w:t>
            </w:r>
          </w:p>
        </w:tc>
        <w:tc>
          <w:tcPr>
            <w:tcW w:w="2438" w:type="dxa"/>
            <w:vAlign w:val="top"/>
          </w:tcPr>
          <w:p w14:paraId="5585353E">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3.00</w:t>
            </w:r>
          </w:p>
        </w:tc>
      </w:tr>
      <w:tr w14:paraId="0B96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1C55C04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w:t>
            </w:r>
          </w:p>
        </w:tc>
        <w:tc>
          <w:tcPr>
            <w:tcW w:w="4967" w:type="dxa"/>
            <w:vAlign w:val="top"/>
          </w:tcPr>
          <w:p w14:paraId="25A0C28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2026年腾龙芳烃职业病危害因素定期检测</w:t>
            </w:r>
          </w:p>
        </w:tc>
        <w:tc>
          <w:tcPr>
            <w:tcW w:w="2438" w:type="dxa"/>
            <w:vAlign w:val="top"/>
          </w:tcPr>
          <w:p w14:paraId="269425D7">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12.00</w:t>
            </w:r>
          </w:p>
        </w:tc>
      </w:tr>
      <w:tr w14:paraId="7669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334DA5F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4</w:t>
            </w:r>
          </w:p>
        </w:tc>
        <w:tc>
          <w:tcPr>
            <w:tcW w:w="4967" w:type="dxa"/>
            <w:vAlign w:val="top"/>
          </w:tcPr>
          <w:p w14:paraId="6EB1783C">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2026年福海创职业病危害因素定期检测</w:t>
            </w:r>
          </w:p>
        </w:tc>
        <w:tc>
          <w:tcPr>
            <w:tcW w:w="2438" w:type="dxa"/>
            <w:vAlign w:val="top"/>
          </w:tcPr>
          <w:p w14:paraId="24BAAAE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6.00</w:t>
            </w:r>
          </w:p>
        </w:tc>
      </w:tr>
      <w:tr w14:paraId="3BF5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3F846E7B">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5</w:t>
            </w:r>
          </w:p>
        </w:tc>
        <w:tc>
          <w:tcPr>
            <w:tcW w:w="4967" w:type="dxa"/>
            <w:vAlign w:val="top"/>
          </w:tcPr>
          <w:p w14:paraId="2ABE922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2026年上半年腾龙芳烃高毒控制效果评价</w:t>
            </w:r>
          </w:p>
        </w:tc>
        <w:tc>
          <w:tcPr>
            <w:tcW w:w="2438" w:type="dxa"/>
            <w:vAlign w:val="top"/>
          </w:tcPr>
          <w:p w14:paraId="6B6FD3A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14.00</w:t>
            </w:r>
          </w:p>
        </w:tc>
      </w:tr>
      <w:tr w14:paraId="24C2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707BC0D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w:t>
            </w:r>
          </w:p>
        </w:tc>
        <w:tc>
          <w:tcPr>
            <w:tcW w:w="4967" w:type="dxa"/>
            <w:vAlign w:val="top"/>
          </w:tcPr>
          <w:p w14:paraId="6B534CB8">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2026年下半年腾龙芳烃高毒控制效果评价</w:t>
            </w:r>
          </w:p>
        </w:tc>
        <w:tc>
          <w:tcPr>
            <w:tcW w:w="2438" w:type="dxa"/>
            <w:vAlign w:val="top"/>
          </w:tcPr>
          <w:p w14:paraId="7A1E12BA">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14.00</w:t>
            </w:r>
          </w:p>
        </w:tc>
      </w:tr>
      <w:tr w14:paraId="7331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A0E7D4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7</w:t>
            </w:r>
          </w:p>
        </w:tc>
        <w:tc>
          <w:tcPr>
            <w:tcW w:w="4967" w:type="dxa"/>
            <w:vAlign w:val="top"/>
          </w:tcPr>
          <w:p w14:paraId="6C0DEB2F">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2026年上半年福海创高毒控制效果评价</w:t>
            </w:r>
          </w:p>
        </w:tc>
        <w:tc>
          <w:tcPr>
            <w:tcW w:w="2438" w:type="dxa"/>
            <w:vAlign w:val="top"/>
          </w:tcPr>
          <w:p w14:paraId="3F4C8B6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6.00</w:t>
            </w:r>
          </w:p>
        </w:tc>
      </w:tr>
      <w:tr w14:paraId="7FF4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vAlign w:val="top"/>
          </w:tcPr>
          <w:p w14:paraId="5AB1AD48">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8</w:t>
            </w:r>
          </w:p>
        </w:tc>
        <w:tc>
          <w:tcPr>
            <w:tcW w:w="4967" w:type="dxa"/>
            <w:shd w:val="clear" w:color="auto" w:fill="auto"/>
            <w:vAlign w:val="top"/>
          </w:tcPr>
          <w:p w14:paraId="0586FC7B">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2026年下半年福海创高毒控制效果评价</w:t>
            </w:r>
          </w:p>
        </w:tc>
        <w:tc>
          <w:tcPr>
            <w:tcW w:w="2438" w:type="dxa"/>
            <w:shd w:val="clear" w:color="auto" w:fill="auto"/>
            <w:vAlign w:val="top"/>
          </w:tcPr>
          <w:p w14:paraId="6874055D">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6.00</w:t>
            </w:r>
          </w:p>
        </w:tc>
      </w:tr>
      <w:tr w14:paraId="3180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8" w:type="dxa"/>
            <w:gridSpan w:val="3"/>
            <w:shd w:val="clear" w:color="auto" w:fill="auto"/>
            <w:vAlign w:val="top"/>
          </w:tcPr>
          <w:p w14:paraId="2B8679D6">
            <w:pPr>
              <w:autoSpaceDE w:val="0"/>
              <w:autoSpaceDN w:val="0"/>
              <w:adjustRightInd w:val="0"/>
              <w:spacing w:line="360" w:lineRule="auto"/>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备注：1.</w:t>
            </w:r>
            <w:r>
              <w:rPr>
                <w:rFonts w:hint="eastAsia" w:ascii="仿宋" w:hAnsi="仿宋" w:eastAsia="仿宋" w:cs="宋体"/>
                <w:b/>
                <w:bCs/>
                <w:color w:val="auto"/>
                <w:kern w:val="0"/>
                <w:sz w:val="24"/>
                <w:szCs w:val="24"/>
                <w:highlight w:val="none"/>
                <w:lang w:val="en-US" w:eastAsia="zh-CN" w:bidi="ar-SA"/>
              </w:rPr>
              <w:t>单项报价不可超单项控制价。</w:t>
            </w:r>
          </w:p>
          <w:p w14:paraId="3EE6B30F">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 xml:space="preserve">      2.报价需包含相关的住宿、交通、餐饮、快递、保险费等一切相关费用。</w:t>
            </w:r>
          </w:p>
        </w:tc>
      </w:tr>
    </w:tbl>
    <w:p w14:paraId="1DE39DE8">
      <w:pPr>
        <w:pStyle w:val="10"/>
        <w:rPr>
          <w:color w:val="auto"/>
          <w:highlight w:val="none"/>
        </w:rPr>
      </w:pPr>
    </w:p>
    <w:p w14:paraId="3E4219D4">
      <w:pPr>
        <w:numPr>
          <w:ilvl w:val="0"/>
          <w:numId w:val="9"/>
        </w:numPr>
        <w:spacing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rFonts w:hint="eastAsia" w:ascii="宋体" w:hAnsi="宋体" w:eastAsia="宋体" w:cs="宋体"/>
          <w:color w:val="auto"/>
          <w:sz w:val="28"/>
          <w:szCs w:val="28"/>
          <w:highlight w:val="none"/>
        </w:rPr>
      </w:pPr>
      <w:r>
        <w:rPr>
          <w:rFonts w:hint="eastAsia"/>
          <w:color w:val="auto"/>
          <w:highlight w:val="none"/>
        </w:rPr>
        <w:t xml:space="preserve"> </w:t>
      </w:r>
      <w:r>
        <w:rPr>
          <w:rFonts w:hint="eastAsia" w:ascii="宋体" w:hAnsi="宋体" w:eastAsia="宋体" w:cs="宋体"/>
          <w:color w:val="auto"/>
          <w:sz w:val="28"/>
          <w:szCs w:val="28"/>
          <w:highlight w:val="none"/>
        </w:rPr>
        <w:t xml:space="preserve">  </w:t>
      </w:r>
      <w:r>
        <w:rPr>
          <w:rFonts w:hint="eastAsia" w:ascii="仿宋" w:hAnsi="仿宋" w:eastAsia="仿宋" w:cs="宋体"/>
          <w:color w:val="auto"/>
          <w:kern w:val="0"/>
          <w:sz w:val="24"/>
          <w:szCs w:val="24"/>
          <w:highlight w:val="none"/>
          <w:lang w:val="en-US" w:eastAsia="zh-CN" w:bidi="ar-SA"/>
        </w:rPr>
        <w:t>详见附件1 《2026年度职业病危害因素检测评价发包方案》。</w:t>
      </w:r>
    </w:p>
    <w:p w14:paraId="153306C6">
      <w:pPr>
        <w:pStyle w:val="197"/>
      </w:pPr>
      <w:r>
        <w:br w:type="page"/>
      </w:r>
      <w:bookmarkStart w:id="1" w:name="_Toc25532"/>
      <w:bookmarkStart w:id="2" w:name="_Toc4851"/>
      <w:bookmarkStart w:id="3" w:name="_Toc30925"/>
      <w:bookmarkStart w:id="4" w:name="_Toc21236"/>
      <w:bookmarkStart w:id="5" w:name="_Toc430292836"/>
      <w:bookmarkStart w:id="6" w:name="_Toc14955"/>
      <w:bookmarkStart w:id="7" w:name="_Toc17163"/>
      <w:bookmarkStart w:id="8" w:name="_Toc251742852"/>
    </w:p>
    <w:p w14:paraId="293C4F6E">
      <w:pPr>
        <w:pStyle w:val="197"/>
      </w:pPr>
    </w:p>
    <w:p w14:paraId="5611F02E">
      <w:pPr>
        <w:pStyle w:val="197"/>
      </w:pPr>
    </w:p>
    <w:p w14:paraId="5A55B4E6">
      <w:pPr>
        <w:pStyle w:val="197"/>
        <w:rPr>
          <w:rFonts w:ascii="宋体" w:eastAsia="宋体"/>
          <w:sz w:val="36"/>
          <w:szCs w:val="36"/>
        </w:rPr>
      </w:pPr>
      <w:r>
        <w:rPr>
          <w:rFonts w:hint="eastAsia" w:ascii="宋体" w:eastAsia="宋体"/>
          <w:sz w:val="36"/>
          <w:szCs w:val="36"/>
        </w:rPr>
        <w:t>附件一、  合同书格式</w:t>
      </w:r>
      <w:bookmarkEnd w:id="1"/>
      <w:bookmarkEnd w:id="2"/>
      <w:bookmarkEnd w:id="3"/>
      <w:bookmarkEnd w:id="4"/>
      <w:bookmarkEnd w:id="5"/>
      <w:bookmarkEnd w:id="6"/>
      <w:bookmarkEnd w:id="7"/>
    </w:p>
    <w:p w14:paraId="7F29C8E9">
      <w:pPr>
        <w:spacing w:line="600" w:lineRule="exact"/>
        <w:jc w:val="center"/>
        <w:rPr>
          <w:rFonts w:ascii="宋体" w:hAnsi="宋体"/>
          <w:sz w:val="24"/>
          <w:szCs w:val="24"/>
        </w:rPr>
      </w:pPr>
      <w:r>
        <w:rPr>
          <w:rFonts w:hint="eastAsia" w:ascii="宋体" w:hAnsi="宋体" w:cs="宋体"/>
          <w:sz w:val="28"/>
          <w:szCs w:val="28"/>
        </w:rPr>
        <w:t>（由采购人另册提供）</w:t>
      </w:r>
    </w:p>
    <w:p w14:paraId="6D6C0E69">
      <w:pPr>
        <w:pStyle w:val="20"/>
        <w:spacing w:line="360" w:lineRule="auto"/>
        <w:ind w:left="215"/>
        <w:rPr>
          <w:b/>
          <w:bCs/>
          <w:lang w:eastAsia="zh-CN"/>
        </w:rPr>
      </w:pPr>
    </w:p>
    <w:p w14:paraId="0C5FDA88">
      <w:pPr>
        <w:pStyle w:val="20"/>
        <w:spacing w:line="360" w:lineRule="auto"/>
        <w:ind w:left="215"/>
        <w:rPr>
          <w:b/>
          <w:bCs/>
          <w:lang w:eastAsia="zh-CN"/>
        </w:rPr>
      </w:pPr>
    </w:p>
    <w:p w14:paraId="59A17533">
      <w:pPr>
        <w:pStyle w:val="20"/>
        <w:spacing w:line="360" w:lineRule="auto"/>
        <w:ind w:left="215"/>
        <w:rPr>
          <w:b/>
          <w:bCs/>
          <w:lang w:eastAsia="zh-CN"/>
        </w:rPr>
      </w:pPr>
    </w:p>
    <w:p w14:paraId="1A5F2205">
      <w:pPr>
        <w:pStyle w:val="20"/>
        <w:spacing w:line="360" w:lineRule="auto"/>
        <w:ind w:left="215"/>
        <w:rPr>
          <w:b/>
          <w:bCs/>
          <w:lang w:eastAsia="zh-CN"/>
        </w:rPr>
      </w:pPr>
      <w:r>
        <w:rPr>
          <w:b/>
          <w:bCs/>
          <w:lang w:eastAsia="zh-CN"/>
        </w:rPr>
        <w:t xml:space="preserve"> </w:t>
      </w:r>
    </w:p>
    <w:p w14:paraId="1EBA7FA1">
      <w:pPr>
        <w:pStyle w:val="20"/>
        <w:spacing w:line="360" w:lineRule="auto"/>
        <w:ind w:left="215"/>
        <w:rPr>
          <w:b/>
          <w:bCs/>
          <w:lang w:eastAsia="zh-CN"/>
        </w:rPr>
      </w:pPr>
    </w:p>
    <w:p w14:paraId="3D41D1D1">
      <w:pPr>
        <w:pStyle w:val="20"/>
        <w:spacing w:line="360" w:lineRule="auto"/>
        <w:ind w:left="215"/>
        <w:rPr>
          <w:b/>
          <w:bCs/>
          <w:lang w:eastAsia="zh-CN"/>
        </w:rPr>
      </w:pPr>
    </w:p>
    <w:p w14:paraId="3DC67039">
      <w:pPr>
        <w:pStyle w:val="20"/>
        <w:spacing w:line="360" w:lineRule="auto"/>
        <w:ind w:left="215"/>
        <w:rPr>
          <w:b/>
          <w:bCs/>
          <w:lang w:eastAsia="zh-CN"/>
        </w:rPr>
      </w:pPr>
    </w:p>
    <w:p w14:paraId="307FCAEC">
      <w:pPr>
        <w:pStyle w:val="20"/>
        <w:spacing w:line="360" w:lineRule="auto"/>
        <w:ind w:left="215"/>
        <w:rPr>
          <w:b/>
          <w:bCs/>
          <w:lang w:eastAsia="zh-CN"/>
        </w:rPr>
      </w:pPr>
    </w:p>
    <w:p w14:paraId="329081F0">
      <w:pPr>
        <w:pStyle w:val="20"/>
        <w:spacing w:line="360" w:lineRule="auto"/>
        <w:ind w:left="215"/>
        <w:rPr>
          <w:b/>
          <w:bCs/>
          <w:lang w:eastAsia="zh-CN"/>
        </w:rPr>
      </w:pPr>
    </w:p>
    <w:p w14:paraId="553AD29F">
      <w:pPr>
        <w:pStyle w:val="20"/>
        <w:spacing w:line="360" w:lineRule="auto"/>
        <w:ind w:left="215"/>
        <w:rPr>
          <w:b/>
          <w:bCs/>
          <w:lang w:eastAsia="zh-CN"/>
        </w:rPr>
      </w:pPr>
    </w:p>
    <w:p w14:paraId="21FE3D63">
      <w:pPr>
        <w:pStyle w:val="20"/>
        <w:spacing w:line="360" w:lineRule="auto"/>
        <w:ind w:left="215"/>
        <w:rPr>
          <w:b/>
          <w:bCs/>
          <w:lang w:eastAsia="zh-CN"/>
        </w:rPr>
      </w:pPr>
    </w:p>
    <w:p w14:paraId="25B8C790">
      <w:pPr>
        <w:pStyle w:val="20"/>
        <w:spacing w:line="360" w:lineRule="auto"/>
        <w:ind w:left="215"/>
        <w:rPr>
          <w:b/>
          <w:bCs/>
          <w:lang w:eastAsia="zh-CN"/>
        </w:rPr>
      </w:pPr>
    </w:p>
    <w:p w14:paraId="71E5565F">
      <w:pPr>
        <w:pStyle w:val="20"/>
        <w:spacing w:line="360" w:lineRule="auto"/>
        <w:ind w:left="215"/>
        <w:rPr>
          <w:b/>
          <w:bCs/>
          <w:lang w:eastAsia="zh-CN"/>
        </w:rPr>
      </w:pPr>
    </w:p>
    <w:p w14:paraId="7F6BE74A">
      <w:pPr>
        <w:pStyle w:val="20"/>
        <w:spacing w:line="360" w:lineRule="auto"/>
        <w:ind w:left="215"/>
        <w:rPr>
          <w:b/>
          <w:bCs/>
          <w:lang w:eastAsia="zh-CN"/>
        </w:rPr>
      </w:pPr>
    </w:p>
    <w:p w14:paraId="6D74C244">
      <w:pPr>
        <w:pStyle w:val="20"/>
        <w:spacing w:line="360" w:lineRule="auto"/>
        <w:ind w:left="215"/>
        <w:rPr>
          <w:b/>
          <w:bCs/>
          <w:lang w:eastAsia="zh-CN"/>
        </w:rPr>
      </w:pPr>
    </w:p>
    <w:p w14:paraId="16621134">
      <w:pPr>
        <w:pStyle w:val="20"/>
        <w:spacing w:line="360" w:lineRule="auto"/>
        <w:ind w:left="215"/>
        <w:rPr>
          <w:b/>
          <w:bCs/>
          <w:lang w:eastAsia="zh-CN"/>
        </w:rPr>
      </w:pPr>
    </w:p>
    <w:p w14:paraId="4CAB57BB">
      <w:pPr>
        <w:pStyle w:val="20"/>
        <w:spacing w:line="360" w:lineRule="auto"/>
        <w:ind w:left="215"/>
        <w:rPr>
          <w:b/>
          <w:bCs/>
          <w:lang w:eastAsia="zh-CN"/>
        </w:rPr>
      </w:pPr>
    </w:p>
    <w:p w14:paraId="7268DE66">
      <w:pPr>
        <w:pStyle w:val="20"/>
        <w:spacing w:line="360" w:lineRule="auto"/>
        <w:ind w:left="215"/>
        <w:rPr>
          <w:b/>
          <w:bCs/>
          <w:lang w:eastAsia="zh-CN"/>
        </w:rPr>
      </w:pPr>
    </w:p>
    <w:p w14:paraId="639378BD">
      <w:pPr>
        <w:pStyle w:val="20"/>
        <w:spacing w:line="360" w:lineRule="auto"/>
        <w:ind w:left="215"/>
        <w:rPr>
          <w:b/>
          <w:bCs/>
          <w:lang w:eastAsia="zh-CN"/>
        </w:rPr>
      </w:pPr>
    </w:p>
    <w:p w14:paraId="7B59AC84">
      <w:pPr>
        <w:pStyle w:val="20"/>
        <w:spacing w:line="360" w:lineRule="auto"/>
        <w:ind w:left="215"/>
        <w:rPr>
          <w:b/>
          <w:bCs/>
          <w:lang w:eastAsia="zh-CN"/>
        </w:rPr>
      </w:pPr>
    </w:p>
    <w:p w14:paraId="3FE63F8B">
      <w:pPr>
        <w:pStyle w:val="20"/>
        <w:spacing w:line="360" w:lineRule="auto"/>
        <w:ind w:left="215"/>
        <w:rPr>
          <w:b/>
          <w:bCs/>
          <w:lang w:eastAsia="zh-CN"/>
        </w:rPr>
      </w:pPr>
    </w:p>
    <w:p w14:paraId="1381891F">
      <w:pPr>
        <w:pStyle w:val="20"/>
        <w:spacing w:line="360" w:lineRule="auto"/>
        <w:ind w:left="215"/>
        <w:rPr>
          <w:b/>
          <w:bCs/>
          <w:lang w:eastAsia="zh-CN"/>
        </w:rPr>
      </w:pPr>
    </w:p>
    <w:p w14:paraId="5EBB1D05">
      <w:pPr>
        <w:pStyle w:val="20"/>
        <w:spacing w:line="360" w:lineRule="auto"/>
        <w:ind w:left="215"/>
        <w:rPr>
          <w:b/>
          <w:bCs/>
          <w:lang w:eastAsia="zh-CN"/>
        </w:rPr>
      </w:pPr>
    </w:p>
    <w:p w14:paraId="4B134728">
      <w:pPr>
        <w:pStyle w:val="20"/>
        <w:spacing w:line="360" w:lineRule="auto"/>
        <w:ind w:left="215"/>
        <w:rPr>
          <w:b/>
          <w:bCs/>
          <w:lang w:eastAsia="zh-CN"/>
        </w:rPr>
      </w:pPr>
    </w:p>
    <w:p w14:paraId="05E70E10">
      <w:pPr>
        <w:pStyle w:val="20"/>
        <w:spacing w:line="360" w:lineRule="auto"/>
        <w:ind w:left="215"/>
        <w:rPr>
          <w:b/>
          <w:bCs/>
          <w:lang w:eastAsia="zh-CN"/>
        </w:rPr>
      </w:pPr>
    </w:p>
    <w:p w14:paraId="09EC4D2C">
      <w:pPr>
        <w:pStyle w:val="20"/>
        <w:spacing w:line="360" w:lineRule="auto"/>
        <w:ind w:left="215"/>
        <w:rPr>
          <w:b/>
          <w:bCs/>
          <w:lang w:eastAsia="zh-CN"/>
        </w:rPr>
      </w:pPr>
    </w:p>
    <w:p w14:paraId="7396998E">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B2DC8F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电子拷贝一份（随商务文件包装）。</w:t>
      </w:r>
    </w:p>
    <w:p w14:paraId="06841BB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pict>
          <v:shape id="文本框 2" o:spid="_x0000_s1027"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path/>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4"/>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E040818">
      <w:pPr>
        <w:pStyle w:val="25"/>
        <w:spacing w:line="615" w:lineRule="exact"/>
        <w:jc w:val="center"/>
        <w:rPr>
          <w:rFonts w:ascii="仿宋" w:hAnsi="仿宋" w:eastAsia="仿宋" w:cs="方正小标宋简体"/>
          <w:b/>
          <w:color w:val="auto"/>
          <w:sz w:val="44"/>
          <w:szCs w:val="44"/>
          <w:highlight w:val="none"/>
          <w:lang w:eastAsia="zh-CN"/>
        </w:rPr>
      </w:pPr>
    </w:p>
    <w:p w14:paraId="5042B305">
      <w:pPr>
        <w:pStyle w:val="25"/>
        <w:spacing w:line="615" w:lineRule="exact"/>
        <w:jc w:val="center"/>
        <w:rPr>
          <w:rFonts w:ascii="仿宋" w:hAnsi="仿宋" w:eastAsia="仿宋" w:cs="方正小标宋简体"/>
          <w:b/>
          <w:color w:val="auto"/>
          <w:sz w:val="44"/>
          <w:szCs w:val="44"/>
          <w:highlight w:val="none"/>
          <w:lang w:eastAsia="zh-CN"/>
        </w:rPr>
      </w:pPr>
    </w:p>
    <w:p w14:paraId="78A25C73">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2026年职业病危害检测及评价项目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5"/>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4B461CA5">
      <w:pPr>
        <w:pStyle w:val="25"/>
        <w:rPr>
          <w:rFonts w:ascii="仿宋" w:hAnsi="仿宋" w:eastAsia="仿宋"/>
          <w:color w:val="auto"/>
          <w:highlight w:val="none"/>
          <w:lang w:eastAsia="zh-CN"/>
        </w:rPr>
      </w:pPr>
    </w:p>
    <w:p w14:paraId="1B9F3957">
      <w:pPr>
        <w:pStyle w:val="25"/>
        <w:rPr>
          <w:rFonts w:ascii="仿宋" w:hAnsi="仿宋" w:eastAsia="仿宋"/>
          <w:color w:val="auto"/>
          <w:highlight w:val="none"/>
          <w:lang w:eastAsia="zh-CN"/>
        </w:rPr>
      </w:pPr>
    </w:p>
    <w:p w14:paraId="79DF229E">
      <w:pPr>
        <w:pStyle w:val="25"/>
        <w:rPr>
          <w:rFonts w:ascii="仿宋" w:hAnsi="仿宋" w:eastAsia="仿宋"/>
          <w:color w:val="auto"/>
          <w:highlight w:val="none"/>
          <w:lang w:eastAsia="zh-CN"/>
        </w:rPr>
      </w:pPr>
    </w:p>
    <w:p w14:paraId="2145AE04">
      <w:pPr>
        <w:pStyle w:val="25"/>
        <w:rPr>
          <w:rFonts w:ascii="仿宋" w:hAnsi="仿宋" w:eastAsia="仿宋"/>
          <w:color w:val="auto"/>
          <w:highlight w:val="none"/>
          <w:lang w:eastAsia="zh-CN"/>
        </w:rPr>
      </w:pPr>
    </w:p>
    <w:p w14:paraId="25DBC4E4">
      <w:pPr>
        <w:pStyle w:val="25"/>
        <w:rPr>
          <w:rFonts w:ascii="仿宋" w:hAnsi="仿宋" w:eastAsia="仿宋"/>
          <w:color w:val="auto"/>
          <w:highlight w:val="none"/>
          <w:lang w:eastAsia="zh-CN"/>
        </w:rPr>
      </w:pPr>
    </w:p>
    <w:p w14:paraId="3F779E04">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03</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23B29B0D">
      <w:pPr>
        <w:spacing w:line="1000" w:lineRule="exact"/>
        <w:jc w:val="center"/>
        <w:rPr>
          <w:rFonts w:hint="eastAsia" w:ascii="仿宋" w:hAnsi="仿宋" w:eastAsia="仿宋"/>
          <w:b/>
          <w:color w:val="auto"/>
          <w:sz w:val="44"/>
          <w:szCs w:val="44"/>
          <w:highlight w:val="none"/>
        </w:rPr>
      </w:pPr>
    </w:p>
    <w:p w14:paraId="51FF0891">
      <w:pPr>
        <w:spacing w:line="1000" w:lineRule="exact"/>
        <w:jc w:val="center"/>
        <w:rPr>
          <w:rFonts w:hint="eastAsia" w:ascii="仿宋" w:hAnsi="仿宋" w:eastAsia="仿宋"/>
          <w:b/>
          <w:color w:val="auto"/>
          <w:sz w:val="44"/>
          <w:szCs w:val="44"/>
          <w:highlight w:val="none"/>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55"/>
        <w:rPr>
          <w:rFonts w:ascii="仿宋" w:hAnsi="仿宋" w:eastAsia="仿宋"/>
          <w:b/>
          <w:bCs/>
          <w:color w:val="auto"/>
          <w:sz w:val="36"/>
          <w:szCs w:val="36"/>
          <w:highlight w:val="none"/>
        </w:rPr>
      </w:pPr>
    </w:p>
    <w:p w14:paraId="24A93692">
      <w:pPr>
        <w:pStyle w:val="55"/>
        <w:rPr>
          <w:rFonts w:ascii="仿宋" w:hAnsi="仿宋" w:eastAsia="仿宋"/>
          <w:b/>
          <w:bCs/>
          <w:color w:val="auto"/>
          <w:sz w:val="36"/>
          <w:szCs w:val="36"/>
          <w:highlight w:val="none"/>
        </w:rPr>
      </w:pPr>
    </w:p>
    <w:p w14:paraId="715A53A4">
      <w:pPr>
        <w:pStyle w:val="55"/>
        <w:rPr>
          <w:rFonts w:ascii="仿宋" w:hAnsi="仿宋" w:eastAsia="仿宋"/>
          <w:color w:val="auto"/>
          <w:highlight w:val="none"/>
        </w:rPr>
      </w:pPr>
    </w:p>
    <w:p w14:paraId="2C7B2E1E">
      <w:pPr>
        <w:pStyle w:val="55"/>
        <w:rPr>
          <w:rFonts w:ascii="仿宋" w:hAnsi="仿宋" w:eastAsia="仿宋"/>
          <w:color w:val="auto"/>
          <w:highlight w:val="none"/>
        </w:rPr>
      </w:pPr>
    </w:p>
    <w:p w14:paraId="6F68BEA6">
      <w:pPr>
        <w:pStyle w:val="55"/>
        <w:rPr>
          <w:rFonts w:ascii="仿宋" w:hAnsi="仿宋" w:eastAsia="仿宋"/>
          <w:color w:val="auto"/>
          <w:highlight w:val="none"/>
        </w:rPr>
      </w:pPr>
    </w:p>
    <w:p w14:paraId="4A87C372">
      <w:pPr>
        <w:pStyle w:val="55"/>
        <w:rPr>
          <w:rFonts w:ascii="仿宋" w:hAnsi="仿宋" w:eastAsia="仿宋"/>
          <w:color w:val="auto"/>
          <w:highlight w:val="none"/>
        </w:rPr>
      </w:pPr>
    </w:p>
    <w:p w14:paraId="1450CF80">
      <w:pPr>
        <w:pStyle w:val="55"/>
        <w:rPr>
          <w:rFonts w:ascii="仿宋" w:hAnsi="仿宋" w:eastAsia="仿宋"/>
          <w:color w:val="auto"/>
          <w:highlight w:val="none"/>
        </w:rPr>
      </w:pPr>
    </w:p>
    <w:p w14:paraId="1695EBD7">
      <w:pPr>
        <w:pStyle w:val="55"/>
        <w:rPr>
          <w:rFonts w:ascii="仿宋" w:hAnsi="仿宋" w:eastAsia="仿宋"/>
          <w:color w:val="auto"/>
          <w:highlight w:val="none"/>
        </w:rPr>
      </w:pPr>
    </w:p>
    <w:p w14:paraId="3147B83C">
      <w:pPr>
        <w:pStyle w:val="55"/>
        <w:rPr>
          <w:rFonts w:ascii="仿宋" w:hAnsi="仿宋" w:eastAsia="仿宋"/>
          <w:color w:val="auto"/>
          <w:highlight w:val="none"/>
        </w:rPr>
      </w:pPr>
    </w:p>
    <w:p w14:paraId="628EAB7B">
      <w:pPr>
        <w:pStyle w:val="55"/>
        <w:rPr>
          <w:rFonts w:ascii="仿宋" w:hAnsi="仿宋" w:eastAsia="仿宋"/>
          <w:color w:val="auto"/>
          <w:highlight w:val="none"/>
        </w:rPr>
      </w:pPr>
    </w:p>
    <w:p w14:paraId="31C0709C">
      <w:pPr>
        <w:pStyle w:val="55"/>
        <w:rPr>
          <w:rFonts w:ascii="仿宋" w:hAnsi="仿宋" w:eastAsia="仿宋"/>
          <w:color w:val="auto"/>
          <w:highlight w:val="none"/>
        </w:rPr>
      </w:pPr>
    </w:p>
    <w:p w14:paraId="62F5721E">
      <w:pPr>
        <w:pStyle w:val="55"/>
        <w:rPr>
          <w:rFonts w:ascii="仿宋" w:hAnsi="仿宋" w:eastAsia="仿宋"/>
          <w:color w:val="auto"/>
          <w:highlight w:val="none"/>
        </w:rPr>
      </w:pPr>
    </w:p>
    <w:p w14:paraId="2773A0CD">
      <w:pPr>
        <w:pStyle w:val="55"/>
        <w:rPr>
          <w:rFonts w:ascii="仿宋" w:hAnsi="仿宋" w:eastAsia="仿宋"/>
          <w:color w:val="auto"/>
          <w:highlight w:val="none"/>
        </w:rPr>
      </w:pPr>
    </w:p>
    <w:p w14:paraId="19ECAB7F">
      <w:pPr>
        <w:pStyle w:val="55"/>
        <w:rPr>
          <w:rFonts w:ascii="仿宋" w:hAnsi="仿宋" w:eastAsia="仿宋"/>
          <w:color w:val="auto"/>
          <w:highlight w:val="none"/>
        </w:rPr>
      </w:pPr>
    </w:p>
    <w:p w14:paraId="277BE481">
      <w:pPr>
        <w:pStyle w:val="55"/>
        <w:rPr>
          <w:rFonts w:ascii="仿宋" w:hAnsi="仿宋" w:eastAsia="仿宋"/>
          <w:color w:val="auto"/>
          <w:highlight w:val="none"/>
        </w:rPr>
      </w:pPr>
    </w:p>
    <w:p w14:paraId="5A78C0C8">
      <w:pPr>
        <w:spacing w:line="500" w:lineRule="exact"/>
        <w:jc w:val="center"/>
        <w:rPr>
          <w:rFonts w:hint="eastAsia" w:ascii="仿宋" w:hAnsi="仿宋" w:eastAsia="仿宋"/>
          <w:b/>
          <w:bCs/>
          <w:color w:val="auto"/>
          <w:sz w:val="36"/>
          <w:szCs w:val="36"/>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5"/>
        <w:rPr>
          <w:rFonts w:ascii="仿宋" w:hAnsi="仿宋" w:eastAsia="仿宋"/>
          <w:color w:val="auto"/>
          <w:sz w:val="28"/>
          <w:szCs w:val="28"/>
          <w:highlight w:val="none"/>
        </w:rPr>
      </w:pPr>
    </w:p>
    <w:p w14:paraId="640310CB">
      <w:pPr>
        <w:pStyle w:val="55"/>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5"/>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5"/>
        <w:jc w:val="center"/>
        <w:rPr>
          <w:rFonts w:ascii="仿宋" w:hAnsi="仿宋" w:eastAsia="仿宋"/>
          <w:color w:val="auto"/>
          <w:highlight w:val="none"/>
        </w:rPr>
      </w:pPr>
    </w:p>
    <w:p w14:paraId="359BC6EF">
      <w:pPr>
        <w:pStyle w:val="55"/>
        <w:jc w:val="center"/>
        <w:rPr>
          <w:rFonts w:ascii="仿宋" w:hAnsi="仿宋" w:eastAsia="仿宋"/>
          <w:color w:val="auto"/>
          <w:highlight w:val="none"/>
        </w:rPr>
      </w:pPr>
    </w:p>
    <w:p w14:paraId="342B8B67">
      <w:pPr>
        <w:pStyle w:val="55"/>
        <w:jc w:val="center"/>
        <w:rPr>
          <w:rFonts w:ascii="仿宋" w:hAnsi="仿宋" w:eastAsia="仿宋"/>
          <w:color w:val="auto"/>
          <w:highlight w:val="none"/>
        </w:rPr>
      </w:pPr>
    </w:p>
    <w:p w14:paraId="058FBA53">
      <w:pPr>
        <w:pStyle w:val="55"/>
        <w:jc w:val="center"/>
        <w:rPr>
          <w:rFonts w:ascii="仿宋" w:hAnsi="仿宋" w:eastAsia="仿宋"/>
          <w:color w:val="auto"/>
          <w:highlight w:val="none"/>
        </w:rPr>
      </w:pPr>
    </w:p>
    <w:p w14:paraId="75EBB5B3">
      <w:pPr>
        <w:spacing w:line="500" w:lineRule="exact"/>
        <w:jc w:val="both"/>
        <w:rPr>
          <w:rFonts w:ascii="仿宋" w:hAnsi="仿宋" w:eastAsia="仿宋"/>
          <w:b/>
          <w:bCs/>
          <w:color w:val="auto"/>
          <w:sz w:val="36"/>
          <w:szCs w:val="36"/>
          <w:highlight w:val="none"/>
          <w:lang w:eastAsia="zh-CN"/>
        </w:rPr>
      </w:pPr>
    </w:p>
    <w:p w14:paraId="0F10DC1C">
      <w:pPr>
        <w:spacing w:line="500" w:lineRule="exact"/>
        <w:jc w:val="both"/>
        <w:rPr>
          <w:rFonts w:ascii="仿宋" w:hAnsi="仿宋" w:eastAsia="仿宋"/>
          <w:b/>
          <w:bCs/>
          <w:color w:val="auto"/>
          <w:sz w:val="36"/>
          <w:szCs w:val="36"/>
          <w:highlight w:val="none"/>
          <w:lang w:eastAsia="zh-CN"/>
        </w:rPr>
      </w:pPr>
    </w:p>
    <w:p w14:paraId="0C9FE566">
      <w:pPr>
        <w:spacing w:line="500" w:lineRule="exact"/>
        <w:jc w:val="both"/>
        <w:rPr>
          <w:rFonts w:ascii="仿宋" w:hAnsi="仿宋" w:eastAsia="仿宋"/>
          <w:b/>
          <w:bCs/>
          <w:color w:val="auto"/>
          <w:sz w:val="36"/>
          <w:szCs w:val="36"/>
          <w:highlight w:val="none"/>
          <w:lang w:eastAsia="zh-CN"/>
        </w:rPr>
      </w:pPr>
    </w:p>
    <w:p w14:paraId="6154A975">
      <w:pPr>
        <w:spacing w:line="500" w:lineRule="exact"/>
        <w:jc w:val="center"/>
        <w:rPr>
          <w:rFonts w:hint="eastAsia"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5"/>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b/>
          <w:bCs/>
          <w:color w:val="auto"/>
          <w:sz w:val="28"/>
          <w:szCs w:val="28"/>
          <w:highlight w:val="none"/>
          <w:u w:val="single"/>
          <w:lang w:eastAsia="zh-CN"/>
        </w:rPr>
        <w:t>2026年职业病危害检测及评价项目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5"/>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5"/>
        <w:rPr>
          <w:rFonts w:ascii="仿宋" w:hAnsi="仿宋" w:eastAsia="仿宋"/>
          <w:color w:val="auto"/>
          <w:sz w:val="28"/>
          <w:szCs w:val="28"/>
          <w:highlight w:val="none"/>
        </w:rPr>
      </w:pPr>
    </w:p>
    <w:p w14:paraId="7668EB86">
      <w:pPr>
        <w:pStyle w:val="55"/>
        <w:rPr>
          <w:rFonts w:ascii="仿宋" w:hAnsi="仿宋" w:eastAsia="仿宋"/>
          <w:color w:val="auto"/>
          <w:sz w:val="28"/>
          <w:szCs w:val="28"/>
          <w:highlight w:val="none"/>
        </w:rPr>
      </w:pPr>
    </w:p>
    <w:p w14:paraId="32205DA1">
      <w:pPr>
        <w:pStyle w:val="55"/>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5"/>
        <w:jc w:val="center"/>
        <w:rPr>
          <w:rFonts w:ascii="仿宋" w:hAnsi="仿宋" w:eastAsia="仿宋"/>
          <w:color w:val="auto"/>
          <w:highlight w:val="none"/>
        </w:rPr>
      </w:pPr>
    </w:p>
    <w:p w14:paraId="16D04989">
      <w:pPr>
        <w:pStyle w:val="55"/>
        <w:jc w:val="center"/>
        <w:rPr>
          <w:rFonts w:ascii="仿宋" w:hAnsi="仿宋" w:eastAsia="仿宋"/>
          <w:color w:val="auto"/>
          <w:highlight w:val="none"/>
        </w:rPr>
      </w:pPr>
    </w:p>
    <w:p w14:paraId="4FA1D693">
      <w:pPr>
        <w:pStyle w:val="55"/>
        <w:jc w:val="center"/>
        <w:rPr>
          <w:rFonts w:ascii="仿宋" w:hAnsi="仿宋" w:eastAsia="仿宋"/>
          <w:color w:val="auto"/>
          <w:highlight w:val="none"/>
        </w:rPr>
      </w:pPr>
    </w:p>
    <w:p w14:paraId="0EB19C06">
      <w:pPr>
        <w:pStyle w:val="55"/>
        <w:jc w:val="center"/>
        <w:rPr>
          <w:rFonts w:ascii="仿宋" w:hAnsi="仿宋" w:eastAsia="仿宋"/>
          <w:color w:val="auto"/>
          <w:highlight w:val="none"/>
        </w:rPr>
      </w:pPr>
    </w:p>
    <w:p w14:paraId="4EBB44C1">
      <w:pPr>
        <w:pStyle w:val="55"/>
        <w:jc w:val="center"/>
        <w:rPr>
          <w:rFonts w:ascii="仿宋" w:hAnsi="仿宋" w:eastAsia="仿宋"/>
          <w:color w:val="auto"/>
          <w:highlight w:val="none"/>
        </w:rPr>
      </w:pPr>
    </w:p>
    <w:p w14:paraId="01499142">
      <w:pPr>
        <w:pStyle w:val="55"/>
        <w:jc w:val="center"/>
        <w:rPr>
          <w:rFonts w:ascii="仿宋" w:hAnsi="仿宋" w:eastAsia="仿宋"/>
          <w:color w:val="auto"/>
          <w:highlight w:val="none"/>
        </w:rPr>
      </w:pPr>
    </w:p>
    <w:p w14:paraId="7E564F17">
      <w:pPr>
        <w:pStyle w:val="55"/>
        <w:jc w:val="center"/>
        <w:rPr>
          <w:rFonts w:ascii="仿宋" w:hAnsi="仿宋" w:eastAsia="仿宋"/>
          <w:color w:val="auto"/>
          <w:highlight w:val="none"/>
        </w:rPr>
      </w:pPr>
    </w:p>
    <w:p w14:paraId="50251573">
      <w:pPr>
        <w:pStyle w:val="55"/>
        <w:jc w:val="center"/>
        <w:rPr>
          <w:rFonts w:ascii="仿宋" w:hAnsi="仿宋" w:eastAsia="仿宋"/>
          <w:color w:val="auto"/>
          <w:highlight w:val="none"/>
        </w:rPr>
      </w:pPr>
    </w:p>
    <w:p w14:paraId="7A04BD5C">
      <w:pPr>
        <w:pStyle w:val="55"/>
        <w:jc w:val="center"/>
        <w:rPr>
          <w:rFonts w:ascii="仿宋" w:hAnsi="仿宋" w:eastAsia="仿宋"/>
          <w:color w:val="auto"/>
          <w:highlight w:val="none"/>
        </w:rPr>
      </w:pPr>
    </w:p>
    <w:p w14:paraId="1199A6FD">
      <w:pPr>
        <w:pStyle w:val="55"/>
        <w:jc w:val="center"/>
        <w:rPr>
          <w:rFonts w:ascii="仿宋" w:hAnsi="仿宋" w:eastAsia="仿宋"/>
          <w:color w:val="auto"/>
          <w:highlight w:val="none"/>
        </w:rPr>
      </w:pPr>
    </w:p>
    <w:p w14:paraId="055C2EE4">
      <w:pPr>
        <w:pStyle w:val="55"/>
        <w:jc w:val="center"/>
        <w:rPr>
          <w:rFonts w:ascii="仿宋" w:hAnsi="仿宋" w:eastAsia="仿宋"/>
          <w:color w:val="auto"/>
          <w:highlight w:val="none"/>
        </w:rPr>
      </w:pPr>
    </w:p>
    <w:p w14:paraId="32207D8C">
      <w:pPr>
        <w:pStyle w:val="55"/>
        <w:jc w:val="center"/>
        <w:rPr>
          <w:rFonts w:ascii="仿宋" w:hAnsi="仿宋" w:eastAsia="仿宋"/>
          <w:color w:val="auto"/>
          <w:highlight w:val="none"/>
        </w:rPr>
      </w:pPr>
    </w:p>
    <w:p w14:paraId="227C3F4D">
      <w:pPr>
        <w:pStyle w:val="55"/>
        <w:jc w:val="center"/>
        <w:rPr>
          <w:rFonts w:ascii="仿宋" w:hAnsi="仿宋" w:eastAsia="仿宋"/>
          <w:color w:val="auto"/>
          <w:highlight w:val="none"/>
        </w:rPr>
      </w:pPr>
    </w:p>
    <w:p w14:paraId="39B4B7F7">
      <w:pPr>
        <w:pStyle w:val="55"/>
        <w:jc w:val="center"/>
        <w:rPr>
          <w:rFonts w:ascii="仿宋" w:hAnsi="仿宋" w:eastAsia="仿宋"/>
          <w:color w:val="auto"/>
          <w:highlight w:val="none"/>
        </w:rPr>
      </w:pPr>
    </w:p>
    <w:p w14:paraId="65025ABE">
      <w:pPr>
        <w:pStyle w:val="55"/>
        <w:jc w:val="center"/>
        <w:rPr>
          <w:rFonts w:ascii="仿宋" w:hAnsi="仿宋" w:eastAsia="仿宋"/>
          <w:color w:val="auto"/>
          <w:highlight w:val="none"/>
        </w:rPr>
      </w:pPr>
    </w:p>
    <w:p w14:paraId="266006F6">
      <w:pPr>
        <w:pStyle w:val="55"/>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5"/>
        <w:rPr>
          <w:rFonts w:ascii="仿宋" w:hAnsi="仿宋" w:eastAsia="仿宋"/>
          <w:b/>
          <w:bCs/>
          <w:color w:val="auto"/>
          <w:sz w:val="36"/>
          <w:szCs w:val="36"/>
          <w:highlight w:val="none"/>
        </w:rPr>
      </w:pPr>
    </w:p>
    <w:p w14:paraId="32866DC1">
      <w:pPr>
        <w:pStyle w:val="55"/>
        <w:rPr>
          <w:rFonts w:ascii="仿宋" w:hAnsi="仿宋" w:eastAsia="仿宋"/>
          <w:b/>
          <w:bCs/>
          <w:color w:val="auto"/>
          <w:sz w:val="36"/>
          <w:szCs w:val="36"/>
          <w:highlight w:val="none"/>
        </w:rPr>
      </w:pPr>
    </w:p>
    <w:p w14:paraId="6A2D49E5">
      <w:pPr>
        <w:pStyle w:val="55"/>
        <w:rPr>
          <w:rFonts w:ascii="仿宋" w:hAnsi="仿宋" w:eastAsia="仿宋"/>
          <w:b/>
          <w:bCs/>
          <w:color w:val="auto"/>
          <w:sz w:val="36"/>
          <w:szCs w:val="36"/>
          <w:highlight w:val="none"/>
        </w:rPr>
      </w:pPr>
    </w:p>
    <w:p w14:paraId="6678CCA7">
      <w:pPr>
        <w:pStyle w:val="55"/>
        <w:rPr>
          <w:rFonts w:ascii="仿宋" w:hAnsi="仿宋" w:eastAsia="仿宋"/>
          <w:b/>
          <w:bCs/>
          <w:color w:val="auto"/>
          <w:sz w:val="36"/>
          <w:szCs w:val="36"/>
          <w:highlight w:val="none"/>
        </w:rPr>
      </w:pPr>
    </w:p>
    <w:p w14:paraId="4350032D">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5"/>
        <w:rPr>
          <w:rFonts w:ascii="仿宋" w:hAnsi="仿宋" w:eastAsia="仿宋"/>
          <w:b/>
          <w:bCs/>
          <w:color w:val="auto"/>
          <w:sz w:val="36"/>
          <w:szCs w:val="36"/>
          <w:highlight w:val="none"/>
        </w:rPr>
      </w:pPr>
    </w:p>
    <w:p w14:paraId="2CA8B8AD">
      <w:pPr>
        <w:pStyle w:val="55"/>
        <w:rPr>
          <w:rFonts w:ascii="仿宋" w:hAnsi="仿宋" w:eastAsia="仿宋"/>
          <w:b/>
          <w:bCs/>
          <w:color w:val="auto"/>
          <w:sz w:val="36"/>
          <w:szCs w:val="36"/>
          <w:highlight w:val="none"/>
        </w:rPr>
      </w:pPr>
    </w:p>
    <w:p w14:paraId="07396517">
      <w:pPr>
        <w:pStyle w:val="55"/>
        <w:rPr>
          <w:rFonts w:ascii="仿宋" w:hAnsi="仿宋" w:eastAsia="仿宋"/>
          <w:b/>
          <w:bCs/>
          <w:color w:val="auto"/>
          <w:sz w:val="36"/>
          <w:szCs w:val="36"/>
          <w:highlight w:val="none"/>
        </w:rPr>
      </w:pPr>
    </w:p>
    <w:p w14:paraId="06F15180">
      <w:pPr>
        <w:pStyle w:val="55"/>
        <w:rPr>
          <w:rFonts w:ascii="仿宋" w:hAnsi="仿宋" w:eastAsia="仿宋"/>
          <w:b/>
          <w:bCs/>
          <w:color w:val="auto"/>
          <w:sz w:val="36"/>
          <w:szCs w:val="36"/>
          <w:highlight w:val="none"/>
        </w:rPr>
      </w:pPr>
    </w:p>
    <w:p w14:paraId="5FC1A08F">
      <w:pPr>
        <w:pStyle w:val="55"/>
        <w:rPr>
          <w:rFonts w:ascii="仿宋" w:hAnsi="仿宋" w:eastAsia="仿宋"/>
          <w:b/>
          <w:bCs/>
          <w:color w:val="auto"/>
          <w:sz w:val="36"/>
          <w:szCs w:val="36"/>
          <w:highlight w:val="none"/>
        </w:rPr>
      </w:pPr>
    </w:p>
    <w:p w14:paraId="22397461">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4"/>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5"/>
        <w:jc w:val="center"/>
        <w:rPr>
          <w:rFonts w:ascii="仿宋" w:hAnsi="仿宋" w:eastAsia="仿宋"/>
          <w:color w:val="auto"/>
          <w:highlight w:val="none"/>
        </w:rPr>
      </w:pPr>
    </w:p>
    <w:p w14:paraId="07F4B49D">
      <w:pPr>
        <w:pStyle w:val="55"/>
        <w:jc w:val="center"/>
        <w:rPr>
          <w:rFonts w:ascii="仿宋" w:hAnsi="仿宋" w:eastAsia="仿宋"/>
          <w:color w:val="auto"/>
          <w:highlight w:val="none"/>
        </w:rPr>
      </w:pPr>
    </w:p>
    <w:p w14:paraId="51C1A69A">
      <w:pPr>
        <w:pStyle w:val="55"/>
        <w:jc w:val="center"/>
        <w:rPr>
          <w:rFonts w:ascii="仿宋" w:hAnsi="仿宋" w:eastAsia="仿宋"/>
          <w:color w:val="auto"/>
          <w:highlight w:val="none"/>
        </w:rPr>
      </w:pPr>
    </w:p>
    <w:p w14:paraId="0D214B4C">
      <w:pPr>
        <w:pStyle w:val="55"/>
        <w:jc w:val="center"/>
        <w:rPr>
          <w:rFonts w:ascii="仿宋" w:hAnsi="仿宋" w:eastAsia="仿宋"/>
          <w:color w:val="auto"/>
          <w:highlight w:val="none"/>
        </w:rPr>
      </w:pPr>
    </w:p>
    <w:p w14:paraId="515264EC">
      <w:pPr>
        <w:pStyle w:val="55"/>
        <w:jc w:val="center"/>
        <w:rPr>
          <w:rFonts w:ascii="仿宋" w:hAnsi="仿宋" w:eastAsia="仿宋"/>
          <w:color w:val="auto"/>
          <w:highlight w:val="none"/>
        </w:rPr>
      </w:pPr>
    </w:p>
    <w:p w14:paraId="60F6820E">
      <w:pPr>
        <w:pStyle w:val="55"/>
        <w:jc w:val="center"/>
        <w:rPr>
          <w:rFonts w:ascii="仿宋" w:hAnsi="仿宋" w:eastAsia="仿宋"/>
          <w:color w:val="auto"/>
          <w:highlight w:val="none"/>
        </w:rPr>
      </w:pPr>
    </w:p>
    <w:p w14:paraId="6BE8487F">
      <w:pPr>
        <w:pStyle w:val="55"/>
        <w:jc w:val="center"/>
        <w:rPr>
          <w:rFonts w:ascii="仿宋" w:hAnsi="仿宋" w:eastAsia="仿宋"/>
          <w:color w:val="auto"/>
          <w:highlight w:val="none"/>
        </w:rPr>
      </w:pPr>
    </w:p>
    <w:p w14:paraId="4932222D">
      <w:pPr>
        <w:pStyle w:val="55"/>
        <w:jc w:val="center"/>
        <w:rPr>
          <w:rFonts w:ascii="仿宋" w:hAnsi="仿宋" w:eastAsia="仿宋"/>
          <w:color w:val="auto"/>
          <w:highlight w:val="none"/>
        </w:rPr>
      </w:pPr>
    </w:p>
    <w:p w14:paraId="235603DF">
      <w:pPr>
        <w:pStyle w:val="55"/>
        <w:jc w:val="center"/>
        <w:rPr>
          <w:rFonts w:ascii="仿宋" w:hAnsi="仿宋" w:eastAsia="仿宋"/>
          <w:color w:val="auto"/>
          <w:highlight w:val="none"/>
        </w:rPr>
      </w:pPr>
    </w:p>
    <w:p w14:paraId="35DF4E97">
      <w:pPr>
        <w:pStyle w:val="55"/>
        <w:jc w:val="center"/>
        <w:rPr>
          <w:rFonts w:ascii="仿宋" w:hAnsi="仿宋" w:eastAsia="仿宋"/>
          <w:color w:val="auto"/>
          <w:highlight w:val="none"/>
        </w:rPr>
      </w:pPr>
    </w:p>
    <w:p w14:paraId="52D6C2C2">
      <w:pPr>
        <w:pStyle w:val="55"/>
        <w:jc w:val="center"/>
        <w:rPr>
          <w:rFonts w:ascii="仿宋" w:hAnsi="仿宋" w:eastAsia="仿宋"/>
          <w:color w:val="auto"/>
          <w:highlight w:val="none"/>
        </w:rPr>
      </w:pPr>
    </w:p>
    <w:p w14:paraId="13FA6665">
      <w:pPr>
        <w:pStyle w:val="55"/>
        <w:jc w:val="center"/>
        <w:rPr>
          <w:rFonts w:ascii="仿宋" w:hAnsi="仿宋" w:eastAsia="仿宋"/>
          <w:color w:val="auto"/>
          <w:highlight w:val="none"/>
        </w:rPr>
      </w:pPr>
    </w:p>
    <w:p w14:paraId="4192964F">
      <w:pPr>
        <w:pStyle w:val="55"/>
        <w:jc w:val="center"/>
        <w:rPr>
          <w:rFonts w:ascii="仿宋" w:hAnsi="仿宋" w:eastAsia="仿宋"/>
          <w:color w:val="auto"/>
          <w:highlight w:val="none"/>
        </w:rPr>
      </w:pPr>
    </w:p>
    <w:p w14:paraId="2F9D3DFA">
      <w:pPr>
        <w:pStyle w:val="55"/>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5"/>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5"/>
        <w:jc w:val="center"/>
        <w:rPr>
          <w:rFonts w:ascii="仿宋" w:hAnsi="仿宋" w:eastAsia="仿宋"/>
          <w:color w:val="auto"/>
          <w:highlight w:val="none"/>
        </w:rPr>
      </w:pPr>
    </w:p>
    <w:p w14:paraId="0B26124F">
      <w:pPr>
        <w:pStyle w:val="55"/>
        <w:jc w:val="center"/>
        <w:rPr>
          <w:rFonts w:ascii="仿宋" w:hAnsi="仿宋" w:eastAsia="仿宋"/>
          <w:color w:val="auto"/>
          <w:highlight w:val="none"/>
        </w:rPr>
      </w:pPr>
    </w:p>
    <w:p w14:paraId="4E990DCE">
      <w:pPr>
        <w:pStyle w:val="55"/>
        <w:jc w:val="center"/>
        <w:rPr>
          <w:rFonts w:ascii="仿宋" w:hAnsi="仿宋" w:eastAsia="仿宋"/>
          <w:color w:val="auto"/>
          <w:highlight w:val="none"/>
        </w:rPr>
      </w:pPr>
    </w:p>
    <w:p w14:paraId="60B37F03">
      <w:pPr>
        <w:pStyle w:val="55"/>
        <w:jc w:val="center"/>
        <w:rPr>
          <w:rFonts w:ascii="仿宋" w:hAnsi="仿宋" w:eastAsia="仿宋"/>
          <w:color w:val="auto"/>
          <w:highlight w:val="none"/>
        </w:rPr>
      </w:pPr>
    </w:p>
    <w:p w14:paraId="611C747F">
      <w:pPr>
        <w:pStyle w:val="55"/>
        <w:jc w:val="center"/>
        <w:rPr>
          <w:rFonts w:ascii="仿宋" w:hAnsi="仿宋" w:eastAsia="仿宋"/>
          <w:color w:val="auto"/>
          <w:highlight w:val="none"/>
        </w:rPr>
      </w:pPr>
    </w:p>
    <w:p w14:paraId="1BAE273F">
      <w:pPr>
        <w:pStyle w:val="55"/>
        <w:jc w:val="center"/>
        <w:rPr>
          <w:rFonts w:ascii="仿宋" w:hAnsi="仿宋" w:eastAsia="仿宋"/>
          <w:color w:val="auto"/>
          <w:highlight w:val="none"/>
        </w:rPr>
      </w:pPr>
    </w:p>
    <w:p w14:paraId="1DC2E121">
      <w:pPr>
        <w:pStyle w:val="55"/>
        <w:jc w:val="center"/>
        <w:rPr>
          <w:rFonts w:ascii="仿宋" w:hAnsi="仿宋" w:eastAsia="仿宋"/>
          <w:color w:val="auto"/>
          <w:highlight w:val="none"/>
        </w:rPr>
      </w:pPr>
    </w:p>
    <w:p w14:paraId="4C36D03D">
      <w:pPr>
        <w:pStyle w:val="55"/>
        <w:jc w:val="center"/>
        <w:rPr>
          <w:rFonts w:ascii="仿宋" w:hAnsi="仿宋" w:eastAsia="仿宋"/>
          <w:color w:val="auto"/>
          <w:highlight w:val="none"/>
        </w:rPr>
      </w:pPr>
    </w:p>
    <w:p w14:paraId="220C7249">
      <w:pPr>
        <w:pStyle w:val="55"/>
        <w:jc w:val="center"/>
        <w:rPr>
          <w:rFonts w:ascii="仿宋" w:hAnsi="仿宋" w:eastAsia="仿宋"/>
          <w:color w:val="auto"/>
          <w:highlight w:val="none"/>
        </w:rPr>
      </w:pPr>
    </w:p>
    <w:p w14:paraId="0B2AE1BB">
      <w:pPr>
        <w:pStyle w:val="55"/>
        <w:jc w:val="center"/>
        <w:rPr>
          <w:rFonts w:ascii="仿宋" w:hAnsi="仿宋" w:eastAsia="仿宋"/>
          <w:color w:val="auto"/>
          <w:highlight w:val="none"/>
        </w:rPr>
      </w:pPr>
    </w:p>
    <w:p w14:paraId="0BB07108">
      <w:pPr>
        <w:pStyle w:val="55"/>
        <w:jc w:val="center"/>
        <w:rPr>
          <w:rFonts w:ascii="仿宋" w:hAnsi="仿宋" w:eastAsia="仿宋"/>
          <w:color w:val="auto"/>
          <w:highlight w:val="none"/>
        </w:rPr>
      </w:pPr>
    </w:p>
    <w:p w14:paraId="79C61ECC">
      <w:pPr>
        <w:pStyle w:val="55"/>
        <w:jc w:val="center"/>
        <w:rPr>
          <w:rFonts w:ascii="仿宋" w:hAnsi="仿宋" w:eastAsia="仿宋"/>
          <w:color w:val="auto"/>
          <w:highlight w:val="none"/>
        </w:rPr>
      </w:pPr>
    </w:p>
    <w:p w14:paraId="3E28DAAD">
      <w:pPr>
        <w:pStyle w:val="55"/>
        <w:rPr>
          <w:rFonts w:ascii="仿宋" w:hAnsi="仿宋" w:eastAsia="仿宋"/>
          <w:color w:val="auto"/>
          <w:highlight w:val="none"/>
        </w:rPr>
      </w:pPr>
    </w:p>
    <w:p w14:paraId="0B2E2A32">
      <w:pPr>
        <w:spacing w:line="360" w:lineRule="auto"/>
        <w:ind w:firstLine="3292" w:firstLineChars="911"/>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EE29BF5">
      <w:pPr>
        <w:spacing w:line="360" w:lineRule="auto"/>
        <w:rPr>
          <w:rFonts w:hint="eastAsia" w:ascii="仿宋" w:hAnsi="仿宋" w:eastAsia="仿宋"/>
          <w:color w:val="auto"/>
          <w:sz w:val="28"/>
          <w:szCs w:val="28"/>
          <w:highlight w:val="none"/>
          <w:lang w:eastAsia="zh-CN"/>
        </w:rPr>
      </w:pPr>
    </w:p>
    <w:p w14:paraId="59B46977">
      <w:pPr>
        <w:spacing w:line="360" w:lineRule="auto"/>
        <w:rPr>
          <w:rFonts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lang w:eastAsia="zh-CN"/>
        </w:rPr>
        <w:t>致：福建福海创石油化工有限公司</w:t>
      </w:r>
    </w:p>
    <w:tbl>
      <w:tblPr>
        <w:tblStyle w:val="47"/>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4967"/>
        <w:gridCol w:w="1219"/>
        <w:gridCol w:w="1219"/>
      </w:tblGrid>
      <w:tr w14:paraId="3A3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6B50205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序号</w:t>
            </w:r>
          </w:p>
        </w:tc>
        <w:tc>
          <w:tcPr>
            <w:tcW w:w="4967" w:type="dxa"/>
            <w:vAlign w:val="center"/>
          </w:tcPr>
          <w:p w14:paraId="5B8F4C36">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项目</w:t>
            </w:r>
          </w:p>
        </w:tc>
        <w:tc>
          <w:tcPr>
            <w:tcW w:w="1219" w:type="dxa"/>
            <w:vAlign w:val="center"/>
          </w:tcPr>
          <w:p w14:paraId="1A20CC2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数量</w:t>
            </w:r>
          </w:p>
          <w:p w14:paraId="6A4719BB">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（次）</w:t>
            </w:r>
          </w:p>
        </w:tc>
        <w:tc>
          <w:tcPr>
            <w:tcW w:w="1219" w:type="dxa"/>
            <w:vAlign w:val="center"/>
          </w:tcPr>
          <w:p w14:paraId="0A25102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报价</w:t>
            </w:r>
          </w:p>
          <w:p w14:paraId="57539436">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（元）</w:t>
            </w:r>
          </w:p>
        </w:tc>
      </w:tr>
      <w:tr w14:paraId="5114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262BB25A">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4967" w:type="dxa"/>
            <w:vAlign w:val="top"/>
          </w:tcPr>
          <w:p w14:paraId="57A2D39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2026年翔鹭码头职业病危害因素定期检测</w:t>
            </w:r>
          </w:p>
        </w:tc>
        <w:tc>
          <w:tcPr>
            <w:tcW w:w="1219" w:type="dxa"/>
            <w:vAlign w:val="top"/>
          </w:tcPr>
          <w:p w14:paraId="7FFD43A3">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725E0065">
            <w:pPr>
              <w:spacing w:line="360" w:lineRule="auto"/>
              <w:jc w:val="center"/>
              <w:rPr>
                <w:rFonts w:hint="eastAsia" w:ascii="仿宋" w:hAnsi="仿宋" w:eastAsia="仿宋" w:cs="宋体"/>
                <w:color w:val="auto"/>
                <w:kern w:val="0"/>
                <w:sz w:val="24"/>
                <w:szCs w:val="24"/>
                <w:highlight w:val="none"/>
                <w:lang w:val="en-US" w:eastAsia="zh-CN" w:bidi="ar-SA"/>
              </w:rPr>
            </w:pPr>
          </w:p>
        </w:tc>
      </w:tr>
      <w:tr w14:paraId="76B2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792C2B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w:t>
            </w:r>
          </w:p>
        </w:tc>
        <w:tc>
          <w:tcPr>
            <w:tcW w:w="4967" w:type="dxa"/>
            <w:vAlign w:val="top"/>
          </w:tcPr>
          <w:p w14:paraId="2D8FAAA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2026年古蕾化学职业病危害因素定期检测</w:t>
            </w:r>
          </w:p>
        </w:tc>
        <w:tc>
          <w:tcPr>
            <w:tcW w:w="1219" w:type="dxa"/>
            <w:vAlign w:val="top"/>
          </w:tcPr>
          <w:p w14:paraId="05582775">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5B43205B">
            <w:pPr>
              <w:spacing w:line="360" w:lineRule="auto"/>
              <w:jc w:val="center"/>
              <w:rPr>
                <w:rFonts w:hint="eastAsia" w:ascii="仿宋" w:hAnsi="仿宋" w:eastAsia="仿宋" w:cs="宋体"/>
                <w:color w:val="auto"/>
                <w:kern w:val="0"/>
                <w:sz w:val="24"/>
                <w:szCs w:val="24"/>
                <w:highlight w:val="none"/>
                <w:lang w:val="en-US" w:eastAsia="zh-CN" w:bidi="ar-SA"/>
              </w:rPr>
            </w:pPr>
          </w:p>
        </w:tc>
      </w:tr>
      <w:tr w14:paraId="6F14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D2DE8B0">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w:t>
            </w:r>
          </w:p>
        </w:tc>
        <w:tc>
          <w:tcPr>
            <w:tcW w:w="4967" w:type="dxa"/>
            <w:vAlign w:val="top"/>
          </w:tcPr>
          <w:p w14:paraId="2C5540A5">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2026年腾龙芳烃职业病危害因素定期检测</w:t>
            </w:r>
          </w:p>
        </w:tc>
        <w:tc>
          <w:tcPr>
            <w:tcW w:w="1219" w:type="dxa"/>
            <w:vAlign w:val="top"/>
          </w:tcPr>
          <w:p w14:paraId="6B4850BA">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334354D9">
            <w:pPr>
              <w:spacing w:line="360" w:lineRule="auto"/>
              <w:jc w:val="center"/>
              <w:rPr>
                <w:rFonts w:hint="eastAsia" w:ascii="仿宋" w:hAnsi="仿宋" w:eastAsia="仿宋" w:cs="宋体"/>
                <w:color w:val="auto"/>
                <w:kern w:val="0"/>
                <w:sz w:val="24"/>
                <w:szCs w:val="24"/>
                <w:highlight w:val="none"/>
                <w:lang w:val="en-US" w:eastAsia="zh-CN" w:bidi="ar-SA"/>
              </w:rPr>
            </w:pPr>
          </w:p>
        </w:tc>
      </w:tr>
      <w:tr w14:paraId="2AC3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9D4F806">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4</w:t>
            </w:r>
          </w:p>
        </w:tc>
        <w:tc>
          <w:tcPr>
            <w:tcW w:w="4967" w:type="dxa"/>
            <w:vAlign w:val="top"/>
          </w:tcPr>
          <w:p w14:paraId="106C0F70">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2026年福海创职业病危害因素定期检测</w:t>
            </w:r>
          </w:p>
        </w:tc>
        <w:tc>
          <w:tcPr>
            <w:tcW w:w="1219" w:type="dxa"/>
            <w:vAlign w:val="top"/>
          </w:tcPr>
          <w:p w14:paraId="419703EE">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2AAFC748">
            <w:pPr>
              <w:spacing w:line="360" w:lineRule="auto"/>
              <w:jc w:val="center"/>
              <w:rPr>
                <w:rFonts w:hint="eastAsia" w:ascii="仿宋" w:hAnsi="仿宋" w:eastAsia="仿宋" w:cs="宋体"/>
                <w:color w:val="auto"/>
                <w:kern w:val="0"/>
                <w:sz w:val="24"/>
                <w:szCs w:val="24"/>
                <w:highlight w:val="none"/>
                <w:lang w:val="en-US" w:eastAsia="zh-CN" w:bidi="ar-SA"/>
              </w:rPr>
            </w:pPr>
          </w:p>
        </w:tc>
      </w:tr>
      <w:tr w14:paraId="0D6D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EB1D99A">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5</w:t>
            </w:r>
          </w:p>
        </w:tc>
        <w:tc>
          <w:tcPr>
            <w:tcW w:w="4967" w:type="dxa"/>
            <w:vAlign w:val="top"/>
          </w:tcPr>
          <w:p w14:paraId="74BE6B0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2026年上半年腾龙芳烃高毒控制效果评价</w:t>
            </w:r>
          </w:p>
        </w:tc>
        <w:tc>
          <w:tcPr>
            <w:tcW w:w="1219" w:type="dxa"/>
            <w:vAlign w:val="top"/>
          </w:tcPr>
          <w:p w14:paraId="4FE3EE64">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4607C95D">
            <w:pPr>
              <w:spacing w:line="360" w:lineRule="auto"/>
              <w:jc w:val="center"/>
              <w:rPr>
                <w:rFonts w:hint="eastAsia" w:ascii="仿宋" w:hAnsi="仿宋" w:eastAsia="仿宋" w:cs="宋体"/>
                <w:color w:val="auto"/>
                <w:kern w:val="0"/>
                <w:sz w:val="24"/>
                <w:szCs w:val="24"/>
                <w:highlight w:val="none"/>
                <w:lang w:val="en-US" w:eastAsia="zh-CN" w:bidi="ar-SA"/>
              </w:rPr>
            </w:pPr>
          </w:p>
        </w:tc>
      </w:tr>
      <w:tr w14:paraId="5B84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11583A38">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w:t>
            </w:r>
          </w:p>
        </w:tc>
        <w:tc>
          <w:tcPr>
            <w:tcW w:w="4967" w:type="dxa"/>
            <w:vAlign w:val="top"/>
          </w:tcPr>
          <w:p w14:paraId="43DFFCE5">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2026年下半年腾龙芳烃高毒控制效果评价</w:t>
            </w:r>
          </w:p>
        </w:tc>
        <w:tc>
          <w:tcPr>
            <w:tcW w:w="1219" w:type="dxa"/>
            <w:vAlign w:val="top"/>
          </w:tcPr>
          <w:p w14:paraId="418763D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692FFD8D">
            <w:pPr>
              <w:spacing w:line="360" w:lineRule="auto"/>
              <w:jc w:val="center"/>
              <w:rPr>
                <w:rFonts w:hint="eastAsia" w:ascii="仿宋" w:hAnsi="仿宋" w:eastAsia="仿宋" w:cs="宋体"/>
                <w:color w:val="auto"/>
                <w:kern w:val="0"/>
                <w:sz w:val="24"/>
                <w:szCs w:val="24"/>
                <w:highlight w:val="none"/>
                <w:lang w:val="en-US" w:eastAsia="zh-CN" w:bidi="ar-SA"/>
              </w:rPr>
            </w:pPr>
          </w:p>
        </w:tc>
      </w:tr>
      <w:tr w14:paraId="2345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B99AA0C">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7</w:t>
            </w:r>
          </w:p>
        </w:tc>
        <w:tc>
          <w:tcPr>
            <w:tcW w:w="4967" w:type="dxa"/>
            <w:vAlign w:val="top"/>
          </w:tcPr>
          <w:p w14:paraId="503219A3">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2026年上半年福海创高毒控制效果评价</w:t>
            </w:r>
          </w:p>
        </w:tc>
        <w:tc>
          <w:tcPr>
            <w:tcW w:w="1219" w:type="dxa"/>
            <w:vAlign w:val="top"/>
          </w:tcPr>
          <w:p w14:paraId="1EE4F470">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4E53A318">
            <w:pPr>
              <w:spacing w:line="360" w:lineRule="auto"/>
              <w:jc w:val="center"/>
              <w:rPr>
                <w:rFonts w:hint="eastAsia" w:ascii="仿宋" w:hAnsi="仿宋" w:eastAsia="仿宋" w:cs="宋体"/>
                <w:color w:val="auto"/>
                <w:kern w:val="0"/>
                <w:sz w:val="24"/>
                <w:szCs w:val="24"/>
                <w:highlight w:val="none"/>
                <w:lang w:val="en-US" w:eastAsia="zh-CN" w:bidi="ar-SA"/>
              </w:rPr>
            </w:pPr>
          </w:p>
        </w:tc>
      </w:tr>
      <w:tr w14:paraId="798C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vAlign w:val="top"/>
          </w:tcPr>
          <w:p w14:paraId="3CCB6C5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8</w:t>
            </w:r>
          </w:p>
        </w:tc>
        <w:tc>
          <w:tcPr>
            <w:tcW w:w="4967" w:type="dxa"/>
            <w:shd w:val="clear" w:color="auto" w:fill="auto"/>
            <w:vAlign w:val="top"/>
          </w:tcPr>
          <w:p w14:paraId="209BD855">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2026年下半年福海创高毒控制效果评价</w:t>
            </w:r>
          </w:p>
        </w:tc>
        <w:tc>
          <w:tcPr>
            <w:tcW w:w="1219" w:type="dxa"/>
            <w:shd w:val="clear" w:color="auto" w:fill="auto"/>
            <w:vAlign w:val="top"/>
          </w:tcPr>
          <w:p w14:paraId="3D3E8EE6">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shd w:val="clear" w:color="auto" w:fill="auto"/>
            <w:vAlign w:val="top"/>
          </w:tcPr>
          <w:p w14:paraId="7679AC88">
            <w:pPr>
              <w:spacing w:line="360" w:lineRule="auto"/>
              <w:jc w:val="center"/>
              <w:rPr>
                <w:rFonts w:hint="eastAsia" w:ascii="仿宋" w:hAnsi="仿宋" w:eastAsia="仿宋" w:cs="宋体"/>
                <w:color w:val="auto"/>
                <w:kern w:val="0"/>
                <w:sz w:val="24"/>
                <w:szCs w:val="24"/>
                <w:highlight w:val="none"/>
                <w:lang w:val="en-US" w:eastAsia="zh-CN" w:bidi="ar-SA"/>
              </w:rPr>
            </w:pPr>
          </w:p>
        </w:tc>
      </w:tr>
      <w:tr w14:paraId="3792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0" w:type="dxa"/>
            <w:gridSpan w:val="2"/>
            <w:shd w:val="clear" w:color="auto" w:fill="auto"/>
            <w:vAlign w:val="top"/>
          </w:tcPr>
          <w:p w14:paraId="37176B0E">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总合计（人民币：元）</w:t>
            </w:r>
          </w:p>
        </w:tc>
        <w:tc>
          <w:tcPr>
            <w:tcW w:w="2438" w:type="dxa"/>
            <w:gridSpan w:val="2"/>
            <w:shd w:val="clear" w:color="auto" w:fill="auto"/>
            <w:vAlign w:val="top"/>
          </w:tcPr>
          <w:p w14:paraId="7B3E771B">
            <w:pPr>
              <w:spacing w:line="360" w:lineRule="auto"/>
              <w:jc w:val="center"/>
              <w:rPr>
                <w:rFonts w:hint="eastAsia" w:ascii="仿宋" w:hAnsi="仿宋" w:eastAsia="仿宋" w:cs="宋体"/>
                <w:color w:val="auto"/>
                <w:kern w:val="0"/>
                <w:sz w:val="24"/>
                <w:szCs w:val="24"/>
                <w:highlight w:val="none"/>
                <w:lang w:val="en-US" w:eastAsia="zh-CN" w:bidi="ar-SA"/>
              </w:rPr>
            </w:pPr>
          </w:p>
        </w:tc>
      </w:tr>
      <w:tr w14:paraId="0335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8" w:type="dxa"/>
            <w:gridSpan w:val="4"/>
            <w:shd w:val="clear" w:color="auto" w:fill="auto"/>
            <w:vAlign w:val="top"/>
          </w:tcPr>
          <w:p w14:paraId="16D8379B">
            <w:pPr>
              <w:autoSpaceDE w:val="0"/>
              <w:autoSpaceDN w:val="0"/>
              <w:adjustRightInd w:val="0"/>
              <w:spacing w:line="360" w:lineRule="auto"/>
              <w:jc w:val="left"/>
              <w:rPr>
                <w:rFonts w:hint="eastAsia" w:ascii="仿宋" w:hAnsi="仿宋" w:eastAsia="仿宋" w:cs="宋体"/>
                <w:b/>
                <w:bCs/>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备注：1.</w:t>
            </w:r>
            <w:r>
              <w:rPr>
                <w:rFonts w:hint="eastAsia" w:ascii="仿宋" w:hAnsi="仿宋" w:eastAsia="仿宋" w:cs="宋体"/>
                <w:b/>
                <w:bCs/>
                <w:color w:val="auto"/>
                <w:kern w:val="0"/>
                <w:sz w:val="24"/>
                <w:szCs w:val="24"/>
                <w:highlight w:val="none"/>
                <w:lang w:val="en-US" w:eastAsia="zh-CN" w:bidi="ar-SA"/>
              </w:rPr>
              <w:t>单项报价不可超单项控制价。</w:t>
            </w:r>
          </w:p>
          <w:p w14:paraId="2CC93650">
            <w:pPr>
              <w:numPr>
                <w:ilvl w:val="0"/>
                <w:numId w:val="11"/>
              </w:numPr>
              <w:autoSpaceDE w:val="0"/>
              <w:autoSpaceDN w:val="0"/>
              <w:adjustRightInd w:val="0"/>
              <w:spacing w:line="360" w:lineRule="auto"/>
              <w:ind w:firstLine="720" w:firstLineChars="300"/>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报价需包含相关的住宿、交通、餐饮、快递、保险费等一切相关费用。</w:t>
            </w:r>
          </w:p>
          <w:p w14:paraId="4F276063">
            <w:pPr>
              <w:numPr>
                <w:ilvl w:val="0"/>
                <w:numId w:val="11"/>
              </w:numPr>
              <w:autoSpaceDE w:val="0"/>
              <w:autoSpaceDN w:val="0"/>
              <w:adjustRightInd w:val="0"/>
              <w:spacing w:line="360" w:lineRule="auto"/>
              <w:ind w:firstLine="720" w:firstLineChars="300"/>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报价</w:t>
            </w:r>
            <w:r>
              <w:rPr>
                <w:rFonts w:hint="eastAsia" w:ascii="仿宋" w:hAnsi="仿宋" w:eastAsia="仿宋" w:cs="宋体"/>
                <w:color w:val="auto"/>
                <w:kern w:val="0"/>
                <w:sz w:val="24"/>
                <w:szCs w:val="24"/>
                <w:highlight w:val="yellow"/>
                <w:u w:val="single"/>
                <w:lang w:val="en-US" w:eastAsia="zh-CN" w:bidi="ar-SA"/>
              </w:rPr>
              <w:t>含   %</w:t>
            </w:r>
            <w:r>
              <w:rPr>
                <w:rFonts w:hint="eastAsia" w:ascii="仿宋" w:hAnsi="仿宋" w:eastAsia="仿宋" w:cs="宋体"/>
                <w:color w:val="auto"/>
                <w:kern w:val="0"/>
                <w:sz w:val="24"/>
                <w:szCs w:val="24"/>
                <w:highlight w:val="none"/>
                <w:lang w:val="en-US" w:eastAsia="zh-CN" w:bidi="ar-SA"/>
              </w:rPr>
              <w:t>增值税专用发票。</w:t>
            </w:r>
          </w:p>
        </w:tc>
      </w:tr>
    </w:tbl>
    <w:p w14:paraId="6807DC97">
      <w:pPr>
        <w:spacing w:line="360" w:lineRule="auto"/>
        <w:rPr>
          <w:rFonts w:hint="eastAsia"/>
          <w:b/>
          <w:bCs/>
          <w:color w:val="auto"/>
          <w:szCs w:val="21"/>
          <w:highlight w:val="none"/>
        </w:rPr>
      </w:pPr>
    </w:p>
    <w:p w14:paraId="0443D971">
      <w:pPr>
        <w:pStyle w:val="55"/>
        <w:spacing w:line="360" w:lineRule="auto"/>
        <w:ind w:firstLine="3253" w:firstLineChars="900"/>
        <w:rPr>
          <w:rFonts w:hint="eastAsia" w:ascii="仿宋" w:hAnsi="仿宋" w:eastAsia="仿宋"/>
          <w:b/>
          <w:color w:val="auto"/>
          <w:sz w:val="36"/>
          <w:szCs w:val="36"/>
          <w:highlight w:val="none"/>
        </w:rPr>
      </w:pPr>
    </w:p>
    <w:p w14:paraId="5A5D5840">
      <w:pPr>
        <w:pStyle w:val="55"/>
        <w:spacing w:line="360" w:lineRule="auto"/>
        <w:ind w:firstLine="3253" w:firstLineChars="900"/>
        <w:rPr>
          <w:rFonts w:hint="eastAsia" w:ascii="仿宋" w:hAnsi="仿宋" w:eastAsia="仿宋"/>
          <w:b/>
          <w:color w:val="auto"/>
          <w:sz w:val="36"/>
          <w:szCs w:val="36"/>
          <w:highlight w:val="none"/>
        </w:rPr>
      </w:pPr>
    </w:p>
    <w:p w14:paraId="4A232555">
      <w:pPr>
        <w:pStyle w:val="55"/>
        <w:spacing w:line="360" w:lineRule="auto"/>
        <w:ind w:firstLine="3253" w:firstLineChars="900"/>
        <w:rPr>
          <w:rFonts w:hint="eastAsia" w:ascii="仿宋" w:hAnsi="仿宋" w:eastAsia="仿宋"/>
          <w:b/>
          <w:color w:val="auto"/>
          <w:sz w:val="36"/>
          <w:szCs w:val="36"/>
          <w:highlight w:val="none"/>
        </w:rPr>
      </w:pPr>
    </w:p>
    <w:p w14:paraId="6D82AA80">
      <w:pPr>
        <w:pStyle w:val="55"/>
        <w:spacing w:line="360" w:lineRule="auto"/>
        <w:ind w:firstLine="3253" w:firstLineChars="900"/>
        <w:rPr>
          <w:rFonts w:hint="eastAsia" w:ascii="仿宋" w:hAnsi="仿宋" w:eastAsia="仿宋"/>
          <w:b/>
          <w:color w:val="auto"/>
          <w:sz w:val="36"/>
          <w:szCs w:val="36"/>
          <w:highlight w:val="none"/>
        </w:rPr>
      </w:pPr>
    </w:p>
    <w:p w14:paraId="763E478A">
      <w:pPr>
        <w:pStyle w:val="55"/>
        <w:spacing w:line="360" w:lineRule="auto"/>
        <w:ind w:firstLine="3253" w:firstLineChars="900"/>
        <w:rPr>
          <w:rFonts w:hint="eastAsia" w:ascii="仿宋" w:hAnsi="仿宋" w:eastAsia="仿宋"/>
          <w:b/>
          <w:color w:val="auto"/>
          <w:sz w:val="36"/>
          <w:szCs w:val="36"/>
          <w:highlight w:val="none"/>
        </w:rPr>
      </w:pPr>
    </w:p>
    <w:p w14:paraId="5DBBD69F">
      <w:pPr>
        <w:pStyle w:val="55"/>
        <w:spacing w:line="360" w:lineRule="auto"/>
        <w:ind w:firstLine="3253" w:firstLineChars="900"/>
        <w:rPr>
          <w:rFonts w:hint="eastAsia" w:ascii="仿宋" w:hAnsi="仿宋" w:eastAsia="仿宋"/>
          <w:b/>
          <w:color w:val="auto"/>
          <w:sz w:val="36"/>
          <w:szCs w:val="36"/>
          <w:highlight w:val="none"/>
        </w:rPr>
      </w:pPr>
    </w:p>
    <w:p w14:paraId="7002E7AC">
      <w:pPr>
        <w:pStyle w:val="55"/>
        <w:spacing w:line="360" w:lineRule="auto"/>
        <w:ind w:firstLine="3253" w:firstLineChars="900"/>
        <w:rPr>
          <w:rFonts w:hint="eastAsia" w:ascii="仿宋" w:hAnsi="仿宋" w:eastAsia="仿宋"/>
          <w:b/>
          <w:color w:val="auto"/>
          <w:sz w:val="36"/>
          <w:szCs w:val="36"/>
          <w:highlight w:val="none"/>
        </w:rPr>
      </w:pPr>
    </w:p>
    <w:p w14:paraId="6651B2D1">
      <w:pPr>
        <w:pStyle w:val="55"/>
        <w:spacing w:line="360" w:lineRule="auto"/>
        <w:ind w:firstLine="3253" w:firstLineChars="900"/>
        <w:rPr>
          <w:rFonts w:hint="eastAsia" w:ascii="仿宋" w:hAnsi="仿宋" w:eastAsia="仿宋"/>
          <w:b/>
          <w:color w:val="auto"/>
          <w:sz w:val="36"/>
          <w:szCs w:val="36"/>
          <w:highlight w:val="none"/>
        </w:rPr>
      </w:pPr>
    </w:p>
    <w:p w14:paraId="00F7D88D">
      <w:pPr>
        <w:pStyle w:val="55"/>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b/>
          <w:bCs/>
          <w:color w:val="auto"/>
          <w:sz w:val="28"/>
          <w:szCs w:val="28"/>
          <w:highlight w:val="none"/>
          <w:u w:val="single"/>
          <w:lang w:eastAsia="zh-CN"/>
        </w:rPr>
        <w:t>2026年职业病危害检测及评价项目</w:t>
      </w:r>
      <w:r>
        <w:rPr>
          <w:rFonts w:hint="eastAsia" w:ascii="仿宋" w:hAnsi="仿宋" w:eastAsia="仿宋"/>
          <w:color w:val="auto"/>
          <w:sz w:val="28"/>
          <w:szCs w:val="28"/>
          <w:highlight w:val="none"/>
          <w:lang w:eastAsia="zh-CN"/>
        </w:rPr>
        <w:t>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9"/>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1406D633">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p w14:paraId="65D288B0">
      <w:pPr>
        <w:widowControl/>
        <w:autoSpaceDE/>
        <w:autoSpaceDN/>
        <w:spacing w:line="360" w:lineRule="auto"/>
        <w:rPr>
          <w:rFonts w:hint="eastAsia" w:ascii="仿宋" w:hAnsi="仿宋" w:eastAsia="仿宋"/>
          <w:color w:val="auto"/>
          <w:sz w:val="28"/>
          <w:szCs w:val="28"/>
          <w:highlight w:val="none"/>
          <w:lang w:eastAsia="zh-CN"/>
        </w:rPr>
      </w:pPr>
    </w:p>
    <w:bookmarkEnd w:id="8"/>
    <w:p w14:paraId="68CF8000">
      <w:pPr>
        <w:widowControl/>
        <w:autoSpaceDE/>
        <w:autoSpaceDN/>
        <w:spacing w:line="360" w:lineRule="auto"/>
        <w:rPr>
          <w:rFonts w:hint="eastAsia" w:ascii="仿宋" w:hAnsi="仿宋" w:eastAsia="仿宋"/>
          <w:color w:val="auto"/>
          <w:sz w:val="28"/>
          <w:szCs w:val="28"/>
          <w:highlight w:val="none"/>
          <w:lang w:eastAsia="zh-CN"/>
        </w:rPr>
      </w:pPr>
    </w:p>
    <w:sectPr>
      <w:footerReference r:id="rId7" w:type="default"/>
      <w:type w:val="continuous"/>
      <w:pgSz w:w="11910" w:h="16840"/>
      <w:pgMar w:top="992" w:right="1140" w:bottom="1134" w:left="1678" w:header="0"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995A">
    <w:pPr>
      <w:pStyle w:val="30"/>
    </w:pPr>
    <w:r>
      <w:rPr>
        <w:sz w:val="18"/>
      </w:rP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632D00C">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310DCEE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7D11">
    <w:pPr>
      <w:pStyle w:val="30"/>
      <w:ind w:left="4410"/>
    </w:pPr>
    <w:r>
      <w:rPr>
        <w:sz w:val="18"/>
      </w:rPr>
      <w:pict>
        <v:shape id="_x0000_s2058" o:spid="_x0000_s205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25600DF">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74C6FE07">
    <w:pPr>
      <w:pStyle w:val="20"/>
      <w:spacing w:line="14" w:lineRule="auto"/>
      <w:rPr>
        <w:sz w:val="20"/>
      </w:rPr>
    </w:pPr>
  </w:p>
  <w:p w14:paraId="608C09A7">
    <w:pPr>
      <w:pStyle w:val="20"/>
      <w:spacing w:line="14" w:lineRule="auto"/>
      <w:rPr>
        <w:sz w:val="20"/>
      </w:rPr>
    </w:pPr>
  </w:p>
  <w:p w14:paraId="597E3B7E">
    <w:pPr>
      <w:pStyle w:val="20"/>
      <w:spacing w:line="14" w:lineRule="auto"/>
      <w:rPr>
        <w:sz w:val="20"/>
      </w:rPr>
    </w:pPr>
  </w:p>
  <w:p w14:paraId="67F53342">
    <w:pPr>
      <w:pStyle w:val="20"/>
      <w:spacing w:line="14" w:lineRule="auto"/>
      <w:rPr>
        <w:sz w:val="20"/>
      </w:rPr>
    </w:pPr>
  </w:p>
  <w:p w14:paraId="47D2619F">
    <w:pPr>
      <w:pStyle w:val="20"/>
      <w:spacing w:line="14" w:lineRule="auto"/>
      <w:rPr>
        <w:sz w:val="20"/>
      </w:rPr>
    </w:pPr>
  </w:p>
  <w:p w14:paraId="30F0DC8E">
    <w:pPr>
      <w:pStyle w:val="20"/>
      <w:spacing w:line="14" w:lineRule="auto"/>
      <w:rPr>
        <w:sz w:val="20"/>
      </w:rPr>
    </w:pPr>
  </w:p>
  <w:p w14:paraId="0B24A505">
    <w:pPr>
      <w:pStyle w:val="20"/>
      <w:spacing w:line="14" w:lineRule="auto"/>
      <w:rPr>
        <w:sz w:val="20"/>
      </w:rPr>
    </w:pPr>
  </w:p>
  <w:p w14:paraId="60E89AC6">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w:pict>
        <v:shape id="_x0000_s2059" o:spid="_x0000_s205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C7EDC08">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文本框 1028" o:spid="_x0000_s2050" o:spt="202" type="#_x0000_t202" style="position:absolute;left:0pt;margin-left:310.5pt;margin-top:782.4pt;height:11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C6E8">
    <w:pPr>
      <w:pStyle w:val="20"/>
      <w:spacing w:line="14" w:lineRule="auto"/>
      <w:rPr>
        <w:sz w:val="20"/>
      </w:rPr>
    </w:pPr>
    <w:r>
      <w:rPr>
        <w:sz w:val="24"/>
      </w:rPr>
      <w:pict>
        <v:shape id="_x0000_s2060" o:spid="_x0000_s206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4136158">
                <w:pPr>
                  <w:pStyle w:val="3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_x0000_s2056" o:spid="_x0000_s2056" o:spt="202" type="#_x0000_t202" style="position:absolute;left:0pt;margin-left:310.5pt;margin-top:782.4pt;height:11pt;width:38pt;mso-position-horizontal-relative:page;mso-position-vertical-relative:page;z-index:-251655168;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EBA8B50">
                <w:pPr>
                  <w:spacing w:line="219" w:lineRule="exact"/>
                  <w:ind w:left="20"/>
                  <w:rPr>
                    <w:sz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0FCD">
    <w:pPr>
      <w:pStyle w:val="30"/>
      <w:tabs>
        <w:tab w:val="clear" w:pos="8306"/>
      </w:tabs>
      <w:ind w:left="-142"/>
      <w:jc w:val="center"/>
    </w:pPr>
    <w:r>
      <w:rPr>
        <w:sz w:val="18"/>
      </w:rPr>
      <w:pict>
        <v:shape id="_x0000_s2061" o:spid="_x0000_s206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95AEEEE">
                <w:pPr>
                  <w:pStyle w:val="3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6D2CE839">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A8CDC6F"/>
    <w:multiLevelType w:val="singleLevel"/>
    <w:tmpl w:val="4A8CDC6F"/>
    <w:lvl w:ilvl="0" w:tentative="0">
      <w:start w:val="2"/>
      <w:numFmt w:val="decimal"/>
      <w:suff w:val="space"/>
      <w:lvlText w:val="%1."/>
      <w:lvlJc w:val="left"/>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10">
    <w:nsid w:val="7F4AB2B2"/>
    <w:multiLevelType w:val="singleLevel"/>
    <w:tmpl w:val="7F4AB2B2"/>
    <w:lvl w:ilvl="0" w:tentative="0">
      <w:start w:val="4"/>
      <w:numFmt w:val="chineseCounting"/>
      <w:suff w:val="space"/>
      <w:lvlText w:val="（%1）"/>
      <w:lvlJc w:val="left"/>
      <w:rPr>
        <w:rFonts w:hint="eastAsia"/>
      </w:rPr>
    </w:lvl>
  </w:abstractNum>
  <w:num w:numId="1">
    <w:abstractNumId w:val="8"/>
  </w:num>
  <w:num w:numId="2">
    <w:abstractNumId w:val="2"/>
  </w:num>
  <w:num w:numId="3">
    <w:abstractNumId w:val="3"/>
  </w:num>
  <w:num w:numId="4">
    <w:abstractNumId w:val="4"/>
  </w:num>
  <w:num w:numId="5">
    <w:abstractNumId w:val="6"/>
  </w:num>
  <w:num w:numId="6">
    <w:abstractNumId w:val="9"/>
  </w:num>
  <w:num w:numId="7">
    <w:abstractNumId w:val="0"/>
  </w:num>
  <w:num w:numId="8">
    <w:abstractNumId w:val="10"/>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6120E"/>
    <w:rsid w:val="00054D6A"/>
    <w:rsid w:val="000816D5"/>
    <w:rsid w:val="000A1FF7"/>
    <w:rsid w:val="000B2A19"/>
    <w:rsid w:val="000D5F8F"/>
    <w:rsid w:val="000F5D78"/>
    <w:rsid w:val="0010122C"/>
    <w:rsid w:val="00121759"/>
    <w:rsid w:val="00136931"/>
    <w:rsid w:val="0013769F"/>
    <w:rsid w:val="00137F1E"/>
    <w:rsid w:val="00150BEF"/>
    <w:rsid w:val="00167E17"/>
    <w:rsid w:val="00175F30"/>
    <w:rsid w:val="001C7AB5"/>
    <w:rsid w:val="00202C22"/>
    <w:rsid w:val="002265CC"/>
    <w:rsid w:val="002305EB"/>
    <w:rsid w:val="002310A5"/>
    <w:rsid w:val="002311EB"/>
    <w:rsid w:val="00250643"/>
    <w:rsid w:val="00251286"/>
    <w:rsid w:val="00282876"/>
    <w:rsid w:val="00286ED5"/>
    <w:rsid w:val="0029626B"/>
    <w:rsid w:val="002B6395"/>
    <w:rsid w:val="002B68A6"/>
    <w:rsid w:val="002C7C2F"/>
    <w:rsid w:val="002D3AD0"/>
    <w:rsid w:val="002E3E44"/>
    <w:rsid w:val="002E6442"/>
    <w:rsid w:val="00311B64"/>
    <w:rsid w:val="003635AF"/>
    <w:rsid w:val="00364F97"/>
    <w:rsid w:val="003651B1"/>
    <w:rsid w:val="00370003"/>
    <w:rsid w:val="003832BA"/>
    <w:rsid w:val="00383EF2"/>
    <w:rsid w:val="0039574F"/>
    <w:rsid w:val="003A09B9"/>
    <w:rsid w:val="003C0D49"/>
    <w:rsid w:val="003F1A7F"/>
    <w:rsid w:val="00404AEB"/>
    <w:rsid w:val="00406E68"/>
    <w:rsid w:val="00415E1D"/>
    <w:rsid w:val="0042633E"/>
    <w:rsid w:val="00436389"/>
    <w:rsid w:val="00440F6E"/>
    <w:rsid w:val="00441C9A"/>
    <w:rsid w:val="00444729"/>
    <w:rsid w:val="004549E2"/>
    <w:rsid w:val="00487D0A"/>
    <w:rsid w:val="00490899"/>
    <w:rsid w:val="004937CD"/>
    <w:rsid w:val="00494CAA"/>
    <w:rsid w:val="004A01E9"/>
    <w:rsid w:val="004A614E"/>
    <w:rsid w:val="004C5219"/>
    <w:rsid w:val="004C7E10"/>
    <w:rsid w:val="004D5E0C"/>
    <w:rsid w:val="004D7548"/>
    <w:rsid w:val="005608AA"/>
    <w:rsid w:val="00576C0B"/>
    <w:rsid w:val="005D1555"/>
    <w:rsid w:val="005D633F"/>
    <w:rsid w:val="005F16F8"/>
    <w:rsid w:val="005F3A7C"/>
    <w:rsid w:val="00621531"/>
    <w:rsid w:val="00622C88"/>
    <w:rsid w:val="00633036"/>
    <w:rsid w:val="0064511A"/>
    <w:rsid w:val="006514CB"/>
    <w:rsid w:val="0065725A"/>
    <w:rsid w:val="00673FE9"/>
    <w:rsid w:val="006755B3"/>
    <w:rsid w:val="00691102"/>
    <w:rsid w:val="006A0F78"/>
    <w:rsid w:val="006A2B5D"/>
    <w:rsid w:val="006B6D2E"/>
    <w:rsid w:val="006D0E60"/>
    <w:rsid w:val="006D68F7"/>
    <w:rsid w:val="006D7A4C"/>
    <w:rsid w:val="006E2615"/>
    <w:rsid w:val="0070378A"/>
    <w:rsid w:val="00710107"/>
    <w:rsid w:val="00714A1D"/>
    <w:rsid w:val="007267D6"/>
    <w:rsid w:val="00733602"/>
    <w:rsid w:val="007344AE"/>
    <w:rsid w:val="00751126"/>
    <w:rsid w:val="00757CC8"/>
    <w:rsid w:val="00763915"/>
    <w:rsid w:val="007942FF"/>
    <w:rsid w:val="007A7652"/>
    <w:rsid w:val="007C06D2"/>
    <w:rsid w:val="007F0B37"/>
    <w:rsid w:val="007F0BD4"/>
    <w:rsid w:val="008173D4"/>
    <w:rsid w:val="00823E7C"/>
    <w:rsid w:val="0083284A"/>
    <w:rsid w:val="00841FE7"/>
    <w:rsid w:val="0086120E"/>
    <w:rsid w:val="0086402A"/>
    <w:rsid w:val="00894F1C"/>
    <w:rsid w:val="008C2AB8"/>
    <w:rsid w:val="008C5E29"/>
    <w:rsid w:val="008F11C5"/>
    <w:rsid w:val="009076CD"/>
    <w:rsid w:val="00927875"/>
    <w:rsid w:val="00972635"/>
    <w:rsid w:val="009940AA"/>
    <w:rsid w:val="009B5A56"/>
    <w:rsid w:val="009D23EB"/>
    <w:rsid w:val="009D55AA"/>
    <w:rsid w:val="00A01480"/>
    <w:rsid w:val="00A04F04"/>
    <w:rsid w:val="00A06D83"/>
    <w:rsid w:val="00A23261"/>
    <w:rsid w:val="00A304AF"/>
    <w:rsid w:val="00A446CD"/>
    <w:rsid w:val="00A56891"/>
    <w:rsid w:val="00A60F14"/>
    <w:rsid w:val="00A66102"/>
    <w:rsid w:val="00A93230"/>
    <w:rsid w:val="00AA665F"/>
    <w:rsid w:val="00AD23C0"/>
    <w:rsid w:val="00AE7761"/>
    <w:rsid w:val="00B051F4"/>
    <w:rsid w:val="00B227A0"/>
    <w:rsid w:val="00B27190"/>
    <w:rsid w:val="00B35DC2"/>
    <w:rsid w:val="00B500DC"/>
    <w:rsid w:val="00B5538E"/>
    <w:rsid w:val="00B7240F"/>
    <w:rsid w:val="00B804A6"/>
    <w:rsid w:val="00B81B54"/>
    <w:rsid w:val="00BB2D61"/>
    <w:rsid w:val="00BD1E63"/>
    <w:rsid w:val="00BD5E7E"/>
    <w:rsid w:val="00C167BE"/>
    <w:rsid w:val="00C24E27"/>
    <w:rsid w:val="00C30AF5"/>
    <w:rsid w:val="00C70CD2"/>
    <w:rsid w:val="00C9009E"/>
    <w:rsid w:val="00CC3EE5"/>
    <w:rsid w:val="00CC4B33"/>
    <w:rsid w:val="00CE0782"/>
    <w:rsid w:val="00D02944"/>
    <w:rsid w:val="00D058A3"/>
    <w:rsid w:val="00D05E5B"/>
    <w:rsid w:val="00D07C63"/>
    <w:rsid w:val="00D1712B"/>
    <w:rsid w:val="00D27F0E"/>
    <w:rsid w:val="00D467DD"/>
    <w:rsid w:val="00D518CE"/>
    <w:rsid w:val="00D6343F"/>
    <w:rsid w:val="00D74F1C"/>
    <w:rsid w:val="00D8178D"/>
    <w:rsid w:val="00D8250F"/>
    <w:rsid w:val="00D936E5"/>
    <w:rsid w:val="00DA3D40"/>
    <w:rsid w:val="00DB1BE0"/>
    <w:rsid w:val="00E12F44"/>
    <w:rsid w:val="00E1788A"/>
    <w:rsid w:val="00E27E0C"/>
    <w:rsid w:val="00E5342D"/>
    <w:rsid w:val="00E5350F"/>
    <w:rsid w:val="00EB47E7"/>
    <w:rsid w:val="00ED2D82"/>
    <w:rsid w:val="00EF2B18"/>
    <w:rsid w:val="00F21405"/>
    <w:rsid w:val="00F64BA7"/>
    <w:rsid w:val="00FD0733"/>
    <w:rsid w:val="00FE0C9D"/>
    <w:rsid w:val="00FE3B14"/>
    <w:rsid w:val="00FF607B"/>
    <w:rsid w:val="00FF7ACE"/>
    <w:rsid w:val="01CC7C92"/>
    <w:rsid w:val="04F217BD"/>
    <w:rsid w:val="0818514A"/>
    <w:rsid w:val="09C921F2"/>
    <w:rsid w:val="0AFD710E"/>
    <w:rsid w:val="0B963AEC"/>
    <w:rsid w:val="0BF058E8"/>
    <w:rsid w:val="1A7907D6"/>
    <w:rsid w:val="20801F1B"/>
    <w:rsid w:val="221621E4"/>
    <w:rsid w:val="224A0A33"/>
    <w:rsid w:val="22891887"/>
    <w:rsid w:val="23957A8C"/>
    <w:rsid w:val="23B02B18"/>
    <w:rsid w:val="28F650E9"/>
    <w:rsid w:val="29F00112"/>
    <w:rsid w:val="2EA52F1E"/>
    <w:rsid w:val="325167F3"/>
    <w:rsid w:val="35A26038"/>
    <w:rsid w:val="39C173D5"/>
    <w:rsid w:val="3A2D368A"/>
    <w:rsid w:val="3BAA0FA0"/>
    <w:rsid w:val="3BAA13E4"/>
    <w:rsid w:val="3F8E4893"/>
    <w:rsid w:val="401F09B1"/>
    <w:rsid w:val="49B303BC"/>
    <w:rsid w:val="4BB723E6"/>
    <w:rsid w:val="4FD74E04"/>
    <w:rsid w:val="503C55AF"/>
    <w:rsid w:val="53807561"/>
    <w:rsid w:val="5720160B"/>
    <w:rsid w:val="586E1826"/>
    <w:rsid w:val="5B394BC5"/>
    <w:rsid w:val="5B557645"/>
    <w:rsid w:val="5E6A778C"/>
    <w:rsid w:val="5F17741E"/>
    <w:rsid w:val="5F3A78F3"/>
    <w:rsid w:val="604D4C6F"/>
    <w:rsid w:val="628030DA"/>
    <w:rsid w:val="660B1854"/>
    <w:rsid w:val="673D27FC"/>
    <w:rsid w:val="6A3550F2"/>
    <w:rsid w:val="6AA47B81"/>
    <w:rsid w:val="6AAD4C88"/>
    <w:rsid w:val="6B0845B4"/>
    <w:rsid w:val="6ED24CBD"/>
    <w:rsid w:val="71AA1F21"/>
    <w:rsid w:val="74CE23CA"/>
    <w:rsid w:val="78210A63"/>
    <w:rsid w:val="79646E59"/>
    <w:rsid w:val="7AEE0676"/>
    <w:rsid w:val="7B4056A4"/>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3">
    <w:name w:val="heading 2"/>
    <w:basedOn w:val="1"/>
    <w:next w:val="1"/>
    <w:link w:val="57"/>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9"/>
    <w:qFormat/>
    <w:uiPriority w:val="0"/>
    <w:pPr>
      <w:keepNext/>
      <w:keepLines/>
      <w:spacing w:line="480" w:lineRule="exact"/>
      <w:outlineLvl w:val="3"/>
    </w:pPr>
    <w:rPr>
      <w:rFonts w:ascii="Times New Roman" w:hAnsi="Times New Roman" w:eastAsia="宋体" w:cs="Times New Roman"/>
      <w:b/>
      <w:sz w:val="24"/>
      <w:szCs w:val="24"/>
    </w:rPr>
  </w:style>
  <w:style w:type="paragraph" w:styleId="6">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1"/>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8">
    <w:name w:val="heading 7"/>
    <w:basedOn w:val="1"/>
    <w:next w:val="9"/>
    <w:link w:val="63"/>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1">
    <w:name w:val="heading 8"/>
    <w:basedOn w:val="1"/>
    <w:next w:val="9"/>
    <w:link w:val="64"/>
    <w:qFormat/>
    <w:uiPriority w:val="0"/>
    <w:pPr>
      <w:keepNext/>
      <w:keepLines/>
      <w:spacing w:before="240" w:after="64" w:line="320" w:lineRule="atLeast"/>
      <w:outlineLvl w:val="7"/>
    </w:pPr>
    <w:rPr>
      <w:rFonts w:ascii="Arial" w:hAnsi="Arial" w:eastAsia="黑体" w:cs="Times New Roman"/>
      <w:sz w:val="24"/>
      <w:szCs w:val="20"/>
    </w:rPr>
  </w:style>
  <w:style w:type="paragraph" w:styleId="12">
    <w:name w:val="heading 9"/>
    <w:basedOn w:val="1"/>
    <w:next w:val="9"/>
    <w:link w:val="65"/>
    <w:qFormat/>
    <w:uiPriority w:val="0"/>
    <w:pPr>
      <w:keepNext/>
      <w:keepLines/>
      <w:spacing w:before="240" w:after="64" w:line="320" w:lineRule="atLeast"/>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2"/>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0">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13">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4">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5">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6">
    <w:name w:val="Document Map"/>
    <w:basedOn w:val="1"/>
    <w:link w:val="103"/>
    <w:qFormat/>
    <w:uiPriority w:val="0"/>
    <w:pPr>
      <w:shd w:val="clear" w:color="auto" w:fill="000080"/>
      <w:adjustRightInd w:val="0"/>
      <w:ind w:firstLine="425"/>
      <w:textAlignment w:val="baseline"/>
    </w:pPr>
    <w:rPr>
      <w:rFonts w:ascii="宋体"/>
      <w:sz w:val="28"/>
    </w:rPr>
  </w:style>
  <w:style w:type="paragraph" w:styleId="17">
    <w:name w:val="annotation text"/>
    <w:basedOn w:val="1"/>
    <w:link w:val="83"/>
    <w:qFormat/>
    <w:uiPriority w:val="0"/>
    <w:pPr>
      <w:jc w:val="left"/>
    </w:pPr>
  </w:style>
  <w:style w:type="paragraph" w:styleId="18">
    <w:name w:val="Body Text 3"/>
    <w:basedOn w:val="1"/>
    <w:link w:val="97"/>
    <w:qFormat/>
    <w:uiPriority w:val="0"/>
    <w:pPr>
      <w:spacing w:line="360" w:lineRule="auto"/>
    </w:pPr>
    <w:rPr>
      <w:color w:val="0000FF"/>
      <w:sz w:val="24"/>
      <w:szCs w:val="24"/>
    </w:rPr>
  </w:style>
  <w:style w:type="paragraph" w:styleId="19">
    <w:name w:val="Closing"/>
    <w:basedOn w:val="1"/>
    <w:link w:val="77"/>
    <w:qFormat/>
    <w:uiPriority w:val="0"/>
    <w:pPr>
      <w:ind w:left="100" w:leftChars="2100"/>
    </w:pPr>
    <w:rPr>
      <w:rFonts w:ascii="Times New Roman" w:hAnsi="Times New Roman" w:eastAsia="宋体" w:cs="Times New Roman"/>
      <w:b/>
      <w:szCs w:val="20"/>
    </w:rPr>
  </w:style>
  <w:style w:type="paragraph" w:styleId="20">
    <w:name w:val="Body Text"/>
    <w:basedOn w:val="1"/>
    <w:link w:val="66"/>
    <w:qFormat/>
    <w:uiPriority w:val="0"/>
    <w:pPr>
      <w:autoSpaceDE w:val="0"/>
      <w:autoSpaceDN w:val="0"/>
      <w:jc w:val="left"/>
    </w:pPr>
    <w:rPr>
      <w:rFonts w:ascii="宋体" w:hAnsi="宋体" w:eastAsia="宋体" w:cs="宋体"/>
      <w:kern w:val="0"/>
      <w:sz w:val="24"/>
      <w:szCs w:val="24"/>
      <w:lang w:eastAsia="en-US"/>
    </w:rPr>
  </w:style>
  <w:style w:type="paragraph" w:styleId="21">
    <w:name w:val="Body Text Indent"/>
    <w:basedOn w:val="1"/>
    <w:link w:val="95"/>
    <w:qFormat/>
    <w:uiPriority w:val="0"/>
    <w:pPr>
      <w:ind w:left="540" w:leftChars="257"/>
    </w:pPr>
    <w:rPr>
      <w:i/>
      <w:iCs/>
    </w:rPr>
  </w:style>
  <w:style w:type="paragraph" w:styleId="22">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3">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4">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5">
    <w:name w:val="Plain Text"/>
    <w:basedOn w:val="1"/>
    <w:link w:val="68"/>
    <w:qFormat/>
    <w:uiPriority w:val="99"/>
    <w:pPr>
      <w:autoSpaceDE w:val="0"/>
      <w:autoSpaceDN w:val="0"/>
      <w:jc w:val="left"/>
    </w:pPr>
    <w:rPr>
      <w:rFonts w:ascii="宋体" w:hAnsi="Courier New" w:eastAsia="宋体" w:cs="Courier New"/>
      <w:kern w:val="0"/>
      <w:sz w:val="22"/>
      <w:szCs w:val="21"/>
      <w:lang w:eastAsia="en-US"/>
    </w:rPr>
  </w:style>
  <w:style w:type="paragraph" w:styleId="26">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7">
    <w:name w:val="Date"/>
    <w:basedOn w:val="1"/>
    <w:next w:val="1"/>
    <w:link w:val="105"/>
    <w:qFormat/>
    <w:uiPriority w:val="0"/>
    <w:pPr>
      <w:ind w:left="100" w:leftChars="2500"/>
    </w:pPr>
    <w:rPr>
      <w:szCs w:val="24"/>
    </w:rPr>
  </w:style>
  <w:style w:type="paragraph" w:styleId="28">
    <w:name w:val="Body Text Indent 2"/>
    <w:basedOn w:val="1"/>
    <w:link w:val="89"/>
    <w:qFormat/>
    <w:uiPriority w:val="0"/>
    <w:pPr>
      <w:snapToGrid w:val="0"/>
      <w:spacing w:line="360" w:lineRule="auto"/>
      <w:ind w:firstLine="567"/>
    </w:pPr>
    <w:rPr>
      <w:rFonts w:ascii="宋体" w:hAnsi="宋体"/>
      <w:iCs/>
      <w:sz w:val="24"/>
      <w:szCs w:val="24"/>
    </w:rPr>
  </w:style>
  <w:style w:type="paragraph" w:styleId="29">
    <w:name w:val="Balloon Text"/>
    <w:basedOn w:val="1"/>
    <w:link w:val="85"/>
    <w:qFormat/>
    <w:uiPriority w:val="0"/>
    <w:rPr>
      <w:sz w:val="18"/>
      <w:szCs w:val="18"/>
    </w:rPr>
  </w:style>
  <w:style w:type="paragraph" w:styleId="30">
    <w:name w:val="footer"/>
    <w:basedOn w:val="1"/>
    <w:link w:val="69"/>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1">
    <w:name w:val="toc 1"/>
    <w:basedOn w:val="1"/>
    <w:next w:val="1"/>
    <w:qFormat/>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2">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3">
    <w:name w:val="toc 6"/>
    <w:basedOn w:val="1"/>
    <w:next w:val="1"/>
    <w:qFormat/>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4">
    <w:name w:val="Body Text Indent 3"/>
    <w:basedOn w:val="1"/>
    <w:link w:val="87"/>
    <w:qFormat/>
    <w:uiPriority w:val="0"/>
    <w:pPr>
      <w:ind w:firstLine="560"/>
    </w:pPr>
    <w:rPr>
      <w:sz w:val="28"/>
    </w:rPr>
  </w:style>
  <w:style w:type="paragraph" w:styleId="35">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6">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7">
    <w:name w:val="Body Text 2"/>
    <w:basedOn w:val="1"/>
    <w:link w:val="107"/>
    <w:qFormat/>
    <w:uiPriority w:val="0"/>
    <w:pPr>
      <w:spacing w:after="120" w:line="480" w:lineRule="auto"/>
    </w:pPr>
    <w:rPr>
      <w:szCs w:val="24"/>
    </w:rPr>
  </w:style>
  <w:style w:type="paragraph" w:styleId="38">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39">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0">
    <w:name w:val="Normal (Web)"/>
    <w:basedOn w:val="1"/>
    <w:link w:val="78"/>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qFormat/>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2">
    <w:name w:val="Title"/>
    <w:basedOn w:val="1"/>
    <w:link w:val="93"/>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3">
    <w:name w:val="annotation subject"/>
    <w:basedOn w:val="17"/>
    <w:next w:val="17"/>
    <w:link w:val="111"/>
    <w:qFormat/>
    <w:uiPriority w:val="0"/>
    <w:pPr>
      <w:widowControl/>
    </w:pPr>
    <w:rPr>
      <w:b/>
      <w:bCs/>
      <w:sz w:val="24"/>
      <w:szCs w:val="24"/>
    </w:rPr>
  </w:style>
  <w:style w:type="paragraph" w:styleId="44">
    <w:name w:val="Body Text First Indent"/>
    <w:basedOn w:val="20"/>
    <w:link w:val="10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45">
    <w:name w:val="Body Text First Indent 2"/>
    <w:basedOn w:val="21"/>
    <w:next w:val="1"/>
    <w:link w:val="200"/>
    <w:qFormat/>
    <w:uiPriority w:val="0"/>
    <w:pPr>
      <w:autoSpaceDE w:val="0"/>
      <w:autoSpaceDN w:val="0"/>
      <w:spacing w:after="120"/>
      <w:ind w:left="420" w:leftChars="200" w:firstLine="420" w:firstLineChars="200"/>
      <w:jc w:val="left"/>
    </w:pPr>
    <w:rPr>
      <w:rFonts w:ascii="宋体" w:hAnsi="宋体" w:eastAsia="宋体" w:cs="宋体"/>
      <w:i w:val="0"/>
      <w:iCs w:val="0"/>
      <w:kern w:val="0"/>
      <w:sz w:val="22"/>
      <w:lang w:eastAsia="en-U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563C1"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56">
    <w:name w:val="标题 1 Char"/>
    <w:basedOn w:val="48"/>
    <w:link w:val="2"/>
    <w:qFormat/>
    <w:uiPriority w:val="0"/>
    <w:rPr>
      <w:rFonts w:ascii="宋体" w:hAnsi="宋体" w:eastAsia="宋体" w:cs="宋体"/>
      <w:b/>
      <w:bCs/>
      <w:kern w:val="0"/>
      <w:sz w:val="28"/>
      <w:szCs w:val="28"/>
      <w:lang w:eastAsia="en-US"/>
    </w:rPr>
  </w:style>
  <w:style w:type="character" w:customStyle="1" w:styleId="57">
    <w:name w:val="标题 2 Char"/>
    <w:basedOn w:val="48"/>
    <w:link w:val="3"/>
    <w:qFormat/>
    <w:uiPriority w:val="0"/>
    <w:rPr>
      <w:rFonts w:ascii="宋体" w:hAnsi="宋体" w:eastAsia="宋体" w:cs="宋体"/>
      <w:b/>
      <w:bCs/>
      <w:kern w:val="0"/>
      <w:sz w:val="24"/>
      <w:szCs w:val="24"/>
      <w:lang w:eastAsia="en-US"/>
    </w:rPr>
  </w:style>
  <w:style w:type="character" w:customStyle="1" w:styleId="58">
    <w:name w:val="标题 3 Char"/>
    <w:basedOn w:val="48"/>
    <w:link w:val="4"/>
    <w:qFormat/>
    <w:uiPriority w:val="0"/>
    <w:rPr>
      <w:rFonts w:ascii="Times New Roman" w:hAnsi="Times New Roman" w:eastAsia="宋体" w:cs="Times New Roman"/>
      <w:b/>
      <w:bCs/>
      <w:sz w:val="32"/>
      <w:szCs w:val="32"/>
    </w:rPr>
  </w:style>
  <w:style w:type="character" w:customStyle="1" w:styleId="59">
    <w:name w:val="标题 4 Char"/>
    <w:basedOn w:val="48"/>
    <w:link w:val="5"/>
    <w:qFormat/>
    <w:uiPriority w:val="0"/>
    <w:rPr>
      <w:rFonts w:ascii="Times New Roman" w:hAnsi="Times New Roman" w:eastAsia="宋体" w:cs="Times New Roman"/>
      <w:b/>
      <w:sz w:val="24"/>
      <w:szCs w:val="24"/>
    </w:rPr>
  </w:style>
  <w:style w:type="character" w:customStyle="1" w:styleId="60">
    <w:name w:val="标题 5 Char"/>
    <w:basedOn w:val="48"/>
    <w:link w:val="6"/>
    <w:qFormat/>
    <w:uiPriority w:val="0"/>
    <w:rPr>
      <w:rFonts w:ascii="Times New Roman" w:hAnsi="Times New Roman" w:eastAsia="宋体" w:cs="Times New Roman"/>
      <w:b/>
      <w:bCs/>
      <w:sz w:val="28"/>
      <w:szCs w:val="28"/>
    </w:rPr>
  </w:style>
  <w:style w:type="character" w:customStyle="1" w:styleId="61">
    <w:name w:val="标题 6 Char"/>
    <w:basedOn w:val="48"/>
    <w:link w:val="7"/>
    <w:qFormat/>
    <w:uiPriority w:val="0"/>
    <w:rPr>
      <w:rFonts w:ascii="Times New Roman" w:hAnsi="Times New Roman" w:eastAsia="宋体" w:cs="Times New Roman"/>
      <w:b/>
      <w:kern w:val="0"/>
      <w:sz w:val="24"/>
      <w:szCs w:val="20"/>
    </w:rPr>
  </w:style>
  <w:style w:type="character" w:customStyle="1" w:styleId="62">
    <w:name w:val="正文缩进 Char"/>
    <w:basedOn w:val="48"/>
    <w:link w:val="9"/>
    <w:qFormat/>
    <w:uiPriority w:val="0"/>
    <w:rPr>
      <w:rFonts w:ascii="Times New Roman" w:hAnsi="Times New Roman" w:eastAsia="宋体" w:cs="Times New Roman"/>
      <w:kern w:val="0"/>
      <w:sz w:val="24"/>
      <w:szCs w:val="20"/>
    </w:rPr>
  </w:style>
  <w:style w:type="character" w:customStyle="1" w:styleId="63">
    <w:name w:val="标题 7 Char"/>
    <w:basedOn w:val="48"/>
    <w:link w:val="8"/>
    <w:qFormat/>
    <w:uiPriority w:val="0"/>
    <w:rPr>
      <w:rFonts w:ascii="Times New Roman" w:hAnsi="Times New Roman" w:eastAsia="宋体" w:cs="Times New Roman"/>
      <w:b/>
      <w:sz w:val="24"/>
      <w:szCs w:val="20"/>
    </w:rPr>
  </w:style>
  <w:style w:type="character" w:customStyle="1" w:styleId="64">
    <w:name w:val="标题 8 Char"/>
    <w:basedOn w:val="48"/>
    <w:link w:val="11"/>
    <w:qFormat/>
    <w:uiPriority w:val="0"/>
    <w:rPr>
      <w:rFonts w:ascii="Arial" w:hAnsi="Arial" w:eastAsia="黑体" w:cs="Times New Roman"/>
      <w:sz w:val="24"/>
      <w:szCs w:val="20"/>
    </w:rPr>
  </w:style>
  <w:style w:type="character" w:customStyle="1" w:styleId="65">
    <w:name w:val="标题 9 Char"/>
    <w:basedOn w:val="48"/>
    <w:link w:val="12"/>
    <w:qFormat/>
    <w:uiPriority w:val="0"/>
    <w:rPr>
      <w:rFonts w:ascii="Arial" w:hAnsi="Arial" w:eastAsia="黑体" w:cs="Times New Roman"/>
      <w:szCs w:val="20"/>
    </w:rPr>
  </w:style>
  <w:style w:type="character" w:customStyle="1" w:styleId="66">
    <w:name w:val="正文文本 Char1"/>
    <w:basedOn w:val="48"/>
    <w:link w:val="20"/>
    <w:qFormat/>
    <w:uiPriority w:val="1"/>
    <w:rPr>
      <w:rFonts w:ascii="宋体" w:hAnsi="宋体" w:eastAsia="宋体" w:cs="宋体"/>
      <w:kern w:val="0"/>
      <w:sz w:val="24"/>
      <w:szCs w:val="24"/>
      <w:lang w:eastAsia="en-US"/>
    </w:rPr>
  </w:style>
  <w:style w:type="character" w:customStyle="1" w:styleId="67">
    <w:name w:val="正文文本 Char"/>
    <w:basedOn w:val="48"/>
    <w:qFormat/>
    <w:uiPriority w:val="0"/>
  </w:style>
  <w:style w:type="character" w:customStyle="1" w:styleId="68">
    <w:name w:val="纯文本 Char"/>
    <w:basedOn w:val="48"/>
    <w:link w:val="25"/>
    <w:qFormat/>
    <w:uiPriority w:val="0"/>
    <w:rPr>
      <w:rFonts w:ascii="宋体" w:hAnsi="Courier New" w:eastAsia="宋体" w:cs="Courier New"/>
      <w:kern w:val="0"/>
      <w:sz w:val="22"/>
      <w:szCs w:val="21"/>
      <w:lang w:eastAsia="en-US"/>
    </w:rPr>
  </w:style>
  <w:style w:type="character" w:customStyle="1" w:styleId="69">
    <w:name w:val="页脚 Char"/>
    <w:basedOn w:val="48"/>
    <w:link w:val="30"/>
    <w:qFormat/>
    <w:uiPriority w:val="99"/>
    <w:rPr>
      <w:rFonts w:ascii="宋体" w:hAnsi="宋体" w:eastAsia="宋体" w:cs="宋体"/>
      <w:kern w:val="0"/>
      <w:sz w:val="18"/>
      <w:szCs w:val="18"/>
      <w:lang w:eastAsia="en-US"/>
    </w:rPr>
  </w:style>
  <w:style w:type="character" w:customStyle="1" w:styleId="70">
    <w:name w:val="页眉 Char"/>
    <w:basedOn w:val="48"/>
    <w:link w:val="10"/>
    <w:qFormat/>
    <w:uiPriority w:val="0"/>
    <w:rPr>
      <w:rFonts w:ascii="宋体" w:hAnsi="宋体" w:eastAsia="宋体" w:cs="宋体"/>
      <w:kern w:val="0"/>
      <w:sz w:val="18"/>
      <w:lang w:eastAsia="en-US"/>
    </w:rPr>
  </w:style>
  <w:style w:type="paragraph" w:styleId="71">
    <w:name w:val="List Paragraph"/>
    <w:basedOn w:val="1"/>
    <w:link w:val="72"/>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2">
    <w:name w:val="列出段落 Char"/>
    <w:link w:val="71"/>
    <w:qFormat/>
    <w:uiPriority w:val="34"/>
    <w:rPr>
      <w:rFonts w:ascii="宋体" w:hAnsi="宋体" w:eastAsia="宋体" w:cs="宋体"/>
      <w:kern w:val="0"/>
      <w:sz w:val="22"/>
      <w:lang w:eastAsia="en-US"/>
    </w:rPr>
  </w:style>
  <w:style w:type="paragraph" w:customStyle="1" w:styleId="7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4">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kern w:val="0"/>
      <w:sz w:val="24"/>
      <w:szCs w:val="20"/>
      <w:lang w:val="en-US" w:eastAsia="en-US" w:bidi="ar-SA"/>
    </w:rPr>
  </w:style>
  <w:style w:type="character" w:customStyle="1" w:styleId="77">
    <w:name w:val="结束语 Char"/>
    <w:basedOn w:val="48"/>
    <w:link w:val="19"/>
    <w:qFormat/>
    <w:uiPriority w:val="0"/>
    <w:rPr>
      <w:rFonts w:ascii="Times New Roman" w:hAnsi="Times New Roman" w:eastAsia="宋体" w:cs="Times New Roman"/>
      <w:b/>
      <w:szCs w:val="20"/>
    </w:rPr>
  </w:style>
  <w:style w:type="character" w:customStyle="1" w:styleId="78">
    <w:name w:val="普通(网站) Char"/>
    <w:basedOn w:val="48"/>
    <w:link w:val="40"/>
    <w:qFormat/>
    <w:locked/>
    <w:uiPriority w:val="0"/>
    <w:rPr>
      <w:rFonts w:ascii="宋体" w:hAnsi="宋体" w:eastAsia="宋体" w:cs="宋体"/>
      <w:kern w:val="0"/>
      <w:sz w:val="24"/>
      <w:szCs w:val="24"/>
    </w:rPr>
  </w:style>
  <w:style w:type="character" w:customStyle="1" w:styleId="79">
    <w:name w:val="xdrichtextbox2"/>
    <w:basedOn w:val="48"/>
    <w:qFormat/>
    <w:uiPriority w:val="0"/>
    <w:rPr>
      <w:color w:val="0000FF"/>
      <w:sz w:val="18"/>
      <w:szCs w:val="18"/>
      <w:u w:val="none"/>
      <w:bdr w:val="single" w:color="DCDCDC" w:sz="8" w:space="0"/>
      <w:shd w:val="clear" w:color="auto" w:fill="FFFFFF"/>
    </w:rPr>
  </w:style>
  <w:style w:type="character" w:customStyle="1" w:styleId="80">
    <w:name w:val="apple-converted-space"/>
    <w:basedOn w:val="48"/>
    <w:qFormat/>
    <w:uiPriority w:val="0"/>
  </w:style>
  <w:style w:type="character" w:customStyle="1" w:styleId="81">
    <w:name w:val="无间隔 Char"/>
    <w:basedOn w:val="48"/>
    <w:link w:val="82"/>
    <w:qFormat/>
    <w:uiPriority w:val="0"/>
    <w:rPr>
      <w:rFonts w:ascii="Calibri" w:hAnsi="Calibri"/>
      <w:sz w:val="22"/>
    </w:rPr>
  </w:style>
  <w:style w:type="paragraph" w:styleId="82">
    <w:name w:val="No Spacing"/>
    <w:link w:val="81"/>
    <w:qFormat/>
    <w:uiPriority w:val="0"/>
    <w:rPr>
      <w:rFonts w:ascii="Calibri" w:hAnsi="Calibri" w:eastAsiaTheme="minorEastAsia" w:cstheme="minorBidi"/>
      <w:kern w:val="2"/>
      <w:sz w:val="22"/>
      <w:szCs w:val="22"/>
      <w:lang w:val="en-US" w:eastAsia="zh-CN" w:bidi="ar-SA"/>
    </w:rPr>
  </w:style>
  <w:style w:type="character" w:customStyle="1" w:styleId="83">
    <w:name w:val="批注文字 Char"/>
    <w:basedOn w:val="48"/>
    <w:link w:val="17"/>
    <w:qFormat/>
    <w:uiPriority w:val="0"/>
  </w:style>
  <w:style w:type="character" w:customStyle="1" w:styleId="84">
    <w:name w:val="批注文字 Char1"/>
    <w:basedOn w:val="48"/>
    <w:qFormat/>
    <w:uiPriority w:val="0"/>
  </w:style>
  <w:style w:type="character" w:customStyle="1" w:styleId="85">
    <w:name w:val="批注框文本 Char"/>
    <w:basedOn w:val="48"/>
    <w:link w:val="29"/>
    <w:qFormat/>
    <w:uiPriority w:val="0"/>
    <w:rPr>
      <w:sz w:val="18"/>
      <w:szCs w:val="18"/>
    </w:rPr>
  </w:style>
  <w:style w:type="character" w:customStyle="1" w:styleId="86">
    <w:name w:val="批注框文本 Char1"/>
    <w:basedOn w:val="48"/>
    <w:qFormat/>
    <w:uiPriority w:val="0"/>
    <w:rPr>
      <w:sz w:val="18"/>
      <w:szCs w:val="18"/>
    </w:rPr>
  </w:style>
  <w:style w:type="character" w:customStyle="1" w:styleId="87">
    <w:name w:val="正文文本缩进 3 Char"/>
    <w:basedOn w:val="48"/>
    <w:link w:val="34"/>
    <w:qFormat/>
    <w:uiPriority w:val="0"/>
    <w:rPr>
      <w:sz w:val="28"/>
    </w:rPr>
  </w:style>
  <w:style w:type="character" w:customStyle="1" w:styleId="88">
    <w:name w:val="正文文本缩进 3 Char1"/>
    <w:basedOn w:val="48"/>
    <w:qFormat/>
    <w:uiPriority w:val="0"/>
    <w:rPr>
      <w:sz w:val="16"/>
      <w:szCs w:val="16"/>
    </w:rPr>
  </w:style>
  <w:style w:type="character" w:customStyle="1" w:styleId="89">
    <w:name w:val="正文文本缩进 2 Char"/>
    <w:basedOn w:val="48"/>
    <w:link w:val="28"/>
    <w:qFormat/>
    <w:uiPriority w:val="0"/>
    <w:rPr>
      <w:rFonts w:ascii="宋体" w:hAnsi="宋体"/>
      <w:iCs/>
      <w:sz w:val="24"/>
      <w:szCs w:val="24"/>
    </w:rPr>
  </w:style>
  <w:style w:type="character" w:customStyle="1" w:styleId="90">
    <w:name w:val="正文文本缩进 2 Char1"/>
    <w:basedOn w:val="48"/>
    <w:qFormat/>
    <w:uiPriority w:val="0"/>
  </w:style>
  <w:style w:type="character" w:customStyle="1" w:styleId="91">
    <w:name w:val="en1"/>
    <w:basedOn w:val="48"/>
    <w:qFormat/>
    <w:uiPriority w:val="0"/>
    <w:rPr>
      <w:b/>
      <w:bCs/>
      <w:color w:val="154C7F"/>
      <w:sz w:val="24"/>
      <w:szCs w:val="24"/>
    </w:rPr>
  </w:style>
  <w:style w:type="character" w:customStyle="1" w:styleId="92">
    <w:name w:val="font01"/>
    <w:basedOn w:val="48"/>
    <w:qFormat/>
    <w:uiPriority w:val="0"/>
    <w:rPr>
      <w:rFonts w:hint="eastAsia" w:ascii="宋体" w:hAnsi="宋体" w:eastAsia="宋体" w:cs="宋体"/>
      <w:color w:val="000000"/>
      <w:sz w:val="20"/>
      <w:szCs w:val="20"/>
      <w:u w:val="none"/>
    </w:rPr>
  </w:style>
  <w:style w:type="character" w:customStyle="1" w:styleId="93">
    <w:name w:val="标题 Char"/>
    <w:basedOn w:val="48"/>
    <w:link w:val="42"/>
    <w:qFormat/>
    <w:uiPriority w:val="0"/>
    <w:rPr>
      <w:rFonts w:ascii="Arial" w:hAnsi="Arial" w:cs="Arial"/>
      <w:b/>
      <w:bCs/>
      <w:sz w:val="44"/>
      <w:szCs w:val="32"/>
    </w:rPr>
  </w:style>
  <w:style w:type="character" w:customStyle="1" w:styleId="94">
    <w:name w:val="标题 Char1"/>
    <w:basedOn w:val="48"/>
    <w:qFormat/>
    <w:uiPriority w:val="0"/>
    <w:rPr>
      <w:rFonts w:eastAsia="宋体" w:asciiTheme="majorHAnsi" w:hAnsiTheme="majorHAnsi" w:cstheme="majorBidi"/>
      <w:b/>
      <w:bCs/>
      <w:sz w:val="32"/>
      <w:szCs w:val="32"/>
    </w:rPr>
  </w:style>
  <w:style w:type="character" w:customStyle="1" w:styleId="95">
    <w:name w:val="正文文本缩进 Char"/>
    <w:basedOn w:val="48"/>
    <w:link w:val="21"/>
    <w:qFormat/>
    <w:uiPriority w:val="0"/>
    <w:rPr>
      <w:i/>
      <w:iCs/>
    </w:rPr>
  </w:style>
  <w:style w:type="character" w:customStyle="1" w:styleId="96">
    <w:name w:val="正文文本缩进 Char1"/>
    <w:basedOn w:val="48"/>
    <w:qFormat/>
    <w:uiPriority w:val="0"/>
  </w:style>
  <w:style w:type="character" w:customStyle="1" w:styleId="97">
    <w:name w:val="正文文本 3 Char"/>
    <w:basedOn w:val="48"/>
    <w:link w:val="18"/>
    <w:qFormat/>
    <w:uiPriority w:val="0"/>
    <w:rPr>
      <w:color w:val="0000FF"/>
      <w:sz w:val="24"/>
      <w:szCs w:val="24"/>
    </w:rPr>
  </w:style>
  <w:style w:type="character" w:customStyle="1" w:styleId="98">
    <w:name w:val="正文文本 3 Char1"/>
    <w:basedOn w:val="48"/>
    <w:qFormat/>
    <w:uiPriority w:val="0"/>
    <w:rPr>
      <w:sz w:val="16"/>
      <w:szCs w:val="16"/>
    </w:rPr>
  </w:style>
  <w:style w:type="character" w:customStyle="1" w:styleId="99">
    <w:name w:val="font11"/>
    <w:basedOn w:val="48"/>
    <w:qFormat/>
    <w:uiPriority w:val="0"/>
    <w:rPr>
      <w:rFonts w:hint="default" w:ascii="Times New Roman" w:hAnsi="Times New Roman" w:cs="Times New Roman"/>
      <w:color w:val="000000"/>
      <w:sz w:val="20"/>
      <w:szCs w:val="20"/>
      <w:u w:val="none"/>
    </w:rPr>
  </w:style>
  <w:style w:type="character" w:customStyle="1" w:styleId="100">
    <w:name w:val="glossaryitem"/>
    <w:basedOn w:val="48"/>
    <w:qFormat/>
    <w:uiPriority w:val="0"/>
    <w:rPr>
      <w:u w:val="none"/>
    </w:rPr>
  </w:style>
  <w:style w:type="character" w:customStyle="1" w:styleId="101">
    <w:name w:val="HTML 预设格式 Char"/>
    <w:basedOn w:val="48"/>
    <w:link w:val="39"/>
    <w:qFormat/>
    <w:uiPriority w:val="0"/>
    <w:rPr>
      <w:rFonts w:ascii="Arial Unicode MS" w:hAnsi="Arial Unicode MS" w:eastAsia="Courier New" w:cs="Courier New"/>
    </w:rPr>
  </w:style>
  <w:style w:type="character" w:customStyle="1" w:styleId="102">
    <w:name w:val="HTML 预设格式 Char1"/>
    <w:basedOn w:val="48"/>
    <w:qFormat/>
    <w:uiPriority w:val="0"/>
    <w:rPr>
      <w:rFonts w:ascii="Courier New" w:hAnsi="Courier New" w:cs="Courier New"/>
      <w:sz w:val="20"/>
      <w:szCs w:val="20"/>
    </w:rPr>
  </w:style>
  <w:style w:type="character" w:customStyle="1" w:styleId="103">
    <w:name w:val="文档结构图 Char"/>
    <w:basedOn w:val="48"/>
    <w:link w:val="16"/>
    <w:qFormat/>
    <w:uiPriority w:val="0"/>
    <w:rPr>
      <w:rFonts w:ascii="宋体"/>
      <w:sz w:val="28"/>
      <w:shd w:val="clear" w:color="auto" w:fill="000080"/>
    </w:rPr>
  </w:style>
  <w:style w:type="character" w:customStyle="1" w:styleId="104">
    <w:name w:val="文档结构图 Char1"/>
    <w:basedOn w:val="48"/>
    <w:qFormat/>
    <w:uiPriority w:val="0"/>
    <w:rPr>
      <w:rFonts w:ascii="Microsoft YaHei UI" w:eastAsia="Microsoft YaHei UI"/>
      <w:sz w:val="18"/>
      <w:szCs w:val="18"/>
    </w:rPr>
  </w:style>
  <w:style w:type="character" w:customStyle="1" w:styleId="105">
    <w:name w:val="日期 Char"/>
    <w:basedOn w:val="48"/>
    <w:link w:val="27"/>
    <w:qFormat/>
    <w:uiPriority w:val="0"/>
    <w:rPr>
      <w:szCs w:val="24"/>
    </w:rPr>
  </w:style>
  <w:style w:type="character" w:customStyle="1" w:styleId="106">
    <w:name w:val="日期 Char1"/>
    <w:basedOn w:val="48"/>
    <w:qFormat/>
    <w:uiPriority w:val="0"/>
  </w:style>
  <w:style w:type="character" w:customStyle="1" w:styleId="107">
    <w:name w:val="正文文本 2 Char"/>
    <w:basedOn w:val="48"/>
    <w:link w:val="37"/>
    <w:qFormat/>
    <w:uiPriority w:val="0"/>
    <w:rPr>
      <w:szCs w:val="24"/>
    </w:rPr>
  </w:style>
  <w:style w:type="character" w:customStyle="1" w:styleId="108">
    <w:name w:val="正文文本 2 Char1"/>
    <w:basedOn w:val="48"/>
    <w:qFormat/>
    <w:uiPriority w:val="0"/>
  </w:style>
  <w:style w:type="character" w:customStyle="1" w:styleId="109">
    <w:name w:val="正文首行缩进 Char"/>
    <w:basedOn w:val="67"/>
    <w:link w:val="44"/>
    <w:qFormat/>
    <w:uiPriority w:val="0"/>
    <w:rPr>
      <w:rFonts w:eastAsia="宋体"/>
      <w:szCs w:val="21"/>
    </w:rPr>
  </w:style>
  <w:style w:type="character" w:customStyle="1" w:styleId="110">
    <w:name w:val="正文首行缩进 Char1"/>
    <w:basedOn w:val="67"/>
    <w:qFormat/>
    <w:uiPriority w:val="0"/>
  </w:style>
  <w:style w:type="character" w:customStyle="1" w:styleId="111">
    <w:name w:val="批注主题 Char"/>
    <w:basedOn w:val="83"/>
    <w:link w:val="43"/>
    <w:qFormat/>
    <w:uiPriority w:val="0"/>
    <w:rPr>
      <w:b/>
      <w:bCs/>
      <w:sz w:val="24"/>
      <w:szCs w:val="24"/>
    </w:rPr>
  </w:style>
  <w:style w:type="character" w:customStyle="1" w:styleId="112">
    <w:name w:val="批注主题 Char1"/>
    <w:basedOn w:val="84"/>
    <w:qFormat/>
    <w:uiPriority w:val="0"/>
    <w:rPr>
      <w:b/>
      <w:bCs/>
    </w:rPr>
  </w:style>
  <w:style w:type="paragraph" w:customStyle="1" w:styleId="113">
    <w:name w:val="标题3(小3号)"/>
    <w:basedOn w:val="4"/>
    <w:next w:val="114"/>
    <w:qFormat/>
    <w:uiPriority w:val="0"/>
    <w:pPr>
      <w:widowControl/>
      <w:spacing w:before="0" w:after="0" w:line="420" w:lineRule="exact"/>
    </w:pPr>
    <w:rPr>
      <w:b w:val="0"/>
      <w:bCs w:val="0"/>
      <w:color w:val="000000"/>
      <w:kern w:val="0"/>
      <w:sz w:val="30"/>
      <w:szCs w:val="21"/>
    </w:rPr>
  </w:style>
  <w:style w:type="paragraph" w:customStyle="1" w:styleId="114">
    <w:name w:val="正文小3号"/>
    <w:qFormat/>
    <w:uiPriority w:val="0"/>
    <w:pPr>
      <w:ind w:firstLine="595"/>
      <w:jc w:val="both"/>
    </w:pPr>
    <w:rPr>
      <w:rFonts w:ascii="Times New Roman" w:hAnsi="Times New Roman" w:eastAsia="宋体" w:cs="Times New Roman"/>
      <w:kern w:val="0"/>
      <w:sz w:val="30"/>
      <w:szCs w:val="20"/>
      <w:lang w:val="en-US" w:eastAsia="zh-CN" w:bidi="ar-SA"/>
    </w:rPr>
  </w:style>
  <w:style w:type="character" w:customStyle="1" w:styleId="115">
    <w:name w:val="信息标题 Char"/>
    <w:basedOn w:val="48"/>
    <w:link w:val="38"/>
    <w:qFormat/>
    <w:uiPriority w:val="0"/>
    <w:rPr>
      <w:rFonts w:ascii="Arial" w:hAnsi="Arial" w:eastAsia="宋体" w:cs="Arial"/>
      <w:sz w:val="24"/>
      <w:szCs w:val="24"/>
      <w:shd w:val="pct20" w:color="auto" w:fill="auto"/>
    </w:rPr>
  </w:style>
  <w:style w:type="paragraph" w:customStyle="1" w:styleId="116">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8">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0">
    <w:name w:val="Char Char Char Char Char Char Char Char Char Char Char1 Char Char Char"/>
    <w:basedOn w:val="1"/>
    <w:qFormat/>
    <w:uiPriority w:val="0"/>
    <w:rPr>
      <w:rFonts w:ascii="Times New Roman" w:hAnsi="Times New Roman" w:eastAsia="宋体" w:cs="Times New Roman"/>
      <w:szCs w:val="24"/>
    </w:rPr>
  </w:style>
  <w:style w:type="paragraph" w:customStyle="1" w:styleId="121">
    <w:name w:val="标题3(3号)"/>
    <w:basedOn w:val="4"/>
    <w:next w:val="122"/>
    <w:qFormat/>
    <w:uiPriority w:val="0"/>
    <w:pPr>
      <w:widowControl/>
      <w:spacing w:before="0" w:after="0" w:line="420" w:lineRule="exact"/>
    </w:pPr>
    <w:rPr>
      <w:b w:val="0"/>
      <w:bCs w:val="0"/>
      <w:color w:val="000000"/>
      <w:kern w:val="0"/>
      <w:szCs w:val="21"/>
    </w:rPr>
  </w:style>
  <w:style w:type="paragraph" w:customStyle="1" w:styleId="122">
    <w:name w:val="正文3号字"/>
    <w:qFormat/>
    <w:uiPriority w:val="0"/>
    <w:pPr>
      <w:ind w:firstLine="652"/>
      <w:jc w:val="both"/>
    </w:pPr>
    <w:rPr>
      <w:rFonts w:ascii="Times New Roman" w:hAnsi="Times New Roman" w:eastAsia="宋体" w:cs="Times New Roman"/>
      <w:kern w:val="0"/>
      <w:sz w:val="32"/>
      <w:szCs w:val="20"/>
      <w:lang w:val="en-US" w:eastAsia="zh-CN" w:bidi="ar-SA"/>
    </w:rPr>
  </w:style>
  <w:style w:type="paragraph" w:customStyle="1" w:styleId="123">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4">
    <w:name w:val="标题2(小3号)"/>
    <w:basedOn w:val="3"/>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kern w:val="0"/>
      <w:sz w:val="28"/>
      <w:szCs w:val="20"/>
      <w:lang w:val="en-US" w:eastAsia="zh-CN" w:bidi="ar-SA"/>
    </w:rPr>
  </w:style>
  <w:style w:type="paragraph" w:customStyle="1" w:styleId="126">
    <w:name w:val="标题1(2号)"/>
    <w:basedOn w:val="2"/>
    <w:next w:val="122"/>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rPr>
      <w:rFonts w:ascii="Times New Roman" w:hAnsi="Times New Roman" w:eastAsia="宋体" w:cs="Times New Roman"/>
      <w:sz w:val="20"/>
      <w:szCs w:val="21"/>
    </w:rPr>
  </w:style>
  <w:style w:type="paragraph" w:customStyle="1" w:styleId="128">
    <w:name w:val="Char Char Char Char Char Char Char Char Char Char Char"/>
    <w:basedOn w:val="1"/>
    <w:qFormat/>
    <w:uiPriority w:val="0"/>
    <w:rPr>
      <w:rFonts w:ascii="Times New Roman" w:hAnsi="Times New Roman" w:eastAsia="宋体" w:cs="Times New Roman"/>
      <w:szCs w:val="24"/>
    </w:rPr>
  </w:style>
  <w:style w:type="paragraph" w:customStyle="1" w:styleId="129">
    <w:name w:val="正文5号字"/>
    <w:qFormat/>
    <w:uiPriority w:val="0"/>
    <w:pPr>
      <w:jc w:val="both"/>
    </w:pPr>
    <w:rPr>
      <w:rFonts w:ascii="Times New Roman" w:hAnsi="Times New Roman" w:eastAsia="宋体" w:cs="Times New Roman"/>
      <w:kern w:val="0"/>
      <w:sz w:val="21"/>
      <w:szCs w:val="20"/>
      <w:lang w:val="en-US" w:eastAsia="zh-CN" w:bidi="ar-SA"/>
    </w:rPr>
  </w:style>
  <w:style w:type="paragraph" w:customStyle="1" w:styleId="130">
    <w:name w:val="标准"/>
    <w:basedOn w:val="1"/>
    <w:qFormat/>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31">
    <w:name w:val="Char1"/>
    <w:basedOn w:val="1"/>
    <w:qFormat/>
    <w:uiPriority w:val="0"/>
    <w:rPr>
      <w:rFonts w:ascii="Times New Roman" w:hAnsi="Times New Roman" w:eastAsia="宋体" w:cs="Times New Roman"/>
      <w:szCs w:val="21"/>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5"/>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rPr>
      <w:rFonts w:ascii="Times New Roman" w:hAnsi="Times New Roman" w:eastAsia="宋体" w:cs="Times New Roman"/>
      <w:szCs w:val="24"/>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7">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spacing w:line="360" w:lineRule="auto"/>
    </w:pPr>
    <w:rPr>
      <w:rFonts w:ascii="宋体" w:hAnsi="宋体" w:eastAsia="宋体" w:cs="宋体"/>
      <w:sz w:val="24"/>
      <w:szCs w:val="24"/>
    </w:rPr>
  </w:style>
  <w:style w:type="paragraph" w:customStyle="1" w:styleId="140">
    <w:name w:val="Char Char Char Char Char Char Char Char Char Char Char1"/>
    <w:basedOn w:val="1"/>
    <w:qFormat/>
    <w:uiPriority w:val="0"/>
    <w:rPr>
      <w:rFonts w:ascii="Times New Roman" w:hAnsi="Times New Roman" w:eastAsia="宋体" w:cs="Times New Roman"/>
      <w:szCs w:val="24"/>
    </w:rPr>
  </w:style>
  <w:style w:type="paragraph" w:customStyle="1" w:styleId="141">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2">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3">
    <w:name w:val="Char Char Char Char Char Char Char Char Char"/>
    <w:basedOn w:val="1"/>
    <w:qFormat/>
    <w:uiPriority w:val="0"/>
    <w:rPr>
      <w:rFonts w:ascii="Times New Roman" w:hAnsi="Times New Roman" w:eastAsia="宋体" w:cs="Times New Roman"/>
      <w:szCs w:val="24"/>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kern w:val="0"/>
      <w:position w:val="-6"/>
      <w:sz w:val="32"/>
      <w:szCs w:val="20"/>
      <w:lang w:val="en-US" w:eastAsia="zh-CN" w:bidi="ar-SA"/>
    </w:rPr>
  </w:style>
  <w:style w:type="paragraph" w:customStyle="1" w:styleId="145">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6">
    <w:name w:val="Char Char Char Char"/>
    <w:basedOn w:val="1"/>
    <w:qFormat/>
    <w:uiPriority w:val="0"/>
    <w:rPr>
      <w:rFonts w:ascii="Times New Roman" w:hAnsi="Times New Roman" w:eastAsia="宋体" w:cs="Times New Roman"/>
      <w:szCs w:val="24"/>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kern w:val="0"/>
      <w:sz w:val="24"/>
      <w:szCs w:val="20"/>
      <w:lang w:val="en-US" w:eastAsia="zh-CN" w:bidi="ar-SA"/>
    </w:rPr>
  </w:style>
  <w:style w:type="paragraph" w:customStyle="1" w:styleId="151">
    <w:name w:val="标题3(5号)"/>
    <w:basedOn w:val="4"/>
    <w:next w:val="129"/>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rPr>
      <w:rFonts w:ascii="Times New Roman" w:hAnsi="Times New Roman" w:eastAsia="宋体" w:cs="Times New Roman"/>
      <w:szCs w:val="24"/>
    </w:rPr>
  </w:style>
  <w:style w:type="paragraph" w:customStyle="1" w:styleId="153">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4">
    <w:name w:val="标题2(小2号)"/>
    <w:basedOn w:val="3"/>
    <w:next w:val="122"/>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0">
    <w:name w:val="Char Char Char Char Char Char Char Char Char Char Char Char"/>
    <w:basedOn w:val="1"/>
    <w:qFormat/>
    <w:uiPriority w:val="0"/>
    <w:rPr>
      <w:rFonts w:ascii="Times New Roman" w:hAnsi="Times New Roman" w:eastAsia="宋体" w:cs="Times New Roman"/>
      <w:szCs w:val="24"/>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rPr>
      <w:rFonts w:ascii="Times New Roman" w:hAnsi="Times New Roman" w:eastAsia="宋体" w:cs="Times New Roman"/>
      <w:szCs w:val="24"/>
    </w:rPr>
  </w:style>
  <w:style w:type="paragraph" w:customStyle="1" w:styleId="163">
    <w:name w:val="view_all_pic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p0"/>
    <w:basedOn w:val="1"/>
    <w:qFormat/>
    <w:uiPriority w:val="0"/>
    <w:pPr>
      <w:widowControl/>
      <w:jc w:val="left"/>
    </w:pPr>
    <w:rPr>
      <w:rFonts w:ascii="宋体" w:hAnsi="宋体" w:eastAsia="宋体" w:cs="宋体"/>
      <w:kern w:val="0"/>
      <w:sz w:val="24"/>
      <w:szCs w:val="24"/>
    </w:rPr>
  </w:style>
  <w:style w:type="paragraph" w:customStyle="1" w:styleId="165">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6">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7">
    <w:name w:val="标题1(3号)"/>
    <w:basedOn w:val="2"/>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9">
    <w:name w:val="Char2 Char Char Char"/>
    <w:basedOn w:val="1"/>
    <w:qFormat/>
    <w:uiPriority w:val="0"/>
    <w:rPr>
      <w:rFonts w:ascii="Times New Roman" w:hAnsi="Times New Roman" w:eastAsia="宋体" w:cs="Times New Roman"/>
      <w:szCs w:val="24"/>
    </w:rPr>
  </w:style>
  <w:style w:type="paragraph" w:customStyle="1" w:styleId="170">
    <w:name w:val="附件"/>
    <w:basedOn w:val="1"/>
    <w:qFormat/>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1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rPr>
      <w:rFonts w:ascii="Times New Roman" w:hAnsi="Times New Roman" w:eastAsia="宋体" w:cs="Times New Roman"/>
      <w:szCs w:val="24"/>
    </w:rPr>
  </w:style>
  <w:style w:type="paragraph" w:customStyle="1" w:styleId="174">
    <w:name w:val="ml"/>
    <w:basedOn w:val="1"/>
    <w:qFormat/>
    <w:uiPriority w:val="0"/>
    <w:rPr>
      <w:rFonts w:ascii="宋体" w:hAnsi="宋体" w:eastAsia="宋体" w:cs="Times New Roman"/>
      <w:b/>
      <w:bCs/>
      <w:sz w:val="28"/>
      <w:szCs w:val="20"/>
    </w:rPr>
  </w:style>
  <w:style w:type="paragraph" w:customStyle="1" w:styleId="175">
    <w:name w:val="标题2(3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9">
    <w:name w:val="Char Char Char Char Char Char"/>
    <w:basedOn w:val="1"/>
    <w:qFormat/>
    <w:uiPriority w:val="0"/>
    <w:rPr>
      <w:rFonts w:ascii="Times New Roman" w:hAnsi="Times New Roman" w:eastAsia="宋体" w:cs="Times New Roman"/>
      <w:szCs w:val="21"/>
    </w:rPr>
  </w:style>
  <w:style w:type="paragraph" w:customStyle="1" w:styleId="180">
    <w:name w:val="大纲1"/>
    <w:basedOn w:val="1"/>
    <w:qFormat/>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81">
    <w:name w:val="大纲2"/>
    <w:basedOn w:val="1"/>
    <w:qFormat/>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2">
    <w:name w:val="大纲3"/>
    <w:basedOn w:val="1"/>
    <w:qFormat/>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kern w:val="0"/>
      <w:position w:val="-6"/>
      <w:sz w:val="32"/>
      <w:szCs w:val="20"/>
      <w:lang w:val="en-US" w:eastAsia="zh-CN" w:bidi="ar-SA"/>
    </w:rPr>
  </w:style>
  <w:style w:type="paragraph" w:customStyle="1" w:styleId="187">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8">
    <w:name w:val="列出段落1"/>
    <w:basedOn w:val="1"/>
    <w:qFormat/>
    <w:uiPriority w:val="34"/>
    <w:pPr>
      <w:ind w:firstLine="420" w:firstLineChars="200"/>
    </w:pPr>
    <w:rPr>
      <w:rFonts w:ascii="Calibri" w:hAnsi="Calibri" w:eastAsia="宋体" w:cs="Times New Roman"/>
    </w:rPr>
  </w:style>
  <w:style w:type="character" w:customStyle="1" w:styleId="189">
    <w:name w:val="hover11"/>
    <w:basedOn w:val="48"/>
    <w:qFormat/>
    <w:uiPriority w:val="0"/>
  </w:style>
  <w:style w:type="character" w:customStyle="1" w:styleId="190">
    <w:name w:val="xdrichtextbox3"/>
    <w:basedOn w:val="48"/>
    <w:qFormat/>
    <w:uiPriority w:val="0"/>
    <w:rPr>
      <w:color w:val="auto"/>
      <w:u w:val="none"/>
      <w:bdr w:val="single" w:color="DCDCDC" w:sz="8" w:space="0"/>
      <w:shd w:val="clear" w:color="auto" w:fill="FFFFFF"/>
    </w:rPr>
  </w:style>
  <w:style w:type="paragraph" w:customStyle="1" w:styleId="191">
    <w:name w:val="71e7dc79-1ff7-45e8-997d-0ebda3762b91"/>
    <w:basedOn w:val="3"/>
    <w:next w:val="192"/>
    <w:link w:val="193"/>
    <w:qFormat/>
    <w:uiPriority w:val="0"/>
    <w:pPr>
      <w:adjustRightInd w:val="0"/>
      <w:spacing w:line="288" w:lineRule="auto"/>
      <w:ind w:left="0"/>
    </w:pPr>
    <w:rPr>
      <w:rFonts w:ascii="微软雅黑" w:hAnsi="微软雅黑" w:eastAsia="微软雅黑"/>
      <w:bCs w:val="0"/>
      <w:color w:val="000000"/>
      <w:sz w:val="28"/>
    </w:rPr>
  </w:style>
  <w:style w:type="paragraph" w:customStyle="1" w:styleId="192">
    <w:name w:val="acbfdd8b-e11b-4d36-88ff-6049b138f862"/>
    <w:basedOn w:val="20"/>
    <w:link w:val="194"/>
    <w:qFormat/>
    <w:uiPriority w:val="0"/>
    <w:pPr>
      <w:adjustRightInd w:val="0"/>
      <w:spacing w:line="288" w:lineRule="auto"/>
    </w:pPr>
    <w:rPr>
      <w:rFonts w:ascii="微软雅黑" w:hAnsi="微软雅黑" w:eastAsia="微软雅黑"/>
      <w:bCs/>
      <w:color w:val="000000"/>
      <w:sz w:val="22"/>
    </w:rPr>
  </w:style>
  <w:style w:type="character" w:customStyle="1" w:styleId="193">
    <w:name w:val="71e7dc79-1ff7-45e8-997d-0ebda3762b91 字符"/>
    <w:basedOn w:val="48"/>
    <w:link w:val="191"/>
    <w:qFormat/>
    <w:uiPriority w:val="0"/>
    <w:rPr>
      <w:rFonts w:ascii="微软雅黑" w:hAnsi="微软雅黑" w:eastAsia="微软雅黑" w:cs="宋体"/>
      <w:b/>
      <w:color w:val="000000"/>
      <w:kern w:val="0"/>
      <w:sz w:val="28"/>
      <w:szCs w:val="24"/>
      <w:lang w:eastAsia="en-US"/>
    </w:rPr>
  </w:style>
  <w:style w:type="character" w:customStyle="1" w:styleId="194">
    <w:name w:val="acbfdd8b-e11b-4d36-88ff-6049b138f862 字符"/>
    <w:basedOn w:val="48"/>
    <w:link w:val="192"/>
    <w:qFormat/>
    <w:uiPriority w:val="0"/>
    <w:rPr>
      <w:rFonts w:ascii="微软雅黑" w:hAnsi="微软雅黑" w:eastAsia="微软雅黑" w:cs="宋体"/>
      <w:bCs/>
      <w:color w:val="000000"/>
      <w:kern w:val="0"/>
      <w:sz w:val="22"/>
      <w:szCs w:val="24"/>
      <w:lang w:eastAsia="en-US"/>
    </w:rPr>
  </w:style>
  <w:style w:type="paragraph" w:customStyle="1" w:styleId="195">
    <w:name w:val="Char Char Char Char1"/>
    <w:basedOn w:val="1"/>
    <w:qFormat/>
    <w:uiPriority w:val="0"/>
    <w:rPr>
      <w:rFonts w:ascii="Times New Roman" w:hAnsi="Times New Roman" w:eastAsia="宋体" w:cs="Times New Roman"/>
      <w:szCs w:val="24"/>
    </w:rPr>
  </w:style>
  <w:style w:type="paragraph" w:customStyle="1" w:styleId="196">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7">
    <w:name w:val="样式 标题 1 + 宋体 居中 段前: 48 磅 段后: 12 磅 行距: 1.5 倍行距"/>
    <w:basedOn w:val="2"/>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8">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9">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character" w:customStyle="1" w:styleId="200">
    <w:name w:val="正文首行缩进 2 Char"/>
    <w:basedOn w:val="95"/>
    <w:link w:val="45"/>
    <w:qFormat/>
    <w:uiPriority w:val="0"/>
    <w:rPr>
      <w:rFonts w:ascii="宋体" w:hAnsi="宋体" w:eastAsia="宋体" w:cs="宋体"/>
      <w:i w:val="0"/>
      <w:iCs w:val="0"/>
      <w:kern w:val="0"/>
      <w:sz w:val="22"/>
      <w:lang w:eastAsia="en-US"/>
    </w:rPr>
  </w:style>
  <w:style w:type="character" w:customStyle="1" w:styleId="201">
    <w:name w:val="font21"/>
    <w:basedOn w:val="48"/>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7" textRotate="1"/>
    <customShpInfo spid="_x0000_s2058" textRotate="1"/>
    <customShpInfo spid="_x0000_s2059" textRotate="1"/>
    <customShpInfo spid="_x0000_s2050"/>
    <customShpInfo spid="_x0000_s2060" textRotate="1"/>
    <customShpInfo spid="_x0000_s2056"/>
    <customShpInfo spid="_x0000_s2061"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2345</Words>
  <Characters>2766</Characters>
  <Lines>88</Lines>
  <Paragraphs>24</Paragraphs>
  <TotalTime>1</TotalTime>
  <ScaleCrop>false</ScaleCrop>
  <LinksUpToDate>false</LinksUpToDate>
  <CharactersWithSpaces>3052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2025-03-03T06:10:00Z</dcterms:created>
  <dc:creator>Windows 用户</dc:creator>
  <cp:lastModifiedBy>寒梅（钦）</cp:lastModifiedBy>
  <cp:lastPrinted>2025-04-03T02:48:00Z</cp:lastPrinted>
  <dcterms:modified xsi:type="dcterms:W3CDTF">2026-04-03T08:57:57Z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2052-12.1.0.25225</vt:lpwstr>
  </property>
  <property fmtid="{D5CDD505-2E9C-101B-9397-08002B2CF9AE}" pid="4" name="ICV">
    <vt:lpwstr>1FBA838980D845EB9B88F1649A32907C_12</vt:lpwstr>
  </property>
</Properties>
</file>