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1"/>
        <w:rPr>
          <w:rFonts w:ascii="Times New Roman"/>
          <w:sz w:val="20"/>
          <w:lang w:eastAsia="zh-CN"/>
        </w:rPr>
      </w:pPr>
    </w:p>
    <w:p w14:paraId="71ACEBD5">
      <w:pPr>
        <w:pStyle w:val="21"/>
        <w:rPr>
          <w:rFonts w:ascii="Times New Roman"/>
          <w:sz w:val="20"/>
        </w:rPr>
      </w:pPr>
    </w:p>
    <w:p w14:paraId="11E04291">
      <w:pPr>
        <w:pStyle w:val="21"/>
        <w:rPr>
          <w:rFonts w:ascii="Times New Roman"/>
          <w:sz w:val="20"/>
        </w:rPr>
      </w:pPr>
    </w:p>
    <w:p w14:paraId="636675A3">
      <w:pPr>
        <w:pStyle w:val="21"/>
        <w:rPr>
          <w:rFonts w:ascii="Times New Roman"/>
          <w:sz w:val="20"/>
        </w:rPr>
      </w:pPr>
    </w:p>
    <w:p w14:paraId="6CBBDA8F">
      <w:pPr>
        <w:pStyle w:val="21"/>
        <w:rPr>
          <w:rFonts w:ascii="Times New Roman"/>
          <w:sz w:val="20"/>
        </w:rPr>
      </w:pPr>
    </w:p>
    <w:p w14:paraId="7DBC92D0">
      <w:pPr>
        <w:pStyle w:val="21"/>
        <w:spacing w:before="5"/>
        <w:rPr>
          <w:rFonts w:ascii="Times New Roman"/>
          <w:sz w:val="20"/>
        </w:rPr>
      </w:pPr>
    </w:p>
    <w:p w14:paraId="256FA1E5">
      <w:pPr>
        <w:pStyle w:val="59"/>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福建福海创石油化工有限公司</w:t>
      </w:r>
    </w:p>
    <w:p w14:paraId="75762DF9">
      <w:pPr>
        <w:pStyle w:val="59"/>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芳烃装置优化节能改造项目工业管道及设备化学清洗服务工程</w:t>
      </w:r>
    </w:p>
    <w:p w14:paraId="41DFB9F3">
      <w:pPr>
        <w:pStyle w:val="59"/>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FAP1-CGSQ-202603-007</w:t>
      </w:r>
      <w:r>
        <w:rPr>
          <w:rFonts w:hint="eastAsia"/>
          <w:color w:val="000000" w:themeColor="text1"/>
          <w:sz w:val="28"/>
          <w:szCs w:val="28"/>
        </w:rPr>
        <w:t xml:space="preserve"> ）</w:t>
      </w:r>
    </w:p>
    <w:p w14:paraId="3EED7F56">
      <w:pPr>
        <w:pStyle w:val="21"/>
        <w:rPr>
          <w:rFonts w:ascii="微软雅黑"/>
          <w:b/>
          <w:sz w:val="94"/>
          <w:lang w:eastAsia="zh-CN"/>
        </w:rPr>
      </w:pPr>
    </w:p>
    <w:p w14:paraId="383ADAD6">
      <w:pPr>
        <w:pStyle w:val="21"/>
        <w:rPr>
          <w:rFonts w:ascii="微软雅黑"/>
          <w:b/>
          <w:sz w:val="94"/>
          <w:lang w:eastAsia="zh-CN"/>
        </w:rPr>
      </w:pPr>
    </w:p>
    <w:p w14:paraId="44EA205B">
      <w:pPr>
        <w:pStyle w:val="21"/>
        <w:rPr>
          <w:rFonts w:ascii="微软雅黑"/>
          <w:b/>
          <w:sz w:val="32"/>
          <w:szCs w:val="32"/>
          <w:lang w:eastAsia="zh-CN"/>
        </w:rPr>
      </w:pPr>
    </w:p>
    <w:p w14:paraId="64E80A04">
      <w:pPr>
        <w:pStyle w:val="21"/>
        <w:rPr>
          <w:rFonts w:ascii="微软雅黑"/>
          <w:b/>
          <w:sz w:val="32"/>
          <w:szCs w:val="32"/>
          <w:lang w:eastAsia="zh-CN"/>
        </w:rPr>
      </w:pPr>
    </w:p>
    <w:p w14:paraId="34D515D1">
      <w:pPr>
        <w:pStyle w:val="21"/>
        <w:rPr>
          <w:rFonts w:ascii="微软雅黑"/>
          <w:b/>
          <w:sz w:val="32"/>
          <w:szCs w:val="32"/>
          <w:lang w:eastAsia="zh-CN"/>
        </w:rPr>
      </w:pPr>
    </w:p>
    <w:p w14:paraId="6DB2CF03">
      <w:pPr>
        <w:pStyle w:val="21"/>
        <w:rPr>
          <w:rFonts w:ascii="微软雅黑"/>
          <w:b/>
          <w:sz w:val="32"/>
          <w:szCs w:val="32"/>
          <w:lang w:eastAsia="zh-CN"/>
        </w:rPr>
      </w:pPr>
    </w:p>
    <w:p w14:paraId="7FBC88FE">
      <w:pPr>
        <w:pStyle w:val="21"/>
        <w:rPr>
          <w:rFonts w:ascii="微软雅黑"/>
          <w:b/>
          <w:sz w:val="32"/>
          <w:szCs w:val="32"/>
          <w:lang w:eastAsia="zh-CN"/>
        </w:rPr>
      </w:pPr>
    </w:p>
    <w:p w14:paraId="7EE06F7B">
      <w:pPr>
        <w:pStyle w:val="59"/>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321C197">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rPr>
        <w:t xml:space="preserve">      二〇二</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四</w:t>
      </w:r>
      <w:r>
        <w:rPr>
          <w:rFonts w:hint="eastAsia" w:ascii="微软雅黑" w:eastAsia="微软雅黑"/>
          <w:b/>
          <w:color w:val="000000" w:themeColor="text1"/>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1"/>
        <w:rPr>
          <w:rFonts w:ascii="黑体"/>
          <w:sz w:val="20"/>
          <w:lang w:eastAsia="zh-CN"/>
        </w:rPr>
      </w:pPr>
    </w:p>
    <w:p w14:paraId="2601590C">
      <w:pPr>
        <w:pStyle w:val="21"/>
        <w:rPr>
          <w:rFonts w:ascii="黑体"/>
          <w:sz w:val="20"/>
          <w:lang w:eastAsia="zh-CN"/>
        </w:rPr>
      </w:pPr>
    </w:p>
    <w:p w14:paraId="1CC1F056">
      <w:pPr>
        <w:pStyle w:val="21"/>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5"/>
        <w:numPr>
          <w:ilvl w:val="0"/>
          <w:numId w:val="8"/>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59"/>
      </w:pPr>
    </w:p>
    <w:p w14:paraId="678BF23D">
      <w:pPr>
        <w:jc w:val="center"/>
        <w:rPr>
          <w:rFonts w:hint="eastAsia"/>
          <w:b/>
          <w:bCs/>
          <w:sz w:val="32"/>
          <w:lang w:eastAsia="zh-CN"/>
        </w:rPr>
      </w:pPr>
      <w:r>
        <w:rPr>
          <w:rFonts w:hint="eastAsia"/>
          <w:b/>
          <w:bCs/>
          <w:sz w:val="32"/>
          <w:lang w:eastAsia="zh-CN"/>
        </w:rPr>
        <w:t>福建福海创石油化工有限公司</w:t>
      </w:r>
    </w:p>
    <w:p w14:paraId="448318D1">
      <w:pPr>
        <w:jc w:val="center"/>
        <w:rPr>
          <w:rFonts w:hint="eastAsia"/>
          <w:b/>
          <w:bCs/>
          <w:sz w:val="32"/>
          <w:lang w:eastAsia="zh-CN"/>
        </w:rPr>
      </w:pPr>
      <w:r>
        <w:rPr>
          <w:rFonts w:hint="eastAsia"/>
          <w:b/>
          <w:bCs/>
          <w:sz w:val="32"/>
          <w:lang w:eastAsia="zh-CN"/>
        </w:rPr>
        <w:t>芳烃装置优化节能改造项目工业管道及设备化学清洗服务工程询比公告</w:t>
      </w:r>
    </w:p>
    <w:p w14:paraId="745BDD3E">
      <w:pPr>
        <w:pStyle w:val="21"/>
        <w:rPr>
          <w:b/>
          <w:sz w:val="28"/>
          <w:lang w:eastAsia="zh-CN"/>
        </w:rPr>
      </w:pPr>
    </w:p>
    <w:p w14:paraId="03439321">
      <w:pPr>
        <w:pStyle w:val="21"/>
        <w:spacing w:before="26" w:line="360" w:lineRule="auto"/>
        <w:ind w:right="121"/>
        <w:jc w:val="both"/>
        <w:rPr>
          <w:lang w:eastAsia="zh-CN"/>
        </w:rPr>
      </w:pPr>
      <w:r>
        <w:rPr>
          <w:rFonts w:hint="eastAsia"/>
          <w:lang w:eastAsia="zh-CN"/>
        </w:rPr>
        <w:t xml:space="preserve">    福建福海创石油化工有限公司</w:t>
      </w:r>
      <w:r>
        <w:rPr>
          <w:rFonts w:hint="eastAsia"/>
          <w:color w:val="000000" w:themeColor="text1"/>
          <w:lang w:eastAsia="zh-CN"/>
        </w:rPr>
        <w:t>就“</w:t>
      </w:r>
      <w:r>
        <w:rPr>
          <w:rFonts w:hint="eastAsia"/>
          <w:color w:val="000000" w:themeColor="text1"/>
          <w:u w:val="single"/>
          <w:lang w:eastAsia="zh-CN"/>
        </w:rPr>
        <w:t>福建福海创石油化工有限公司芳烃装置优化节能改造项目工业管道及设备化学清洗服务工程（项目编号：FAP4-CGSQ-202604-002）</w:t>
      </w:r>
      <w:r>
        <w:rPr>
          <w:rFonts w:hint="eastAsia"/>
          <w:color w:val="000000" w:themeColor="text1"/>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2A993CED">
      <w:pPr>
        <w:tabs>
          <w:tab w:val="left" w:pos="709"/>
        </w:tabs>
        <w:spacing w:line="360" w:lineRule="auto"/>
        <w:ind w:firstLine="480" w:firstLineChars="200"/>
        <w:rPr>
          <w:rFonts w:hint="eastAsia"/>
          <w:sz w:val="24"/>
          <w:szCs w:val="24"/>
          <w:lang w:eastAsia="zh-CN"/>
        </w:rPr>
      </w:pPr>
      <w:r>
        <w:rPr>
          <w:sz w:val="24"/>
          <w:szCs w:val="24"/>
          <w:lang w:eastAsia="zh-CN"/>
        </w:rPr>
        <w:t>1.</w:t>
      </w:r>
      <w:r>
        <w:rPr>
          <w:rFonts w:hint="eastAsia"/>
          <w:sz w:val="24"/>
          <w:szCs w:val="24"/>
          <w:lang w:eastAsia="zh-CN"/>
        </w:rPr>
        <w:t>项目名称：福建福海创石油化工有限公司芳烃装置优化节能改造项目工业管道及设备化学清洗服务工程</w:t>
      </w:r>
    </w:p>
    <w:p w14:paraId="2E678DB7">
      <w:pPr>
        <w:tabs>
          <w:tab w:val="left" w:pos="709"/>
        </w:tabs>
        <w:spacing w:line="360" w:lineRule="auto"/>
        <w:ind w:firstLine="480" w:firstLineChars="200"/>
        <w:rPr>
          <w:rFonts w:hint="eastAsia"/>
          <w:sz w:val="24"/>
          <w:szCs w:val="24"/>
          <w:lang w:eastAsia="zh-CN"/>
        </w:rPr>
      </w:pPr>
      <w:r>
        <w:rPr>
          <w:rFonts w:hint="eastAsia"/>
          <w:sz w:val="24"/>
          <w:szCs w:val="24"/>
          <w:lang w:eastAsia="zh-CN"/>
        </w:rPr>
        <w:t>2.采购项目简要说明：芳烃装置优化节能改造项目部分工业管道及设备进行化学清洗，具体详见附件化学清洗清单、工艺流程图、管道单线图及设备图等。</w:t>
      </w:r>
    </w:p>
    <w:p w14:paraId="10E7CD1A">
      <w:pPr>
        <w:tabs>
          <w:tab w:val="left" w:pos="709"/>
        </w:tabs>
        <w:spacing w:line="360" w:lineRule="auto"/>
        <w:ind w:firstLine="480" w:firstLineChars="200"/>
        <w:rPr>
          <w:rFonts w:hint="default"/>
          <w:sz w:val="24"/>
          <w:szCs w:val="24"/>
          <w:lang w:val="en-US" w:eastAsia="zh-CN"/>
        </w:rPr>
      </w:pPr>
      <w:r>
        <w:rPr>
          <w:rFonts w:hint="eastAsia"/>
          <w:sz w:val="24"/>
          <w:szCs w:val="24"/>
          <w:lang w:eastAsia="zh-CN"/>
        </w:rPr>
        <w:t>3.采购控制价：781461.62元（含</w:t>
      </w:r>
      <w:r>
        <w:rPr>
          <w:rFonts w:hint="eastAsia"/>
          <w:sz w:val="24"/>
          <w:szCs w:val="24"/>
          <w:lang w:val="en-US" w:eastAsia="zh-CN"/>
        </w:rPr>
        <w:t>6</w:t>
      </w:r>
      <w:r>
        <w:rPr>
          <w:rFonts w:hint="eastAsia"/>
          <w:sz w:val="24"/>
          <w:szCs w:val="24"/>
          <w:lang w:eastAsia="zh-CN"/>
        </w:rPr>
        <w:t>%增值税）</w:t>
      </w:r>
      <w:r>
        <w:rPr>
          <w:rFonts w:hint="eastAsia"/>
          <w:sz w:val="24"/>
          <w:szCs w:val="24"/>
          <w:lang w:val="en-US" w:eastAsia="zh-CN"/>
        </w:rPr>
        <w:t>。</w:t>
      </w:r>
    </w:p>
    <w:p w14:paraId="6B0FDC55">
      <w:pPr>
        <w:tabs>
          <w:tab w:val="left" w:pos="709"/>
        </w:tabs>
        <w:spacing w:line="360" w:lineRule="auto"/>
        <w:ind w:firstLine="480" w:firstLineChars="200"/>
        <w:rPr>
          <w:rFonts w:hint="default"/>
          <w:sz w:val="24"/>
          <w:szCs w:val="24"/>
          <w:lang w:val="en-US" w:eastAsia="zh-CN"/>
        </w:rPr>
      </w:pPr>
      <w:r>
        <w:rPr>
          <w:rFonts w:hint="eastAsia"/>
          <w:sz w:val="24"/>
          <w:szCs w:val="24"/>
          <w:lang w:eastAsia="zh-CN"/>
        </w:rPr>
        <w:t>4.工期要求：</w:t>
      </w:r>
      <w:r>
        <w:rPr>
          <w:rFonts w:hint="eastAsia"/>
          <w:sz w:val="24"/>
          <w:szCs w:val="24"/>
          <w:lang w:val="en-US" w:eastAsia="zh-CN"/>
        </w:rPr>
        <w:t>本项目工期要求不大于 7 个日历天，开工日期根据发包人通知。</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1F712135">
      <w:pPr>
        <w:tabs>
          <w:tab w:val="left" w:pos="709"/>
        </w:tabs>
        <w:spacing w:line="360" w:lineRule="auto"/>
        <w:ind w:firstLine="480" w:firstLineChars="200"/>
        <w:rPr>
          <w:rFonts w:hint="eastAsia"/>
          <w:sz w:val="24"/>
          <w:szCs w:val="24"/>
          <w:lang w:eastAsia="zh-CN"/>
        </w:rPr>
      </w:pPr>
      <w:r>
        <w:rPr>
          <w:rFonts w:hint="eastAsia"/>
          <w:sz w:val="24"/>
          <w:szCs w:val="24"/>
          <w:lang w:eastAsia="zh-CN"/>
        </w:rPr>
        <w:t>1.参比人必须具备有效的企业法人营业执照。</w:t>
      </w:r>
    </w:p>
    <w:p w14:paraId="2E890429">
      <w:pPr>
        <w:tabs>
          <w:tab w:val="left" w:pos="709"/>
        </w:tabs>
        <w:spacing w:line="360" w:lineRule="auto"/>
        <w:ind w:firstLine="480" w:firstLineChars="200"/>
        <w:rPr>
          <w:rFonts w:hint="eastAsia"/>
          <w:sz w:val="24"/>
          <w:szCs w:val="24"/>
          <w:lang w:eastAsia="zh-CN"/>
        </w:rPr>
      </w:pPr>
      <w:r>
        <w:rPr>
          <w:rFonts w:hint="eastAsia"/>
          <w:sz w:val="24"/>
          <w:szCs w:val="24"/>
          <w:lang w:val="en-US" w:eastAsia="zh-CN"/>
        </w:rPr>
        <w:t>2.参比人</w:t>
      </w:r>
      <w:r>
        <w:rPr>
          <w:rFonts w:hint="eastAsia"/>
          <w:sz w:val="24"/>
          <w:szCs w:val="24"/>
          <w:lang w:eastAsia="zh-CN"/>
        </w:rPr>
        <w:t>必须具有工业清洗企业资质证书化学清洗</w:t>
      </w:r>
      <w:r>
        <w:rPr>
          <w:rFonts w:hint="eastAsia"/>
          <w:sz w:val="24"/>
          <w:szCs w:val="24"/>
          <w:lang w:val="en-US" w:eastAsia="zh-CN"/>
        </w:rPr>
        <w:t>A</w:t>
      </w:r>
      <w:r>
        <w:rPr>
          <w:rFonts w:hint="eastAsia"/>
          <w:sz w:val="24"/>
          <w:szCs w:val="24"/>
          <w:lang w:eastAsia="zh-CN"/>
        </w:rPr>
        <w:t>级，具备有效的安全生产许可证，且近3年内无重大安全事故记录。</w:t>
      </w:r>
    </w:p>
    <w:p w14:paraId="47192DFD">
      <w:pPr>
        <w:tabs>
          <w:tab w:val="left" w:pos="709"/>
        </w:tabs>
        <w:spacing w:line="360" w:lineRule="auto"/>
        <w:ind w:firstLine="480" w:firstLineChars="200"/>
        <w:rPr>
          <w:rFonts w:hint="eastAsia"/>
          <w:sz w:val="24"/>
          <w:szCs w:val="24"/>
          <w:lang w:val="en-US" w:eastAsia="zh-CN"/>
        </w:rPr>
      </w:pPr>
      <w:r>
        <w:rPr>
          <w:rFonts w:hint="eastAsia"/>
          <w:sz w:val="24"/>
          <w:szCs w:val="24"/>
          <w:lang w:val="en-US" w:eastAsia="zh-CN"/>
        </w:rPr>
        <w:t>3.参比人2021年1月1日至今具有石油化工装置工艺管道清洗业绩不少于2项，需提供合同复印件和技术文件复印件。</w:t>
      </w:r>
    </w:p>
    <w:p w14:paraId="12607273">
      <w:pPr>
        <w:tabs>
          <w:tab w:val="left" w:pos="709"/>
        </w:tabs>
        <w:spacing w:line="360" w:lineRule="auto"/>
        <w:ind w:firstLine="480" w:firstLineChars="200"/>
        <w:rPr>
          <w:rFonts w:hint="default" w:eastAsia="宋体"/>
          <w:sz w:val="24"/>
          <w:szCs w:val="24"/>
          <w:lang w:val="en-US" w:eastAsia="zh-CN"/>
        </w:rPr>
      </w:pPr>
      <w:r>
        <w:rPr>
          <w:rFonts w:hint="eastAsia"/>
          <w:sz w:val="24"/>
          <w:szCs w:val="24"/>
          <w:lang w:val="en-US" w:eastAsia="zh-CN"/>
        </w:rPr>
        <w:t>4.参比人拥有专业的化学清洗施工团队，团队成员需具备相应的从业资格证书，关键岗位人员（如现场负责人、技术负责人）需有5年以上工业管道化学清洗施工经验。关键岗位人员需要提供工作履历。</w:t>
      </w:r>
    </w:p>
    <w:p w14:paraId="048F1F37">
      <w:pPr>
        <w:tabs>
          <w:tab w:val="left" w:pos="709"/>
        </w:tabs>
        <w:spacing w:line="360" w:lineRule="auto"/>
        <w:ind w:firstLine="480" w:firstLineChars="200"/>
        <w:rPr>
          <w:sz w:val="24"/>
          <w:szCs w:val="24"/>
          <w:lang w:eastAsia="zh-CN"/>
        </w:rPr>
      </w:pPr>
      <w:r>
        <w:rPr>
          <w:rFonts w:hint="eastAsia"/>
          <w:sz w:val="24"/>
          <w:szCs w:val="24"/>
          <w:lang w:val="en-US" w:eastAsia="zh-CN"/>
        </w:rPr>
        <w:t>5</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432B76D9">
      <w:pPr>
        <w:tabs>
          <w:tab w:val="left" w:pos="709"/>
        </w:tabs>
        <w:spacing w:line="360" w:lineRule="auto"/>
        <w:ind w:firstLine="480" w:firstLineChars="200"/>
        <w:rPr>
          <w:sz w:val="24"/>
          <w:szCs w:val="24"/>
          <w:lang w:eastAsia="zh-CN"/>
        </w:rPr>
      </w:pPr>
      <w:r>
        <w:rPr>
          <w:rFonts w:hint="eastAsia"/>
          <w:sz w:val="24"/>
          <w:szCs w:val="24"/>
          <w:lang w:val="en-US" w:eastAsia="zh-CN"/>
        </w:rPr>
        <w:t>6</w:t>
      </w:r>
      <w:r>
        <w:rPr>
          <w:sz w:val="24"/>
          <w:szCs w:val="24"/>
          <w:lang w:eastAsia="zh-CN"/>
        </w:rPr>
        <w:t>.与</w:t>
      </w:r>
      <w:r>
        <w:rPr>
          <w:rFonts w:hint="eastAsia"/>
          <w:sz w:val="24"/>
          <w:szCs w:val="24"/>
          <w:lang w:eastAsia="zh-CN"/>
        </w:rPr>
        <w:t>采购人</w:t>
      </w:r>
      <w:r>
        <w:rPr>
          <w:sz w:val="24"/>
          <w:szCs w:val="24"/>
          <w:lang w:eastAsia="zh-CN"/>
        </w:rPr>
        <w:t>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4</w:t>
      </w:r>
      <w:r>
        <w:rPr>
          <w:rFonts w:hint="eastAsia"/>
          <w:color w:val="000000" w:themeColor="text1"/>
          <w:sz w:val="24"/>
          <w:szCs w:val="24"/>
          <w:lang w:eastAsia="zh-CN"/>
        </w:rPr>
        <w:t>月</w:t>
      </w:r>
      <w:r>
        <w:rPr>
          <w:rFonts w:hint="eastAsia"/>
          <w:color w:val="000000" w:themeColor="text1"/>
          <w:sz w:val="24"/>
          <w:szCs w:val="24"/>
          <w:lang w:val="en-US" w:eastAsia="zh-CN"/>
        </w:rPr>
        <w:t>29</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5</w:t>
      </w:r>
      <w:r>
        <w:rPr>
          <w:rFonts w:hint="eastAsia"/>
          <w:color w:val="000000" w:themeColor="text1"/>
          <w:sz w:val="24"/>
          <w:szCs w:val="24"/>
          <w:lang w:eastAsia="zh-CN"/>
        </w:rPr>
        <w:t>月</w:t>
      </w:r>
      <w:r>
        <w:rPr>
          <w:rFonts w:hint="eastAsia"/>
          <w:color w:val="000000" w:themeColor="text1"/>
          <w:sz w:val="24"/>
          <w:szCs w:val="24"/>
          <w:lang w:val="en-US" w:eastAsia="zh-CN"/>
        </w:rPr>
        <w:t>8</w:t>
      </w:r>
      <w:r>
        <w:rPr>
          <w:rFonts w:hint="eastAsia"/>
          <w:color w:val="000000" w:themeColor="text1"/>
          <w:sz w:val="24"/>
          <w:szCs w:val="24"/>
          <w:lang w:eastAsia="zh-CN"/>
        </w:rPr>
        <w:t>日</w:t>
      </w:r>
    </w:p>
    <w:p w14:paraId="14D88B24">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报名方式：参比人在报名时间内将报名文件发送至邮箱hjzhang@fhcpec.com.cn，报名文件包含：</w:t>
      </w:r>
    </w:p>
    <w:p w14:paraId="525E91B5">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（1）法定代表人授权委托书（扫描件，格式详见“附件：法定代表人授权委托书”）；</w:t>
      </w:r>
    </w:p>
    <w:p w14:paraId="1F599011">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（2）营业执照（加盖单位公章的扫描件）；</w:t>
      </w:r>
    </w:p>
    <w:p w14:paraId="65EDB709">
      <w:pPr>
        <w:tabs>
          <w:tab w:val="left" w:pos="709"/>
        </w:tabs>
        <w:spacing w:line="360" w:lineRule="auto"/>
        <w:ind w:firstLine="480" w:firstLineChars="200"/>
        <w:rPr>
          <w:rFonts w:hint="default"/>
          <w:color w:val="000000" w:themeColor="text1"/>
          <w:sz w:val="24"/>
          <w:szCs w:val="24"/>
          <w:lang w:val="en-US" w:eastAsia="zh-CN"/>
        </w:rPr>
      </w:pPr>
      <w:r>
        <w:rPr>
          <w:rFonts w:hint="eastAsia"/>
          <w:color w:val="000000" w:themeColor="text1"/>
          <w:sz w:val="24"/>
          <w:szCs w:val="24"/>
          <w:lang w:eastAsia="zh-CN"/>
        </w:rPr>
        <w:t>（</w:t>
      </w:r>
      <w:r>
        <w:rPr>
          <w:rFonts w:hint="eastAsia"/>
          <w:color w:val="000000" w:themeColor="text1"/>
          <w:sz w:val="24"/>
          <w:szCs w:val="24"/>
          <w:lang w:val="en-US" w:eastAsia="zh-CN"/>
        </w:rPr>
        <w:t>3</w:t>
      </w:r>
      <w:r>
        <w:rPr>
          <w:rFonts w:hint="eastAsia"/>
          <w:color w:val="000000" w:themeColor="text1"/>
          <w:sz w:val="24"/>
          <w:szCs w:val="24"/>
          <w:lang w:eastAsia="zh-CN"/>
        </w:rPr>
        <w:t>）</w:t>
      </w:r>
      <w:r>
        <w:rPr>
          <w:rFonts w:hint="eastAsia"/>
          <w:color w:val="000000" w:themeColor="text1"/>
          <w:sz w:val="24"/>
          <w:szCs w:val="24"/>
          <w:lang w:val="en-US" w:eastAsia="zh-CN"/>
        </w:rPr>
        <w:t>资质证书</w:t>
      </w:r>
      <w:r>
        <w:rPr>
          <w:rFonts w:hint="eastAsia"/>
          <w:color w:val="000000" w:themeColor="text1"/>
          <w:sz w:val="24"/>
          <w:szCs w:val="24"/>
          <w:lang w:eastAsia="zh-CN"/>
        </w:rPr>
        <w:t>（加盖单位公章的扫描件）。</w:t>
      </w:r>
    </w:p>
    <w:p w14:paraId="4168296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1BE7EC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2B55A666">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w:t>
      </w:r>
    </w:p>
    <w:p w14:paraId="0FDD6E33">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5</w:t>
      </w:r>
      <w:r>
        <w:rPr>
          <w:rFonts w:hint="eastAsia"/>
          <w:color w:val="000000" w:themeColor="text1"/>
          <w:sz w:val="24"/>
          <w:szCs w:val="24"/>
          <w:lang w:eastAsia="zh-CN"/>
        </w:rPr>
        <w:t>月</w:t>
      </w:r>
      <w:r>
        <w:rPr>
          <w:rFonts w:hint="eastAsia"/>
          <w:color w:val="000000" w:themeColor="text1"/>
          <w:sz w:val="24"/>
          <w:szCs w:val="24"/>
          <w:lang w:val="en-US" w:eastAsia="zh-CN"/>
        </w:rPr>
        <w:t>11</w:t>
      </w:r>
      <w:r>
        <w:rPr>
          <w:rFonts w:hint="eastAsia"/>
          <w:color w:val="000000" w:themeColor="text1"/>
          <w:sz w:val="24"/>
          <w:szCs w:val="24"/>
          <w:lang w:eastAsia="zh-CN"/>
        </w:rPr>
        <w:t>日14时0分。</w:t>
      </w:r>
    </w:p>
    <w:p w14:paraId="41FAF71A">
      <w:pPr>
        <w:spacing w:line="360" w:lineRule="auto"/>
        <w:ind w:firstLine="514" w:firstLineChars="200"/>
        <w:rPr>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 xml:space="preserve">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联系地址：漳州市古雷经济开发区疏港大道南102号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室。邮    编：363216</w:t>
      </w:r>
    </w:p>
    <w:p w14:paraId="08BEC095">
      <w:pPr>
        <w:spacing w:line="360" w:lineRule="auto"/>
        <w:rPr>
          <w:sz w:val="24"/>
          <w:szCs w:val="24"/>
          <w:lang w:eastAsia="zh-CN"/>
        </w:rPr>
      </w:pPr>
    </w:p>
    <w:p w14:paraId="18EEC97B">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14:paraId="1BB433C0">
      <w:pPr>
        <w:spacing w:line="360" w:lineRule="auto"/>
        <w:ind w:firstLine="480" w:firstLineChars="200"/>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4</w:t>
      </w:r>
      <w:r>
        <w:rPr>
          <w:rFonts w:hint="eastAsia"/>
          <w:color w:val="000000" w:themeColor="text1"/>
          <w:sz w:val="24"/>
          <w:szCs w:val="24"/>
          <w:lang w:eastAsia="zh-CN"/>
        </w:rPr>
        <w:t>月</w:t>
      </w:r>
      <w:r>
        <w:rPr>
          <w:rFonts w:hint="eastAsia"/>
          <w:color w:val="000000" w:themeColor="text1"/>
          <w:sz w:val="24"/>
          <w:szCs w:val="24"/>
          <w:lang w:val="en-US" w:eastAsia="zh-CN"/>
        </w:rPr>
        <w:t>29</w:t>
      </w:r>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59"/>
      </w:pPr>
    </w:p>
    <w:p w14:paraId="0480057A">
      <w:pPr>
        <w:pStyle w:val="59"/>
      </w:pPr>
    </w:p>
    <w:p w14:paraId="3E5EC0CF">
      <w:pPr>
        <w:pStyle w:val="59"/>
      </w:pPr>
    </w:p>
    <w:p w14:paraId="31559779">
      <w:pPr>
        <w:pStyle w:val="59"/>
      </w:pPr>
    </w:p>
    <w:p w14:paraId="55228FBD">
      <w:pPr>
        <w:pStyle w:val="59"/>
      </w:pPr>
    </w:p>
    <w:p w14:paraId="3002329D">
      <w:pPr>
        <w:pStyle w:val="59"/>
      </w:pPr>
    </w:p>
    <w:p w14:paraId="77031BBD">
      <w:pPr>
        <w:pStyle w:val="59"/>
      </w:pPr>
    </w:p>
    <w:p w14:paraId="02B33D47">
      <w:pPr>
        <w:pStyle w:val="59"/>
      </w:pPr>
    </w:p>
    <w:p w14:paraId="2AF800CB">
      <w:pPr>
        <w:pStyle w:val="59"/>
      </w:pPr>
    </w:p>
    <w:p w14:paraId="5E398EA5">
      <w:pPr>
        <w:pStyle w:val="59"/>
      </w:pPr>
    </w:p>
    <w:p w14:paraId="4FF60EEB">
      <w:pPr>
        <w:pStyle w:val="59"/>
      </w:pPr>
    </w:p>
    <w:p w14:paraId="511C7B09">
      <w:pPr>
        <w:pStyle w:val="59"/>
      </w:pPr>
    </w:p>
    <w:p w14:paraId="35C1D2D2">
      <w:pPr>
        <w:pStyle w:val="59"/>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）作为参比人代表以我方的名义参加贵单位组织的</w:t>
      </w:r>
      <w:r>
        <w:rPr>
          <w:rFonts w:hint="eastAsia"/>
          <w:sz w:val="24"/>
          <w:szCs w:val="24"/>
          <w:lang w:eastAsia="zh-CN"/>
        </w:rPr>
        <w:t>福建福海创石油化工有限公司芳烃装置优化节能改造项目工业管道及设备化学清洗服务工程</w:t>
      </w:r>
      <w:r>
        <w:rPr>
          <w:rFonts w:hint="eastAsia" w:hAnsi="Calibri" w:cs="黑体"/>
          <w:color w:val="000000" w:themeColor="text1"/>
          <w:sz w:val="24"/>
          <w:szCs w:val="24"/>
          <w:u w:val="single"/>
          <w:lang w:eastAsia="zh-CN"/>
        </w:rPr>
        <w:t>（项目编号：FAP4-CGSQ-202604-002）</w:t>
      </w:r>
      <w:r>
        <w:rPr>
          <w:rFonts w:hint="eastAsia" w:hAnsi="Calibri" w:cs="黑体"/>
          <w:color w:val="000000" w:themeColor="text1"/>
          <w:sz w:val="24"/>
          <w:szCs w:val="24"/>
          <w:lang w:eastAsia="zh-CN"/>
        </w:rPr>
        <w:t>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59"/>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65C0FA8F">
      <w:pPr>
        <w:pStyle w:val="21"/>
        <w:spacing w:line="360" w:lineRule="auto"/>
        <w:ind w:right="121" w:firstLine="480"/>
        <w:jc w:val="both"/>
        <w:rPr>
          <w:rFonts w:hint="eastAsia"/>
          <w:color w:val="000000" w:themeColor="text1"/>
          <w:lang w:eastAsia="zh-CN"/>
        </w:rPr>
      </w:pPr>
      <w:r>
        <w:rPr>
          <w:rFonts w:hint="eastAsia"/>
          <w:lang w:eastAsia="zh-CN"/>
        </w:rPr>
        <w:t>1.项目</w:t>
      </w:r>
      <w:r>
        <w:rPr>
          <w:lang w:eastAsia="zh-CN"/>
        </w:rPr>
        <w:t>名称</w:t>
      </w:r>
      <w:r>
        <w:rPr>
          <w:color w:val="000000" w:themeColor="text1"/>
          <w:lang w:eastAsia="zh-CN"/>
        </w:rPr>
        <w:t>：</w:t>
      </w:r>
      <w:r>
        <w:rPr>
          <w:rFonts w:hint="eastAsia"/>
          <w:color w:val="000000" w:themeColor="text1"/>
          <w:lang w:eastAsia="zh-CN"/>
        </w:rPr>
        <w:t>福建福海创石油化工有限公司芳烃装置优化节能改造项目工业管道及设备化学清洗服务工程</w:t>
      </w:r>
    </w:p>
    <w:p w14:paraId="48298414">
      <w:pPr>
        <w:pStyle w:val="21"/>
        <w:spacing w:line="360" w:lineRule="auto"/>
        <w:ind w:right="121" w:firstLine="480"/>
        <w:jc w:val="both"/>
        <w:rPr>
          <w:lang w:eastAsia="zh-CN"/>
        </w:rPr>
      </w:pPr>
      <w:r>
        <w:rPr>
          <w:rFonts w:hint="eastAsia"/>
          <w:lang w:eastAsia="zh-CN"/>
        </w:rPr>
        <w:t>2.项目</w:t>
      </w:r>
      <w:r>
        <w:rPr>
          <w:lang w:eastAsia="zh-CN"/>
        </w:rPr>
        <w:t>地点：</w:t>
      </w:r>
      <w:r>
        <w:rPr>
          <w:rFonts w:hint="eastAsia"/>
          <w:lang w:eastAsia="zh-CN"/>
        </w:rPr>
        <w:t>福建福海创石油化工有限公司</w:t>
      </w:r>
    </w:p>
    <w:p w14:paraId="7BBCDF29">
      <w:pPr>
        <w:pStyle w:val="21"/>
        <w:spacing w:line="360" w:lineRule="auto"/>
        <w:ind w:right="121"/>
        <w:jc w:val="both"/>
        <w:rPr>
          <w:rFonts w:hint="default"/>
          <w:lang w:val="en-US" w:eastAsia="zh-CN"/>
        </w:rPr>
      </w:pPr>
      <w:r>
        <w:rPr>
          <w:rFonts w:hint="eastAsia"/>
          <w:lang w:eastAsia="zh-CN"/>
        </w:rPr>
        <w:t xml:space="preserve">    3.承包方</w:t>
      </w:r>
      <w:r>
        <w:rPr>
          <w:rFonts w:hint="eastAsia"/>
          <w:color w:val="000000" w:themeColor="text1"/>
          <w:lang w:eastAsia="zh-CN"/>
        </w:rPr>
        <w:t>式：</w:t>
      </w:r>
      <w:r>
        <w:rPr>
          <w:rFonts w:hint="eastAsia"/>
          <w:color w:val="000000" w:themeColor="text1"/>
          <w:lang w:val="en-US" w:eastAsia="zh-CN"/>
        </w:rPr>
        <w:t>固定单价，据实结算</w:t>
      </w:r>
    </w:p>
    <w:p w14:paraId="17CA1751">
      <w:pPr>
        <w:pStyle w:val="21"/>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技术邀请</w:t>
      </w:r>
    </w:p>
    <w:p w14:paraId="3EED35CC">
      <w:pPr>
        <w:pStyle w:val="21"/>
        <w:spacing w:line="360" w:lineRule="auto"/>
        <w:ind w:right="121"/>
        <w:jc w:val="both"/>
        <w:rPr>
          <w:lang w:eastAsia="zh-CN"/>
        </w:rPr>
      </w:pPr>
      <w:r>
        <w:rPr>
          <w:rFonts w:hint="eastAsia"/>
          <w:lang w:eastAsia="zh-CN"/>
        </w:rPr>
        <w:t xml:space="preserve">    5.项目联系人</w:t>
      </w:r>
    </w:p>
    <w:p w14:paraId="09202660">
      <w:pPr>
        <w:pStyle w:val="21"/>
        <w:spacing w:line="360" w:lineRule="auto"/>
        <w:ind w:right="121" w:firstLine="480"/>
        <w:jc w:val="both"/>
        <w:rPr>
          <w:rFonts w:hint="default" w:cs="宋体"/>
          <w:lang w:val="en-US" w:eastAsia="zh-CN"/>
        </w:rPr>
      </w:pPr>
      <w:r>
        <w:rPr>
          <w:rFonts w:hint="eastAsia" w:ascii="宋体" w:hAnsi="宋体" w:eastAsia="宋体" w:cs="宋体"/>
          <w:lang w:eastAsia="zh-CN"/>
        </w:rPr>
        <w:t>技术联系人：</w:t>
      </w:r>
      <w:r>
        <w:rPr>
          <w:rFonts w:hint="eastAsia" w:cs="宋体"/>
          <w:lang w:val="en-US" w:eastAsia="zh-CN"/>
        </w:rPr>
        <w:t>刘春艳 0596-6311532，18060283950，lcy@fhcpec.com.cn</w:t>
      </w:r>
      <w:r>
        <w:rPr>
          <w:rFonts w:hint="default" w:cs="宋体"/>
          <w:lang w:val="en-US" w:eastAsia="zh-CN"/>
        </w:rPr>
        <w:t> </w:t>
      </w:r>
    </w:p>
    <w:p w14:paraId="008EC890">
      <w:pPr>
        <w:pStyle w:val="21"/>
        <w:spacing w:line="360" w:lineRule="auto"/>
        <w:ind w:right="121" w:firstLine="480"/>
        <w:jc w:val="both"/>
        <w:rPr>
          <w:lang w:eastAsia="zh-CN"/>
        </w:rPr>
      </w:pPr>
      <w:r>
        <w:rPr>
          <w:rFonts w:hint="eastAsia"/>
          <w:lang w:eastAsia="zh-CN"/>
        </w:rPr>
        <w:t xml:space="preserve">商务联系人：张华娟 </w:t>
      </w:r>
      <w:r>
        <w:rPr>
          <w:rFonts w:hint="eastAsia"/>
          <w:lang w:val="en-US" w:eastAsia="zh-CN"/>
        </w:rPr>
        <w:t>0596-6311821</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1"/>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1"/>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1"/>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1"/>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1"/>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708B046D">
      <w:pPr>
        <w:tabs>
          <w:tab w:val="left" w:pos="709"/>
        </w:tabs>
        <w:spacing w:line="360" w:lineRule="auto"/>
        <w:ind w:firstLine="480" w:firstLineChars="200"/>
        <w:rPr>
          <w:rFonts w:hint="eastAsia"/>
          <w:sz w:val="24"/>
          <w:szCs w:val="24"/>
          <w:lang w:eastAsia="zh-CN"/>
        </w:rPr>
      </w:pPr>
      <w:r>
        <w:rPr>
          <w:rFonts w:hint="eastAsia"/>
          <w:sz w:val="24"/>
          <w:szCs w:val="24"/>
          <w:lang w:eastAsia="zh-CN"/>
        </w:rPr>
        <w:t>1.参比人必须具备有效的企业法人营业执照。</w:t>
      </w:r>
    </w:p>
    <w:p w14:paraId="7CB34E78">
      <w:pPr>
        <w:tabs>
          <w:tab w:val="left" w:pos="709"/>
        </w:tabs>
        <w:spacing w:line="360" w:lineRule="auto"/>
        <w:ind w:firstLine="480" w:firstLineChars="200"/>
        <w:rPr>
          <w:rFonts w:hint="eastAsia"/>
          <w:sz w:val="24"/>
          <w:szCs w:val="24"/>
          <w:lang w:eastAsia="zh-CN"/>
        </w:rPr>
      </w:pPr>
      <w:r>
        <w:rPr>
          <w:rFonts w:hint="eastAsia"/>
          <w:sz w:val="24"/>
          <w:szCs w:val="24"/>
          <w:lang w:val="en-US" w:eastAsia="zh-CN"/>
        </w:rPr>
        <w:t>2.参比人</w:t>
      </w:r>
      <w:r>
        <w:rPr>
          <w:rFonts w:hint="eastAsia"/>
          <w:sz w:val="24"/>
          <w:szCs w:val="24"/>
          <w:lang w:eastAsia="zh-CN"/>
        </w:rPr>
        <w:t>必须具有工业清洗企业资质证书化学清洗</w:t>
      </w:r>
      <w:r>
        <w:rPr>
          <w:rFonts w:hint="eastAsia"/>
          <w:sz w:val="24"/>
          <w:szCs w:val="24"/>
          <w:lang w:val="en-US" w:eastAsia="zh-CN"/>
        </w:rPr>
        <w:t>A</w:t>
      </w:r>
      <w:r>
        <w:rPr>
          <w:rFonts w:hint="eastAsia"/>
          <w:sz w:val="24"/>
          <w:szCs w:val="24"/>
          <w:lang w:eastAsia="zh-CN"/>
        </w:rPr>
        <w:t>级，具备有效的安全生产许可证，且近3年内无重大安全事故记录。</w:t>
      </w:r>
    </w:p>
    <w:p w14:paraId="010F6656">
      <w:pPr>
        <w:tabs>
          <w:tab w:val="left" w:pos="709"/>
        </w:tabs>
        <w:spacing w:line="360" w:lineRule="auto"/>
        <w:ind w:firstLine="480" w:firstLineChars="200"/>
        <w:rPr>
          <w:rFonts w:hint="eastAsia"/>
          <w:sz w:val="24"/>
          <w:szCs w:val="24"/>
          <w:lang w:val="en-US" w:eastAsia="zh-CN"/>
        </w:rPr>
      </w:pPr>
      <w:r>
        <w:rPr>
          <w:rFonts w:hint="eastAsia"/>
          <w:sz w:val="24"/>
          <w:szCs w:val="24"/>
          <w:lang w:val="en-US" w:eastAsia="zh-CN"/>
        </w:rPr>
        <w:t>3.参比人2021年1月1日至今具有石油化工装置工艺管道清洗业绩不少于2项，需提供合同复印件和技术文件复印件。</w:t>
      </w:r>
    </w:p>
    <w:p w14:paraId="1B078DF4">
      <w:pPr>
        <w:tabs>
          <w:tab w:val="left" w:pos="709"/>
        </w:tabs>
        <w:spacing w:line="360" w:lineRule="auto"/>
        <w:ind w:firstLine="480" w:firstLineChars="200"/>
        <w:rPr>
          <w:rFonts w:hint="default" w:eastAsia="宋体"/>
          <w:sz w:val="24"/>
          <w:szCs w:val="24"/>
          <w:lang w:val="en-US" w:eastAsia="zh-CN"/>
        </w:rPr>
      </w:pPr>
      <w:r>
        <w:rPr>
          <w:rFonts w:hint="eastAsia"/>
          <w:sz w:val="24"/>
          <w:szCs w:val="24"/>
          <w:lang w:val="en-US" w:eastAsia="zh-CN"/>
        </w:rPr>
        <w:t>4.参比人拥有专业的化学清洗施工团队，团队成员需具备相应的从业资格证书，关键岗位人员（如现场负责人、技术负责人）需有5年以上工业管道化学清洗施工经验。关键岗位人员需要提供工作履历。</w:t>
      </w:r>
    </w:p>
    <w:p w14:paraId="7EBB4882">
      <w:pPr>
        <w:tabs>
          <w:tab w:val="left" w:pos="709"/>
        </w:tabs>
        <w:spacing w:line="360" w:lineRule="auto"/>
        <w:ind w:firstLine="480" w:firstLineChars="200"/>
        <w:rPr>
          <w:sz w:val="24"/>
          <w:szCs w:val="24"/>
          <w:lang w:eastAsia="zh-CN"/>
        </w:rPr>
      </w:pPr>
      <w:r>
        <w:rPr>
          <w:rFonts w:hint="eastAsia"/>
          <w:sz w:val="24"/>
          <w:szCs w:val="24"/>
          <w:lang w:val="en-US" w:eastAsia="zh-CN"/>
        </w:rPr>
        <w:t>5</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2313C02D">
      <w:pPr>
        <w:tabs>
          <w:tab w:val="left" w:pos="709"/>
        </w:tabs>
        <w:spacing w:line="360" w:lineRule="auto"/>
        <w:ind w:firstLine="480" w:firstLineChars="200"/>
        <w:rPr>
          <w:sz w:val="24"/>
          <w:szCs w:val="24"/>
          <w:lang w:eastAsia="zh-CN"/>
        </w:rPr>
      </w:pPr>
      <w:r>
        <w:rPr>
          <w:rFonts w:hint="eastAsia"/>
          <w:sz w:val="24"/>
          <w:szCs w:val="24"/>
          <w:lang w:val="en-US" w:eastAsia="zh-CN"/>
        </w:rPr>
        <w:t>6</w:t>
      </w:r>
      <w:r>
        <w:rPr>
          <w:sz w:val="24"/>
          <w:szCs w:val="24"/>
          <w:lang w:eastAsia="zh-CN"/>
        </w:rPr>
        <w:t>.与</w:t>
      </w:r>
      <w:r>
        <w:rPr>
          <w:rFonts w:hint="eastAsia"/>
          <w:sz w:val="24"/>
          <w:szCs w:val="24"/>
          <w:lang w:eastAsia="zh-CN"/>
        </w:rPr>
        <w:t>采购人</w:t>
      </w:r>
      <w:r>
        <w:rPr>
          <w:sz w:val="24"/>
          <w:szCs w:val="24"/>
          <w:lang w:eastAsia="zh-CN"/>
        </w:rPr>
        <w:t>无诉讼纠纷。</w:t>
      </w:r>
    </w:p>
    <w:p w14:paraId="60D79776">
      <w:pPr>
        <w:pStyle w:val="21"/>
        <w:spacing w:line="360" w:lineRule="auto"/>
        <w:ind w:right="121"/>
        <w:jc w:val="both"/>
        <w:rPr>
          <w:rFonts w:hint="default"/>
          <w:b/>
          <w:w w:val="95"/>
          <w:sz w:val="28"/>
          <w:lang w:val="en-US"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r>
        <w:rPr>
          <w:rFonts w:hint="eastAsia"/>
          <w:b/>
          <w:w w:val="95"/>
          <w:sz w:val="28"/>
          <w:lang w:val="en-US" w:eastAsia="zh-CN"/>
        </w:rPr>
        <w:t xml:space="preserve">  </w:t>
      </w:r>
    </w:p>
    <w:p w14:paraId="49DA7653">
      <w:pPr>
        <w:pStyle w:val="21"/>
        <w:spacing w:line="360" w:lineRule="auto"/>
        <w:ind w:right="121"/>
        <w:jc w:val="both"/>
        <w:rPr>
          <w:color w:val="000000" w:themeColor="text1"/>
          <w:lang w:eastAsia="zh-CN"/>
        </w:rPr>
      </w:pPr>
      <w:r>
        <w:rPr>
          <w:rFonts w:hint="eastAsia"/>
          <w:lang w:eastAsia="zh-CN"/>
        </w:rPr>
        <w:t xml:space="preserve">    1.参比单位应缴纳参比保证金，保证金</w:t>
      </w:r>
      <w:r>
        <w:rPr>
          <w:rFonts w:hint="eastAsia"/>
          <w:color w:val="000000" w:themeColor="text1"/>
          <w:lang w:eastAsia="zh-CN"/>
        </w:rPr>
        <w:t>金额</w:t>
      </w:r>
      <w:r>
        <w:rPr>
          <w:rFonts w:hint="eastAsia"/>
          <w:color w:val="000000" w:themeColor="text1"/>
          <w:lang w:val="en-US" w:eastAsia="zh-CN"/>
        </w:rPr>
        <w:t>14000</w:t>
      </w:r>
      <w:r>
        <w:rPr>
          <w:rFonts w:hint="eastAsia"/>
          <w:color w:val="000000" w:themeColor="text1"/>
          <w:lang w:eastAsia="zh-CN"/>
        </w:rPr>
        <w:t>元整</w:t>
      </w:r>
      <w:r>
        <w:rPr>
          <w:rFonts w:hint="eastAsia"/>
          <w:lang w:eastAsia="zh-CN"/>
        </w:rPr>
        <w:t>，参比单位应按照要求从参比单位基本账</w:t>
      </w:r>
      <w:r>
        <w:rPr>
          <w:rFonts w:hint="eastAsia"/>
          <w:color w:val="000000" w:themeColor="text1"/>
          <w:lang w:eastAsia="zh-CN"/>
        </w:rPr>
        <w:t>户转入采购单位的账户，比选单位账户信息如下：</w:t>
      </w:r>
    </w:p>
    <w:p w14:paraId="5CFA3840">
      <w:pPr>
        <w:pStyle w:val="21"/>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064CD0E3">
      <w:pPr>
        <w:pStyle w:val="21"/>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4BF63B94">
      <w:pPr>
        <w:pStyle w:val="21"/>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40586F90">
      <w:pPr>
        <w:pStyle w:val="21"/>
        <w:spacing w:line="360" w:lineRule="auto"/>
        <w:ind w:right="121"/>
        <w:jc w:val="both"/>
        <w:rPr>
          <w:color w:val="000000" w:themeColor="text1"/>
          <w:lang w:eastAsia="zh-CN"/>
        </w:rPr>
      </w:pPr>
      <w:r>
        <w:rPr>
          <w:rFonts w:hint="eastAsia"/>
          <w:color w:val="000000" w:themeColor="text1"/>
          <w:lang w:eastAsia="zh-CN"/>
        </w:rPr>
        <w:t xml:space="preserve">    注明用途：</w:t>
      </w:r>
      <w:r>
        <w:rPr>
          <w:rFonts w:hint="eastAsia"/>
          <w:color w:val="000000" w:themeColor="text1"/>
          <w:lang w:val="en-US" w:eastAsia="zh-CN"/>
        </w:rPr>
        <w:t>化学清洗服务工程</w:t>
      </w:r>
      <w:r>
        <w:rPr>
          <w:color w:val="000000" w:themeColor="text1"/>
          <w:lang w:eastAsia="zh-CN"/>
        </w:rPr>
        <w:t>参选保证金</w:t>
      </w:r>
    </w:p>
    <w:p w14:paraId="1BBCB624">
      <w:pPr>
        <w:pStyle w:val="21"/>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31A439DA">
      <w:pPr>
        <w:pStyle w:val="21"/>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044C3192">
      <w:pPr>
        <w:pStyle w:val="21"/>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7A166B8D">
      <w:pPr>
        <w:pStyle w:val="21"/>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4929054C">
      <w:pPr>
        <w:pStyle w:val="21"/>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45BCFEDD">
      <w:pPr>
        <w:pStyle w:val="21"/>
        <w:spacing w:line="360" w:lineRule="auto"/>
        <w:ind w:right="121"/>
        <w:jc w:val="both"/>
        <w:rPr>
          <w:lang w:eastAsia="zh-CN"/>
        </w:rPr>
      </w:pPr>
      <w:r>
        <w:rPr>
          <w:rFonts w:hint="eastAsia"/>
          <w:lang w:eastAsia="zh-CN"/>
        </w:rPr>
        <w:t xml:space="preserve">    5.如有下列情况发生，将被没收参比保证金：</w:t>
      </w:r>
    </w:p>
    <w:p w14:paraId="7E8A3E58">
      <w:pPr>
        <w:pStyle w:val="21"/>
        <w:spacing w:line="360" w:lineRule="auto"/>
        <w:ind w:right="121"/>
        <w:jc w:val="both"/>
        <w:rPr>
          <w:lang w:eastAsia="zh-CN"/>
        </w:rPr>
      </w:pPr>
      <w:r>
        <w:rPr>
          <w:rFonts w:hint="eastAsia"/>
          <w:lang w:eastAsia="zh-CN"/>
        </w:rPr>
        <w:t xml:space="preserve">    （1）参比单位在参选有效期内撤回询比文件；</w:t>
      </w:r>
    </w:p>
    <w:p w14:paraId="1886C2E9">
      <w:pPr>
        <w:pStyle w:val="21"/>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pStyle w:val="21"/>
        <w:spacing w:line="360" w:lineRule="auto"/>
        <w:ind w:right="121"/>
        <w:jc w:val="both"/>
        <w:rPr>
          <w:b/>
          <w:w w:val="95"/>
          <w:sz w:val="28"/>
          <w:lang w:eastAsia="zh-CN"/>
        </w:rPr>
      </w:pPr>
      <w:r>
        <w:rPr>
          <w:rFonts w:hint="eastAsia"/>
          <w:lang w:eastAsia="zh-CN"/>
        </w:rPr>
        <w:t xml:space="preserve">  </w:t>
      </w:r>
      <w:r>
        <w:rPr>
          <w:lang w:eastAsia="zh-CN"/>
        </w:rPr>
        <w:t xml:space="preserve">  </w:t>
      </w:r>
      <w:r>
        <w:rPr>
          <w:b/>
          <w:w w:val="95"/>
          <w:sz w:val="28"/>
          <w:lang w:eastAsia="zh-CN"/>
        </w:rPr>
        <w:t>八、</w:t>
      </w:r>
      <w:r>
        <w:rPr>
          <w:rFonts w:hint="eastAsia"/>
          <w:b/>
          <w:w w:val="95"/>
          <w:sz w:val="28"/>
          <w:lang w:eastAsia="zh-CN"/>
        </w:rPr>
        <w:t>参比</w:t>
      </w:r>
      <w:r>
        <w:rPr>
          <w:b/>
          <w:w w:val="95"/>
          <w:sz w:val="28"/>
          <w:lang w:eastAsia="zh-CN"/>
        </w:rPr>
        <w:t>文件的递交</w:t>
      </w:r>
    </w:p>
    <w:p w14:paraId="31E79E49">
      <w:pPr>
        <w:pStyle w:val="3"/>
        <w:tabs>
          <w:tab w:val="left" w:pos="6879"/>
        </w:tabs>
        <w:spacing w:before="107" w:line="321" w:lineRule="auto"/>
        <w:ind w:left="0" w:right="106"/>
        <w:rPr>
          <w:lang w:eastAsia="zh-CN"/>
        </w:rPr>
      </w:pPr>
      <w:r>
        <w:rPr>
          <w:rFonts w:hint="eastAsia"/>
          <w:lang w:eastAsia="zh-CN"/>
        </w:rPr>
        <w:t xml:space="preserve">    </w:t>
      </w:r>
      <w:r>
        <w:rPr>
          <w:lang w:eastAsia="zh-CN"/>
        </w:rPr>
        <w:t>1.参</w:t>
      </w:r>
      <w:r>
        <w:rPr>
          <w:rFonts w:hint="eastAsia"/>
          <w:lang w:eastAsia="zh-CN"/>
        </w:rPr>
        <w:t>比</w:t>
      </w:r>
      <w:r>
        <w:rPr>
          <w:lang w:eastAsia="zh-CN"/>
        </w:rPr>
        <w:t>文件递交的截止</w:t>
      </w:r>
      <w:r>
        <w:rPr>
          <w:color w:val="000000" w:themeColor="text1"/>
          <w:lang w:eastAsia="zh-CN"/>
        </w:rPr>
        <w:t>时间</w:t>
      </w:r>
      <w:r>
        <w:rPr>
          <w:rFonts w:hint="eastAsia"/>
          <w:color w:val="000000" w:themeColor="text1"/>
          <w:lang w:eastAsia="zh-CN"/>
        </w:rPr>
        <w:t>：202</w:t>
      </w:r>
      <w:r>
        <w:rPr>
          <w:rFonts w:hint="eastAsia"/>
          <w:color w:val="000000" w:themeColor="text1"/>
          <w:lang w:val="en-US" w:eastAsia="zh-CN"/>
        </w:rPr>
        <w:t>6</w:t>
      </w:r>
      <w:r>
        <w:rPr>
          <w:rFonts w:hint="eastAsia"/>
          <w:color w:val="000000" w:themeColor="text1"/>
          <w:lang w:eastAsia="zh-CN"/>
        </w:rPr>
        <w:t>年</w:t>
      </w:r>
      <w:r>
        <w:rPr>
          <w:rFonts w:hint="eastAsia"/>
          <w:color w:val="000000" w:themeColor="text1"/>
          <w:lang w:val="en-US" w:eastAsia="zh-CN"/>
        </w:rPr>
        <w:t>5</w:t>
      </w:r>
      <w:r>
        <w:rPr>
          <w:rFonts w:hint="eastAsia"/>
          <w:color w:val="000000" w:themeColor="text1"/>
          <w:lang w:eastAsia="zh-CN"/>
        </w:rPr>
        <w:t>月</w:t>
      </w:r>
      <w:r>
        <w:rPr>
          <w:rFonts w:hint="eastAsia"/>
          <w:color w:val="000000" w:themeColor="text1"/>
          <w:lang w:val="en-US" w:eastAsia="zh-CN"/>
        </w:rPr>
        <w:t>11</w:t>
      </w:r>
      <w:r>
        <w:rPr>
          <w:rFonts w:hint="eastAsia"/>
          <w:color w:val="000000" w:themeColor="text1"/>
          <w:lang w:eastAsia="zh-CN"/>
        </w:rPr>
        <w:t>日14时0分。</w:t>
      </w:r>
    </w:p>
    <w:p w14:paraId="1DB01E61">
      <w:pPr>
        <w:pStyle w:val="3"/>
        <w:tabs>
          <w:tab w:val="left" w:pos="6879"/>
        </w:tabs>
        <w:spacing w:before="107" w:line="321" w:lineRule="auto"/>
        <w:ind w:left="0" w:right="106"/>
        <w:rPr>
          <w:spacing w:val="-4"/>
          <w:lang w:eastAsia="zh-CN"/>
        </w:rPr>
      </w:pPr>
      <w:r>
        <w:rPr>
          <w:rFonts w:hint="eastAsia"/>
          <w:lang w:eastAsia="zh-CN"/>
        </w:rPr>
        <w:t xml:space="preserve">    </w:t>
      </w:r>
      <w:r>
        <w:rPr>
          <w:lang w:eastAsia="zh-CN"/>
        </w:rPr>
        <w:t>2.</w:t>
      </w:r>
      <w:r>
        <w:rPr>
          <w:spacing w:val="4"/>
          <w:lang w:eastAsia="zh-CN"/>
        </w:rPr>
        <w:t>递交</w:t>
      </w:r>
      <w:r>
        <w:rPr>
          <w:lang w:eastAsia="zh-CN"/>
        </w:rPr>
        <w:t>参</w:t>
      </w:r>
      <w:r>
        <w:rPr>
          <w:rFonts w:hint="eastAsia"/>
          <w:spacing w:val="4"/>
          <w:lang w:eastAsia="zh-CN"/>
        </w:rPr>
        <w:t>比</w:t>
      </w:r>
      <w:r>
        <w:rPr>
          <w:spacing w:val="4"/>
          <w:lang w:eastAsia="zh-CN"/>
        </w:rPr>
        <w:t>文件的地点为：</w:t>
      </w:r>
      <w:r>
        <w:rPr>
          <w:rFonts w:hint="eastAsia"/>
          <w:color w:val="000000" w:themeColor="text1"/>
          <w:lang w:eastAsia="zh-CN"/>
        </w:rPr>
        <w:t>漳州市古雷经济开发区疏港大道南102号 福海创改扩建部采购管理部</w:t>
      </w:r>
      <w:r>
        <w:rPr>
          <w:color w:val="000000" w:themeColor="text1"/>
          <w:lang w:eastAsia="zh-CN"/>
        </w:rPr>
        <w:t>230</w:t>
      </w:r>
      <w:r>
        <w:rPr>
          <w:rFonts w:hint="eastAsia"/>
          <w:color w:val="000000" w:themeColor="text1"/>
          <w:lang w:eastAsia="zh-CN"/>
        </w:rPr>
        <w:t>室</w:t>
      </w:r>
      <w:r>
        <w:rPr>
          <w:spacing w:val="4"/>
          <w:lang w:eastAsia="zh-CN"/>
        </w:rPr>
        <w:t>，</w:t>
      </w:r>
      <w:r>
        <w:rPr>
          <w:lang w:eastAsia="zh-CN"/>
        </w:rPr>
        <w:t>联系人</w:t>
      </w:r>
      <w:r>
        <w:rPr>
          <w:spacing w:val="-56"/>
          <w:lang w:eastAsia="zh-CN"/>
        </w:rPr>
        <w:t>：</w:t>
      </w:r>
      <w:r>
        <w:rPr>
          <w:rFonts w:hint="eastAsia"/>
          <w:lang w:eastAsia="zh-CN"/>
        </w:rPr>
        <w:t xml:space="preserve">张华娟  </w:t>
      </w:r>
      <w:r>
        <w:rPr>
          <w:spacing w:val="-6"/>
          <w:lang w:eastAsia="zh-CN"/>
        </w:rPr>
        <w:t xml:space="preserve"> </w:t>
      </w:r>
      <w:r>
        <w:rPr>
          <w:lang w:eastAsia="zh-CN"/>
        </w:rPr>
        <w:t>联系电话</w:t>
      </w:r>
      <w:r>
        <w:rPr>
          <w:spacing w:val="-4"/>
          <w:lang w:eastAsia="zh-CN"/>
        </w:rPr>
        <w:t>：19959614657</w:t>
      </w:r>
      <w:r>
        <w:rPr>
          <w:rFonts w:hint="eastAsia"/>
          <w:spacing w:val="-4"/>
          <w:lang w:eastAsia="zh-CN"/>
        </w:rPr>
        <w:t xml:space="preserve"> 。</w:t>
      </w:r>
    </w:p>
    <w:p w14:paraId="088A2A23">
      <w:pPr>
        <w:pStyle w:val="3"/>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377F2B5A">
      <w:pPr>
        <w:pStyle w:val="21"/>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24AEDCBC">
      <w:pPr>
        <w:pStyle w:val="21"/>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6356E53F">
      <w:pPr>
        <w:pStyle w:val="21"/>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7A590A2">
      <w:pPr>
        <w:pStyle w:val="21"/>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339E6B69">
      <w:pPr>
        <w:pStyle w:val="2"/>
        <w:tabs>
          <w:tab w:val="left" w:pos="4627"/>
        </w:tabs>
        <w:spacing w:line="355" w:lineRule="exact"/>
        <w:ind w:left="3363"/>
        <w:rPr>
          <w:lang w:eastAsia="zh-CN"/>
        </w:rPr>
      </w:pPr>
    </w:p>
    <w:p w14:paraId="5F8B5ECE">
      <w:pPr>
        <w:pStyle w:val="2"/>
        <w:tabs>
          <w:tab w:val="left" w:pos="4627"/>
        </w:tabs>
        <w:spacing w:line="355" w:lineRule="exact"/>
        <w:ind w:left="3363"/>
        <w:rPr>
          <w:lang w:eastAsia="zh-CN"/>
        </w:rPr>
      </w:pPr>
    </w:p>
    <w:p w14:paraId="00C0DF81">
      <w:pPr>
        <w:pStyle w:val="2"/>
        <w:tabs>
          <w:tab w:val="left" w:pos="4627"/>
        </w:tabs>
        <w:spacing w:line="355" w:lineRule="exact"/>
        <w:ind w:left="3363"/>
        <w:rPr>
          <w:lang w:eastAsia="zh-CN"/>
        </w:rPr>
      </w:pPr>
    </w:p>
    <w:p w14:paraId="024B031A">
      <w:pPr>
        <w:pStyle w:val="2"/>
        <w:tabs>
          <w:tab w:val="left" w:pos="4627"/>
        </w:tabs>
        <w:spacing w:line="355" w:lineRule="exact"/>
        <w:ind w:left="3363"/>
        <w:rPr>
          <w:lang w:eastAsia="zh-CN"/>
        </w:rPr>
      </w:pPr>
    </w:p>
    <w:p w14:paraId="12C2A882">
      <w:pPr>
        <w:pStyle w:val="2"/>
        <w:tabs>
          <w:tab w:val="left" w:pos="4627"/>
        </w:tabs>
        <w:spacing w:line="355" w:lineRule="exact"/>
        <w:ind w:left="3363"/>
        <w:rPr>
          <w:lang w:eastAsia="zh-CN"/>
        </w:rPr>
      </w:pPr>
    </w:p>
    <w:p w14:paraId="50C73AB5">
      <w:pPr>
        <w:pStyle w:val="2"/>
        <w:tabs>
          <w:tab w:val="left" w:pos="4627"/>
        </w:tabs>
        <w:spacing w:line="355" w:lineRule="exact"/>
        <w:ind w:left="3363"/>
        <w:rPr>
          <w:lang w:eastAsia="zh-CN"/>
        </w:rPr>
      </w:pPr>
    </w:p>
    <w:p w14:paraId="06241B25">
      <w:pPr>
        <w:pStyle w:val="2"/>
        <w:tabs>
          <w:tab w:val="left" w:pos="4627"/>
        </w:tabs>
        <w:spacing w:line="355" w:lineRule="exact"/>
        <w:ind w:left="3363"/>
        <w:rPr>
          <w:lang w:eastAsia="zh-CN"/>
        </w:rPr>
      </w:pPr>
    </w:p>
    <w:p w14:paraId="32320D18">
      <w:pPr>
        <w:pStyle w:val="2"/>
        <w:tabs>
          <w:tab w:val="left" w:pos="4627"/>
        </w:tabs>
        <w:spacing w:line="355" w:lineRule="exact"/>
        <w:ind w:left="3363"/>
        <w:rPr>
          <w:lang w:eastAsia="zh-CN"/>
        </w:rPr>
      </w:pPr>
    </w:p>
    <w:p w14:paraId="4FAE7573">
      <w:pPr>
        <w:rPr>
          <w:lang w:eastAsia="zh-CN"/>
        </w:rPr>
      </w:pPr>
    </w:p>
    <w:p w14:paraId="0944422D">
      <w:pPr>
        <w:pStyle w:val="14"/>
        <w:rPr>
          <w:lang w:eastAsia="zh-CN"/>
        </w:rPr>
      </w:pPr>
    </w:p>
    <w:p w14:paraId="7480A594">
      <w:pPr>
        <w:rPr>
          <w:lang w:eastAsia="zh-CN"/>
        </w:rPr>
      </w:pPr>
    </w:p>
    <w:p w14:paraId="7EC7A497">
      <w:pPr>
        <w:rPr>
          <w:lang w:eastAsia="zh-CN"/>
        </w:r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ind w:firstLine="534"/>
        <w:rPr>
          <w:b/>
          <w:w w:val="95"/>
          <w:sz w:val="28"/>
          <w:lang w:eastAsia="zh-CN"/>
        </w:rPr>
      </w:pPr>
      <w:r>
        <w:rPr>
          <w:rFonts w:hint="eastAsia"/>
          <w:b/>
          <w:w w:val="95"/>
          <w:sz w:val="28"/>
          <w:lang w:eastAsia="zh-CN"/>
        </w:rPr>
        <w:t>一、</w:t>
      </w:r>
      <w:r>
        <w:rPr>
          <w:b/>
          <w:w w:val="95"/>
          <w:sz w:val="28"/>
          <w:lang w:eastAsia="zh-CN"/>
        </w:rPr>
        <w:t>参</w:t>
      </w:r>
      <w:r>
        <w:rPr>
          <w:rFonts w:hint="eastAsia"/>
          <w:b/>
          <w:w w:val="95"/>
          <w:sz w:val="28"/>
          <w:lang w:eastAsia="zh-CN"/>
        </w:rPr>
        <w:t>比</w:t>
      </w:r>
      <w:r>
        <w:rPr>
          <w:b/>
          <w:w w:val="95"/>
          <w:sz w:val="28"/>
          <w:lang w:eastAsia="zh-CN"/>
        </w:rPr>
        <w:t>文件的组成：</w:t>
      </w:r>
    </w:p>
    <w:p w14:paraId="58B2145F">
      <w:pPr>
        <w:pStyle w:val="21"/>
        <w:spacing w:line="360" w:lineRule="auto"/>
        <w:ind w:right="121" w:firstLine="360" w:firstLineChars="150"/>
        <w:jc w:val="both"/>
        <w:rPr>
          <w:rFonts w:hint="eastAsia"/>
          <w:lang w:val="en-US" w:eastAsia="zh-CN"/>
        </w:rPr>
      </w:pPr>
      <w:r>
        <w:rPr>
          <w:rFonts w:hint="eastAsia"/>
          <w:lang w:eastAsia="zh-CN"/>
        </w:rPr>
        <w:t>（1）</w:t>
      </w:r>
      <w:r>
        <w:rPr>
          <w:lang w:eastAsia="zh-CN"/>
        </w:rPr>
        <w:t>参</w:t>
      </w:r>
      <w:r>
        <w:rPr>
          <w:rFonts w:hint="eastAsia"/>
          <w:lang w:eastAsia="zh-CN"/>
        </w:rPr>
        <w:t>比</w:t>
      </w:r>
      <w:r>
        <w:rPr>
          <w:lang w:eastAsia="zh-CN"/>
        </w:rPr>
        <w:t>单位企业概况（企业简介、经营状况）、营业执照</w:t>
      </w:r>
      <w:r>
        <w:rPr>
          <w:rFonts w:hint="eastAsia"/>
          <w:lang w:eastAsia="zh-CN"/>
        </w:rPr>
        <w:t>、</w:t>
      </w:r>
      <w:r>
        <w:rPr>
          <w:rFonts w:hint="eastAsia"/>
          <w:lang w:val="en-US" w:eastAsia="zh-CN"/>
        </w:rPr>
        <w:t>资质证书；</w:t>
      </w:r>
    </w:p>
    <w:p w14:paraId="663EC7C7">
      <w:pPr>
        <w:pStyle w:val="21"/>
        <w:spacing w:line="360" w:lineRule="auto"/>
        <w:ind w:right="121" w:firstLine="360" w:firstLineChars="150"/>
        <w:jc w:val="both"/>
        <w:rPr>
          <w:rFonts w:hint="default"/>
          <w:lang w:val="en-US" w:eastAsia="zh-CN"/>
        </w:rPr>
      </w:pPr>
      <w:r>
        <w:rPr>
          <w:rFonts w:hint="eastAsia"/>
          <w:lang w:val="en-US" w:eastAsia="zh-CN"/>
        </w:rPr>
        <w:t>（2）施工方案；</w:t>
      </w:r>
    </w:p>
    <w:p w14:paraId="0578C973">
      <w:pPr>
        <w:pStyle w:val="21"/>
        <w:spacing w:line="360" w:lineRule="auto"/>
        <w:ind w:right="121" w:firstLine="360" w:firstLineChars="150"/>
        <w:jc w:val="both"/>
        <w:rPr>
          <w:rFonts w:hint="eastAsia"/>
          <w:lang w:eastAsia="zh-CN"/>
        </w:rPr>
      </w:pPr>
      <w:r>
        <w:rPr>
          <w:rFonts w:hint="eastAsia"/>
          <w:lang w:eastAsia="zh-CN"/>
        </w:rPr>
        <w:t>（</w:t>
      </w:r>
      <w:r>
        <w:rPr>
          <w:rFonts w:hint="eastAsia"/>
          <w:lang w:val="en-US" w:eastAsia="zh-CN"/>
        </w:rPr>
        <w:t>3</w:t>
      </w:r>
      <w:r>
        <w:rPr>
          <w:rFonts w:hint="eastAsia"/>
          <w:lang w:eastAsia="zh-CN"/>
        </w:rPr>
        <w:t>）商务报价文件，见附件商务报价函格式, 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1"/>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1"/>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1"/>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1"/>
        <w:spacing w:line="360" w:lineRule="auto"/>
        <w:ind w:right="121" w:firstLine="480" w:firstLineChars="200"/>
        <w:jc w:val="both"/>
        <w:rPr>
          <w:rFonts w:hint="eastAsia"/>
          <w:lang w:eastAsia="zh-CN"/>
        </w:rPr>
      </w:pPr>
      <w:r>
        <w:rPr>
          <w:rFonts w:hint="eastAsia"/>
          <w:lang w:eastAsia="zh-CN"/>
        </w:rPr>
        <w:t>本项目设置最高控制</w:t>
      </w:r>
      <w:r>
        <w:rPr>
          <w:rFonts w:hint="eastAsia"/>
          <w:lang w:val="en-US" w:eastAsia="zh-CN"/>
        </w:rPr>
        <w:t>781,461.62</w:t>
      </w:r>
      <w:r>
        <w:rPr>
          <w:rFonts w:hint="eastAsia"/>
          <w:lang w:eastAsia="zh-CN"/>
        </w:rPr>
        <w:t>元整（含税总价，</w:t>
      </w:r>
      <w:r>
        <w:rPr>
          <w:rFonts w:hint="eastAsia"/>
          <w:lang w:val="en-US" w:eastAsia="zh-CN"/>
        </w:rPr>
        <w:t>标段一报价占比投标总报价比例不得高于50%</w:t>
      </w:r>
      <w:r>
        <w:rPr>
          <w:rFonts w:hint="eastAsia"/>
          <w:lang w:eastAsia="zh-CN"/>
        </w:rPr>
        <w:t>）。参比人所填报的报价高于本项目最高限价的，其参比将被评审小组予以否决。</w:t>
      </w:r>
      <w:r>
        <w:rPr>
          <w:rFonts w:hint="eastAsia"/>
          <w:lang w:eastAsia="zh-CN"/>
        </w:rPr>
        <w:fldChar w:fldCharType="begin"/>
      </w:r>
      <w:r>
        <w:rPr>
          <w:rFonts w:hint="eastAsia"/>
          <w:lang w:eastAsia="zh-CN"/>
        </w:rPr>
        <w:instrText xml:space="preserve"> HYPERLINK "mailto:如参比人对控制价存疑请于报价截止前发邮件至hjzhang@fhcpec.com.cn" </w:instrText>
      </w:r>
      <w:r>
        <w:rPr>
          <w:rFonts w:hint="eastAsia"/>
          <w:lang w:eastAsia="zh-CN"/>
        </w:rPr>
        <w:fldChar w:fldCharType="separate"/>
      </w:r>
      <w:r>
        <w:rPr>
          <w:rFonts w:hint="eastAsia"/>
          <w:lang w:eastAsia="zh-CN"/>
        </w:rPr>
        <w:t>如参比人对控制价存疑请于报价截止前发邮件至hjzhang@fhcpec.com.cn</w:t>
      </w:r>
      <w:r>
        <w:rPr>
          <w:rFonts w:hint="eastAsia"/>
          <w:lang w:eastAsia="zh-CN"/>
        </w:rPr>
        <w:fldChar w:fldCharType="end"/>
      </w:r>
      <w:r>
        <w:rPr>
          <w:rFonts w:hint="eastAsia"/>
          <w:lang w:eastAsia="zh-CN"/>
        </w:rPr>
        <w:t>。</w:t>
      </w:r>
    </w:p>
    <w:p w14:paraId="2409F617">
      <w:pPr>
        <w:pStyle w:val="21"/>
        <w:spacing w:line="360" w:lineRule="auto"/>
        <w:ind w:right="121" w:firstLine="480" w:firstLineChars="200"/>
        <w:jc w:val="both"/>
        <w:rPr>
          <w:lang w:eastAsia="zh-CN"/>
        </w:rPr>
      </w:pPr>
      <w:r>
        <w:rPr>
          <w:rFonts w:hint="eastAsia"/>
          <w:lang w:eastAsia="zh-CN"/>
        </w:rPr>
        <w:t>采用综合评审的方式</w:t>
      </w:r>
      <w:bookmarkStart w:id="35" w:name="_GoBack"/>
      <w:bookmarkEnd w:id="35"/>
      <w:r>
        <w:rPr>
          <w:rFonts w:hint="eastAsia"/>
          <w:lang w:eastAsia="zh-CN"/>
        </w:rPr>
        <w:t>，从商务和技术两部分进行综合评价。商务分与技术分的比例为</w:t>
      </w:r>
      <w:r>
        <w:rPr>
          <w:lang w:eastAsia="zh-CN"/>
        </w:rPr>
        <w:t>70</w:t>
      </w:r>
      <w:r>
        <w:rPr>
          <w:rFonts w:hint="eastAsia"/>
          <w:lang w:eastAsia="zh-CN"/>
        </w:rPr>
        <w:t>：</w:t>
      </w:r>
      <w:r>
        <w:rPr>
          <w:lang w:eastAsia="zh-CN"/>
        </w:rPr>
        <w:t>30</w:t>
      </w:r>
      <w:r>
        <w:rPr>
          <w:rFonts w:hint="eastAsia"/>
          <w:lang w:eastAsia="zh-CN"/>
        </w:rPr>
        <w:t>。综合得分最高者作为第一中选人。</w:t>
      </w:r>
    </w:p>
    <w:p w14:paraId="22838E0D">
      <w:pPr>
        <w:pStyle w:val="21"/>
        <w:spacing w:line="360" w:lineRule="auto"/>
        <w:ind w:right="121" w:firstLine="480" w:firstLineChars="200"/>
        <w:jc w:val="both"/>
        <w:rPr>
          <w:lang w:eastAsia="zh-CN"/>
        </w:rPr>
      </w:pPr>
      <w:r>
        <w:rPr>
          <w:rFonts w:hint="eastAsia"/>
          <w:lang w:eastAsia="zh-CN"/>
        </w:rPr>
        <w:t>评分细则如下：</w:t>
      </w:r>
    </w:p>
    <w:tbl>
      <w:tblPr>
        <w:tblStyle w:val="50"/>
        <w:tblW w:w="0" w:type="auto"/>
        <w:tblInd w:w="108" w:type="dxa"/>
        <w:tblLayout w:type="autofit"/>
        <w:tblCellMar>
          <w:top w:w="0" w:type="dxa"/>
          <w:left w:w="108" w:type="dxa"/>
          <w:bottom w:w="0" w:type="dxa"/>
          <w:right w:w="108" w:type="dxa"/>
        </w:tblCellMar>
      </w:tblPr>
      <w:tblGrid>
        <w:gridCol w:w="638"/>
        <w:gridCol w:w="1060"/>
        <w:gridCol w:w="5966"/>
        <w:gridCol w:w="638"/>
        <w:gridCol w:w="638"/>
        <w:gridCol w:w="638"/>
      </w:tblGrid>
      <w:tr w14:paraId="25D6BFDB">
        <w:tblPrEx>
          <w:tblCellMar>
            <w:top w:w="0" w:type="dxa"/>
            <w:left w:w="108" w:type="dxa"/>
            <w:bottom w:w="0" w:type="dxa"/>
            <w:right w:w="108" w:type="dxa"/>
          </w:tblCellMar>
        </w:tblPrEx>
        <w:trPr>
          <w:trHeight w:val="5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ED4557">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NO</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889F26C">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项目</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F25EE93">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评分细项</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D3E7956">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分值</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0C19C82">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得分</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E9DC68D">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备注</w:t>
            </w:r>
          </w:p>
        </w:tc>
      </w:tr>
      <w:tr w14:paraId="0CDF3C1A">
        <w:tblPrEx>
          <w:tblCellMar>
            <w:top w:w="0" w:type="dxa"/>
            <w:left w:w="108" w:type="dxa"/>
            <w:bottom w:w="0" w:type="dxa"/>
            <w:right w:w="108" w:type="dxa"/>
          </w:tblCellMar>
        </w:tblPrEx>
        <w:trPr>
          <w:trHeight w:val="69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A8AEF1E">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一、</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7F0416B7">
            <w:pPr>
              <w:widowControl/>
              <w:autoSpaceDE/>
              <w:autoSpaceDN/>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商务评分</w:t>
            </w:r>
          </w:p>
        </w:tc>
        <w:tc>
          <w:tcPr>
            <w:tcW w:w="0" w:type="auto"/>
            <w:tcBorders>
              <w:top w:val="nil"/>
              <w:left w:val="nil"/>
              <w:bottom w:val="single" w:color="auto" w:sz="4" w:space="0"/>
              <w:right w:val="single" w:color="auto" w:sz="4" w:space="0"/>
            </w:tcBorders>
            <w:shd w:val="clear" w:color="auto" w:fill="auto"/>
            <w:noWrap/>
            <w:vAlign w:val="center"/>
          </w:tcPr>
          <w:p w14:paraId="5AE877A5">
            <w:pPr>
              <w:widowControl/>
              <w:autoSpaceDE/>
              <w:autoSpaceDN/>
              <w:jc w:val="center"/>
              <w:rPr>
                <w:rFonts w:asciiTheme="minorEastAsia" w:hAnsiTheme="minorEastAsia" w:eastAsiaTheme="minorEastAsia"/>
                <w:b/>
                <w:bCs/>
                <w:color w:val="000000"/>
                <w:sz w:val="21"/>
                <w:szCs w:val="21"/>
                <w:lang w:eastAsia="zh-CN"/>
              </w:rPr>
            </w:pPr>
            <w:r>
              <w:rPr>
                <w:rFonts w:asciiTheme="minorEastAsia" w:hAnsiTheme="minorEastAsia" w:eastAsiaTheme="minorEastAsia"/>
                <w:b/>
                <w:bCs/>
                <w:color w:val="000000"/>
                <w:sz w:val="21"/>
                <w:szCs w:val="21"/>
                <w:lang w:eastAsia="zh-CN"/>
              </w:rPr>
              <w:t>70</w:t>
            </w:r>
          </w:p>
        </w:tc>
        <w:tc>
          <w:tcPr>
            <w:tcW w:w="0" w:type="auto"/>
            <w:tcBorders>
              <w:top w:val="nil"/>
              <w:left w:val="nil"/>
              <w:bottom w:val="single" w:color="auto" w:sz="4" w:space="0"/>
              <w:right w:val="single" w:color="auto" w:sz="4" w:space="0"/>
            </w:tcBorders>
            <w:shd w:val="clear" w:color="auto" w:fill="auto"/>
            <w:noWrap/>
            <w:vAlign w:val="center"/>
          </w:tcPr>
          <w:p w14:paraId="2342D6E0">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563A125C">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r>
      <w:tr w14:paraId="54BA62D8">
        <w:tblPrEx>
          <w:tblCellMar>
            <w:top w:w="0" w:type="dxa"/>
            <w:left w:w="108" w:type="dxa"/>
            <w:bottom w:w="0" w:type="dxa"/>
            <w:right w:w="108" w:type="dxa"/>
          </w:tblCellMar>
        </w:tblPrEx>
        <w:trPr>
          <w:trHeight w:val="280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115B67">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w:t>
            </w:r>
          </w:p>
        </w:tc>
        <w:tc>
          <w:tcPr>
            <w:tcW w:w="0" w:type="auto"/>
            <w:tcBorders>
              <w:top w:val="nil"/>
              <w:left w:val="nil"/>
              <w:bottom w:val="single" w:color="auto" w:sz="4" w:space="0"/>
              <w:right w:val="single" w:color="auto" w:sz="4" w:space="0"/>
            </w:tcBorders>
            <w:shd w:val="clear" w:color="auto" w:fill="auto"/>
            <w:noWrap/>
            <w:vAlign w:val="center"/>
          </w:tcPr>
          <w:p w14:paraId="13EC73D5">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商务报价</w:t>
            </w:r>
          </w:p>
        </w:tc>
        <w:tc>
          <w:tcPr>
            <w:tcW w:w="0" w:type="auto"/>
            <w:tcBorders>
              <w:top w:val="nil"/>
              <w:left w:val="nil"/>
              <w:bottom w:val="single" w:color="auto" w:sz="4" w:space="0"/>
              <w:right w:val="single" w:color="auto" w:sz="4" w:space="0"/>
            </w:tcBorders>
            <w:shd w:val="clear" w:color="auto" w:fill="auto"/>
            <w:vAlign w:val="center"/>
          </w:tcPr>
          <w:p w14:paraId="6F72385B">
            <w:pPr>
              <w:spacing w:line="420" w:lineRule="exact"/>
              <w:rPr>
                <w:rFonts w:hint="eastAsia" w:ascii="宋体" w:hAnsi="宋体" w:cs="宋体"/>
                <w:color w:val="auto"/>
                <w:sz w:val="21"/>
                <w:szCs w:val="21"/>
                <w:lang w:val="zh-CN" w:bidi="zh-CN"/>
              </w:rPr>
            </w:pPr>
            <w:r>
              <w:rPr>
                <w:rFonts w:hint="eastAsia" w:ascii="宋体" w:hAnsi="宋体" w:cs="宋体"/>
                <w:color w:val="auto"/>
                <w:sz w:val="21"/>
                <w:szCs w:val="21"/>
                <w:lang w:val="zh-CN" w:bidi="zh-CN"/>
              </w:rPr>
              <w:t>根据评标细则规定对投标</w:t>
            </w:r>
            <w:r>
              <w:rPr>
                <w:rFonts w:hint="eastAsia" w:ascii="宋体" w:hAnsi="宋体" w:cs="宋体"/>
                <w:color w:val="auto"/>
                <w:sz w:val="21"/>
                <w:szCs w:val="21"/>
                <w:lang w:val="en-US" w:bidi="zh-CN"/>
              </w:rPr>
              <w:t>总</w:t>
            </w:r>
            <w:r>
              <w:rPr>
                <w:rFonts w:hint="eastAsia" w:ascii="宋体" w:hAnsi="宋体" w:cs="宋体"/>
                <w:color w:val="auto"/>
                <w:sz w:val="21"/>
                <w:szCs w:val="21"/>
                <w:lang w:val="zh-CN" w:bidi="zh-CN"/>
              </w:rPr>
              <w:t>报价（</w:t>
            </w:r>
            <w:r>
              <w:rPr>
                <w:rFonts w:hint="eastAsia" w:ascii="宋体" w:hAnsi="宋体" w:cs="宋体"/>
                <w:color w:val="auto"/>
                <w:sz w:val="21"/>
                <w:szCs w:val="21"/>
                <w:lang w:val="en-US" w:bidi="zh-CN"/>
              </w:rPr>
              <w:t>标段一+标段二</w:t>
            </w:r>
            <w:r>
              <w:rPr>
                <w:rFonts w:hint="eastAsia" w:ascii="宋体" w:hAnsi="宋体" w:cs="宋体"/>
                <w:color w:val="auto"/>
                <w:sz w:val="21"/>
                <w:szCs w:val="21"/>
                <w:lang w:val="zh-CN" w:bidi="zh-CN"/>
              </w:rPr>
              <w:t>）进行算术性错误修正。投标人的投标</w:t>
            </w:r>
            <w:r>
              <w:rPr>
                <w:rFonts w:hint="eastAsia" w:ascii="宋体" w:hAnsi="宋体" w:cs="宋体"/>
                <w:color w:val="auto"/>
                <w:sz w:val="21"/>
                <w:szCs w:val="21"/>
                <w:lang w:val="en-US" w:bidi="zh-CN"/>
              </w:rPr>
              <w:t>总</w:t>
            </w:r>
            <w:r>
              <w:rPr>
                <w:rFonts w:hint="eastAsia" w:ascii="宋体" w:hAnsi="宋体" w:cs="宋体"/>
                <w:color w:val="auto"/>
                <w:sz w:val="21"/>
                <w:szCs w:val="21"/>
                <w:lang w:val="zh-CN" w:bidi="zh-CN"/>
              </w:rPr>
              <w:t>报价（</w:t>
            </w:r>
            <w:r>
              <w:rPr>
                <w:rFonts w:hint="eastAsia" w:ascii="宋体" w:hAnsi="宋体" w:cs="宋体"/>
                <w:color w:val="auto"/>
                <w:sz w:val="21"/>
                <w:szCs w:val="21"/>
                <w:lang w:val="en-US" w:bidi="zh-CN"/>
              </w:rPr>
              <w:t>标段一+标段二</w:t>
            </w:r>
            <w:r>
              <w:rPr>
                <w:rFonts w:hint="eastAsia" w:ascii="宋体" w:hAnsi="宋体" w:cs="宋体"/>
                <w:color w:val="auto"/>
                <w:sz w:val="21"/>
                <w:szCs w:val="21"/>
                <w:lang w:val="zh-CN" w:bidi="zh-CN"/>
              </w:rPr>
              <w:t>）经上述修正后，计算出报价评标价。</w:t>
            </w:r>
          </w:p>
          <w:p w14:paraId="21733673">
            <w:pPr>
              <w:spacing w:line="420" w:lineRule="exact"/>
              <w:rPr>
                <w:rFonts w:hint="eastAsia" w:ascii="宋体" w:hAnsi="宋体" w:cs="宋体"/>
                <w:color w:val="auto"/>
                <w:sz w:val="21"/>
                <w:szCs w:val="21"/>
                <w:lang w:val="zh-CN" w:bidi="zh-CN"/>
              </w:rPr>
            </w:pPr>
            <w:r>
              <w:rPr>
                <w:rFonts w:hint="eastAsia" w:ascii="宋体" w:hAnsi="宋体" w:cs="宋体"/>
                <w:color w:val="auto"/>
                <w:sz w:val="21"/>
                <w:szCs w:val="21"/>
                <w:lang w:val="zh-CN" w:bidi="zh-CN"/>
              </w:rPr>
              <w:t>报价评分按以下公式计算（取小数点后的2位数）</w:t>
            </w:r>
          </w:p>
          <w:p w14:paraId="5270E709">
            <w:pPr>
              <w:spacing w:line="420" w:lineRule="exact"/>
              <w:ind w:firstLine="1050" w:firstLineChars="500"/>
              <w:rPr>
                <w:rFonts w:hint="eastAsia" w:ascii="宋体" w:hAnsi="宋体" w:cs="宋体"/>
                <w:color w:val="auto"/>
                <w:sz w:val="21"/>
                <w:szCs w:val="21"/>
                <w:lang w:val="zh-CN" w:bidi="zh-CN"/>
              </w:rPr>
            </w:pPr>
            <w:r>
              <w:rPr>
                <w:rFonts w:hint="eastAsia" w:ascii="宋体" w:hAnsi="宋体" w:cs="宋体"/>
                <w:color w:val="auto"/>
                <w:sz w:val="21"/>
                <w:szCs w:val="21"/>
                <w:lang w:val="zh-CN" w:bidi="zh-CN"/>
              </w:rPr>
              <w:t xml:space="preserve">│ An－0.97×B │        </w:t>
            </w:r>
          </w:p>
          <w:p w14:paraId="7968629D">
            <w:pPr>
              <w:spacing w:line="420" w:lineRule="exact"/>
              <w:rPr>
                <w:rFonts w:hint="eastAsia" w:ascii="宋体" w:hAnsi="宋体" w:cs="宋体"/>
                <w:color w:val="auto"/>
                <w:sz w:val="21"/>
                <w:szCs w:val="21"/>
                <w:lang w:val="zh-CN" w:bidi="zh-CN"/>
              </w:rPr>
            </w:pPr>
            <w:r>
              <w:rPr>
                <w:rFonts w:hint="eastAsia" w:ascii="宋体" w:hAnsi="宋体" w:cs="宋体"/>
                <w:color w:val="auto"/>
                <w:sz w:val="21"/>
                <w:szCs w:val="21"/>
                <w:lang w:val="zh-CN" w:bidi="zh-CN"/>
              </w:rPr>
              <w:pict>
                <v:line id="直接连接符 2" o:spid="_x0000_s1028" o:spt="20" style="position:absolute;left:0pt;margin-left:55.85pt;margin-top:6.2pt;height:0.05pt;width:80.25pt;z-index:251662336;mso-width-relative:page;mso-height-relative:page;" filled="f" stroked="t" coordsize="21600,21600" o:gfxdata="UEsDBAoAAAAAAIdO4kAAAAAAAAAAAAAAAAAEAAAAZHJzL1BLAwQUAAAACACHTuJAUHHSedYAAAAJ&#10;AQAADwAAAGRycy9kb3ducmV2LnhtbE2PS0/DMBCE70j8B2uRuFTUiXkUhTg9ALlxoYC4buMliYjX&#10;aew+4NezPZXbzu5o9ptyefCD2tEU+8AW8nkGirgJrufWwvtbfXUPKiZkh0NgsvBDEZbV+VmJhQt7&#10;fqXdKrVKQjgWaKFLaSy0jk1HHuM8jMRy+wqTxyRyarWbcC/hftAmy+60x57lQ4cjPXbUfK+23kKs&#10;P2hT/86aWfZ53QYym6eXZ7T28iLPHkAlOqSTGY74gg6VMK3Dll1Ug+g8X4hVBnMDSgxmYQyo9XFx&#10;C7oq9f8G1R9QSwMEFAAAAAgAh07iQPnN6zj1AQAA5gMAAA4AAABkcnMvZTJvRG9jLnhtbK1TS44T&#10;MRDdI3EHy3vS6aAMTCudWUwYNggiAQeouN3dlvyTy0knl+ACSOxgxZI9t2E4BmV3yHzYZEEv3GXX&#10;83O9V/biam8028mAytmal5MpZ9IK1yjb1fzjh5tnLznDCLYB7ays+UEiv1o+fbIYfCVnrne6kYER&#10;icVq8DXvY/RVUaDopQGcOC8tJVsXDESahq5oAgzEbnQxm04visGFxgcnJCKtrsYkPzKGcwhd2yoh&#10;V05sjbRxZA1SQyRJ2CuPfJmrbVsp4ru2RRmZrjkpjXmkQyjepLFYLqDqAvheiWMJcE4JjzQZUJYO&#10;PVGtIALbBvUPlVEiOHRtnAhnilFIdoRUlNNH3rzvwcushaxGfzId/x+teLtbB6aams84s2Co4bef&#10;f/z69PX3zy803n7/xmbJpMFjRdhruw7HGfp1SIr3bTDpT1rYPht7OBkr95EJWiyn5WX5Ys6ZoNzF&#10;83liLO62+oDxtXSGpaDmWtmkGirYvcE4Qv9C0rK2bKj55XyWCIGuYEutp9B4koG2y3vRadXcKK3T&#10;Dgzd5loHtoN0DfJ3LOEBLB2yAuxHXE4lGFS9hOaVbVg8eDLI0rvgqQQjG860pGeUooyMoPQ5SFKv&#10;LZmQfB2dTNHGNQdqx9YH1fXkRJmrTBlqf7bseFXT/bo/z0x3z3P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Bx0nnWAAAACQEAAA8AAAAAAAAAAQAgAAAAIgAAAGRycy9kb3ducmV2LnhtbFBLAQIU&#10;ABQAAAAIAIdO4kD5zes49QEAAOYDAAAOAAAAAAAAAAEAIAAAACUBAABkcnMvZTJvRG9jLnhtbFBL&#10;BQYAAAAABgAGAFkBAACMBQAAAAA=&#10;">
                  <v:path arrowok="t"/>
                  <v:fill on="f" focussize="0,0"/>
                  <v:stroke color="#000000" joinstyle="round"/>
                  <v:imagedata o:title=""/>
                  <o:lock v:ext="edit" aspectratio="f"/>
                </v:line>
              </w:pict>
            </w:r>
            <w:r>
              <w:rPr>
                <w:rFonts w:hint="eastAsia" w:ascii="宋体" w:hAnsi="宋体" w:cs="宋体"/>
                <w:color w:val="auto"/>
                <w:sz w:val="21"/>
                <w:szCs w:val="21"/>
                <w:lang w:val="zh-CN" w:bidi="zh-CN"/>
              </w:rPr>
              <w:t xml:space="preserve">   P＝M－        0.97×B      ×100×Q</w:t>
            </w:r>
          </w:p>
          <w:p w14:paraId="4BE96806">
            <w:pPr>
              <w:spacing w:line="420" w:lineRule="exact"/>
              <w:rPr>
                <w:rFonts w:hint="eastAsia" w:ascii="宋体" w:hAnsi="宋体" w:cs="宋体"/>
                <w:color w:val="auto"/>
                <w:sz w:val="21"/>
                <w:szCs w:val="21"/>
                <w:lang w:val="zh-CN" w:bidi="zh-CN"/>
              </w:rPr>
            </w:pPr>
            <w:r>
              <w:rPr>
                <w:rFonts w:hint="eastAsia" w:ascii="宋体" w:hAnsi="宋体" w:cs="宋体"/>
                <w:color w:val="auto"/>
                <w:sz w:val="21"/>
                <w:szCs w:val="21"/>
                <w:lang w:val="zh-CN" w:bidi="zh-CN"/>
              </w:rPr>
              <w:t>其中： An为符合性审查通过的各投标人的报价，B为符合性审查通过的各投标人的报价的平均值。Q为折扣分（即投标报价每偏差评标基准价1％所扣的分数），M为报价得分满分值</w:t>
            </w:r>
          </w:p>
          <w:p w14:paraId="746E78FD">
            <w:pPr>
              <w:spacing w:line="420" w:lineRule="exact"/>
              <w:rPr>
                <w:rFonts w:hint="eastAsia" w:ascii="宋体" w:hAnsi="宋体" w:cs="宋体"/>
                <w:color w:val="auto"/>
                <w:sz w:val="21"/>
                <w:szCs w:val="21"/>
                <w:lang w:val="zh-CN" w:bidi="zh-CN"/>
              </w:rPr>
            </w:pPr>
            <w:r>
              <w:rPr>
                <w:rFonts w:hint="eastAsia" w:ascii="宋体" w:hAnsi="宋体" w:cs="宋体"/>
                <w:color w:val="auto"/>
                <w:sz w:val="21"/>
                <w:szCs w:val="21"/>
                <w:lang w:val="zh-CN" w:bidi="zh-CN"/>
              </w:rPr>
              <w:t>采用不对称扣分：An≤0.97×B 时，Q=0.5；</w:t>
            </w:r>
          </w:p>
          <w:p w14:paraId="2A2A7D40">
            <w:pPr>
              <w:widowControl/>
              <w:autoSpaceDE/>
              <w:autoSpaceDN/>
              <w:rPr>
                <w:rFonts w:asciiTheme="minorEastAsia" w:hAnsiTheme="minorEastAsia" w:eastAsiaTheme="minorEastAsia"/>
                <w:color w:val="000000"/>
                <w:sz w:val="21"/>
                <w:szCs w:val="21"/>
                <w:lang w:eastAsia="zh-CN"/>
              </w:rPr>
            </w:pPr>
            <w:r>
              <w:rPr>
                <w:rFonts w:hint="eastAsia" w:ascii="宋体" w:hAnsi="宋体" w:cs="宋体"/>
                <w:color w:val="auto"/>
                <w:sz w:val="21"/>
                <w:szCs w:val="21"/>
                <w:lang w:val="zh-CN" w:bidi="zh-CN"/>
              </w:rPr>
              <w:t xml:space="preserve">                An＞0.97×B 时，Q=1.5。</w:t>
            </w:r>
          </w:p>
        </w:tc>
        <w:tc>
          <w:tcPr>
            <w:tcW w:w="0" w:type="auto"/>
            <w:tcBorders>
              <w:top w:val="nil"/>
              <w:left w:val="nil"/>
              <w:bottom w:val="single" w:color="auto" w:sz="4" w:space="0"/>
              <w:right w:val="single" w:color="auto" w:sz="4" w:space="0"/>
            </w:tcBorders>
            <w:shd w:val="clear" w:color="auto" w:fill="auto"/>
            <w:noWrap/>
            <w:vAlign w:val="center"/>
          </w:tcPr>
          <w:p w14:paraId="611E398C">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5F929250">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1503FAD4">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r>
      <w:tr w14:paraId="199F0AA4">
        <w:tblPrEx>
          <w:tblCellMar>
            <w:top w:w="0" w:type="dxa"/>
            <w:left w:w="108" w:type="dxa"/>
            <w:bottom w:w="0" w:type="dxa"/>
            <w:right w:w="108" w:type="dxa"/>
          </w:tblCellMar>
        </w:tblPrEx>
        <w:trPr>
          <w:trHeight w:val="58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D6ECB6B">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二</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6E7E7E44">
            <w:pPr>
              <w:widowControl/>
              <w:autoSpaceDE/>
              <w:autoSpaceDN/>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技术评分</w:t>
            </w:r>
          </w:p>
        </w:tc>
        <w:tc>
          <w:tcPr>
            <w:tcW w:w="0" w:type="auto"/>
            <w:tcBorders>
              <w:top w:val="nil"/>
              <w:left w:val="nil"/>
              <w:bottom w:val="single" w:color="auto" w:sz="4" w:space="0"/>
              <w:right w:val="single" w:color="auto" w:sz="4" w:space="0"/>
            </w:tcBorders>
            <w:shd w:val="clear" w:color="auto" w:fill="auto"/>
            <w:noWrap/>
            <w:vAlign w:val="center"/>
          </w:tcPr>
          <w:p w14:paraId="05BEF1F7">
            <w:pPr>
              <w:widowControl/>
              <w:autoSpaceDE/>
              <w:autoSpaceDN/>
              <w:jc w:val="center"/>
              <w:rPr>
                <w:rFonts w:asciiTheme="minorEastAsia" w:hAnsiTheme="minorEastAsia" w:eastAsiaTheme="minorEastAsia"/>
                <w:b/>
                <w:bCs/>
                <w:color w:val="000000"/>
                <w:sz w:val="21"/>
                <w:szCs w:val="21"/>
                <w:lang w:eastAsia="zh-CN"/>
              </w:rPr>
            </w:pPr>
            <w:r>
              <w:rPr>
                <w:rFonts w:asciiTheme="minorEastAsia" w:hAnsiTheme="minorEastAsia" w:eastAsiaTheme="minorEastAsia"/>
                <w:b/>
                <w:bCs/>
                <w:color w:val="000000"/>
                <w:sz w:val="21"/>
                <w:szCs w:val="21"/>
                <w:lang w:eastAsia="zh-CN"/>
              </w:rPr>
              <w:t>30</w:t>
            </w:r>
          </w:p>
        </w:tc>
        <w:tc>
          <w:tcPr>
            <w:tcW w:w="0" w:type="auto"/>
            <w:tcBorders>
              <w:top w:val="nil"/>
              <w:left w:val="nil"/>
              <w:bottom w:val="single" w:color="auto" w:sz="4" w:space="0"/>
              <w:right w:val="single" w:color="auto" w:sz="4" w:space="0"/>
            </w:tcBorders>
            <w:shd w:val="clear" w:color="auto" w:fill="auto"/>
            <w:noWrap/>
            <w:vAlign w:val="center"/>
          </w:tcPr>
          <w:p w14:paraId="09553C91">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2601441E">
            <w:pPr>
              <w:widowControl/>
              <w:autoSpaceDE/>
              <w:autoSpaceDN/>
              <w:jc w:val="center"/>
              <w:rPr>
                <w:rFonts w:asciiTheme="minorEastAsia" w:hAnsiTheme="minorEastAsia" w:eastAsiaTheme="minorEastAsia"/>
                <w:b/>
                <w:bCs/>
                <w:color w:val="000000"/>
                <w:sz w:val="21"/>
                <w:szCs w:val="21"/>
                <w:lang w:eastAsia="zh-CN"/>
              </w:rPr>
            </w:pPr>
            <w:r>
              <w:rPr>
                <w:rFonts w:hint="eastAsia" w:asciiTheme="minorEastAsia" w:hAnsiTheme="minorEastAsia" w:eastAsiaTheme="minorEastAsia"/>
                <w:b/>
                <w:bCs/>
                <w:color w:val="000000"/>
                <w:sz w:val="21"/>
                <w:szCs w:val="21"/>
                <w:lang w:eastAsia="zh-CN"/>
              </w:rPr>
              <w:t>　</w:t>
            </w:r>
          </w:p>
        </w:tc>
      </w:tr>
      <w:tr w14:paraId="72B6646A">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2562374">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w:t>
            </w:r>
          </w:p>
        </w:tc>
        <w:tc>
          <w:tcPr>
            <w:tcW w:w="0" w:type="auto"/>
            <w:tcBorders>
              <w:top w:val="nil"/>
              <w:left w:val="single" w:color="auto" w:sz="4" w:space="0"/>
              <w:bottom w:val="single" w:color="auto" w:sz="4" w:space="0"/>
              <w:right w:val="single" w:color="auto" w:sz="4" w:space="0"/>
            </w:tcBorders>
            <w:shd w:val="clear" w:color="auto" w:fill="auto"/>
            <w:vAlign w:val="center"/>
          </w:tcPr>
          <w:p w14:paraId="7D9AEA22">
            <w:pPr>
              <w:widowControl/>
              <w:autoSpaceDE/>
              <w:autoSpaceDN/>
              <w:rPr>
                <w:rFonts w:asciiTheme="minorEastAsia" w:hAnsiTheme="minorEastAsia" w:eastAsiaTheme="minorEastAsia"/>
                <w:color w:val="000000"/>
                <w:sz w:val="21"/>
                <w:szCs w:val="21"/>
                <w:lang w:eastAsia="zh-CN"/>
              </w:rPr>
            </w:pPr>
            <w:r>
              <w:rPr>
                <w:rFonts w:hint="eastAsia"/>
                <w:sz w:val="21"/>
                <w:szCs w:val="21"/>
                <w:lang w:eastAsia="zh-CN" w:bidi="ar"/>
              </w:rPr>
              <w:t>综合实力</w:t>
            </w:r>
          </w:p>
        </w:tc>
        <w:tc>
          <w:tcPr>
            <w:tcW w:w="0" w:type="auto"/>
            <w:tcBorders>
              <w:top w:val="nil"/>
              <w:left w:val="nil"/>
              <w:bottom w:val="single" w:color="auto" w:sz="4" w:space="0"/>
              <w:right w:val="single" w:color="auto" w:sz="4" w:space="0"/>
            </w:tcBorders>
            <w:shd w:val="clear" w:color="auto" w:fill="auto"/>
            <w:vAlign w:val="center"/>
          </w:tcPr>
          <w:p w14:paraId="3B15281E">
            <w:pPr>
              <w:rPr>
                <w:bCs/>
                <w:sz w:val="21"/>
                <w:szCs w:val="21"/>
                <w:lang w:eastAsia="zh-CN"/>
              </w:rPr>
            </w:pPr>
            <w:r>
              <w:rPr>
                <w:rFonts w:hint="eastAsia"/>
                <w:sz w:val="21"/>
                <w:szCs w:val="21"/>
                <w:lang w:eastAsia="zh-CN" w:bidi="ar"/>
              </w:rPr>
              <w:t>根据投标人企业概况、企业规模、企业优势、企业的专业性、企业资质等方面进行评分。</w:t>
            </w:r>
          </w:p>
        </w:tc>
        <w:tc>
          <w:tcPr>
            <w:tcW w:w="0" w:type="auto"/>
            <w:tcBorders>
              <w:top w:val="nil"/>
              <w:left w:val="nil"/>
              <w:bottom w:val="single" w:color="auto" w:sz="4" w:space="0"/>
              <w:right w:val="single" w:color="auto" w:sz="4" w:space="0"/>
            </w:tcBorders>
            <w:shd w:val="clear" w:color="auto" w:fill="auto"/>
            <w:noWrap/>
            <w:vAlign w:val="center"/>
          </w:tcPr>
          <w:p w14:paraId="35B0D3DA">
            <w:pPr>
              <w:widowControl/>
              <w:autoSpaceDE/>
              <w:autoSpaceDN/>
              <w:jc w:val="center"/>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2</w:t>
            </w:r>
          </w:p>
        </w:tc>
        <w:tc>
          <w:tcPr>
            <w:tcW w:w="0" w:type="auto"/>
            <w:tcBorders>
              <w:top w:val="nil"/>
              <w:left w:val="nil"/>
              <w:bottom w:val="single" w:color="auto" w:sz="4" w:space="0"/>
              <w:right w:val="single" w:color="auto" w:sz="4" w:space="0"/>
            </w:tcBorders>
            <w:shd w:val="clear" w:color="auto" w:fill="auto"/>
            <w:noWrap/>
            <w:vAlign w:val="center"/>
          </w:tcPr>
          <w:p w14:paraId="5BBC1A93">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5A546513">
            <w:pPr>
              <w:widowControl/>
              <w:autoSpaceDE/>
              <w:autoSpaceDN/>
              <w:jc w:val="center"/>
              <w:rPr>
                <w:rFonts w:asciiTheme="minorEastAsia" w:hAnsiTheme="minorEastAsia" w:eastAsiaTheme="minorEastAsia"/>
                <w:color w:val="000000"/>
                <w:sz w:val="21"/>
                <w:szCs w:val="21"/>
                <w:lang w:eastAsia="zh-CN"/>
              </w:rPr>
            </w:pPr>
          </w:p>
        </w:tc>
      </w:tr>
      <w:tr w14:paraId="4D9BBC99">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2B0AE38">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2</w:t>
            </w:r>
          </w:p>
        </w:tc>
        <w:tc>
          <w:tcPr>
            <w:tcW w:w="0" w:type="auto"/>
            <w:tcBorders>
              <w:top w:val="nil"/>
              <w:left w:val="single" w:color="auto" w:sz="4" w:space="0"/>
              <w:bottom w:val="single" w:color="auto" w:sz="4" w:space="0"/>
              <w:right w:val="single" w:color="auto" w:sz="4" w:space="0"/>
            </w:tcBorders>
            <w:shd w:val="clear" w:color="auto" w:fill="auto"/>
            <w:vAlign w:val="center"/>
          </w:tcPr>
          <w:p w14:paraId="2F187C20">
            <w:pPr>
              <w:widowControl/>
              <w:autoSpaceDE/>
              <w:autoSpaceDN/>
              <w:rPr>
                <w:sz w:val="21"/>
                <w:szCs w:val="21"/>
                <w:lang w:eastAsia="zh-CN" w:bidi="ar"/>
              </w:rPr>
            </w:pPr>
            <w:r>
              <w:rPr>
                <w:rFonts w:hint="eastAsia"/>
                <w:sz w:val="21"/>
                <w:szCs w:val="21"/>
                <w:lang w:eastAsia="zh-CN" w:bidi="ar"/>
              </w:rPr>
              <w:t>类似业绩</w:t>
            </w:r>
          </w:p>
        </w:tc>
        <w:tc>
          <w:tcPr>
            <w:tcW w:w="0" w:type="auto"/>
            <w:tcBorders>
              <w:top w:val="nil"/>
              <w:left w:val="nil"/>
              <w:bottom w:val="single" w:color="auto" w:sz="4" w:space="0"/>
              <w:right w:val="single" w:color="auto" w:sz="4" w:space="0"/>
            </w:tcBorders>
            <w:shd w:val="clear" w:color="auto" w:fill="auto"/>
            <w:vAlign w:val="center"/>
          </w:tcPr>
          <w:p w14:paraId="595EB309">
            <w:pPr>
              <w:rPr>
                <w:sz w:val="21"/>
                <w:szCs w:val="21"/>
                <w:lang w:eastAsia="zh-CN" w:bidi="ar"/>
              </w:rPr>
            </w:pPr>
            <w:r>
              <w:rPr>
                <w:rFonts w:hint="eastAsia"/>
                <w:sz w:val="21"/>
                <w:szCs w:val="21"/>
                <w:lang w:eastAsia="zh-CN" w:bidi="ar"/>
              </w:rPr>
              <w:t>根据投标人</w:t>
            </w:r>
            <w:r>
              <w:rPr>
                <w:rFonts w:hint="eastAsia"/>
                <w:sz w:val="21"/>
                <w:szCs w:val="21"/>
                <w:lang w:val="en-US" w:eastAsia="zh-CN" w:bidi="ar"/>
              </w:rPr>
              <w:t>自</w:t>
            </w: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年1月1日至今</w:t>
            </w:r>
            <w:r>
              <w:rPr>
                <w:sz w:val="21"/>
                <w:szCs w:val="21"/>
                <w:lang w:eastAsia="zh-CN" w:bidi="ar"/>
              </w:rPr>
              <w:t>承揽过的与本次招标项目类似业绩</w:t>
            </w:r>
            <w:r>
              <w:rPr>
                <w:rFonts w:hint="eastAsia"/>
                <w:sz w:val="21"/>
                <w:szCs w:val="21"/>
                <w:lang w:eastAsia="zh-CN" w:bidi="ar"/>
              </w:rPr>
              <w:t>（以签订合同为准）</w:t>
            </w:r>
            <w:r>
              <w:rPr>
                <w:sz w:val="21"/>
                <w:szCs w:val="21"/>
                <w:lang w:eastAsia="zh-CN" w:bidi="ar"/>
              </w:rPr>
              <w:t>，有一项业绩得</w:t>
            </w:r>
            <w:r>
              <w:rPr>
                <w:rFonts w:hint="eastAsia"/>
                <w:sz w:val="21"/>
                <w:szCs w:val="21"/>
                <w:lang w:eastAsia="zh-CN" w:bidi="ar"/>
              </w:rPr>
              <w:t>1</w:t>
            </w:r>
            <w:r>
              <w:rPr>
                <w:sz w:val="21"/>
                <w:szCs w:val="21"/>
                <w:lang w:eastAsia="zh-CN" w:bidi="ar"/>
              </w:rPr>
              <w:t>分</w:t>
            </w:r>
            <w:r>
              <w:rPr>
                <w:rFonts w:hint="eastAsia"/>
                <w:sz w:val="21"/>
                <w:szCs w:val="21"/>
                <w:lang w:eastAsia="zh-CN" w:bidi="ar"/>
              </w:rPr>
              <w:t>，</w:t>
            </w:r>
            <w:r>
              <w:rPr>
                <w:sz w:val="21"/>
                <w:szCs w:val="21"/>
                <w:lang w:eastAsia="zh-CN" w:bidi="ar"/>
              </w:rPr>
              <w:t>满分</w:t>
            </w:r>
            <w:r>
              <w:rPr>
                <w:rFonts w:hint="eastAsia"/>
                <w:sz w:val="21"/>
                <w:szCs w:val="21"/>
                <w:lang w:eastAsia="zh-CN" w:bidi="ar"/>
              </w:rPr>
              <w:t>5分。</w:t>
            </w:r>
          </w:p>
        </w:tc>
        <w:tc>
          <w:tcPr>
            <w:tcW w:w="0" w:type="auto"/>
            <w:tcBorders>
              <w:top w:val="nil"/>
              <w:left w:val="nil"/>
              <w:bottom w:val="single" w:color="auto" w:sz="4" w:space="0"/>
              <w:right w:val="single" w:color="auto" w:sz="4" w:space="0"/>
            </w:tcBorders>
            <w:shd w:val="clear" w:color="auto" w:fill="auto"/>
            <w:noWrap/>
            <w:vAlign w:val="center"/>
          </w:tcPr>
          <w:p w14:paraId="21075130">
            <w:pPr>
              <w:widowControl/>
              <w:autoSpaceDE/>
              <w:autoSpaceDN/>
              <w:jc w:val="center"/>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5</w:t>
            </w:r>
          </w:p>
        </w:tc>
        <w:tc>
          <w:tcPr>
            <w:tcW w:w="0" w:type="auto"/>
            <w:tcBorders>
              <w:top w:val="nil"/>
              <w:left w:val="nil"/>
              <w:bottom w:val="single" w:color="auto" w:sz="4" w:space="0"/>
              <w:right w:val="single" w:color="auto" w:sz="4" w:space="0"/>
            </w:tcBorders>
            <w:shd w:val="clear" w:color="auto" w:fill="auto"/>
            <w:noWrap/>
            <w:vAlign w:val="center"/>
          </w:tcPr>
          <w:p w14:paraId="30C26E03">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2E033F2F">
            <w:pPr>
              <w:widowControl/>
              <w:autoSpaceDE/>
              <w:autoSpaceDN/>
              <w:jc w:val="center"/>
              <w:rPr>
                <w:rFonts w:asciiTheme="minorEastAsia" w:hAnsiTheme="minorEastAsia" w:eastAsiaTheme="minorEastAsia"/>
                <w:color w:val="000000"/>
                <w:sz w:val="21"/>
                <w:szCs w:val="21"/>
                <w:lang w:eastAsia="zh-CN"/>
              </w:rPr>
            </w:pPr>
          </w:p>
        </w:tc>
      </w:tr>
      <w:tr w14:paraId="182E102E">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06F3C20">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3</w:t>
            </w:r>
          </w:p>
        </w:tc>
        <w:tc>
          <w:tcPr>
            <w:tcW w:w="0" w:type="auto"/>
            <w:tcBorders>
              <w:top w:val="nil"/>
              <w:left w:val="single" w:color="auto" w:sz="4" w:space="0"/>
              <w:bottom w:val="single" w:color="auto" w:sz="4" w:space="0"/>
              <w:right w:val="single" w:color="auto" w:sz="4" w:space="0"/>
            </w:tcBorders>
            <w:shd w:val="clear" w:color="auto" w:fill="auto"/>
            <w:vAlign w:val="center"/>
          </w:tcPr>
          <w:p w14:paraId="0662670E">
            <w:pPr>
              <w:widowControl/>
              <w:autoSpaceDE/>
              <w:autoSpaceDN/>
              <w:rPr>
                <w:sz w:val="21"/>
                <w:szCs w:val="21"/>
                <w:lang w:eastAsia="zh-CN" w:bidi="ar"/>
              </w:rPr>
            </w:pPr>
            <w:r>
              <w:rPr>
                <w:rFonts w:hint="eastAsia" w:ascii="宋体" w:hAnsi="宋体" w:cs="宋体"/>
                <w:color w:val="auto"/>
                <w:sz w:val="21"/>
                <w:szCs w:val="21"/>
              </w:rPr>
              <w:t>投标文件响应性</w:t>
            </w:r>
          </w:p>
        </w:tc>
        <w:tc>
          <w:tcPr>
            <w:tcW w:w="0" w:type="auto"/>
            <w:tcBorders>
              <w:top w:val="nil"/>
              <w:left w:val="nil"/>
              <w:bottom w:val="single" w:color="auto" w:sz="4" w:space="0"/>
              <w:right w:val="single" w:color="auto" w:sz="4" w:space="0"/>
            </w:tcBorders>
            <w:shd w:val="clear" w:color="auto" w:fill="auto"/>
            <w:vAlign w:val="center"/>
          </w:tcPr>
          <w:p w14:paraId="081825E2">
            <w:pPr>
              <w:rPr>
                <w:rFonts w:hint="eastAsia" w:eastAsia="宋体"/>
                <w:sz w:val="21"/>
                <w:szCs w:val="21"/>
                <w:lang w:eastAsia="zh-CN" w:bidi="ar"/>
              </w:rPr>
            </w:pPr>
            <w:r>
              <w:rPr>
                <w:rFonts w:hint="eastAsia" w:ascii="宋体" w:hAnsi="宋体" w:cs="宋体"/>
                <w:color w:val="auto"/>
                <w:sz w:val="21"/>
                <w:szCs w:val="21"/>
              </w:rPr>
              <w:t>根据投标人提供的投标文件的质量，内容编制是否规范合理，响应文件编制是否完整等方面情况</w:t>
            </w:r>
            <w:r>
              <w:rPr>
                <w:rFonts w:hint="eastAsia" w:ascii="宋体" w:hAnsi="宋体" w:cs="宋体"/>
                <w:color w:val="auto"/>
                <w:sz w:val="21"/>
                <w:szCs w:val="21"/>
                <w:lang w:eastAsia="zh-CN"/>
              </w:rPr>
              <w:t>。</w:t>
            </w:r>
          </w:p>
        </w:tc>
        <w:tc>
          <w:tcPr>
            <w:tcW w:w="0" w:type="auto"/>
            <w:tcBorders>
              <w:top w:val="nil"/>
              <w:left w:val="nil"/>
              <w:bottom w:val="single" w:color="auto" w:sz="4" w:space="0"/>
              <w:right w:val="single" w:color="auto" w:sz="4" w:space="0"/>
            </w:tcBorders>
            <w:shd w:val="clear" w:color="auto" w:fill="auto"/>
            <w:noWrap/>
            <w:vAlign w:val="center"/>
          </w:tcPr>
          <w:p w14:paraId="2171FF82">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1</w:t>
            </w:r>
          </w:p>
        </w:tc>
        <w:tc>
          <w:tcPr>
            <w:tcW w:w="0" w:type="auto"/>
            <w:tcBorders>
              <w:top w:val="nil"/>
              <w:left w:val="nil"/>
              <w:bottom w:val="single" w:color="auto" w:sz="4" w:space="0"/>
              <w:right w:val="single" w:color="auto" w:sz="4" w:space="0"/>
            </w:tcBorders>
            <w:shd w:val="clear" w:color="auto" w:fill="auto"/>
            <w:noWrap/>
            <w:vAlign w:val="center"/>
          </w:tcPr>
          <w:p w14:paraId="2D63DEBE">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6B64E18F">
            <w:pPr>
              <w:widowControl/>
              <w:autoSpaceDE/>
              <w:autoSpaceDN/>
              <w:jc w:val="center"/>
              <w:rPr>
                <w:rFonts w:asciiTheme="minorEastAsia" w:hAnsiTheme="minorEastAsia" w:eastAsiaTheme="minorEastAsia"/>
                <w:color w:val="000000"/>
                <w:sz w:val="21"/>
                <w:szCs w:val="21"/>
                <w:lang w:eastAsia="zh-CN"/>
              </w:rPr>
            </w:pPr>
          </w:p>
        </w:tc>
      </w:tr>
      <w:tr w14:paraId="4727B517">
        <w:tblPrEx>
          <w:tblCellMar>
            <w:top w:w="0" w:type="dxa"/>
            <w:left w:w="108" w:type="dxa"/>
            <w:bottom w:w="0" w:type="dxa"/>
            <w:right w:w="108" w:type="dxa"/>
          </w:tblCellMar>
        </w:tblPrEx>
        <w:trPr>
          <w:trHeight w:val="40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6803F5">
            <w:pPr>
              <w:widowControl/>
              <w:autoSpaceDE/>
              <w:autoSpaceDN/>
              <w:jc w:val="center"/>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4</w:t>
            </w:r>
          </w:p>
        </w:tc>
        <w:tc>
          <w:tcPr>
            <w:tcW w:w="0" w:type="auto"/>
            <w:vMerge w:val="restart"/>
            <w:tcBorders>
              <w:top w:val="single" w:color="auto" w:sz="4" w:space="0"/>
              <w:left w:val="single" w:color="auto" w:sz="4" w:space="0"/>
              <w:right w:val="single" w:color="auto" w:sz="4" w:space="0"/>
            </w:tcBorders>
            <w:shd w:val="clear" w:color="auto" w:fill="auto"/>
            <w:vAlign w:val="center"/>
          </w:tcPr>
          <w:p w14:paraId="026C8155">
            <w:pPr>
              <w:widowControl/>
              <w:autoSpaceDE/>
              <w:autoSpaceDN/>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施工方案</w:t>
            </w:r>
          </w:p>
        </w:tc>
        <w:tc>
          <w:tcPr>
            <w:tcW w:w="0" w:type="auto"/>
            <w:tcBorders>
              <w:top w:val="nil"/>
              <w:left w:val="nil"/>
              <w:bottom w:val="single" w:color="auto" w:sz="4" w:space="0"/>
              <w:right w:val="single" w:color="auto" w:sz="4" w:space="0"/>
            </w:tcBorders>
            <w:shd w:val="clear" w:color="auto" w:fill="auto"/>
            <w:vAlign w:val="center"/>
          </w:tcPr>
          <w:p w14:paraId="15910C3A">
            <w:pPr>
              <w:rPr>
                <w:bCs/>
                <w:sz w:val="21"/>
                <w:szCs w:val="21"/>
                <w:highlight w:val="none"/>
                <w:lang w:eastAsia="zh-CN"/>
              </w:rPr>
            </w:pPr>
            <w:r>
              <w:rPr>
                <w:rFonts w:hint="eastAsia"/>
                <w:bCs/>
                <w:sz w:val="21"/>
                <w:szCs w:val="21"/>
                <w:highlight w:val="none"/>
                <w:lang w:eastAsia="zh-CN"/>
              </w:rPr>
              <w:t>施工项目重点难点分析（</w:t>
            </w:r>
            <w:r>
              <w:rPr>
                <w:rFonts w:hint="eastAsia"/>
                <w:bCs/>
                <w:sz w:val="21"/>
                <w:szCs w:val="21"/>
                <w:highlight w:val="none"/>
                <w:lang w:val="en-US" w:eastAsia="zh-CN"/>
              </w:rPr>
              <w:t>3</w:t>
            </w:r>
            <w:r>
              <w:rPr>
                <w:rFonts w:hint="eastAsia"/>
                <w:bCs/>
                <w:sz w:val="21"/>
                <w:szCs w:val="21"/>
                <w:highlight w:val="none"/>
                <w:lang w:eastAsia="zh-CN"/>
              </w:rPr>
              <w:t>分）</w:t>
            </w:r>
          </w:p>
          <w:p w14:paraId="7DD631AA">
            <w:pPr>
              <w:widowControl/>
              <w:autoSpaceDE/>
              <w:autoSpaceDN/>
              <w:rPr>
                <w:rFonts w:asciiTheme="minorEastAsia" w:hAnsiTheme="minorEastAsia" w:eastAsiaTheme="minorEastAsia"/>
                <w:color w:val="000000"/>
                <w:sz w:val="21"/>
                <w:szCs w:val="21"/>
                <w:lang w:eastAsia="zh-CN"/>
              </w:rPr>
            </w:pPr>
            <w:r>
              <w:rPr>
                <w:rFonts w:hint="eastAsia"/>
                <w:bCs/>
                <w:sz w:val="21"/>
                <w:szCs w:val="21"/>
                <w:highlight w:val="none"/>
              </w:rPr>
              <w:t>1、描述完整，原因分析到位，得</w:t>
            </w:r>
            <w:r>
              <w:rPr>
                <w:rFonts w:hint="eastAsia"/>
                <w:bCs/>
                <w:sz w:val="21"/>
                <w:szCs w:val="21"/>
                <w:highlight w:val="none"/>
                <w:lang w:val="en-US" w:eastAsia="zh-CN"/>
              </w:rPr>
              <w:t>2</w:t>
            </w:r>
            <w:r>
              <w:rPr>
                <w:rFonts w:hint="eastAsia"/>
                <w:bCs/>
                <w:sz w:val="21"/>
                <w:szCs w:val="21"/>
                <w:highlight w:val="none"/>
              </w:rPr>
              <w:t>-</w:t>
            </w:r>
            <w:r>
              <w:rPr>
                <w:rFonts w:hint="eastAsia"/>
                <w:bCs/>
                <w:sz w:val="21"/>
                <w:szCs w:val="21"/>
                <w:highlight w:val="none"/>
                <w:lang w:val="en-US" w:eastAsia="zh-CN"/>
              </w:rPr>
              <w:t>3</w:t>
            </w:r>
            <w:r>
              <w:rPr>
                <w:rFonts w:hint="eastAsia"/>
                <w:bCs/>
                <w:sz w:val="21"/>
                <w:szCs w:val="21"/>
                <w:highlight w:val="none"/>
              </w:rPr>
              <w:t>分</w:t>
            </w:r>
            <w:r>
              <w:rPr>
                <w:rFonts w:hint="eastAsia"/>
                <w:bCs/>
                <w:sz w:val="21"/>
                <w:szCs w:val="21"/>
                <w:highlight w:val="none"/>
                <w:lang w:eastAsia="zh-CN"/>
              </w:rPr>
              <w:t>（</w:t>
            </w:r>
            <w:r>
              <w:rPr>
                <w:rFonts w:hint="eastAsia"/>
                <w:bCs/>
                <w:sz w:val="21"/>
                <w:szCs w:val="21"/>
                <w:highlight w:val="none"/>
                <w:lang w:val="en-US" w:eastAsia="zh-CN"/>
              </w:rPr>
              <w:t>含3不含2</w:t>
            </w:r>
            <w:r>
              <w:rPr>
                <w:rFonts w:hint="eastAsia"/>
                <w:bCs/>
                <w:sz w:val="21"/>
                <w:szCs w:val="21"/>
                <w:highlight w:val="none"/>
                <w:lang w:eastAsia="zh-CN"/>
              </w:rPr>
              <w:t>）</w:t>
            </w:r>
            <w:r>
              <w:rPr>
                <w:rFonts w:hint="eastAsia"/>
                <w:bCs/>
                <w:sz w:val="21"/>
                <w:szCs w:val="21"/>
                <w:highlight w:val="none"/>
              </w:rPr>
              <w:t xml:space="preserve">。 </w:t>
            </w:r>
            <w:r>
              <w:rPr>
                <w:bCs/>
                <w:sz w:val="21"/>
                <w:szCs w:val="21"/>
                <w:highlight w:val="none"/>
              </w:rPr>
              <w:t xml:space="preserve">                              </w:t>
            </w:r>
            <w:r>
              <w:rPr>
                <w:rFonts w:hint="eastAsia"/>
                <w:bCs/>
                <w:sz w:val="21"/>
                <w:szCs w:val="21"/>
                <w:highlight w:val="none"/>
              </w:rPr>
              <w:t>2、描述完整，原因分析不到位，得</w:t>
            </w:r>
            <w:r>
              <w:rPr>
                <w:rFonts w:hint="eastAsia"/>
                <w:bCs/>
                <w:sz w:val="21"/>
                <w:szCs w:val="21"/>
                <w:highlight w:val="none"/>
                <w:lang w:val="en-US" w:eastAsia="zh-CN"/>
              </w:rPr>
              <w:t>1</w:t>
            </w:r>
            <w:r>
              <w:rPr>
                <w:rFonts w:hint="eastAsia"/>
                <w:bCs/>
                <w:sz w:val="21"/>
                <w:szCs w:val="21"/>
                <w:highlight w:val="none"/>
              </w:rPr>
              <w:t>-</w:t>
            </w:r>
            <w:r>
              <w:rPr>
                <w:rFonts w:hint="eastAsia"/>
                <w:bCs/>
                <w:sz w:val="21"/>
                <w:szCs w:val="21"/>
                <w:highlight w:val="none"/>
                <w:lang w:val="en-US" w:eastAsia="zh-CN"/>
              </w:rPr>
              <w:t>2</w:t>
            </w:r>
            <w:r>
              <w:rPr>
                <w:rFonts w:hint="eastAsia"/>
                <w:bCs/>
                <w:sz w:val="21"/>
                <w:szCs w:val="21"/>
                <w:highlight w:val="none"/>
              </w:rPr>
              <w:t>分</w:t>
            </w:r>
            <w:r>
              <w:rPr>
                <w:rFonts w:hint="eastAsia"/>
                <w:bCs/>
                <w:sz w:val="21"/>
                <w:szCs w:val="21"/>
                <w:highlight w:val="none"/>
                <w:lang w:eastAsia="zh-CN"/>
              </w:rPr>
              <w:t>（</w:t>
            </w:r>
            <w:r>
              <w:rPr>
                <w:rFonts w:hint="eastAsia"/>
                <w:bCs/>
                <w:sz w:val="21"/>
                <w:szCs w:val="21"/>
                <w:highlight w:val="none"/>
                <w:lang w:val="en-US" w:eastAsia="zh-CN"/>
              </w:rPr>
              <w:t>含2不含1</w:t>
            </w:r>
            <w:r>
              <w:rPr>
                <w:rFonts w:hint="eastAsia"/>
                <w:bCs/>
                <w:sz w:val="21"/>
                <w:szCs w:val="21"/>
                <w:highlight w:val="none"/>
                <w:lang w:eastAsia="zh-CN"/>
              </w:rPr>
              <w:t>）</w:t>
            </w:r>
            <w:r>
              <w:rPr>
                <w:rFonts w:hint="eastAsia"/>
                <w:bCs/>
                <w:sz w:val="21"/>
                <w:szCs w:val="21"/>
                <w:highlight w:val="none"/>
              </w:rPr>
              <w:t xml:space="preserve">。 </w:t>
            </w:r>
            <w:r>
              <w:rPr>
                <w:bCs/>
                <w:sz w:val="21"/>
                <w:szCs w:val="21"/>
                <w:highlight w:val="none"/>
              </w:rPr>
              <w:t xml:space="preserve">                                  </w:t>
            </w:r>
            <w:r>
              <w:rPr>
                <w:rFonts w:hint="eastAsia"/>
                <w:bCs/>
                <w:sz w:val="21"/>
                <w:szCs w:val="21"/>
                <w:highlight w:val="none"/>
              </w:rPr>
              <w:t>3、描述缺失并原因分析不到位，</w:t>
            </w:r>
            <w:r>
              <w:rPr>
                <w:rFonts w:hint="eastAsia"/>
                <w:bCs/>
                <w:sz w:val="21"/>
                <w:szCs w:val="21"/>
                <w:highlight w:val="none"/>
                <w:lang w:val="en-US" w:eastAsia="zh-CN"/>
              </w:rPr>
              <w:t>得0-1（含1）</w:t>
            </w:r>
            <w:r>
              <w:rPr>
                <w:rFonts w:hint="eastAsia"/>
                <w:bCs/>
                <w:sz w:val="21"/>
                <w:szCs w:val="21"/>
                <w:highlight w:val="none"/>
              </w:rPr>
              <w:t>。</w:t>
            </w:r>
          </w:p>
        </w:tc>
        <w:tc>
          <w:tcPr>
            <w:tcW w:w="0" w:type="auto"/>
            <w:tcBorders>
              <w:top w:val="nil"/>
              <w:left w:val="nil"/>
              <w:bottom w:val="single" w:color="auto" w:sz="4" w:space="0"/>
              <w:right w:val="single" w:color="auto" w:sz="4" w:space="0"/>
            </w:tcBorders>
            <w:shd w:val="clear" w:color="auto" w:fill="auto"/>
            <w:noWrap/>
            <w:vAlign w:val="center"/>
          </w:tcPr>
          <w:p w14:paraId="1D3C519A">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val="en-US" w:eastAsia="zh-CN"/>
              </w:rPr>
              <w:t>3</w:t>
            </w:r>
          </w:p>
        </w:tc>
        <w:tc>
          <w:tcPr>
            <w:tcW w:w="0" w:type="auto"/>
            <w:tcBorders>
              <w:top w:val="nil"/>
              <w:left w:val="nil"/>
              <w:bottom w:val="single" w:color="auto" w:sz="4" w:space="0"/>
              <w:right w:val="single" w:color="auto" w:sz="4" w:space="0"/>
            </w:tcBorders>
            <w:shd w:val="clear" w:color="auto" w:fill="auto"/>
            <w:noWrap/>
            <w:vAlign w:val="center"/>
          </w:tcPr>
          <w:p w14:paraId="2E134AC0">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35277E5E">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767DFAE8">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5AFE22">
            <w:pPr>
              <w:widowControl/>
              <w:autoSpaceDE/>
              <w:autoSpaceDN/>
              <w:jc w:val="center"/>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5</w:t>
            </w:r>
          </w:p>
        </w:tc>
        <w:tc>
          <w:tcPr>
            <w:tcW w:w="0" w:type="auto"/>
            <w:vMerge w:val="continue"/>
            <w:tcBorders>
              <w:left w:val="single" w:color="auto" w:sz="4" w:space="0"/>
              <w:bottom w:val="single" w:color="auto" w:sz="4" w:space="0"/>
              <w:right w:val="single" w:color="auto" w:sz="4" w:space="0"/>
            </w:tcBorders>
            <w:vAlign w:val="center"/>
          </w:tcPr>
          <w:p w14:paraId="12D442D5">
            <w:pPr>
              <w:widowControl/>
              <w:autoSpaceDE/>
              <w:autoSpaceDN/>
              <w:rPr>
                <w:rFonts w:asciiTheme="minorEastAsia" w:hAnsiTheme="minorEastAsia" w:eastAsiaTheme="minorEastAsia"/>
                <w:color w:val="000000"/>
                <w:sz w:val="21"/>
                <w:szCs w:val="21"/>
                <w:lang w:eastAsia="zh-CN"/>
              </w:rPr>
            </w:pPr>
          </w:p>
        </w:tc>
        <w:tc>
          <w:tcPr>
            <w:tcW w:w="0" w:type="auto"/>
            <w:tcBorders>
              <w:top w:val="single" w:color="auto" w:sz="4" w:space="0"/>
              <w:left w:val="nil"/>
              <w:bottom w:val="single" w:color="auto" w:sz="4" w:space="0"/>
              <w:right w:val="single" w:color="auto" w:sz="4" w:space="0"/>
            </w:tcBorders>
            <w:shd w:val="clear" w:color="auto" w:fill="auto"/>
          </w:tcPr>
          <w:p w14:paraId="731B1C0B">
            <w:pPr>
              <w:tabs>
                <w:tab w:val="left" w:pos="500"/>
              </w:tabs>
              <w:snapToGrid w:val="0"/>
              <w:jc w:val="both"/>
              <w:rPr>
                <w:rFonts w:ascii="宋体" w:hAnsi="宋体" w:cs="宋体"/>
                <w:bCs/>
                <w:color w:val="auto"/>
                <w:sz w:val="21"/>
                <w:szCs w:val="21"/>
              </w:rPr>
            </w:pPr>
            <w:r>
              <w:rPr>
                <w:rFonts w:hint="eastAsia" w:ascii="宋体" w:hAnsi="宋体" w:cs="宋体"/>
                <w:bCs/>
                <w:color w:val="auto"/>
                <w:sz w:val="21"/>
                <w:szCs w:val="21"/>
              </w:rPr>
              <w:t>施工方案内容：</w:t>
            </w:r>
          </w:p>
          <w:p w14:paraId="63689F5A">
            <w:pPr>
              <w:tabs>
                <w:tab w:val="left" w:pos="500"/>
              </w:tabs>
              <w:snapToGrid w:val="0"/>
              <w:jc w:val="both"/>
              <w:rPr>
                <w:rFonts w:ascii="宋体" w:hAnsi="宋体" w:cs="宋体"/>
                <w:bCs/>
                <w:color w:val="auto"/>
                <w:sz w:val="21"/>
                <w:szCs w:val="21"/>
              </w:rPr>
            </w:pPr>
            <w:r>
              <w:rPr>
                <w:rFonts w:hint="eastAsia" w:ascii="宋体" w:hAnsi="宋体" w:cs="宋体"/>
                <w:bCs/>
                <w:color w:val="auto"/>
                <w:sz w:val="21"/>
                <w:szCs w:val="21"/>
              </w:rPr>
              <w:t xml:space="preserve">1、施工方案清晰完整，措施标准操作性强，8-10分。 </w:t>
            </w:r>
            <w:r>
              <w:rPr>
                <w:rFonts w:ascii="宋体" w:hAnsi="宋体" w:cs="宋体"/>
                <w:bCs/>
                <w:color w:val="auto"/>
                <w:sz w:val="21"/>
                <w:szCs w:val="21"/>
              </w:rPr>
              <w:t xml:space="preserve">                              </w:t>
            </w:r>
          </w:p>
          <w:p w14:paraId="43536791">
            <w:pPr>
              <w:tabs>
                <w:tab w:val="left" w:pos="500"/>
              </w:tabs>
              <w:snapToGrid w:val="0"/>
              <w:jc w:val="both"/>
              <w:rPr>
                <w:rFonts w:hint="eastAsia" w:ascii="宋体" w:hAnsi="宋体" w:cs="宋体"/>
                <w:bCs/>
                <w:color w:val="auto"/>
                <w:sz w:val="21"/>
                <w:szCs w:val="21"/>
              </w:rPr>
            </w:pPr>
            <w:r>
              <w:rPr>
                <w:rFonts w:hint="eastAsia" w:ascii="宋体" w:hAnsi="宋体" w:cs="宋体"/>
                <w:bCs/>
                <w:color w:val="auto"/>
                <w:sz w:val="21"/>
                <w:szCs w:val="21"/>
              </w:rPr>
              <w:t xml:space="preserve">2、施工方案较清晰完整，措施标准操作性一般，4-7分。 </w:t>
            </w:r>
            <w:r>
              <w:rPr>
                <w:rFonts w:ascii="宋体" w:hAnsi="宋体" w:cs="宋体"/>
                <w:bCs/>
                <w:color w:val="auto"/>
                <w:sz w:val="21"/>
                <w:szCs w:val="21"/>
              </w:rPr>
              <w:t xml:space="preserve">                            </w:t>
            </w:r>
          </w:p>
          <w:p w14:paraId="63E392C9">
            <w:pPr>
              <w:rPr>
                <w:rFonts w:ascii="宋体" w:hAnsi="宋体" w:cs="宋体"/>
                <w:bCs/>
                <w:color w:val="auto"/>
                <w:sz w:val="21"/>
                <w:szCs w:val="21"/>
              </w:rPr>
            </w:pPr>
            <w:r>
              <w:rPr>
                <w:rFonts w:hint="eastAsia" w:ascii="宋体" w:hAnsi="宋体" w:cs="宋体"/>
                <w:bCs/>
                <w:color w:val="auto"/>
                <w:sz w:val="21"/>
                <w:szCs w:val="21"/>
              </w:rPr>
              <w:t>3、施工方案有缺失，措施标准较差，1-3分。</w:t>
            </w:r>
          </w:p>
          <w:p w14:paraId="24CE7340">
            <w:pPr>
              <w:widowControl/>
              <w:autoSpaceDE/>
              <w:autoSpaceDN/>
              <w:rPr>
                <w:lang w:eastAsia="zh-CN"/>
              </w:rPr>
            </w:pPr>
            <w:r>
              <w:rPr>
                <w:rFonts w:hint="eastAsia" w:ascii="宋体" w:hAnsi="宋体" w:cs="宋体"/>
                <w:bCs/>
                <w:color w:val="auto"/>
                <w:sz w:val="21"/>
                <w:szCs w:val="21"/>
              </w:rPr>
              <w:t>4、施工方案无针对性，内容存在明显错误，0分.</w:t>
            </w:r>
          </w:p>
        </w:tc>
        <w:tc>
          <w:tcPr>
            <w:tcW w:w="0" w:type="auto"/>
            <w:tcBorders>
              <w:top w:val="nil"/>
              <w:left w:val="nil"/>
              <w:bottom w:val="single" w:color="auto" w:sz="4" w:space="0"/>
              <w:right w:val="single" w:color="auto" w:sz="4" w:space="0"/>
            </w:tcBorders>
            <w:shd w:val="clear" w:color="auto" w:fill="auto"/>
            <w:noWrap/>
            <w:vAlign w:val="center"/>
          </w:tcPr>
          <w:p w14:paraId="70F0196C">
            <w:pPr>
              <w:widowControl/>
              <w:autoSpaceDE/>
              <w:autoSpaceDN/>
              <w:jc w:val="center"/>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10</w:t>
            </w:r>
          </w:p>
        </w:tc>
        <w:tc>
          <w:tcPr>
            <w:tcW w:w="0" w:type="auto"/>
            <w:tcBorders>
              <w:top w:val="nil"/>
              <w:left w:val="nil"/>
              <w:bottom w:val="single" w:color="auto" w:sz="4" w:space="0"/>
              <w:right w:val="single" w:color="auto" w:sz="4" w:space="0"/>
            </w:tcBorders>
            <w:shd w:val="clear" w:color="auto" w:fill="auto"/>
            <w:noWrap/>
            <w:vAlign w:val="center"/>
          </w:tcPr>
          <w:p w14:paraId="460C3BF8">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5E657D1F">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1C2FE208">
        <w:tblPrEx>
          <w:tblCellMar>
            <w:top w:w="0" w:type="dxa"/>
            <w:left w:w="108" w:type="dxa"/>
            <w:bottom w:w="0" w:type="dxa"/>
            <w:right w:w="108" w:type="dxa"/>
          </w:tblCellMar>
        </w:tblPrEx>
        <w:trPr>
          <w:trHeight w:val="127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0F7EA8">
            <w:pPr>
              <w:widowControl/>
              <w:autoSpaceDE/>
              <w:autoSpaceDN/>
              <w:jc w:val="center"/>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6</w:t>
            </w:r>
          </w:p>
        </w:tc>
        <w:tc>
          <w:tcPr>
            <w:tcW w:w="0" w:type="auto"/>
            <w:tcBorders>
              <w:top w:val="single" w:color="auto" w:sz="4" w:space="0"/>
              <w:left w:val="single" w:color="auto" w:sz="4" w:space="0"/>
              <w:bottom w:val="single" w:color="auto" w:sz="4" w:space="0"/>
              <w:right w:val="single" w:color="auto" w:sz="4" w:space="0"/>
            </w:tcBorders>
            <w:vAlign w:val="center"/>
          </w:tcPr>
          <w:p w14:paraId="453A96DF">
            <w:pPr>
              <w:widowControl/>
              <w:autoSpaceDE/>
              <w:autoSpaceDN/>
              <w:rPr>
                <w:rFonts w:asciiTheme="minorEastAsia" w:hAnsiTheme="minorEastAsia" w:eastAsiaTheme="minorEastAsia"/>
                <w:color w:val="000000"/>
                <w:sz w:val="21"/>
                <w:szCs w:val="21"/>
                <w:lang w:eastAsia="zh-CN"/>
              </w:rPr>
            </w:pPr>
            <w:r>
              <w:rPr>
                <w:rFonts w:hint="eastAsia"/>
                <w:sz w:val="21"/>
                <w:szCs w:val="21"/>
              </w:rPr>
              <w:t>进度管理</w:t>
            </w:r>
          </w:p>
        </w:tc>
        <w:tc>
          <w:tcPr>
            <w:tcW w:w="0" w:type="auto"/>
            <w:tcBorders>
              <w:top w:val="single" w:color="auto" w:sz="4" w:space="0"/>
              <w:left w:val="nil"/>
              <w:bottom w:val="single" w:color="auto" w:sz="4" w:space="0"/>
              <w:right w:val="single" w:color="auto" w:sz="4" w:space="0"/>
            </w:tcBorders>
            <w:shd w:val="clear" w:color="auto" w:fill="auto"/>
            <w:vAlign w:val="center"/>
          </w:tcPr>
          <w:p w14:paraId="0BA9DA79">
            <w:pPr>
              <w:spacing w:line="360" w:lineRule="auto"/>
              <w:rPr>
                <w:rFonts w:hint="eastAsia" w:ascii="宋体" w:hAnsi="宋体"/>
                <w:color w:val="auto"/>
                <w:sz w:val="21"/>
                <w:szCs w:val="21"/>
              </w:rPr>
            </w:pPr>
            <w:r>
              <w:rPr>
                <w:rFonts w:hint="eastAsia" w:ascii="宋体" w:hAnsi="宋体"/>
                <w:color w:val="auto"/>
                <w:sz w:val="21"/>
                <w:szCs w:val="21"/>
              </w:rPr>
              <w:t>1 、投标书中制定了施工进度计划、施工周期保证措施，措施切实可行并具有针对性的，得1-2分；投标书中施工保证措施无针对性或无施工周期保证措施，得0分。</w:t>
            </w:r>
          </w:p>
          <w:p w14:paraId="0B4A56CC">
            <w:pPr>
              <w:spacing w:line="360" w:lineRule="auto"/>
              <w:rPr>
                <w:rFonts w:hint="eastAsia" w:ascii="宋体" w:hAnsi="宋体"/>
                <w:color w:val="auto"/>
                <w:sz w:val="21"/>
                <w:szCs w:val="21"/>
              </w:rPr>
            </w:pPr>
            <w:r>
              <w:rPr>
                <w:rFonts w:hint="eastAsia" w:ascii="宋体" w:hAnsi="宋体"/>
                <w:color w:val="auto"/>
                <w:sz w:val="21"/>
                <w:szCs w:val="21"/>
              </w:rPr>
              <w:t>2、在满足</w:t>
            </w:r>
            <w:r>
              <w:rPr>
                <w:rFonts w:hint="eastAsia" w:ascii="宋体" w:hAnsi="宋体"/>
                <w:color w:val="auto"/>
                <w:sz w:val="21"/>
                <w:szCs w:val="21"/>
                <w:lang w:val="en-US" w:eastAsia="zh-CN"/>
              </w:rPr>
              <w:t>7</w:t>
            </w:r>
            <w:r>
              <w:rPr>
                <w:rFonts w:hint="eastAsia" w:ascii="宋体" w:hAnsi="宋体"/>
                <w:color w:val="auto"/>
                <w:sz w:val="21"/>
                <w:szCs w:val="21"/>
              </w:rPr>
              <w:t>个日历天完工基础上，工期每提前1天，得</w:t>
            </w:r>
            <w:r>
              <w:rPr>
                <w:rFonts w:hint="eastAsia" w:ascii="宋体" w:hAnsi="宋体"/>
                <w:color w:val="auto"/>
                <w:sz w:val="21"/>
                <w:szCs w:val="21"/>
                <w:lang w:val="en-US" w:eastAsia="zh-CN"/>
              </w:rPr>
              <w:t>1</w:t>
            </w:r>
            <w:r>
              <w:rPr>
                <w:rFonts w:hint="eastAsia" w:ascii="宋体" w:hAnsi="宋体"/>
                <w:color w:val="auto"/>
                <w:sz w:val="21"/>
                <w:szCs w:val="21"/>
              </w:rPr>
              <w:t>分，满分2分。</w:t>
            </w:r>
          </w:p>
          <w:p w14:paraId="627557D3">
            <w:pPr>
              <w:widowControl/>
              <w:autoSpaceDE/>
              <w:autoSpaceDN/>
              <w:rPr>
                <w:lang w:eastAsia="zh-CN"/>
              </w:rPr>
            </w:pPr>
            <w:r>
              <w:rPr>
                <w:rFonts w:hint="eastAsia" w:ascii="宋体" w:hAnsi="宋体"/>
                <w:color w:val="auto"/>
                <w:sz w:val="21"/>
                <w:szCs w:val="21"/>
              </w:rPr>
              <w:t>*此项为承诺项，投标人承诺项将写入合同中约束。</w:t>
            </w:r>
          </w:p>
        </w:tc>
        <w:tc>
          <w:tcPr>
            <w:tcW w:w="0" w:type="auto"/>
            <w:tcBorders>
              <w:top w:val="nil"/>
              <w:left w:val="nil"/>
              <w:bottom w:val="single" w:color="auto" w:sz="4" w:space="0"/>
              <w:right w:val="single" w:color="auto" w:sz="4" w:space="0"/>
            </w:tcBorders>
            <w:shd w:val="clear" w:color="auto" w:fill="auto"/>
            <w:noWrap/>
            <w:vAlign w:val="center"/>
          </w:tcPr>
          <w:p w14:paraId="0C2F1113">
            <w:pPr>
              <w:widowControl/>
              <w:autoSpaceDE/>
              <w:autoSpaceDN/>
              <w:jc w:val="center"/>
              <w:rPr>
                <w:rFonts w:asciiTheme="minorEastAsia" w:hAnsiTheme="minorEastAsia" w:eastAsiaTheme="minorEastAsia"/>
                <w:color w:val="000000"/>
                <w:sz w:val="21"/>
                <w:szCs w:val="21"/>
                <w:lang w:eastAsia="zh-CN"/>
              </w:rPr>
            </w:pPr>
            <w:r>
              <w:rPr>
                <w:rFonts w:asciiTheme="minorEastAsia" w:hAnsiTheme="minorEastAsia" w:eastAsiaTheme="minorEastAsia"/>
                <w:color w:val="000000"/>
                <w:sz w:val="21"/>
                <w:szCs w:val="21"/>
                <w:lang w:eastAsia="zh-CN"/>
              </w:rPr>
              <w:t>4</w:t>
            </w:r>
          </w:p>
        </w:tc>
        <w:tc>
          <w:tcPr>
            <w:tcW w:w="0" w:type="auto"/>
            <w:tcBorders>
              <w:top w:val="nil"/>
              <w:left w:val="nil"/>
              <w:bottom w:val="single" w:color="auto" w:sz="4" w:space="0"/>
              <w:right w:val="single" w:color="auto" w:sz="4" w:space="0"/>
            </w:tcBorders>
            <w:shd w:val="clear" w:color="auto" w:fill="auto"/>
            <w:noWrap/>
            <w:vAlign w:val="center"/>
          </w:tcPr>
          <w:p w14:paraId="04AECBE4">
            <w:pPr>
              <w:widowControl/>
              <w:autoSpaceDE/>
              <w:autoSpaceDN/>
              <w:jc w:val="center"/>
              <w:rPr>
                <w:rFonts w:asciiTheme="minorEastAsia" w:hAnsiTheme="minorEastAsia" w:eastAsiaTheme="minorEastAsia"/>
                <w:color w:val="000000"/>
                <w:sz w:val="21"/>
                <w:szCs w:val="21"/>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40D08FF8">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0004CC1F">
        <w:tblPrEx>
          <w:tblCellMar>
            <w:top w:w="0" w:type="dxa"/>
            <w:left w:w="108" w:type="dxa"/>
            <w:bottom w:w="0" w:type="dxa"/>
            <w:right w:w="108" w:type="dxa"/>
          </w:tblCellMar>
        </w:tblPrEx>
        <w:trPr>
          <w:trHeight w:val="91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25FB09FD">
            <w:pPr>
              <w:widowControl/>
              <w:autoSpaceDE/>
              <w:autoSpaceDN/>
              <w:jc w:val="center"/>
              <w:rPr>
                <w:rFonts w:cs="宋体" w:asciiTheme="minorEastAsia" w:hAnsiTheme="minorEastAsia" w:eastAsiaTheme="minorEastAsia"/>
                <w:color w:val="000000"/>
                <w:sz w:val="21"/>
                <w:szCs w:val="21"/>
                <w:lang w:val="en-US" w:eastAsia="zh-CN" w:bidi="ar-SA"/>
              </w:rPr>
            </w:pPr>
            <w:r>
              <w:rPr>
                <w:rFonts w:asciiTheme="minorEastAsia" w:hAnsiTheme="minorEastAsia" w:eastAsiaTheme="minorEastAsia"/>
                <w:color w:val="000000"/>
                <w:sz w:val="21"/>
                <w:szCs w:val="21"/>
                <w:lang w:eastAsia="zh-CN"/>
              </w:rPr>
              <w:t>7</w:t>
            </w:r>
          </w:p>
        </w:tc>
        <w:tc>
          <w:tcPr>
            <w:tcW w:w="0" w:type="auto"/>
            <w:tcBorders>
              <w:top w:val="single" w:color="auto" w:sz="4" w:space="0"/>
              <w:left w:val="single" w:color="auto" w:sz="4" w:space="0"/>
              <w:bottom w:val="nil"/>
              <w:right w:val="single" w:color="auto" w:sz="4" w:space="0"/>
            </w:tcBorders>
            <w:shd w:val="clear" w:color="auto" w:fill="auto"/>
            <w:vAlign w:val="center"/>
          </w:tcPr>
          <w:p w14:paraId="4E989273">
            <w:pPr>
              <w:widowControl/>
              <w:autoSpaceDE/>
              <w:autoSpaceDN/>
              <w:rPr>
                <w:rFonts w:hint="eastAsia" w:cs="宋体" w:asciiTheme="minorEastAsia" w:hAnsiTheme="minorEastAsia" w:eastAsiaTheme="minorEastAsia"/>
                <w:color w:val="000000"/>
                <w:sz w:val="21"/>
                <w:szCs w:val="21"/>
                <w:lang w:val="en-US" w:eastAsia="zh-CN" w:bidi="ar-SA"/>
              </w:rPr>
            </w:pPr>
            <w:r>
              <w:rPr>
                <w:rFonts w:hint="eastAsia"/>
                <w:sz w:val="21"/>
                <w:szCs w:val="21"/>
              </w:rPr>
              <w:t>安全管理</w:t>
            </w:r>
          </w:p>
        </w:tc>
        <w:tc>
          <w:tcPr>
            <w:tcW w:w="0" w:type="auto"/>
            <w:tcBorders>
              <w:top w:val="nil"/>
              <w:left w:val="nil"/>
              <w:bottom w:val="single" w:color="auto" w:sz="4" w:space="0"/>
              <w:right w:val="nil"/>
            </w:tcBorders>
            <w:shd w:val="clear" w:color="auto" w:fill="auto"/>
            <w:vAlign w:val="center"/>
          </w:tcPr>
          <w:p w14:paraId="07230AF3">
            <w:pPr>
              <w:tabs>
                <w:tab w:val="left" w:pos="500"/>
              </w:tabs>
              <w:snapToGrid w:val="0"/>
              <w:jc w:val="both"/>
              <w:rPr>
                <w:sz w:val="21"/>
                <w:szCs w:val="21"/>
                <w:lang w:eastAsia="zh-CN"/>
              </w:rPr>
            </w:pPr>
            <w:r>
              <w:rPr>
                <w:rFonts w:hint="eastAsia"/>
                <w:sz w:val="21"/>
                <w:szCs w:val="21"/>
                <w:lang w:eastAsia="zh-CN"/>
              </w:rPr>
              <w:t>1、方针目标明确、制度完善，控制计划和管控措施到位得</w:t>
            </w:r>
            <w:r>
              <w:rPr>
                <w:sz w:val="21"/>
                <w:szCs w:val="21"/>
                <w:lang w:eastAsia="zh-CN"/>
              </w:rPr>
              <w:t>2</w:t>
            </w:r>
            <w:r>
              <w:rPr>
                <w:rFonts w:hint="eastAsia"/>
                <w:sz w:val="21"/>
                <w:szCs w:val="21"/>
                <w:lang w:eastAsia="zh-CN"/>
              </w:rPr>
              <w:t>分。</w:t>
            </w:r>
          </w:p>
          <w:p w14:paraId="10B4E8E0">
            <w:pPr>
              <w:pStyle w:val="59"/>
              <w:rPr>
                <w:rFonts w:hint="eastAsia" w:cs="宋体" w:asciiTheme="minorEastAsia" w:hAnsiTheme="minorEastAsia" w:eastAsiaTheme="minorEastAsia"/>
                <w:color w:val="000000"/>
                <w:sz w:val="21"/>
                <w:szCs w:val="21"/>
                <w:lang w:val="en-US" w:eastAsia="zh-CN" w:bidi="ar-SA"/>
              </w:rPr>
            </w:pPr>
            <w:r>
              <w:rPr>
                <w:rFonts w:hint="eastAsia" w:hAnsi="宋体" w:cs="宋体"/>
                <w:sz w:val="21"/>
                <w:szCs w:val="21"/>
              </w:rPr>
              <w:t>2、方针目标、管理制度，控制计划和管控措施有缺失，每缺失或错误一项，扣0.5分。</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505022ED">
            <w:pPr>
              <w:widowControl/>
              <w:autoSpaceDE/>
              <w:autoSpaceDN/>
              <w:jc w:val="center"/>
              <w:rPr>
                <w:rFonts w:cs="宋体" w:asciiTheme="minorEastAsia" w:hAnsiTheme="minorEastAsia" w:eastAsiaTheme="minorEastAsia"/>
                <w:color w:val="000000"/>
                <w:sz w:val="21"/>
                <w:szCs w:val="21"/>
                <w:lang w:val="en-US" w:eastAsia="zh-CN" w:bidi="ar-SA"/>
              </w:rPr>
            </w:pPr>
            <w:r>
              <w:rPr>
                <w:rFonts w:asciiTheme="minorEastAsia" w:hAnsiTheme="minorEastAsia" w:eastAsiaTheme="minorEastAsia"/>
                <w:color w:val="000000"/>
                <w:sz w:val="21"/>
                <w:szCs w:val="21"/>
                <w:lang w:eastAsia="zh-CN"/>
              </w:rPr>
              <w:t>2</w:t>
            </w:r>
          </w:p>
        </w:tc>
        <w:tc>
          <w:tcPr>
            <w:tcW w:w="0" w:type="auto"/>
            <w:tcBorders>
              <w:top w:val="nil"/>
              <w:left w:val="nil"/>
              <w:bottom w:val="single" w:color="auto" w:sz="4" w:space="0"/>
              <w:right w:val="single" w:color="auto" w:sz="4" w:space="0"/>
            </w:tcBorders>
            <w:shd w:val="clear" w:color="auto" w:fill="auto"/>
            <w:noWrap/>
            <w:vAlign w:val="center"/>
          </w:tcPr>
          <w:p w14:paraId="3B7F7525">
            <w:pPr>
              <w:widowControl/>
              <w:autoSpaceDE/>
              <w:autoSpaceDN/>
              <w:jc w:val="center"/>
              <w:rPr>
                <w:rFonts w:cs="宋体" w:asciiTheme="minorEastAsia" w:hAnsiTheme="minorEastAsia" w:eastAsiaTheme="minorEastAsia"/>
                <w:color w:val="000000"/>
                <w:sz w:val="21"/>
                <w:szCs w:val="21"/>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2202685D">
            <w:pPr>
              <w:widowControl/>
              <w:autoSpaceDE/>
              <w:autoSpaceDN/>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color w:val="000000"/>
                <w:sz w:val="21"/>
                <w:szCs w:val="21"/>
                <w:lang w:eastAsia="zh-CN"/>
              </w:rPr>
              <w:t>　</w:t>
            </w:r>
          </w:p>
        </w:tc>
      </w:tr>
      <w:tr w14:paraId="48AAEC68">
        <w:tblPrEx>
          <w:tblCellMar>
            <w:top w:w="0" w:type="dxa"/>
            <w:left w:w="108" w:type="dxa"/>
            <w:bottom w:w="0" w:type="dxa"/>
            <w:right w:w="108" w:type="dxa"/>
          </w:tblCellMar>
        </w:tblPrEx>
        <w:trPr>
          <w:trHeight w:val="91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60A7A64">
            <w:pPr>
              <w:widowControl/>
              <w:autoSpaceDE/>
              <w:autoSpaceDN/>
              <w:jc w:val="center"/>
              <w:rPr>
                <w:rFonts w:hint="eastAsia" w:cs="宋体" w:asciiTheme="minorEastAsia" w:hAnsiTheme="minorEastAsia" w:eastAsiaTheme="minorEastAsia"/>
                <w:color w:val="000000"/>
                <w:sz w:val="21"/>
                <w:szCs w:val="21"/>
                <w:u w:val="none"/>
                <w:lang w:val="en-US" w:eastAsia="zh-CN" w:bidi="ar-SA"/>
              </w:rPr>
            </w:pPr>
            <w:r>
              <w:rPr>
                <w:rFonts w:hint="eastAsia" w:asciiTheme="minorEastAsia" w:hAnsiTheme="minorEastAsia" w:eastAsiaTheme="minorEastAsia"/>
                <w:color w:val="000000"/>
                <w:sz w:val="21"/>
                <w:szCs w:val="21"/>
                <w:u w:val="none"/>
                <w:lang w:val="en-US" w:eastAsia="zh-CN"/>
              </w:rPr>
              <w:t>8</w:t>
            </w:r>
          </w:p>
        </w:tc>
        <w:tc>
          <w:tcPr>
            <w:tcW w:w="0" w:type="auto"/>
            <w:tcBorders>
              <w:top w:val="single" w:color="auto" w:sz="4" w:space="0"/>
              <w:left w:val="single" w:color="auto" w:sz="4" w:space="0"/>
              <w:bottom w:val="nil"/>
              <w:right w:val="single" w:color="auto" w:sz="4" w:space="0"/>
            </w:tcBorders>
            <w:shd w:val="clear" w:color="auto" w:fill="auto"/>
            <w:vAlign w:val="center"/>
          </w:tcPr>
          <w:p w14:paraId="09DDFAFE">
            <w:pPr>
              <w:widowControl/>
              <w:autoSpaceDE/>
              <w:autoSpaceDN/>
              <w:rPr>
                <w:rFonts w:hint="eastAsia" w:cs="宋体" w:asciiTheme="minorEastAsia" w:hAnsiTheme="minorEastAsia" w:eastAsiaTheme="minorEastAsia"/>
                <w:color w:val="000000"/>
                <w:sz w:val="21"/>
                <w:szCs w:val="21"/>
                <w:u w:val="none"/>
                <w:lang w:val="en-US" w:eastAsia="zh-CN" w:bidi="ar-SA"/>
              </w:rPr>
            </w:pPr>
            <w:r>
              <w:rPr>
                <w:rFonts w:hint="eastAsia"/>
                <w:color w:val="auto"/>
                <w:sz w:val="21"/>
                <w:szCs w:val="21"/>
                <w:u w:val="none"/>
              </w:rPr>
              <w:t>资源配置情况</w:t>
            </w:r>
          </w:p>
        </w:tc>
        <w:tc>
          <w:tcPr>
            <w:tcW w:w="0" w:type="auto"/>
            <w:tcBorders>
              <w:top w:val="nil"/>
              <w:left w:val="nil"/>
              <w:bottom w:val="single" w:color="auto" w:sz="4" w:space="0"/>
              <w:right w:val="nil"/>
            </w:tcBorders>
            <w:shd w:val="clear" w:color="auto" w:fill="auto"/>
            <w:vAlign w:val="center"/>
          </w:tcPr>
          <w:p w14:paraId="42B6D9E7">
            <w:pPr>
              <w:rPr>
                <w:color w:val="auto"/>
                <w:sz w:val="21"/>
                <w:szCs w:val="21"/>
                <w:u w:val="none"/>
              </w:rPr>
            </w:pPr>
            <w:r>
              <w:rPr>
                <w:rFonts w:hint="eastAsia"/>
                <w:color w:val="auto"/>
                <w:sz w:val="21"/>
                <w:szCs w:val="21"/>
                <w:u w:val="none"/>
              </w:rPr>
              <w:t>1、施工机具完全满足招标文件要求，得</w:t>
            </w:r>
            <w:r>
              <w:rPr>
                <w:rFonts w:hint="eastAsia"/>
                <w:color w:val="auto"/>
                <w:sz w:val="21"/>
                <w:szCs w:val="21"/>
                <w:u w:val="none"/>
                <w:lang w:val="en-US" w:eastAsia="zh-CN"/>
              </w:rPr>
              <w:t>2</w:t>
            </w:r>
            <w:r>
              <w:rPr>
                <w:rFonts w:hint="eastAsia"/>
                <w:color w:val="auto"/>
                <w:sz w:val="21"/>
                <w:szCs w:val="21"/>
                <w:u w:val="none"/>
              </w:rPr>
              <w:t>分。</w:t>
            </w:r>
          </w:p>
          <w:p w14:paraId="42EC78A7">
            <w:pPr>
              <w:pStyle w:val="59"/>
              <w:rPr>
                <w:rFonts w:hint="eastAsia" w:cs="宋体" w:asciiTheme="minorEastAsia" w:hAnsiTheme="minorEastAsia" w:eastAsiaTheme="minorEastAsia"/>
                <w:color w:val="000000"/>
                <w:sz w:val="21"/>
                <w:szCs w:val="21"/>
                <w:u w:val="none"/>
                <w:lang w:val="en-US" w:eastAsia="zh-CN" w:bidi="ar-SA"/>
              </w:rPr>
            </w:pPr>
            <w:r>
              <w:rPr>
                <w:rFonts w:hint="eastAsia"/>
                <w:color w:val="auto"/>
                <w:sz w:val="21"/>
                <w:szCs w:val="21"/>
                <w:u w:val="none"/>
              </w:rPr>
              <w:t>2、施工机具不完全满足招标文件要求，根据程度得0-</w:t>
            </w:r>
            <w:r>
              <w:rPr>
                <w:rFonts w:hint="eastAsia"/>
                <w:color w:val="auto"/>
                <w:sz w:val="21"/>
                <w:szCs w:val="21"/>
                <w:u w:val="none"/>
                <w:lang w:val="en-US" w:eastAsia="zh-CN"/>
              </w:rPr>
              <w:t>1</w:t>
            </w:r>
            <w:r>
              <w:rPr>
                <w:rFonts w:hint="eastAsia"/>
                <w:color w:val="auto"/>
                <w:sz w:val="21"/>
                <w:szCs w:val="21"/>
                <w:u w:val="none"/>
              </w:rPr>
              <w:t>分。</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525A1D57">
            <w:pPr>
              <w:widowControl/>
              <w:autoSpaceDE/>
              <w:autoSpaceDN/>
              <w:jc w:val="center"/>
              <w:rPr>
                <w:rFonts w:cs="宋体" w:asciiTheme="minorEastAsia" w:hAnsiTheme="minorEastAsia" w:eastAsiaTheme="minorEastAsia"/>
                <w:color w:val="000000"/>
                <w:sz w:val="21"/>
                <w:szCs w:val="21"/>
                <w:u w:val="none"/>
                <w:lang w:val="en-US" w:eastAsia="zh-CN" w:bidi="ar-SA"/>
              </w:rPr>
            </w:pPr>
            <w:r>
              <w:rPr>
                <w:rFonts w:asciiTheme="minorEastAsia" w:hAnsiTheme="minorEastAsia" w:eastAsiaTheme="minorEastAsia"/>
                <w:color w:val="000000"/>
                <w:sz w:val="21"/>
                <w:szCs w:val="21"/>
                <w:u w:val="none"/>
                <w:lang w:eastAsia="zh-CN"/>
              </w:rPr>
              <w:t>2</w:t>
            </w:r>
          </w:p>
        </w:tc>
        <w:tc>
          <w:tcPr>
            <w:tcW w:w="0" w:type="auto"/>
            <w:tcBorders>
              <w:top w:val="nil"/>
              <w:left w:val="nil"/>
              <w:bottom w:val="single" w:color="auto" w:sz="4" w:space="0"/>
              <w:right w:val="single" w:color="auto" w:sz="4" w:space="0"/>
            </w:tcBorders>
            <w:shd w:val="clear" w:color="auto" w:fill="auto"/>
            <w:noWrap/>
            <w:vAlign w:val="center"/>
          </w:tcPr>
          <w:p w14:paraId="70D87802">
            <w:pPr>
              <w:widowControl/>
              <w:autoSpaceDE/>
              <w:autoSpaceDN/>
              <w:jc w:val="center"/>
              <w:rPr>
                <w:rFonts w:cs="宋体" w:asciiTheme="minorEastAsia" w:hAnsiTheme="minorEastAsia" w:eastAsiaTheme="minorEastAsia"/>
                <w:color w:val="000000"/>
                <w:sz w:val="21"/>
                <w:szCs w:val="21"/>
                <w:u w:val="none"/>
                <w:lang w:val="en-US" w:eastAsia="zh-CN" w:bidi="ar-SA"/>
              </w:rPr>
            </w:pPr>
          </w:p>
        </w:tc>
        <w:tc>
          <w:tcPr>
            <w:tcW w:w="0" w:type="auto"/>
            <w:tcBorders>
              <w:top w:val="nil"/>
              <w:left w:val="nil"/>
              <w:bottom w:val="single" w:color="auto" w:sz="4" w:space="0"/>
              <w:right w:val="single" w:color="auto" w:sz="4" w:space="0"/>
            </w:tcBorders>
            <w:shd w:val="clear" w:color="auto" w:fill="auto"/>
            <w:noWrap/>
            <w:vAlign w:val="center"/>
          </w:tcPr>
          <w:p w14:paraId="010AA6D6">
            <w:pPr>
              <w:widowControl/>
              <w:autoSpaceDE/>
              <w:autoSpaceDN/>
              <w:jc w:val="center"/>
              <w:rPr>
                <w:rFonts w:hint="eastAsia"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color w:val="000000"/>
                <w:sz w:val="21"/>
                <w:szCs w:val="21"/>
                <w:lang w:eastAsia="zh-CN"/>
              </w:rPr>
              <w:t>　</w:t>
            </w:r>
          </w:p>
        </w:tc>
      </w:tr>
      <w:tr w14:paraId="64D875FC">
        <w:tblPrEx>
          <w:tblCellMar>
            <w:top w:w="0" w:type="dxa"/>
            <w:left w:w="108" w:type="dxa"/>
            <w:bottom w:w="0" w:type="dxa"/>
            <w:right w:w="108" w:type="dxa"/>
          </w:tblCellMar>
        </w:tblPrEx>
        <w:trPr>
          <w:trHeight w:val="91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3FF0493">
            <w:pPr>
              <w:widowControl/>
              <w:autoSpaceDE/>
              <w:autoSpaceDN/>
              <w:jc w:val="center"/>
              <w:rPr>
                <w:rFonts w:asciiTheme="minorEastAsia" w:hAnsiTheme="minorEastAsia" w:eastAsiaTheme="minorEastAsia"/>
                <w:color w:val="000000"/>
                <w:sz w:val="21"/>
                <w:szCs w:val="21"/>
                <w:u w:val="none"/>
                <w:lang w:eastAsia="zh-CN"/>
              </w:rPr>
            </w:pPr>
            <w:r>
              <w:rPr>
                <w:rFonts w:hint="eastAsia" w:asciiTheme="minorEastAsia" w:hAnsiTheme="minorEastAsia" w:eastAsiaTheme="minorEastAsia"/>
                <w:color w:val="000000"/>
                <w:sz w:val="21"/>
                <w:szCs w:val="21"/>
                <w:u w:val="none"/>
                <w:lang w:val="en-US" w:eastAsia="zh-CN"/>
              </w:rPr>
              <w:t>9</w:t>
            </w:r>
          </w:p>
        </w:tc>
        <w:tc>
          <w:tcPr>
            <w:tcW w:w="0" w:type="auto"/>
            <w:tcBorders>
              <w:top w:val="single" w:color="auto" w:sz="4" w:space="0"/>
              <w:left w:val="single" w:color="auto" w:sz="4" w:space="0"/>
              <w:bottom w:val="nil"/>
              <w:right w:val="single" w:color="auto" w:sz="4" w:space="0"/>
            </w:tcBorders>
            <w:vAlign w:val="center"/>
          </w:tcPr>
          <w:p w14:paraId="195F7A09">
            <w:pPr>
              <w:widowControl/>
              <w:autoSpaceDE/>
              <w:autoSpaceDN/>
              <w:rPr>
                <w:rFonts w:asciiTheme="minorEastAsia" w:hAnsiTheme="minorEastAsia" w:eastAsiaTheme="minorEastAsia"/>
                <w:color w:val="000000"/>
                <w:sz w:val="21"/>
                <w:szCs w:val="21"/>
                <w:u w:val="none"/>
                <w:lang w:eastAsia="zh-CN"/>
              </w:rPr>
            </w:pPr>
            <w:r>
              <w:rPr>
                <w:rFonts w:hint="eastAsia" w:ascii="宋体" w:hAnsi="宋体" w:cs="宋体"/>
                <w:color w:val="auto"/>
                <w:sz w:val="21"/>
                <w:szCs w:val="21"/>
              </w:rPr>
              <w:t>风险识别完整性</w:t>
            </w:r>
          </w:p>
        </w:tc>
        <w:tc>
          <w:tcPr>
            <w:tcW w:w="0" w:type="auto"/>
            <w:tcBorders>
              <w:top w:val="nil"/>
              <w:left w:val="nil"/>
              <w:bottom w:val="single" w:color="auto" w:sz="4" w:space="0"/>
              <w:right w:val="nil"/>
            </w:tcBorders>
            <w:shd w:val="clear" w:color="auto" w:fill="auto"/>
            <w:vAlign w:val="center"/>
          </w:tcPr>
          <w:p w14:paraId="5A6820D1">
            <w:pPr>
              <w:tabs>
                <w:tab w:val="left" w:pos="500"/>
              </w:tabs>
              <w:snapToGrid w:val="0"/>
              <w:jc w:val="both"/>
              <w:rPr>
                <w:rFonts w:ascii="宋体" w:hAnsi="宋体" w:cs="宋体"/>
                <w:color w:val="auto"/>
                <w:sz w:val="21"/>
                <w:szCs w:val="21"/>
              </w:rPr>
            </w:pPr>
            <w:r>
              <w:rPr>
                <w:rFonts w:hint="eastAsia" w:ascii="宋体" w:hAnsi="宋体" w:cs="宋体"/>
                <w:color w:val="auto"/>
                <w:sz w:val="21"/>
                <w:szCs w:val="21"/>
              </w:rPr>
              <w:t xml:space="preserve">1、对该标段主要危害因素和作业风险识别完整准确，得1分。 </w:t>
            </w:r>
            <w:r>
              <w:rPr>
                <w:rFonts w:ascii="宋体" w:hAnsi="宋体" w:cs="宋体"/>
                <w:color w:val="auto"/>
                <w:sz w:val="21"/>
                <w:szCs w:val="21"/>
              </w:rPr>
              <w:t xml:space="preserve">                       </w:t>
            </w:r>
          </w:p>
          <w:p w14:paraId="4BB89CF9">
            <w:pPr>
              <w:pStyle w:val="59"/>
              <w:rPr>
                <w:rFonts w:cs="宋体" w:asciiTheme="minorEastAsia" w:hAnsiTheme="minorEastAsia" w:eastAsiaTheme="minorEastAsia"/>
                <w:color w:val="000000"/>
                <w:sz w:val="21"/>
                <w:szCs w:val="21"/>
                <w:u w:val="none"/>
              </w:rPr>
            </w:pPr>
            <w:r>
              <w:rPr>
                <w:rFonts w:hint="eastAsia" w:ascii="宋体" w:hAnsi="宋体" w:cs="宋体"/>
                <w:color w:val="auto"/>
                <w:sz w:val="21"/>
                <w:szCs w:val="21"/>
              </w:rPr>
              <w:t>2、主要危害因素和作业风险识别不完整，根据程度得0-0.5分。</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06504AB8">
            <w:pPr>
              <w:widowControl/>
              <w:autoSpaceDE/>
              <w:autoSpaceDN/>
              <w:jc w:val="center"/>
              <w:rPr>
                <w:rFonts w:asciiTheme="minorEastAsia" w:hAnsiTheme="minorEastAsia" w:eastAsiaTheme="minorEastAsia"/>
                <w:color w:val="000000"/>
                <w:sz w:val="21"/>
                <w:szCs w:val="21"/>
                <w:u w:val="none"/>
                <w:lang w:eastAsia="zh-CN"/>
              </w:rPr>
            </w:pPr>
            <w:r>
              <w:rPr>
                <w:rFonts w:hint="eastAsia" w:asciiTheme="minorEastAsia" w:hAnsiTheme="minorEastAsia" w:eastAsiaTheme="minorEastAsia"/>
                <w:color w:val="000000"/>
                <w:sz w:val="21"/>
                <w:szCs w:val="21"/>
                <w:u w:val="none"/>
                <w:lang w:val="en-US" w:eastAsia="zh-CN"/>
              </w:rPr>
              <w:t>1</w:t>
            </w:r>
          </w:p>
        </w:tc>
        <w:tc>
          <w:tcPr>
            <w:tcW w:w="0" w:type="auto"/>
            <w:tcBorders>
              <w:top w:val="nil"/>
              <w:left w:val="nil"/>
              <w:bottom w:val="single" w:color="auto" w:sz="4" w:space="0"/>
              <w:right w:val="single" w:color="auto" w:sz="4" w:space="0"/>
            </w:tcBorders>
            <w:shd w:val="clear" w:color="auto" w:fill="auto"/>
            <w:noWrap/>
            <w:vAlign w:val="center"/>
          </w:tcPr>
          <w:p w14:paraId="514F1CDB">
            <w:pPr>
              <w:widowControl/>
              <w:autoSpaceDE/>
              <w:autoSpaceDN/>
              <w:jc w:val="center"/>
              <w:rPr>
                <w:rFonts w:asciiTheme="minorEastAsia" w:hAnsiTheme="minorEastAsia" w:eastAsiaTheme="minorEastAsia"/>
                <w:color w:val="000000"/>
                <w:sz w:val="21"/>
                <w:szCs w:val="21"/>
                <w:u w:val="none"/>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6312D73F">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r w14:paraId="61B8F5AB">
        <w:tblPrEx>
          <w:tblCellMar>
            <w:top w:w="0" w:type="dxa"/>
            <w:left w:w="108" w:type="dxa"/>
            <w:bottom w:w="0" w:type="dxa"/>
            <w:right w:w="108" w:type="dxa"/>
          </w:tblCellMar>
        </w:tblPrEx>
        <w:trPr>
          <w:trHeight w:val="54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07AA06B">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三</w:t>
            </w:r>
          </w:p>
        </w:tc>
        <w:tc>
          <w:tcPr>
            <w:tcW w:w="1060" w:type="dxa"/>
            <w:tcBorders>
              <w:top w:val="single" w:color="auto" w:sz="4" w:space="0"/>
              <w:left w:val="nil"/>
              <w:bottom w:val="single" w:color="auto" w:sz="4" w:space="0"/>
              <w:right w:val="single" w:color="auto" w:sz="4" w:space="0"/>
            </w:tcBorders>
            <w:shd w:val="clear" w:color="auto" w:fill="auto"/>
            <w:vAlign w:val="center"/>
          </w:tcPr>
          <w:p w14:paraId="2B691212">
            <w:pPr>
              <w:widowControl/>
              <w:autoSpaceDE/>
              <w:autoSpaceDN/>
              <w:jc w:val="center"/>
              <w:rPr>
                <w:rFonts w:asciiTheme="minorEastAsia" w:hAnsiTheme="minorEastAsia" w:eastAsiaTheme="minorEastAsia"/>
                <w:color w:val="000000"/>
                <w:sz w:val="21"/>
                <w:szCs w:val="21"/>
                <w:lang w:eastAsia="zh-CN"/>
              </w:rPr>
            </w:pPr>
          </w:p>
        </w:tc>
        <w:tc>
          <w:tcPr>
            <w:tcW w:w="5966" w:type="dxa"/>
            <w:tcBorders>
              <w:top w:val="single" w:color="auto" w:sz="4" w:space="0"/>
              <w:left w:val="single" w:color="auto" w:sz="4" w:space="0"/>
              <w:bottom w:val="single" w:color="auto" w:sz="4" w:space="0"/>
              <w:right w:val="single" w:color="auto" w:sz="4" w:space="0"/>
            </w:tcBorders>
            <w:shd w:val="clear" w:color="auto" w:fill="auto"/>
            <w:vAlign w:val="center"/>
          </w:tcPr>
          <w:p w14:paraId="6975A78E">
            <w:pPr>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合计</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78E71746">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100</w:t>
            </w:r>
          </w:p>
        </w:tc>
        <w:tc>
          <w:tcPr>
            <w:tcW w:w="0" w:type="auto"/>
            <w:tcBorders>
              <w:top w:val="nil"/>
              <w:left w:val="nil"/>
              <w:bottom w:val="single" w:color="auto" w:sz="4" w:space="0"/>
              <w:right w:val="single" w:color="auto" w:sz="4" w:space="0"/>
            </w:tcBorders>
            <w:shd w:val="clear" w:color="auto" w:fill="auto"/>
            <w:noWrap/>
            <w:vAlign w:val="center"/>
          </w:tcPr>
          <w:p w14:paraId="5474D75B">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2176B2E0">
            <w:pPr>
              <w:widowControl/>
              <w:autoSpaceDE/>
              <w:autoSpaceDN/>
              <w:jc w:val="center"/>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lang w:eastAsia="zh-CN"/>
              </w:rPr>
              <w:t>　</w:t>
            </w:r>
          </w:p>
        </w:tc>
      </w:tr>
    </w:tbl>
    <w:p w14:paraId="21DDB2AA">
      <w:pPr>
        <w:rPr>
          <w:lang w:eastAsia="zh-CN"/>
        </w:rPr>
      </w:pP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1"/>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1"/>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1"/>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1"/>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1"/>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1"/>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1"/>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1"/>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1"/>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1"/>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1"/>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施工服务</w:t>
      </w:r>
      <w:r>
        <w:rPr>
          <w:rFonts w:hint="eastAsia"/>
          <w:lang w:eastAsia="zh-CN"/>
        </w:rPr>
        <w:t>合同</w:t>
      </w:r>
      <w:r>
        <w:rPr>
          <w:lang w:eastAsia="zh-CN"/>
        </w:rPr>
        <w:t>（详见附件一）的规定。</w:t>
      </w:r>
    </w:p>
    <w:p w14:paraId="2B23763A">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1"/>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59"/>
      </w:pPr>
    </w:p>
    <w:p w14:paraId="00ABAC03">
      <w:pPr>
        <w:pStyle w:val="59"/>
      </w:pPr>
    </w:p>
    <w:p w14:paraId="54F29C7F">
      <w:pPr>
        <w:pStyle w:val="59"/>
      </w:pPr>
    </w:p>
    <w:p w14:paraId="7A6A90D2">
      <w:pPr>
        <w:pStyle w:val="59"/>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1"/>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1"/>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1"/>
        <w:spacing w:line="360" w:lineRule="auto"/>
        <w:ind w:left="215"/>
        <w:rPr>
          <w:lang w:eastAsia="zh-CN"/>
        </w:rPr>
      </w:pPr>
      <w:r>
        <w:rPr>
          <w:lang w:eastAsia="zh-CN"/>
        </w:rPr>
        <w:br w:type="page"/>
      </w:r>
    </w:p>
    <w:p w14:paraId="3F4B5FBC">
      <w:pPr>
        <w:pStyle w:val="21"/>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7DE5F4FE">
      <w:pPr>
        <w:spacing w:line="480" w:lineRule="exact"/>
        <w:jc w:val="center"/>
        <w:rPr>
          <w:rFonts w:hint="eastAsia"/>
          <w:b/>
          <w:color w:val="000000"/>
          <w:sz w:val="44"/>
          <w:szCs w:val="44"/>
          <w:lang w:eastAsia="zh-CN"/>
        </w:rPr>
      </w:pPr>
    </w:p>
    <w:p w14:paraId="7F6F2ED9">
      <w:pPr>
        <w:spacing w:line="480" w:lineRule="exact"/>
        <w:jc w:val="center"/>
        <w:rPr>
          <w:rFonts w:hint="eastAsia"/>
          <w:b/>
          <w:color w:val="000000"/>
          <w:sz w:val="44"/>
          <w:szCs w:val="44"/>
          <w:lang w:eastAsia="zh-CN"/>
        </w:rPr>
      </w:pPr>
    </w:p>
    <w:p w14:paraId="77EC9FE0">
      <w:pPr>
        <w:spacing w:line="480" w:lineRule="exact"/>
        <w:jc w:val="center"/>
        <w:rPr>
          <w:rFonts w:hint="eastAsia"/>
          <w:b/>
          <w:color w:val="000000"/>
          <w:sz w:val="44"/>
          <w:szCs w:val="44"/>
          <w:lang w:eastAsia="zh-CN"/>
        </w:rPr>
      </w:pPr>
      <w:r>
        <w:rPr>
          <w:rFonts w:hint="eastAsia"/>
          <w:b/>
          <w:color w:val="000000"/>
          <w:sz w:val="44"/>
          <w:szCs w:val="44"/>
          <w:lang w:eastAsia="zh-CN"/>
        </w:rPr>
        <w:t>福建福海创石油化工有限公司</w:t>
      </w:r>
    </w:p>
    <w:p w14:paraId="71BBA46D">
      <w:pPr>
        <w:pStyle w:val="59"/>
        <w:rPr>
          <w:rFonts w:hint="eastAsia"/>
          <w:lang w:eastAsia="zh-CN"/>
        </w:rPr>
      </w:pPr>
    </w:p>
    <w:p w14:paraId="68665A3D">
      <w:pPr>
        <w:spacing w:line="480" w:lineRule="exact"/>
        <w:jc w:val="center"/>
        <w:rPr>
          <w:b/>
          <w:color w:val="000000"/>
          <w:sz w:val="44"/>
          <w:szCs w:val="44"/>
          <w:lang w:eastAsia="zh-CN"/>
        </w:rPr>
      </w:pPr>
      <w:r>
        <w:rPr>
          <w:rFonts w:hint="eastAsia"/>
          <w:b/>
          <w:color w:val="000000"/>
          <w:sz w:val="44"/>
          <w:szCs w:val="44"/>
          <w:lang w:eastAsia="zh-CN"/>
        </w:rPr>
        <w:t>芳烃装置优化节能改造项目工业管道及设备化学清洗服务工程合同</w:t>
      </w:r>
    </w:p>
    <w:p w14:paraId="20B6EEC9">
      <w:pPr>
        <w:spacing w:line="480" w:lineRule="exact"/>
        <w:jc w:val="center"/>
        <w:rPr>
          <w:b/>
          <w:color w:val="000000"/>
          <w:sz w:val="44"/>
          <w:szCs w:val="44"/>
          <w:lang w:eastAsia="zh-CN"/>
        </w:rPr>
      </w:pPr>
    </w:p>
    <w:p w14:paraId="60F27AE7">
      <w:pPr>
        <w:adjustRightInd w:val="0"/>
        <w:jc w:val="center"/>
        <w:rPr>
          <w:color w:val="000000"/>
          <w:sz w:val="32"/>
          <w:szCs w:val="32"/>
          <w:lang w:eastAsia="zh-CN"/>
        </w:rPr>
      </w:pPr>
      <w:r>
        <w:rPr>
          <w:rFonts w:hint="eastAsia"/>
          <w:color w:val="000000"/>
          <w:sz w:val="32"/>
          <w:szCs w:val="32"/>
          <w:lang w:eastAsia="zh-CN"/>
        </w:rPr>
        <w:t xml:space="preserve">(合同编号： </w:t>
      </w:r>
      <w:r>
        <w:rPr>
          <w:color w:val="000000"/>
          <w:sz w:val="32"/>
          <w:szCs w:val="32"/>
          <w:lang w:eastAsia="zh-CN"/>
        </w:rPr>
        <w:t xml:space="preserve">          </w:t>
      </w:r>
      <w:r>
        <w:rPr>
          <w:rFonts w:hint="eastAsia"/>
          <w:color w:val="000000"/>
          <w:sz w:val="32"/>
          <w:szCs w:val="32"/>
          <w:lang w:eastAsia="zh-CN"/>
        </w:rPr>
        <w:t>)</w:t>
      </w:r>
    </w:p>
    <w:p w14:paraId="40796346">
      <w:pPr>
        <w:rPr>
          <w:b/>
          <w:sz w:val="30"/>
          <w:lang w:eastAsia="zh-CN"/>
        </w:rPr>
      </w:pPr>
    </w:p>
    <w:p w14:paraId="6CF15F3B">
      <w:pPr>
        <w:rPr>
          <w:b/>
          <w:sz w:val="30"/>
          <w:lang w:eastAsia="zh-CN"/>
        </w:rPr>
      </w:pPr>
    </w:p>
    <w:p w14:paraId="35A2FCB5">
      <w:pPr>
        <w:rPr>
          <w:b/>
          <w:sz w:val="30"/>
          <w:lang w:eastAsia="zh-CN"/>
        </w:rPr>
      </w:pPr>
    </w:p>
    <w:p w14:paraId="75E4E154">
      <w:pPr>
        <w:rPr>
          <w:b/>
          <w:sz w:val="30"/>
          <w:lang w:eastAsia="zh-CN"/>
        </w:rPr>
      </w:pPr>
    </w:p>
    <w:p w14:paraId="171044E8">
      <w:pPr>
        <w:rPr>
          <w:b/>
          <w:sz w:val="30"/>
          <w:lang w:eastAsia="zh-CN"/>
        </w:rPr>
      </w:pPr>
    </w:p>
    <w:p w14:paraId="0A8CBA65">
      <w:pPr>
        <w:rPr>
          <w:b/>
          <w:sz w:val="30"/>
          <w:lang w:eastAsia="zh-CN"/>
        </w:rPr>
      </w:pPr>
    </w:p>
    <w:p w14:paraId="14B6878B">
      <w:pPr>
        <w:pStyle w:val="59"/>
      </w:pPr>
    </w:p>
    <w:p w14:paraId="652FDE45">
      <w:pPr>
        <w:pStyle w:val="59"/>
      </w:pPr>
    </w:p>
    <w:p w14:paraId="62C2C2CD">
      <w:pPr>
        <w:pStyle w:val="59"/>
      </w:pPr>
    </w:p>
    <w:p w14:paraId="26849C8B">
      <w:pPr>
        <w:rPr>
          <w:sz w:val="32"/>
          <w:szCs w:val="32"/>
          <w:lang w:eastAsia="zh-CN"/>
        </w:rPr>
      </w:pPr>
      <w:r>
        <w:rPr>
          <w:rFonts w:hint="eastAsia"/>
          <w:sz w:val="32"/>
          <w:szCs w:val="32"/>
          <w:lang w:eastAsia="zh-CN"/>
        </w:rPr>
        <w:t>发包人（甲方）：</w:t>
      </w:r>
      <w:r>
        <w:rPr>
          <w:rFonts w:hint="eastAsia"/>
          <w:b/>
          <w:bCs/>
          <w:sz w:val="32"/>
          <w:szCs w:val="32"/>
          <w:lang w:eastAsia="zh-CN"/>
        </w:rPr>
        <w:t>福建福海创石油化工有限公司</w:t>
      </w:r>
    </w:p>
    <w:p w14:paraId="7801A708">
      <w:pPr>
        <w:rPr>
          <w:sz w:val="32"/>
          <w:szCs w:val="32"/>
          <w:lang w:eastAsia="zh-CN"/>
        </w:rPr>
      </w:pPr>
      <w:r>
        <w:rPr>
          <w:rFonts w:hint="eastAsia"/>
          <w:sz w:val="32"/>
          <w:szCs w:val="32"/>
          <w:lang w:eastAsia="zh-CN"/>
        </w:rPr>
        <w:t xml:space="preserve">承包人（乙方）： </w:t>
      </w:r>
    </w:p>
    <w:p w14:paraId="0E8AF025">
      <w:pPr>
        <w:ind w:firstLine="800" w:firstLineChars="250"/>
        <w:rPr>
          <w:sz w:val="32"/>
          <w:szCs w:val="32"/>
          <w:lang w:eastAsia="zh-CN"/>
        </w:rPr>
      </w:pPr>
    </w:p>
    <w:p w14:paraId="620EEF93">
      <w:pPr>
        <w:tabs>
          <w:tab w:val="right" w:pos="9638"/>
        </w:tabs>
        <w:jc w:val="center"/>
        <w:rPr>
          <w:sz w:val="32"/>
          <w:szCs w:val="32"/>
          <w:lang w:eastAsia="zh-CN"/>
        </w:rPr>
      </w:pPr>
      <w:r>
        <w:rPr>
          <w:rFonts w:hint="eastAsia"/>
          <w:sz w:val="32"/>
          <w:szCs w:val="32"/>
          <w:lang w:eastAsia="zh-CN"/>
        </w:rPr>
        <w:t>日    期: 202</w:t>
      </w:r>
      <w:r>
        <w:rPr>
          <w:rFonts w:hint="eastAsia"/>
          <w:sz w:val="32"/>
          <w:szCs w:val="32"/>
          <w:lang w:val="en-US" w:eastAsia="zh-CN"/>
        </w:rPr>
        <w:t>6</w:t>
      </w:r>
      <w:r>
        <w:rPr>
          <w:rFonts w:hint="eastAsia"/>
          <w:sz w:val="32"/>
          <w:szCs w:val="32"/>
          <w:lang w:eastAsia="zh-CN"/>
        </w:rPr>
        <w:t>年</w:t>
      </w:r>
      <w:r>
        <w:rPr>
          <w:rFonts w:hint="eastAsia"/>
          <w:sz w:val="32"/>
          <w:szCs w:val="32"/>
          <w:lang w:val="en-US" w:eastAsia="zh-CN"/>
        </w:rPr>
        <w:t>5</w:t>
      </w:r>
      <w:r>
        <w:rPr>
          <w:rFonts w:hint="eastAsia"/>
          <w:sz w:val="32"/>
          <w:szCs w:val="32"/>
          <w:lang w:eastAsia="zh-CN"/>
        </w:rPr>
        <w:t>月</w:t>
      </w:r>
      <w:r>
        <w:rPr>
          <w:sz w:val="32"/>
          <w:szCs w:val="32"/>
          <w:lang w:eastAsia="zh-CN"/>
        </w:rPr>
        <w:t xml:space="preserve"> </w:t>
      </w:r>
      <w:r>
        <w:rPr>
          <w:rFonts w:hint="eastAsia"/>
          <w:sz w:val="32"/>
          <w:szCs w:val="32"/>
          <w:lang w:eastAsia="zh-CN"/>
        </w:rPr>
        <w:t>日</w:t>
      </w:r>
    </w:p>
    <w:p w14:paraId="7FC7EBBB">
      <w:pPr>
        <w:tabs>
          <w:tab w:val="left" w:pos="2130"/>
          <w:tab w:val="center" w:pos="4535"/>
        </w:tabs>
        <w:jc w:val="center"/>
        <w:rPr>
          <w:b/>
          <w:sz w:val="30"/>
          <w:szCs w:val="30"/>
          <w:lang w:eastAsia="zh-CN"/>
        </w:rPr>
      </w:pPr>
    </w:p>
    <w:p w14:paraId="27314EB3">
      <w:pPr>
        <w:spacing w:line="440" w:lineRule="exact"/>
        <w:rPr>
          <w:rFonts w:cs="Arial" w:asciiTheme="majorEastAsia" w:hAnsiTheme="majorEastAsia" w:eastAsiaTheme="majorEastAsia"/>
          <w:sz w:val="24"/>
          <w:szCs w:val="24"/>
          <w:lang w:eastAsia="zh-CN"/>
        </w:rPr>
      </w:pPr>
      <w:r>
        <w:rPr>
          <w:rFonts w:hint="eastAsia"/>
          <w:b/>
          <w:sz w:val="30"/>
          <w:szCs w:val="30"/>
          <w:lang w:eastAsia="zh-CN"/>
        </w:rPr>
        <w:br w:type="page"/>
      </w:r>
    </w:p>
    <w:p w14:paraId="12DF2B94">
      <w:pPr>
        <w:tabs>
          <w:tab w:val="left" w:pos="2130"/>
          <w:tab w:val="center" w:pos="4535"/>
        </w:tabs>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发包人（甲方）：福建福海创石油化工有限公司</w:t>
      </w:r>
    </w:p>
    <w:p w14:paraId="5146416A">
      <w:pPr>
        <w:pStyle w:val="59"/>
        <w:adjustRightInd/>
        <w:spacing w:line="440" w:lineRule="exact"/>
        <w:jc w:val="left"/>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w:t>
      </w:r>
      <w:r>
        <w:rPr>
          <w:rFonts w:asciiTheme="majorEastAsia" w:hAnsiTheme="majorEastAsia" w:eastAsiaTheme="majorEastAsia"/>
          <w:sz w:val="24"/>
          <w:szCs w:val="24"/>
        </w:rPr>
        <w:t xml:space="preserve">               </w:t>
      </w:r>
    </w:p>
    <w:p w14:paraId="696AED9C">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承包人（乙方）：</w:t>
      </w:r>
    </w:p>
    <w:p w14:paraId="2DD3F113">
      <w:pPr>
        <w:spacing w:line="440" w:lineRule="exact"/>
        <w:ind w:firstLine="42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依照《中华人民共和国民法典》及其他有关法律、行政法规，遵循平等、自愿、公平和诚实信用的原则，双方就本合同中承包范围内的工程事项协商一致，订立本合同。</w:t>
      </w:r>
    </w:p>
    <w:p w14:paraId="39AFB682">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rPr>
        <w:t>工程概况</w:t>
      </w:r>
    </w:p>
    <w:p w14:paraId="5D1905D5">
      <w:pPr>
        <w:numPr>
          <w:ilvl w:val="0"/>
          <w:numId w:val="10"/>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工程名称：</w:t>
      </w:r>
      <w:r>
        <w:rPr>
          <w:rFonts w:hint="eastAsia" w:cs="Arial" w:asciiTheme="majorEastAsia" w:hAnsiTheme="majorEastAsia" w:eastAsiaTheme="majorEastAsia"/>
          <w:sz w:val="24"/>
          <w:szCs w:val="24"/>
          <w:lang w:eastAsia="zh-CN"/>
        </w:rPr>
        <w:t>福建福海创石油化工有限公司芳烃装置优化节能改造项目工业管道及设备化学清洗服务工程</w:t>
      </w:r>
    </w:p>
    <w:p w14:paraId="19EAF124">
      <w:pPr>
        <w:numPr>
          <w:ilvl w:val="0"/>
          <w:numId w:val="10"/>
        </w:numPr>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工程地点：福建省漳州古雷开发区</w:t>
      </w:r>
    </w:p>
    <w:p w14:paraId="4DC40DDB">
      <w:pPr>
        <w:numPr>
          <w:ilvl w:val="0"/>
          <w:numId w:val="10"/>
        </w:numPr>
        <w:spacing w:line="440" w:lineRule="exact"/>
        <w:ind w:left="0" w:firstLine="0"/>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工程范围：</w:t>
      </w:r>
      <w:r>
        <w:rPr>
          <w:rFonts w:hint="eastAsia" w:asciiTheme="majorEastAsia" w:hAnsiTheme="majorEastAsia" w:eastAsiaTheme="majorEastAsia"/>
          <w:sz w:val="24"/>
          <w:szCs w:val="24"/>
          <w:lang w:val="en-US" w:eastAsia="zh-CN"/>
        </w:rPr>
        <w:t>本次需要对6台设备进行清洗，设备材质为Q345R与304不锈钢；</w:t>
      </w:r>
      <w:r>
        <w:rPr>
          <w:rFonts w:hint="eastAsia" w:asciiTheme="majorEastAsia" w:hAnsiTheme="majorEastAsia" w:eastAsiaTheme="majorEastAsia"/>
          <w:sz w:val="24"/>
          <w:szCs w:val="24"/>
          <w:lang w:eastAsia="zh-CN"/>
        </w:rPr>
        <w:t>本次需清洗工业管道共计</w:t>
      </w:r>
      <w:r>
        <w:rPr>
          <w:rFonts w:hint="eastAsia" w:asciiTheme="majorEastAsia" w:hAnsiTheme="majorEastAsia" w:eastAsiaTheme="majorEastAsia"/>
          <w:sz w:val="24"/>
          <w:szCs w:val="24"/>
          <w:lang w:val="en-US" w:eastAsia="zh-CN"/>
        </w:rPr>
        <w:t>约 500</w:t>
      </w:r>
      <w:r>
        <w:rPr>
          <w:rFonts w:hint="eastAsia" w:asciiTheme="majorEastAsia" w:hAnsiTheme="majorEastAsia" w:eastAsiaTheme="majorEastAsia"/>
          <w:sz w:val="24"/>
          <w:szCs w:val="24"/>
          <w:lang w:eastAsia="zh-CN"/>
        </w:rPr>
        <w:t>米，</w:t>
      </w:r>
      <w:r>
        <w:rPr>
          <w:rFonts w:hint="eastAsia" w:asciiTheme="majorEastAsia" w:hAnsiTheme="majorEastAsia" w:eastAsiaTheme="majorEastAsia"/>
          <w:sz w:val="24"/>
          <w:szCs w:val="24"/>
          <w:lang w:val="en-US" w:eastAsia="zh-CN"/>
        </w:rPr>
        <w:t>总清洗预估体积约289.8 m³，</w:t>
      </w:r>
      <w:r>
        <w:rPr>
          <w:rFonts w:hint="eastAsia" w:asciiTheme="majorEastAsia" w:hAnsiTheme="majorEastAsia" w:eastAsiaTheme="majorEastAsia"/>
          <w:sz w:val="24"/>
          <w:szCs w:val="24"/>
          <w:lang w:eastAsia="zh-CN"/>
        </w:rPr>
        <w:t>管径范围</w:t>
      </w:r>
      <w:r>
        <w:rPr>
          <w:rFonts w:hint="eastAsia" w:asciiTheme="majorEastAsia" w:hAnsiTheme="majorEastAsia" w:eastAsiaTheme="majorEastAsia"/>
          <w:sz w:val="24"/>
          <w:szCs w:val="24"/>
          <w:lang w:val="en-US" w:eastAsia="zh-CN"/>
        </w:rPr>
        <w:t xml:space="preserve"> 15 </w:t>
      </w:r>
      <w:r>
        <w:rPr>
          <w:rFonts w:hint="eastAsia" w:asciiTheme="majorEastAsia" w:hAnsiTheme="majorEastAsia" w:eastAsiaTheme="majorEastAsia"/>
          <w:sz w:val="24"/>
          <w:szCs w:val="24"/>
          <w:lang w:eastAsia="zh-CN"/>
        </w:rPr>
        <w:t>mm</w:t>
      </w:r>
      <w:r>
        <w:rPr>
          <w:rFonts w:hint="eastAsia" w:asciiTheme="majorEastAsia" w:hAnsiTheme="majorEastAsia" w:eastAsiaTheme="majorEastAsia"/>
          <w:sz w:val="24"/>
          <w:szCs w:val="24"/>
          <w:lang w:val="en-US" w:eastAsia="zh-CN"/>
        </w:rPr>
        <w:t xml:space="preserve"> - 950</w:t>
      </w:r>
      <w:r>
        <w:rPr>
          <w:rFonts w:hint="eastAsia" w:asciiTheme="majorEastAsia" w:hAnsiTheme="majorEastAsia" w:eastAsiaTheme="majorEastAsia"/>
          <w:sz w:val="24"/>
          <w:szCs w:val="24"/>
          <w:lang w:eastAsia="zh-CN"/>
        </w:rPr>
        <w:t>mm，管道材质主要为碳钢（</w:t>
      </w:r>
      <w:r>
        <w:rPr>
          <w:rFonts w:hint="eastAsia" w:asciiTheme="majorEastAsia" w:hAnsiTheme="majorEastAsia" w:eastAsiaTheme="majorEastAsia"/>
          <w:sz w:val="24"/>
          <w:szCs w:val="24"/>
          <w:lang w:val="en-US" w:eastAsia="zh-CN"/>
        </w:rPr>
        <w:t>Q345B、20#等</w:t>
      </w:r>
      <w:r>
        <w:rPr>
          <w:rFonts w:hint="eastAsia" w:asciiTheme="majorEastAsia" w:hAnsiTheme="majorEastAsia" w:eastAsiaTheme="majorEastAsia"/>
          <w:sz w:val="24"/>
          <w:szCs w:val="24"/>
          <w:lang w:eastAsia="zh-CN"/>
        </w:rPr>
        <w:t>）、不锈钢（如S30408），</w:t>
      </w:r>
      <w:r>
        <w:rPr>
          <w:rFonts w:hint="eastAsia" w:asciiTheme="majorEastAsia" w:hAnsiTheme="majorEastAsia" w:eastAsiaTheme="majorEastAsia"/>
          <w:sz w:val="24"/>
          <w:szCs w:val="24"/>
          <w:lang w:val="en-US" w:eastAsia="zh-CN"/>
        </w:rPr>
        <w:t>具体详见附件化学清洗清单、工艺流程图、管道单线图及设备图等</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分为两个标段，标段一为必须完成工作量，标段二根据甲方工作指令执行。</w:t>
      </w:r>
    </w:p>
    <w:p w14:paraId="2DE9A1CC">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rPr>
        <w:t>合同价款</w:t>
      </w:r>
    </w:p>
    <w:p w14:paraId="1F94E6DC">
      <w:pPr>
        <w:pStyle w:val="18"/>
        <w:spacing w:line="440" w:lineRule="exact"/>
        <w:jc w:val="left"/>
        <w:rPr>
          <w:rFonts w:asciiTheme="majorEastAsia" w:hAnsiTheme="majorEastAsia" w:eastAsiaTheme="majorEastAsia"/>
          <w:sz w:val="24"/>
          <w:szCs w:val="24"/>
        </w:rPr>
      </w:pPr>
      <w:r>
        <w:rPr>
          <w:rFonts w:hint="eastAsia" w:asciiTheme="majorEastAsia" w:hAnsiTheme="majorEastAsia" w:eastAsiaTheme="majorEastAsia"/>
          <w:sz w:val="24"/>
          <w:szCs w:val="24"/>
        </w:rPr>
        <w:t>1、承包方式与计价原则</w:t>
      </w:r>
    </w:p>
    <w:p w14:paraId="5CDE2487">
      <w:pPr>
        <w:pStyle w:val="18"/>
        <w:spacing w:line="440" w:lineRule="exact"/>
        <w:ind w:firstLine="360"/>
        <w:jc w:val="left"/>
        <w:rPr>
          <w:rFonts w:asciiTheme="majorEastAsia" w:hAnsiTheme="majorEastAsia" w:eastAsiaTheme="majorEastAsia"/>
          <w:sz w:val="24"/>
          <w:szCs w:val="24"/>
        </w:rPr>
      </w:pPr>
      <w:r>
        <w:rPr>
          <w:rFonts w:hint="eastAsia" w:asciiTheme="majorEastAsia" w:hAnsiTheme="majorEastAsia" w:eastAsiaTheme="majorEastAsia"/>
          <w:sz w:val="24"/>
          <w:szCs w:val="24"/>
        </w:rPr>
        <w:t>本合同乙方采用包工、包质量、包工期、包安全文明施工、包维修风险、包运输的承包方式，计价采用固定单价、据实结算的方式执行。</w:t>
      </w:r>
    </w:p>
    <w:p w14:paraId="228BD9F2">
      <w:pPr>
        <w:pStyle w:val="18"/>
        <w:numPr>
          <w:ilvl w:val="0"/>
          <w:numId w:val="11"/>
        </w:numPr>
        <w:spacing w:line="440" w:lineRule="exact"/>
        <w:jc w:val="left"/>
        <w:rPr>
          <w:rFonts w:cs="宋体" w:asciiTheme="majorEastAsia" w:hAnsiTheme="majorEastAsia" w:eastAsiaTheme="majorEastAsia"/>
          <w:sz w:val="24"/>
          <w:szCs w:val="24"/>
        </w:rPr>
      </w:pPr>
      <w:r>
        <w:rPr>
          <w:rFonts w:cs="宋体" w:asciiTheme="majorEastAsia" w:hAnsiTheme="majorEastAsia" w:eastAsiaTheme="majorEastAsia"/>
          <w:sz w:val="24"/>
          <w:szCs w:val="24"/>
        </w:rPr>
        <w:t>合同价款组成</w:t>
      </w:r>
    </w:p>
    <w:p w14:paraId="5474D687">
      <w:pPr>
        <w:pStyle w:val="18"/>
        <w:spacing w:line="440" w:lineRule="exact"/>
        <w:ind w:firstLine="360"/>
        <w:jc w:val="left"/>
        <w:rPr>
          <w:rFonts w:hint="eastAsia"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 xml:space="preserve">   本合同全部价款由以下两部分组成，两部分费用独立计算，</w:t>
      </w:r>
      <w:r>
        <w:rPr>
          <w:rFonts w:hint="eastAsia" w:asciiTheme="majorEastAsia" w:hAnsiTheme="majorEastAsia" w:eastAsiaTheme="majorEastAsia"/>
          <w:sz w:val="24"/>
          <w:szCs w:val="24"/>
          <w:highlight w:val="none"/>
          <w:lang w:val="en-US" w:eastAsia="zh-CN"/>
        </w:rPr>
        <w:t>标段一为必须完成工作量，标段二根据甲方工作指令执行。</w:t>
      </w:r>
    </w:p>
    <w:p w14:paraId="51C8A286">
      <w:pPr>
        <w:pStyle w:val="206"/>
        <w:numPr>
          <w:ilvl w:val="0"/>
          <w:numId w:val="9"/>
        </w:numPr>
        <w:tabs>
          <w:tab w:val="left" w:pos="0"/>
          <w:tab w:val="clear" w:pos="360"/>
        </w:tabs>
        <w:spacing w:line="440" w:lineRule="exact"/>
        <w:ind w:left="0" w:firstLine="0" w:firstLineChars="0"/>
        <w:jc w:val="left"/>
        <w:rPr>
          <w:rFonts w:asciiTheme="majorEastAsia" w:hAnsiTheme="majorEastAsia" w:eastAsiaTheme="majorEastAsia"/>
          <w:bCs/>
          <w:sz w:val="24"/>
        </w:rPr>
      </w:pPr>
      <w:r>
        <w:rPr>
          <w:rFonts w:hint="eastAsia" w:asciiTheme="majorEastAsia" w:hAnsiTheme="majorEastAsia" w:eastAsiaTheme="majorEastAsia"/>
          <w:bCs/>
          <w:sz w:val="24"/>
        </w:rPr>
        <w:t>工程款结算方式及期限</w:t>
      </w:r>
    </w:p>
    <w:p w14:paraId="72307050">
      <w:pPr>
        <w:spacing w:line="440" w:lineRule="exact"/>
        <w:ind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1、合同价款</w:t>
      </w:r>
    </w:p>
    <w:p w14:paraId="1879E4C7">
      <w:pPr>
        <w:spacing w:line="440" w:lineRule="exact"/>
        <w:ind w:firstLine="240" w:firstLineChars="100"/>
        <w:rPr>
          <w:rFonts w:asciiTheme="majorEastAsia" w:hAnsiTheme="majorEastAsia" w:eastAsiaTheme="majorEastAsia"/>
          <w:color w:val="3C3C3C"/>
          <w:sz w:val="24"/>
          <w:szCs w:val="24"/>
          <w:lang w:eastAsia="zh-CN"/>
        </w:rPr>
      </w:pPr>
      <w:r>
        <w:rPr>
          <w:rFonts w:hint="eastAsia" w:asciiTheme="majorEastAsia" w:hAnsiTheme="majorEastAsia" w:eastAsiaTheme="majorEastAsia"/>
          <w:sz w:val="24"/>
          <w:szCs w:val="24"/>
          <w:lang w:eastAsia="zh-CN"/>
        </w:rPr>
        <w:t xml:space="preserve">1.1 </w:t>
      </w:r>
      <w:r>
        <w:rPr>
          <w:rFonts w:hint="eastAsia" w:asciiTheme="majorEastAsia" w:hAnsiTheme="majorEastAsia" w:eastAsiaTheme="majorEastAsia"/>
          <w:color w:val="3C3C3C"/>
          <w:sz w:val="24"/>
          <w:szCs w:val="24"/>
          <w:lang w:eastAsia="zh-CN"/>
        </w:rPr>
        <w:t>本合同价款按以下方式执行：</w:t>
      </w:r>
    </w:p>
    <w:p w14:paraId="77A089A3">
      <w:pPr>
        <w:pStyle w:val="18"/>
        <w:numPr>
          <w:ilvl w:val="0"/>
          <w:numId w:val="12"/>
        </w:numPr>
        <w:spacing w:line="440" w:lineRule="exact"/>
        <w:jc w:val="lef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rPr>
        <w:t xml:space="preserve"> </w:t>
      </w:r>
      <w:r>
        <w:rPr>
          <w:rFonts w:hint="eastAsia" w:asciiTheme="majorEastAsia" w:hAnsiTheme="majorEastAsia" w:eastAsiaTheme="majorEastAsia"/>
          <w:sz w:val="24"/>
          <w:szCs w:val="24"/>
          <w:highlight w:val="none"/>
          <w:lang w:val="en-US" w:eastAsia="zh-CN"/>
        </w:rPr>
        <w:t>标段一：固定综合单价：</w:t>
      </w:r>
      <w:r>
        <w:rPr>
          <w:rFonts w:hint="eastAsia" w:asciiTheme="majorEastAsia" w:hAnsiTheme="majorEastAsia" w:eastAsiaTheme="majorEastAsia"/>
          <w:sz w:val="24"/>
          <w:szCs w:val="24"/>
          <w:highlight w:val="none"/>
          <w:u w:val="single"/>
          <w:lang w:val="en-US" w:eastAsia="zh-CN"/>
        </w:rPr>
        <w:t xml:space="preserve">    </w:t>
      </w:r>
      <w:r>
        <w:rPr>
          <w:rFonts w:hint="eastAsia" w:asciiTheme="majorEastAsia" w:hAnsiTheme="majorEastAsia" w:eastAsiaTheme="majorEastAsia"/>
          <w:sz w:val="24"/>
          <w:szCs w:val="24"/>
          <w:highlight w:val="none"/>
          <w:lang w:val="en-US" w:eastAsia="zh-CN"/>
        </w:rPr>
        <w:t>元/ m³ ，预估体积为99.02m³，</w:t>
      </w:r>
      <w:r>
        <w:rPr>
          <w:rFonts w:asciiTheme="majorEastAsia" w:hAnsiTheme="majorEastAsia" w:eastAsiaTheme="majorEastAsia"/>
          <w:sz w:val="24"/>
          <w:szCs w:val="24"/>
          <w:highlight w:val="none"/>
        </w:rPr>
        <w:t>暂定</w:t>
      </w:r>
      <w:r>
        <w:rPr>
          <w:rFonts w:hint="eastAsia" w:asciiTheme="majorEastAsia" w:hAnsiTheme="majorEastAsia" w:eastAsiaTheme="majorEastAsia"/>
          <w:sz w:val="24"/>
          <w:szCs w:val="24"/>
          <w:highlight w:val="none"/>
          <w:lang w:val="en-US" w:eastAsia="zh-CN"/>
        </w:rPr>
        <w:t>总价</w:t>
      </w:r>
      <w:r>
        <w:rPr>
          <w:rFonts w:asciiTheme="majorEastAsia" w:hAnsiTheme="majorEastAsia" w:eastAsiaTheme="majorEastAsia"/>
          <w:sz w:val="24"/>
          <w:szCs w:val="24"/>
          <w:highlight w:val="none"/>
        </w:rPr>
        <w:t>为</w:t>
      </w:r>
      <w:r>
        <w:rPr>
          <w:rFonts w:hint="eastAsia" w:asciiTheme="majorEastAsia" w:hAnsiTheme="majorEastAsia" w:eastAsiaTheme="majorEastAsia"/>
          <w:sz w:val="24"/>
          <w:szCs w:val="24"/>
          <w:highlight w:val="none"/>
          <w:lang w:eastAsia="zh-CN"/>
        </w:rPr>
        <w:t>：</w:t>
      </w:r>
      <w:r>
        <w:rPr>
          <w:rFonts w:asciiTheme="majorEastAsia" w:hAnsiTheme="majorEastAsia" w:eastAsiaTheme="majorEastAsia"/>
          <w:sz w:val="24"/>
          <w:szCs w:val="24"/>
          <w:highlight w:val="none"/>
        </w:rPr>
        <w:t>人民币</w:t>
      </w:r>
      <w:r>
        <w:rPr>
          <w:rFonts w:hint="eastAsia" w:asciiTheme="majorEastAsia" w:hAnsiTheme="majorEastAsia" w:eastAsiaTheme="majorEastAsia"/>
          <w:sz w:val="24"/>
          <w:szCs w:val="24"/>
          <w:highlight w:val="none"/>
          <w:lang w:val="en-US" w:eastAsia="zh-CN"/>
        </w:rPr>
        <w:t xml:space="preserve"> </w:t>
      </w:r>
      <w:r>
        <w:rPr>
          <w:rFonts w:hint="eastAsia" w:asciiTheme="majorEastAsia" w:hAnsiTheme="majorEastAsia" w:eastAsiaTheme="majorEastAsia"/>
          <w:sz w:val="24"/>
          <w:szCs w:val="24"/>
          <w:highlight w:val="none"/>
          <w:u w:val="single"/>
          <w:lang w:val="en-US" w:eastAsia="zh-CN"/>
        </w:rPr>
        <w:t xml:space="preserve">    </w:t>
      </w:r>
      <w:r>
        <w:rPr>
          <w:rFonts w:hint="eastAsia" w:asciiTheme="majorEastAsia" w:hAnsiTheme="majorEastAsia" w:eastAsiaTheme="majorEastAsia"/>
          <w:sz w:val="24"/>
          <w:szCs w:val="24"/>
          <w:highlight w:val="none"/>
          <w:lang w:val="en-US" w:eastAsia="zh-CN"/>
        </w:rPr>
        <w:t xml:space="preserve">  </w:t>
      </w:r>
      <w:r>
        <w:rPr>
          <w:rFonts w:asciiTheme="majorEastAsia" w:hAnsiTheme="majorEastAsia" w:eastAsiaTheme="majorEastAsia"/>
          <w:sz w:val="24"/>
          <w:szCs w:val="24"/>
          <w:highlight w:val="none"/>
        </w:rPr>
        <w:t>元（</w:t>
      </w:r>
      <w:r>
        <w:rPr>
          <w:rFonts w:hint="eastAsia" w:asciiTheme="majorEastAsia" w:hAnsiTheme="majorEastAsia" w:eastAsiaTheme="majorEastAsia"/>
          <w:sz w:val="24"/>
          <w:szCs w:val="24"/>
          <w:highlight w:val="none"/>
          <w:lang w:val="en-US" w:eastAsia="zh-CN"/>
        </w:rPr>
        <w:t>含税，</w:t>
      </w:r>
      <w:r>
        <w:rPr>
          <w:rFonts w:asciiTheme="majorEastAsia" w:hAnsiTheme="majorEastAsia" w:eastAsiaTheme="majorEastAsia"/>
          <w:sz w:val="24"/>
          <w:szCs w:val="24"/>
          <w:highlight w:val="none"/>
        </w:rPr>
        <w:t>大写：</w:t>
      </w:r>
      <w:r>
        <w:rPr>
          <w:rFonts w:hint="eastAsia" w:asciiTheme="majorEastAsia" w:hAnsiTheme="majorEastAsia" w:eastAsiaTheme="majorEastAsia"/>
          <w:sz w:val="24"/>
          <w:szCs w:val="24"/>
          <w:highlight w:val="none"/>
          <w:lang w:val="en-US" w:eastAsia="zh-CN"/>
        </w:rPr>
        <w:t xml:space="preserve">    </w:t>
      </w:r>
      <w:r>
        <w:rPr>
          <w:rFonts w:asciiTheme="majorEastAsia" w:hAnsiTheme="majorEastAsia" w:eastAsiaTheme="majorEastAsia"/>
          <w:sz w:val="24"/>
          <w:szCs w:val="24"/>
          <w:highlight w:val="none"/>
        </w:rPr>
        <w:t>）。</w:t>
      </w:r>
    </w:p>
    <w:p w14:paraId="0B8EF52F">
      <w:pPr>
        <w:pStyle w:val="18"/>
        <w:numPr>
          <w:ilvl w:val="0"/>
          <w:numId w:val="12"/>
        </w:numPr>
        <w:spacing w:line="440" w:lineRule="exact"/>
        <w:jc w:val="lef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lang w:val="en-US" w:eastAsia="zh-CN"/>
        </w:rPr>
        <w:t>标段二：固定综合单价：</w:t>
      </w:r>
      <w:r>
        <w:rPr>
          <w:rFonts w:hint="eastAsia" w:asciiTheme="majorEastAsia" w:hAnsiTheme="majorEastAsia" w:eastAsiaTheme="majorEastAsia"/>
          <w:sz w:val="24"/>
          <w:szCs w:val="24"/>
          <w:highlight w:val="none"/>
          <w:u w:val="single"/>
          <w:lang w:val="en-US" w:eastAsia="zh-CN"/>
        </w:rPr>
        <w:t xml:space="preserve">    </w:t>
      </w:r>
      <w:r>
        <w:rPr>
          <w:rFonts w:hint="eastAsia" w:asciiTheme="majorEastAsia" w:hAnsiTheme="majorEastAsia" w:eastAsiaTheme="majorEastAsia"/>
          <w:sz w:val="24"/>
          <w:szCs w:val="24"/>
          <w:highlight w:val="none"/>
          <w:lang w:val="en-US" w:eastAsia="zh-CN"/>
        </w:rPr>
        <w:t>元/ m³ ，预估体积190.78m³，</w:t>
      </w:r>
      <w:r>
        <w:rPr>
          <w:rFonts w:asciiTheme="majorEastAsia" w:hAnsiTheme="majorEastAsia" w:eastAsiaTheme="majorEastAsia"/>
          <w:sz w:val="24"/>
          <w:szCs w:val="24"/>
          <w:highlight w:val="none"/>
        </w:rPr>
        <w:t>暂定</w:t>
      </w:r>
      <w:r>
        <w:rPr>
          <w:rFonts w:hint="eastAsia" w:asciiTheme="majorEastAsia" w:hAnsiTheme="majorEastAsia" w:eastAsiaTheme="majorEastAsia"/>
          <w:sz w:val="24"/>
          <w:szCs w:val="24"/>
          <w:highlight w:val="none"/>
          <w:lang w:val="en-US" w:eastAsia="zh-CN"/>
        </w:rPr>
        <w:t>总价</w:t>
      </w:r>
      <w:r>
        <w:rPr>
          <w:rFonts w:asciiTheme="majorEastAsia" w:hAnsiTheme="majorEastAsia" w:eastAsiaTheme="majorEastAsia"/>
          <w:sz w:val="24"/>
          <w:szCs w:val="24"/>
          <w:highlight w:val="none"/>
        </w:rPr>
        <w:t>为</w:t>
      </w:r>
      <w:r>
        <w:rPr>
          <w:rFonts w:hint="eastAsia" w:asciiTheme="majorEastAsia" w:hAnsiTheme="majorEastAsia" w:eastAsiaTheme="majorEastAsia"/>
          <w:sz w:val="24"/>
          <w:szCs w:val="24"/>
          <w:highlight w:val="none"/>
          <w:lang w:eastAsia="zh-CN"/>
        </w:rPr>
        <w:t>：</w:t>
      </w:r>
      <w:r>
        <w:rPr>
          <w:rFonts w:asciiTheme="majorEastAsia" w:hAnsiTheme="majorEastAsia" w:eastAsiaTheme="majorEastAsia"/>
          <w:sz w:val="24"/>
          <w:szCs w:val="24"/>
          <w:highlight w:val="none"/>
        </w:rPr>
        <w:t>人民币</w:t>
      </w:r>
      <w:r>
        <w:rPr>
          <w:rFonts w:hint="eastAsia" w:asciiTheme="majorEastAsia" w:hAnsiTheme="majorEastAsia" w:eastAsiaTheme="majorEastAsia"/>
          <w:sz w:val="24"/>
          <w:szCs w:val="24"/>
          <w:highlight w:val="none"/>
          <w:lang w:val="en-US" w:eastAsia="zh-CN"/>
        </w:rPr>
        <w:t xml:space="preserve"> </w:t>
      </w:r>
      <w:r>
        <w:rPr>
          <w:rFonts w:hint="eastAsia" w:asciiTheme="majorEastAsia" w:hAnsiTheme="majorEastAsia" w:eastAsiaTheme="majorEastAsia"/>
          <w:sz w:val="24"/>
          <w:szCs w:val="24"/>
          <w:highlight w:val="none"/>
          <w:u w:val="single"/>
          <w:lang w:val="en-US" w:eastAsia="zh-CN"/>
        </w:rPr>
        <w:t xml:space="preserve">    </w:t>
      </w:r>
      <w:r>
        <w:rPr>
          <w:rFonts w:hint="eastAsia" w:asciiTheme="majorEastAsia" w:hAnsiTheme="majorEastAsia" w:eastAsiaTheme="majorEastAsia"/>
          <w:sz w:val="24"/>
          <w:szCs w:val="24"/>
          <w:highlight w:val="none"/>
          <w:lang w:val="en-US" w:eastAsia="zh-CN"/>
        </w:rPr>
        <w:t xml:space="preserve">  </w:t>
      </w:r>
      <w:r>
        <w:rPr>
          <w:rFonts w:asciiTheme="majorEastAsia" w:hAnsiTheme="majorEastAsia" w:eastAsiaTheme="majorEastAsia"/>
          <w:sz w:val="24"/>
          <w:szCs w:val="24"/>
          <w:highlight w:val="none"/>
        </w:rPr>
        <w:t>元（</w:t>
      </w:r>
      <w:r>
        <w:rPr>
          <w:rFonts w:hint="eastAsia" w:asciiTheme="majorEastAsia" w:hAnsiTheme="majorEastAsia" w:eastAsiaTheme="majorEastAsia"/>
          <w:sz w:val="24"/>
          <w:szCs w:val="24"/>
          <w:highlight w:val="none"/>
          <w:lang w:val="en-US" w:eastAsia="zh-CN"/>
        </w:rPr>
        <w:t>含税，</w:t>
      </w:r>
      <w:r>
        <w:rPr>
          <w:rFonts w:asciiTheme="majorEastAsia" w:hAnsiTheme="majorEastAsia" w:eastAsiaTheme="majorEastAsia"/>
          <w:sz w:val="24"/>
          <w:szCs w:val="24"/>
          <w:highlight w:val="none"/>
        </w:rPr>
        <w:t>大写：</w:t>
      </w:r>
      <w:r>
        <w:rPr>
          <w:rFonts w:hint="eastAsia" w:asciiTheme="majorEastAsia" w:hAnsiTheme="majorEastAsia" w:eastAsiaTheme="majorEastAsia"/>
          <w:sz w:val="24"/>
          <w:szCs w:val="24"/>
          <w:highlight w:val="none"/>
          <w:lang w:val="en-US" w:eastAsia="zh-CN"/>
        </w:rPr>
        <w:t xml:space="preserve">   </w:t>
      </w:r>
      <w:r>
        <w:rPr>
          <w:rFonts w:asciiTheme="majorEastAsia" w:hAnsiTheme="majorEastAsia" w:eastAsiaTheme="majorEastAsia"/>
          <w:sz w:val="24"/>
          <w:szCs w:val="24"/>
          <w:highlight w:val="none"/>
        </w:rPr>
        <w:t>）。</w:t>
      </w:r>
    </w:p>
    <w:p w14:paraId="6178FD14">
      <w:pPr>
        <w:pStyle w:val="18"/>
        <w:spacing w:line="440" w:lineRule="exact"/>
        <w:jc w:val="left"/>
        <w:rPr>
          <w:rFonts w:hint="default" w:asciiTheme="majorEastAsia" w:hAnsiTheme="majorEastAsia" w:eastAsiaTheme="majorEastAsia"/>
          <w:sz w:val="24"/>
          <w:szCs w:val="24"/>
          <w:highlight w:val="none"/>
          <w:lang w:val="en-US" w:eastAsia="zh-CN"/>
        </w:rPr>
      </w:pPr>
      <w:r>
        <w:rPr>
          <w:rFonts w:hint="eastAsia" w:asciiTheme="majorEastAsia" w:hAnsiTheme="majorEastAsia" w:eastAsiaTheme="majorEastAsia"/>
          <w:sz w:val="24"/>
          <w:szCs w:val="24"/>
          <w:highlight w:val="none"/>
          <w:lang w:eastAsia="zh-CN"/>
        </w:rPr>
        <w:t>（</w:t>
      </w:r>
      <w:r>
        <w:rPr>
          <w:rFonts w:hint="eastAsia" w:asciiTheme="majorEastAsia" w:hAnsiTheme="majorEastAsia" w:eastAsiaTheme="majorEastAsia"/>
          <w:sz w:val="24"/>
          <w:szCs w:val="24"/>
          <w:highlight w:val="none"/>
          <w:lang w:val="en-US" w:eastAsia="zh-CN"/>
        </w:rPr>
        <w:t>3</w:t>
      </w:r>
      <w:r>
        <w:rPr>
          <w:rFonts w:hint="eastAsia" w:asciiTheme="majorEastAsia" w:hAnsiTheme="majorEastAsia" w:eastAsiaTheme="majorEastAsia"/>
          <w:sz w:val="24"/>
          <w:szCs w:val="24"/>
          <w:highlight w:val="none"/>
          <w:lang w:eastAsia="zh-CN"/>
        </w:rPr>
        <w:t>）</w:t>
      </w:r>
      <w:r>
        <w:rPr>
          <w:rFonts w:hint="eastAsia" w:asciiTheme="majorEastAsia" w:hAnsiTheme="majorEastAsia" w:eastAsiaTheme="majorEastAsia"/>
          <w:sz w:val="24"/>
          <w:szCs w:val="24"/>
          <w:highlight w:val="none"/>
          <w:lang w:val="en-US" w:eastAsia="zh-CN"/>
        </w:rPr>
        <w:t>标段一+标段二，暂定总价为：</w:t>
      </w:r>
      <w:r>
        <w:rPr>
          <w:rFonts w:asciiTheme="majorEastAsia" w:hAnsiTheme="majorEastAsia" w:eastAsiaTheme="majorEastAsia"/>
          <w:sz w:val="24"/>
          <w:szCs w:val="24"/>
          <w:highlight w:val="none"/>
        </w:rPr>
        <w:t>人民币</w:t>
      </w:r>
      <w:r>
        <w:rPr>
          <w:rFonts w:hint="eastAsia" w:asciiTheme="majorEastAsia" w:hAnsiTheme="majorEastAsia" w:eastAsiaTheme="majorEastAsia"/>
          <w:sz w:val="24"/>
          <w:szCs w:val="24"/>
          <w:highlight w:val="none"/>
          <w:lang w:val="en-US" w:eastAsia="zh-CN"/>
        </w:rPr>
        <w:t xml:space="preserve">  </w:t>
      </w:r>
      <w:r>
        <w:rPr>
          <w:rFonts w:hint="eastAsia" w:asciiTheme="majorEastAsia" w:hAnsiTheme="majorEastAsia" w:eastAsiaTheme="majorEastAsia"/>
          <w:sz w:val="24"/>
          <w:szCs w:val="24"/>
          <w:highlight w:val="none"/>
          <w:u w:val="single"/>
          <w:lang w:val="en-US" w:eastAsia="zh-CN"/>
        </w:rPr>
        <w:t xml:space="preserve">     </w:t>
      </w:r>
      <w:r>
        <w:rPr>
          <w:rFonts w:asciiTheme="majorEastAsia" w:hAnsiTheme="majorEastAsia" w:eastAsiaTheme="majorEastAsia"/>
          <w:sz w:val="24"/>
          <w:szCs w:val="24"/>
          <w:highlight w:val="none"/>
        </w:rPr>
        <w:t>元（</w:t>
      </w:r>
      <w:r>
        <w:rPr>
          <w:rFonts w:hint="eastAsia" w:asciiTheme="majorEastAsia" w:hAnsiTheme="majorEastAsia" w:eastAsiaTheme="majorEastAsia"/>
          <w:sz w:val="24"/>
          <w:szCs w:val="24"/>
          <w:highlight w:val="none"/>
          <w:lang w:val="en-US" w:eastAsia="zh-CN"/>
        </w:rPr>
        <w:t>含税，</w:t>
      </w:r>
      <w:r>
        <w:rPr>
          <w:rFonts w:asciiTheme="majorEastAsia" w:hAnsiTheme="majorEastAsia" w:eastAsiaTheme="majorEastAsia"/>
          <w:sz w:val="24"/>
          <w:szCs w:val="24"/>
          <w:highlight w:val="none"/>
        </w:rPr>
        <w:t>大写：</w:t>
      </w:r>
      <w:r>
        <w:rPr>
          <w:rFonts w:hint="eastAsia" w:asciiTheme="majorEastAsia" w:hAnsiTheme="majorEastAsia" w:eastAsiaTheme="majorEastAsia"/>
          <w:sz w:val="24"/>
          <w:szCs w:val="24"/>
          <w:highlight w:val="none"/>
          <w:lang w:val="en-US" w:eastAsia="zh-CN"/>
        </w:rPr>
        <w:t xml:space="preserve">   </w:t>
      </w:r>
      <w:r>
        <w:rPr>
          <w:rFonts w:asciiTheme="majorEastAsia" w:hAnsiTheme="majorEastAsia" w:eastAsiaTheme="majorEastAsia"/>
          <w:sz w:val="24"/>
          <w:szCs w:val="24"/>
          <w:highlight w:val="none"/>
        </w:rPr>
        <w:t>）</w:t>
      </w:r>
      <w:r>
        <w:rPr>
          <w:rFonts w:hint="eastAsia" w:asciiTheme="majorEastAsia" w:hAnsiTheme="majorEastAsia" w:eastAsiaTheme="majorEastAsia"/>
          <w:sz w:val="24"/>
          <w:szCs w:val="24"/>
          <w:highlight w:val="none"/>
          <w:lang w:eastAsia="zh-CN"/>
        </w:rPr>
        <w:t>，</w:t>
      </w:r>
      <w:r>
        <w:rPr>
          <w:rFonts w:hint="eastAsia" w:asciiTheme="majorEastAsia" w:hAnsiTheme="majorEastAsia" w:eastAsiaTheme="majorEastAsia"/>
          <w:sz w:val="24"/>
          <w:szCs w:val="24"/>
          <w:highlight w:val="none"/>
          <w:lang w:val="en-US" w:eastAsia="zh-CN"/>
        </w:rPr>
        <w:t>不含税金额为：</w:t>
      </w:r>
      <w:r>
        <w:rPr>
          <w:rFonts w:asciiTheme="majorEastAsia" w:hAnsiTheme="majorEastAsia" w:eastAsiaTheme="majorEastAsia"/>
          <w:sz w:val="24"/>
          <w:szCs w:val="24"/>
          <w:highlight w:val="none"/>
        </w:rPr>
        <w:t>人民币</w:t>
      </w:r>
      <w:r>
        <w:rPr>
          <w:rFonts w:hint="eastAsia" w:asciiTheme="majorEastAsia" w:hAnsiTheme="majorEastAsia" w:eastAsiaTheme="majorEastAsia"/>
          <w:sz w:val="24"/>
          <w:szCs w:val="24"/>
          <w:highlight w:val="none"/>
          <w:lang w:val="en-US" w:eastAsia="zh-CN"/>
        </w:rPr>
        <w:t xml:space="preserve"> </w:t>
      </w:r>
      <w:r>
        <w:rPr>
          <w:rFonts w:hint="eastAsia" w:asciiTheme="majorEastAsia" w:hAnsiTheme="majorEastAsia" w:eastAsiaTheme="majorEastAsia"/>
          <w:sz w:val="24"/>
          <w:szCs w:val="24"/>
          <w:highlight w:val="none"/>
          <w:u w:val="single"/>
          <w:lang w:val="en-US" w:eastAsia="zh-CN"/>
        </w:rPr>
        <w:t xml:space="preserve">      </w:t>
      </w:r>
      <w:r>
        <w:rPr>
          <w:rFonts w:asciiTheme="majorEastAsia" w:hAnsiTheme="majorEastAsia" w:eastAsiaTheme="majorEastAsia"/>
          <w:sz w:val="24"/>
          <w:szCs w:val="24"/>
          <w:highlight w:val="none"/>
        </w:rPr>
        <w:t>元</w:t>
      </w:r>
      <w:r>
        <w:rPr>
          <w:rFonts w:hint="eastAsia" w:asciiTheme="majorEastAsia" w:hAnsiTheme="majorEastAsia" w:eastAsiaTheme="majorEastAsia"/>
          <w:sz w:val="24"/>
          <w:szCs w:val="24"/>
          <w:highlight w:val="none"/>
          <w:lang w:eastAsia="zh-CN"/>
        </w:rPr>
        <w:t>。</w:t>
      </w:r>
      <w:r>
        <w:rPr>
          <w:rFonts w:hint="eastAsia" w:asciiTheme="majorEastAsia" w:hAnsiTheme="majorEastAsia" w:eastAsiaTheme="majorEastAsia"/>
          <w:sz w:val="24"/>
          <w:szCs w:val="24"/>
          <w:highlight w:val="none"/>
          <w:lang w:val="en-US" w:eastAsia="zh-CN"/>
        </w:rPr>
        <w:t>具体详见附件报价清单。</w:t>
      </w:r>
    </w:p>
    <w:p w14:paraId="7B265F72">
      <w:pPr>
        <w:pStyle w:val="59"/>
        <w:adjustRightInd/>
        <w:spacing w:line="440" w:lineRule="exact"/>
        <w:jc w:val="left"/>
        <w:rPr>
          <w:rFonts w:cs="宋体" w:asciiTheme="majorEastAsia" w:hAnsiTheme="majorEastAsia" w:eastAsiaTheme="majorEastAsia"/>
          <w:sz w:val="24"/>
          <w:szCs w:val="24"/>
        </w:rPr>
      </w:pPr>
      <w:r>
        <w:rPr>
          <w:rFonts w:hint="eastAsia" w:cs="Arial" w:asciiTheme="majorEastAsia" w:hAnsiTheme="majorEastAsia" w:eastAsiaTheme="majorEastAsia"/>
          <w:sz w:val="24"/>
          <w:szCs w:val="24"/>
        </w:rPr>
        <w:t xml:space="preserve">  1.1.2</w:t>
      </w:r>
      <w:r>
        <w:rPr>
          <w:rFonts w:cs="宋体" w:asciiTheme="majorEastAsia" w:hAnsiTheme="majorEastAsia" w:eastAsiaTheme="majorEastAsia"/>
          <w:snapToGrid w:val="0"/>
          <w:sz w:val="24"/>
          <w:szCs w:val="24"/>
        </w:rPr>
        <w:t>合同价款（竣工结算价）：</w:t>
      </w:r>
      <w:r>
        <w:rPr>
          <w:rFonts w:hint="eastAsia" w:cs="宋体" w:asciiTheme="majorEastAsia" w:hAnsiTheme="majorEastAsia" w:eastAsiaTheme="majorEastAsia"/>
          <w:sz w:val="24"/>
          <w:szCs w:val="24"/>
          <w:u w:val="single"/>
        </w:rPr>
        <w:t>指乙方按合同约定完成了包括缺陷责任期内的全部承包工作后，甲方应付给乙方的金额，包括在履行合同过程中按合同约定进行的变更和调整。中选后，除甲方要求变更以及采购询比文件另有规定外，乙方在工作准备及工作直至验收合格所发生的一切费用均由乙方承担；</w:t>
      </w:r>
    </w:p>
    <w:p w14:paraId="780A5904">
      <w:pPr>
        <w:pStyle w:val="59"/>
        <w:adjustRightInd/>
        <w:spacing w:line="440" w:lineRule="exact"/>
        <w:jc w:val="left"/>
        <w:rPr>
          <w:rFonts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1.1.3 </w:t>
      </w:r>
      <w:r>
        <w:rPr>
          <w:rFonts w:hint="eastAsia" w:cs="宋体" w:asciiTheme="majorEastAsia" w:hAnsiTheme="majorEastAsia" w:eastAsiaTheme="majorEastAsia"/>
          <w:snapToGrid w:val="0"/>
          <w:sz w:val="24"/>
          <w:szCs w:val="24"/>
        </w:rPr>
        <w:t>合同价款最终以甲方审定的工程结算为准。甲方对乙方的清洗检修结算，按审核后（扣除甲供材料、设备）的结算额作为实际工作造价，不做任何优惠。</w:t>
      </w:r>
    </w:p>
    <w:p w14:paraId="11438A8A">
      <w:pPr>
        <w:spacing w:line="440" w:lineRule="exact"/>
        <w:ind w:right="-279" w:rightChars="-127" w:firstLine="240" w:firstLineChars="1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 乙方开具</w:t>
      </w:r>
      <w:r>
        <w:rPr>
          <w:rFonts w:hint="eastAsia" w:asciiTheme="majorEastAsia" w:hAnsiTheme="majorEastAsia" w:eastAsiaTheme="majorEastAsia"/>
          <w:sz w:val="24"/>
          <w:szCs w:val="24"/>
          <w:u w:val="single"/>
          <w:lang w:eastAsia="zh-CN"/>
        </w:rPr>
        <w:t xml:space="preserve"> </w:t>
      </w:r>
      <w:r>
        <w:rPr>
          <w:rFonts w:asciiTheme="majorEastAsia" w:hAnsiTheme="majorEastAsia" w:eastAsiaTheme="majorEastAsia"/>
          <w:sz w:val="24"/>
          <w:szCs w:val="24"/>
          <w:u w:val="single"/>
          <w:lang w:eastAsia="zh-CN"/>
        </w:rPr>
        <w:t>6</w:t>
      </w:r>
      <w:r>
        <w:rPr>
          <w:rFonts w:hint="eastAsia" w:asciiTheme="majorEastAsia" w:hAnsiTheme="majorEastAsia" w:eastAsiaTheme="majorEastAsia"/>
          <w:sz w:val="24"/>
          <w:szCs w:val="24"/>
          <w:u w:val="single"/>
          <w:lang w:eastAsia="zh-CN"/>
        </w:rPr>
        <w:t xml:space="preserve"> </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增值税专用发票，包括乙方工作涉及到的劳务费、管理费、工具费、劳保费、所有税费、各种保险、安全费用、利润、食宿费、加班费、饮用水、办公费、运输费、耗材费及合同涉及到的所有风险、责任、义务等费用，同时还包含了相关的配合政府部门的政策收费所需的全部费用（如果有）</w:t>
      </w:r>
      <w:r>
        <w:rPr>
          <w:rFonts w:hint="eastAsia" w:asciiTheme="majorEastAsia" w:hAnsiTheme="majorEastAsia" w:eastAsiaTheme="majorEastAsia"/>
          <w:color w:val="000000"/>
          <w:sz w:val="24"/>
          <w:szCs w:val="24"/>
          <w:lang w:eastAsia="zh-CN"/>
        </w:rPr>
        <w:t>。</w:t>
      </w:r>
      <w:r>
        <w:rPr>
          <w:rFonts w:hint="eastAsia" w:asciiTheme="majorEastAsia" w:hAnsiTheme="majorEastAsia" w:eastAsiaTheme="majorEastAsia"/>
          <w:sz w:val="24"/>
          <w:szCs w:val="24"/>
          <w:lang w:eastAsia="zh-CN"/>
        </w:rPr>
        <w:t>除非双方另有书面约定，甲方不再承担其他费用。</w:t>
      </w:r>
    </w:p>
    <w:p w14:paraId="46339D55">
      <w:pPr>
        <w:spacing w:line="440" w:lineRule="exact"/>
        <w:ind w:firstLine="360" w:firstLineChars="1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2、付款方式</w:t>
      </w:r>
    </w:p>
    <w:p w14:paraId="37FFE561">
      <w:pPr>
        <w:pStyle w:val="44"/>
        <w:spacing w:before="0" w:beforeAutospacing="0" w:after="0" w:afterAutospacing="0" w:line="440" w:lineRule="exact"/>
        <w:ind w:firstLine="480" w:firstLineChars="200"/>
        <w:rPr>
          <w:rFonts w:asciiTheme="majorEastAsia" w:hAnsiTheme="majorEastAsia" w:eastAsiaTheme="majorEastAsia"/>
        </w:rPr>
      </w:pPr>
      <w:r>
        <w:rPr>
          <w:rFonts w:hint="eastAsia" w:asciiTheme="majorEastAsia" w:hAnsiTheme="majorEastAsia" w:eastAsiaTheme="majorEastAsia"/>
          <w:sz w:val="24"/>
          <w:szCs w:val="24"/>
          <w:lang w:eastAsia="zh-CN"/>
        </w:rPr>
        <w:t xml:space="preserve">2.1 </w:t>
      </w:r>
      <w:r>
        <w:rPr>
          <w:rFonts w:hint="eastAsia" w:asciiTheme="majorEastAsia" w:hAnsiTheme="majorEastAsia" w:eastAsiaTheme="majorEastAsia"/>
          <w:sz w:val="24"/>
          <w:szCs w:val="24"/>
          <w:lang w:val="en-US" w:eastAsia="zh-CN"/>
        </w:rPr>
        <w:t>乙方完成化学清洗并经甲方验收合格后，</w:t>
      </w:r>
      <w:r>
        <w:rPr>
          <w:rFonts w:hint="eastAsia" w:asciiTheme="majorEastAsia" w:hAnsiTheme="majorEastAsia" w:eastAsiaTheme="majorEastAsia"/>
          <w:snapToGrid w:val="0"/>
          <w:sz w:val="24"/>
          <w:szCs w:val="24"/>
          <w:lang w:eastAsia="zh-CN"/>
        </w:rPr>
        <w:t>乙方开具</w:t>
      </w:r>
      <w:r>
        <w:rPr>
          <w:rFonts w:hint="eastAsia" w:asciiTheme="majorEastAsia" w:hAnsiTheme="majorEastAsia" w:eastAsiaTheme="majorEastAsia"/>
          <w:snapToGrid w:val="0"/>
          <w:sz w:val="24"/>
          <w:szCs w:val="24"/>
          <w:lang w:val="en-US" w:eastAsia="zh-CN"/>
        </w:rPr>
        <w:t>结算金额全额</w:t>
      </w:r>
      <w:r>
        <w:rPr>
          <w:rFonts w:hint="eastAsia" w:asciiTheme="majorEastAsia" w:hAnsiTheme="majorEastAsia" w:eastAsiaTheme="majorEastAsia"/>
          <w:snapToGrid w:val="0"/>
          <w:sz w:val="24"/>
          <w:szCs w:val="24"/>
          <w:lang w:eastAsia="zh-CN"/>
        </w:rPr>
        <w:t>增值税</w:t>
      </w:r>
      <w:r>
        <w:rPr>
          <w:rFonts w:hint="eastAsia" w:asciiTheme="majorEastAsia" w:hAnsiTheme="majorEastAsia" w:eastAsiaTheme="majorEastAsia"/>
          <w:snapToGrid w:val="0"/>
          <w:sz w:val="24"/>
          <w:szCs w:val="24"/>
          <w:lang w:val="en-US" w:eastAsia="zh-CN"/>
        </w:rPr>
        <w:t>专用</w:t>
      </w:r>
      <w:r>
        <w:rPr>
          <w:rFonts w:hint="eastAsia" w:asciiTheme="majorEastAsia" w:hAnsiTheme="majorEastAsia" w:eastAsiaTheme="majorEastAsia"/>
          <w:snapToGrid w:val="0"/>
          <w:sz w:val="24"/>
          <w:szCs w:val="24"/>
          <w:lang w:eastAsia="zh-CN"/>
        </w:rPr>
        <w:t>发票（税率</w:t>
      </w:r>
      <w:r>
        <w:rPr>
          <w:rFonts w:hint="eastAsia" w:asciiTheme="majorEastAsia" w:hAnsiTheme="majorEastAsia" w:eastAsiaTheme="majorEastAsia"/>
          <w:b/>
          <w:snapToGrid w:val="0"/>
          <w:sz w:val="24"/>
          <w:szCs w:val="24"/>
          <w:u w:val="single"/>
          <w:lang w:eastAsia="zh-CN"/>
        </w:rPr>
        <w:t xml:space="preserve"> </w:t>
      </w:r>
      <w:r>
        <w:rPr>
          <w:rFonts w:asciiTheme="majorEastAsia" w:hAnsiTheme="majorEastAsia" w:eastAsiaTheme="majorEastAsia"/>
          <w:b/>
          <w:snapToGrid w:val="0"/>
          <w:sz w:val="24"/>
          <w:szCs w:val="24"/>
          <w:u w:val="single"/>
          <w:lang w:eastAsia="zh-CN"/>
        </w:rPr>
        <w:t>6</w:t>
      </w:r>
      <w:r>
        <w:rPr>
          <w:rFonts w:hint="eastAsia" w:asciiTheme="majorEastAsia" w:hAnsiTheme="majorEastAsia" w:eastAsiaTheme="majorEastAsia"/>
          <w:b/>
          <w:snapToGrid w:val="0"/>
          <w:sz w:val="24"/>
          <w:szCs w:val="24"/>
          <w:u w:val="single"/>
          <w:lang w:eastAsia="zh-CN"/>
        </w:rPr>
        <w:t xml:space="preserve"> </w:t>
      </w:r>
      <w:r>
        <w:rPr>
          <w:rFonts w:hint="eastAsia" w:asciiTheme="majorEastAsia" w:hAnsiTheme="majorEastAsia" w:eastAsiaTheme="majorEastAsia"/>
          <w:b/>
          <w:snapToGrid w:val="0"/>
          <w:sz w:val="24"/>
          <w:szCs w:val="24"/>
          <w:lang w:eastAsia="zh-CN"/>
        </w:rPr>
        <w:t>%</w:t>
      </w:r>
      <w:r>
        <w:rPr>
          <w:rFonts w:hint="eastAsia" w:asciiTheme="majorEastAsia" w:hAnsiTheme="majorEastAsia" w:eastAsiaTheme="majorEastAsia"/>
          <w:snapToGrid w:val="0"/>
          <w:sz w:val="24"/>
          <w:szCs w:val="24"/>
          <w:lang w:eastAsia="zh-CN"/>
        </w:rPr>
        <w:t>），</w:t>
      </w:r>
      <w:r>
        <w:rPr>
          <w:rFonts w:hint="eastAsia" w:asciiTheme="majorEastAsia" w:hAnsiTheme="majorEastAsia" w:eastAsiaTheme="majorEastAsia"/>
          <w:snapToGrid w:val="0"/>
          <w:sz w:val="24"/>
          <w:szCs w:val="24"/>
          <w:lang w:val="en-US" w:eastAsia="zh-CN"/>
        </w:rPr>
        <w:t>甲方30日内一次性支付结算金额的100%。</w:t>
      </w:r>
    </w:p>
    <w:p w14:paraId="4D20B17F">
      <w:pPr>
        <w:pStyle w:val="44"/>
        <w:spacing w:before="0" w:beforeAutospacing="0" w:after="0" w:afterAutospacing="0" w:line="440" w:lineRule="exact"/>
        <w:ind w:firstLine="360" w:firstLineChars="150"/>
        <w:rPr>
          <w:rFonts w:asciiTheme="majorEastAsia" w:hAnsiTheme="majorEastAsia" w:eastAsiaTheme="majorEastAsia"/>
        </w:rPr>
      </w:pPr>
      <w:r>
        <w:rPr>
          <w:rFonts w:hint="eastAsia" w:asciiTheme="majorEastAsia" w:hAnsiTheme="majorEastAsia" w:eastAsiaTheme="majorEastAsia"/>
        </w:rPr>
        <w:t>2.</w:t>
      </w:r>
      <w:r>
        <w:rPr>
          <w:rFonts w:hint="eastAsia" w:asciiTheme="majorEastAsia" w:hAnsiTheme="majorEastAsia" w:eastAsiaTheme="majorEastAsia"/>
          <w:lang w:val="en-US" w:eastAsia="zh-CN"/>
        </w:rPr>
        <w:t>2</w:t>
      </w:r>
      <w:r>
        <w:rPr>
          <w:rFonts w:hint="eastAsia" w:asciiTheme="majorEastAsia" w:hAnsiTheme="majorEastAsia" w:eastAsiaTheme="majorEastAsia"/>
        </w:rPr>
        <w:t xml:space="preserve"> 所有支付的款项均以人民币支付, 付款方式为电汇或银行转账。乙方应在甲方付款期限届满</w:t>
      </w:r>
      <w:r>
        <w:rPr>
          <w:rFonts w:hint="eastAsia" w:asciiTheme="majorEastAsia" w:hAnsiTheme="majorEastAsia" w:eastAsiaTheme="majorEastAsia"/>
          <w:u w:val="single"/>
          <w:lang w:val="en-US" w:eastAsia="zh-CN"/>
        </w:rPr>
        <w:t>30</w:t>
      </w:r>
      <w:r>
        <w:rPr>
          <w:rFonts w:hint="eastAsia" w:asciiTheme="majorEastAsia" w:hAnsiTheme="majorEastAsia" w:eastAsiaTheme="majorEastAsia"/>
        </w:rPr>
        <w:t>日前提供相应的增值税专用发票，否则甲方有权顺延付款。上述技术服务及咨询报酬直接支付至乙方指定的下列账号：</w:t>
      </w:r>
    </w:p>
    <w:p w14:paraId="1B8FD7C5">
      <w:pPr>
        <w:pStyle w:val="75"/>
        <w:tabs>
          <w:tab w:val="left" w:pos="1080"/>
        </w:tabs>
        <w:spacing w:before="0" w:line="440" w:lineRule="exact"/>
        <w:ind w:left="0"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户  名： </w:t>
      </w:r>
      <w:r>
        <w:rPr>
          <w:rFonts w:hint="eastAsia" w:ascii="Arial" w:hAnsi="Arial" w:cs="Arial" w:eastAsiaTheme="minorEastAsia"/>
          <w:bCs/>
          <w:sz w:val="24"/>
          <w:u w:val="single"/>
          <w:lang w:val="en-US" w:eastAsia="zh-CN"/>
        </w:rPr>
        <w:t xml:space="preserve">             </w:t>
      </w:r>
    </w:p>
    <w:p w14:paraId="488BFDFD">
      <w:pPr>
        <w:pStyle w:val="75"/>
        <w:tabs>
          <w:tab w:val="left" w:pos="1080"/>
        </w:tabs>
        <w:spacing w:before="0" w:line="440" w:lineRule="exact"/>
        <w:ind w:left="0" w:firstLine="480" w:firstLineChars="200"/>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eastAsia="zh-CN"/>
        </w:rPr>
        <w:t>开户行：</w:t>
      </w:r>
      <w:r>
        <w:rPr>
          <w:rFonts w:ascii="Arial" w:hAnsi="Arial" w:cs="Arial" w:eastAsiaTheme="minorEastAsia"/>
          <w:bCs/>
          <w:sz w:val="24"/>
          <w:u w:val="single"/>
          <w:lang w:eastAsia="zh-CN"/>
        </w:rPr>
        <w:t xml:space="preserve"> </w:t>
      </w:r>
      <w:r>
        <w:rPr>
          <w:rFonts w:hint="eastAsia" w:ascii="Arial" w:hAnsi="Arial" w:cs="Arial" w:eastAsiaTheme="minorEastAsia"/>
          <w:bCs/>
          <w:sz w:val="24"/>
          <w:u w:val="single"/>
          <w:lang w:val="en-US" w:eastAsia="zh-CN"/>
        </w:rPr>
        <w:t xml:space="preserve">             </w:t>
      </w:r>
    </w:p>
    <w:p w14:paraId="53933814">
      <w:pPr>
        <w:tabs>
          <w:tab w:val="left" w:pos="360"/>
        </w:tabs>
        <w:autoSpaceDE/>
        <w:autoSpaceDN/>
        <w:spacing w:line="440" w:lineRule="exact"/>
        <w:ind w:firstLine="480" w:firstLineChars="200"/>
        <w:rPr>
          <w:rFonts w:asciiTheme="majorEastAsia" w:hAnsiTheme="majorEastAsia" w:eastAsiaTheme="majorEastAsia"/>
          <w:sz w:val="24"/>
          <w:szCs w:val="24"/>
          <w:lang w:eastAsia="zh-CN"/>
        </w:rPr>
      </w:pPr>
      <w:r>
        <w:rPr>
          <w:rFonts w:hint="eastAsia" w:asciiTheme="minorEastAsia" w:hAnsiTheme="minorEastAsia" w:eastAsiaTheme="minorEastAsia"/>
          <w:sz w:val="24"/>
        </w:rPr>
        <w:t>账  号：</w:t>
      </w:r>
      <w:r>
        <w:rPr>
          <w:rFonts w:hint="eastAsia" w:ascii="Arial" w:hAnsi="Arial" w:cs="Arial" w:eastAsiaTheme="minorEastAsia"/>
          <w:bCs/>
          <w:sz w:val="24"/>
          <w:u w:val="single"/>
          <w:lang w:val="en-US" w:eastAsia="zh-CN"/>
        </w:rPr>
        <w:t xml:space="preserve">             </w:t>
      </w:r>
    </w:p>
    <w:p w14:paraId="43629150">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rPr>
        <w:t>施工要求</w:t>
      </w:r>
    </w:p>
    <w:p w14:paraId="52B7A2E8">
      <w:pPr>
        <w:numPr>
          <w:ilvl w:val="0"/>
          <w:numId w:val="13"/>
        </w:numPr>
        <w:tabs>
          <w:tab w:val="left" w:pos="0"/>
        </w:tabs>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施工过程中，需要改动的施工，乙方需全力配合，听从甲方工程人员的安排。</w:t>
      </w:r>
      <w:r>
        <w:rPr>
          <w:rFonts w:hint="eastAsia" w:asciiTheme="minorEastAsia" w:hAnsiTheme="minorEastAsia" w:eastAsiaTheme="minorEastAsia"/>
          <w:sz w:val="24"/>
          <w:szCs w:val="24"/>
          <w:lang w:eastAsia="zh-CN"/>
        </w:rPr>
        <w:t>甲方要求变更以及超出合同范围外工作量，甲乙双方需签订合同补充协议书。</w:t>
      </w:r>
    </w:p>
    <w:p w14:paraId="7273A636">
      <w:pPr>
        <w:numPr>
          <w:ilvl w:val="0"/>
          <w:numId w:val="13"/>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乙方应遵守国家劳动法和地方政府有关用工规定，负责己方人员的安全和劳动保险，保证安全生产，乙方人员工作中的工伤事故，由乙方依据国家及地方政府的相关工伤保险条例处理，甲方不承担法律上的责任。</w:t>
      </w:r>
    </w:p>
    <w:p w14:paraId="259B587B">
      <w:pPr>
        <w:numPr>
          <w:ilvl w:val="0"/>
          <w:numId w:val="13"/>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乙方必须保证施工质量及时间要求，经施工后如有质量问题应于</w:t>
      </w:r>
      <w:r>
        <w:rPr>
          <w:rFonts w:asciiTheme="majorEastAsia" w:hAnsiTheme="majorEastAsia" w:eastAsiaTheme="majorEastAsia"/>
          <w:sz w:val="24"/>
          <w:szCs w:val="24"/>
          <w:lang w:eastAsia="zh-CN"/>
        </w:rPr>
        <w:t>24</w:t>
      </w:r>
      <w:r>
        <w:rPr>
          <w:rFonts w:hint="eastAsia" w:asciiTheme="majorEastAsia" w:hAnsiTheme="majorEastAsia" w:eastAsiaTheme="majorEastAsia"/>
          <w:sz w:val="24"/>
          <w:szCs w:val="24"/>
          <w:lang w:eastAsia="zh-CN"/>
        </w:rPr>
        <w:t>小时内应甲方要求到达甲方工程地点进行维修，确保生产的顺利进行。</w:t>
      </w:r>
    </w:p>
    <w:p w14:paraId="10820B98">
      <w:pPr>
        <w:numPr>
          <w:ilvl w:val="0"/>
          <w:numId w:val="13"/>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乙方在施工中不得损坏相关设备，如果损坏甲方设备应该负责修复或承担修复费用；造成甲方生产及其它损失的应对全部损失承担赔偿责任。</w:t>
      </w:r>
    </w:p>
    <w:p w14:paraId="6D17B06F">
      <w:pPr>
        <w:numPr>
          <w:ilvl w:val="0"/>
          <w:numId w:val="13"/>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乙方必须遵守甲方各项管理规定，甲方有权对工厂内发生的违反公司规章制度的行为进行处罚。</w:t>
      </w:r>
    </w:p>
    <w:p w14:paraId="3E436F2C">
      <w:pPr>
        <w:pStyle w:val="59"/>
        <w:spacing w:line="440" w:lineRule="exact"/>
        <w:rPr>
          <w:sz w:val="24"/>
          <w:szCs w:val="24"/>
        </w:rPr>
      </w:pPr>
      <w:r>
        <w:rPr>
          <w:rFonts w:hint="eastAsia"/>
          <w:sz w:val="24"/>
          <w:szCs w:val="24"/>
        </w:rPr>
        <w:t>6、罐底杂质（包含油泥、沥青、污泥沙等）须装桶清理，并运至甲方场内指定地点。</w:t>
      </w:r>
    </w:p>
    <w:p w14:paraId="7A30E5CB">
      <w:pPr>
        <w:pStyle w:val="59"/>
        <w:spacing w:line="440" w:lineRule="exact"/>
      </w:pPr>
      <w:r>
        <w:rPr>
          <w:rFonts w:hint="eastAsia"/>
          <w:sz w:val="24"/>
          <w:szCs w:val="24"/>
        </w:rPr>
        <w:t>7、具体详见</w:t>
      </w:r>
      <w:r>
        <w:rPr>
          <w:rFonts w:hint="eastAsia" w:cs="Arial" w:asciiTheme="minorEastAsia" w:hAnsiTheme="minorEastAsia" w:eastAsiaTheme="minorEastAsia"/>
          <w:sz w:val="24"/>
          <w:szCs w:val="24"/>
        </w:rPr>
        <w:t>附件</w:t>
      </w:r>
      <w:r>
        <w:rPr>
          <w:rFonts w:cs="Arial" w:asciiTheme="minorEastAsia" w:hAnsiTheme="minorEastAsia" w:eastAsiaTheme="minorEastAsia"/>
          <w:sz w:val="24"/>
          <w:szCs w:val="24"/>
        </w:rPr>
        <w:t>1</w:t>
      </w:r>
      <w:r>
        <w:rPr>
          <w:rFonts w:hint="eastAsia" w:cs="Arial" w:asciiTheme="minorEastAsia" w:hAnsiTheme="minorEastAsia" w:eastAsiaTheme="minorEastAsia"/>
          <w:sz w:val="24"/>
          <w:szCs w:val="24"/>
        </w:rPr>
        <w:t>：技术要求</w:t>
      </w:r>
    </w:p>
    <w:p w14:paraId="64F3BE05">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rPr>
        <w:t>工期要求：</w:t>
      </w:r>
    </w:p>
    <w:p w14:paraId="7171DA4A">
      <w:pPr>
        <w:numPr>
          <w:ilvl w:val="0"/>
          <w:numId w:val="14"/>
        </w:numPr>
        <w:tabs>
          <w:tab w:val="left" w:pos="284"/>
          <w:tab w:val="left" w:pos="360"/>
        </w:tabs>
        <w:autoSpaceDE/>
        <w:autoSpaceDN/>
        <w:spacing w:line="440" w:lineRule="exact"/>
        <w:ind w:left="0" w:firstLine="0"/>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本项目工期要求不大于 7 个日历天，开工日期根据甲方通知。</w:t>
      </w:r>
    </w:p>
    <w:p w14:paraId="41203631">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rPr>
        <w:t>施工的质量要求</w:t>
      </w:r>
    </w:p>
    <w:p w14:paraId="1964003F">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工程质量应当达到</w:t>
      </w:r>
      <w:r>
        <w:rPr>
          <w:rFonts w:hint="eastAsia" w:asciiTheme="majorEastAsia" w:hAnsiTheme="majorEastAsia" w:eastAsiaTheme="majorEastAsia"/>
          <w:sz w:val="24"/>
          <w:szCs w:val="24"/>
          <w:u w:val="single"/>
          <w:lang w:eastAsia="zh-CN"/>
        </w:rPr>
        <w:t>合格</w:t>
      </w:r>
      <w:r>
        <w:rPr>
          <w:rFonts w:hint="eastAsia" w:asciiTheme="majorEastAsia" w:hAnsiTheme="majorEastAsia" w:eastAsiaTheme="majorEastAsia"/>
          <w:sz w:val="24"/>
          <w:szCs w:val="24"/>
          <w:lang w:eastAsia="zh-CN"/>
        </w:rPr>
        <w:t>标准，质量标准的评定以国家或行业的质量检验评定标准</w:t>
      </w:r>
      <w:r>
        <w:rPr>
          <w:rFonts w:hint="eastAsia" w:asciiTheme="minorEastAsia" w:hAnsiTheme="minorEastAsia" w:eastAsiaTheme="minorEastAsia"/>
          <w:sz w:val="24"/>
          <w:szCs w:val="24"/>
          <w:lang w:eastAsia="zh-CN"/>
        </w:rPr>
        <w:t>及甲方清洗整体</w:t>
      </w:r>
      <w:r>
        <w:rPr>
          <w:rFonts w:hint="eastAsia" w:asciiTheme="majorEastAsia" w:hAnsiTheme="majorEastAsia" w:eastAsiaTheme="majorEastAsia"/>
          <w:sz w:val="24"/>
          <w:szCs w:val="24"/>
          <w:lang w:eastAsia="zh-CN"/>
        </w:rPr>
        <w:t>为依据。</w:t>
      </w:r>
    </w:p>
    <w:p w14:paraId="24454327">
      <w:pPr>
        <w:numPr>
          <w:ilvl w:val="0"/>
          <w:numId w:val="9"/>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原材料的提供办法及规格、数量、质量</w:t>
      </w:r>
    </w:p>
    <w:p w14:paraId="3C3D94F4">
      <w:pPr>
        <w:numPr>
          <w:ilvl w:val="0"/>
          <w:numId w:val="15"/>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必须依照合同规定选用原材料，并接受甲方检验。乙方隐瞒原材料的缺陷或者使用不符合合同、国家、行业标准的原材料施工影响工程质量时，甲方有权要求乙方更换、重做、减少价款，有关费用由乙方承担，由此造成甲方损失的，乙方应承担赔偿责任。</w:t>
      </w:r>
    </w:p>
    <w:p w14:paraId="66BB7414">
      <w:pPr>
        <w:numPr>
          <w:ilvl w:val="0"/>
          <w:numId w:val="15"/>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乙方使用的材料必须先提供样板并经甲方书面认可，方可采购进场施工。</w:t>
      </w:r>
    </w:p>
    <w:p w14:paraId="7F4A999E">
      <w:pPr>
        <w:numPr>
          <w:ilvl w:val="0"/>
          <w:numId w:val="9"/>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技术资料、图纸提供办法</w:t>
      </w:r>
    </w:p>
    <w:p w14:paraId="7A7B0E09">
      <w:pPr>
        <w:numPr>
          <w:ilvl w:val="0"/>
          <w:numId w:val="16"/>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甲方应当提供技术资料、图纸等文件资料。</w:t>
      </w:r>
    </w:p>
    <w:p w14:paraId="42AABE67">
      <w:pPr>
        <w:numPr>
          <w:ilvl w:val="0"/>
          <w:numId w:val="16"/>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乙方在依照甲方要求进行工作期间，发现提供的图纸或技术要求不合理的，应当立即通知甲方；甲方应当在收到通知起</w:t>
      </w:r>
      <w:r>
        <w:rPr>
          <w:rFonts w:asciiTheme="majorEastAsia" w:hAnsiTheme="majorEastAsia" w:eastAsiaTheme="majorEastAsia"/>
          <w:sz w:val="24"/>
          <w:szCs w:val="24"/>
          <w:lang w:eastAsia="zh-CN"/>
        </w:rPr>
        <w:t>3</w:t>
      </w:r>
      <w:r>
        <w:rPr>
          <w:rFonts w:hint="eastAsia" w:asciiTheme="majorEastAsia" w:hAnsiTheme="majorEastAsia" w:eastAsiaTheme="majorEastAsia"/>
          <w:sz w:val="24"/>
          <w:szCs w:val="24"/>
          <w:lang w:eastAsia="zh-CN"/>
        </w:rPr>
        <w:t>日内回复，提出修改意见。乙方在约定的时间内未得到答复的，有权停止工作。</w:t>
      </w:r>
    </w:p>
    <w:p w14:paraId="56E70652">
      <w:pPr>
        <w:numPr>
          <w:ilvl w:val="0"/>
          <w:numId w:val="16"/>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乙方对于承揽的工作，应当严格保密，未经甲方事先书面同意，不得泄露给任何第三人，也不得留存任何技术资料及其复制品。</w:t>
      </w:r>
    </w:p>
    <w:p w14:paraId="3E6FE4D5">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rPr>
        <w:t>验收标准和方法</w:t>
      </w:r>
    </w:p>
    <w:p w14:paraId="10558C88">
      <w:pPr>
        <w:numPr>
          <w:ilvl w:val="0"/>
          <w:numId w:val="17"/>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符合现行国家或行业标准并符合甲方使用目的，达到运行标准，以合同明确规定的图纸、质量要求作为验收依据。</w:t>
      </w:r>
    </w:p>
    <w:p w14:paraId="171D9161">
      <w:pPr>
        <w:numPr>
          <w:ilvl w:val="0"/>
          <w:numId w:val="17"/>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乙方在自检合格后向甲方提交书面验收要求，甲方应在15日内对乙方所完成的工作进行验收。验收前乙方应当向甲方提交必须的技术资料和有关质量证明。逾期未经验收而提前进入使用者，视作通过验收。</w:t>
      </w:r>
    </w:p>
    <w:p w14:paraId="572BD8F3">
      <w:pPr>
        <w:numPr>
          <w:ilvl w:val="0"/>
          <w:numId w:val="17"/>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隐蔽工程必须经甲方检查验收合格后签章。</w:t>
      </w:r>
    </w:p>
    <w:p w14:paraId="31581230">
      <w:pPr>
        <w:pStyle w:val="59"/>
        <w:adjustRightInd/>
        <w:spacing w:line="440" w:lineRule="exact"/>
        <w:jc w:val="left"/>
        <w:rPr>
          <w:rFonts w:asciiTheme="majorEastAsia" w:hAnsiTheme="majorEastAsia" w:eastAsiaTheme="majorEastAsia"/>
          <w:sz w:val="24"/>
          <w:szCs w:val="24"/>
        </w:rPr>
      </w:pPr>
      <w:r>
        <w:rPr>
          <w:rFonts w:hint="eastAsia" w:asciiTheme="majorEastAsia" w:hAnsiTheme="majorEastAsia" w:eastAsiaTheme="majorEastAsia"/>
          <w:sz w:val="24"/>
          <w:szCs w:val="24"/>
        </w:rPr>
        <w:t>4、甲方已就本合同项下涉及乙方重大利害关系的条款向乙方作出详细说明，乙方充分理解上述条款含义，并自愿签订本合同。</w:t>
      </w:r>
    </w:p>
    <w:p w14:paraId="15CD9575">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rPr>
        <w:t>保修期及保修责任</w:t>
      </w:r>
    </w:p>
    <w:p w14:paraId="1B9C4806">
      <w:pPr>
        <w:numPr>
          <w:ilvl w:val="0"/>
          <w:numId w:val="18"/>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如发现质量问题，除甲方使用、保管不当等原因外，乙方应在甲方指定期限内修复，其一切工料费用均由乙方负责。如乙方未在约定时间内整改，甲方有权自行修复或请第三方进行修复，所发生的一切费用由乙方承担。</w:t>
      </w:r>
    </w:p>
    <w:p w14:paraId="727B245E">
      <w:pPr>
        <w:pStyle w:val="75"/>
        <w:numPr>
          <w:ilvl w:val="0"/>
          <w:numId w:val="18"/>
        </w:numPr>
        <w:tabs>
          <w:tab w:val="left" w:pos="2010"/>
        </w:tabs>
        <w:spacing w:before="0"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双方确定，甲方指定</w:t>
      </w:r>
      <w:r>
        <w:rPr>
          <w:rFonts w:hint="eastAsia" w:asciiTheme="minorEastAsia" w:hAnsiTheme="minorEastAsia" w:eastAsiaTheme="minorEastAsia"/>
          <w:sz w:val="24"/>
          <w:szCs w:val="24"/>
          <w:u w:val="single"/>
          <w:lang w:val="en-US" w:eastAsia="zh-CN"/>
        </w:rPr>
        <w:t xml:space="preserve">         </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为甲方项目联系人，乙方指定</w:t>
      </w:r>
      <w:r>
        <w:rPr>
          <w:rFonts w:hint="eastAsia" w:asciiTheme="majorEastAsia" w:hAnsiTheme="majorEastAsia" w:eastAsiaTheme="majorEastAsia"/>
          <w:sz w:val="24"/>
          <w:szCs w:val="24"/>
          <w:u w:val="single"/>
          <w:lang w:eastAsia="zh-CN"/>
        </w:rPr>
        <w:t xml:space="preserve">  </w:t>
      </w:r>
      <w:r>
        <w:rPr>
          <w:rFonts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为乙方项目联系人。项目联系人承担以下责任：</w:t>
      </w:r>
    </w:p>
    <w:p w14:paraId="78355AFC">
      <w:pPr>
        <w:pStyle w:val="75"/>
        <w:tabs>
          <w:tab w:val="left" w:pos="851"/>
        </w:tabs>
        <w:spacing w:before="0"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u w:val="single"/>
          <w:lang w:eastAsia="zh-CN"/>
        </w:rPr>
        <w:t xml:space="preserve">  联系具体项目进度并实施</w:t>
      </w:r>
      <w:r>
        <w:rPr>
          <w:rFonts w:asciiTheme="majorEastAsia" w:hAnsiTheme="majorEastAsia" w:eastAsiaTheme="majorEastAsia"/>
          <w:sz w:val="24"/>
          <w:szCs w:val="24"/>
          <w:u w:val="single"/>
          <w:lang w:eastAsia="zh-CN"/>
        </w:rPr>
        <w:t xml:space="preserve">  </w:t>
      </w:r>
    </w:p>
    <w:p w14:paraId="4E5C52FB">
      <w:pPr>
        <w:spacing w:line="440" w:lineRule="exact"/>
        <w:ind w:hanging="1"/>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3</w:t>
      </w:r>
      <w:r>
        <w:rPr>
          <w:rFonts w:hint="eastAsia" w:asciiTheme="majorEastAsia" w:hAnsiTheme="majorEastAsia" w:eastAsiaTheme="majorEastAsia"/>
          <w:sz w:val="24"/>
          <w:szCs w:val="24"/>
          <w:lang w:eastAsia="zh-CN"/>
        </w:rPr>
        <w:t>、乙方同意本合同项下甲方对乙方的通知可以邮寄、邮件或公告方式送达。以邮寄送达的，甲方按本合同所载地址向乙方以特快专递方式发出通知后的第</w:t>
      </w:r>
      <w:r>
        <w:rPr>
          <w:rFonts w:asciiTheme="majorEastAsia" w:hAnsiTheme="majorEastAsia" w:eastAsiaTheme="majorEastAsia"/>
          <w:sz w:val="24"/>
          <w:szCs w:val="24"/>
          <w:lang w:eastAsia="zh-CN"/>
        </w:rPr>
        <w:t>2</w:t>
      </w:r>
      <w:r>
        <w:rPr>
          <w:rFonts w:hint="eastAsia" w:asciiTheme="majorEastAsia" w:hAnsiTheme="majorEastAsia" w:eastAsiaTheme="majorEastAsia"/>
          <w:sz w:val="24"/>
          <w:szCs w:val="24"/>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14:paraId="42F46E1F">
      <w:pPr>
        <w:autoSpaceDE/>
        <w:autoSpaceDN/>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w:t>
      </w:r>
      <w:r>
        <w:rPr>
          <w:rFonts w:hint="eastAsia"/>
          <w:sz w:val="24"/>
          <w:szCs w:val="24"/>
          <w:lang w:eastAsia="zh-CN"/>
        </w:rPr>
        <w:t>甲方已就本合同项下涉及乙方重大利害关系的条款向乙方作出详细说明，乙方充分理解上述条款含义，并自愿签订本合同。</w:t>
      </w:r>
    </w:p>
    <w:p w14:paraId="2198E9EE">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rPr>
        <w:t>乙方的违约责任</w:t>
      </w:r>
    </w:p>
    <w:p w14:paraId="44181DD1">
      <w:pPr>
        <w:numPr>
          <w:ilvl w:val="0"/>
          <w:numId w:val="19"/>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未按合同规定的质量完成工作，乙方应当负责修理，如果修理后的交付时间超过合同约定的日期，应当承担逾期交付责任。</w:t>
      </w:r>
    </w:p>
    <w:p w14:paraId="18759E52">
      <w:pPr>
        <w:numPr>
          <w:ilvl w:val="0"/>
          <w:numId w:val="19"/>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在工程现场，乙方进场设备保管责任由乙方承担。由于乙方原因造成甲方提供的原材料、设备、包装物及其他物品毁损、灭失的，应当由乙方承担赔偿责任。</w:t>
      </w:r>
    </w:p>
    <w:p w14:paraId="15207354">
      <w:pPr>
        <w:numPr>
          <w:ilvl w:val="0"/>
          <w:numId w:val="19"/>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逾期交付项目（包括因返修、更换、补交等造成的逾期），应当向甲方偿付违约金，每逾期一天，按合同预估总额的</w:t>
      </w:r>
      <w:r>
        <w:rPr>
          <w:rFonts w:asciiTheme="majorEastAsia" w:hAnsiTheme="majorEastAsia" w:eastAsiaTheme="majorEastAsia"/>
          <w:sz w:val="24"/>
          <w:szCs w:val="24"/>
          <w:lang w:eastAsia="zh-CN"/>
        </w:rPr>
        <w:t>0.</w:t>
      </w:r>
      <w:r>
        <w:rPr>
          <w:rFonts w:hint="eastAsia" w:asciiTheme="majorEastAsia" w:hAnsiTheme="majorEastAsia" w:eastAsiaTheme="majorEastAsia"/>
          <w:sz w:val="24"/>
          <w:szCs w:val="24"/>
          <w:lang w:eastAsia="zh-CN"/>
        </w:rPr>
        <w:t>1％偿付违约金。逾期超过</w:t>
      </w:r>
      <w:r>
        <w:rPr>
          <w:rFonts w:asciiTheme="majorEastAsia" w:hAnsiTheme="majorEastAsia" w:eastAsiaTheme="majorEastAsia"/>
          <w:sz w:val="24"/>
          <w:szCs w:val="24"/>
          <w:lang w:eastAsia="zh-CN"/>
        </w:rPr>
        <w:t>5</w:t>
      </w:r>
      <w:r>
        <w:rPr>
          <w:rFonts w:hint="eastAsia" w:asciiTheme="majorEastAsia" w:hAnsiTheme="majorEastAsia" w:eastAsiaTheme="majorEastAsia"/>
          <w:sz w:val="24"/>
          <w:szCs w:val="24"/>
          <w:lang w:eastAsia="zh-CN"/>
        </w:rPr>
        <w:t>日，甲方有权要求乙方按第十一条第</w:t>
      </w:r>
      <w:r>
        <w:rPr>
          <w:rFonts w:asciiTheme="majorEastAsia" w:hAnsiTheme="majorEastAsia" w:eastAsiaTheme="majorEastAsia"/>
          <w:sz w:val="24"/>
          <w:szCs w:val="24"/>
          <w:lang w:eastAsia="zh-CN"/>
        </w:rPr>
        <w:t>6</w:t>
      </w:r>
      <w:r>
        <w:rPr>
          <w:rFonts w:hint="eastAsia" w:asciiTheme="majorEastAsia" w:hAnsiTheme="majorEastAsia" w:eastAsiaTheme="majorEastAsia"/>
          <w:sz w:val="24"/>
          <w:szCs w:val="24"/>
          <w:lang w:eastAsia="zh-CN"/>
        </w:rPr>
        <w:t>款承担责任。</w:t>
      </w:r>
    </w:p>
    <w:p w14:paraId="6241E339">
      <w:pPr>
        <w:numPr>
          <w:ilvl w:val="0"/>
          <w:numId w:val="19"/>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擅自调换经甲方验收合格的原材料或零部件，乙方按照甲方要求重做并补偿甲方因此造成的损失、超过合同约定的交付期限的，应承担逾期交付的责任。</w:t>
      </w:r>
    </w:p>
    <w:p w14:paraId="6656D77F">
      <w:pPr>
        <w:numPr>
          <w:ilvl w:val="0"/>
          <w:numId w:val="19"/>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乙方逾期提交必须的技术资料和有关质量证明，应当向甲方偿付违约金，每逾期一天，按合同预估总金额的</w:t>
      </w:r>
      <w:r>
        <w:rPr>
          <w:rFonts w:asciiTheme="majorEastAsia" w:hAnsiTheme="majorEastAsia" w:eastAsiaTheme="majorEastAsia"/>
          <w:sz w:val="24"/>
          <w:szCs w:val="24"/>
          <w:lang w:eastAsia="zh-CN"/>
        </w:rPr>
        <w:t>0.1%</w:t>
      </w:r>
      <w:r>
        <w:rPr>
          <w:rFonts w:hint="eastAsia" w:asciiTheme="majorEastAsia" w:hAnsiTheme="majorEastAsia" w:eastAsiaTheme="majorEastAsia"/>
          <w:sz w:val="24"/>
          <w:szCs w:val="24"/>
          <w:lang w:eastAsia="zh-CN"/>
        </w:rPr>
        <w:t>偿付违约金，逾期超过</w:t>
      </w:r>
      <w:r>
        <w:rPr>
          <w:rFonts w:asciiTheme="majorEastAsia" w:hAnsiTheme="majorEastAsia" w:eastAsiaTheme="majorEastAsia"/>
          <w:sz w:val="24"/>
          <w:szCs w:val="24"/>
          <w:lang w:eastAsia="zh-CN"/>
        </w:rPr>
        <w:t>5</w:t>
      </w:r>
      <w:r>
        <w:rPr>
          <w:rFonts w:hint="eastAsia" w:asciiTheme="majorEastAsia" w:hAnsiTheme="majorEastAsia" w:eastAsiaTheme="majorEastAsia"/>
          <w:sz w:val="24"/>
          <w:szCs w:val="24"/>
          <w:lang w:eastAsia="zh-CN"/>
        </w:rPr>
        <w:t>日，甲方有权要求乙方按第十一条第</w:t>
      </w:r>
      <w:r>
        <w:rPr>
          <w:rFonts w:asciiTheme="majorEastAsia" w:hAnsiTheme="majorEastAsia" w:eastAsiaTheme="majorEastAsia"/>
          <w:sz w:val="24"/>
          <w:szCs w:val="24"/>
          <w:lang w:eastAsia="zh-CN"/>
        </w:rPr>
        <w:t>6</w:t>
      </w:r>
      <w:r>
        <w:rPr>
          <w:rFonts w:hint="eastAsia" w:asciiTheme="majorEastAsia" w:hAnsiTheme="majorEastAsia" w:eastAsiaTheme="majorEastAsia"/>
          <w:sz w:val="24"/>
          <w:szCs w:val="24"/>
          <w:lang w:eastAsia="zh-CN"/>
        </w:rPr>
        <w:t>款承担责任。</w:t>
      </w:r>
    </w:p>
    <w:p w14:paraId="06E0DD2E">
      <w:pPr>
        <w:numPr>
          <w:ilvl w:val="0"/>
          <w:numId w:val="19"/>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不履行合同约定的义务或履行义务不符合合同约定的，经甲方通知后仍不履行或采取补救措施的，甲方有权要求乙方支付合同预估总价10％的违约金，并有权解除合同，由此给甲方造成的各种损失由乙方承担。</w:t>
      </w:r>
    </w:p>
    <w:p w14:paraId="4116C1BD">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rPr>
        <w:t>甲方的违约责任</w:t>
      </w:r>
    </w:p>
    <w:p w14:paraId="303A4DEE">
      <w:pPr>
        <w:numPr>
          <w:ilvl w:val="0"/>
          <w:numId w:val="20"/>
        </w:numPr>
        <w:autoSpaceDE/>
        <w:autoSpaceDN/>
        <w:spacing w:line="440" w:lineRule="exact"/>
        <w:ind w:left="0" w:firstLine="0"/>
        <w:rPr>
          <w:rFonts w:asciiTheme="majorEastAsia" w:hAnsiTheme="majorEastAsia" w:eastAsiaTheme="majorEastAsia"/>
          <w:sz w:val="24"/>
          <w:szCs w:val="24"/>
          <w:lang w:eastAsia="zh-CN"/>
        </w:rPr>
      </w:pPr>
      <w:r>
        <w:rPr>
          <w:rStyle w:val="83"/>
          <w:rFonts w:hint="eastAsia" w:asciiTheme="majorEastAsia" w:hAnsiTheme="majorEastAsia" w:eastAsiaTheme="majorEastAsia"/>
          <w:color w:val="000000"/>
          <w:sz w:val="24"/>
          <w:szCs w:val="24"/>
          <w:lang w:eastAsia="zh-CN"/>
        </w:rPr>
        <w:t>甲方无正当理由未按本合同规定履行向乙方支付服务费的，应以未付款项为基数，应按全国银行间同业拆借中心公布的一年期贷款市场报价利率向乙方支付利息。（最多不超过合同暂定总额的</w:t>
      </w:r>
      <w:r>
        <w:rPr>
          <w:rStyle w:val="83"/>
          <w:rFonts w:asciiTheme="majorEastAsia" w:hAnsiTheme="majorEastAsia" w:eastAsiaTheme="majorEastAsia"/>
          <w:color w:val="000000"/>
          <w:sz w:val="24"/>
          <w:szCs w:val="24"/>
          <w:lang w:eastAsia="zh-CN"/>
        </w:rPr>
        <w:t>5%</w:t>
      </w:r>
      <w:r>
        <w:rPr>
          <w:rStyle w:val="83"/>
          <w:rFonts w:hint="eastAsia" w:asciiTheme="majorEastAsia" w:hAnsiTheme="majorEastAsia" w:eastAsiaTheme="majorEastAsia"/>
          <w:color w:val="000000"/>
          <w:sz w:val="24"/>
          <w:szCs w:val="24"/>
          <w:lang w:eastAsia="zh-CN"/>
        </w:rPr>
        <w:t>）</w:t>
      </w:r>
    </w:p>
    <w:p w14:paraId="26A2362B">
      <w:pPr>
        <w:numPr>
          <w:ilvl w:val="0"/>
          <w:numId w:val="20"/>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无故拒绝验收工程，应当赔偿乙方因此造成的损失。</w:t>
      </w:r>
    </w:p>
    <w:p w14:paraId="3E2A4763">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rPr>
        <w:t>廉洁条款</w:t>
      </w:r>
    </w:p>
    <w:p w14:paraId="152AD889">
      <w:pPr>
        <w:spacing w:line="440" w:lineRule="exact"/>
        <w:ind w:firstLine="36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rFonts w:asciiTheme="majorEastAsia" w:hAnsiTheme="majorEastAsia" w:eastAsiaTheme="majorEastAsia"/>
          <w:sz w:val="24"/>
          <w:szCs w:val="24"/>
          <w:lang w:eastAsia="zh-CN"/>
        </w:rPr>
        <w:t>50</w:t>
      </w:r>
      <w:r>
        <w:rPr>
          <w:rFonts w:hint="eastAsia" w:asciiTheme="majorEastAsia" w:hAnsiTheme="majorEastAsia" w:eastAsiaTheme="majorEastAsia"/>
          <w:sz w:val="24"/>
          <w:szCs w:val="24"/>
          <w:lang w:eastAsia="zh-CN"/>
        </w:rPr>
        <w:t>％的违约金，因解除相关合同给甲方造成损失的，由乙方承担赔偿责任；同时，乙方如有其它违约，仍须承担违约责任。</w:t>
      </w:r>
    </w:p>
    <w:p w14:paraId="0D3ECBED">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rPr>
        <w:t>合同的解除</w:t>
      </w:r>
    </w:p>
    <w:p w14:paraId="7B0AB6B3">
      <w:pPr>
        <w:numPr>
          <w:ilvl w:val="0"/>
          <w:numId w:val="21"/>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乙方有下列情形之一者，甲方有权解除合同：</w:t>
      </w:r>
    </w:p>
    <w:p w14:paraId="482792F1">
      <w:pPr>
        <w:numPr>
          <w:ilvl w:val="0"/>
          <w:numId w:val="22"/>
        </w:numPr>
        <w:tabs>
          <w:tab w:val="left" w:pos="360"/>
        </w:tabs>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乙方逾约定开工日期</w:t>
      </w:r>
      <w:r>
        <w:rPr>
          <w:rFonts w:asciiTheme="majorEastAsia" w:hAnsiTheme="majorEastAsia" w:eastAsiaTheme="majorEastAsia"/>
          <w:sz w:val="24"/>
          <w:szCs w:val="24"/>
          <w:lang w:eastAsia="zh-CN"/>
        </w:rPr>
        <w:t>3</w:t>
      </w:r>
      <w:r>
        <w:rPr>
          <w:rFonts w:hint="eastAsia" w:asciiTheme="majorEastAsia" w:hAnsiTheme="majorEastAsia" w:eastAsiaTheme="majorEastAsia"/>
          <w:sz w:val="24"/>
          <w:szCs w:val="24"/>
          <w:lang w:eastAsia="zh-CN"/>
        </w:rPr>
        <w:t>天，或逾期完工超过5天，或甲方认为不能依限完工时。</w:t>
      </w:r>
    </w:p>
    <w:p w14:paraId="1204D2B2">
      <w:pPr>
        <w:numPr>
          <w:ilvl w:val="0"/>
          <w:numId w:val="22"/>
        </w:numPr>
        <w:tabs>
          <w:tab w:val="left" w:pos="360"/>
        </w:tabs>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乙方违反合同约定义务或发生变故不能履行合同时。</w:t>
      </w:r>
    </w:p>
    <w:p w14:paraId="3C4A01B4">
      <w:pPr>
        <w:numPr>
          <w:ilvl w:val="0"/>
          <w:numId w:val="22"/>
        </w:numPr>
        <w:tabs>
          <w:tab w:val="left" w:pos="360"/>
        </w:tabs>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乙方之施工材料严重不符约定标准，经两次纠正后仍达不到标准时。</w:t>
      </w:r>
    </w:p>
    <w:p w14:paraId="3A3B75DF">
      <w:pPr>
        <w:numPr>
          <w:ilvl w:val="0"/>
          <w:numId w:val="22"/>
        </w:numPr>
        <w:tabs>
          <w:tab w:val="left" w:pos="360"/>
        </w:tabs>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乙方无正当理由，自停工达</w:t>
      </w:r>
      <w:r>
        <w:rPr>
          <w:rFonts w:asciiTheme="majorEastAsia" w:hAnsiTheme="majorEastAsia" w:eastAsiaTheme="majorEastAsia"/>
          <w:sz w:val="24"/>
          <w:szCs w:val="24"/>
          <w:lang w:eastAsia="zh-CN"/>
        </w:rPr>
        <w:t>48</w:t>
      </w:r>
      <w:r>
        <w:rPr>
          <w:rFonts w:hint="eastAsia" w:asciiTheme="majorEastAsia" w:hAnsiTheme="majorEastAsia" w:eastAsiaTheme="majorEastAsia"/>
          <w:sz w:val="24"/>
          <w:szCs w:val="24"/>
          <w:lang w:eastAsia="zh-CN"/>
        </w:rPr>
        <w:t>小时以上时。</w:t>
      </w:r>
    </w:p>
    <w:p w14:paraId="3C1FD164">
      <w:pPr>
        <w:numPr>
          <w:ilvl w:val="0"/>
          <w:numId w:val="21"/>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因上述原因导致合同解除时，乙方应按合同预估总价的10</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向甲方支付违约金，并承担甲方由此造成的一切损失。</w:t>
      </w:r>
    </w:p>
    <w:p w14:paraId="7AFED0FD">
      <w:pPr>
        <w:numPr>
          <w:ilvl w:val="0"/>
          <w:numId w:val="21"/>
        </w:numPr>
        <w:autoSpaceDE/>
        <w:autoSpaceDN/>
        <w:spacing w:line="440" w:lineRule="exact"/>
        <w:ind w:left="0" w:right="-422" w:rightChars="-192"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解除合同时，乙方应缴还甲方提供的一切资料，如经甲方要求，乙方应继续承担保密义务。</w:t>
      </w:r>
    </w:p>
    <w:p w14:paraId="1EC3B19F">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rPr>
        <w:t>争议解决</w:t>
      </w:r>
    </w:p>
    <w:p w14:paraId="3526840B">
      <w:pPr>
        <w:spacing w:line="440" w:lineRule="exact"/>
        <w:ind w:firstLine="36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本合同发生纠纷时，当事人双方应协商解决；协商不成的，双方均应向甲方所在地人民法院提起诉讼。</w:t>
      </w:r>
    </w:p>
    <w:p w14:paraId="49DFE2A9">
      <w:pPr>
        <w:numPr>
          <w:ilvl w:val="0"/>
          <w:numId w:val="9"/>
        </w:numPr>
        <w:autoSpaceDE/>
        <w:autoSpaceDN/>
        <w:spacing w:line="440" w:lineRule="exact"/>
        <w:ind w:left="0" w:firstLine="0"/>
        <w:rPr>
          <w:rFonts w:asciiTheme="majorEastAsia" w:hAnsiTheme="majorEastAsia" w:eastAsiaTheme="majorEastAsia"/>
          <w:sz w:val="24"/>
          <w:szCs w:val="24"/>
        </w:rPr>
      </w:pPr>
      <w:r>
        <w:rPr>
          <w:rFonts w:hint="eastAsia" w:asciiTheme="majorEastAsia" w:hAnsiTheme="majorEastAsia" w:eastAsiaTheme="majorEastAsia"/>
          <w:sz w:val="24"/>
          <w:szCs w:val="24"/>
        </w:rPr>
        <w:t>附则</w:t>
      </w:r>
    </w:p>
    <w:p w14:paraId="07696B06">
      <w:pPr>
        <w:numPr>
          <w:ilvl w:val="0"/>
          <w:numId w:val="23"/>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本合同如有未尽事宜，经双方友好协商，另签补充协议。经双方签字确认的补充协议等书面材料均为本合同的组成部分，与本合同具同等法律效力，内容如有冲突，以时间在后的为准。</w:t>
      </w:r>
    </w:p>
    <w:p w14:paraId="64E35269">
      <w:pPr>
        <w:numPr>
          <w:ilvl w:val="0"/>
          <w:numId w:val="23"/>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本合同经双方加盖公章后生效。</w:t>
      </w:r>
    </w:p>
    <w:p w14:paraId="2DF5EA7E">
      <w:pPr>
        <w:numPr>
          <w:ilvl w:val="0"/>
          <w:numId w:val="23"/>
        </w:numPr>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本合同项下的任何权利义务，未经一方书面同意，任何一方均不得转让。</w:t>
      </w:r>
    </w:p>
    <w:p w14:paraId="084230E7">
      <w:pPr>
        <w:numPr>
          <w:ilvl w:val="0"/>
          <w:numId w:val="23"/>
        </w:numPr>
        <w:tabs>
          <w:tab w:val="left" w:pos="0"/>
        </w:tabs>
        <w:autoSpaceDE/>
        <w:autoSpaceDN/>
        <w:spacing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合同一式6份，甲方执4份，乙方执2份，具有同等法律效力。</w:t>
      </w:r>
    </w:p>
    <w:p w14:paraId="2D6B49FE">
      <w:pPr>
        <w:pStyle w:val="59"/>
        <w:rPr>
          <w:rFonts w:hint="eastAsia"/>
        </w:rPr>
      </w:pPr>
    </w:p>
    <w:p w14:paraId="4A44BB32">
      <w:pPr>
        <w:spacing w:line="440" w:lineRule="exact"/>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合同附件：</w:t>
      </w:r>
    </w:p>
    <w:p w14:paraId="3D0F2D6A">
      <w:pPr>
        <w:spacing w:line="440" w:lineRule="exact"/>
        <w:rPr>
          <w:rFonts w:hint="default" w:cs="Arial" w:asciiTheme="majorEastAsia" w:hAnsiTheme="majorEastAsia" w:eastAsiaTheme="majorEastAsia"/>
          <w:sz w:val="24"/>
          <w:szCs w:val="24"/>
          <w:lang w:val="en-US" w:eastAsia="zh-CN"/>
        </w:rPr>
      </w:pPr>
      <w:r>
        <w:rPr>
          <w:rFonts w:hint="eastAsia" w:cs="Arial" w:asciiTheme="majorEastAsia" w:hAnsiTheme="majorEastAsia" w:eastAsiaTheme="majorEastAsia"/>
          <w:sz w:val="24"/>
          <w:szCs w:val="24"/>
          <w:lang w:eastAsia="zh-CN"/>
        </w:rPr>
        <w:t>附件1：</w:t>
      </w:r>
      <w:r>
        <w:rPr>
          <w:rFonts w:hint="eastAsia" w:cs="Arial" w:asciiTheme="majorEastAsia" w:hAnsiTheme="majorEastAsia" w:eastAsiaTheme="majorEastAsia"/>
          <w:sz w:val="24"/>
          <w:szCs w:val="24"/>
          <w:lang w:val="en-US" w:eastAsia="zh-CN"/>
        </w:rPr>
        <w:t>技术要求</w:t>
      </w:r>
    </w:p>
    <w:p w14:paraId="27F68A30">
      <w:pPr>
        <w:spacing w:line="440" w:lineRule="exact"/>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附件2：价格清单</w:t>
      </w:r>
    </w:p>
    <w:p w14:paraId="33A86E97">
      <w:pPr>
        <w:spacing w:line="440" w:lineRule="exact"/>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附件3：安全环保协议书</w:t>
      </w:r>
    </w:p>
    <w:p w14:paraId="7803DDE7">
      <w:pPr>
        <w:tabs>
          <w:tab w:val="left" w:pos="2010"/>
        </w:tabs>
        <w:spacing w:line="360" w:lineRule="auto"/>
        <w:ind w:firstLine="964" w:firstLineChars="400"/>
        <w:rPr>
          <w:rFonts w:hint="eastAsia" w:cs="Arial"/>
          <w:b/>
          <w:sz w:val="24"/>
          <w:lang w:eastAsia="zh-CN"/>
        </w:rPr>
      </w:pPr>
      <w:r>
        <w:rPr>
          <w:rFonts w:hint="eastAsia" w:cs="Arial"/>
          <w:b/>
          <w:sz w:val="24"/>
          <w:lang w:eastAsia="zh-CN"/>
        </w:rPr>
        <w:t>（以下为签署栏，无正文）</w:t>
      </w:r>
    </w:p>
    <w:p w14:paraId="6D567C00">
      <w:pPr>
        <w:tabs>
          <w:tab w:val="left" w:pos="2010"/>
        </w:tabs>
        <w:spacing w:line="360" w:lineRule="auto"/>
        <w:ind w:firstLine="964" w:firstLineChars="400"/>
        <w:rPr>
          <w:rFonts w:hint="eastAsia" w:cs="Arial"/>
          <w:b/>
          <w:sz w:val="24"/>
          <w:lang w:eastAsia="zh-CN"/>
        </w:rPr>
      </w:pPr>
    </w:p>
    <w:p w14:paraId="5287531D">
      <w:pPr>
        <w:tabs>
          <w:tab w:val="left" w:pos="2010"/>
        </w:tabs>
        <w:spacing w:line="360" w:lineRule="auto"/>
        <w:ind w:firstLine="964" w:firstLineChars="400"/>
        <w:rPr>
          <w:rFonts w:hint="eastAsia" w:cs="Arial"/>
          <w:b/>
          <w:sz w:val="24"/>
          <w:lang w:eastAsia="zh-CN"/>
        </w:rPr>
      </w:pPr>
    </w:p>
    <w:p w14:paraId="7B84F5CF">
      <w:pPr>
        <w:tabs>
          <w:tab w:val="left" w:pos="2010"/>
        </w:tabs>
        <w:spacing w:line="360" w:lineRule="auto"/>
        <w:ind w:firstLine="964" w:firstLineChars="400"/>
        <w:rPr>
          <w:rFonts w:hint="eastAsia" w:cs="Arial"/>
          <w:b/>
          <w:sz w:val="24"/>
          <w:lang w:eastAsia="zh-CN"/>
        </w:rPr>
      </w:pPr>
    </w:p>
    <w:p w14:paraId="7EA3F721">
      <w:pPr>
        <w:tabs>
          <w:tab w:val="left" w:pos="2010"/>
        </w:tabs>
        <w:spacing w:line="360" w:lineRule="auto"/>
        <w:ind w:firstLine="964" w:firstLineChars="400"/>
        <w:rPr>
          <w:rFonts w:hint="eastAsia" w:cs="Arial"/>
          <w:b/>
          <w:sz w:val="24"/>
          <w:lang w:eastAsia="zh-CN"/>
        </w:rPr>
      </w:pPr>
    </w:p>
    <w:p w14:paraId="02BBBEE5">
      <w:pPr>
        <w:spacing w:line="460" w:lineRule="exact"/>
        <w:rPr>
          <w:rFonts w:hint="eastAsia"/>
          <w:sz w:val="24"/>
          <w:szCs w:val="24"/>
          <w:u w:val="single"/>
          <w:lang w:eastAsia="zh-CN"/>
        </w:rPr>
      </w:pPr>
      <w:r>
        <w:rPr>
          <w:rFonts w:hint="eastAsia"/>
          <w:b/>
          <w:sz w:val="24"/>
          <w:szCs w:val="24"/>
          <w:lang w:eastAsia="zh-CN"/>
        </w:rPr>
        <w:t>甲方（盖章）：</w:t>
      </w:r>
      <w:r>
        <w:rPr>
          <w:b/>
          <w:sz w:val="24"/>
          <w:szCs w:val="24"/>
          <w:u w:val="single"/>
          <w:lang w:eastAsia="zh-CN"/>
        </w:rPr>
        <w:t xml:space="preserve">  </w:t>
      </w:r>
      <w:r>
        <w:rPr>
          <w:rFonts w:hint="eastAsia"/>
          <w:sz w:val="24"/>
          <w:szCs w:val="24"/>
          <w:u w:val="single"/>
          <w:lang w:eastAsia="zh-CN"/>
        </w:rPr>
        <w:t xml:space="preserve">福建福海创石油化工有限公司   </w:t>
      </w:r>
    </w:p>
    <w:p w14:paraId="3CC87A84">
      <w:pPr>
        <w:spacing w:line="460" w:lineRule="exact"/>
        <w:rPr>
          <w:rFonts w:hint="eastAsia"/>
          <w:sz w:val="24"/>
          <w:szCs w:val="24"/>
          <w:u w:val="single"/>
          <w:lang w:eastAsia="zh-CN"/>
        </w:rPr>
      </w:pPr>
    </w:p>
    <w:p w14:paraId="605229CE">
      <w:pPr>
        <w:spacing w:line="460" w:lineRule="exact"/>
        <w:rPr>
          <w:rFonts w:hint="eastAsia" w:asciiTheme="majorEastAsia" w:hAnsiTheme="majorEastAsia" w:eastAsiaTheme="majorEastAsia"/>
          <w:sz w:val="24"/>
          <w:szCs w:val="24"/>
          <w:lang w:eastAsia="zh-CN"/>
        </w:rPr>
      </w:pPr>
      <w:r>
        <w:rPr>
          <w:rFonts w:hint="eastAsia"/>
          <w:sz w:val="24"/>
          <w:szCs w:val="24"/>
          <w:lang w:eastAsia="zh-CN"/>
        </w:rPr>
        <w:t>地址：</w:t>
      </w:r>
      <w:r>
        <w:rPr>
          <w:rFonts w:hint="eastAsia"/>
          <w:sz w:val="24"/>
          <w:szCs w:val="24"/>
          <w:u w:val="single"/>
          <w:lang w:eastAsia="zh-CN"/>
        </w:rPr>
        <w:t xml:space="preserve"> </w:t>
      </w:r>
      <w:r>
        <w:rPr>
          <w:rFonts w:asciiTheme="majorEastAsia" w:hAnsiTheme="majorEastAsia" w:eastAsiaTheme="majorEastAsia"/>
          <w:sz w:val="24"/>
          <w:szCs w:val="24"/>
          <w:u w:val="single"/>
          <w:lang w:eastAsia="zh-CN"/>
        </w:rPr>
        <w:t>福建省漳州市古雷港经济开发区</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 xml:space="preserve">  </w:t>
      </w:r>
    </w:p>
    <w:p w14:paraId="0AB12D85">
      <w:pPr>
        <w:spacing w:line="460" w:lineRule="exact"/>
        <w:rPr>
          <w:sz w:val="24"/>
          <w:szCs w:val="24"/>
          <w:lang w:eastAsia="zh-CN"/>
        </w:rPr>
      </w:pPr>
      <w:r>
        <w:rPr>
          <w:rFonts w:hint="eastAsia" w:asciiTheme="majorEastAsia" w:hAnsiTheme="majorEastAsia" w:eastAsiaTheme="majorEastAsia"/>
          <w:sz w:val="24"/>
          <w:szCs w:val="24"/>
          <w:lang w:eastAsia="zh-CN"/>
        </w:rPr>
        <w:t xml:space="preserve">    </w:t>
      </w:r>
      <w:r>
        <w:rPr>
          <w:sz w:val="24"/>
          <w:szCs w:val="24"/>
          <w:lang w:eastAsia="zh-CN"/>
        </w:rPr>
        <w:t xml:space="preserve">   </w:t>
      </w:r>
    </w:p>
    <w:p w14:paraId="02AF404C">
      <w:pPr>
        <w:spacing w:line="460" w:lineRule="exact"/>
        <w:ind w:left="5760" w:hanging="5760" w:hangingChars="2400"/>
        <w:rPr>
          <w:rFonts w:hint="eastAsia"/>
          <w:sz w:val="24"/>
          <w:szCs w:val="24"/>
          <w:lang w:eastAsia="zh-CN"/>
        </w:rPr>
      </w:pPr>
      <w:r>
        <w:rPr>
          <w:rFonts w:hint="eastAsia"/>
          <w:sz w:val="24"/>
          <w:szCs w:val="24"/>
          <w:lang w:eastAsia="zh-CN"/>
        </w:rPr>
        <w:t xml:space="preserve">开户银行： </w:t>
      </w:r>
      <w:r>
        <w:rPr>
          <w:rFonts w:hint="eastAsia"/>
          <w:sz w:val="24"/>
          <w:szCs w:val="24"/>
          <w:u w:val="single"/>
          <w:lang w:eastAsia="zh-CN"/>
        </w:rPr>
        <w:t xml:space="preserve">中国银行股份有限公司漳州古雷经济开发区支行 </w:t>
      </w:r>
    </w:p>
    <w:p w14:paraId="0467F0F5">
      <w:pPr>
        <w:spacing w:line="460" w:lineRule="exact"/>
        <w:ind w:left="5760" w:hanging="5760" w:hangingChars="2400"/>
        <w:rPr>
          <w:rFonts w:hint="eastAsia"/>
          <w:sz w:val="24"/>
          <w:szCs w:val="24"/>
          <w:lang w:eastAsia="zh-CN"/>
        </w:rPr>
      </w:pPr>
    </w:p>
    <w:p w14:paraId="3A189FDE">
      <w:pPr>
        <w:spacing w:line="460" w:lineRule="exact"/>
        <w:rPr>
          <w:sz w:val="24"/>
          <w:szCs w:val="24"/>
          <w:lang w:eastAsia="zh-CN"/>
        </w:rPr>
      </w:pPr>
      <w:r>
        <w:rPr>
          <w:rFonts w:hint="eastAsia"/>
          <w:sz w:val="24"/>
          <w:szCs w:val="24"/>
          <w:lang w:val="en-US" w:eastAsia="zh-CN"/>
        </w:rPr>
        <w:t>账户：</w:t>
      </w:r>
      <w:r>
        <w:rPr>
          <w:rFonts w:hint="eastAsia"/>
          <w:sz w:val="24"/>
          <w:szCs w:val="24"/>
          <w:u w:val="single"/>
          <w:lang w:eastAsia="zh-CN"/>
        </w:rPr>
        <w:t>406574816628</w:t>
      </w:r>
    </w:p>
    <w:p w14:paraId="60DE31B0">
      <w:pPr>
        <w:spacing w:line="460" w:lineRule="exact"/>
        <w:rPr>
          <w:b/>
          <w:sz w:val="24"/>
          <w:szCs w:val="24"/>
          <w:lang w:eastAsia="zh-CN"/>
        </w:rPr>
      </w:pPr>
    </w:p>
    <w:p w14:paraId="4234B3F6">
      <w:pPr>
        <w:pStyle w:val="59"/>
      </w:pPr>
    </w:p>
    <w:p w14:paraId="2CEC2A03">
      <w:pPr>
        <w:pStyle w:val="59"/>
      </w:pPr>
    </w:p>
    <w:p w14:paraId="4C7B4CAF">
      <w:pPr>
        <w:spacing w:line="460" w:lineRule="exact"/>
        <w:rPr>
          <w:rFonts w:asciiTheme="minorEastAsia" w:hAnsiTheme="minorEastAsia" w:eastAsiaTheme="minorEastAsia"/>
          <w:sz w:val="24"/>
          <w:szCs w:val="24"/>
          <w:u w:val="single"/>
          <w:lang w:eastAsia="zh-CN"/>
        </w:rPr>
      </w:pPr>
      <w:r>
        <w:rPr>
          <w:rFonts w:hint="eastAsia"/>
          <w:b/>
          <w:sz w:val="24"/>
          <w:szCs w:val="24"/>
          <w:lang w:eastAsia="zh-CN"/>
        </w:rPr>
        <w:t>乙方（盖章）：</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eastAsia="zh-CN"/>
        </w:rPr>
        <w:t xml:space="preserve"> </w:t>
      </w:r>
    </w:p>
    <w:p w14:paraId="2D953335">
      <w:pPr>
        <w:spacing w:line="460" w:lineRule="exact"/>
        <w:ind w:firstLine="240" w:firstLineChars="100"/>
        <w:rPr>
          <w:rFonts w:asciiTheme="minorEastAsia" w:hAnsiTheme="minorEastAsia" w:eastAsiaTheme="minorEastAsia"/>
          <w:sz w:val="24"/>
          <w:szCs w:val="24"/>
          <w:u w:val="single"/>
          <w:lang w:eastAsia="zh-CN"/>
        </w:rPr>
      </w:pPr>
    </w:p>
    <w:p w14:paraId="17A7E002">
      <w:pPr>
        <w:spacing w:line="460" w:lineRule="exact"/>
        <w:rPr>
          <w:sz w:val="24"/>
          <w:szCs w:val="24"/>
          <w:u w:val="single"/>
          <w:lang w:eastAsia="zh-CN"/>
        </w:rPr>
      </w:pPr>
      <w:r>
        <w:rPr>
          <w:rFonts w:hint="eastAsia"/>
          <w:sz w:val="24"/>
          <w:szCs w:val="24"/>
          <w:lang w:eastAsia="zh-CN"/>
        </w:rPr>
        <w:t>地址：</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eastAsia="zh-CN"/>
        </w:rPr>
        <w:t xml:space="preserve"> </w:t>
      </w:r>
    </w:p>
    <w:p w14:paraId="2FAF4D59">
      <w:pPr>
        <w:spacing w:line="460" w:lineRule="exact"/>
        <w:textAlignment w:val="baseline"/>
        <w:rPr>
          <w:rFonts w:asciiTheme="minorEastAsia" w:hAnsiTheme="minorEastAsia" w:eastAsiaTheme="minorEastAsia"/>
          <w:sz w:val="24"/>
          <w:szCs w:val="24"/>
          <w:lang w:eastAsia="zh-CN"/>
        </w:rPr>
      </w:pPr>
    </w:p>
    <w:p w14:paraId="08981DF3">
      <w:pPr>
        <w:spacing w:line="460" w:lineRule="exact"/>
        <w:rPr>
          <w:sz w:val="24"/>
          <w:szCs w:val="24"/>
          <w:u w:val="single"/>
          <w:lang w:eastAsia="zh-CN"/>
        </w:rPr>
      </w:pPr>
      <w:r>
        <w:rPr>
          <w:rFonts w:hint="eastAsia"/>
          <w:sz w:val="24"/>
          <w:szCs w:val="24"/>
          <w:lang w:eastAsia="zh-CN"/>
        </w:rPr>
        <w:t>开户银行：</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eastAsia="zh-CN"/>
        </w:rPr>
        <w:t xml:space="preserve"> </w:t>
      </w:r>
    </w:p>
    <w:p w14:paraId="073A16A1">
      <w:pPr>
        <w:tabs>
          <w:tab w:val="left" w:pos="1080"/>
        </w:tabs>
        <w:spacing w:line="420" w:lineRule="exact"/>
        <w:rPr>
          <w:rFonts w:asciiTheme="minorEastAsia" w:hAnsiTheme="minorEastAsia" w:eastAsiaTheme="minorEastAsia"/>
          <w:sz w:val="24"/>
          <w:szCs w:val="24"/>
          <w:lang w:eastAsia="zh-CN"/>
        </w:rPr>
      </w:pPr>
    </w:p>
    <w:p w14:paraId="47E83767">
      <w:pPr>
        <w:spacing w:line="460" w:lineRule="exact"/>
        <w:rPr>
          <w:sz w:val="24"/>
          <w:szCs w:val="24"/>
          <w:u w:val="single"/>
          <w:lang w:eastAsia="zh-CN"/>
        </w:rPr>
      </w:pPr>
      <w:r>
        <w:rPr>
          <w:rFonts w:hint="eastAsia" w:asciiTheme="minorEastAsia" w:hAnsiTheme="minorEastAsia" w:eastAsiaTheme="minorEastAsia"/>
          <w:sz w:val="24"/>
          <w:szCs w:val="24"/>
          <w:lang w:eastAsia="zh-CN"/>
        </w:rPr>
        <w:t>账号：</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eastAsia="zh-CN"/>
        </w:rPr>
        <w:t xml:space="preserve"> </w:t>
      </w:r>
    </w:p>
    <w:p w14:paraId="77B91A58">
      <w:pPr>
        <w:spacing w:line="240" w:lineRule="atLeast"/>
        <w:ind w:right="-147" w:rightChars="-67"/>
        <w:rPr>
          <w:szCs w:val="21"/>
          <w:lang w:eastAsia="zh-CN"/>
        </w:rPr>
      </w:pPr>
    </w:p>
    <w:p w14:paraId="51F79D1C">
      <w:pPr>
        <w:pStyle w:val="59"/>
        <w:rPr>
          <w:b/>
          <w:sz w:val="28"/>
          <w:szCs w:val="28"/>
        </w:rPr>
      </w:pPr>
    </w:p>
    <w:p w14:paraId="122DA6E7">
      <w:pPr>
        <w:pStyle w:val="59"/>
        <w:rPr>
          <w:b/>
          <w:sz w:val="28"/>
          <w:szCs w:val="28"/>
        </w:rPr>
      </w:pPr>
    </w:p>
    <w:p w14:paraId="6B3829C4">
      <w:pPr>
        <w:pStyle w:val="59"/>
        <w:rPr>
          <w:b/>
          <w:sz w:val="28"/>
          <w:szCs w:val="28"/>
        </w:rPr>
      </w:pPr>
    </w:p>
    <w:p w14:paraId="25717ADC">
      <w:pPr>
        <w:pStyle w:val="59"/>
        <w:rPr>
          <w:b/>
          <w:sz w:val="28"/>
          <w:szCs w:val="28"/>
        </w:rPr>
      </w:pPr>
    </w:p>
    <w:p w14:paraId="1DB3FAB7">
      <w:pPr>
        <w:pStyle w:val="59"/>
        <w:rPr>
          <w:b/>
          <w:sz w:val="28"/>
          <w:szCs w:val="28"/>
        </w:rPr>
      </w:pPr>
    </w:p>
    <w:p w14:paraId="60C39EF6">
      <w:pPr>
        <w:pStyle w:val="59"/>
        <w:rPr>
          <w:b/>
          <w:sz w:val="28"/>
          <w:szCs w:val="28"/>
        </w:rPr>
      </w:pPr>
    </w:p>
    <w:p w14:paraId="47A93B75">
      <w:pPr>
        <w:pStyle w:val="59"/>
        <w:rPr>
          <w:b/>
          <w:sz w:val="28"/>
          <w:szCs w:val="28"/>
        </w:rPr>
      </w:pPr>
    </w:p>
    <w:p w14:paraId="0D5E3A22">
      <w:pPr>
        <w:pStyle w:val="59"/>
        <w:keepNext w:val="0"/>
        <w:keepLines w:val="0"/>
        <w:pageBreakBefore w:val="0"/>
        <w:kinsoku/>
        <w:wordWrap/>
        <w:overflowPunct/>
        <w:topLinePunct w:val="0"/>
        <w:bidi w:val="0"/>
        <w:snapToGrid/>
        <w:spacing w:line="360" w:lineRule="auto"/>
        <w:rPr>
          <w:rFonts w:hint="eastAsia" w:ascii="宋体" w:hAnsi="宋体" w:eastAsia="宋体" w:cs="宋体"/>
          <w:b/>
          <w:sz w:val="24"/>
          <w:szCs w:val="24"/>
        </w:rPr>
      </w:pPr>
    </w:p>
    <w:p w14:paraId="50D287E3">
      <w:pPr>
        <w:pStyle w:val="59"/>
        <w:keepNext w:val="0"/>
        <w:keepLines w:val="0"/>
        <w:pageBreakBefore w:val="0"/>
        <w:kinsoku/>
        <w:wordWrap/>
        <w:overflowPunct/>
        <w:topLinePunct w:val="0"/>
        <w:bidi w:val="0"/>
        <w:snapToGrid/>
        <w:spacing w:line="360" w:lineRule="auto"/>
        <w:rPr>
          <w:rFonts w:hint="eastAsia" w:ascii="宋体" w:hAnsi="宋体" w:eastAsia="宋体" w:cs="宋体"/>
          <w:b/>
          <w:bCs/>
          <w:sz w:val="24"/>
          <w:szCs w:val="24"/>
          <w:lang w:val="en-US" w:eastAsia="zh-CN"/>
        </w:rPr>
      </w:pPr>
      <w:r>
        <w:rPr>
          <w:rFonts w:hint="eastAsia" w:ascii="宋体" w:hAnsi="宋体" w:eastAsia="宋体" w:cs="宋体"/>
          <w:b/>
          <w:sz w:val="24"/>
          <w:szCs w:val="24"/>
        </w:rPr>
        <w:t>附件1：</w:t>
      </w:r>
      <w:r>
        <w:rPr>
          <w:rFonts w:hint="eastAsia" w:ascii="宋体" w:hAnsi="宋体" w:eastAsia="宋体" w:cs="宋体"/>
          <w:kern w:val="59"/>
          <w:sz w:val="24"/>
          <w:szCs w:val="24"/>
          <w:lang w:eastAsia="zh-CN"/>
        </w:rPr>
        <w:t xml:space="preserve">  </w:t>
      </w:r>
      <w:r>
        <w:rPr>
          <w:rFonts w:hint="eastAsia" w:ascii="宋体" w:hAnsi="宋体" w:eastAsia="宋体" w:cs="宋体"/>
          <w:b/>
          <w:bCs/>
          <w:sz w:val="24"/>
          <w:szCs w:val="24"/>
          <w:lang w:val="en-US" w:eastAsia="zh-CN"/>
        </w:rPr>
        <w:t>技术要求</w:t>
      </w:r>
    </w:p>
    <w:p w14:paraId="0AC5FB6A">
      <w:pPr>
        <w:keepNext w:val="0"/>
        <w:keepLines w:val="0"/>
        <w:pageBreakBefore w:val="0"/>
        <w:kinsoku/>
        <w:wordWrap/>
        <w:overflowPunct/>
        <w:topLinePunct w:val="0"/>
        <w:bidi w:val="0"/>
        <w:snapToGrid/>
        <w:spacing w:before="380" w:after="140" w:line="360" w:lineRule="auto"/>
        <w:ind w:left="0"/>
        <w:jc w:val="left"/>
        <w:outlineLvl w:val="0"/>
        <w:rPr>
          <w:rFonts w:hint="eastAsia" w:ascii="宋体" w:hAnsi="宋体" w:eastAsia="宋体" w:cs="宋体"/>
          <w:color w:val="auto"/>
          <w:sz w:val="24"/>
          <w:szCs w:val="24"/>
        </w:rPr>
      </w:pPr>
      <w:bookmarkStart w:id="1" w:name="heading_0"/>
      <w:r>
        <w:rPr>
          <w:rFonts w:hint="eastAsia" w:ascii="宋体" w:hAnsi="宋体" w:eastAsia="宋体" w:cs="宋体"/>
          <w:b/>
          <w:color w:val="auto"/>
          <w:sz w:val="24"/>
          <w:szCs w:val="24"/>
        </w:rPr>
        <w:t>1. 总则</w:t>
      </w:r>
      <w:bookmarkEnd w:id="1"/>
    </w:p>
    <w:p w14:paraId="046DBAD3">
      <w:pPr>
        <w:keepNext w:val="0"/>
        <w:keepLines w:val="0"/>
        <w:pageBreakBefore w:val="0"/>
        <w:kinsoku/>
        <w:wordWrap/>
        <w:overflowPunct/>
        <w:topLinePunct w:val="0"/>
        <w:bidi w:val="0"/>
        <w:snapToGrid/>
        <w:spacing w:before="320" w:after="120" w:line="360" w:lineRule="auto"/>
        <w:ind w:left="0"/>
        <w:jc w:val="left"/>
        <w:outlineLvl w:val="1"/>
        <w:rPr>
          <w:rFonts w:hint="eastAsia" w:ascii="宋体" w:hAnsi="宋体" w:eastAsia="宋体" w:cs="宋体"/>
          <w:b/>
          <w:color w:val="auto"/>
          <w:sz w:val="24"/>
          <w:szCs w:val="24"/>
        </w:rPr>
      </w:pPr>
      <w:bookmarkStart w:id="2" w:name="heading_1"/>
      <w:r>
        <w:rPr>
          <w:rFonts w:hint="eastAsia" w:ascii="宋体" w:hAnsi="宋体" w:eastAsia="宋体" w:cs="宋体"/>
          <w:b/>
          <w:color w:val="auto"/>
          <w:sz w:val="24"/>
          <w:szCs w:val="24"/>
        </w:rPr>
        <w:t>1.1 、工程介绍</w:t>
      </w:r>
    </w:p>
    <w:p w14:paraId="3603D4AC">
      <w:pPr>
        <w:keepNext w:val="0"/>
        <w:keepLines w:val="0"/>
        <w:pageBreakBefore w:val="0"/>
        <w:kinsoku/>
        <w:wordWrap/>
        <w:overflowPunct/>
        <w:topLinePunct w:val="0"/>
        <w:bidi w:val="0"/>
        <w:snapToGrid/>
        <w:spacing w:line="360" w:lineRule="auto"/>
        <w:ind w:firstLine="360"/>
        <w:rPr>
          <w:rFonts w:hint="eastAsia" w:ascii="宋体" w:hAnsi="宋体" w:eastAsia="宋体" w:cs="宋体"/>
          <w:sz w:val="24"/>
          <w:szCs w:val="24"/>
          <w:lang w:eastAsia="zh-CN"/>
        </w:rPr>
      </w:pPr>
      <w:r>
        <w:rPr>
          <w:rFonts w:hint="eastAsia" w:ascii="宋体" w:hAnsi="宋体" w:eastAsia="宋体" w:cs="宋体"/>
          <w:sz w:val="24"/>
          <w:szCs w:val="24"/>
          <w:lang w:eastAsia="zh-CN"/>
        </w:rPr>
        <w:t>本次采购的项目为福建福海创石油化工有限公司芳烃装置优化节能改造项目</w:t>
      </w:r>
      <w:r>
        <w:rPr>
          <w:rFonts w:hint="eastAsia" w:ascii="宋体" w:hAnsi="宋体" w:eastAsia="宋体" w:cs="宋体"/>
          <w:sz w:val="24"/>
          <w:szCs w:val="24"/>
          <w:lang w:val="en-US" w:eastAsia="zh-CN"/>
        </w:rPr>
        <w:t>工业管道及设备化学清洗工程</w:t>
      </w:r>
      <w:r>
        <w:rPr>
          <w:rFonts w:hint="eastAsia" w:ascii="宋体" w:hAnsi="宋体" w:eastAsia="宋体" w:cs="宋体"/>
          <w:sz w:val="24"/>
          <w:szCs w:val="24"/>
          <w:lang w:eastAsia="zh-CN"/>
        </w:rPr>
        <w:t xml:space="preserve">。 </w:t>
      </w:r>
      <w:bookmarkEnd w:id="2"/>
    </w:p>
    <w:p w14:paraId="69E09740">
      <w:pPr>
        <w:keepNext w:val="0"/>
        <w:keepLines w:val="0"/>
        <w:pageBreakBefore w:val="0"/>
        <w:kinsoku/>
        <w:wordWrap/>
        <w:overflowPunct/>
        <w:topLinePunct w:val="0"/>
        <w:bidi w:val="0"/>
        <w:snapToGrid/>
        <w:spacing w:before="320" w:after="120" w:line="360" w:lineRule="auto"/>
        <w:ind w:left="0"/>
        <w:jc w:val="left"/>
        <w:outlineLvl w:val="1"/>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1.2、发包说明</w:t>
      </w:r>
    </w:p>
    <w:p w14:paraId="44CBC506">
      <w:pPr>
        <w:keepNext w:val="0"/>
        <w:keepLines w:val="0"/>
        <w:pageBreakBefore w:val="0"/>
        <w:widowControl/>
        <w:suppressLineNumbers w:val="0"/>
        <w:kinsoku/>
        <w:wordWrap/>
        <w:overflowPunct/>
        <w:topLinePunct w:val="0"/>
        <w:bidi w:val="0"/>
        <w:snapToGrid/>
        <w:spacing w:line="360" w:lineRule="auto"/>
        <w:jc w:val="left"/>
        <w:rPr>
          <w:rFonts w:hint="eastAsia" w:ascii="宋体" w:hAnsi="宋体" w:eastAsia="宋体" w:cs="宋体"/>
          <w:color w:val="auto"/>
          <w:sz w:val="24"/>
          <w:szCs w:val="24"/>
        </w:rPr>
      </w:pPr>
      <w:r>
        <w:rPr>
          <w:rFonts w:hint="eastAsia" w:ascii="宋体" w:hAnsi="宋体" w:eastAsia="宋体" w:cs="宋体"/>
          <w:color w:val="000000"/>
          <w:kern w:val="0"/>
          <w:sz w:val="24"/>
          <w:szCs w:val="24"/>
          <w:lang w:val="en-US" w:eastAsia="zh-CN" w:bidi="ar"/>
        </w:rPr>
        <w:t>本文件规范了本次管道及设备化学清洗工程承包管理，明确清洗范围、技术要求、质量标准、安全环保要求及双方责任，确保清洗工程安全、高效、合规完成，保障管道及设备后续稳定运行。本文件适用于本次工业管道及设备化学清洗工程的投标单位（以下简称“投标方”）的筛选、施工指导、质量验收及安全管理，涵盖清洗工程的全部工序（含脚手架等施工措施）、人员、设备、药剂及环保处置等相关环节。</w:t>
      </w:r>
    </w:p>
    <w:p w14:paraId="7193F873">
      <w:pPr>
        <w:keepNext w:val="0"/>
        <w:keepLines w:val="0"/>
        <w:pageBreakBefore w:val="0"/>
        <w:kinsoku/>
        <w:wordWrap/>
        <w:overflowPunct/>
        <w:topLinePunct w:val="0"/>
        <w:bidi w:val="0"/>
        <w:snapToGrid/>
        <w:spacing w:before="320" w:after="120" w:line="360" w:lineRule="auto"/>
        <w:ind w:left="0"/>
        <w:jc w:val="left"/>
        <w:outlineLvl w:val="1"/>
        <w:rPr>
          <w:rFonts w:hint="eastAsia" w:ascii="宋体" w:hAnsi="宋体" w:eastAsia="宋体" w:cs="宋体"/>
          <w:color w:val="auto"/>
          <w:sz w:val="24"/>
          <w:szCs w:val="24"/>
        </w:rPr>
      </w:pPr>
      <w:bookmarkStart w:id="3" w:name="heading_3"/>
      <w:r>
        <w:rPr>
          <w:rFonts w:hint="eastAsia" w:ascii="宋体" w:hAnsi="宋体" w:eastAsia="宋体" w:cs="宋体"/>
          <w:b/>
          <w:color w:val="auto"/>
          <w:sz w:val="24"/>
          <w:szCs w:val="24"/>
        </w:rPr>
        <w:t>1.3 编制依据</w:t>
      </w:r>
      <w:bookmarkEnd w:id="3"/>
    </w:p>
    <w:p w14:paraId="7069C260">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本技术文件编制严格遵循以下国家及行业标准、规范，承包方施工过程中必须严格执行：</w:t>
      </w:r>
    </w:p>
    <w:p w14:paraId="36999886">
      <w:pPr>
        <w:keepNext w:val="0"/>
        <w:keepLines w:val="0"/>
        <w:pageBreakBefore w:val="0"/>
        <w:numPr>
          <w:ilvl w:val="0"/>
          <w:numId w:val="24"/>
        </w:numPr>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《工业金属管道工程施工质量验收规范》（GB 50235-2010）</w:t>
      </w:r>
    </w:p>
    <w:p w14:paraId="447769E1">
      <w:pPr>
        <w:keepNext w:val="0"/>
        <w:keepLines w:val="0"/>
        <w:pageBreakBefore w:val="0"/>
        <w:numPr>
          <w:ilvl w:val="0"/>
          <w:numId w:val="25"/>
        </w:numPr>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《石油化工管道清洗及钝化技术规范》（SH/T 3547-2011）</w:t>
      </w:r>
    </w:p>
    <w:p w14:paraId="7CAE71F1">
      <w:pPr>
        <w:keepNext w:val="0"/>
        <w:keepLines w:val="0"/>
        <w:pageBreakBefore w:val="0"/>
        <w:numPr>
          <w:ilvl w:val="0"/>
          <w:numId w:val="26"/>
        </w:numPr>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《工业设备化学清洗质量标准》（HG/T 2387-2007）</w:t>
      </w:r>
    </w:p>
    <w:p w14:paraId="269A4A08">
      <w:pPr>
        <w:keepNext w:val="0"/>
        <w:keepLines w:val="0"/>
        <w:pageBreakBefore w:val="0"/>
        <w:numPr>
          <w:ilvl w:val="0"/>
          <w:numId w:val="27"/>
        </w:numPr>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《危险化学品安全管理条例》（国务院令第591号）</w:t>
      </w:r>
    </w:p>
    <w:p w14:paraId="057D0FC8">
      <w:pPr>
        <w:keepNext w:val="0"/>
        <w:keepLines w:val="0"/>
        <w:pageBreakBefore w:val="0"/>
        <w:numPr>
          <w:ilvl w:val="0"/>
          <w:numId w:val="28"/>
        </w:numPr>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《污水综合排放标准》（GB 8978-1996）</w:t>
      </w:r>
    </w:p>
    <w:p w14:paraId="54BD3679">
      <w:pPr>
        <w:keepNext w:val="0"/>
        <w:keepLines w:val="0"/>
        <w:pageBreakBefore w:val="0"/>
        <w:numPr>
          <w:ilvl w:val="0"/>
          <w:numId w:val="29"/>
        </w:numPr>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本次清洗管道的设计文件、材质证明</w:t>
      </w:r>
      <w:r>
        <w:rPr>
          <w:rFonts w:hint="eastAsia" w:ascii="宋体" w:hAnsi="宋体" w:eastAsia="宋体" w:cs="宋体"/>
          <w:color w:val="auto"/>
          <w:sz w:val="24"/>
          <w:szCs w:val="24"/>
          <w:lang w:val="en-US" w:eastAsia="zh-CN"/>
        </w:rPr>
        <w:t>等相关文件资料</w:t>
      </w:r>
    </w:p>
    <w:p w14:paraId="446BF805">
      <w:pPr>
        <w:keepNext w:val="0"/>
        <w:keepLines w:val="0"/>
        <w:pageBreakBefore w:val="0"/>
        <w:kinsoku/>
        <w:wordWrap/>
        <w:overflowPunct/>
        <w:topLinePunct w:val="0"/>
        <w:bidi w:val="0"/>
        <w:snapToGrid/>
        <w:spacing w:before="320" w:after="120" w:line="360" w:lineRule="auto"/>
        <w:ind w:left="0"/>
        <w:jc w:val="left"/>
        <w:outlineLvl w:val="1"/>
        <w:rPr>
          <w:rFonts w:hint="eastAsia" w:ascii="宋体" w:hAnsi="宋体" w:eastAsia="宋体" w:cs="宋体"/>
          <w:color w:val="auto"/>
          <w:sz w:val="24"/>
          <w:szCs w:val="24"/>
        </w:rPr>
      </w:pPr>
      <w:bookmarkStart w:id="4" w:name="heading_4"/>
      <w:r>
        <w:rPr>
          <w:rFonts w:hint="eastAsia" w:ascii="宋体" w:hAnsi="宋体" w:eastAsia="宋体" w:cs="宋体"/>
          <w:b/>
          <w:color w:val="auto"/>
          <w:sz w:val="24"/>
          <w:szCs w:val="24"/>
        </w:rPr>
        <w:t>1.4 工程概况</w:t>
      </w:r>
      <w:bookmarkEnd w:id="4"/>
    </w:p>
    <w:p w14:paraId="6BE1D161">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1.4.1 </w:t>
      </w:r>
      <w:r>
        <w:rPr>
          <w:rFonts w:hint="eastAsia" w:ascii="宋体" w:hAnsi="宋体" w:eastAsia="宋体" w:cs="宋体"/>
          <w:color w:val="auto"/>
          <w:sz w:val="24"/>
          <w:szCs w:val="24"/>
          <w:lang w:val="en-US" w:eastAsia="zh-CN"/>
        </w:rPr>
        <w:t>化学清洗范围</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本次需要对6台设备进行清洗，设备材质为Q345R与304不锈钢；</w:t>
      </w:r>
      <w:r>
        <w:rPr>
          <w:rFonts w:hint="eastAsia" w:ascii="宋体" w:hAnsi="宋体" w:eastAsia="宋体" w:cs="宋体"/>
          <w:color w:val="auto"/>
          <w:sz w:val="24"/>
          <w:szCs w:val="24"/>
        </w:rPr>
        <w:t>本次需清洗工业管道共计</w:t>
      </w:r>
      <w:r>
        <w:rPr>
          <w:rFonts w:hint="eastAsia" w:ascii="宋体" w:hAnsi="宋体" w:eastAsia="宋体" w:cs="宋体"/>
          <w:color w:val="auto"/>
          <w:sz w:val="24"/>
          <w:szCs w:val="24"/>
          <w:lang w:val="en-US" w:eastAsia="zh-CN"/>
        </w:rPr>
        <w:t>约</w:t>
      </w:r>
      <w:r>
        <w:rPr>
          <w:rFonts w:hint="eastAsia" w:ascii="宋体" w:hAnsi="宋体" w:eastAsia="宋体" w:cs="宋体"/>
          <w:color w:val="auto"/>
          <w:sz w:val="24"/>
          <w:szCs w:val="24"/>
          <w:u w:val="single"/>
          <w:lang w:val="en-US" w:eastAsia="zh-CN"/>
        </w:rPr>
        <w:t xml:space="preserve"> 500</w:t>
      </w:r>
      <w:r>
        <w:rPr>
          <w:rFonts w:hint="eastAsia" w:ascii="宋体" w:hAnsi="宋体" w:eastAsia="宋体" w:cs="宋体"/>
          <w:color w:val="auto"/>
          <w:sz w:val="24"/>
          <w:szCs w:val="24"/>
          <w:u w:val="single"/>
        </w:rPr>
        <w:t>米</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总清洗预估体积</w:t>
      </w:r>
      <w:r>
        <w:rPr>
          <w:rFonts w:hint="eastAsia" w:ascii="宋体" w:hAnsi="宋体" w:eastAsia="宋体" w:cs="宋体"/>
          <w:color w:val="auto"/>
          <w:sz w:val="24"/>
          <w:szCs w:val="24"/>
          <w:u w:val="single"/>
          <w:lang w:val="en-US" w:eastAsia="zh-CN"/>
        </w:rPr>
        <w:t xml:space="preserve">约289.8 </w:t>
      </w:r>
      <w:r>
        <w:rPr>
          <w:rFonts w:hint="eastAsia" w:ascii="宋体" w:hAnsi="宋体" w:eastAsia="宋体" w:cs="宋体"/>
          <w:color w:val="auto"/>
          <w:sz w:val="24"/>
          <w:szCs w:val="24"/>
          <w:lang w:val="en-US" w:eastAsia="zh-CN"/>
        </w:rPr>
        <w:t>m³，</w:t>
      </w:r>
      <w:r>
        <w:rPr>
          <w:rFonts w:hint="eastAsia" w:ascii="宋体" w:hAnsi="宋体" w:eastAsia="宋体" w:cs="宋体"/>
          <w:color w:val="auto"/>
          <w:sz w:val="24"/>
          <w:szCs w:val="24"/>
        </w:rPr>
        <w:t>管径范围</w:t>
      </w:r>
      <w:r>
        <w:rPr>
          <w:rFonts w:hint="eastAsia" w:ascii="宋体" w:hAnsi="宋体" w:eastAsia="宋体" w:cs="宋体"/>
          <w:color w:val="auto"/>
          <w:sz w:val="24"/>
          <w:szCs w:val="24"/>
          <w:u w:val="single"/>
          <w:lang w:val="en-US" w:eastAsia="zh-CN"/>
        </w:rPr>
        <w:t xml:space="preserve"> 15 </w:t>
      </w:r>
      <w:r>
        <w:rPr>
          <w:rFonts w:hint="eastAsia" w:ascii="宋体" w:hAnsi="宋体" w:eastAsia="宋体" w:cs="宋体"/>
          <w:color w:val="auto"/>
          <w:sz w:val="24"/>
          <w:szCs w:val="24"/>
        </w:rPr>
        <w:t>mm</w:t>
      </w:r>
      <w:r>
        <w:rPr>
          <w:rFonts w:hint="eastAsia" w:ascii="宋体" w:hAnsi="宋体" w:eastAsia="宋体" w:cs="宋体"/>
          <w:color w:val="auto"/>
          <w:sz w:val="24"/>
          <w:szCs w:val="24"/>
          <w:lang w:val="en-US" w:eastAsia="zh-CN"/>
        </w:rPr>
        <w:t xml:space="preserve"> - </w:t>
      </w:r>
      <w:r>
        <w:rPr>
          <w:rFonts w:hint="eastAsia" w:ascii="宋体" w:hAnsi="宋体" w:eastAsia="宋体" w:cs="宋体"/>
          <w:color w:val="auto"/>
          <w:sz w:val="24"/>
          <w:szCs w:val="24"/>
          <w:u w:val="single"/>
          <w:lang w:val="en-US" w:eastAsia="zh-CN"/>
        </w:rPr>
        <w:t>950</w:t>
      </w:r>
      <w:r>
        <w:rPr>
          <w:rFonts w:hint="eastAsia" w:ascii="宋体" w:hAnsi="宋体" w:eastAsia="宋体" w:cs="宋体"/>
          <w:color w:val="auto"/>
          <w:sz w:val="24"/>
          <w:szCs w:val="24"/>
        </w:rPr>
        <w:t>mm，</w:t>
      </w:r>
      <w:r>
        <w:rPr>
          <w:rFonts w:hint="eastAsia" w:ascii="宋体" w:hAnsi="宋体" w:eastAsia="宋体" w:cs="宋体"/>
          <w:color w:val="auto"/>
          <w:sz w:val="24"/>
          <w:szCs w:val="24"/>
          <w:highlight w:val="none"/>
        </w:rPr>
        <w:t>管道材质主要为碳钢（</w:t>
      </w:r>
      <w:r>
        <w:rPr>
          <w:rFonts w:hint="eastAsia" w:ascii="宋体" w:hAnsi="宋体" w:eastAsia="宋体" w:cs="宋体"/>
          <w:color w:val="auto"/>
          <w:sz w:val="24"/>
          <w:szCs w:val="24"/>
          <w:highlight w:val="none"/>
          <w:lang w:val="en-US" w:eastAsia="zh-CN"/>
        </w:rPr>
        <w:t>Q345B、20#等</w:t>
      </w:r>
      <w:r>
        <w:rPr>
          <w:rFonts w:hint="eastAsia" w:ascii="宋体" w:hAnsi="宋体" w:eastAsia="宋体" w:cs="宋体"/>
          <w:color w:val="auto"/>
          <w:sz w:val="24"/>
          <w:szCs w:val="24"/>
          <w:highlight w:val="none"/>
        </w:rPr>
        <w:t>）、不锈钢（如S30408），</w:t>
      </w:r>
      <w:r>
        <w:rPr>
          <w:rFonts w:hint="eastAsia" w:ascii="宋体" w:hAnsi="宋体" w:eastAsia="宋体" w:cs="宋体"/>
          <w:color w:val="auto"/>
          <w:sz w:val="24"/>
          <w:szCs w:val="24"/>
          <w:highlight w:val="none"/>
          <w:lang w:val="en-US" w:eastAsia="zh-CN"/>
        </w:rPr>
        <w:t>具体详见附件化学清洗清单、工艺流程图、管道单线图及设备图等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lang w:val="en-US" w:eastAsia="zh-CN"/>
        </w:rPr>
        <w:t>本次招标共计分为两个标段，标段一为必须完成工作量，标段二根据甲方工作指令执行。</w:t>
      </w:r>
    </w:p>
    <w:p w14:paraId="4EC3250E">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1.4.2 污垢类型：管道</w:t>
      </w:r>
      <w:r>
        <w:rPr>
          <w:rFonts w:hint="eastAsia" w:ascii="宋体" w:hAnsi="宋体" w:eastAsia="宋体" w:cs="宋体"/>
          <w:color w:val="auto"/>
          <w:sz w:val="24"/>
          <w:szCs w:val="24"/>
          <w:lang w:val="en-US" w:eastAsia="zh-CN"/>
        </w:rPr>
        <w:t>及设备</w:t>
      </w:r>
      <w:r>
        <w:rPr>
          <w:rFonts w:hint="eastAsia" w:ascii="宋体" w:hAnsi="宋体" w:eastAsia="宋体" w:cs="宋体"/>
          <w:color w:val="auto"/>
          <w:sz w:val="24"/>
          <w:szCs w:val="24"/>
        </w:rPr>
        <w:t>内主要污垢为铁锈、氧化皮、焊渣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杂质等</w:t>
      </w:r>
      <w:r>
        <w:rPr>
          <w:rFonts w:hint="eastAsia" w:ascii="宋体" w:hAnsi="宋体" w:eastAsia="宋体" w:cs="宋体"/>
          <w:color w:val="auto"/>
          <w:sz w:val="24"/>
          <w:szCs w:val="24"/>
        </w:rPr>
        <w:t>。</w:t>
      </w:r>
    </w:p>
    <w:p w14:paraId="2504BB3F">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1.4.3 清洗目的：通过化学清洗，彻底清除管道内各类污垢，恢复管道通流能力，提升介质输送效率，防止管道内壁腐蚀，形成均匀致密的钝化保护膜，满足管道开车/检修后的运行标准，保障介质纯度。</w:t>
      </w:r>
    </w:p>
    <w:p w14:paraId="1E46943C">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1.4.4 承包方需制定详细的</w:t>
      </w:r>
      <w:r>
        <w:rPr>
          <w:rFonts w:hint="eastAsia" w:ascii="宋体" w:hAnsi="宋体" w:eastAsia="宋体" w:cs="宋体"/>
          <w:color w:val="auto"/>
          <w:sz w:val="24"/>
          <w:szCs w:val="24"/>
          <w:lang w:val="en-US" w:eastAsia="zh-CN"/>
        </w:rPr>
        <w:t>施工技术方案、</w:t>
      </w:r>
      <w:r>
        <w:rPr>
          <w:rFonts w:hint="eastAsia" w:ascii="宋体" w:hAnsi="宋体" w:eastAsia="宋体" w:cs="宋体"/>
          <w:color w:val="auto"/>
          <w:sz w:val="24"/>
          <w:szCs w:val="24"/>
        </w:rPr>
        <w:t>施工进度计划，</w:t>
      </w:r>
      <w:r>
        <w:rPr>
          <w:rFonts w:hint="eastAsia" w:ascii="宋体" w:hAnsi="宋体" w:eastAsia="宋体" w:cs="宋体"/>
          <w:color w:val="auto"/>
          <w:sz w:val="24"/>
          <w:szCs w:val="24"/>
          <w:lang w:val="en-US" w:eastAsia="zh-CN"/>
        </w:rPr>
        <w:t>报发包方批准后方可实施，</w:t>
      </w:r>
      <w:r>
        <w:rPr>
          <w:rFonts w:hint="eastAsia" w:ascii="宋体" w:hAnsi="宋体" w:eastAsia="宋体" w:cs="宋体"/>
          <w:color w:val="auto"/>
          <w:sz w:val="24"/>
          <w:szCs w:val="24"/>
        </w:rPr>
        <w:t>确保按期</w:t>
      </w:r>
      <w:r>
        <w:rPr>
          <w:rFonts w:hint="eastAsia" w:ascii="宋体" w:hAnsi="宋体" w:eastAsia="宋体" w:cs="宋体"/>
          <w:color w:val="auto"/>
          <w:sz w:val="24"/>
          <w:szCs w:val="24"/>
          <w:lang w:val="en-US" w:eastAsia="zh-CN"/>
        </w:rPr>
        <w:t>保质保量</w:t>
      </w:r>
      <w:r>
        <w:rPr>
          <w:rFonts w:hint="eastAsia" w:ascii="宋体" w:hAnsi="宋体" w:eastAsia="宋体" w:cs="宋体"/>
          <w:color w:val="auto"/>
          <w:sz w:val="24"/>
          <w:szCs w:val="24"/>
        </w:rPr>
        <w:t>完工。</w:t>
      </w:r>
    </w:p>
    <w:p w14:paraId="58DD5C93">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1.4.5 本项目工期要求不</w:t>
      </w:r>
      <w:r>
        <w:rPr>
          <w:rFonts w:hint="eastAsia" w:ascii="宋体" w:hAnsi="宋体" w:eastAsia="宋体" w:cs="宋体"/>
          <w:color w:val="auto"/>
          <w:sz w:val="24"/>
          <w:szCs w:val="24"/>
          <w:highlight w:val="none"/>
          <w:lang w:val="en-US" w:eastAsia="zh-CN"/>
        </w:rPr>
        <w:t>大于</w:t>
      </w:r>
      <w:r>
        <w:rPr>
          <w:rFonts w:hint="eastAsia" w:ascii="宋体" w:hAnsi="宋体" w:eastAsia="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lang w:val="en-US" w:eastAsia="zh-CN"/>
        </w:rPr>
        <w:t>个日历天，</w:t>
      </w:r>
      <w:r>
        <w:rPr>
          <w:rFonts w:hint="eastAsia" w:ascii="宋体" w:hAnsi="宋体" w:eastAsia="宋体" w:cs="宋体"/>
          <w:color w:val="auto"/>
          <w:sz w:val="24"/>
          <w:szCs w:val="24"/>
          <w:lang w:val="en-US" w:eastAsia="zh-CN"/>
        </w:rPr>
        <w:t>开工日期根据发包人通知。</w:t>
      </w:r>
    </w:p>
    <w:p w14:paraId="3ED8C98B">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1.4.6 投标报价以附件中拟化学清单工作量中预估体积作为投标报价基准，本次招标共分为两个标段，投标总价为标段一报价+标段二报价，因芳烃装置优化节能改造项目与装置合拢统筹计划安排，标段二现场实施可能性较低，标段一与标段二可浮动报价，要求标段一报价占比投标总报价比例不得高于50%。</w:t>
      </w:r>
    </w:p>
    <w:p w14:paraId="020A9481">
      <w:pPr>
        <w:keepNext w:val="0"/>
        <w:keepLines w:val="0"/>
        <w:pageBreakBefore w:val="0"/>
        <w:kinsoku/>
        <w:wordWrap/>
        <w:overflowPunct/>
        <w:topLinePunct w:val="0"/>
        <w:bidi w:val="0"/>
        <w:snapToGrid/>
        <w:spacing w:before="380" w:after="140" w:line="360" w:lineRule="auto"/>
        <w:ind w:left="0"/>
        <w:jc w:val="left"/>
        <w:outlineLvl w:val="0"/>
        <w:rPr>
          <w:rFonts w:hint="eastAsia" w:ascii="宋体" w:hAnsi="宋体" w:eastAsia="宋体" w:cs="宋体"/>
          <w:color w:val="auto"/>
          <w:sz w:val="24"/>
          <w:szCs w:val="24"/>
        </w:rPr>
      </w:pPr>
      <w:bookmarkStart w:id="5" w:name="heading_5"/>
      <w:r>
        <w:rPr>
          <w:rFonts w:hint="eastAsia" w:ascii="宋体" w:hAnsi="宋体" w:eastAsia="宋体" w:cs="宋体"/>
          <w:b/>
          <w:color w:val="auto"/>
          <w:sz w:val="24"/>
          <w:szCs w:val="24"/>
        </w:rPr>
        <w:t>2. 承包方要求</w:t>
      </w:r>
      <w:bookmarkEnd w:id="5"/>
    </w:p>
    <w:p w14:paraId="418CD9A0">
      <w:pPr>
        <w:keepNext w:val="0"/>
        <w:keepLines w:val="0"/>
        <w:pageBreakBefore w:val="0"/>
        <w:numPr>
          <w:ilvl w:val="0"/>
          <w:numId w:val="0"/>
        </w:numPr>
        <w:kinsoku/>
        <w:wordWrap/>
        <w:overflowPunct/>
        <w:topLinePunct w:val="0"/>
        <w:bidi w:val="0"/>
        <w:snapToGrid/>
        <w:spacing w:before="120" w:after="120" w:line="360" w:lineRule="auto"/>
        <w:jc w:val="left"/>
        <w:rPr>
          <w:rFonts w:hint="eastAsia" w:ascii="宋体" w:hAnsi="宋体" w:eastAsia="宋体" w:cs="宋体"/>
          <w:color w:val="auto"/>
          <w:sz w:val="24"/>
          <w:szCs w:val="24"/>
        </w:rPr>
      </w:pPr>
      <w:bookmarkStart w:id="6" w:name="heading_7"/>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 xml:space="preserve"> 设备及药剂要求</w:t>
      </w:r>
      <w:bookmarkEnd w:id="6"/>
    </w:p>
    <w:p w14:paraId="0349AB64">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施工设备：承包方需配备满足本次清洗工程需求的全套施工设备，且设备性能良好、运行稳定，主要包括：循环泵、清洗槽、过滤器、加热设备、检测仪器（如pH计、铁离子测定仪、电导率仪、腐蚀率测定仪</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）、安全防护设备等，设备清单及校验证明需在开工前提交发包方审核</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rPr>
        <w:t>。</w:t>
      </w:r>
    </w:p>
    <w:p w14:paraId="08276499">
      <w:pPr>
        <w:keepNext w:val="0"/>
        <w:keepLines w:val="0"/>
        <w:pageBreakBefore w:val="0"/>
        <w:numPr>
          <w:ilvl w:val="0"/>
          <w:numId w:val="0"/>
        </w:numPr>
        <w:kinsoku/>
        <w:wordWrap/>
        <w:overflowPunct/>
        <w:topLinePunct w:val="0"/>
        <w:bidi w:val="0"/>
        <w:snapToGrid/>
        <w:spacing w:before="120" w:after="120" w:line="360" w:lineRule="auto"/>
        <w:jc w:val="left"/>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清洗药剂：承包方需根据管道材质、污垢类型，选用符合国家及行业标准的环保型清洗药剂，严禁使用国家禁止的有毒、有害、高污染药剂。药剂需提供产品合格证、检测报告，明确药剂成分、浓度、使用方法及安全注意事项，且药剂选型需经发包方技术部门确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不锈钢管道清洗</w:t>
      </w:r>
      <w:r>
        <w:rPr>
          <w:rFonts w:hint="eastAsia" w:ascii="宋体" w:hAnsi="宋体" w:eastAsia="宋体" w:cs="宋体"/>
          <w:color w:val="auto"/>
          <w:sz w:val="24"/>
          <w:szCs w:val="24"/>
          <w:highlight w:val="none"/>
        </w:rPr>
        <w:t>严禁使用盐酸及含氯离子药剂，氯离子含量需控制在25ppm以内</w:t>
      </w:r>
      <w:r>
        <w:rPr>
          <w:rFonts w:hint="eastAsia" w:ascii="宋体" w:hAnsi="宋体" w:eastAsia="宋体" w:cs="宋体"/>
          <w:color w:val="auto"/>
          <w:sz w:val="24"/>
          <w:szCs w:val="24"/>
          <w:highlight w:val="none"/>
          <w:lang w:eastAsia="zh-CN"/>
        </w:rPr>
        <w:t>。</w:t>
      </w:r>
    </w:p>
    <w:p w14:paraId="2EC9D815">
      <w:pPr>
        <w:keepNext w:val="0"/>
        <w:keepLines w:val="0"/>
        <w:pageBreakBefore w:val="0"/>
        <w:kinsoku/>
        <w:wordWrap/>
        <w:overflowPunct/>
        <w:topLinePunct w:val="0"/>
        <w:bidi w:val="0"/>
        <w:snapToGrid/>
        <w:spacing w:before="320" w:after="120" w:line="360" w:lineRule="auto"/>
        <w:ind w:left="0"/>
        <w:jc w:val="left"/>
        <w:outlineLvl w:val="1"/>
        <w:rPr>
          <w:rFonts w:hint="eastAsia" w:ascii="宋体" w:hAnsi="宋体" w:eastAsia="宋体" w:cs="宋体"/>
          <w:color w:val="auto"/>
          <w:sz w:val="24"/>
          <w:szCs w:val="24"/>
        </w:rPr>
      </w:pPr>
      <w:bookmarkStart w:id="7" w:name="heading_8"/>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 xml:space="preserve"> 人员要求</w:t>
      </w:r>
      <w:bookmarkEnd w:id="7"/>
    </w:p>
    <w:p w14:paraId="57241799">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2.3.1 承包方需配备专职现场负责人1名、技术负责人1名、安全管理员1名、质量检查员1名，及足够数量的施工人员，所有人员需持证上岗，且岗前需进行安全、技术培训，培训记录需提交发包方备案。</w:t>
      </w:r>
    </w:p>
    <w:p w14:paraId="03EA7AD2">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 现场负责人需具备较强的现场管理能力，能够协调解决施工过程中的各类问题，确保施工顺利进行；技术负责人需具备丰富的化学清洗技术经验，能够指导施工人员规范操作，处理清洗过程中的技术难题；安全管理员需负责现场安全巡查、隐患排查，确保施工安全；质量检查员需全程监督施工质量，做好质量记录。</w:t>
      </w:r>
    </w:p>
    <w:p w14:paraId="21F8A179">
      <w:pPr>
        <w:keepNext w:val="0"/>
        <w:keepLines w:val="0"/>
        <w:pageBreakBefore w:val="0"/>
        <w:kinsoku/>
        <w:wordWrap/>
        <w:overflowPunct/>
        <w:topLinePunct w:val="0"/>
        <w:bidi w:val="0"/>
        <w:snapToGrid/>
        <w:spacing w:before="380" w:after="140" w:line="360" w:lineRule="auto"/>
        <w:ind w:left="0"/>
        <w:jc w:val="left"/>
        <w:outlineLvl w:val="0"/>
        <w:rPr>
          <w:rFonts w:hint="eastAsia" w:ascii="宋体" w:hAnsi="宋体" w:eastAsia="宋体" w:cs="宋体"/>
          <w:color w:val="auto"/>
          <w:sz w:val="24"/>
          <w:szCs w:val="24"/>
        </w:rPr>
      </w:pPr>
      <w:bookmarkStart w:id="8" w:name="heading_9"/>
      <w:r>
        <w:rPr>
          <w:rFonts w:hint="eastAsia" w:ascii="宋体" w:hAnsi="宋体" w:eastAsia="宋体" w:cs="宋体"/>
          <w:b/>
          <w:color w:val="auto"/>
          <w:sz w:val="24"/>
          <w:szCs w:val="24"/>
        </w:rPr>
        <w:t>3. 施工技术要求</w:t>
      </w:r>
      <w:bookmarkEnd w:id="8"/>
    </w:p>
    <w:p w14:paraId="50B63604">
      <w:pPr>
        <w:keepNext w:val="0"/>
        <w:keepLines w:val="0"/>
        <w:pageBreakBefore w:val="0"/>
        <w:kinsoku/>
        <w:wordWrap/>
        <w:overflowPunct/>
        <w:topLinePunct w:val="0"/>
        <w:bidi w:val="0"/>
        <w:snapToGrid/>
        <w:spacing w:before="320" w:after="120" w:line="360" w:lineRule="auto"/>
        <w:ind w:left="0"/>
        <w:jc w:val="left"/>
        <w:outlineLvl w:val="1"/>
        <w:rPr>
          <w:rFonts w:hint="eastAsia" w:ascii="宋体" w:hAnsi="宋体" w:eastAsia="宋体" w:cs="宋体"/>
          <w:color w:val="auto"/>
          <w:sz w:val="24"/>
          <w:szCs w:val="24"/>
        </w:rPr>
      </w:pPr>
      <w:bookmarkStart w:id="9" w:name="heading_10"/>
      <w:r>
        <w:rPr>
          <w:rFonts w:hint="eastAsia" w:ascii="宋体" w:hAnsi="宋体" w:eastAsia="宋体" w:cs="宋体"/>
          <w:b/>
          <w:color w:val="auto"/>
          <w:sz w:val="24"/>
          <w:szCs w:val="24"/>
        </w:rPr>
        <w:t>3.1 施工准备</w:t>
      </w:r>
      <w:bookmarkEnd w:id="9"/>
    </w:p>
    <w:p w14:paraId="05E9EEF6">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3.1.1 系统隔离：承包方</w:t>
      </w:r>
      <w:r>
        <w:rPr>
          <w:rFonts w:hint="eastAsia" w:ascii="宋体" w:hAnsi="宋体" w:eastAsia="宋体" w:cs="宋体"/>
          <w:color w:val="auto"/>
          <w:sz w:val="24"/>
          <w:szCs w:val="24"/>
          <w:lang w:val="en-US" w:eastAsia="zh-CN"/>
        </w:rPr>
        <w:t>负责</w:t>
      </w:r>
      <w:r>
        <w:rPr>
          <w:rFonts w:hint="eastAsia" w:ascii="宋体" w:hAnsi="宋体" w:eastAsia="宋体" w:cs="宋体"/>
          <w:color w:val="auto"/>
          <w:sz w:val="24"/>
          <w:szCs w:val="24"/>
        </w:rPr>
        <w:t>在开工前，按照发包方要求，对清洗管道进行彻底隔离，关闭相关阀门，加装盲板（盲板规格、数量需经发包方确认），确保清洗管道与运行设备、无关管线完全断开，防止清洗液泄漏及交叉污染，隔离完成后需经发包方验收合格方可进入下一工序。</w:t>
      </w:r>
    </w:p>
    <w:p w14:paraId="3C8AFB74">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3.1.2 系统试漏：隔离完成后，承包方需搭建临时清洗回路，对回路进行气压/液压试漏，试漏压力为管道设计压力的1.05~1.1倍，保压30分钟，无泄漏、压力无下降即为合格，试漏记录需提交发包方签字确认。</w:t>
      </w:r>
    </w:p>
    <w:p w14:paraId="1EF31350">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3.1.3 现场布置：承包方需在施工区域设置明显的安全警示标志（如“酸碱作业危险”“禁止入内”等），划分作业区域，配备充足的安全防护用品、中和液（稀碱/稀酸）及应急冲洗水源，确保施工环境安全。</w:t>
      </w:r>
    </w:p>
    <w:p w14:paraId="7AAB3C70">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3.1.4 技术交底：开工前，承包方技术负责人需向施工人员进行详细的技术交底，明确清洗工艺、药剂使用方法、操作规范、质量标准及安全注意事项，交底记录需经所有施工人员签字确认，并提交发包方备案。</w:t>
      </w:r>
    </w:p>
    <w:p w14:paraId="03EAF32F">
      <w:pPr>
        <w:keepNext w:val="0"/>
        <w:keepLines w:val="0"/>
        <w:pageBreakBefore w:val="0"/>
        <w:kinsoku/>
        <w:wordWrap/>
        <w:overflowPunct/>
        <w:topLinePunct w:val="0"/>
        <w:bidi w:val="0"/>
        <w:snapToGrid/>
        <w:spacing w:before="320" w:after="120" w:line="360" w:lineRule="auto"/>
        <w:ind w:left="0"/>
        <w:jc w:val="left"/>
        <w:outlineLvl w:val="1"/>
        <w:rPr>
          <w:rFonts w:hint="eastAsia" w:ascii="宋体" w:hAnsi="宋体" w:eastAsia="宋体" w:cs="宋体"/>
          <w:color w:val="auto"/>
          <w:sz w:val="24"/>
          <w:szCs w:val="24"/>
        </w:rPr>
      </w:pPr>
      <w:bookmarkStart w:id="10" w:name="heading_11"/>
      <w:r>
        <w:rPr>
          <w:rFonts w:hint="eastAsia" w:ascii="宋体" w:hAnsi="宋体" w:eastAsia="宋体" w:cs="宋体"/>
          <w:b/>
          <w:color w:val="auto"/>
          <w:sz w:val="24"/>
          <w:szCs w:val="24"/>
        </w:rPr>
        <w:t>3.2 清洗工艺</w:t>
      </w:r>
      <w:r>
        <w:rPr>
          <w:rFonts w:hint="eastAsia" w:ascii="宋体" w:hAnsi="宋体" w:eastAsia="宋体" w:cs="宋体"/>
          <w:b/>
          <w:color w:val="auto"/>
          <w:sz w:val="24"/>
          <w:szCs w:val="24"/>
          <w:lang w:val="en-US" w:eastAsia="zh-CN"/>
        </w:rPr>
        <w:t>基本</w:t>
      </w:r>
      <w:r>
        <w:rPr>
          <w:rFonts w:hint="eastAsia" w:ascii="宋体" w:hAnsi="宋体" w:eastAsia="宋体" w:cs="宋体"/>
          <w:b/>
          <w:color w:val="auto"/>
          <w:sz w:val="24"/>
          <w:szCs w:val="24"/>
        </w:rPr>
        <w:t>要求</w:t>
      </w:r>
      <w:bookmarkEnd w:id="10"/>
    </w:p>
    <w:p w14:paraId="453CEE43">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本次清洗采用循环清洗方式（特殊部位可采用浸泡、喷淋辅助清洗），包括系统水冲洗、脱脂、酸洗、漂洗、钝化和保护等。每道工序完成后需经发包方质量验收合格，方可进入下一工序：</w:t>
      </w:r>
    </w:p>
    <w:p w14:paraId="4F0B7EE0">
      <w:pPr>
        <w:keepNext w:val="0"/>
        <w:keepLines w:val="0"/>
        <w:pageBreakBefore w:val="0"/>
        <w:kinsoku/>
        <w:wordWrap/>
        <w:overflowPunct/>
        <w:topLinePunct w:val="0"/>
        <w:bidi w:val="0"/>
        <w:snapToGrid/>
        <w:spacing w:before="300" w:after="120" w:line="360" w:lineRule="auto"/>
        <w:ind w:left="0"/>
        <w:jc w:val="left"/>
        <w:outlineLvl w:val="2"/>
        <w:rPr>
          <w:rFonts w:hint="eastAsia" w:ascii="宋体" w:hAnsi="宋体" w:eastAsia="宋体" w:cs="宋体"/>
          <w:color w:val="auto"/>
          <w:sz w:val="24"/>
          <w:szCs w:val="24"/>
        </w:rPr>
      </w:pPr>
      <w:bookmarkStart w:id="11" w:name="heading_13"/>
      <w:r>
        <w:rPr>
          <w:rFonts w:hint="eastAsia" w:ascii="宋体" w:hAnsi="宋体" w:eastAsia="宋体" w:cs="宋体"/>
          <w:b/>
          <w:color w:val="auto"/>
          <w:sz w:val="24"/>
          <w:szCs w:val="24"/>
        </w:rPr>
        <w:t>3.2.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 xml:space="preserve"> 水冲洗</w:t>
      </w:r>
      <w:bookmarkEnd w:id="11"/>
    </w:p>
    <w:p w14:paraId="740C53AB">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用水对管道进行循环冲洗，无明显油污、悬浮物，经验收合格后，进入酸洗工序。</w:t>
      </w:r>
    </w:p>
    <w:p w14:paraId="2400C7AA">
      <w:pPr>
        <w:keepNext w:val="0"/>
        <w:keepLines w:val="0"/>
        <w:pageBreakBefore w:val="0"/>
        <w:kinsoku/>
        <w:wordWrap/>
        <w:overflowPunct/>
        <w:topLinePunct w:val="0"/>
        <w:bidi w:val="0"/>
        <w:snapToGrid/>
        <w:spacing w:before="300" w:after="120" w:line="360" w:lineRule="auto"/>
        <w:ind w:left="0"/>
        <w:jc w:val="left"/>
        <w:outlineLvl w:val="2"/>
        <w:rPr>
          <w:rFonts w:hint="eastAsia" w:ascii="宋体" w:hAnsi="宋体" w:eastAsia="宋体" w:cs="宋体"/>
          <w:color w:val="auto"/>
          <w:sz w:val="24"/>
          <w:szCs w:val="24"/>
        </w:rPr>
      </w:pPr>
      <w:bookmarkStart w:id="12" w:name="heading_14"/>
      <w:r>
        <w:rPr>
          <w:rFonts w:hint="eastAsia" w:ascii="宋体" w:hAnsi="宋体" w:eastAsia="宋体" w:cs="宋体"/>
          <w:b/>
          <w:color w:val="auto"/>
          <w:sz w:val="24"/>
          <w:szCs w:val="24"/>
        </w:rPr>
        <w:t>3.2.</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 xml:space="preserve"> 酸洗（除锈/除垢）</w:t>
      </w:r>
      <w:bookmarkEnd w:id="12"/>
    </w:p>
    <w:p w14:paraId="4A36D13F">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3.2.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药剂选用：根据管道材质选用对应酸洗药剂，药剂配制后需检测浓度，确保符合要求，缓蚀剂需提前加入，充分搅拌均匀。</w:t>
      </w:r>
    </w:p>
    <w:p w14:paraId="33A33109">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3.2.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val="en-US" w:eastAsia="zh-CN"/>
        </w:rPr>
        <w:t>质量检查</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清洗过程要定时</w:t>
      </w:r>
      <w:r>
        <w:rPr>
          <w:rFonts w:hint="eastAsia" w:ascii="宋体" w:hAnsi="宋体" w:eastAsia="宋体" w:cs="宋体"/>
          <w:color w:val="auto"/>
          <w:sz w:val="24"/>
          <w:szCs w:val="24"/>
        </w:rPr>
        <w:t>检测酸浓度及铁离子含量，做好记录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酸浓度趋于稳定，铁离子含量不再上升，管道内壁无明显铁锈、氧化皮、焊渣，经发包方验收合格后，停止酸洗。</w:t>
      </w:r>
    </w:p>
    <w:p w14:paraId="162A78FB">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3.2.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注意事项：酸洗过程中需密切监测管道腐蚀情况，若发现腐蚀率超标，需立即停止酸洗，调整药剂浓度或更换缓蚀剂；不锈钢管道酸洗过程中，需严格控制氯离子含量，严禁混入含氯杂质。</w:t>
      </w:r>
    </w:p>
    <w:p w14:paraId="26D52901">
      <w:pPr>
        <w:keepNext w:val="0"/>
        <w:keepLines w:val="0"/>
        <w:pageBreakBefore w:val="0"/>
        <w:kinsoku/>
        <w:wordWrap/>
        <w:overflowPunct/>
        <w:topLinePunct w:val="0"/>
        <w:bidi w:val="0"/>
        <w:snapToGrid/>
        <w:spacing w:before="300" w:after="120" w:line="360" w:lineRule="auto"/>
        <w:ind w:left="0"/>
        <w:jc w:val="left"/>
        <w:outlineLvl w:val="2"/>
        <w:rPr>
          <w:rFonts w:hint="eastAsia" w:ascii="宋体" w:hAnsi="宋体" w:eastAsia="宋体" w:cs="宋体"/>
          <w:color w:val="auto"/>
          <w:sz w:val="24"/>
          <w:szCs w:val="24"/>
        </w:rPr>
      </w:pPr>
      <w:bookmarkStart w:id="13" w:name="heading_15"/>
      <w:r>
        <w:rPr>
          <w:rFonts w:hint="eastAsia" w:ascii="宋体" w:hAnsi="宋体" w:eastAsia="宋体" w:cs="宋体"/>
          <w:b/>
          <w:color w:val="auto"/>
          <w:sz w:val="24"/>
          <w:szCs w:val="24"/>
        </w:rPr>
        <w:t>3.2.</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水冲洗及漂</w:t>
      </w:r>
      <w:r>
        <w:rPr>
          <w:rFonts w:hint="eastAsia" w:ascii="宋体" w:hAnsi="宋体" w:eastAsia="宋体" w:cs="宋体"/>
          <w:b/>
          <w:color w:val="auto"/>
          <w:sz w:val="24"/>
          <w:szCs w:val="24"/>
        </w:rPr>
        <w:t>洗（酸洗后）</w:t>
      </w:r>
      <w:bookmarkEnd w:id="13"/>
    </w:p>
    <w:p w14:paraId="01B318A8">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酸洗完成后，用大流量清水对管道进行循环冲洗，冲洗流速不低于1.0m/s，直至排水pH值达到5~6</w:t>
      </w:r>
      <w:r>
        <w:rPr>
          <w:rFonts w:hint="eastAsia" w:ascii="宋体" w:hAnsi="宋体" w:eastAsia="宋体" w:cs="宋体"/>
          <w:color w:val="auto"/>
          <w:sz w:val="24"/>
          <w:szCs w:val="24"/>
          <w:highlight w:val="none"/>
          <w:lang w:val="en-US" w:eastAsia="zh-CN"/>
        </w:rPr>
        <w:t>为宜</w:t>
      </w:r>
      <w:r>
        <w:rPr>
          <w:rFonts w:hint="eastAsia" w:ascii="宋体" w:hAnsi="宋体" w:eastAsia="宋体" w:cs="宋体"/>
          <w:color w:val="auto"/>
          <w:sz w:val="24"/>
          <w:szCs w:val="24"/>
          <w:highlight w:val="none"/>
        </w:rPr>
        <w:t>，无悬浮物、无明显酸迹，铁离子含量</w:t>
      </w:r>
      <w:r>
        <w:rPr>
          <w:rFonts w:hint="eastAsia" w:ascii="宋体" w:hAnsi="宋体" w:eastAsia="宋体" w:cs="宋体"/>
          <w:color w:val="auto"/>
          <w:sz w:val="24"/>
          <w:szCs w:val="24"/>
          <w:highlight w:val="none"/>
          <w:lang w:val="en-US" w:eastAsia="zh-CN"/>
        </w:rPr>
        <w:t>满足要求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经验收合格后，进入中和工序。</w:t>
      </w:r>
    </w:p>
    <w:p w14:paraId="3F266BAF">
      <w:pPr>
        <w:keepNext w:val="0"/>
        <w:keepLines w:val="0"/>
        <w:pageBreakBefore w:val="0"/>
        <w:kinsoku/>
        <w:wordWrap/>
        <w:overflowPunct/>
        <w:topLinePunct w:val="0"/>
        <w:bidi w:val="0"/>
        <w:snapToGrid/>
        <w:spacing w:before="300" w:after="120" w:line="360" w:lineRule="auto"/>
        <w:ind w:left="0"/>
        <w:jc w:val="left"/>
        <w:outlineLvl w:val="2"/>
        <w:rPr>
          <w:rFonts w:hint="eastAsia" w:ascii="宋体" w:hAnsi="宋体" w:eastAsia="宋体" w:cs="宋体"/>
          <w:color w:val="auto"/>
          <w:sz w:val="24"/>
          <w:szCs w:val="24"/>
        </w:rPr>
      </w:pPr>
      <w:bookmarkStart w:id="14" w:name="heading_16"/>
      <w:r>
        <w:rPr>
          <w:rFonts w:hint="eastAsia" w:ascii="宋体" w:hAnsi="宋体" w:eastAsia="宋体" w:cs="宋体"/>
          <w:b/>
          <w:color w:val="auto"/>
          <w:sz w:val="24"/>
          <w:szCs w:val="24"/>
        </w:rPr>
        <w:t>3.2.</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 xml:space="preserve"> 中和与钝化</w:t>
      </w:r>
      <w:bookmarkEnd w:id="14"/>
    </w:p>
    <w:p w14:paraId="3D47F5F6">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3.2.5.1 中和：</w:t>
      </w:r>
      <w:r>
        <w:rPr>
          <w:rFonts w:hint="eastAsia" w:ascii="宋体" w:hAnsi="宋体" w:eastAsia="宋体" w:cs="宋体"/>
          <w:color w:val="auto"/>
          <w:sz w:val="24"/>
          <w:szCs w:val="24"/>
          <w:lang w:val="en-US" w:eastAsia="zh-CN"/>
        </w:rPr>
        <w:t>水冲洗结束后，</w:t>
      </w:r>
      <w:r>
        <w:rPr>
          <w:rFonts w:hint="eastAsia" w:ascii="宋体" w:hAnsi="宋体" w:eastAsia="宋体" w:cs="宋体"/>
          <w:color w:val="auto"/>
          <w:sz w:val="24"/>
          <w:szCs w:val="24"/>
        </w:rPr>
        <w:t>采用</w:t>
      </w:r>
      <w:r>
        <w:rPr>
          <w:rFonts w:hint="eastAsia" w:ascii="宋体" w:hAnsi="宋体" w:eastAsia="宋体" w:cs="宋体"/>
          <w:color w:val="auto"/>
          <w:sz w:val="24"/>
          <w:szCs w:val="24"/>
          <w:lang w:val="en-US" w:eastAsia="zh-CN"/>
        </w:rPr>
        <w:t>碱性溶液</w:t>
      </w:r>
      <w:r>
        <w:rPr>
          <w:rFonts w:hint="eastAsia" w:ascii="宋体" w:hAnsi="宋体" w:eastAsia="宋体" w:cs="宋体"/>
          <w:color w:val="auto"/>
          <w:sz w:val="24"/>
          <w:szCs w:val="24"/>
        </w:rPr>
        <w:t>对管道进行循环中和，直至排水pH值达到7~8，无酸性残留，中和时间不少于30分钟。</w:t>
      </w:r>
    </w:p>
    <w:p w14:paraId="6857C08E">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3.2.5.2 钝化：根据管道材质选用对应钝化药剂，钝化过程中需监测钝化液浓度及pH值，做好记录。</w:t>
      </w:r>
    </w:p>
    <w:p w14:paraId="011C2268">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3.2.5.3 </w:t>
      </w:r>
      <w:r>
        <w:rPr>
          <w:rFonts w:hint="eastAsia" w:ascii="宋体" w:hAnsi="宋体" w:eastAsia="宋体" w:cs="宋体"/>
          <w:color w:val="auto"/>
          <w:sz w:val="24"/>
          <w:szCs w:val="24"/>
          <w:lang w:val="en-US" w:eastAsia="zh-CN"/>
        </w:rPr>
        <w:t>验收</w:t>
      </w:r>
      <w:r>
        <w:rPr>
          <w:rFonts w:hint="eastAsia" w:ascii="宋体" w:hAnsi="宋体" w:eastAsia="宋体" w:cs="宋体"/>
          <w:color w:val="auto"/>
          <w:sz w:val="24"/>
          <w:szCs w:val="24"/>
        </w:rPr>
        <w:t>：管道内壁形成均匀致密的钝化膜，无花斑、无锈蚀，经发包方验收合格后，停止钝化。</w:t>
      </w:r>
    </w:p>
    <w:p w14:paraId="7453F902">
      <w:pPr>
        <w:keepNext w:val="0"/>
        <w:keepLines w:val="0"/>
        <w:pageBreakBefore w:val="0"/>
        <w:kinsoku/>
        <w:wordWrap/>
        <w:overflowPunct/>
        <w:topLinePunct w:val="0"/>
        <w:bidi w:val="0"/>
        <w:snapToGrid/>
        <w:spacing w:before="300" w:after="120" w:line="360" w:lineRule="auto"/>
        <w:ind w:left="0"/>
        <w:jc w:val="left"/>
        <w:outlineLvl w:val="2"/>
        <w:rPr>
          <w:rFonts w:hint="eastAsia" w:ascii="宋体" w:hAnsi="宋体" w:eastAsia="宋体" w:cs="宋体"/>
          <w:color w:val="auto"/>
          <w:sz w:val="24"/>
          <w:szCs w:val="24"/>
        </w:rPr>
      </w:pPr>
      <w:bookmarkStart w:id="15" w:name="heading_17"/>
      <w:r>
        <w:rPr>
          <w:rFonts w:hint="eastAsia" w:ascii="宋体" w:hAnsi="宋体" w:eastAsia="宋体" w:cs="宋体"/>
          <w:b/>
          <w:color w:val="auto"/>
          <w:sz w:val="24"/>
          <w:szCs w:val="24"/>
        </w:rPr>
        <w:t>3.2.6 最终冲洗与干燥</w:t>
      </w:r>
      <w:bookmarkEnd w:id="15"/>
    </w:p>
    <w:p w14:paraId="2768E05C">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3.2.6.1 最终冲洗：用除盐水对管道进行循环冲洗，直至无任何杂质残留，经验收合格后，停止冲洗。</w:t>
      </w:r>
    </w:p>
    <w:p w14:paraId="53D6040E">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3.2.6.2 干燥：采用压缩空气或氮气对管道进行吹干，确保管道内壁无积水、无潮湿痕迹，干燥完成后，对管道进行封闭保护，防止二次污染。</w:t>
      </w:r>
    </w:p>
    <w:p w14:paraId="087F8DA3">
      <w:pPr>
        <w:pStyle w:val="21"/>
        <w:keepNext w:val="0"/>
        <w:keepLines w:val="0"/>
        <w:pageBreakBefore w:val="0"/>
        <w:kinsoku/>
        <w:wordWrap/>
        <w:overflowPunct/>
        <w:topLinePunct w:val="0"/>
        <w:bidi w:val="0"/>
        <w:snapToGrid/>
        <w:spacing w:before="72" w:line="360" w:lineRule="auto"/>
        <w:ind w:left="80"/>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3.2.7</w:t>
      </w:r>
      <w:r>
        <w:rPr>
          <w:rFonts w:hint="eastAsia" w:ascii="宋体" w:hAnsi="宋体" w:eastAsia="宋体" w:cs="宋体"/>
          <w:b/>
          <w:bCs/>
          <w:color w:val="auto"/>
          <w:spacing w:val="1"/>
          <w:sz w:val="24"/>
          <w:szCs w:val="24"/>
        </w:rPr>
        <w:t>浸泡清洗</w:t>
      </w:r>
    </w:p>
    <w:p w14:paraId="0F3DC952">
      <w:pPr>
        <w:pStyle w:val="21"/>
        <w:keepNext w:val="0"/>
        <w:keepLines w:val="0"/>
        <w:pageBreakBefore w:val="0"/>
        <w:kinsoku/>
        <w:wordWrap/>
        <w:overflowPunct/>
        <w:topLinePunct w:val="0"/>
        <w:bidi w:val="0"/>
        <w:snapToGrid/>
        <w:spacing w:before="69" w:line="360" w:lineRule="auto"/>
        <w:ind w:left="80" w:firstLine="484" w:firstLineChars="200"/>
        <w:rPr>
          <w:rFonts w:hint="eastAsia" w:ascii="宋体" w:hAnsi="宋体" w:eastAsia="宋体" w:cs="宋体"/>
          <w:color w:val="auto"/>
          <w:sz w:val="24"/>
          <w:szCs w:val="24"/>
          <w:lang w:val="en-US" w:eastAsia="zh-CN"/>
        </w:rPr>
      </w:pPr>
      <w:r>
        <w:rPr>
          <w:rFonts w:hint="eastAsia" w:ascii="宋体" w:hAnsi="宋体" w:eastAsia="宋体" w:cs="宋体"/>
          <w:color w:val="auto"/>
          <w:spacing w:val="1"/>
          <w:sz w:val="24"/>
          <w:szCs w:val="24"/>
        </w:rPr>
        <w:t>小型零部件、管段及管件宜采用浸泡清洗</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清洗容器和储槽满足清洗件的使用要求，且应设置安全防护设施。各零部件在溶液中应每0.5h</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1"/>
          <w:sz w:val="24"/>
          <w:szCs w:val="24"/>
        </w:rPr>
        <w:t>翻动一次，并按程序及时进行倒槽</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3"/>
          <w:sz w:val="24"/>
          <w:szCs w:val="24"/>
        </w:rPr>
        <w:t>清洗过程控制，其清洗时间和控制条件</w:t>
      </w:r>
      <w:r>
        <w:rPr>
          <w:rFonts w:hint="eastAsia" w:ascii="宋体" w:hAnsi="宋体" w:eastAsia="宋体" w:cs="宋体"/>
          <w:color w:val="auto"/>
          <w:spacing w:val="3"/>
          <w:sz w:val="24"/>
          <w:szCs w:val="24"/>
          <w:lang w:val="en-US" w:eastAsia="zh-CN"/>
        </w:rPr>
        <w:t>满足SHT 3547-2011 石油化工设备和管道化学清洗施工及验收规范相关要求</w:t>
      </w:r>
      <w:r>
        <w:rPr>
          <w:rFonts w:hint="eastAsia" w:ascii="宋体" w:hAnsi="宋体" w:eastAsia="宋体" w:cs="宋体"/>
          <w:color w:val="auto"/>
          <w:spacing w:val="2"/>
          <w:sz w:val="24"/>
          <w:szCs w:val="24"/>
        </w:rPr>
        <w:t>。</w:t>
      </w:r>
      <w:r>
        <w:rPr>
          <w:rFonts w:hint="eastAsia" w:ascii="宋体" w:hAnsi="宋体" w:eastAsia="宋体" w:cs="宋体"/>
          <w:color w:val="auto"/>
          <w:sz w:val="24"/>
          <w:szCs w:val="24"/>
        </w:rPr>
        <w:t>清洗结束后，废液中和达标排放。</w:t>
      </w:r>
    </w:p>
    <w:p w14:paraId="043F3061">
      <w:pPr>
        <w:keepNext w:val="0"/>
        <w:keepLines w:val="0"/>
        <w:pageBreakBefore w:val="0"/>
        <w:kinsoku/>
        <w:wordWrap/>
        <w:overflowPunct/>
        <w:topLinePunct w:val="0"/>
        <w:bidi w:val="0"/>
        <w:snapToGrid/>
        <w:spacing w:before="320" w:after="120" w:line="360" w:lineRule="auto"/>
        <w:ind w:left="0"/>
        <w:jc w:val="left"/>
        <w:outlineLvl w:val="1"/>
        <w:rPr>
          <w:rFonts w:hint="eastAsia" w:ascii="宋体" w:hAnsi="宋体" w:eastAsia="宋体" w:cs="宋体"/>
          <w:color w:val="auto"/>
          <w:sz w:val="24"/>
          <w:szCs w:val="24"/>
        </w:rPr>
      </w:pPr>
      <w:bookmarkStart w:id="16" w:name="heading_18"/>
      <w:r>
        <w:rPr>
          <w:rFonts w:hint="eastAsia" w:ascii="宋体" w:hAnsi="宋体" w:eastAsia="宋体" w:cs="宋体"/>
          <w:b/>
          <w:color w:val="auto"/>
          <w:sz w:val="24"/>
          <w:szCs w:val="24"/>
        </w:rPr>
        <w:t>3.3 特殊部位处理</w:t>
      </w:r>
      <w:bookmarkEnd w:id="16"/>
    </w:p>
    <w:p w14:paraId="03628739">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对于管道弯头、阀门、法兰、换热器管束等特殊部位，承包方需采取针对性的清洗措施，确保清洗彻底，无污垢残留；阀门、仪表等易损坏部件，需提前拆卸或采取保护措施，清洗完成后及时复位，确保其性能完好。</w:t>
      </w:r>
    </w:p>
    <w:p w14:paraId="6DE95990">
      <w:pPr>
        <w:keepNext w:val="0"/>
        <w:keepLines w:val="0"/>
        <w:pageBreakBefore w:val="0"/>
        <w:kinsoku/>
        <w:wordWrap/>
        <w:overflowPunct/>
        <w:topLinePunct w:val="0"/>
        <w:bidi w:val="0"/>
        <w:snapToGrid/>
        <w:spacing w:before="320" w:after="120" w:line="360" w:lineRule="auto"/>
        <w:ind w:left="0"/>
        <w:jc w:val="left"/>
        <w:outlineLvl w:val="1"/>
        <w:rPr>
          <w:rFonts w:hint="eastAsia" w:ascii="宋体" w:hAnsi="宋体" w:eastAsia="宋体" w:cs="宋体"/>
          <w:color w:val="auto"/>
          <w:sz w:val="24"/>
          <w:szCs w:val="24"/>
        </w:rPr>
      </w:pPr>
      <w:bookmarkStart w:id="17" w:name="heading_19"/>
      <w:r>
        <w:rPr>
          <w:rFonts w:hint="eastAsia" w:ascii="宋体" w:hAnsi="宋体" w:eastAsia="宋体" w:cs="宋体"/>
          <w:b/>
          <w:color w:val="auto"/>
          <w:sz w:val="24"/>
          <w:szCs w:val="24"/>
        </w:rPr>
        <w:t>3.4 施工记录要求</w:t>
      </w:r>
      <w:bookmarkEnd w:id="17"/>
    </w:p>
    <w:p w14:paraId="693B78BD">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承包方需安排专人做好施工全过程记录，记录内容包括但不限于：施工日期、工序名称、药剂名称及浓度、施工温度、循环时间、流速、检测数据（pH值、铁离子含量、腐蚀率、电导率等）、验收结果、施工人员签字等，施工记录需真实、完整、规范，每天提交发包方审核，工程完工后，整理成册</w:t>
      </w:r>
      <w:r>
        <w:rPr>
          <w:rFonts w:hint="eastAsia" w:ascii="宋体" w:hAnsi="宋体" w:eastAsia="宋体" w:cs="宋体"/>
          <w:color w:val="auto"/>
          <w:sz w:val="24"/>
          <w:szCs w:val="24"/>
          <w:lang w:val="en-US" w:eastAsia="zh-CN"/>
        </w:rPr>
        <w:t>按照发包方档案管理有关要求进行档案</w:t>
      </w:r>
      <w:r>
        <w:rPr>
          <w:rFonts w:hint="eastAsia" w:ascii="宋体" w:hAnsi="宋体" w:eastAsia="宋体" w:cs="宋体"/>
          <w:color w:val="auto"/>
          <w:sz w:val="24"/>
          <w:szCs w:val="24"/>
        </w:rPr>
        <w:t>存档。</w:t>
      </w:r>
    </w:p>
    <w:p w14:paraId="084263EC">
      <w:pPr>
        <w:keepNext w:val="0"/>
        <w:keepLines w:val="0"/>
        <w:pageBreakBefore w:val="0"/>
        <w:kinsoku/>
        <w:wordWrap/>
        <w:overflowPunct/>
        <w:topLinePunct w:val="0"/>
        <w:bidi w:val="0"/>
        <w:snapToGrid/>
        <w:spacing w:before="380" w:after="140" w:line="360" w:lineRule="auto"/>
        <w:ind w:left="0"/>
        <w:jc w:val="left"/>
        <w:outlineLvl w:val="0"/>
        <w:rPr>
          <w:rFonts w:hint="eastAsia" w:ascii="宋体" w:hAnsi="宋体" w:eastAsia="宋体" w:cs="宋体"/>
          <w:color w:val="auto"/>
          <w:sz w:val="24"/>
          <w:szCs w:val="24"/>
        </w:rPr>
      </w:pPr>
      <w:bookmarkStart w:id="18" w:name="heading_20"/>
      <w:r>
        <w:rPr>
          <w:rFonts w:hint="eastAsia" w:ascii="宋体" w:hAnsi="宋体" w:eastAsia="宋体" w:cs="宋体"/>
          <w:b/>
          <w:color w:val="auto"/>
          <w:sz w:val="24"/>
          <w:szCs w:val="24"/>
        </w:rPr>
        <w:t>4. 质量标准与验收</w:t>
      </w:r>
      <w:bookmarkEnd w:id="18"/>
    </w:p>
    <w:p w14:paraId="0CACF6E2">
      <w:pPr>
        <w:keepNext w:val="0"/>
        <w:keepLines w:val="0"/>
        <w:pageBreakBefore w:val="0"/>
        <w:kinsoku/>
        <w:wordWrap/>
        <w:overflowPunct/>
        <w:topLinePunct w:val="0"/>
        <w:bidi w:val="0"/>
        <w:snapToGrid/>
        <w:spacing w:before="320" w:after="120" w:line="360" w:lineRule="auto"/>
        <w:ind w:left="0"/>
        <w:jc w:val="left"/>
        <w:outlineLvl w:val="1"/>
        <w:rPr>
          <w:rFonts w:hint="eastAsia" w:ascii="宋体" w:hAnsi="宋体" w:eastAsia="宋体" w:cs="宋体"/>
          <w:color w:val="auto"/>
          <w:sz w:val="24"/>
          <w:szCs w:val="24"/>
        </w:rPr>
      </w:pPr>
      <w:bookmarkStart w:id="19" w:name="heading_21"/>
      <w:r>
        <w:rPr>
          <w:rFonts w:hint="eastAsia" w:ascii="宋体" w:hAnsi="宋体" w:eastAsia="宋体" w:cs="宋体"/>
          <w:b/>
          <w:color w:val="auto"/>
          <w:sz w:val="24"/>
          <w:szCs w:val="24"/>
        </w:rPr>
        <w:t>4.1 质量标准</w:t>
      </w:r>
      <w:bookmarkEnd w:id="19"/>
    </w:p>
    <w:p w14:paraId="635DFD2A">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本次工业管道化学清洗质量严格遵循SH/T 3547-2011及HG/T 2387-2007标准，具体要求如下：</w:t>
      </w:r>
    </w:p>
    <w:p w14:paraId="59812618">
      <w:pPr>
        <w:keepNext w:val="0"/>
        <w:keepLines w:val="0"/>
        <w:pageBreakBefore w:val="0"/>
        <w:numPr>
          <w:ilvl w:val="0"/>
          <w:numId w:val="30"/>
        </w:numPr>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目视标准：被清洗设备和管道表面应清洁，管道内壁无锈、无氧化皮、无焊渣、无油污、无污垢残留，呈金属本色，钝化膜均匀致密、无花斑、无二次锈蚀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无金属粗晶析出的过酸洗现象，并有完整的钝化膜。</w:t>
      </w:r>
    </w:p>
    <w:p w14:paraId="0321F623">
      <w:pPr>
        <w:keepNext w:val="0"/>
        <w:keepLines w:val="0"/>
        <w:pageBreakBefore w:val="0"/>
        <w:numPr>
          <w:ilvl w:val="0"/>
          <w:numId w:val="30"/>
        </w:numPr>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清洗质量测定：</w:t>
      </w:r>
      <w:r>
        <w:rPr>
          <w:rFonts w:hint="eastAsia" w:ascii="宋体" w:hAnsi="宋体" w:eastAsia="宋体" w:cs="宋体"/>
          <w:color w:val="auto"/>
          <w:sz w:val="24"/>
          <w:szCs w:val="24"/>
        </w:rPr>
        <w:t>碳钢材质的钝化膜质量，可用酸性硫酸铜点滴液检验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点滴液由蓝色变为红色的时间不小于5s 为合格。奥氏体不锈钢材质的钝化膜质量，可用酸性铁氰化钾点滴液检验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点滴液覆盖面内10min 内出现的蓝色小点不多于8点为合格。</w:t>
      </w:r>
    </w:p>
    <w:p w14:paraId="16DEFD0D">
      <w:pPr>
        <w:keepNext w:val="0"/>
        <w:keepLines w:val="0"/>
        <w:pageBreakBefore w:val="0"/>
        <w:numPr>
          <w:ilvl w:val="0"/>
          <w:numId w:val="31"/>
        </w:numPr>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除垢率：管道内污垢除垢率≥95%；</w:t>
      </w:r>
    </w:p>
    <w:p w14:paraId="2835076D">
      <w:pPr>
        <w:keepNext w:val="0"/>
        <w:keepLines w:val="0"/>
        <w:pageBreakBefore w:val="0"/>
        <w:numPr>
          <w:ilvl w:val="0"/>
          <w:numId w:val="32"/>
        </w:numPr>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腐蚀率：碳钢管道腐蚀率＜6g/(m²·h)，不锈钢管道腐蚀率＜2g/(m²·h)，无点蚀、过腐蚀、氢脆等现象；</w:t>
      </w:r>
    </w:p>
    <w:p w14:paraId="1CEC4A39">
      <w:pPr>
        <w:keepNext w:val="0"/>
        <w:keepLines w:val="0"/>
        <w:pageBreakBefore w:val="0"/>
        <w:numPr>
          <w:ilvl w:val="0"/>
          <w:numId w:val="33"/>
        </w:numPr>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钝化膜标准：钝化膜附着力强，经擦拭无脱落，浸泡试验无锈蚀。</w:t>
      </w:r>
    </w:p>
    <w:p w14:paraId="25C6066C">
      <w:pPr>
        <w:keepNext w:val="0"/>
        <w:keepLines w:val="0"/>
        <w:pageBreakBefore w:val="0"/>
        <w:kinsoku/>
        <w:wordWrap/>
        <w:overflowPunct/>
        <w:topLinePunct w:val="0"/>
        <w:bidi w:val="0"/>
        <w:snapToGrid/>
        <w:spacing w:before="320" w:after="120" w:line="360" w:lineRule="auto"/>
        <w:ind w:left="0"/>
        <w:jc w:val="left"/>
        <w:outlineLvl w:val="1"/>
        <w:rPr>
          <w:rFonts w:hint="eastAsia" w:ascii="宋体" w:hAnsi="宋体" w:eastAsia="宋体" w:cs="宋体"/>
          <w:color w:val="auto"/>
          <w:sz w:val="24"/>
          <w:szCs w:val="24"/>
        </w:rPr>
      </w:pPr>
      <w:bookmarkStart w:id="20" w:name="heading_22"/>
      <w:r>
        <w:rPr>
          <w:rFonts w:hint="eastAsia" w:ascii="宋体" w:hAnsi="宋体" w:eastAsia="宋体" w:cs="宋体"/>
          <w:b/>
          <w:color w:val="auto"/>
          <w:sz w:val="24"/>
          <w:szCs w:val="24"/>
        </w:rPr>
        <w:t>4.2 验收流程</w:t>
      </w:r>
      <w:bookmarkEnd w:id="20"/>
    </w:p>
    <w:p w14:paraId="20E73603">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4.2.1 工序验收：每道清洗工序完成后，承包方需向发包方提交验收申请，发包方质量检查</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员在接到申请后</w:t>
      </w:r>
      <w:r>
        <w:rPr>
          <w:rFonts w:hint="eastAsia" w:ascii="宋体" w:hAnsi="宋体" w:eastAsia="宋体" w:cs="宋体"/>
          <w:color w:val="auto"/>
          <w:sz w:val="24"/>
          <w:szCs w:val="24"/>
          <w:lang w:val="en-US" w:eastAsia="zh-CN"/>
        </w:rPr>
        <w:t>安排技术人员</w:t>
      </w:r>
      <w:r>
        <w:rPr>
          <w:rFonts w:hint="eastAsia" w:ascii="宋体" w:hAnsi="宋体" w:eastAsia="宋体" w:cs="宋体"/>
          <w:color w:val="auto"/>
          <w:sz w:val="24"/>
          <w:szCs w:val="24"/>
        </w:rPr>
        <w:t>进行现场验收，验收合格后签署验收记录，方可进入下一工序；验收不合格的，承包方需立即整改，整改完成后重新申请验收，直至合格，整改费用由承包方承担。</w:t>
      </w:r>
      <w:r>
        <w:rPr>
          <w:rFonts w:hint="eastAsia" w:ascii="宋体" w:hAnsi="宋体" w:eastAsia="宋体" w:cs="宋体"/>
          <w:color w:val="auto"/>
          <w:sz w:val="24"/>
          <w:szCs w:val="24"/>
          <w:lang w:val="en-US" w:eastAsia="zh-CN"/>
        </w:rPr>
        <w:t>清洗工作结束后，承包方将现场设备设施及时转运出现场，做到“工完料净场地清”。</w:t>
      </w:r>
    </w:p>
    <w:p w14:paraId="48B943E5">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4.2.2 竣工验收：工程全部完工后，承包方需整理施工记录、药剂检测报告、资质文件、验收记录等相关资料，向发包方提交竣工验收申请，发包方组织技术、质量、安全等相关部门进行全面验收，验收内容包括现场管道清洗质量、资料完整性等，验收合格后签署竣工验收报告；验收不合格的，承包方需在规定期限内整改，直至验收合格，逾期未整改合格的，按合同约定承担违约责任。</w:t>
      </w:r>
    </w:p>
    <w:p w14:paraId="6D2B35FD">
      <w:pPr>
        <w:keepNext w:val="0"/>
        <w:keepLines w:val="0"/>
        <w:pageBreakBefore w:val="0"/>
        <w:kinsoku/>
        <w:wordWrap/>
        <w:overflowPunct/>
        <w:topLinePunct w:val="0"/>
        <w:bidi w:val="0"/>
        <w:snapToGrid/>
        <w:spacing w:before="320" w:after="120" w:line="360" w:lineRule="auto"/>
        <w:ind w:left="0"/>
        <w:jc w:val="left"/>
        <w:outlineLvl w:val="1"/>
        <w:rPr>
          <w:rFonts w:hint="eastAsia" w:ascii="宋体" w:hAnsi="宋体" w:eastAsia="宋体" w:cs="宋体"/>
          <w:color w:val="auto"/>
          <w:sz w:val="24"/>
          <w:szCs w:val="24"/>
        </w:rPr>
      </w:pPr>
      <w:bookmarkStart w:id="21" w:name="heading_23"/>
      <w:r>
        <w:rPr>
          <w:rFonts w:hint="eastAsia" w:ascii="宋体" w:hAnsi="宋体" w:eastAsia="宋体" w:cs="宋体"/>
          <w:b/>
          <w:color w:val="auto"/>
          <w:sz w:val="24"/>
          <w:szCs w:val="24"/>
        </w:rPr>
        <w:t>4.3 质量保修</w:t>
      </w:r>
      <w:bookmarkEnd w:id="21"/>
    </w:p>
    <w:p w14:paraId="5A1E890D">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竣工验收合格后，承包方需提供</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个月的质量保修期，保修期内，若因承包方施工原因导致管道内壁出现锈蚀、钝化膜脱落等质量问题，承包方需在接到通知后24小时内派员到场处理，免费进行返工清洗，确保达到质量标准，并承担由此给发包方造成的损失。</w:t>
      </w:r>
    </w:p>
    <w:p w14:paraId="1BCA313F">
      <w:pPr>
        <w:keepNext w:val="0"/>
        <w:keepLines w:val="0"/>
        <w:pageBreakBefore w:val="0"/>
        <w:kinsoku/>
        <w:wordWrap/>
        <w:overflowPunct/>
        <w:topLinePunct w:val="0"/>
        <w:bidi w:val="0"/>
        <w:snapToGrid/>
        <w:spacing w:before="380" w:after="140" w:line="360" w:lineRule="auto"/>
        <w:ind w:left="0"/>
        <w:jc w:val="left"/>
        <w:outlineLvl w:val="0"/>
        <w:rPr>
          <w:rFonts w:hint="eastAsia" w:ascii="宋体" w:hAnsi="宋体" w:eastAsia="宋体" w:cs="宋体"/>
          <w:color w:val="auto"/>
          <w:sz w:val="24"/>
          <w:szCs w:val="24"/>
        </w:rPr>
      </w:pPr>
      <w:bookmarkStart w:id="22" w:name="heading_24"/>
      <w:r>
        <w:rPr>
          <w:rFonts w:hint="eastAsia" w:ascii="宋体" w:hAnsi="宋体" w:eastAsia="宋体" w:cs="宋体"/>
          <w:b/>
          <w:color w:val="auto"/>
          <w:sz w:val="24"/>
          <w:szCs w:val="24"/>
        </w:rPr>
        <w:t>5. 安全管理要求</w:t>
      </w:r>
      <w:bookmarkEnd w:id="22"/>
    </w:p>
    <w:p w14:paraId="01BC43B6">
      <w:pPr>
        <w:keepNext w:val="0"/>
        <w:keepLines w:val="0"/>
        <w:pageBreakBefore w:val="0"/>
        <w:kinsoku/>
        <w:wordWrap/>
        <w:overflowPunct/>
        <w:topLinePunct w:val="0"/>
        <w:bidi w:val="0"/>
        <w:snapToGrid/>
        <w:spacing w:before="320" w:after="120" w:line="360" w:lineRule="auto"/>
        <w:ind w:left="0"/>
        <w:jc w:val="left"/>
        <w:outlineLvl w:val="1"/>
        <w:rPr>
          <w:rFonts w:hint="eastAsia" w:ascii="宋体" w:hAnsi="宋体" w:eastAsia="宋体" w:cs="宋体"/>
          <w:color w:val="auto"/>
          <w:sz w:val="24"/>
          <w:szCs w:val="24"/>
        </w:rPr>
      </w:pPr>
      <w:bookmarkStart w:id="23" w:name="heading_25"/>
      <w:r>
        <w:rPr>
          <w:rFonts w:hint="eastAsia" w:ascii="宋体" w:hAnsi="宋体" w:eastAsia="宋体" w:cs="宋体"/>
          <w:b/>
          <w:color w:val="auto"/>
          <w:sz w:val="24"/>
          <w:szCs w:val="24"/>
        </w:rPr>
        <w:t>5.1 安全责任</w:t>
      </w:r>
      <w:bookmarkEnd w:id="23"/>
    </w:p>
    <w:p w14:paraId="32030C19">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承包方是本次清洗工程的安全责任主体，负责施工全过程的安全管理工作，承担因施工安全管理不当造成的一切安全事故责任及经济损失；发包方负责对施工安全进行监督</w:t>
      </w:r>
      <w:r>
        <w:rPr>
          <w:rFonts w:hint="eastAsia" w:ascii="宋体" w:hAnsi="宋体" w:eastAsia="宋体" w:cs="宋体"/>
          <w:color w:val="auto"/>
          <w:sz w:val="24"/>
          <w:szCs w:val="24"/>
          <w:lang w:val="en-US" w:eastAsia="zh-CN"/>
        </w:rPr>
        <w:t>管理</w:t>
      </w:r>
      <w:r>
        <w:rPr>
          <w:rFonts w:hint="eastAsia" w:ascii="宋体" w:hAnsi="宋体" w:eastAsia="宋体" w:cs="宋体"/>
          <w:color w:val="auto"/>
          <w:sz w:val="24"/>
          <w:szCs w:val="24"/>
        </w:rPr>
        <w:t>，发现安全隐患，有权要求承包方立即整改，整改不合格的，有权停止施工。</w:t>
      </w:r>
    </w:p>
    <w:p w14:paraId="0B5C406C">
      <w:pPr>
        <w:keepNext w:val="0"/>
        <w:keepLines w:val="0"/>
        <w:pageBreakBefore w:val="0"/>
        <w:kinsoku/>
        <w:wordWrap/>
        <w:overflowPunct/>
        <w:topLinePunct w:val="0"/>
        <w:bidi w:val="0"/>
        <w:snapToGrid/>
        <w:spacing w:before="320" w:after="120" w:line="360" w:lineRule="auto"/>
        <w:ind w:left="0"/>
        <w:jc w:val="left"/>
        <w:outlineLvl w:val="1"/>
        <w:rPr>
          <w:rFonts w:hint="eastAsia" w:ascii="宋体" w:hAnsi="宋体" w:eastAsia="宋体" w:cs="宋体"/>
          <w:color w:val="auto"/>
          <w:sz w:val="24"/>
          <w:szCs w:val="24"/>
        </w:rPr>
      </w:pPr>
      <w:bookmarkStart w:id="24" w:name="heading_26"/>
      <w:r>
        <w:rPr>
          <w:rFonts w:hint="eastAsia" w:ascii="宋体" w:hAnsi="宋体" w:eastAsia="宋体" w:cs="宋体"/>
          <w:b/>
          <w:color w:val="auto"/>
          <w:sz w:val="24"/>
          <w:szCs w:val="24"/>
        </w:rPr>
        <w:t>5.2 安全防护</w:t>
      </w:r>
      <w:bookmarkEnd w:id="24"/>
    </w:p>
    <w:p w14:paraId="1A49E529">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5.2.1 承包方施工人员必须佩戴齐全安全防护用品（如防酸服、护目镜、防毒面具、耐酸碱手套、防滑鞋等），严禁无防护作业；现场需配备充足的应急防护用品及急救药品，确保应急使用。</w:t>
      </w:r>
    </w:p>
    <w:p w14:paraId="2DFA4D62">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5.2.2 酸碱药剂的储存、运输、使用需严格遵循危险化学品安全管理规定，单独存放，设置明显警示标志，严禁与其他化学品混存，防止泄漏、爆炸、中毒等事故发生；药剂配制需在通风良好的区域进行，操作人员需严格按操作规程操作，防止药剂飞溅。</w:t>
      </w:r>
    </w:p>
    <w:p w14:paraId="412D848F">
      <w:pPr>
        <w:keepNext w:val="0"/>
        <w:keepLines w:val="0"/>
        <w:pageBreakBefore w:val="0"/>
        <w:kinsoku/>
        <w:wordWrap/>
        <w:overflowPunct/>
        <w:topLinePunct w:val="0"/>
        <w:bidi w:val="0"/>
        <w:snapToGrid/>
        <w:spacing w:before="320" w:after="120" w:line="360" w:lineRule="auto"/>
        <w:ind w:left="0"/>
        <w:jc w:val="left"/>
        <w:outlineLvl w:val="1"/>
        <w:rPr>
          <w:rFonts w:hint="eastAsia" w:ascii="宋体" w:hAnsi="宋体" w:eastAsia="宋体" w:cs="宋体"/>
          <w:color w:val="auto"/>
          <w:sz w:val="24"/>
          <w:szCs w:val="24"/>
        </w:rPr>
      </w:pPr>
      <w:bookmarkStart w:id="25" w:name="heading_27"/>
      <w:r>
        <w:rPr>
          <w:rFonts w:hint="eastAsia" w:ascii="宋体" w:hAnsi="宋体" w:eastAsia="宋体" w:cs="宋体"/>
          <w:b/>
          <w:color w:val="auto"/>
          <w:sz w:val="24"/>
          <w:szCs w:val="24"/>
        </w:rPr>
        <w:t>5.3 现场安全管理</w:t>
      </w:r>
      <w:bookmarkEnd w:id="25"/>
    </w:p>
    <w:p w14:paraId="4DC35F4C">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5.3.1 施工区域需设置封闭围挡及安全警示标志，严禁无关人员进入作业区域；施工过程中，需保持现场通风良好，尤其是密闭空间作业，需采取强制通风措施，检测有毒有害气体浓度，浓度达标后方可作业，作业过程中需安排专人监护。</w:t>
      </w:r>
    </w:p>
    <w:p w14:paraId="64F6EB42">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5.3.2 施工设备需定期检查、维护，确保运行稳定，严禁设备带故障作业；电气设备需做好防漏电、防短路措施，避免因电气故障引发安全事故。</w:t>
      </w:r>
    </w:p>
    <w:p w14:paraId="05CCDF5F">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5.3.3 </w:t>
      </w:r>
      <w:r>
        <w:rPr>
          <w:rFonts w:hint="eastAsia" w:ascii="宋体" w:hAnsi="宋体" w:eastAsia="宋体" w:cs="宋体"/>
          <w:color w:val="auto"/>
          <w:sz w:val="24"/>
          <w:szCs w:val="24"/>
          <w:lang w:val="en-US" w:eastAsia="zh-CN"/>
        </w:rPr>
        <w:t>现场作业需要服从发包方管理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作业开展前承包方</w:t>
      </w:r>
      <w:r>
        <w:rPr>
          <w:rFonts w:hint="eastAsia" w:ascii="宋体" w:hAnsi="宋体" w:eastAsia="宋体" w:cs="宋体"/>
          <w:color w:val="auto"/>
          <w:sz w:val="24"/>
          <w:szCs w:val="24"/>
        </w:rPr>
        <w:t>需</w:t>
      </w:r>
      <w:r>
        <w:rPr>
          <w:rFonts w:hint="eastAsia" w:ascii="宋体" w:hAnsi="宋体" w:eastAsia="宋体" w:cs="宋体"/>
          <w:color w:val="auto"/>
          <w:sz w:val="24"/>
          <w:szCs w:val="24"/>
          <w:lang w:val="en-US" w:eastAsia="zh-CN"/>
        </w:rPr>
        <w:t>按照发包方有关要求</w:t>
      </w:r>
      <w:r>
        <w:rPr>
          <w:rFonts w:hint="eastAsia" w:ascii="宋体" w:hAnsi="宋体" w:eastAsia="宋体" w:cs="宋体"/>
          <w:color w:val="auto"/>
          <w:sz w:val="24"/>
          <w:szCs w:val="24"/>
        </w:rPr>
        <w:t>办理</w:t>
      </w:r>
      <w:r>
        <w:rPr>
          <w:rFonts w:hint="eastAsia" w:ascii="宋体" w:hAnsi="宋体" w:eastAsia="宋体" w:cs="宋体"/>
          <w:color w:val="auto"/>
          <w:sz w:val="24"/>
          <w:szCs w:val="24"/>
          <w:lang w:val="en-US" w:eastAsia="zh-CN"/>
        </w:rPr>
        <w:t>作业票</w:t>
      </w:r>
      <w:r>
        <w:rPr>
          <w:rFonts w:hint="eastAsia" w:ascii="宋体" w:hAnsi="宋体" w:eastAsia="宋体" w:cs="宋体"/>
          <w:color w:val="auto"/>
          <w:sz w:val="24"/>
          <w:szCs w:val="24"/>
        </w:rPr>
        <w:t>审批手续，</w:t>
      </w:r>
      <w:r>
        <w:rPr>
          <w:rFonts w:hint="eastAsia" w:ascii="宋体" w:hAnsi="宋体" w:eastAsia="宋体" w:cs="宋体"/>
          <w:color w:val="auto"/>
          <w:sz w:val="24"/>
          <w:szCs w:val="24"/>
          <w:lang w:val="en-US" w:eastAsia="zh-CN"/>
        </w:rPr>
        <w:t>作业票审批同意后方可开展作业，作业现场需安排专人监护</w:t>
      </w:r>
      <w:r>
        <w:rPr>
          <w:rFonts w:hint="eastAsia" w:ascii="宋体" w:hAnsi="宋体" w:eastAsia="宋体" w:cs="宋体"/>
          <w:color w:val="auto"/>
          <w:sz w:val="24"/>
          <w:szCs w:val="24"/>
        </w:rPr>
        <w:t>。</w:t>
      </w:r>
    </w:p>
    <w:p w14:paraId="03941220">
      <w:pPr>
        <w:keepNext w:val="0"/>
        <w:keepLines w:val="0"/>
        <w:pageBreakBefore w:val="0"/>
        <w:kinsoku/>
        <w:wordWrap/>
        <w:overflowPunct/>
        <w:topLinePunct w:val="0"/>
        <w:bidi w:val="0"/>
        <w:snapToGrid/>
        <w:spacing w:before="320" w:after="120" w:line="360" w:lineRule="auto"/>
        <w:ind w:left="0"/>
        <w:jc w:val="left"/>
        <w:outlineLvl w:val="1"/>
        <w:rPr>
          <w:rFonts w:hint="eastAsia" w:ascii="宋体" w:hAnsi="宋体" w:eastAsia="宋体" w:cs="宋体"/>
          <w:color w:val="auto"/>
          <w:sz w:val="24"/>
          <w:szCs w:val="24"/>
        </w:rPr>
      </w:pPr>
      <w:bookmarkStart w:id="26" w:name="heading_28"/>
      <w:r>
        <w:rPr>
          <w:rFonts w:hint="eastAsia" w:ascii="宋体" w:hAnsi="宋体" w:eastAsia="宋体" w:cs="宋体"/>
          <w:b/>
          <w:color w:val="auto"/>
          <w:sz w:val="24"/>
          <w:szCs w:val="24"/>
        </w:rPr>
        <w:t>5.4 应急处置</w:t>
      </w:r>
      <w:bookmarkEnd w:id="26"/>
    </w:p>
    <w:p w14:paraId="6039C110">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承包方需制定完善的安全应急预案，针对酸碱泄漏、人员中毒、火灾等突发事故，明确应急处置流程、责任人员及应急措施；施工现场需配备应急救援设备及物资，定期组织应急演练，确保突发事故发生时能够及时、有效处置，减少人员伤亡及经济损失；发生安全事故时，承包方需立即启动应急预案，组织救援，并第一时间通知发包方及相关部门。</w:t>
      </w:r>
    </w:p>
    <w:p w14:paraId="68E27A32">
      <w:pPr>
        <w:keepNext w:val="0"/>
        <w:keepLines w:val="0"/>
        <w:pageBreakBefore w:val="0"/>
        <w:kinsoku/>
        <w:wordWrap/>
        <w:overflowPunct/>
        <w:topLinePunct w:val="0"/>
        <w:bidi w:val="0"/>
        <w:snapToGrid/>
        <w:spacing w:before="380" w:after="140" w:line="360" w:lineRule="auto"/>
        <w:ind w:left="0"/>
        <w:jc w:val="left"/>
        <w:outlineLvl w:val="0"/>
        <w:rPr>
          <w:rFonts w:hint="eastAsia" w:ascii="宋体" w:hAnsi="宋体" w:eastAsia="宋体" w:cs="宋体"/>
          <w:color w:val="auto"/>
          <w:sz w:val="24"/>
          <w:szCs w:val="24"/>
        </w:rPr>
      </w:pPr>
      <w:bookmarkStart w:id="27" w:name="heading_29"/>
      <w:r>
        <w:rPr>
          <w:rFonts w:hint="eastAsia" w:ascii="宋体" w:hAnsi="宋体" w:eastAsia="宋体" w:cs="宋体"/>
          <w:b/>
          <w:color w:val="auto"/>
          <w:sz w:val="24"/>
          <w:szCs w:val="24"/>
        </w:rPr>
        <w:t>6. 环保管理要求</w:t>
      </w:r>
      <w:bookmarkEnd w:id="27"/>
    </w:p>
    <w:p w14:paraId="75F910A6">
      <w:pPr>
        <w:keepNext w:val="0"/>
        <w:keepLines w:val="0"/>
        <w:pageBreakBefore w:val="0"/>
        <w:kinsoku/>
        <w:wordWrap/>
        <w:overflowPunct/>
        <w:topLinePunct w:val="0"/>
        <w:bidi w:val="0"/>
        <w:snapToGrid/>
        <w:spacing w:before="320" w:after="120" w:line="360" w:lineRule="auto"/>
        <w:ind w:left="0"/>
        <w:jc w:val="left"/>
        <w:outlineLvl w:val="1"/>
        <w:rPr>
          <w:rFonts w:hint="eastAsia" w:ascii="宋体" w:hAnsi="宋体" w:eastAsia="宋体" w:cs="宋体"/>
          <w:color w:val="auto"/>
          <w:sz w:val="24"/>
          <w:szCs w:val="24"/>
        </w:rPr>
      </w:pPr>
      <w:bookmarkStart w:id="28" w:name="heading_30"/>
      <w:r>
        <w:rPr>
          <w:rFonts w:hint="eastAsia" w:ascii="宋体" w:hAnsi="宋体" w:eastAsia="宋体" w:cs="宋体"/>
          <w:b/>
          <w:color w:val="auto"/>
          <w:sz w:val="24"/>
          <w:szCs w:val="24"/>
        </w:rPr>
        <w:t>6.1 环保责任</w:t>
      </w:r>
      <w:bookmarkEnd w:id="28"/>
    </w:p>
    <w:p w14:paraId="13A2B5E4">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承包方负责本次清洗工程的环保处置工作，严格遵守国家及地方环保法规，承担因环保处置不当造成的一切环保责任及经济损失；发包方负责对环保处置情况进行监督检查。</w:t>
      </w:r>
    </w:p>
    <w:p w14:paraId="5F27D78C">
      <w:pPr>
        <w:keepNext w:val="0"/>
        <w:keepLines w:val="0"/>
        <w:pageBreakBefore w:val="0"/>
        <w:kinsoku/>
        <w:wordWrap/>
        <w:overflowPunct/>
        <w:topLinePunct w:val="0"/>
        <w:bidi w:val="0"/>
        <w:snapToGrid/>
        <w:spacing w:before="320" w:after="120" w:line="360" w:lineRule="auto"/>
        <w:ind w:left="0"/>
        <w:jc w:val="left"/>
        <w:outlineLvl w:val="1"/>
        <w:rPr>
          <w:rFonts w:hint="eastAsia" w:ascii="宋体" w:hAnsi="宋体" w:eastAsia="宋体" w:cs="宋体"/>
          <w:color w:val="auto"/>
          <w:sz w:val="24"/>
          <w:szCs w:val="24"/>
        </w:rPr>
      </w:pPr>
      <w:bookmarkStart w:id="29" w:name="heading_31"/>
      <w:r>
        <w:rPr>
          <w:rFonts w:hint="eastAsia" w:ascii="宋体" w:hAnsi="宋体" w:eastAsia="宋体" w:cs="宋体"/>
          <w:b/>
          <w:color w:val="auto"/>
          <w:sz w:val="24"/>
          <w:szCs w:val="24"/>
        </w:rPr>
        <w:t>6.2 废液处置</w:t>
      </w:r>
      <w:bookmarkEnd w:id="29"/>
    </w:p>
    <w:p w14:paraId="2E4F8EA0">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清洗过程中产生的酸洗废液、脱脂废液、冲洗废水等，承包方需进行集中收集，严禁直接排放；废液</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酸洗废液</w:t>
      </w:r>
      <w:r>
        <w:rPr>
          <w:rFonts w:hint="eastAsia" w:ascii="宋体" w:hAnsi="宋体" w:eastAsia="宋体" w:cs="宋体"/>
          <w:color w:val="auto"/>
          <w:sz w:val="24"/>
          <w:szCs w:val="24"/>
          <w:lang w:val="en-US" w:eastAsia="zh-CN"/>
        </w:rPr>
        <w:t>、钝化</w:t>
      </w:r>
      <w:r>
        <w:rPr>
          <w:rFonts w:hint="eastAsia" w:ascii="宋体" w:hAnsi="宋体" w:eastAsia="宋体" w:cs="宋体"/>
          <w:color w:val="auto"/>
          <w:sz w:val="24"/>
          <w:szCs w:val="24"/>
        </w:rPr>
        <w:t>废液</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废水等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需先进行中和处理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废液</w:t>
      </w:r>
      <w:r>
        <w:rPr>
          <w:rFonts w:hint="eastAsia" w:ascii="宋体" w:hAnsi="宋体" w:eastAsia="宋体" w:cs="宋体"/>
          <w:color w:val="auto"/>
          <w:sz w:val="24"/>
          <w:szCs w:val="24"/>
          <w:lang w:val="en-US" w:eastAsia="zh-CN"/>
        </w:rPr>
        <w:t>需先</w:t>
      </w:r>
      <w:r>
        <w:rPr>
          <w:rFonts w:hint="eastAsia" w:ascii="宋体" w:hAnsi="宋体" w:eastAsia="宋体" w:cs="宋体"/>
          <w:color w:val="auto"/>
          <w:sz w:val="24"/>
          <w:szCs w:val="24"/>
        </w:rPr>
        <w:t>去除重金属、悬浮物等杂质，经检测达标后，方可排放至发包方指定的污水处理设施。</w:t>
      </w:r>
      <w:r>
        <w:rPr>
          <w:rFonts w:hint="eastAsia" w:ascii="宋体" w:hAnsi="宋体" w:eastAsia="宋体" w:cs="宋体"/>
          <w:color w:val="auto"/>
          <w:sz w:val="24"/>
          <w:szCs w:val="24"/>
          <w:lang w:val="en-US" w:eastAsia="zh-CN"/>
        </w:rPr>
        <w:t>所有废液转运（车辆或管道）工作全部由承包方负责，承包方须提前到现场勘察发包方污水处理实施情况。</w:t>
      </w:r>
    </w:p>
    <w:p w14:paraId="02A957FD">
      <w:pPr>
        <w:keepNext w:val="0"/>
        <w:keepLines w:val="0"/>
        <w:pageBreakBefore w:val="0"/>
        <w:kinsoku/>
        <w:wordWrap/>
        <w:overflowPunct/>
        <w:topLinePunct w:val="0"/>
        <w:bidi w:val="0"/>
        <w:snapToGrid/>
        <w:spacing w:before="320" w:after="120" w:line="360" w:lineRule="auto"/>
        <w:ind w:left="0"/>
        <w:jc w:val="left"/>
        <w:outlineLvl w:val="1"/>
        <w:rPr>
          <w:rFonts w:hint="eastAsia" w:ascii="宋体" w:hAnsi="宋体" w:eastAsia="宋体" w:cs="宋体"/>
          <w:color w:val="auto"/>
          <w:sz w:val="24"/>
          <w:szCs w:val="24"/>
        </w:rPr>
      </w:pPr>
      <w:bookmarkStart w:id="30" w:name="heading_32"/>
      <w:r>
        <w:rPr>
          <w:rFonts w:hint="eastAsia" w:ascii="宋体" w:hAnsi="宋体" w:eastAsia="宋体" w:cs="宋体"/>
          <w:b/>
          <w:color w:val="auto"/>
          <w:sz w:val="24"/>
          <w:szCs w:val="24"/>
        </w:rPr>
        <w:t>6.3 废渣及废弃物处置</w:t>
      </w:r>
      <w:bookmarkEnd w:id="30"/>
    </w:p>
    <w:p w14:paraId="6A7C6EDC">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清洗过程中产生的废渣（如除锈渣、污垢等）、废弃药剂包装等，承包方需进行分类收集，妥善存放，严禁随意丢弃；废渣需委托具备相应资质的单位进行无害化处理，废弃药剂包装需按危险废物管理规定进行处置。</w:t>
      </w:r>
    </w:p>
    <w:p w14:paraId="2516F8D2">
      <w:pPr>
        <w:keepNext w:val="0"/>
        <w:keepLines w:val="0"/>
        <w:pageBreakBefore w:val="0"/>
        <w:kinsoku/>
        <w:wordWrap/>
        <w:overflowPunct/>
        <w:topLinePunct w:val="0"/>
        <w:bidi w:val="0"/>
        <w:snapToGrid/>
        <w:spacing w:before="320" w:after="120" w:line="360" w:lineRule="auto"/>
        <w:ind w:left="0"/>
        <w:jc w:val="left"/>
        <w:outlineLvl w:val="1"/>
        <w:rPr>
          <w:rFonts w:hint="eastAsia" w:ascii="宋体" w:hAnsi="宋体" w:eastAsia="宋体" w:cs="宋体"/>
          <w:color w:val="auto"/>
          <w:sz w:val="24"/>
          <w:szCs w:val="24"/>
        </w:rPr>
      </w:pPr>
      <w:bookmarkStart w:id="31" w:name="heading_33"/>
      <w:r>
        <w:rPr>
          <w:rFonts w:hint="eastAsia" w:ascii="宋体" w:hAnsi="宋体" w:eastAsia="宋体" w:cs="宋体"/>
          <w:b/>
          <w:color w:val="auto"/>
          <w:sz w:val="24"/>
          <w:szCs w:val="24"/>
        </w:rPr>
        <w:t>6.4 现场环保要求</w:t>
      </w:r>
      <w:bookmarkEnd w:id="31"/>
    </w:p>
    <w:p w14:paraId="7EB67519">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施工过程中，需采取有效措施，防止药剂泄漏、废液流失，避免污染土壤、地下水及周边环境；施工结束后，承包方需清理施工现场，恢复场地原貌，做到工完、料尽、场地清。</w:t>
      </w:r>
    </w:p>
    <w:p w14:paraId="5411D0F0">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6.5 特别说明</w:t>
      </w:r>
    </w:p>
    <w:p w14:paraId="1329D4BA">
      <w:pPr>
        <w:keepNext w:val="0"/>
        <w:keepLines w:val="0"/>
        <w:pageBreakBefore w:val="0"/>
        <w:kinsoku/>
        <w:wordWrap/>
        <w:overflowPunct/>
        <w:topLinePunct w:val="0"/>
        <w:bidi w:val="0"/>
        <w:snapToGrid/>
        <w:spacing w:before="120" w:after="120" w:line="360" w:lineRule="auto"/>
        <w:ind w:lef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因本项目特殊性，投标方报价前须安排技术人员到装置现场进行实地勘察，清楚了解项目实际情况，若因投标方未进行现场实地勘察导致对本项目实际工程量、实施难度等理解出现偏差导致一些损失由投标方承担。 </w:t>
      </w:r>
    </w:p>
    <w:p w14:paraId="12B4F4BA">
      <w:pPr>
        <w:keepNext w:val="0"/>
        <w:keepLines w:val="0"/>
        <w:pageBreakBefore w:val="0"/>
        <w:kinsoku/>
        <w:wordWrap/>
        <w:overflowPunct/>
        <w:topLinePunct w:val="0"/>
        <w:bidi w:val="0"/>
        <w:snapToGrid/>
        <w:spacing w:before="380" w:after="140" w:line="360" w:lineRule="auto"/>
        <w:ind w:left="0"/>
        <w:jc w:val="left"/>
        <w:outlineLvl w:val="0"/>
        <w:rPr>
          <w:rFonts w:hint="eastAsia" w:ascii="宋体" w:hAnsi="宋体" w:eastAsia="宋体" w:cs="宋体"/>
          <w:color w:val="auto"/>
          <w:sz w:val="24"/>
          <w:szCs w:val="24"/>
        </w:rPr>
      </w:pPr>
      <w:bookmarkStart w:id="32" w:name="heading_34"/>
      <w:r>
        <w:rPr>
          <w:rFonts w:hint="eastAsia" w:ascii="宋体" w:hAnsi="宋体" w:eastAsia="宋体" w:cs="宋体"/>
          <w:b/>
          <w:color w:val="auto"/>
          <w:sz w:val="24"/>
          <w:szCs w:val="24"/>
        </w:rPr>
        <w:t>7. 双方责任与义务</w:t>
      </w:r>
      <w:bookmarkEnd w:id="32"/>
    </w:p>
    <w:p w14:paraId="31F18FBE">
      <w:pPr>
        <w:keepNext w:val="0"/>
        <w:keepLines w:val="0"/>
        <w:pageBreakBefore w:val="0"/>
        <w:kinsoku/>
        <w:wordWrap/>
        <w:overflowPunct/>
        <w:topLinePunct w:val="0"/>
        <w:bidi w:val="0"/>
        <w:snapToGrid/>
        <w:spacing w:before="320" w:after="120" w:line="360" w:lineRule="auto"/>
        <w:ind w:left="0"/>
        <w:jc w:val="left"/>
        <w:outlineLvl w:val="1"/>
        <w:rPr>
          <w:rFonts w:hint="eastAsia" w:ascii="宋体" w:hAnsi="宋体" w:eastAsia="宋体" w:cs="宋体"/>
          <w:color w:val="auto"/>
          <w:sz w:val="24"/>
          <w:szCs w:val="24"/>
        </w:rPr>
      </w:pPr>
      <w:bookmarkStart w:id="33" w:name="heading_35"/>
      <w:r>
        <w:rPr>
          <w:rFonts w:hint="eastAsia" w:ascii="宋体" w:hAnsi="宋体" w:eastAsia="宋体" w:cs="宋体"/>
          <w:b/>
          <w:color w:val="auto"/>
          <w:sz w:val="24"/>
          <w:szCs w:val="24"/>
        </w:rPr>
        <w:t>7.1 发包方责任与义务</w:t>
      </w:r>
      <w:bookmarkEnd w:id="33"/>
    </w:p>
    <w:p w14:paraId="16F63D4D">
      <w:pPr>
        <w:keepNext w:val="0"/>
        <w:keepLines w:val="0"/>
        <w:pageBreakBefore w:val="0"/>
        <w:numPr>
          <w:ilvl w:val="0"/>
          <w:numId w:val="34"/>
        </w:numPr>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提供本次清洗管道的设计文件、材质证明等相关技术资料，明确清洗范围及要求；</w:t>
      </w:r>
    </w:p>
    <w:p w14:paraId="186734A5">
      <w:pPr>
        <w:keepNext w:val="0"/>
        <w:keepLines w:val="0"/>
        <w:pageBreakBefore w:val="0"/>
        <w:numPr>
          <w:ilvl w:val="0"/>
          <w:numId w:val="35"/>
        </w:numPr>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负责协调现场相关单位，为承包方提供必要的施工场地、水电供应，协助承包方办理现场施工</w:t>
      </w:r>
      <w:r>
        <w:rPr>
          <w:rFonts w:hint="eastAsia" w:ascii="宋体" w:hAnsi="宋体" w:eastAsia="宋体" w:cs="宋体"/>
          <w:color w:val="auto"/>
          <w:sz w:val="24"/>
          <w:szCs w:val="24"/>
          <w:lang w:val="en-US" w:eastAsia="zh-CN"/>
        </w:rPr>
        <w:t>作业</w:t>
      </w:r>
      <w:r>
        <w:rPr>
          <w:rFonts w:hint="eastAsia" w:ascii="宋体" w:hAnsi="宋体" w:eastAsia="宋体" w:cs="宋体"/>
          <w:color w:val="auto"/>
          <w:sz w:val="24"/>
          <w:szCs w:val="24"/>
        </w:rPr>
        <w:t>所需的相关手续；</w:t>
      </w:r>
    </w:p>
    <w:p w14:paraId="10476E12">
      <w:pPr>
        <w:keepNext w:val="0"/>
        <w:keepLines w:val="0"/>
        <w:pageBreakBefore w:val="0"/>
        <w:numPr>
          <w:ilvl w:val="0"/>
          <w:numId w:val="36"/>
        </w:numPr>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安排专人对施工过程进行监督、检查，及时验收各道工序质量，协调解决施工过程中的相关问题；</w:t>
      </w:r>
    </w:p>
    <w:p w14:paraId="6E2A5872">
      <w:pPr>
        <w:keepNext w:val="0"/>
        <w:keepLines w:val="0"/>
        <w:pageBreakBefore w:val="0"/>
        <w:kinsoku/>
        <w:wordWrap/>
        <w:overflowPunct/>
        <w:topLinePunct w:val="0"/>
        <w:bidi w:val="0"/>
        <w:snapToGrid/>
        <w:spacing w:before="320" w:after="120" w:line="360" w:lineRule="auto"/>
        <w:ind w:left="0"/>
        <w:jc w:val="left"/>
        <w:outlineLvl w:val="1"/>
        <w:rPr>
          <w:rFonts w:hint="eastAsia" w:ascii="宋体" w:hAnsi="宋体" w:eastAsia="宋体" w:cs="宋体"/>
          <w:b/>
          <w:color w:val="auto"/>
          <w:sz w:val="24"/>
          <w:szCs w:val="24"/>
        </w:rPr>
      </w:pPr>
      <w:bookmarkStart w:id="34" w:name="heading_36"/>
      <w:r>
        <w:rPr>
          <w:rFonts w:hint="eastAsia" w:ascii="宋体" w:hAnsi="宋体" w:eastAsia="宋体" w:cs="宋体"/>
          <w:b/>
          <w:color w:val="auto"/>
          <w:sz w:val="24"/>
          <w:szCs w:val="24"/>
        </w:rPr>
        <w:t>7.2 承包方责任与义务</w:t>
      </w:r>
      <w:bookmarkEnd w:id="34"/>
    </w:p>
    <w:p w14:paraId="7877F59C">
      <w:pPr>
        <w:keepNext w:val="0"/>
        <w:keepLines w:val="0"/>
        <w:pageBreakBefore w:val="0"/>
        <w:kinsoku/>
        <w:wordWrap/>
        <w:overflowPunct/>
        <w:topLinePunct w:val="0"/>
        <w:bidi w:val="0"/>
        <w:snapToGrid/>
        <w:spacing w:before="320" w:after="120" w:line="360" w:lineRule="auto"/>
        <w:ind w:left="0"/>
        <w:jc w:val="left"/>
        <w:outlineLvl w:val="1"/>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包括但不限于：</w:t>
      </w:r>
    </w:p>
    <w:p w14:paraId="00D0E3BF">
      <w:pPr>
        <w:keepNext w:val="0"/>
        <w:keepLines w:val="0"/>
        <w:pageBreakBefore w:val="0"/>
        <w:numPr>
          <w:ilvl w:val="0"/>
          <w:numId w:val="37"/>
        </w:numPr>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严格按照本技术文件及合同约定，组织施工，确保施工质量、安全、环保及工期要求；</w:t>
      </w:r>
    </w:p>
    <w:p w14:paraId="521B00C8">
      <w:pPr>
        <w:keepNext w:val="0"/>
        <w:keepLines w:val="0"/>
        <w:pageBreakBefore w:val="0"/>
        <w:numPr>
          <w:ilvl w:val="0"/>
          <w:numId w:val="38"/>
        </w:numPr>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负责施工人员的安全、技术培训，配备齐全安全防护设备及环保处置设备，规范施工操作；</w:t>
      </w:r>
    </w:p>
    <w:p w14:paraId="14B5FD9D">
      <w:pPr>
        <w:keepNext w:val="0"/>
        <w:keepLines w:val="0"/>
        <w:pageBreakBefore w:val="0"/>
        <w:numPr>
          <w:ilvl w:val="0"/>
          <w:numId w:val="39"/>
        </w:numPr>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严格执行国家及行业标准、规范，做好施工全过程记录，及时提交验收申请及相关资料；</w:t>
      </w:r>
    </w:p>
    <w:p w14:paraId="319AF770">
      <w:pPr>
        <w:keepNext w:val="0"/>
        <w:keepLines w:val="0"/>
        <w:pageBreakBefore w:val="0"/>
        <w:numPr>
          <w:ilvl w:val="0"/>
          <w:numId w:val="40"/>
        </w:numPr>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负责施工过程中的安全事故、环保事故的应急处置，承担相应的责任及经济损失；</w:t>
      </w:r>
    </w:p>
    <w:p w14:paraId="6DE580FD">
      <w:pPr>
        <w:keepNext w:val="0"/>
        <w:keepLines w:val="0"/>
        <w:pageBreakBefore w:val="0"/>
        <w:numPr>
          <w:ilvl w:val="0"/>
          <w:numId w:val="41"/>
        </w:numPr>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接受发包方的监督、检查，对发包方提出的整改要求，及时整改到位；</w:t>
      </w:r>
    </w:p>
    <w:p w14:paraId="074BB485">
      <w:pPr>
        <w:keepNext w:val="0"/>
        <w:keepLines w:val="0"/>
        <w:pageBreakBefore w:val="0"/>
        <w:numPr>
          <w:ilvl w:val="0"/>
          <w:numId w:val="42"/>
        </w:numPr>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工程完工后，负责清理施工现场，恢复场地原貌，提交完整的施工资料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并按照发包方档案管理有关要求移交发包方存档</w:t>
      </w:r>
      <w:r>
        <w:rPr>
          <w:rFonts w:hint="eastAsia" w:ascii="宋体" w:hAnsi="宋体" w:eastAsia="宋体" w:cs="宋体"/>
          <w:color w:val="auto"/>
          <w:sz w:val="24"/>
          <w:szCs w:val="24"/>
        </w:rPr>
        <w:t>；</w:t>
      </w:r>
    </w:p>
    <w:p w14:paraId="5E2EA44E">
      <w:pPr>
        <w:keepNext w:val="0"/>
        <w:keepLines w:val="0"/>
        <w:pageBreakBefore w:val="0"/>
        <w:numPr>
          <w:ilvl w:val="0"/>
          <w:numId w:val="43"/>
        </w:numPr>
        <w:kinsoku/>
        <w:wordWrap/>
        <w:overflowPunct/>
        <w:topLinePunct w:val="0"/>
        <w:bidi w:val="0"/>
        <w:snapToGrid/>
        <w:spacing w:before="120" w:after="120" w:line="360" w:lineRule="auto"/>
        <w:ind w:left="0"/>
        <w:jc w:val="left"/>
        <w:rPr>
          <w:rFonts w:hint="eastAsia" w:ascii="宋体" w:hAnsi="宋体" w:eastAsia="宋体" w:cs="宋体"/>
          <w:color w:val="auto"/>
          <w:sz w:val="24"/>
          <w:szCs w:val="24"/>
        </w:rPr>
      </w:pPr>
      <w:r>
        <w:rPr>
          <w:rFonts w:hint="eastAsia" w:ascii="宋体" w:hAnsi="宋体" w:eastAsia="宋体" w:cs="宋体"/>
          <w:color w:val="auto"/>
          <w:sz w:val="24"/>
          <w:szCs w:val="24"/>
        </w:rPr>
        <w:t>承担质量保修期内的质量保修责任，及时处理质量问题。</w:t>
      </w:r>
    </w:p>
    <w:p w14:paraId="3BE9FA62">
      <w:pPr>
        <w:keepNext w:val="0"/>
        <w:keepLines w:val="0"/>
        <w:pageBreakBefore w:val="0"/>
        <w:widowControl w:val="0"/>
        <w:numPr>
          <w:ilvl w:val="0"/>
          <w:numId w:val="0"/>
        </w:numPr>
        <w:kinsoku/>
        <w:wordWrap/>
        <w:overflowPunct/>
        <w:topLinePunct w:val="0"/>
        <w:autoSpaceDE w:val="0"/>
        <w:autoSpaceDN w:val="0"/>
        <w:bidi w:val="0"/>
        <w:snapToGrid/>
        <w:spacing w:before="120" w:after="120" w:line="360" w:lineRule="auto"/>
        <w:jc w:val="left"/>
        <w:rPr>
          <w:rFonts w:hint="eastAsia" w:ascii="宋体" w:hAnsi="宋体" w:eastAsia="宋体" w:cs="宋体"/>
          <w:color w:val="auto"/>
          <w:sz w:val="24"/>
          <w:szCs w:val="24"/>
        </w:rPr>
      </w:pPr>
    </w:p>
    <w:p w14:paraId="6B04D166">
      <w:pPr>
        <w:keepNext w:val="0"/>
        <w:keepLines w:val="0"/>
        <w:pageBreakBefore w:val="0"/>
        <w:widowControl w:val="0"/>
        <w:numPr>
          <w:ilvl w:val="0"/>
          <w:numId w:val="0"/>
        </w:numPr>
        <w:kinsoku/>
        <w:wordWrap/>
        <w:overflowPunct/>
        <w:topLinePunct w:val="0"/>
        <w:autoSpaceDE w:val="0"/>
        <w:autoSpaceDN w:val="0"/>
        <w:bidi w:val="0"/>
        <w:snapToGrid/>
        <w:spacing w:before="120" w:after="120" w:line="360" w:lineRule="auto"/>
        <w:jc w:val="left"/>
        <w:rPr>
          <w:rFonts w:hint="eastAsia" w:ascii="宋体" w:hAnsi="宋体" w:eastAsia="宋体" w:cs="宋体"/>
          <w:color w:val="auto"/>
          <w:sz w:val="24"/>
          <w:szCs w:val="24"/>
        </w:rPr>
      </w:pPr>
    </w:p>
    <w:p w14:paraId="59C812D4">
      <w:pPr>
        <w:keepNext w:val="0"/>
        <w:keepLines w:val="0"/>
        <w:pageBreakBefore w:val="0"/>
        <w:widowControl w:val="0"/>
        <w:numPr>
          <w:ilvl w:val="0"/>
          <w:numId w:val="0"/>
        </w:numPr>
        <w:kinsoku/>
        <w:wordWrap/>
        <w:overflowPunct/>
        <w:topLinePunct w:val="0"/>
        <w:autoSpaceDE w:val="0"/>
        <w:autoSpaceDN w:val="0"/>
        <w:bidi w:val="0"/>
        <w:snapToGrid/>
        <w:spacing w:before="120" w:after="120" w:line="360" w:lineRule="auto"/>
        <w:jc w:val="left"/>
        <w:rPr>
          <w:rFonts w:hint="eastAsia" w:ascii="宋体" w:hAnsi="宋体" w:eastAsia="宋体" w:cs="宋体"/>
          <w:color w:val="auto"/>
          <w:sz w:val="24"/>
          <w:szCs w:val="24"/>
        </w:rPr>
      </w:pPr>
    </w:p>
    <w:p w14:paraId="16B1CAA7">
      <w:pPr>
        <w:keepNext w:val="0"/>
        <w:keepLines w:val="0"/>
        <w:pageBreakBefore w:val="0"/>
        <w:widowControl w:val="0"/>
        <w:numPr>
          <w:ilvl w:val="0"/>
          <w:numId w:val="0"/>
        </w:numPr>
        <w:kinsoku/>
        <w:wordWrap/>
        <w:overflowPunct/>
        <w:topLinePunct w:val="0"/>
        <w:autoSpaceDE w:val="0"/>
        <w:autoSpaceDN w:val="0"/>
        <w:bidi w:val="0"/>
        <w:snapToGrid/>
        <w:spacing w:before="120" w:after="120" w:line="360" w:lineRule="auto"/>
        <w:jc w:val="left"/>
        <w:rPr>
          <w:rFonts w:hint="eastAsia" w:ascii="宋体" w:hAnsi="宋体" w:eastAsia="宋体" w:cs="宋体"/>
          <w:color w:val="auto"/>
          <w:sz w:val="24"/>
          <w:szCs w:val="24"/>
        </w:rPr>
      </w:pPr>
    </w:p>
    <w:p w14:paraId="1D0ADDEE">
      <w:pPr>
        <w:keepNext w:val="0"/>
        <w:keepLines w:val="0"/>
        <w:pageBreakBefore w:val="0"/>
        <w:widowControl w:val="0"/>
        <w:numPr>
          <w:ilvl w:val="0"/>
          <w:numId w:val="0"/>
        </w:numPr>
        <w:kinsoku/>
        <w:wordWrap/>
        <w:overflowPunct/>
        <w:topLinePunct w:val="0"/>
        <w:autoSpaceDE w:val="0"/>
        <w:autoSpaceDN w:val="0"/>
        <w:bidi w:val="0"/>
        <w:snapToGrid/>
        <w:spacing w:before="120" w:after="120" w:line="360" w:lineRule="auto"/>
        <w:jc w:val="left"/>
        <w:rPr>
          <w:rFonts w:hint="eastAsia" w:ascii="宋体" w:hAnsi="宋体" w:eastAsia="宋体" w:cs="宋体"/>
          <w:color w:val="auto"/>
          <w:sz w:val="24"/>
          <w:szCs w:val="24"/>
        </w:rPr>
      </w:pPr>
    </w:p>
    <w:p w14:paraId="2B3E7CB6">
      <w:pPr>
        <w:spacing w:line="360" w:lineRule="auto"/>
        <w:rPr>
          <w:b/>
          <w:sz w:val="28"/>
          <w:szCs w:val="28"/>
          <w:lang w:eastAsia="zh-CN"/>
        </w:rPr>
      </w:pPr>
      <w:r>
        <w:rPr>
          <w:rFonts w:hint="eastAsia" w:hAnsi="Calibri" w:cs="Times New Roman"/>
          <w:b/>
          <w:sz w:val="28"/>
          <w:szCs w:val="28"/>
          <w:lang w:eastAsia="zh-CN"/>
        </w:rPr>
        <w:t>附件3</w:t>
      </w:r>
      <w:r>
        <w:rPr>
          <w:rFonts w:hint="eastAsia"/>
          <w:b/>
          <w:sz w:val="28"/>
          <w:szCs w:val="28"/>
          <w:lang w:eastAsia="zh-CN"/>
        </w:rPr>
        <w:t>：</w:t>
      </w:r>
    </w:p>
    <w:p w14:paraId="343E382E">
      <w:pPr>
        <w:pStyle w:val="26"/>
        <w:spacing w:line="360" w:lineRule="auto"/>
        <w:ind w:left="-496" w:leftChars="-339" w:hanging="250" w:hangingChars="89"/>
        <w:jc w:val="center"/>
        <w:rPr>
          <w:rFonts w:ascii="黑体" w:hAnsi="宋体" w:eastAsia="黑体"/>
          <w:b/>
          <w:sz w:val="28"/>
          <w:szCs w:val="28"/>
          <w:lang w:eastAsia="zh-CN"/>
        </w:rPr>
      </w:pPr>
      <w:r>
        <w:rPr>
          <w:rFonts w:hint="eastAsia" w:ascii="黑体" w:hAnsi="宋体" w:eastAsia="黑体"/>
          <w:b/>
          <w:sz w:val="28"/>
          <w:szCs w:val="28"/>
          <w:lang w:eastAsia="zh-CN"/>
        </w:rPr>
        <w:t>安全环保协议书</w:t>
      </w:r>
    </w:p>
    <w:p w14:paraId="04B5AAB2">
      <w:pPr>
        <w:spacing w:line="440" w:lineRule="exact"/>
        <w:rPr>
          <w:rFonts w:asciiTheme="majorEastAsia" w:hAnsiTheme="majorEastAsia" w:eastAsiaTheme="majorEastAsia"/>
          <w:sz w:val="24"/>
          <w:szCs w:val="24"/>
          <w:u w:val="single"/>
          <w:lang w:eastAsia="zh-CN"/>
        </w:rPr>
      </w:pPr>
      <w:r>
        <w:rPr>
          <w:rFonts w:hint="eastAsia" w:asciiTheme="majorEastAsia" w:hAnsiTheme="majorEastAsia" w:eastAsiaTheme="majorEastAsia"/>
          <w:sz w:val="24"/>
          <w:szCs w:val="24"/>
          <w:lang w:eastAsia="zh-CN"/>
        </w:rPr>
        <w:t>发包单位（以下简称甲方）：</w:t>
      </w:r>
      <w:r>
        <w:rPr>
          <w:rFonts w:hint="eastAsia" w:asciiTheme="majorEastAsia" w:hAnsiTheme="majorEastAsia" w:eastAsiaTheme="majorEastAsia"/>
          <w:sz w:val="24"/>
          <w:szCs w:val="24"/>
          <w:u w:val="single"/>
          <w:lang w:eastAsia="zh-CN"/>
        </w:rPr>
        <w:t xml:space="preserve"> 福建</w:t>
      </w:r>
      <w:r>
        <w:rPr>
          <w:rFonts w:asciiTheme="majorEastAsia" w:hAnsiTheme="majorEastAsia" w:eastAsiaTheme="majorEastAsia"/>
          <w:sz w:val="24"/>
          <w:szCs w:val="24"/>
          <w:u w:val="single"/>
          <w:lang w:eastAsia="zh-CN"/>
        </w:rPr>
        <w:t>福海创石油化工有限公司</w:t>
      </w:r>
    </w:p>
    <w:p w14:paraId="578D460F">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承包单位（以下简称乙方）：</w:t>
      </w:r>
      <w:r>
        <w:rPr>
          <w:rFonts w:hint="eastAsia" w:asciiTheme="majorEastAsia" w:hAnsiTheme="majorEastAsia" w:eastAsiaTheme="majorEastAsia"/>
          <w:sz w:val="24"/>
          <w:szCs w:val="24"/>
          <w:lang w:val="en-US" w:eastAsia="zh-CN"/>
        </w:rPr>
        <w:t xml:space="preserve"> </w:t>
      </w:r>
      <w:r>
        <w:rPr>
          <w:rFonts w:hint="eastAsia" w:asciiTheme="majorEastAsia" w:hAnsiTheme="majorEastAsia" w:eastAsiaTheme="majorEastAsia"/>
          <w:sz w:val="24"/>
          <w:szCs w:val="24"/>
          <w:u w:val="single"/>
          <w:lang w:val="en-US" w:eastAsia="zh-CN"/>
        </w:rPr>
        <w:t xml:space="preserve">         </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 xml:space="preserve">    </w:t>
      </w:r>
    </w:p>
    <w:p w14:paraId="395E2EC4">
      <w:pPr>
        <w:spacing w:line="440" w:lineRule="exact"/>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双方就</w:t>
      </w:r>
      <w:r>
        <w:rPr>
          <w:rFonts w:hint="eastAsia"/>
          <w:sz w:val="24"/>
          <w:szCs w:val="24"/>
          <w:lang w:eastAsia="zh-CN"/>
        </w:rPr>
        <w:t>福建福海创石油化工有限公司芳烃装置优化节能改造项目工业管道及设备化学清洗服务工程</w:t>
      </w:r>
      <w:r>
        <w:rPr>
          <w:rFonts w:hint="eastAsia" w:asciiTheme="majorEastAsia" w:hAnsiTheme="majorEastAsia" w:eastAsiaTheme="majorEastAsia"/>
          <w:sz w:val="24"/>
          <w:szCs w:val="24"/>
          <w:lang w:eastAsia="zh-CN"/>
        </w:rPr>
        <w:t>/项目签订了</w:t>
      </w:r>
      <w:r>
        <w:rPr>
          <w:rFonts w:hint="eastAsia" w:asciiTheme="majorEastAsia" w:hAnsiTheme="majorEastAsia" w:eastAsiaTheme="majorEastAsia"/>
          <w:sz w:val="24"/>
          <w:szCs w:val="24"/>
          <w:u w:val="single"/>
          <w:lang w:eastAsia="zh-CN"/>
        </w:rPr>
        <w:t xml:space="preserve">福建福海创石油化工有限公司芳烃装置优化节能改造项目工业管道及设备化学清洗服务工程 </w:t>
      </w:r>
      <w:r>
        <w:rPr>
          <w:rFonts w:hint="eastAsia" w:asciiTheme="majorEastAsia" w:hAnsiTheme="majorEastAsia" w:eastAsiaTheme="majorEastAsia"/>
          <w:sz w:val="24"/>
          <w:szCs w:val="24"/>
          <w:lang w:eastAsia="zh-CN"/>
        </w:rPr>
        <w:t>合同，为进一步明确甲乙双方在工程承包合同履行过程中的权利和义务及责任，保障人身安全和企业财产安全，依据《中华人民共和国安全生产法》、《中华人民共和国环境保护法》等相关法规及腾龙芳烃（漳州）有限公司HSE管理制度，经双方协商，双方自愿签订本安全环保协议，作为主合同的附件。</w:t>
      </w:r>
    </w:p>
    <w:p w14:paraId="7C5FFA5F">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b/>
          <w:sz w:val="24"/>
          <w:szCs w:val="24"/>
          <w:lang w:eastAsia="zh-CN"/>
        </w:rPr>
        <w:t>一、甲方的权利和义务：</w:t>
      </w:r>
    </w:p>
    <w:p w14:paraId="36A9B750">
      <w:pPr>
        <w:pStyle w:val="75"/>
        <w:spacing w:before="0"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1、甲方有权对乙方的资质进行审查，确认其符合且具备进厂条件，方可进厂施工。</w:t>
      </w:r>
    </w:p>
    <w:p w14:paraId="56298D3B">
      <w:pPr>
        <w:pStyle w:val="75"/>
        <w:spacing w:before="0" w:line="440" w:lineRule="exact"/>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2、甲方有权要求乙方维护好甲方相关的安全环保设施、设备和器材。</w:t>
      </w:r>
    </w:p>
    <w:p w14:paraId="2C368887">
      <w:pPr>
        <w:tabs>
          <w:tab w:val="left" w:pos="360"/>
          <w:tab w:val="left" w:pos="840"/>
        </w:tabs>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3、甲方有权全程检查乙方施工作业现场，对乙方人员在施工作业中违反有关安全生产规章制度的行为予以制止、纠正和处罚，并发出书面整改通知书；对严重违章的行为立即勒令其停止工作。</w:t>
      </w:r>
    </w:p>
    <w:p w14:paraId="1C2825D7">
      <w:pPr>
        <w:tabs>
          <w:tab w:val="left" w:pos="360"/>
          <w:tab w:val="left" w:pos="840"/>
        </w:tabs>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4、甲方有权要求乙方制定施工方案，对危险性较大的分项工程，乙方必须制定专项安全环保施工方案，明确组织措施、安全环保措施、技术措施，经甲方各相关管理部门审查合格后方可进行施工作业。</w:t>
      </w:r>
    </w:p>
    <w:p w14:paraId="71B4D21C">
      <w:pPr>
        <w:tabs>
          <w:tab w:val="left" w:pos="360"/>
          <w:tab w:val="left" w:pos="840"/>
        </w:tabs>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5、甲方有权对乙方不服从管理和严重违章者，驱除施工现场。</w:t>
      </w:r>
    </w:p>
    <w:p w14:paraId="00B7F1A1">
      <w:pPr>
        <w:pStyle w:val="75"/>
        <w:spacing w:before="0" w:line="440" w:lineRule="exact"/>
        <w:ind w:left="0" w:firstLine="0"/>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6、甲方负责对乙方进行厂级和部门级安全培训教育和考核，考核合格方可办理入厂手续。</w:t>
      </w:r>
    </w:p>
    <w:p w14:paraId="2CA3A1A6">
      <w:pPr>
        <w:tabs>
          <w:tab w:val="left" w:pos="360"/>
          <w:tab w:val="left" w:pos="840"/>
        </w:tabs>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7、甲方负责各装置的工艺处理、退料、置换、吹扫及盲板隔离工作，为本项目提供安全的施工条件。</w:t>
      </w:r>
    </w:p>
    <w:p w14:paraId="64212B82">
      <w:pPr>
        <w:tabs>
          <w:tab w:val="left" w:pos="360"/>
          <w:tab w:val="left" w:pos="840"/>
        </w:tabs>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8、甲方应乙方要求，向乙方提供与乙方作业相关的甲方有毒有害、易燃易爆物品的数据。</w:t>
      </w:r>
    </w:p>
    <w:p w14:paraId="29A2AECD">
      <w:pPr>
        <w:tabs>
          <w:tab w:val="left" w:pos="360"/>
          <w:tab w:val="left" w:pos="840"/>
        </w:tabs>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9、甲方在开工前必须对乙方进行全面的安全技术及文明施工交底。</w:t>
      </w:r>
    </w:p>
    <w:p w14:paraId="11C74ADD">
      <w:pPr>
        <w:spacing w:line="440" w:lineRule="exact"/>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二、乙方的权利和义务：</w:t>
      </w:r>
    </w:p>
    <w:p w14:paraId="2C5A2E9F">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21956768">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2、乙方有权对甲方安全管理工作提出合理化建议或改进措施。</w:t>
      </w:r>
    </w:p>
    <w:p w14:paraId="555FA379">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3、乙方对甲方管理人员违章指挥、强令冒险作业、有权拒绝执行。对打击和报复行为有权向上级和有关部门汇报。 </w:t>
      </w:r>
    </w:p>
    <w:p w14:paraId="38EE7C7F">
      <w:pPr>
        <w:spacing w:line="440" w:lineRule="exact"/>
        <w:ind w:right="-427" w:rightChars="-194"/>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4、乙方对危及生命安全和身体健康的施工作业条件和环境，有权提出整改建议拒绝施工作业。</w:t>
      </w:r>
    </w:p>
    <w:p w14:paraId="7EEEB7A4">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5、乙方施工过程中在发生严重危及作业人员生命安全的不可抗拒紧急情况时，有权采取必要的避险措施，并立即向管理部门报告。</w:t>
      </w:r>
    </w:p>
    <w:p w14:paraId="54A21CB6">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6、乙方有权要求甲方提供相关的安全资料。</w:t>
      </w:r>
    </w:p>
    <w:p w14:paraId="14331952">
      <w:pPr>
        <w:spacing w:line="440" w:lineRule="exact"/>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7、</w:t>
      </w:r>
      <w:r>
        <w:rPr>
          <w:rFonts w:hint="eastAsia" w:cs="Arial" w:asciiTheme="majorEastAsia" w:hAnsiTheme="majorEastAsia" w:eastAsiaTheme="majorEastAsia"/>
          <w:sz w:val="24"/>
          <w:szCs w:val="24"/>
          <w:lang w:eastAsia="zh-CN"/>
        </w:rPr>
        <w:t>乙方必须建立健全HSE管理网络、HSE保证体系和HSE责任制，成立专职HSE管理机构</w:t>
      </w:r>
      <w:r>
        <w:rPr>
          <w:rFonts w:hint="eastAsia" w:asciiTheme="majorEastAsia" w:hAnsiTheme="majorEastAsia" w:eastAsiaTheme="majorEastAsia"/>
          <w:sz w:val="24"/>
          <w:szCs w:val="24"/>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4"/>
          <w:szCs w:val="24"/>
          <w:lang w:eastAsia="zh-CN"/>
        </w:rPr>
        <w:t>并佩戴明显标志；编制和实施各安全环保施工方案和专项应急预案。</w:t>
      </w:r>
    </w:p>
    <w:p w14:paraId="45EB94A0">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41BADC41">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14:paraId="2574FA89">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72D5FEC4">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11、乙方应按《中华人民共和国劳动法》等法律、法规、规定用工，严禁使用未成年工和有职业禁忌的人员进行施工作业。</w:t>
      </w:r>
      <w:r>
        <w:rPr>
          <w:rFonts w:asciiTheme="majorEastAsia" w:hAnsiTheme="majorEastAsia" w:eastAsiaTheme="majorEastAsia"/>
          <w:sz w:val="24"/>
          <w:szCs w:val="24"/>
          <w:lang w:eastAsia="zh-CN"/>
        </w:rPr>
        <w:t xml:space="preserve"> </w:t>
      </w:r>
    </w:p>
    <w:p w14:paraId="405E9C81">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乙方必须按国家有关规定，为施工人员办理工伤保险、意外伤害保险（施工人员较多的承包商建议购买建筑工程团体意外险），为施工人员配备合格的劳动防护用品、安全用具及应急救援设施，并保证施工工具、器械使用安全。</w:t>
      </w:r>
    </w:p>
    <w:p w14:paraId="602B9743">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14:paraId="7080AB87">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14、发生事故时，乙方必须及时向甲方报告。同时根据指令迅速组织实施现场人员疏散和抢救工作、采取相应的措施保护好现场，并要积极配合甲方或上级有关部门对事故的调查和现场勘查。</w:t>
      </w:r>
    </w:p>
    <w:p w14:paraId="36C0F10C">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14:paraId="11FC5AA8">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1989E0B5">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17、</w:t>
      </w:r>
      <w:r>
        <w:rPr>
          <w:rFonts w:hint="eastAsia" w:asciiTheme="majorEastAsia" w:hAnsiTheme="majorEastAsia" w:eastAsiaTheme="majorEastAsia"/>
          <w:bCs/>
          <w:sz w:val="24"/>
          <w:szCs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7F4D58E4">
      <w:pPr>
        <w:spacing w:line="440" w:lineRule="exact"/>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18、</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4"/>
          <w:szCs w:val="24"/>
          <w:lang w:eastAsia="zh-CN"/>
        </w:rPr>
        <w:t>GB 2894-2008）</w:t>
      </w:r>
      <w:r>
        <w:rPr>
          <w:rFonts w:hint="eastAsia" w:asciiTheme="majorEastAsia" w:hAnsiTheme="majorEastAsia" w:eastAsiaTheme="majorEastAsia"/>
          <w:bCs/>
          <w:sz w:val="24"/>
          <w:szCs w:val="24"/>
          <w:lang w:eastAsia="zh-CN"/>
        </w:rPr>
        <w:t>的规定。</w:t>
      </w:r>
    </w:p>
    <w:p w14:paraId="4AD50842">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19、</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094F9C4B">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20、乙方施工产生的</w:t>
      </w:r>
      <w:r>
        <w:rPr>
          <w:rFonts w:hint="eastAsia" w:asciiTheme="majorEastAsia" w:hAnsiTheme="majorEastAsia" w:eastAsiaTheme="majorEastAsia"/>
          <w:bCs/>
          <w:sz w:val="24"/>
          <w:szCs w:val="24"/>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4"/>
          <w:szCs w:val="24"/>
          <w:lang w:eastAsia="zh-CN"/>
        </w:rPr>
        <w:t>产生的废物应进行鉴别，一般固废和危险废物应妥善包装、分类堆放，并及时清理。不能任意排放和丢弃。不依法合规处置固体废物，在厂外随意丢弃的，直接解除合同，清除出厂。</w:t>
      </w:r>
    </w:p>
    <w:p w14:paraId="6D480EC4">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44EEADDC">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22、</w:t>
      </w:r>
      <w:r>
        <w:rPr>
          <w:rFonts w:hint="eastAsia" w:asciiTheme="majorEastAsia" w:hAnsiTheme="majorEastAsia" w:eastAsiaTheme="majorEastAsia"/>
          <w:bCs/>
          <w:sz w:val="24"/>
          <w:szCs w:val="24"/>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25735213">
      <w:pPr>
        <w:spacing w:line="440" w:lineRule="exact"/>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三、违约责任及处理</w:t>
      </w:r>
    </w:p>
    <w:p w14:paraId="62042977">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1、乙方不得转包、违法分包及挂靠等违法行为；未经福海创许可，不得将工程分包。</w:t>
      </w:r>
    </w:p>
    <w:p w14:paraId="76D15883">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2、发生安全事故时，甲乙双方均有抢险、救灾的义务，所发生的费用由责任方承担。</w:t>
      </w:r>
    </w:p>
    <w:p w14:paraId="398504E7">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7F067791">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4、甲方违约造成的事故，甲方承担全部责任，并按规定追究有关人员责任及上报。</w:t>
      </w:r>
    </w:p>
    <w:p w14:paraId="72EA73CA">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14:paraId="2F2BD46F">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3AAA32AB">
      <w:pPr>
        <w:spacing w:line="440" w:lineRule="exact"/>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14:paraId="25004BDA">
      <w:pPr>
        <w:spacing w:line="440" w:lineRule="exact"/>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四、 不可抗力：</w:t>
      </w:r>
    </w:p>
    <w:p w14:paraId="6B69B407">
      <w:pPr>
        <w:spacing w:line="440" w:lineRule="exact"/>
        <w:ind w:left="214"/>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由于不可抗力造成合同项目施工作业事故及产生的损失，甲乙双方各自承担相应的损失。</w:t>
      </w:r>
    </w:p>
    <w:p w14:paraId="74FB50C5">
      <w:pPr>
        <w:spacing w:line="440" w:lineRule="exact"/>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六、本协议书经双方盖章后生效。</w:t>
      </w:r>
    </w:p>
    <w:p w14:paraId="0EA3BD96">
      <w:pPr>
        <w:spacing w:line="440" w:lineRule="exact"/>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七、协议期限：</w:t>
      </w:r>
      <w:r>
        <w:rPr>
          <w:rFonts w:hint="eastAsia" w:asciiTheme="majorEastAsia" w:hAnsiTheme="majorEastAsia" w:eastAsiaTheme="majorEastAsia"/>
          <w:sz w:val="24"/>
          <w:szCs w:val="24"/>
          <w:lang w:eastAsia="zh-CN"/>
        </w:rPr>
        <w:t>本协议期限应与主合同期限一致。如果主合同因故需要变更期限，本合同应与主同变更至相同期限。</w:t>
      </w:r>
    </w:p>
    <w:p w14:paraId="4233F763">
      <w:pPr>
        <w:spacing w:line="440" w:lineRule="exact"/>
        <w:ind w:left="94"/>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（以下无正文）</w:t>
      </w:r>
    </w:p>
    <w:p w14:paraId="094F9E84">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甲方 (章)：                                  乙方(章)：</w:t>
      </w:r>
    </w:p>
    <w:p w14:paraId="74509EDB">
      <w:pPr>
        <w:spacing w:line="360" w:lineRule="auto"/>
        <w:rPr>
          <w:rFonts w:asciiTheme="majorEastAsia" w:hAnsiTheme="majorEastAsia" w:eastAsiaTheme="majorEastAsia"/>
          <w:b/>
          <w:bCs/>
          <w:sz w:val="24"/>
          <w:szCs w:val="24"/>
          <w:lang w:eastAsia="zh-CN"/>
        </w:rPr>
      </w:pPr>
      <w:r>
        <w:rPr>
          <w:rFonts w:asciiTheme="majorEastAsia" w:hAnsiTheme="majorEastAsia" w:eastAsiaTheme="majorEastAsia"/>
          <w:b/>
          <w:bCs/>
          <w:sz w:val="24"/>
          <w:szCs w:val="24"/>
          <w:lang w:eastAsia="zh-CN"/>
        </w:rPr>
        <w:t>福建福海创石油化工有限公司</w:t>
      </w:r>
      <w:r>
        <w:rPr>
          <w:rFonts w:hint="eastAsia" w:asciiTheme="majorEastAsia" w:hAnsiTheme="majorEastAsia" w:eastAsiaTheme="majorEastAsia"/>
          <w:b/>
          <w:bCs/>
          <w:sz w:val="24"/>
          <w:szCs w:val="24"/>
          <w:lang w:eastAsia="zh-CN"/>
        </w:rPr>
        <w:t xml:space="preserve"> </w:t>
      </w:r>
      <w:r>
        <w:rPr>
          <w:rFonts w:asciiTheme="majorEastAsia" w:hAnsiTheme="majorEastAsia" w:eastAsiaTheme="majorEastAsia"/>
          <w:b/>
          <w:bCs/>
          <w:sz w:val="24"/>
          <w:szCs w:val="24"/>
          <w:lang w:eastAsia="zh-CN"/>
        </w:rPr>
        <w:t xml:space="preserve">                   </w:t>
      </w:r>
    </w:p>
    <w:p w14:paraId="41F8914F">
      <w:pPr>
        <w:spacing w:line="360" w:lineRule="auto"/>
        <w:rPr>
          <w:rFonts w:asciiTheme="majorEastAsia" w:hAnsiTheme="majorEastAsia" w:eastAsiaTheme="majorEastAsia"/>
          <w:b/>
          <w:bCs/>
          <w:sz w:val="24"/>
          <w:szCs w:val="24"/>
          <w:lang w:eastAsia="zh-CN"/>
        </w:rPr>
      </w:pPr>
    </w:p>
    <w:p w14:paraId="5E5F395E">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签定日期：</w:t>
      </w:r>
      <w:r>
        <w:rPr>
          <w:rFonts w:asciiTheme="majorEastAsia" w:hAnsiTheme="majorEastAsia" w:eastAsiaTheme="majorEastAsia"/>
          <w:sz w:val="24"/>
          <w:szCs w:val="24"/>
          <w:lang w:eastAsia="zh-CN"/>
        </w:rPr>
        <w:t>2026</w:t>
      </w:r>
      <w:r>
        <w:rPr>
          <w:rFonts w:hint="eastAsia" w:asciiTheme="majorEastAsia" w:hAnsiTheme="majorEastAsia" w:eastAsiaTheme="majorEastAsia"/>
          <w:sz w:val="24"/>
          <w:szCs w:val="24"/>
          <w:lang w:eastAsia="zh-CN"/>
        </w:rPr>
        <w:t>年</w:t>
      </w:r>
      <w:r>
        <w:rPr>
          <w:rFonts w:hint="eastAsia" w:asciiTheme="majorEastAsia" w:hAnsiTheme="majorEastAsia" w:eastAsiaTheme="majorEastAsia"/>
          <w:sz w:val="24"/>
          <w:szCs w:val="24"/>
          <w:lang w:val="en-US" w:eastAsia="zh-CN"/>
        </w:rPr>
        <w:t>5</w:t>
      </w:r>
      <w:r>
        <w:rPr>
          <w:rFonts w:hint="eastAsia" w:asciiTheme="majorEastAsia" w:hAnsiTheme="majorEastAsia" w:eastAsiaTheme="majorEastAsia"/>
          <w:sz w:val="24"/>
          <w:szCs w:val="24"/>
          <w:lang w:eastAsia="zh-CN"/>
        </w:rPr>
        <w:t>月</w:t>
      </w:r>
      <w:r>
        <w:rPr>
          <w:rFonts w:hint="eastAsia" w:asciiTheme="majorEastAsia" w:hAnsiTheme="majorEastAsia" w:eastAsiaTheme="majorEastAsia"/>
          <w:sz w:val="24"/>
          <w:szCs w:val="24"/>
          <w:lang w:val="en-US" w:eastAsia="zh-CN"/>
        </w:rPr>
        <w:t xml:space="preserve">  </w:t>
      </w:r>
      <w:r>
        <w:rPr>
          <w:rFonts w:hint="eastAsia" w:asciiTheme="majorEastAsia" w:hAnsiTheme="majorEastAsia" w:eastAsiaTheme="majorEastAsia"/>
          <w:sz w:val="24"/>
          <w:szCs w:val="24"/>
          <w:lang w:eastAsia="zh-CN"/>
        </w:rPr>
        <w:t xml:space="preserve">日                   </w:t>
      </w:r>
      <w:r>
        <w:rPr>
          <w:rFonts w:asciiTheme="majorEastAsia" w:hAnsiTheme="majorEastAsia" w:eastAsiaTheme="majorEastAsia"/>
          <w:sz w:val="24"/>
          <w:szCs w:val="24"/>
          <w:lang w:eastAsia="zh-CN"/>
        </w:rPr>
        <w:t xml:space="preserve">      2026</w:t>
      </w:r>
      <w:r>
        <w:rPr>
          <w:rFonts w:hint="eastAsia" w:asciiTheme="majorEastAsia" w:hAnsiTheme="majorEastAsia" w:eastAsiaTheme="majorEastAsia"/>
          <w:sz w:val="24"/>
          <w:szCs w:val="24"/>
          <w:lang w:eastAsia="zh-CN"/>
        </w:rPr>
        <w:t>年</w:t>
      </w:r>
      <w:r>
        <w:rPr>
          <w:rFonts w:hint="eastAsia" w:asciiTheme="majorEastAsia" w:hAnsiTheme="majorEastAsia" w:eastAsiaTheme="majorEastAsia"/>
          <w:sz w:val="24"/>
          <w:szCs w:val="24"/>
          <w:lang w:val="en-US" w:eastAsia="zh-CN"/>
        </w:rPr>
        <w:t>5</w:t>
      </w:r>
      <w:r>
        <w:rPr>
          <w:rFonts w:hint="eastAsia" w:asciiTheme="majorEastAsia" w:hAnsiTheme="majorEastAsia" w:eastAsiaTheme="majorEastAsia"/>
          <w:sz w:val="24"/>
          <w:szCs w:val="24"/>
          <w:lang w:eastAsia="zh-CN"/>
        </w:rPr>
        <w:t>月    日</w:t>
      </w:r>
    </w:p>
    <w:p w14:paraId="70199741">
      <w:pPr>
        <w:rPr>
          <w:rFonts w:ascii="Times New Roman" w:hAnsi="Times New Roman" w:cs="Times New Roman"/>
          <w:sz w:val="24"/>
          <w:szCs w:val="24"/>
          <w:lang w:eastAsia="zh-CN"/>
        </w:rPr>
      </w:pPr>
    </w:p>
    <w:p w14:paraId="42CFC663">
      <w:pPr>
        <w:pStyle w:val="59"/>
        <w:rPr>
          <w:b/>
          <w:bCs/>
          <w:sz w:val="24"/>
          <w:szCs w:val="24"/>
        </w:rPr>
      </w:pPr>
      <w:r>
        <w:rPr>
          <w:rFonts w:hint="eastAsia"/>
          <w:b/>
          <w:bCs/>
          <w:sz w:val="24"/>
          <w:szCs w:val="24"/>
        </w:rPr>
        <w:t>附件二、参比文件范本</w:t>
      </w:r>
    </w:p>
    <w:p w14:paraId="37FA9111">
      <w:pPr>
        <w:pStyle w:val="26"/>
        <w:jc w:val="center"/>
        <w:rPr>
          <w:rFonts w:ascii="Times New Roman" w:hAnsi="Times New Roman"/>
          <w:b/>
          <w:sz w:val="52"/>
          <w:szCs w:val="52"/>
          <w:lang w:eastAsia="zh-CN"/>
        </w:rPr>
      </w:pPr>
    </w:p>
    <w:p w14:paraId="0E7A0286">
      <w:pPr>
        <w:pStyle w:val="26"/>
        <w:jc w:val="center"/>
        <w:rPr>
          <w:rFonts w:ascii="Times New Roman" w:hAnsi="Times New Roman"/>
          <w:b/>
          <w:sz w:val="52"/>
          <w:szCs w:val="52"/>
          <w:lang w:eastAsia="zh-CN"/>
        </w:rPr>
      </w:pPr>
    </w:p>
    <w:p w14:paraId="229C0F7F">
      <w:pPr>
        <w:pStyle w:val="26"/>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6"/>
        <w:spacing w:line="615" w:lineRule="exact"/>
        <w:jc w:val="center"/>
        <w:rPr>
          <w:rFonts w:ascii="方正小标宋简体" w:hAnsi="方正小标宋简体" w:eastAsia="方正小标宋简体" w:cs="方正小标宋简体"/>
          <w:b/>
          <w:sz w:val="44"/>
          <w:szCs w:val="44"/>
          <w:lang w:eastAsia="zh-CN"/>
        </w:rPr>
      </w:pPr>
    </w:p>
    <w:p w14:paraId="4177FE27">
      <w:pPr>
        <w:pStyle w:val="26"/>
        <w:spacing w:line="615" w:lineRule="exact"/>
        <w:jc w:val="center"/>
        <w:rPr>
          <w:rFonts w:ascii="方正小标宋简体" w:hAnsi="方正小标宋简体" w:eastAsia="方正小标宋简体" w:cs="方正小标宋简体"/>
          <w:b/>
          <w:sz w:val="44"/>
          <w:szCs w:val="44"/>
          <w:lang w:eastAsia="zh-CN"/>
        </w:rPr>
      </w:pPr>
    </w:p>
    <w:p w14:paraId="7C427E83">
      <w:pPr>
        <w:spacing w:line="1000" w:lineRule="exact"/>
        <w:jc w:val="center"/>
        <w:rPr>
          <w:rFonts w:hint="eastAsia" w:ascii="方正小标宋简体" w:hAnsi="方正小标宋简体" w:eastAsia="方正小标宋简体" w:cs="方正小标宋简体"/>
          <w:b/>
          <w:color w:val="FF0000"/>
          <w:sz w:val="44"/>
          <w:szCs w:val="44"/>
          <w:lang w:eastAsia="zh-CN"/>
        </w:rPr>
      </w:pPr>
      <w:r>
        <w:rPr>
          <w:rFonts w:hint="eastAsia" w:ascii="方正小标宋简体" w:hAnsi="方正小标宋简体" w:eastAsia="方正小标宋简体" w:cs="方正小标宋简体"/>
          <w:b/>
          <w:color w:val="FF0000"/>
          <w:sz w:val="44"/>
          <w:szCs w:val="44"/>
          <w:lang w:eastAsia="zh-CN"/>
        </w:rPr>
        <w:t>芳烃装置优化节能改造项目工业管道及设备化学清洗服务工程</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59"/>
      </w:pPr>
    </w:p>
    <w:p w14:paraId="54C8DC60">
      <w:pPr>
        <w:pStyle w:val="26"/>
        <w:rPr>
          <w:rFonts w:ascii="Times New Roman" w:hAnsi="Times New Roman"/>
          <w:lang w:eastAsia="zh-CN"/>
        </w:rPr>
      </w:pPr>
    </w:p>
    <w:p w14:paraId="38BB3959">
      <w:pPr>
        <w:pStyle w:val="26"/>
        <w:rPr>
          <w:rFonts w:ascii="Times New Roman" w:hAnsi="Times New Roman"/>
          <w:lang w:eastAsia="zh-CN"/>
        </w:rPr>
      </w:pPr>
    </w:p>
    <w:p w14:paraId="0193E972">
      <w:pPr>
        <w:pStyle w:val="26"/>
        <w:rPr>
          <w:rFonts w:ascii="Times New Roman" w:hAnsi="Times New Roman"/>
          <w:lang w:eastAsia="zh-CN"/>
        </w:rPr>
      </w:pPr>
    </w:p>
    <w:p w14:paraId="226F7349">
      <w:pPr>
        <w:pStyle w:val="26"/>
        <w:rPr>
          <w:rFonts w:ascii="Times New Roman" w:hAnsi="Times New Roman"/>
          <w:lang w:eastAsia="zh-CN"/>
        </w:rPr>
      </w:pPr>
    </w:p>
    <w:p w14:paraId="28A68C31">
      <w:pPr>
        <w:pStyle w:val="26"/>
        <w:rPr>
          <w:rFonts w:ascii="Times New Roman" w:hAnsi="Times New Roman"/>
          <w:lang w:eastAsia="zh-CN"/>
        </w:rPr>
      </w:pPr>
    </w:p>
    <w:p w14:paraId="185CFC85">
      <w:pPr>
        <w:pStyle w:val="26"/>
        <w:rPr>
          <w:rFonts w:ascii="Times New Roman" w:hAnsi="Times New Roman"/>
          <w:b/>
          <w:bCs/>
          <w:sz w:val="32"/>
          <w:szCs w:val="32"/>
          <w:lang w:eastAsia="zh-CN"/>
        </w:rPr>
      </w:pPr>
    </w:p>
    <w:p w14:paraId="2E8EF8E2">
      <w:pPr>
        <w:pStyle w:val="26"/>
        <w:rPr>
          <w:rFonts w:ascii="Times New Roman" w:hAnsi="Times New Roman"/>
          <w:b/>
          <w:bCs/>
          <w:sz w:val="32"/>
          <w:szCs w:val="32"/>
          <w:lang w:eastAsia="zh-CN"/>
        </w:rPr>
      </w:pPr>
    </w:p>
    <w:p w14:paraId="51C1B120">
      <w:pPr>
        <w:pStyle w:val="26"/>
        <w:rPr>
          <w:rFonts w:ascii="Times New Roman" w:hAnsi="Times New Roman"/>
          <w:b/>
          <w:bCs/>
          <w:sz w:val="32"/>
          <w:szCs w:val="32"/>
          <w:lang w:eastAsia="zh-CN"/>
        </w:rPr>
      </w:pPr>
    </w:p>
    <w:p w14:paraId="7607F365">
      <w:pPr>
        <w:pStyle w:val="26"/>
        <w:rPr>
          <w:rFonts w:ascii="Times New Roman" w:hAnsi="Times New Roman"/>
          <w:b/>
          <w:bCs/>
          <w:sz w:val="32"/>
          <w:szCs w:val="32"/>
          <w:lang w:eastAsia="zh-CN"/>
        </w:rPr>
      </w:pPr>
    </w:p>
    <w:p w14:paraId="1D78D2A0">
      <w:pPr>
        <w:pStyle w:val="26"/>
        <w:rPr>
          <w:rFonts w:ascii="Times New Roman" w:hAnsi="Times New Roman"/>
          <w:b/>
          <w:bCs/>
          <w:sz w:val="32"/>
          <w:szCs w:val="32"/>
          <w:lang w:eastAsia="zh-CN"/>
        </w:rPr>
      </w:pPr>
    </w:p>
    <w:p w14:paraId="70BAA1B5">
      <w:pPr>
        <w:pStyle w:val="26"/>
        <w:jc w:val="center"/>
        <w:rPr>
          <w:rFonts w:hint="eastAsia"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3618E5DB">
      <w:pPr>
        <w:pStyle w:val="26"/>
        <w:jc w:val="center"/>
        <w:rPr>
          <w:rFonts w:hint="eastAsia" w:ascii="Times New Roman" w:hAnsi="Times New Roman"/>
          <w:b/>
          <w:bCs/>
          <w:sz w:val="32"/>
          <w:szCs w:val="32"/>
          <w:lang w:eastAsia="zh-CN"/>
        </w:rPr>
      </w:pPr>
    </w:p>
    <w:p w14:paraId="42DA82A8">
      <w:pPr>
        <w:pStyle w:val="26"/>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5</w:t>
      </w:r>
      <w:r>
        <w:rPr>
          <w:rFonts w:ascii="Times New Roman" w:hAnsi="Times New Roman"/>
          <w:b/>
          <w:bCs/>
          <w:color w:val="FF0000"/>
          <w:w w:val="95"/>
          <w:sz w:val="32"/>
          <w:lang w:eastAsia="zh-CN"/>
        </w:rPr>
        <w:t>月</w:t>
      </w:r>
      <w:r>
        <w:rPr>
          <w:rFonts w:hint="eastAsia" w:ascii="Times New Roman" w:hAnsi="Times New Roman"/>
          <w:b/>
          <w:bCs/>
          <w:color w:val="FF0000"/>
          <w:w w:val="95"/>
          <w:sz w:val="32"/>
          <w:lang w:eastAsia="zh-CN"/>
        </w:rPr>
        <w:t xml:space="preserve"> </w:t>
      </w:r>
      <w:r>
        <w:rPr>
          <w:rFonts w:ascii="Times New Roman" w:hAnsi="Times New Roman"/>
          <w:b/>
          <w:bCs/>
          <w:color w:val="FF0000"/>
          <w:w w:val="95"/>
          <w:sz w:val="32"/>
          <w:lang w:eastAsia="zh-CN"/>
        </w:rPr>
        <w:t xml:space="preserve"> 日</w:t>
      </w:r>
    </w:p>
    <w:p w14:paraId="53D34211">
      <w:pPr>
        <w:rPr>
          <w:lang w:eastAsia="zh-CN"/>
        </w:rPr>
      </w:pPr>
    </w:p>
    <w:p w14:paraId="6A9A7A9D">
      <w:pPr>
        <w:pStyle w:val="59"/>
      </w:pPr>
    </w:p>
    <w:p w14:paraId="117D9CE1">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1AF82C59">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3DCA062F">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42C9DF36">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 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纸胶装、平装。所有参比文件应增加统一外层包封。</w:t>
      </w:r>
    </w:p>
    <w:p w14:paraId="078E00DC">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3.提交参比文件时提供两个包装，商务参比文件（报价</w:t>
      </w:r>
      <w:r>
        <w:rPr>
          <w:rFonts w:hint="eastAsia" w:cs="Times New Roman"/>
          <w:bCs w:val="0"/>
          <w:color w:val="C00000"/>
          <w:sz w:val="24"/>
          <w:szCs w:val="24"/>
          <w:lang w:val="en-US" w:eastAsia="zh-CN"/>
        </w:rPr>
        <w:t>清单</w:t>
      </w:r>
      <w:r>
        <w:rPr>
          <w:rFonts w:hint="eastAsia" w:cs="Times New Roman"/>
          <w:bCs w:val="0"/>
          <w:color w:val="C00000"/>
          <w:sz w:val="24"/>
          <w:szCs w:val="24"/>
          <w:lang w:eastAsia="zh-CN"/>
        </w:rPr>
        <w:t>）一个包装、技术参比文件一个包装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封口处均需加盖骑缝章。商务参比文件和技术参比文件盖章扫描P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电子拷贝一份（随商务参比文件包装）。</w:t>
      </w:r>
    </w:p>
    <w:p w14:paraId="6DC3A1A8">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4.凡因参比文件不按规定填写，或填写不清晰、不完整、或密封不合要求而引起的一切后果，由参比人自行负责。</w:t>
      </w:r>
    </w:p>
    <w:p w14:paraId="051D8A8B">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5.参比文件正本必须逐页或骑缝加盖参比人公章或由法人代表或法人代表授权人逐页签字方视为有效，同时应注明提交日期，否则视为废标。</w:t>
      </w:r>
    </w:p>
    <w:p w14:paraId="5958A82C">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6.在外层包封上应写明参比人的名称与地址、邮政编码，以便参审出现逾期送达时能原封退回。具体样式如下：</w:t>
      </w:r>
    </w:p>
    <w:p w14:paraId="39388A3C">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4FC59EC2">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6B684A98">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1B02AC6C">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09D60CF">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4097BA2B">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17CDDCB7">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4F990AD5">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491BE900">
      <w:pPr>
        <w:rPr>
          <w:szCs w:val="21"/>
          <w:lang w:eastAsia="zh-CN"/>
        </w:rPr>
      </w:pPr>
    </w:p>
    <w:p w14:paraId="4EC69099">
      <w:pPr>
        <w:rPr>
          <w:szCs w:val="21"/>
          <w:lang w:eastAsia="zh-CN"/>
        </w:rPr>
      </w:pPr>
    </w:p>
    <w:p w14:paraId="32A61121">
      <w:pPr>
        <w:rPr>
          <w:szCs w:val="21"/>
          <w:lang w:eastAsia="zh-CN"/>
        </w:rPr>
      </w:pPr>
    </w:p>
    <w:p w14:paraId="27EBE6C5">
      <w:pPr>
        <w:rPr>
          <w:szCs w:val="21"/>
          <w:lang w:eastAsia="zh-CN"/>
        </w:rPr>
      </w:pPr>
    </w:p>
    <w:p w14:paraId="2000EDDB">
      <w:pPr>
        <w:rPr>
          <w:szCs w:val="21"/>
          <w:lang w:eastAsia="zh-CN"/>
        </w:rPr>
      </w:pPr>
    </w:p>
    <w:p w14:paraId="5EB1BFAD">
      <w:pPr>
        <w:rPr>
          <w:szCs w:val="21"/>
          <w:lang w:eastAsia="zh-CN"/>
        </w:rPr>
      </w:pPr>
    </w:p>
    <w:p w14:paraId="641336DF">
      <w:pPr>
        <w:rPr>
          <w:szCs w:val="21"/>
          <w:lang w:eastAsia="zh-CN"/>
        </w:rPr>
      </w:pPr>
    </w:p>
    <w:p w14:paraId="502CFFD9">
      <w:pPr>
        <w:pStyle w:val="77"/>
        <w:spacing w:beforeLines="0" w:afterLines="0" w:line="240" w:lineRule="auto"/>
        <w:ind w:firstLine="618" w:firstLineChars="221"/>
        <w:rPr>
          <w:rFonts w:cs="Times New Roman"/>
          <w:bCs w:val="0"/>
          <w:color w:val="C00000"/>
          <w:lang w:eastAsia="zh-CN"/>
        </w:rPr>
      </w:pPr>
    </w:p>
    <w:p w14:paraId="696004D1">
      <w:pPr>
        <w:pStyle w:val="77"/>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23A5AFBA">
      <w:pPr>
        <w:pStyle w:val="77"/>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26533855">
      <w:pPr>
        <w:rPr>
          <w:szCs w:val="21"/>
          <w:lang w:eastAsia="zh-CN"/>
        </w:rPr>
      </w:pPr>
    </w:p>
    <w:p w14:paraId="61A4CC79">
      <w:pPr>
        <w:pStyle w:val="59"/>
      </w:pPr>
    </w:p>
    <w:p w14:paraId="0A45359F">
      <w:pPr>
        <w:pStyle w:val="59"/>
      </w:pPr>
    </w:p>
    <w:p w14:paraId="1C26CB50">
      <w:pPr>
        <w:pStyle w:val="59"/>
      </w:pPr>
    </w:p>
    <w:p w14:paraId="17527888">
      <w:pPr>
        <w:pStyle w:val="59"/>
      </w:pPr>
    </w:p>
    <w:p w14:paraId="51E6C349">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0"/>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4851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CDEA51C">
            <w:pPr>
              <w:spacing w:line="500" w:lineRule="exact"/>
              <w:jc w:val="center"/>
              <w:rPr>
                <w:b/>
                <w:bCs/>
                <w:sz w:val="24"/>
              </w:rPr>
            </w:pPr>
            <w:r>
              <w:rPr>
                <w:rFonts w:hint="eastAsia"/>
                <w:b/>
                <w:bCs/>
                <w:sz w:val="24"/>
              </w:rPr>
              <w:t>序号</w:t>
            </w:r>
          </w:p>
        </w:tc>
        <w:tc>
          <w:tcPr>
            <w:tcW w:w="6023" w:type="dxa"/>
          </w:tcPr>
          <w:p w14:paraId="2470D1A1">
            <w:pPr>
              <w:spacing w:line="500" w:lineRule="exact"/>
              <w:jc w:val="center"/>
              <w:rPr>
                <w:b/>
                <w:bCs/>
                <w:sz w:val="24"/>
              </w:rPr>
            </w:pPr>
            <w:r>
              <w:rPr>
                <w:rFonts w:hint="eastAsia"/>
                <w:b/>
                <w:bCs/>
                <w:sz w:val="24"/>
              </w:rPr>
              <w:t>内容</w:t>
            </w:r>
          </w:p>
        </w:tc>
        <w:tc>
          <w:tcPr>
            <w:tcW w:w="1843" w:type="dxa"/>
          </w:tcPr>
          <w:p w14:paraId="1726D8A5">
            <w:pPr>
              <w:spacing w:line="500" w:lineRule="exact"/>
              <w:jc w:val="center"/>
              <w:rPr>
                <w:b/>
                <w:bCs/>
                <w:sz w:val="24"/>
              </w:rPr>
            </w:pPr>
            <w:r>
              <w:rPr>
                <w:rFonts w:hint="eastAsia"/>
                <w:b/>
                <w:bCs/>
                <w:sz w:val="24"/>
              </w:rPr>
              <w:t>页码</w:t>
            </w:r>
          </w:p>
        </w:tc>
      </w:tr>
      <w:tr w14:paraId="7F0E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9EC1F43">
            <w:pPr>
              <w:spacing w:line="500" w:lineRule="exact"/>
              <w:jc w:val="center"/>
              <w:rPr>
                <w:sz w:val="24"/>
              </w:rPr>
            </w:pPr>
            <w:r>
              <w:rPr>
                <w:rFonts w:hint="eastAsia"/>
                <w:sz w:val="24"/>
              </w:rPr>
              <w:t>1</w:t>
            </w:r>
          </w:p>
        </w:tc>
        <w:tc>
          <w:tcPr>
            <w:tcW w:w="6023" w:type="dxa"/>
          </w:tcPr>
          <w:p w14:paraId="4277F880">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0F8511F5">
            <w:pPr>
              <w:spacing w:line="500" w:lineRule="exact"/>
              <w:jc w:val="center"/>
              <w:rPr>
                <w:sz w:val="24"/>
              </w:rPr>
            </w:pPr>
          </w:p>
        </w:tc>
      </w:tr>
      <w:tr w14:paraId="3313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D54C12C">
            <w:pPr>
              <w:spacing w:line="500" w:lineRule="exact"/>
              <w:jc w:val="center"/>
              <w:rPr>
                <w:sz w:val="24"/>
              </w:rPr>
            </w:pPr>
            <w:r>
              <w:rPr>
                <w:rFonts w:hint="eastAsia"/>
                <w:sz w:val="24"/>
              </w:rPr>
              <w:t>2</w:t>
            </w:r>
          </w:p>
        </w:tc>
        <w:tc>
          <w:tcPr>
            <w:tcW w:w="6023" w:type="dxa"/>
          </w:tcPr>
          <w:p w14:paraId="6783AE71">
            <w:pPr>
              <w:spacing w:line="500" w:lineRule="exact"/>
              <w:rPr>
                <w:sz w:val="24"/>
              </w:rPr>
            </w:pPr>
            <w:r>
              <w:rPr>
                <w:rFonts w:hint="eastAsia"/>
                <w:sz w:val="24"/>
              </w:rPr>
              <w:t>法定代表人授权书</w:t>
            </w:r>
          </w:p>
        </w:tc>
        <w:tc>
          <w:tcPr>
            <w:tcW w:w="1843" w:type="dxa"/>
          </w:tcPr>
          <w:p w14:paraId="41C80FD3">
            <w:pPr>
              <w:spacing w:line="500" w:lineRule="exact"/>
              <w:jc w:val="center"/>
              <w:rPr>
                <w:sz w:val="24"/>
              </w:rPr>
            </w:pPr>
          </w:p>
        </w:tc>
      </w:tr>
      <w:tr w14:paraId="2FF1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4F7D2F">
            <w:pPr>
              <w:spacing w:line="500" w:lineRule="exact"/>
              <w:jc w:val="center"/>
              <w:rPr>
                <w:sz w:val="24"/>
              </w:rPr>
            </w:pPr>
            <w:r>
              <w:rPr>
                <w:rFonts w:hint="eastAsia"/>
                <w:sz w:val="24"/>
              </w:rPr>
              <w:t>3</w:t>
            </w:r>
          </w:p>
        </w:tc>
        <w:tc>
          <w:tcPr>
            <w:tcW w:w="6023" w:type="dxa"/>
          </w:tcPr>
          <w:p w14:paraId="0D8223E2">
            <w:pPr>
              <w:spacing w:line="500" w:lineRule="exact"/>
              <w:rPr>
                <w:sz w:val="24"/>
                <w:lang w:eastAsia="zh-CN"/>
              </w:rPr>
            </w:pPr>
            <w:r>
              <w:rPr>
                <w:rFonts w:hint="eastAsia"/>
                <w:sz w:val="24"/>
                <w:lang w:eastAsia="zh-CN"/>
              </w:rPr>
              <w:t>法定代表人身份证复印件</w:t>
            </w:r>
          </w:p>
        </w:tc>
        <w:tc>
          <w:tcPr>
            <w:tcW w:w="1843" w:type="dxa"/>
          </w:tcPr>
          <w:p w14:paraId="54A7443B">
            <w:pPr>
              <w:spacing w:line="500" w:lineRule="exact"/>
              <w:jc w:val="center"/>
              <w:rPr>
                <w:sz w:val="24"/>
                <w:lang w:eastAsia="zh-CN"/>
              </w:rPr>
            </w:pPr>
          </w:p>
        </w:tc>
      </w:tr>
      <w:tr w14:paraId="16F3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C39CF6B">
            <w:pPr>
              <w:spacing w:line="500" w:lineRule="exact"/>
              <w:jc w:val="center"/>
              <w:rPr>
                <w:sz w:val="24"/>
              </w:rPr>
            </w:pPr>
            <w:r>
              <w:rPr>
                <w:rFonts w:hint="eastAsia"/>
                <w:sz w:val="24"/>
              </w:rPr>
              <w:t>4</w:t>
            </w:r>
          </w:p>
        </w:tc>
        <w:tc>
          <w:tcPr>
            <w:tcW w:w="6023" w:type="dxa"/>
          </w:tcPr>
          <w:p w14:paraId="30D71ABB">
            <w:pPr>
              <w:spacing w:line="500" w:lineRule="exact"/>
              <w:rPr>
                <w:sz w:val="24"/>
                <w:lang w:eastAsia="zh-CN"/>
              </w:rPr>
            </w:pPr>
            <w:r>
              <w:rPr>
                <w:rFonts w:hint="eastAsia"/>
                <w:sz w:val="24"/>
                <w:lang w:eastAsia="zh-CN"/>
              </w:rPr>
              <w:t>授权代表身份证复印件</w:t>
            </w:r>
          </w:p>
        </w:tc>
        <w:tc>
          <w:tcPr>
            <w:tcW w:w="1843" w:type="dxa"/>
          </w:tcPr>
          <w:p w14:paraId="47295020">
            <w:pPr>
              <w:spacing w:line="500" w:lineRule="exact"/>
              <w:jc w:val="center"/>
              <w:rPr>
                <w:sz w:val="24"/>
                <w:lang w:eastAsia="zh-CN"/>
              </w:rPr>
            </w:pPr>
          </w:p>
        </w:tc>
      </w:tr>
      <w:tr w14:paraId="3874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51D5BE">
            <w:pPr>
              <w:spacing w:line="500" w:lineRule="exact"/>
              <w:jc w:val="center"/>
              <w:rPr>
                <w:sz w:val="24"/>
              </w:rPr>
            </w:pPr>
            <w:r>
              <w:rPr>
                <w:rFonts w:hint="eastAsia"/>
                <w:sz w:val="24"/>
              </w:rPr>
              <w:t>5</w:t>
            </w:r>
          </w:p>
        </w:tc>
        <w:tc>
          <w:tcPr>
            <w:tcW w:w="6023" w:type="dxa"/>
          </w:tcPr>
          <w:p w14:paraId="6781A001">
            <w:pPr>
              <w:spacing w:line="500" w:lineRule="exact"/>
              <w:rPr>
                <w:sz w:val="24"/>
                <w:lang w:eastAsia="zh-CN"/>
              </w:rPr>
            </w:pPr>
            <w:r>
              <w:rPr>
                <w:rFonts w:hint="eastAsia"/>
                <w:sz w:val="24"/>
                <w:szCs w:val="28"/>
                <w:lang w:eastAsia="zh-CN"/>
              </w:rPr>
              <w:t>企业概况</w:t>
            </w:r>
          </w:p>
        </w:tc>
        <w:tc>
          <w:tcPr>
            <w:tcW w:w="1843" w:type="dxa"/>
          </w:tcPr>
          <w:p w14:paraId="72E4393A">
            <w:pPr>
              <w:spacing w:line="500" w:lineRule="exact"/>
              <w:jc w:val="center"/>
              <w:rPr>
                <w:sz w:val="24"/>
                <w:lang w:eastAsia="zh-CN"/>
              </w:rPr>
            </w:pPr>
          </w:p>
        </w:tc>
      </w:tr>
      <w:tr w14:paraId="4EF7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162612F">
            <w:pPr>
              <w:spacing w:line="500" w:lineRule="exact"/>
              <w:jc w:val="center"/>
              <w:rPr>
                <w:sz w:val="24"/>
              </w:rPr>
            </w:pPr>
            <w:r>
              <w:rPr>
                <w:rFonts w:hint="eastAsia"/>
                <w:sz w:val="24"/>
              </w:rPr>
              <w:t>6</w:t>
            </w:r>
          </w:p>
        </w:tc>
        <w:tc>
          <w:tcPr>
            <w:tcW w:w="6023" w:type="dxa"/>
          </w:tcPr>
          <w:p w14:paraId="16372058">
            <w:pPr>
              <w:spacing w:line="500" w:lineRule="exact"/>
              <w:rPr>
                <w:sz w:val="24"/>
              </w:rPr>
            </w:pPr>
            <w:r>
              <w:rPr>
                <w:rFonts w:hint="eastAsia"/>
                <w:sz w:val="24"/>
              </w:rPr>
              <w:t>营业执照复印件</w:t>
            </w:r>
          </w:p>
        </w:tc>
        <w:tc>
          <w:tcPr>
            <w:tcW w:w="1843" w:type="dxa"/>
          </w:tcPr>
          <w:p w14:paraId="5BE08265">
            <w:pPr>
              <w:spacing w:line="500" w:lineRule="exact"/>
              <w:jc w:val="center"/>
              <w:rPr>
                <w:sz w:val="24"/>
              </w:rPr>
            </w:pPr>
          </w:p>
        </w:tc>
      </w:tr>
      <w:tr w14:paraId="20A7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5B20E9">
            <w:pPr>
              <w:spacing w:line="500" w:lineRule="exact"/>
              <w:jc w:val="center"/>
              <w:rPr>
                <w:sz w:val="24"/>
              </w:rPr>
            </w:pPr>
            <w:r>
              <w:rPr>
                <w:rFonts w:hint="eastAsia"/>
                <w:sz w:val="24"/>
              </w:rPr>
              <w:t>7</w:t>
            </w:r>
          </w:p>
        </w:tc>
        <w:tc>
          <w:tcPr>
            <w:tcW w:w="6023" w:type="dxa"/>
          </w:tcPr>
          <w:p w14:paraId="090A79FE">
            <w:pPr>
              <w:spacing w:line="500" w:lineRule="exact"/>
              <w:rPr>
                <w:sz w:val="24"/>
                <w:lang w:eastAsia="zh-CN"/>
              </w:rPr>
            </w:pPr>
            <w:r>
              <w:rPr>
                <w:rFonts w:hint="eastAsia"/>
                <w:sz w:val="24"/>
              </w:rPr>
              <w:t>资质</w:t>
            </w:r>
            <w:r>
              <w:rPr>
                <w:rFonts w:hint="eastAsia"/>
                <w:sz w:val="24"/>
                <w:lang w:eastAsia="zh-CN"/>
              </w:rPr>
              <w:t>文件</w:t>
            </w:r>
          </w:p>
        </w:tc>
        <w:tc>
          <w:tcPr>
            <w:tcW w:w="1843" w:type="dxa"/>
          </w:tcPr>
          <w:p w14:paraId="71F6B5C0">
            <w:pPr>
              <w:spacing w:line="500" w:lineRule="exact"/>
              <w:jc w:val="center"/>
              <w:rPr>
                <w:sz w:val="24"/>
              </w:rPr>
            </w:pPr>
          </w:p>
        </w:tc>
      </w:tr>
      <w:tr w14:paraId="465C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EE734F0">
            <w:pPr>
              <w:spacing w:line="500" w:lineRule="exact"/>
              <w:jc w:val="center"/>
              <w:rPr>
                <w:rFonts w:hint="eastAsia"/>
                <w:sz w:val="24"/>
                <w:lang w:val="en-US" w:eastAsia="zh-CN"/>
              </w:rPr>
            </w:pPr>
            <w:r>
              <w:rPr>
                <w:rFonts w:hint="eastAsia"/>
                <w:sz w:val="24"/>
                <w:lang w:val="en-US" w:eastAsia="zh-CN"/>
              </w:rPr>
              <w:t>8</w:t>
            </w:r>
          </w:p>
        </w:tc>
        <w:tc>
          <w:tcPr>
            <w:tcW w:w="6023" w:type="dxa"/>
          </w:tcPr>
          <w:p w14:paraId="16E6AB5D">
            <w:pPr>
              <w:spacing w:line="500" w:lineRule="exact"/>
              <w:rPr>
                <w:rFonts w:hint="default"/>
                <w:sz w:val="24"/>
                <w:lang w:val="en-US" w:eastAsia="zh-CN"/>
              </w:rPr>
            </w:pPr>
            <w:r>
              <w:rPr>
                <w:rFonts w:hint="eastAsia"/>
                <w:sz w:val="24"/>
                <w:lang w:val="en-US" w:eastAsia="zh-CN"/>
              </w:rPr>
              <w:t>业绩清单及证明文件</w:t>
            </w:r>
          </w:p>
        </w:tc>
        <w:tc>
          <w:tcPr>
            <w:tcW w:w="1843" w:type="dxa"/>
          </w:tcPr>
          <w:p w14:paraId="2A48CFE6">
            <w:pPr>
              <w:spacing w:line="500" w:lineRule="exact"/>
              <w:rPr>
                <w:rFonts w:hint="eastAsia"/>
                <w:sz w:val="24"/>
                <w:lang w:val="en-US" w:eastAsia="zh-CN"/>
              </w:rPr>
            </w:pPr>
          </w:p>
        </w:tc>
      </w:tr>
      <w:tr w14:paraId="62B7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FF38D4D">
            <w:pPr>
              <w:spacing w:line="500" w:lineRule="exact"/>
              <w:jc w:val="center"/>
              <w:rPr>
                <w:rFonts w:hint="default"/>
                <w:sz w:val="24"/>
                <w:lang w:val="en-US" w:eastAsia="zh-CN"/>
              </w:rPr>
            </w:pPr>
            <w:r>
              <w:rPr>
                <w:rFonts w:hint="eastAsia"/>
                <w:sz w:val="24"/>
                <w:lang w:val="en-US" w:eastAsia="zh-CN"/>
              </w:rPr>
              <w:t>9</w:t>
            </w:r>
          </w:p>
        </w:tc>
        <w:tc>
          <w:tcPr>
            <w:tcW w:w="6023" w:type="dxa"/>
          </w:tcPr>
          <w:p w14:paraId="436FE574">
            <w:pPr>
              <w:spacing w:line="500" w:lineRule="exact"/>
              <w:rPr>
                <w:rFonts w:hint="eastAsia"/>
                <w:sz w:val="24"/>
                <w:lang w:val="en-US" w:eastAsia="zh-CN"/>
              </w:rPr>
            </w:pPr>
            <w:r>
              <w:rPr>
                <w:rFonts w:hint="eastAsia"/>
                <w:sz w:val="24"/>
                <w:lang w:val="en-US" w:eastAsia="zh-CN"/>
              </w:rPr>
              <w:t>施工方案</w:t>
            </w:r>
          </w:p>
        </w:tc>
        <w:tc>
          <w:tcPr>
            <w:tcW w:w="1843" w:type="dxa"/>
          </w:tcPr>
          <w:p w14:paraId="6875CE43">
            <w:pPr>
              <w:spacing w:line="500" w:lineRule="exact"/>
              <w:rPr>
                <w:rFonts w:hint="default"/>
                <w:sz w:val="24"/>
                <w:lang w:val="en-US" w:eastAsia="zh-CN"/>
              </w:rPr>
            </w:pPr>
          </w:p>
        </w:tc>
      </w:tr>
      <w:tr w14:paraId="332F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8F134B">
            <w:pPr>
              <w:spacing w:line="500" w:lineRule="exact"/>
              <w:jc w:val="center"/>
              <w:rPr>
                <w:rFonts w:hint="default"/>
                <w:sz w:val="24"/>
                <w:lang w:val="en-US" w:eastAsia="zh-CN"/>
              </w:rPr>
            </w:pPr>
            <w:r>
              <w:rPr>
                <w:rFonts w:hint="eastAsia"/>
                <w:sz w:val="24"/>
                <w:lang w:val="en-US" w:eastAsia="zh-CN"/>
              </w:rPr>
              <w:t>10</w:t>
            </w:r>
          </w:p>
        </w:tc>
        <w:tc>
          <w:tcPr>
            <w:tcW w:w="6023" w:type="dxa"/>
          </w:tcPr>
          <w:p w14:paraId="53274D94">
            <w:pPr>
              <w:spacing w:line="500" w:lineRule="exact"/>
              <w:rPr>
                <w:rFonts w:hint="default"/>
                <w:sz w:val="24"/>
                <w:lang w:val="en-US" w:eastAsia="zh-CN"/>
              </w:rPr>
            </w:pPr>
            <w:r>
              <w:rPr>
                <w:rFonts w:hint="eastAsia"/>
                <w:sz w:val="24"/>
                <w:lang w:val="en-US" w:eastAsia="zh-CN"/>
              </w:rPr>
              <w:t>技术评分细项其他关注内容</w:t>
            </w:r>
          </w:p>
        </w:tc>
        <w:tc>
          <w:tcPr>
            <w:tcW w:w="1843" w:type="dxa"/>
          </w:tcPr>
          <w:p w14:paraId="62A3A065">
            <w:pPr>
              <w:spacing w:line="500" w:lineRule="exact"/>
              <w:rPr>
                <w:rFonts w:hint="eastAsia"/>
                <w:sz w:val="24"/>
                <w:lang w:val="en-US" w:eastAsia="zh-CN"/>
              </w:rPr>
            </w:pPr>
          </w:p>
        </w:tc>
      </w:tr>
      <w:tr w14:paraId="769E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56CD294">
            <w:pPr>
              <w:spacing w:line="500" w:lineRule="exact"/>
              <w:jc w:val="center"/>
              <w:rPr>
                <w:rFonts w:hint="default"/>
                <w:sz w:val="24"/>
                <w:lang w:val="en-US" w:eastAsia="zh-CN"/>
              </w:rPr>
            </w:pPr>
            <w:r>
              <w:rPr>
                <w:rFonts w:hint="eastAsia"/>
                <w:sz w:val="24"/>
                <w:lang w:val="en-US" w:eastAsia="zh-CN"/>
              </w:rPr>
              <w:t>11</w:t>
            </w:r>
          </w:p>
        </w:tc>
        <w:tc>
          <w:tcPr>
            <w:tcW w:w="6023" w:type="dxa"/>
          </w:tcPr>
          <w:p w14:paraId="1AD763D1">
            <w:pPr>
              <w:spacing w:line="500" w:lineRule="exact"/>
              <w:rPr>
                <w:rFonts w:hint="eastAsia"/>
                <w:sz w:val="24"/>
                <w:lang w:val="en-US" w:eastAsia="zh-CN"/>
              </w:rPr>
            </w:pPr>
            <w:r>
              <w:rPr>
                <w:rFonts w:hint="eastAsia"/>
                <w:sz w:val="24"/>
                <w:lang w:val="en-US" w:eastAsia="zh-CN"/>
              </w:rPr>
              <w:t>商务报价单</w:t>
            </w:r>
          </w:p>
        </w:tc>
        <w:tc>
          <w:tcPr>
            <w:tcW w:w="1843" w:type="dxa"/>
          </w:tcPr>
          <w:p w14:paraId="541CF98E">
            <w:pPr>
              <w:spacing w:line="500" w:lineRule="exact"/>
              <w:rPr>
                <w:rFonts w:hint="default"/>
                <w:sz w:val="24"/>
                <w:lang w:val="en-US" w:eastAsia="zh-CN"/>
              </w:rPr>
            </w:pPr>
            <w:r>
              <w:rPr>
                <w:rFonts w:hint="eastAsia"/>
                <w:sz w:val="24"/>
                <w:lang w:val="en-US" w:eastAsia="zh-CN"/>
              </w:rPr>
              <w:t>商务参选文件</w:t>
            </w:r>
          </w:p>
        </w:tc>
      </w:tr>
    </w:tbl>
    <w:p w14:paraId="3C540CE6">
      <w:pPr>
        <w:spacing w:line="500" w:lineRule="exact"/>
        <w:jc w:val="center"/>
        <w:rPr>
          <w:b/>
          <w:bCs/>
          <w:sz w:val="24"/>
        </w:rPr>
      </w:pPr>
    </w:p>
    <w:p w14:paraId="12E3C699">
      <w:pPr>
        <w:pStyle w:val="59"/>
        <w:rPr>
          <w:b/>
          <w:bCs/>
          <w:sz w:val="36"/>
          <w:szCs w:val="36"/>
        </w:rPr>
      </w:pPr>
    </w:p>
    <w:p w14:paraId="47469ECB">
      <w:pPr>
        <w:pStyle w:val="59"/>
        <w:rPr>
          <w:b/>
          <w:bCs/>
          <w:sz w:val="36"/>
          <w:szCs w:val="36"/>
        </w:rPr>
      </w:pPr>
    </w:p>
    <w:p w14:paraId="7B46A8F6">
      <w:pPr>
        <w:pStyle w:val="59"/>
        <w:rPr>
          <w:b/>
          <w:bCs/>
          <w:sz w:val="36"/>
          <w:szCs w:val="36"/>
        </w:rPr>
      </w:pPr>
    </w:p>
    <w:p w14:paraId="60CCCFB0">
      <w:pPr>
        <w:spacing w:line="500" w:lineRule="exact"/>
        <w:rPr>
          <w:b/>
          <w:bCs/>
          <w:sz w:val="36"/>
          <w:szCs w:val="36"/>
          <w:lang w:eastAsia="zh-CN"/>
        </w:rPr>
      </w:pPr>
    </w:p>
    <w:p w14:paraId="2C48898D">
      <w:pPr>
        <w:pStyle w:val="59"/>
        <w:rPr>
          <w:b/>
          <w:bCs/>
          <w:sz w:val="36"/>
          <w:szCs w:val="36"/>
        </w:rPr>
      </w:pPr>
    </w:p>
    <w:p w14:paraId="75D1AE4D">
      <w:pPr>
        <w:pStyle w:val="59"/>
        <w:rPr>
          <w:b/>
          <w:bCs/>
          <w:sz w:val="36"/>
          <w:szCs w:val="36"/>
        </w:rPr>
      </w:pPr>
    </w:p>
    <w:p w14:paraId="0818B623">
      <w:pPr>
        <w:pStyle w:val="59"/>
      </w:pPr>
    </w:p>
    <w:p w14:paraId="3710216D">
      <w:pPr>
        <w:pStyle w:val="59"/>
      </w:pPr>
    </w:p>
    <w:p w14:paraId="00DF1BBB">
      <w:pPr>
        <w:pStyle w:val="59"/>
      </w:pPr>
    </w:p>
    <w:p w14:paraId="7F084D50">
      <w:pPr>
        <w:pStyle w:val="59"/>
      </w:pPr>
    </w:p>
    <w:p w14:paraId="3E9413F2">
      <w:pPr>
        <w:pStyle w:val="59"/>
      </w:pPr>
    </w:p>
    <w:p w14:paraId="0A379334">
      <w:pPr>
        <w:spacing w:line="500" w:lineRule="exact"/>
        <w:jc w:val="center"/>
        <w:rPr>
          <w:b/>
          <w:bCs/>
          <w:sz w:val="36"/>
          <w:szCs w:val="36"/>
          <w:lang w:eastAsia="zh-CN"/>
        </w:rPr>
      </w:pPr>
      <w:r>
        <w:rPr>
          <w:rFonts w:hint="eastAsia"/>
          <w:b/>
          <w:bCs/>
          <w:sz w:val="36"/>
          <w:szCs w:val="36"/>
          <w:lang w:eastAsia="zh-CN"/>
        </w:rPr>
        <w:t>参比书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59"/>
      </w:pPr>
    </w:p>
    <w:p w14:paraId="2D9283E2">
      <w:pPr>
        <w:pStyle w:val="59"/>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59"/>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59"/>
        <w:jc w:val="center"/>
      </w:pPr>
    </w:p>
    <w:p w14:paraId="39BC4322">
      <w:pPr>
        <w:pStyle w:val="59"/>
        <w:jc w:val="center"/>
      </w:pPr>
    </w:p>
    <w:p w14:paraId="066842E7">
      <w:pPr>
        <w:pStyle w:val="59"/>
        <w:jc w:val="center"/>
      </w:pPr>
    </w:p>
    <w:p w14:paraId="68DB3955">
      <w:pPr>
        <w:pStyle w:val="59"/>
        <w:jc w:val="center"/>
      </w:pPr>
    </w:p>
    <w:p w14:paraId="3D337288">
      <w:pPr>
        <w:pStyle w:val="59"/>
        <w:jc w:val="cente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59"/>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芳烃装置优化节能改造项目工业管道及设备化学清洗服务工程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5</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59"/>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59"/>
      </w:pPr>
    </w:p>
    <w:p w14:paraId="4A7A6043">
      <w:pPr>
        <w:pStyle w:val="59"/>
      </w:pPr>
    </w:p>
    <w:p w14:paraId="53CBD1E4">
      <w:pPr>
        <w:pStyle w:val="59"/>
      </w:pPr>
    </w:p>
    <w:p w14:paraId="4D3FF2B7">
      <w:pPr>
        <w:pStyle w:val="59"/>
      </w:pPr>
    </w:p>
    <w:p w14:paraId="294F3CFC">
      <w:pPr>
        <w:pStyle w:val="59"/>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59"/>
        <w:jc w:val="center"/>
        <w:rPr>
          <w:color w:val="4E6127"/>
        </w:rPr>
      </w:pPr>
    </w:p>
    <w:p w14:paraId="2F57EEC8">
      <w:pPr>
        <w:pStyle w:val="59"/>
        <w:jc w:val="center"/>
      </w:pPr>
    </w:p>
    <w:p w14:paraId="5B702F78">
      <w:pPr>
        <w:pStyle w:val="59"/>
        <w:jc w:val="center"/>
      </w:pPr>
    </w:p>
    <w:p w14:paraId="79D9ED00">
      <w:pPr>
        <w:pStyle w:val="59"/>
        <w:jc w:val="center"/>
      </w:pPr>
    </w:p>
    <w:p w14:paraId="3866141C">
      <w:pPr>
        <w:pStyle w:val="59"/>
        <w:jc w:val="center"/>
      </w:pPr>
    </w:p>
    <w:p w14:paraId="3F1E3A6F">
      <w:pPr>
        <w:pStyle w:val="59"/>
        <w:jc w:val="center"/>
      </w:pPr>
    </w:p>
    <w:p w14:paraId="214AE873">
      <w:pPr>
        <w:spacing w:line="500" w:lineRule="exact"/>
        <w:jc w:val="center"/>
        <w:rPr>
          <w:rFonts w:hint="eastAsia" w:ascii="Times New Roman" w:hAnsi="Times New Roman" w:cs="Times New Roman"/>
          <w:b/>
          <w:bCs/>
          <w:sz w:val="36"/>
          <w:szCs w:val="36"/>
          <w:lang w:eastAsia="zh-CN"/>
        </w:rPr>
      </w:pPr>
    </w:p>
    <w:p w14:paraId="0498ABEB">
      <w:pPr>
        <w:spacing w:line="500" w:lineRule="exact"/>
        <w:jc w:val="center"/>
        <w:rPr>
          <w:rFonts w:hint="eastAsia" w:ascii="Times New Roman" w:hAnsi="Times New Roman" w:cs="Times New Roman"/>
          <w:b/>
          <w:bCs/>
          <w:sz w:val="36"/>
          <w:szCs w:val="36"/>
          <w:lang w:eastAsia="zh-CN"/>
        </w:rP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59"/>
        <w:rPr>
          <w:b/>
          <w:bCs/>
          <w:color w:val="4E6127"/>
          <w:sz w:val="36"/>
          <w:szCs w:val="36"/>
        </w:rPr>
      </w:pPr>
    </w:p>
    <w:p w14:paraId="79261888">
      <w:pPr>
        <w:pStyle w:val="59"/>
        <w:rPr>
          <w:b/>
          <w:bCs/>
          <w:color w:val="4E6127"/>
          <w:sz w:val="36"/>
          <w:szCs w:val="36"/>
        </w:rPr>
      </w:pPr>
    </w:p>
    <w:p w14:paraId="4588254C">
      <w:pPr>
        <w:pStyle w:val="59"/>
        <w:rPr>
          <w:b/>
          <w:bCs/>
          <w:color w:val="4E6127"/>
          <w:sz w:val="36"/>
          <w:szCs w:val="36"/>
        </w:rPr>
      </w:pPr>
    </w:p>
    <w:p w14:paraId="130BB33F">
      <w:pPr>
        <w:pStyle w:val="59"/>
        <w:rPr>
          <w:b/>
          <w:bCs/>
          <w:color w:val="4E6127"/>
          <w:sz w:val="36"/>
          <w:szCs w:val="36"/>
        </w:rPr>
      </w:pPr>
    </w:p>
    <w:p w14:paraId="42E83B2C">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59"/>
        <w:rPr>
          <w:b/>
          <w:bCs/>
          <w:sz w:val="36"/>
          <w:szCs w:val="36"/>
        </w:rPr>
      </w:pPr>
    </w:p>
    <w:p w14:paraId="23C989C7">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59"/>
        <w:jc w:val="center"/>
        <w:rPr>
          <w:color w:val="FF0000"/>
        </w:rPr>
      </w:pPr>
    </w:p>
    <w:p w14:paraId="71BD34CF">
      <w:pPr>
        <w:pStyle w:val="59"/>
        <w:jc w:val="center"/>
      </w:pPr>
    </w:p>
    <w:p w14:paraId="029FD09B">
      <w:pPr>
        <w:pStyle w:val="59"/>
        <w:jc w:val="center"/>
      </w:pPr>
    </w:p>
    <w:p w14:paraId="481270E6">
      <w:pPr>
        <w:pStyle w:val="59"/>
        <w:jc w:val="center"/>
      </w:pPr>
    </w:p>
    <w:p w14:paraId="0681EFF1">
      <w:pPr>
        <w:pStyle w:val="59"/>
        <w:jc w:val="center"/>
      </w:pPr>
    </w:p>
    <w:p w14:paraId="41DEA680">
      <w:pPr>
        <w:pStyle w:val="59"/>
        <w:jc w:val="center"/>
      </w:pPr>
    </w:p>
    <w:p w14:paraId="15A64DF3">
      <w:pPr>
        <w:pStyle w:val="59"/>
        <w:jc w:val="center"/>
      </w:pPr>
    </w:p>
    <w:p w14:paraId="280927C3">
      <w:pPr>
        <w:pStyle w:val="59"/>
        <w:jc w:val="center"/>
      </w:pPr>
    </w:p>
    <w:p w14:paraId="02473E6F">
      <w:pPr>
        <w:pStyle w:val="59"/>
        <w:jc w:val="center"/>
      </w:pPr>
    </w:p>
    <w:p w14:paraId="0232CC98">
      <w:pPr>
        <w:pStyle w:val="59"/>
        <w:jc w:val="center"/>
      </w:pPr>
    </w:p>
    <w:p w14:paraId="71DF9366">
      <w:pPr>
        <w:pStyle w:val="59"/>
        <w:jc w:val="center"/>
      </w:pPr>
    </w:p>
    <w:p w14:paraId="29269907">
      <w:pPr>
        <w:pStyle w:val="59"/>
        <w:jc w:val="center"/>
      </w:pPr>
    </w:p>
    <w:p w14:paraId="48C95FCF">
      <w:pPr>
        <w:pStyle w:val="59"/>
        <w:jc w:val="center"/>
      </w:pPr>
    </w:p>
    <w:p w14:paraId="706D5FDD">
      <w:pPr>
        <w:pStyle w:val="59"/>
        <w:jc w:val="center"/>
      </w:pPr>
    </w:p>
    <w:p w14:paraId="2F038F0E">
      <w:pPr>
        <w:pStyle w:val="59"/>
        <w:jc w:val="center"/>
      </w:pPr>
    </w:p>
    <w:p w14:paraId="3693E9F9">
      <w:pPr>
        <w:pStyle w:val="59"/>
        <w:jc w:val="center"/>
      </w:pPr>
    </w:p>
    <w:p w14:paraId="6383BFC9">
      <w:pPr>
        <w:pStyle w:val="59"/>
        <w:jc w:val="center"/>
      </w:pPr>
    </w:p>
    <w:p w14:paraId="5061630D">
      <w:pPr>
        <w:pStyle w:val="59"/>
        <w:jc w:val="center"/>
      </w:pPr>
    </w:p>
    <w:p w14:paraId="4321CC2E">
      <w:pPr>
        <w:pStyle w:val="59"/>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59"/>
        <w:jc w:val="center"/>
      </w:pPr>
    </w:p>
    <w:p w14:paraId="0B9A4F61">
      <w:pPr>
        <w:pStyle w:val="59"/>
        <w:jc w:val="center"/>
      </w:pPr>
    </w:p>
    <w:p w14:paraId="39E3EE84">
      <w:pPr>
        <w:pStyle w:val="59"/>
        <w:jc w:val="center"/>
      </w:pPr>
    </w:p>
    <w:p w14:paraId="78421338">
      <w:pPr>
        <w:pStyle w:val="59"/>
        <w:jc w:val="center"/>
      </w:pPr>
    </w:p>
    <w:p w14:paraId="19E8404F">
      <w:pPr>
        <w:pStyle w:val="59"/>
        <w:jc w:val="center"/>
      </w:pPr>
    </w:p>
    <w:p w14:paraId="7DF7DF00">
      <w:pPr>
        <w:pStyle w:val="59"/>
        <w:jc w:val="center"/>
      </w:pPr>
    </w:p>
    <w:p w14:paraId="29330E12">
      <w:pPr>
        <w:pStyle w:val="59"/>
        <w:jc w:val="center"/>
      </w:pPr>
    </w:p>
    <w:p w14:paraId="26AF80D0">
      <w:pPr>
        <w:pStyle w:val="59"/>
        <w:jc w:val="center"/>
      </w:pPr>
    </w:p>
    <w:p w14:paraId="35ED6ED9">
      <w:pPr>
        <w:pStyle w:val="59"/>
        <w:jc w:val="center"/>
      </w:pPr>
    </w:p>
    <w:p w14:paraId="70C25904">
      <w:pPr>
        <w:pStyle w:val="59"/>
        <w:jc w:val="center"/>
      </w:pPr>
    </w:p>
    <w:p w14:paraId="6ADDD4A7">
      <w:pPr>
        <w:pStyle w:val="59"/>
        <w:jc w:val="center"/>
      </w:pPr>
    </w:p>
    <w:p w14:paraId="5B340194">
      <w:pPr>
        <w:pStyle w:val="59"/>
        <w:jc w:val="center"/>
      </w:pPr>
    </w:p>
    <w:p w14:paraId="752D6ECB">
      <w:pPr>
        <w:pStyle w:val="59"/>
        <w:jc w:val="center"/>
      </w:pPr>
    </w:p>
    <w:p w14:paraId="6B004E64">
      <w:pPr>
        <w:pStyle w:val="59"/>
        <w:jc w:val="center"/>
      </w:pPr>
    </w:p>
    <w:p w14:paraId="05CC3ADB">
      <w:pPr>
        <w:pStyle w:val="59"/>
        <w:jc w:val="center"/>
      </w:pPr>
    </w:p>
    <w:p w14:paraId="06FAA606">
      <w:pPr>
        <w:pStyle w:val="59"/>
        <w:jc w:val="center"/>
      </w:pPr>
    </w:p>
    <w:p w14:paraId="58BFEC13">
      <w:pPr>
        <w:pStyle w:val="59"/>
        <w:jc w:val="center"/>
      </w:pPr>
    </w:p>
    <w:p w14:paraId="55D08212">
      <w:pPr>
        <w:pStyle w:val="59"/>
        <w:jc w:val="center"/>
      </w:pPr>
    </w:p>
    <w:p w14:paraId="3B1ADF54">
      <w:pPr>
        <w:pStyle w:val="59"/>
        <w:jc w:val="center"/>
      </w:pPr>
    </w:p>
    <w:p w14:paraId="10F67DD9">
      <w:pPr>
        <w:pStyle w:val="59"/>
      </w:pPr>
    </w:p>
    <w:p w14:paraId="199023FB">
      <w:pPr>
        <w:pStyle w:val="59"/>
      </w:pPr>
    </w:p>
    <w:p w14:paraId="5B46A9A0">
      <w:pPr>
        <w:pStyle w:val="59"/>
        <w:jc w:val="center"/>
        <w:rPr>
          <w:rFonts w:ascii="Times New Roman" w:hAnsi="Times New Roman"/>
          <w:b/>
          <w:bCs/>
          <w:kern w:val="2"/>
          <w:sz w:val="36"/>
          <w:szCs w:val="36"/>
        </w:rPr>
      </w:pPr>
    </w:p>
    <w:p w14:paraId="3FD0CE97">
      <w:pPr>
        <w:pStyle w:val="59"/>
        <w:jc w:val="center"/>
        <w:rPr>
          <w:rFonts w:ascii="Times New Roman" w:hAnsi="Times New Roman"/>
          <w:b/>
          <w:bCs/>
          <w:kern w:val="2"/>
          <w:sz w:val="36"/>
          <w:szCs w:val="36"/>
        </w:rPr>
      </w:pPr>
      <w:r>
        <w:rPr>
          <w:rFonts w:hint="eastAsia" w:ascii="Times New Roman" w:hAnsi="Times New Roman"/>
          <w:b/>
          <w:bCs/>
          <w:kern w:val="2"/>
          <w:sz w:val="36"/>
          <w:szCs w:val="36"/>
        </w:rPr>
        <w:t>资质文件</w:t>
      </w:r>
    </w:p>
    <w:p w14:paraId="48923C77">
      <w:pPr>
        <w:pStyle w:val="59"/>
        <w:tabs>
          <w:tab w:val="left" w:pos="4944"/>
        </w:tabs>
        <w:jc w:val="left"/>
        <w:rPr>
          <w:color w:val="4E6127"/>
        </w:rPr>
      </w:pPr>
    </w:p>
    <w:p w14:paraId="2D267141">
      <w:pPr>
        <w:pStyle w:val="59"/>
        <w:tabs>
          <w:tab w:val="left" w:pos="4944"/>
        </w:tabs>
        <w:jc w:val="left"/>
        <w:rPr>
          <w:color w:val="0000FF"/>
        </w:rPr>
      </w:pPr>
    </w:p>
    <w:p w14:paraId="36D3A427">
      <w:pPr>
        <w:pStyle w:val="59"/>
        <w:tabs>
          <w:tab w:val="left" w:pos="4944"/>
        </w:tabs>
        <w:jc w:val="left"/>
        <w:rPr>
          <w:color w:val="0000FF"/>
        </w:rPr>
      </w:pPr>
    </w:p>
    <w:p w14:paraId="704D4854">
      <w:pPr>
        <w:pStyle w:val="59"/>
        <w:tabs>
          <w:tab w:val="left" w:pos="4944"/>
        </w:tabs>
        <w:jc w:val="left"/>
        <w:rPr>
          <w:color w:val="0000FF"/>
        </w:rPr>
      </w:pPr>
    </w:p>
    <w:p w14:paraId="5FDCA863">
      <w:pPr>
        <w:pStyle w:val="59"/>
        <w:tabs>
          <w:tab w:val="left" w:pos="4944"/>
        </w:tabs>
        <w:jc w:val="left"/>
        <w:rPr>
          <w:color w:val="0000FF"/>
        </w:rPr>
      </w:pPr>
    </w:p>
    <w:p w14:paraId="2F34D122">
      <w:pPr>
        <w:pStyle w:val="59"/>
        <w:tabs>
          <w:tab w:val="left" w:pos="4944"/>
        </w:tabs>
        <w:jc w:val="left"/>
        <w:rPr>
          <w:color w:val="0000FF"/>
        </w:rPr>
      </w:pPr>
    </w:p>
    <w:p w14:paraId="1847BFCC">
      <w:pPr>
        <w:pStyle w:val="59"/>
        <w:tabs>
          <w:tab w:val="left" w:pos="4944"/>
        </w:tabs>
        <w:jc w:val="left"/>
        <w:rPr>
          <w:color w:val="0000FF"/>
        </w:rPr>
      </w:pPr>
    </w:p>
    <w:p w14:paraId="1395C2AA">
      <w:pPr>
        <w:pStyle w:val="59"/>
        <w:tabs>
          <w:tab w:val="left" w:pos="4944"/>
        </w:tabs>
        <w:jc w:val="left"/>
        <w:rPr>
          <w:color w:val="0000FF"/>
        </w:rPr>
      </w:pPr>
    </w:p>
    <w:p w14:paraId="7359A728">
      <w:pPr>
        <w:pStyle w:val="59"/>
        <w:tabs>
          <w:tab w:val="left" w:pos="4944"/>
        </w:tabs>
        <w:jc w:val="left"/>
        <w:rPr>
          <w:color w:val="0000FF"/>
        </w:rPr>
      </w:pPr>
    </w:p>
    <w:p w14:paraId="516E9A99">
      <w:pPr>
        <w:pStyle w:val="59"/>
        <w:tabs>
          <w:tab w:val="left" w:pos="4944"/>
        </w:tabs>
        <w:jc w:val="left"/>
        <w:rPr>
          <w:color w:val="0000FF"/>
        </w:rPr>
      </w:pPr>
    </w:p>
    <w:p w14:paraId="1B2DBD2C">
      <w:pPr>
        <w:pStyle w:val="59"/>
        <w:tabs>
          <w:tab w:val="left" w:pos="4944"/>
        </w:tabs>
        <w:jc w:val="left"/>
        <w:rPr>
          <w:color w:val="0000FF"/>
        </w:rPr>
      </w:pPr>
    </w:p>
    <w:p w14:paraId="44BEEF71">
      <w:pPr>
        <w:pStyle w:val="59"/>
        <w:tabs>
          <w:tab w:val="left" w:pos="4944"/>
        </w:tabs>
        <w:jc w:val="left"/>
        <w:rPr>
          <w:color w:val="0000FF"/>
        </w:rPr>
      </w:pPr>
    </w:p>
    <w:p w14:paraId="6BF48D34">
      <w:pPr>
        <w:pStyle w:val="59"/>
        <w:tabs>
          <w:tab w:val="left" w:pos="4944"/>
        </w:tabs>
        <w:jc w:val="left"/>
        <w:rPr>
          <w:color w:val="0000FF"/>
        </w:rPr>
      </w:pPr>
    </w:p>
    <w:p w14:paraId="1FD9E4DA">
      <w:pPr>
        <w:pStyle w:val="59"/>
        <w:tabs>
          <w:tab w:val="left" w:pos="4944"/>
        </w:tabs>
        <w:jc w:val="left"/>
        <w:rPr>
          <w:color w:val="0000FF"/>
        </w:rPr>
      </w:pPr>
    </w:p>
    <w:p w14:paraId="052D3479">
      <w:pPr>
        <w:pStyle w:val="59"/>
        <w:tabs>
          <w:tab w:val="left" w:pos="4944"/>
        </w:tabs>
        <w:jc w:val="left"/>
        <w:rPr>
          <w:color w:val="0000FF"/>
        </w:rPr>
      </w:pPr>
    </w:p>
    <w:p w14:paraId="3242BF0E">
      <w:pPr>
        <w:pStyle w:val="59"/>
        <w:tabs>
          <w:tab w:val="left" w:pos="4944"/>
        </w:tabs>
        <w:jc w:val="left"/>
        <w:rPr>
          <w:color w:val="0000FF"/>
        </w:rPr>
      </w:pPr>
    </w:p>
    <w:p w14:paraId="45A83F4C">
      <w:pPr>
        <w:pStyle w:val="59"/>
        <w:tabs>
          <w:tab w:val="left" w:pos="4944"/>
        </w:tabs>
        <w:jc w:val="left"/>
        <w:rPr>
          <w:color w:val="0000FF"/>
        </w:rPr>
      </w:pPr>
    </w:p>
    <w:p w14:paraId="62911DD3">
      <w:pPr>
        <w:pStyle w:val="59"/>
        <w:tabs>
          <w:tab w:val="left" w:pos="4944"/>
        </w:tabs>
        <w:jc w:val="left"/>
        <w:rPr>
          <w:color w:val="0000FF"/>
        </w:rPr>
      </w:pPr>
    </w:p>
    <w:p w14:paraId="743211F9">
      <w:pPr>
        <w:pStyle w:val="59"/>
        <w:tabs>
          <w:tab w:val="left" w:pos="4944"/>
        </w:tabs>
        <w:jc w:val="left"/>
        <w:rPr>
          <w:color w:val="0000FF"/>
        </w:rPr>
      </w:pPr>
    </w:p>
    <w:p w14:paraId="3FE873FE">
      <w:pPr>
        <w:pStyle w:val="59"/>
        <w:tabs>
          <w:tab w:val="left" w:pos="4944"/>
        </w:tabs>
        <w:jc w:val="left"/>
        <w:rPr>
          <w:color w:val="0000FF"/>
        </w:rPr>
      </w:pPr>
    </w:p>
    <w:p w14:paraId="53B6BEE6">
      <w:pPr>
        <w:pStyle w:val="59"/>
        <w:jc w:val="center"/>
        <w:rPr>
          <w:rFonts w:ascii="Times New Roman" w:hAnsi="Times New Roman"/>
          <w:b/>
          <w:bCs/>
          <w:kern w:val="2"/>
          <w:sz w:val="36"/>
          <w:szCs w:val="36"/>
        </w:rPr>
      </w:pPr>
    </w:p>
    <w:p w14:paraId="24C65F6A">
      <w:pPr>
        <w:pStyle w:val="59"/>
        <w:jc w:val="center"/>
        <w:rPr>
          <w:rFonts w:ascii="Times New Roman" w:hAnsi="Times New Roman"/>
          <w:b/>
          <w:bCs/>
          <w:kern w:val="2"/>
          <w:sz w:val="36"/>
          <w:szCs w:val="36"/>
        </w:rPr>
      </w:pPr>
    </w:p>
    <w:p w14:paraId="452DE68B">
      <w:pPr>
        <w:pStyle w:val="59"/>
        <w:jc w:val="center"/>
        <w:rPr>
          <w:rFonts w:hint="eastAsia" w:ascii="Times New Roman" w:hAnsi="Times New Roman" w:cs="Times New Roman"/>
          <w:b/>
          <w:bCs/>
          <w:kern w:val="2"/>
          <w:sz w:val="36"/>
          <w:szCs w:val="36"/>
          <w:lang w:val="en-US" w:eastAsia="zh-CN"/>
        </w:rPr>
      </w:pPr>
      <w:r>
        <w:rPr>
          <w:rFonts w:hint="eastAsia" w:ascii="Times New Roman" w:hAnsi="Times New Roman" w:cs="Times New Roman"/>
          <w:b/>
          <w:bCs/>
          <w:kern w:val="2"/>
          <w:sz w:val="36"/>
          <w:szCs w:val="36"/>
          <w:lang w:val="en-US" w:eastAsia="zh-CN"/>
        </w:rPr>
        <w:t>业绩清单及证明文件</w:t>
      </w:r>
    </w:p>
    <w:p w14:paraId="16232A71">
      <w:pPr>
        <w:pStyle w:val="59"/>
        <w:jc w:val="center"/>
        <w:rPr>
          <w:rFonts w:hint="eastAsia" w:ascii="Times New Roman" w:hAnsi="Times New Roman" w:cs="Times New Roman"/>
          <w:b/>
          <w:bCs/>
          <w:kern w:val="2"/>
          <w:sz w:val="36"/>
          <w:szCs w:val="36"/>
          <w:lang w:val="en-US" w:eastAsia="zh-CN"/>
        </w:rPr>
      </w:pPr>
    </w:p>
    <w:p w14:paraId="7156115F">
      <w:pPr>
        <w:pStyle w:val="59"/>
        <w:jc w:val="center"/>
        <w:rPr>
          <w:rFonts w:hint="eastAsia" w:ascii="Times New Roman" w:hAnsi="Times New Roman" w:cs="Times New Roman"/>
          <w:b/>
          <w:bCs/>
          <w:kern w:val="2"/>
          <w:sz w:val="36"/>
          <w:szCs w:val="36"/>
          <w:lang w:val="en-US" w:eastAsia="zh-CN"/>
        </w:rPr>
      </w:pPr>
    </w:p>
    <w:p w14:paraId="35B0C21E">
      <w:pPr>
        <w:pStyle w:val="59"/>
        <w:jc w:val="center"/>
        <w:rPr>
          <w:rFonts w:hint="eastAsia" w:ascii="Times New Roman" w:hAnsi="Times New Roman" w:cs="Times New Roman"/>
          <w:b/>
          <w:bCs/>
          <w:kern w:val="2"/>
          <w:sz w:val="36"/>
          <w:szCs w:val="36"/>
          <w:lang w:val="en-US" w:eastAsia="zh-CN"/>
        </w:rPr>
      </w:pPr>
    </w:p>
    <w:p w14:paraId="0238F06B">
      <w:pPr>
        <w:pStyle w:val="59"/>
        <w:jc w:val="center"/>
        <w:rPr>
          <w:rFonts w:hint="eastAsia" w:ascii="Times New Roman" w:hAnsi="Times New Roman" w:cs="Times New Roman"/>
          <w:b/>
          <w:bCs/>
          <w:kern w:val="2"/>
          <w:sz w:val="36"/>
          <w:szCs w:val="36"/>
          <w:lang w:val="en-US" w:eastAsia="zh-CN"/>
        </w:rPr>
      </w:pPr>
    </w:p>
    <w:p w14:paraId="71BCA46C">
      <w:pPr>
        <w:pStyle w:val="59"/>
        <w:jc w:val="center"/>
        <w:rPr>
          <w:rFonts w:hint="eastAsia" w:ascii="Times New Roman" w:hAnsi="Times New Roman" w:cs="Times New Roman"/>
          <w:b/>
          <w:bCs/>
          <w:kern w:val="2"/>
          <w:sz w:val="36"/>
          <w:szCs w:val="36"/>
          <w:lang w:val="en-US" w:eastAsia="zh-CN"/>
        </w:rPr>
      </w:pPr>
    </w:p>
    <w:p w14:paraId="7EBA12F4">
      <w:pPr>
        <w:pStyle w:val="59"/>
        <w:jc w:val="center"/>
        <w:rPr>
          <w:rFonts w:hint="eastAsia" w:ascii="Times New Roman" w:hAnsi="Times New Roman" w:cs="Times New Roman"/>
          <w:b/>
          <w:bCs/>
          <w:kern w:val="2"/>
          <w:sz w:val="36"/>
          <w:szCs w:val="36"/>
          <w:lang w:val="en-US" w:eastAsia="zh-CN"/>
        </w:rPr>
      </w:pPr>
    </w:p>
    <w:p w14:paraId="701011FC">
      <w:pPr>
        <w:pStyle w:val="59"/>
        <w:jc w:val="center"/>
        <w:rPr>
          <w:rFonts w:hint="eastAsia" w:ascii="Times New Roman" w:hAnsi="Times New Roman" w:cs="Times New Roman"/>
          <w:b/>
          <w:bCs/>
          <w:kern w:val="2"/>
          <w:sz w:val="36"/>
          <w:szCs w:val="36"/>
          <w:lang w:val="en-US" w:eastAsia="zh-CN"/>
        </w:rPr>
      </w:pPr>
    </w:p>
    <w:p w14:paraId="55F86B5D">
      <w:pPr>
        <w:pStyle w:val="59"/>
        <w:jc w:val="center"/>
        <w:rPr>
          <w:rFonts w:hint="eastAsia" w:ascii="Times New Roman" w:hAnsi="Times New Roman" w:cs="Times New Roman"/>
          <w:b/>
          <w:bCs/>
          <w:kern w:val="2"/>
          <w:sz w:val="36"/>
          <w:szCs w:val="36"/>
          <w:lang w:val="en-US" w:eastAsia="zh-CN"/>
        </w:rPr>
      </w:pPr>
    </w:p>
    <w:p w14:paraId="7DC3A531">
      <w:pPr>
        <w:pStyle w:val="59"/>
        <w:jc w:val="center"/>
        <w:rPr>
          <w:rFonts w:hint="eastAsia" w:ascii="Times New Roman" w:hAnsi="Times New Roman" w:cs="Times New Roman"/>
          <w:b/>
          <w:bCs/>
          <w:kern w:val="2"/>
          <w:sz w:val="36"/>
          <w:szCs w:val="36"/>
          <w:lang w:val="en-US" w:eastAsia="zh-CN"/>
        </w:rPr>
      </w:pPr>
    </w:p>
    <w:p w14:paraId="7D7BA520">
      <w:pPr>
        <w:pStyle w:val="59"/>
        <w:jc w:val="center"/>
        <w:rPr>
          <w:rFonts w:hint="eastAsia" w:ascii="Times New Roman" w:hAnsi="Times New Roman" w:cs="Times New Roman"/>
          <w:b/>
          <w:bCs/>
          <w:kern w:val="2"/>
          <w:sz w:val="36"/>
          <w:szCs w:val="36"/>
          <w:lang w:val="en-US" w:eastAsia="zh-CN"/>
        </w:rPr>
      </w:pPr>
    </w:p>
    <w:p w14:paraId="3CEDFB12">
      <w:pPr>
        <w:pStyle w:val="59"/>
        <w:jc w:val="center"/>
        <w:rPr>
          <w:rFonts w:hint="eastAsia" w:ascii="Times New Roman" w:hAnsi="Times New Roman" w:cs="Times New Roman"/>
          <w:b/>
          <w:bCs/>
          <w:kern w:val="2"/>
          <w:sz w:val="36"/>
          <w:szCs w:val="36"/>
          <w:lang w:val="en-US" w:eastAsia="zh-CN"/>
        </w:rPr>
      </w:pPr>
    </w:p>
    <w:p w14:paraId="0416EB57">
      <w:pPr>
        <w:pStyle w:val="59"/>
        <w:jc w:val="center"/>
        <w:rPr>
          <w:rFonts w:hint="eastAsia" w:ascii="Times New Roman" w:hAnsi="Times New Roman" w:cs="Times New Roman"/>
          <w:b/>
          <w:bCs/>
          <w:kern w:val="2"/>
          <w:sz w:val="36"/>
          <w:szCs w:val="36"/>
          <w:lang w:val="en-US" w:eastAsia="zh-CN"/>
        </w:rPr>
      </w:pPr>
    </w:p>
    <w:p w14:paraId="0F5D5978">
      <w:pPr>
        <w:pStyle w:val="59"/>
        <w:jc w:val="center"/>
        <w:rPr>
          <w:rFonts w:hint="eastAsia" w:ascii="Times New Roman" w:hAnsi="Times New Roman" w:cs="Times New Roman"/>
          <w:b/>
          <w:bCs/>
          <w:kern w:val="2"/>
          <w:sz w:val="36"/>
          <w:szCs w:val="36"/>
          <w:lang w:val="en-US" w:eastAsia="zh-CN"/>
        </w:rPr>
      </w:pPr>
    </w:p>
    <w:p w14:paraId="28DECFE4">
      <w:pPr>
        <w:pStyle w:val="59"/>
        <w:jc w:val="center"/>
        <w:rPr>
          <w:rFonts w:hint="eastAsia" w:ascii="Times New Roman" w:hAnsi="Times New Roman" w:cs="Times New Roman"/>
          <w:b/>
          <w:bCs/>
          <w:kern w:val="2"/>
          <w:sz w:val="36"/>
          <w:szCs w:val="36"/>
          <w:lang w:val="en-US" w:eastAsia="zh-CN"/>
        </w:rPr>
      </w:pPr>
    </w:p>
    <w:p w14:paraId="6B6317B6">
      <w:pPr>
        <w:pStyle w:val="59"/>
        <w:jc w:val="center"/>
        <w:rPr>
          <w:rFonts w:hint="eastAsia" w:ascii="Times New Roman" w:hAnsi="Times New Roman" w:cs="Times New Roman"/>
          <w:b/>
          <w:bCs/>
          <w:kern w:val="2"/>
          <w:sz w:val="36"/>
          <w:szCs w:val="36"/>
          <w:lang w:val="en-US" w:eastAsia="zh-CN"/>
        </w:rPr>
      </w:pPr>
    </w:p>
    <w:p w14:paraId="48E63F47">
      <w:pPr>
        <w:pStyle w:val="59"/>
        <w:jc w:val="center"/>
        <w:rPr>
          <w:rFonts w:hint="eastAsia" w:ascii="Times New Roman" w:hAnsi="Times New Roman" w:cs="Times New Roman"/>
          <w:b/>
          <w:bCs/>
          <w:kern w:val="2"/>
          <w:sz w:val="36"/>
          <w:szCs w:val="36"/>
          <w:lang w:val="en-US" w:eastAsia="zh-CN"/>
        </w:rPr>
      </w:pPr>
    </w:p>
    <w:p w14:paraId="73525F61">
      <w:pPr>
        <w:pStyle w:val="59"/>
        <w:jc w:val="center"/>
        <w:rPr>
          <w:rFonts w:hint="eastAsia" w:ascii="Times New Roman" w:hAnsi="Times New Roman" w:cs="Times New Roman"/>
          <w:b/>
          <w:bCs/>
          <w:kern w:val="2"/>
          <w:sz w:val="36"/>
          <w:szCs w:val="36"/>
          <w:lang w:val="en-US" w:eastAsia="zh-CN"/>
        </w:rPr>
      </w:pPr>
    </w:p>
    <w:p w14:paraId="32489EEF">
      <w:pPr>
        <w:pStyle w:val="59"/>
        <w:jc w:val="center"/>
        <w:rPr>
          <w:rFonts w:hint="eastAsia" w:ascii="Times New Roman" w:hAnsi="Times New Roman" w:cs="Times New Roman"/>
          <w:b/>
          <w:bCs/>
          <w:kern w:val="2"/>
          <w:sz w:val="36"/>
          <w:szCs w:val="36"/>
          <w:lang w:val="en-US" w:eastAsia="zh-CN"/>
        </w:rPr>
      </w:pPr>
    </w:p>
    <w:p w14:paraId="33CE6247">
      <w:pPr>
        <w:pStyle w:val="59"/>
        <w:jc w:val="center"/>
        <w:rPr>
          <w:rFonts w:hint="eastAsia" w:ascii="Times New Roman" w:hAnsi="Times New Roman" w:cs="Times New Roman"/>
          <w:b/>
          <w:bCs/>
          <w:kern w:val="2"/>
          <w:sz w:val="36"/>
          <w:szCs w:val="36"/>
          <w:lang w:val="en-US" w:eastAsia="zh-CN"/>
        </w:rPr>
      </w:pPr>
    </w:p>
    <w:p w14:paraId="2592B7A2">
      <w:pPr>
        <w:pStyle w:val="59"/>
        <w:jc w:val="center"/>
        <w:rPr>
          <w:rFonts w:hint="eastAsia" w:ascii="Times New Roman" w:hAnsi="Times New Roman" w:cs="Times New Roman"/>
          <w:b/>
          <w:bCs/>
          <w:kern w:val="2"/>
          <w:sz w:val="36"/>
          <w:szCs w:val="36"/>
          <w:lang w:val="en-US" w:eastAsia="zh-CN"/>
        </w:rPr>
      </w:pPr>
    </w:p>
    <w:p w14:paraId="488BF2A6">
      <w:pPr>
        <w:pStyle w:val="59"/>
        <w:jc w:val="center"/>
        <w:rPr>
          <w:rFonts w:hint="eastAsia" w:ascii="Times New Roman" w:hAnsi="Times New Roman" w:cs="Times New Roman"/>
          <w:b/>
          <w:bCs/>
          <w:kern w:val="2"/>
          <w:sz w:val="36"/>
          <w:szCs w:val="36"/>
          <w:lang w:val="en-US" w:eastAsia="zh-CN"/>
        </w:rPr>
      </w:pPr>
    </w:p>
    <w:p w14:paraId="56CC65B5">
      <w:pPr>
        <w:pStyle w:val="59"/>
        <w:jc w:val="center"/>
        <w:rPr>
          <w:rFonts w:hint="eastAsia" w:ascii="Times New Roman" w:hAnsi="Times New Roman" w:cs="Times New Roman"/>
          <w:b/>
          <w:bCs/>
          <w:kern w:val="2"/>
          <w:sz w:val="36"/>
          <w:szCs w:val="36"/>
          <w:lang w:val="en-US" w:eastAsia="zh-CN"/>
        </w:rPr>
      </w:pPr>
    </w:p>
    <w:p w14:paraId="3729CAE3">
      <w:pPr>
        <w:pStyle w:val="59"/>
        <w:jc w:val="center"/>
        <w:rPr>
          <w:rFonts w:hint="eastAsia" w:ascii="Times New Roman" w:hAnsi="Times New Roman" w:cs="Times New Roman"/>
          <w:b/>
          <w:bCs/>
          <w:kern w:val="2"/>
          <w:sz w:val="36"/>
          <w:szCs w:val="36"/>
          <w:lang w:eastAsia="zh-CN"/>
        </w:rPr>
      </w:pPr>
      <w:r>
        <w:rPr>
          <w:rFonts w:hint="eastAsia" w:ascii="Times New Roman" w:hAnsi="Times New Roman" w:cs="Times New Roman"/>
          <w:b/>
          <w:bCs/>
          <w:kern w:val="2"/>
          <w:sz w:val="36"/>
          <w:szCs w:val="36"/>
          <w:lang w:val="en-US" w:eastAsia="zh-CN"/>
        </w:rPr>
        <w:t>施工方案</w:t>
      </w:r>
      <w:r>
        <w:rPr>
          <w:rFonts w:hint="eastAsia" w:ascii="Times New Roman" w:hAnsi="Times New Roman" w:cs="Times New Roman"/>
          <w:b/>
          <w:bCs/>
          <w:kern w:val="2"/>
          <w:sz w:val="36"/>
          <w:szCs w:val="36"/>
          <w:lang w:eastAsia="zh-CN"/>
        </w:rPr>
        <w:t xml:space="preserve">   </w:t>
      </w:r>
    </w:p>
    <w:p w14:paraId="5959275A">
      <w:pPr>
        <w:spacing w:line="360" w:lineRule="auto"/>
        <w:jc w:val="center"/>
        <w:rPr>
          <w:rFonts w:ascii="Times New Roman" w:hAnsi="Times New Roman" w:cs="Times New Roman"/>
          <w:b/>
          <w:sz w:val="36"/>
          <w:szCs w:val="36"/>
          <w:lang w:eastAsia="zh-CN"/>
        </w:rPr>
      </w:pPr>
    </w:p>
    <w:p w14:paraId="4C478D13">
      <w:pPr>
        <w:spacing w:line="360" w:lineRule="auto"/>
        <w:jc w:val="center"/>
        <w:rPr>
          <w:rFonts w:ascii="Times New Roman" w:hAnsi="Times New Roman" w:cs="Times New Roman"/>
          <w:b/>
          <w:sz w:val="36"/>
          <w:szCs w:val="36"/>
          <w:lang w:eastAsia="zh-CN"/>
        </w:rPr>
      </w:pPr>
    </w:p>
    <w:p w14:paraId="6FFBE286">
      <w:pPr>
        <w:spacing w:line="360" w:lineRule="auto"/>
        <w:jc w:val="center"/>
        <w:rPr>
          <w:rFonts w:ascii="Times New Roman" w:hAnsi="Times New Roman" w:cs="Times New Roman"/>
          <w:b/>
          <w:sz w:val="36"/>
          <w:szCs w:val="36"/>
          <w:lang w:eastAsia="zh-CN"/>
        </w:rPr>
      </w:pPr>
    </w:p>
    <w:p w14:paraId="2D2E199B">
      <w:pPr>
        <w:spacing w:line="360" w:lineRule="auto"/>
        <w:jc w:val="center"/>
        <w:rPr>
          <w:rFonts w:ascii="Times New Roman" w:hAnsi="Times New Roman" w:cs="Times New Roman"/>
          <w:b/>
          <w:sz w:val="36"/>
          <w:szCs w:val="36"/>
          <w:lang w:eastAsia="zh-CN"/>
        </w:rPr>
      </w:pPr>
    </w:p>
    <w:p w14:paraId="5C990A93">
      <w:pPr>
        <w:spacing w:line="360" w:lineRule="auto"/>
        <w:jc w:val="center"/>
        <w:rPr>
          <w:rFonts w:ascii="Times New Roman" w:hAnsi="Times New Roman" w:cs="Times New Roman"/>
          <w:b/>
          <w:sz w:val="36"/>
          <w:szCs w:val="36"/>
          <w:lang w:eastAsia="zh-CN"/>
        </w:rPr>
      </w:pPr>
    </w:p>
    <w:p w14:paraId="76379D3D">
      <w:pPr>
        <w:spacing w:line="360" w:lineRule="auto"/>
        <w:jc w:val="center"/>
        <w:rPr>
          <w:rFonts w:ascii="Times New Roman" w:hAnsi="Times New Roman" w:cs="Times New Roman"/>
          <w:b/>
          <w:sz w:val="36"/>
          <w:szCs w:val="36"/>
          <w:lang w:eastAsia="zh-CN"/>
        </w:rPr>
      </w:pPr>
    </w:p>
    <w:p w14:paraId="4E982652">
      <w:pPr>
        <w:spacing w:line="360" w:lineRule="auto"/>
        <w:jc w:val="center"/>
        <w:rPr>
          <w:rFonts w:ascii="Times New Roman" w:hAnsi="Times New Roman" w:cs="Times New Roman"/>
          <w:b/>
          <w:sz w:val="36"/>
          <w:szCs w:val="36"/>
          <w:lang w:eastAsia="zh-CN"/>
        </w:rPr>
      </w:pPr>
    </w:p>
    <w:p w14:paraId="3E02E6B0">
      <w:pPr>
        <w:spacing w:line="360" w:lineRule="auto"/>
        <w:jc w:val="center"/>
        <w:rPr>
          <w:rFonts w:ascii="Times New Roman" w:hAnsi="Times New Roman" w:cs="Times New Roman"/>
          <w:b/>
          <w:sz w:val="36"/>
          <w:szCs w:val="36"/>
          <w:lang w:eastAsia="zh-CN"/>
        </w:rPr>
      </w:pPr>
    </w:p>
    <w:p w14:paraId="1058D20C">
      <w:pPr>
        <w:spacing w:line="360" w:lineRule="auto"/>
        <w:jc w:val="center"/>
        <w:rPr>
          <w:rFonts w:ascii="Times New Roman" w:hAnsi="Times New Roman" w:cs="Times New Roman"/>
          <w:b/>
          <w:sz w:val="36"/>
          <w:szCs w:val="36"/>
          <w:lang w:eastAsia="zh-CN"/>
        </w:rPr>
      </w:pPr>
    </w:p>
    <w:p w14:paraId="3A7EBD3F">
      <w:pPr>
        <w:spacing w:line="360" w:lineRule="auto"/>
        <w:jc w:val="center"/>
        <w:rPr>
          <w:rFonts w:ascii="Times New Roman" w:hAnsi="Times New Roman" w:cs="Times New Roman"/>
          <w:b/>
          <w:sz w:val="36"/>
          <w:szCs w:val="36"/>
          <w:lang w:eastAsia="zh-CN"/>
        </w:rPr>
      </w:pPr>
    </w:p>
    <w:p w14:paraId="2B2EFE24">
      <w:pPr>
        <w:spacing w:line="360" w:lineRule="auto"/>
        <w:jc w:val="center"/>
        <w:rPr>
          <w:rFonts w:ascii="Times New Roman" w:hAnsi="Times New Roman" w:cs="Times New Roman"/>
          <w:b/>
          <w:sz w:val="36"/>
          <w:szCs w:val="36"/>
          <w:lang w:eastAsia="zh-CN"/>
        </w:rPr>
      </w:pPr>
    </w:p>
    <w:p w14:paraId="44D88644">
      <w:pPr>
        <w:spacing w:line="360" w:lineRule="auto"/>
        <w:jc w:val="center"/>
        <w:rPr>
          <w:rFonts w:ascii="Times New Roman" w:hAnsi="Times New Roman" w:cs="Times New Roman"/>
          <w:b/>
          <w:sz w:val="36"/>
          <w:szCs w:val="36"/>
          <w:lang w:eastAsia="zh-CN"/>
        </w:rPr>
      </w:pPr>
    </w:p>
    <w:p w14:paraId="41A3BAB7">
      <w:pPr>
        <w:spacing w:line="360" w:lineRule="auto"/>
        <w:jc w:val="center"/>
        <w:rPr>
          <w:rFonts w:ascii="Times New Roman" w:hAnsi="Times New Roman" w:cs="Times New Roman"/>
          <w:b/>
          <w:sz w:val="36"/>
          <w:szCs w:val="36"/>
          <w:lang w:eastAsia="zh-CN"/>
        </w:rPr>
      </w:pPr>
    </w:p>
    <w:p w14:paraId="413EDA6B">
      <w:pPr>
        <w:spacing w:line="360" w:lineRule="auto"/>
        <w:jc w:val="center"/>
        <w:rPr>
          <w:rFonts w:ascii="Times New Roman" w:hAnsi="Times New Roman" w:cs="Times New Roman"/>
          <w:b/>
          <w:sz w:val="36"/>
          <w:szCs w:val="36"/>
          <w:lang w:eastAsia="zh-CN"/>
        </w:rPr>
      </w:pPr>
    </w:p>
    <w:p w14:paraId="234E0FD8">
      <w:pPr>
        <w:spacing w:line="360" w:lineRule="auto"/>
        <w:jc w:val="center"/>
        <w:rPr>
          <w:rFonts w:ascii="Times New Roman" w:hAnsi="Times New Roman" w:cs="Times New Roman"/>
          <w:b/>
          <w:sz w:val="36"/>
          <w:szCs w:val="36"/>
          <w:lang w:eastAsia="zh-CN"/>
        </w:rPr>
      </w:pPr>
    </w:p>
    <w:p w14:paraId="04C28433">
      <w:pPr>
        <w:spacing w:line="360" w:lineRule="auto"/>
        <w:jc w:val="center"/>
        <w:rPr>
          <w:rFonts w:ascii="Times New Roman" w:hAnsi="Times New Roman" w:cs="Times New Roman"/>
          <w:b/>
          <w:sz w:val="36"/>
          <w:szCs w:val="36"/>
          <w:lang w:eastAsia="zh-CN"/>
        </w:rPr>
      </w:pPr>
    </w:p>
    <w:p w14:paraId="35564AE1">
      <w:pPr>
        <w:spacing w:line="360" w:lineRule="auto"/>
        <w:jc w:val="center"/>
        <w:rPr>
          <w:rFonts w:ascii="Times New Roman" w:hAnsi="Times New Roman" w:cs="Times New Roman"/>
          <w:b/>
          <w:sz w:val="36"/>
          <w:szCs w:val="36"/>
          <w:lang w:eastAsia="zh-CN"/>
        </w:rPr>
      </w:pPr>
    </w:p>
    <w:p w14:paraId="4A8375FA">
      <w:pPr>
        <w:spacing w:line="360" w:lineRule="auto"/>
        <w:jc w:val="center"/>
        <w:rPr>
          <w:rFonts w:ascii="Times New Roman" w:hAnsi="Times New Roman" w:cs="Times New Roman"/>
          <w:b/>
          <w:sz w:val="36"/>
          <w:szCs w:val="36"/>
          <w:lang w:eastAsia="zh-CN"/>
        </w:rPr>
      </w:pPr>
    </w:p>
    <w:p w14:paraId="3051C24D">
      <w:pPr>
        <w:spacing w:line="360" w:lineRule="auto"/>
        <w:jc w:val="center"/>
        <w:rPr>
          <w:rFonts w:ascii="Times New Roman" w:hAnsi="Times New Roman" w:cs="Times New Roman"/>
          <w:b/>
          <w:sz w:val="36"/>
          <w:szCs w:val="36"/>
          <w:lang w:eastAsia="zh-CN"/>
        </w:rPr>
      </w:pPr>
    </w:p>
    <w:p w14:paraId="4B97CC94">
      <w:pPr>
        <w:spacing w:line="360" w:lineRule="auto"/>
        <w:jc w:val="center"/>
        <w:rPr>
          <w:rFonts w:ascii="Times New Roman" w:hAnsi="Times New Roman" w:cs="Times New Roman"/>
          <w:b/>
          <w:sz w:val="36"/>
          <w:szCs w:val="36"/>
          <w:lang w:eastAsia="zh-CN"/>
        </w:rPr>
      </w:pPr>
    </w:p>
    <w:p w14:paraId="0DD73796">
      <w:pPr>
        <w:pStyle w:val="2"/>
        <w:rPr>
          <w:lang w:eastAsia="zh-CN"/>
        </w:rPr>
      </w:pPr>
    </w:p>
    <w:p w14:paraId="40E63704">
      <w:pPr>
        <w:pStyle w:val="59"/>
        <w:jc w:val="center"/>
        <w:rPr>
          <w:rFonts w:ascii="Times New Roman" w:hAnsi="Times New Roman"/>
          <w:b/>
          <w:bCs/>
          <w:kern w:val="2"/>
          <w:sz w:val="36"/>
          <w:szCs w:val="36"/>
        </w:rPr>
      </w:pPr>
    </w:p>
    <w:p w14:paraId="32EFBA93">
      <w:pPr>
        <w:spacing w:line="360" w:lineRule="auto"/>
        <w:jc w:val="center"/>
        <w:rPr>
          <w:rFonts w:hint="eastAsia" w:ascii="Times New Roman" w:hAnsi="Times New Roman" w:cs="Times New Roman"/>
          <w:b/>
          <w:sz w:val="36"/>
          <w:szCs w:val="36"/>
          <w:lang w:val="en-US" w:eastAsia="zh-CN"/>
        </w:rPr>
      </w:pPr>
      <w:r>
        <w:rPr>
          <w:rFonts w:hint="eastAsia" w:ascii="Times New Roman" w:hAnsi="Times New Roman" w:cs="Times New Roman"/>
          <w:b/>
          <w:sz w:val="36"/>
          <w:szCs w:val="36"/>
          <w:lang w:val="en-US" w:eastAsia="zh-CN"/>
        </w:rPr>
        <w:t>技术评分细项其他关注内容</w:t>
      </w:r>
    </w:p>
    <w:p w14:paraId="70C14AC4">
      <w:pPr>
        <w:spacing w:line="360" w:lineRule="auto"/>
        <w:jc w:val="center"/>
        <w:rPr>
          <w:rFonts w:hint="eastAsia" w:ascii="Times New Roman" w:hAnsi="Times New Roman" w:cs="Times New Roman"/>
          <w:b/>
          <w:sz w:val="36"/>
          <w:szCs w:val="36"/>
          <w:lang w:val="en-US" w:eastAsia="zh-CN"/>
        </w:rPr>
      </w:pPr>
    </w:p>
    <w:p w14:paraId="49668F99">
      <w:pPr>
        <w:spacing w:line="360" w:lineRule="auto"/>
        <w:jc w:val="center"/>
        <w:rPr>
          <w:rFonts w:hint="eastAsia" w:ascii="Times New Roman" w:hAnsi="Times New Roman" w:cs="Times New Roman"/>
          <w:b/>
          <w:sz w:val="36"/>
          <w:szCs w:val="36"/>
          <w:lang w:val="en-US" w:eastAsia="zh-CN"/>
        </w:rPr>
      </w:pPr>
    </w:p>
    <w:p w14:paraId="5AE6FBE9">
      <w:pPr>
        <w:spacing w:line="360" w:lineRule="auto"/>
        <w:jc w:val="center"/>
        <w:rPr>
          <w:rFonts w:hint="eastAsia" w:ascii="Times New Roman" w:hAnsi="Times New Roman" w:cs="Times New Roman"/>
          <w:b/>
          <w:sz w:val="36"/>
          <w:szCs w:val="36"/>
          <w:lang w:val="en-US" w:eastAsia="zh-CN"/>
        </w:rPr>
      </w:pPr>
    </w:p>
    <w:p w14:paraId="349FD8CB">
      <w:pPr>
        <w:spacing w:line="360" w:lineRule="auto"/>
        <w:jc w:val="center"/>
        <w:rPr>
          <w:rFonts w:hint="eastAsia" w:ascii="Times New Roman" w:hAnsi="Times New Roman" w:cs="Times New Roman"/>
          <w:b/>
          <w:sz w:val="36"/>
          <w:szCs w:val="36"/>
          <w:lang w:val="en-US" w:eastAsia="zh-CN"/>
        </w:rPr>
      </w:pPr>
    </w:p>
    <w:p w14:paraId="400E310A">
      <w:pPr>
        <w:spacing w:line="360" w:lineRule="auto"/>
        <w:jc w:val="center"/>
        <w:rPr>
          <w:rFonts w:hint="eastAsia" w:ascii="Times New Roman" w:hAnsi="Times New Roman" w:cs="Times New Roman"/>
          <w:b/>
          <w:sz w:val="36"/>
          <w:szCs w:val="36"/>
          <w:lang w:val="en-US" w:eastAsia="zh-CN"/>
        </w:rPr>
      </w:pPr>
    </w:p>
    <w:p w14:paraId="19BEC324">
      <w:pPr>
        <w:spacing w:line="360" w:lineRule="auto"/>
        <w:jc w:val="center"/>
        <w:rPr>
          <w:rFonts w:hint="eastAsia" w:ascii="Times New Roman" w:hAnsi="Times New Roman" w:cs="Times New Roman"/>
          <w:b/>
          <w:sz w:val="36"/>
          <w:szCs w:val="36"/>
          <w:lang w:val="en-US" w:eastAsia="zh-CN"/>
        </w:rPr>
      </w:pPr>
    </w:p>
    <w:p w14:paraId="714A1718">
      <w:pPr>
        <w:spacing w:line="360" w:lineRule="auto"/>
        <w:jc w:val="center"/>
        <w:rPr>
          <w:rFonts w:hint="eastAsia" w:ascii="Times New Roman" w:hAnsi="Times New Roman" w:cs="Times New Roman"/>
          <w:b/>
          <w:sz w:val="36"/>
          <w:szCs w:val="36"/>
          <w:lang w:val="en-US" w:eastAsia="zh-CN"/>
        </w:rPr>
      </w:pPr>
    </w:p>
    <w:p w14:paraId="314404F1">
      <w:pPr>
        <w:spacing w:line="360" w:lineRule="auto"/>
        <w:jc w:val="center"/>
        <w:rPr>
          <w:rFonts w:hint="eastAsia" w:ascii="Times New Roman" w:hAnsi="Times New Roman" w:cs="Times New Roman"/>
          <w:b/>
          <w:sz w:val="36"/>
          <w:szCs w:val="36"/>
          <w:lang w:val="en-US" w:eastAsia="zh-CN"/>
        </w:rPr>
      </w:pPr>
    </w:p>
    <w:p w14:paraId="6FD3AF73">
      <w:pPr>
        <w:spacing w:line="360" w:lineRule="auto"/>
        <w:jc w:val="center"/>
        <w:rPr>
          <w:rFonts w:hint="eastAsia" w:ascii="Times New Roman" w:hAnsi="Times New Roman" w:cs="Times New Roman"/>
          <w:b/>
          <w:sz w:val="36"/>
          <w:szCs w:val="36"/>
          <w:lang w:val="en-US" w:eastAsia="zh-CN"/>
        </w:rPr>
      </w:pPr>
    </w:p>
    <w:p w14:paraId="4435BCF1">
      <w:pPr>
        <w:spacing w:line="360" w:lineRule="auto"/>
        <w:jc w:val="center"/>
        <w:rPr>
          <w:rFonts w:hint="eastAsia" w:ascii="Times New Roman" w:hAnsi="Times New Roman" w:cs="Times New Roman"/>
          <w:b/>
          <w:sz w:val="36"/>
          <w:szCs w:val="36"/>
          <w:lang w:val="en-US" w:eastAsia="zh-CN"/>
        </w:rPr>
      </w:pPr>
    </w:p>
    <w:p w14:paraId="42E66F11">
      <w:pPr>
        <w:spacing w:line="360" w:lineRule="auto"/>
        <w:jc w:val="center"/>
        <w:rPr>
          <w:rFonts w:hint="eastAsia" w:ascii="Times New Roman" w:hAnsi="Times New Roman" w:cs="Times New Roman"/>
          <w:b/>
          <w:sz w:val="36"/>
          <w:szCs w:val="36"/>
          <w:lang w:val="en-US" w:eastAsia="zh-CN"/>
        </w:rPr>
      </w:pPr>
    </w:p>
    <w:p w14:paraId="0580D558">
      <w:pPr>
        <w:spacing w:line="360" w:lineRule="auto"/>
        <w:jc w:val="center"/>
        <w:rPr>
          <w:rFonts w:hint="eastAsia" w:ascii="Times New Roman" w:hAnsi="Times New Roman" w:cs="Times New Roman"/>
          <w:b/>
          <w:sz w:val="36"/>
          <w:szCs w:val="36"/>
          <w:lang w:val="en-US" w:eastAsia="zh-CN"/>
        </w:rPr>
      </w:pPr>
    </w:p>
    <w:p w14:paraId="2201C80D">
      <w:pPr>
        <w:spacing w:line="360" w:lineRule="auto"/>
        <w:jc w:val="center"/>
        <w:rPr>
          <w:rFonts w:hint="eastAsia" w:ascii="Times New Roman" w:hAnsi="Times New Roman" w:cs="Times New Roman"/>
          <w:b/>
          <w:sz w:val="36"/>
          <w:szCs w:val="36"/>
          <w:lang w:val="en-US" w:eastAsia="zh-CN"/>
        </w:rPr>
      </w:pPr>
    </w:p>
    <w:p w14:paraId="3BD565D6">
      <w:pPr>
        <w:spacing w:line="360" w:lineRule="auto"/>
        <w:jc w:val="center"/>
        <w:rPr>
          <w:rFonts w:hint="eastAsia" w:ascii="Times New Roman" w:hAnsi="Times New Roman" w:cs="Times New Roman"/>
          <w:b/>
          <w:sz w:val="36"/>
          <w:szCs w:val="36"/>
          <w:lang w:val="en-US" w:eastAsia="zh-CN"/>
        </w:rPr>
      </w:pPr>
    </w:p>
    <w:p w14:paraId="151FC2DC">
      <w:pPr>
        <w:spacing w:line="360" w:lineRule="auto"/>
        <w:jc w:val="center"/>
        <w:rPr>
          <w:rFonts w:hint="eastAsia" w:ascii="Times New Roman" w:hAnsi="Times New Roman" w:cs="Times New Roman"/>
          <w:b/>
          <w:sz w:val="36"/>
          <w:szCs w:val="36"/>
          <w:lang w:val="en-US" w:eastAsia="zh-CN"/>
        </w:rPr>
      </w:pPr>
    </w:p>
    <w:p w14:paraId="06644825">
      <w:pPr>
        <w:spacing w:line="360" w:lineRule="auto"/>
        <w:jc w:val="center"/>
        <w:rPr>
          <w:rFonts w:hint="eastAsia" w:ascii="Times New Roman" w:hAnsi="Times New Roman" w:cs="Times New Roman"/>
          <w:b/>
          <w:sz w:val="36"/>
          <w:szCs w:val="36"/>
          <w:lang w:val="en-US" w:eastAsia="zh-CN"/>
        </w:rPr>
      </w:pPr>
    </w:p>
    <w:p w14:paraId="44AEA30E">
      <w:pPr>
        <w:spacing w:line="360" w:lineRule="auto"/>
        <w:jc w:val="center"/>
        <w:rPr>
          <w:rFonts w:hint="eastAsia" w:ascii="Times New Roman" w:hAnsi="Times New Roman" w:cs="Times New Roman"/>
          <w:b/>
          <w:sz w:val="36"/>
          <w:szCs w:val="36"/>
          <w:lang w:val="en-US" w:eastAsia="zh-CN"/>
        </w:rPr>
      </w:pPr>
    </w:p>
    <w:p w14:paraId="6CC9C3B2">
      <w:pPr>
        <w:spacing w:line="360" w:lineRule="auto"/>
        <w:jc w:val="center"/>
        <w:rPr>
          <w:rFonts w:hint="eastAsia" w:ascii="Times New Roman" w:hAnsi="Times New Roman" w:cs="Times New Roman"/>
          <w:b/>
          <w:sz w:val="36"/>
          <w:szCs w:val="36"/>
          <w:lang w:val="en-US" w:eastAsia="zh-CN"/>
        </w:rPr>
      </w:pPr>
    </w:p>
    <w:p w14:paraId="579EE12A">
      <w:pPr>
        <w:spacing w:line="360" w:lineRule="auto"/>
        <w:jc w:val="center"/>
        <w:rPr>
          <w:rFonts w:hint="eastAsia" w:ascii="Times New Roman" w:hAnsi="Times New Roman" w:cs="Times New Roman"/>
          <w:b/>
          <w:sz w:val="36"/>
          <w:szCs w:val="36"/>
          <w:lang w:val="en-US" w:eastAsia="zh-CN"/>
        </w:rPr>
      </w:pPr>
    </w:p>
    <w:p w14:paraId="6D810725">
      <w:pPr>
        <w:spacing w:line="360" w:lineRule="auto"/>
        <w:jc w:val="center"/>
        <w:rPr>
          <w:rFonts w:hint="eastAsia" w:ascii="Times New Roman" w:hAnsi="Times New Roman" w:cs="Times New Roman"/>
          <w:b/>
          <w:sz w:val="36"/>
          <w:szCs w:val="36"/>
          <w:lang w:val="en-US" w:eastAsia="zh-CN"/>
        </w:rPr>
      </w:pPr>
    </w:p>
    <w:p w14:paraId="1B7F9B7B">
      <w:pPr>
        <w:spacing w:line="360" w:lineRule="auto"/>
        <w:jc w:val="center"/>
        <w:rPr>
          <w:rFonts w:hint="eastAsia" w:ascii="Times New Roman" w:hAnsi="Times New Roman" w:cs="Times New Roman"/>
          <w:b/>
          <w:sz w:val="36"/>
          <w:szCs w:val="36"/>
          <w:lang w:val="en-US" w:eastAsia="zh-CN"/>
        </w:rPr>
      </w:pPr>
    </w:p>
    <w:p w14:paraId="6C88500A">
      <w:pPr>
        <w:spacing w:line="360" w:lineRule="auto"/>
        <w:jc w:val="center"/>
        <w:rPr>
          <w:rFonts w:hint="eastAsia" w:ascii="Times New Roman" w:hAnsi="Times New Roman" w:cs="Times New Roman"/>
          <w:b/>
          <w:sz w:val="36"/>
          <w:szCs w:val="36"/>
          <w:lang w:val="en-US" w:eastAsia="zh-CN"/>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研究福建福海创石油化工有限公司芳烃装置优化节能改造项目工业管道及设备化学清洗服务工程采购文件的全部内容后，我方愿以以下报价，严格按照采购文件的要求，交付本项目并维修其中的任何缺陷。</w:t>
      </w:r>
    </w:p>
    <w:tbl>
      <w:tblPr>
        <w:tblStyle w:val="50"/>
        <w:tblW w:w="9499" w:type="dxa"/>
        <w:tblInd w:w="-318" w:type="dxa"/>
        <w:tblLayout w:type="autofit"/>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本项目</w:t>
            </w:r>
            <w:r>
              <w:rPr>
                <w:rFonts w:hint="eastAsia" w:ascii="Times New Roman" w:hAnsi="Times New Roman"/>
                <w:sz w:val="28"/>
                <w:szCs w:val="28"/>
                <w:lang w:val="en-US" w:eastAsia="zh-CN"/>
              </w:rPr>
              <w:t>清单内</w:t>
            </w:r>
            <w:r>
              <w:rPr>
                <w:rFonts w:hint="eastAsia" w:ascii="Times New Roman" w:hAnsi="Times New Roman"/>
                <w:sz w:val="28"/>
                <w:szCs w:val="28"/>
                <w:lang w:eastAsia="zh-CN"/>
              </w:rPr>
              <w:t>含税</w:t>
            </w:r>
            <w:r>
              <w:rPr>
                <w:rFonts w:hint="eastAsia" w:ascii="Times New Roman" w:hAnsi="Times New Roman"/>
                <w:sz w:val="28"/>
                <w:szCs w:val="28"/>
                <w:lang w:val="en-US" w:eastAsia="zh-CN"/>
              </w:rPr>
              <w:t>暂定</w:t>
            </w:r>
            <w:r>
              <w:rPr>
                <w:rFonts w:hint="eastAsia" w:ascii="Times New Roman" w:hAnsi="Times New Roman"/>
                <w:sz w:val="28"/>
                <w:szCs w:val="28"/>
                <w:lang w:eastAsia="zh-CN"/>
              </w:rPr>
              <w:t xml:space="preserve">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hint="eastAsia"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6</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w:t>
            </w:r>
            <w:r>
              <w:rPr>
                <w:rFonts w:hint="eastAsia" w:ascii="Times New Roman" w:hAnsi="Times New Roman"/>
                <w:sz w:val="28"/>
                <w:szCs w:val="28"/>
                <w:lang w:eastAsia="zh-CN"/>
              </w:rPr>
              <w:t>如</w:t>
            </w:r>
            <w:r>
              <w:rPr>
                <w:rFonts w:ascii="Times New Roman" w:hAnsi="Times New Roman"/>
                <w:sz w:val="28"/>
                <w:szCs w:val="28"/>
                <w:lang w:eastAsia="zh-CN"/>
              </w:rPr>
              <w:t>附件：</w:t>
            </w:r>
          </w:p>
          <w:p w14:paraId="05EBB147">
            <w:pPr>
              <w:spacing w:line="360" w:lineRule="auto"/>
              <w:ind w:firstLine="2100" w:firstLineChars="750"/>
              <w:rPr>
                <w:rFonts w:hint="eastAsia" w:ascii="Times New Roman" w:hAnsi="Times New Roman"/>
                <w:sz w:val="28"/>
                <w:szCs w:val="28"/>
                <w:u w:val="single"/>
                <w:lang w:eastAsia="zh-CN"/>
              </w:rPr>
            </w:pPr>
          </w:p>
          <w:p w14:paraId="0FE76553">
            <w:pPr>
              <w:spacing w:line="360" w:lineRule="auto"/>
              <w:rPr>
                <w:lang w:eastAsia="zh-CN"/>
              </w:rPr>
            </w:pPr>
          </w:p>
          <w:p w14:paraId="2E88899D">
            <w:pPr>
              <w:spacing w:line="360" w:lineRule="auto"/>
              <w:rPr>
                <w:lang w:eastAsia="zh-CN"/>
              </w:rPr>
            </w:pPr>
          </w:p>
          <w:p w14:paraId="735338FC">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59"/>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01AF1EE6">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CBA1">
    <w:pPr>
      <w:pStyle w:val="31"/>
      <w:jc w:val="center"/>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60758"/>
                  <w:docPartObj>
                    <w:docPartGallery w:val="autotext"/>
                  </w:docPartObj>
                </w:sdtPr>
                <w:sdtContent>
                  <w:sdt>
                    <w:sdtPr>
                      <w:id w:val="147481427"/>
                      <w:docPartObj>
                        <w:docPartGallery w:val="autotext"/>
                      </w:docPartObj>
                    </w:sdtPr>
                    <w:sdtContent>
                      <w:p w14:paraId="234BA5F7">
                        <w:pPr>
                          <w:pStyle w:val="31"/>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6640E6DD"/>
            </w:txbxContent>
          </v:textbox>
        </v:shape>
      </w:pict>
    </w:r>
  </w:p>
  <w:p w14:paraId="7552A791">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0BD0">
    <w:pPr>
      <w:pStyle w:val="31"/>
      <w:jc w:val="center"/>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47466970"/>
                  <w:docPartObj>
                    <w:docPartGallery w:val="autotext"/>
                  </w:docPartObj>
                </w:sdtPr>
                <w:sdtContent>
                  <w:sdt>
                    <w:sdtPr>
                      <w:id w:val="147459615"/>
                      <w:docPartObj>
                        <w:docPartGallery w:val="autotext"/>
                      </w:docPartObj>
                    </w:sdtPr>
                    <w:sdtContent>
                      <w:p w14:paraId="7A778668">
                        <w:pPr>
                          <w:pStyle w:val="31"/>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6F04BF97"/>
            </w:txbxContent>
          </v:textbox>
        </v:shape>
      </w:pict>
    </w:r>
  </w:p>
  <w:p w14:paraId="642D1A21">
    <w:pPr>
      <w:pStyle w:val="2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1"/>
      <w:spacing w:line="14" w:lineRule="auto"/>
      <w:rPr>
        <w:sz w:val="20"/>
      </w:rPr>
    </w:pPr>
    <w:r>
      <w:rPr>
        <w:sz w:val="24"/>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5020AD3">
                <w:pPr>
                  <w:pStyle w:val="31"/>
                </w:pPr>
                <w:r>
                  <w:fldChar w:fldCharType="begin"/>
                </w:r>
                <w:r>
                  <w:instrText xml:space="preserve"> PAGE  \* MERGEFORMAT </w:instrText>
                </w:r>
                <w:r>
                  <w:fldChar w:fldCharType="separate"/>
                </w:r>
                <w:r>
                  <w:t>11</w:t>
                </w:r>
                <w:r>
                  <w:fldChar w:fldCharType="end"/>
                </w:r>
              </w:p>
            </w:txbxContent>
          </v:textbox>
        </v:shape>
      </w:pict>
    </w: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1"/>
      <w:spacing w:line="14" w:lineRule="auto"/>
      <w:rPr>
        <w:sz w:val="20"/>
      </w:rPr>
    </w:pPr>
    <w:r>
      <w:rPr>
        <w:sz w:val="20"/>
      </w:rPr>
      <w:pict>
        <v:shape id="_x0000_s3080" o:spid="_x0000_s308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091413BA">
                <w:pPr>
                  <w:pStyle w:val="3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singleLevel"/>
    <w:tmpl w:val="9288B902"/>
    <w:lvl w:ilvl="0" w:tentative="0">
      <w:start w:val="0"/>
      <w:numFmt w:val="bullet"/>
      <w:lvlText w:val="•"/>
      <w:lvlJc w:val="left"/>
      <w:rPr>
        <w:color w:val="3370FF"/>
      </w:rPr>
    </w:lvl>
  </w:abstractNum>
  <w:abstractNum w:abstractNumId="1">
    <w:nsid w:val="9C8AC8EF"/>
    <w:multiLevelType w:val="singleLevel"/>
    <w:tmpl w:val="9C8AC8EF"/>
    <w:lvl w:ilvl="0" w:tentative="0">
      <w:start w:val="0"/>
      <w:numFmt w:val="bullet"/>
      <w:lvlText w:val="•"/>
      <w:lvlJc w:val="left"/>
      <w:rPr>
        <w:color w:val="3370FF"/>
      </w:rPr>
    </w:lvl>
  </w:abstractNum>
  <w:abstractNum w:abstractNumId="2">
    <w:nsid w:val="A6FA852A"/>
    <w:multiLevelType w:val="singleLevel"/>
    <w:tmpl w:val="A6FA852A"/>
    <w:lvl w:ilvl="0" w:tentative="0">
      <w:start w:val="1"/>
      <w:numFmt w:val="decimal"/>
      <w:suff w:val="nothing"/>
      <w:lvlText w:val="（%1）"/>
      <w:lvlJc w:val="left"/>
    </w:lvl>
  </w:abstractNum>
  <w:abstractNum w:abstractNumId="3">
    <w:nsid w:val="B0F1ACD9"/>
    <w:multiLevelType w:val="singleLevel"/>
    <w:tmpl w:val="B0F1ACD9"/>
    <w:lvl w:ilvl="0" w:tentative="0">
      <w:start w:val="0"/>
      <w:numFmt w:val="bullet"/>
      <w:lvlText w:val="•"/>
      <w:lvlJc w:val="left"/>
      <w:rPr>
        <w:color w:val="3370FF"/>
      </w:rPr>
    </w:lvl>
  </w:abstractNum>
  <w:abstractNum w:abstractNumId="4">
    <w:nsid w:val="B5E306ED"/>
    <w:multiLevelType w:val="singleLevel"/>
    <w:tmpl w:val="B5E306ED"/>
    <w:lvl w:ilvl="0" w:tentative="0">
      <w:start w:val="0"/>
      <w:numFmt w:val="bullet"/>
      <w:lvlText w:val="•"/>
      <w:lvlJc w:val="left"/>
      <w:rPr>
        <w:color w:val="3370FF"/>
      </w:rPr>
    </w:lvl>
  </w:abstractNum>
  <w:abstractNum w:abstractNumId="5">
    <w:nsid w:val="BE923771"/>
    <w:multiLevelType w:val="singleLevel"/>
    <w:tmpl w:val="BE923771"/>
    <w:lvl w:ilvl="0" w:tentative="0">
      <w:start w:val="0"/>
      <w:numFmt w:val="bullet"/>
      <w:lvlText w:val="•"/>
      <w:lvlJc w:val="left"/>
      <w:rPr>
        <w:color w:val="3370FF"/>
      </w:rPr>
    </w:lvl>
  </w:abstractNum>
  <w:abstractNum w:abstractNumId="6">
    <w:nsid w:val="BF205925"/>
    <w:multiLevelType w:val="singleLevel"/>
    <w:tmpl w:val="BF205925"/>
    <w:lvl w:ilvl="0" w:tentative="0">
      <w:start w:val="0"/>
      <w:numFmt w:val="bullet"/>
      <w:lvlText w:val="•"/>
      <w:lvlJc w:val="left"/>
      <w:rPr>
        <w:color w:val="3370FF"/>
      </w:rPr>
    </w:lvl>
  </w:abstractNum>
  <w:abstractNum w:abstractNumId="7">
    <w:nsid w:val="CF092B84"/>
    <w:multiLevelType w:val="singleLevel"/>
    <w:tmpl w:val="CF092B84"/>
    <w:lvl w:ilvl="0" w:tentative="0">
      <w:start w:val="0"/>
      <w:numFmt w:val="bullet"/>
      <w:lvlText w:val="•"/>
      <w:lvlJc w:val="left"/>
      <w:rPr>
        <w:color w:val="3370FF"/>
      </w:rPr>
    </w:lvl>
  </w:abstractNum>
  <w:abstractNum w:abstractNumId="8">
    <w:nsid w:val="DCBA6B53"/>
    <w:multiLevelType w:val="singleLevel"/>
    <w:tmpl w:val="DCBA6B53"/>
    <w:lvl w:ilvl="0" w:tentative="0">
      <w:start w:val="0"/>
      <w:numFmt w:val="bullet"/>
      <w:lvlText w:val="•"/>
      <w:lvlJc w:val="left"/>
      <w:rPr>
        <w:color w:val="3370FF"/>
      </w:rPr>
    </w:lvl>
  </w:abstractNum>
  <w:abstractNum w:abstractNumId="9">
    <w:nsid w:val="F4B5D9F5"/>
    <w:multiLevelType w:val="singleLevel"/>
    <w:tmpl w:val="F4B5D9F5"/>
    <w:lvl w:ilvl="0" w:tentative="0">
      <w:start w:val="0"/>
      <w:numFmt w:val="bullet"/>
      <w:lvlText w:val="•"/>
      <w:lvlJc w:val="left"/>
      <w:rPr>
        <w:color w:val="3370FF"/>
      </w:rPr>
    </w:lvl>
  </w:abstractNum>
  <w:abstractNum w:abstractNumId="10">
    <w:nsid w:val="0053208E"/>
    <w:multiLevelType w:val="singleLevel"/>
    <w:tmpl w:val="0053208E"/>
    <w:lvl w:ilvl="0" w:tentative="0">
      <w:start w:val="0"/>
      <w:numFmt w:val="bullet"/>
      <w:lvlText w:val="•"/>
      <w:lvlJc w:val="left"/>
      <w:rPr>
        <w:color w:val="3370FF"/>
      </w:rPr>
    </w:lvl>
  </w:abstractNum>
  <w:abstractNum w:abstractNumId="11">
    <w:nsid w:val="0248C179"/>
    <w:multiLevelType w:val="multilevel"/>
    <w:tmpl w:val="0248C179"/>
    <w:lvl w:ilvl="0" w:tentative="0">
      <w:start w:val="2"/>
      <w:numFmt w:val="decimal"/>
      <w:pStyle w:val="48"/>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2">
    <w:nsid w:val="03D62ECE"/>
    <w:multiLevelType w:val="singleLevel"/>
    <w:tmpl w:val="03D62ECE"/>
    <w:lvl w:ilvl="0" w:tentative="0">
      <w:start w:val="0"/>
      <w:numFmt w:val="bullet"/>
      <w:lvlText w:val="•"/>
      <w:lvlJc w:val="left"/>
      <w:rPr>
        <w:color w:val="3370FF"/>
      </w:rPr>
    </w:lvl>
  </w:abstractNum>
  <w:abstractNum w:abstractNumId="13">
    <w:nsid w:val="0B5E4FB9"/>
    <w:multiLevelType w:val="multilevel"/>
    <w:tmpl w:val="0B5E4FB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E640482"/>
    <w:multiLevelType w:val="singleLevel"/>
    <w:tmpl w:val="0E640482"/>
    <w:lvl w:ilvl="0" w:tentative="0">
      <w:start w:val="0"/>
      <w:numFmt w:val="bullet"/>
      <w:lvlText w:val="•"/>
      <w:lvlJc w:val="left"/>
      <w:rPr>
        <w:color w:val="3370FF"/>
      </w:rPr>
    </w:lvl>
  </w:abstractNum>
  <w:abstractNum w:abstractNumId="15">
    <w:nsid w:val="115A65B1"/>
    <w:multiLevelType w:val="multilevel"/>
    <w:tmpl w:val="115A65B1"/>
    <w:lvl w:ilvl="0" w:tentative="0">
      <w:start w:val="1"/>
      <w:numFmt w:val="decimal"/>
      <w:lvlText w:val="%1、"/>
      <w:lvlJc w:val="left"/>
      <w:pPr>
        <w:tabs>
          <w:tab w:val="left" w:pos="360"/>
        </w:tabs>
        <w:ind w:left="360" w:hanging="360"/>
      </w:pPr>
      <w:rPr>
        <w:color w:val="auto"/>
      </w:rPr>
    </w:lvl>
    <w:lvl w:ilvl="1" w:tentative="0">
      <w:start w:val="1"/>
      <w:numFmt w:val="decimal"/>
      <w:lvlText w:val="（%2）"/>
      <w:lvlJc w:val="left"/>
      <w:pPr>
        <w:ind w:left="1140" w:hanging="7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193B2303"/>
    <w:multiLevelType w:val="multilevel"/>
    <w:tmpl w:val="193B2303"/>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1F484AD2"/>
    <w:multiLevelType w:val="multilevel"/>
    <w:tmpl w:val="1F484AD2"/>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218A654C"/>
    <w:multiLevelType w:val="multilevel"/>
    <w:tmpl w:val="218A654C"/>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2470EC97"/>
    <w:multiLevelType w:val="singleLevel"/>
    <w:tmpl w:val="2470EC97"/>
    <w:lvl w:ilvl="0" w:tentative="0">
      <w:start w:val="0"/>
      <w:numFmt w:val="bullet"/>
      <w:lvlText w:val="•"/>
      <w:lvlJc w:val="left"/>
      <w:rPr>
        <w:color w:val="3370FF"/>
      </w:rPr>
    </w:lvl>
  </w:abstractNum>
  <w:abstractNum w:abstractNumId="20">
    <w:nsid w:val="267B6B15"/>
    <w:multiLevelType w:val="multilevel"/>
    <w:tmpl w:val="267B6B15"/>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8"/>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2">
    <w:nsid w:val="30014EE9"/>
    <w:multiLevelType w:val="multilevel"/>
    <w:tmpl w:val="30014EE9"/>
    <w:lvl w:ilvl="0" w:tentative="0">
      <w:start w:val="1"/>
      <w:numFmt w:val="upperLetter"/>
      <w:pStyle w:val="140"/>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23">
    <w:nsid w:val="39A0D9AC"/>
    <w:multiLevelType w:val="singleLevel"/>
    <w:tmpl w:val="39A0D9AC"/>
    <w:lvl w:ilvl="0" w:tentative="0">
      <w:start w:val="0"/>
      <w:numFmt w:val="bullet"/>
      <w:lvlText w:val="•"/>
      <w:lvlJc w:val="left"/>
      <w:rPr>
        <w:color w:val="3370FF"/>
      </w:rPr>
    </w:lvl>
  </w:abstractNum>
  <w:abstractNum w:abstractNumId="24">
    <w:nsid w:val="3A451854"/>
    <w:multiLevelType w:val="multilevel"/>
    <w:tmpl w:val="3A451854"/>
    <w:lvl w:ilvl="0" w:tentative="0">
      <w:start w:val="1"/>
      <w:numFmt w:val="chineseCountingThousand"/>
      <w:pStyle w:val="185"/>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6"/>
      <w:lvlText w:val="第%2节"/>
      <w:lvlJc w:val="left"/>
      <w:pPr>
        <w:tabs>
          <w:tab w:val="left" w:pos="992"/>
        </w:tabs>
        <w:ind w:left="0" w:firstLine="0"/>
      </w:pPr>
      <w:rPr>
        <w:rFonts w:hint="eastAsia" w:ascii="宋体" w:eastAsia="宋体"/>
        <w:b/>
        <w:i w:val="0"/>
        <w:sz w:val="30"/>
        <w:szCs w:val="30"/>
      </w:rPr>
    </w:lvl>
    <w:lvl w:ilvl="2" w:tentative="0">
      <w:start w:val="1"/>
      <w:numFmt w:val="decimal"/>
      <w:pStyle w:val="187"/>
      <w:lvlText w:val="%3"/>
      <w:lvlJc w:val="left"/>
      <w:pPr>
        <w:tabs>
          <w:tab w:val="left" w:pos="567"/>
        </w:tabs>
        <w:ind w:left="0" w:firstLine="0"/>
      </w:pPr>
      <w:rPr>
        <w:rFonts w:hint="eastAsia" w:ascii="宋体" w:eastAsia="宋体"/>
        <w:b/>
        <w:i w:val="0"/>
        <w:sz w:val="24"/>
        <w:szCs w:val="24"/>
      </w:rPr>
    </w:lvl>
    <w:lvl w:ilvl="3" w:tentative="0">
      <w:start w:val="1"/>
      <w:numFmt w:val="decimal"/>
      <w:pStyle w:val="188"/>
      <w:lvlText w:val="%3.%4"/>
      <w:lvlJc w:val="left"/>
      <w:pPr>
        <w:tabs>
          <w:tab w:val="left" w:pos="737"/>
        </w:tabs>
        <w:ind w:left="0" w:firstLine="284"/>
      </w:pPr>
      <w:rPr>
        <w:rFonts w:hint="eastAsia" w:ascii="宋体" w:eastAsia="宋体"/>
        <w:b/>
        <w:i w:val="0"/>
        <w:sz w:val="24"/>
        <w:szCs w:val="24"/>
      </w:rPr>
    </w:lvl>
    <w:lvl w:ilvl="4" w:tentative="0">
      <w:start w:val="1"/>
      <w:numFmt w:val="decimal"/>
      <w:pStyle w:val="189"/>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90"/>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3B321FCE"/>
    <w:multiLevelType w:val="multilevel"/>
    <w:tmpl w:val="3B321FCE"/>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3FB96F4A"/>
    <w:multiLevelType w:val="multilevel"/>
    <w:tmpl w:val="3FB96F4A"/>
    <w:lvl w:ilvl="0" w:tentative="0">
      <w:start w:val="1"/>
      <w:numFmt w:val="chineseCountingThousand"/>
      <w:lvlText w:val="第%1条"/>
      <w:lvlJc w:val="left"/>
      <w:pPr>
        <w:tabs>
          <w:tab w:val="left" w:pos="360"/>
        </w:tabs>
        <w:ind w:left="360" w:hanging="36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FDA5C1B"/>
    <w:multiLevelType w:val="multilevel"/>
    <w:tmpl w:val="3FDA5C1B"/>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45F5045D"/>
    <w:multiLevelType w:val="multilevel"/>
    <w:tmpl w:val="45F5045D"/>
    <w:lvl w:ilvl="0" w:tentative="0">
      <w:start w:val="1"/>
      <w:numFmt w:val="decimal"/>
      <w:pStyle w:val="212"/>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9">
    <w:nsid w:val="49F44BE4"/>
    <w:multiLevelType w:val="multilevel"/>
    <w:tmpl w:val="49F44BE4"/>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4B44014A"/>
    <w:multiLevelType w:val="singleLevel"/>
    <w:tmpl w:val="4B44014A"/>
    <w:lvl w:ilvl="0" w:tentative="0">
      <w:start w:val="9"/>
      <w:numFmt w:val="chineseCounting"/>
      <w:suff w:val="nothing"/>
      <w:lvlText w:val="%1、"/>
      <w:lvlJc w:val="left"/>
      <w:rPr>
        <w:rFonts w:hint="eastAsia"/>
      </w:rPr>
    </w:lvl>
  </w:abstractNum>
  <w:abstractNum w:abstractNumId="31">
    <w:nsid w:val="4C1BAE26"/>
    <w:multiLevelType w:val="singleLevel"/>
    <w:tmpl w:val="4C1BAE26"/>
    <w:lvl w:ilvl="0" w:tentative="0">
      <w:start w:val="0"/>
      <w:numFmt w:val="bullet"/>
      <w:lvlText w:val="•"/>
      <w:lvlJc w:val="left"/>
      <w:rPr>
        <w:color w:val="3370FF"/>
      </w:rPr>
    </w:lvl>
  </w:abstractNum>
  <w:abstractNum w:abstractNumId="32">
    <w:nsid w:val="4E443DC9"/>
    <w:multiLevelType w:val="multilevel"/>
    <w:tmpl w:val="4E443DC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59ADCABA"/>
    <w:multiLevelType w:val="singleLevel"/>
    <w:tmpl w:val="59ADCABA"/>
    <w:lvl w:ilvl="0" w:tentative="0">
      <w:start w:val="0"/>
      <w:numFmt w:val="bullet"/>
      <w:lvlText w:val="•"/>
      <w:lvlJc w:val="left"/>
      <w:rPr>
        <w:color w:val="3370FF"/>
      </w:rPr>
    </w:lvl>
  </w:abstractNum>
  <w:abstractNum w:abstractNumId="34">
    <w:nsid w:val="5A241D34"/>
    <w:multiLevelType w:val="multilevel"/>
    <w:tmpl w:val="5A241D34"/>
    <w:lvl w:ilvl="0" w:tentative="0">
      <w:start w:val="1"/>
      <w:numFmt w:val="decimal"/>
      <w:pStyle w:val="16"/>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35">
    <w:nsid w:val="60382F6E"/>
    <w:multiLevelType w:val="singleLevel"/>
    <w:tmpl w:val="60382F6E"/>
    <w:lvl w:ilvl="0" w:tentative="0">
      <w:start w:val="0"/>
      <w:numFmt w:val="bullet"/>
      <w:lvlText w:val="•"/>
      <w:lvlJc w:val="left"/>
      <w:rPr>
        <w:color w:val="3370FF"/>
      </w:rPr>
    </w:lvl>
  </w:abstractNum>
  <w:abstractNum w:abstractNumId="36">
    <w:nsid w:val="629F7852"/>
    <w:multiLevelType w:val="singleLevel"/>
    <w:tmpl w:val="629F7852"/>
    <w:lvl w:ilvl="0" w:tentative="0">
      <w:start w:val="0"/>
      <w:numFmt w:val="bullet"/>
      <w:lvlText w:val="•"/>
      <w:lvlJc w:val="left"/>
      <w:rPr>
        <w:color w:val="3370FF"/>
      </w:rPr>
    </w:lvl>
  </w:abstractNum>
  <w:abstractNum w:abstractNumId="37">
    <w:nsid w:val="66006974"/>
    <w:multiLevelType w:val="multilevel"/>
    <w:tmpl w:val="66006974"/>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39">
    <w:nsid w:val="75080D9B"/>
    <w:multiLevelType w:val="multilevel"/>
    <w:tmpl w:val="75080D9B"/>
    <w:lvl w:ilvl="0" w:tentative="0">
      <w:start w:val="1"/>
      <w:numFmt w:val="decimal"/>
      <w:lvlText w:val="%1、"/>
      <w:lvlJc w:val="left"/>
      <w:pPr>
        <w:tabs>
          <w:tab w:val="left" w:pos="7307"/>
        </w:tabs>
        <w:ind w:left="7307" w:hanging="360"/>
      </w:pPr>
    </w:lvl>
    <w:lvl w:ilvl="1" w:tentative="0">
      <w:start w:val="7"/>
      <w:numFmt w:val="japaneseCounting"/>
      <w:lvlText w:val="第%2条"/>
      <w:lvlJc w:val="left"/>
      <w:pPr>
        <w:tabs>
          <w:tab w:val="left" w:pos="7803"/>
        </w:tabs>
        <w:ind w:left="7803" w:hanging="720"/>
      </w:pPr>
    </w:lvl>
    <w:lvl w:ilvl="2" w:tentative="0">
      <w:start w:val="1"/>
      <w:numFmt w:val="lowerRoman"/>
      <w:lvlText w:val="%3."/>
      <w:lvlJc w:val="right"/>
      <w:pPr>
        <w:tabs>
          <w:tab w:val="left" w:pos="7923"/>
        </w:tabs>
        <w:ind w:left="7923" w:hanging="420"/>
      </w:pPr>
    </w:lvl>
    <w:lvl w:ilvl="3" w:tentative="0">
      <w:start w:val="1"/>
      <w:numFmt w:val="decimal"/>
      <w:lvlText w:val="%4."/>
      <w:lvlJc w:val="left"/>
      <w:pPr>
        <w:tabs>
          <w:tab w:val="left" w:pos="8343"/>
        </w:tabs>
        <w:ind w:left="8343" w:hanging="420"/>
      </w:pPr>
    </w:lvl>
    <w:lvl w:ilvl="4" w:tentative="0">
      <w:start w:val="1"/>
      <w:numFmt w:val="lowerLetter"/>
      <w:lvlText w:val="%5)"/>
      <w:lvlJc w:val="left"/>
      <w:pPr>
        <w:tabs>
          <w:tab w:val="left" w:pos="8763"/>
        </w:tabs>
        <w:ind w:left="8763" w:hanging="420"/>
      </w:pPr>
    </w:lvl>
    <w:lvl w:ilvl="5" w:tentative="0">
      <w:start w:val="1"/>
      <w:numFmt w:val="lowerRoman"/>
      <w:lvlText w:val="%6."/>
      <w:lvlJc w:val="right"/>
      <w:pPr>
        <w:tabs>
          <w:tab w:val="left" w:pos="9183"/>
        </w:tabs>
        <w:ind w:left="9183" w:hanging="420"/>
      </w:pPr>
    </w:lvl>
    <w:lvl w:ilvl="6" w:tentative="0">
      <w:start w:val="1"/>
      <w:numFmt w:val="decimal"/>
      <w:lvlText w:val="%7."/>
      <w:lvlJc w:val="left"/>
      <w:pPr>
        <w:tabs>
          <w:tab w:val="left" w:pos="9603"/>
        </w:tabs>
        <w:ind w:left="9603" w:hanging="420"/>
      </w:pPr>
    </w:lvl>
    <w:lvl w:ilvl="7" w:tentative="0">
      <w:start w:val="1"/>
      <w:numFmt w:val="lowerLetter"/>
      <w:lvlText w:val="%8)"/>
      <w:lvlJc w:val="left"/>
      <w:pPr>
        <w:tabs>
          <w:tab w:val="left" w:pos="10023"/>
        </w:tabs>
        <w:ind w:left="10023" w:hanging="420"/>
      </w:pPr>
    </w:lvl>
    <w:lvl w:ilvl="8" w:tentative="0">
      <w:start w:val="1"/>
      <w:numFmt w:val="lowerRoman"/>
      <w:lvlText w:val="%9."/>
      <w:lvlJc w:val="right"/>
      <w:pPr>
        <w:tabs>
          <w:tab w:val="left" w:pos="10443"/>
        </w:tabs>
        <w:ind w:left="10443" w:hanging="420"/>
      </w:pPr>
    </w:lvl>
  </w:abstractNum>
  <w:abstractNum w:abstractNumId="40">
    <w:nsid w:val="75AB70B3"/>
    <w:multiLevelType w:val="multilevel"/>
    <w:tmpl w:val="75AB70B3"/>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77ECEA79"/>
    <w:multiLevelType w:val="singleLevel"/>
    <w:tmpl w:val="77ECEA79"/>
    <w:lvl w:ilvl="0" w:tentative="0">
      <w:start w:val="0"/>
      <w:numFmt w:val="bullet"/>
      <w:lvlText w:val="•"/>
      <w:lvlJc w:val="left"/>
      <w:rPr>
        <w:color w:val="3370FF"/>
      </w:rPr>
    </w:lvl>
  </w:abstractNum>
  <w:abstractNum w:abstractNumId="42">
    <w:nsid w:val="7C246926"/>
    <w:multiLevelType w:val="singleLevel"/>
    <w:tmpl w:val="7C246926"/>
    <w:lvl w:ilvl="0" w:tentative="0">
      <w:start w:val="0"/>
      <w:numFmt w:val="bullet"/>
      <w:lvlText w:val="•"/>
      <w:lvlJc w:val="left"/>
      <w:rPr>
        <w:color w:val="3370FF"/>
      </w:rPr>
    </w:lvl>
  </w:abstractNum>
  <w:num w:numId="1">
    <w:abstractNumId w:val="34"/>
  </w:num>
  <w:num w:numId="2">
    <w:abstractNumId w:val="11"/>
  </w:num>
  <w:num w:numId="3">
    <w:abstractNumId w:val="30"/>
  </w:num>
  <w:num w:numId="4">
    <w:abstractNumId w:val="21"/>
  </w:num>
  <w:num w:numId="5">
    <w:abstractNumId w:val="22"/>
  </w:num>
  <w:num w:numId="6">
    <w:abstractNumId w:val="24"/>
  </w:num>
  <w:num w:numId="7">
    <w:abstractNumId w:val="28"/>
  </w:num>
  <w:num w:numId="8">
    <w:abstractNumId w:val="38"/>
  </w:num>
  <w:num w:numId="9">
    <w:abstractNumId w:val="2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7"/>
  </w:num>
  <w:num w:numId="26">
    <w:abstractNumId w:val="33"/>
  </w:num>
  <w:num w:numId="27">
    <w:abstractNumId w:val="6"/>
  </w:num>
  <w:num w:numId="28">
    <w:abstractNumId w:val="4"/>
  </w:num>
  <w:num w:numId="29">
    <w:abstractNumId w:val="12"/>
  </w:num>
  <w:num w:numId="30">
    <w:abstractNumId w:val="9"/>
  </w:num>
  <w:num w:numId="31">
    <w:abstractNumId w:val="19"/>
  </w:num>
  <w:num w:numId="32">
    <w:abstractNumId w:val="8"/>
  </w:num>
  <w:num w:numId="33">
    <w:abstractNumId w:val="1"/>
  </w:num>
  <w:num w:numId="34">
    <w:abstractNumId w:val="31"/>
  </w:num>
  <w:num w:numId="35">
    <w:abstractNumId w:val="35"/>
  </w:num>
  <w:num w:numId="36">
    <w:abstractNumId w:val="14"/>
  </w:num>
  <w:num w:numId="37">
    <w:abstractNumId w:val="3"/>
  </w:num>
  <w:num w:numId="38">
    <w:abstractNumId w:val="42"/>
  </w:num>
  <w:num w:numId="39">
    <w:abstractNumId w:val="41"/>
  </w:num>
  <w:num w:numId="40">
    <w:abstractNumId w:val="5"/>
  </w:num>
  <w:num w:numId="41">
    <w:abstractNumId w:val="36"/>
  </w:num>
  <w:num w:numId="42">
    <w:abstractNumId w:val="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14402"/>
    <w:rsid w:val="00022793"/>
    <w:rsid w:val="00025717"/>
    <w:rsid w:val="000277D1"/>
    <w:rsid w:val="00030933"/>
    <w:rsid w:val="00034C8E"/>
    <w:rsid w:val="000367ED"/>
    <w:rsid w:val="00037D7F"/>
    <w:rsid w:val="00047837"/>
    <w:rsid w:val="00051984"/>
    <w:rsid w:val="00052C0E"/>
    <w:rsid w:val="00057E4C"/>
    <w:rsid w:val="00060DB7"/>
    <w:rsid w:val="00061BA3"/>
    <w:rsid w:val="00065E22"/>
    <w:rsid w:val="000674E3"/>
    <w:rsid w:val="00074760"/>
    <w:rsid w:val="00074A34"/>
    <w:rsid w:val="00085CA2"/>
    <w:rsid w:val="000866C9"/>
    <w:rsid w:val="00092243"/>
    <w:rsid w:val="0009500D"/>
    <w:rsid w:val="000962C0"/>
    <w:rsid w:val="00097183"/>
    <w:rsid w:val="000A1C86"/>
    <w:rsid w:val="000A6182"/>
    <w:rsid w:val="000B0914"/>
    <w:rsid w:val="000B2F35"/>
    <w:rsid w:val="000C57EB"/>
    <w:rsid w:val="000C629C"/>
    <w:rsid w:val="000D1175"/>
    <w:rsid w:val="000D1AB8"/>
    <w:rsid w:val="000D35CF"/>
    <w:rsid w:val="000D51F3"/>
    <w:rsid w:val="000D56C5"/>
    <w:rsid w:val="000E505B"/>
    <w:rsid w:val="000F116F"/>
    <w:rsid w:val="000F15E9"/>
    <w:rsid w:val="000F27AD"/>
    <w:rsid w:val="000F39C1"/>
    <w:rsid w:val="000F4255"/>
    <w:rsid w:val="00101100"/>
    <w:rsid w:val="0011079D"/>
    <w:rsid w:val="00111D19"/>
    <w:rsid w:val="001150C5"/>
    <w:rsid w:val="00122E24"/>
    <w:rsid w:val="001233D2"/>
    <w:rsid w:val="0012681B"/>
    <w:rsid w:val="00130886"/>
    <w:rsid w:val="00134FD9"/>
    <w:rsid w:val="00135AC9"/>
    <w:rsid w:val="001412FA"/>
    <w:rsid w:val="001418E2"/>
    <w:rsid w:val="00142384"/>
    <w:rsid w:val="00142830"/>
    <w:rsid w:val="00144E1C"/>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15E03"/>
    <w:rsid w:val="00227556"/>
    <w:rsid w:val="002305DA"/>
    <w:rsid w:val="002318C1"/>
    <w:rsid w:val="00233571"/>
    <w:rsid w:val="002336A1"/>
    <w:rsid w:val="00241E6B"/>
    <w:rsid w:val="00242301"/>
    <w:rsid w:val="002427A9"/>
    <w:rsid w:val="002431E7"/>
    <w:rsid w:val="002439B1"/>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D5148"/>
    <w:rsid w:val="002E0F0C"/>
    <w:rsid w:val="002E3036"/>
    <w:rsid w:val="002E49DF"/>
    <w:rsid w:val="002E4DB0"/>
    <w:rsid w:val="002E6175"/>
    <w:rsid w:val="002F1C0D"/>
    <w:rsid w:val="002F34BA"/>
    <w:rsid w:val="002F755A"/>
    <w:rsid w:val="003053B9"/>
    <w:rsid w:val="00306D3E"/>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2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29B3"/>
    <w:rsid w:val="004835AF"/>
    <w:rsid w:val="00490A62"/>
    <w:rsid w:val="0049126B"/>
    <w:rsid w:val="00492D04"/>
    <w:rsid w:val="004941B1"/>
    <w:rsid w:val="00494C07"/>
    <w:rsid w:val="00495968"/>
    <w:rsid w:val="0049696E"/>
    <w:rsid w:val="004A13AF"/>
    <w:rsid w:val="004A2650"/>
    <w:rsid w:val="004A46AD"/>
    <w:rsid w:val="004A498D"/>
    <w:rsid w:val="004C16AE"/>
    <w:rsid w:val="004C4B54"/>
    <w:rsid w:val="004D6A19"/>
    <w:rsid w:val="004F0F94"/>
    <w:rsid w:val="00500D74"/>
    <w:rsid w:val="00505560"/>
    <w:rsid w:val="00513D5D"/>
    <w:rsid w:val="0051414A"/>
    <w:rsid w:val="00514AFE"/>
    <w:rsid w:val="005318D9"/>
    <w:rsid w:val="00533119"/>
    <w:rsid w:val="005339E0"/>
    <w:rsid w:val="005345C8"/>
    <w:rsid w:val="00535000"/>
    <w:rsid w:val="005369F4"/>
    <w:rsid w:val="00547AD0"/>
    <w:rsid w:val="00547FCD"/>
    <w:rsid w:val="005518F3"/>
    <w:rsid w:val="00555E59"/>
    <w:rsid w:val="00564A9D"/>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54714"/>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16BE"/>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069C"/>
    <w:rsid w:val="007245FA"/>
    <w:rsid w:val="007279F5"/>
    <w:rsid w:val="007320BE"/>
    <w:rsid w:val="00732878"/>
    <w:rsid w:val="00733A20"/>
    <w:rsid w:val="0073742A"/>
    <w:rsid w:val="007422CA"/>
    <w:rsid w:val="00745001"/>
    <w:rsid w:val="00745779"/>
    <w:rsid w:val="00746DBA"/>
    <w:rsid w:val="00751B1E"/>
    <w:rsid w:val="00753C0F"/>
    <w:rsid w:val="007540CE"/>
    <w:rsid w:val="00755E15"/>
    <w:rsid w:val="007601EF"/>
    <w:rsid w:val="00760373"/>
    <w:rsid w:val="00762478"/>
    <w:rsid w:val="007640EF"/>
    <w:rsid w:val="00786BE0"/>
    <w:rsid w:val="00794F72"/>
    <w:rsid w:val="00795740"/>
    <w:rsid w:val="007B7828"/>
    <w:rsid w:val="007C2665"/>
    <w:rsid w:val="007C2B12"/>
    <w:rsid w:val="007C6297"/>
    <w:rsid w:val="007C7F5F"/>
    <w:rsid w:val="007D17EF"/>
    <w:rsid w:val="007D2272"/>
    <w:rsid w:val="007D2A16"/>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0F5D"/>
    <w:rsid w:val="008263B0"/>
    <w:rsid w:val="00826D77"/>
    <w:rsid w:val="008279D0"/>
    <w:rsid w:val="008367BA"/>
    <w:rsid w:val="0084007B"/>
    <w:rsid w:val="00840870"/>
    <w:rsid w:val="00841F1D"/>
    <w:rsid w:val="008433A6"/>
    <w:rsid w:val="0085290F"/>
    <w:rsid w:val="00855428"/>
    <w:rsid w:val="00856CF7"/>
    <w:rsid w:val="00856E19"/>
    <w:rsid w:val="008622DD"/>
    <w:rsid w:val="00862896"/>
    <w:rsid w:val="008725C6"/>
    <w:rsid w:val="00876586"/>
    <w:rsid w:val="00881683"/>
    <w:rsid w:val="00881942"/>
    <w:rsid w:val="00885D5E"/>
    <w:rsid w:val="00892A2A"/>
    <w:rsid w:val="00895AAC"/>
    <w:rsid w:val="008A20B3"/>
    <w:rsid w:val="008A28CB"/>
    <w:rsid w:val="008B4179"/>
    <w:rsid w:val="008C03C3"/>
    <w:rsid w:val="008C42FE"/>
    <w:rsid w:val="008C51D5"/>
    <w:rsid w:val="008C5F4F"/>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35D4"/>
    <w:rsid w:val="00964F96"/>
    <w:rsid w:val="009663D1"/>
    <w:rsid w:val="00967702"/>
    <w:rsid w:val="00971BD1"/>
    <w:rsid w:val="00974883"/>
    <w:rsid w:val="00975EAC"/>
    <w:rsid w:val="00983BF9"/>
    <w:rsid w:val="009873FF"/>
    <w:rsid w:val="009928C9"/>
    <w:rsid w:val="00992DC8"/>
    <w:rsid w:val="00995066"/>
    <w:rsid w:val="00995F84"/>
    <w:rsid w:val="0099730F"/>
    <w:rsid w:val="009A5EA2"/>
    <w:rsid w:val="009A6FD0"/>
    <w:rsid w:val="009B054A"/>
    <w:rsid w:val="009B203C"/>
    <w:rsid w:val="009B2DE5"/>
    <w:rsid w:val="009B34B8"/>
    <w:rsid w:val="009D49AE"/>
    <w:rsid w:val="009D501D"/>
    <w:rsid w:val="009D7449"/>
    <w:rsid w:val="009E1058"/>
    <w:rsid w:val="009F0778"/>
    <w:rsid w:val="009F2EC4"/>
    <w:rsid w:val="009F6299"/>
    <w:rsid w:val="00A0104B"/>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556"/>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2E2"/>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1AA"/>
    <w:rsid w:val="00B7542E"/>
    <w:rsid w:val="00B81287"/>
    <w:rsid w:val="00B837B8"/>
    <w:rsid w:val="00B8397A"/>
    <w:rsid w:val="00B84124"/>
    <w:rsid w:val="00B841E6"/>
    <w:rsid w:val="00B908A4"/>
    <w:rsid w:val="00B912C6"/>
    <w:rsid w:val="00B92794"/>
    <w:rsid w:val="00B92844"/>
    <w:rsid w:val="00B936AF"/>
    <w:rsid w:val="00B93AEA"/>
    <w:rsid w:val="00B97B69"/>
    <w:rsid w:val="00BA3909"/>
    <w:rsid w:val="00BA4E15"/>
    <w:rsid w:val="00BA5C95"/>
    <w:rsid w:val="00BA76D8"/>
    <w:rsid w:val="00BB028C"/>
    <w:rsid w:val="00BB56DE"/>
    <w:rsid w:val="00BB5B39"/>
    <w:rsid w:val="00BB7853"/>
    <w:rsid w:val="00BC11B8"/>
    <w:rsid w:val="00BC1268"/>
    <w:rsid w:val="00BC5328"/>
    <w:rsid w:val="00BD26E5"/>
    <w:rsid w:val="00BD5816"/>
    <w:rsid w:val="00BD607C"/>
    <w:rsid w:val="00BD77D8"/>
    <w:rsid w:val="00BF0B81"/>
    <w:rsid w:val="00BF0BA0"/>
    <w:rsid w:val="00BF1A08"/>
    <w:rsid w:val="00BF524A"/>
    <w:rsid w:val="00C04D6E"/>
    <w:rsid w:val="00C05D72"/>
    <w:rsid w:val="00C074CA"/>
    <w:rsid w:val="00C10DC9"/>
    <w:rsid w:val="00C13082"/>
    <w:rsid w:val="00C13286"/>
    <w:rsid w:val="00C13A92"/>
    <w:rsid w:val="00C14D2D"/>
    <w:rsid w:val="00C20605"/>
    <w:rsid w:val="00C2382B"/>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5C68"/>
    <w:rsid w:val="00C864FC"/>
    <w:rsid w:val="00C8727A"/>
    <w:rsid w:val="00C913CE"/>
    <w:rsid w:val="00C93BEF"/>
    <w:rsid w:val="00CA196F"/>
    <w:rsid w:val="00CA54A9"/>
    <w:rsid w:val="00CB2E01"/>
    <w:rsid w:val="00CB3440"/>
    <w:rsid w:val="00CB5372"/>
    <w:rsid w:val="00CC31F8"/>
    <w:rsid w:val="00CC6798"/>
    <w:rsid w:val="00CC7F13"/>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049A"/>
    <w:rsid w:val="00D5281B"/>
    <w:rsid w:val="00D54A67"/>
    <w:rsid w:val="00D571F8"/>
    <w:rsid w:val="00D60D83"/>
    <w:rsid w:val="00D627B1"/>
    <w:rsid w:val="00D62BDB"/>
    <w:rsid w:val="00D64110"/>
    <w:rsid w:val="00D64BE9"/>
    <w:rsid w:val="00D67F61"/>
    <w:rsid w:val="00D70AEA"/>
    <w:rsid w:val="00D70F88"/>
    <w:rsid w:val="00D7174C"/>
    <w:rsid w:val="00D728BD"/>
    <w:rsid w:val="00D73C0E"/>
    <w:rsid w:val="00D749CB"/>
    <w:rsid w:val="00D84B38"/>
    <w:rsid w:val="00D86664"/>
    <w:rsid w:val="00D87834"/>
    <w:rsid w:val="00D87E3C"/>
    <w:rsid w:val="00D913F7"/>
    <w:rsid w:val="00D92871"/>
    <w:rsid w:val="00D93559"/>
    <w:rsid w:val="00D947D8"/>
    <w:rsid w:val="00D957A8"/>
    <w:rsid w:val="00D96DE6"/>
    <w:rsid w:val="00D9778F"/>
    <w:rsid w:val="00DA5752"/>
    <w:rsid w:val="00DA7F1E"/>
    <w:rsid w:val="00DC279C"/>
    <w:rsid w:val="00DC618F"/>
    <w:rsid w:val="00DD3B90"/>
    <w:rsid w:val="00DD56C2"/>
    <w:rsid w:val="00DD73F9"/>
    <w:rsid w:val="00DE0812"/>
    <w:rsid w:val="00DE4F00"/>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7570E"/>
    <w:rsid w:val="00E80BDD"/>
    <w:rsid w:val="00E85991"/>
    <w:rsid w:val="00E93446"/>
    <w:rsid w:val="00E94724"/>
    <w:rsid w:val="00E975FE"/>
    <w:rsid w:val="00E97CE7"/>
    <w:rsid w:val="00EA5A6E"/>
    <w:rsid w:val="00EA6D25"/>
    <w:rsid w:val="00EC50D4"/>
    <w:rsid w:val="00EC5462"/>
    <w:rsid w:val="00ED19AE"/>
    <w:rsid w:val="00ED2C9E"/>
    <w:rsid w:val="00ED4FC5"/>
    <w:rsid w:val="00EE7E64"/>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3F82"/>
    <w:rsid w:val="00F51F3C"/>
    <w:rsid w:val="00F53D9C"/>
    <w:rsid w:val="00F5592F"/>
    <w:rsid w:val="00F6409E"/>
    <w:rsid w:val="00F67332"/>
    <w:rsid w:val="00F72135"/>
    <w:rsid w:val="00F73211"/>
    <w:rsid w:val="00F77283"/>
    <w:rsid w:val="00F772C3"/>
    <w:rsid w:val="00F80338"/>
    <w:rsid w:val="00F81A93"/>
    <w:rsid w:val="00F84F93"/>
    <w:rsid w:val="00F8501D"/>
    <w:rsid w:val="00F93CD8"/>
    <w:rsid w:val="00F94306"/>
    <w:rsid w:val="00FA12B9"/>
    <w:rsid w:val="00FB0C70"/>
    <w:rsid w:val="00FB7A38"/>
    <w:rsid w:val="00FC6A22"/>
    <w:rsid w:val="00FD0D54"/>
    <w:rsid w:val="00FD1B14"/>
    <w:rsid w:val="00FD1DC9"/>
    <w:rsid w:val="00FD29D5"/>
    <w:rsid w:val="00FE1FBB"/>
    <w:rsid w:val="00FE65F9"/>
    <w:rsid w:val="00FF213C"/>
    <w:rsid w:val="00FF2A7F"/>
    <w:rsid w:val="00FF49E8"/>
    <w:rsid w:val="00FF5F83"/>
    <w:rsid w:val="025C7268"/>
    <w:rsid w:val="02F9158F"/>
    <w:rsid w:val="0367315B"/>
    <w:rsid w:val="04602F94"/>
    <w:rsid w:val="05B82AAB"/>
    <w:rsid w:val="061139E5"/>
    <w:rsid w:val="06F50B00"/>
    <w:rsid w:val="076E1278"/>
    <w:rsid w:val="077A3CEC"/>
    <w:rsid w:val="08D1141D"/>
    <w:rsid w:val="08ED05EB"/>
    <w:rsid w:val="0B157AA4"/>
    <w:rsid w:val="0B296DE2"/>
    <w:rsid w:val="0DFF66F2"/>
    <w:rsid w:val="0ED3625B"/>
    <w:rsid w:val="0EEF4894"/>
    <w:rsid w:val="10294AA3"/>
    <w:rsid w:val="10E40CA0"/>
    <w:rsid w:val="10F468BD"/>
    <w:rsid w:val="136130D9"/>
    <w:rsid w:val="14FB4921"/>
    <w:rsid w:val="17FD4E8E"/>
    <w:rsid w:val="18DD4F7E"/>
    <w:rsid w:val="195B58A2"/>
    <w:rsid w:val="197049BD"/>
    <w:rsid w:val="19C62C11"/>
    <w:rsid w:val="1BF53514"/>
    <w:rsid w:val="1DF07639"/>
    <w:rsid w:val="1E085A14"/>
    <w:rsid w:val="1E1D4384"/>
    <w:rsid w:val="1FF43DDB"/>
    <w:rsid w:val="1FF753B5"/>
    <w:rsid w:val="216F43E6"/>
    <w:rsid w:val="217B3D59"/>
    <w:rsid w:val="21933AA2"/>
    <w:rsid w:val="25BF356F"/>
    <w:rsid w:val="25DB0C2D"/>
    <w:rsid w:val="269469E7"/>
    <w:rsid w:val="29FC3B14"/>
    <w:rsid w:val="2B11792E"/>
    <w:rsid w:val="2DAC0C87"/>
    <w:rsid w:val="2DD82A71"/>
    <w:rsid w:val="2FAD43AF"/>
    <w:rsid w:val="30070A90"/>
    <w:rsid w:val="30C85944"/>
    <w:rsid w:val="31C54755"/>
    <w:rsid w:val="3216608C"/>
    <w:rsid w:val="34CE14C6"/>
    <w:rsid w:val="34D84CEC"/>
    <w:rsid w:val="37781C85"/>
    <w:rsid w:val="37AF5AB7"/>
    <w:rsid w:val="39EB35CF"/>
    <w:rsid w:val="3A5807D1"/>
    <w:rsid w:val="3A782036"/>
    <w:rsid w:val="3B1C3371"/>
    <w:rsid w:val="3B2C2488"/>
    <w:rsid w:val="3BBF3035"/>
    <w:rsid w:val="3CC23198"/>
    <w:rsid w:val="3DDF4815"/>
    <w:rsid w:val="3E7F2F9B"/>
    <w:rsid w:val="3FE669E5"/>
    <w:rsid w:val="41A67CD2"/>
    <w:rsid w:val="4498267C"/>
    <w:rsid w:val="4650718D"/>
    <w:rsid w:val="47D04287"/>
    <w:rsid w:val="48BE4A7F"/>
    <w:rsid w:val="4963470F"/>
    <w:rsid w:val="4997476B"/>
    <w:rsid w:val="4A6A0986"/>
    <w:rsid w:val="4CFC025C"/>
    <w:rsid w:val="4DFE3005"/>
    <w:rsid w:val="4E946BAA"/>
    <w:rsid w:val="4F2B0FC0"/>
    <w:rsid w:val="50F63E28"/>
    <w:rsid w:val="51E001BA"/>
    <w:rsid w:val="51EF1550"/>
    <w:rsid w:val="5221007F"/>
    <w:rsid w:val="52285E83"/>
    <w:rsid w:val="525B5056"/>
    <w:rsid w:val="52926B5A"/>
    <w:rsid w:val="545C5E51"/>
    <w:rsid w:val="5486175B"/>
    <w:rsid w:val="550E412C"/>
    <w:rsid w:val="5548183E"/>
    <w:rsid w:val="55F339DD"/>
    <w:rsid w:val="57667D24"/>
    <w:rsid w:val="57CE5BC3"/>
    <w:rsid w:val="598B597F"/>
    <w:rsid w:val="5AE1516A"/>
    <w:rsid w:val="5B2A7BED"/>
    <w:rsid w:val="5B6A3A79"/>
    <w:rsid w:val="5B7C46D1"/>
    <w:rsid w:val="5C1A5F7B"/>
    <w:rsid w:val="5CB820DB"/>
    <w:rsid w:val="5FBD506D"/>
    <w:rsid w:val="5FD01045"/>
    <w:rsid w:val="60BA1B88"/>
    <w:rsid w:val="61391581"/>
    <w:rsid w:val="62220EC2"/>
    <w:rsid w:val="645771F8"/>
    <w:rsid w:val="66667CFD"/>
    <w:rsid w:val="67A9486E"/>
    <w:rsid w:val="695042A7"/>
    <w:rsid w:val="6A54112D"/>
    <w:rsid w:val="6AA035AE"/>
    <w:rsid w:val="6B3545B5"/>
    <w:rsid w:val="6D506F5E"/>
    <w:rsid w:val="6E0F2E14"/>
    <w:rsid w:val="6F1E141D"/>
    <w:rsid w:val="6F5354F8"/>
    <w:rsid w:val="739569E8"/>
    <w:rsid w:val="740A2BDE"/>
    <w:rsid w:val="74D64079"/>
    <w:rsid w:val="751839E0"/>
    <w:rsid w:val="75897CC2"/>
    <w:rsid w:val="75D63924"/>
    <w:rsid w:val="76274F93"/>
    <w:rsid w:val="77CF6B1B"/>
    <w:rsid w:val="79B95FD7"/>
    <w:rsid w:val="79EB3F2F"/>
    <w:rsid w:val="7A0B5A69"/>
    <w:rsid w:val="7B11789E"/>
    <w:rsid w:val="7C9C3DE9"/>
    <w:rsid w:val="7D85545B"/>
    <w:rsid w:val="7D8E45FE"/>
    <w:rsid w:val="7DC94A0A"/>
    <w:rsid w:val="7EA56095"/>
    <w:rsid w:val="7F7D5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99" w:semiHidden="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iPriority="99"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qFormat="1" w:uiPriority="99"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60"/>
    <w:qFormat/>
    <w:uiPriority w:val="0"/>
    <w:pPr>
      <w:ind w:left="538"/>
      <w:outlineLvl w:val="0"/>
    </w:pPr>
    <w:rPr>
      <w:b/>
      <w:bCs/>
      <w:sz w:val="28"/>
      <w:szCs w:val="28"/>
    </w:rPr>
  </w:style>
  <w:style w:type="paragraph" w:styleId="3">
    <w:name w:val="heading 2"/>
    <w:basedOn w:val="1"/>
    <w:next w:val="1"/>
    <w:link w:val="61"/>
    <w:qFormat/>
    <w:uiPriority w:val="0"/>
    <w:pPr>
      <w:ind w:left="629"/>
      <w:outlineLvl w:val="1"/>
    </w:pPr>
    <w:rPr>
      <w:b/>
      <w:bCs/>
      <w:sz w:val="24"/>
      <w:szCs w:val="24"/>
    </w:rPr>
  </w:style>
  <w:style w:type="paragraph" w:styleId="4">
    <w:name w:val="heading 3"/>
    <w:basedOn w:val="1"/>
    <w:next w:val="1"/>
    <w:link w:val="62"/>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63"/>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64"/>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5"/>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7"/>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8"/>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9"/>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6"/>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List 3"/>
    <w:basedOn w:val="1"/>
    <w:semiHidden/>
    <w:unhideWhenUsed/>
    <w:qFormat/>
    <w:uiPriority w:val="99"/>
    <w:pPr>
      <w:autoSpaceDE/>
      <w:autoSpaceDN/>
      <w:ind w:left="100" w:leftChars="400" w:hanging="200" w:hangingChars="200"/>
      <w:contextualSpacing/>
      <w:jc w:val="both"/>
    </w:pPr>
    <w:rPr>
      <w:rFonts w:ascii="Times New Roman" w:hAnsi="Times New Roman" w:cs="Times New Roman"/>
      <w:kern w:val="2"/>
      <w:sz w:val="21"/>
      <w:szCs w:val="24"/>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index 8"/>
    <w:basedOn w:val="1"/>
    <w:next w:val="1"/>
    <w:qFormat/>
    <w:uiPriority w:val="99"/>
    <w:pPr>
      <w:ind w:left="1400" w:leftChars="1400"/>
    </w:pPr>
  </w:style>
  <w:style w:type="paragraph" w:styleId="15">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6">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7">
    <w:name w:val="Document Map"/>
    <w:basedOn w:val="1"/>
    <w:link w:val="99"/>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8">
    <w:name w:val="annotation text"/>
    <w:basedOn w:val="1"/>
    <w:link w:val="86"/>
    <w:qFormat/>
    <w:uiPriority w:val="0"/>
    <w:pPr>
      <w:autoSpaceDE/>
      <w:autoSpaceDN/>
    </w:pPr>
    <w:rPr>
      <w:rFonts w:ascii="Times New Roman" w:hAnsi="Times New Roman" w:cs="Times New Roman"/>
      <w:kern w:val="2"/>
      <w:sz w:val="21"/>
      <w:szCs w:val="20"/>
      <w:lang w:eastAsia="zh-CN"/>
    </w:rPr>
  </w:style>
  <w:style w:type="paragraph" w:styleId="19">
    <w:name w:val="Body Text 3"/>
    <w:basedOn w:val="1"/>
    <w:link w:val="95"/>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0">
    <w:name w:val="Closing"/>
    <w:basedOn w:val="1"/>
    <w:link w:val="80"/>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1">
    <w:name w:val="Body Text"/>
    <w:basedOn w:val="1"/>
    <w:link w:val="70"/>
    <w:qFormat/>
    <w:uiPriority w:val="1"/>
    <w:rPr>
      <w:sz w:val="24"/>
      <w:szCs w:val="24"/>
    </w:rPr>
  </w:style>
  <w:style w:type="paragraph" w:styleId="22">
    <w:name w:val="Body Text Indent"/>
    <w:basedOn w:val="1"/>
    <w:link w:val="94"/>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3">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4">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5">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6">
    <w:name w:val="Plain Text"/>
    <w:basedOn w:val="1"/>
    <w:link w:val="71"/>
    <w:qFormat/>
    <w:uiPriority w:val="99"/>
    <w:rPr>
      <w:rFonts w:hAnsi="Courier New" w:cs="Courier New"/>
      <w:szCs w:val="21"/>
    </w:rPr>
  </w:style>
  <w:style w:type="paragraph" w:styleId="27">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8">
    <w:name w:val="Date"/>
    <w:basedOn w:val="1"/>
    <w:next w:val="1"/>
    <w:link w:val="100"/>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9">
    <w:name w:val="Body Text Indent 2"/>
    <w:basedOn w:val="1"/>
    <w:link w:val="89"/>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0">
    <w:name w:val="Balloon Text"/>
    <w:basedOn w:val="1"/>
    <w:link w:val="87"/>
    <w:qFormat/>
    <w:uiPriority w:val="0"/>
    <w:pPr>
      <w:autoSpaceDE/>
      <w:autoSpaceDN/>
      <w:jc w:val="both"/>
    </w:pPr>
    <w:rPr>
      <w:rFonts w:ascii="Times New Roman" w:hAnsi="Times New Roman" w:cs="Times New Roman"/>
      <w:kern w:val="2"/>
      <w:sz w:val="18"/>
      <w:szCs w:val="18"/>
      <w:lang w:eastAsia="zh-CN"/>
    </w:rPr>
  </w:style>
  <w:style w:type="paragraph" w:styleId="31">
    <w:name w:val="footer"/>
    <w:basedOn w:val="1"/>
    <w:link w:val="72"/>
    <w:qFormat/>
    <w:uiPriority w:val="99"/>
    <w:pPr>
      <w:tabs>
        <w:tab w:val="center" w:pos="4153"/>
        <w:tab w:val="right" w:pos="8306"/>
      </w:tabs>
      <w:snapToGrid w:val="0"/>
    </w:pPr>
    <w:rPr>
      <w:sz w:val="18"/>
      <w:szCs w:val="18"/>
    </w:rPr>
  </w:style>
  <w:style w:type="paragraph" w:styleId="32">
    <w:name w:val="header"/>
    <w:basedOn w:val="1"/>
    <w:link w:val="7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3">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4">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5">
    <w:name w:val="List"/>
    <w:basedOn w:val="1"/>
    <w:qFormat/>
    <w:uiPriority w:val="0"/>
    <w:pPr>
      <w:widowControl/>
      <w:autoSpaceDE/>
      <w:autoSpaceDN/>
      <w:ind w:left="420" w:hanging="420"/>
    </w:pPr>
    <w:rPr>
      <w:rFonts w:hAnsi="Times New Roman" w:cs="Times New Roman"/>
      <w:szCs w:val="20"/>
      <w:lang w:eastAsia="zh-CN"/>
    </w:rPr>
  </w:style>
  <w:style w:type="paragraph" w:styleId="36">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7">
    <w:name w:val="Body Text Indent 3"/>
    <w:basedOn w:val="1"/>
    <w:link w:val="88"/>
    <w:qFormat/>
    <w:uiPriority w:val="0"/>
    <w:pPr>
      <w:autoSpaceDE/>
      <w:autoSpaceDN/>
      <w:ind w:firstLine="560"/>
      <w:jc w:val="both"/>
    </w:pPr>
    <w:rPr>
      <w:rFonts w:ascii="Times New Roman" w:hAnsi="Times New Roman" w:cs="Times New Roman"/>
      <w:kern w:val="2"/>
      <w:sz w:val="28"/>
      <w:szCs w:val="20"/>
      <w:lang w:eastAsia="zh-CN"/>
    </w:rPr>
  </w:style>
  <w:style w:type="paragraph" w:styleId="38">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9">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Body Text 2"/>
    <w:basedOn w:val="1"/>
    <w:link w:val="101"/>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1">
    <w:name w:val="List Continue 2"/>
    <w:basedOn w:val="1"/>
    <w:semiHidden/>
    <w:unhideWhenUsed/>
    <w:qFormat/>
    <w:uiPriority w:val="99"/>
    <w:pPr>
      <w:autoSpaceDE/>
      <w:autoSpaceDN/>
      <w:spacing w:after="120"/>
      <w:ind w:left="840" w:leftChars="400"/>
      <w:contextualSpacing/>
      <w:jc w:val="both"/>
    </w:pPr>
    <w:rPr>
      <w:rFonts w:ascii="Times New Roman" w:hAnsi="Times New Roman" w:cs="Times New Roman"/>
      <w:kern w:val="2"/>
      <w:sz w:val="21"/>
      <w:szCs w:val="24"/>
      <w:lang w:eastAsia="zh-CN"/>
    </w:rPr>
  </w:style>
  <w:style w:type="paragraph" w:styleId="42">
    <w:name w:val="Message Header"/>
    <w:basedOn w:val="1"/>
    <w:link w:val="107"/>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3">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4">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5">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6">
    <w:name w:val="Title"/>
    <w:basedOn w:val="1"/>
    <w:link w:val="93"/>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7">
    <w:name w:val="annotation subject"/>
    <w:basedOn w:val="18"/>
    <w:next w:val="18"/>
    <w:link w:val="103"/>
    <w:qFormat/>
    <w:uiPriority w:val="0"/>
    <w:pPr>
      <w:widowControl/>
    </w:pPr>
    <w:rPr>
      <w:b/>
      <w:bCs/>
      <w:sz w:val="24"/>
      <w:szCs w:val="24"/>
    </w:rPr>
  </w:style>
  <w:style w:type="paragraph" w:styleId="48">
    <w:name w:val="Body Text First Indent"/>
    <w:basedOn w:val="21"/>
    <w:link w:val="102"/>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9">
    <w:name w:val="Body Text First Indent 2"/>
    <w:basedOn w:val="22"/>
    <w:semiHidden/>
    <w:unhideWhenUsed/>
    <w:qFormat/>
    <w:uiPriority w:val="99"/>
    <w:pPr>
      <w:autoSpaceDE/>
      <w:autoSpaceDN/>
      <w:ind w:firstLine="420" w:firstLineChars="200"/>
      <w:jc w:val="both"/>
    </w:pPr>
    <w:rPr>
      <w:rFonts w:ascii="Times New Roman" w:hAnsi="Times New Roman" w:cs="Times New Roman"/>
      <w:kern w:val="2"/>
      <w:sz w:val="21"/>
      <w:szCs w:val="24"/>
      <w:lang w:eastAsia="zh-CN"/>
    </w:rPr>
  </w:style>
  <w:style w:type="table" w:styleId="51">
    <w:name w:val="Table Grid"/>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qFormat/>
    <w:uiPriority w:val="0"/>
    <w:rPr>
      <w:color w:val="800080"/>
      <w:u w:val="single"/>
    </w:rPr>
  </w:style>
  <w:style w:type="character" w:styleId="56">
    <w:name w:val="Emphasis"/>
    <w:basedOn w:val="52"/>
    <w:qFormat/>
    <w:uiPriority w:val="0"/>
  </w:style>
  <w:style w:type="character" w:styleId="57">
    <w:name w:val="Hyperlink"/>
    <w:basedOn w:val="52"/>
    <w:qFormat/>
    <w:uiPriority w:val="0"/>
    <w:rPr>
      <w:color w:val="0000FF" w:themeColor="hyperlink"/>
      <w:u w:val="single"/>
    </w:rPr>
  </w:style>
  <w:style w:type="character" w:styleId="58">
    <w:name w:val="annotation reference"/>
    <w:basedOn w:val="52"/>
    <w:qFormat/>
    <w:uiPriority w:val="0"/>
    <w:rPr>
      <w:sz w:val="21"/>
      <w:szCs w:val="21"/>
    </w:rPr>
  </w:style>
  <w:style w:type="paragraph" w:customStyle="1" w:styleId="59">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60">
    <w:name w:val="标题 1 Char"/>
    <w:basedOn w:val="52"/>
    <w:link w:val="2"/>
    <w:qFormat/>
    <w:uiPriority w:val="0"/>
    <w:rPr>
      <w:rFonts w:ascii="宋体" w:hAnsi="宋体" w:cs="宋体"/>
      <w:b/>
      <w:bCs/>
      <w:sz w:val="28"/>
      <w:szCs w:val="28"/>
      <w:lang w:eastAsia="en-US"/>
    </w:rPr>
  </w:style>
  <w:style w:type="character" w:customStyle="1" w:styleId="61">
    <w:name w:val="标题 2 Char"/>
    <w:basedOn w:val="52"/>
    <w:link w:val="3"/>
    <w:qFormat/>
    <w:uiPriority w:val="0"/>
    <w:rPr>
      <w:rFonts w:ascii="宋体" w:hAnsi="宋体" w:cs="宋体"/>
      <w:b/>
      <w:bCs/>
      <w:sz w:val="24"/>
      <w:szCs w:val="24"/>
      <w:lang w:eastAsia="en-US"/>
    </w:rPr>
  </w:style>
  <w:style w:type="character" w:customStyle="1" w:styleId="62">
    <w:name w:val="标题 3 Char"/>
    <w:basedOn w:val="52"/>
    <w:link w:val="4"/>
    <w:qFormat/>
    <w:uiPriority w:val="0"/>
    <w:rPr>
      <w:b/>
      <w:bCs/>
      <w:kern w:val="2"/>
      <w:sz w:val="32"/>
      <w:szCs w:val="32"/>
    </w:rPr>
  </w:style>
  <w:style w:type="character" w:customStyle="1" w:styleId="63">
    <w:name w:val="标题 4 Char"/>
    <w:basedOn w:val="52"/>
    <w:link w:val="5"/>
    <w:qFormat/>
    <w:uiPriority w:val="0"/>
    <w:rPr>
      <w:b/>
      <w:kern w:val="2"/>
      <w:sz w:val="24"/>
      <w:szCs w:val="24"/>
    </w:rPr>
  </w:style>
  <w:style w:type="character" w:customStyle="1" w:styleId="64">
    <w:name w:val="标题 5 Char"/>
    <w:basedOn w:val="52"/>
    <w:link w:val="6"/>
    <w:qFormat/>
    <w:uiPriority w:val="0"/>
    <w:rPr>
      <w:b/>
      <w:bCs/>
      <w:kern w:val="2"/>
      <w:sz w:val="28"/>
      <w:szCs w:val="28"/>
    </w:rPr>
  </w:style>
  <w:style w:type="character" w:customStyle="1" w:styleId="65">
    <w:name w:val="标题 6 Char"/>
    <w:basedOn w:val="52"/>
    <w:link w:val="7"/>
    <w:qFormat/>
    <w:uiPriority w:val="0"/>
    <w:rPr>
      <w:b/>
      <w:sz w:val="24"/>
    </w:rPr>
  </w:style>
  <w:style w:type="character" w:customStyle="1" w:styleId="66">
    <w:name w:val="正文缩进 Char"/>
    <w:basedOn w:val="52"/>
    <w:link w:val="9"/>
    <w:qFormat/>
    <w:uiPriority w:val="0"/>
    <w:rPr>
      <w:sz w:val="24"/>
    </w:rPr>
  </w:style>
  <w:style w:type="character" w:customStyle="1" w:styleId="67">
    <w:name w:val="标题 7 Char"/>
    <w:basedOn w:val="52"/>
    <w:link w:val="8"/>
    <w:qFormat/>
    <w:uiPriority w:val="0"/>
    <w:rPr>
      <w:b/>
      <w:kern w:val="2"/>
      <w:sz w:val="24"/>
    </w:rPr>
  </w:style>
  <w:style w:type="character" w:customStyle="1" w:styleId="68">
    <w:name w:val="标题 8 Char"/>
    <w:basedOn w:val="52"/>
    <w:link w:val="10"/>
    <w:qFormat/>
    <w:uiPriority w:val="0"/>
    <w:rPr>
      <w:rFonts w:ascii="Arial" w:hAnsi="Arial" w:eastAsia="黑体"/>
      <w:kern w:val="2"/>
      <w:sz w:val="24"/>
    </w:rPr>
  </w:style>
  <w:style w:type="character" w:customStyle="1" w:styleId="69">
    <w:name w:val="标题 9 Char"/>
    <w:basedOn w:val="52"/>
    <w:link w:val="11"/>
    <w:qFormat/>
    <w:uiPriority w:val="0"/>
    <w:rPr>
      <w:rFonts w:ascii="Arial" w:hAnsi="Arial" w:eastAsia="黑体"/>
      <w:kern w:val="2"/>
      <w:sz w:val="21"/>
    </w:rPr>
  </w:style>
  <w:style w:type="character" w:customStyle="1" w:styleId="70">
    <w:name w:val="正文文本 Char1"/>
    <w:basedOn w:val="52"/>
    <w:link w:val="21"/>
    <w:qFormat/>
    <w:uiPriority w:val="1"/>
    <w:rPr>
      <w:rFonts w:ascii="宋体" w:hAnsi="宋体" w:cs="宋体"/>
      <w:sz w:val="24"/>
      <w:szCs w:val="24"/>
      <w:lang w:eastAsia="en-US"/>
    </w:rPr>
  </w:style>
  <w:style w:type="character" w:customStyle="1" w:styleId="71">
    <w:name w:val="纯文本 Char"/>
    <w:basedOn w:val="52"/>
    <w:link w:val="26"/>
    <w:qFormat/>
    <w:uiPriority w:val="99"/>
    <w:rPr>
      <w:rFonts w:ascii="宋体" w:hAnsi="Courier New" w:cs="Courier New"/>
      <w:sz w:val="22"/>
      <w:szCs w:val="21"/>
      <w:lang w:eastAsia="en-US"/>
    </w:rPr>
  </w:style>
  <w:style w:type="character" w:customStyle="1" w:styleId="72">
    <w:name w:val="页脚 Char"/>
    <w:basedOn w:val="52"/>
    <w:link w:val="31"/>
    <w:qFormat/>
    <w:uiPriority w:val="99"/>
    <w:rPr>
      <w:rFonts w:ascii="宋体" w:hAnsi="宋体" w:cs="宋体"/>
      <w:sz w:val="18"/>
      <w:szCs w:val="18"/>
      <w:lang w:eastAsia="en-US"/>
    </w:rPr>
  </w:style>
  <w:style w:type="character" w:customStyle="1" w:styleId="73">
    <w:name w:val="页眉 Char"/>
    <w:basedOn w:val="52"/>
    <w:link w:val="32"/>
    <w:qFormat/>
    <w:uiPriority w:val="0"/>
    <w:rPr>
      <w:rFonts w:ascii="宋体" w:hAnsi="宋体" w:cs="宋体"/>
      <w:sz w:val="18"/>
      <w:szCs w:val="22"/>
      <w:lang w:eastAsia="en-US"/>
    </w:rPr>
  </w:style>
  <w:style w:type="table" w:customStyle="1" w:styleId="74">
    <w:name w:val="Table Normal"/>
    <w:semiHidden/>
    <w:unhideWhenUsed/>
    <w:qFormat/>
    <w:uiPriority w:val="2"/>
    <w:tblPr>
      <w:tblCellMar>
        <w:top w:w="0" w:type="dxa"/>
        <w:left w:w="0" w:type="dxa"/>
        <w:bottom w:w="0" w:type="dxa"/>
        <w:right w:w="0" w:type="dxa"/>
      </w:tblCellMar>
    </w:tblPr>
  </w:style>
  <w:style w:type="paragraph" w:styleId="75">
    <w:name w:val="List Paragraph"/>
    <w:basedOn w:val="1"/>
    <w:link w:val="209"/>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9">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80">
    <w:name w:val="结束语 Char"/>
    <w:basedOn w:val="52"/>
    <w:link w:val="20"/>
    <w:qFormat/>
    <w:uiPriority w:val="0"/>
    <w:rPr>
      <w:b/>
      <w:kern w:val="2"/>
      <w:sz w:val="21"/>
    </w:rPr>
  </w:style>
  <w:style w:type="character" w:customStyle="1" w:styleId="81">
    <w:name w:val="普通(网站) Char"/>
    <w:basedOn w:val="52"/>
    <w:link w:val="44"/>
    <w:qFormat/>
    <w:locked/>
    <w:uiPriority w:val="0"/>
    <w:rPr>
      <w:rFonts w:ascii="宋体" w:hAnsi="宋体" w:cs="宋体"/>
      <w:sz w:val="24"/>
      <w:szCs w:val="24"/>
    </w:rPr>
  </w:style>
  <w:style w:type="character" w:customStyle="1" w:styleId="82">
    <w:name w:val="xdrichtextbox2"/>
    <w:basedOn w:val="52"/>
    <w:qFormat/>
    <w:uiPriority w:val="0"/>
    <w:rPr>
      <w:color w:val="0000FF"/>
      <w:sz w:val="18"/>
      <w:szCs w:val="18"/>
      <w:u w:val="none"/>
      <w:bdr w:val="single" w:color="DCDCDC" w:sz="8" w:space="0"/>
      <w:shd w:val="clear" w:color="auto" w:fill="FFFFFF"/>
    </w:rPr>
  </w:style>
  <w:style w:type="character" w:customStyle="1" w:styleId="83">
    <w:name w:val="apple-converted-space"/>
    <w:basedOn w:val="52"/>
    <w:qFormat/>
    <w:uiPriority w:val="0"/>
  </w:style>
  <w:style w:type="character" w:customStyle="1" w:styleId="84">
    <w:name w:val="无间隔 Char"/>
    <w:basedOn w:val="52"/>
    <w:link w:val="85"/>
    <w:qFormat/>
    <w:uiPriority w:val="0"/>
    <w:rPr>
      <w:rFonts w:ascii="Calibri" w:hAnsi="Calibri"/>
      <w:sz w:val="22"/>
      <w:szCs w:val="22"/>
    </w:rPr>
  </w:style>
  <w:style w:type="paragraph" w:styleId="85">
    <w:name w:val="No Spacing"/>
    <w:link w:val="84"/>
    <w:qFormat/>
    <w:uiPriority w:val="0"/>
    <w:rPr>
      <w:rFonts w:ascii="Calibri" w:hAnsi="Calibri" w:eastAsia="宋体" w:cs="Times New Roman"/>
      <w:sz w:val="22"/>
      <w:szCs w:val="22"/>
      <w:lang w:val="en-US" w:eastAsia="zh-CN" w:bidi="ar-SA"/>
    </w:rPr>
  </w:style>
  <w:style w:type="character" w:customStyle="1" w:styleId="86">
    <w:name w:val="批注文字 Char"/>
    <w:basedOn w:val="52"/>
    <w:link w:val="18"/>
    <w:qFormat/>
    <w:uiPriority w:val="0"/>
    <w:rPr>
      <w:kern w:val="2"/>
      <w:sz w:val="21"/>
    </w:rPr>
  </w:style>
  <w:style w:type="character" w:customStyle="1" w:styleId="87">
    <w:name w:val="批注框文本 Char"/>
    <w:basedOn w:val="52"/>
    <w:link w:val="30"/>
    <w:qFormat/>
    <w:uiPriority w:val="0"/>
    <w:rPr>
      <w:kern w:val="2"/>
      <w:sz w:val="18"/>
      <w:szCs w:val="18"/>
    </w:rPr>
  </w:style>
  <w:style w:type="character" w:customStyle="1" w:styleId="88">
    <w:name w:val="正文文本缩进 3 Char"/>
    <w:basedOn w:val="52"/>
    <w:link w:val="37"/>
    <w:qFormat/>
    <w:uiPriority w:val="0"/>
    <w:rPr>
      <w:kern w:val="2"/>
      <w:sz w:val="28"/>
    </w:rPr>
  </w:style>
  <w:style w:type="character" w:customStyle="1" w:styleId="89">
    <w:name w:val="正文文本缩进 2 Char"/>
    <w:basedOn w:val="52"/>
    <w:link w:val="29"/>
    <w:qFormat/>
    <w:uiPriority w:val="0"/>
    <w:rPr>
      <w:rFonts w:ascii="宋体" w:hAnsi="宋体"/>
      <w:iCs/>
      <w:kern w:val="2"/>
      <w:sz w:val="24"/>
      <w:szCs w:val="24"/>
    </w:rPr>
  </w:style>
  <w:style w:type="character" w:customStyle="1" w:styleId="90">
    <w:name w:val="正文文本 Char"/>
    <w:basedOn w:val="52"/>
    <w:qFormat/>
    <w:uiPriority w:val="0"/>
    <w:rPr>
      <w:rFonts w:eastAsia="宋体"/>
      <w:sz w:val="24"/>
      <w:szCs w:val="24"/>
      <w:lang w:val="en-US" w:eastAsia="zh-CN" w:bidi="ar-SA"/>
    </w:rPr>
  </w:style>
  <w:style w:type="character" w:customStyle="1" w:styleId="91">
    <w:name w:val="en1"/>
    <w:basedOn w:val="52"/>
    <w:qFormat/>
    <w:uiPriority w:val="0"/>
    <w:rPr>
      <w:b/>
      <w:bCs/>
      <w:color w:val="154C7F"/>
      <w:sz w:val="24"/>
      <w:szCs w:val="24"/>
    </w:rPr>
  </w:style>
  <w:style w:type="character" w:customStyle="1" w:styleId="92">
    <w:name w:val="font01"/>
    <w:basedOn w:val="52"/>
    <w:qFormat/>
    <w:uiPriority w:val="0"/>
    <w:rPr>
      <w:rFonts w:hint="eastAsia" w:ascii="宋体" w:hAnsi="宋体" w:eastAsia="宋体" w:cs="宋体"/>
      <w:color w:val="000000"/>
      <w:sz w:val="20"/>
      <w:szCs w:val="20"/>
      <w:u w:val="none"/>
    </w:rPr>
  </w:style>
  <w:style w:type="character" w:customStyle="1" w:styleId="93">
    <w:name w:val="标题 Char"/>
    <w:basedOn w:val="52"/>
    <w:link w:val="46"/>
    <w:qFormat/>
    <w:uiPriority w:val="0"/>
    <w:rPr>
      <w:rFonts w:ascii="Arial" w:hAnsi="Arial" w:cs="Arial"/>
      <w:b/>
      <w:bCs/>
      <w:sz w:val="44"/>
      <w:szCs w:val="32"/>
    </w:rPr>
  </w:style>
  <w:style w:type="character" w:customStyle="1" w:styleId="94">
    <w:name w:val="正文文本缩进 Char"/>
    <w:basedOn w:val="52"/>
    <w:link w:val="22"/>
    <w:qFormat/>
    <w:uiPriority w:val="0"/>
    <w:rPr>
      <w:i/>
      <w:iCs/>
      <w:kern w:val="2"/>
      <w:sz w:val="21"/>
    </w:rPr>
  </w:style>
  <w:style w:type="character" w:customStyle="1" w:styleId="95">
    <w:name w:val="正文文本 3 Char"/>
    <w:basedOn w:val="52"/>
    <w:link w:val="19"/>
    <w:qFormat/>
    <w:uiPriority w:val="0"/>
    <w:rPr>
      <w:color w:val="0000FF"/>
      <w:kern w:val="2"/>
      <w:sz w:val="24"/>
      <w:szCs w:val="24"/>
    </w:rPr>
  </w:style>
  <w:style w:type="character" w:customStyle="1" w:styleId="96">
    <w:name w:val="font11"/>
    <w:basedOn w:val="52"/>
    <w:qFormat/>
    <w:uiPriority w:val="0"/>
    <w:rPr>
      <w:rFonts w:hint="default" w:ascii="Times New Roman" w:hAnsi="Times New Roman" w:cs="Times New Roman"/>
      <w:color w:val="000000"/>
      <w:sz w:val="20"/>
      <w:szCs w:val="20"/>
      <w:u w:val="none"/>
    </w:rPr>
  </w:style>
  <w:style w:type="character" w:customStyle="1" w:styleId="97">
    <w:name w:val="glossaryitem"/>
    <w:basedOn w:val="52"/>
    <w:qFormat/>
    <w:uiPriority w:val="0"/>
    <w:rPr>
      <w:u w:val="none"/>
    </w:rPr>
  </w:style>
  <w:style w:type="character" w:customStyle="1" w:styleId="98">
    <w:name w:val="HTML 预设格式 Char"/>
    <w:basedOn w:val="52"/>
    <w:link w:val="43"/>
    <w:qFormat/>
    <w:uiPriority w:val="0"/>
    <w:rPr>
      <w:rFonts w:ascii="Arial Unicode MS" w:hAnsi="Arial Unicode MS" w:eastAsia="Courier New" w:cs="Courier New"/>
    </w:rPr>
  </w:style>
  <w:style w:type="character" w:customStyle="1" w:styleId="99">
    <w:name w:val="文档结构图 Char"/>
    <w:basedOn w:val="52"/>
    <w:link w:val="17"/>
    <w:qFormat/>
    <w:uiPriority w:val="0"/>
    <w:rPr>
      <w:rFonts w:ascii="宋体"/>
      <w:sz w:val="28"/>
      <w:shd w:val="clear" w:color="auto" w:fill="000080"/>
    </w:rPr>
  </w:style>
  <w:style w:type="character" w:customStyle="1" w:styleId="100">
    <w:name w:val="日期 Char"/>
    <w:basedOn w:val="52"/>
    <w:link w:val="28"/>
    <w:qFormat/>
    <w:uiPriority w:val="0"/>
    <w:rPr>
      <w:kern w:val="2"/>
      <w:sz w:val="21"/>
      <w:szCs w:val="24"/>
    </w:rPr>
  </w:style>
  <w:style w:type="character" w:customStyle="1" w:styleId="101">
    <w:name w:val="正文文本 2 Char"/>
    <w:basedOn w:val="52"/>
    <w:link w:val="40"/>
    <w:qFormat/>
    <w:uiPriority w:val="0"/>
    <w:rPr>
      <w:kern w:val="2"/>
      <w:sz w:val="21"/>
      <w:szCs w:val="24"/>
    </w:rPr>
  </w:style>
  <w:style w:type="character" w:customStyle="1" w:styleId="102">
    <w:name w:val="正文首行缩进 Char"/>
    <w:basedOn w:val="90"/>
    <w:link w:val="48"/>
    <w:qFormat/>
    <w:uiPriority w:val="0"/>
    <w:rPr>
      <w:rFonts w:eastAsia="宋体"/>
      <w:sz w:val="21"/>
      <w:szCs w:val="21"/>
      <w:lang w:val="en-US" w:eastAsia="zh-CN" w:bidi="ar-SA"/>
    </w:rPr>
  </w:style>
  <w:style w:type="character" w:customStyle="1" w:styleId="103">
    <w:name w:val="批注主题 Char"/>
    <w:basedOn w:val="86"/>
    <w:link w:val="47"/>
    <w:qFormat/>
    <w:uiPriority w:val="0"/>
    <w:rPr>
      <w:b/>
      <w:bCs/>
      <w:kern w:val="2"/>
      <w:sz w:val="24"/>
      <w:szCs w:val="24"/>
    </w:rPr>
  </w:style>
  <w:style w:type="paragraph" w:customStyle="1" w:styleId="104">
    <w:name w:val="标题3(小3号)"/>
    <w:basedOn w:val="4"/>
    <w:next w:val="105"/>
    <w:qFormat/>
    <w:uiPriority w:val="0"/>
    <w:pPr>
      <w:widowControl/>
      <w:spacing w:before="0" w:after="0" w:line="420" w:lineRule="exact"/>
    </w:pPr>
    <w:rPr>
      <w:b w:val="0"/>
      <w:bCs w:val="0"/>
      <w:color w:val="000000"/>
      <w:kern w:val="0"/>
      <w:sz w:val="30"/>
      <w:szCs w:val="21"/>
    </w:rPr>
  </w:style>
  <w:style w:type="paragraph" w:customStyle="1" w:styleId="105">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6">
    <w:name w:val="正文首行缩进 Char1"/>
    <w:basedOn w:val="70"/>
    <w:qFormat/>
    <w:uiPriority w:val="0"/>
    <w:rPr>
      <w:rFonts w:ascii="宋体" w:hAnsi="宋体" w:cs="宋体"/>
      <w:sz w:val="24"/>
      <w:szCs w:val="24"/>
      <w:lang w:eastAsia="en-US"/>
    </w:rPr>
  </w:style>
  <w:style w:type="character" w:customStyle="1" w:styleId="107">
    <w:name w:val="信息标题 Char"/>
    <w:basedOn w:val="52"/>
    <w:link w:val="42"/>
    <w:qFormat/>
    <w:uiPriority w:val="0"/>
    <w:rPr>
      <w:rFonts w:ascii="Arial" w:hAnsi="Arial" w:cs="Arial"/>
      <w:kern w:val="2"/>
      <w:sz w:val="24"/>
      <w:szCs w:val="24"/>
      <w:shd w:val="pct20" w:color="auto" w:fill="auto"/>
    </w:rPr>
  </w:style>
  <w:style w:type="character" w:customStyle="1" w:styleId="108">
    <w:name w:val="正文文本 3 Char1"/>
    <w:basedOn w:val="52"/>
    <w:qFormat/>
    <w:uiPriority w:val="0"/>
    <w:rPr>
      <w:rFonts w:ascii="宋体" w:hAnsi="宋体" w:cs="宋体"/>
      <w:sz w:val="16"/>
      <w:szCs w:val="16"/>
      <w:lang w:eastAsia="en-US"/>
    </w:rPr>
  </w:style>
  <w:style w:type="paragraph" w:customStyle="1" w:styleId="109">
    <w:name w:val="封面页眉"/>
    <w:basedOn w:val="32"/>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0">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1">
    <w:name w:val="正文文本缩进 2 Char1"/>
    <w:basedOn w:val="52"/>
    <w:qFormat/>
    <w:uiPriority w:val="0"/>
    <w:rPr>
      <w:rFonts w:ascii="宋体" w:hAnsi="宋体" w:cs="宋体"/>
      <w:sz w:val="22"/>
      <w:szCs w:val="22"/>
      <w:lang w:eastAsia="en-US"/>
    </w:rPr>
  </w:style>
  <w:style w:type="character" w:customStyle="1" w:styleId="112">
    <w:name w:val="批注文字 Char1"/>
    <w:basedOn w:val="52"/>
    <w:qFormat/>
    <w:uiPriority w:val="0"/>
    <w:rPr>
      <w:rFonts w:ascii="宋体" w:hAnsi="宋体" w:cs="宋体"/>
      <w:sz w:val="22"/>
      <w:szCs w:val="22"/>
      <w:lang w:eastAsia="en-US"/>
    </w:rPr>
  </w:style>
  <w:style w:type="paragraph" w:customStyle="1" w:styleId="113">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4">
    <w:name w:val="标题3"/>
    <w:basedOn w:val="4"/>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5">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6">
    <w:name w:val="文档结构图 Char1"/>
    <w:basedOn w:val="52"/>
    <w:qFormat/>
    <w:uiPriority w:val="0"/>
    <w:rPr>
      <w:rFonts w:ascii="宋体" w:hAnsi="宋体" w:cs="宋体"/>
      <w:sz w:val="18"/>
      <w:szCs w:val="18"/>
      <w:lang w:eastAsia="en-US"/>
    </w:rPr>
  </w:style>
  <w:style w:type="character" w:customStyle="1" w:styleId="117">
    <w:name w:val="日期 Char1"/>
    <w:basedOn w:val="52"/>
    <w:qFormat/>
    <w:uiPriority w:val="0"/>
    <w:rPr>
      <w:rFonts w:ascii="宋体" w:hAnsi="宋体" w:cs="宋体"/>
      <w:sz w:val="22"/>
      <w:szCs w:val="22"/>
      <w:lang w:eastAsia="en-US"/>
    </w:rPr>
  </w:style>
  <w:style w:type="paragraph" w:customStyle="1" w:styleId="118">
    <w:name w:val="标题3(3号)"/>
    <w:basedOn w:val="4"/>
    <w:next w:val="119"/>
    <w:qFormat/>
    <w:uiPriority w:val="0"/>
    <w:pPr>
      <w:widowControl/>
      <w:spacing w:before="0" w:after="0" w:line="420" w:lineRule="exact"/>
    </w:pPr>
    <w:rPr>
      <w:b w:val="0"/>
      <w:bCs w:val="0"/>
      <w:color w:val="000000"/>
      <w:kern w:val="0"/>
      <w:szCs w:val="21"/>
    </w:rPr>
  </w:style>
  <w:style w:type="paragraph" w:customStyle="1" w:styleId="119">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0">
    <w:name w:val="封面页脚"/>
    <w:basedOn w:val="31"/>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1">
    <w:name w:val="HTML 预设格式 Char1"/>
    <w:basedOn w:val="52"/>
    <w:qFormat/>
    <w:uiPriority w:val="0"/>
    <w:rPr>
      <w:rFonts w:ascii="Courier New" w:hAnsi="Courier New" w:cs="Courier New"/>
      <w:lang w:eastAsia="en-US"/>
    </w:rPr>
  </w:style>
  <w:style w:type="character" w:customStyle="1" w:styleId="122">
    <w:name w:val="正文文本缩进 Char1"/>
    <w:basedOn w:val="52"/>
    <w:qFormat/>
    <w:uiPriority w:val="0"/>
    <w:rPr>
      <w:rFonts w:ascii="宋体" w:hAnsi="宋体" w:cs="宋体"/>
      <w:sz w:val="22"/>
      <w:szCs w:val="22"/>
      <w:lang w:eastAsia="en-US"/>
    </w:rPr>
  </w:style>
  <w:style w:type="paragraph" w:customStyle="1" w:styleId="123">
    <w:name w:val="标题2(小3号)"/>
    <w:basedOn w:val="3"/>
    <w:next w:val="124"/>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4">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5">
    <w:name w:val="标题1(2号)"/>
    <w:basedOn w:val="2"/>
    <w:next w:val="119"/>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6">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7">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8">
    <w:name w:val="正文5号字"/>
    <w:qFormat/>
    <w:uiPriority w:val="0"/>
    <w:pPr>
      <w:jc w:val="both"/>
    </w:pPr>
    <w:rPr>
      <w:rFonts w:ascii="Times New Roman" w:hAnsi="Times New Roman" w:eastAsia="宋体" w:cs="Times New Roman"/>
      <w:sz w:val="21"/>
      <w:lang w:val="en-US" w:eastAsia="zh-CN" w:bidi="ar-SA"/>
    </w:rPr>
  </w:style>
  <w:style w:type="character" w:customStyle="1" w:styleId="129">
    <w:name w:val="正文文本 2 Char1"/>
    <w:basedOn w:val="52"/>
    <w:qFormat/>
    <w:uiPriority w:val="0"/>
    <w:rPr>
      <w:rFonts w:ascii="宋体" w:hAnsi="宋体" w:cs="宋体"/>
      <w:sz w:val="22"/>
      <w:szCs w:val="22"/>
      <w:lang w:eastAsia="en-US"/>
    </w:rPr>
  </w:style>
  <w:style w:type="character" w:customStyle="1" w:styleId="130">
    <w:name w:val="标题 Char1"/>
    <w:basedOn w:val="52"/>
    <w:qFormat/>
    <w:uiPriority w:val="0"/>
    <w:rPr>
      <w:rFonts w:asciiTheme="majorHAnsi" w:hAnsiTheme="majorHAnsi" w:cstheme="majorBidi"/>
      <w:b/>
      <w:bCs/>
      <w:sz w:val="32"/>
      <w:szCs w:val="32"/>
      <w:lang w:eastAsia="en-US"/>
    </w:rPr>
  </w:style>
  <w:style w:type="character" w:customStyle="1" w:styleId="131">
    <w:name w:val="正文文本缩进 3 Char1"/>
    <w:basedOn w:val="52"/>
    <w:qFormat/>
    <w:uiPriority w:val="0"/>
    <w:rPr>
      <w:rFonts w:ascii="宋体" w:hAnsi="宋体" w:cs="宋体"/>
      <w:sz w:val="16"/>
      <w:szCs w:val="16"/>
      <w:lang w:eastAsia="en-US"/>
    </w:rPr>
  </w:style>
  <w:style w:type="paragraph" w:customStyle="1" w:styleId="132">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3">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4">
    <w:name w:val="批注框文本 Char1"/>
    <w:basedOn w:val="52"/>
    <w:qFormat/>
    <w:uiPriority w:val="0"/>
    <w:rPr>
      <w:rFonts w:ascii="宋体" w:hAnsi="宋体" w:cs="宋体"/>
      <w:sz w:val="18"/>
      <w:szCs w:val="18"/>
      <w:lang w:eastAsia="en-US"/>
    </w:rPr>
  </w:style>
  <w:style w:type="character" w:customStyle="1" w:styleId="135">
    <w:name w:val="批注主题 Char1"/>
    <w:basedOn w:val="112"/>
    <w:qFormat/>
    <w:uiPriority w:val="0"/>
    <w:rPr>
      <w:rFonts w:ascii="宋体" w:hAnsi="宋体" w:cs="宋体"/>
      <w:b/>
      <w:bCs/>
      <w:sz w:val="22"/>
      <w:szCs w:val="22"/>
      <w:lang w:eastAsia="en-US"/>
    </w:rPr>
  </w:style>
  <w:style w:type="paragraph" w:customStyle="1" w:styleId="136">
    <w:name w:val="封底页脚"/>
    <w:basedOn w:val="31"/>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7">
    <w:name w:val="标题3(4号)"/>
    <w:basedOn w:val="4"/>
    <w:next w:val="124"/>
    <w:qFormat/>
    <w:uiPriority w:val="0"/>
    <w:pPr>
      <w:widowControl/>
      <w:spacing w:before="0" w:after="0" w:line="420" w:lineRule="exact"/>
    </w:pPr>
    <w:rPr>
      <w:b w:val="0"/>
      <w:bCs w:val="0"/>
      <w:color w:val="000000"/>
      <w:kern w:val="0"/>
      <w:sz w:val="28"/>
      <w:szCs w:val="21"/>
    </w:rPr>
  </w:style>
  <w:style w:type="paragraph" w:customStyle="1" w:styleId="138">
    <w:name w:val="标题2"/>
    <w:basedOn w:val="3"/>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9">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0">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1">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2">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3">
    <w:name w:val="消息标题标签"/>
    <w:basedOn w:val="42"/>
    <w:next w:val="42"/>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4">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5">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6">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7">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8">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0">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1">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2">
    <w:name w:val="封底页眉"/>
    <w:basedOn w:val="32"/>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3">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4">
    <w:name w:val="标题3(小4号)"/>
    <w:basedOn w:val="4"/>
    <w:next w:val="155"/>
    <w:qFormat/>
    <w:uiPriority w:val="0"/>
    <w:pPr>
      <w:widowControl/>
      <w:spacing w:before="0" w:after="0" w:line="420" w:lineRule="exact"/>
    </w:pPr>
    <w:rPr>
      <w:b w:val="0"/>
      <w:bCs w:val="0"/>
      <w:color w:val="000000"/>
      <w:kern w:val="0"/>
      <w:sz w:val="24"/>
      <w:szCs w:val="21"/>
    </w:rPr>
  </w:style>
  <w:style w:type="paragraph" w:customStyle="1" w:styleId="155">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6">
    <w:name w:val="标题3(5号)"/>
    <w:basedOn w:val="4"/>
    <w:next w:val="128"/>
    <w:qFormat/>
    <w:uiPriority w:val="0"/>
    <w:pPr>
      <w:widowControl/>
      <w:spacing w:before="0" w:after="0" w:line="420" w:lineRule="exact"/>
    </w:pPr>
    <w:rPr>
      <w:b w:val="0"/>
      <w:bCs w:val="0"/>
      <w:color w:val="000000"/>
      <w:kern w:val="0"/>
      <w:sz w:val="21"/>
      <w:szCs w:val="21"/>
    </w:rPr>
  </w:style>
  <w:style w:type="paragraph" w:customStyle="1" w:styleId="157">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8">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9">
    <w:name w:val="标题2(小2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0">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1">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2">
    <w:name w:val="页眉（隶书）"/>
    <w:basedOn w:val="32"/>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3">
    <w:name w:val="标题1(4号)"/>
    <w:basedOn w:val="2"/>
    <w:next w:val="128"/>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5">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6">
    <w:name w:val="标题2(4号)"/>
    <w:basedOn w:val="3"/>
    <w:next w:val="155"/>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7">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9">
    <w:name w:val="p0"/>
    <w:basedOn w:val="1"/>
    <w:qFormat/>
    <w:uiPriority w:val="0"/>
    <w:pPr>
      <w:widowControl/>
      <w:autoSpaceDE/>
      <w:autoSpaceDN/>
    </w:pPr>
    <w:rPr>
      <w:sz w:val="24"/>
      <w:szCs w:val="24"/>
      <w:lang w:eastAsia="zh-CN"/>
    </w:rPr>
  </w:style>
  <w:style w:type="paragraph" w:customStyle="1" w:styleId="170">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1">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2">
    <w:name w:val="标题1(3号)"/>
    <w:basedOn w:val="2"/>
    <w:next w:val="124"/>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3">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4">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6">
    <w:name w:val="标题1(小3号)"/>
    <w:basedOn w:val="2"/>
    <w:next w:val="155"/>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7">
    <w:name w:val="标题1(小2号)"/>
    <w:basedOn w:val="2"/>
    <w:next w:val="105"/>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8">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9">
    <w:name w:val="ml"/>
    <w:basedOn w:val="1"/>
    <w:qFormat/>
    <w:uiPriority w:val="0"/>
    <w:pPr>
      <w:autoSpaceDE/>
      <w:autoSpaceDN/>
      <w:jc w:val="both"/>
    </w:pPr>
    <w:rPr>
      <w:rFonts w:cs="Times New Roman"/>
      <w:b/>
      <w:bCs/>
      <w:kern w:val="2"/>
      <w:sz w:val="28"/>
      <w:szCs w:val="20"/>
      <w:lang w:eastAsia="zh-CN"/>
    </w:rPr>
  </w:style>
  <w:style w:type="paragraph" w:customStyle="1" w:styleId="180">
    <w:name w:val="标题2(3号)"/>
    <w:basedOn w:val="3"/>
    <w:next w:val="105"/>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1">
    <w:name w:val="标题2(小4号)"/>
    <w:basedOn w:val="3"/>
    <w:next w:val="128"/>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2">
    <w:name w:val="标题4"/>
    <w:basedOn w:val="5"/>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83">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4">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5">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6">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7">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8">
    <w:name w:val="大纲4"/>
    <w:basedOn w:val="187"/>
    <w:qFormat/>
    <w:uiPriority w:val="0"/>
    <w:pPr>
      <w:numPr>
        <w:ilvl w:val="3"/>
      </w:numPr>
      <w:outlineLvl w:val="3"/>
    </w:pPr>
  </w:style>
  <w:style w:type="paragraph" w:customStyle="1" w:styleId="189">
    <w:name w:val="大纲5"/>
    <w:basedOn w:val="188"/>
    <w:qFormat/>
    <w:uiPriority w:val="0"/>
    <w:pPr>
      <w:numPr>
        <w:ilvl w:val="4"/>
      </w:numPr>
      <w:tabs>
        <w:tab w:val="left" w:pos="360"/>
      </w:tabs>
      <w:outlineLvl w:val="4"/>
    </w:pPr>
    <w:rPr>
      <w:b w:val="0"/>
      <w:szCs w:val="36"/>
    </w:rPr>
  </w:style>
  <w:style w:type="paragraph" w:customStyle="1" w:styleId="190">
    <w:name w:val="大纲6"/>
    <w:basedOn w:val="189"/>
    <w:qFormat/>
    <w:uiPriority w:val="0"/>
    <w:pPr>
      <w:numPr>
        <w:ilvl w:val="5"/>
      </w:numPr>
      <w:outlineLvl w:val="5"/>
    </w:pPr>
    <w:rPr>
      <w:rFonts w:ascii="宋体"/>
      <w:szCs w:val="24"/>
    </w:rPr>
  </w:style>
  <w:style w:type="paragraph" w:customStyle="1" w:styleId="191">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4">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7">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8">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4">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6">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7">
    <w:name w:val="hover11"/>
    <w:basedOn w:val="52"/>
    <w:qFormat/>
    <w:uiPriority w:val="0"/>
  </w:style>
  <w:style w:type="character" w:customStyle="1" w:styleId="208">
    <w:name w:val="xdrichtextbox3"/>
    <w:basedOn w:val="52"/>
    <w:qFormat/>
    <w:uiPriority w:val="0"/>
    <w:rPr>
      <w:color w:val="auto"/>
      <w:u w:val="none"/>
      <w:bdr w:val="single" w:color="DCDCDC" w:sz="8" w:space="0"/>
      <w:shd w:val="clear" w:color="auto" w:fill="FFFFFF"/>
    </w:rPr>
  </w:style>
  <w:style w:type="character" w:customStyle="1" w:styleId="209">
    <w:name w:val="列出段落 Char"/>
    <w:link w:val="75"/>
    <w:qFormat/>
    <w:uiPriority w:val="34"/>
    <w:rPr>
      <w:rFonts w:ascii="宋体" w:hAnsi="宋体" w:cs="宋体"/>
      <w:sz w:val="22"/>
      <w:szCs w:val="22"/>
      <w:lang w:eastAsia="en-US"/>
    </w:rPr>
  </w:style>
  <w:style w:type="paragraph" w:customStyle="1" w:styleId="210">
    <w:name w:val="列出段落2"/>
    <w:basedOn w:val="1"/>
    <w:qFormat/>
    <w:uiPriority w:val="0"/>
    <w:pPr>
      <w:autoSpaceDE/>
      <w:autoSpaceDN/>
      <w:ind w:firstLine="420" w:firstLineChars="200"/>
      <w:jc w:val="both"/>
    </w:pPr>
    <w:rPr>
      <w:rFonts w:ascii="Times New Roman" w:hAnsi="Times New Roman" w:cs="Times New Roman"/>
      <w:kern w:val="2"/>
      <w:sz w:val="21"/>
      <w:szCs w:val="24"/>
      <w:lang w:eastAsia="zh-CN"/>
    </w:rPr>
  </w:style>
  <w:style w:type="character" w:customStyle="1" w:styleId="211">
    <w:name w:val="NormalCharacter"/>
    <w:autoRedefine/>
    <w:qFormat/>
    <w:uiPriority w:val="0"/>
  </w:style>
  <w:style w:type="paragraph" w:customStyle="1" w:styleId="212">
    <w:name w:val="章标题"/>
    <w:next w:val="1"/>
    <w:autoRedefine/>
    <w:qFormat/>
    <w:uiPriority w:val="0"/>
    <w:pPr>
      <w:numPr>
        <w:ilvl w:val="0"/>
        <w:numId w:val="7"/>
      </w:numPr>
      <w:spacing w:before="312" w:beforeLines="100" w:line="360" w:lineRule="auto"/>
      <w:jc w:val="both"/>
      <w:outlineLvl w:val="0"/>
    </w:pPr>
    <w:rPr>
      <w:rFonts w:ascii="宋体" w:hAnsi="宋体" w:eastAsia="宋体" w:cs="宋体"/>
      <w:b/>
      <w:bCs/>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7" textRotate="1"/>
    <customShpInfo spid="_x0000_s3078" textRotate="1"/>
    <customShpInfo spid="_x0000_s3079" textRotate="1"/>
    <customShpInfo spid="_x0000_s3076"/>
    <customShpInfo spid="_x0000_s3080" textRotate="1"/>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E7CA3-8DFC-4C1D-8414-390A14BE54C4}">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48</Pages>
  <Words>6998</Words>
  <Characters>7484</Characters>
  <Lines>121</Lines>
  <Paragraphs>34</Paragraphs>
  <TotalTime>3</TotalTime>
  <ScaleCrop>false</ScaleCrop>
  <LinksUpToDate>false</LinksUpToDate>
  <CharactersWithSpaces>8241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2026-04-29T06:58:05Z</dcterms:modified>
  <dc:title>公开招标文件（货物服务类）</dc:title>
  <cp:revision>454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2052-12.1.0.25865</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A3DED90A2E124D26B75B32ECA9B93502_12</vt:lpwstr>
  </property>
</Properties>
</file>