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7115F042">
      <w:pPr>
        <w:pStyle w:val="5"/>
        <w:jc w:val="center"/>
        <w:rPr>
          <w:rFonts w:hint="eastAsia" w:ascii="宋体" w:hAnsi="宋体" w:eastAsia="宋体" w:cs="宋体"/>
          <w:b/>
          <w:color w:val="FF0000"/>
          <w:sz w:val="48"/>
          <w:szCs w:val="48"/>
          <w:u w:val="single"/>
          <w:lang w:eastAsia="zh-CN"/>
        </w:rPr>
      </w:pPr>
      <w:r>
        <w:rPr>
          <w:rFonts w:hint="eastAsia" w:cs="宋体"/>
          <w:b/>
          <w:color w:val="FF0000"/>
          <w:sz w:val="48"/>
          <w:szCs w:val="48"/>
          <w:u w:val="single"/>
          <w:lang w:eastAsia="zh-CN"/>
        </w:rPr>
        <w:t>挡板阀（36台）及配套非金属补偿器24台采购项目</w:t>
      </w:r>
    </w:p>
    <w:p w14:paraId="157BEC94">
      <w:pPr>
        <w:pStyle w:val="5"/>
        <w:jc w:val="center"/>
        <w:rPr>
          <w:rFonts w:hint="eastAsia" w:ascii="宋体" w:hAnsi="宋体" w:eastAsia="宋体" w:cs="宋体"/>
          <w:b/>
          <w:color w:val="FF0000"/>
          <w:sz w:val="72"/>
          <w:szCs w:val="72"/>
          <w:u w:val="single"/>
          <w:lang w:eastAsia="zh-CN"/>
        </w:rPr>
      </w:pPr>
      <w:r>
        <w:rPr>
          <w:rFonts w:hint="eastAsia" w:cs="宋体"/>
          <w:b/>
          <w:color w:val="FF0000"/>
          <w:sz w:val="48"/>
          <w:szCs w:val="48"/>
          <w:u w:val="single"/>
          <w:lang w:val="en-US" w:eastAsia="zh-CN"/>
        </w:rPr>
        <w:t>非招</w:t>
      </w: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QGD-3122-260226-0595</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78E2B9D7">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三</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6352767E">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01AC7060">
      <w:pPr>
        <w:jc w:val="center"/>
        <w:rPr>
          <w:rFonts w:hint="eastAsia" w:ascii="宋体" w:hAnsi="宋体" w:eastAsia="宋体" w:cs="宋体"/>
          <w:b/>
          <w:bCs/>
          <w:sz w:val="32"/>
          <w:lang w:eastAsia="zh-CN"/>
        </w:rPr>
      </w:pPr>
      <w:r>
        <w:rPr>
          <w:rFonts w:hint="eastAsia" w:cs="宋体"/>
          <w:b/>
          <w:bCs/>
          <w:color w:val="FF0000"/>
          <w:sz w:val="32"/>
          <w:shd w:val="pct10" w:color="auto" w:fill="FFFFFF"/>
          <w:lang w:eastAsia="zh-CN"/>
        </w:rPr>
        <w:t>挡板阀（36台）及配套非金属补偿器24台采购项目</w:t>
      </w: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挡板阀（36台）及配套非金属补偿器24台采购项目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QGD-3122-260226-0595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w:t>
      </w:r>
      <w:r>
        <w:rPr>
          <w:rFonts w:hint="eastAsia" w:cs="宋体"/>
          <w:sz w:val="28"/>
          <w:szCs w:val="28"/>
          <w:lang w:eastAsia="zh-CN"/>
        </w:rPr>
        <w:t>厂</w:t>
      </w:r>
      <w:r>
        <w:rPr>
          <w:rFonts w:hint="eastAsia" w:ascii="宋体" w:hAnsi="宋体" w:eastAsia="宋体" w:cs="宋体"/>
          <w:sz w:val="28"/>
          <w:szCs w:val="28"/>
          <w:lang w:eastAsia="zh-CN"/>
        </w:rPr>
        <w:t>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1599D632">
      <w:pPr>
        <w:ind w:firstLine="280" w:firstLineChars="100"/>
        <w:jc w:val="both"/>
        <w:rPr>
          <w:rFonts w:hint="eastAsia"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挡板阀（36台）及配套非金属补偿器24台采购项目</w:t>
      </w:r>
    </w:p>
    <w:p w14:paraId="170FBF30">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2.询比项目说明：</w:t>
      </w:r>
    </w:p>
    <w:p w14:paraId="45724336">
      <w:pPr>
        <w:tabs>
          <w:tab w:val="left" w:pos="709"/>
        </w:tabs>
        <w:spacing w:line="360" w:lineRule="auto"/>
        <w:ind w:firstLine="280" w:firstLineChars="100"/>
        <w:rPr>
          <w:rFonts w:hint="eastAsia" w:cs="宋体"/>
          <w:sz w:val="28"/>
          <w:szCs w:val="28"/>
          <w:lang w:val="en-US" w:eastAsia="zh-CN"/>
        </w:rPr>
      </w:pPr>
      <w:r>
        <w:rPr>
          <w:rFonts w:hint="eastAsia" w:ascii="仿宋" w:hAnsi="仿宋" w:eastAsia="仿宋"/>
          <w:sz w:val="28"/>
          <w:szCs w:val="28"/>
          <w:lang w:eastAsia="zh-CN"/>
        </w:rPr>
        <w:t>（1）</w:t>
      </w:r>
      <w:r>
        <w:rPr>
          <w:rFonts w:hint="eastAsia" w:cs="宋体"/>
          <w:sz w:val="28"/>
          <w:szCs w:val="28"/>
          <w:lang w:val="en-US" w:eastAsia="zh-CN"/>
        </w:rPr>
        <w:t xml:space="preserve">挡板阀（36台） </w:t>
      </w:r>
      <w:r>
        <w:rPr>
          <w:rFonts w:hint="eastAsia" w:ascii="仿宋" w:hAnsi="仿宋" w:eastAsia="仿宋"/>
          <w:sz w:val="28"/>
          <w:szCs w:val="28"/>
          <w:lang w:eastAsia="zh-CN"/>
        </w:rPr>
        <w:t>规格型号：</w:t>
      </w:r>
      <w:r>
        <w:rPr>
          <w:rFonts w:hint="eastAsia" w:ascii="仿宋" w:hAnsi="仿宋" w:eastAsia="仿宋"/>
          <w:sz w:val="28"/>
          <w:szCs w:val="28"/>
          <w:lang w:val="en-US" w:eastAsia="zh-CN"/>
        </w:rPr>
        <w:t>详见规格型号说明。</w:t>
      </w:r>
    </w:p>
    <w:p w14:paraId="02FE9698">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cs="宋体"/>
          <w:sz w:val="28"/>
          <w:szCs w:val="28"/>
          <w:lang w:val="en-US" w:eastAsia="zh-CN"/>
        </w:rPr>
        <w:t>（2）配套非金</w:t>
      </w:r>
      <w:r>
        <w:rPr>
          <w:rFonts w:hint="eastAsia" w:cs="宋体"/>
          <w:sz w:val="28"/>
          <w:szCs w:val="28"/>
          <w:lang w:val="en-US" w:eastAsia="zh-CN"/>
        </w:rPr>
        <w:t>属补偿器24台</w:t>
      </w:r>
      <w:r>
        <w:rPr>
          <w:rFonts w:hint="eastAsia" w:ascii="仿宋" w:hAnsi="仿宋" w:eastAsia="仿宋"/>
          <w:sz w:val="28"/>
          <w:szCs w:val="28"/>
          <w:lang w:eastAsia="zh-CN"/>
        </w:rPr>
        <w:t xml:space="preserve"> 规格型号：</w:t>
      </w:r>
      <w:r>
        <w:rPr>
          <w:rFonts w:hint="eastAsia" w:ascii="仿宋" w:hAnsi="仿宋" w:eastAsia="仿宋"/>
          <w:sz w:val="28"/>
          <w:szCs w:val="28"/>
          <w:lang w:val="en-US" w:eastAsia="zh-CN"/>
        </w:rPr>
        <w:t>详见规格型号说明。</w:t>
      </w:r>
    </w:p>
    <w:p w14:paraId="234C0CE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）询比控制价：</w:t>
      </w:r>
      <w:r>
        <w:rPr>
          <w:rFonts w:hint="eastAsia" w:ascii="仿宋" w:hAnsi="仿宋" w:eastAsia="仿宋"/>
          <w:sz w:val="28"/>
          <w:szCs w:val="28"/>
          <w:lang w:val="en-US" w:eastAsia="zh-CN"/>
        </w:rPr>
        <w:t>246.34万元</w:t>
      </w:r>
      <w:r>
        <w:rPr>
          <w:rFonts w:hint="eastAsia" w:ascii="仿宋" w:hAnsi="仿宋" w:eastAsia="仿宋"/>
          <w:sz w:val="28"/>
          <w:szCs w:val="28"/>
          <w:lang w:eastAsia="zh-CN"/>
        </w:rPr>
        <w:t>（</w:t>
      </w:r>
      <w:r>
        <w:rPr>
          <w:rFonts w:hint="eastAsia" w:ascii="仿宋" w:hAnsi="仿宋" w:eastAsia="仿宋"/>
          <w:sz w:val="28"/>
          <w:szCs w:val="28"/>
          <w:lang w:val="en-US" w:eastAsia="zh-CN"/>
        </w:rPr>
        <w:t>13%</w:t>
      </w:r>
      <w:r>
        <w:rPr>
          <w:rFonts w:hint="eastAsia" w:ascii="仿宋" w:hAnsi="仿宋" w:eastAsia="仿宋"/>
          <w:sz w:val="28"/>
          <w:szCs w:val="28"/>
          <w:lang w:eastAsia="zh-CN"/>
        </w:rPr>
        <w:t>含税总价）</w:t>
      </w:r>
    </w:p>
    <w:p w14:paraId="7896A892">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（4）非金属补偿器、执行机构为配套设备，参选时需注明厂商（可接受厂商清单）。</w:t>
      </w:r>
    </w:p>
    <w:p w14:paraId="3AA4A7A1">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lang w:eastAsia="zh-CN"/>
        </w:rPr>
        <w:t>交货期：</w:t>
      </w:r>
      <w:r>
        <w:rPr>
          <w:rFonts w:hint="eastAsia" w:ascii="仿宋" w:hAnsi="仿宋" w:eastAsia="仿宋" w:cs="宋体"/>
          <w:sz w:val="28"/>
          <w:szCs w:val="28"/>
          <w:lang w:val="en-US" w:eastAsia="zh-CN"/>
        </w:rPr>
        <w:t>中标通知后80天内。</w:t>
      </w:r>
    </w:p>
    <w:p w14:paraId="68AFA6E6">
      <w:pPr>
        <w:tabs>
          <w:tab w:val="left" w:pos="709"/>
        </w:tabs>
        <w:spacing w:line="360" w:lineRule="auto"/>
        <w:ind w:firstLine="280" w:firstLineChars="100"/>
        <w:rPr>
          <w:rFonts w:hint="default" w:ascii="仿宋" w:hAnsi="仿宋" w:eastAsia="仿宋"/>
          <w:sz w:val="28"/>
          <w:szCs w:val="28"/>
          <w:vertAlign w:val="baseline"/>
          <w:lang w:val="en-US" w:eastAsia="zh-CN"/>
        </w:rPr>
      </w:pPr>
      <w:r>
        <w:rPr>
          <w:rFonts w:hint="eastAsia" w:ascii="仿宋" w:hAnsi="仿宋" w:eastAsia="仿宋"/>
          <w:sz w:val="28"/>
          <w:szCs w:val="28"/>
          <w:lang w:val="en-US" w:eastAsia="zh-CN"/>
        </w:rPr>
        <w:t>4.规格型号说明：</w:t>
      </w:r>
    </w:p>
    <w:tbl>
      <w:tblPr>
        <w:tblStyle w:val="13"/>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464"/>
        <w:gridCol w:w="6122"/>
        <w:gridCol w:w="831"/>
        <w:gridCol w:w="768"/>
      </w:tblGrid>
      <w:tr w14:paraId="6D1E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3" w:type="dxa"/>
            <w:vAlign w:val="center"/>
          </w:tcPr>
          <w:p w14:paraId="7BFF5954">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序号</w:t>
            </w:r>
          </w:p>
        </w:tc>
        <w:tc>
          <w:tcPr>
            <w:tcW w:w="1464" w:type="dxa"/>
            <w:vAlign w:val="center"/>
          </w:tcPr>
          <w:p w14:paraId="2637CBFB">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名称</w:t>
            </w:r>
          </w:p>
        </w:tc>
        <w:tc>
          <w:tcPr>
            <w:tcW w:w="6122" w:type="dxa"/>
            <w:vAlign w:val="center"/>
          </w:tcPr>
          <w:p w14:paraId="358327E0">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规格型号</w:t>
            </w:r>
          </w:p>
        </w:tc>
        <w:tc>
          <w:tcPr>
            <w:tcW w:w="831" w:type="dxa"/>
            <w:vAlign w:val="center"/>
          </w:tcPr>
          <w:p w14:paraId="1DB7C891">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单位</w:t>
            </w:r>
          </w:p>
        </w:tc>
        <w:tc>
          <w:tcPr>
            <w:tcW w:w="768" w:type="dxa"/>
            <w:vAlign w:val="center"/>
          </w:tcPr>
          <w:p w14:paraId="23B7A2F7">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数量</w:t>
            </w:r>
          </w:p>
        </w:tc>
      </w:tr>
      <w:tr w14:paraId="1ABD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2488042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64" w:type="dxa"/>
            <w:vAlign w:val="center"/>
          </w:tcPr>
          <w:p w14:paraId="6E0EB65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w:t>
            </w:r>
          </w:p>
        </w:tc>
        <w:tc>
          <w:tcPr>
            <w:tcW w:w="6122" w:type="dxa"/>
            <w:vAlign w:val="center"/>
          </w:tcPr>
          <w:p w14:paraId="37EF107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鼓风机入口密封挡板阀\组合式挡板阀（气动执行机构），φ2200*320mm\主轴、挡板叶片、筒体及法兰等材质：06Cr19Ni10；介质：空气；温度：常温；详见技术要求\GB/T4213和JB/T8692\通用配件\43-FA-101/103</w:t>
            </w:r>
          </w:p>
        </w:tc>
        <w:tc>
          <w:tcPr>
            <w:tcW w:w="831" w:type="dxa"/>
            <w:vAlign w:val="center"/>
          </w:tcPr>
          <w:p w14:paraId="7592762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3221EF1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C5C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629AD5B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64" w:type="dxa"/>
            <w:vAlign w:val="center"/>
          </w:tcPr>
          <w:p w14:paraId="77D5715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w:t>
            </w:r>
          </w:p>
        </w:tc>
        <w:tc>
          <w:tcPr>
            <w:tcW w:w="6122" w:type="dxa"/>
            <w:vAlign w:val="center"/>
          </w:tcPr>
          <w:p w14:paraId="1221770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鼓风机进风口调节阀\组合式调节风门（手动执行机构），φ1800*540mm\主轴、挡板叶片、筒体及法兰等材质：06Cr19Ni10；介质：空气；温度：常温；详见技术要求\JB/T8692\通用配件\43-FA-101/103</w:t>
            </w:r>
          </w:p>
        </w:tc>
        <w:tc>
          <w:tcPr>
            <w:tcW w:w="831" w:type="dxa"/>
            <w:vAlign w:val="center"/>
          </w:tcPr>
          <w:p w14:paraId="69A9C2D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1C640E7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9D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710CC25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64" w:type="dxa"/>
            <w:vAlign w:val="center"/>
          </w:tcPr>
          <w:p w14:paraId="4690DBB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w:t>
            </w:r>
          </w:p>
        </w:tc>
        <w:tc>
          <w:tcPr>
            <w:tcW w:w="6122" w:type="dxa"/>
            <w:vAlign w:val="center"/>
          </w:tcPr>
          <w:p w14:paraId="097A2C7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鼓风机出口挡板阀\组合式挡板阀（气动执行机构），1544*1116*580mm\主轴、挡板叶片、筒体及法兰等材质：06Cr19Ni10；介质：空气；温度：常温；详见技术要求\GB/T4213和JB/T8692\通用配件\43-FA-101/103</w:t>
            </w:r>
          </w:p>
        </w:tc>
        <w:tc>
          <w:tcPr>
            <w:tcW w:w="831" w:type="dxa"/>
            <w:vAlign w:val="center"/>
          </w:tcPr>
          <w:p w14:paraId="04E7FF2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62E997C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201F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64703FD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64" w:type="dxa"/>
            <w:vAlign w:val="center"/>
          </w:tcPr>
          <w:p w14:paraId="372166E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w:t>
            </w:r>
          </w:p>
        </w:tc>
        <w:tc>
          <w:tcPr>
            <w:tcW w:w="6122" w:type="dxa"/>
            <w:vAlign w:val="center"/>
          </w:tcPr>
          <w:p w14:paraId="7F49D11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旁路风道密封调节挡板阀\组合式挡板阀（气动执行机构），φ2000*600mm\主轴、挡板叶片、筒体及法兰等材质：06Cr19Ni10；介质：空气；温度：常温；详见技术要求\GB/T4213和JB/T8692\通用配件\43-HV-073/077</w:t>
            </w:r>
          </w:p>
        </w:tc>
        <w:tc>
          <w:tcPr>
            <w:tcW w:w="831" w:type="dxa"/>
            <w:vAlign w:val="center"/>
          </w:tcPr>
          <w:p w14:paraId="0797F41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59CF0C6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43C6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50750E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64" w:type="dxa"/>
            <w:vAlign w:val="center"/>
          </w:tcPr>
          <w:p w14:paraId="6BF8525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引风机进风口调节挡板阀</w:t>
            </w:r>
          </w:p>
        </w:tc>
        <w:tc>
          <w:tcPr>
            <w:tcW w:w="6122" w:type="dxa"/>
            <w:vAlign w:val="center"/>
          </w:tcPr>
          <w:p w14:paraId="6B339AC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引风机进风口调节阀\组合式调节风门（手动执行机构），φ2000*600mm\主轴、挡板叶片、筒体及法兰等材质：06Cr19Ni10；介质：烟气；温度：250℃；详见技术要求\JB/T8692\通用配件\43-FA-102/104</w:t>
            </w:r>
          </w:p>
        </w:tc>
        <w:tc>
          <w:tcPr>
            <w:tcW w:w="831" w:type="dxa"/>
            <w:vAlign w:val="center"/>
          </w:tcPr>
          <w:p w14:paraId="654FC57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46E54DE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4035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73" w:type="dxa"/>
            <w:vAlign w:val="center"/>
          </w:tcPr>
          <w:p w14:paraId="171CB67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64" w:type="dxa"/>
            <w:vAlign w:val="center"/>
          </w:tcPr>
          <w:p w14:paraId="676381C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w:t>
            </w:r>
          </w:p>
        </w:tc>
        <w:tc>
          <w:tcPr>
            <w:tcW w:w="6122" w:type="dxa"/>
            <w:vAlign w:val="center"/>
          </w:tcPr>
          <w:p w14:paraId="41CADDC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鼓风机入口密封挡板阀\组合式挡板阀（手动执行机构），φ1000*500mm\主轴、挡板叶片、筒体及法兰等材质：06Cr19Ni10；介质：空气；温度：常温；详见技术要求\JB/T8692\通用配件\42/44-FA-101</w:t>
            </w:r>
          </w:p>
        </w:tc>
        <w:tc>
          <w:tcPr>
            <w:tcW w:w="831" w:type="dxa"/>
            <w:vAlign w:val="center"/>
          </w:tcPr>
          <w:p w14:paraId="7A18286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0F5945B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34C7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0CC77A7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64" w:type="dxa"/>
            <w:vAlign w:val="center"/>
          </w:tcPr>
          <w:p w14:paraId="3943704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鼓风机进风口调节挡板阀</w:t>
            </w:r>
          </w:p>
        </w:tc>
        <w:tc>
          <w:tcPr>
            <w:tcW w:w="6122" w:type="dxa"/>
            <w:vAlign w:val="center"/>
          </w:tcPr>
          <w:p w14:paraId="5D8D2F2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鼓风机进风口调节阀\组合式调节风门（手动执行机构），φ710*230mm\主轴、挡板叶片、筒体及法兰等材质：06Cr19Ni10；介质：空气；温度：常温；详见技术要求\JB/T8692\通用配件\42/44-FA-101</w:t>
            </w:r>
          </w:p>
        </w:tc>
        <w:tc>
          <w:tcPr>
            <w:tcW w:w="831" w:type="dxa"/>
            <w:vAlign w:val="center"/>
          </w:tcPr>
          <w:p w14:paraId="451D267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3A142DD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48F7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6B535D1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64" w:type="dxa"/>
            <w:vAlign w:val="center"/>
          </w:tcPr>
          <w:p w14:paraId="1DBD921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w:t>
            </w:r>
          </w:p>
        </w:tc>
        <w:tc>
          <w:tcPr>
            <w:tcW w:w="6122" w:type="dxa"/>
            <w:vAlign w:val="center"/>
          </w:tcPr>
          <w:p w14:paraId="184C31F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鼓风机出口挡板阀\组合式挡板阀（手动执行机构），855*380*500mm\主轴、挡板叶片、筒体及法兰等材质：06Cr19Ni10；介质：空气；温度：常温；详见技术要求\JB/T8692\通用配件\42/44-FA-101</w:t>
            </w:r>
          </w:p>
        </w:tc>
        <w:tc>
          <w:tcPr>
            <w:tcW w:w="831" w:type="dxa"/>
            <w:vAlign w:val="center"/>
          </w:tcPr>
          <w:p w14:paraId="77024D5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07AE2D8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4281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20C807D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64" w:type="dxa"/>
            <w:vAlign w:val="center"/>
          </w:tcPr>
          <w:p w14:paraId="3A57BD0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w:t>
            </w:r>
          </w:p>
        </w:tc>
        <w:tc>
          <w:tcPr>
            <w:tcW w:w="6122" w:type="dxa"/>
            <w:vAlign w:val="center"/>
          </w:tcPr>
          <w:p w14:paraId="1459D69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旁路风道密封调节挡板阀\组合式挡板阀（气动执行机构），φ1000*500mm\主轴、挡板叶片、筒体及法兰等材质：06Cr19Ni10；介质：空气；温度：常温；详见技术要求\GB/T4213和JB/T8692\通用配件\42/44-HV-253</w:t>
            </w:r>
          </w:p>
        </w:tc>
        <w:tc>
          <w:tcPr>
            <w:tcW w:w="831" w:type="dxa"/>
            <w:vAlign w:val="center"/>
          </w:tcPr>
          <w:p w14:paraId="2984FF4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467C652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0AA3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3FD895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64" w:type="dxa"/>
            <w:vAlign w:val="center"/>
          </w:tcPr>
          <w:p w14:paraId="5E54D09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引风机入口烟道密封闸板阀</w:t>
            </w:r>
          </w:p>
        </w:tc>
        <w:tc>
          <w:tcPr>
            <w:tcW w:w="6122" w:type="dxa"/>
            <w:vAlign w:val="center"/>
          </w:tcPr>
          <w:p w14:paraId="1E7C439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引风机入口烟道密封闸板阀\组合式挡板阀（手动执行机构），φ1200*500mm\主轴、挡板叶片、筒体及法兰等材质：06Cr19Ni10；介质：烟气；温度：200℃；详见技术要求\JB/T8692\通用配件\42/44-FA-102</w:t>
            </w:r>
          </w:p>
        </w:tc>
        <w:tc>
          <w:tcPr>
            <w:tcW w:w="831" w:type="dxa"/>
            <w:vAlign w:val="center"/>
          </w:tcPr>
          <w:p w14:paraId="522E970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2A6D2C8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57CA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224148D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64" w:type="dxa"/>
            <w:vAlign w:val="center"/>
          </w:tcPr>
          <w:p w14:paraId="7E2E5C4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w:t>
            </w:r>
          </w:p>
        </w:tc>
        <w:tc>
          <w:tcPr>
            <w:tcW w:w="6122" w:type="dxa"/>
            <w:vAlign w:val="center"/>
          </w:tcPr>
          <w:p w14:paraId="3F64B18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引风机进风口调节阀\组合式调节风门（手动执行机构），φ1200*360mm\主轴、挡板叶片、筒体及法兰等材质：06Cr19Ni10；介质：烟气；温度：200℃；详见技术要求\JB/T8692\通用配件\42/44-FA-102</w:t>
            </w:r>
          </w:p>
        </w:tc>
        <w:tc>
          <w:tcPr>
            <w:tcW w:w="831" w:type="dxa"/>
            <w:vAlign w:val="center"/>
          </w:tcPr>
          <w:p w14:paraId="0D636CD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467C21A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23FB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241B0B4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64" w:type="dxa"/>
            <w:vAlign w:val="center"/>
          </w:tcPr>
          <w:p w14:paraId="68CC2EF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引风机出口烟道手动密封挡板阀</w:t>
            </w:r>
          </w:p>
        </w:tc>
        <w:tc>
          <w:tcPr>
            <w:tcW w:w="6122" w:type="dxa"/>
            <w:vAlign w:val="center"/>
          </w:tcPr>
          <w:p w14:paraId="286486E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引风机出口烟道密封挡板阀\组合式挡板阀（手动执行机构），1068*780*500mm\主轴、挡板叶片、筒体及法兰等材质：06Cr19Ni10；介质：烟气；温度：200℃；详见技术要求\JB/T8692\通用配件\42/44-FA-102</w:t>
            </w:r>
          </w:p>
        </w:tc>
        <w:tc>
          <w:tcPr>
            <w:tcW w:w="831" w:type="dxa"/>
            <w:vAlign w:val="center"/>
          </w:tcPr>
          <w:p w14:paraId="02680DC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1112336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79F2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548121D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64" w:type="dxa"/>
            <w:vAlign w:val="center"/>
          </w:tcPr>
          <w:p w14:paraId="79F2714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33BA286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非金属补偿器\DN圆形φ2200*φ1800*500mm\ 0.1bar\43-FA-101/103鼓风机进风口；介质：空气；温度：常温\RF\//金属框架、筒体和法兰材质：06Cr19Ni10；补偿量：轴向±50mm；径向±20mm\JB/T 12235</w:t>
            </w:r>
          </w:p>
        </w:tc>
        <w:tc>
          <w:tcPr>
            <w:tcW w:w="831" w:type="dxa"/>
            <w:vAlign w:val="center"/>
          </w:tcPr>
          <w:p w14:paraId="5C31ED5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417A745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2FD5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7B05227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64" w:type="dxa"/>
            <w:vAlign w:val="center"/>
          </w:tcPr>
          <w:p w14:paraId="607B345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37FE126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非金属补偿器\DN方形1544*1116*200mm\ 0.1bar\43-FA-101/103鼓风机出口；介质：空气；温度：常温\RF\//金属框架、筒体和法兰材质：06Cr19Ni10；补偿量：轴向±40mm；径向±30mm\JB/T 12235</w:t>
            </w:r>
          </w:p>
        </w:tc>
        <w:tc>
          <w:tcPr>
            <w:tcW w:w="831" w:type="dxa"/>
            <w:vAlign w:val="center"/>
          </w:tcPr>
          <w:p w14:paraId="6F8E560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0158DA1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13F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73" w:type="dxa"/>
            <w:vAlign w:val="center"/>
          </w:tcPr>
          <w:p w14:paraId="25213B2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64" w:type="dxa"/>
            <w:vAlign w:val="center"/>
          </w:tcPr>
          <w:p w14:paraId="00C314A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71E572F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非金属补偿器\DN圆形φ2900*φ2000*1000mm\ 0.1bar\43-FA-102/104引风机进风口；介质：烟气；温度：250℃\RF\//金属框架、筒体和法兰材质：06Cr19Ni10；补偿量：轴向±50mm；径向±20mm\JB/T 12235</w:t>
            </w:r>
          </w:p>
        </w:tc>
        <w:tc>
          <w:tcPr>
            <w:tcW w:w="831" w:type="dxa"/>
            <w:vAlign w:val="center"/>
          </w:tcPr>
          <w:p w14:paraId="7744F72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00E3E85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6A3F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73" w:type="dxa"/>
            <w:vAlign w:val="center"/>
          </w:tcPr>
          <w:p w14:paraId="08EC31A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64" w:type="dxa"/>
            <w:vAlign w:val="center"/>
          </w:tcPr>
          <w:p w14:paraId="45EFE34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3A545C6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非金属补偿器\DN圆形φ710*200mm\ 0.1bar\42/44-FA-101鼓风机进风口；介质：空气；温度：常温\RF\//金属框架、筒体和法兰材质：06Cr19Ni10；补偿量：4mm\JB/T 12235</w:t>
            </w:r>
          </w:p>
        </w:tc>
        <w:tc>
          <w:tcPr>
            <w:tcW w:w="831" w:type="dxa"/>
            <w:vAlign w:val="center"/>
          </w:tcPr>
          <w:p w14:paraId="71FFA06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48BBB03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3DE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73" w:type="dxa"/>
            <w:vAlign w:val="center"/>
          </w:tcPr>
          <w:p w14:paraId="3222C04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64" w:type="dxa"/>
            <w:vAlign w:val="center"/>
          </w:tcPr>
          <w:p w14:paraId="3AB068A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5480E7E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非金属补偿器\DN方形855*380*200mm\ 0.1bar\42/44-FA-101鼓风机出口；介质：空气；温度：常温\RF\//金属框架、筒体和法兰材质：06Cr19Ni10；补偿量：1mm\JB/T 12235</w:t>
            </w:r>
          </w:p>
        </w:tc>
        <w:tc>
          <w:tcPr>
            <w:tcW w:w="831" w:type="dxa"/>
            <w:vAlign w:val="center"/>
          </w:tcPr>
          <w:p w14:paraId="5F6636D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7497D4D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E79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73" w:type="dxa"/>
            <w:vAlign w:val="center"/>
          </w:tcPr>
          <w:p w14:paraId="3CCE3D5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64" w:type="dxa"/>
            <w:vAlign w:val="center"/>
          </w:tcPr>
          <w:p w14:paraId="590A3D0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2DA039D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非金属补偿器\DN圆形φ1200*200mm\ 0.1bar\42/44-FA-102引风机进风口；介质：烟气；温度：200℃\RF\//金属框架、筒体和法兰材质：06Cr19Ni10；补偿量：6mm\JB/T 12235</w:t>
            </w:r>
          </w:p>
        </w:tc>
        <w:tc>
          <w:tcPr>
            <w:tcW w:w="831" w:type="dxa"/>
            <w:vAlign w:val="center"/>
          </w:tcPr>
          <w:p w14:paraId="54234BE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60FD5CC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3305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73" w:type="dxa"/>
            <w:vAlign w:val="center"/>
          </w:tcPr>
          <w:p w14:paraId="3CDFB7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64" w:type="dxa"/>
            <w:vAlign w:val="center"/>
          </w:tcPr>
          <w:p w14:paraId="28D6729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5DE3AC0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非金属补偿器\DN方形1068*780*200mm\ 0.1bar\42/44-FA-102引风机出口烟道；介质：烟气；温度：200℃\RF\//金属框架、筒体和法兰材质：06Cr19Ni10；补偿量：7mm\JB/T 12235</w:t>
            </w:r>
          </w:p>
        </w:tc>
        <w:tc>
          <w:tcPr>
            <w:tcW w:w="831" w:type="dxa"/>
            <w:vAlign w:val="center"/>
          </w:tcPr>
          <w:p w14:paraId="06267C7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204F838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3827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73" w:type="dxa"/>
            <w:vAlign w:val="center"/>
          </w:tcPr>
          <w:p w14:paraId="2F623A0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64" w:type="dxa"/>
            <w:vAlign w:val="center"/>
          </w:tcPr>
          <w:p w14:paraId="226B35B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6122" w:type="dxa"/>
            <w:vAlign w:val="center"/>
          </w:tcPr>
          <w:p w14:paraId="7EACC23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非金属补偿器\DN方形1812*1316*500mm\ 0.1bar\43-FA-102/104引风机出口烟道；介质：烟气；温度：250℃\RF\//金属框架、筒体和法兰材质：06Cr19Ni10；补偿量：轴向±50mm；径向±20mm\JB/T 12235</w:t>
            </w:r>
          </w:p>
        </w:tc>
        <w:tc>
          <w:tcPr>
            <w:tcW w:w="831" w:type="dxa"/>
            <w:vAlign w:val="center"/>
          </w:tcPr>
          <w:p w14:paraId="24EF89F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8" w:type="dxa"/>
            <w:vAlign w:val="center"/>
          </w:tcPr>
          <w:p w14:paraId="0D18F0A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bl>
    <w:p w14:paraId="06D578DD">
      <w:pPr>
        <w:tabs>
          <w:tab w:val="left" w:pos="709"/>
        </w:tabs>
        <w:spacing w:line="360" w:lineRule="auto"/>
        <w:jc w:val="center"/>
        <w:rPr>
          <w:rFonts w:hint="eastAsia" w:ascii="宋体" w:hAnsi="宋体" w:eastAsia="宋体" w:cs="宋体"/>
          <w:sz w:val="28"/>
          <w:szCs w:val="28"/>
          <w:lang w:val="en-US" w:eastAsia="zh-CN"/>
        </w:rPr>
      </w:pPr>
    </w:p>
    <w:p w14:paraId="6520554A">
      <w:pPr>
        <w:tabs>
          <w:tab w:val="left" w:pos="709"/>
        </w:tabs>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58D11A63">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备相应的生产制造资质，拥有符合要求的生产设备、检测设备及专业技术团队；不接受代理商或经销商参选，参选主体须为挡板阀设备制造商。</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1D37D5C4">
      <w:pPr>
        <w:keepNext w:val="0"/>
        <w:keepLines w:val="0"/>
        <w:pageBreakBefore w:val="0"/>
        <w:widowControl w:val="0"/>
        <w:numPr>
          <w:ilvl w:val="0"/>
          <w:numId w:val="0"/>
        </w:numPr>
        <w:kinsoku/>
        <w:wordWrap/>
        <w:overflowPunct/>
        <w:topLinePunct w:val="0"/>
        <w:autoSpaceDE w:val="0"/>
        <w:autoSpaceDN w:val="0"/>
        <w:bidi w:val="0"/>
        <w:adjustRightInd w:val="0"/>
        <w:spacing w:before="120" w:after="120" w:line="360" w:lineRule="auto"/>
        <w:ind w:firstLine="560" w:firstLineChars="200"/>
        <w:jc w:val="left"/>
        <w:textAlignment w:val="auto"/>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3.参选单位应具备完善的质量保证体系</w:t>
      </w:r>
      <w:r>
        <w:rPr>
          <w:rFonts w:hint="eastAsia" w:cs="宋体"/>
          <w:color w:val="000000" w:themeColor="text1"/>
          <w:sz w:val="28"/>
          <w:szCs w:val="28"/>
          <w:lang w:val="en-US" w:eastAsia="zh-CN" w:bidi="ar-SA"/>
          <w14:textFill>
            <w14:solidFill>
              <w14:schemeClr w14:val="tx1"/>
            </w14:solidFill>
          </w14:textFill>
        </w:rPr>
        <w:t>。</w:t>
      </w:r>
    </w:p>
    <w:p w14:paraId="6784D848">
      <w:pPr>
        <w:keepNext w:val="0"/>
        <w:keepLines w:val="0"/>
        <w:pageBreakBefore w:val="0"/>
        <w:widowControl w:val="0"/>
        <w:numPr>
          <w:ilvl w:val="0"/>
          <w:numId w:val="0"/>
        </w:numPr>
        <w:kinsoku/>
        <w:wordWrap/>
        <w:overflowPunct/>
        <w:topLinePunct w:val="0"/>
        <w:autoSpaceDE w:val="0"/>
        <w:autoSpaceDN w:val="0"/>
        <w:bidi w:val="0"/>
        <w:adjustRightInd w:val="0"/>
        <w:spacing w:before="120" w:after="120" w:line="360" w:lineRule="auto"/>
        <w:ind w:firstLine="560" w:firstLineChars="200"/>
        <w:jc w:val="left"/>
        <w:textAlignment w:val="auto"/>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4.参选单位必须具有石油化工装置加热炉余热回收系统烟风道挡板阀制造与供货业绩，提供2023年以来不少于5个项目（且5个合同内累计供货台数不少于50台挡板阀）的合同复印件等业绩证明材料；</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5CCD4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1.报名时间：公告之日起至20</w:t>
      </w:r>
      <w:r>
        <w:rPr>
          <w:rFonts w:hint="eastAsia" w:cs="宋体"/>
          <w:color w:val="000000" w:themeColor="text1"/>
          <w:sz w:val="28"/>
          <w:szCs w:val="28"/>
          <w:lang w:val="en-US" w:eastAsia="zh-CN" w:bidi="ar-SA"/>
          <w14:textFill>
            <w14:solidFill>
              <w14:schemeClr w14:val="tx1"/>
            </w14:solidFill>
          </w14:textFill>
        </w:rPr>
        <w:t>26</w:t>
      </w:r>
      <w:r>
        <w:rPr>
          <w:rFonts w:hint="eastAsia" w:ascii="宋体" w:hAnsi="宋体" w:eastAsia="宋体" w:cs="宋体"/>
          <w:color w:val="000000" w:themeColor="text1"/>
          <w:sz w:val="28"/>
          <w:szCs w:val="28"/>
          <w:lang w:val="en-US" w:eastAsia="zh-CN" w:bidi="ar-SA"/>
          <w14:textFill>
            <w14:solidFill>
              <w14:schemeClr w14:val="tx1"/>
            </w14:solidFill>
          </w14:textFill>
        </w:rPr>
        <w:t>年</w:t>
      </w:r>
      <w:r>
        <w:rPr>
          <w:rFonts w:hint="eastAsia" w:cs="宋体"/>
          <w:color w:val="000000" w:themeColor="text1"/>
          <w:sz w:val="28"/>
          <w:szCs w:val="28"/>
          <w:lang w:val="en-US" w:eastAsia="zh-CN" w:bidi="ar-SA"/>
          <w14:textFill>
            <w14:solidFill>
              <w14:schemeClr w14:val="tx1"/>
            </w14:solidFill>
          </w14:textFill>
        </w:rPr>
        <w:t xml:space="preserve">  </w:t>
      </w:r>
      <w:r>
        <w:rPr>
          <w:rFonts w:hint="eastAsia" w:ascii="宋体" w:hAnsi="宋体" w:eastAsia="宋体" w:cs="宋体"/>
          <w:color w:val="000000" w:themeColor="text1"/>
          <w:sz w:val="28"/>
          <w:szCs w:val="28"/>
          <w:lang w:val="en-US" w:eastAsia="zh-CN" w:bidi="ar-SA"/>
          <w14:textFill>
            <w14:solidFill>
              <w14:schemeClr w14:val="tx1"/>
            </w14:solidFill>
          </w14:textFill>
        </w:rPr>
        <w:t>月</w:t>
      </w:r>
      <w:r>
        <w:rPr>
          <w:rFonts w:hint="eastAsia" w:cs="宋体"/>
          <w:color w:val="000000" w:themeColor="text1"/>
          <w:sz w:val="28"/>
          <w:szCs w:val="28"/>
          <w:lang w:val="en-US" w:eastAsia="zh-CN" w:bidi="ar-SA"/>
          <w14:textFill>
            <w14:solidFill>
              <w14:schemeClr w14:val="tx1"/>
            </w14:solidFill>
          </w14:textFill>
        </w:rPr>
        <w:t xml:space="preserve"> </w:t>
      </w:r>
      <w:r>
        <w:rPr>
          <w:rFonts w:hint="eastAsia" w:ascii="宋体" w:hAnsi="宋体" w:eastAsia="宋体" w:cs="宋体"/>
          <w:color w:val="000000" w:themeColor="text1"/>
          <w:sz w:val="28"/>
          <w:szCs w:val="28"/>
          <w:lang w:val="en-US" w:eastAsia="zh-CN" w:bidi="ar-SA"/>
          <w14:textFill>
            <w14:solidFill>
              <w14:schemeClr w14:val="tx1"/>
            </w14:solidFill>
          </w14:textFill>
        </w:rPr>
        <w:t>日</w:t>
      </w:r>
      <w:r>
        <w:rPr>
          <w:rFonts w:hint="eastAsia" w:cs="宋体"/>
          <w:color w:val="000000" w:themeColor="text1"/>
          <w:sz w:val="28"/>
          <w:szCs w:val="28"/>
          <w:lang w:val="en-US" w:eastAsia="zh-CN" w:bidi="ar-SA"/>
          <w14:textFill>
            <w14:solidFill>
              <w14:schemeClr w14:val="tx1"/>
            </w14:solidFill>
          </w14:textFill>
        </w:rPr>
        <w:t>（含当日）</w:t>
      </w:r>
    </w:p>
    <w:p w14:paraId="7D777256">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val="en-US" w:eastAsia="zh-CN" w:bidi="ar-SA"/>
          <w14:textFill>
            <w14:solidFill>
              <w14:schemeClr w14:val="tx1"/>
            </w14:solidFill>
          </w14:textFill>
        </w:rPr>
        <w:t>，报名文件包含：</w:t>
      </w:r>
    </w:p>
    <w:p w14:paraId="2191D8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（1）法定代表人身份证复印件（正反面）（加盖单位公章的扫描件）；</w:t>
      </w:r>
    </w:p>
    <w:p w14:paraId="2DC291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（2）营业执照（加盖单位公章的扫描件）和商务联系人电话、邮箱；</w:t>
      </w:r>
    </w:p>
    <w:p w14:paraId="459D3D7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79E010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FF0000"/>
          <w:sz w:val="28"/>
          <w:szCs w:val="28"/>
          <w:lang w:val="en-US" w:eastAsia="zh-CN" w:bidi="ar-SA"/>
        </w:rPr>
      </w:pPr>
      <w:r>
        <w:rPr>
          <w:rFonts w:hint="eastAsia" w:ascii="宋体" w:hAnsi="宋体" w:eastAsia="宋体" w:cs="宋体"/>
          <w:color w:val="000000" w:themeColor="text1"/>
          <w:sz w:val="28"/>
          <w:szCs w:val="28"/>
          <w:lang w:val="en-US" w:eastAsia="zh-CN" w:bidi="ar-SA"/>
          <w14:textFill>
            <w14:solidFill>
              <w14:schemeClr w14:val="tx1"/>
            </w14:solidFill>
          </w14:textFill>
        </w:rPr>
        <w:t>3.报名完成后，参比文件将发送至参选人邮箱，获取</w:t>
      </w:r>
      <w:r>
        <w:rPr>
          <w:rFonts w:hint="eastAsia" w:cs="宋体"/>
          <w:color w:val="000000" w:themeColor="text1"/>
          <w:sz w:val="28"/>
          <w:szCs w:val="28"/>
          <w:lang w:val="en-US" w:eastAsia="zh-CN" w:bidi="ar-SA"/>
          <w14:textFill>
            <w14:solidFill>
              <w14:schemeClr w14:val="tx1"/>
            </w14:solidFill>
          </w14:textFill>
        </w:rPr>
        <w:t>技术文件</w:t>
      </w:r>
      <w:r>
        <w:rPr>
          <w:rFonts w:hint="eastAsia" w:ascii="宋体" w:hAnsi="宋体" w:eastAsia="宋体" w:cs="宋体"/>
          <w:color w:val="FF0000"/>
          <w:sz w:val="28"/>
          <w:szCs w:val="28"/>
          <w:lang w:val="en-US" w:eastAsia="zh-CN" w:bidi="ar-SA"/>
        </w:rPr>
        <w:t>（特别声明：参选单位需要在福建能化阳光采购平台进行注册</w:t>
      </w:r>
      <w:r>
        <w:rPr>
          <w:rFonts w:hint="eastAsia" w:cs="宋体"/>
          <w:color w:val="FF0000"/>
          <w:sz w:val="28"/>
          <w:szCs w:val="28"/>
          <w:lang w:val="en-US" w:eastAsia="zh-CN" w:bidi="ar-SA"/>
        </w:rPr>
        <w:t>，</w:t>
      </w:r>
      <w:r>
        <w:rPr>
          <w:rFonts w:hint="eastAsia" w:ascii="宋体" w:hAnsi="宋体" w:eastAsia="宋体" w:cs="宋体"/>
          <w:color w:val="FF0000"/>
          <w:sz w:val="28"/>
          <w:szCs w:val="28"/>
          <w:lang w:val="en-US" w:eastAsia="zh-CN" w:bidi="ar-SA"/>
        </w:rPr>
        <w:t>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default"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val="en-US"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49000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3DFACE3E">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挡板阀（36台）及配套非金属补偿器24台采购项目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0200B79E">
      <w:pPr>
        <w:jc w:val="center"/>
        <w:outlineLvl w:val="0"/>
        <w:rPr>
          <w:rFonts w:hint="eastAsia" w:ascii="宋体" w:hAnsi="宋体" w:eastAsia="宋体" w:cs="宋体"/>
          <w:sz w:val="32"/>
          <w:szCs w:val="32"/>
          <w:lang w:eastAsia="zh-CN"/>
        </w:rPr>
      </w:pPr>
    </w:p>
    <w:p w14:paraId="2450AA1C">
      <w:pPr>
        <w:jc w:val="center"/>
        <w:outlineLvl w:val="0"/>
        <w:rPr>
          <w:rFonts w:hint="eastAsia" w:ascii="宋体" w:hAnsi="宋体" w:eastAsia="宋体" w:cs="宋体"/>
          <w:sz w:val="32"/>
          <w:szCs w:val="32"/>
          <w:lang w:eastAsia="zh-CN"/>
        </w:rPr>
      </w:pPr>
    </w:p>
    <w:p w14:paraId="0DBA7A74">
      <w:pPr>
        <w:jc w:val="center"/>
        <w:outlineLvl w:val="0"/>
        <w:rPr>
          <w:rFonts w:hint="eastAsia" w:ascii="宋体" w:hAnsi="宋体" w:eastAsia="宋体" w:cs="宋体"/>
          <w:sz w:val="32"/>
          <w:szCs w:val="32"/>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val="en-US" w:eastAsia="zh-CN"/>
        </w:rPr>
        <w:t xml:space="preserve"> </w:t>
      </w:r>
      <w:r>
        <w:rPr>
          <w:rFonts w:hint="eastAsia" w:cs="宋体"/>
          <w:color w:val="FF0000"/>
          <w:sz w:val="28"/>
          <w:szCs w:val="28"/>
          <w:u w:val="single"/>
          <w:lang w:eastAsia="zh-CN"/>
        </w:rPr>
        <w:t>挡板阀（36台）及配套非金属补偿器24台采购项目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QGD-3122-260226-0595</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7820459F">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挡板阀（36台）及配套非金属补偿器24台采购项目</w:t>
      </w:r>
      <w:r>
        <w:rPr>
          <w:rFonts w:hint="eastAsia" w:ascii="宋体" w:hAnsi="宋体" w:eastAsia="宋体" w:cs="宋体"/>
          <w:sz w:val="28"/>
          <w:szCs w:val="28"/>
          <w:lang w:eastAsia="zh-CN"/>
        </w:rPr>
        <w:t xml:space="preserve">   </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ascii="宋体" w:hAnsi="宋体" w:eastAsia="宋体" w:cs="宋体"/>
          <w:sz w:val="28"/>
          <w:szCs w:val="28"/>
          <w:lang w:val="en-US" w:eastAsia="zh-CN"/>
        </w:rPr>
        <w:t>P</w:t>
      </w:r>
      <w:r>
        <w:rPr>
          <w:rFonts w:hint="eastAsia" w:cs="宋体"/>
          <w:sz w:val="28"/>
          <w:szCs w:val="28"/>
          <w:lang w:val="en-US" w:eastAsia="zh-CN"/>
        </w:rPr>
        <w:t>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6FE433B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林钊腾 13695954541，ztlin@fhcpec.com.cn</w:t>
      </w:r>
      <w:r>
        <w:rPr>
          <w:rFonts w:hint="eastAsia" w:ascii="宋体" w:hAnsi="宋体" w:eastAsia="宋体" w:cs="宋体"/>
          <w:sz w:val="28"/>
          <w:szCs w:val="28"/>
          <w:lang w:eastAsia="zh-CN"/>
        </w:rPr>
        <w:t xml:space="preserve"> </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559AF91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备相应的生产制造资质，拥有符合要求的生产设备、检测设备及专业技术团队；不接受代理商或经销商参选，参选主体须为挡板阀设备制造商。</w:t>
      </w:r>
    </w:p>
    <w:p w14:paraId="62610A31">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6D701B74">
      <w:pPr>
        <w:keepNext w:val="0"/>
        <w:keepLines w:val="0"/>
        <w:pageBreakBefore w:val="0"/>
        <w:widowControl w:val="0"/>
        <w:numPr>
          <w:ilvl w:val="0"/>
          <w:numId w:val="0"/>
        </w:numPr>
        <w:kinsoku/>
        <w:wordWrap/>
        <w:overflowPunct/>
        <w:topLinePunct w:val="0"/>
        <w:autoSpaceDE w:val="0"/>
        <w:autoSpaceDN w:val="0"/>
        <w:bidi w:val="0"/>
        <w:adjustRightInd w:val="0"/>
        <w:spacing w:before="120" w:after="120" w:line="360" w:lineRule="auto"/>
        <w:ind w:firstLine="560" w:firstLineChars="200"/>
        <w:jc w:val="left"/>
        <w:textAlignment w:val="auto"/>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3.参选单位应具备完善的质量保证体系；</w:t>
      </w:r>
      <w:bookmarkStart w:id="1" w:name="_GoBack"/>
      <w:bookmarkEnd w:id="1"/>
    </w:p>
    <w:p w14:paraId="6888F19E">
      <w:pPr>
        <w:keepNext w:val="0"/>
        <w:keepLines w:val="0"/>
        <w:pageBreakBefore w:val="0"/>
        <w:widowControl w:val="0"/>
        <w:numPr>
          <w:ilvl w:val="0"/>
          <w:numId w:val="0"/>
        </w:numPr>
        <w:kinsoku/>
        <w:wordWrap/>
        <w:overflowPunct/>
        <w:topLinePunct w:val="0"/>
        <w:autoSpaceDE w:val="0"/>
        <w:autoSpaceDN w:val="0"/>
        <w:bidi w:val="0"/>
        <w:adjustRightInd w:val="0"/>
        <w:spacing w:before="120" w:after="120" w:line="360" w:lineRule="auto"/>
        <w:ind w:firstLine="560" w:firstLineChars="200"/>
        <w:jc w:val="left"/>
        <w:textAlignment w:val="auto"/>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4.参选单位必须具有石油化工装置加热炉余热回收系统烟风道挡板阀制造与供货业绩，提供2023年以来不少于5个项目（且5个合同内累计供货台数不少于50台挡板阀）的合同复印件等业绩证明材料；</w:t>
      </w:r>
    </w:p>
    <w:p w14:paraId="0AA8F8D0">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49000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572F4A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挡板阀（36台）及配套非金属补偿器24台采购项目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2DC6CCB">
      <w:pPr>
        <w:tabs>
          <w:tab w:val="left" w:pos="709"/>
        </w:tabs>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1.参比文件递交的截止时间</w:t>
      </w:r>
      <w:r>
        <w:rPr>
          <w:rFonts w:hint="eastAsia" w:ascii="宋体" w:hAnsi="宋体" w:eastAsia="宋体" w:cs="宋体"/>
          <w:color w:val="FF0000"/>
          <w:sz w:val="28"/>
          <w:szCs w:val="28"/>
          <w:lang w:eastAsia="zh-CN"/>
        </w:rPr>
        <w:t>：</w:t>
      </w:r>
      <w:r>
        <w:rPr>
          <w:rFonts w:hint="eastAsia" w:cs="宋体"/>
          <w:color w:val="000000" w:themeColor="text1"/>
          <w:sz w:val="28"/>
          <w:szCs w:val="28"/>
          <w:highlight w:val="yellow"/>
          <w:lang w:val="en-US" w:eastAsia="zh-CN"/>
          <w14:textFill>
            <w14:solidFill>
              <w14:schemeClr w14:val="tx1"/>
            </w14:solidFill>
          </w14:textFill>
        </w:rPr>
        <w:t>待定。</w:t>
      </w:r>
    </w:p>
    <w:p w14:paraId="2A44BAFB">
      <w:pPr>
        <w:pStyle w:val="3"/>
        <w:tabs>
          <w:tab w:val="left" w:pos="6879"/>
        </w:tabs>
        <w:spacing w:before="107" w:line="321" w:lineRule="auto"/>
        <w:ind w:left="0" w:right="106" w:firstLine="522"/>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AD6D639">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9715FC">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2"/>
        <w:tblW w:w="9326"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1"/>
        <w:gridCol w:w="1142"/>
        <w:gridCol w:w="668"/>
        <w:gridCol w:w="6245"/>
      </w:tblGrid>
      <w:tr w14:paraId="1201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47AA6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评分大类</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C2C9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463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79309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评分标准</w:t>
            </w:r>
          </w:p>
        </w:tc>
      </w:tr>
      <w:tr w14:paraId="0294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57F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商务部分</w:t>
            </w:r>
          </w:p>
          <w:p w14:paraId="1D9D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分）</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831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参选人综合实力</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503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6792331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1、企业注册资本排名：第一名得3分；第二名得2分，第三名得1分，其他名次不得分（以营业执照为准）；</w:t>
            </w:r>
          </w:p>
          <w:p w14:paraId="665D5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2、近三年（2023-2025年）企业营收总额排名：第一名得3分；第二名得2分，第三名得1分，其他名次不得分（需提供年度审计报告关键页）。</w:t>
            </w:r>
          </w:p>
        </w:tc>
      </w:tr>
      <w:tr w14:paraId="17B6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7E425">
            <w:pPr>
              <w:jc w:val="center"/>
              <w:rPr>
                <w:rFonts w:hint="eastAsia" w:ascii="宋体" w:hAnsi="宋体" w:eastAsia="宋体" w:cs="宋体"/>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3BC1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类似项目业绩</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05C5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0867F9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近三年（2023年至今），</w:t>
            </w:r>
            <w:r>
              <w:rPr>
                <w:rFonts w:hint="eastAsia" w:ascii="宋体" w:hAnsi="宋体" w:eastAsia="宋体" w:cs="宋体"/>
                <w:sz w:val="21"/>
                <w:szCs w:val="21"/>
                <w:lang w:val="en-US" w:eastAsia="zh-CN"/>
              </w:rPr>
              <w:t>石油化工装置</w:t>
            </w:r>
            <w:r>
              <w:rPr>
                <w:rFonts w:hint="eastAsia" w:ascii="宋体" w:hAnsi="宋体" w:eastAsia="宋体" w:cs="宋体"/>
                <w:i w:val="0"/>
                <w:iCs w:val="0"/>
                <w:color w:val="000000"/>
                <w:kern w:val="0"/>
                <w:sz w:val="21"/>
                <w:szCs w:val="21"/>
                <w:u w:val="none"/>
                <w:lang w:val="en-US" w:eastAsia="zh-CN" w:bidi="ar"/>
              </w:rPr>
              <w:t>加热炉余热回收系统挡板阀业绩：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1、供货与投用业绩，项目数≥10个（合同内累计台数≥100台），业绩得6分，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2、供货与投用业绩，10个＞项目数≥8个（合同内累计台数≥80台），业绩得3分，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3、供货与投用业绩，8个＞项目数＞5个（合同内累计台数＞50台），业绩得1分；</w:t>
            </w:r>
          </w:p>
        </w:tc>
      </w:tr>
      <w:tr w14:paraId="0046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6"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2373">
            <w:pPr>
              <w:jc w:val="center"/>
              <w:rPr>
                <w:rFonts w:hint="eastAsia" w:ascii="宋体" w:hAnsi="宋体" w:eastAsia="宋体" w:cs="宋体"/>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510E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人员及生产资质</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A0D0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14586E86">
            <w:pPr>
              <w:keepNext w:val="0"/>
              <w:keepLines w:val="0"/>
              <w:widowControl/>
              <w:suppressLineNumbers w:val="0"/>
              <w:ind w:firstLine="420" w:firstLineChars="200"/>
              <w:jc w:val="left"/>
              <w:textAlignment w:val="center"/>
              <w:rPr>
                <w:rFonts w:ascii="Times New Roman" w:hAnsi="Times New Roman" w:eastAsia="宋体" w:cs="Times New Roman"/>
                <w:sz w:val="21"/>
                <w:szCs w:val="21"/>
              </w:rPr>
            </w:pPr>
            <w:r>
              <w:rPr>
                <w:rFonts w:ascii="Times New Roman" w:hAnsi="Times New Roman" w:eastAsia="宋体" w:cs="Times New Roman"/>
                <w:sz w:val="21"/>
                <w:szCs w:val="21"/>
              </w:rPr>
              <w:t>根据</w:t>
            </w:r>
            <w:r>
              <w:rPr>
                <w:rFonts w:hint="eastAsia" w:ascii="Times New Roman" w:hAnsi="Times New Roman" w:eastAsia="宋体" w:cs="Times New Roman"/>
                <w:sz w:val="21"/>
                <w:szCs w:val="21"/>
                <w:lang w:eastAsia="zh-CN"/>
              </w:rPr>
              <w:t>参选</w:t>
            </w:r>
            <w:r>
              <w:rPr>
                <w:rFonts w:ascii="Times New Roman" w:hAnsi="Times New Roman" w:eastAsia="宋体" w:cs="Times New Roman"/>
                <w:sz w:val="21"/>
                <w:szCs w:val="21"/>
              </w:rPr>
              <w:t>人是否</w:t>
            </w:r>
            <w:r>
              <w:rPr>
                <w:rFonts w:hint="eastAsia" w:ascii="Times New Roman" w:hAnsi="Times New Roman" w:eastAsia="宋体" w:cs="Times New Roman"/>
                <w:sz w:val="21"/>
                <w:szCs w:val="21"/>
                <w:lang w:eastAsia="zh-CN"/>
              </w:rPr>
              <w:t>挡板阀</w:t>
            </w:r>
            <w:r>
              <w:rPr>
                <w:rFonts w:hint="eastAsia" w:ascii="Times New Roman" w:hAnsi="Times New Roman" w:eastAsia="宋体" w:cs="Times New Roman"/>
                <w:sz w:val="21"/>
                <w:szCs w:val="21"/>
              </w:rPr>
              <w:t>制造的</w:t>
            </w:r>
            <w:r>
              <w:rPr>
                <w:rFonts w:ascii="Times New Roman" w:hAnsi="Times New Roman" w:eastAsia="宋体" w:cs="Times New Roman"/>
                <w:sz w:val="21"/>
                <w:szCs w:val="21"/>
              </w:rPr>
              <w:t>检测能力，具有得化学成份分析，硬度仪，超声检测UT、磁粉检测MT、液体渗透检测PT、强度试验能力、冷态试验能力、检验资质的人员数量及等级</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由评委进行评议并在0～</w:t>
            </w:r>
            <w:r>
              <w:rPr>
                <w:rFonts w:hint="eastAsia" w:ascii="Times New Roman" w:hAnsi="Times New Roman" w:eastAsia="宋体" w:cs="Times New Roman"/>
                <w:sz w:val="21"/>
                <w:szCs w:val="21"/>
                <w:lang w:val="en-US" w:eastAsia="zh-CN"/>
              </w:rPr>
              <w:t>3</w:t>
            </w:r>
            <w:r>
              <w:rPr>
                <w:rFonts w:ascii="Times New Roman" w:hAnsi="Times New Roman" w:eastAsia="宋体" w:cs="Times New Roman"/>
                <w:sz w:val="21"/>
                <w:szCs w:val="21"/>
              </w:rPr>
              <w:t>分之间进行评分。</w:t>
            </w:r>
          </w:p>
          <w:p w14:paraId="3A9B0C77">
            <w:pPr>
              <w:keepNext w:val="0"/>
              <w:keepLines w:val="0"/>
              <w:widowControl/>
              <w:suppressLineNumbers w:val="0"/>
              <w:ind w:firstLine="420" w:firstLineChars="200"/>
              <w:jc w:val="left"/>
              <w:textAlignment w:val="center"/>
              <w:rPr>
                <w:rFonts w:hint="eastAsia" w:ascii="Times New Roman" w:hAnsi="Times New Roman" w:eastAsia="宋体" w:cs="Times New Roman"/>
                <w:sz w:val="21"/>
                <w:szCs w:val="21"/>
              </w:rPr>
            </w:pPr>
            <w:r>
              <w:rPr>
                <w:rFonts w:ascii="Times New Roman" w:hAnsi="Times New Roman" w:eastAsia="宋体" w:cs="Times New Roman"/>
                <w:sz w:val="21"/>
                <w:szCs w:val="21"/>
              </w:rPr>
              <w:t>以上设备需要</w:t>
            </w:r>
            <w:r>
              <w:rPr>
                <w:rFonts w:hint="eastAsia" w:ascii="Times New Roman" w:hAnsi="Times New Roman" w:eastAsia="宋体" w:cs="Times New Roman"/>
                <w:sz w:val="21"/>
                <w:szCs w:val="21"/>
                <w:lang w:eastAsia="zh-CN"/>
              </w:rPr>
              <w:t>参选</w:t>
            </w:r>
            <w:r>
              <w:rPr>
                <w:rFonts w:ascii="Times New Roman" w:hAnsi="Times New Roman" w:eastAsia="宋体" w:cs="Times New Roman"/>
                <w:sz w:val="21"/>
                <w:szCs w:val="21"/>
              </w:rPr>
              <w:t>人提供相关证明（如照片、设备合格证、固定资产编号等）</w:t>
            </w:r>
            <w:r>
              <w:rPr>
                <w:rFonts w:hint="eastAsia" w:ascii="Times New Roman" w:hAnsi="Times New Roman" w:eastAsia="宋体" w:cs="Times New Roman"/>
                <w:sz w:val="21"/>
                <w:szCs w:val="21"/>
              </w:rPr>
              <w:t>，</w:t>
            </w:r>
          </w:p>
          <w:p w14:paraId="6A26E26B">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ascii="Times New Roman" w:hAnsi="Times New Roman" w:eastAsia="宋体" w:cs="Times New Roman"/>
                <w:sz w:val="21"/>
                <w:szCs w:val="21"/>
              </w:rPr>
              <w:t>检测人员提供证书应为机械工业理化检验人员技术培训和资格鉴定委员会或国家钢铁产品质量监督检验中心颁发的金相检验、力学性能和化学分析专业二级或三级技术资格证书、国家质量监督检验检疫总局颁发的《中华人民共和国特种设备检验检测人员证》及中国特种设备检验协会颁发的《特种设备检验检测人员执业注册证书》，要求II级或III级持证人员，并提供证书扫描件，不提供者不得分。</w:t>
            </w:r>
          </w:p>
        </w:tc>
      </w:tr>
      <w:tr w14:paraId="2092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29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技术部分（15 分）</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4492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技术方案响应性</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BCC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1AC51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1、挡板阀、非金属补偿器的设计方案、结构选型、材质选用、工艺参数等完全响应采购技术要求，无偏离，得3分；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2、设计方案中体现设备更新迭代优化（如密封结构升级、抗盐雾腐蚀改进、执行机构可靠性提升等），且提供技术验证依据，得2分；</w:t>
            </w:r>
          </w:p>
        </w:tc>
      </w:tr>
      <w:tr w14:paraId="197C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10EFC">
            <w:pPr>
              <w:jc w:val="center"/>
              <w:rPr>
                <w:rFonts w:hint="eastAsia" w:ascii="宋体" w:hAnsi="宋体" w:eastAsia="宋体" w:cs="宋体"/>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78C2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制造及检验检测方案</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8F17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6257C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1、提供详细的制造工艺方案（含叶片加工、多轴装配、密封测试等关键工序），流程合理、质控措施到位，得3分；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2、检验检测方案覆盖原材料进场、过程工序、出厂试验全流程，明确关键控制点（如焊接探伤、密封泄漏率测试、执行机构力矩校验），且具备相应检测设备或明确委外检测资质，得2分；</w:t>
            </w:r>
          </w:p>
        </w:tc>
      </w:tr>
      <w:tr w14:paraId="7243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8722">
            <w:pPr>
              <w:jc w:val="cente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227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项目进度及保障措施</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172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1B2FD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1、制定的施工周期保证措施和计划图表（含原材料采购、生产排期、检验调试、运输协调）具体可行，得2分；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2、在满足80天交货期基础上，承诺每提前5天得1分，满分3分。</w:t>
            </w:r>
          </w:p>
        </w:tc>
      </w:tr>
      <w:tr w14:paraId="536F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6F9A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参选报价（70分）</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19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报价合理性</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31A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70分</w:t>
            </w:r>
          </w:p>
        </w:tc>
        <w:tc>
          <w:tcPr>
            <w:tcW w:w="6245" w:type="dxa"/>
            <w:tcBorders>
              <w:top w:val="single" w:color="000000" w:sz="4" w:space="0"/>
              <w:left w:val="single" w:color="000000" w:sz="4" w:space="0"/>
              <w:bottom w:val="single" w:color="000000" w:sz="4" w:space="0"/>
              <w:right w:val="single" w:color="000000" w:sz="4" w:space="0"/>
            </w:tcBorders>
            <w:noWrap w:val="0"/>
            <w:vAlign w:val="center"/>
          </w:tcPr>
          <w:p w14:paraId="28BB9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参选价格得分=(F低/Fn)*70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式中: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①F低为评标基准价=进入报价部分评分的各合格参选人中最低的报价评标价。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②Fn为进入报价部分评分的各合格参选人的报价评标价。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参选报价得分小数点后保留两位，第三位“四舍五入”，第四位及以后不计。</w:t>
            </w:r>
          </w:p>
        </w:tc>
      </w:tr>
    </w:tbl>
    <w:p w14:paraId="1D5FD524">
      <w:pPr>
        <w:pStyle w:val="5"/>
        <w:spacing w:line="360" w:lineRule="auto"/>
        <w:ind w:right="121" w:firstLine="560" w:firstLineChars="200"/>
        <w:jc w:val="both"/>
        <w:rPr>
          <w:rFonts w:hint="eastAsia" w:ascii="宋体" w:hAnsi="宋体" w:eastAsia="宋体" w:cs="宋体"/>
          <w:sz w:val="28"/>
          <w:szCs w:val="28"/>
          <w:lang w:eastAsia="zh-CN"/>
        </w:rPr>
      </w:pPr>
    </w:p>
    <w:p w14:paraId="4F728D0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2.报价评分：</w:t>
      </w:r>
    </w:p>
    <w:p w14:paraId="16FAEF0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根据评标细则规定对投标报价进行算术性错误修正。投标人的投标报价经上述修正后，计算出报价评标价。</w:t>
      </w:r>
    </w:p>
    <w:p w14:paraId="68C9D02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投标价格得分=(F低/Fn)*</w:t>
      </w:r>
      <w:r>
        <w:rPr>
          <w:rFonts w:hint="eastAsia" w:cs="宋体"/>
          <w:sz w:val="28"/>
          <w:szCs w:val="28"/>
          <w:lang w:val="en-US" w:eastAsia="zh-CN"/>
        </w:rPr>
        <w:t>7</w:t>
      </w:r>
      <w:r>
        <w:rPr>
          <w:rFonts w:hint="eastAsia" w:ascii="宋体" w:hAnsi="宋体" w:eastAsia="宋体" w:cs="宋体"/>
          <w:sz w:val="28"/>
          <w:szCs w:val="28"/>
          <w:lang w:eastAsia="zh-CN"/>
        </w:rPr>
        <w:t>0式中：</w:t>
      </w:r>
    </w:p>
    <w:p w14:paraId="3409AC3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①F低为评标基准价=进入报价部分评分的各合格投标人中最低的报价评标价。</w:t>
      </w:r>
    </w:p>
    <w:p w14:paraId="1B8D57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②Fn为进入报价部分评分的各合格投标人的报价评标价。投标报价得分小数点后保留两人，第三位"四舍五入",第四位及以后不计。</w:t>
      </w:r>
    </w:p>
    <w:p w14:paraId="0EEE548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246.34</w:t>
      </w:r>
      <w:r>
        <w:rPr>
          <w:rFonts w:hint="eastAsia" w:ascii="宋体" w:hAnsi="宋体" w:eastAsia="宋体" w:cs="宋体"/>
          <w:sz w:val="28"/>
          <w:szCs w:val="28"/>
          <w:lang w:eastAsia="zh-CN"/>
        </w:rPr>
        <w:t>万元整（含税包干总价）。参选人所填报的报价高于本项目最高限价的,本项最低得分为0分。</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w:t>
      </w:r>
      <w:r>
        <w:rPr>
          <w:rFonts w:hint="eastAsia" w:cs="宋体"/>
          <w:sz w:val="28"/>
          <w:szCs w:val="28"/>
          <w:lang w:eastAsia="zh-CN"/>
        </w:rPr>
        <w:t>中选</w:t>
      </w:r>
      <w:r>
        <w:rPr>
          <w:rFonts w:hint="eastAsia" w:ascii="宋体" w:hAnsi="宋体" w:eastAsia="宋体" w:cs="宋体"/>
          <w:sz w:val="28"/>
          <w:szCs w:val="28"/>
          <w:lang w:eastAsia="zh-CN"/>
        </w:rPr>
        <w:t>人签订合同。</w:t>
      </w:r>
    </w:p>
    <w:p w14:paraId="12219DD2">
      <w:pPr>
        <w:rPr>
          <w:rFonts w:hint="eastAsia" w:ascii="宋体" w:hAnsi="宋体" w:eastAsia="宋体" w:cs="宋体"/>
          <w:lang w:eastAsia="zh-CN"/>
        </w:rPr>
      </w:pPr>
    </w:p>
    <w:p w14:paraId="75A74CBD">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w:t>
      </w:r>
      <w:r>
        <w:rPr>
          <w:rFonts w:hint="eastAsia" w:cs="宋体"/>
          <w:sz w:val="28"/>
          <w:szCs w:val="28"/>
          <w:lang w:eastAsia="zh-CN"/>
        </w:rPr>
        <w:t>中选</w:t>
      </w:r>
      <w:r>
        <w:rPr>
          <w:rFonts w:hint="eastAsia" w:ascii="宋体" w:hAnsi="宋体" w:eastAsia="宋体" w:cs="宋体"/>
          <w:sz w:val="28"/>
          <w:szCs w:val="28"/>
          <w:lang w:eastAsia="zh-CN"/>
        </w:rPr>
        <w:t>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人确定后，采购将通知</w:t>
      </w:r>
      <w:r>
        <w:rPr>
          <w:rFonts w:hint="eastAsia" w:cs="宋体"/>
          <w:sz w:val="28"/>
          <w:szCs w:val="28"/>
          <w:lang w:eastAsia="zh-CN"/>
        </w:rPr>
        <w:t>中选</w:t>
      </w:r>
      <w:r>
        <w:rPr>
          <w:rFonts w:hint="eastAsia" w:ascii="宋体" w:hAnsi="宋体" w:eastAsia="宋体" w:cs="宋体"/>
          <w:sz w:val="28"/>
          <w:szCs w:val="28"/>
          <w:lang w:eastAsia="zh-CN"/>
        </w:rPr>
        <w:t>人，并将</w:t>
      </w:r>
      <w:r>
        <w:rPr>
          <w:rFonts w:hint="eastAsia" w:cs="宋体"/>
          <w:sz w:val="28"/>
          <w:szCs w:val="28"/>
          <w:lang w:eastAsia="zh-CN"/>
        </w:rPr>
        <w:t>中选</w:t>
      </w:r>
      <w:r>
        <w:rPr>
          <w:rFonts w:hint="eastAsia" w:ascii="宋体" w:hAnsi="宋体" w:eastAsia="宋体" w:cs="宋体"/>
          <w:sz w:val="28"/>
          <w:szCs w:val="28"/>
          <w:lang w:eastAsia="zh-CN"/>
        </w:rPr>
        <w:t>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通知对采购人和参比人具有法律效力。</w:t>
      </w:r>
      <w:r>
        <w:rPr>
          <w:rStyle w:val="15"/>
          <w:rFonts w:hint="eastAsia" w:ascii="宋体" w:hAnsi="宋体" w:eastAsia="宋体" w:cs="宋体"/>
          <w:color w:val="FF0000"/>
          <w:sz w:val="28"/>
          <w:szCs w:val="28"/>
          <w:lang w:eastAsia="zh-CN"/>
        </w:rPr>
        <w:t>福建福海创石油化工有限公司指定由其权属子公司“</w:t>
      </w:r>
      <w:r>
        <w:rPr>
          <w:rStyle w:val="15"/>
          <w:rFonts w:hint="eastAsia" w:ascii="宋体" w:hAnsi="宋体" w:eastAsia="宋体" w:cs="宋体"/>
          <w:color w:val="FF0000"/>
          <w:sz w:val="28"/>
          <w:szCs w:val="28"/>
          <w:lang w:val="en-US" w:eastAsia="zh-CN"/>
        </w:rPr>
        <w:t>腾龙芳烃</w:t>
      </w:r>
      <w:r>
        <w:rPr>
          <w:rStyle w:val="15"/>
          <w:rFonts w:hint="eastAsia" w:ascii="宋体" w:hAnsi="宋体" w:eastAsia="宋体" w:cs="宋体"/>
          <w:color w:val="FF0000"/>
          <w:sz w:val="28"/>
          <w:szCs w:val="28"/>
          <w:lang w:eastAsia="zh-CN"/>
        </w:rPr>
        <w:t>（漳州）有限公司”作为本合同执行主体，将于中选结果公示流程结束之日起30日内与中选人完成合同签订事宜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单位原因未在规定的时间和地点与采购人签署合同，采购人有权单方取消</w:t>
      </w:r>
      <w:r>
        <w:rPr>
          <w:rFonts w:hint="eastAsia" w:cs="宋体"/>
          <w:sz w:val="28"/>
          <w:szCs w:val="28"/>
          <w:lang w:eastAsia="zh-CN"/>
        </w:rPr>
        <w:t>中选</w:t>
      </w:r>
      <w:r>
        <w:rPr>
          <w:rFonts w:hint="eastAsia" w:ascii="宋体" w:hAnsi="宋体" w:eastAsia="宋体" w:cs="宋体"/>
          <w:sz w:val="28"/>
          <w:szCs w:val="28"/>
          <w:lang w:eastAsia="zh-CN"/>
        </w:rPr>
        <w:t>单位的资格。同时，由此给采购人造成的损失，采购人有权追究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cs="宋体"/>
          <w:sz w:val="28"/>
          <w:szCs w:val="28"/>
          <w:lang w:eastAsia="zh-CN"/>
        </w:rPr>
        <w:t>中选</w:t>
      </w:r>
      <w:r>
        <w:rPr>
          <w:rFonts w:hint="eastAsia" w:ascii="宋体" w:hAnsi="宋体" w:eastAsia="宋体" w:cs="宋体"/>
          <w:sz w:val="28"/>
          <w:szCs w:val="28"/>
          <w:lang w:eastAsia="zh-CN"/>
        </w:rPr>
        <w:t>人签署合同后必须履行合同要求。若因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单位原因未在规定的时间内完成合同内容等相关工作，则采购人有权单方面取消</w:t>
      </w:r>
      <w:r>
        <w:rPr>
          <w:rFonts w:hint="eastAsia" w:cs="宋体"/>
          <w:sz w:val="28"/>
          <w:szCs w:val="28"/>
          <w:lang w:eastAsia="zh-CN"/>
        </w:rPr>
        <w:t>中选</w:t>
      </w:r>
      <w:r>
        <w:rPr>
          <w:rFonts w:hint="eastAsia" w:ascii="宋体" w:hAnsi="宋体" w:eastAsia="宋体" w:cs="宋体"/>
          <w:sz w:val="28"/>
          <w:szCs w:val="28"/>
          <w:lang w:eastAsia="zh-CN"/>
        </w:rPr>
        <w:t>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2C4A0E2">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 xml:space="preserve">第六章  </w:t>
      </w:r>
      <w:r>
        <w:rPr>
          <w:rFonts w:hint="eastAsia" w:cs="宋体"/>
          <w:b/>
          <w:w w:val="95"/>
          <w:sz w:val="30"/>
          <w:szCs w:val="30"/>
          <w:lang w:eastAsia="zh-CN"/>
        </w:rPr>
        <w:t>中选</w:t>
      </w:r>
      <w:r>
        <w:rPr>
          <w:rFonts w:hint="eastAsia" w:ascii="宋体" w:hAnsi="宋体" w:eastAsia="宋体" w:cs="宋体"/>
          <w:b/>
          <w:w w:val="95"/>
          <w:sz w:val="30"/>
          <w:szCs w:val="30"/>
          <w:lang w:eastAsia="zh-CN"/>
        </w:rPr>
        <w:t>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cs="宋体"/>
          <w:sz w:val="28"/>
          <w:szCs w:val="28"/>
          <w:lang w:eastAsia="zh-CN"/>
        </w:rPr>
        <w:t>中选</w:t>
      </w:r>
      <w:r>
        <w:rPr>
          <w:rFonts w:hint="eastAsia" w:ascii="宋体" w:hAnsi="宋体" w:eastAsia="宋体" w:cs="宋体"/>
          <w:sz w:val="28"/>
          <w:szCs w:val="28"/>
          <w:lang w:eastAsia="zh-CN"/>
        </w:rPr>
        <w:t>单位要服从采购人的管理规定，不得影响采购人的生产运行，如有违反，取消</w:t>
      </w:r>
      <w:r>
        <w:rPr>
          <w:rFonts w:hint="eastAsia" w:cs="宋体"/>
          <w:sz w:val="28"/>
          <w:szCs w:val="28"/>
          <w:lang w:eastAsia="zh-CN"/>
        </w:rPr>
        <w:t>中选</w:t>
      </w:r>
      <w:r>
        <w:rPr>
          <w:rFonts w:hint="eastAsia" w:ascii="宋体" w:hAnsi="宋体" w:eastAsia="宋体" w:cs="宋体"/>
          <w:sz w:val="28"/>
          <w:szCs w:val="28"/>
          <w:lang w:eastAsia="zh-CN"/>
        </w:rPr>
        <w:t>单位的继续履行合同的资格，同时，由此给采购人造成的损失，采购人有权追究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w:t>
      </w:r>
      <w:r>
        <w:rPr>
          <w:rFonts w:hint="eastAsia" w:cs="宋体"/>
          <w:sz w:val="28"/>
          <w:szCs w:val="28"/>
          <w:lang w:val="en-US" w:eastAsia="zh-CN"/>
        </w:rPr>
        <w:t>选</w:t>
      </w:r>
      <w:r>
        <w:rPr>
          <w:rFonts w:hint="eastAsia" w:ascii="宋体" w:hAnsi="宋体" w:eastAsia="宋体" w:cs="宋体"/>
          <w:sz w:val="28"/>
          <w:szCs w:val="28"/>
          <w:lang w:eastAsia="zh-CN"/>
        </w:rPr>
        <w:t>，均不退回。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704C6642">
      <w:pPr>
        <w:tabs>
          <w:tab w:val="left" w:pos="709"/>
        </w:tabs>
        <w:spacing w:line="360" w:lineRule="auto"/>
        <w:ind w:firstLine="520" w:firstLineChars="100"/>
        <w:jc w:val="center"/>
        <w:rPr>
          <w:rFonts w:hint="eastAsia" w:ascii="宋体" w:hAnsi="宋体" w:eastAsia="宋体" w:cs="宋体"/>
          <w:b/>
          <w:sz w:val="44"/>
          <w:szCs w:val="44"/>
          <w:lang w:val="en-US" w:eastAsia="zh-CN"/>
        </w:rPr>
      </w:pPr>
      <w:r>
        <w:rPr>
          <w:rFonts w:hint="eastAsia" w:ascii="宋体" w:hAnsi="宋体" w:eastAsia="宋体" w:cs="宋体"/>
          <w:sz w:val="52"/>
          <w:szCs w:val="52"/>
          <w:lang w:eastAsia="zh-CN"/>
        </w:rPr>
        <w:t>挡板阀（36台）及配套非金属补偿器24台采购项目</w:t>
      </w:r>
    </w:p>
    <w:p w14:paraId="6ED00C2C">
      <w:pPr>
        <w:spacing w:line="360" w:lineRule="auto"/>
        <w:ind w:left="883" w:hanging="883" w:hangingChars="200"/>
        <w:jc w:val="center"/>
        <w:rPr>
          <w:b/>
          <w:sz w:val="44"/>
          <w:szCs w:val="44"/>
          <w:lang w:eastAsia="zh-CN"/>
        </w:rPr>
      </w:pP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78E93F42">
      <w:pPr>
        <w:spacing w:line="360" w:lineRule="auto"/>
        <w:ind w:left="643" w:hanging="643" w:hangingChars="200"/>
        <w:rPr>
          <w:rFonts w:hint="default"/>
          <w:b/>
          <w:sz w:val="32"/>
          <w:szCs w:val="32"/>
          <w:lang w:val="en-US" w:eastAsia="zh-CN"/>
        </w:rPr>
      </w:pPr>
      <w:r>
        <w:rPr>
          <w:rFonts w:hint="eastAsia"/>
          <w:b/>
          <w:sz w:val="32"/>
          <w:szCs w:val="32"/>
          <w:lang w:eastAsia="zh-CN"/>
        </w:rPr>
        <w:t xml:space="preserve">          甲方：</w:t>
      </w:r>
      <w:r>
        <w:rPr>
          <w:rFonts w:hint="eastAsia" w:ascii="仿宋" w:hAnsi="仿宋" w:eastAsia="仿宋"/>
          <w:b/>
          <w:sz w:val="32"/>
          <w:szCs w:val="32"/>
          <w:lang w:val="en-US" w:eastAsia="zh-CN"/>
        </w:rPr>
        <w:t>腾龙芳烃</w:t>
      </w:r>
      <w:r>
        <w:rPr>
          <w:rFonts w:hint="eastAsia" w:ascii="仿宋" w:hAnsi="仿宋" w:eastAsia="仿宋"/>
          <w:b/>
          <w:sz w:val="32"/>
          <w:szCs w:val="32"/>
          <w:lang w:eastAsia="zh-CN"/>
        </w:rPr>
        <w:t>（漳州）有限公司</w:t>
      </w: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E868464">
      <w:pPr>
        <w:snapToGrid w:val="0"/>
        <w:spacing w:line="360" w:lineRule="auto"/>
        <w:jc w:val="both"/>
        <w:rPr>
          <w:rFonts w:hint="eastAsia"/>
          <w:b/>
          <w:szCs w:val="21"/>
          <w:lang w:eastAsia="zh-CN"/>
        </w:rPr>
      </w:pPr>
    </w:p>
    <w:p w14:paraId="01B8C39D">
      <w:pPr>
        <w:snapToGrid w:val="0"/>
        <w:spacing w:line="360" w:lineRule="auto"/>
        <w:jc w:val="center"/>
        <w:rPr>
          <w:rFonts w:hint="eastAsia"/>
          <w:b/>
          <w:szCs w:val="21"/>
          <w:lang w:eastAsia="zh-CN"/>
        </w:rPr>
      </w:pPr>
    </w:p>
    <w:p w14:paraId="4404F136">
      <w:pPr>
        <w:snapToGrid w:val="0"/>
        <w:spacing w:line="360" w:lineRule="auto"/>
        <w:jc w:val="center"/>
        <w:rPr>
          <w:b/>
          <w:szCs w:val="21"/>
          <w:lang w:eastAsia="zh-CN"/>
        </w:rPr>
      </w:pPr>
      <w:r>
        <w:rPr>
          <w:rFonts w:hint="eastAsia"/>
          <w:b/>
          <w:szCs w:val="21"/>
          <w:lang w:eastAsia="zh-CN"/>
        </w:rPr>
        <w:t>一、总则</w:t>
      </w:r>
    </w:p>
    <w:p w14:paraId="3C37A352">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1.1 甲方委托乙方承担            制造工作。乙方接受甲方的委托，双方根据《中华人民共和国民法典》的规定，经过协商，达成一致意见，签订本合同。 </w:t>
      </w:r>
    </w:p>
    <w:p w14:paraId="31BDAC77">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3A554CE3">
      <w:pPr>
        <w:snapToGrid w:val="0"/>
        <w:spacing w:line="360" w:lineRule="auto"/>
        <w:rPr>
          <w:szCs w:val="21"/>
          <w:lang w:eastAsia="zh-CN"/>
        </w:rPr>
      </w:pPr>
      <w:r>
        <w:rPr>
          <w:rFonts w:hint="eastAsia"/>
          <w:szCs w:val="21"/>
          <w:lang w:eastAsia="zh-CN"/>
        </w:rPr>
        <w:t>1.2 委托制造的货物名称、型号、规格、数量详见《技术规格书》或《技术协议》。</w:t>
      </w:r>
    </w:p>
    <w:p w14:paraId="1D4F0FA4">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14:paraId="1C347805">
      <w:pPr>
        <w:snapToGrid w:val="0"/>
        <w:spacing w:line="360" w:lineRule="auto"/>
        <w:rPr>
          <w:szCs w:val="21"/>
          <w:lang w:eastAsia="zh-CN"/>
        </w:rPr>
      </w:pPr>
      <w:r>
        <w:rPr>
          <w:rFonts w:hint="eastAsia"/>
          <w:szCs w:val="21"/>
          <w:lang w:eastAsia="zh-CN"/>
        </w:rPr>
        <w:t>1.4</w:t>
      </w:r>
      <w:r>
        <w:rPr>
          <w:szCs w:val="21"/>
          <w:lang w:eastAsia="zh-CN"/>
        </w:rPr>
        <w:t>乙方</w:t>
      </w:r>
      <w:r>
        <w:rPr>
          <w:rFonts w:hint="eastAsia"/>
          <w:szCs w:val="21"/>
          <w:lang w:eastAsia="zh-CN"/>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5D922356">
      <w:pPr>
        <w:snapToGrid w:val="0"/>
        <w:spacing w:line="360" w:lineRule="auto"/>
        <w:jc w:val="center"/>
        <w:rPr>
          <w:b/>
          <w:szCs w:val="21"/>
          <w:lang w:eastAsia="zh-CN"/>
        </w:rPr>
      </w:pPr>
      <w:r>
        <w:rPr>
          <w:rFonts w:hint="eastAsia"/>
          <w:b/>
          <w:szCs w:val="21"/>
          <w:lang w:eastAsia="zh-CN"/>
        </w:rPr>
        <w:t>二、价格</w:t>
      </w:r>
    </w:p>
    <w:p w14:paraId="7E842996">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rFonts w:hint="eastAsia"/>
          <w:szCs w:val="21"/>
          <w:lang w:eastAsia="zh-CN"/>
        </w:rPr>
        <w:t>%税率）</w:t>
      </w:r>
    </w:p>
    <w:p w14:paraId="0755E631">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14:paraId="5BFCE071">
      <w:pPr>
        <w:snapToGrid w:val="0"/>
        <w:spacing w:line="360" w:lineRule="auto"/>
        <w:rPr>
          <w:szCs w:val="21"/>
          <w:lang w:eastAsia="zh-CN"/>
        </w:rPr>
      </w:pPr>
      <w:r>
        <w:rPr>
          <w:rFonts w:hint="eastAsia"/>
          <w:szCs w:val="21"/>
          <w:lang w:eastAsia="zh-CN"/>
        </w:rPr>
        <w:t>2.3 合同总价为一次不变价。以上总价为货到甲方现场指定地点车板交货价。现场交货前一切风险和费用由乙方承担。</w:t>
      </w:r>
    </w:p>
    <w:p w14:paraId="7D2639E5">
      <w:pPr>
        <w:snapToGrid w:val="0"/>
        <w:spacing w:line="360" w:lineRule="auto"/>
        <w:jc w:val="center"/>
        <w:rPr>
          <w:b/>
          <w:szCs w:val="21"/>
          <w:lang w:eastAsia="zh-CN"/>
        </w:rPr>
      </w:pPr>
      <w:r>
        <w:rPr>
          <w:rFonts w:hint="eastAsia"/>
          <w:b/>
          <w:szCs w:val="21"/>
          <w:lang w:eastAsia="zh-CN"/>
        </w:rPr>
        <w:t>三、支付条款</w:t>
      </w:r>
    </w:p>
    <w:p w14:paraId="72B1E479">
      <w:pPr>
        <w:snapToGrid w:val="0"/>
        <w:spacing w:line="360" w:lineRule="auto"/>
        <w:rPr>
          <w:lang w:eastAsia="zh-CN"/>
        </w:rPr>
      </w:pPr>
      <w:r>
        <w:rPr>
          <w:rFonts w:hint="eastAsia"/>
          <w:lang w:eastAsia="zh-CN"/>
        </w:rPr>
        <w:t>3.</w:t>
      </w:r>
      <w:r>
        <w:rPr>
          <w:rFonts w:hint="eastAsia"/>
          <w:lang w:val="en-US" w:eastAsia="zh-CN"/>
        </w:rPr>
        <w:t>1</w:t>
      </w:r>
      <w:r>
        <w:rPr>
          <w:rFonts w:hint="eastAsia"/>
          <w:lang w:eastAsia="zh-CN"/>
        </w:rPr>
        <w:t xml:space="preserve"> 设备到货开箱验收合格,且甲方收到乙方提供合同总价的</w:t>
      </w:r>
      <w:r>
        <w:rPr>
          <w:rFonts w:hint="eastAsia"/>
          <w:u w:val="single"/>
          <w:lang w:val="en-US" w:eastAsia="zh-CN"/>
        </w:rPr>
        <w:t xml:space="preserve"> 13 </w:t>
      </w:r>
      <w:r>
        <w:rPr>
          <w:rFonts w:hint="eastAsia"/>
          <w:lang w:eastAsia="zh-CN"/>
        </w:rPr>
        <w:t>%等额增值税专用发票后的60（六十）个日历天内支付合同总价的</w:t>
      </w:r>
      <w:r>
        <w:rPr>
          <w:rFonts w:hint="eastAsia"/>
          <w:u w:val="single"/>
          <w:lang w:eastAsia="zh-CN"/>
        </w:rPr>
        <w:t xml:space="preserve"> </w:t>
      </w:r>
      <w:r>
        <w:rPr>
          <w:rFonts w:hint="eastAsia"/>
          <w:u w:val="single"/>
          <w:lang w:val="en-US" w:eastAsia="zh-CN"/>
        </w:rPr>
        <w:t>9</w:t>
      </w:r>
      <w:r>
        <w:rPr>
          <w:rFonts w:hint="eastAsia"/>
          <w:u w:val="single"/>
          <w:lang w:eastAsia="zh-CN"/>
        </w:rPr>
        <w:t>0</w:t>
      </w:r>
      <w:r>
        <w:rPr>
          <w:rFonts w:hint="eastAsia"/>
          <w:u w:val="single"/>
          <w:lang w:val="en-US" w:eastAsia="zh-CN"/>
        </w:rPr>
        <w:t xml:space="preserve"> </w:t>
      </w:r>
      <w:r>
        <w:rPr>
          <w:rFonts w:hint="eastAsia"/>
          <w:lang w:eastAsia="zh-CN"/>
        </w:rPr>
        <w:t>%合同款，即人民币￥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rFonts w:hint="eastAsia"/>
          <w:lang w:eastAsia="zh-CN"/>
        </w:rPr>
        <w:t>元整）。</w:t>
      </w:r>
    </w:p>
    <w:p w14:paraId="72202D72">
      <w:pPr>
        <w:snapToGrid w:val="0"/>
        <w:spacing w:line="360" w:lineRule="auto"/>
        <w:rPr>
          <w:lang w:eastAsia="zh-CN"/>
        </w:rPr>
      </w:pPr>
      <w:r>
        <w:rPr>
          <w:rFonts w:hint="eastAsia"/>
          <w:lang w:eastAsia="zh-CN"/>
        </w:rPr>
        <w:t>3.</w:t>
      </w:r>
      <w:r>
        <w:rPr>
          <w:rFonts w:hint="eastAsia"/>
          <w:lang w:val="en-US" w:eastAsia="zh-CN"/>
        </w:rPr>
        <w:t>2</w:t>
      </w:r>
      <w:r>
        <w:rPr>
          <w:rFonts w:hint="eastAsia"/>
          <w:lang w:eastAsia="zh-CN"/>
        </w:rPr>
        <w:t xml:space="preserve"> 质保金：本项目质保金为合同总价的10%，即为人民币￥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u w:val="single"/>
          <w:lang w:eastAsia="zh-CN"/>
        </w:rPr>
        <w:t xml:space="preserve">     </w:t>
      </w:r>
      <w:r>
        <w:rPr>
          <w:rFonts w:hint="eastAsia"/>
          <w:lang w:eastAsia="zh-CN"/>
        </w:rPr>
        <w:t>元整）。质量保证期结束后且乙方没有违反保证的情形下，甲方在质保期满的60（六十）个日历天内，一次性付清。</w:t>
      </w:r>
    </w:p>
    <w:p w14:paraId="451E0CBE">
      <w:pPr>
        <w:snapToGrid w:val="0"/>
        <w:spacing w:line="360" w:lineRule="auto"/>
        <w:rPr>
          <w:lang w:eastAsia="zh-CN"/>
        </w:rPr>
      </w:pPr>
      <w:r>
        <w:rPr>
          <w:rFonts w:hint="eastAsia"/>
          <w:lang w:eastAsia="zh-CN"/>
        </w:rPr>
        <w:t>3.</w:t>
      </w:r>
      <w:r>
        <w:rPr>
          <w:rFonts w:hint="eastAsia"/>
          <w:lang w:val="en-US" w:eastAsia="zh-CN"/>
        </w:rPr>
        <w:t>3</w:t>
      </w:r>
      <w:r>
        <w:rPr>
          <w:rFonts w:hint="eastAsia"/>
          <w:lang w:eastAsia="zh-CN"/>
        </w:rPr>
        <w:t xml:space="preserve"> 甲方的付款并不限制甲方在随后时间对已开具发票的费用提出争议或对合同中不满意的服务、不符合要求的产品进行索赔的权利。</w:t>
      </w:r>
    </w:p>
    <w:p w14:paraId="104BF738">
      <w:pPr>
        <w:snapToGrid w:val="0"/>
        <w:spacing w:line="360" w:lineRule="auto"/>
        <w:rPr>
          <w:lang w:eastAsia="zh-CN"/>
        </w:rPr>
      </w:pPr>
      <w:r>
        <w:rPr>
          <w:rFonts w:hint="eastAsia"/>
          <w:lang w:eastAsia="zh-CN"/>
        </w:rPr>
        <w:t>3.</w:t>
      </w:r>
      <w:r>
        <w:rPr>
          <w:rFonts w:hint="eastAsia"/>
          <w:lang w:val="en-US" w:eastAsia="zh-CN"/>
        </w:rPr>
        <w:t>4</w:t>
      </w:r>
      <w:r>
        <w:rPr>
          <w:rFonts w:hint="eastAsia"/>
          <w:lang w:eastAsia="zh-CN"/>
        </w:rPr>
        <w:t xml:space="preserve"> 甲方有权从应付乙方的款项中抵扣乙方按本合同应支付给甲方的费用，包括但不限于违约金、赔偿金、乙方造成的一切损失、债务。</w:t>
      </w:r>
    </w:p>
    <w:p w14:paraId="4895F9A9">
      <w:pPr>
        <w:snapToGrid w:val="0"/>
        <w:spacing w:line="360" w:lineRule="auto"/>
        <w:jc w:val="center"/>
        <w:rPr>
          <w:b/>
          <w:szCs w:val="21"/>
          <w:lang w:eastAsia="zh-CN"/>
        </w:rPr>
      </w:pPr>
      <w:r>
        <w:rPr>
          <w:rFonts w:hint="eastAsia"/>
          <w:b/>
          <w:szCs w:val="21"/>
          <w:lang w:eastAsia="zh-CN"/>
        </w:rPr>
        <w:t>四、交货</w:t>
      </w:r>
    </w:p>
    <w:p w14:paraId="23B60BC6">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14:paraId="6C878469">
      <w:pPr>
        <w:snapToGrid w:val="0"/>
        <w:spacing w:line="360" w:lineRule="auto"/>
        <w:rPr>
          <w:szCs w:val="21"/>
          <w:lang w:eastAsia="zh-CN"/>
        </w:rPr>
      </w:pPr>
      <w:r>
        <w:rPr>
          <w:rFonts w:hint="eastAsia"/>
          <w:szCs w:val="21"/>
          <w:lang w:eastAsia="zh-CN"/>
        </w:rPr>
        <w:t>4.2 收货人：</w:t>
      </w:r>
    </w:p>
    <w:p w14:paraId="09CCD8F1">
      <w:pPr>
        <w:snapToGrid w:val="0"/>
        <w:spacing w:line="360" w:lineRule="auto"/>
        <w:rPr>
          <w:szCs w:val="21"/>
          <w:lang w:eastAsia="zh-CN"/>
        </w:rPr>
      </w:pPr>
      <w:r>
        <w:rPr>
          <w:rFonts w:hint="eastAsia"/>
          <w:szCs w:val="21"/>
          <w:lang w:eastAsia="zh-CN"/>
        </w:rPr>
        <w:t>交货地点：甲方指定的地点</w:t>
      </w:r>
    </w:p>
    <w:p w14:paraId="6FDB02DA">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14:paraId="71454EDD">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14:paraId="44857827">
      <w:pPr>
        <w:snapToGrid w:val="0"/>
        <w:spacing w:line="360" w:lineRule="auto"/>
        <w:rPr>
          <w:szCs w:val="21"/>
          <w:lang w:eastAsia="zh-CN"/>
        </w:rPr>
      </w:pPr>
      <w:r>
        <w:rPr>
          <w:rFonts w:hint="eastAsia"/>
          <w:szCs w:val="21"/>
          <w:lang w:eastAsia="zh-CN"/>
        </w:rPr>
        <w:t>4.5交货设备铭牌的内容至少应包括下列内容：</w:t>
      </w:r>
    </w:p>
    <w:p w14:paraId="2CE05920">
      <w:pPr>
        <w:snapToGrid w:val="0"/>
        <w:spacing w:line="360" w:lineRule="auto"/>
        <w:rPr>
          <w:szCs w:val="21"/>
          <w:lang w:eastAsia="zh-CN"/>
        </w:rPr>
      </w:pPr>
      <w:r>
        <w:rPr>
          <w:rFonts w:hint="eastAsia"/>
          <w:szCs w:val="21"/>
          <w:lang w:eastAsia="zh-CN"/>
        </w:rPr>
        <w:t xml:space="preserve">   1.制造厂名称和制造许可证号；</w:t>
      </w:r>
    </w:p>
    <w:p w14:paraId="5DB61ABF">
      <w:pPr>
        <w:snapToGrid w:val="0"/>
        <w:spacing w:line="360" w:lineRule="auto"/>
        <w:rPr>
          <w:szCs w:val="21"/>
          <w:lang w:eastAsia="zh-CN"/>
        </w:rPr>
      </w:pPr>
      <w:r>
        <w:rPr>
          <w:rFonts w:hint="eastAsia"/>
          <w:szCs w:val="21"/>
          <w:lang w:eastAsia="zh-CN"/>
        </w:rPr>
        <w:t xml:space="preserve">   2.产品编号和制造日期；</w:t>
      </w:r>
    </w:p>
    <w:p w14:paraId="32AB73F9">
      <w:pPr>
        <w:snapToGrid w:val="0"/>
        <w:spacing w:line="360" w:lineRule="auto"/>
        <w:rPr>
          <w:szCs w:val="21"/>
          <w:lang w:eastAsia="zh-CN"/>
        </w:rPr>
      </w:pPr>
      <w:r>
        <w:rPr>
          <w:rFonts w:hint="eastAsia"/>
          <w:szCs w:val="21"/>
          <w:lang w:eastAsia="zh-CN"/>
        </w:rPr>
        <w:t xml:space="preserve">   3.设备位号和名称；</w:t>
      </w:r>
    </w:p>
    <w:p w14:paraId="59969681">
      <w:pPr>
        <w:snapToGrid w:val="0"/>
        <w:spacing w:line="360" w:lineRule="auto"/>
        <w:rPr>
          <w:szCs w:val="21"/>
          <w:lang w:eastAsia="zh-CN"/>
        </w:rPr>
      </w:pPr>
      <w:r>
        <w:rPr>
          <w:rFonts w:hint="eastAsia"/>
          <w:szCs w:val="21"/>
          <w:lang w:eastAsia="zh-CN"/>
        </w:rPr>
        <w:t xml:space="preserve">   4.设备规格，包括设计/试验温度/压力、材质、重量等。</w:t>
      </w:r>
    </w:p>
    <w:p w14:paraId="71D45C4C">
      <w:pPr>
        <w:snapToGrid w:val="0"/>
        <w:spacing w:line="360" w:lineRule="auto"/>
        <w:rPr>
          <w:szCs w:val="21"/>
          <w:lang w:eastAsia="zh-CN"/>
        </w:rPr>
      </w:pPr>
      <w:r>
        <w:rPr>
          <w:rFonts w:hint="eastAsia"/>
          <w:szCs w:val="21"/>
          <w:lang w:eastAsia="zh-CN"/>
        </w:rPr>
        <w:t>4.6设备交货时乙方需要提供的文字资料包括：</w:t>
      </w:r>
    </w:p>
    <w:p w14:paraId="38BC79E0">
      <w:pPr>
        <w:snapToGrid w:val="0"/>
        <w:spacing w:line="360" w:lineRule="auto"/>
        <w:rPr>
          <w:szCs w:val="21"/>
          <w:lang w:eastAsia="zh-CN"/>
        </w:rPr>
      </w:pPr>
      <w:r>
        <w:rPr>
          <w:rFonts w:hint="eastAsia"/>
          <w:szCs w:val="21"/>
          <w:lang w:eastAsia="zh-CN"/>
        </w:rPr>
        <w:t xml:space="preserve">   1.供货清单、文件和图纸目录清单；</w:t>
      </w:r>
    </w:p>
    <w:p w14:paraId="052D922A">
      <w:pPr>
        <w:snapToGrid w:val="0"/>
        <w:spacing w:line="360" w:lineRule="auto"/>
        <w:rPr>
          <w:szCs w:val="21"/>
          <w:lang w:eastAsia="zh-CN"/>
        </w:rPr>
      </w:pPr>
      <w:r>
        <w:rPr>
          <w:rFonts w:hint="eastAsia"/>
          <w:szCs w:val="21"/>
          <w:lang w:eastAsia="zh-CN"/>
        </w:rPr>
        <w:t xml:space="preserve">   2.材质证明文件；</w:t>
      </w:r>
    </w:p>
    <w:p w14:paraId="0C8E044D">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14:paraId="2981FB3B">
      <w:pPr>
        <w:snapToGrid w:val="0"/>
        <w:spacing w:line="360" w:lineRule="auto"/>
        <w:rPr>
          <w:szCs w:val="21"/>
          <w:lang w:eastAsia="zh-CN"/>
        </w:rPr>
      </w:pPr>
      <w:r>
        <w:rPr>
          <w:rFonts w:hint="eastAsia"/>
          <w:szCs w:val="21"/>
          <w:lang w:eastAsia="zh-CN"/>
        </w:rPr>
        <w:t xml:space="preserve">   4.与实物相符的设备竣工图；</w:t>
      </w:r>
    </w:p>
    <w:p w14:paraId="6FD5F1F9">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14:paraId="41BB9C62">
      <w:pPr>
        <w:snapToGrid w:val="0"/>
        <w:spacing w:line="360" w:lineRule="auto"/>
        <w:rPr>
          <w:szCs w:val="21"/>
          <w:lang w:eastAsia="zh-CN"/>
        </w:rPr>
      </w:pPr>
      <w:r>
        <w:rPr>
          <w:rFonts w:hint="eastAsia"/>
          <w:szCs w:val="21"/>
          <w:lang w:eastAsia="zh-CN"/>
        </w:rPr>
        <w:t xml:space="preserve">   6.备品配件清单；</w:t>
      </w:r>
    </w:p>
    <w:p w14:paraId="64C6A843">
      <w:pPr>
        <w:snapToGrid w:val="0"/>
        <w:spacing w:line="360" w:lineRule="auto"/>
        <w:rPr>
          <w:szCs w:val="21"/>
          <w:lang w:eastAsia="zh-CN"/>
        </w:rPr>
      </w:pPr>
      <w:r>
        <w:rPr>
          <w:rFonts w:hint="eastAsia"/>
          <w:szCs w:val="21"/>
          <w:lang w:eastAsia="zh-CN"/>
        </w:rPr>
        <w:t xml:space="preserve">   7.产品合格证及质量证明书；</w:t>
      </w:r>
    </w:p>
    <w:p w14:paraId="7BD22175">
      <w:pPr>
        <w:snapToGrid w:val="0"/>
        <w:spacing w:line="360" w:lineRule="auto"/>
        <w:rPr>
          <w:szCs w:val="21"/>
          <w:lang w:eastAsia="zh-CN"/>
        </w:rPr>
      </w:pPr>
      <w:r>
        <w:rPr>
          <w:rFonts w:hint="eastAsia"/>
          <w:szCs w:val="21"/>
          <w:lang w:eastAsia="zh-CN"/>
        </w:rPr>
        <w:t xml:space="preserve">   8.安装调试的技术条件；</w:t>
      </w:r>
    </w:p>
    <w:p w14:paraId="7452C948">
      <w:pPr>
        <w:snapToGrid w:val="0"/>
        <w:spacing w:line="360" w:lineRule="auto"/>
        <w:rPr>
          <w:szCs w:val="21"/>
          <w:lang w:eastAsia="zh-CN"/>
        </w:rPr>
      </w:pPr>
      <w:r>
        <w:rPr>
          <w:rFonts w:hint="eastAsia"/>
          <w:szCs w:val="21"/>
          <w:lang w:eastAsia="zh-CN"/>
        </w:rPr>
        <w:t xml:space="preserve">   9.按规定所应提供的其它资料。</w:t>
      </w:r>
    </w:p>
    <w:p w14:paraId="3C24C66D">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7E42EA41">
      <w:pPr>
        <w:snapToGrid w:val="0"/>
        <w:spacing w:line="360" w:lineRule="auto"/>
        <w:jc w:val="center"/>
        <w:rPr>
          <w:b/>
          <w:szCs w:val="21"/>
          <w:lang w:eastAsia="zh-CN"/>
        </w:rPr>
      </w:pPr>
      <w:r>
        <w:rPr>
          <w:rFonts w:hint="eastAsia"/>
          <w:b/>
          <w:szCs w:val="21"/>
          <w:lang w:eastAsia="zh-CN"/>
        </w:rPr>
        <w:t>五、包装与运输</w:t>
      </w:r>
    </w:p>
    <w:p w14:paraId="11D9807C">
      <w:pPr>
        <w:snapToGrid w:val="0"/>
        <w:spacing w:line="360" w:lineRule="auto"/>
        <w:rPr>
          <w:szCs w:val="21"/>
          <w:lang w:eastAsia="zh-CN"/>
        </w:rPr>
      </w:pPr>
      <w:r>
        <w:rPr>
          <w:rFonts w:hint="eastAsia"/>
          <w:szCs w:val="21"/>
          <w:lang w:eastAsia="zh-CN"/>
        </w:rPr>
        <w:t>5.1设备整体包装发运，按JB2536－80标准执行。</w:t>
      </w:r>
    </w:p>
    <w:p w14:paraId="5819157D">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14:paraId="4751A159">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0B97CF9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14:paraId="74E84E8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14:paraId="0555DC8D">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14:paraId="66171F23">
      <w:pPr>
        <w:snapToGrid w:val="0"/>
        <w:spacing w:line="360" w:lineRule="auto"/>
        <w:jc w:val="center"/>
        <w:rPr>
          <w:b/>
          <w:szCs w:val="21"/>
          <w:lang w:eastAsia="zh-CN"/>
        </w:rPr>
      </w:pPr>
      <w:r>
        <w:rPr>
          <w:rFonts w:hint="eastAsia"/>
          <w:b/>
          <w:szCs w:val="21"/>
          <w:lang w:eastAsia="zh-CN"/>
        </w:rPr>
        <w:t>六、保证与索赔</w:t>
      </w:r>
    </w:p>
    <w:p w14:paraId="6056AA64">
      <w:pPr>
        <w:spacing w:line="360" w:lineRule="auto"/>
        <w:rPr>
          <w:szCs w:val="21"/>
          <w:lang w:eastAsia="zh-CN"/>
        </w:rPr>
      </w:pPr>
      <w:r>
        <w:rPr>
          <w:rFonts w:hint="eastAsia"/>
          <w:szCs w:val="21"/>
          <w:lang w:eastAsia="zh-CN"/>
        </w:rPr>
        <w:t>6.1质保期为设备安装、调试试车合格后12个月或设备运达甲方现场18个月，以先到为准。  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4182B0E1">
      <w:pPr>
        <w:spacing w:line="360" w:lineRule="auto"/>
        <w:rPr>
          <w:szCs w:val="21"/>
          <w:lang w:eastAsia="zh-CN"/>
        </w:rPr>
      </w:pPr>
      <w:r>
        <w:rPr>
          <w:rFonts w:hint="eastAsia"/>
          <w:szCs w:val="21"/>
          <w:lang w:eastAsia="zh-CN"/>
        </w:rPr>
        <w:t>6.3</w:t>
      </w:r>
      <w:r>
        <w:rPr>
          <w:szCs w:val="21"/>
          <w:lang w:eastAsia="zh-CN"/>
        </w:rPr>
        <w:t>在产品质量保证期内，如因产品质量问题给</w:t>
      </w:r>
      <w:r>
        <w:rPr>
          <w:rFonts w:hint="eastAsia"/>
          <w:szCs w:val="21"/>
          <w:lang w:eastAsia="zh-CN"/>
        </w:rPr>
        <w:t>甲方</w:t>
      </w:r>
      <w:r>
        <w:rPr>
          <w:szCs w:val="21"/>
          <w:lang w:eastAsia="zh-CN"/>
        </w:rPr>
        <w:t>造成损失的，</w:t>
      </w:r>
      <w:r>
        <w:rPr>
          <w:rFonts w:hint="eastAsia"/>
          <w:szCs w:val="21"/>
          <w:lang w:eastAsia="zh-CN"/>
        </w:rPr>
        <w:t>乙方</w:t>
      </w:r>
      <w:r>
        <w:rPr>
          <w:szCs w:val="21"/>
          <w:lang w:eastAsia="zh-CN"/>
        </w:rPr>
        <w:t>还应赔偿</w:t>
      </w:r>
      <w:r>
        <w:rPr>
          <w:rFonts w:hint="eastAsia"/>
          <w:szCs w:val="21"/>
          <w:lang w:eastAsia="zh-CN"/>
        </w:rPr>
        <w:t>甲方由此</w:t>
      </w:r>
      <w:r>
        <w:rPr>
          <w:szCs w:val="21"/>
          <w:lang w:eastAsia="zh-CN"/>
        </w:rPr>
        <w:t>遭受的损失</w:t>
      </w:r>
      <w:r>
        <w:rPr>
          <w:rFonts w:hint="eastAsia"/>
          <w:szCs w:val="21"/>
          <w:lang w:eastAsia="zh-CN"/>
        </w:rPr>
        <w:t>及相关费用</w:t>
      </w:r>
      <w:r>
        <w:rPr>
          <w:szCs w:val="21"/>
          <w:lang w:eastAsia="zh-CN"/>
        </w:rPr>
        <w:t>。</w:t>
      </w:r>
    </w:p>
    <w:p w14:paraId="2B742F38">
      <w:pPr>
        <w:spacing w:line="360" w:lineRule="auto"/>
        <w:rPr>
          <w:szCs w:val="21"/>
          <w:lang w:eastAsia="zh-CN"/>
        </w:rPr>
      </w:pPr>
      <w:r>
        <w:rPr>
          <w:rFonts w:hint="eastAsia"/>
          <w:szCs w:val="21"/>
          <w:lang w:eastAsia="zh-CN"/>
        </w:rPr>
        <w:t>6.4</w:t>
      </w:r>
      <w:r>
        <w:rPr>
          <w:szCs w:val="21"/>
          <w:lang w:eastAsia="zh-CN"/>
        </w:rPr>
        <w:t>.</w:t>
      </w:r>
      <w:r>
        <w:rPr>
          <w:rFonts w:hint="eastAsia"/>
          <w:szCs w:val="21"/>
          <w:lang w:eastAsia="zh-CN"/>
        </w:rPr>
        <w:t>质量保证期的顺延：</w:t>
      </w:r>
      <w:r>
        <w:rPr>
          <w:szCs w:val="21"/>
          <w:lang w:eastAsia="zh-CN"/>
        </w:rPr>
        <w:t>在质量保证期内，</w:t>
      </w:r>
      <w:r>
        <w:rPr>
          <w:rFonts w:hint="eastAsia"/>
          <w:szCs w:val="21"/>
          <w:lang w:eastAsia="zh-CN"/>
        </w:rPr>
        <w:t>因需要修理有缺陷的设备，而使合同设备停运或推迟安装时，则保证期应按实际修理所延误的时间做相应的延长。非因甲方</w:t>
      </w:r>
      <w:r>
        <w:rPr>
          <w:szCs w:val="21"/>
          <w:lang w:eastAsia="zh-CN"/>
        </w:rPr>
        <w:t>原因导致全部货物或零部件更换时，则所更换部件/货物的质量保证期为自更换并验收合格之日起重新计算。</w:t>
      </w:r>
    </w:p>
    <w:p w14:paraId="64606CC3">
      <w:pPr>
        <w:spacing w:line="360" w:lineRule="auto"/>
        <w:rPr>
          <w:szCs w:val="21"/>
          <w:lang w:eastAsia="zh-CN"/>
        </w:rPr>
      </w:pPr>
      <w:r>
        <w:rPr>
          <w:rFonts w:hint="eastAsia"/>
          <w:szCs w:val="21"/>
          <w:lang w:eastAsia="zh-CN"/>
        </w:rPr>
        <w:t>6.5产品质量缺陷责任：</w:t>
      </w:r>
      <w:r>
        <w:rPr>
          <w:szCs w:val="21"/>
          <w:lang w:eastAsia="zh-CN"/>
        </w:rPr>
        <w:t>在质量保证期过后</w:t>
      </w:r>
      <w:r>
        <w:rPr>
          <w:rFonts w:hint="eastAsia"/>
          <w:szCs w:val="21"/>
          <w:lang w:eastAsia="zh-CN"/>
        </w:rPr>
        <w:t>甲方</w:t>
      </w:r>
      <w:r>
        <w:rPr>
          <w:szCs w:val="21"/>
          <w:lang w:eastAsia="zh-CN"/>
        </w:rPr>
        <w:t>发现的比如材质错误等原则性</w:t>
      </w:r>
      <w:r>
        <w:rPr>
          <w:rFonts w:hint="eastAsia"/>
          <w:szCs w:val="21"/>
          <w:lang w:eastAsia="zh-CN"/>
        </w:rPr>
        <w:t>产品质量缺陷</w:t>
      </w:r>
      <w:r>
        <w:rPr>
          <w:szCs w:val="21"/>
          <w:lang w:eastAsia="zh-CN"/>
        </w:rPr>
        <w:t>问题，仍属于</w:t>
      </w:r>
      <w:r>
        <w:rPr>
          <w:rFonts w:hint="eastAsia"/>
          <w:szCs w:val="21"/>
          <w:lang w:eastAsia="zh-CN"/>
        </w:rPr>
        <w:t>乙方</w:t>
      </w:r>
      <w:r>
        <w:rPr>
          <w:szCs w:val="21"/>
          <w:lang w:eastAsia="zh-CN"/>
        </w:rPr>
        <w:t>的</w:t>
      </w:r>
      <w:r>
        <w:rPr>
          <w:rFonts w:hint="eastAsia"/>
          <w:szCs w:val="21"/>
          <w:lang w:eastAsia="zh-CN"/>
        </w:rPr>
        <w:t>质量</w:t>
      </w:r>
      <w:r>
        <w:rPr>
          <w:szCs w:val="21"/>
          <w:lang w:eastAsia="zh-CN"/>
        </w:rPr>
        <w:t>责任，</w:t>
      </w:r>
      <w:r>
        <w:rPr>
          <w:rFonts w:hint="eastAsia"/>
          <w:szCs w:val="21"/>
          <w:lang w:eastAsia="zh-CN"/>
        </w:rPr>
        <w:t>乙方</w:t>
      </w:r>
      <w:r>
        <w:rPr>
          <w:szCs w:val="21"/>
          <w:lang w:eastAsia="zh-CN"/>
        </w:rPr>
        <w:t>仍需承担</w:t>
      </w:r>
      <w:r>
        <w:rPr>
          <w:rFonts w:hint="eastAsia"/>
          <w:szCs w:val="21"/>
          <w:lang w:eastAsia="zh-CN"/>
        </w:rPr>
        <w:t>相应责任</w:t>
      </w:r>
      <w:r>
        <w:rPr>
          <w:szCs w:val="21"/>
          <w:lang w:eastAsia="zh-CN"/>
        </w:rPr>
        <w:t>，如该货物给</w:t>
      </w:r>
      <w:r>
        <w:rPr>
          <w:rFonts w:hint="eastAsia"/>
          <w:szCs w:val="21"/>
          <w:lang w:eastAsia="zh-CN"/>
        </w:rPr>
        <w:t>甲方</w:t>
      </w:r>
      <w:r>
        <w:rPr>
          <w:szCs w:val="21"/>
          <w:lang w:eastAsia="zh-CN"/>
        </w:rPr>
        <w:t>或第三方造成损失的，</w:t>
      </w:r>
      <w:r>
        <w:rPr>
          <w:rFonts w:hint="eastAsia"/>
          <w:szCs w:val="21"/>
          <w:lang w:eastAsia="zh-CN"/>
        </w:rPr>
        <w:t>乙方</w:t>
      </w:r>
      <w:r>
        <w:rPr>
          <w:szCs w:val="21"/>
          <w:lang w:eastAsia="zh-CN"/>
        </w:rPr>
        <w:t>还应承担赔偿责任。</w:t>
      </w:r>
    </w:p>
    <w:p w14:paraId="1181C428">
      <w:pPr>
        <w:snapToGrid w:val="0"/>
        <w:spacing w:line="360" w:lineRule="auto"/>
        <w:jc w:val="center"/>
        <w:rPr>
          <w:b/>
          <w:szCs w:val="21"/>
          <w:lang w:eastAsia="zh-CN"/>
        </w:rPr>
      </w:pPr>
      <w:r>
        <w:rPr>
          <w:rFonts w:hint="eastAsia"/>
          <w:b/>
          <w:szCs w:val="21"/>
          <w:lang w:eastAsia="zh-CN"/>
        </w:rPr>
        <w:t>七、 保密义务</w:t>
      </w:r>
    </w:p>
    <w:p w14:paraId="7EA279BA">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14:paraId="33380EAC">
      <w:pPr>
        <w:snapToGrid w:val="0"/>
        <w:spacing w:line="360" w:lineRule="auto"/>
        <w:jc w:val="center"/>
        <w:rPr>
          <w:b/>
          <w:szCs w:val="21"/>
          <w:lang w:eastAsia="zh-CN"/>
        </w:rPr>
      </w:pPr>
      <w:r>
        <w:rPr>
          <w:rFonts w:hint="eastAsia"/>
          <w:b/>
          <w:szCs w:val="21"/>
          <w:lang w:eastAsia="zh-CN"/>
        </w:rPr>
        <w:t>八、违约责任</w:t>
      </w:r>
    </w:p>
    <w:p w14:paraId="51630AB5">
      <w:pPr>
        <w:snapToGrid w:val="0"/>
        <w:spacing w:line="360" w:lineRule="auto"/>
        <w:rPr>
          <w:szCs w:val="21"/>
          <w:lang w:eastAsia="zh-CN"/>
        </w:rPr>
      </w:pPr>
      <w:r>
        <w:rPr>
          <w:rFonts w:hint="eastAsia"/>
          <w:szCs w:val="21"/>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602E41">
      <w:pPr>
        <w:spacing w:line="360" w:lineRule="auto"/>
        <w:rPr>
          <w:szCs w:val="21"/>
          <w:lang w:eastAsia="zh-CN"/>
        </w:rPr>
      </w:pPr>
      <w:r>
        <w:rPr>
          <w:rFonts w:hint="eastAsia"/>
          <w:szCs w:val="21"/>
          <w:lang w:eastAsia="zh-CN"/>
        </w:rPr>
        <w:t>乙方逾期交货的，每日按照合同总额的</w:t>
      </w:r>
      <w:r>
        <w:rPr>
          <w:color w:val="FF0000"/>
          <w:szCs w:val="21"/>
          <w:u w:val="single"/>
          <w:lang w:eastAsia="zh-CN"/>
        </w:rPr>
        <w:t xml:space="preserve"> </w:t>
      </w:r>
      <w:r>
        <w:rPr>
          <w:rFonts w:hint="eastAsia"/>
          <w:color w:val="FF0000"/>
          <w:szCs w:val="21"/>
          <w:u w:val="single"/>
          <w:lang w:eastAsia="zh-CN"/>
        </w:rPr>
        <w:t>0.1</w:t>
      </w:r>
      <w:r>
        <w:rPr>
          <w:rFonts w:hint="eastAsia"/>
          <w:szCs w:val="21"/>
          <w:lang w:eastAsia="zh-CN"/>
        </w:rPr>
        <w:t>%向甲方支付违约金，逾期超过</w:t>
      </w:r>
      <w:r>
        <w:rPr>
          <w:rFonts w:hint="eastAsia"/>
          <w:szCs w:val="21"/>
          <w:u w:val="single"/>
          <w:lang w:eastAsia="zh-CN"/>
        </w:rPr>
        <w:t>30</w:t>
      </w:r>
      <w:r>
        <w:rPr>
          <w:rFonts w:hint="eastAsia"/>
          <w:szCs w:val="21"/>
          <w:lang w:eastAsia="zh-CN"/>
        </w:rPr>
        <w:t>日的，甲方有权解除合同，并要求乙方一次性支付合同总额</w:t>
      </w:r>
      <w:r>
        <w:rPr>
          <w:rFonts w:hint="eastAsia"/>
          <w:szCs w:val="21"/>
          <w:u w:val="single"/>
          <w:lang w:eastAsia="zh-CN"/>
        </w:rPr>
        <w:t>10</w:t>
      </w:r>
      <w:r>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92BAA5B">
      <w:pPr>
        <w:snapToGrid w:val="0"/>
        <w:spacing w:line="360" w:lineRule="auto"/>
        <w:rPr>
          <w:szCs w:val="21"/>
          <w:lang w:eastAsia="zh-CN"/>
        </w:rPr>
      </w:pPr>
      <w:r>
        <w:rPr>
          <w:rFonts w:hint="eastAsia"/>
          <w:szCs w:val="21"/>
          <w:lang w:eastAsia="zh-CN"/>
        </w:rPr>
        <w:t>8.2如果由于乙方提供技术服务的延误，造成执行合同延误，每延误工期一日，乙方应向甲方支付合同总价0.1%的违约金。</w:t>
      </w:r>
    </w:p>
    <w:p w14:paraId="33E7B671">
      <w:pPr>
        <w:snapToGrid w:val="0"/>
        <w:spacing w:line="360" w:lineRule="auto"/>
        <w:rPr>
          <w:szCs w:val="21"/>
          <w:lang w:eastAsia="zh-CN"/>
        </w:rPr>
      </w:pPr>
      <w:r>
        <w:rPr>
          <w:rFonts w:hint="eastAsia"/>
          <w:szCs w:val="21"/>
          <w:lang w:eastAsia="zh-CN"/>
        </w:rPr>
        <w:t>8.3乙方交付的产品经甲方验收不合格的，应根据甲方要求进行修理、更换或退货。如甲方选择退货，即解除或部分解除合同的</w:t>
      </w:r>
      <w:r>
        <w:rPr>
          <w:rFonts w:hint="eastAsia"/>
          <w:b/>
          <w:szCs w:val="21"/>
          <w:lang w:eastAsia="zh-CN"/>
        </w:rPr>
        <w:t>，</w:t>
      </w:r>
      <w:r>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468AD81">
      <w:pPr>
        <w:spacing w:line="360" w:lineRule="auto"/>
        <w:rPr>
          <w:szCs w:val="21"/>
          <w:lang w:eastAsia="zh-CN"/>
        </w:rPr>
      </w:pPr>
      <w:r>
        <w:rPr>
          <w:rFonts w:hint="eastAsia"/>
          <w:szCs w:val="21"/>
          <w:lang w:eastAsia="zh-CN"/>
        </w:rPr>
        <w:t>8.4 甲方无故逾期付款的，按照全国银行间同业拆借中心公布的贷款市场报价利率支付利息。</w:t>
      </w:r>
    </w:p>
    <w:p w14:paraId="0EB7AC9A">
      <w:pPr>
        <w:spacing w:line="360" w:lineRule="auto"/>
        <w:rPr>
          <w:szCs w:val="21"/>
          <w:lang w:eastAsia="zh-CN"/>
        </w:rPr>
      </w:pPr>
      <w:r>
        <w:rPr>
          <w:rFonts w:hint="eastAsia"/>
          <w:szCs w:val="21"/>
          <w:lang w:eastAsia="zh-CN"/>
        </w:rPr>
        <w:t>8.5一方的违约行为给对方造成的损失超过本合同约定的违约金数额的，超出部分，违约方应予以赔偿。</w:t>
      </w:r>
    </w:p>
    <w:p w14:paraId="41DDC395">
      <w:pPr>
        <w:snapToGrid w:val="0"/>
        <w:spacing w:line="360" w:lineRule="auto"/>
        <w:jc w:val="center"/>
        <w:rPr>
          <w:b/>
          <w:szCs w:val="21"/>
          <w:lang w:eastAsia="zh-CN"/>
        </w:rPr>
      </w:pPr>
      <w:r>
        <w:rPr>
          <w:rFonts w:hint="eastAsia"/>
          <w:b/>
          <w:szCs w:val="21"/>
          <w:lang w:eastAsia="zh-CN"/>
        </w:rPr>
        <w:t>九、纠纷解决</w:t>
      </w:r>
    </w:p>
    <w:p w14:paraId="11827347">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14:paraId="1A49C0DC">
      <w:pPr>
        <w:snapToGrid w:val="0"/>
        <w:spacing w:line="360" w:lineRule="auto"/>
        <w:jc w:val="center"/>
        <w:rPr>
          <w:b/>
          <w:szCs w:val="21"/>
          <w:lang w:eastAsia="zh-CN"/>
        </w:rPr>
      </w:pPr>
      <w:r>
        <w:rPr>
          <w:rFonts w:hint="eastAsia"/>
          <w:b/>
          <w:szCs w:val="21"/>
          <w:lang w:eastAsia="zh-CN"/>
        </w:rPr>
        <w:t>十、其它</w:t>
      </w:r>
    </w:p>
    <w:p w14:paraId="2712DBB2">
      <w:pPr>
        <w:snapToGrid w:val="0"/>
        <w:spacing w:line="360" w:lineRule="auto"/>
        <w:rPr>
          <w:szCs w:val="21"/>
          <w:lang w:eastAsia="zh-CN"/>
        </w:rPr>
      </w:pPr>
      <w:r>
        <w:rPr>
          <w:rFonts w:hint="eastAsia"/>
          <w:szCs w:val="21"/>
          <w:lang w:eastAsia="zh-CN"/>
        </w:rPr>
        <w:t>10.1本合同未尽事宜，合同各方应本着实事求是友好协商的原则解决。</w:t>
      </w:r>
    </w:p>
    <w:p w14:paraId="74FCABF2">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14:paraId="44F38187">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10.3技术规格书、技术要求同为本合同组成要件，具有法律效力。当各文件的内容发生抵触时，以时间在后文件的表述为准。</w:t>
      </w:r>
    </w:p>
    <w:p w14:paraId="26CA9008">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14:paraId="4524D8B1">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491ABD5">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Style w:val="12"/>
        <w:tblW w:w="8900" w:type="dxa"/>
        <w:tblInd w:w="89" w:type="dxa"/>
        <w:tblLayout w:type="autofit"/>
        <w:tblCellMar>
          <w:top w:w="0" w:type="dxa"/>
          <w:left w:w="108" w:type="dxa"/>
          <w:bottom w:w="0" w:type="dxa"/>
          <w:right w:w="108" w:type="dxa"/>
        </w:tblCellMar>
      </w:tblPr>
      <w:tblGrid>
        <w:gridCol w:w="4357"/>
        <w:gridCol w:w="4543"/>
      </w:tblGrid>
      <w:tr w14:paraId="5604EA87">
        <w:trPr>
          <w:trHeight w:val="510" w:hRule="atLeast"/>
        </w:trPr>
        <w:tc>
          <w:tcPr>
            <w:tcW w:w="4357" w:type="dxa"/>
            <w:noWrap/>
            <w:vAlign w:val="center"/>
          </w:tcPr>
          <w:p w14:paraId="19368B11">
            <w:pPr>
              <w:widowControl/>
              <w:rPr>
                <w:rFonts w:hint="default"/>
                <w:szCs w:val="21"/>
                <w:lang w:val="en-US" w:eastAsia="zh-CN"/>
              </w:rPr>
            </w:pPr>
            <w:r>
              <w:rPr>
                <w:rFonts w:hint="eastAsia"/>
                <w:szCs w:val="21"/>
                <w:lang w:eastAsia="zh-CN"/>
              </w:rPr>
              <w:t>甲方：</w:t>
            </w:r>
            <w:r>
              <w:rPr>
                <w:rFonts w:hint="eastAsia" w:ascii="宋体" w:hAnsi="宋体" w:eastAsia="宋体" w:cs="宋体"/>
                <w:szCs w:val="21"/>
                <w:lang w:val="en-US" w:eastAsia="zh-CN"/>
              </w:rPr>
              <w:t>腾龙芳烃</w:t>
            </w:r>
            <w:r>
              <w:rPr>
                <w:rFonts w:hint="eastAsia" w:ascii="宋体" w:hAnsi="宋体" w:eastAsia="宋体" w:cs="宋体"/>
                <w:szCs w:val="21"/>
                <w:lang w:eastAsia="zh-CN"/>
              </w:rPr>
              <w:t>（漳州）有限公司</w:t>
            </w:r>
          </w:p>
        </w:tc>
        <w:tc>
          <w:tcPr>
            <w:tcW w:w="4543" w:type="dxa"/>
            <w:vAlign w:val="center"/>
          </w:tcPr>
          <w:p w14:paraId="2A1CE85A">
            <w:pPr>
              <w:ind w:left="248"/>
              <w:rPr>
                <w:szCs w:val="21"/>
              </w:rPr>
            </w:pPr>
            <w:r>
              <w:rPr>
                <w:rFonts w:hint="eastAsia"/>
                <w:szCs w:val="21"/>
              </w:rPr>
              <w:t xml:space="preserve">乙方： </w:t>
            </w:r>
          </w:p>
        </w:tc>
      </w:tr>
      <w:tr w14:paraId="1CBBA528">
        <w:tblPrEx>
          <w:tblCellMar>
            <w:top w:w="0" w:type="dxa"/>
            <w:left w:w="108" w:type="dxa"/>
            <w:bottom w:w="0" w:type="dxa"/>
            <w:right w:w="108" w:type="dxa"/>
          </w:tblCellMar>
        </w:tblPrEx>
        <w:trPr>
          <w:trHeight w:val="510" w:hRule="atLeast"/>
        </w:trPr>
        <w:tc>
          <w:tcPr>
            <w:tcW w:w="4357" w:type="dxa"/>
            <w:noWrap/>
            <w:vAlign w:val="center"/>
          </w:tcPr>
          <w:p w14:paraId="43985D02">
            <w:pPr>
              <w:widowControl/>
              <w:rPr>
                <w:szCs w:val="21"/>
              </w:rPr>
            </w:pPr>
            <w:r>
              <w:rPr>
                <w:rFonts w:hint="eastAsia"/>
                <w:szCs w:val="21"/>
              </w:rPr>
              <w:t>（公章）</w:t>
            </w:r>
          </w:p>
        </w:tc>
        <w:tc>
          <w:tcPr>
            <w:tcW w:w="4543" w:type="dxa"/>
            <w:vAlign w:val="center"/>
          </w:tcPr>
          <w:p w14:paraId="4B7A85A6">
            <w:pPr>
              <w:ind w:left="248"/>
              <w:rPr>
                <w:szCs w:val="21"/>
              </w:rPr>
            </w:pPr>
            <w:r>
              <w:rPr>
                <w:rFonts w:hint="eastAsia"/>
                <w:szCs w:val="21"/>
              </w:rPr>
              <w:t xml:space="preserve">（公章）      </w:t>
            </w:r>
          </w:p>
        </w:tc>
      </w:tr>
      <w:tr w14:paraId="4B8D38A2">
        <w:tblPrEx>
          <w:tblCellMar>
            <w:top w:w="0" w:type="dxa"/>
            <w:left w:w="108" w:type="dxa"/>
            <w:bottom w:w="0" w:type="dxa"/>
            <w:right w:w="108" w:type="dxa"/>
          </w:tblCellMar>
        </w:tblPrEx>
        <w:trPr>
          <w:trHeight w:val="510" w:hRule="atLeast"/>
        </w:trPr>
        <w:tc>
          <w:tcPr>
            <w:tcW w:w="4357" w:type="dxa"/>
            <w:noWrap/>
            <w:vAlign w:val="center"/>
          </w:tcPr>
          <w:p w14:paraId="3E2986AD">
            <w:pPr>
              <w:widowControl/>
              <w:rPr>
                <w:szCs w:val="21"/>
              </w:rPr>
            </w:pPr>
            <w:r>
              <w:rPr>
                <w:rFonts w:hint="eastAsia"/>
                <w:szCs w:val="21"/>
              </w:rPr>
              <w:t>地     址:</w:t>
            </w:r>
          </w:p>
        </w:tc>
        <w:tc>
          <w:tcPr>
            <w:tcW w:w="4543" w:type="dxa"/>
            <w:vAlign w:val="center"/>
          </w:tcPr>
          <w:p w14:paraId="62CFDBE2">
            <w:pPr>
              <w:ind w:left="248"/>
              <w:rPr>
                <w:szCs w:val="21"/>
              </w:rPr>
            </w:pPr>
            <w:r>
              <w:rPr>
                <w:rFonts w:hint="eastAsia"/>
                <w:szCs w:val="21"/>
              </w:rPr>
              <w:t xml:space="preserve">地     址：       </w:t>
            </w:r>
          </w:p>
        </w:tc>
      </w:tr>
      <w:tr w14:paraId="6D9A4248">
        <w:tblPrEx>
          <w:tblCellMar>
            <w:top w:w="0" w:type="dxa"/>
            <w:left w:w="108" w:type="dxa"/>
            <w:bottom w:w="0" w:type="dxa"/>
            <w:right w:w="108" w:type="dxa"/>
          </w:tblCellMar>
        </w:tblPrEx>
        <w:trPr>
          <w:trHeight w:val="510" w:hRule="atLeast"/>
        </w:trPr>
        <w:tc>
          <w:tcPr>
            <w:tcW w:w="4357" w:type="dxa"/>
            <w:noWrap/>
            <w:vAlign w:val="center"/>
          </w:tcPr>
          <w:p w14:paraId="3D01BD1A">
            <w:pPr>
              <w:widowControl/>
              <w:rPr>
                <w:szCs w:val="21"/>
              </w:rPr>
            </w:pPr>
            <w:r>
              <w:rPr>
                <w:rFonts w:hint="eastAsia"/>
                <w:szCs w:val="21"/>
              </w:rPr>
              <w:t xml:space="preserve">法定代表人：      </w:t>
            </w:r>
          </w:p>
        </w:tc>
        <w:tc>
          <w:tcPr>
            <w:tcW w:w="4543" w:type="dxa"/>
            <w:vAlign w:val="center"/>
          </w:tcPr>
          <w:p w14:paraId="48A51BBD">
            <w:pPr>
              <w:ind w:left="248"/>
              <w:rPr>
                <w:szCs w:val="21"/>
              </w:rPr>
            </w:pPr>
            <w:r>
              <w:rPr>
                <w:rFonts w:hint="eastAsia"/>
                <w:szCs w:val="21"/>
              </w:rPr>
              <w:t xml:space="preserve">法定代表人：           </w:t>
            </w:r>
          </w:p>
        </w:tc>
      </w:tr>
      <w:tr w14:paraId="28F63D11">
        <w:tblPrEx>
          <w:tblCellMar>
            <w:top w:w="0" w:type="dxa"/>
            <w:left w:w="108" w:type="dxa"/>
            <w:bottom w:w="0" w:type="dxa"/>
            <w:right w:w="108" w:type="dxa"/>
          </w:tblCellMar>
        </w:tblPrEx>
        <w:trPr>
          <w:trHeight w:val="510" w:hRule="atLeast"/>
        </w:trPr>
        <w:tc>
          <w:tcPr>
            <w:tcW w:w="4357" w:type="dxa"/>
            <w:noWrap/>
            <w:vAlign w:val="center"/>
          </w:tcPr>
          <w:p w14:paraId="35981026">
            <w:pPr>
              <w:widowControl/>
              <w:rPr>
                <w:szCs w:val="21"/>
              </w:rPr>
            </w:pPr>
            <w:r>
              <w:rPr>
                <w:rFonts w:hint="eastAsia"/>
                <w:szCs w:val="21"/>
              </w:rPr>
              <w:t xml:space="preserve">委托代表人：      </w:t>
            </w:r>
          </w:p>
        </w:tc>
        <w:tc>
          <w:tcPr>
            <w:tcW w:w="4543" w:type="dxa"/>
            <w:vAlign w:val="center"/>
          </w:tcPr>
          <w:p w14:paraId="6BAA6D93">
            <w:pPr>
              <w:ind w:left="248"/>
              <w:rPr>
                <w:szCs w:val="21"/>
              </w:rPr>
            </w:pPr>
            <w:r>
              <w:rPr>
                <w:rFonts w:hint="eastAsia"/>
                <w:szCs w:val="21"/>
              </w:rPr>
              <w:t xml:space="preserve">委托代表人：           </w:t>
            </w:r>
          </w:p>
        </w:tc>
      </w:tr>
      <w:tr w14:paraId="475066AE">
        <w:tblPrEx>
          <w:tblCellMar>
            <w:top w:w="0" w:type="dxa"/>
            <w:left w:w="108" w:type="dxa"/>
            <w:bottom w:w="0" w:type="dxa"/>
            <w:right w:w="108" w:type="dxa"/>
          </w:tblCellMar>
        </w:tblPrEx>
        <w:trPr>
          <w:trHeight w:val="510" w:hRule="atLeast"/>
        </w:trPr>
        <w:tc>
          <w:tcPr>
            <w:tcW w:w="4357" w:type="dxa"/>
            <w:noWrap/>
            <w:vAlign w:val="center"/>
          </w:tcPr>
          <w:p w14:paraId="0E0BE8C3">
            <w:pPr>
              <w:widowControl/>
              <w:rPr>
                <w:szCs w:val="21"/>
              </w:rPr>
            </w:pPr>
            <w:r>
              <w:rPr>
                <w:rFonts w:hint="eastAsia"/>
                <w:szCs w:val="21"/>
              </w:rPr>
              <w:t xml:space="preserve">电     话：       </w:t>
            </w:r>
          </w:p>
        </w:tc>
        <w:tc>
          <w:tcPr>
            <w:tcW w:w="4543" w:type="dxa"/>
            <w:vAlign w:val="center"/>
          </w:tcPr>
          <w:p w14:paraId="7BD4BCEC">
            <w:pPr>
              <w:ind w:left="248"/>
              <w:rPr>
                <w:szCs w:val="21"/>
              </w:rPr>
            </w:pPr>
            <w:r>
              <w:rPr>
                <w:rFonts w:hint="eastAsia"/>
                <w:szCs w:val="21"/>
              </w:rPr>
              <w:t xml:space="preserve">电     话：      </w:t>
            </w:r>
          </w:p>
        </w:tc>
      </w:tr>
      <w:tr w14:paraId="4A523148">
        <w:tblPrEx>
          <w:tblCellMar>
            <w:top w:w="0" w:type="dxa"/>
            <w:left w:w="108" w:type="dxa"/>
            <w:bottom w:w="0" w:type="dxa"/>
            <w:right w:w="108" w:type="dxa"/>
          </w:tblCellMar>
        </w:tblPrEx>
        <w:trPr>
          <w:trHeight w:val="510" w:hRule="atLeast"/>
        </w:trPr>
        <w:tc>
          <w:tcPr>
            <w:tcW w:w="4357" w:type="dxa"/>
            <w:noWrap/>
            <w:vAlign w:val="center"/>
          </w:tcPr>
          <w:p w14:paraId="2561C11D">
            <w:pPr>
              <w:widowControl/>
              <w:rPr>
                <w:szCs w:val="21"/>
              </w:rPr>
            </w:pPr>
            <w:r>
              <w:rPr>
                <w:rFonts w:hint="eastAsia"/>
                <w:szCs w:val="21"/>
              </w:rPr>
              <w:t xml:space="preserve">传     真：     </w:t>
            </w:r>
          </w:p>
        </w:tc>
        <w:tc>
          <w:tcPr>
            <w:tcW w:w="4543" w:type="dxa"/>
            <w:vAlign w:val="center"/>
          </w:tcPr>
          <w:p w14:paraId="4D14A30B">
            <w:pPr>
              <w:ind w:left="248"/>
              <w:rPr>
                <w:szCs w:val="21"/>
              </w:rPr>
            </w:pPr>
            <w:r>
              <w:rPr>
                <w:rFonts w:hint="eastAsia"/>
                <w:szCs w:val="21"/>
              </w:rPr>
              <w:t xml:space="preserve">传     真：      </w:t>
            </w:r>
          </w:p>
        </w:tc>
      </w:tr>
      <w:tr w14:paraId="4AB4EA63">
        <w:tblPrEx>
          <w:tblCellMar>
            <w:top w:w="0" w:type="dxa"/>
            <w:left w:w="108" w:type="dxa"/>
            <w:bottom w:w="0" w:type="dxa"/>
            <w:right w:w="108" w:type="dxa"/>
          </w:tblCellMar>
        </w:tblPrEx>
        <w:trPr>
          <w:trHeight w:val="510" w:hRule="atLeast"/>
        </w:trPr>
        <w:tc>
          <w:tcPr>
            <w:tcW w:w="4357" w:type="dxa"/>
            <w:noWrap/>
            <w:vAlign w:val="center"/>
          </w:tcPr>
          <w:p w14:paraId="5DAA3F6A">
            <w:pPr>
              <w:widowControl/>
              <w:rPr>
                <w:szCs w:val="21"/>
              </w:rPr>
            </w:pPr>
            <w:r>
              <w:rPr>
                <w:rFonts w:hint="eastAsia"/>
                <w:szCs w:val="21"/>
              </w:rPr>
              <w:t>纳税人识别号</w:t>
            </w:r>
            <w:r>
              <w:rPr>
                <w:rFonts w:hint="eastAsia"/>
                <w:szCs w:val="21"/>
                <w:u w:val="single"/>
              </w:rPr>
              <w:t>:</w:t>
            </w:r>
          </w:p>
        </w:tc>
        <w:tc>
          <w:tcPr>
            <w:tcW w:w="4543" w:type="dxa"/>
            <w:vAlign w:val="center"/>
          </w:tcPr>
          <w:p w14:paraId="1F3D4802">
            <w:pPr>
              <w:ind w:left="248"/>
              <w:rPr>
                <w:szCs w:val="21"/>
              </w:rPr>
            </w:pPr>
            <w:r>
              <w:rPr>
                <w:rFonts w:hint="eastAsia"/>
                <w:szCs w:val="21"/>
              </w:rPr>
              <w:t>纳税人识别号</w:t>
            </w:r>
            <w:r>
              <w:rPr>
                <w:rFonts w:hint="eastAsia"/>
                <w:szCs w:val="21"/>
                <w:u w:val="single"/>
              </w:rPr>
              <w:t>:</w:t>
            </w:r>
          </w:p>
        </w:tc>
      </w:tr>
      <w:tr w14:paraId="7F8CA3C8">
        <w:tblPrEx>
          <w:tblCellMar>
            <w:top w:w="0" w:type="dxa"/>
            <w:left w:w="108" w:type="dxa"/>
            <w:bottom w:w="0" w:type="dxa"/>
            <w:right w:w="108" w:type="dxa"/>
          </w:tblCellMar>
        </w:tblPrEx>
        <w:trPr>
          <w:trHeight w:val="510" w:hRule="atLeast"/>
        </w:trPr>
        <w:tc>
          <w:tcPr>
            <w:tcW w:w="4357" w:type="dxa"/>
            <w:noWrap/>
            <w:vAlign w:val="center"/>
          </w:tcPr>
          <w:p w14:paraId="6326445C">
            <w:pPr>
              <w:widowControl/>
              <w:rPr>
                <w:szCs w:val="21"/>
              </w:rPr>
            </w:pPr>
            <w:r>
              <w:rPr>
                <w:rFonts w:hint="eastAsia"/>
                <w:szCs w:val="21"/>
              </w:rPr>
              <w:t>开户银行：</w:t>
            </w:r>
          </w:p>
        </w:tc>
        <w:tc>
          <w:tcPr>
            <w:tcW w:w="4543" w:type="dxa"/>
            <w:vAlign w:val="center"/>
          </w:tcPr>
          <w:p w14:paraId="2CFF2540">
            <w:pPr>
              <w:ind w:left="248"/>
              <w:rPr>
                <w:szCs w:val="21"/>
              </w:rPr>
            </w:pPr>
            <w:r>
              <w:rPr>
                <w:rFonts w:hint="eastAsia"/>
                <w:szCs w:val="21"/>
              </w:rPr>
              <w:t xml:space="preserve">开户银行： </w:t>
            </w:r>
          </w:p>
        </w:tc>
      </w:tr>
      <w:tr w14:paraId="45485DE8">
        <w:tblPrEx>
          <w:tblCellMar>
            <w:top w:w="0" w:type="dxa"/>
            <w:left w:w="108" w:type="dxa"/>
            <w:bottom w:w="0" w:type="dxa"/>
            <w:right w:w="108" w:type="dxa"/>
          </w:tblCellMar>
        </w:tblPrEx>
        <w:trPr>
          <w:trHeight w:val="510" w:hRule="atLeast"/>
        </w:trPr>
        <w:tc>
          <w:tcPr>
            <w:tcW w:w="4357" w:type="dxa"/>
            <w:noWrap/>
            <w:vAlign w:val="center"/>
          </w:tcPr>
          <w:p w14:paraId="5DEA9782">
            <w:pPr>
              <w:widowControl/>
              <w:rPr>
                <w:szCs w:val="21"/>
              </w:rPr>
            </w:pPr>
            <w:r>
              <w:rPr>
                <w:rFonts w:hint="eastAsia"/>
                <w:szCs w:val="21"/>
              </w:rPr>
              <w:t>帐     号：</w:t>
            </w:r>
          </w:p>
        </w:tc>
        <w:tc>
          <w:tcPr>
            <w:tcW w:w="4543" w:type="dxa"/>
            <w:vAlign w:val="center"/>
          </w:tcPr>
          <w:p w14:paraId="553EA016">
            <w:pPr>
              <w:ind w:left="248"/>
              <w:rPr>
                <w:szCs w:val="21"/>
              </w:rPr>
            </w:pPr>
            <w:r>
              <w:rPr>
                <w:rFonts w:hint="eastAsia"/>
                <w:szCs w:val="21"/>
              </w:rPr>
              <w:t>帐    号：</w:t>
            </w:r>
          </w:p>
        </w:tc>
      </w:tr>
      <w:tr w14:paraId="4106AD47">
        <w:tblPrEx>
          <w:tblCellMar>
            <w:top w:w="0" w:type="dxa"/>
            <w:left w:w="108" w:type="dxa"/>
            <w:bottom w:w="0" w:type="dxa"/>
            <w:right w:w="108" w:type="dxa"/>
          </w:tblCellMar>
        </w:tblPrEx>
        <w:trPr>
          <w:trHeight w:val="510" w:hRule="atLeast"/>
        </w:trPr>
        <w:tc>
          <w:tcPr>
            <w:tcW w:w="4357" w:type="dxa"/>
            <w:noWrap/>
            <w:vAlign w:val="center"/>
          </w:tcPr>
          <w:p w14:paraId="59A1B9E2">
            <w:pPr>
              <w:widowControl/>
              <w:rPr>
                <w:szCs w:val="21"/>
              </w:rPr>
            </w:pPr>
            <w:r>
              <w:rPr>
                <w:rFonts w:hint="eastAsia"/>
                <w:szCs w:val="21"/>
              </w:rPr>
              <w:t>邮政编码：</w:t>
            </w:r>
          </w:p>
        </w:tc>
        <w:tc>
          <w:tcPr>
            <w:tcW w:w="4543" w:type="dxa"/>
            <w:vAlign w:val="center"/>
          </w:tcPr>
          <w:p w14:paraId="1882BBFF">
            <w:pPr>
              <w:ind w:left="248"/>
              <w:rPr>
                <w:szCs w:val="21"/>
              </w:rPr>
            </w:pPr>
            <w:r>
              <w:rPr>
                <w:rFonts w:hint="eastAsia"/>
                <w:szCs w:val="21"/>
              </w:rPr>
              <w:t>邮政编码：</w:t>
            </w:r>
          </w:p>
        </w:tc>
      </w:tr>
    </w:tbl>
    <w:p w14:paraId="492F9D8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44E14973">
      <w:pPr>
        <w:pStyle w:val="17"/>
        <w:rPr>
          <w:rFonts w:hint="eastAsia" w:ascii="宋体" w:hAnsi="宋体" w:eastAsia="宋体" w:cs="宋体"/>
          <w:b/>
          <w:sz w:val="30"/>
          <w:szCs w:val="30"/>
          <w:lang w:val="en-US" w:eastAsia="zh-CN" w:bidi="ar-SA"/>
        </w:rPr>
      </w:pPr>
    </w:p>
    <w:p w14:paraId="3181D6A6">
      <w:pPr>
        <w:pStyle w:val="17"/>
        <w:rPr>
          <w:rFonts w:hint="eastAsia" w:ascii="宋体" w:hAnsi="宋体" w:eastAsia="宋体" w:cs="宋体"/>
          <w:b/>
          <w:sz w:val="30"/>
          <w:szCs w:val="30"/>
          <w:lang w:val="en-US" w:eastAsia="zh-CN" w:bidi="ar-SA"/>
        </w:rPr>
      </w:pPr>
    </w:p>
    <w:p w14:paraId="22C11E3C">
      <w:pPr>
        <w:pStyle w:val="17"/>
        <w:rPr>
          <w:rFonts w:hint="eastAsia" w:ascii="宋体" w:hAnsi="宋体" w:eastAsia="宋体" w:cs="宋体"/>
          <w:b/>
          <w:sz w:val="30"/>
          <w:szCs w:val="30"/>
          <w:lang w:val="en-US" w:eastAsia="zh-CN" w:bidi="ar-SA"/>
        </w:rPr>
      </w:pPr>
    </w:p>
    <w:p w14:paraId="70B9D686">
      <w:pPr>
        <w:pStyle w:val="17"/>
        <w:rPr>
          <w:rFonts w:hint="eastAsia" w:ascii="宋体" w:hAnsi="宋体" w:eastAsia="宋体" w:cs="宋体"/>
          <w:b/>
          <w:sz w:val="30"/>
          <w:szCs w:val="30"/>
          <w:lang w:val="en-US" w:eastAsia="zh-CN" w:bidi="ar-SA"/>
        </w:rPr>
      </w:pPr>
    </w:p>
    <w:p w14:paraId="3FCFF5F8">
      <w:pPr>
        <w:pStyle w:val="17"/>
        <w:rPr>
          <w:rFonts w:hint="eastAsia" w:ascii="宋体" w:hAnsi="宋体" w:eastAsia="宋体" w:cs="宋体"/>
          <w:b/>
          <w:sz w:val="30"/>
          <w:szCs w:val="30"/>
          <w:lang w:val="en-US" w:eastAsia="zh-CN" w:bidi="ar-SA"/>
        </w:rPr>
      </w:pPr>
    </w:p>
    <w:p w14:paraId="05C15CAB">
      <w:pPr>
        <w:pStyle w:val="17"/>
        <w:rPr>
          <w:rFonts w:hint="eastAsia" w:ascii="宋体" w:hAnsi="宋体" w:eastAsia="宋体" w:cs="宋体"/>
          <w:b/>
          <w:sz w:val="30"/>
          <w:szCs w:val="30"/>
          <w:lang w:val="en-US" w:eastAsia="zh-CN" w:bidi="ar-SA"/>
        </w:rPr>
      </w:pPr>
    </w:p>
    <w:p w14:paraId="7DC2DCAD">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DABACC8">
      <w:pPr>
        <w:spacing w:line="1000" w:lineRule="exact"/>
        <w:jc w:val="center"/>
        <w:rPr>
          <w:rFonts w:hint="eastAsia" w:cs="宋体"/>
          <w:b/>
          <w:color w:val="FF0000"/>
          <w:sz w:val="44"/>
          <w:szCs w:val="44"/>
          <w:lang w:eastAsia="zh-CN"/>
        </w:rPr>
      </w:pPr>
      <w:r>
        <w:rPr>
          <w:rFonts w:hint="eastAsia" w:cs="宋体"/>
          <w:b/>
          <w:color w:val="FF0000"/>
          <w:sz w:val="44"/>
          <w:szCs w:val="44"/>
          <w:lang w:eastAsia="zh-CN"/>
        </w:rPr>
        <w:t>挡板阀（36台）及配套非金属补偿器24台采购项目</w:t>
      </w:r>
    </w:p>
    <w:p w14:paraId="5B59DECF">
      <w:pPr>
        <w:spacing w:line="100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w:t>
      </w:r>
      <w:r>
        <w:rPr>
          <w:rFonts w:hint="eastAsia" w:cs="宋体"/>
          <w:sz w:val="24"/>
          <w:lang w:eastAsia="zh-CN"/>
        </w:rPr>
        <w:t>中选</w:t>
      </w:r>
      <w:r>
        <w:rPr>
          <w:rFonts w:hint="eastAsia" w:ascii="宋体" w:hAnsi="宋体" w:eastAsia="宋体" w:cs="宋体"/>
          <w:sz w:val="24"/>
          <w:lang w:eastAsia="zh-CN"/>
        </w:rPr>
        <w:t>，将严格按照合同约定履行各项义务。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w:t>
      </w:r>
      <w:r>
        <w:rPr>
          <w:rFonts w:hint="eastAsia" w:cs="宋体"/>
          <w:sz w:val="24"/>
          <w:lang w:eastAsia="zh-CN"/>
        </w:rPr>
        <w:t>中选</w:t>
      </w:r>
      <w:r>
        <w:rPr>
          <w:rFonts w:hint="eastAsia" w:ascii="宋体" w:hAnsi="宋体" w:eastAsia="宋体" w:cs="宋体"/>
          <w:sz w:val="24"/>
          <w:lang w:eastAsia="zh-CN"/>
        </w:rPr>
        <w:t>，有效期将延长至合同执行完毕。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6</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挡板阀（36台）及配套非金属补偿器24台采购项目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p>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b/>
                <w:bCs/>
                <w:lang w:val="en-US" w:eastAsia="zh-CN"/>
              </w:rPr>
              <w:t>发包要求</w:t>
            </w:r>
            <w:r>
              <w:rPr>
                <w:rFonts w:hint="eastAsia"/>
                <w:b/>
                <w:bCs/>
              </w:rPr>
              <w:t>：</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hint="eastAsia" w:ascii="宋体" w:hAnsi="宋体" w:eastAsia="宋体" w:cs="宋体"/>
                <w:b/>
                <w:bCs/>
                <w:sz w:val="24"/>
                <w:szCs w:val="22"/>
                <w:lang w:val="en-US" w:eastAsia="zh-CN" w:bidi="ar-SA"/>
              </w:rPr>
              <w:t>具体事宜以请购规格和采购技术要求为准。</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rFonts w:hint="eastAsia"/>
                <w:b/>
                <w:bCs/>
                <w:sz w:val="24"/>
                <w:lang w:eastAsia="zh-CN"/>
              </w:rPr>
            </w:pPr>
            <w:r>
              <w:rPr>
                <w:rFonts w:hint="eastAsia"/>
                <w:b/>
                <w:bCs/>
                <w:sz w:val="24"/>
                <w:lang w:eastAsia="zh-CN"/>
              </w:rPr>
              <w:t>C、付款方式：</w:t>
            </w:r>
            <w:r>
              <w:rPr>
                <w:rFonts w:hint="eastAsia" w:ascii="仿宋_GB2312" w:hAnsi="仿宋" w:eastAsia="仿宋_GB2312"/>
                <w:b/>
                <w:bCs/>
                <w:sz w:val="24"/>
                <w:lang w:eastAsia="zh-CN"/>
              </w:rPr>
              <w:t>全</w:t>
            </w:r>
            <w:r>
              <w:rPr>
                <w:rFonts w:hint="eastAsia"/>
                <w:b/>
                <w:bCs/>
                <w:sz w:val="24"/>
                <w:lang w:eastAsia="zh-CN"/>
              </w:rPr>
              <w:t>部货款均以现汇方式支付，未提供保函按照货到验收合格付90%，留10%质保。</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11F30959">
      <w:pPr>
        <w:pStyle w:val="17"/>
        <w:spacing w:line="360" w:lineRule="auto"/>
        <w:jc w:val="both"/>
        <w:rPr>
          <w:rFonts w:hint="eastAsia" w:ascii="宋体" w:hAnsi="宋体" w:eastAsia="宋体" w:cs="宋体"/>
          <w:b/>
          <w:sz w:val="36"/>
          <w:szCs w:val="36"/>
        </w:rPr>
      </w:pPr>
    </w:p>
    <w:p w14:paraId="6CD439BD">
      <w:pPr>
        <w:pStyle w:val="17"/>
        <w:spacing w:line="360" w:lineRule="auto"/>
        <w:jc w:val="both"/>
        <w:rPr>
          <w:rFonts w:hint="eastAsia" w:ascii="宋体" w:hAnsi="宋体" w:eastAsia="宋体" w:cs="宋体"/>
          <w:b/>
          <w:sz w:val="36"/>
          <w:szCs w:val="36"/>
        </w:rPr>
      </w:pPr>
    </w:p>
    <w:p w14:paraId="47D6CF7D">
      <w:pPr>
        <w:pStyle w:val="17"/>
        <w:spacing w:line="360" w:lineRule="auto"/>
        <w:jc w:val="both"/>
        <w:rPr>
          <w:rFonts w:hint="eastAsia" w:ascii="宋体" w:hAnsi="宋体" w:eastAsia="宋体" w:cs="宋体"/>
          <w:b/>
          <w:sz w:val="36"/>
          <w:szCs w:val="36"/>
        </w:rPr>
      </w:pPr>
    </w:p>
    <w:p w14:paraId="6FBBF4AC">
      <w:pPr>
        <w:pStyle w:val="17"/>
        <w:spacing w:line="360" w:lineRule="auto"/>
        <w:jc w:val="both"/>
        <w:rPr>
          <w:rFonts w:hint="eastAsia" w:ascii="宋体" w:hAnsi="宋体" w:eastAsia="宋体" w:cs="宋体"/>
          <w:b/>
          <w:sz w:val="36"/>
          <w:szCs w:val="36"/>
        </w:rPr>
      </w:pPr>
    </w:p>
    <w:p w14:paraId="751933B5">
      <w:pPr>
        <w:pStyle w:val="17"/>
        <w:spacing w:line="360" w:lineRule="auto"/>
        <w:jc w:val="both"/>
        <w:rPr>
          <w:rFonts w:hint="eastAsia" w:ascii="宋体" w:hAnsi="宋体" w:eastAsia="宋体" w:cs="宋体"/>
          <w:b/>
          <w:sz w:val="36"/>
          <w:szCs w:val="36"/>
        </w:rPr>
      </w:pPr>
    </w:p>
    <w:p w14:paraId="2D2005C9">
      <w:pPr>
        <w:pStyle w:val="17"/>
        <w:spacing w:line="360" w:lineRule="auto"/>
        <w:jc w:val="both"/>
        <w:rPr>
          <w:rFonts w:hint="eastAsia" w:ascii="宋体" w:hAnsi="宋体" w:eastAsia="宋体" w:cs="宋体"/>
          <w:b/>
          <w:sz w:val="36"/>
          <w:szCs w:val="36"/>
        </w:rPr>
      </w:pPr>
    </w:p>
    <w:p w14:paraId="6B1F6993">
      <w:pPr>
        <w:pStyle w:val="17"/>
        <w:spacing w:line="360" w:lineRule="auto"/>
        <w:jc w:val="center"/>
        <w:rPr>
          <w:rFonts w:hint="eastAsia" w:cs="宋体"/>
          <w:b/>
          <w:bCs/>
          <w:sz w:val="24"/>
          <w:szCs w:val="24"/>
          <w:lang w:val="en-US" w:eastAsia="zh-CN"/>
        </w:rPr>
      </w:pPr>
    </w:p>
    <w:p w14:paraId="340CDE18">
      <w:pPr>
        <w:pStyle w:val="17"/>
        <w:spacing w:line="360" w:lineRule="auto"/>
        <w:jc w:val="center"/>
        <w:rPr>
          <w:rFonts w:hint="eastAsia" w:cs="宋体"/>
          <w:b/>
          <w:bCs/>
          <w:sz w:val="24"/>
          <w:szCs w:val="24"/>
          <w:lang w:val="en-US" w:eastAsia="zh-CN"/>
        </w:rPr>
      </w:pPr>
    </w:p>
    <w:p w14:paraId="63E7E7DF">
      <w:pPr>
        <w:pStyle w:val="17"/>
        <w:spacing w:line="360" w:lineRule="auto"/>
        <w:jc w:val="both"/>
        <w:rPr>
          <w:rFonts w:hint="eastAsia" w:cs="宋体"/>
          <w:b/>
          <w:bCs/>
          <w:sz w:val="24"/>
          <w:szCs w:val="24"/>
          <w:lang w:val="en-US" w:eastAsia="zh-CN"/>
        </w:rPr>
      </w:pPr>
    </w:p>
    <w:p w14:paraId="72C3DF47">
      <w:pPr>
        <w:pStyle w:val="17"/>
        <w:spacing w:line="360" w:lineRule="auto"/>
        <w:jc w:val="center"/>
        <w:rPr>
          <w:rFonts w:hint="eastAsia"/>
          <w:b/>
          <w:bCs/>
          <w:sz w:val="44"/>
          <w:szCs w:val="44"/>
          <w:lang w:eastAsia="zh-CN"/>
        </w:rPr>
      </w:pPr>
      <w:r>
        <w:rPr>
          <w:rFonts w:hint="eastAsia" w:cs="宋体"/>
          <w:b/>
          <w:bCs/>
          <w:sz w:val="44"/>
          <w:szCs w:val="44"/>
          <w:lang w:val="en-US" w:eastAsia="zh-CN"/>
        </w:rPr>
        <w:t>挡板阀（36台）及配套非金属补偿器24台采购项目</w:t>
      </w:r>
      <w:r>
        <w:rPr>
          <w:rFonts w:hint="eastAsia"/>
          <w:b/>
          <w:bCs/>
          <w:sz w:val="44"/>
          <w:szCs w:val="44"/>
          <w:lang w:eastAsia="zh-CN"/>
        </w:rPr>
        <w:t>价格清单</w:t>
      </w:r>
    </w:p>
    <w:p w14:paraId="282DAC79">
      <w:pPr>
        <w:pStyle w:val="17"/>
        <w:spacing w:line="360" w:lineRule="auto"/>
        <w:jc w:val="center"/>
        <w:rPr>
          <w:rFonts w:hint="eastAsia"/>
          <w:b/>
          <w:bCs/>
          <w:sz w:val="44"/>
          <w:szCs w:val="44"/>
          <w:lang w:eastAsia="zh-CN"/>
        </w:rPr>
      </w:pPr>
    </w:p>
    <w:tbl>
      <w:tblPr>
        <w:tblStyle w:val="13"/>
        <w:tblW w:w="11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86"/>
        <w:gridCol w:w="4866"/>
        <w:gridCol w:w="787"/>
        <w:gridCol w:w="734"/>
        <w:gridCol w:w="1188"/>
        <w:gridCol w:w="1188"/>
      </w:tblGrid>
      <w:tr w14:paraId="66F3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blHeader/>
          <w:jc w:val="center"/>
        </w:trPr>
        <w:tc>
          <w:tcPr>
            <w:tcW w:w="1228" w:type="dxa"/>
            <w:vAlign w:val="center"/>
          </w:tcPr>
          <w:p w14:paraId="19F84E4B">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物料编号</w:t>
            </w:r>
          </w:p>
        </w:tc>
        <w:tc>
          <w:tcPr>
            <w:tcW w:w="1386" w:type="dxa"/>
            <w:vAlign w:val="center"/>
          </w:tcPr>
          <w:p w14:paraId="42B8AC97">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名称</w:t>
            </w:r>
          </w:p>
        </w:tc>
        <w:tc>
          <w:tcPr>
            <w:tcW w:w="4866" w:type="dxa"/>
            <w:vAlign w:val="center"/>
          </w:tcPr>
          <w:p w14:paraId="477AD569">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规格型号</w:t>
            </w:r>
          </w:p>
        </w:tc>
        <w:tc>
          <w:tcPr>
            <w:tcW w:w="787" w:type="dxa"/>
            <w:vAlign w:val="center"/>
          </w:tcPr>
          <w:p w14:paraId="044E6939">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单位</w:t>
            </w:r>
          </w:p>
        </w:tc>
        <w:tc>
          <w:tcPr>
            <w:tcW w:w="734" w:type="dxa"/>
            <w:vAlign w:val="center"/>
          </w:tcPr>
          <w:p w14:paraId="4F02637C">
            <w:pPr>
              <w:tabs>
                <w:tab w:val="left" w:pos="709"/>
              </w:tabs>
              <w:snapToGrid w:val="0"/>
              <w:spacing w:line="240" w:lineRule="auto"/>
              <w:ind w:left="0" w:leftChars="0" w:right="0" w:rightChars="0" w:firstLine="0" w:firstLineChars="0"/>
              <w:jc w:val="center"/>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数量</w:t>
            </w:r>
          </w:p>
        </w:tc>
        <w:tc>
          <w:tcPr>
            <w:tcW w:w="1188" w:type="dxa"/>
            <w:vAlign w:val="center"/>
          </w:tcPr>
          <w:p w14:paraId="60BAF685">
            <w:pPr>
              <w:tabs>
                <w:tab w:val="left" w:pos="709"/>
              </w:tabs>
              <w:snapToGrid w:val="0"/>
              <w:spacing w:line="240" w:lineRule="auto"/>
              <w:ind w:left="0" w:leftChars="0" w:right="0" w:rightChars="0" w:firstLine="0" w:firstLineChars="0"/>
              <w:jc w:val="center"/>
              <w:rPr>
                <w:rFonts w:hint="eastAsia" w:ascii="仿宋" w:hAnsi="仿宋" w:eastAsia="仿宋" w:cs="宋体"/>
                <w:b/>
                <w:bCs/>
                <w:sz w:val="32"/>
                <w:szCs w:val="32"/>
                <w:vertAlign w:val="baseline"/>
                <w:lang w:val="en-US" w:eastAsia="zh-CN"/>
              </w:rPr>
            </w:pPr>
            <w:r>
              <w:rPr>
                <w:rFonts w:hint="eastAsia" w:ascii="仿宋" w:hAnsi="仿宋" w:eastAsia="仿宋" w:cs="宋体"/>
                <w:b/>
                <w:bCs/>
                <w:sz w:val="32"/>
                <w:szCs w:val="32"/>
                <w:vertAlign w:val="baseline"/>
                <w:lang w:val="en-US" w:eastAsia="zh-CN"/>
              </w:rPr>
              <w:t>单价（元）</w:t>
            </w:r>
          </w:p>
        </w:tc>
        <w:tc>
          <w:tcPr>
            <w:tcW w:w="1188" w:type="dxa"/>
            <w:vAlign w:val="center"/>
          </w:tcPr>
          <w:p w14:paraId="5A71004D">
            <w:pPr>
              <w:tabs>
                <w:tab w:val="left" w:pos="709"/>
              </w:tabs>
              <w:snapToGrid w:val="0"/>
              <w:spacing w:line="240" w:lineRule="auto"/>
              <w:ind w:left="0" w:leftChars="0" w:right="0" w:rightChars="0" w:firstLine="0" w:firstLineChars="0"/>
              <w:jc w:val="center"/>
              <w:rPr>
                <w:rFonts w:hint="eastAsia" w:ascii="仿宋" w:hAnsi="仿宋" w:eastAsia="仿宋" w:cs="宋体"/>
                <w:b/>
                <w:bCs/>
                <w:sz w:val="32"/>
                <w:szCs w:val="32"/>
                <w:vertAlign w:val="baseline"/>
                <w:lang w:val="en-US" w:eastAsia="zh-CN"/>
              </w:rPr>
            </w:pPr>
            <w:r>
              <w:rPr>
                <w:rFonts w:hint="eastAsia" w:ascii="仿宋" w:hAnsi="仿宋" w:eastAsia="仿宋" w:cs="宋体"/>
                <w:b/>
                <w:bCs/>
                <w:sz w:val="32"/>
                <w:szCs w:val="32"/>
                <w:vertAlign w:val="baseline"/>
                <w:lang w:val="en-US" w:eastAsia="zh-CN"/>
              </w:rPr>
              <w:t>总价（元）</w:t>
            </w:r>
          </w:p>
        </w:tc>
      </w:tr>
      <w:tr w14:paraId="35E4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6BFB9A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10293538</w:t>
            </w:r>
          </w:p>
        </w:tc>
        <w:tc>
          <w:tcPr>
            <w:tcW w:w="1386" w:type="dxa"/>
            <w:vAlign w:val="center"/>
          </w:tcPr>
          <w:p w14:paraId="34F2EB8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w:t>
            </w:r>
          </w:p>
        </w:tc>
        <w:tc>
          <w:tcPr>
            <w:tcW w:w="4866" w:type="dxa"/>
            <w:vAlign w:val="center"/>
          </w:tcPr>
          <w:p w14:paraId="6255C8D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鼓风机入口密封挡板阀\组合式挡板阀（气动执行机构），φ2200*320mm\主轴、挡板叶片、筒体及法兰等材质：06Cr19Ni10；介质：空气；温度：常温；详见技术要求\GB/T4213和JB/T8692\通用配件\43-FA-101/103</w:t>
            </w:r>
          </w:p>
        </w:tc>
        <w:tc>
          <w:tcPr>
            <w:tcW w:w="787" w:type="dxa"/>
            <w:vAlign w:val="center"/>
          </w:tcPr>
          <w:p w14:paraId="144995D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0426515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323A9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3A24F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0D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23518C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10293524</w:t>
            </w:r>
          </w:p>
        </w:tc>
        <w:tc>
          <w:tcPr>
            <w:tcW w:w="1386" w:type="dxa"/>
            <w:vAlign w:val="center"/>
          </w:tcPr>
          <w:p w14:paraId="5C0EC7A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w:t>
            </w:r>
          </w:p>
        </w:tc>
        <w:tc>
          <w:tcPr>
            <w:tcW w:w="4866" w:type="dxa"/>
            <w:vAlign w:val="center"/>
          </w:tcPr>
          <w:p w14:paraId="4094787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鼓风机进风口调节阀\组合式调节风门（手动执行机构），φ1800*540mm\主轴、挡板叶片、筒体及法兰等材质：06Cr19Ni10；介质：空气；温度：常温；详见技术要求\JB/T8692\通用配件\43-FA-101/103</w:t>
            </w:r>
          </w:p>
        </w:tc>
        <w:tc>
          <w:tcPr>
            <w:tcW w:w="787" w:type="dxa"/>
            <w:vAlign w:val="center"/>
          </w:tcPr>
          <w:p w14:paraId="3C7B2B2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2128E9E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457BB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4F665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EC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2E5139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10293523</w:t>
            </w:r>
          </w:p>
        </w:tc>
        <w:tc>
          <w:tcPr>
            <w:tcW w:w="1386" w:type="dxa"/>
            <w:vAlign w:val="center"/>
          </w:tcPr>
          <w:p w14:paraId="530833B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w:t>
            </w:r>
          </w:p>
        </w:tc>
        <w:tc>
          <w:tcPr>
            <w:tcW w:w="4866" w:type="dxa"/>
            <w:vAlign w:val="center"/>
          </w:tcPr>
          <w:p w14:paraId="236C4E9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鼓风机出口挡板阀\组合式挡板阀（气动执行机构），1544*1116*580mm\主轴、挡板叶片、筒体及法兰等材质：06Cr19Ni10；介质：空气；温度：常温；详见技术要求\GB/T4213和JB/T8692\通用配件\43-FA-101/103</w:t>
            </w:r>
          </w:p>
        </w:tc>
        <w:tc>
          <w:tcPr>
            <w:tcW w:w="787" w:type="dxa"/>
            <w:vAlign w:val="center"/>
          </w:tcPr>
          <w:p w14:paraId="6476A99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7265F38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4F5F6B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1EF5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B8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352665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10293532</w:t>
            </w:r>
          </w:p>
        </w:tc>
        <w:tc>
          <w:tcPr>
            <w:tcW w:w="1386" w:type="dxa"/>
            <w:vAlign w:val="center"/>
          </w:tcPr>
          <w:p w14:paraId="358036B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cs="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w:t>
            </w:r>
          </w:p>
        </w:tc>
        <w:tc>
          <w:tcPr>
            <w:tcW w:w="4866" w:type="dxa"/>
            <w:vAlign w:val="center"/>
          </w:tcPr>
          <w:p w14:paraId="0C94F3F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旁路风道密封调节挡板阀\组合式挡板阀（气动执行机构），φ2000*600mm\主轴、挡板叶片、筒体及法兰等材质：06Cr19Ni10；介质：空气；温度：常温；详见技术要求\GB/T4213和JB/T8692\通用配件\43-HV-073/077</w:t>
            </w:r>
          </w:p>
        </w:tc>
        <w:tc>
          <w:tcPr>
            <w:tcW w:w="787" w:type="dxa"/>
            <w:vAlign w:val="center"/>
          </w:tcPr>
          <w:p w14:paraId="2FB8A35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3D322A7A">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339B7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31367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7F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28BCCE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10293525</w:t>
            </w:r>
          </w:p>
        </w:tc>
        <w:tc>
          <w:tcPr>
            <w:tcW w:w="1386" w:type="dxa"/>
            <w:vAlign w:val="center"/>
          </w:tcPr>
          <w:p w14:paraId="76A1F21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引风机进风口调节挡板阀</w:t>
            </w:r>
          </w:p>
        </w:tc>
        <w:tc>
          <w:tcPr>
            <w:tcW w:w="4866" w:type="dxa"/>
            <w:vAlign w:val="center"/>
          </w:tcPr>
          <w:p w14:paraId="36F5A51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引风机进风口调节阀\组合式调节风门（手动执行机构），φ2000*600mm\主轴、挡板叶片、筒体及法兰等材质：06Cr19Ni10；介质：烟气；温度：250℃；详见技术要求\JB/T8692\通用配件\43-FA-102/104</w:t>
            </w:r>
          </w:p>
        </w:tc>
        <w:tc>
          <w:tcPr>
            <w:tcW w:w="787" w:type="dxa"/>
            <w:vAlign w:val="center"/>
          </w:tcPr>
          <w:p w14:paraId="5F2B407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3BFD961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24732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C683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228" w:type="dxa"/>
            <w:vAlign w:val="center"/>
          </w:tcPr>
          <w:p w14:paraId="6FAF29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10293539</w:t>
            </w:r>
          </w:p>
        </w:tc>
        <w:tc>
          <w:tcPr>
            <w:tcW w:w="1386" w:type="dxa"/>
            <w:vAlign w:val="center"/>
          </w:tcPr>
          <w:p w14:paraId="2514CAFA">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w:t>
            </w:r>
          </w:p>
        </w:tc>
        <w:tc>
          <w:tcPr>
            <w:tcW w:w="4866" w:type="dxa"/>
            <w:vAlign w:val="center"/>
          </w:tcPr>
          <w:p w14:paraId="2ABFB1D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鼓风机入口密封挡板阀\组合式挡板阀（手动执行机构），φ1000*500mm\主轴、挡板叶片、筒体及法兰等材质：06Cr19Ni10；介质：空气；温度：常温；详见技术要求\JB/T8692\通用配件\42/44-FA-101</w:t>
            </w:r>
          </w:p>
        </w:tc>
        <w:tc>
          <w:tcPr>
            <w:tcW w:w="787" w:type="dxa"/>
            <w:vAlign w:val="center"/>
          </w:tcPr>
          <w:p w14:paraId="7BCD701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30A172F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5BC612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1817E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AA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783797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10293528</w:t>
            </w:r>
          </w:p>
        </w:tc>
        <w:tc>
          <w:tcPr>
            <w:tcW w:w="1386" w:type="dxa"/>
            <w:vAlign w:val="center"/>
          </w:tcPr>
          <w:p w14:paraId="7DF2589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鼓风机进风口调节挡板阀</w:t>
            </w:r>
          </w:p>
        </w:tc>
        <w:tc>
          <w:tcPr>
            <w:tcW w:w="4866" w:type="dxa"/>
            <w:vAlign w:val="center"/>
          </w:tcPr>
          <w:p w14:paraId="024AA9F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鼓风机进风口调节阀\组合式调节风门（手动执行机构），φ710*230mm\主轴、挡板叶片、筒体及法兰等材质：06Cr19Ni10；介质：空气；温度：常温；详见技术要求\JB/T8692\通用配件\42/44-FA-101</w:t>
            </w:r>
          </w:p>
        </w:tc>
        <w:tc>
          <w:tcPr>
            <w:tcW w:w="787" w:type="dxa"/>
            <w:vAlign w:val="center"/>
          </w:tcPr>
          <w:p w14:paraId="0529B7F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7E99540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563C3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49A7F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E7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49C386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10293540</w:t>
            </w:r>
          </w:p>
        </w:tc>
        <w:tc>
          <w:tcPr>
            <w:tcW w:w="1386" w:type="dxa"/>
            <w:vAlign w:val="center"/>
          </w:tcPr>
          <w:p w14:paraId="3A5612A0">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w:t>
            </w:r>
          </w:p>
        </w:tc>
        <w:tc>
          <w:tcPr>
            <w:tcW w:w="4866" w:type="dxa"/>
            <w:vAlign w:val="center"/>
          </w:tcPr>
          <w:p w14:paraId="66486C2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鼓风机出口挡板阀\组合式挡板阀（手动执行机构），855*380*500mm\主轴、挡板叶片、筒体及法兰等材质：06Cr19Ni10；介质：空气；温度：常温；详见技术要求\JB/T8692\通用配件\42/44-FA-101</w:t>
            </w:r>
          </w:p>
        </w:tc>
        <w:tc>
          <w:tcPr>
            <w:tcW w:w="787" w:type="dxa"/>
            <w:vAlign w:val="center"/>
          </w:tcPr>
          <w:p w14:paraId="3F6E05C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38F8BDC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2E56F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3CBBC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A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754C00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10293535</w:t>
            </w:r>
          </w:p>
        </w:tc>
        <w:tc>
          <w:tcPr>
            <w:tcW w:w="1386" w:type="dxa"/>
            <w:vAlign w:val="center"/>
          </w:tcPr>
          <w:p w14:paraId="626EC12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w:t>
            </w:r>
          </w:p>
        </w:tc>
        <w:tc>
          <w:tcPr>
            <w:tcW w:w="4866" w:type="dxa"/>
            <w:vAlign w:val="center"/>
          </w:tcPr>
          <w:p w14:paraId="298304F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旁路风道密封调节挡板阀\组合式挡板阀（气动执行机构），φ1000*500mm\主轴、挡板叶片、筒体及法兰等材质：06Cr19Ni10；介质：空气；温度：常温；详见技术要求\GB/T4213和JB/T8692\通用配件\42/44-HV-253</w:t>
            </w:r>
          </w:p>
        </w:tc>
        <w:tc>
          <w:tcPr>
            <w:tcW w:w="787" w:type="dxa"/>
            <w:vAlign w:val="center"/>
          </w:tcPr>
          <w:p w14:paraId="2E0C254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16E6334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6E28E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FA0E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A8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63DD68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10293543</w:t>
            </w:r>
          </w:p>
        </w:tc>
        <w:tc>
          <w:tcPr>
            <w:tcW w:w="1386" w:type="dxa"/>
            <w:vAlign w:val="center"/>
          </w:tcPr>
          <w:p w14:paraId="138B0FD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引风机入口烟道密封闸板阀</w:t>
            </w:r>
          </w:p>
        </w:tc>
        <w:tc>
          <w:tcPr>
            <w:tcW w:w="4866" w:type="dxa"/>
            <w:vAlign w:val="center"/>
          </w:tcPr>
          <w:p w14:paraId="2874A35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引风机入口烟道密封闸板阀\组合式挡板阀（手动执行机构），φ1200*500mm\主轴、挡板叶片、筒体及法兰等材质：06Cr19Ni10；介质：烟气；温度：200℃；详见技术要求\JB/T8692\通用配件\42/44-FA-102</w:t>
            </w:r>
          </w:p>
        </w:tc>
        <w:tc>
          <w:tcPr>
            <w:tcW w:w="787" w:type="dxa"/>
            <w:vAlign w:val="center"/>
          </w:tcPr>
          <w:p w14:paraId="535BC2B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2135723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4D03E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036C5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E0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5646D4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10293527</w:t>
            </w:r>
          </w:p>
        </w:tc>
        <w:tc>
          <w:tcPr>
            <w:tcW w:w="1386" w:type="dxa"/>
            <w:vAlign w:val="center"/>
          </w:tcPr>
          <w:p w14:paraId="30171D0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w:t>
            </w:r>
          </w:p>
        </w:tc>
        <w:tc>
          <w:tcPr>
            <w:tcW w:w="4866" w:type="dxa"/>
            <w:vAlign w:val="center"/>
          </w:tcPr>
          <w:p w14:paraId="56CA4DB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引风机进风口调节阀\组合式调节风门（手动执行机构），φ1200*360mm\主轴、挡板叶片、筒体及法兰等材质：06Cr19Ni10；介质：烟气；温度：200℃；详见技术要求\JB/T8692\通用配件\42/44-FA-102</w:t>
            </w:r>
          </w:p>
        </w:tc>
        <w:tc>
          <w:tcPr>
            <w:tcW w:w="787" w:type="dxa"/>
            <w:vAlign w:val="center"/>
          </w:tcPr>
          <w:p w14:paraId="4589AEA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76EEBB7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30565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506CA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6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1DF78E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10293544</w:t>
            </w:r>
          </w:p>
        </w:tc>
        <w:tc>
          <w:tcPr>
            <w:tcW w:w="1386" w:type="dxa"/>
            <w:vAlign w:val="center"/>
          </w:tcPr>
          <w:p w14:paraId="3D3C4C6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引风机出口烟道手动密封挡板阀</w:t>
            </w:r>
          </w:p>
        </w:tc>
        <w:tc>
          <w:tcPr>
            <w:tcW w:w="4866" w:type="dxa"/>
            <w:vAlign w:val="center"/>
          </w:tcPr>
          <w:p w14:paraId="75E4B9A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引风机出口烟道密封挡板阀\组合式挡板阀（手动执行机构），1068*780*500mm\主轴、挡板叶片、筒体及法兰等材质：06Cr19Ni10；介质：烟气；温度：200℃；详见技术要求\JB/T8692\通用配件\42/44-FA-102</w:t>
            </w:r>
          </w:p>
        </w:tc>
        <w:tc>
          <w:tcPr>
            <w:tcW w:w="787" w:type="dxa"/>
            <w:vAlign w:val="center"/>
          </w:tcPr>
          <w:p w14:paraId="6A24454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3EC9F66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1F185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72CB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56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517AAD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10293552</w:t>
            </w:r>
          </w:p>
        </w:tc>
        <w:tc>
          <w:tcPr>
            <w:tcW w:w="1386" w:type="dxa"/>
            <w:vAlign w:val="center"/>
          </w:tcPr>
          <w:p w14:paraId="38C06607">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7579AA5A">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非金属补偿器\DN圆形φ2200*φ1800*500mm\ 0.1bar\43-FA-101/103鼓风机进风口；介质：空气；温度：常温\RF\//金属框架、筒体和法兰材质：06Cr19Ni10；补偿量：轴向±50mm；径向±20mm\JB/T 12235</w:t>
            </w:r>
          </w:p>
        </w:tc>
        <w:tc>
          <w:tcPr>
            <w:tcW w:w="787" w:type="dxa"/>
            <w:vAlign w:val="center"/>
          </w:tcPr>
          <w:p w14:paraId="6F033352">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7382096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3A265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624FC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E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3395B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10293553</w:t>
            </w:r>
          </w:p>
        </w:tc>
        <w:tc>
          <w:tcPr>
            <w:tcW w:w="1386" w:type="dxa"/>
            <w:vAlign w:val="center"/>
          </w:tcPr>
          <w:p w14:paraId="246A8AB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655DD45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非金属补偿器\DN方形1544*1116*200mm\ 0.1bar\43-FA-101/103鼓风机出口；介质：空气；温度：常温\RF\//金属框架、筒体和法兰材质：06Cr19Ni10；补偿量：轴向±40mm；径向±30mm\JB/T 12235</w:t>
            </w:r>
          </w:p>
        </w:tc>
        <w:tc>
          <w:tcPr>
            <w:tcW w:w="787" w:type="dxa"/>
            <w:vAlign w:val="center"/>
          </w:tcPr>
          <w:p w14:paraId="3372522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456244F9">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6D7264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0540EC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1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28" w:type="dxa"/>
            <w:vAlign w:val="center"/>
          </w:tcPr>
          <w:p w14:paraId="081289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10293560</w:t>
            </w:r>
          </w:p>
        </w:tc>
        <w:tc>
          <w:tcPr>
            <w:tcW w:w="1386" w:type="dxa"/>
            <w:vAlign w:val="center"/>
          </w:tcPr>
          <w:p w14:paraId="1431ACC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5656D51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非金属补偿器\DN圆形φ2900*φ2000*1000mm\ 0.1bar\43-FA-102/104引风机进风口；介质：烟气；温度：250℃\RF\//金属框架、筒体和法兰材质：06Cr19Ni10；补偿量：轴向±50mm；径向±20mm\JB/T 12235</w:t>
            </w:r>
          </w:p>
        </w:tc>
        <w:tc>
          <w:tcPr>
            <w:tcW w:w="787" w:type="dxa"/>
            <w:vAlign w:val="center"/>
          </w:tcPr>
          <w:p w14:paraId="4072BA0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46FB35B4">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5C427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373067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D8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28" w:type="dxa"/>
            <w:vAlign w:val="center"/>
          </w:tcPr>
          <w:p w14:paraId="035CED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10293566</w:t>
            </w:r>
          </w:p>
        </w:tc>
        <w:tc>
          <w:tcPr>
            <w:tcW w:w="1386" w:type="dxa"/>
            <w:vAlign w:val="center"/>
          </w:tcPr>
          <w:p w14:paraId="545D2C2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070232DE">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非金属补偿器\DN圆形φ710*200mm\ 0.1bar\42/44-FA-101鼓风机进风口；介质：空气；温度：常温\RF\//金属框架、筒体和法兰材质：06Cr19Ni10；补偿量：4mm\JB/T 12235</w:t>
            </w:r>
          </w:p>
        </w:tc>
        <w:tc>
          <w:tcPr>
            <w:tcW w:w="787" w:type="dxa"/>
            <w:vAlign w:val="center"/>
          </w:tcPr>
          <w:p w14:paraId="0A8CA9A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1C2BDDA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7D8AD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D280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8A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28" w:type="dxa"/>
            <w:vAlign w:val="center"/>
          </w:tcPr>
          <w:p w14:paraId="20FCF7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10293564</w:t>
            </w:r>
          </w:p>
        </w:tc>
        <w:tc>
          <w:tcPr>
            <w:tcW w:w="1386" w:type="dxa"/>
            <w:vAlign w:val="center"/>
          </w:tcPr>
          <w:p w14:paraId="32C38E5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1523269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非金属补偿器\DN方形855*380*200mm\ 0.1bar\42/44-FA-101鼓风机出口；介质：空气；温度：常温\RF\//金属框架、筒体和法兰材质：06Cr19Ni10；补偿量：1mm\JB/T 12235</w:t>
            </w:r>
          </w:p>
        </w:tc>
        <w:tc>
          <w:tcPr>
            <w:tcW w:w="787" w:type="dxa"/>
            <w:vAlign w:val="center"/>
          </w:tcPr>
          <w:p w14:paraId="167A6A4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1B8EADC6">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14:paraId="7461DF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4F974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4B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28" w:type="dxa"/>
            <w:vAlign w:val="center"/>
          </w:tcPr>
          <w:p w14:paraId="16E27B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10293562</w:t>
            </w:r>
          </w:p>
        </w:tc>
        <w:tc>
          <w:tcPr>
            <w:tcW w:w="1386" w:type="dxa"/>
            <w:vAlign w:val="center"/>
          </w:tcPr>
          <w:p w14:paraId="763D8E3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546BF053">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非金属补偿器\DN圆形φ1200*200mm\ 0.1bar\42/44-FA-102引风机进风口；介质：烟气；温度：200℃\RF\//金属框架、筒体和法兰材质：06Cr19Ni10；补偿量：6mm\JB/T 12235</w:t>
            </w:r>
          </w:p>
        </w:tc>
        <w:tc>
          <w:tcPr>
            <w:tcW w:w="787" w:type="dxa"/>
            <w:vAlign w:val="center"/>
          </w:tcPr>
          <w:p w14:paraId="7253E58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4D2EA0CB">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06A90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5DAA9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0A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28" w:type="dxa"/>
            <w:vAlign w:val="center"/>
          </w:tcPr>
          <w:p w14:paraId="2B7D3B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10293563</w:t>
            </w:r>
          </w:p>
        </w:tc>
        <w:tc>
          <w:tcPr>
            <w:tcW w:w="1386" w:type="dxa"/>
            <w:vAlign w:val="center"/>
          </w:tcPr>
          <w:p w14:paraId="1B20CE3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3DAB7D7D">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非金属补偿器\DN方形1068*780*200mm\ 0.1bar\42/44-FA-102引风机出口烟道；介质：烟气；温度：200℃\RF\//金属框架、筒体和法兰材质：06Cr19Ni10；补偿量：7mm\JB/T 12235</w:t>
            </w:r>
          </w:p>
        </w:tc>
        <w:tc>
          <w:tcPr>
            <w:tcW w:w="787" w:type="dxa"/>
            <w:vAlign w:val="center"/>
          </w:tcPr>
          <w:p w14:paraId="3F547D21">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10F42558">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6DF38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2F4C3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89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28" w:type="dxa"/>
            <w:vAlign w:val="center"/>
          </w:tcPr>
          <w:p w14:paraId="1D5023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10293846</w:t>
            </w:r>
          </w:p>
        </w:tc>
        <w:tc>
          <w:tcPr>
            <w:tcW w:w="1386" w:type="dxa"/>
            <w:vAlign w:val="center"/>
          </w:tcPr>
          <w:p w14:paraId="1B795CFF">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w:t>
            </w:r>
          </w:p>
        </w:tc>
        <w:tc>
          <w:tcPr>
            <w:tcW w:w="4866" w:type="dxa"/>
            <w:vAlign w:val="center"/>
          </w:tcPr>
          <w:p w14:paraId="2D33B5C5">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非金属补偿器\DN方形1812*1316*500mm\ 0.1bar\43-FA-102/104引风机出口烟道；介质：烟气；温度：250℃\RF\//金属框架、筒体和法兰材质：06Cr19Ni10；补偿量：轴向±50mm；径向±20mm\JB/T 12235</w:t>
            </w:r>
          </w:p>
        </w:tc>
        <w:tc>
          <w:tcPr>
            <w:tcW w:w="787" w:type="dxa"/>
            <w:vAlign w:val="center"/>
          </w:tcPr>
          <w:p w14:paraId="17903C4C">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vAlign w:val="center"/>
          </w:tcPr>
          <w:p w14:paraId="6088F99A">
            <w:pPr>
              <w:keepNext w:val="0"/>
              <w:keepLines w:val="0"/>
              <w:widowControl/>
              <w:suppressLineNumbers w:val="0"/>
              <w:snapToGrid w:val="0"/>
              <w:ind w:left="0" w:leftChars="0" w:right="0" w:rightChars="0" w:firstLine="0" w:firstLineChars="0"/>
              <w:jc w:val="center"/>
              <w:textAlignment w:val="center"/>
              <w:rPr>
                <w:rFonts w:hint="default" w:ascii="宋体" w:hAnsi="仿宋" w:eastAsia="宋体"/>
                <w:sz w:val="20"/>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14:paraId="217AC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8" w:type="dxa"/>
            <w:vAlign w:val="center"/>
          </w:tcPr>
          <w:p w14:paraId="4FB60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77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28" w:type="dxa"/>
            <w:vAlign w:val="center"/>
          </w:tcPr>
          <w:p w14:paraId="057954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7039" w:type="dxa"/>
            <w:gridSpan w:val="3"/>
            <w:vAlign w:val="center"/>
          </w:tcPr>
          <w:p w14:paraId="50294FBA">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大写：</w:t>
            </w:r>
          </w:p>
        </w:tc>
        <w:tc>
          <w:tcPr>
            <w:tcW w:w="3110" w:type="dxa"/>
            <w:gridSpan w:val="3"/>
            <w:vAlign w:val="center"/>
          </w:tcPr>
          <w:p w14:paraId="6CE37A3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小写：</w:t>
            </w:r>
          </w:p>
        </w:tc>
      </w:tr>
    </w:tbl>
    <w:p w14:paraId="79922443">
      <w:pPr>
        <w:pStyle w:val="17"/>
        <w:spacing w:line="360" w:lineRule="auto"/>
        <w:jc w:val="center"/>
        <w:rPr>
          <w:rFonts w:hint="eastAsia" w:ascii="宋体" w:hAnsi="宋体" w:eastAsia="宋体" w:cs="宋体"/>
          <w:b/>
          <w:sz w:val="36"/>
          <w:szCs w:val="36"/>
        </w:rPr>
      </w:pPr>
    </w:p>
    <w:p w14:paraId="76D033E9">
      <w:pPr>
        <w:pStyle w:val="17"/>
        <w:spacing w:line="360" w:lineRule="auto"/>
        <w:jc w:val="center"/>
        <w:rPr>
          <w:rFonts w:hint="eastAsia" w:ascii="宋体" w:hAnsi="宋体" w:eastAsia="宋体" w:cs="宋体"/>
          <w:b/>
          <w:sz w:val="36"/>
          <w:szCs w:val="36"/>
        </w:rPr>
      </w:pPr>
    </w:p>
    <w:p w14:paraId="57CD33FE">
      <w:pPr>
        <w:pStyle w:val="17"/>
        <w:spacing w:line="360" w:lineRule="auto"/>
        <w:jc w:val="center"/>
        <w:rPr>
          <w:rFonts w:hint="eastAsia" w:ascii="宋体" w:hAnsi="宋体" w:eastAsia="宋体" w:cs="宋体"/>
          <w:b/>
          <w:sz w:val="36"/>
          <w:szCs w:val="36"/>
        </w:rPr>
      </w:pPr>
    </w:p>
    <w:p w14:paraId="3D9E85C9">
      <w:pPr>
        <w:pStyle w:val="17"/>
        <w:spacing w:line="360" w:lineRule="auto"/>
        <w:jc w:val="center"/>
        <w:rPr>
          <w:rFonts w:hint="eastAsia" w:ascii="宋体" w:hAnsi="宋体" w:eastAsia="宋体" w:cs="宋体"/>
          <w:b/>
          <w:sz w:val="36"/>
          <w:szCs w:val="36"/>
        </w:rPr>
      </w:pPr>
    </w:p>
    <w:p w14:paraId="7021D98D">
      <w:pPr>
        <w:pStyle w:val="17"/>
        <w:spacing w:line="360" w:lineRule="auto"/>
        <w:jc w:val="center"/>
        <w:rPr>
          <w:rFonts w:hint="eastAsia" w:ascii="宋体" w:hAnsi="宋体" w:eastAsia="宋体" w:cs="宋体"/>
          <w:b/>
          <w:sz w:val="36"/>
          <w:szCs w:val="36"/>
        </w:rPr>
      </w:pPr>
    </w:p>
    <w:p w14:paraId="5362BB49">
      <w:pPr>
        <w:pStyle w:val="17"/>
        <w:spacing w:line="360" w:lineRule="auto"/>
        <w:jc w:val="center"/>
        <w:rPr>
          <w:rFonts w:hint="eastAsia" w:ascii="宋体" w:hAnsi="宋体" w:eastAsia="宋体" w:cs="宋体"/>
          <w:b/>
          <w:sz w:val="36"/>
          <w:szCs w:val="36"/>
        </w:rPr>
      </w:pPr>
    </w:p>
    <w:p w14:paraId="70E05F78">
      <w:pPr>
        <w:pStyle w:val="17"/>
        <w:spacing w:line="360" w:lineRule="auto"/>
        <w:jc w:val="center"/>
        <w:rPr>
          <w:rFonts w:hint="eastAsia" w:ascii="宋体" w:hAnsi="宋体" w:eastAsia="宋体" w:cs="宋体"/>
          <w:b/>
          <w:sz w:val="36"/>
          <w:szCs w:val="36"/>
        </w:rPr>
      </w:pPr>
    </w:p>
    <w:p w14:paraId="6205FBEB">
      <w:pPr>
        <w:pStyle w:val="17"/>
        <w:spacing w:line="360" w:lineRule="auto"/>
        <w:jc w:val="center"/>
        <w:rPr>
          <w:rFonts w:hint="eastAsia" w:ascii="宋体" w:hAnsi="宋体" w:eastAsia="宋体" w:cs="宋体"/>
          <w:b/>
          <w:sz w:val="36"/>
          <w:szCs w:val="36"/>
        </w:rPr>
      </w:pPr>
    </w:p>
    <w:p w14:paraId="2A7EBEF6">
      <w:pPr>
        <w:pStyle w:val="17"/>
        <w:spacing w:line="360" w:lineRule="auto"/>
        <w:jc w:val="both"/>
        <w:rPr>
          <w:rFonts w:hint="eastAsia" w:ascii="宋体" w:hAnsi="宋体" w:eastAsia="宋体" w:cs="宋体"/>
          <w:b/>
          <w:sz w:val="36"/>
          <w:szCs w:val="36"/>
        </w:rPr>
      </w:pPr>
    </w:p>
    <w:p w14:paraId="5345B8DD">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3791AAE"/>
    <w:rsid w:val="096751B2"/>
    <w:rsid w:val="0BFF33C3"/>
    <w:rsid w:val="145F4C75"/>
    <w:rsid w:val="15E4596F"/>
    <w:rsid w:val="1ECF2269"/>
    <w:rsid w:val="249471B2"/>
    <w:rsid w:val="2A742BF1"/>
    <w:rsid w:val="2B9065EA"/>
    <w:rsid w:val="2C3614AA"/>
    <w:rsid w:val="2D144DDE"/>
    <w:rsid w:val="2E092DE3"/>
    <w:rsid w:val="2F5D6A77"/>
    <w:rsid w:val="34921CE4"/>
    <w:rsid w:val="38E7731C"/>
    <w:rsid w:val="3CBB5B89"/>
    <w:rsid w:val="40A14897"/>
    <w:rsid w:val="4B661EB8"/>
    <w:rsid w:val="4C65157D"/>
    <w:rsid w:val="4CE47F4C"/>
    <w:rsid w:val="4D50309A"/>
    <w:rsid w:val="50A3516A"/>
    <w:rsid w:val="50C91F87"/>
    <w:rsid w:val="550F31D2"/>
    <w:rsid w:val="57F06B97"/>
    <w:rsid w:val="57F45C8F"/>
    <w:rsid w:val="58671C4C"/>
    <w:rsid w:val="5B047D71"/>
    <w:rsid w:val="62F917B9"/>
    <w:rsid w:val="6441422F"/>
    <w:rsid w:val="672B3381"/>
    <w:rsid w:val="67D57A24"/>
    <w:rsid w:val="71D65F0B"/>
    <w:rsid w:val="75542A4A"/>
    <w:rsid w:val="7B8D2223"/>
    <w:rsid w:val="7BB44529"/>
    <w:rsid w:val="7CA37EDE"/>
    <w:rsid w:val="7EC901DA"/>
    <w:rsid w:val="7EEF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14040</Words>
  <Characters>15769</Characters>
  <Lines>0</Lines>
  <Paragraphs>0</Paragraphs>
  <TotalTime>13</TotalTime>
  <ScaleCrop>false</ScaleCrop>
  <LinksUpToDate>false</LinksUpToDate>
  <CharactersWithSpaces>16613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2026-03-24T05:56:12Z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