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7971">
      <w:pPr>
        <w:spacing w:line="280" w:lineRule="exact"/>
        <w:jc w:val="center"/>
        <w:rPr>
          <w:rFonts w:hint="eastAsia" w:ascii="宋体" w:hAnsi="宋体"/>
          <w:b/>
          <w:sz w:val="24"/>
        </w:rPr>
      </w:pPr>
      <w:r>
        <w:rPr>
          <w:rFonts w:hint="eastAsia" w:ascii="宋体" w:hAnsi="宋体"/>
          <w:b/>
          <w:sz w:val="24"/>
        </w:rPr>
        <w:br w:type="textWrapping"/>
      </w:r>
      <w:r>
        <w:rPr>
          <w:rFonts w:hint="eastAsia" w:ascii="宋体" w:hAnsi="宋体"/>
          <w:b/>
          <w:sz w:val="24"/>
        </w:rPr>
        <w:br w:type="textWrapping"/>
      </w:r>
      <w:r>
        <w:rPr>
          <w:rFonts w:hint="eastAsia" w:ascii="宋体" w:hAnsi="宋体"/>
          <w:b/>
          <w:sz w:val="24"/>
        </w:rPr>
        <w:t>一般货物（产品）采购合同</w:t>
      </w:r>
    </w:p>
    <w:p w14:paraId="6B9E75F9">
      <w:pPr>
        <w:spacing w:line="280" w:lineRule="exact"/>
        <w:rPr>
          <w:rFonts w:hint="default" w:ascii="宋体" w:hAnsi="宋体" w:eastAsia="宋体"/>
          <w:b/>
          <w:szCs w:val="21"/>
          <w:u w:val="single"/>
          <w:lang w:val="en-US" w:eastAsia="zh-CN"/>
        </w:rPr>
      </w:pPr>
      <w:r>
        <w:rPr>
          <w:rFonts w:hint="eastAsia" w:ascii="宋体" w:hAnsi="宋体"/>
          <w:sz w:val="18"/>
          <w:szCs w:val="18"/>
        </w:rPr>
        <w:t>合同编号：</w:t>
      </w:r>
    </w:p>
    <w:p w14:paraId="05F003E0">
      <w:pPr>
        <w:spacing w:line="280" w:lineRule="exact"/>
        <w:rPr>
          <w:rFonts w:hint="eastAsia" w:ascii="宋体" w:hAnsi="宋体" w:eastAsia="宋体"/>
          <w:b/>
          <w:szCs w:val="21"/>
          <w:lang w:val="en-US" w:eastAsia="zh-CN"/>
        </w:rPr>
      </w:pPr>
      <w:r>
        <w:rPr>
          <w:rFonts w:hint="eastAsia" w:ascii="宋体" w:hAnsi="宋体"/>
          <w:b/>
          <w:szCs w:val="21"/>
          <w:lang w:val="en-US" w:eastAsia="zh-CN"/>
        </w:rPr>
        <w:t xml:space="preserve">                                第一部分   协议书</w:t>
      </w:r>
    </w:p>
    <w:p w14:paraId="7190BF44">
      <w:pPr>
        <w:spacing w:line="280" w:lineRule="exact"/>
        <w:rPr>
          <w:rFonts w:hint="eastAsia" w:ascii="宋体" w:hAnsi="宋体"/>
          <w:b/>
          <w:szCs w:val="21"/>
        </w:rPr>
      </w:pPr>
      <w:r>
        <w:rPr>
          <w:rFonts w:hint="eastAsia" w:ascii="宋体" w:hAnsi="宋体"/>
          <w:b/>
          <w:szCs w:val="21"/>
        </w:rPr>
        <w:t>供方：</w:t>
      </w:r>
      <w:r>
        <w:rPr>
          <w:rFonts w:hint="eastAsia" w:eastAsia="宋体"/>
          <w:b/>
          <w:color w:val="000000"/>
          <w:szCs w:val="21"/>
          <w:lang w:val="en-US" w:eastAsia="zh-CN"/>
        </w:rPr>
        <w:t xml:space="preserve">   </w:t>
      </w:r>
      <w:r>
        <w:rPr>
          <w:rFonts w:hint="eastAsia" w:ascii="宋体" w:hAnsi="宋体"/>
          <w:b/>
          <w:szCs w:val="21"/>
        </w:rPr>
        <w:t xml:space="preserve">                    </w:t>
      </w:r>
    </w:p>
    <w:p w14:paraId="681BDE0E">
      <w:pPr>
        <w:spacing w:line="280" w:lineRule="exact"/>
        <w:rPr>
          <w:rFonts w:hint="default" w:ascii="宋体" w:hAnsi="宋体"/>
          <w:b/>
          <w:szCs w:val="21"/>
          <w:lang w:val="en-US"/>
        </w:rPr>
      </w:pPr>
      <w:r>
        <w:rPr>
          <w:rFonts w:hint="eastAsia" w:ascii="宋体" w:hAnsi="宋体"/>
          <w:b/>
          <w:szCs w:val="21"/>
        </w:rPr>
        <w:t>需方：</w:t>
      </w:r>
      <w:r>
        <w:rPr>
          <w:rFonts w:hint="eastAsia" w:ascii="宋体" w:hAnsi="宋体"/>
          <w:b/>
          <w:szCs w:val="21"/>
          <w:lang w:val="en-US" w:eastAsia="zh-CN"/>
        </w:rPr>
        <w:t>福建省福化古蕾化学有限公司</w:t>
      </w:r>
    </w:p>
    <w:p w14:paraId="241650FD">
      <w:pPr>
        <w:spacing w:line="280" w:lineRule="exact"/>
        <w:ind w:firstLine="440" w:firstLineChars="200"/>
        <w:rPr>
          <w:rFonts w:hint="eastAsia" w:ascii="宋体" w:hAnsi="宋体"/>
          <w:szCs w:val="21"/>
        </w:rPr>
      </w:pPr>
      <w:r>
        <w:rPr>
          <w:rFonts w:hint="eastAsia" w:ascii="宋体" w:hAnsi="宋体"/>
          <w:szCs w:val="21"/>
        </w:rPr>
        <w:t>鉴于：供、需双方有权利及能力依法签署并履行本合同约定的事项，供、需双方经过充分协商，根据《中华人民共和国民法典》及相关法律法规，本着平等互利、诚信合作的原则，于</w:t>
      </w:r>
      <w:r>
        <w:rPr>
          <w:rFonts w:hint="eastAsia" w:ascii="宋体" w:hAnsi="宋体"/>
          <w:szCs w:val="21"/>
          <w:u w:val="single"/>
        </w:rPr>
        <w:t xml:space="preserve">  </w:t>
      </w:r>
      <w:r>
        <w:rPr>
          <w:rFonts w:ascii="宋体" w:hAnsi="宋体"/>
          <w:szCs w:val="21"/>
          <w:u w:val="single"/>
        </w:rPr>
        <w:t>202</w:t>
      </w:r>
      <w:r>
        <w:rPr>
          <w:rFonts w:hint="eastAsia"/>
          <w:szCs w:val="21"/>
          <w:u w:val="single"/>
          <w:lang w:val="en-US" w:eastAsia="zh-CN"/>
        </w:rPr>
        <w:t>6</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szCs w:val="21"/>
          <w:u w:val="single"/>
          <w:lang w:val="en-US" w:eastAsia="zh-CN"/>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日在</w:t>
      </w:r>
      <w:r>
        <w:rPr>
          <w:rFonts w:hint="eastAsia" w:ascii="宋体" w:hAnsi="宋体"/>
          <w:szCs w:val="21"/>
          <w:u w:val="single"/>
        </w:rPr>
        <w:t xml:space="preserve"> </w:t>
      </w:r>
      <w:r>
        <w:rPr>
          <w:rFonts w:hint="eastAsia" w:ascii="宋体" w:hAnsi="宋体"/>
          <w:szCs w:val="21"/>
          <w:u w:val="single"/>
          <w:lang w:val="en-US" w:eastAsia="zh-CN"/>
        </w:rPr>
        <w:t>漳州</w:t>
      </w:r>
      <w:r>
        <w:rPr>
          <w:rFonts w:hint="eastAsia" w:ascii="宋体" w:hAnsi="宋体"/>
          <w:szCs w:val="21"/>
          <w:u w:val="single"/>
        </w:rPr>
        <w:t xml:space="preserve">  </w:t>
      </w:r>
      <w:r>
        <w:rPr>
          <w:rFonts w:hint="eastAsia" w:ascii="宋体" w:hAnsi="宋体"/>
          <w:szCs w:val="21"/>
        </w:rPr>
        <w:t>签订本合同。供、需双方在协议上的签字人是供、需双方的法定代表人或委托代理人。</w:t>
      </w:r>
    </w:p>
    <w:p w14:paraId="7BB69E1D">
      <w:pPr>
        <w:spacing w:line="280" w:lineRule="exact"/>
        <w:rPr>
          <w:rFonts w:hint="eastAsia" w:ascii="宋体" w:hAnsi="宋体"/>
          <w:b/>
          <w:szCs w:val="21"/>
        </w:rPr>
      </w:pPr>
      <w:r>
        <w:rPr>
          <w:rFonts w:hint="eastAsia" w:ascii="宋体" w:hAnsi="宋体"/>
          <w:b/>
          <w:szCs w:val="21"/>
        </w:rPr>
        <w:t>一、 产品名称</w:t>
      </w:r>
      <w:r>
        <w:rPr>
          <w:rFonts w:hint="eastAsia" w:ascii="宋体" w:hAnsi="宋体" w:cs="宋体"/>
          <w:b/>
          <w:kern w:val="0"/>
          <w:szCs w:val="21"/>
        </w:rPr>
        <w:t>、生产厂家、型号规格、计量单位、数量、</w:t>
      </w:r>
      <w:r>
        <w:rPr>
          <w:rFonts w:hint="eastAsia" w:ascii="宋体" w:hAnsi="宋体" w:cs="宋体"/>
          <w:b/>
          <w:kern w:val="0"/>
          <w:szCs w:val="21"/>
          <w:lang w:val="en-US" w:eastAsia="zh-CN"/>
        </w:rPr>
        <w:t>含税</w:t>
      </w:r>
      <w:r>
        <w:rPr>
          <w:rFonts w:hint="eastAsia" w:ascii="宋体" w:hAnsi="宋体" w:cs="宋体"/>
          <w:b/>
          <w:kern w:val="0"/>
          <w:szCs w:val="21"/>
        </w:rPr>
        <w:t>单价、</w:t>
      </w:r>
      <w:r>
        <w:rPr>
          <w:rFonts w:hint="eastAsia" w:ascii="宋体" w:hAnsi="宋体" w:cs="宋体"/>
          <w:b/>
          <w:kern w:val="0"/>
          <w:szCs w:val="21"/>
          <w:lang w:val="en-US" w:eastAsia="zh-CN"/>
        </w:rPr>
        <w:t>含税总</w:t>
      </w:r>
      <w:r>
        <w:rPr>
          <w:rFonts w:hint="eastAsia" w:ascii="宋体" w:hAnsi="宋体" w:cs="宋体"/>
          <w:b/>
          <w:kern w:val="0"/>
          <w:szCs w:val="21"/>
        </w:rPr>
        <w:t>金额、</w:t>
      </w:r>
      <w:r>
        <w:rPr>
          <w:rFonts w:hint="eastAsia" w:ascii="宋体" w:hAnsi="宋体" w:cs="宋体"/>
          <w:b/>
          <w:kern w:val="0"/>
          <w:szCs w:val="21"/>
          <w:lang w:val="en-US" w:eastAsia="zh-CN"/>
        </w:rPr>
        <w:t>不含税总金额、税金、</w:t>
      </w:r>
      <w:r>
        <w:rPr>
          <w:rFonts w:hint="eastAsia" w:ascii="宋体" w:hAnsi="宋体" w:cs="宋体"/>
          <w:b/>
          <w:kern w:val="0"/>
          <w:szCs w:val="21"/>
        </w:rPr>
        <w:t>备注:</w:t>
      </w:r>
    </w:p>
    <w:tbl>
      <w:tblPr>
        <w:tblStyle w:val="3"/>
        <w:tblW w:w="1021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690"/>
        <w:gridCol w:w="349"/>
        <w:gridCol w:w="457"/>
        <w:gridCol w:w="608"/>
        <w:gridCol w:w="617"/>
        <w:gridCol w:w="1161"/>
        <w:gridCol w:w="1306"/>
        <w:gridCol w:w="1309"/>
        <w:gridCol w:w="1207"/>
        <w:gridCol w:w="1422"/>
      </w:tblGrid>
      <w:tr w14:paraId="4124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89" w:type="dxa"/>
            <w:vAlign w:val="center"/>
          </w:tcPr>
          <w:p w14:paraId="71C6EBC0">
            <w:pPr>
              <w:spacing w:line="280" w:lineRule="exact"/>
              <w:jc w:val="center"/>
              <w:rPr>
                <w:rFonts w:hint="eastAsia" w:ascii="宋体" w:hAnsi="宋体"/>
                <w:color w:val="000000"/>
                <w:szCs w:val="21"/>
              </w:rPr>
            </w:pPr>
            <w:r>
              <w:rPr>
                <w:rFonts w:hint="eastAsia" w:ascii="宋体" w:hAnsi="宋体"/>
                <w:color w:val="000000"/>
                <w:szCs w:val="21"/>
              </w:rPr>
              <w:t>产品名称</w:t>
            </w:r>
          </w:p>
        </w:tc>
        <w:tc>
          <w:tcPr>
            <w:tcW w:w="690" w:type="dxa"/>
            <w:vAlign w:val="center"/>
          </w:tcPr>
          <w:p w14:paraId="5E5C6393">
            <w:pPr>
              <w:spacing w:line="280" w:lineRule="exact"/>
              <w:jc w:val="center"/>
              <w:rPr>
                <w:rFonts w:hint="eastAsia" w:ascii="宋体" w:hAnsi="宋体"/>
                <w:color w:val="000000"/>
                <w:szCs w:val="21"/>
              </w:rPr>
            </w:pPr>
            <w:r>
              <w:rPr>
                <w:rFonts w:hint="eastAsia" w:ascii="宋体" w:hAnsi="宋体"/>
                <w:color w:val="000000"/>
                <w:szCs w:val="21"/>
              </w:rPr>
              <w:t>生产厂家</w:t>
            </w:r>
          </w:p>
        </w:tc>
        <w:tc>
          <w:tcPr>
            <w:tcW w:w="806" w:type="dxa"/>
            <w:gridSpan w:val="2"/>
            <w:vAlign w:val="center"/>
          </w:tcPr>
          <w:p w14:paraId="2294E72C">
            <w:pPr>
              <w:spacing w:line="280" w:lineRule="exact"/>
              <w:jc w:val="center"/>
              <w:rPr>
                <w:rFonts w:hint="eastAsia" w:ascii="宋体" w:hAnsi="宋体"/>
                <w:color w:val="000000"/>
                <w:szCs w:val="21"/>
              </w:rPr>
            </w:pPr>
            <w:r>
              <w:rPr>
                <w:rFonts w:hint="eastAsia" w:ascii="宋体" w:hAnsi="宋体"/>
                <w:color w:val="000000"/>
                <w:szCs w:val="21"/>
              </w:rPr>
              <w:t>型号规格</w:t>
            </w:r>
          </w:p>
        </w:tc>
        <w:tc>
          <w:tcPr>
            <w:tcW w:w="608" w:type="dxa"/>
            <w:vAlign w:val="center"/>
          </w:tcPr>
          <w:p w14:paraId="281F5400">
            <w:pPr>
              <w:spacing w:line="280" w:lineRule="exact"/>
              <w:jc w:val="center"/>
              <w:rPr>
                <w:rFonts w:hint="eastAsia" w:ascii="宋体" w:hAnsi="宋体"/>
                <w:color w:val="000000"/>
                <w:szCs w:val="21"/>
              </w:rPr>
            </w:pPr>
            <w:r>
              <w:rPr>
                <w:rFonts w:hint="eastAsia" w:ascii="宋体" w:hAnsi="宋体"/>
                <w:color w:val="000000"/>
                <w:szCs w:val="21"/>
              </w:rPr>
              <w:t>计量单位</w:t>
            </w:r>
          </w:p>
        </w:tc>
        <w:tc>
          <w:tcPr>
            <w:tcW w:w="617" w:type="dxa"/>
            <w:vAlign w:val="center"/>
          </w:tcPr>
          <w:p w14:paraId="3AFC1DC1">
            <w:pPr>
              <w:spacing w:line="280" w:lineRule="exact"/>
              <w:jc w:val="center"/>
              <w:rPr>
                <w:rFonts w:hint="eastAsia" w:ascii="宋体" w:hAnsi="宋体"/>
                <w:color w:val="000000"/>
                <w:szCs w:val="21"/>
              </w:rPr>
            </w:pPr>
            <w:r>
              <w:rPr>
                <w:rFonts w:hint="eastAsia" w:ascii="宋体" w:hAnsi="宋体"/>
                <w:color w:val="000000"/>
                <w:szCs w:val="21"/>
              </w:rPr>
              <w:t>数量</w:t>
            </w:r>
          </w:p>
        </w:tc>
        <w:tc>
          <w:tcPr>
            <w:tcW w:w="1161" w:type="dxa"/>
            <w:vAlign w:val="center"/>
          </w:tcPr>
          <w:p w14:paraId="03029325">
            <w:pPr>
              <w:spacing w:line="280" w:lineRule="exact"/>
              <w:jc w:val="center"/>
              <w:rPr>
                <w:rFonts w:hint="eastAsia" w:ascii="宋体" w:hAnsi="宋体" w:eastAsia="宋体"/>
                <w:color w:val="000000"/>
                <w:szCs w:val="21"/>
                <w:lang w:eastAsia="zh-CN"/>
              </w:rPr>
            </w:pPr>
            <w:r>
              <w:rPr>
                <w:rFonts w:hint="eastAsia" w:ascii="宋体" w:hAnsi="宋体"/>
                <w:color w:val="000000"/>
                <w:szCs w:val="21"/>
              </w:rPr>
              <w:t>含税单价</w:t>
            </w:r>
            <w:r>
              <w:rPr>
                <w:rFonts w:hint="eastAsia" w:ascii="宋体" w:hAnsi="宋体"/>
                <w:color w:val="000000"/>
                <w:szCs w:val="21"/>
                <w:lang w:eastAsia="zh-CN"/>
              </w:rPr>
              <w:t>（</w:t>
            </w:r>
            <w:r>
              <w:rPr>
                <w:rFonts w:hint="eastAsia" w:ascii="宋体" w:hAnsi="宋体"/>
                <w:color w:val="000000"/>
                <w:szCs w:val="21"/>
                <w:lang w:val="en-US" w:eastAsia="zh-CN"/>
              </w:rPr>
              <w:t>元/吨</w:t>
            </w:r>
            <w:r>
              <w:rPr>
                <w:rFonts w:hint="eastAsia" w:ascii="宋体" w:hAnsi="宋体"/>
                <w:color w:val="000000"/>
                <w:szCs w:val="21"/>
                <w:lang w:eastAsia="zh-CN"/>
              </w:rPr>
              <w:t>）</w:t>
            </w:r>
          </w:p>
        </w:tc>
        <w:tc>
          <w:tcPr>
            <w:tcW w:w="1306" w:type="dxa"/>
            <w:vAlign w:val="center"/>
          </w:tcPr>
          <w:p w14:paraId="3DFB3FB0">
            <w:pPr>
              <w:spacing w:line="280" w:lineRule="exact"/>
              <w:jc w:val="center"/>
              <w:rPr>
                <w:rFonts w:hint="eastAsia" w:ascii="宋体" w:hAnsi="宋体"/>
                <w:color w:val="000000"/>
                <w:szCs w:val="21"/>
              </w:rPr>
            </w:pPr>
            <w:r>
              <w:rPr>
                <w:rFonts w:hint="eastAsia" w:ascii="宋体" w:hAnsi="宋体"/>
                <w:color w:val="000000"/>
                <w:szCs w:val="21"/>
              </w:rPr>
              <w:t>含税总金额（元）</w:t>
            </w:r>
          </w:p>
        </w:tc>
        <w:tc>
          <w:tcPr>
            <w:tcW w:w="1309" w:type="dxa"/>
            <w:vAlign w:val="center"/>
          </w:tcPr>
          <w:p w14:paraId="03A83FF0">
            <w:pPr>
              <w:spacing w:line="28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不含税总金额（元）</w:t>
            </w:r>
          </w:p>
        </w:tc>
        <w:tc>
          <w:tcPr>
            <w:tcW w:w="1207" w:type="dxa"/>
            <w:vAlign w:val="center"/>
          </w:tcPr>
          <w:p w14:paraId="080805FE">
            <w:pPr>
              <w:spacing w:line="28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税金（元）</w:t>
            </w:r>
          </w:p>
        </w:tc>
        <w:tc>
          <w:tcPr>
            <w:tcW w:w="1422" w:type="dxa"/>
            <w:vAlign w:val="center"/>
          </w:tcPr>
          <w:p w14:paraId="065B4B08">
            <w:pPr>
              <w:spacing w:line="280" w:lineRule="exact"/>
              <w:jc w:val="center"/>
              <w:rPr>
                <w:rFonts w:hint="eastAsia" w:ascii="宋体" w:hAnsi="宋体"/>
                <w:color w:val="000000"/>
                <w:szCs w:val="21"/>
              </w:rPr>
            </w:pPr>
            <w:r>
              <w:rPr>
                <w:rFonts w:hint="eastAsia" w:ascii="宋体" w:hAnsi="宋体"/>
                <w:color w:val="000000"/>
                <w:szCs w:val="21"/>
              </w:rPr>
              <w:t>备注</w:t>
            </w:r>
          </w:p>
        </w:tc>
      </w:tr>
      <w:tr w14:paraId="6A50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89" w:type="dxa"/>
            <w:vAlign w:val="center"/>
          </w:tcPr>
          <w:p w14:paraId="68D962E2">
            <w:pPr>
              <w:spacing w:line="280" w:lineRule="exact"/>
              <w:jc w:val="both"/>
              <w:rPr>
                <w:rFonts w:hint="default" w:ascii="宋体" w:hAnsi="宋体" w:eastAsia="宋体"/>
                <w:color w:val="000000"/>
                <w:sz w:val="21"/>
                <w:szCs w:val="21"/>
                <w:lang w:val="en-US" w:eastAsia="zh-CN"/>
              </w:rPr>
            </w:pPr>
            <w:r>
              <w:rPr>
                <w:rFonts w:hint="eastAsia"/>
                <w:color w:val="000000"/>
                <w:sz w:val="21"/>
                <w:szCs w:val="21"/>
                <w:lang w:val="en-US" w:eastAsia="zh-CN"/>
              </w:rPr>
              <w:t>熔盐</w:t>
            </w:r>
          </w:p>
        </w:tc>
        <w:tc>
          <w:tcPr>
            <w:tcW w:w="690" w:type="dxa"/>
            <w:vAlign w:val="center"/>
          </w:tcPr>
          <w:p w14:paraId="185970D9">
            <w:pPr>
              <w:spacing w:line="280" w:lineRule="exact"/>
              <w:jc w:val="both"/>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 xml:space="preserve"> </w:t>
            </w:r>
          </w:p>
        </w:tc>
        <w:tc>
          <w:tcPr>
            <w:tcW w:w="806" w:type="dxa"/>
            <w:gridSpan w:val="2"/>
            <w:vAlign w:val="center"/>
          </w:tcPr>
          <w:p w14:paraId="545FE37E">
            <w:pPr>
              <w:spacing w:line="280" w:lineRule="exact"/>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详见附件采购指标</w:t>
            </w:r>
          </w:p>
        </w:tc>
        <w:tc>
          <w:tcPr>
            <w:tcW w:w="608" w:type="dxa"/>
            <w:vAlign w:val="center"/>
          </w:tcPr>
          <w:p w14:paraId="64275C17">
            <w:pPr>
              <w:spacing w:line="280" w:lineRule="exact"/>
              <w:jc w:val="center"/>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吨</w:t>
            </w:r>
          </w:p>
        </w:tc>
        <w:tc>
          <w:tcPr>
            <w:tcW w:w="617" w:type="dxa"/>
            <w:vAlign w:val="center"/>
          </w:tcPr>
          <w:p w14:paraId="7EC3D2A8">
            <w:pPr>
              <w:spacing w:line="280" w:lineRule="exact"/>
              <w:jc w:val="center"/>
              <w:rPr>
                <w:rFonts w:hint="default" w:ascii="宋体" w:hAnsi="宋体" w:cs="Times New Roman"/>
                <w:color w:val="000000"/>
                <w:sz w:val="21"/>
                <w:szCs w:val="21"/>
                <w:lang w:val="en-US" w:eastAsia="zh-CN"/>
              </w:rPr>
            </w:pPr>
            <w:r>
              <w:rPr>
                <w:rFonts w:hint="eastAsia" w:cs="Times New Roman"/>
                <w:color w:val="000000"/>
                <w:sz w:val="21"/>
                <w:szCs w:val="21"/>
                <w:lang w:val="en-US" w:eastAsia="zh-CN"/>
              </w:rPr>
              <w:t>10</w:t>
            </w:r>
          </w:p>
        </w:tc>
        <w:tc>
          <w:tcPr>
            <w:tcW w:w="1161" w:type="dxa"/>
            <w:vAlign w:val="center"/>
          </w:tcPr>
          <w:p w14:paraId="17820A60">
            <w:pPr>
              <w:spacing w:line="280" w:lineRule="exact"/>
              <w:jc w:val="both"/>
              <w:rPr>
                <w:rFonts w:hint="default" w:ascii="宋体" w:hAnsi="宋体" w:cs="Times New Roman"/>
                <w:color w:val="000000"/>
                <w:sz w:val="21"/>
                <w:szCs w:val="21"/>
                <w:lang w:val="en-US" w:eastAsia="zh-CN"/>
              </w:rPr>
            </w:pPr>
          </w:p>
        </w:tc>
        <w:tc>
          <w:tcPr>
            <w:tcW w:w="1306" w:type="dxa"/>
            <w:vAlign w:val="center"/>
          </w:tcPr>
          <w:p w14:paraId="0D679989">
            <w:pPr>
              <w:spacing w:line="280" w:lineRule="exact"/>
              <w:jc w:val="both"/>
              <w:rPr>
                <w:rFonts w:hint="default" w:ascii="宋体" w:hAnsi="宋体" w:eastAsia="宋体" w:cs="Times New Roman"/>
                <w:color w:val="000000"/>
                <w:sz w:val="21"/>
                <w:szCs w:val="21"/>
                <w:lang w:val="en-US" w:eastAsia="zh-CN"/>
              </w:rPr>
            </w:pPr>
          </w:p>
        </w:tc>
        <w:tc>
          <w:tcPr>
            <w:tcW w:w="1309" w:type="dxa"/>
            <w:vAlign w:val="center"/>
          </w:tcPr>
          <w:p w14:paraId="2A764F38">
            <w:pPr>
              <w:spacing w:line="280" w:lineRule="exact"/>
              <w:jc w:val="both"/>
              <w:rPr>
                <w:rFonts w:hint="default" w:ascii="宋体" w:hAnsi="宋体" w:cs="Times New Roman"/>
                <w:color w:val="000000"/>
                <w:sz w:val="21"/>
                <w:szCs w:val="21"/>
                <w:lang w:val="en-US" w:eastAsia="zh-CN"/>
              </w:rPr>
            </w:pPr>
          </w:p>
        </w:tc>
        <w:tc>
          <w:tcPr>
            <w:tcW w:w="1207" w:type="dxa"/>
            <w:vAlign w:val="center"/>
          </w:tcPr>
          <w:p w14:paraId="4450CE17">
            <w:pPr>
              <w:tabs>
                <w:tab w:val="left" w:pos="314"/>
              </w:tabs>
              <w:spacing w:line="280" w:lineRule="exact"/>
              <w:jc w:val="left"/>
              <w:rPr>
                <w:rFonts w:hint="default" w:ascii="宋体" w:hAnsi="宋体" w:cs="Times New Roman"/>
                <w:color w:val="000000"/>
                <w:sz w:val="21"/>
                <w:szCs w:val="21"/>
                <w:lang w:val="en-US" w:eastAsia="zh-CN"/>
              </w:rPr>
            </w:pPr>
          </w:p>
        </w:tc>
        <w:tc>
          <w:tcPr>
            <w:tcW w:w="1422" w:type="dxa"/>
            <w:vAlign w:val="center"/>
          </w:tcPr>
          <w:p w14:paraId="1F78281C">
            <w:pPr>
              <w:spacing w:line="280" w:lineRule="exact"/>
              <w:jc w:val="center"/>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含13%增值税</w:t>
            </w:r>
          </w:p>
        </w:tc>
      </w:tr>
      <w:tr w14:paraId="5FB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28" w:type="dxa"/>
            <w:gridSpan w:val="3"/>
            <w:vAlign w:val="center"/>
          </w:tcPr>
          <w:p w14:paraId="064EDAFC">
            <w:pPr>
              <w:spacing w:line="280" w:lineRule="exact"/>
              <w:rPr>
                <w:rFonts w:hint="eastAsia" w:ascii="宋体" w:hAnsi="宋体"/>
                <w:color w:val="000000"/>
                <w:szCs w:val="21"/>
              </w:rPr>
            </w:pPr>
            <w:r>
              <w:rPr>
                <w:rFonts w:hint="eastAsia" w:ascii="宋体" w:hAnsi="宋体"/>
                <w:color w:val="000000"/>
                <w:szCs w:val="21"/>
              </w:rPr>
              <w:t xml:space="preserve">合计人民币含税金额（大写）：                   </w:t>
            </w:r>
          </w:p>
        </w:tc>
        <w:tc>
          <w:tcPr>
            <w:tcW w:w="8087" w:type="dxa"/>
            <w:gridSpan w:val="8"/>
            <w:vAlign w:val="center"/>
          </w:tcPr>
          <w:p w14:paraId="2CF63EC6">
            <w:pPr>
              <w:spacing w:line="280" w:lineRule="exact"/>
              <w:rPr>
                <w:rFonts w:hint="default" w:ascii="宋体" w:hAnsi="宋体" w:eastAsia="宋体"/>
                <w:color w:val="000000"/>
                <w:szCs w:val="21"/>
                <w:lang w:val="en-US" w:eastAsia="zh-CN"/>
              </w:rPr>
            </w:pPr>
          </w:p>
        </w:tc>
      </w:tr>
    </w:tbl>
    <w:p w14:paraId="20608D6F">
      <w:pPr>
        <w:spacing w:line="280" w:lineRule="exact"/>
        <w:rPr>
          <w:rFonts w:hint="eastAsia" w:ascii="宋体" w:hAnsi="宋体" w:eastAsia="宋体"/>
          <w:color w:val="000000"/>
          <w:szCs w:val="21"/>
          <w:u w:val="single"/>
          <w:lang w:eastAsia="zh-CN"/>
        </w:rPr>
      </w:pPr>
      <w:r>
        <w:rPr>
          <w:rFonts w:hint="eastAsia" w:ascii="宋体" w:hAnsi="宋体"/>
          <w:b/>
          <w:szCs w:val="21"/>
        </w:rPr>
        <w:t>二、</w:t>
      </w:r>
      <w:r>
        <w:rPr>
          <w:rFonts w:hint="eastAsia" w:ascii="宋体" w:hAnsi="宋体"/>
          <w:b/>
          <w:szCs w:val="21"/>
          <w:u w:val="none"/>
        </w:rPr>
        <w:t>产品质量要求及技术标准</w:t>
      </w:r>
      <w:r>
        <w:rPr>
          <w:rFonts w:hint="eastAsia" w:ascii="宋体" w:hAnsi="宋体"/>
          <w:b/>
          <w:szCs w:val="21"/>
        </w:rPr>
        <w:t>：</w:t>
      </w:r>
      <w:r>
        <w:rPr>
          <w:rFonts w:hint="eastAsia" w:ascii="宋体" w:hAnsi="宋体"/>
          <w:szCs w:val="21"/>
        </w:rPr>
        <w:t>双方商定按下列第</w:t>
      </w:r>
      <w:r>
        <w:rPr>
          <w:rFonts w:hint="eastAsia" w:ascii="宋体" w:hAnsi="宋体"/>
          <w:szCs w:val="21"/>
          <w:u w:val="single"/>
        </w:rPr>
        <w:t xml:space="preserve">   </w:t>
      </w:r>
      <w:r>
        <w:rPr>
          <w:rFonts w:hint="eastAsia" w:ascii="宋体" w:hAnsi="宋体"/>
          <w:szCs w:val="21"/>
          <w:u w:val="single"/>
          <w:lang w:val="en-US" w:eastAsia="zh-CN"/>
        </w:rPr>
        <w:t>3</w:t>
      </w:r>
      <w:r>
        <w:rPr>
          <w:rFonts w:hint="eastAsia" w:ascii="宋体" w:hAnsi="宋体"/>
          <w:szCs w:val="21"/>
          <w:u w:val="single"/>
        </w:rPr>
        <w:t xml:space="preserve">  </w:t>
      </w:r>
      <w:r>
        <w:rPr>
          <w:rFonts w:hint="eastAsia" w:ascii="宋体" w:hAnsi="宋体"/>
          <w:szCs w:val="21"/>
        </w:rPr>
        <w:t>款执行，</w:t>
      </w:r>
      <w:r>
        <w:rPr>
          <w:rFonts w:hint="eastAsia" w:ascii="宋体" w:hAnsi="宋体"/>
          <w:color w:val="000000"/>
          <w:szCs w:val="21"/>
        </w:rPr>
        <w:t>其中主要的技术指标包含：</w:t>
      </w:r>
      <w:r>
        <w:rPr>
          <w:rFonts w:hint="eastAsia" w:ascii="宋体" w:hAnsi="宋体"/>
          <w:color w:val="000000"/>
          <w:szCs w:val="21"/>
          <w:u w:val="single"/>
        </w:rPr>
        <w:t xml:space="preserve">          </w:t>
      </w:r>
      <w:r>
        <w:rPr>
          <w:rFonts w:hint="eastAsia" w:ascii="宋体" w:hAnsi="宋体"/>
          <w:color w:val="000000"/>
          <w:szCs w:val="21"/>
          <w:u w:val="none"/>
          <w:lang w:eastAsia="zh-CN"/>
        </w:rPr>
        <w:t>。</w:t>
      </w:r>
    </w:p>
    <w:p w14:paraId="2A871344">
      <w:pPr>
        <w:spacing w:line="280" w:lineRule="exact"/>
        <w:ind w:firstLine="440" w:firstLineChars="200"/>
        <w:rPr>
          <w:rFonts w:hint="eastAsia" w:ascii="宋体" w:hAnsi="宋体"/>
          <w:szCs w:val="21"/>
        </w:rPr>
      </w:pPr>
      <w:r>
        <w:rPr>
          <w:rFonts w:ascii="宋体" w:hAnsi="宋体"/>
          <w:szCs w:val="21"/>
        </w:rPr>
        <w:t>1</w:t>
      </w:r>
      <w:r>
        <w:rPr>
          <w:rFonts w:hint="eastAsia" w:ascii="宋体" w:hAnsi="宋体"/>
          <w:szCs w:val="21"/>
        </w:rPr>
        <w:t>.</w:t>
      </w:r>
      <w:r>
        <w:rPr>
          <w:rFonts w:ascii="宋体" w:hAnsi="宋体"/>
          <w:szCs w:val="21"/>
        </w:rPr>
        <w:t>国家标准</w:t>
      </w:r>
      <w:r>
        <w:rPr>
          <w:rFonts w:hint="eastAsia" w:ascii="宋体" w:hAnsi="宋体"/>
          <w:szCs w:val="21"/>
        </w:rPr>
        <w:t>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rPr>
        <w:t>2</w:t>
      </w:r>
      <w:r>
        <w:rPr>
          <w:rFonts w:hint="eastAsia" w:ascii="宋体" w:hAnsi="宋体"/>
          <w:szCs w:val="21"/>
        </w:rPr>
        <w:t>.</w:t>
      </w:r>
      <w:r>
        <w:rPr>
          <w:rFonts w:ascii="宋体" w:hAnsi="宋体"/>
          <w:szCs w:val="21"/>
        </w:rPr>
        <w:t>行业标准</w:t>
      </w:r>
      <w:r>
        <w:rPr>
          <w:rFonts w:hint="eastAsia" w:ascii="宋体" w:hAnsi="宋体"/>
          <w:szCs w:val="21"/>
        </w:rPr>
        <w:t>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3</w:t>
      </w:r>
      <w:r>
        <w:rPr>
          <w:rFonts w:hint="eastAsia" w:ascii="宋体" w:hAnsi="宋体"/>
          <w:szCs w:val="21"/>
        </w:rPr>
        <w:t>.</w:t>
      </w:r>
      <w:r>
        <w:rPr>
          <w:rFonts w:ascii="宋体" w:hAnsi="宋体"/>
          <w:szCs w:val="21"/>
        </w:rPr>
        <w:t>企业标</w:t>
      </w:r>
      <w:r>
        <w:rPr>
          <w:rFonts w:hint="eastAsia" w:ascii="宋体" w:hAnsi="宋体"/>
          <w:szCs w:val="21"/>
        </w:rPr>
        <w:t>准及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r>
        <w:rPr>
          <w:rFonts w:hint="eastAsia" w:ascii="宋体" w:hAnsi="宋体" w:cs="Arial"/>
          <w:szCs w:val="21"/>
          <w:u w:val="single"/>
          <w:lang w:val="en-US" w:eastAsia="zh-CN"/>
        </w:rPr>
        <w:t>见附件</w:t>
      </w:r>
      <w:r>
        <w:rPr>
          <w:rFonts w:hint="eastAsia" w:ascii="宋体" w:hAnsi="宋体"/>
          <w:szCs w:val="21"/>
          <w:u w:val="single"/>
        </w:rPr>
        <w:t xml:space="preserve">       </w:t>
      </w:r>
    </w:p>
    <w:p w14:paraId="7FDBF94B">
      <w:pPr>
        <w:spacing w:line="280" w:lineRule="exact"/>
        <w:ind w:firstLine="440" w:firstLineChars="200"/>
        <w:rPr>
          <w:rFonts w:hint="eastAsia" w:ascii="宋体" w:hAnsi="宋体" w:cs="Arial"/>
          <w:color w:val="000000"/>
          <w:sz w:val="21"/>
          <w:szCs w:val="21"/>
        </w:rPr>
      </w:pPr>
      <w:r>
        <w:rPr>
          <w:rFonts w:ascii="宋体" w:hAnsi="宋体" w:cs="Arial"/>
          <w:szCs w:val="21"/>
        </w:rPr>
        <w:t>4</w:t>
      </w:r>
      <w:r>
        <w:rPr>
          <w:rFonts w:hint="eastAsia" w:ascii="宋体" w:hAnsi="宋体" w:cs="Arial"/>
          <w:szCs w:val="21"/>
        </w:rPr>
        <w:t>.</w:t>
      </w:r>
      <w:r>
        <w:rPr>
          <w:rFonts w:ascii="宋体" w:hAnsi="宋体" w:cs="Arial"/>
          <w:szCs w:val="21"/>
        </w:rPr>
        <w:t>其他标准</w:t>
      </w:r>
      <w:r>
        <w:rPr>
          <w:rFonts w:hint="eastAsia" w:ascii="宋体" w:hAnsi="宋体" w:cs="Arial"/>
          <w:szCs w:val="21"/>
          <w:lang w:eastAsia="zh-CN"/>
        </w:rPr>
        <w:t>：</w:t>
      </w:r>
      <w:r>
        <w:rPr>
          <w:rFonts w:hint="eastAsia" w:cs="Arial"/>
          <w:szCs w:val="21"/>
          <w:u w:val="single"/>
          <w:lang w:val="en-US" w:eastAsia="zh-CN"/>
        </w:rPr>
        <w:t xml:space="preserve">       </w:t>
      </w:r>
      <w:r>
        <w:rPr>
          <w:rFonts w:hint="eastAsia" w:ascii="宋体" w:hAnsi="宋体" w:cs="Arial"/>
          <w:szCs w:val="21"/>
          <w:lang w:val="en-US" w:eastAsia="zh-CN"/>
        </w:rPr>
        <w:t xml:space="preserve"> </w:t>
      </w:r>
    </w:p>
    <w:p w14:paraId="522B2E6C">
      <w:pPr>
        <w:spacing w:line="280" w:lineRule="exact"/>
        <w:rPr>
          <w:rFonts w:hint="eastAsia" w:ascii="宋体" w:hAnsi="宋体"/>
          <w:szCs w:val="21"/>
        </w:rPr>
      </w:pPr>
      <w:r>
        <w:rPr>
          <w:rFonts w:hint="eastAsia" w:ascii="宋体" w:hAnsi="宋体"/>
          <w:b/>
          <w:szCs w:val="21"/>
        </w:rPr>
        <w:t>三、包装方式：</w:t>
      </w:r>
      <w:r>
        <w:rPr>
          <w:rFonts w:hint="eastAsia" w:ascii="宋体" w:hAnsi="宋体"/>
          <w:szCs w:val="21"/>
        </w:rPr>
        <w:t>双方商定按下列第</w:t>
      </w:r>
      <w:r>
        <w:rPr>
          <w:rFonts w:hint="eastAsia" w:ascii="宋体" w:hAnsi="宋体"/>
          <w:szCs w:val="21"/>
          <w:u w:val="single"/>
        </w:rPr>
        <w:t xml:space="preserve">  </w:t>
      </w:r>
      <w:r>
        <w:rPr>
          <w:rFonts w:hint="eastAsia"/>
          <w:szCs w:val="21"/>
          <w:u w:val="single"/>
          <w:lang w:val="en-US" w:eastAsia="zh-CN"/>
        </w:rPr>
        <w:t>1</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款执行。</w:t>
      </w:r>
    </w:p>
    <w:p w14:paraId="51E1EE46">
      <w:pPr>
        <w:spacing w:line="280" w:lineRule="exact"/>
        <w:ind w:firstLine="440" w:firstLineChars="200"/>
        <w:rPr>
          <w:rFonts w:hint="eastAsia" w:ascii="宋体" w:hAnsi="宋体"/>
          <w:szCs w:val="21"/>
          <w:u w:val="single"/>
          <w:lang w:val="en-US" w:eastAsia="zh-CN"/>
        </w:rPr>
      </w:pPr>
      <w:r>
        <w:rPr>
          <w:rFonts w:hint="eastAsia" w:ascii="宋体" w:hAnsi="宋体"/>
          <w:szCs w:val="21"/>
        </w:rPr>
        <w:t>1.袋装：</w:t>
      </w:r>
      <w:r>
        <w:rPr>
          <w:rFonts w:hint="eastAsia" w:ascii="宋体" w:hAnsi="宋体"/>
          <w:szCs w:val="21"/>
          <w:u w:val="single"/>
        </w:rPr>
        <w:t xml:space="preserve"> </w:t>
      </w:r>
      <w:r>
        <w:rPr>
          <w:rFonts w:hint="eastAsia" w:ascii="宋体" w:hAnsi="宋体"/>
          <w:szCs w:val="21"/>
          <w:u w:val="single"/>
          <w:lang w:val="en-US" w:eastAsia="zh-CN"/>
        </w:rPr>
        <w:t>运输时需</w:t>
      </w:r>
      <w:r>
        <w:rPr>
          <w:rFonts w:hint="eastAsia"/>
          <w:szCs w:val="21"/>
          <w:u w:val="single"/>
          <w:lang w:val="en-US" w:eastAsia="zh-CN"/>
        </w:rPr>
        <w:t>用50Kg/包的袋子包装，运输时需将辅料码放于托盘之上，方便货到现场后用叉车卸货。</w:t>
      </w:r>
      <w:r>
        <w:rPr>
          <w:rFonts w:hint="eastAsia" w:ascii="宋体" w:hAnsi="宋体"/>
          <w:szCs w:val="21"/>
          <w:u w:val="single"/>
          <w:lang w:val="en-US" w:eastAsia="zh-CN"/>
        </w:rPr>
        <w:t xml:space="preserve"> </w:t>
      </w:r>
    </w:p>
    <w:p w14:paraId="5573DDBF">
      <w:pPr>
        <w:spacing w:line="280" w:lineRule="exact"/>
        <w:ind w:firstLine="440" w:firstLineChars="200"/>
        <w:rPr>
          <w:rFonts w:hint="default" w:ascii="宋体" w:hAnsi="宋体" w:eastAsia="宋体"/>
          <w:szCs w:val="21"/>
          <w:u w:val="single"/>
          <w:lang w:val="en-US" w:eastAsia="zh-CN"/>
        </w:rPr>
      </w:pPr>
      <w:r>
        <w:rPr>
          <w:rFonts w:hint="eastAsia" w:ascii="宋体" w:hAnsi="宋体"/>
          <w:szCs w:val="21"/>
        </w:rPr>
        <w:t>2.桶装：</w:t>
      </w:r>
      <w:r>
        <w:rPr>
          <w:rFonts w:hint="eastAsia"/>
          <w:szCs w:val="21"/>
          <w:u w:val="single"/>
          <w:lang w:val="en-US" w:eastAsia="zh-CN"/>
        </w:rPr>
        <w:t xml:space="preserve">       </w:t>
      </w:r>
    </w:p>
    <w:p w14:paraId="750F1055">
      <w:pPr>
        <w:spacing w:line="280" w:lineRule="exact"/>
        <w:ind w:firstLine="440" w:firstLineChars="200"/>
        <w:rPr>
          <w:rFonts w:hint="eastAsia" w:ascii="宋体" w:hAnsi="宋体"/>
          <w:szCs w:val="21"/>
          <w:u w:val="single"/>
        </w:rPr>
      </w:pPr>
      <w:r>
        <w:rPr>
          <w:rFonts w:hint="eastAsia" w:ascii="宋体" w:hAnsi="宋体"/>
          <w:szCs w:val="21"/>
        </w:rPr>
        <w:t>3.散装：</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4.其他：</w:t>
      </w:r>
      <w:r>
        <w:rPr>
          <w:rFonts w:hint="eastAsia" w:ascii="宋体" w:hAnsi="宋体"/>
          <w:szCs w:val="21"/>
          <w:u w:val="single"/>
        </w:rPr>
        <w:t xml:space="preserve">             </w:t>
      </w:r>
    </w:p>
    <w:p w14:paraId="0DBB20F6">
      <w:pPr>
        <w:spacing w:line="280" w:lineRule="exact"/>
        <w:rPr>
          <w:rFonts w:hint="eastAsia" w:ascii="宋体" w:hAnsi="宋体"/>
          <w:szCs w:val="21"/>
        </w:rPr>
      </w:pPr>
      <w:r>
        <w:rPr>
          <w:rFonts w:hint="eastAsia" w:ascii="宋体" w:hAnsi="宋体"/>
          <w:b/>
          <w:szCs w:val="21"/>
        </w:rPr>
        <w:t>四、货款结算与支付方式：</w:t>
      </w:r>
      <w:r>
        <w:rPr>
          <w:rFonts w:hint="eastAsia" w:ascii="宋体" w:hAnsi="宋体"/>
          <w:szCs w:val="21"/>
        </w:rPr>
        <w:t xml:space="preserve"> </w:t>
      </w:r>
    </w:p>
    <w:p w14:paraId="2B43C055">
      <w:pPr>
        <w:spacing w:line="280" w:lineRule="exact"/>
        <w:ind w:firstLine="440" w:firstLineChars="200"/>
        <w:rPr>
          <w:rFonts w:hint="eastAsia" w:ascii="宋体" w:hAnsi="宋体"/>
          <w:b w:val="0"/>
          <w:bCs/>
          <w:szCs w:val="21"/>
        </w:rPr>
      </w:pPr>
      <w:r>
        <w:rPr>
          <w:rFonts w:hint="eastAsia" w:ascii="宋体" w:hAnsi="宋体"/>
          <w:b w:val="0"/>
          <w:bCs/>
          <w:szCs w:val="21"/>
        </w:rPr>
        <w:t>现汇支付，</w:t>
      </w:r>
      <w:r>
        <w:rPr>
          <w:rFonts w:hint="eastAsia" w:ascii="宋体" w:hAnsi="宋体"/>
          <w:b w:val="0"/>
          <w:bCs/>
          <w:szCs w:val="21"/>
          <w:lang w:val="en-US" w:eastAsia="zh-CN"/>
        </w:rPr>
        <w:t>分批到货、分批付款。每批</w:t>
      </w:r>
      <w:r>
        <w:rPr>
          <w:rFonts w:hint="eastAsia" w:ascii="宋体" w:hAnsi="宋体"/>
          <w:b w:val="0"/>
          <w:bCs/>
          <w:szCs w:val="21"/>
        </w:rPr>
        <w:t>产品到货后，根据本合同约定的质量、数量标准验收合格后，供方提供相应金额的</w:t>
      </w:r>
      <w:r>
        <w:rPr>
          <w:rFonts w:hint="eastAsia" w:ascii="宋体" w:hAnsi="宋体"/>
          <w:b w:val="0"/>
          <w:bCs/>
          <w:szCs w:val="21"/>
          <w:lang w:val="en-US" w:eastAsia="zh-CN"/>
        </w:rPr>
        <w:t>13%</w:t>
      </w:r>
      <w:r>
        <w:rPr>
          <w:rFonts w:hint="eastAsia" w:ascii="宋体" w:hAnsi="宋体"/>
          <w:b w:val="0"/>
          <w:bCs/>
          <w:szCs w:val="21"/>
        </w:rPr>
        <w:t>增值税专用发票以及结算所需的各类清单，需方收到并确认无误后</w:t>
      </w:r>
      <w:r>
        <w:rPr>
          <w:rFonts w:hint="eastAsia" w:ascii="宋体" w:hAnsi="宋体"/>
          <w:b w:val="0"/>
          <w:bCs/>
          <w:szCs w:val="21"/>
          <w:lang w:val="en-US" w:eastAsia="zh-CN"/>
        </w:rPr>
        <w:t>付清</w:t>
      </w:r>
      <w:r>
        <w:rPr>
          <w:rFonts w:hint="eastAsia" w:ascii="宋体" w:hAnsi="宋体"/>
          <w:b w:val="0"/>
          <w:bCs/>
          <w:szCs w:val="21"/>
        </w:rPr>
        <w:t>。</w:t>
      </w:r>
    </w:p>
    <w:p w14:paraId="613CA115">
      <w:pPr>
        <w:spacing w:line="280" w:lineRule="exact"/>
        <w:rPr>
          <w:rFonts w:ascii="宋体" w:hAnsi="宋体"/>
          <w:szCs w:val="21"/>
        </w:rPr>
      </w:pPr>
      <w:r>
        <w:rPr>
          <w:rFonts w:hint="eastAsia" w:ascii="宋体" w:hAnsi="宋体"/>
          <w:b/>
          <w:szCs w:val="21"/>
        </w:rPr>
        <w:t>五、交付期限：</w:t>
      </w:r>
    </w:p>
    <w:p w14:paraId="2AD8767F">
      <w:pPr>
        <w:spacing w:line="280" w:lineRule="exact"/>
        <w:ind w:firstLine="440" w:firstLineChars="200"/>
        <w:rPr>
          <w:rFonts w:hint="eastAsia" w:ascii="宋体" w:hAnsi="宋体"/>
          <w:b w:val="0"/>
          <w:bCs/>
          <w:szCs w:val="21"/>
        </w:rPr>
      </w:pPr>
      <w:r>
        <w:rPr>
          <w:rFonts w:hint="eastAsia" w:ascii="宋体" w:hAnsi="宋体"/>
          <w:b w:val="0"/>
          <w:bCs/>
          <w:szCs w:val="21"/>
          <w:lang w:val="en-US" w:eastAsia="zh-CN"/>
        </w:rPr>
        <w:t>分批到货，货物具体到货时间以需方通知为准。</w:t>
      </w:r>
    </w:p>
    <w:p w14:paraId="4E02DC1B">
      <w:pPr>
        <w:spacing w:line="280" w:lineRule="exact"/>
        <w:rPr>
          <w:rFonts w:ascii="宋体" w:hAnsi="宋体"/>
          <w:sz w:val="24"/>
        </w:rPr>
      </w:pPr>
      <w:r>
        <w:rPr>
          <w:rFonts w:hint="eastAsia" w:ascii="宋体" w:hAnsi="宋体"/>
          <w:b/>
          <w:szCs w:val="21"/>
        </w:rPr>
        <w:t>六、交付方式：</w:t>
      </w:r>
      <w:r>
        <w:rPr>
          <w:rFonts w:hint="eastAsia" w:ascii="宋体" w:hAnsi="宋体"/>
          <w:szCs w:val="21"/>
        </w:rPr>
        <w:t>双方商定按下列第</w:t>
      </w:r>
      <w:r>
        <w:rPr>
          <w:rFonts w:hint="eastAsia" w:ascii="宋体" w:hAnsi="宋体"/>
          <w:szCs w:val="21"/>
          <w:u w:val="single"/>
        </w:rPr>
        <w:t xml:space="preserve">   </w:t>
      </w:r>
      <w:r>
        <w:rPr>
          <w:rFonts w:ascii="宋体" w:hAnsi="宋体"/>
          <w:szCs w:val="21"/>
          <w:u w:val="single"/>
        </w:rPr>
        <w:t>2</w:t>
      </w:r>
      <w:r>
        <w:rPr>
          <w:rFonts w:hint="eastAsia" w:ascii="宋体" w:hAnsi="宋体"/>
          <w:szCs w:val="21"/>
          <w:u w:val="single"/>
        </w:rPr>
        <w:t xml:space="preserve">  </w:t>
      </w:r>
      <w:r>
        <w:rPr>
          <w:rFonts w:hint="eastAsia" w:ascii="宋体" w:hAnsi="宋体"/>
          <w:szCs w:val="21"/>
        </w:rPr>
        <w:t>款执行。</w:t>
      </w:r>
      <w:r>
        <w:rPr>
          <w:rFonts w:ascii="宋体" w:hAnsi="宋体"/>
          <w:sz w:val="24"/>
        </w:rPr>
        <w:t xml:space="preserve"> </w:t>
      </w:r>
    </w:p>
    <w:p w14:paraId="2E45B789">
      <w:pPr>
        <w:spacing w:line="280" w:lineRule="exact"/>
        <w:ind w:firstLine="440" w:firstLineChars="200"/>
        <w:rPr>
          <w:rFonts w:hint="eastAsia" w:ascii="宋体" w:hAnsi="宋体"/>
          <w:szCs w:val="21"/>
        </w:rPr>
      </w:pPr>
      <w:r>
        <w:rPr>
          <w:rFonts w:hint="eastAsia" w:ascii="宋体" w:hAnsi="宋体"/>
          <w:szCs w:val="21"/>
        </w:rPr>
        <w:t>1.需方自提，</w:t>
      </w:r>
      <w:r>
        <w:rPr>
          <w:rFonts w:hint="eastAsia" w:ascii="宋体" w:hAnsi="宋体"/>
          <w:color w:val="000000"/>
          <w:szCs w:val="21"/>
        </w:rPr>
        <w:t>自提所需的所有费用由需方自理，</w:t>
      </w:r>
      <w:r>
        <w:rPr>
          <w:rFonts w:hint="eastAsia" w:ascii="宋体" w:hAnsi="宋体"/>
          <w:szCs w:val="21"/>
        </w:rPr>
        <w:t>提货地点为</w:t>
      </w:r>
      <w:r>
        <w:rPr>
          <w:rFonts w:hint="eastAsia" w:ascii="宋体" w:hAnsi="宋体"/>
          <w:sz w:val="18"/>
          <w:szCs w:val="18"/>
          <w:u w:val="single"/>
        </w:rPr>
        <w:t xml:space="preserve">                 </w:t>
      </w:r>
      <w:r>
        <w:rPr>
          <w:rFonts w:hint="eastAsia" w:ascii="宋体" w:hAnsi="宋体"/>
          <w:szCs w:val="21"/>
        </w:rPr>
        <w:t xml:space="preserve">；    </w:t>
      </w:r>
    </w:p>
    <w:p w14:paraId="256F453B">
      <w:pPr>
        <w:spacing w:line="280" w:lineRule="exact"/>
        <w:ind w:firstLine="440" w:firstLineChars="200"/>
        <w:rPr>
          <w:rFonts w:hint="eastAsia" w:ascii="宋体" w:hAnsi="宋体"/>
          <w:sz w:val="21"/>
          <w:szCs w:val="21"/>
        </w:rPr>
      </w:pPr>
      <w:r>
        <w:rPr>
          <w:rFonts w:hint="eastAsia" w:ascii="宋体" w:hAnsi="宋体"/>
          <w:szCs w:val="21"/>
        </w:rPr>
        <w:t>2.供方送货，</w:t>
      </w:r>
      <w:r>
        <w:rPr>
          <w:rFonts w:hint="eastAsia" w:ascii="宋体" w:hAnsi="宋体"/>
          <w:color w:val="000000"/>
          <w:szCs w:val="21"/>
        </w:rPr>
        <w:t>运费、保险费由供方承担，</w:t>
      </w:r>
      <w:r>
        <w:rPr>
          <w:rFonts w:hint="eastAsia" w:ascii="宋体" w:hAnsi="宋体"/>
          <w:szCs w:val="21"/>
        </w:rPr>
        <w:t>到货地点为</w:t>
      </w:r>
      <w:r>
        <w:rPr>
          <w:rFonts w:hint="eastAsia" w:ascii="宋体" w:hAnsi="宋体"/>
          <w:sz w:val="21"/>
          <w:szCs w:val="21"/>
          <w:u w:val="single"/>
        </w:rPr>
        <w:t>福建省漳州市古雷经济开发区腾龙路</w:t>
      </w:r>
      <w:r>
        <w:rPr>
          <w:rFonts w:hint="eastAsia"/>
          <w:sz w:val="21"/>
          <w:szCs w:val="21"/>
          <w:u w:val="single"/>
          <w:lang w:val="en-US" w:eastAsia="zh-CN"/>
        </w:rPr>
        <w:t>福建福海创石油化工有限公司</w:t>
      </w:r>
      <w:r>
        <w:rPr>
          <w:rFonts w:hint="eastAsia" w:ascii="宋体" w:hAnsi="宋体"/>
          <w:sz w:val="21"/>
          <w:szCs w:val="21"/>
          <w:u w:val="single"/>
        </w:rPr>
        <w:t>指定仓库</w:t>
      </w:r>
      <w:r>
        <w:rPr>
          <w:rFonts w:hint="eastAsia" w:ascii="宋体" w:hAnsi="宋体"/>
          <w:sz w:val="21"/>
          <w:szCs w:val="21"/>
        </w:rPr>
        <w:t>；</w:t>
      </w:r>
    </w:p>
    <w:p w14:paraId="46B6ECBB">
      <w:pPr>
        <w:spacing w:line="280" w:lineRule="exact"/>
        <w:ind w:firstLine="440" w:firstLineChars="200"/>
        <w:rPr>
          <w:rFonts w:hint="eastAsia" w:ascii="宋体" w:hAnsi="宋体"/>
          <w:szCs w:val="21"/>
        </w:rPr>
      </w:pPr>
      <w:r>
        <w:rPr>
          <w:rFonts w:hint="eastAsia" w:ascii="宋体" w:hAnsi="宋体"/>
          <w:szCs w:val="21"/>
        </w:rPr>
        <w:t>3.供方代办托运，</w:t>
      </w:r>
      <w:r>
        <w:rPr>
          <w:rFonts w:hint="eastAsia" w:ascii="宋体" w:hAnsi="宋体"/>
          <w:color w:val="000000"/>
          <w:szCs w:val="21"/>
        </w:rPr>
        <w:t>运费、保险费由供方承担，由供方与承运人据实结算，到货地点为</w:t>
      </w:r>
      <w:r>
        <w:rPr>
          <w:rFonts w:hint="eastAsia" w:ascii="宋体" w:hAnsi="宋体"/>
          <w:color w:val="000000"/>
          <w:sz w:val="18"/>
          <w:szCs w:val="18"/>
          <w:u w:val="single"/>
        </w:rPr>
        <w:t xml:space="preserve">             </w:t>
      </w:r>
      <w:r>
        <w:rPr>
          <w:rFonts w:hint="eastAsia" w:ascii="宋体" w:hAnsi="宋体"/>
          <w:color w:val="000000"/>
          <w:szCs w:val="21"/>
        </w:rPr>
        <w:t>。</w:t>
      </w:r>
    </w:p>
    <w:p w14:paraId="049E688D">
      <w:pPr>
        <w:spacing w:line="280" w:lineRule="exact"/>
        <w:rPr>
          <w:rFonts w:hint="eastAsia" w:ascii="宋体" w:hAnsi="宋体"/>
          <w:szCs w:val="21"/>
        </w:rPr>
      </w:pPr>
      <w:r>
        <w:rPr>
          <w:rFonts w:hint="eastAsia" w:ascii="宋体" w:hAnsi="宋体"/>
          <w:b/>
          <w:szCs w:val="21"/>
        </w:rPr>
        <w:t>七、</w:t>
      </w:r>
      <w:r>
        <w:rPr>
          <w:rFonts w:hint="eastAsia" w:ascii="宋体" w:hAnsi="宋体"/>
          <w:szCs w:val="21"/>
        </w:rPr>
        <w:t>本合同一式</w:t>
      </w:r>
      <w:r>
        <w:rPr>
          <w:rFonts w:hint="eastAsia" w:ascii="宋体" w:hAnsi="宋体"/>
          <w:szCs w:val="21"/>
          <w:u w:val="single"/>
        </w:rPr>
        <w:t xml:space="preserve">  肆  </w:t>
      </w:r>
      <w:r>
        <w:rPr>
          <w:rFonts w:hint="eastAsia" w:ascii="宋体" w:hAnsi="宋体"/>
          <w:szCs w:val="21"/>
        </w:rPr>
        <w:t>份， 供方执</w:t>
      </w:r>
      <w:r>
        <w:rPr>
          <w:rFonts w:hint="eastAsia" w:ascii="宋体" w:hAnsi="宋体"/>
          <w:szCs w:val="21"/>
          <w:u w:val="single"/>
        </w:rPr>
        <w:t xml:space="preserve">  </w:t>
      </w:r>
      <w:r>
        <w:rPr>
          <w:rFonts w:hint="eastAsia" w:ascii="宋体" w:hAnsi="宋体"/>
          <w:szCs w:val="21"/>
          <w:u w:val="single"/>
          <w:lang w:val="en-US" w:eastAsia="zh-CN"/>
        </w:rPr>
        <w:t>壹</w:t>
      </w:r>
      <w:r>
        <w:rPr>
          <w:rFonts w:hint="eastAsia" w:ascii="宋体" w:hAnsi="宋体"/>
          <w:szCs w:val="21"/>
          <w:u w:val="single"/>
        </w:rPr>
        <w:t xml:space="preserve">  </w:t>
      </w:r>
      <w:r>
        <w:rPr>
          <w:rFonts w:hint="eastAsia" w:ascii="宋体" w:hAnsi="宋体"/>
          <w:szCs w:val="21"/>
        </w:rPr>
        <w:t>份，需方执</w:t>
      </w:r>
      <w:r>
        <w:rPr>
          <w:rFonts w:hint="eastAsia" w:ascii="宋体" w:hAnsi="宋体"/>
          <w:szCs w:val="21"/>
          <w:u w:val="single"/>
        </w:rPr>
        <w:t xml:space="preserve">  </w:t>
      </w:r>
      <w:r>
        <w:rPr>
          <w:rFonts w:hint="eastAsia" w:ascii="宋体" w:hAnsi="宋体"/>
          <w:szCs w:val="21"/>
          <w:u w:val="single"/>
          <w:lang w:val="en-US" w:eastAsia="zh-CN"/>
        </w:rPr>
        <w:t>叁</w:t>
      </w:r>
      <w:r>
        <w:rPr>
          <w:rFonts w:hint="eastAsia" w:ascii="宋体" w:hAnsi="宋体"/>
          <w:szCs w:val="21"/>
          <w:u w:val="single"/>
        </w:rPr>
        <w:t xml:space="preserve">  </w:t>
      </w:r>
      <w:r>
        <w:rPr>
          <w:rFonts w:hint="eastAsia" w:ascii="宋体" w:hAnsi="宋体"/>
          <w:szCs w:val="21"/>
        </w:rPr>
        <w:t>份。</w:t>
      </w:r>
    </w:p>
    <w:p w14:paraId="15AA24CA">
      <w:pPr>
        <w:spacing w:line="280" w:lineRule="exact"/>
        <w:rPr>
          <w:rFonts w:hint="eastAsia" w:ascii="宋体" w:hAnsi="宋体"/>
          <w:b/>
          <w:szCs w:val="21"/>
        </w:rPr>
      </w:pPr>
    </w:p>
    <w:tbl>
      <w:tblPr>
        <w:tblStyle w:val="3"/>
        <w:tblW w:w="10708" w:type="dxa"/>
        <w:jc w:val="center"/>
        <w:tblLayout w:type="fixed"/>
        <w:tblCellMar>
          <w:top w:w="0" w:type="dxa"/>
          <w:left w:w="108" w:type="dxa"/>
          <w:bottom w:w="0" w:type="dxa"/>
          <w:right w:w="108" w:type="dxa"/>
        </w:tblCellMar>
      </w:tblPr>
      <w:tblGrid>
        <w:gridCol w:w="1179"/>
        <w:gridCol w:w="141"/>
        <w:gridCol w:w="365"/>
        <w:gridCol w:w="1425"/>
        <w:gridCol w:w="2246"/>
        <w:gridCol w:w="1776"/>
        <w:gridCol w:w="1660"/>
        <w:gridCol w:w="1916"/>
      </w:tblGrid>
      <w:tr w14:paraId="1C454C9D">
        <w:tblPrEx>
          <w:tblCellMar>
            <w:top w:w="0" w:type="dxa"/>
            <w:left w:w="108" w:type="dxa"/>
            <w:bottom w:w="0" w:type="dxa"/>
            <w:right w:w="108" w:type="dxa"/>
          </w:tblCellMar>
        </w:tblPrEx>
        <w:trPr>
          <w:jc w:val="center"/>
        </w:trPr>
        <w:tc>
          <w:tcPr>
            <w:tcW w:w="3110" w:type="dxa"/>
            <w:gridSpan w:val="4"/>
            <w:vAlign w:val="center"/>
          </w:tcPr>
          <w:p w14:paraId="6D71CEDC">
            <w:pPr>
              <w:spacing w:line="280" w:lineRule="exact"/>
              <w:rPr>
                <w:rFonts w:hint="eastAsia" w:ascii="宋体" w:hAnsi="宋体"/>
                <w:b/>
                <w:color w:val="000000"/>
                <w:szCs w:val="21"/>
              </w:rPr>
            </w:pPr>
            <w:r>
              <w:rPr>
                <w:rFonts w:hint="eastAsia" w:ascii="宋体" w:hAnsi="宋体"/>
                <w:b/>
                <w:color w:val="000000"/>
                <w:szCs w:val="21"/>
              </w:rPr>
              <w:t>供方（章）:</w:t>
            </w:r>
          </w:p>
        </w:tc>
        <w:tc>
          <w:tcPr>
            <w:tcW w:w="2246" w:type="dxa"/>
            <w:vAlign w:val="center"/>
          </w:tcPr>
          <w:p w14:paraId="2A1BA261">
            <w:pPr>
              <w:spacing w:line="280" w:lineRule="exact"/>
              <w:rPr>
                <w:rFonts w:hint="default" w:eastAsia="宋体"/>
                <w:b/>
                <w:color w:val="000000"/>
                <w:szCs w:val="21"/>
                <w:lang w:val="en-US" w:eastAsia="zh-CN"/>
              </w:rPr>
            </w:pPr>
            <w:r>
              <w:rPr>
                <w:rFonts w:hint="eastAsia" w:eastAsia="宋体"/>
                <w:b/>
                <w:color w:val="000000"/>
                <w:szCs w:val="21"/>
                <w:lang w:val="en-US" w:eastAsia="zh-CN"/>
              </w:rPr>
              <w:t xml:space="preserve"> </w:t>
            </w:r>
          </w:p>
        </w:tc>
        <w:tc>
          <w:tcPr>
            <w:tcW w:w="1776" w:type="dxa"/>
            <w:vAlign w:val="center"/>
          </w:tcPr>
          <w:p w14:paraId="798B82F4">
            <w:pPr>
              <w:spacing w:line="280" w:lineRule="exact"/>
              <w:rPr>
                <w:rFonts w:hint="eastAsia" w:ascii="宋体" w:hAnsi="宋体"/>
                <w:b/>
                <w:color w:val="000000"/>
                <w:szCs w:val="21"/>
              </w:rPr>
            </w:pPr>
            <w:r>
              <w:rPr>
                <w:rFonts w:hint="eastAsia" w:ascii="宋体" w:hAnsi="宋体"/>
                <w:b/>
                <w:color w:val="000000"/>
                <w:szCs w:val="21"/>
              </w:rPr>
              <w:t>需方（章）:</w:t>
            </w:r>
          </w:p>
        </w:tc>
        <w:tc>
          <w:tcPr>
            <w:tcW w:w="3576" w:type="dxa"/>
            <w:gridSpan w:val="2"/>
            <w:vAlign w:val="center"/>
          </w:tcPr>
          <w:p w14:paraId="06340EFC">
            <w:pPr>
              <w:spacing w:line="280" w:lineRule="exact"/>
              <w:rPr>
                <w:rFonts w:hint="default" w:eastAsia="宋体"/>
                <w:b/>
                <w:color w:val="000000"/>
                <w:szCs w:val="21"/>
                <w:lang w:val="en-US" w:eastAsia="zh-CN"/>
              </w:rPr>
            </w:pPr>
          </w:p>
        </w:tc>
      </w:tr>
      <w:tr w14:paraId="1DF682E5">
        <w:tblPrEx>
          <w:tblCellMar>
            <w:top w:w="0" w:type="dxa"/>
            <w:left w:w="108" w:type="dxa"/>
            <w:bottom w:w="0" w:type="dxa"/>
            <w:right w:w="108" w:type="dxa"/>
          </w:tblCellMar>
        </w:tblPrEx>
        <w:trPr>
          <w:trHeight w:val="90" w:hRule="atLeast"/>
          <w:jc w:val="center"/>
        </w:trPr>
        <w:tc>
          <w:tcPr>
            <w:tcW w:w="3110" w:type="dxa"/>
            <w:gridSpan w:val="4"/>
            <w:vAlign w:val="center"/>
          </w:tcPr>
          <w:p w14:paraId="40DBECCB">
            <w:pPr>
              <w:spacing w:line="280" w:lineRule="exact"/>
              <w:rPr>
                <w:rFonts w:hint="eastAsia"/>
                <w:color w:val="000000"/>
                <w:szCs w:val="21"/>
              </w:rPr>
            </w:pPr>
            <w:r>
              <w:rPr>
                <w:rFonts w:hint="eastAsia" w:ascii="宋体" w:hAnsi="宋体"/>
                <w:color w:val="000000"/>
                <w:szCs w:val="21"/>
              </w:rPr>
              <w:t>工商注册号：</w:t>
            </w:r>
          </w:p>
        </w:tc>
        <w:tc>
          <w:tcPr>
            <w:tcW w:w="2246" w:type="dxa"/>
            <w:vAlign w:val="center"/>
          </w:tcPr>
          <w:p w14:paraId="07C5614D">
            <w:pPr>
              <w:spacing w:line="280" w:lineRule="exact"/>
              <w:rPr>
                <w:rFonts w:hint="eastAsia"/>
                <w:color w:val="000000"/>
                <w:szCs w:val="21"/>
              </w:rPr>
            </w:pPr>
          </w:p>
        </w:tc>
        <w:tc>
          <w:tcPr>
            <w:tcW w:w="1776" w:type="dxa"/>
            <w:vAlign w:val="center"/>
          </w:tcPr>
          <w:p w14:paraId="542BB7FB">
            <w:pPr>
              <w:spacing w:line="280" w:lineRule="exact"/>
              <w:rPr>
                <w:rFonts w:hint="eastAsia"/>
                <w:color w:val="000000"/>
                <w:szCs w:val="21"/>
              </w:rPr>
            </w:pPr>
            <w:r>
              <w:rPr>
                <w:rFonts w:hint="eastAsia" w:ascii="宋体" w:hAnsi="宋体"/>
                <w:color w:val="000000"/>
                <w:szCs w:val="21"/>
              </w:rPr>
              <w:t>工商注册号：</w:t>
            </w:r>
          </w:p>
        </w:tc>
        <w:tc>
          <w:tcPr>
            <w:tcW w:w="3576" w:type="dxa"/>
            <w:gridSpan w:val="2"/>
            <w:vAlign w:val="center"/>
          </w:tcPr>
          <w:p w14:paraId="29182F00">
            <w:pPr>
              <w:spacing w:line="280" w:lineRule="exact"/>
              <w:rPr>
                <w:rFonts w:hint="eastAsia"/>
                <w:color w:val="000000"/>
                <w:szCs w:val="21"/>
              </w:rPr>
            </w:pPr>
          </w:p>
        </w:tc>
      </w:tr>
      <w:tr w14:paraId="0B532307">
        <w:tblPrEx>
          <w:tblCellMar>
            <w:top w:w="0" w:type="dxa"/>
            <w:left w:w="108" w:type="dxa"/>
            <w:bottom w:w="0" w:type="dxa"/>
            <w:right w:w="108" w:type="dxa"/>
          </w:tblCellMar>
        </w:tblPrEx>
        <w:trPr>
          <w:jc w:val="center"/>
        </w:trPr>
        <w:tc>
          <w:tcPr>
            <w:tcW w:w="1179" w:type="dxa"/>
            <w:vAlign w:val="center"/>
          </w:tcPr>
          <w:p w14:paraId="3C948ECC">
            <w:pPr>
              <w:spacing w:line="280" w:lineRule="exact"/>
              <w:rPr>
                <w:rFonts w:hint="eastAsia"/>
                <w:color w:val="000000"/>
                <w:szCs w:val="21"/>
              </w:rPr>
            </w:pPr>
            <w:r>
              <w:rPr>
                <w:rFonts w:hint="eastAsia" w:ascii="宋体" w:hAnsi="宋体"/>
                <w:color w:val="000000"/>
                <w:szCs w:val="21"/>
              </w:rPr>
              <w:t>地址：</w:t>
            </w:r>
          </w:p>
        </w:tc>
        <w:tc>
          <w:tcPr>
            <w:tcW w:w="4177" w:type="dxa"/>
            <w:gridSpan w:val="4"/>
            <w:vAlign w:val="center"/>
          </w:tcPr>
          <w:p w14:paraId="4C6BEED3">
            <w:pPr>
              <w:spacing w:line="280" w:lineRule="exact"/>
              <w:rPr>
                <w:rFonts w:hint="default" w:eastAsia="宋体"/>
                <w:color w:val="000000"/>
                <w:sz w:val="18"/>
                <w:szCs w:val="18"/>
                <w:lang w:val="en-US" w:eastAsia="zh-CN"/>
              </w:rPr>
            </w:pPr>
          </w:p>
        </w:tc>
        <w:tc>
          <w:tcPr>
            <w:tcW w:w="3436" w:type="dxa"/>
            <w:gridSpan w:val="2"/>
            <w:vAlign w:val="center"/>
          </w:tcPr>
          <w:p w14:paraId="18AEED3E">
            <w:pPr>
              <w:spacing w:line="280" w:lineRule="exact"/>
              <w:rPr>
                <w:rFonts w:hint="eastAsia"/>
                <w:color w:val="000000"/>
                <w:szCs w:val="21"/>
              </w:rPr>
            </w:pPr>
            <w:r>
              <w:rPr>
                <w:rFonts w:hint="eastAsia" w:ascii="宋体" w:hAnsi="宋体"/>
                <w:color w:val="000000"/>
                <w:szCs w:val="21"/>
              </w:rPr>
              <w:t>地址：</w:t>
            </w:r>
          </w:p>
        </w:tc>
        <w:tc>
          <w:tcPr>
            <w:tcW w:w="1916" w:type="dxa"/>
            <w:vAlign w:val="center"/>
          </w:tcPr>
          <w:p w14:paraId="3B9C26A4">
            <w:pPr>
              <w:spacing w:line="280" w:lineRule="exact"/>
              <w:rPr>
                <w:rFonts w:hint="eastAsia"/>
                <w:color w:val="000000"/>
                <w:sz w:val="18"/>
                <w:szCs w:val="18"/>
              </w:rPr>
            </w:pPr>
          </w:p>
        </w:tc>
      </w:tr>
      <w:tr w14:paraId="4361B466">
        <w:tblPrEx>
          <w:tblCellMar>
            <w:top w:w="0" w:type="dxa"/>
            <w:left w:w="108" w:type="dxa"/>
            <w:bottom w:w="0" w:type="dxa"/>
            <w:right w:w="108" w:type="dxa"/>
          </w:tblCellMar>
        </w:tblPrEx>
        <w:trPr>
          <w:jc w:val="center"/>
        </w:trPr>
        <w:tc>
          <w:tcPr>
            <w:tcW w:w="3110" w:type="dxa"/>
            <w:gridSpan w:val="4"/>
            <w:vAlign w:val="center"/>
          </w:tcPr>
          <w:p w14:paraId="4E57D1D2">
            <w:pPr>
              <w:spacing w:line="280" w:lineRule="exact"/>
              <w:rPr>
                <w:rFonts w:hint="eastAsia"/>
                <w:color w:val="000000"/>
                <w:szCs w:val="21"/>
              </w:rPr>
            </w:pPr>
            <w:r>
              <w:rPr>
                <w:rFonts w:hint="eastAsia" w:ascii="宋体" w:hAnsi="宋体"/>
                <w:color w:val="000000"/>
                <w:szCs w:val="21"/>
              </w:rPr>
              <w:t>邮政编码：</w:t>
            </w:r>
          </w:p>
        </w:tc>
        <w:tc>
          <w:tcPr>
            <w:tcW w:w="2246" w:type="dxa"/>
            <w:vAlign w:val="center"/>
          </w:tcPr>
          <w:p w14:paraId="38AC1F55">
            <w:pPr>
              <w:spacing w:line="280" w:lineRule="exact"/>
              <w:rPr>
                <w:rFonts w:hint="default" w:eastAsia="宋体"/>
                <w:color w:val="000000"/>
                <w:szCs w:val="21"/>
                <w:lang w:val="en-US" w:eastAsia="zh-CN"/>
              </w:rPr>
            </w:pPr>
          </w:p>
        </w:tc>
        <w:tc>
          <w:tcPr>
            <w:tcW w:w="1776" w:type="dxa"/>
            <w:vAlign w:val="center"/>
          </w:tcPr>
          <w:p w14:paraId="1E32A759">
            <w:pPr>
              <w:spacing w:line="280" w:lineRule="exact"/>
              <w:rPr>
                <w:rFonts w:hint="eastAsia"/>
                <w:color w:val="000000"/>
                <w:szCs w:val="21"/>
              </w:rPr>
            </w:pPr>
            <w:r>
              <w:rPr>
                <w:rFonts w:hint="eastAsia" w:ascii="宋体" w:hAnsi="宋体"/>
                <w:color w:val="000000"/>
                <w:szCs w:val="21"/>
              </w:rPr>
              <w:t>邮政编码：</w:t>
            </w:r>
          </w:p>
        </w:tc>
        <w:tc>
          <w:tcPr>
            <w:tcW w:w="3576" w:type="dxa"/>
            <w:gridSpan w:val="2"/>
            <w:vAlign w:val="center"/>
          </w:tcPr>
          <w:p w14:paraId="0038A612">
            <w:pPr>
              <w:spacing w:line="280" w:lineRule="exact"/>
              <w:rPr>
                <w:rFonts w:hint="eastAsia"/>
                <w:color w:val="000000"/>
                <w:szCs w:val="21"/>
              </w:rPr>
            </w:pPr>
          </w:p>
        </w:tc>
      </w:tr>
      <w:tr w14:paraId="462F8130">
        <w:tblPrEx>
          <w:tblCellMar>
            <w:top w:w="0" w:type="dxa"/>
            <w:left w:w="108" w:type="dxa"/>
            <w:bottom w:w="0" w:type="dxa"/>
            <w:right w:w="108" w:type="dxa"/>
          </w:tblCellMar>
        </w:tblPrEx>
        <w:trPr>
          <w:trHeight w:val="289" w:hRule="atLeast"/>
          <w:jc w:val="center"/>
        </w:trPr>
        <w:tc>
          <w:tcPr>
            <w:tcW w:w="3110" w:type="dxa"/>
            <w:gridSpan w:val="4"/>
            <w:vAlign w:val="center"/>
          </w:tcPr>
          <w:p w14:paraId="3E5BA1CF">
            <w:pPr>
              <w:spacing w:line="280" w:lineRule="exact"/>
              <w:rPr>
                <w:rFonts w:hint="eastAsia"/>
                <w:color w:val="000000"/>
                <w:szCs w:val="21"/>
              </w:rPr>
            </w:pPr>
            <w:r>
              <w:rPr>
                <w:rFonts w:hint="eastAsia" w:ascii="宋体" w:hAnsi="宋体"/>
                <w:color w:val="000000"/>
                <w:szCs w:val="21"/>
              </w:rPr>
              <w:t>法定代表人或委托代理人：</w:t>
            </w:r>
          </w:p>
        </w:tc>
        <w:tc>
          <w:tcPr>
            <w:tcW w:w="2246" w:type="dxa"/>
            <w:vAlign w:val="center"/>
          </w:tcPr>
          <w:p w14:paraId="22F6C0A1">
            <w:pPr>
              <w:spacing w:line="280" w:lineRule="exact"/>
              <w:rPr>
                <w:rFonts w:hint="default" w:eastAsia="宋体"/>
                <w:color w:val="000000"/>
                <w:szCs w:val="21"/>
                <w:lang w:val="en-US" w:eastAsia="zh-CN"/>
              </w:rPr>
            </w:pPr>
          </w:p>
        </w:tc>
        <w:tc>
          <w:tcPr>
            <w:tcW w:w="3436" w:type="dxa"/>
            <w:gridSpan w:val="2"/>
            <w:vAlign w:val="center"/>
          </w:tcPr>
          <w:p w14:paraId="0ABB9720">
            <w:pPr>
              <w:spacing w:line="280" w:lineRule="exact"/>
              <w:rPr>
                <w:rFonts w:hint="eastAsia"/>
                <w:color w:val="000000"/>
                <w:szCs w:val="21"/>
              </w:rPr>
            </w:pPr>
            <w:r>
              <w:rPr>
                <w:rFonts w:hint="eastAsia" w:ascii="宋体" w:hAnsi="宋体"/>
                <w:color w:val="000000"/>
                <w:szCs w:val="21"/>
              </w:rPr>
              <w:t>法定代表人或委托代理人：</w:t>
            </w:r>
          </w:p>
        </w:tc>
        <w:tc>
          <w:tcPr>
            <w:tcW w:w="1916" w:type="dxa"/>
            <w:vAlign w:val="center"/>
          </w:tcPr>
          <w:p w14:paraId="0D27C443">
            <w:pPr>
              <w:spacing w:line="280" w:lineRule="exact"/>
              <w:rPr>
                <w:rFonts w:hint="eastAsia"/>
                <w:color w:val="000000"/>
                <w:szCs w:val="21"/>
              </w:rPr>
            </w:pPr>
          </w:p>
        </w:tc>
      </w:tr>
      <w:tr w14:paraId="4BCB71FD">
        <w:tblPrEx>
          <w:tblCellMar>
            <w:top w:w="0" w:type="dxa"/>
            <w:left w:w="108" w:type="dxa"/>
            <w:bottom w:w="0" w:type="dxa"/>
            <w:right w:w="108" w:type="dxa"/>
          </w:tblCellMar>
        </w:tblPrEx>
        <w:trPr>
          <w:jc w:val="center"/>
        </w:trPr>
        <w:tc>
          <w:tcPr>
            <w:tcW w:w="3110" w:type="dxa"/>
            <w:gridSpan w:val="4"/>
            <w:vAlign w:val="center"/>
          </w:tcPr>
          <w:p w14:paraId="00097D53">
            <w:pPr>
              <w:spacing w:line="280" w:lineRule="exact"/>
              <w:rPr>
                <w:rFonts w:hint="eastAsia"/>
                <w:color w:val="000000"/>
                <w:szCs w:val="21"/>
              </w:rPr>
            </w:pPr>
            <w:r>
              <w:rPr>
                <w:rFonts w:hint="eastAsia" w:ascii="宋体" w:hAnsi="宋体"/>
                <w:color w:val="000000"/>
                <w:szCs w:val="21"/>
              </w:rPr>
              <w:t>经办人：</w:t>
            </w:r>
          </w:p>
        </w:tc>
        <w:tc>
          <w:tcPr>
            <w:tcW w:w="2246" w:type="dxa"/>
            <w:vAlign w:val="center"/>
          </w:tcPr>
          <w:p w14:paraId="1A86C108">
            <w:pPr>
              <w:spacing w:line="280" w:lineRule="exact"/>
              <w:rPr>
                <w:rFonts w:hint="default" w:eastAsia="宋体"/>
                <w:color w:val="000000"/>
                <w:szCs w:val="21"/>
                <w:lang w:val="en-US" w:eastAsia="zh-CN"/>
              </w:rPr>
            </w:pPr>
          </w:p>
        </w:tc>
        <w:tc>
          <w:tcPr>
            <w:tcW w:w="3436" w:type="dxa"/>
            <w:gridSpan w:val="2"/>
            <w:vAlign w:val="center"/>
          </w:tcPr>
          <w:p w14:paraId="4DACAB14">
            <w:pPr>
              <w:spacing w:line="280" w:lineRule="exact"/>
              <w:rPr>
                <w:rFonts w:hint="eastAsia"/>
                <w:color w:val="000000"/>
                <w:szCs w:val="21"/>
              </w:rPr>
            </w:pPr>
            <w:r>
              <w:rPr>
                <w:rFonts w:hint="eastAsia" w:ascii="宋体" w:hAnsi="宋体"/>
                <w:color w:val="000000"/>
                <w:szCs w:val="21"/>
              </w:rPr>
              <w:t>经办人：</w:t>
            </w:r>
          </w:p>
        </w:tc>
        <w:tc>
          <w:tcPr>
            <w:tcW w:w="1916" w:type="dxa"/>
            <w:vAlign w:val="center"/>
          </w:tcPr>
          <w:p w14:paraId="0156B174">
            <w:pPr>
              <w:spacing w:line="280" w:lineRule="exact"/>
              <w:rPr>
                <w:rFonts w:hint="default" w:eastAsia="宋体"/>
                <w:color w:val="000000"/>
                <w:szCs w:val="21"/>
                <w:lang w:val="en-US" w:eastAsia="zh-CN"/>
              </w:rPr>
            </w:pPr>
          </w:p>
        </w:tc>
      </w:tr>
      <w:tr w14:paraId="47789188">
        <w:tblPrEx>
          <w:tblCellMar>
            <w:top w:w="0" w:type="dxa"/>
            <w:left w:w="108" w:type="dxa"/>
            <w:bottom w:w="0" w:type="dxa"/>
            <w:right w:w="108" w:type="dxa"/>
          </w:tblCellMar>
        </w:tblPrEx>
        <w:trPr>
          <w:trHeight w:val="111" w:hRule="atLeast"/>
          <w:jc w:val="center"/>
        </w:trPr>
        <w:tc>
          <w:tcPr>
            <w:tcW w:w="1320" w:type="dxa"/>
            <w:gridSpan w:val="2"/>
            <w:vAlign w:val="center"/>
          </w:tcPr>
          <w:p w14:paraId="127694AF">
            <w:pPr>
              <w:spacing w:line="280" w:lineRule="exact"/>
              <w:rPr>
                <w:rFonts w:hint="eastAsia"/>
                <w:color w:val="000000"/>
                <w:szCs w:val="21"/>
              </w:rPr>
            </w:pPr>
            <w:r>
              <w:rPr>
                <w:rFonts w:hint="eastAsia" w:ascii="宋体" w:hAnsi="宋体"/>
                <w:color w:val="000000"/>
                <w:szCs w:val="21"/>
              </w:rPr>
              <w:t>电话：</w:t>
            </w:r>
          </w:p>
        </w:tc>
        <w:tc>
          <w:tcPr>
            <w:tcW w:w="4036" w:type="dxa"/>
            <w:gridSpan w:val="3"/>
            <w:vAlign w:val="center"/>
          </w:tcPr>
          <w:p w14:paraId="1E198A37">
            <w:pPr>
              <w:spacing w:line="280" w:lineRule="exact"/>
              <w:rPr>
                <w:rFonts w:hint="default" w:eastAsia="宋体"/>
                <w:color w:val="000000"/>
                <w:szCs w:val="21"/>
                <w:lang w:val="en-US" w:eastAsia="zh-CN"/>
              </w:rPr>
            </w:pPr>
          </w:p>
        </w:tc>
        <w:tc>
          <w:tcPr>
            <w:tcW w:w="3436" w:type="dxa"/>
            <w:gridSpan w:val="2"/>
            <w:vAlign w:val="center"/>
          </w:tcPr>
          <w:p w14:paraId="5D448B5E">
            <w:pPr>
              <w:spacing w:line="280" w:lineRule="exact"/>
              <w:rPr>
                <w:rFonts w:hint="eastAsia"/>
                <w:color w:val="000000"/>
                <w:szCs w:val="21"/>
              </w:rPr>
            </w:pPr>
            <w:r>
              <w:rPr>
                <w:rFonts w:hint="eastAsia" w:ascii="宋体" w:hAnsi="宋体"/>
                <w:color w:val="000000"/>
                <w:szCs w:val="21"/>
              </w:rPr>
              <w:t>电话：</w:t>
            </w:r>
          </w:p>
        </w:tc>
        <w:tc>
          <w:tcPr>
            <w:tcW w:w="1916" w:type="dxa"/>
            <w:vAlign w:val="center"/>
          </w:tcPr>
          <w:p w14:paraId="78A496D7">
            <w:pPr>
              <w:spacing w:line="280" w:lineRule="exact"/>
              <w:rPr>
                <w:rFonts w:hint="default" w:eastAsia="宋体"/>
                <w:color w:val="000000"/>
                <w:szCs w:val="21"/>
                <w:lang w:val="en-US" w:eastAsia="zh-CN"/>
              </w:rPr>
            </w:pPr>
          </w:p>
        </w:tc>
      </w:tr>
      <w:tr w14:paraId="11E3DF9A">
        <w:tblPrEx>
          <w:tblCellMar>
            <w:top w:w="0" w:type="dxa"/>
            <w:left w:w="108" w:type="dxa"/>
            <w:bottom w:w="0" w:type="dxa"/>
            <w:right w:w="108" w:type="dxa"/>
          </w:tblCellMar>
        </w:tblPrEx>
        <w:trPr>
          <w:jc w:val="center"/>
        </w:trPr>
        <w:tc>
          <w:tcPr>
            <w:tcW w:w="1320" w:type="dxa"/>
            <w:gridSpan w:val="2"/>
            <w:vAlign w:val="center"/>
          </w:tcPr>
          <w:p w14:paraId="09563909">
            <w:pPr>
              <w:spacing w:line="280" w:lineRule="exact"/>
              <w:rPr>
                <w:rFonts w:hint="eastAsia"/>
                <w:color w:val="000000"/>
                <w:szCs w:val="21"/>
              </w:rPr>
            </w:pPr>
            <w:r>
              <w:rPr>
                <w:rFonts w:hint="eastAsia" w:ascii="宋体" w:hAnsi="宋体"/>
                <w:color w:val="000000"/>
                <w:szCs w:val="21"/>
              </w:rPr>
              <w:t>传真：</w:t>
            </w:r>
          </w:p>
        </w:tc>
        <w:tc>
          <w:tcPr>
            <w:tcW w:w="4036" w:type="dxa"/>
            <w:gridSpan w:val="3"/>
            <w:vAlign w:val="center"/>
          </w:tcPr>
          <w:p w14:paraId="369D11C1">
            <w:pPr>
              <w:spacing w:line="280" w:lineRule="exact"/>
              <w:rPr>
                <w:rFonts w:hint="default" w:eastAsia="宋体"/>
                <w:color w:val="000000"/>
                <w:szCs w:val="21"/>
                <w:lang w:val="en-US" w:eastAsia="zh-CN"/>
              </w:rPr>
            </w:pPr>
          </w:p>
        </w:tc>
        <w:tc>
          <w:tcPr>
            <w:tcW w:w="3436" w:type="dxa"/>
            <w:gridSpan w:val="2"/>
            <w:vAlign w:val="center"/>
          </w:tcPr>
          <w:p w14:paraId="6C065018">
            <w:pPr>
              <w:spacing w:line="280" w:lineRule="exact"/>
              <w:rPr>
                <w:rFonts w:hint="eastAsia"/>
                <w:color w:val="000000"/>
                <w:szCs w:val="21"/>
              </w:rPr>
            </w:pPr>
            <w:r>
              <w:rPr>
                <w:rFonts w:hint="eastAsia" w:ascii="宋体" w:hAnsi="宋体"/>
                <w:color w:val="000000"/>
                <w:szCs w:val="21"/>
              </w:rPr>
              <w:t>传真：</w:t>
            </w:r>
          </w:p>
        </w:tc>
        <w:tc>
          <w:tcPr>
            <w:tcW w:w="1916" w:type="dxa"/>
            <w:vAlign w:val="center"/>
          </w:tcPr>
          <w:p w14:paraId="2DF92717">
            <w:pPr>
              <w:spacing w:line="280" w:lineRule="exact"/>
              <w:rPr>
                <w:rFonts w:hint="eastAsia"/>
                <w:color w:val="000000"/>
                <w:szCs w:val="21"/>
              </w:rPr>
            </w:pPr>
          </w:p>
        </w:tc>
      </w:tr>
      <w:tr w14:paraId="4B738013">
        <w:tblPrEx>
          <w:tblCellMar>
            <w:top w:w="0" w:type="dxa"/>
            <w:left w:w="108" w:type="dxa"/>
            <w:bottom w:w="0" w:type="dxa"/>
            <w:right w:w="108" w:type="dxa"/>
          </w:tblCellMar>
        </w:tblPrEx>
        <w:trPr>
          <w:jc w:val="center"/>
        </w:trPr>
        <w:tc>
          <w:tcPr>
            <w:tcW w:w="1685" w:type="dxa"/>
            <w:gridSpan w:val="3"/>
            <w:vAlign w:val="center"/>
          </w:tcPr>
          <w:p w14:paraId="34D56D5F">
            <w:pPr>
              <w:spacing w:line="280" w:lineRule="exact"/>
              <w:rPr>
                <w:rFonts w:hint="eastAsia"/>
                <w:color w:val="000000"/>
                <w:szCs w:val="21"/>
              </w:rPr>
            </w:pPr>
            <w:r>
              <w:rPr>
                <w:rFonts w:hint="eastAsia" w:ascii="宋体" w:hAnsi="宋体"/>
                <w:color w:val="000000"/>
                <w:szCs w:val="21"/>
              </w:rPr>
              <w:t>电子邮箱：</w:t>
            </w:r>
          </w:p>
        </w:tc>
        <w:tc>
          <w:tcPr>
            <w:tcW w:w="3671" w:type="dxa"/>
            <w:gridSpan w:val="2"/>
            <w:vAlign w:val="center"/>
          </w:tcPr>
          <w:p w14:paraId="2DD21D9F">
            <w:pPr>
              <w:spacing w:line="280" w:lineRule="exact"/>
              <w:rPr>
                <w:rFonts w:hint="eastAsia"/>
                <w:color w:val="000000"/>
                <w:szCs w:val="21"/>
              </w:rPr>
            </w:pPr>
          </w:p>
        </w:tc>
        <w:tc>
          <w:tcPr>
            <w:tcW w:w="1776" w:type="dxa"/>
            <w:vAlign w:val="center"/>
          </w:tcPr>
          <w:p w14:paraId="72EF9F2B">
            <w:pPr>
              <w:spacing w:line="280" w:lineRule="exact"/>
              <w:rPr>
                <w:rFonts w:hint="eastAsia"/>
                <w:color w:val="000000"/>
                <w:szCs w:val="21"/>
              </w:rPr>
            </w:pPr>
            <w:r>
              <w:rPr>
                <w:rFonts w:hint="eastAsia" w:ascii="宋体" w:hAnsi="宋体"/>
                <w:color w:val="000000"/>
                <w:szCs w:val="21"/>
              </w:rPr>
              <w:t>电子邮箱：</w:t>
            </w:r>
          </w:p>
        </w:tc>
        <w:tc>
          <w:tcPr>
            <w:tcW w:w="3576" w:type="dxa"/>
            <w:gridSpan w:val="2"/>
            <w:vAlign w:val="center"/>
          </w:tcPr>
          <w:p w14:paraId="398E1004">
            <w:pPr>
              <w:spacing w:line="280" w:lineRule="exact"/>
              <w:rPr>
                <w:rFonts w:hint="eastAsia"/>
                <w:color w:val="000000"/>
                <w:szCs w:val="21"/>
              </w:rPr>
            </w:pPr>
          </w:p>
        </w:tc>
      </w:tr>
      <w:tr w14:paraId="4CB577F3">
        <w:tblPrEx>
          <w:tblCellMar>
            <w:top w:w="0" w:type="dxa"/>
            <w:left w:w="108" w:type="dxa"/>
            <w:bottom w:w="0" w:type="dxa"/>
            <w:right w:w="108" w:type="dxa"/>
          </w:tblCellMar>
        </w:tblPrEx>
        <w:trPr>
          <w:jc w:val="center"/>
        </w:trPr>
        <w:tc>
          <w:tcPr>
            <w:tcW w:w="1685" w:type="dxa"/>
            <w:gridSpan w:val="3"/>
            <w:vAlign w:val="center"/>
          </w:tcPr>
          <w:p w14:paraId="4FAB199A">
            <w:pPr>
              <w:spacing w:line="280" w:lineRule="exact"/>
              <w:rPr>
                <w:rFonts w:hint="eastAsia"/>
                <w:color w:val="000000"/>
                <w:szCs w:val="21"/>
              </w:rPr>
            </w:pPr>
            <w:r>
              <w:rPr>
                <w:rFonts w:hint="eastAsia" w:ascii="宋体" w:hAnsi="宋体"/>
                <w:color w:val="000000"/>
                <w:szCs w:val="21"/>
              </w:rPr>
              <w:t>开户银行：</w:t>
            </w:r>
          </w:p>
        </w:tc>
        <w:tc>
          <w:tcPr>
            <w:tcW w:w="3671" w:type="dxa"/>
            <w:gridSpan w:val="2"/>
            <w:vAlign w:val="center"/>
          </w:tcPr>
          <w:p w14:paraId="2F607768">
            <w:pPr>
              <w:spacing w:line="280" w:lineRule="exact"/>
              <w:rPr>
                <w:rFonts w:hint="default" w:eastAsia="宋体"/>
                <w:color w:val="000000"/>
                <w:szCs w:val="21"/>
                <w:lang w:val="en-US" w:eastAsia="zh-CN"/>
              </w:rPr>
            </w:pPr>
          </w:p>
        </w:tc>
        <w:tc>
          <w:tcPr>
            <w:tcW w:w="1776" w:type="dxa"/>
            <w:vAlign w:val="center"/>
          </w:tcPr>
          <w:p w14:paraId="42C29F77">
            <w:pPr>
              <w:spacing w:line="280" w:lineRule="exact"/>
              <w:rPr>
                <w:rFonts w:hint="eastAsia"/>
                <w:color w:val="000000"/>
                <w:szCs w:val="21"/>
              </w:rPr>
            </w:pPr>
            <w:r>
              <w:rPr>
                <w:rFonts w:hint="eastAsia" w:ascii="宋体" w:hAnsi="宋体"/>
                <w:color w:val="000000"/>
                <w:szCs w:val="21"/>
              </w:rPr>
              <w:t>开户银行：</w:t>
            </w:r>
          </w:p>
        </w:tc>
        <w:tc>
          <w:tcPr>
            <w:tcW w:w="3576" w:type="dxa"/>
            <w:gridSpan w:val="2"/>
            <w:vAlign w:val="center"/>
          </w:tcPr>
          <w:p w14:paraId="4FCFED98">
            <w:pPr>
              <w:spacing w:line="280" w:lineRule="exact"/>
              <w:rPr>
                <w:rFonts w:hint="eastAsia"/>
                <w:color w:val="000000"/>
                <w:szCs w:val="21"/>
              </w:rPr>
            </w:pPr>
          </w:p>
        </w:tc>
      </w:tr>
      <w:tr w14:paraId="37E644E6">
        <w:tblPrEx>
          <w:tblCellMar>
            <w:top w:w="0" w:type="dxa"/>
            <w:left w:w="108" w:type="dxa"/>
            <w:bottom w:w="0" w:type="dxa"/>
            <w:right w:w="108" w:type="dxa"/>
          </w:tblCellMar>
        </w:tblPrEx>
        <w:trPr>
          <w:jc w:val="center"/>
        </w:trPr>
        <w:tc>
          <w:tcPr>
            <w:tcW w:w="1320" w:type="dxa"/>
            <w:gridSpan w:val="2"/>
            <w:vAlign w:val="center"/>
          </w:tcPr>
          <w:p w14:paraId="20388D67">
            <w:pPr>
              <w:spacing w:line="280" w:lineRule="exact"/>
              <w:rPr>
                <w:rFonts w:hint="eastAsia"/>
                <w:color w:val="000000"/>
                <w:szCs w:val="21"/>
              </w:rPr>
            </w:pPr>
            <w:r>
              <w:rPr>
                <w:rFonts w:hint="eastAsia" w:ascii="宋体" w:hAnsi="宋体"/>
                <w:color w:val="000000"/>
                <w:szCs w:val="21"/>
              </w:rPr>
              <w:t>帐号：</w:t>
            </w:r>
          </w:p>
        </w:tc>
        <w:tc>
          <w:tcPr>
            <w:tcW w:w="4036" w:type="dxa"/>
            <w:gridSpan w:val="3"/>
            <w:vAlign w:val="center"/>
          </w:tcPr>
          <w:p w14:paraId="29D4BD15">
            <w:pPr>
              <w:spacing w:line="280" w:lineRule="exact"/>
              <w:rPr>
                <w:rFonts w:hint="eastAsia"/>
                <w:color w:val="000000"/>
                <w:szCs w:val="21"/>
              </w:rPr>
            </w:pPr>
          </w:p>
        </w:tc>
        <w:tc>
          <w:tcPr>
            <w:tcW w:w="3436" w:type="dxa"/>
            <w:gridSpan w:val="2"/>
            <w:vAlign w:val="center"/>
          </w:tcPr>
          <w:p w14:paraId="27A49742">
            <w:pPr>
              <w:spacing w:line="280" w:lineRule="exact"/>
              <w:rPr>
                <w:rFonts w:hint="eastAsia"/>
                <w:color w:val="000000"/>
                <w:szCs w:val="21"/>
              </w:rPr>
            </w:pPr>
            <w:r>
              <w:rPr>
                <w:rFonts w:hint="eastAsia" w:ascii="宋体" w:hAnsi="宋体"/>
                <w:color w:val="000000"/>
                <w:szCs w:val="21"/>
              </w:rPr>
              <w:t>帐号：</w:t>
            </w:r>
          </w:p>
        </w:tc>
        <w:tc>
          <w:tcPr>
            <w:tcW w:w="1916" w:type="dxa"/>
            <w:vAlign w:val="center"/>
          </w:tcPr>
          <w:p w14:paraId="7BFDBF04">
            <w:pPr>
              <w:spacing w:line="280" w:lineRule="exact"/>
              <w:rPr>
                <w:rFonts w:hint="eastAsia"/>
                <w:color w:val="000000"/>
                <w:szCs w:val="21"/>
              </w:rPr>
            </w:pPr>
          </w:p>
        </w:tc>
      </w:tr>
      <w:tr w14:paraId="65FBFD49">
        <w:tblPrEx>
          <w:tblCellMar>
            <w:top w:w="0" w:type="dxa"/>
            <w:left w:w="108" w:type="dxa"/>
            <w:bottom w:w="0" w:type="dxa"/>
            <w:right w:w="108" w:type="dxa"/>
          </w:tblCellMar>
        </w:tblPrEx>
        <w:trPr>
          <w:jc w:val="center"/>
        </w:trPr>
        <w:tc>
          <w:tcPr>
            <w:tcW w:w="1320" w:type="dxa"/>
            <w:gridSpan w:val="2"/>
            <w:vAlign w:val="center"/>
          </w:tcPr>
          <w:p w14:paraId="64AD2D3E">
            <w:pPr>
              <w:spacing w:line="280" w:lineRule="exact"/>
              <w:rPr>
                <w:rFonts w:hint="eastAsia"/>
                <w:color w:val="000000"/>
                <w:szCs w:val="21"/>
              </w:rPr>
            </w:pPr>
            <w:r>
              <w:rPr>
                <w:rFonts w:hint="eastAsia" w:ascii="宋体" w:hAnsi="宋体"/>
                <w:color w:val="000000"/>
                <w:szCs w:val="21"/>
              </w:rPr>
              <w:t>税号：</w:t>
            </w:r>
          </w:p>
        </w:tc>
        <w:tc>
          <w:tcPr>
            <w:tcW w:w="4036" w:type="dxa"/>
            <w:gridSpan w:val="3"/>
            <w:vAlign w:val="center"/>
          </w:tcPr>
          <w:p w14:paraId="6632E2B8">
            <w:pPr>
              <w:spacing w:line="280" w:lineRule="exact"/>
              <w:rPr>
                <w:rFonts w:hint="eastAsia"/>
                <w:color w:val="000000"/>
                <w:szCs w:val="21"/>
              </w:rPr>
            </w:pPr>
          </w:p>
        </w:tc>
        <w:tc>
          <w:tcPr>
            <w:tcW w:w="3436" w:type="dxa"/>
            <w:gridSpan w:val="2"/>
            <w:vAlign w:val="center"/>
          </w:tcPr>
          <w:p w14:paraId="3E28AB87">
            <w:pPr>
              <w:spacing w:line="280" w:lineRule="exact"/>
              <w:rPr>
                <w:rFonts w:hint="eastAsia"/>
                <w:color w:val="000000"/>
                <w:szCs w:val="21"/>
              </w:rPr>
            </w:pPr>
            <w:r>
              <w:rPr>
                <w:rFonts w:hint="eastAsia" w:ascii="宋体" w:hAnsi="宋体"/>
                <w:color w:val="000000"/>
                <w:szCs w:val="21"/>
              </w:rPr>
              <w:t>税号：</w:t>
            </w:r>
          </w:p>
        </w:tc>
        <w:tc>
          <w:tcPr>
            <w:tcW w:w="1916" w:type="dxa"/>
            <w:vAlign w:val="center"/>
          </w:tcPr>
          <w:p w14:paraId="7CA93040">
            <w:pPr>
              <w:spacing w:line="280" w:lineRule="exact"/>
              <w:rPr>
                <w:rFonts w:hint="eastAsia"/>
                <w:color w:val="000000"/>
                <w:szCs w:val="21"/>
              </w:rPr>
            </w:pPr>
          </w:p>
        </w:tc>
      </w:tr>
    </w:tbl>
    <w:p w14:paraId="6DC394DE">
      <w:pPr>
        <w:spacing w:line="220" w:lineRule="exact"/>
        <w:rPr>
          <w:rFonts w:hint="eastAsia" w:ascii="宋体" w:hAnsi="宋体"/>
          <w:b/>
          <w:sz w:val="18"/>
          <w:szCs w:val="18"/>
          <w:u w:val="single"/>
        </w:rPr>
      </w:pPr>
    </w:p>
    <w:p w14:paraId="1D88A400">
      <w:pPr>
        <w:spacing w:line="220" w:lineRule="exact"/>
        <w:rPr>
          <w:rFonts w:hint="eastAsia" w:ascii="宋体" w:hAnsi="宋体"/>
          <w:b/>
          <w:sz w:val="18"/>
          <w:szCs w:val="18"/>
          <w:u w:val="single"/>
        </w:rPr>
      </w:pPr>
    </w:p>
    <w:p w14:paraId="3378A931">
      <w:pPr>
        <w:spacing w:line="220" w:lineRule="exact"/>
        <w:rPr>
          <w:rFonts w:hint="eastAsia" w:ascii="宋体" w:hAnsi="宋体"/>
          <w:b/>
          <w:sz w:val="18"/>
          <w:szCs w:val="18"/>
          <w:u w:val="single"/>
        </w:rPr>
      </w:pPr>
    </w:p>
    <w:p w14:paraId="228B8206">
      <w:pPr>
        <w:spacing w:line="300" w:lineRule="exact"/>
        <w:jc w:val="center"/>
        <w:rPr>
          <w:rFonts w:hint="eastAsia" w:ascii="宋体" w:hAnsi="宋体"/>
          <w:b/>
          <w:szCs w:val="21"/>
        </w:rPr>
      </w:pPr>
      <w:r>
        <w:rPr>
          <w:rFonts w:hint="eastAsia" w:ascii="宋体" w:hAnsi="宋体"/>
          <w:b/>
          <w:szCs w:val="21"/>
          <w:u w:val="single"/>
        </w:rPr>
        <w:t>第二部分  合同条款及规则</w:t>
      </w:r>
    </w:p>
    <w:p w14:paraId="4C50D2B5">
      <w:pPr>
        <w:spacing w:line="300" w:lineRule="exact"/>
        <w:rPr>
          <w:rFonts w:hint="eastAsia" w:ascii="宋体" w:hAnsi="宋体"/>
          <w:b/>
          <w:szCs w:val="21"/>
        </w:rPr>
      </w:pPr>
    </w:p>
    <w:p w14:paraId="3373CDF4">
      <w:pPr>
        <w:spacing w:line="300" w:lineRule="exact"/>
        <w:rPr>
          <w:rFonts w:hint="eastAsia" w:ascii="宋体" w:hAnsi="宋体"/>
          <w:szCs w:val="21"/>
        </w:rPr>
      </w:pPr>
      <w:r>
        <w:rPr>
          <w:rFonts w:hint="eastAsia" w:ascii="宋体" w:hAnsi="宋体"/>
          <w:b/>
          <w:szCs w:val="21"/>
        </w:rPr>
        <w:t>第一条　数量交接、误差标准及处理方式：</w:t>
      </w:r>
      <w:r>
        <w:rPr>
          <w:rFonts w:hint="eastAsia" w:ascii="宋体" w:hAnsi="宋体"/>
          <w:szCs w:val="21"/>
        </w:rPr>
        <w:t>双方商定按下列第</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款执行。</w:t>
      </w:r>
    </w:p>
    <w:p w14:paraId="04C88616">
      <w:pPr>
        <w:spacing w:line="300" w:lineRule="exact"/>
        <w:ind w:firstLine="440" w:firstLineChars="200"/>
        <w:rPr>
          <w:rFonts w:hint="eastAsia" w:ascii="宋体" w:hAnsi="宋体"/>
          <w:szCs w:val="21"/>
        </w:rPr>
      </w:pPr>
      <w:r>
        <w:rPr>
          <w:rFonts w:hint="eastAsia" w:ascii="宋体" w:hAnsi="宋体"/>
          <w:szCs w:val="21"/>
        </w:rPr>
        <w:t>1.以桶装、袋装方式包装的，按单位重量及包装数量作为结算依据。需方有权抽检或点包，如发现单位重量或包装数量不足，经供需双方确认后，应以需方实际接收重量及数量为准。</w:t>
      </w:r>
    </w:p>
    <w:p w14:paraId="70089C8F">
      <w:pPr>
        <w:spacing w:line="300" w:lineRule="exact"/>
        <w:ind w:firstLine="440" w:firstLineChars="200"/>
        <w:rPr>
          <w:rFonts w:hint="eastAsia" w:ascii="宋体" w:hAnsi="宋体"/>
          <w:szCs w:val="21"/>
        </w:rPr>
      </w:pPr>
      <w:r>
        <w:rPr>
          <w:rFonts w:hint="eastAsia" w:ascii="宋体" w:hAnsi="宋体"/>
          <w:szCs w:val="21"/>
        </w:rPr>
        <w:t>2.以需方接收时检验确认的重量作为数量结算标准。</w:t>
      </w:r>
    </w:p>
    <w:p w14:paraId="26512B80">
      <w:pPr>
        <w:spacing w:line="300" w:lineRule="exact"/>
        <w:ind w:firstLine="440" w:firstLineChars="200"/>
        <w:rPr>
          <w:rFonts w:hint="eastAsia" w:ascii="宋体" w:hAnsi="宋体"/>
          <w:szCs w:val="21"/>
        </w:rPr>
      </w:pPr>
      <w:r>
        <w:rPr>
          <w:rFonts w:hint="eastAsia" w:ascii="宋体" w:hAnsi="宋体"/>
          <w:szCs w:val="21"/>
        </w:rPr>
        <w:t>3.以供方发运地的过磅重量或流量计（体积或质量）作为结算标准，需方接收时过磅或流量计（如有）复核，误差率在</w:t>
      </w:r>
      <w:r>
        <w:rPr>
          <w:rFonts w:hint="eastAsia" w:ascii="宋体" w:hAnsi="宋体"/>
          <w:szCs w:val="21"/>
          <w:u w:val="single"/>
        </w:rPr>
        <w:t xml:space="preserve">     </w:t>
      </w:r>
      <w:r>
        <w:rPr>
          <w:rFonts w:hint="eastAsia" w:ascii="宋体" w:hAnsi="宋体"/>
          <w:szCs w:val="21"/>
        </w:rPr>
        <w:t>%以内的，由需方承担；误差率超过</w:t>
      </w:r>
      <w:r>
        <w:rPr>
          <w:rFonts w:hint="eastAsia" w:ascii="宋体" w:hAnsi="宋体"/>
          <w:szCs w:val="21"/>
          <w:u w:val="single"/>
        </w:rPr>
        <w:t xml:space="preserve">      </w:t>
      </w:r>
      <w:r>
        <w:rPr>
          <w:rFonts w:hint="eastAsia" w:ascii="宋体" w:hAnsi="宋体"/>
          <w:szCs w:val="21"/>
        </w:rPr>
        <w:t>%部分，由供方承担。</w:t>
      </w:r>
    </w:p>
    <w:p w14:paraId="0944D1F0">
      <w:pPr>
        <w:spacing w:line="300" w:lineRule="exact"/>
        <w:ind w:firstLine="440" w:firstLineChars="200"/>
        <w:rPr>
          <w:rFonts w:hint="eastAsia" w:ascii="宋体" w:hAnsi="宋体"/>
          <w:szCs w:val="21"/>
          <w:u w:val="single"/>
        </w:rPr>
      </w:pPr>
      <w:r>
        <w:rPr>
          <w:rFonts w:hint="eastAsia" w:ascii="宋体" w:hAnsi="宋体"/>
          <w:szCs w:val="21"/>
        </w:rPr>
        <w:t>4.以供方发运地具有资质的第三方检验机构出具的数量证书的数量作为结算标准，需方接收时有权请具有资质的第三方检验机构进行复检，误差率在</w:t>
      </w:r>
      <w:r>
        <w:rPr>
          <w:rFonts w:hint="eastAsia" w:ascii="宋体" w:hAnsi="宋体"/>
          <w:szCs w:val="21"/>
          <w:u w:val="single"/>
        </w:rPr>
        <w:t xml:space="preserve">     </w:t>
      </w:r>
      <w:r>
        <w:rPr>
          <w:rFonts w:hint="eastAsia" w:ascii="宋体" w:hAnsi="宋体"/>
          <w:szCs w:val="21"/>
        </w:rPr>
        <w:t>%以内的，由需方承担；误差率超过</w:t>
      </w:r>
      <w:r>
        <w:rPr>
          <w:rFonts w:hint="eastAsia" w:ascii="宋体" w:hAnsi="宋体"/>
          <w:szCs w:val="21"/>
          <w:u w:val="single"/>
        </w:rPr>
        <w:t xml:space="preserve">      </w:t>
      </w:r>
      <w:r>
        <w:rPr>
          <w:rFonts w:hint="eastAsia" w:ascii="宋体" w:hAnsi="宋体"/>
          <w:szCs w:val="21"/>
        </w:rPr>
        <w:t>%部分，由供方承担。</w:t>
      </w:r>
    </w:p>
    <w:p w14:paraId="412AC2C8">
      <w:pPr>
        <w:spacing w:line="300" w:lineRule="exact"/>
        <w:rPr>
          <w:rFonts w:hint="eastAsia" w:ascii="宋体" w:hAnsi="宋体"/>
          <w:b/>
          <w:szCs w:val="21"/>
        </w:rPr>
      </w:pPr>
      <w:r>
        <w:rPr>
          <w:rFonts w:hint="eastAsia" w:ascii="宋体" w:hAnsi="宋体"/>
          <w:b/>
          <w:szCs w:val="21"/>
        </w:rPr>
        <w:t>第二条 产品包装标准</w:t>
      </w:r>
    </w:p>
    <w:p w14:paraId="131A5436">
      <w:pPr>
        <w:spacing w:line="300" w:lineRule="exact"/>
        <w:ind w:firstLine="440" w:firstLineChars="200"/>
        <w:rPr>
          <w:rFonts w:hint="eastAsia" w:ascii="宋体" w:hAnsi="宋体"/>
          <w:b/>
          <w:szCs w:val="21"/>
        </w:rPr>
      </w:pPr>
      <w:r>
        <w:rPr>
          <w:rFonts w:hint="eastAsia" w:ascii="宋体" w:hAnsi="宋体"/>
          <w:szCs w:val="21"/>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14:paraId="63CB8D79">
      <w:pPr>
        <w:spacing w:line="300" w:lineRule="exact"/>
        <w:rPr>
          <w:rFonts w:hint="eastAsia" w:ascii="宋体" w:hAnsi="宋体"/>
          <w:b/>
          <w:szCs w:val="21"/>
        </w:rPr>
      </w:pPr>
      <w:r>
        <w:rPr>
          <w:rFonts w:hint="eastAsia" w:ascii="宋体" w:hAnsi="宋体"/>
          <w:b/>
          <w:szCs w:val="21"/>
        </w:rPr>
        <w:t>第三条 对产品质量负责的条件及期限</w:t>
      </w:r>
    </w:p>
    <w:p w14:paraId="524FF508">
      <w:pPr>
        <w:spacing w:line="300" w:lineRule="exact"/>
        <w:ind w:firstLine="440" w:firstLineChars="200"/>
        <w:rPr>
          <w:rFonts w:ascii="宋体" w:hAnsi="宋体" w:cs="Arial"/>
          <w:color w:val="000000"/>
          <w:szCs w:val="21"/>
        </w:rPr>
      </w:pPr>
      <w:r>
        <w:rPr>
          <w:rFonts w:hint="eastAsia" w:ascii="宋体" w:hAnsi="宋体" w:cs="Arial"/>
          <w:szCs w:val="21"/>
        </w:rPr>
        <w:t>1.供</w:t>
      </w:r>
      <w:r>
        <w:rPr>
          <w:rFonts w:ascii="宋体" w:hAnsi="宋体" w:cs="Arial"/>
          <w:szCs w:val="21"/>
        </w:rPr>
        <w:t>方产品均</w:t>
      </w:r>
      <w:r>
        <w:rPr>
          <w:rFonts w:hint="eastAsia" w:ascii="宋体" w:hAnsi="宋体" w:cs="Arial"/>
          <w:szCs w:val="21"/>
        </w:rPr>
        <w:t>需</w:t>
      </w:r>
      <w:r>
        <w:rPr>
          <w:rFonts w:ascii="宋体" w:hAnsi="宋体" w:cs="Arial"/>
          <w:szCs w:val="21"/>
        </w:rPr>
        <w:t>附质检报告单</w:t>
      </w:r>
      <w:r>
        <w:rPr>
          <w:rFonts w:hint="eastAsia" w:ascii="宋体" w:hAnsi="宋体" w:cs="Arial"/>
          <w:szCs w:val="21"/>
        </w:rPr>
        <w:t>或</w:t>
      </w:r>
      <w:r>
        <w:rPr>
          <w:rFonts w:ascii="宋体" w:hAnsi="宋体" w:cs="Arial"/>
          <w:szCs w:val="21"/>
        </w:rPr>
        <w:t>质量保证</w:t>
      </w:r>
      <w:r>
        <w:rPr>
          <w:rFonts w:ascii="宋体" w:hAnsi="宋体" w:cs="Arial"/>
          <w:color w:val="000000"/>
          <w:szCs w:val="21"/>
        </w:rPr>
        <w:t>书</w:t>
      </w:r>
      <w:r>
        <w:rPr>
          <w:rFonts w:hint="eastAsia" w:ascii="宋体" w:hAnsi="宋体" w:cs="Arial"/>
          <w:color w:val="000000"/>
          <w:szCs w:val="21"/>
        </w:rPr>
        <w:t>。</w:t>
      </w:r>
      <w:r>
        <w:rPr>
          <w:rFonts w:ascii="宋体" w:hAnsi="宋体" w:cs="Arial"/>
          <w:color w:val="000000"/>
          <w:szCs w:val="21"/>
        </w:rPr>
        <w:t>在</w:t>
      </w:r>
      <w:r>
        <w:rPr>
          <w:rFonts w:hint="eastAsia" w:ascii="宋体" w:hAnsi="宋体" w:cs="Arial"/>
          <w:color w:val="000000"/>
          <w:szCs w:val="21"/>
        </w:rPr>
        <w:t>交货之日起</w:t>
      </w:r>
      <w:r>
        <w:rPr>
          <w:rFonts w:hint="eastAsia" w:ascii="宋体" w:hAnsi="宋体" w:cs="Arial"/>
          <w:color w:val="000000"/>
          <w:szCs w:val="21"/>
          <w:u w:val="single"/>
        </w:rPr>
        <w:t xml:space="preserve"> </w:t>
      </w:r>
      <w:r>
        <w:rPr>
          <w:rFonts w:hint="eastAsia" w:ascii="宋体" w:hAnsi="宋体" w:cs="Arial"/>
          <w:color w:val="000000"/>
          <w:szCs w:val="21"/>
          <w:u w:val="single"/>
          <w:lang w:val="en-US" w:eastAsia="zh-CN"/>
        </w:rPr>
        <w:t>12</w:t>
      </w:r>
      <w:r>
        <w:rPr>
          <w:rFonts w:hint="eastAsia" w:ascii="宋体" w:hAnsi="宋体" w:cs="Arial"/>
          <w:color w:val="000000"/>
          <w:szCs w:val="21"/>
          <w:u w:val="single"/>
        </w:rPr>
        <w:t xml:space="preserve"> </w:t>
      </w:r>
      <w:r>
        <w:rPr>
          <w:rFonts w:ascii="宋体" w:hAnsi="宋体" w:cs="Arial"/>
          <w:color w:val="000000"/>
          <w:szCs w:val="21"/>
        </w:rPr>
        <w:t>个月</w:t>
      </w:r>
      <w:r>
        <w:rPr>
          <w:rFonts w:hint="eastAsia" w:ascii="宋体" w:hAnsi="宋体" w:cs="Arial"/>
          <w:color w:val="000000"/>
          <w:szCs w:val="21"/>
        </w:rPr>
        <w:t>的质量保证</w:t>
      </w:r>
      <w:r>
        <w:rPr>
          <w:rFonts w:ascii="宋体" w:hAnsi="宋体" w:cs="Arial"/>
          <w:color w:val="000000"/>
          <w:szCs w:val="21"/>
        </w:rPr>
        <w:t>期内，</w:t>
      </w:r>
      <w:r>
        <w:rPr>
          <w:rFonts w:hint="eastAsia" w:ascii="宋体" w:hAnsi="宋体" w:cs="Arial"/>
          <w:color w:val="000000"/>
          <w:szCs w:val="21"/>
        </w:rPr>
        <w:t>供</w:t>
      </w:r>
      <w:r>
        <w:rPr>
          <w:rFonts w:ascii="宋体" w:hAnsi="宋体" w:cs="Arial"/>
          <w:color w:val="000000"/>
          <w:szCs w:val="21"/>
        </w:rPr>
        <w:t>方按</w:t>
      </w:r>
      <w:r>
        <w:rPr>
          <w:rFonts w:hint="eastAsia" w:ascii="宋体" w:hAnsi="宋体" w:cs="Arial"/>
          <w:color w:val="000000"/>
          <w:szCs w:val="21"/>
        </w:rPr>
        <w:t>协议书第二条约定的</w:t>
      </w:r>
      <w:r>
        <w:rPr>
          <w:rFonts w:hint="eastAsia" w:ascii="宋体" w:hAnsi="宋体"/>
          <w:color w:val="000000"/>
          <w:szCs w:val="21"/>
        </w:rPr>
        <w:t>产品质量要求及技术标准</w:t>
      </w:r>
      <w:r>
        <w:rPr>
          <w:rFonts w:ascii="宋体" w:hAnsi="宋体" w:cs="Arial"/>
          <w:color w:val="000000"/>
          <w:szCs w:val="21"/>
        </w:rPr>
        <w:t>规定的质量标准对</w:t>
      </w:r>
      <w:r>
        <w:rPr>
          <w:rFonts w:hint="eastAsia" w:ascii="宋体" w:hAnsi="宋体" w:cs="Arial"/>
          <w:color w:val="000000"/>
          <w:szCs w:val="21"/>
        </w:rPr>
        <w:t>交付的</w:t>
      </w:r>
      <w:r>
        <w:rPr>
          <w:rFonts w:ascii="宋体" w:hAnsi="宋体" w:cs="Arial"/>
          <w:color w:val="000000"/>
          <w:szCs w:val="21"/>
        </w:rPr>
        <w:t>产品负责。</w:t>
      </w:r>
    </w:p>
    <w:p w14:paraId="3F33F223">
      <w:pPr>
        <w:spacing w:line="300" w:lineRule="exact"/>
        <w:ind w:firstLine="440" w:firstLineChars="200"/>
        <w:rPr>
          <w:rFonts w:hint="eastAsia" w:ascii="宋体" w:hAnsi="宋体" w:cs="Arial"/>
          <w:color w:val="000000"/>
          <w:szCs w:val="21"/>
        </w:rPr>
      </w:pPr>
      <w:r>
        <w:rPr>
          <w:rFonts w:hint="eastAsia" w:ascii="宋体" w:hAnsi="宋体"/>
          <w:szCs w:val="21"/>
        </w:rPr>
        <w:t>2.如果</w:t>
      </w:r>
      <w:r>
        <w:rPr>
          <w:rFonts w:hint="eastAsia" w:ascii="宋体" w:hAnsi="宋体" w:cs="Arial"/>
          <w:szCs w:val="21"/>
        </w:rPr>
        <w:t>供</w:t>
      </w:r>
      <w:r>
        <w:rPr>
          <w:rFonts w:ascii="宋体" w:hAnsi="宋体" w:cs="Arial"/>
          <w:szCs w:val="21"/>
        </w:rPr>
        <w:t>方知道或者应当知道所出卖产品存在质量缺陷，所承担的质量保证期限不受</w:t>
      </w:r>
      <w:r>
        <w:rPr>
          <w:rFonts w:hint="eastAsia" w:ascii="宋体" w:hAnsi="宋体" w:cs="Arial"/>
          <w:szCs w:val="21"/>
        </w:rPr>
        <w:t>本条第一款</w:t>
      </w:r>
      <w:r>
        <w:rPr>
          <w:rFonts w:ascii="宋体" w:hAnsi="宋体" w:cs="Arial"/>
          <w:szCs w:val="21"/>
        </w:rPr>
        <w:t>质量</w:t>
      </w:r>
      <w:r>
        <w:rPr>
          <w:rFonts w:hint="eastAsia" w:ascii="宋体" w:hAnsi="宋体" w:cs="Arial"/>
          <w:szCs w:val="21"/>
        </w:rPr>
        <w:t>保证</w:t>
      </w:r>
      <w:r>
        <w:rPr>
          <w:rFonts w:ascii="宋体" w:hAnsi="宋体" w:cs="Arial"/>
          <w:szCs w:val="21"/>
        </w:rPr>
        <w:t>期限的约束</w:t>
      </w:r>
      <w:r>
        <w:rPr>
          <w:rFonts w:hint="eastAsia" w:ascii="宋体" w:hAnsi="宋体" w:cs="Arial"/>
          <w:szCs w:val="21"/>
        </w:rPr>
        <w:t>，供方</w:t>
      </w:r>
      <w:r>
        <w:rPr>
          <w:rFonts w:hint="eastAsia" w:ascii="宋体" w:hAnsi="宋体"/>
          <w:szCs w:val="21"/>
        </w:rPr>
        <w:t>应依法承担相应责任。</w:t>
      </w:r>
    </w:p>
    <w:p w14:paraId="03C469A3">
      <w:pPr>
        <w:spacing w:line="300" w:lineRule="exact"/>
        <w:rPr>
          <w:rFonts w:hint="eastAsia" w:ascii="宋体" w:hAnsi="宋体"/>
          <w:b/>
          <w:szCs w:val="21"/>
        </w:rPr>
      </w:pPr>
      <w:r>
        <w:rPr>
          <w:rFonts w:hint="eastAsia" w:ascii="宋体" w:hAnsi="宋体"/>
          <w:b/>
          <w:szCs w:val="21"/>
        </w:rPr>
        <w:t>第四条 货物所有权、风险的转移</w:t>
      </w:r>
    </w:p>
    <w:p w14:paraId="54228397">
      <w:pPr>
        <w:spacing w:line="300" w:lineRule="exact"/>
        <w:ind w:firstLine="440" w:firstLineChars="200"/>
        <w:rPr>
          <w:rFonts w:hint="eastAsia" w:ascii="宋体" w:hAnsi="宋体"/>
          <w:szCs w:val="21"/>
        </w:rPr>
      </w:pPr>
      <w:r>
        <w:rPr>
          <w:rFonts w:hint="eastAsia" w:ascii="宋体" w:hAnsi="宋体"/>
          <w:szCs w:val="21"/>
        </w:rPr>
        <w:t>供方送回或代办托运方式下，货物的所有权和风险于供方将货物送至需方指定地点并经需方验收合格时转移至需方。货物迟延交付的，由造成迟延交付的一方承担迟延期间货物的风险责任。</w:t>
      </w:r>
    </w:p>
    <w:p w14:paraId="7EA28790">
      <w:pPr>
        <w:spacing w:line="300" w:lineRule="exact"/>
        <w:rPr>
          <w:rFonts w:hint="eastAsia" w:ascii="宋体" w:hAnsi="宋体"/>
          <w:szCs w:val="21"/>
        </w:rPr>
      </w:pPr>
      <w:r>
        <w:rPr>
          <w:rFonts w:hint="eastAsia" w:ascii="宋体" w:hAnsi="宋体"/>
          <w:b/>
          <w:szCs w:val="21"/>
        </w:rPr>
        <w:t>第五条 运输方式、费用负担、交货地点：</w:t>
      </w:r>
      <w:r>
        <w:rPr>
          <w:rFonts w:hint="eastAsia" w:ascii="宋体" w:hAnsi="宋体"/>
          <w:szCs w:val="21"/>
        </w:rPr>
        <w:t>供方送货或代办托运方式下，双方商定按下列第</w:t>
      </w:r>
      <w:r>
        <w:rPr>
          <w:rFonts w:hint="eastAsia" w:ascii="宋体" w:hAnsi="宋体"/>
          <w:szCs w:val="21"/>
          <w:u w:val="single"/>
        </w:rPr>
        <w:t xml:space="preserve">  </w:t>
      </w:r>
      <w:r>
        <w:rPr>
          <w:rFonts w:ascii="宋体" w:hAnsi="宋体"/>
          <w:szCs w:val="21"/>
          <w:u w:val="single"/>
        </w:rPr>
        <w:t>2</w:t>
      </w:r>
      <w:r>
        <w:rPr>
          <w:rFonts w:hint="eastAsia" w:ascii="宋体" w:hAnsi="宋体"/>
          <w:szCs w:val="21"/>
          <w:u w:val="single"/>
        </w:rPr>
        <w:t xml:space="preserve">   </w:t>
      </w:r>
      <w:r>
        <w:rPr>
          <w:rFonts w:hint="eastAsia" w:ascii="宋体" w:hAnsi="宋体"/>
          <w:szCs w:val="21"/>
        </w:rPr>
        <w:t>款执行。</w:t>
      </w:r>
    </w:p>
    <w:p w14:paraId="41CCE9B4">
      <w:pPr>
        <w:spacing w:line="300" w:lineRule="exact"/>
        <w:ind w:firstLine="440" w:firstLineChars="200"/>
        <w:rPr>
          <w:rFonts w:hint="eastAsia" w:ascii="宋体" w:hAnsi="宋体"/>
          <w:szCs w:val="21"/>
        </w:rPr>
      </w:pPr>
      <w:r>
        <w:rPr>
          <w:rFonts w:hint="eastAsia" w:ascii="宋体" w:hAnsi="宋体"/>
          <w:szCs w:val="21"/>
        </w:rPr>
        <w:t>1.火车运输，供方负责运输及负担运费，运至需方指定的单位或仓库。</w:t>
      </w:r>
    </w:p>
    <w:p w14:paraId="738F81B6">
      <w:pPr>
        <w:spacing w:line="300" w:lineRule="exact"/>
        <w:ind w:firstLine="440" w:firstLineChars="200"/>
        <w:rPr>
          <w:rFonts w:hint="eastAsia" w:ascii="宋体" w:hAnsi="宋体"/>
          <w:szCs w:val="21"/>
        </w:rPr>
      </w:pPr>
      <w:r>
        <w:rPr>
          <w:rFonts w:hint="eastAsia" w:ascii="宋体" w:hAnsi="宋体"/>
          <w:szCs w:val="21"/>
        </w:rPr>
        <w:t>2.汽车运输，供方负责运输及负担运费，运至需方指定的单位或仓库。</w:t>
      </w:r>
    </w:p>
    <w:p w14:paraId="735A3BF5">
      <w:pPr>
        <w:spacing w:line="300" w:lineRule="exact"/>
        <w:ind w:firstLine="440" w:firstLineChars="200"/>
        <w:rPr>
          <w:rFonts w:hint="eastAsia" w:ascii="宋体" w:hAnsi="宋体"/>
          <w:szCs w:val="21"/>
        </w:rPr>
      </w:pPr>
      <w:r>
        <w:rPr>
          <w:rFonts w:hint="eastAsia" w:ascii="宋体" w:hAnsi="宋体"/>
          <w:szCs w:val="21"/>
        </w:rPr>
        <w:t>3.车船联运，供方负责运输及负担运费，船运至</w:t>
      </w:r>
      <w:r>
        <w:rPr>
          <w:rFonts w:hint="eastAsia" w:ascii="宋体" w:hAnsi="宋体"/>
          <w:szCs w:val="21"/>
          <w:u w:val="single"/>
        </w:rPr>
        <w:t xml:space="preserve">       </w:t>
      </w:r>
      <w:r>
        <w:rPr>
          <w:rFonts w:hint="eastAsia" w:ascii="宋体" w:hAnsi="宋体"/>
          <w:szCs w:val="21"/>
        </w:rPr>
        <w:t xml:space="preserve">，再以汽车运输方式运至需方指定的单位或仓库。         </w:t>
      </w:r>
    </w:p>
    <w:p w14:paraId="1AC12995">
      <w:pPr>
        <w:spacing w:line="300" w:lineRule="exact"/>
        <w:rPr>
          <w:rFonts w:ascii="宋体" w:hAnsi="宋体"/>
          <w:b/>
          <w:szCs w:val="21"/>
        </w:rPr>
      </w:pPr>
      <w:r>
        <w:rPr>
          <w:rFonts w:hint="eastAsia" w:ascii="宋体" w:hAnsi="宋体"/>
          <w:b/>
          <w:szCs w:val="21"/>
        </w:rPr>
        <w:t>第六条 质量</w:t>
      </w:r>
      <w:r>
        <w:rPr>
          <w:rFonts w:hint="eastAsia" w:ascii="宋体" w:hAnsi="宋体" w:cs="宋体"/>
          <w:b/>
          <w:kern w:val="0"/>
          <w:szCs w:val="21"/>
        </w:rPr>
        <w:t>验收标准、方法及提出异议的期限</w:t>
      </w:r>
    </w:p>
    <w:p w14:paraId="61786461">
      <w:pPr>
        <w:spacing w:line="300" w:lineRule="exact"/>
        <w:ind w:firstLine="440" w:firstLineChars="200"/>
        <w:rPr>
          <w:rFonts w:hint="eastAsia" w:ascii="宋体" w:hAnsi="宋体"/>
          <w:szCs w:val="21"/>
        </w:rPr>
      </w:pPr>
      <w:r>
        <w:rPr>
          <w:rFonts w:hint="eastAsia" w:ascii="宋体" w:hAnsi="宋体"/>
          <w:szCs w:val="21"/>
        </w:rPr>
        <w:t>1.检验标准：按本合同产品质量要求及技术标准</w:t>
      </w:r>
      <w:r>
        <w:rPr>
          <w:rFonts w:ascii="宋体" w:hAnsi="宋体" w:cs="Arial"/>
          <w:szCs w:val="21"/>
        </w:rPr>
        <w:t>规定的</w:t>
      </w:r>
      <w:r>
        <w:rPr>
          <w:rFonts w:hint="eastAsia" w:ascii="宋体" w:hAnsi="宋体"/>
          <w:szCs w:val="21"/>
        </w:rPr>
        <w:t>质量标准进行检验。货物交付时，供方与需方共同提取货物样品</w:t>
      </w:r>
      <w:r>
        <w:rPr>
          <w:rFonts w:hint="eastAsia" w:ascii="宋体" w:hAnsi="宋体"/>
          <w:szCs w:val="21"/>
          <w:u w:val="single"/>
        </w:rPr>
        <w:t xml:space="preserve">  壹   </w:t>
      </w:r>
      <w:r>
        <w:rPr>
          <w:rFonts w:hint="eastAsia" w:ascii="宋体" w:hAnsi="宋体"/>
          <w:szCs w:val="21"/>
        </w:rPr>
        <w:t>件并进行封存，以备检</w:t>
      </w:r>
      <w:r>
        <w:rPr>
          <w:rFonts w:hint="eastAsia" w:ascii="宋体" w:hAnsi="宋体"/>
          <w:color w:val="000000"/>
          <w:szCs w:val="21"/>
        </w:rPr>
        <w:t>验，如供方不参与取样，视同默认需方的取样</w:t>
      </w:r>
      <w:r>
        <w:rPr>
          <w:rFonts w:hint="eastAsia" w:ascii="宋体" w:hAnsi="宋体"/>
          <w:szCs w:val="21"/>
        </w:rPr>
        <w:t>。封样应作为双方发生质量争议时裁决的依据，封样保留时间为</w:t>
      </w:r>
      <w:r>
        <w:rPr>
          <w:rFonts w:hint="eastAsia" w:ascii="宋体" w:hAnsi="宋体"/>
          <w:szCs w:val="21"/>
          <w:u w:val="single"/>
        </w:rPr>
        <w:t xml:space="preserve">   叁拾  </w:t>
      </w:r>
      <w:r>
        <w:rPr>
          <w:rFonts w:hint="eastAsia" w:ascii="宋体" w:hAnsi="宋体"/>
          <w:szCs w:val="21"/>
        </w:rPr>
        <w:t>天。</w:t>
      </w:r>
    </w:p>
    <w:p w14:paraId="58B82400">
      <w:pPr>
        <w:spacing w:line="300" w:lineRule="exact"/>
        <w:ind w:firstLine="440" w:firstLineChars="200"/>
        <w:rPr>
          <w:rFonts w:hint="eastAsia" w:ascii="宋体" w:hAnsi="宋体"/>
          <w:szCs w:val="21"/>
        </w:rPr>
      </w:pPr>
      <w:r>
        <w:rPr>
          <w:rFonts w:hint="eastAsia" w:ascii="宋体" w:hAnsi="宋体"/>
          <w:szCs w:val="21"/>
        </w:rPr>
        <w:t>2.需方在接收供方货物后，如发现与合同约定质量不符，在</w:t>
      </w:r>
      <w:r>
        <w:rPr>
          <w:rFonts w:hint="eastAsia" w:ascii="宋体" w:hAnsi="宋体"/>
          <w:szCs w:val="21"/>
          <w:u w:val="single"/>
        </w:rPr>
        <w:t xml:space="preserve">  </w:t>
      </w:r>
      <w:r>
        <w:rPr>
          <w:rFonts w:hint="eastAsia" w:ascii="宋体" w:hAnsi="宋体"/>
          <w:szCs w:val="21"/>
          <w:u w:val="single"/>
          <w:lang w:val="en-US" w:eastAsia="zh-CN"/>
        </w:rPr>
        <w:t>叁拾</w:t>
      </w:r>
      <w:r>
        <w:rPr>
          <w:rFonts w:hint="eastAsia" w:ascii="宋体" w:hAnsi="宋体"/>
          <w:szCs w:val="21"/>
          <w:u w:val="single"/>
        </w:rPr>
        <w:t xml:space="preserve">  </w:t>
      </w:r>
      <w:r>
        <w:rPr>
          <w:rFonts w:hint="eastAsia" w:ascii="宋体" w:hAnsi="宋体"/>
          <w:szCs w:val="21"/>
        </w:rPr>
        <w:t>天内向供方提出异议。</w:t>
      </w:r>
    </w:p>
    <w:p w14:paraId="75014E31">
      <w:pPr>
        <w:spacing w:line="300" w:lineRule="exact"/>
        <w:ind w:firstLine="440" w:firstLineChars="200"/>
        <w:rPr>
          <w:rFonts w:hint="eastAsia" w:ascii="宋体" w:hAnsi="宋体"/>
          <w:szCs w:val="21"/>
        </w:rPr>
      </w:pPr>
      <w:r>
        <w:rPr>
          <w:rFonts w:hint="eastAsia" w:ascii="宋体" w:hAnsi="宋体"/>
          <w:szCs w:val="21"/>
        </w:rPr>
        <w:t>3.如双方对货物的质量有争议的，由双方共同指定具有国家认可资质的检验机构对封存的样品进行检验，并以该检验机构的检验结果作为确认货物质量的依据。如在争议发生后</w:t>
      </w:r>
      <w:r>
        <w:rPr>
          <w:rFonts w:hint="eastAsia" w:ascii="宋体" w:hAnsi="宋体"/>
          <w:szCs w:val="21"/>
          <w:u w:val="single"/>
        </w:rPr>
        <w:t xml:space="preserve">  柒  </w:t>
      </w:r>
      <w:r>
        <w:rPr>
          <w:rFonts w:hint="eastAsia" w:ascii="宋体" w:hAnsi="宋体"/>
          <w:szCs w:val="21"/>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14:paraId="60A2E925">
      <w:pPr>
        <w:spacing w:line="300" w:lineRule="exact"/>
        <w:rPr>
          <w:rFonts w:hint="eastAsia" w:ascii="宋体" w:hAnsi="宋体"/>
          <w:b/>
          <w:szCs w:val="21"/>
        </w:rPr>
      </w:pPr>
      <w:r>
        <w:rPr>
          <w:rFonts w:hint="eastAsia" w:ascii="宋体" w:hAnsi="宋体"/>
          <w:b/>
          <w:szCs w:val="21"/>
        </w:rPr>
        <w:t>第七条  保密条款</w:t>
      </w:r>
    </w:p>
    <w:p w14:paraId="7E41C00B">
      <w:pPr>
        <w:spacing w:line="300" w:lineRule="exact"/>
        <w:ind w:firstLine="440" w:firstLineChars="200"/>
        <w:rPr>
          <w:rFonts w:hint="eastAsia" w:ascii="宋体" w:hAnsi="宋体"/>
          <w:szCs w:val="21"/>
        </w:rPr>
      </w:pPr>
      <w:r>
        <w:rPr>
          <w:rFonts w:hint="eastAsia" w:ascii="宋体" w:hAnsi="宋体"/>
          <w:szCs w:val="21"/>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14:paraId="449F6260">
      <w:pPr>
        <w:spacing w:line="300" w:lineRule="exact"/>
        <w:rPr>
          <w:rFonts w:hint="eastAsia" w:ascii="宋体" w:hAnsi="宋体"/>
          <w:b/>
          <w:szCs w:val="21"/>
        </w:rPr>
      </w:pPr>
      <w:r>
        <w:rPr>
          <w:rFonts w:hint="eastAsia" w:ascii="宋体" w:hAnsi="宋体"/>
          <w:b/>
          <w:szCs w:val="21"/>
        </w:rPr>
        <w:t>第八条  健康、安全和环境保护及现场HSE要求</w:t>
      </w:r>
      <w:r>
        <w:rPr>
          <w:rFonts w:ascii="宋体" w:hAnsi="宋体"/>
          <w:b/>
          <w:szCs w:val="21"/>
        </w:rPr>
        <w:tab/>
      </w:r>
    </w:p>
    <w:p w14:paraId="1431FF87">
      <w:pPr>
        <w:spacing w:line="300" w:lineRule="exact"/>
        <w:ind w:firstLine="440" w:firstLineChars="200"/>
        <w:rPr>
          <w:rFonts w:hint="eastAsia" w:ascii="宋体" w:hAnsi="宋体"/>
          <w:szCs w:val="21"/>
        </w:rPr>
      </w:pPr>
      <w:r>
        <w:rPr>
          <w:rFonts w:hint="eastAsia" w:ascii="宋体" w:hAnsi="宋体"/>
          <w:szCs w:val="21"/>
        </w:rPr>
        <w:t>1.供需双方须确保在购销、运输、存储、加工、使用产品等过程中，对各自负责的环节，遵守质量、安全、环境与健康等法律法规的有关要求，并承担质量、安全、环境与健康责任。</w:t>
      </w:r>
    </w:p>
    <w:p w14:paraId="6BAD7F8C">
      <w:pPr>
        <w:spacing w:line="300" w:lineRule="exact"/>
        <w:ind w:firstLine="440" w:firstLineChars="200"/>
        <w:rPr>
          <w:rFonts w:hint="eastAsia" w:ascii="宋体" w:hAnsi="宋体"/>
          <w:szCs w:val="21"/>
        </w:rPr>
      </w:pPr>
      <w:r>
        <w:rPr>
          <w:rFonts w:hint="eastAsia" w:ascii="宋体" w:hAnsi="宋体"/>
          <w:szCs w:val="21"/>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14:paraId="3867E4B6">
      <w:pPr>
        <w:spacing w:line="300" w:lineRule="exact"/>
        <w:ind w:firstLine="440" w:firstLineChars="200"/>
        <w:rPr>
          <w:rFonts w:hint="eastAsia" w:ascii="宋体" w:hAnsi="宋体"/>
          <w:szCs w:val="21"/>
        </w:rPr>
      </w:pPr>
      <w:r>
        <w:rPr>
          <w:rFonts w:hint="eastAsia" w:ascii="宋体" w:hAnsi="宋体"/>
          <w:szCs w:val="21"/>
        </w:rPr>
        <w:t xml:space="preserve">3.供方销售的货物 </w:t>
      </w:r>
      <w:r>
        <w:rPr>
          <w:rFonts w:hint="eastAsia" w:ascii="宋体" w:hAnsi="宋体"/>
          <w:szCs w:val="21"/>
          <w:u w:val="single"/>
        </w:rPr>
        <w:t xml:space="preserve">   需  </w:t>
      </w:r>
      <w:r>
        <w:rPr>
          <w:rFonts w:hint="eastAsia" w:ascii="宋体" w:hAnsi="宋体"/>
          <w:szCs w:val="21"/>
        </w:rPr>
        <w:t>（ 填：需或不需）附产品安全环境技术说明书。</w:t>
      </w:r>
    </w:p>
    <w:p w14:paraId="6D79C52B">
      <w:pPr>
        <w:spacing w:line="300" w:lineRule="exact"/>
        <w:rPr>
          <w:rFonts w:hint="eastAsia" w:ascii="宋体" w:hAnsi="宋体"/>
          <w:b/>
          <w:szCs w:val="21"/>
        </w:rPr>
      </w:pPr>
      <w:r>
        <w:rPr>
          <w:rFonts w:hint="eastAsia" w:ascii="宋体" w:hAnsi="宋体"/>
          <w:b/>
          <w:szCs w:val="21"/>
        </w:rPr>
        <w:t>第九条  不可抗力</w:t>
      </w:r>
    </w:p>
    <w:p w14:paraId="30156B69">
      <w:pPr>
        <w:spacing w:line="300" w:lineRule="exact"/>
        <w:ind w:firstLine="440" w:firstLineChars="200"/>
        <w:rPr>
          <w:rFonts w:hint="eastAsia" w:ascii="宋体" w:hAnsi="宋体" w:cs="Arial"/>
          <w:szCs w:val="21"/>
        </w:rPr>
      </w:pPr>
      <w:r>
        <w:rPr>
          <w:rFonts w:hint="eastAsia" w:ascii="宋体" w:hAnsi="宋体" w:cs="Arial"/>
          <w:kern w:val="0"/>
          <w:szCs w:val="21"/>
        </w:rPr>
        <w:t>1.</w:t>
      </w:r>
      <w:r>
        <w:rPr>
          <w:rFonts w:hint="eastAsia" w:ascii="宋体" w:hAnsi="宋体" w:cs="Arial"/>
          <w:szCs w:val="21"/>
        </w:rPr>
        <w:t>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w:t>
      </w:r>
    </w:p>
    <w:p w14:paraId="7AAFCEE6">
      <w:pPr>
        <w:spacing w:line="300" w:lineRule="exact"/>
        <w:ind w:firstLine="440" w:firstLineChars="200"/>
        <w:rPr>
          <w:rFonts w:hint="eastAsia" w:ascii="宋体" w:hAnsi="宋体" w:cs="Arial"/>
          <w:szCs w:val="21"/>
        </w:rPr>
      </w:pPr>
      <w:r>
        <w:rPr>
          <w:rFonts w:hint="eastAsia" w:ascii="宋体" w:hAnsi="宋体" w:cs="Arial"/>
          <w:szCs w:val="21"/>
        </w:rPr>
        <w:t xml:space="preserve"> 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14:paraId="6F27438C">
      <w:pPr>
        <w:spacing w:line="300" w:lineRule="exact"/>
        <w:ind w:firstLine="440" w:firstLineChars="200"/>
        <w:rPr>
          <w:rFonts w:hint="eastAsia" w:ascii="宋体" w:hAnsi="宋体" w:cs="Arial"/>
          <w:szCs w:val="21"/>
        </w:rPr>
      </w:pPr>
      <w:r>
        <w:rPr>
          <w:rFonts w:hint="eastAsia" w:ascii="宋体" w:hAnsi="宋体" w:cs="Arial"/>
          <w:szCs w:val="21"/>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14:paraId="758A3286">
      <w:pPr>
        <w:spacing w:line="300" w:lineRule="exact"/>
        <w:rPr>
          <w:rFonts w:hint="eastAsia" w:ascii="宋体" w:hAnsi="宋体"/>
          <w:b/>
          <w:szCs w:val="21"/>
        </w:rPr>
      </w:pPr>
      <w:r>
        <w:rPr>
          <w:rFonts w:hint="eastAsia" w:ascii="宋体" w:hAnsi="宋体"/>
          <w:b/>
          <w:szCs w:val="21"/>
        </w:rPr>
        <w:t xml:space="preserve">第十条 合同变更与解除： </w:t>
      </w:r>
    </w:p>
    <w:p w14:paraId="5F4DDB3C">
      <w:pPr>
        <w:spacing w:line="300" w:lineRule="exact"/>
        <w:ind w:firstLine="440" w:firstLineChars="200"/>
        <w:rPr>
          <w:rFonts w:hint="eastAsia" w:ascii="宋体" w:hAnsi="宋体"/>
          <w:szCs w:val="21"/>
        </w:rPr>
      </w:pPr>
      <w:r>
        <w:rPr>
          <w:rFonts w:hint="eastAsia" w:ascii="宋体" w:hAnsi="宋体"/>
          <w:szCs w:val="21"/>
        </w:rPr>
        <w:t>除本合同另有约定或法律规定外，非经双方协商一致，任何一方均不得擅自变更或解除合同。</w:t>
      </w:r>
      <w:r>
        <w:rPr>
          <w:rFonts w:hint="eastAsia" w:ascii="宋体" w:hAnsi="宋体"/>
          <w:bCs/>
          <w:szCs w:val="21"/>
        </w:rPr>
        <w:t>合同变更或解除须采取书面形式。</w:t>
      </w:r>
    </w:p>
    <w:p w14:paraId="69E2E736">
      <w:pPr>
        <w:spacing w:line="300" w:lineRule="exact"/>
        <w:rPr>
          <w:rFonts w:hint="eastAsia" w:ascii="宋体" w:hAnsi="宋体"/>
          <w:b/>
          <w:szCs w:val="21"/>
        </w:rPr>
      </w:pPr>
      <w:r>
        <w:rPr>
          <w:rFonts w:hint="eastAsia" w:ascii="宋体" w:hAnsi="宋体"/>
          <w:b/>
          <w:szCs w:val="21"/>
        </w:rPr>
        <w:t>第十一条 违约责任</w:t>
      </w:r>
    </w:p>
    <w:p w14:paraId="7FB66D47">
      <w:pPr>
        <w:spacing w:line="300" w:lineRule="exact"/>
        <w:ind w:firstLine="440" w:firstLineChars="200"/>
        <w:rPr>
          <w:rFonts w:hint="eastAsia" w:ascii="宋体" w:hAnsi="宋体"/>
          <w:szCs w:val="21"/>
        </w:rPr>
      </w:pPr>
      <w:r>
        <w:rPr>
          <w:rFonts w:hint="eastAsia" w:ascii="宋体" w:hAnsi="宋体"/>
          <w:szCs w:val="21"/>
        </w:rPr>
        <w:t>1.供方未按期如数交付符合合同约定质量的货物，每逾期</w:t>
      </w:r>
      <w:r>
        <w:rPr>
          <w:rFonts w:hint="eastAsia" w:ascii="宋体" w:hAnsi="宋体"/>
          <w:szCs w:val="21"/>
          <w:u w:val="single"/>
        </w:rPr>
        <w:t xml:space="preserve">  壹 </w:t>
      </w:r>
      <w:r>
        <w:rPr>
          <w:rFonts w:hint="eastAsia" w:ascii="宋体" w:hAnsi="宋体"/>
          <w:szCs w:val="21"/>
        </w:rPr>
        <w:t>日，应向需方支付延迟交付货物货款金额</w:t>
      </w:r>
      <w:r>
        <w:rPr>
          <w:rFonts w:hint="eastAsia" w:ascii="宋体" w:hAnsi="宋体"/>
          <w:szCs w:val="21"/>
          <w:u w:val="single"/>
        </w:rPr>
        <w:t xml:space="preserve">    0.1  </w:t>
      </w:r>
      <w:r>
        <w:rPr>
          <w:rFonts w:hint="eastAsia" w:ascii="宋体" w:hAnsi="宋体"/>
          <w:szCs w:val="21"/>
        </w:rPr>
        <w:t>％的违约金；如供方逾期交货超过</w:t>
      </w:r>
      <w:r>
        <w:rPr>
          <w:rFonts w:hint="eastAsia" w:ascii="宋体" w:hAnsi="宋体"/>
          <w:szCs w:val="21"/>
          <w:u w:val="single"/>
        </w:rPr>
        <w:t xml:space="preserve">  三十    </w:t>
      </w:r>
      <w:r>
        <w:rPr>
          <w:rFonts w:hint="eastAsia" w:ascii="宋体" w:hAnsi="宋体"/>
          <w:szCs w:val="21"/>
        </w:rPr>
        <w:t>日的，除应向需方支付违约金外，需方还有权解除合同，并要求供方赔偿因逾期交货而造成的损失。</w:t>
      </w:r>
    </w:p>
    <w:p w14:paraId="68E0331F">
      <w:pPr>
        <w:spacing w:line="300" w:lineRule="exact"/>
        <w:ind w:firstLine="440" w:firstLineChars="200"/>
        <w:rPr>
          <w:rFonts w:hint="eastAsia" w:ascii="宋体" w:hAnsi="宋体"/>
          <w:szCs w:val="21"/>
        </w:rPr>
      </w:pPr>
      <w:r>
        <w:rPr>
          <w:rFonts w:hint="eastAsia" w:ascii="宋体" w:hAnsi="宋体"/>
          <w:szCs w:val="21"/>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w:t>
      </w:r>
    </w:p>
    <w:p w14:paraId="42778223">
      <w:pPr>
        <w:spacing w:line="300" w:lineRule="exact"/>
        <w:ind w:firstLine="440" w:firstLineChars="200"/>
        <w:rPr>
          <w:rFonts w:hint="eastAsia" w:ascii="宋体" w:hAnsi="宋体"/>
          <w:szCs w:val="21"/>
        </w:rPr>
      </w:pPr>
      <w:r>
        <w:rPr>
          <w:rFonts w:hint="eastAsia" w:ascii="宋体" w:hAnsi="宋体"/>
          <w:szCs w:val="21"/>
        </w:rPr>
        <w:t>3.发生其他违约情形，违约方应赔偿由此给对方造成的损失。如属双方过错，应各自承担相应责任。</w:t>
      </w:r>
    </w:p>
    <w:p w14:paraId="077F7538">
      <w:pPr>
        <w:spacing w:line="300" w:lineRule="exact"/>
        <w:ind w:firstLine="440" w:firstLineChars="200"/>
        <w:rPr>
          <w:rFonts w:hint="default" w:ascii="宋体" w:hAnsi="宋体" w:eastAsia="宋体"/>
          <w:szCs w:val="21"/>
          <w:lang w:val="en-US" w:eastAsia="zh-CN"/>
        </w:rPr>
      </w:pPr>
      <w:r>
        <w:rPr>
          <w:rFonts w:hint="eastAsia"/>
          <w:szCs w:val="21"/>
          <w:lang w:val="en-US" w:eastAsia="zh-CN"/>
        </w:rPr>
        <w:t>4.需方无故逾期付款的，按照全国银行间同业拆借中心公布的一年期贷款市场报价利率支付利息。</w:t>
      </w:r>
    </w:p>
    <w:p w14:paraId="70B72BA7">
      <w:pPr>
        <w:spacing w:line="300" w:lineRule="exact"/>
        <w:rPr>
          <w:rFonts w:ascii="宋体" w:hAnsi="宋体"/>
          <w:b/>
          <w:color w:val="000000"/>
          <w:szCs w:val="21"/>
        </w:rPr>
      </w:pPr>
      <w:r>
        <w:rPr>
          <w:rFonts w:hint="eastAsia" w:ascii="宋体" w:hAnsi="宋体"/>
          <w:b/>
          <w:color w:val="000000"/>
          <w:szCs w:val="21"/>
        </w:rPr>
        <w:t>第十二条　法律的适用及争议解决方式</w:t>
      </w:r>
    </w:p>
    <w:p w14:paraId="560BDBD1">
      <w:pPr>
        <w:spacing w:line="300" w:lineRule="exact"/>
        <w:ind w:firstLine="440" w:firstLineChars="200"/>
        <w:rPr>
          <w:rFonts w:ascii="宋体" w:hAnsi="宋体"/>
          <w:color w:val="000000"/>
          <w:szCs w:val="21"/>
        </w:rPr>
      </w:pPr>
      <w:r>
        <w:rPr>
          <w:rFonts w:hint="eastAsia" w:ascii="宋体" w:hAnsi="宋体"/>
          <w:color w:val="000000"/>
          <w:szCs w:val="21"/>
        </w:rPr>
        <w:t>1.本合同的效力、解释及履行均适用中华人民共和国法律。</w:t>
      </w:r>
    </w:p>
    <w:p w14:paraId="71FF4556">
      <w:pPr>
        <w:spacing w:line="300" w:lineRule="exact"/>
        <w:ind w:firstLine="440" w:firstLineChars="200"/>
        <w:rPr>
          <w:rFonts w:hint="eastAsia" w:ascii="宋体" w:hAnsi="宋体"/>
          <w:color w:val="000000"/>
          <w:szCs w:val="21"/>
        </w:rPr>
      </w:pPr>
      <w:r>
        <w:rPr>
          <w:rFonts w:hint="eastAsia" w:ascii="宋体" w:hAnsi="宋体"/>
          <w:color w:val="000000"/>
          <w:szCs w:val="21"/>
        </w:rPr>
        <w:t>2.因本合同履行过程中引起的任何争议，双方应及时友好协商解决。协商不成的，向需方所在地的人民法院提起诉讼。</w:t>
      </w:r>
    </w:p>
    <w:p w14:paraId="1CC55BF7">
      <w:pPr>
        <w:spacing w:line="300" w:lineRule="exact"/>
        <w:ind w:firstLine="440" w:firstLineChars="200"/>
        <w:rPr>
          <w:rFonts w:hint="eastAsia" w:ascii="宋体" w:hAnsi="宋体"/>
          <w:color w:val="000000"/>
          <w:szCs w:val="21"/>
        </w:rPr>
      </w:pPr>
      <w:r>
        <w:rPr>
          <w:rFonts w:hint="eastAsia" w:ascii="宋体" w:hAnsi="宋体"/>
          <w:color w:val="000000"/>
          <w:szCs w:val="21"/>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14:paraId="2EDE2208">
      <w:pPr>
        <w:spacing w:line="300" w:lineRule="exact"/>
        <w:rPr>
          <w:rFonts w:hint="eastAsia" w:ascii="宋体" w:hAnsi="宋体"/>
          <w:b/>
          <w:color w:val="000000"/>
          <w:szCs w:val="21"/>
        </w:rPr>
      </w:pPr>
      <w:r>
        <w:rPr>
          <w:rFonts w:hint="eastAsia" w:ascii="宋体" w:hAnsi="宋体"/>
          <w:b/>
          <w:color w:val="000000"/>
          <w:szCs w:val="21"/>
        </w:rPr>
        <w:t>第十三条 廉政条款</w:t>
      </w:r>
    </w:p>
    <w:p w14:paraId="328A99CD">
      <w:pPr>
        <w:spacing w:line="300" w:lineRule="exact"/>
        <w:ind w:firstLine="440" w:firstLineChars="200"/>
        <w:rPr>
          <w:rFonts w:hint="eastAsia" w:ascii="宋体" w:hAnsi="宋体"/>
          <w:color w:val="000000"/>
          <w:szCs w:val="21"/>
        </w:rPr>
      </w:pPr>
      <w:r>
        <w:rPr>
          <w:rFonts w:hint="eastAsia" w:ascii="宋体" w:hAnsi="宋体"/>
          <w:color w:val="000000"/>
          <w:szCs w:val="21"/>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14:paraId="790729E8">
      <w:pPr>
        <w:spacing w:line="300" w:lineRule="exact"/>
        <w:ind w:firstLine="440" w:firstLineChars="200"/>
        <w:rPr>
          <w:rFonts w:hint="eastAsia" w:ascii="宋体" w:hAnsi="宋体"/>
          <w:color w:val="000000"/>
          <w:szCs w:val="21"/>
        </w:rPr>
      </w:pPr>
      <w:r>
        <w:rPr>
          <w:rFonts w:hint="eastAsia" w:ascii="宋体" w:hAnsi="宋体"/>
          <w:color w:val="000000"/>
          <w:szCs w:val="21"/>
        </w:rPr>
        <w:t>双方确认，任何一方实施违反前述规定的行为都构成违约，应当向守约方支付违约金，违约金金额为本合同金额的</w:t>
      </w:r>
      <w:r>
        <w:rPr>
          <w:rFonts w:hint="eastAsia" w:ascii="宋体" w:hAnsi="宋体"/>
          <w:color w:val="000000"/>
          <w:szCs w:val="21"/>
          <w:u w:val="single"/>
        </w:rPr>
        <w:t xml:space="preserve">  </w:t>
      </w:r>
      <w:r>
        <w:rPr>
          <w:rFonts w:ascii="宋体" w:hAnsi="宋体"/>
          <w:color w:val="000000"/>
          <w:szCs w:val="21"/>
          <w:u w:val="single"/>
        </w:rPr>
        <w:t>0.1</w:t>
      </w:r>
      <w:r>
        <w:rPr>
          <w:rFonts w:hint="eastAsia" w:ascii="宋体" w:hAnsi="宋体"/>
          <w:color w:val="000000"/>
          <w:szCs w:val="21"/>
          <w:u w:val="single"/>
        </w:rPr>
        <w:t xml:space="preserve">  </w:t>
      </w:r>
      <w:r>
        <w:rPr>
          <w:rFonts w:hint="eastAsia" w:ascii="宋体" w:hAnsi="宋体"/>
          <w:color w:val="000000"/>
          <w:szCs w:val="21"/>
        </w:rPr>
        <w:t>%，如给守约方造成的损失超过本条约定的违约金金额，超出部分的损失，违约方还应予以赔偿。并且，守约方有权视违约方违约情节的严重程度，解除本合同和/或将违约方纳入限制或禁止交易的对象。</w:t>
      </w:r>
    </w:p>
    <w:p w14:paraId="2F1B188E">
      <w:pPr>
        <w:spacing w:line="300" w:lineRule="exact"/>
        <w:rPr>
          <w:rFonts w:hint="eastAsia" w:ascii="宋体" w:hAnsi="宋体"/>
          <w:b/>
          <w:color w:val="000000"/>
          <w:szCs w:val="21"/>
        </w:rPr>
      </w:pPr>
      <w:r>
        <w:rPr>
          <w:rFonts w:hint="eastAsia" w:ascii="宋体" w:hAnsi="宋体"/>
          <w:b/>
          <w:color w:val="000000"/>
          <w:szCs w:val="21"/>
        </w:rPr>
        <w:t>第十四条　合同的效力及其他</w:t>
      </w:r>
    </w:p>
    <w:p w14:paraId="40EC5814">
      <w:pPr>
        <w:spacing w:line="300" w:lineRule="exact"/>
        <w:ind w:firstLine="440" w:firstLineChars="200"/>
        <w:rPr>
          <w:rFonts w:hint="eastAsia" w:ascii="宋体" w:hAnsi="宋体"/>
          <w:color w:val="000000"/>
          <w:szCs w:val="21"/>
        </w:rPr>
      </w:pPr>
      <w:r>
        <w:rPr>
          <w:rFonts w:hint="eastAsia" w:ascii="宋体" w:hAnsi="宋体"/>
          <w:color w:val="000000"/>
          <w:szCs w:val="21"/>
        </w:rPr>
        <w:t>1.本合同自签订之日起生效。本合同传真件同样有效。合同以传真件形式生效后，双方应及时以纸质盖章原件的文本形式予以固定。</w:t>
      </w:r>
    </w:p>
    <w:p w14:paraId="7A9B1018">
      <w:pPr>
        <w:spacing w:line="300" w:lineRule="exact"/>
        <w:ind w:firstLine="440" w:firstLineChars="200"/>
        <w:rPr>
          <w:rFonts w:hint="eastAsia" w:ascii="宋体" w:hAnsi="宋体"/>
          <w:color w:val="000000"/>
          <w:szCs w:val="21"/>
        </w:rPr>
      </w:pPr>
      <w:r>
        <w:rPr>
          <w:rFonts w:hint="eastAsia" w:ascii="宋体" w:hAnsi="宋体"/>
          <w:color w:val="000000"/>
          <w:szCs w:val="21"/>
        </w:rPr>
        <w:t>2.本合同未尽事宜，双方协商签订补充协议。</w:t>
      </w:r>
    </w:p>
    <w:p w14:paraId="150F5A21">
      <w:pPr>
        <w:spacing w:line="300" w:lineRule="exact"/>
        <w:ind w:firstLine="440" w:firstLineChars="200"/>
        <w:rPr>
          <w:rFonts w:hint="eastAsia" w:ascii="宋体" w:hAnsi="宋体"/>
          <w:color w:val="000000"/>
          <w:szCs w:val="21"/>
        </w:rPr>
      </w:pPr>
      <w:r>
        <w:rPr>
          <w:rFonts w:hint="eastAsia" w:ascii="宋体" w:hAnsi="宋体"/>
          <w:color w:val="000000"/>
          <w:szCs w:val="21"/>
        </w:rPr>
        <w:t>3.本合同的组成部分：协议书、《合同条款及规则》、相关标准及附件、订单、补充协议。</w:t>
      </w:r>
    </w:p>
    <w:p w14:paraId="6CEA70A2">
      <w:pPr>
        <w:spacing w:line="300" w:lineRule="exact"/>
        <w:ind w:firstLine="440" w:firstLineChars="200"/>
        <w:rPr>
          <w:rFonts w:hint="eastAsia" w:ascii="宋体" w:hAnsi="宋体"/>
          <w:color w:val="000000"/>
          <w:szCs w:val="21"/>
        </w:rPr>
      </w:pPr>
      <w:r>
        <w:rPr>
          <w:rFonts w:hint="eastAsia" w:ascii="宋体" w:hAnsi="宋体"/>
          <w:color w:val="000000"/>
          <w:szCs w:val="21"/>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C4EFA94">
      <w:pPr>
        <w:spacing w:line="300" w:lineRule="exact"/>
        <w:ind w:firstLine="440" w:firstLineChars="200"/>
        <w:rPr>
          <w:rFonts w:hint="eastAsia"/>
          <w:szCs w:val="21"/>
        </w:rPr>
      </w:pPr>
      <w:r>
        <w:rPr>
          <w:rFonts w:hint="eastAsia" w:ascii="宋体" w:hAnsi="宋体"/>
          <w:color w:val="000000"/>
          <w:szCs w:val="21"/>
        </w:rPr>
        <w:t>5.其他</w:t>
      </w:r>
      <w:r>
        <w:rPr>
          <w:rFonts w:hint="eastAsia"/>
          <w:szCs w:val="21"/>
        </w:rPr>
        <w:t>约定事项：</w:t>
      </w:r>
    </w:p>
    <w:p w14:paraId="5D262CF4">
      <w:pPr>
        <w:spacing w:line="300" w:lineRule="exact"/>
        <w:ind w:firstLine="440" w:firstLineChars="200"/>
        <w:rPr>
          <w:rFonts w:hint="eastAsia"/>
          <w:szCs w:val="21"/>
          <w:lang w:val="en-US" w:eastAsia="zh-CN"/>
        </w:rPr>
      </w:pPr>
      <w:r>
        <w:rPr>
          <w:rFonts w:hint="eastAsia"/>
          <w:szCs w:val="21"/>
          <w:lang w:val="en-US" w:eastAsia="zh-CN"/>
        </w:rPr>
        <w:t>5.1供方根据需方要求缴纳履约保证金，金额为人民币2000元整。合同履约期届满后供方按合同约定全面履约的情况下，需方于供方提交返还履约保证金申请后30个工作日内无息返还。</w:t>
      </w:r>
    </w:p>
    <w:p w14:paraId="6ED1C1FC">
      <w:pPr>
        <w:spacing w:line="300" w:lineRule="exact"/>
        <w:ind w:firstLine="440" w:firstLineChars="200"/>
        <w:rPr>
          <w:rFonts w:hint="eastAsia"/>
          <w:szCs w:val="21"/>
          <w:lang w:val="en-US" w:eastAsia="zh-CN"/>
        </w:rPr>
      </w:pPr>
      <w:r>
        <w:rPr>
          <w:rFonts w:hint="eastAsia"/>
          <w:szCs w:val="21"/>
          <w:lang w:val="en-US" w:eastAsia="zh-CN"/>
        </w:rPr>
        <w:t>5.2 质量指标：见附件</w:t>
      </w:r>
    </w:p>
    <w:p w14:paraId="214F98F3"/>
    <w:p w14:paraId="08539CA9"/>
    <w:p w14:paraId="2BF4FDC8"/>
    <w:p w14:paraId="020B1601"/>
    <w:p w14:paraId="2FAABA3D"/>
    <w:p w14:paraId="133B7407"/>
    <w:p w14:paraId="74E95092"/>
    <w:p w14:paraId="342B7E53"/>
    <w:p w14:paraId="532708E0"/>
    <w:p w14:paraId="2ED17DBD"/>
    <w:p w14:paraId="30719873"/>
    <w:p w14:paraId="08453A2C">
      <w:pPr>
        <w:rPr>
          <w:rFonts w:hint="eastAsia" w:eastAsia="宋体"/>
          <w:lang w:eastAsia="zh-CN"/>
        </w:rPr>
      </w:pPr>
    </w:p>
    <w:p w14:paraId="1CB96D54">
      <w:pPr>
        <w:rPr>
          <w:rFonts w:hint="eastAsia" w:eastAsia="宋体"/>
          <w:lang w:eastAsia="zh-CN"/>
        </w:rPr>
      </w:pPr>
    </w:p>
    <w:p w14:paraId="2390FFEE">
      <w:pPr>
        <w:rPr>
          <w:rFonts w:hint="eastAsia" w:eastAsia="宋体"/>
          <w:lang w:eastAsia="zh-CN"/>
        </w:rPr>
      </w:pPr>
      <w:r>
        <w:rPr>
          <w:rFonts w:hint="eastAsia" w:eastAsia="宋体"/>
          <w:lang w:eastAsia="zh-CN"/>
        </w:rPr>
        <w:drawing>
          <wp:inline distT="0" distB="0" distL="114300" distR="114300">
            <wp:extent cx="5038725" cy="2933700"/>
            <wp:effectExtent l="0" t="0" r="9525" b="0"/>
            <wp:docPr id="4" name="图片 4" descr="29e2aa51-0863-4c8d-bcb8-f61e3cadc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9e2aa51-0863-4c8d-bcb8-f61e3cadc801"/>
                    <pic:cNvPicPr>
                      <a:picLocks noChangeAspect="1"/>
                    </pic:cNvPicPr>
                  </pic:nvPicPr>
                  <pic:blipFill>
                    <a:blip r:embed="rId4"/>
                    <a:stretch>
                      <a:fillRect/>
                    </a:stretch>
                  </pic:blipFill>
                  <pic:spPr>
                    <a:xfrm>
                      <a:off x="0" y="0"/>
                      <a:ext cx="5038725" cy="2933700"/>
                    </a:xfrm>
                    <a:prstGeom prst="rect">
                      <a:avLst/>
                    </a:prstGeom>
                  </pic:spPr>
                </pic:pic>
              </a:graphicData>
            </a:graphic>
          </wp:inline>
        </w:drawing>
      </w:r>
      <w:r>
        <w:rPr>
          <w:rFonts w:hint="eastAsia" w:eastAsia="宋体"/>
          <w:lang w:eastAsia="zh-CN"/>
        </w:rPr>
        <w:drawing>
          <wp:inline distT="0" distB="0" distL="114300" distR="114300">
            <wp:extent cx="4943475" cy="3867150"/>
            <wp:effectExtent l="0" t="0" r="9525" b="0"/>
            <wp:docPr id="3" name="图片 3" descr="680e6a4e-2fbf-46b6-929a-e6bfc36ea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80e6a4e-2fbf-46b6-929a-e6bfc36eadb0"/>
                    <pic:cNvPicPr>
                      <a:picLocks noChangeAspect="1"/>
                    </pic:cNvPicPr>
                  </pic:nvPicPr>
                  <pic:blipFill>
                    <a:blip r:embed="rId5"/>
                    <a:stretch>
                      <a:fillRect/>
                    </a:stretch>
                  </pic:blipFill>
                  <pic:spPr>
                    <a:xfrm>
                      <a:off x="0" y="0"/>
                      <a:ext cx="4943475" cy="3867150"/>
                    </a:xfrm>
                    <a:prstGeom prst="rect">
                      <a:avLst/>
                    </a:prstGeom>
                  </pic:spPr>
                </pic:pic>
              </a:graphicData>
            </a:graphic>
          </wp:inline>
        </w:drawing>
      </w:r>
    </w:p>
    <w:p w14:paraId="52FDCC51"/>
    <w:p w14:paraId="04CCD8A4"/>
    <w:p w14:paraId="43A77AAF"/>
    <w:p w14:paraId="12104A64"/>
    <w:p w14:paraId="06988760"/>
    <w:p w14:paraId="2D30FCC7"/>
    <w:p w14:paraId="49C42291"/>
    <w:p w14:paraId="31C6448D"/>
    <w:p w14:paraId="724D9E2F"/>
    <w:p w14:paraId="1557EF0F"/>
    <w:p w14:paraId="6F5E1422"/>
    <w:p w14:paraId="3247F1DC">
      <w:pPr>
        <w:pStyle w:val="5"/>
        <w:numPr>
          <w:ilvl w:val="0"/>
          <w:numId w:val="0"/>
        </w:numPr>
        <w:ind w:leftChars="0"/>
        <w:jc w:val="center"/>
        <w:rPr>
          <w:rFonts w:hint="eastAsia"/>
          <w:b/>
          <w:bCs/>
          <w:sz w:val="32"/>
          <w:szCs w:val="36"/>
          <w:lang w:val="en-US" w:eastAsia="zh-CN"/>
        </w:rPr>
      </w:pPr>
      <w:r>
        <w:rPr>
          <w:rFonts w:hint="eastAsia"/>
          <w:b/>
          <w:bCs/>
          <w:sz w:val="32"/>
          <w:szCs w:val="36"/>
          <w:lang w:val="en-US" w:eastAsia="zh-CN"/>
        </w:rPr>
        <w:t>人员、车辆入厂安全管理协议</w:t>
      </w:r>
    </w:p>
    <w:p w14:paraId="540A18EE">
      <w:pPr>
        <w:jc w:val="center"/>
        <w:rPr>
          <w:b/>
          <w:bCs/>
          <w:sz w:val="32"/>
          <w:szCs w:val="36"/>
        </w:rPr>
      </w:pPr>
    </w:p>
    <w:p w14:paraId="6A8B09AA">
      <w:pPr>
        <w:spacing w:line="280" w:lineRule="exact"/>
        <w:rPr>
          <w:rFonts w:hint="default" w:ascii="宋体" w:hAnsi="宋体" w:eastAsiaTheme="minorEastAsia"/>
          <w:b/>
          <w:szCs w:val="21"/>
          <w:lang w:val="en-US" w:eastAsia="zh-CN"/>
        </w:rPr>
      </w:pPr>
      <w:r>
        <w:rPr>
          <w:rFonts w:hint="eastAsia" w:ascii="宋体" w:hAnsi="宋体" w:eastAsiaTheme="minorEastAsia" w:cstheme="minorBidi"/>
          <w:b/>
          <w:bCs/>
          <w:kern w:val="2"/>
          <w:sz w:val="24"/>
          <w:szCs w:val="24"/>
          <w:lang w:val="en-US" w:eastAsia="zh-CN" w:bidi="ar-SA"/>
        </w:rPr>
        <w:t xml:space="preserve">甲方： </w:t>
      </w:r>
      <w:r>
        <w:rPr>
          <w:rFonts w:hint="eastAsia" w:ascii="宋体" w:hAnsi="宋体"/>
          <w:b/>
          <w:szCs w:val="21"/>
          <w:lang w:val="en-US" w:eastAsia="zh-CN"/>
        </w:rPr>
        <w:t>福建省福化古蕾化学有限公司</w:t>
      </w:r>
    </w:p>
    <w:p w14:paraId="36C93451">
      <w:pPr>
        <w:pStyle w:val="5"/>
        <w:numPr>
          <w:ilvl w:val="0"/>
          <w:numId w:val="0"/>
        </w:numPr>
        <w:ind w:leftChars="0"/>
        <w:jc w:val="left"/>
        <w:rPr>
          <w:rFonts w:hint="default" w:ascii="宋体" w:hAnsi="宋体" w:cstheme="minorBidi"/>
          <w:b/>
          <w:bCs/>
          <w:kern w:val="2"/>
          <w:sz w:val="24"/>
          <w:szCs w:val="24"/>
          <w:u w:val="single"/>
          <w:lang w:val="en-US" w:eastAsia="zh-CN" w:bidi="ar-SA"/>
        </w:rPr>
      </w:pPr>
      <w:r>
        <w:rPr>
          <w:rFonts w:hint="eastAsia" w:ascii="宋体" w:hAnsi="宋体" w:eastAsiaTheme="minorEastAsia" w:cstheme="minorBidi"/>
          <w:b/>
          <w:bCs/>
          <w:kern w:val="2"/>
          <w:sz w:val="24"/>
          <w:szCs w:val="24"/>
          <w:lang w:val="en-US" w:eastAsia="zh-CN" w:bidi="ar-SA"/>
        </w:rPr>
        <w:t>乙方：</w:t>
      </w:r>
      <w:r>
        <w:rPr>
          <w:rFonts w:hint="eastAsia" w:eastAsiaTheme="minorEastAsia" w:cstheme="minorBidi"/>
          <w:b/>
          <w:bCs/>
          <w:kern w:val="2"/>
          <w:sz w:val="24"/>
          <w:szCs w:val="24"/>
          <w:lang w:val="en-US" w:eastAsia="zh-CN" w:bidi="ar-SA"/>
        </w:rPr>
        <w:t xml:space="preserve"> </w:t>
      </w:r>
    </w:p>
    <w:p w14:paraId="621C55F4">
      <w:pPr>
        <w:spacing w:line="360" w:lineRule="auto"/>
        <w:ind w:left="-526" w:leftChars="-239" w:firstLine="464" w:firstLineChars="211"/>
        <w:rPr>
          <w:rFonts w:hint="eastAsia" w:ascii="宋体" w:hAnsi="宋体"/>
          <w:szCs w:val="21"/>
        </w:rPr>
      </w:pPr>
      <w:r>
        <w:rPr>
          <w:rFonts w:hint="eastAsia" w:ascii="宋体" w:hAnsi="宋体"/>
          <w:szCs w:val="21"/>
        </w:rPr>
        <w:t>为进一步明确甲乙双方在合同履行过程中的</w:t>
      </w:r>
      <w:r>
        <w:rPr>
          <w:rFonts w:hint="eastAsia" w:ascii="宋体" w:hAnsi="宋体"/>
          <w:szCs w:val="21"/>
          <w:lang w:val="en-US" w:eastAsia="zh-CN"/>
        </w:rPr>
        <w:t>安全生产</w:t>
      </w:r>
      <w:r>
        <w:rPr>
          <w:rFonts w:hint="eastAsia" w:ascii="宋体" w:hAnsi="宋体"/>
          <w:szCs w:val="21"/>
        </w:rPr>
        <w:t>权利和义务及责任，经双方协商，双方自愿签订本协议，作为主合同的附件。</w:t>
      </w:r>
    </w:p>
    <w:p w14:paraId="6B896287">
      <w:pPr>
        <w:numPr>
          <w:ilvl w:val="0"/>
          <w:numId w:val="1"/>
        </w:numPr>
        <w:spacing w:line="360" w:lineRule="auto"/>
        <w:ind w:left="-526" w:leftChars="-239" w:firstLine="466" w:firstLineChars="211"/>
        <w:rPr>
          <w:rFonts w:hint="eastAsia" w:ascii="宋体" w:hAnsi="宋体"/>
          <w:b/>
          <w:bCs/>
          <w:szCs w:val="21"/>
          <w:lang w:val="en-US" w:eastAsia="zh-CN"/>
        </w:rPr>
      </w:pPr>
      <w:r>
        <w:rPr>
          <w:rFonts w:hint="eastAsia" w:ascii="宋体" w:hAnsi="宋体"/>
          <w:b/>
          <w:bCs/>
          <w:szCs w:val="21"/>
          <w:lang w:val="en-US" w:eastAsia="zh-CN"/>
        </w:rPr>
        <w:t>甲方的权利和义务</w:t>
      </w:r>
    </w:p>
    <w:p w14:paraId="566356E0">
      <w:pPr>
        <w:numPr>
          <w:ilvl w:val="0"/>
          <w:numId w:val="2"/>
        </w:numPr>
        <w:spacing w:line="360" w:lineRule="auto"/>
        <w:ind w:leftChars="-28"/>
        <w:rPr>
          <w:rFonts w:hint="default" w:ascii="宋体" w:hAnsi="宋体"/>
          <w:szCs w:val="21"/>
          <w:lang w:val="en-US" w:eastAsia="zh-CN"/>
        </w:rPr>
      </w:pPr>
      <w:r>
        <w:rPr>
          <w:rFonts w:hint="eastAsia" w:ascii="宋体" w:hAnsi="宋体"/>
          <w:szCs w:val="21"/>
          <w:lang w:val="en-US" w:eastAsia="zh-CN"/>
        </w:rPr>
        <w:t>甲方负责向乙方提供乙方需遵守的安全环保管理规定，并在入厂前向需要进入甲方厂区的人员进行安全告知。</w:t>
      </w:r>
    </w:p>
    <w:p w14:paraId="1072EDCD">
      <w:pPr>
        <w:numPr>
          <w:ilvl w:val="0"/>
          <w:numId w:val="2"/>
        </w:numPr>
        <w:spacing w:line="360" w:lineRule="auto"/>
        <w:ind w:leftChars="-28"/>
        <w:rPr>
          <w:rFonts w:hint="default" w:ascii="宋体" w:hAnsi="宋体"/>
          <w:szCs w:val="21"/>
          <w:lang w:val="en-US" w:eastAsia="zh-CN"/>
        </w:rPr>
      </w:pPr>
      <w:r>
        <w:rPr>
          <w:rFonts w:hint="eastAsia" w:ascii="宋体" w:hAnsi="宋体"/>
          <w:szCs w:val="21"/>
          <w:lang w:val="en-US" w:eastAsia="zh-CN"/>
        </w:rPr>
        <w:t>甲方应为乙方指定甲方厂区内的安全行车路线。</w:t>
      </w:r>
    </w:p>
    <w:p w14:paraId="327BE816">
      <w:pPr>
        <w:numPr>
          <w:ilvl w:val="0"/>
          <w:numId w:val="2"/>
        </w:numPr>
        <w:spacing w:line="360" w:lineRule="auto"/>
        <w:ind w:leftChars="-28"/>
        <w:rPr>
          <w:rFonts w:hint="default" w:ascii="宋体" w:hAnsi="宋体"/>
          <w:szCs w:val="21"/>
          <w:lang w:val="en-US" w:eastAsia="zh-CN"/>
        </w:rPr>
      </w:pPr>
      <w:r>
        <w:rPr>
          <w:rFonts w:hint="eastAsia" w:ascii="宋体" w:hAnsi="宋体"/>
          <w:szCs w:val="21"/>
          <w:lang w:val="en-US" w:eastAsia="zh-CN"/>
        </w:rPr>
        <w:t>甲方负责对乙方的入厂车辆和人员进行安全资质、车辆完好情况及人员健康情况进行检查，禁止不合格的车辆和人员入厂。</w:t>
      </w:r>
    </w:p>
    <w:p w14:paraId="203F7F16">
      <w:pPr>
        <w:numPr>
          <w:ilvl w:val="0"/>
          <w:numId w:val="2"/>
        </w:numPr>
        <w:spacing w:line="360" w:lineRule="auto"/>
        <w:ind w:leftChars="-28"/>
        <w:rPr>
          <w:rFonts w:hint="default" w:ascii="宋体" w:hAnsi="宋体"/>
          <w:szCs w:val="21"/>
          <w:lang w:val="en-US" w:eastAsia="zh-CN"/>
        </w:rPr>
      </w:pPr>
      <w:r>
        <w:rPr>
          <w:rFonts w:hint="eastAsia" w:ascii="宋体" w:hAnsi="宋体"/>
          <w:szCs w:val="21"/>
          <w:lang w:val="en-US" w:eastAsia="zh-CN"/>
        </w:rPr>
        <w:t>甲方对乙方车辆在甲方厂区门口、停车场及厂区内停放和行驶情况进行监督检查，有权对违规的车辆和人员按照甲方的规定进行处罚。</w:t>
      </w:r>
    </w:p>
    <w:p w14:paraId="21B7B556">
      <w:pPr>
        <w:numPr>
          <w:ilvl w:val="0"/>
          <w:numId w:val="2"/>
        </w:numPr>
        <w:spacing w:line="360" w:lineRule="auto"/>
        <w:ind w:leftChars="-28"/>
        <w:rPr>
          <w:rFonts w:hint="default" w:ascii="宋体" w:hAnsi="宋体"/>
          <w:szCs w:val="21"/>
          <w:lang w:val="en-US" w:eastAsia="zh-CN"/>
        </w:rPr>
      </w:pPr>
      <w:r>
        <w:rPr>
          <w:rFonts w:hint="eastAsia" w:ascii="宋体" w:hAnsi="宋体"/>
          <w:szCs w:val="21"/>
          <w:lang w:val="en-US" w:eastAsia="zh-CN"/>
        </w:rPr>
        <w:t>甲方业务主管部门应全程委托专门人员引导乙方车辆和人员按指定的路线进入厂区、到达指定位置。</w:t>
      </w:r>
    </w:p>
    <w:p w14:paraId="79C39066">
      <w:pPr>
        <w:numPr>
          <w:ilvl w:val="0"/>
          <w:numId w:val="1"/>
        </w:numPr>
        <w:spacing w:line="360" w:lineRule="auto"/>
        <w:ind w:left="-526" w:leftChars="-239" w:firstLine="466" w:firstLineChars="211"/>
        <w:rPr>
          <w:rFonts w:hint="default" w:ascii="宋体" w:hAnsi="宋体"/>
          <w:b/>
          <w:bCs/>
          <w:szCs w:val="21"/>
          <w:lang w:val="en-US" w:eastAsia="zh-CN"/>
        </w:rPr>
      </w:pPr>
      <w:r>
        <w:rPr>
          <w:rFonts w:hint="eastAsia" w:ascii="宋体" w:hAnsi="宋体"/>
          <w:b/>
          <w:bCs/>
          <w:szCs w:val="21"/>
          <w:lang w:val="en-US" w:eastAsia="zh-CN"/>
        </w:rPr>
        <w:t>乙方的权利和义务</w:t>
      </w:r>
    </w:p>
    <w:p w14:paraId="2C6E7631">
      <w:pPr>
        <w:numPr>
          <w:ilvl w:val="0"/>
          <w:numId w:val="3"/>
        </w:numPr>
        <w:spacing w:line="360" w:lineRule="auto"/>
        <w:ind w:leftChars="-28"/>
        <w:rPr>
          <w:rFonts w:hint="eastAsia" w:ascii="宋体" w:hAnsi="宋体"/>
          <w:szCs w:val="21"/>
          <w:lang w:val="en-US" w:eastAsia="zh-CN"/>
        </w:rPr>
      </w:pPr>
      <w:r>
        <w:rPr>
          <w:rFonts w:hint="eastAsia" w:ascii="宋体" w:hAnsi="宋体"/>
          <w:szCs w:val="21"/>
          <w:lang w:val="en-US"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36820044">
      <w:pPr>
        <w:numPr>
          <w:ilvl w:val="0"/>
          <w:numId w:val="3"/>
        </w:numPr>
        <w:spacing w:line="360" w:lineRule="auto"/>
        <w:ind w:leftChars="-28"/>
        <w:rPr>
          <w:rFonts w:hint="eastAsia" w:ascii="宋体" w:hAnsi="宋体"/>
          <w:szCs w:val="21"/>
          <w:lang w:val="en-US" w:eastAsia="zh-CN"/>
        </w:rPr>
      </w:pPr>
      <w:r>
        <w:rPr>
          <w:rFonts w:hint="eastAsia" w:ascii="宋体" w:hAnsi="宋体"/>
          <w:szCs w:val="21"/>
          <w:lang w:val="en-US" w:eastAsia="zh-CN"/>
        </w:rPr>
        <w:t>乙方应为需进入甲方厂区的人员提供符合甲方要求的安全帽、劳保服、劳保鞋等劳动防护用品，并督促入厂人员规范佩戴和使用。</w:t>
      </w:r>
    </w:p>
    <w:p w14:paraId="048BF7FD">
      <w:pPr>
        <w:numPr>
          <w:ilvl w:val="0"/>
          <w:numId w:val="3"/>
        </w:numPr>
        <w:spacing w:line="360" w:lineRule="auto"/>
        <w:ind w:leftChars="-28"/>
        <w:rPr>
          <w:rFonts w:hint="default" w:ascii="宋体" w:hAnsi="宋体"/>
          <w:szCs w:val="21"/>
          <w:lang w:val="en-US" w:eastAsia="zh-CN"/>
        </w:rPr>
      </w:pPr>
      <w:r>
        <w:rPr>
          <w:rFonts w:hint="eastAsia" w:ascii="宋体" w:hAnsi="宋体"/>
          <w:szCs w:val="21"/>
          <w:lang w:val="en-US" w:eastAsia="zh-CN"/>
        </w:rPr>
        <w:t>乙方应遵守甲方相关管理规定（以甲方发给乙方的制度内容为准），并提前向入厂人员做好宣贯，禁止入厂人员违规携带香烟、打火机、非防爆手机等器具。如按规定遭受甲方处罚时，应按期缴纳罚款。</w:t>
      </w:r>
    </w:p>
    <w:p w14:paraId="19F448AE">
      <w:pPr>
        <w:numPr>
          <w:ilvl w:val="0"/>
          <w:numId w:val="3"/>
        </w:numPr>
        <w:spacing w:line="360" w:lineRule="auto"/>
        <w:ind w:leftChars="-28"/>
        <w:rPr>
          <w:rFonts w:hint="eastAsia" w:ascii="宋体" w:hAnsi="宋体"/>
          <w:szCs w:val="21"/>
          <w:lang w:val="en-US" w:eastAsia="zh-CN"/>
        </w:rPr>
      </w:pPr>
      <w:r>
        <w:rPr>
          <w:rFonts w:hint="eastAsia" w:ascii="宋体" w:hAnsi="宋体"/>
          <w:szCs w:val="21"/>
          <w:lang w:val="en-US"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AF0F684">
      <w:pPr>
        <w:numPr>
          <w:ilvl w:val="0"/>
          <w:numId w:val="3"/>
        </w:numPr>
        <w:spacing w:line="360" w:lineRule="auto"/>
        <w:ind w:leftChars="-28"/>
        <w:rPr>
          <w:rFonts w:hint="default" w:ascii="宋体" w:hAnsi="宋体"/>
          <w:szCs w:val="21"/>
          <w:lang w:val="en-US" w:eastAsia="zh-CN"/>
        </w:rPr>
      </w:pPr>
      <w:r>
        <w:rPr>
          <w:rFonts w:hint="eastAsia" w:ascii="宋体" w:hAnsi="宋体"/>
          <w:szCs w:val="21"/>
          <w:lang w:val="en-US" w:eastAsia="zh-CN"/>
        </w:rPr>
        <w:t>在厂区内卸货过程应根据甲方的要求进行卸货，积极接受甲方的现场管理，开具相应的作业许可证，并按甲方的操作规程进行卸货及作业。</w:t>
      </w:r>
    </w:p>
    <w:p w14:paraId="5C838094">
      <w:pPr>
        <w:numPr>
          <w:ilvl w:val="0"/>
          <w:numId w:val="3"/>
        </w:numPr>
        <w:spacing w:line="360" w:lineRule="auto"/>
        <w:ind w:leftChars="-28"/>
        <w:rPr>
          <w:rFonts w:hint="default" w:ascii="宋体" w:hAnsi="宋体"/>
          <w:szCs w:val="21"/>
          <w:lang w:val="en-US" w:eastAsia="zh-CN"/>
        </w:rPr>
      </w:pPr>
      <w:r>
        <w:rPr>
          <w:rFonts w:hint="eastAsia" w:ascii="宋体" w:hAnsi="宋体"/>
          <w:szCs w:val="21"/>
          <w:lang w:val="en-US" w:eastAsia="zh-CN"/>
        </w:rPr>
        <w:t>对于甲方在安全生产监管中发现的问题，乙方应按要求落实整改。</w:t>
      </w:r>
    </w:p>
    <w:p w14:paraId="3AFE4808">
      <w:pPr>
        <w:numPr>
          <w:ilvl w:val="0"/>
          <w:numId w:val="1"/>
        </w:numPr>
        <w:spacing w:line="550" w:lineRule="exact"/>
        <w:ind w:left="-526" w:leftChars="-239" w:firstLine="466" w:firstLineChars="211"/>
        <w:rPr>
          <w:rFonts w:hint="eastAsia" w:asciiTheme="minorEastAsia" w:hAnsiTheme="minorEastAsia" w:eastAsiaTheme="minorEastAsia"/>
          <w:b/>
          <w:szCs w:val="21"/>
        </w:rPr>
      </w:pPr>
      <w:r>
        <w:rPr>
          <w:rFonts w:hint="eastAsia" w:asciiTheme="minorEastAsia" w:hAnsiTheme="minorEastAsia" w:eastAsiaTheme="minorEastAsia"/>
          <w:b/>
          <w:szCs w:val="21"/>
        </w:rPr>
        <w:t>违约责任及处理</w:t>
      </w:r>
    </w:p>
    <w:p w14:paraId="66912F85">
      <w:pPr>
        <w:numPr>
          <w:ilvl w:val="0"/>
          <w:numId w:val="4"/>
        </w:numPr>
        <w:spacing w:line="550" w:lineRule="exact"/>
        <w:ind w:leftChars="-28"/>
        <w:rPr>
          <w:rFonts w:hint="eastAsia" w:asciiTheme="minorEastAsia" w:hAnsiTheme="minorEastAsia" w:eastAsiaTheme="minorEastAsia"/>
          <w:szCs w:val="21"/>
        </w:rPr>
      </w:pPr>
      <w:r>
        <w:rPr>
          <w:rFonts w:hint="eastAsia" w:asciiTheme="minorEastAsia" w:hAnsiTheme="minorEastAsia" w:eastAsiaTheme="minorEastAsia"/>
          <w:szCs w:val="21"/>
        </w:rPr>
        <w:t>发生安全事故时，甲乙双方均有抢险、救灾的义务，所发生的费用由责任方承担。</w:t>
      </w:r>
    </w:p>
    <w:p w14:paraId="030462A0">
      <w:pPr>
        <w:numPr>
          <w:ilvl w:val="0"/>
          <w:numId w:val="4"/>
        </w:numPr>
        <w:spacing w:line="550" w:lineRule="exact"/>
        <w:ind w:leftChars="-28"/>
        <w:rPr>
          <w:rFonts w:asciiTheme="minorEastAsia" w:hAnsiTheme="minorEastAsia" w:eastAsiaTheme="minorEastAsia"/>
          <w:szCs w:val="21"/>
        </w:rPr>
      </w:pPr>
      <w:r>
        <w:rPr>
          <w:rFonts w:hint="eastAsia" w:ascii="宋体" w:hAnsi="宋体"/>
          <w:szCs w:val="21"/>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93679A0">
      <w:pPr>
        <w:numPr>
          <w:ilvl w:val="0"/>
          <w:numId w:val="4"/>
        </w:numPr>
        <w:spacing w:line="550" w:lineRule="exact"/>
        <w:ind w:leftChars="-28"/>
        <w:rPr>
          <w:rFonts w:asciiTheme="minorEastAsia" w:hAnsiTheme="minorEastAsia" w:eastAsiaTheme="minorEastAsia"/>
          <w:szCs w:val="21"/>
        </w:rPr>
      </w:pPr>
      <w:r>
        <w:rPr>
          <w:rFonts w:hint="eastAsia" w:asciiTheme="minorEastAsia" w:hAnsiTheme="minorEastAsia" w:eastAsiaTheme="minorEastAsia"/>
          <w:szCs w:val="21"/>
        </w:rPr>
        <w:t>甲方违约造成的事故，甲方承担全部责任，并按规定追究有关人员责任及上报。</w:t>
      </w:r>
    </w:p>
    <w:p w14:paraId="171890BB">
      <w:pPr>
        <w:numPr>
          <w:ilvl w:val="0"/>
          <w:numId w:val="4"/>
        </w:numPr>
        <w:spacing w:line="550" w:lineRule="exact"/>
        <w:ind w:leftChars="-28"/>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乙方在</w:t>
      </w:r>
      <w:r>
        <w:rPr>
          <w:rFonts w:hint="eastAsia" w:asciiTheme="minorEastAsia" w:hAnsiTheme="minorEastAsia"/>
          <w:color w:val="auto"/>
          <w:szCs w:val="21"/>
          <w:lang w:val="en-US" w:eastAsia="zh-CN"/>
        </w:rPr>
        <w:t>厂区内</w:t>
      </w:r>
      <w:r>
        <w:rPr>
          <w:rFonts w:hint="eastAsia" w:asciiTheme="minorEastAsia" w:hAnsiTheme="minorEastAsia" w:eastAsiaTheme="minorEastAsia"/>
          <w:color w:val="auto"/>
          <w:szCs w:val="21"/>
        </w:rPr>
        <w:t>中如果有违法、违规和违章行为，甲方将按照按国家法律、法规和甲方的HSE管理制度进行处罚。</w:t>
      </w:r>
      <w:r>
        <w:rPr>
          <w:rFonts w:hint="eastAsia" w:ascii="宋体" w:hAnsi="宋体"/>
          <w:color w:val="auto"/>
          <w:szCs w:val="21"/>
        </w:rPr>
        <w:t>处罚款由乙方</w:t>
      </w:r>
      <w:r>
        <w:rPr>
          <w:rFonts w:hint="eastAsia" w:ascii="宋体" w:hAnsi="宋体"/>
          <w:color w:val="auto"/>
          <w:szCs w:val="21"/>
          <w:lang w:val="en-US" w:eastAsia="zh-CN"/>
        </w:rPr>
        <w:t>按甲方要求</w:t>
      </w:r>
      <w:r>
        <w:rPr>
          <w:rFonts w:hint="eastAsia" w:ascii="宋体" w:hAnsi="宋体"/>
          <w:color w:val="auto"/>
          <w:szCs w:val="21"/>
        </w:rPr>
        <w:t>交到甲方</w:t>
      </w:r>
      <w:r>
        <w:rPr>
          <w:rFonts w:hint="eastAsia" w:ascii="宋体" w:hAnsi="宋体"/>
          <w:color w:val="auto"/>
          <w:szCs w:val="21"/>
          <w:lang w:val="en-US" w:eastAsia="zh-CN"/>
        </w:rPr>
        <w:t>指定部门或账户</w:t>
      </w:r>
      <w:r>
        <w:rPr>
          <w:rFonts w:hint="eastAsia" w:ascii="宋体" w:hAnsi="宋体"/>
          <w:color w:val="auto"/>
          <w:szCs w:val="21"/>
        </w:rPr>
        <w:t>，对不按时缴纳罚款的，甲方可以从乙方</w:t>
      </w:r>
      <w:r>
        <w:rPr>
          <w:rFonts w:hint="eastAsia" w:ascii="宋体" w:hAnsi="宋体"/>
          <w:color w:val="auto"/>
          <w:szCs w:val="21"/>
          <w:lang w:val="en-US" w:eastAsia="zh-CN"/>
        </w:rPr>
        <w:t>合同</w:t>
      </w:r>
      <w:r>
        <w:rPr>
          <w:rFonts w:hint="eastAsia" w:ascii="宋体" w:hAnsi="宋体"/>
          <w:color w:val="auto"/>
          <w:szCs w:val="21"/>
        </w:rPr>
        <w:t>款双倍扣除。</w:t>
      </w:r>
    </w:p>
    <w:p w14:paraId="338D40D9">
      <w:pPr>
        <w:numPr>
          <w:ilvl w:val="0"/>
          <w:numId w:val="4"/>
        </w:numPr>
        <w:spacing w:line="550" w:lineRule="exact"/>
        <w:ind w:leftChars="-28"/>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乙方违约造成的事故，乙方承担全部责任；由于乙方</w:t>
      </w:r>
      <w:r>
        <w:rPr>
          <w:rFonts w:hint="eastAsia" w:asciiTheme="minorEastAsia" w:hAnsiTheme="minorEastAsia"/>
          <w:color w:val="auto"/>
          <w:szCs w:val="21"/>
          <w:lang w:val="en-US" w:eastAsia="zh-CN"/>
        </w:rPr>
        <w:t>的</w:t>
      </w:r>
      <w:r>
        <w:rPr>
          <w:rFonts w:hint="eastAsia" w:asciiTheme="minorEastAsia" w:hAnsiTheme="minorEastAsia" w:eastAsiaTheme="minorEastAsia"/>
          <w:color w:val="auto"/>
          <w:szCs w:val="21"/>
        </w:rPr>
        <w:t>服务质量及</w:t>
      </w:r>
      <w:r>
        <w:rPr>
          <w:rFonts w:hint="eastAsia" w:asciiTheme="minorEastAsia" w:hAnsiTheme="minorEastAsia"/>
          <w:color w:val="auto"/>
          <w:szCs w:val="21"/>
          <w:lang w:val="en-US" w:eastAsia="zh-CN"/>
        </w:rPr>
        <w:t>货物</w:t>
      </w:r>
      <w:r>
        <w:rPr>
          <w:rFonts w:hint="eastAsia" w:asciiTheme="minorEastAsia" w:hAnsiTheme="minorEastAsia" w:eastAsiaTheme="minorEastAsia"/>
          <w:color w:val="auto"/>
          <w:szCs w:val="21"/>
        </w:rPr>
        <w:t>质量导致的事故，由乙方承担全部责任构成犯罪的，依法追究刑事责任。</w:t>
      </w:r>
    </w:p>
    <w:p w14:paraId="495CE1CA">
      <w:pPr>
        <w:numPr>
          <w:ilvl w:val="0"/>
          <w:numId w:val="4"/>
        </w:numPr>
        <w:spacing w:line="550" w:lineRule="exact"/>
        <w:ind w:leftChars="-28"/>
        <w:rPr>
          <w:rFonts w:asciiTheme="minorEastAsia" w:hAnsiTheme="minorEastAsia" w:eastAsiaTheme="minorEastAsia"/>
          <w:color w:val="auto"/>
          <w:szCs w:val="21"/>
        </w:rPr>
      </w:pPr>
      <w:r>
        <w:rPr>
          <w:rFonts w:hint="eastAsia" w:asciiTheme="minorEastAsia" w:hAnsiTheme="minorEastAsia" w:eastAsiaTheme="minorEastAsia"/>
          <w:color w:val="auto"/>
          <w:szCs w:val="21"/>
        </w:rPr>
        <w:t>对乙方发生事故后弄虚作假、隐瞒不报、迟报或谎报，一经查出，按有关规定处罚</w:t>
      </w:r>
      <w:r>
        <w:rPr>
          <w:rFonts w:hint="eastAsia" w:asciiTheme="minorEastAsia" w:hAnsiTheme="minorEastAsia"/>
          <w:color w:val="auto"/>
          <w:szCs w:val="21"/>
          <w:lang w:eastAsia="zh-CN"/>
        </w:rPr>
        <w:t>，</w:t>
      </w:r>
      <w:r>
        <w:rPr>
          <w:rFonts w:hint="eastAsia" w:asciiTheme="minorEastAsia" w:hAnsiTheme="minorEastAsia" w:eastAsiaTheme="minorEastAsia"/>
          <w:color w:val="auto"/>
          <w:szCs w:val="21"/>
        </w:rPr>
        <w:t>情节严重的，取消其进入甲方的市场资格。</w:t>
      </w:r>
    </w:p>
    <w:p w14:paraId="4475C3C9">
      <w:pPr>
        <w:spacing w:line="550" w:lineRule="exact"/>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四、 不可抗力：</w:t>
      </w:r>
    </w:p>
    <w:p w14:paraId="1765DACD">
      <w:pPr>
        <w:spacing w:line="550" w:lineRule="exact"/>
        <w:ind w:left="-551" w:leftChars="-339" w:hanging="195" w:hangingChars="89"/>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szCs w:val="21"/>
          <w:lang w:val="en-US" w:eastAsia="zh-CN"/>
        </w:rPr>
        <w:t xml:space="preserve">  </w:t>
      </w:r>
      <w:r>
        <w:rPr>
          <w:rFonts w:hint="eastAsia" w:asciiTheme="minorEastAsia" w:hAnsiTheme="minorEastAsia" w:eastAsiaTheme="minorEastAsia"/>
          <w:szCs w:val="21"/>
        </w:rPr>
        <w:t xml:space="preserve"> 由于不可抗力造成事故及产生的损失，甲乙双方各自承担相应的损失。</w:t>
      </w:r>
    </w:p>
    <w:p w14:paraId="5AD69EE8">
      <w:pPr>
        <w:spacing w:line="360" w:lineRule="auto"/>
        <w:ind w:left="-526" w:leftChars="-239" w:firstLine="466" w:firstLineChars="211"/>
        <w:rPr>
          <w:rFonts w:asciiTheme="minorEastAsia" w:hAnsiTheme="minorEastAsia" w:eastAsiaTheme="minorEastAsia"/>
          <w:szCs w:val="21"/>
        </w:rPr>
      </w:pPr>
      <w:r>
        <w:rPr>
          <w:rFonts w:hint="eastAsia" w:asciiTheme="minorEastAsia" w:hAnsiTheme="minorEastAsia" w:eastAsiaTheme="minorEastAsia"/>
          <w:b/>
          <w:szCs w:val="21"/>
        </w:rPr>
        <w:t>五、</w:t>
      </w:r>
      <w:r>
        <w:rPr>
          <w:rFonts w:hint="eastAsia" w:asciiTheme="minorEastAsia" w:hAnsiTheme="minorEastAsia" w:eastAsiaTheme="minorEastAsia"/>
          <w:szCs w:val="21"/>
        </w:rPr>
        <w:t>本协议书一式两份，甲乙双方各执一份。</w:t>
      </w:r>
    </w:p>
    <w:p w14:paraId="5899989E">
      <w:pPr>
        <w:spacing w:line="360" w:lineRule="auto"/>
        <w:ind w:left="-526" w:leftChars="-239" w:firstLine="466" w:firstLineChars="211"/>
        <w:rPr>
          <w:rFonts w:asciiTheme="minorEastAsia" w:hAnsiTheme="minorEastAsia" w:eastAsiaTheme="minorEastAsia"/>
          <w:szCs w:val="21"/>
        </w:rPr>
      </w:pPr>
      <w:r>
        <w:rPr>
          <w:rFonts w:hint="eastAsia" w:asciiTheme="minorEastAsia" w:hAnsiTheme="minorEastAsia" w:eastAsiaTheme="minorEastAsia"/>
          <w:b/>
          <w:szCs w:val="21"/>
        </w:rPr>
        <w:t>六、</w:t>
      </w:r>
      <w:r>
        <w:rPr>
          <w:rFonts w:hint="eastAsia" w:asciiTheme="minorEastAsia" w:hAnsiTheme="minorEastAsia" w:eastAsiaTheme="minorEastAsia"/>
          <w:szCs w:val="21"/>
        </w:rPr>
        <w:t>本协议书经双方盖章后生效。</w:t>
      </w:r>
    </w:p>
    <w:p w14:paraId="4C933218">
      <w:pPr>
        <w:spacing w:line="550" w:lineRule="exact"/>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七、协议期限：</w:t>
      </w:r>
    </w:p>
    <w:p w14:paraId="3BBC2EAB">
      <w:pPr>
        <w:spacing w:line="550" w:lineRule="exact"/>
        <w:ind w:left="-636" w:leftChars="-289" w:firstLine="550" w:firstLineChars="250"/>
        <w:rPr>
          <w:rFonts w:asciiTheme="minorEastAsia" w:hAnsiTheme="minorEastAsia" w:eastAsiaTheme="minorEastAsia"/>
          <w:szCs w:val="21"/>
        </w:rPr>
      </w:pPr>
      <w:r>
        <w:rPr>
          <w:rFonts w:hint="eastAsia" w:asciiTheme="minorEastAsia" w:hAnsiTheme="minorEastAsia" w:eastAsiaTheme="minorEastAsia"/>
          <w:szCs w:val="21"/>
        </w:rPr>
        <w:t>本协议期限应与主合同期限一致。如果主合同因故需要变更期限，本合同应与主同变更至相同期限。</w:t>
      </w:r>
    </w:p>
    <w:p w14:paraId="6F40C5BB">
      <w:pPr>
        <w:spacing w:line="360" w:lineRule="auto"/>
        <w:ind w:left="-551" w:leftChars="-289" w:hanging="85" w:hangingChars="39"/>
        <w:rPr>
          <w:rFonts w:asciiTheme="minorEastAsia" w:hAnsiTheme="minorEastAsia" w:eastAsiaTheme="minorEastAsia"/>
          <w:szCs w:val="21"/>
        </w:rPr>
      </w:pPr>
      <w:r>
        <w:rPr>
          <w:rFonts w:hint="eastAsia" w:asciiTheme="minorEastAsia" w:hAnsiTheme="minorEastAsia" w:eastAsiaTheme="minorEastAsia"/>
          <w:szCs w:val="21"/>
        </w:rPr>
        <w:t>（以下无正文）</w:t>
      </w:r>
    </w:p>
    <w:p w14:paraId="11813F75">
      <w:pPr>
        <w:spacing w:line="276" w:lineRule="auto"/>
        <w:ind w:left="-551" w:leftChars="-339" w:hanging="195" w:hangingChars="89"/>
        <w:rPr>
          <w:rFonts w:ascii="宋体" w:hAnsi="宋体"/>
          <w:szCs w:val="21"/>
        </w:rPr>
      </w:pPr>
    </w:p>
    <w:p w14:paraId="7FDAC275">
      <w:pPr>
        <w:spacing w:line="276" w:lineRule="auto"/>
        <w:ind w:left="-551" w:leftChars="-339" w:hanging="195" w:hangingChars="89"/>
        <w:rPr>
          <w:rFonts w:ascii="宋体" w:hAnsi="宋体"/>
          <w:szCs w:val="21"/>
        </w:rPr>
      </w:pPr>
    </w:p>
    <w:p w14:paraId="19F88013">
      <w:pPr>
        <w:spacing w:line="276" w:lineRule="auto"/>
        <w:ind w:left="-551" w:leftChars="-339" w:hanging="195" w:hangingChars="89"/>
        <w:rPr>
          <w:rFonts w:ascii="宋体" w:hAnsi="宋体"/>
          <w:szCs w:val="21"/>
        </w:rPr>
      </w:pPr>
    </w:p>
    <w:p w14:paraId="5EBD8EEF">
      <w:pPr>
        <w:spacing w:line="276" w:lineRule="auto"/>
        <w:ind w:left="-551" w:leftChars="-339" w:hanging="195" w:hangingChars="89"/>
        <w:rPr>
          <w:rFonts w:ascii="宋体" w:hAnsi="宋体"/>
          <w:szCs w:val="21"/>
        </w:rPr>
      </w:pPr>
    </w:p>
    <w:p w14:paraId="5733C72B">
      <w:pPr>
        <w:spacing w:line="276" w:lineRule="auto"/>
        <w:ind w:left="-551" w:leftChars="-339" w:hanging="195" w:hangingChars="89"/>
        <w:rPr>
          <w:rFonts w:ascii="宋体" w:hAnsi="宋体"/>
          <w:szCs w:val="21"/>
        </w:rPr>
      </w:pPr>
      <w:r>
        <w:rPr>
          <w:rFonts w:hint="eastAsia" w:ascii="宋体" w:hAnsi="宋体"/>
          <w:szCs w:val="21"/>
        </w:rPr>
        <w:t>甲方 (章)：</w:t>
      </w:r>
      <w:r>
        <w:rPr>
          <w:rFonts w:hint="eastAsia" w:ascii="Times New Roman" w:hAnsi="Times New Roman" w:cs="Times New Roman"/>
          <w:sz w:val="24"/>
          <w:szCs w:val="24"/>
          <w:lang w:eastAsia="zh-CN"/>
        </w:rPr>
        <w:t xml:space="preserve"> </w:t>
      </w:r>
      <w:r>
        <w:rPr>
          <w:rFonts w:hint="eastAsia" w:ascii="宋体" w:hAnsi="宋体"/>
          <w:b/>
          <w:szCs w:val="21"/>
          <w:lang w:val="en-US" w:eastAsia="zh-CN"/>
        </w:rPr>
        <w:t>福建省福化古蕾化学有限公司</w:t>
      </w:r>
      <w:r>
        <w:rPr>
          <w:rFonts w:hint="eastAsia" w:ascii="宋体" w:hAnsi="宋体"/>
          <w:szCs w:val="21"/>
        </w:rPr>
        <w:t xml:space="preserve">       乙方(章)：</w:t>
      </w:r>
    </w:p>
    <w:p w14:paraId="4A13BC23">
      <w:pPr>
        <w:spacing w:line="276" w:lineRule="auto"/>
        <w:rPr>
          <w:rFonts w:ascii="宋体" w:hAnsi="宋体"/>
          <w:szCs w:val="21"/>
        </w:rPr>
      </w:pPr>
    </w:p>
    <w:p w14:paraId="39277536">
      <w:pPr>
        <w:spacing w:line="276" w:lineRule="auto"/>
        <w:rPr>
          <w:rFonts w:hint="default" w:ascii="宋体" w:hAnsi="宋体" w:eastAsia="宋体"/>
          <w:szCs w:val="21"/>
          <w:lang w:val="en-US" w:eastAsia="zh-CN"/>
        </w:rPr>
      </w:pPr>
      <w:r>
        <w:rPr>
          <w:rFonts w:hint="eastAsia" w:ascii="宋体" w:hAnsi="宋体"/>
          <w:szCs w:val="21"/>
          <w:lang w:val="en-US" w:eastAsia="zh-CN"/>
        </w:rPr>
        <w:t xml:space="preserve">  </w:t>
      </w:r>
    </w:p>
    <w:p w14:paraId="77702AF0">
      <w:pPr>
        <w:spacing w:line="276" w:lineRule="auto"/>
        <w:ind w:left="-551" w:leftChars="-339" w:hanging="195" w:hangingChars="89"/>
        <w:rPr>
          <w:rFonts w:ascii="宋体" w:hAnsi="宋体"/>
          <w:szCs w:val="21"/>
        </w:rPr>
      </w:pPr>
      <w:r>
        <w:rPr>
          <w:rFonts w:hint="eastAsia" w:ascii="宋体" w:hAnsi="宋体"/>
          <w:szCs w:val="21"/>
        </w:rPr>
        <w:t xml:space="preserve">法人代表:                                   </w:t>
      </w:r>
      <w:r>
        <w:rPr>
          <w:rFonts w:hint="eastAsia" w:ascii="宋体" w:hAnsi="宋体"/>
          <w:szCs w:val="21"/>
          <w:lang w:val="en-US" w:eastAsia="zh-CN"/>
        </w:rPr>
        <w:t xml:space="preserve">   </w:t>
      </w:r>
      <w:r>
        <w:rPr>
          <w:rFonts w:hint="eastAsia" w:ascii="宋体" w:hAnsi="宋体"/>
          <w:szCs w:val="21"/>
        </w:rPr>
        <w:t xml:space="preserve">  法人代表:</w:t>
      </w:r>
    </w:p>
    <w:p w14:paraId="1D4E9726">
      <w:pPr>
        <w:spacing w:line="276" w:lineRule="auto"/>
        <w:rPr>
          <w:rFonts w:hint="eastAsia" w:ascii="宋体" w:hAnsi="宋体" w:eastAsia="宋体"/>
          <w:szCs w:val="21"/>
          <w:lang w:val="en-US" w:eastAsia="zh-CN"/>
        </w:rPr>
      </w:pPr>
      <w:r>
        <w:rPr>
          <w:rFonts w:hint="eastAsia" w:ascii="宋体" w:hAnsi="宋体"/>
          <w:szCs w:val="21"/>
          <w:lang w:val="en-US" w:eastAsia="zh-CN"/>
        </w:rPr>
        <w:t xml:space="preserve"> </w:t>
      </w:r>
    </w:p>
    <w:p w14:paraId="7D83161C">
      <w:pPr>
        <w:spacing w:line="276" w:lineRule="auto"/>
        <w:rPr>
          <w:rFonts w:ascii="宋体" w:hAnsi="宋体"/>
          <w:szCs w:val="21"/>
        </w:rPr>
      </w:pPr>
    </w:p>
    <w:p w14:paraId="65CFB545">
      <w:pPr>
        <w:spacing w:line="276" w:lineRule="auto"/>
        <w:ind w:left="-551" w:leftChars="-339" w:hanging="195" w:hangingChars="89"/>
        <w:rPr>
          <w:rFonts w:ascii="宋体" w:hAnsi="宋体"/>
          <w:szCs w:val="21"/>
        </w:rPr>
      </w:pPr>
      <w:r>
        <w:rPr>
          <w:rFonts w:hint="eastAsia" w:ascii="宋体" w:hAnsi="宋体"/>
          <w:szCs w:val="21"/>
        </w:rPr>
        <w:t xml:space="preserve">法人委托代理人 :                             </w:t>
      </w:r>
      <w:r>
        <w:rPr>
          <w:rFonts w:hint="eastAsia" w:ascii="宋体" w:hAnsi="宋体"/>
          <w:szCs w:val="21"/>
          <w:lang w:val="en-US" w:eastAsia="zh-CN"/>
        </w:rPr>
        <w:t xml:space="preserve">  </w:t>
      </w:r>
      <w:r>
        <w:rPr>
          <w:rFonts w:hint="eastAsia" w:ascii="宋体" w:hAnsi="宋体"/>
          <w:szCs w:val="21"/>
        </w:rPr>
        <w:t xml:space="preserve"> 法人委托代理人:</w:t>
      </w:r>
    </w:p>
    <w:p w14:paraId="4DA21082">
      <w:pPr>
        <w:spacing w:line="276" w:lineRule="auto"/>
        <w:rPr>
          <w:rFonts w:ascii="宋体" w:hAnsi="宋体"/>
          <w:szCs w:val="21"/>
        </w:rPr>
      </w:pPr>
    </w:p>
    <w:p w14:paraId="2125BBC3">
      <w:pPr>
        <w:spacing w:line="276" w:lineRule="auto"/>
        <w:ind w:left="-551" w:leftChars="-339" w:hanging="195" w:hangingChars="89"/>
        <w:rPr>
          <w:rFonts w:ascii="宋体" w:hAnsi="宋体"/>
          <w:szCs w:val="21"/>
        </w:rPr>
      </w:pPr>
    </w:p>
    <w:p w14:paraId="58F78B14">
      <w:pPr>
        <w:spacing w:line="276" w:lineRule="auto"/>
        <w:ind w:left="-551" w:leftChars="-339" w:hanging="195" w:hangingChars="89"/>
        <w:rPr>
          <w:rFonts w:ascii="宋体" w:hAnsi="宋体"/>
          <w:szCs w:val="21"/>
        </w:rPr>
      </w:pPr>
    </w:p>
    <w:p w14:paraId="2DB3E912">
      <w:pPr>
        <w:spacing w:line="276" w:lineRule="auto"/>
        <w:ind w:left="-551" w:leftChars="-339" w:hanging="195" w:hangingChars="89"/>
        <w:rPr>
          <w:rFonts w:ascii="宋体" w:hAnsi="宋体"/>
          <w:szCs w:val="21"/>
        </w:rPr>
      </w:pPr>
      <w:r>
        <w:rPr>
          <w:rFonts w:hint="eastAsia" w:ascii="宋体" w:hAnsi="宋体"/>
          <w:szCs w:val="21"/>
        </w:rPr>
        <w:t>签定日期：</w:t>
      </w:r>
      <w:r>
        <w:rPr>
          <w:rFonts w:hint="eastAsia"/>
          <w:szCs w:val="21"/>
          <w:lang w:val="en-US" w:eastAsia="zh-CN"/>
        </w:rPr>
        <w:t>2025</w:t>
      </w:r>
      <w:r>
        <w:rPr>
          <w:rFonts w:hint="eastAsia" w:ascii="宋体" w:hAnsi="宋体"/>
          <w:szCs w:val="21"/>
        </w:rPr>
        <w:t xml:space="preserve"> 年</w:t>
      </w:r>
      <w:r>
        <w:rPr>
          <w:rFonts w:hint="eastAsia"/>
          <w:szCs w:val="21"/>
          <w:lang w:val="en-US" w:eastAsia="zh-CN"/>
        </w:rPr>
        <w:t>7</w:t>
      </w:r>
      <w:r>
        <w:rPr>
          <w:rFonts w:hint="eastAsia" w:ascii="宋体" w:hAnsi="宋体"/>
          <w:szCs w:val="21"/>
        </w:rPr>
        <w:t>月</w:t>
      </w:r>
      <w:r>
        <w:rPr>
          <w:rFonts w:hint="eastAsia"/>
          <w:szCs w:val="21"/>
          <w:lang w:val="en-US" w:eastAsia="zh-CN"/>
        </w:rPr>
        <w:t>16</w:t>
      </w:r>
      <w:r>
        <w:rPr>
          <w:rFonts w:hint="eastAsia" w:ascii="宋体" w:hAnsi="宋体"/>
          <w:szCs w:val="21"/>
        </w:rPr>
        <w:t xml:space="preserve">日               </w:t>
      </w:r>
      <w:r>
        <w:rPr>
          <w:rFonts w:hint="eastAsia"/>
          <w:szCs w:val="21"/>
          <w:lang w:val="en-US" w:eastAsia="zh-CN"/>
        </w:rPr>
        <w:t xml:space="preserve">      2025</w:t>
      </w:r>
      <w:r>
        <w:rPr>
          <w:rFonts w:hint="eastAsia" w:ascii="宋体" w:hAnsi="宋体"/>
          <w:szCs w:val="21"/>
        </w:rPr>
        <w:t>年</w:t>
      </w:r>
      <w:r>
        <w:rPr>
          <w:rFonts w:hint="eastAsia"/>
          <w:szCs w:val="21"/>
          <w:lang w:val="en-US" w:eastAsia="zh-CN"/>
        </w:rPr>
        <w:t>7</w:t>
      </w:r>
      <w:r>
        <w:rPr>
          <w:rFonts w:hint="eastAsia" w:ascii="宋体" w:hAnsi="宋体"/>
          <w:szCs w:val="21"/>
        </w:rPr>
        <w:t>月</w:t>
      </w:r>
      <w:r>
        <w:rPr>
          <w:rFonts w:hint="eastAsia"/>
          <w:szCs w:val="21"/>
          <w:lang w:val="en-US" w:eastAsia="zh-CN"/>
        </w:rPr>
        <w:t>16</w:t>
      </w:r>
      <w:r>
        <w:rPr>
          <w:rFonts w:hint="eastAsia" w:ascii="宋体" w:hAnsi="宋体"/>
          <w:szCs w:val="21"/>
        </w:rPr>
        <w:t>日</w:t>
      </w:r>
    </w:p>
    <w:p w14:paraId="2398DFBA">
      <w:pPr>
        <w:numPr>
          <w:ilvl w:val="0"/>
          <w:numId w:val="0"/>
        </w:numPr>
        <w:spacing w:line="360" w:lineRule="auto"/>
        <w:rPr>
          <w:rFonts w:hint="default" w:ascii="宋体" w:hAnsi="宋体"/>
          <w:szCs w:val="21"/>
          <w:lang w:val="en-US" w:eastAsia="zh-CN"/>
        </w:rPr>
      </w:pPr>
    </w:p>
    <w:p w14:paraId="09A0ADC1">
      <w:pPr>
        <w:pStyle w:val="5"/>
        <w:numPr>
          <w:ilvl w:val="0"/>
          <w:numId w:val="0"/>
        </w:numPr>
        <w:ind w:leftChars="0"/>
        <w:jc w:val="left"/>
        <w:rPr>
          <w:rFonts w:hint="default"/>
          <w:b/>
          <w:sz w:val="32"/>
          <w:szCs w:val="32"/>
          <w:lang w:val="en-US" w:eastAsia="zh-CN"/>
        </w:rPr>
      </w:pPr>
    </w:p>
    <w:p w14:paraId="6433C49E"/>
    <w:p w14:paraId="617A212F"/>
    <w:p w14:paraId="30D1E1C5"/>
    <w:p w14:paraId="6191802B"/>
    <w:p w14:paraId="1DB0E18A"/>
    <w:p w14:paraId="2F8DAAAD">
      <w:pPr>
        <w:pStyle w:val="6"/>
      </w:pPr>
    </w:p>
    <w:p w14:paraId="61391AFC">
      <w:pPr>
        <w:rPr>
          <w:color w:val="000000" w:themeColor="text1"/>
          <w14:textFill>
            <w14:solidFill>
              <w14:schemeClr w14:val="tx1"/>
            </w14:solidFill>
          </w14:textFill>
        </w:rPr>
      </w:pPr>
      <w:sdt>
        <w:sdtPr>
          <w:rPr>
            <w:rFonts w:asciiTheme="minorHAnsi" w:hAnsiTheme="minorHAnsi" w:eastAsiaTheme="minorEastAsia" w:cstheme="minorBidi"/>
            <w:b w:val="0"/>
            <w:bCs w:val="0"/>
            <w:color w:val="000000" w:themeColor="text1"/>
            <w:kern w:val="2"/>
            <w:sz w:val="21"/>
            <w:szCs w:val="22"/>
            <w:lang w:val="zh-CN"/>
            <w14:textFill>
              <w14:solidFill>
                <w14:schemeClr w14:val="tx1"/>
              </w14:solidFill>
            </w14:textFill>
          </w:rPr>
          <w:id w:val="147460710"/>
          <w:showingPlcHdr/>
          <w:docPartObj>
            <w:docPartGallery w:val="Table of Contents"/>
            <w:docPartUnique/>
          </w:docPartObj>
        </w:sdtPr>
        <w:sdtEndPr>
          <w:rPr>
            <w:rFonts w:asciiTheme="minorHAnsi" w:hAnsiTheme="minorHAnsi" w:eastAsiaTheme="minorEastAsia" w:cstheme="minorBidi"/>
            <w:b w:val="0"/>
            <w:bCs w:val="0"/>
            <w:color w:val="000000" w:themeColor="text1"/>
            <w:kern w:val="2"/>
            <w:sz w:val="21"/>
            <w:szCs w:val="22"/>
            <w:lang w:val="zh-CN"/>
            <w14:textFill>
              <w14:solidFill>
                <w14:schemeClr w14:val="tx1"/>
              </w14:solidFill>
            </w14:textFill>
          </w:rPr>
        </w:sdtEndPr>
        <w:sdtContent>
          <w:r>
            <w:rPr>
              <w:rFonts w:hint="eastAsia" w:asciiTheme="minorHAnsi" w:hAnsiTheme="minorHAnsi" w:eastAsiaTheme="minorEastAsia" w:cstheme="minorBidi"/>
              <w:b w:val="0"/>
              <w:bCs w:val="0"/>
              <w:color w:val="000000" w:themeColor="text1"/>
              <w:kern w:val="2"/>
              <w:sz w:val="21"/>
              <w:szCs w:val="22"/>
              <w:lang w:val="zh-CN"/>
              <w14:textFill>
                <w14:solidFill>
                  <w14:schemeClr w14:val="tx1"/>
                </w14:solidFill>
              </w14:textFill>
            </w:rPr>
            <w:t xml:space="preserve">     </w:t>
          </w:r>
        </w:sdtContent>
      </w:sdt>
    </w:p>
    <w:p w14:paraId="1317F962">
      <w:pPr>
        <w:rPr>
          <w:color w:val="000000" w:themeColor="text1"/>
          <w14:textFill>
            <w14:solidFill>
              <w14:schemeClr w14:val="tx1"/>
            </w14:solidFill>
          </w14:textFill>
        </w:rPr>
      </w:pPr>
    </w:p>
    <w:p w14:paraId="35CF90A5">
      <w:pPr>
        <w:rPr>
          <w:color w:val="000000" w:themeColor="text1"/>
          <w14:textFill>
            <w14:solidFill>
              <w14:schemeClr w14:val="tx1"/>
            </w14:solidFill>
          </w14:textFill>
        </w:rPr>
      </w:pPr>
    </w:p>
    <w:p w14:paraId="5B362654">
      <w:pPr>
        <w:rPr>
          <w:color w:val="000000" w:themeColor="text1"/>
          <w14:textFill>
            <w14:solidFill>
              <w14:schemeClr w14:val="tx1"/>
            </w14:solidFill>
          </w14:textFill>
        </w:rPr>
      </w:pPr>
    </w:p>
    <w:p w14:paraId="429AC394">
      <w:pPr>
        <w:rPr>
          <w:color w:val="000000" w:themeColor="text1"/>
          <w14:textFill>
            <w14:solidFill>
              <w14:schemeClr w14:val="tx1"/>
            </w14:solidFill>
          </w14:textFill>
        </w:rPr>
      </w:pPr>
    </w:p>
    <w:p w14:paraId="02217CD8">
      <w:pPr>
        <w:rPr>
          <w:color w:val="000000" w:themeColor="text1"/>
          <w14:textFill>
            <w14:solidFill>
              <w14:schemeClr w14:val="tx1"/>
            </w14:solidFill>
          </w14:textFill>
        </w:rPr>
      </w:pPr>
    </w:p>
    <w:p w14:paraId="6F008856">
      <w:pPr>
        <w:rPr>
          <w:color w:val="000000" w:themeColor="text1"/>
          <w14:textFill>
            <w14:solidFill>
              <w14:schemeClr w14:val="tx1"/>
            </w14:solidFill>
          </w14:textFill>
        </w:rPr>
      </w:pPr>
    </w:p>
    <w:p w14:paraId="2582A7B3"/>
    <w:p w14:paraId="0AE3395D"/>
    <w:p w14:paraId="5B3012CD"/>
    <w:p w14:paraId="59445CFE"/>
    <w:p w14:paraId="1A33F3D4"/>
    <w:p w14:paraId="35610558"/>
    <w:p w14:paraId="40E66A5F"/>
    <w:p w14:paraId="7781C8A0"/>
    <w:p w14:paraId="0C7D569D"/>
    <w:p w14:paraId="38BFB23E"/>
    <w:p w14:paraId="1E12F01E"/>
    <w:p w14:paraId="5A7A7D73"/>
    <w:p w14:paraId="35A8E0E5"/>
    <w:p w14:paraId="6D71CF81"/>
    <w:p w14:paraId="636E838F"/>
    <w:p w14:paraId="118BDDDB"/>
    <w:p w14:paraId="5D2CD2F1"/>
    <w:p w14:paraId="54AC60FB"/>
    <w:p w14:paraId="5991B3E0">
      <w:pPr>
        <w:pStyle w:val="2"/>
        <w:spacing w:after="468" w:afterLines="150" w:line="276" w:lineRule="auto"/>
        <w:ind w:left="-496" w:leftChars="-339" w:hanging="250" w:hangingChars="89"/>
        <w:jc w:val="center"/>
        <w:rPr>
          <w:rFonts w:ascii="黑体" w:hAnsi="宋体" w:eastAsia="黑体"/>
          <w:b/>
          <w:sz w:val="28"/>
          <w:szCs w:val="28"/>
        </w:rPr>
      </w:pPr>
      <w:r>
        <w:rPr>
          <w:rFonts w:hint="eastAsia" w:ascii="黑体" w:hAnsi="宋体" w:eastAsia="黑体"/>
          <w:b/>
          <w:sz w:val="28"/>
          <w:szCs w:val="28"/>
        </w:rPr>
        <w:t>安全环保协议书</w:t>
      </w:r>
    </w:p>
    <w:p w14:paraId="5C56C77C">
      <w:pPr>
        <w:spacing w:line="360" w:lineRule="auto"/>
        <w:ind w:left="-147" w:leftChars="-67"/>
        <w:rPr>
          <w:rFonts w:ascii="宋体" w:hAnsi="宋体"/>
          <w:szCs w:val="21"/>
          <w:highlight w:val="none"/>
        </w:rPr>
      </w:pPr>
      <w:r>
        <w:rPr>
          <w:rFonts w:hint="eastAsia" w:ascii="宋体" w:hAnsi="宋体"/>
          <w:szCs w:val="21"/>
          <w:highlight w:val="none"/>
        </w:rPr>
        <w:t>发包单位（以下简称甲方）：</w:t>
      </w:r>
      <w:r>
        <w:rPr>
          <w:rFonts w:hint="eastAsia" w:ascii="宋体" w:hAnsi="宋体"/>
          <w:b/>
          <w:szCs w:val="21"/>
          <w:lang w:val="en-US" w:eastAsia="zh-CN"/>
        </w:rPr>
        <w:t>福建省福化古蕾化学有限公司</w:t>
      </w:r>
      <w:r>
        <w:rPr>
          <w:rFonts w:hint="eastAsia" w:ascii="宋体" w:hAnsi="宋体"/>
          <w:szCs w:val="21"/>
          <w:highlight w:val="none"/>
          <w:u w:val="single"/>
        </w:rPr>
        <w:t xml:space="preserve"> </w:t>
      </w:r>
    </w:p>
    <w:p w14:paraId="246A851C">
      <w:pPr>
        <w:spacing w:line="360" w:lineRule="auto"/>
        <w:ind w:left="-636" w:leftChars="-289" w:firstLine="440" w:firstLineChars="200"/>
        <w:rPr>
          <w:rFonts w:ascii="宋体" w:hAnsi="宋体"/>
          <w:szCs w:val="21"/>
          <w:highlight w:val="none"/>
        </w:rPr>
      </w:pPr>
      <w:r>
        <w:rPr>
          <w:rFonts w:hint="eastAsia" w:ascii="宋体" w:hAnsi="宋体"/>
          <w:szCs w:val="21"/>
          <w:highlight w:val="none"/>
        </w:rPr>
        <w:t xml:space="preserve">承包单位（以下简称乙方）：                     </w:t>
      </w:r>
    </w:p>
    <w:p w14:paraId="228638AA">
      <w:pPr>
        <w:spacing w:line="360" w:lineRule="auto"/>
        <w:ind w:left="-551" w:leftChars="-339" w:hanging="195" w:hangingChars="89"/>
        <w:rPr>
          <w:rFonts w:ascii="宋体" w:hAnsi="宋体"/>
          <w:szCs w:val="21"/>
          <w:highlight w:val="none"/>
        </w:rPr>
      </w:pPr>
      <w:r>
        <w:rPr>
          <w:rFonts w:hint="eastAsia" w:ascii="宋体" w:hAnsi="宋体"/>
          <w:szCs w:val="21"/>
          <w:highlight w:val="none"/>
        </w:rPr>
        <w:t xml:space="preserve">     双方就</w:t>
      </w:r>
      <w:r>
        <w:rPr>
          <w:rFonts w:hint="eastAsia"/>
          <w:szCs w:val="21"/>
          <w:highlight w:val="none"/>
          <w:u w:val="single"/>
          <w:lang w:val="en-US" w:eastAsia="zh-CN"/>
        </w:rPr>
        <w:t>熔盐</w:t>
      </w:r>
      <w:bookmarkStart w:id="0" w:name="_GoBack"/>
      <w:bookmarkEnd w:id="0"/>
      <w:r>
        <w:rPr>
          <w:rFonts w:hint="eastAsia" w:ascii="宋体" w:hAnsi="宋体"/>
          <w:szCs w:val="21"/>
          <w:highlight w:val="none"/>
          <w:u w:val="single"/>
        </w:rPr>
        <w:t>采购</w:t>
      </w:r>
      <w:r>
        <w:rPr>
          <w:rFonts w:hint="eastAsia" w:ascii="宋体" w:hAnsi="宋体"/>
          <w:szCs w:val="21"/>
          <w:highlight w:val="none"/>
        </w:rPr>
        <w:t>项目签订了</w:t>
      </w:r>
      <w:r>
        <w:rPr>
          <w:rFonts w:hint="eastAsia" w:ascii="宋体" w:hAnsi="宋体"/>
          <w:szCs w:val="21"/>
          <w:highlight w:val="none"/>
          <w:u w:val="single"/>
          <w:lang w:val="en-US" w:eastAsia="zh-CN"/>
        </w:rPr>
        <w:t>采购</w:t>
      </w:r>
      <w:r>
        <w:rPr>
          <w:rFonts w:hint="eastAsia" w:ascii="宋体" w:hAnsi="宋体"/>
          <w:szCs w:val="21"/>
          <w:highlight w:val="none"/>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20E6D8F3">
      <w:pPr>
        <w:spacing w:line="360" w:lineRule="auto"/>
        <w:ind w:left="-549" w:leftChars="-339" w:hanging="197" w:hangingChars="89"/>
        <w:rPr>
          <w:rFonts w:ascii="宋体" w:hAnsi="宋体"/>
          <w:szCs w:val="21"/>
          <w:highlight w:val="none"/>
        </w:rPr>
      </w:pPr>
      <w:r>
        <w:rPr>
          <w:rFonts w:hint="eastAsia" w:ascii="宋体" w:hAnsi="宋体"/>
          <w:b/>
          <w:szCs w:val="21"/>
          <w:highlight w:val="none"/>
        </w:rPr>
        <w:t>一、甲方的权利和义务：</w:t>
      </w:r>
    </w:p>
    <w:p w14:paraId="4DB5963B">
      <w:pPr>
        <w:pStyle w:val="5"/>
        <w:spacing w:line="360" w:lineRule="auto"/>
        <w:ind w:left="-636" w:leftChars="-289" w:firstLine="110" w:firstLineChars="50"/>
        <w:rPr>
          <w:rFonts w:ascii="宋体" w:hAnsi="宋体"/>
          <w:szCs w:val="21"/>
          <w:highlight w:val="none"/>
        </w:rPr>
      </w:pPr>
      <w:r>
        <w:rPr>
          <w:rFonts w:hint="eastAsia" w:ascii="宋体" w:hAnsi="宋体"/>
          <w:szCs w:val="21"/>
          <w:highlight w:val="none"/>
        </w:rPr>
        <w:t>1、 甲方有权对乙方的资质进行审查，确认其符合且具备进厂条件，方可进厂施工。</w:t>
      </w:r>
    </w:p>
    <w:p w14:paraId="5EA1BC7E">
      <w:pPr>
        <w:pStyle w:val="5"/>
        <w:spacing w:line="360" w:lineRule="auto"/>
        <w:ind w:left="-636" w:leftChars="-289" w:firstLine="110" w:firstLineChars="50"/>
        <w:rPr>
          <w:rFonts w:ascii="宋体" w:hAnsi="宋体"/>
          <w:szCs w:val="21"/>
          <w:highlight w:val="none"/>
        </w:rPr>
      </w:pPr>
      <w:r>
        <w:rPr>
          <w:rFonts w:hint="eastAsia" w:ascii="宋体" w:hAnsi="宋体"/>
          <w:szCs w:val="21"/>
          <w:highlight w:val="none"/>
        </w:rPr>
        <w:t>2、 甲方有权要求乙方维护好甲方相关的安全环保设施、设备和器材。</w:t>
      </w:r>
    </w:p>
    <w:p w14:paraId="24A0E0FC">
      <w:pPr>
        <w:tabs>
          <w:tab w:val="left" w:pos="360"/>
          <w:tab w:val="left" w:pos="840"/>
        </w:tabs>
        <w:spacing w:line="360" w:lineRule="auto"/>
        <w:ind w:left="-526" w:leftChars="-239"/>
        <w:rPr>
          <w:rFonts w:ascii="宋体" w:hAnsi="宋体"/>
          <w:szCs w:val="21"/>
          <w:highlight w:val="none"/>
        </w:rPr>
      </w:pPr>
      <w:r>
        <w:rPr>
          <w:rFonts w:hint="eastAsia" w:ascii="宋体" w:hAnsi="宋体"/>
          <w:szCs w:val="21"/>
          <w:highlight w:val="none"/>
        </w:rPr>
        <w:t>3、 甲方有权全程检查乙方施工作业现场，对乙方人员在施工作业中违反有关安全生产规章制度的行为予以制止、纠正和处罚，并发出书面整改通知书；对严重违章的行为立即勒令其停止工作。</w:t>
      </w:r>
    </w:p>
    <w:p w14:paraId="62AA8B2E">
      <w:pPr>
        <w:tabs>
          <w:tab w:val="left" w:pos="360"/>
          <w:tab w:val="left" w:pos="840"/>
        </w:tabs>
        <w:spacing w:line="360" w:lineRule="auto"/>
        <w:ind w:left="-526" w:leftChars="-239"/>
        <w:rPr>
          <w:rFonts w:ascii="宋体" w:hAnsi="宋体"/>
          <w:szCs w:val="21"/>
          <w:highlight w:val="none"/>
        </w:rPr>
      </w:pPr>
      <w:r>
        <w:rPr>
          <w:rFonts w:hint="eastAsia" w:ascii="宋体" w:hAnsi="宋体"/>
          <w:szCs w:val="21"/>
          <w:highlight w:val="none"/>
        </w:rPr>
        <w:t>4、 甲方有权要求乙方制定施工方案，对危险性较大的分项工程，乙方必须制定专项安全环保施工方案，明确组织措施、安全环保措施、技术措施，经甲方各相关管理部门审查合格后方可进行施工作业。</w:t>
      </w:r>
    </w:p>
    <w:p w14:paraId="284C5D28">
      <w:pPr>
        <w:tabs>
          <w:tab w:val="left" w:pos="360"/>
          <w:tab w:val="left" w:pos="840"/>
        </w:tabs>
        <w:spacing w:line="360" w:lineRule="auto"/>
        <w:ind w:left="-636" w:leftChars="-289" w:firstLine="110" w:firstLineChars="50"/>
        <w:rPr>
          <w:szCs w:val="21"/>
          <w:highlight w:val="none"/>
        </w:rPr>
      </w:pPr>
      <w:r>
        <w:rPr>
          <w:rFonts w:hint="eastAsia" w:ascii="宋体" w:hAnsi="宋体"/>
          <w:szCs w:val="21"/>
          <w:highlight w:val="none"/>
        </w:rPr>
        <w:t>5、 甲方有权对乙方不服从管理和严重违章者，驱逐出施工现场，列入黑名单。</w:t>
      </w:r>
    </w:p>
    <w:p w14:paraId="1A210BF6">
      <w:pPr>
        <w:pStyle w:val="5"/>
        <w:spacing w:line="360" w:lineRule="auto"/>
        <w:ind w:left="-636" w:leftChars="-289" w:firstLine="110" w:firstLineChars="50"/>
        <w:rPr>
          <w:rFonts w:ascii="宋体" w:hAnsi="宋体"/>
          <w:b/>
          <w:szCs w:val="21"/>
          <w:highlight w:val="none"/>
        </w:rPr>
      </w:pPr>
      <w:r>
        <w:rPr>
          <w:rFonts w:hint="eastAsia" w:ascii="宋体" w:hAnsi="宋体"/>
          <w:szCs w:val="21"/>
          <w:highlight w:val="none"/>
        </w:rPr>
        <w:t>6、 甲方负责对乙方进行厂级和部门级安全培训教育和考核，考核合格方可办理入厂手续。</w:t>
      </w:r>
    </w:p>
    <w:p w14:paraId="5AD89DDF">
      <w:pPr>
        <w:tabs>
          <w:tab w:val="left" w:pos="360"/>
          <w:tab w:val="left" w:pos="840"/>
        </w:tabs>
        <w:spacing w:line="360" w:lineRule="auto"/>
        <w:ind w:left="-636" w:leftChars="-289" w:firstLine="110" w:firstLineChars="50"/>
        <w:rPr>
          <w:rFonts w:ascii="宋体" w:hAnsi="宋体"/>
          <w:szCs w:val="21"/>
          <w:highlight w:val="none"/>
        </w:rPr>
      </w:pPr>
      <w:r>
        <w:rPr>
          <w:rFonts w:hint="eastAsia" w:ascii="宋体" w:hAnsi="宋体"/>
          <w:szCs w:val="21"/>
          <w:highlight w:val="none"/>
        </w:rPr>
        <w:t>7、 甲方负责各装置的工艺处理、退料、置换、吹扫及盲板隔离工作，为本项目提供安全的施工条件。</w:t>
      </w:r>
    </w:p>
    <w:p w14:paraId="60EE4E75">
      <w:pPr>
        <w:tabs>
          <w:tab w:val="left" w:pos="360"/>
          <w:tab w:val="left" w:pos="840"/>
        </w:tabs>
        <w:spacing w:line="360" w:lineRule="auto"/>
        <w:ind w:left="-636" w:leftChars="-289" w:firstLine="110" w:firstLineChars="50"/>
        <w:rPr>
          <w:rFonts w:ascii="宋体" w:hAnsi="宋体"/>
          <w:szCs w:val="21"/>
          <w:highlight w:val="none"/>
        </w:rPr>
      </w:pPr>
      <w:r>
        <w:rPr>
          <w:rFonts w:hint="eastAsia" w:ascii="宋体" w:hAnsi="宋体"/>
          <w:szCs w:val="21"/>
          <w:highlight w:val="none"/>
        </w:rPr>
        <w:t>8、 甲方应向乙方提供与乙方作业相关的甲方有毒有害、易燃易爆物品的数据</w:t>
      </w:r>
      <w:r>
        <w:rPr>
          <w:rFonts w:hint="eastAsia" w:ascii="宋体" w:hAnsi="宋体"/>
          <w:sz w:val="32"/>
          <w:szCs w:val="32"/>
          <w:highlight w:val="none"/>
        </w:rPr>
        <w:t>。</w:t>
      </w:r>
    </w:p>
    <w:p w14:paraId="79B54022">
      <w:pPr>
        <w:tabs>
          <w:tab w:val="left" w:pos="360"/>
          <w:tab w:val="left" w:pos="840"/>
        </w:tabs>
        <w:spacing w:line="360" w:lineRule="auto"/>
        <w:ind w:left="-636" w:leftChars="-289" w:firstLine="110" w:firstLineChars="50"/>
        <w:rPr>
          <w:rFonts w:ascii="宋体" w:hAnsi="宋体"/>
          <w:szCs w:val="21"/>
          <w:highlight w:val="none"/>
        </w:rPr>
      </w:pPr>
      <w:r>
        <w:rPr>
          <w:rFonts w:hint="eastAsia" w:ascii="宋体" w:hAnsi="宋体"/>
          <w:szCs w:val="21"/>
          <w:highlight w:val="none"/>
        </w:rPr>
        <w:t>9、 甲方在开工前必须对乙方进行全面的安全技术及文明施工交底。</w:t>
      </w:r>
    </w:p>
    <w:p w14:paraId="1493A44D">
      <w:pPr>
        <w:spacing w:line="360" w:lineRule="auto"/>
        <w:ind w:left="-549" w:leftChars="-339" w:hanging="197" w:hangingChars="89"/>
        <w:rPr>
          <w:rFonts w:ascii="宋体" w:hAnsi="宋体"/>
          <w:b/>
          <w:szCs w:val="21"/>
          <w:highlight w:val="none"/>
        </w:rPr>
      </w:pPr>
      <w:r>
        <w:rPr>
          <w:rFonts w:hint="eastAsia" w:ascii="宋体" w:hAnsi="宋体"/>
          <w:b/>
          <w:szCs w:val="21"/>
          <w:highlight w:val="none"/>
        </w:rPr>
        <w:t>二、乙方的权利和义务：</w:t>
      </w:r>
    </w:p>
    <w:p w14:paraId="797A0705">
      <w:pPr>
        <w:spacing w:line="360" w:lineRule="auto"/>
        <w:ind w:left="-526" w:leftChars="-239"/>
        <w:rPr>
          <w:rFonts w:ascii="宋体" w:hAnsi="宋体"/>
          <w:szCs w:val="21"/>
          <w:highlight w:val="none"/>
        </w:rPr>
      </w:pPr>
      <w:r>
        <w:rPr>
          <w:rFonts w:hint="eastAsia" w:ascii="宋体" w:hAnsi="宋体"/>
          <w:szCs w:val="21"/>
          <w:highlight w:val="none"/>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088CE24E">
      <w:pPr>
        <w:spacing w:line="360" w:lineRule="auto"/>
        <w:ind w:left="-636" w:leftChars="-289" w:firstLine="110" w:firstLineChars="50"/>
        <w:rPr>
          <w:rFonts w:ascii="宋体" w:hAnsi="宋体"/>
          <w:szCs w:val="21"/>
          <w:highlight w:val="none"/>
        </w:rPr>
      </w:pPr>
      <w:r>
        <w:rPr>
          <w:rFonts w:hint="eastAsia" w:ascii="宋体" w:hAnsi="宋体"/>
          <w:szCs w:val="21"/>
          <w:highlight w:val="none"/>
        </w:rPr>
        <w:t>2、  乙方有权对甲方安全管理工作提出合理化建议或改进措施。</w:t>
      </w:r>
    </w:p>
    <w:p w14:paraId="2FE29C9A">
      <w:pPr>
        <w:spacing w:line="360" w:lineRule="auto"/>
        <w:ind w:left="-526" w:leftChars="-239"/>
        <w:rPr>
          <w:rFonts w:ascii="宋体" w:hAnsi="宋体"/>
          <w:szCs w:val="21"/>
          <w:highlight w:val="none"/>
        </w:rPr>
      </w:pPr>
      <w:r>
        <w:rPr>
          <w:rFonts w:hint="eastAsia" w:ascii="宋体" w:hAnsi="宋体"/>
          <w:szCs w:val="21"/>
          <w:highlight w:val="none"/>
        </w:rPr>
        <w:t xml:space="preserve">3、 乙方对甲方管理人员违章指挥、强令冒险作业、有权拒绝执行。对打击和报复行为有权向上级和有关部门汇报。 </w:t>
      </w:r>
    </w:p>
    <w:p w14:paraId="2854CDE2">
      <w:pPr>
        <w:spacing w:line="360" w:lineRule="auto"/>
        <w:ind w:left="-636" w:leftChars="-289" w:firstLine="110" w:firstLineChars="50"/>
        <w:rPr>
          <w:rFonts w:ascii="宋体" w:hAnsi="宋体"/>
          <w:szCs w:val="21"/>
          <w:highlight w:val="none"/>
        </w:rPr>
      </w:pPr>
      <w:r>
        <w:rPr>
          <w:rFonts w:hint="eastAsia" w:ascii="宋体" w:hAnsi="宋体"/>
          <w:szCs w:val="21"/>
          <w:highlight w:val="none"/>
        </w:rPr>
        <w:t>4、 乙方对危及生命安全和身体健康的施工作业条件和环境，有权提出整改建议或拒绝施工作业。</w:t>
      </w:r>
    </w:p>
    <w:p w14:paraId="5EAD2EC9">
      <w:pPr>
        <w:spacing w:line="360" w:lineRule="auto"/>
        <w:ind w:left="-526" w:leftChars="-239"/>
        <w:rPr>
          <w:rFonts w:ascii="宋体" w:hAnsi="宋体"/>
          <w:szCs w:val="21"/>
          <w:highlight w:val="none"/>
        </w:rPr>
      </w:pPr>
      <w:r>
        <w:rPr>
          <w:rFonts w:hint="eastAsia" w:ascii="宋体" w:hAnsi="宋体"/>
          <w:szCs w:val="21"/>
          <w:highlight w:val="none"/>
        </w:rPr>
        <w:t>5、 乙方施工过程中在发生严重危及作业人员生命安全的不可抗拒紧急情况时，有权采取必要的避险措施，并立即向管理部门报告。</w:t>
      </w:r>
    </w:p>
    <w:p w14:paraId="30DA4BAE">
      <w:pPr>
        <w:spacing w:line="360" w:lineRule="auto"/>
        <w:ind w:left="-636" w:leftChars="-289" w:firstLine="110" w:firstLineChars="50"/>
        <w:rPr>
          <w:rFonts w:ascii="宋体" w:hAnsi="宋体"/>
          <w:szCs w:val="21"/>
          <w:highlight w:val="none"/>
        </w:rPr>
      </w:pPr>
      <w:r>
        <w:rPr>
          <w:rFonts w:hint="eastAsia" w:ascii="宋体" w:hAnsi="宋体"/>
          <w:szCs w:val="21"/>
          <w:highlight w:val="none"/>
        </w:rPr>
        <w:t>6、 乙方有权要求甲方提供与其工作相关的安全资料，如八大票证管理制度等。</w:t>
      </w:r>
    </w:p>
    <w:p w14:paraId="6D02C2F8">
      <w:pPr>
        <w:spacing w:line="360" w:lineRule="auto"/>
        <w:ind w:left="-636" w:leftChars="-289" w:firstLine="110" w:firstLineChars="50"/>
        <w:rPr>
          <w:rFonts w:ascii="宋体" w:hAnsi="宋体"/>
          <w:b/>
          <w:szCs w:val="21"/>
          <w:highlight w:val="none"/>
        </w:rPr>
      </w:pPr>
      <w:r>
        <w:rPr>
          <w:rFonts w:hint="eastAsia" w:ascii="宋体" w:hAnsi="宋体"/>
          <w:szCs w:val="21"/>
          <w:highlight w:val="none"/>
        </w:rPr>
        <w:t xml:space="preserve">7、 </w:t>
      </w:r>
      <w:r>
        <w:rPr>
          <w:rFonts w:hint="eastAsia" w:hAnsi="宋体" w:cs="Arial"/>
          <w:highlight w:val="none"/>
        </w:rPr>
        <w:t>乙方必须建立健全HSE管理网络、HSE保证体系和HSE责任制，成立专职HSE管理机构</w:t>
      </w:r>
      <w:r>
        <w:rPr>
          <w:rFonts w:hint="eastAsia" w:ascii="宋体" w:hAnsi="宋体"/>
          <w:szCs w:val="21"/>
          <w:highlight w:val="none"/>
        </w:rPr>
        <w:t>，依照《安全生产法》的要求配备专职或兼职安全生产管理人员，安全管理人员配备比例不等小于5</w:t>
      </w:r>
      <w:r>
        <w:rPr>
          <w:rFonts w:ascii="宋体" w:hAnsi="宋体"/>
          <w:szCs w:val="21"/>
          <w:highlight w:val="none"/>
        </w:rPr>
        <w:t>0</w:t>
      </w:r>
      <w:r>
        <w:rPr>
          <w:rFonts w:hint="eastAsia" w:ascii="宋体" w:hAnsi="宋体"/>
          <w:szCs w:val="21"/>
          <w:highlight w:val="none"/>
        </w:rPr>
        <w:t>比1（最少1名），</w:t>
      </w:r>
      <w:r>
        <w:rPr>
          <w:rFonts w:hint="eastAsia" w:hAnsi="宋体" w:cs="Arial"/>
          <w:highlight w:val="none"/>
        </w:rPr>
        <w:t>并佩戴明显标志；编制和实施各安全环保施工方案和专项应急预案。</w:t>
      </w:r>
    </w:p>
    <w:p w14:paraId="0565D20B">
      <w:pPr>
        <w:spacing w:line="360" w:lineRule="auto"/>
        <w:ind w:left="-526" w:leftChars="-289" w:hanging="110" w:hangingChars="50"/>
        <w:rPr>
          <w:rFonts w:ascii="宋体" w:hAnsi="宋体"/>
          <w:szCs w:val="21"/>
          <w:highlight w:val="none"/>
        </w:rPr>
      </w:pPr>
      <w:r>
        <w:rPr>
          <w:rFonts w:hint="eastAsia" w:ascii="宋体" w:hAnsi="宋体"/>
          <w:szCs w:val="21"/>
          <w:highlight w:val="none"/>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02764066">
      <w:pPr>
        <w:spacing w:line="360" w:lineRule="auto"/>
        <w:ind w:left="-551" w:leftChars="-289" w:hanging="85" w:hangingChars="39"/>
        <w:rPr>
          <w:rFonts w:ascii="宋体" w:hAnsi="宋体"/>
          <w:szCs w:val="21"/>
          <w:highlight w:val="none"/>
        </w:rPr>
      </w:pPr>
      <w:r>
        <w:rPr>
          <w:rFonts w:hint="eastAsia" w:ascii="宋体" w:hAnsi="宋体"/>
          <w:szCs w:val="21"/>
          <w:highlight w:val="none"/>
        </w:rPr>
        <w:t>9、 在工程开工前，乙方必须对全体人员</w:t>
      </w:r>
      <w:r>
        <w:rPr>
          <w:rFonts w:hint="eastAsia" w:ascii="宋体" w:hAnsi="宋体"/>
          <w:szCs w:val="21"/>
          <w:highlight w:val="none"/>
          <w:lang w:eastAsia="zh-CN"/>
        </w:rPr>
        <w:t>（</w:t>
      </w:r>
      <w:r>
        <w:rPr>
          <w:rFonts w:hint="eastAsia" w:ascii="宋体" w:hAnsi="宋体"/>
          <w:szCs w:val="21"/>
          <w:highlight w:val="none"/>
          <w:lang w:val="en-US" w:eastAsia="zh-CN"/>
        </w:rPr>
        <w:t>含监护人</w:t>
      </w:r>
      <w:r>
        <w:rPr>
          <w:rFonts w:hint="eastAsia" w:ascii="宋体" w:hAnsi="宋体"/>
          <w:szCs w:val="21"/>
          <w:highlight w:val="none"/>
          <w:lang w:eastAsia="zh-CN"/>
        </w:rPr>
        <w:t>）</w:t>
      </w:r>
      <w:r>
        <w:rPr>
          <w:rFonts w:hint="eastAsia" w:ascii="宋体" w:hAnsi="宋体"/>
          <w:szCs w:val="21"/>
          <w:highlight w:val="none"/>
        </w:rPr>
        <w:t>分工种进行安全教育、技能考试，合格后方可进行作业。作业前，必须向作业人员进行安全环保技术交底，掌握工程特点及施工安全环保措施。</w:t>
      </w:r>
    </w:p>
    <w:p w14:paraId="26EF56CC">
      <w:pPr>
        <w:spacing w:line="360" w:lineRule="auto"/>
        <w:ind w:left="-551" w:leftChars="-289" w:hanging="85" w:hangingChars="39"/>
        <w:rPr>
          <w:rFonts w:ascii="宋体" w:hAnsi="宋体"/>
          <w:szCs w:val="21"/>
          <w:highlight w:val="none"/>
        </w:rPr>
      </w:pPr>
      <w:r>
        <w:rPr>
          <w:rFonts w:hint="eastAsia" w:ascii="宋体" w:hAnsi="宋体"/>
          <w:szCs w:val="21"/>
          <w:highlight w:val="none"/>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81F8291">
      <w:pPr>
        <w:spacing w:line="360" w:lineRule="auto"/>
        <w:ind w:left="-551" w:leftChars="-289" w:hanging="85" w:hangingChars="39"/>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hint="eastAsia" w:ascii="宋体" w:hAnsi="宋体"/>
          <w:szCs w:val="21"/>
          <w:highlight w:val="none"/>
        </w:rPr>
        <w:t>、 乙方必须按国家有关规定，为施工人员办理工伤保险、意外伤害保险（</w:t>
      </w:r>
      <w:r>
        <w:rPr>
          <w:rFonts w:hint="eastAsia"/>
          <w:highlight w:val="none"/>
        </w:rPr>
        <w:t>承包商应为其</w:t>
      </w:r>
      <w:r>
        <w:rPr>
          <w:rFonts w:hint="eastAsia"/>
          <w:highlight w:val="none"/>
          <w:lang w:val="en-US" w:eastAsia="zh-CN"/>
        </w:rPr>
        <w:t>员工</w:t>
      </w:r>
      <w:r>
        <w:rPr>
          <w:rFonts w:hint="eastAsia"/>
          <w:highlight w:val="none"/>
        </w:rPr>
        <w:t>购</w:t>
      </w:r>
      <w:r>
        <w:rPr>
          <w:rFonts w:hint="eastAsia" w:hAnsi="宋体" w:cs="Arial"/>
          <w:highlight w:val="none"/>
        </w:rPr>
        <w:t>买不低于100万/人的人身意外伤害责任险或者工伤+不低于23万</w:t>
      </w:r>
      <w:r>
        <w:rPr>
          <w:rFonts w:hAnsi="宋体" w:cs="Arial"/>
          <w:highlight w:val="none"/>
        </w:rPr>
        <w:t>/人的</w:t>
      </w:r>
      <w:r>
        <w:rPr>
          <w:rFonts w:hint="eastAsia" w:hAnsi="宋体" w:cs="Arial"/>
          <w:highlight w:val="none"/>
        </w:rPr>
        <w:t>人身意外伤害险</w:t>
      </w:r>
      <w:r>
        <w:rPr>
          <w:rFonts w:hint="eastAsia" w:ascii="宋体" w:hAnsi="宋体"/>
          <w:szCs w:val="21"/>
          <w:highlight w:val="none"/>
        </w:rPr>
        <w:t>），为施工人员配备合格的劳动防护用品、安全用具及应急救援设施，并保证施工工具、器械使用安全。</w:t>
      </w:r>
    </w:p>
    <w:p w14:paraId="6D7FA10B">
      <w:pPr>
        <w:spacing w:line="360" w:lineRule="auto"/>
        <w:ind w:left="-551" w:leftChars="-289" w:hanging="85" w:hangingChars="39"/>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 乙方需建立安全检查制度，指定专人负责现场安全监督检查工作，认真开展安全检查，发现作业过程中不安全行为、隐患、重大险情，应采取有效措施及时处理并报告甲方。</w:t>
      </w:r>
    </w:p>
    <w:p w14:paraId="0124ADFE">
      <w:pPr>
        <w:spacing w:line="360" w:lineRule="auto"/>
        <w:ind w:left="-551" w:leftChars="-289" w:hanging="85" w:hangingChars="39"/>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 发生事故时，乙方必须按我司管理规定及时向甲方报告。同时根据指令迅速组织实施现场人员疏散和抢救工作、采取相应的措施保护好现场，并要积极配合甲方或上级有关部门对事故的调查和现场勘查。</w:t>
      </w:r>
    </w:p>
    <w:p w14:paraId="4BF8C239">
      <w:pPr>
        <w:spacing w:line="360" w:lineRule="auto"/>
        <w:ind w:left="-551" w:leftChars="-289" w:hanging="85" w:hangingChars="39"/>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4</w:t>
      </w:r>
      <w:r>
        <w:rPr>
          <w:rFonts w:hint="eastAsia" w:ascii="宋体" w:hAnsi="宋体"/>
          <w:szCs w:val="21"/>
          <w:highlight w:val="none"/>
        </w:rPr>
        <w:t>、 乙方进入现场的施工人员，严禁动用装置区机泵、容器、塔、加热炉等任何部位阀门，防止误开误关，造成意外事故。如确实需用，经与装置有关人员联系，同意后，由操作人员启闭阀门。</w:t>
      </w:r>
    </w:p>
    <w:p w14:paraId="17A9DD8F">
      <w:pPr>
        <w:spacing w:line="360" w:lineRule="auto"/>
        <w:ind w:left="-551" w:leftChars="-289" w:hanging="85" w:hangingChars="39"/>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D73CEA3">
      <w:pPr>
        <w:spacing w:line="360" w:lineRule="auto"/>
        <w:ind w:left="-551" w:leftChars="-289" w:hanging="85" w:hangingChars="39"/>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 xml:space="preserve">、 </w:t>
      </w:r>
      <w:r>
        <w:rPr>
          <w:rFonts w:hint="eastAsia" w:ascii="宋体" w:hAnsi="宋体"/>
          <w:bCs/>
          <w:highlight w:val="none"/>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2718A36E">
      <w:pPr>
        <w:spacing w:line="360" w:lineRule="auto"/>
        <w:ind w:left="-551" w:leftChars="-289" w:hanging="85" w:hangingChars="39"/>
        <w:rPr>
          <w:rFonts w:ascii="宋体" w:hAnsi="宋体"/>
          <w:bCs/>
          <w:highlight w:val="none"/>
        </w:rPr>
      </w:pPr>
      <w:r>
        <w:rPr>
          <w:rFonts w:hint="eastAsia" w:ascii="宋体" w:hAnsi="宋体"/>
          <w:bCs/>
          <w:highlight w:val="none"/>
        </w:rPr>
        <w:t>1</w:t>
      </w:r>
      <w:r>
        <w:rPr>
          <w:rFonts w:hint="eastAsia" w:ascii="宋体" w:hAnsi="宋体"/>
          <w:bCs/>
          <w:highlight w:val="none"/>
          <w:lang w:val="en-US" w:eastAsia="zh-CN"/>
        </w:rPr>
        <w:t>7</w:t>
      </w:r>
      <w:r>
        <w:rPr>
          <w:rFonts w:hint="eastAsia" w:ascii="宋体" w:hAnsi="宋体"/>
          <w:bCs/>
          <w:highlight w:val="none"/>
        </w:rPr>
        <w:t xml:space="preserve">、 </w:t>
      </w:r>
      <w:r>
        <w:rPr>
          <w:rFonts w:hint="eastAsia" w:ascii="宋体" w:hAnsi="宋体"/>
          <w:szCs w:val="21"/>
          <w:highlight w:val="none"/>
        </w:rPr>
        <w:t>乙方</w:t>
      </w:r>
      <w:r>
        <w:rPr>
          <w:rFonts w:hint="eastAsia" w:ascii="宋体" w:hAnsi="宋体"/>
          <w:bCs/>
          <w:highlight w:val="none"/>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宋体" w:hAnsi="宋体"/>
          <w:highlight w:val="none"/>
        </w:rPr>
        <w:t>GB 2894-2008）</w:t>
      </w:r>
      <w:r>
        <w:rPr>
          <w:rFonts w:hint="eastAsia" w:ascii="宋体" w:hAnsi="宋体"/>
          <w:bCs/>
          <w:highlight w:val="none"/>
        </w:rPr>
        <w:t>的规定。</w:t>
      </w:r>
    </w:p>
    <w:p w14:paraId="5597D8BE">
      <w:pPr>
        <w:spacing w:line="360" w:lineRule="auto"/>
        <w:ind w:left="-551" w:leftChars="-289" w:hanging="85" w:hangingChars="39"/>
        <w:rPr>
          <w:rFonts w:ascii="宋体" w:hAnsi="宋体"/>
          <w:szCs w:val="21"/>
          <w:highlight w:val="none"/>
        </w:rPr>
      </w:pPr>
      <w:r>
        <w:rPr>
          <w:rFonts w:hint="eastAsia" w:ascii="宋体" w:hAnsi="宋体"/>
          <w:bCs/>
          <w:highlight w:val="none"/>
        </w:rPr>
        <w:t>1</w:t>
      </w:r>
      <w:r>
        <w:rPr>
          <w:rFonts w:hint="eastAsia" w:ascii="宋体" w:hAnsi="宋体"/>
          <w:bCs/>
          <w:highlight w:val="none"/>
          <w:lang w:val="en-US" w:eastAsia="zh-CN"/>
        </w:rPr>
        <w:t>8</w:t>
      </w:r>
      <w:r>
        <w:rPr>
          <w:rFonts w:hint="eastAsia" w:ascii="宋体" w:hAnsi="宋体"/>
          <w:bCs/>
          <w:highlight w:val="none"/>
        </w:rPr>
        <w:t>、</w:t>
      </w:r>
      <w:r>
        <w:rPr>
          <w:rFonts w:hint="eastAsia" w:ascii="宋体" w:hAnsi="宋体"/>
          <w:szCs w:val="21"/>
          <w:highlight w:val="none"/>
        </w:rPr>
        <w:t>乙方</w:t>
      </w:r>
      <w:r>
        <w:rPr>
          <w:rFonts w:hint="eastAsia" w:ascii="宋体" w:hAnsi="宋体"/>
          <w:bCs/>
          <w:highlight w:val="none"/>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28007C76">
      <w:pPr>
        <w:spacing w:line="360" w:lineRule="auto"/>
        <w:ind w:left="-551" w:leftChars="-289" w:hanging="85" w:hangingChars="39"/>
        <w:rPr>
          <w:rFonts w:ascii="宋体" w:hAnsi="宋体"/>
          <w:szCs w:val="21"/>
          <w:highlight w:val="none"/>
        </w:rPr>
      </w:pPr>
      <w:r>
        <w:rPr>
          <w:rFonts w:hint="eastAsia" w:ascii="宋体" w:hAnsi="宋体"/>
          <w:szCs w:val="21"/>
          <w:highlight w:val="none"/>
          <w:lang w:val="en-US" w:eastAsia="zh-CN"/>
        </w:rPr>
        <w:t>19</w:t>
      </w:r>
      <w:r>
        <w:rPr>
          <w:rFonts w:hint="eastAsia" w:ascii="宋体" w:hAnsi="宋体"/>
          <w:szCs w:val="21"/>
          <w:highlight w:val="none"/>
        </w:rPr>
        <w:t>、 乙方施工产生的</w:t>
      </w:r>
      <w:r>
        <w:rPr>
          <w:rFonts w:hint="eastAsia" w:ascii="宋体" w:hAnsi="宋体"/>
          <w:bCs/>
          <w:highlight w:val="none"/>
        </w:rPr>
        <w:t>任何有毒、有害物质，油类，化学品，废水，生活污水及其它污染物绝不能排入雨边沟、地井或污染地表土，必须按国家及地方的相关规定进行妥善处置。</w:t>
      </w:r>
      <w:r>
        <w:rPr>
          <w:rFonts w:hint="eastAsia" w:ascii="宋体" w:hAnsi="宋体"/>
          <w:szCs w:val="21"/>
          <w:highlight w:val="none"/>
        </w:rPr>
        <w:t>产生的废物应进行鉴别，一般固废和危险废物应妥善包装、分类堆放，并及时清理</w:t>
      </w:r>
      <w:r>
        <w:rPr>
          <w:rFonts w:hint="eastAsia" w:ascii="宋体" w:hAnsi="宋体"/>
          <w:sz w:val="24"/>
          <w:highlight w:val="none"/>
        </w:rPr>
        <w:t>。</w:t>
      </w:r>
      <w:r>
        <w:rPr>
          <w:rFonts w:hint="eastAsia" w:ascii="宋体" w:hAnsi="宋体"/>
          <w:szCs w:val="21"/>
          <w:highlight w:val="none"/>
        </w:rPr>
        <w:t>不能任意排放和丢弃。</w:t>
      </w:r>
      <w:r>
        <w:rPr>
          <w:rFonts w:hint="eastAsia" w:ascii="Calibri" w:hAnsi="Calibri"/>
          <w:szCs w:val="21"/>
          <w:highlight w:val="none"/>
        </w:rPr>
        <w:t>不依法合规处置固体废物，在厂外随意丢弃的，直接解除合同，清除出厂。</w:t>
      </w:r>
    </w:p>
    <w:p w14:paraId="11798563">
      <w:pPr>
        <w:spacing w:line="360" w:lineRule="auto"/>
        <w:ind w:left="-551" w:leftChars="-289" w:hanging="85" w:hangingChars="39"/>
        <w:rPr>
          <w:rFonts w:ascii="宋体" w:hAnsi="宋体"/>
          <w:sz w:val="24"/>
          <w:highlight w:val="none"/>
        </w:rPr>
      </w:pPr>
      <w:r>
        <w:rPr>
          <w:rFonts w:hint="eastAsia" w:ascii="宋体" w:hAnsi="宋体"/>
          <w:szCs w:val="21"/>
          <w:highlight w:val="none"/>
        </w:rPr>
        <w:t>2</w:t>
      </w:r>
      <w:r>
        <w:rPr>
          <w:rFonts w:hint="eastAsia" w:ascii="宋体" w:hAnsi="宋体"/>
          <w:szCs w:val="21"/>
          <w:highlight w:val="none"/>
          <w:lang w:val="en-US" w:eastAsia="zh-CN"/>
        </w:rPr>
        <w:t>0</w:t>
      </w:r>
      <w:r>
        <w:rPr>
          <w:rFonts w:hint="eastAsia" w:ascii="宋体" w:hAnsi="宋体"/>
          <w:szCs w:val="21"/>
          <w:highlight w:val="none"/>
        </w:rPr>
        <w:t>、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68F02955">
      <w:pPr>
        <w:spacing w:line="360" w:lineRule="auto"/>
        <w:ind w:left="-551" w:leftChars="-289" w:hanging="85" w:hangingChars="39"/>
        <w:rPr>
          <w:rFonts w:hint="eastAsia" w:ascii="宋体" w:hAnsi="宋体"/>
          <w:bCs/>
          <w:highlight w:val="none"/>
        </w:rPr>
      </w:pPr>
      <w:r>
        <w:rPr>
          <w:rFonts w:hint="eastAsia" w:ascii="宋体" w:hAnsi="宋体"/>
          <w:szCs w:val="21"/>
          <w:highlight w:val="none"/>
        </w:rPr>
        <w:t>2</w:t>
      </w:r>
      <w:r>
        <w:rPr>
          <w:rFonts w:hint="eastAsia" w:ascii="宋体" w:hAnsi="宋体"/>
          <w:szCs w:val="21"/>
          <w:highlight w:val="none"/>
          <w:lang w:val="en-US" w:eastAsia="zh-CN"/>
        </w:rPr>
        <w:t>1</w:t>
      </w:r>
      <w:r>
        <w:rPr>
          <w:rFonts w:hint="eastAsia" w:ascii="宋体" w:hAnsi="宋体"/>
          <w:szCs w:val="21"/>
          <w:highlight w:val="none"/>
        </w:rPr>
        <w:t xml:space="preserve">、 </w:t>
      </w:r>
      <w:r>
        <w:rPr>
          <w:rFonts w:hint="eastAsia" w:ascii="宋体" w:hAnsi="宋体"/>
          <w:bCs/>
          <w:highlight w:val="none"/>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29CA9606">
      <w:pPr>
        <w:spacing w:line="360" w:lineRule="auto"/>
        <w:ind w:left="-551" w:leftChars="-289" w:hanging="85" w:hangingChars="39"/>
        <w:rPr>
          <w:rFonts w:hint="eastAsia" w:ascii="宋体" w:hAnsi="宋体"/>
          <w:szCs w:val="21"/>
          <w:highlight w:val="none"/>
        </w:rPr>
      </w:pPr>
      <w:r>
        <w:rPr>
          <w:rFonts w:hint="eastAsia" w:ascii="宋体" w:hAnsi="宋体"/>
          <w:szCs w:val="21"/>
          <w:highlight w:val="none"/>
          <w:lang w:val="en-US" w:eastAsia="zh-CN"/>
        </w:rPr>
        <w:t>22</w:t>
      </w:r>
      <w:r>
        <w:rPr>
          <w:rFonts w:hint="eastAsia" w:ascii="宋体" w:hAnsi="宋体"/>
          <w:szCs w:val="21"/>
          <w:highlight w:val="none"/>
        </w:rPr>
        <w:t>、承包商与接触职业病危害因素的施工人员订立劳动合同时，应当将工作过程中可能产生的职业病危害及其后果、职业病防护措施和待遇等如实告知施工人员，并在劳动合同中写明，不得隐瞒或者欺骗。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ascii="宋体" w:hAnsi="宋体"/>
          <w:szCs w:val="21"/>
          <w:highlight w:val="none"/>
        </w:rPr>
        <w:br w:type="textWrapping"/>
      </w:r>
      <w:r>
        <w:rPr>
          <w:rFonts w:hint="eastAsia" w:ascii="宋体" w:hAnsi="宋体"/>
          <w:szCs w:val="21"/>
          <w:highlight w:val="none"/>
        </w:rPr>
        <w:t>2</w:t>
      </w:r>
      <w:r>
        <w:rPr>
          <w:rFonts w:hint="eastAsia" w:ascii="宋体" w:hAnsi="宋体"/>
          <w:szCs w:val="21"/>
          <w:highlight w:val="none"/>
          <w:lang w:val="en-US" w:eastAsia="zh-CN"/>
        </w:rPr>
        <w:t>3</w:t>
      </w:r>
      <w:r>
        <w:rPr>
          <w:rFonts w:hint="eastAsia" w:ascii="宋体" w:hAnsi="宋体"/>
          <w:szCs w:val="21"/>
          <w:highlight w:val="none"/>
        </w:rPr>
        <w:t>、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ascii="宋体" w:hAnsi="宋体"/>
          <w:szCs w:val="21"/>
          <w:highlight w:val="none"/>
        </w:rPr>
        <w:br w:type="textWrapping"/>
      </w:r>
      <w:r>
        <w:rPr>
          <w:rFonts w:hint="eastAsia" w:ascii="宋体" w:hAnsi="宋体"/>
          <w:szCs w:val="21"/>
          <w:highlight w:val="none"/>
          <w:lang w:val="en-US" w:eastAsia="zh-CN"/>
        </w:rPr>
        <w:t>24</w:t>
      </w:r>
      <w:r>
        <w:rPr>
          <w:rFonts w:hint="eastAsia" w:ascii="宋体" w:hAnsi="宋体"/>
          <w:szCs w:val="21"/>
          <w:highlight w:val="none"/>
        </w:rPr>
        <w:t>、承包商应根据各个岗位各种作业时的有害因素制定相应的劳动防护用品配发标准，为施工人员定期配发符合国家规定的相应的劳动防护用品。</w:t>
      </w:r>
      <w:r>
        <w:rPr>
          <w:rFonts w:hint="eastAsia" w:ascii="宋体" w:hAnsi="宋体"/>
          <w:szCs w:val="21"/>
          <w:highlight w:val="none"/>
        </w:rPr>
        <w:br w:type="textWrapping"/>
      </w:r>
      <w:r>
        <w:rPr>
          <w:rFonts w:hint="eastAsia" w:ascii="宋体" w:hAnsi="宋体"/>
          <w:szCs w:val="21"/>
          <w:highlight w:val="none"/>
          <w:lang w:val="en-US" w:eastAsia="zh-CN"/>
        </w:rPr>
        <w:t>25</w:t>
      </w:r>
      <w:r>
        <w:rPr>
          <w:rFonts w:hint="eastAsia" w:ascii="宋体" w:hAnsi="宋体"/>
          <w:szCs w:val="21"/>
          <w:highlight w:val="none"/>
        </w:rPr>
        <w:t>、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w:t>
      </w:r>
      <w:r>
        <w:rPr>
          <w:rFonts w:hint="eastAsia" w:ascii="宋体" w:hAnsi="宋体"/>
          <w:szCs w:val="21"/>
          <w:highlight w:val="none"/>
          <w:lang w:val="en-US" w:eastAsia="zh-CN"/>
        </w:rPr>
        <w:t>和</w:t>
      </w:r>
      <w:r>
        <w:rPr>
          <w:rFonts w:hint="eastAsia" w:ascii="宋体" w:hAnsi="宋体"/>
          <w:szCs w:val="21"/>
          <w:highlight w:val="none"/>
        </w:rPr>
        <w:t>有职业禁忌的施工人员从事其所禁忌的作业。</w:t>
      </w:r>
    </w:p>
    <w:p w14:paraId="7969F83E">
      <w:pPr>
        <w:spacing w:line="360" w:lineRule="auto"/>
        <w:ind w:left="-551" w:leftChars="-289" w:hanging="85" w:hangingChars="39"/>
        <w:rPr>
          <w:rFonts w:hint="eastAsia" w:ascii="宋体" w:hAnsi="宋体"/>
          <w:szCs w:val="21"/>
          <w:highlight w:val="none"/>
        </w:rPr>
      </w:pPr>
      <w:r>
        <w:rPr>
          <w:rFonts w:hint="eastAsia" w:ascii="宋体" w:hAnsi="宋体"/>
          <w:szCs w:val="21"/>
          <w:highlight w:val="none"/>
        </w:rPr>
        <w:t>三、违约责任及处理</w:t>
      </w:r>
    </w:p>
    <w:p w14:paraId="7B8844FE">
      <w:pPr>
        <w:spacing w:line="360" w:lineRule="auto"/>
        <w:ind w:left="-551" w:leftChars="-289" w:hanging="85" w:hangingChars="39"/>
        <w:rPr>
          <w:rFonts w:hint="eastAsia" w:ascii="宋体" w:hAnsi="宋体"/>
          <w:szCs w:val="21"/>
          <w:highlight w:val="none"/>
        </w:rPr>
      </w:pPr>
      <w:r>
        <w:rPr>
          <w:rFonts w:hint="eastAsia" w:ascii="宋体" w:hAnsi="宋体"/>
          <w:szCs w:val="21"/>
          <w:highlight w:val="none"/>
        </w:rPr>
        <w:t>1、乙方不得转包、违法分包及挂靠等违法行为，若存在违法行为，甲方有权解除合同；未经福海创许可，不得将工程分包。</w:t>
      </w:r>
    </w:p>
    <w:p w14:paraId="4512BF2D">
      <w:pPr>
        <w:spacing w:line="360" w:lineRule="auto"/>
        <w:ind w:left="-551" w:leftChars="-289" w:hanging="85" w:hangingChars="39"/>
        <w:rPr>
          <w:rFonts w:hint="eastAsia" w:ascii="宋体" w:hAnsi="宋体"/>
          <w:szCs w:val="21"/>
          <w:highlight w:val="none"/>
        </w:rPr>
      </w:pPr>
      <w:r>
        <w:rPr>
          <w:rFonts w:hint="eastAsia" w:ascii="宋体" w:hAnsi="宋体"/>
          <w:szCs w:val="21"/>
          <w:highlight w:val="none"/>
        </w:rPr>
        <w:t>2、发生安全事故时，甲乙双方均有抢险、救灾的义务，所发生的费用由责任方承担。</w:t>
      </w:r>
    </w:p>
    <w:p w14:paraId="1C209025">
      <w:pPr>
        <w:spacing w:line="360" w:lineRule="auto"/>
        <w:ind w:left="-551" w:leftChars="-289" w:hanging="85" w:hangingChars="39"/>
        <w:rPr>
          <w:rFonts w:hint="eastAsia" w:ascii="宋体" w:hAnsi="宋体"/>
          <w:szCs w:val="21"/>
        </w:rPr>
      </w:pPr>
      <w:r>
        <w:rPr>
          <w:rFonts w:hint="eastAsia" w:ascii="宋体" w:hAnsi="宋体"/>
          <w:szCs w:val="21"/>
          <w:highlight w:val="none"/>
        </w:rPr>
        <w:t>3、发生安全事故，由甲方或者政府安全管理机构按事故调查处</w:t>
      </w:r>
      <w:r>
        <w:rPr>
          <w:rFonts w:hint="eastAsia" w:ascii="宋体" w:hAnsi="宋体"/>
          <w:szCs w:val="21"/>
        </w:rPr>
        <w:t>理的，乙方参与配合调查。因乙方主要责任造成的人身伤亡、设备损坏事故及其造成的经济损失,一切责任及损失由乙方承担，并由乙方上报有关政府部门调查处理、统计上报。</w:t>
      </w:r>
    </w:p>
    <w:p w14:paraId="73D266B9">
      <w:pPr>
        <w:spacing w:line="360" w:lineRule="auto"/>
        <w:ind w:left="-551" w:leftChars="-289" w:hanging="85" w:hangingChars="39"/>
        <w:rPr>
          <w:rFonts w:hint="eastAsia" w:ascii="宋体" w:hAnsi="宋体"/>
          <w:szCs w:val="21"/>
        </w:rPr>
      </w:pPr>
      <w:r>
        <w:rPr>
          <w:rFonts w:hint="eastAsia" w:ascii="宋体" w:hAnsi="宋体"/>
          <w:szCs w:val="21"/>
        </w:rPr>
        <w:t>4、甲方违约造成的事故，甲方承担全部责任，并按规定追究有关人员责任及上报。</w:t>
      </w:r>
    </w:p>
    <w:p w14:paraId="54590475">
      <w:pPr>
        <w:spacing w:line="360" w:lineRule="auto"/>
        <w:ind w:left="-551" w:leftChars="-289" w:hanging="85" w:hangingChars="39"/>
        <w:rPr>
          <w:rFonts w:hint="eastAsia" w:ascii="宋体" w:hAnsi="宋体"/>
          <w:szCs w:val="21"/>
        </w:rPr>
      </w:pPr>
      <w:r>
        <w:rPr>
          <w:rFonts w:hint="eastAsia" w:ascii="宋体" w:hAnsi="宋体"/>
          <w:szCs w:val="21"/>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6F93AA51">
      <w:pPr>
        <w:spacing w:line="360" w:lineRule="auto"/>
        <w:ind w:left="-551" w:leftChars="-289" w:hanging="85" w:hangingChars="39"/>
        <w:rPr>
          <w:rFonts w:hint="eastAsia" w:ascii="宋体" w:hAnsi="宋体"/>
          <w:szCs w:val="21"/>
        </w:rPr>
      </w:pPr>
      <w:r>
        <w:rPr>
          <w:rFonts w:hint="eastAsia" w:ascii="宋体" w:hAnsi="宋体"/>
          <w:szCs w:val="21"/>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59CCF492">
      <w:pPr>
        <w:spacing w:line="360" w:lineRule="auto"/>
        <w:ind w:left="-551" w:leftChars="-289" w:hanging="85" w:hangingChars="39"/>
        <w:rPr>
          <w:rFonts w:ascii="宋体" w:hAnsi="宋体"/>
          <w:szCs w:val="21"/>
        </w:rPr>
      </w:pPr>
      <w:r>
        <w:rPr>
          <w:rFonts w:hint="eastAsia" w:ascii="宋体" w:hAnsi="宋体"/>
          <w:szCs w:val="21"/>
        </w:rPr>
        <w:t>7、 对乙方发生事故后弄虚作假、隐瞒不报、迟报或谎报，一经查出，按有关规定处罚，并向所有在甲方范围内施工的其它承包商进行通报，并将通报送达承包商。情节严重的，取消其进入甲方的市场资格。</w:t>
      </w:r>
    </w:p>
    <w:p w14:paraId="72902E39">
      <w:pPr>
        <w:spacing w:line="550" w:lineRule="exact"/>
        <w:ind w:left="-549" w:leftChars="-339" w:hanging="197" w:hangingChars="89"/>
        <w:rPr>
          <w:rFonts w:ascii="宋体" w:hAnsi="宋体"/>
          <w:b/>
          <w:szCs w:val="21"/>
        </w:rPr>
      </w:pPr>
      <w:r>
        <w:rPr>
          <w:rFonts w:hint="eastAsia" w:ascii="宋体" w:hAnsi="宋体"/>
          <w:b/>
          <w:szCs w:val="21"/>
        </w:rPr>
        <w:t>四、 不可抗力：</w:t>
      </w:r>
    </w:p>
    <w:p w14:paraId="778B276B">
      <w:pPr>
        <w:spacing w:line="550" w:lineRule="exact"/>
        <w:ind w:left="-551" w:leftChars="-339" w:hanging="195" w:hangingChars="89"/>
        <w:rPr>
          <w:rFonts w:ascii="宋体" w:hAnsi="宋体"/>
          <w:szCs w:val="21"/>
        </w:rPr>
      </w:pPr>
      <w:r>
        <w:rPr>
          <w:rFonts w:hint="eastAsia" w:ascii="宋体" w:hAnsi="宋体"/>
          <w:szCs w:val="21"/>
        </w:rPr>
        <w:t xml:space="preserve">    由于不可抗力造成合同项目施工作业事故及产生的损失，甲乙双方各自承担相应的损失。</w:t>
      </w:r>
    </w:p>
    <w:p w14:paraId="7C2CDDC6">
      <w:pPr>
        <w:spacing w:line="550" w:lineRule="exact"/>
        <w:ind w:left="-549" w:leftChars="-339" w:hanging="197" w:hangingChars="89"/>
        <w:rPr>
          <w:rFonts w:ascii="宋体" w:hAnsi="宋体"/>
          <w:b/>
          <w:szCs w:val="21"/>
        </w:rPr>
      </w:pPr>
      <w:r>
        <w:rPr>
          <w:rFonts w:hint="eastAsia" w:ascii="宋体" w:hAnsi="宋体"/>
          <w:b/>
          <w:szCs w:val="21"/>
        </w:rPr>
        <w:t>五、本协议书一式两份，甲乙双方各执一份。</w:t>
      </w:r>
    </w:p>
    <w:p w14:paraId="1260FC34">
      <w:pPr>
        <w:spacing w:line="550" w:lineRule="exact"/>
        <w:ind w:left="-549" w:leftChars="-339" w:hanging="197" w:hangingChars="89"/>
        <w:rPr>
          <w:rFonts w:ascii="宋体" w:hAnsi="宋体"/>
          <w:b/>
          <w:szCs w:val="21"/>
        </w:rPr>
      </w:pPr>
      <w:r>
        <w:rPr>
          <w:rFonts w:hint="eastAsia" w:ascii="宋体" w:hAnsi="宋体"/>
          <w:b/>
          <w:szCs w:val="21"/>
        </w:rPr>
        <w:t>六、本协议书经双方盖章后生效。</w:t>
      </w:r>
    </w:p>
    <w:p w14:paraId="61452421">
      <w:pPr>
        <w:spacing w:line="550" w:lineRule="exact"/>
        <w:ind w:left="-549" w:leftChars="-339" w:hanging="197" w:hangingChars="89"/>
        <w:rPr>
          <w:rFonts w:ascii="宋体" w:hAnsi="宋体"/>
          <w:b/>
          <w:szCs w:val="21"/>
        </w:rPr>
      </w:pPr>
      <w:r>
        <w:rPr>
          <w:rFonts w:hint="eastAsia" w:ascii="宋体" w:hAnsi="宋体"/>
          <w:b/>
          <w:szCs w:val="21"/>
        </w:rPr>
        <w:t>七、协议期限：</w:t>
      </w:r>
    </w:p>
    <w:p w14:paraId="378DA29E">
      <w:pPr>
        <w:spacing w:line="550" w:lineRule="exact"/>
        <w:ind w:left="-636" w:leftChars="-289" w:firstLine="110" w:firstLineChars="50"/>
        <w:rPr>
          <w:rFonts w:ascii="宋体" w:hAnsi="宋体"/>
          <w:szCs w:val="21"/>
        </w:rPr>
      </w:pPr>
      <w:r>
        <w:rPr>
          <w:rFonts w:hint="eastAsia" w:ascii="宋体" w:hAnsi="宋体"/>
          <w:szCs w:val="21"/>
        </w:rPr>
        <w:t>本协议期限应与主合同期限一致。如果主合同因故需要变更期限，本合同应与主同变更至相同期限。</w:t>
      </w:r>
    </w:p>
    <w:p w14:paraId="618BFD70">
      <w:pPr>
        <w:spacing w:line="360" w:lineRule="auto"/>
        <w:ind w:left="-551" w:leftChars="-289" w:hanging="85" w:hangingChars="39"/>
        <w:rPr>
          <w:rFonts w:ascii="宋体" w:hAnsi="宋体"/>
          <w:szCs w:val="21"/>
        </w:rPr>
      </w:pPr>
      <w:r>
        <w:rPr>
          <w:rFonts w:hint="eastAsia" w:ascii="宋体" w:hAnsi="宋体"/>
          <w:szCs w:val="21"/>
        </w:rPr>
        <w:t>（以下无正文）</w:t>
      </w:r>
    </w:p>
    <w:p w14:paraId="0362789C">
      <w:pPr>
        <w:spacing w:line="276" w:lineRule="auto"/>
        <w:rPr>
          <w:rFonts w:ascii="宋体" w:hAnsi="宋体"/>
          <w:szCs w:val="21"/>
        </w:rPr>
      </w:pPr>
    </w:p>
    <w:p w14:paraId="7834FD3C">
      <w:pPr>
        <w:spacing w:line="276" w:lineRule="auto"/>
        <w:ind w:left="-526" w:leftChars="-239" w:firstLine="464" w:firstLineChars="211"/>
        <w:rPr>
          <w:rFonts w:ascii="宋体" w:hAnsi="宋体"/>
          <w:szCs w:val="21"/>
        </w:rPr>
      </w:pPr>
      <w:r>
        <w:rPr>
          <w:rFonts w:hint="eastAsia" w:ascii="宋体" w:hAnsi="宋体"/>
          <w:szCs w:val="21"/>
        </w:rPr>
        <w:t xml:space="preserve">甲方 (章)：                                  </w:t>
      </w:r>
      <w:r>
        <w:rPr>
          <w:rFonts w:hint="eastAsia" w:ascii="宋体" w:hAnsi="宋体"/>
          <w:szCs w:val="21"/>
          <w:lang w:val="en-US" w:eastAsia="zh-CN"/>
        </w:rPr>
        <w:t xml:space="preserve">   </w:t>
      </w:r>
      <w:r>
        <w:rPr>
          <w:rFonts w:hint="eastAsia" w:ascii="宋体" w:hAnsi="宋体"/>
          <w:szCs w:val="21"/>
        </w:rPr>
        <w:t>乙方(章)：</w:t>
      </w:r>
    </w:p>
    <w:p w14:paraId="33E35028">
      <w:pPr>
        <w:spacing w:line="276" w:lineRule="auto"/>
        <w:rPr>
          <w:rFonts w:hint="eastAsia" w:ascii="宋体" w:hAnsi="宋体"/>
          <w:szCs w:val="21"/>
        </w:rPr>
      </w:pPr>
    </w:p>
    <w:p w14:paraId="765E9249">
      <w:pPr>
        <w:spacing w:line="276" w:lineRule="auto"/>
        <w:rPr>
          <w:rFonts w:hint="eastAsia" w:ascii="宋体" w:hAnsi="宋体"/>
          <w:szCs w:val="21"/>
        </w:rPr>
      </w:pPr>
    </w:p>
    <w:p w14:paraId="48835043">
      <w:pPr>
        <w:spacing w:line="276" w:lineRule="auto"/>
      </w:pPr>
      <w:r>
        <w:rPr>
          <w:rFonts w:hint="eastAsia" w:ascii="宋体" w:hAnsi="宋体"/>
          <w:szCs w:val="21"/>
        </w:rPr>
        <w:t>签定日期：</w:t>
      </w:r>
      <w:r>
        <w:rPr>
          <w:rFonts w:hint="eastAsia" w:ascii="宋体" w:hAnsi="宋体"/>
          <w:szCs w:val="21"/>
          <w:lang w:val="en-US" w:eastAsia="zh-CN"/>
        </w:rPr>
        <w:t>202</w:t>
      </w:r>
      <w:r>
        <w:rPr>
          <w:rFonts w:hint="eastAsia"/>
          <w:szCs w:val="21"/>
          <w:lang w:val="en-US" w:eastAsia="zh-CN"/>
        </w:rPr>
        <w:t>5</w:t>
      </w:r>
      <w:r>
        <w:rPr>
          <w:rFonts w:hint="eastAsia" w:ascii="宋体" w:hAnsi="宋体"/>
          <w:szCs w:val="21"/>
        </w:rPr>
        <w:t>年</w:t>
      </w:r>
      <w:r>
        <w:rPr>
          <w:rFonts w:hint="eastAsia"/>
          <w:szCs w:val="21"/>
          <w:lang w:val="en-US" w:eastAsia="zh-CN"/>
        </w:rPr>
        <w:t>7</w:t>
      </w:r>
      <w:r>
        <w:rPr>
          <w:rFonts w:hint="eastAsia" w:ascii="宋体" w:hAnsi="宋体"/>
          <w:szCs w:val="21"/>
        </w:rPr>
        <w:t>月</w:t>
      </w:r>
      <w:r>
        <w:rPr>
          <w:rFonts w:hint="eastAsia"/>
          <w:szCs w:val="21"/>
          <w:lang w:val="en-US" w:eastAsia="zh-CN"/>
        </w:rPr>
        <w:t>16</w:t>
      </w:r>
      <w:r>
        <w:rPr>
          <w:rFonts w:hint="eastAsia" w:ascii="宋体" w:hAnsi="宋体"/>
          <w:szCs w:val="21"/>
        </w:rPr>
        <w:t xml:space="preserve">日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签</w:t>
      </w:r>
      <w:r>
        <w:rPr>
          <w:rFonts w:hint="eastAsia" w:ascii="宋体" w:hAnsi="宋体"/>
          <w:szCs w:val="21"/>
        </w:rPr>
        <w:t>定日期：</w:t>
      </w:r>
      <w:r>
        <w:rPr>
          <w:rFonts w:hint="eastAsia" w:ascii="宋体" w:hAnsi="宋体"/>
          <w:szCs w:val="21"/>
          <w:lang w:val="en-US" w:eastAsia="zh-CN"/>
        </w:rPr>
        <w:t>202</w:t>
      </w:r>
      <w:r>
        <w:rPr>
          <w:rFonts w:hint="eastAsia"/>
          <w:szCs w:val="21"/>
          <w:lang w:val="en-US" w:eastAsia="zh-CN"/>
        </w:rPr>
        <w:t>5</w:t>
      </w:r>
      <w:r>
        <w:rPr>
          <w:rFonts w:hint="eastAsia" w:ascii="宋体" w:hAnsi="宋体"/>
          <w:szCs w:val="21"/>
        </w:rPr>
        <w:t xml:space="preserve">年 </w:t>
      </w:r>
      <w:r>
        <w:rPr>
          <w:rFonts w:hint="eastAsia"/>
          <w:szCs w:val="21"/>
          <w:lang w:val="en-US" w:eastAsia="zh-CN"/>
        </w:rPr>
        <w:t>7</w:t>
      </w:r>
      <w:r>
        <w:rPr>
          <w:rFonts w:hint="eastAsia" w:ascii="宋体" w:hAnsi="宋体"/>
          <w:szCs w:val="21"/>
        </w:rPr>
        <w:t>月</w:t>
      </w:r>
      <w:r>
        <w:rPr>
          <w:rFonts w:hint="eastAsia"/>
          <w:szCs w:val="21"/>
          <w:lang w:val="en-US" w:eastAsia="zh-CN"/>
        </w:rPr>
        <w:t>16</w:t>
      </w:r>
      <w:r>
        <w:rPr>
          <w:rFonts w:hint="eastAsia" w:ascii="宋体" w:hAnsi="宋体"/>
          <w:szCs w:val="21"/>
        </w:rPr>
        <w:t>日</w:t>
      </w:r>
    </w:p>
    <w:sectPr>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2B86DC3C"/>
    <w:multiLevelType w:val="singleLevel"/>
    <w:tmpl w:val="2B86DC3C"/>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A4692"/>
    <w:rsid w:val="059950B6"/>
    <w:rsid w:val="0ABD286D"/>
    <w:rsid w:val="12F61168"/>
    <w:rsid w:val="18846CA0"/>
    <w:rsid w:val="1DEE0AF4"/>
    <w:rsid w:val="216030FA"/>
    <w:rsid w:val="46E80CC0"/>
    <w:rsid w:val="54B52D8E"/>
    <w:rsid w:val="5CEC7773"/>
    <w:rsid w:val="75254AD8"/>
    <w:rsid w:val="7E6A6104"/>
    <w:rsid w:val="7FAA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宋体" w:cs="Times New Roman"/>
      <w:szCs w:val="21"/>
    </w:rPr>
  </w:style>
  <w:style w:type="paragraph" w:styleId="5">
    <w:name w:val="List Paragraph"/>
    <w:basedOn w:val="1"/>
    <w:qFormat/>
    <w:uiPriority w:val="34"/>
    <w:pPr>
      <w:ind w:firstLine="420" w:firstLineChars="200"/>
    </w:pPr>
  </w:style>
  <w:style w:type="paragraph" w:customStyle="1" w:styleId="6">
    <w:name w:val="正文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9800</Words>
  <Characters>9943</Characters>
  <Lines>0</Lines>
  <Paragraphs>0</Paragraphs>
  <TotalTime>3</TotalTime>
  <ScaleCrop>false</ScaleCrop>
  <LinksUpToDate>false</LinksUpToDate>
  <CharactersWithSpaces>10537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2025-07-22T08:26:00Z</dcterms:created>
  <dc:creator>企业用户_290079531</dc:creator>
  <cp:lastModifiedBy>Hot &amp;&amp; Cold</cp:lastModifiedBy>
  <dcterms:modified xsi:type="dcterms:W3CDTF">2026-02-24T05:49:33Z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2014234A2AE743AEBD5445C673E79B08_11</vt:lpwstr>
  </property>
  <property fmtid="{D5CDD505-2E9C-101B-9397-08002B2CF9AE}" pid="4" name="KSOTemplateDocerSaveRecord">
    <vt:lpwstr>eyJoZGlkIjoiZWQ5NmYxMTZjZGRhOGE2MTg0YTI3ZTU4MDg0ZGNhYTEiLCJ1c2VySWQiOiIyOTAwNzk1MzEifQ==</vt:lpwstr>
  </property>
</Properties>
</file>