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6DD31D1E">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646D54D2">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渣油加氢装置螺旋板换热器高压射流清洗装备采购</w:t>
      </w:r>
    </w:p>
    <w:p w14:paraId="1F595A08">
      <w:pPr>
        <w:pStyle w:val="21"/>
        <w:jc w:val="center"/>
        <w:rPr>
          <w:rFonts w:ascii="微软雅黑" w:eastAsia="微软雅黑"/>
          <w:b/>
          <w:color w:val="auto"/>
          <w:sz w:val="72"/>
          <w:szCs w:val="72"/>
          <w:u w:val="single"/>
          <w:lang w:eastAsia="zh-CN"/>
        </w:rPr>
      </w:pPr>
      <w:r>
        <w:rPr>
          <w:rFonts w:hint="eastAsia" w:ascii="微软雅黑" w:eastAsia="微软雅黑"/>
          <w:b/>
          <w:color w:val="auto"/>
          <w:sz w:val="72"/>
          <w:szCs w:val="72"/>
          <w:u w:val="single"/>
          <w:lang w:eastAsia="zh-CN"/>
        </w:rPr>
        <w:t>询比文件</w:t>
      </w:r>
    </w:p>
    <w:p w14:paraId="41DFB9F3">
      <w:pPr>
        <w:pStyle w:val="4"/>
        <w:jc w:val="center"/>
        <w:rPr>
          <w:color w:val="auto"/>
          <w:sz w:val="28"/>
          <w:szCs w:val="28"/>
        </w:rPr>
      </w:pPr>
      <w:r>
        <w:rPr>
          <w:rFonts w:hint="eastAsia"/>
          <w:color w:val="auto"/>
          <w:sz w:val="28"/>
          <w:szCs w:val="28"/>
        </w:rPr>
        <w:t>（文件编号：</w:t>
      </w:r>
      <w:r>
        <w:rPr>
          <w:rFonts w:hint="eastAsia"/>
          <w:color w:val="auto"/>
          <w:sz w:val="28"/>
          <w:szCs w:val="28"/>
          <w:u w:val="single"/>
        </w:rPr>
        <w:t>FAP1-CGSQ-202601-003</w:t>
      </w:r>
      <w:r>
        <w:rPr>
          <w:color w:val="auto"/>
          <w:sz w:val="28"/>
          <w:szCs w:val="28"/>
          <w:u w:val="single"/>
        </w:rPr>
        <w:t xml:space="preserve"> </w:t>
      </w:r>
      <w:r>
        <w:rPr>
          <w:rFonts w:hint="eastAsia"/>
          <w:color w:val="auto"/>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color w:val="auto"/>
          <w:sz w:val="28"/>
          <w:szCs w:val="28"/>
        </w:rPr>
      </w:pPr>
      <w:r>
        <w:rPr>
          <w:rFonts w:hint="eastAsia" w:ascii="微软雅黑" w:hAnsi="微软雅黑" w:eastAsia="微软雅黑"/>
          <w:b/>
          <w:color w:val="auto"/>
          <w:sz w:val="28"/>
          <w:szCs w:val="28"/>
        </w:rPr>
        <w:t>福建</w:t>
      </w:r>
      <w:r>
        <w:rPr>
          <w:rFonts w:ascii="微软雅黑" w:hAnsi="微软雅黑" w:eastAsia="微软雅黑"/>
          <w:b/>
          <w:color w:val="auto"/>
          <w:sz w:val="28"/>
          <w:szCs w:val="28"/>
        </w:rPr>
        <w:t>福海创石油化工有限公司</w:t>
      </w:r>
      <w:r>
        <w:rPr>
          <w:rFonts w:hint="eastAsia" w:ascii="微软雅黑" w:hAnsi="微软雅黑" w:eastAsia="微软雅黑"/>
          <w:b/>
          <w:color w:val="auto"/>
          <w:sz w:val="28"/>
          <w:szCs w:val="28"/>
        </w:rPr>
        <w:t>编制</w:t>
      </w:r>
    </w:p>
    <w:p w14:paraId="0321C197">
      <w:pPr>
        <w:spacing w:line="271" w:lineRule="auto"/>
        <w:ind w:right="1889"/>
        <w:rPr>
          <w:rFonts w:ascii="微软雅黑" w:eastAsia="微软雅黑"/>
          <w:b/>
          <w:color w:val="auto"/>
          <w:sz w:val="32"/>
          <w:lang w:eastAsia="zh-CN"/>
        </w:rPr>
      </w:pPr>
      <w:r>
        <w:rPr>
          <w:rFonts w:hint="eastAsia" w:ascii="微软雅黑" w:eastAsia="微软雅黑"/>
          <w:b/>
          <w:color w:val="auto"/>
          <w:w w:val="95"/>
          <w:sz w:val="32"/>
          <w:lang w:eastAsia="zh-CN"/>
        </w:rPr>
        <w:t xml:space="preserve">                                   二〇二</w:t>
      </w:r>
      <w:r>
        <w:rPr>
          <w:rFonts w:hint="eastAsia" w:ascii="微软雅黑" w:eastAsia="微软雅黑"/>
          <w:b/>
          <w:color w:val="auto"/>
          <w:w w:val="95"/>
          <w:sz w:val="32"/>
          <w:lang w:val="en-US" w:eastAsia="zh-CN"/>
        </w:rPr>
        <w:t>六</w:t>
      </w:r>
      <w:r>
        <w:rPr>
          <w:rFonts w:hint="eastAsia" w:ascii="微软雅黑" w:eastAsia="微软雅黑"/>
          <w:b/>
          <w:color w:val="auto"/>
          <w:w w:val="95"/>
          <w:sz w:val="32"/>
          <w:lang w:eastAsia="zh-CN"/>
        </w:rPr>
        <w:t>年</w:t>
      </w:r>
      <w:r>
        <w:rPr>
          <w:rFonts w:hint="eastAsia" w:ascii="微软雅黑" w:eastAsia="微软雅黑"/>
          <w:b/>
          <w:color w:val="auto"/>
          <w:w w:val="95"/>
          <w:sz w:val="32"/>
          <w:lang w:val="en-US" w:eastAsia="zh-CN"/>
        </w:rPr>
        <w:t>一</w:t>
      </w:r>
      <w:r>
        <w:rPr>
          <w:rFonts w:hint="eastAsia" w:ascii="微软雅黑" w:eastAsia="微软雅黑"/>
          <w:b/>
          <w:color w:val="auto"/>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CC41517">
      <w:pPr>
        <w:jc w:val="center"/>
        <w:rPr>
          <w:rFonts w:hint="eastAsia"/>
          <w:b/>
          <w:bCs/>
          <w:sz w:val="32"/>
          <w:lang w:eastAsia="zh-CN"/>
        </w:rPr>
      </w:pPr>
      <w:r>
        <w:rPr>
          <w:rFonts w:hint="eastAsia"/>
          <w:b/>
          <w:bCs/>
          <w:sz w:val="32"/>
          <w:lang w:eastAsia="zh-CN"/>
        </w:rPr>
        <w:t>福建福海创石油化工有限公司</w:t>
      </w:r>
    </w:p>
    <w:p w14:paraId="7A325D0E">
      <w:pPr>
        <w:jc w:val="center"/>
        <w:rPr>
          <w:rFonts w:hint="eastAsia"/>
          <w:b/>
          <w:bCs/>
          <w:sz w:val="32"/>
          <w:lang w:eastAsia="zh-CN"/>
        </w:rPr>
      </w:pPr>
      <w:r>
        <w:rPr>
          <w:rFonts w:hint="eastAsia"/>
          <w:b/>
          <w:bCs/>
          <w:sz w:val="32"/>
          <w:lang w:eastAsia="zh-CN"/>
        </w:rPr>
        <w:t>渣油加氢装置螺旋板换热器高压射流清洗装备采购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auto"/>
          <w:lang w:eastAsia="zh-CN"/>
        </w:rPr>
        <w:t>“</w:t>
      </w:r>
      <w:r>
        <w:rPr>
          <w:rFonts w:hint="eastAsia"/>
          <w:color w:val="auto"/>
          <w:u w:val="single"/>
          <w:lang w:eastAsia="zh-CN"/>
        </w:rPr>
        <w:t>福建福海创石油化工有限公司渣油加氢装置螺旋板换热器高压射流清洗装备采购（项目编号：FAP1-CGSQ-202601-003）</w:t>
      </w:r>
      <w:r>
        <w:rPr>
          <w:rFonts w:hint="eastAsia"/>
          <w:color w:val="auto"/>
          <w:lang w:eastAsia="zh-CN"/>
        </w:rPr>
        <w:t>”</w:t>
      </w:r>
      <w:r>
        <w:rPr>
          <w:color w:val="auto"/>
          <w:lang w:eastAsia="zh-CN"/>
        </w:rPr>
        <w:t>进</w:t>
      </w:r>
      <w:r>
        <w:rPr>
          <w:lang w:eastAsia="zh-CN"/>
        </w:rPr>
        <w:t>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项目名称：福建福海创石油化工有限公司渣油加氢装置螺旋板换热器高压射流清洗装备采购</w:t>
      </w:r>
    </w:p>
    <w:p w14:paraId="4B6B880A">
      <w:pPr>
        <w:tabs>
          <w:tab w:val="left" w:pos="709"/>
        </w:tabs>
        <w:spacing w:line="360" w:lineRule="auto"/>
        <w:ind w:firstLine="480" w:firstLineChars="200"/>
        <w:rPr>
          <w:rFonts w:hint="eastAsia"/>
          <w:sz w:val="24"/>
          <w:szCs w:val="24"/>
          <w:lang w:eastAsia="zh-CN"/>
        </w:rPr>
      </w:pPr>
      <w:r>
        <w:rPr>
          <w:rFonts w:hint="eastAsia"/>
          <w:sz w:val="24"/>
          <w:szCs w:val="24"/>
          <w:lang w:eastAsia="zh-CN"/>
        </w:rPr>
        <w:t>2.采购项目简要说明：</w:t>
      </w:r>
      <w:r>
        <w:rPr>
          <w:rFonts w:hint="eastAsia"/>
          <w:sz w:val="24"/>
          <w:szCs w:val="24"/>
          <w:lang w:val="en-US" w:eastAsia="zh-CN"/>
        </w:rPr>
        <w:t xml:space="preserve">福建福海创沸腾床装置 6 台螺旋板换热器，在生产期间因渣油易凝结的原因容易堵塞设备内部换热腔体，需要频繁进行高压射流清洗，需要一台套高压射流清洗装备。 </w:t>
      </w:r>
    </w:p>
    <w:p w14:paraId="345CBB0A">
      <w:pPr>
        <w:tabs>
          <w:tab w:val="left" w:pos="709"/>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3.采购控制价：</w:t>
      </w:r>
      <w:r>
        <w:rPr>
          <w:rFonts w:hint="eastAsia" w:cs="宋体"/>
          <w:sz w:val="24"/>
          <w:szCs w:val="24"/>
          <w:lang w:val="en-US" w:eastAsia="zh-CN"/>
        </w:rPr>
        <w:t>70万</w:t>
      </w:r>
      <w:r>
        <w:rPr>
          <w:rFonts w:hint="eastAsia" w:ascii="宋体" w:hAnsi="宋体" w:eastAsia="宋体" w:cs="宋体"/>
          <w:sz w:val="24"/>
          <w:szCs w:val="24"/>
          <w:lang w:val="en-US" w:eastAsia="zh-CN"/>
        </w:rPr>
        <w:t>元（含13%增值税）。</w:t>
      </w:r>
    </w:p>
    <w:p w14:paraId="4E3EE2E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4.工期要求：合同生效后</w:t>
      </w:r>
      <w:r>
        <w:rPr>
          <w:rFonts w:hint="eastAsia" w:cs="宋体"/>
          <w:sz w:val="24"/>
          <w:szCs w:val="24"/>
          <w:lang w:val="en-US" w:eastAsia="zh-CN"/>
        </w:rPr>
        <w:t>2</w:t>
      </w:r>
      <w:r>
        <w:rPr>
          <w:rFonts w:hint="eastAsia" w:ascii="宋体" w:hAnsi="宋体" w:eastAsia="宋体" w:cs="宋体"/>
          <w:sz w:val="24"/>
          <w:szCs w:val="24"/>
          <w:lang w:eastAsia="zh-CN"/>
        </w:rPr>
        <w:t>个月内交货。</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5E2DFB8">
      <w:pPr>
        <w:tabs>
          <w:tab w:val="left" w:pos="709"/>
        </w:tabs>
        <w:spacing w:line="360" w:lineRule="auto"/>
        <w:ind w:firstLine="480" w:firstLineChars="200"/>
        <w:rPr>
          <w:sz w:val="24"/>
          <w:szCs w:val="24"/>
          <w:lang w:eastAsia="zh-CN"/>
        </w:rPr>
      </w:pPr>
      <w:r>
        <w:rPr>
          <w:rFonts w:hint="eastAsia"/>
          <w:sz w:val="24"/>
          <w:szCs w:val="24"/>
          <w:lang w:eastAsia="zh-CN"/>
        </w:rPr>
        <w:t>2.参</w:t>
      </w:r>
      <w:r>
        <w:rPr>
          <w:rFonts w:hint="eastAsia"/>
          <w:sz w:val="24"/>
          <w:szCs w:val="24"/>
          <w:lang w:eastAsia="zh-CN"/>
        </w:rPr>
        <w:t>比人</w:t>
      </w:r>
      <w:r>
        <w:rPr>
          <w:rFonts w:hint="eastAsia"/>
          <w:sz w:val="24"/>
          <w:szCs w:val="24"/>
          <w:lang w:val="en-US" w:eastAsia="zh-CN"/>
        </w:rPr>
        <w:t>的产品必须拥有在石油化工企业（重油、渣油加氢装置）内使用</w:t>
      </w:r>
      <w:r>
        <w:rPr>
          <w:rFonts w:hint="default"/>
          <w:sz w:val="24"/>
          <w:szCs w:val="24"/>
          <w:lang w:val="en-US" w:eastAsia="zh-CN"/>
        </w:rPr>
        <w:t>2年以上的应用业绩</w:t>
      </w:r>
      <w:r>
        <w:rPr>
          <w:rFonts w:hint="eastAsia" w:ascii="宋体" w:hAnsi="宋体" w:eastAsia="宋体" w:cs="宋体"/>
          <w:sz w:val="24"/>
          <w:szCs w:val="24"/>
          <w:lang w:eastAsia="zh-CN"/>
        </w:rPr>
        <w:t>。</w:t>
      </w:r>
    </w:p>
    <w:p w14:paraId="560B8A2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3.参比人没有失信黑名单记录（以最高院失信被执行人系统发布信息为准）。</w:t>
      </w:r>
    </w:p>
    <w:p w14:paraId="4ADE3900">
      <w:pPr>
        <w:tabs>
          <w:tab w:val="left" w:pos="709"/>
        </w:tabs>
        <w:spacing w:line="360" w:lineRule="auto"/>
        <w:ind w:firstLine="480" w:firstLineChars="200"/>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lang w:eastAsia="zh-CN"/>
        </w:rPr>
        <w:t>.与采购人无诉讼纠纷。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22</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31</w:t>
      </w:r>
      <w:r>
        <w:rPr>
          <w:rFonts w:hint="eastAsia"/>
          <w:color w:val="000000" w:themeColor="text1"/>
          <w:sz w:val="24"/>
          <w:szCs w:val="24"/>
          <w:lang w:eastAsia="zh-CN"/>
        </w:rPr>
        <w:t>日</w:t>
      </w:r>
    </w:p>
    <w:p w14:paraId="4917AC2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2.报名方式：参比人在报名时间内将报名文件发送至邮箱hjzhang@fhcpec.com.cn，报名文件</w:t>
      </w:r>
      <w:r>
        <w:rPr>
          <w:rFonts w:hint="eastAsia" w:ascii="宋体" w:hAnsi="宋体" w:eastAsia="宋体" w:cs="宋体"/>
          <w:color w:val="000000" w:themeColor="text1"/>
          <w:sz w:val="24"/>
          <w:szCs w:val="24"/>
          <w:lang w:val="en-US" w:eastAsia="zh-CN"/>
        </w:rPr>
        <w:t>包含：</w:t>
      </w:r>
    </w:p>
    <w:p w14:paraId="20A6AF3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（1）法定代表人授权委托书（扫描件，格式详见“附件：法定代表人授权委托书”）；</w:t>
      </w:r>
    </w:p>
    <w:p w14:paraId="4FF595E6">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（2）营业执照（加盖单位公章的扫描件）；</w:t>
      </w:r>
    </w:p>
    <w:p w14:paraId="7652B85E">
      <w:pPr>
        <w:tabs>
          <w:tab w:val="left" w:pos="709"/>
        </w:tabs>
        <w:spacing w:line="360" w:lineRule="auto"/>
        <w:ind w:firstLine="480" w:firstLineChars="200"/>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（3）业绩清单及证明文件（盖章单位公章的扫描件）。</w:t>
      </w:r>
    </w:p>
    <w:p w14:paraId="4168296C">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53FBE5B">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4.</w:t>
      </w:r>
      <w:r>
        <w:rPr>
          <w:rFonts w:hint="eastAsia" w:asciiTheme="majorEastAsia" w:hAnsiTheme="majorEastAsia" w:eastAsiaTheme="majorEastAsia"/>
          <w:bCs/>
          <w:color w:val="000000" w:themeColor="text1"/>
          <w:sz w:val="24"/>
          <w:szCs w:val="24"/>
        </w:rPr>
        <w:t>须与现场技术人员进行前期技术交流并勘察现场，技术交流后经采购技术人员确认合格并签订技术协议书后，参比人方可参与后续询比，未进行报名和技术交流确认，未签订技术协议书的参比人不能参加询比。</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w:t>
      </w:r>
      <w:r>
        <w:rPr>
          <w:rFonts w:hint="eastAsia" w:ascii="宋体" w:hAnsi="宋体" w:eastAsia="宋体" w:cs="宋体"/>
          <w:color w:val="000000" w:themeColor="text1"/>
          <w:sz w:val="24"/>
          <w:szCs w:val="24"/>
          <w:lang w:eastAsia="zh-CN"/>
        </w:rPr>
        <w:t>为准）：</w:t>
      </w:r>
      <w:r>
        <w:rPr>
          <w:rFonts w:hint="eastAsia" w:ascii="宋体" w:hAnsi="宋体" w:eastAsia="宋体" w:cs="宋体"/>
          <w:color w:val="000000" w:themeColor="text1"/>
          <w:sz w:val="24"/>
          <w:szCs w:val="24"/>
          <w:lang w:val="en-US" w:eastAsia="zh-CN"/>
        </w:rPr>
        <w:t>待签订技术协议后再另行邮件通知，技术不合格单位（或未签订技术协议单位）不用递交</w:t>
      </w:r>
      <w:r>
        <w:rPr>
          <w:rFonts w:hint="eastAsia" w:ascii="宋体" w:hAnsi="宋体" w:eastAsia="宋体" w:cs="宋体"/>
          <w:color w:val="000000" w:themeColor="text1"/>
          <w:sz w:val="24"/>
          <w:szCs w:val="24"/>
          <w:lang w:eastAsia="zh-CN"/>
        </w:rPr>
        <w:t>。</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福建福</w:t>
      </w:r>
      <w:r>
        <w:rPr>
          <w:rFonts w:hint="eastAsia"/>
          <w:color w:val="000000" w:themeColor="text1"/>
          <w:sz w:val="24"/>
          <w:szCs w:val="24"/>
          <w:lang w:eastAsia="zh-CN"/>
        </w:rPr>
        <w:t xml:space="preserve">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21</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77321568">
      <w:pPr>
        <w:pStyle w:val="4"/>
      </w:pPr>
    </w:p>
    <w:p w14:paraId="6F1C69EE">
      <w:pPr>
        <w:pStyle w:val="4"/>
      </w:pPr>
    </w:p>
    <w:p w14:paraId="08509504">
      <w:pPr>
        <w:pStyle w:val="4"/>
      </w:pPr>
    </w:p>
    <w:p w14:paraId="64D8884D">
      <w:pPr>
        <w:pStyle w:val="4"/>
      </w:pPr>
    </w:p>
    <w:p w14:paraId="03CABFF0">
      <w:pPr>
        <w:pStyle w:val="4"/>
      </w:pPr>
    </w:p>
    <w:p w14:paraId="07883593">
      <w:pPr>
        <w:pStyle w:val="4"/>
      </w:pPr>
    </w:p>
    <w:p w14:paraId="4544DC8A">
      <w:pPr>
        <w:pStyle w:val="4"/>
      </w:pPr>
    </w:p>
    <w:p w14:paraId="27A7C68B">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w:t>
      </w:r>
      <w:r>
        <w:rPr>
          <w:rFonts w:hint="eastAsia" w:hAnsi="Calibri" w:cs="黑体"/>
          <w:color w:val="000000" w:themeColor="text1"/>
          <w:sz w:val="24"/>
          <w:szCs w:val="24"/>
          <w:lang w:eastAsia="zh-CN"/>
        </w:rPr>
        <w:t>织的</w:t>
      </w:r>
      <w:r>
        <w:rPr>
          <w:rFonts w:hAnsi="Calibri" w:cs="黑体"/>
          <w:color w:val="000000" w:themeColor="text1"/>
          <w:sz w:val="24"/>
          <w:szCs w:val="24"/>
          <w:u w:val="single"/>
          <w:lang w:eastAsia="zh-CN"/>
        </w:rPr>
        <w:t xml:space="preserve"> </w:t>
      </w:r>
      <w:r>
        <w:rPr>
          <w:rFonts w:hint="eastAsia"/>
          <w:bCs/>
          <w:color w:val="000000" w:themeColor="text1"/>
          <w:sz w:val="24"/>
          <w:szCs w:val="24"/>
          <w:u w:val="single"/>
          <w:lang w:eastAsia="zh-CN"/>
        </w:rPr>
        <w:t>福建福海创石油化工有限公司渣油加氢装置螺旋板换热器高压射流清洗装备采购（项目编号：FAP1-CGSQ-202601-003）</w:t>
      </w:r>
      <w:r>
        <w:rPr>
          <w:rFonts w:hint="eastAsia" w:hAnsi="Calibri" w:cs="黑体"/>
          <w:sz w:val="24"/>
          <w:szCs w:val="24"/>
          <w:lang w:eastAsia="zh-CN"/>
        </w:rPr>
        <w:t>的询比活动，并代表我方全权处理一切与之有关的具体事务和签署相关文件，我均予以承认。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21"/>
        <w:spacing w:line="360" w:lineRule="auto"/>
        <w:ind w:right="121"/>
        <w:jc w:val="both"/>
        <w:rPr>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福建福海创石油化工有限公司渣油加氢装置螺旋板换热器高压射流清洗装备采购</w:t>
      </w:r>
    </w:p>
    <w:p w14:paraId="48298414">
      <w:pPr>
        <w:pStyle w:val="21"/>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3.承包方式：</w:t>
      </w:r>
      <w:r>
        <w:rPr>
          <w:rFonts w:hint="eastAsia"/>
          <w:color w:val="000000" w:themeColor="text1"/>
          <w:lang w:eastAsia="zh-CN"/>
        </w:rPr>
        <w:t>固定总价包干</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技术要求</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eastAsia="zh-CN"/>
        </w:rPr>
        <w:t>技术联系人：</w:t>
      </w:r>
      <w:r>
        <w:rPr>
          <w:rFonts w:hint="eastAsia" w:cs="宋体"/>
          <w:lang w:val="en-US" w:eastAsia="zh-CN"/>
        </w:rPr>
        <w:t>王敬民 18760658010 </w:t>
      </w:r>
      <w:r>
        <w:rPr>
          <w:rFonts w:hint="eastAsia" w:ascii="宋体" w:hAnsi="宋体" w:eastAsia="宋体" w:cs="宋体"/>
          <w:lang w:eastAsia="zh-CN"/>
        </w:rPr>
        <w:t>，</w:t>
      </w:r>
      <w:r>
        <w:rPr>
          <w:rFonts w:hint="eastAsia" w:cs="宋体"/>
          <w:lang w:val="en-US" w:eastAsia="zh-CN"/>
        </w:rPr>
        <w:t>jmwang</w:t>
      </w:r>
      <w:r>
        <w:rPr>
          <w:rFonts w:hint="eastAsia" w:ascii="宋体" w:hAnsi="宋体" w:eastAsia="宋体" w:cs="宋体"/>
          <w:lang w:eastAsia="zh-CN"/>
        </w:rPr>
        <w:t>@fhcpec.com.cn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24044A42">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382FACDC">
      <w:pPr>
        <w:tabs>
          <w:tab w:val="left" w:pos="709"/>
        </w:tabs>
        <w:spacing w:line="360" w:lineRule="auto"/>
        <w:ind w:firstLine="480" w:firstLineChars="200"/>
        <w:rPr>
          <w:sz w:val="24"/>
          <w:szCs w:val="24"/>
          <w:lang w:eastAsia="zh-CN"/>
        </w:rPr>
      </w:pPr>
      <w:r>
        <w:rPr>
          <w:rFonts w:hint="eastAsia"/>
          <w:sz w:val="24"/>
          <w:szCs w:val="24"/>
          <w:lang w:eastAsia="zh-CN"/>
        </w:rPr>
        <w:t>2.参比人</w:t>
      </w:r>
      <w:r>
        <w:rPr>
          <w:rFonts w:hint="eastAsia"/>
          <w:sz w:val="24"/>
          <w:szCs w:val="24"/>
          <w:lang w:val="en-US" w:eastAsia="zh-CN"/>
        </w:rPr>
        <w:t>的产品必须拥有在石油化工企业（重油、渣油加氢装置）内使用</w:t>
      </w:r>
      <w:r>
        <w:rPr>
          <w:rFonts w:hint="default"/>
          <w:sz w:val="24"/>
          <w:szCs w:val="24"/>
          <w:lang w:val="en-US" w:eastAsia="zh-CN"/>
        </w:rPr>
        <w:t>2年以上的应用业绩</w:t>
      </w:r>
      <w:r>
        <w:rPr>
          <w:rFonts w:hint="eastAsia" w:ascii="宋体" w:hAnsi="宋体" w:eastAsia="宋体" w:cs="宋体"/>
          <w:sz w:val="24"/>
          <w:szCs w:val="24"/>
          <w:lang w:eastAsia="zh-CN"/>
        </w:rPr>
        <w:t>。</w:t>
      </w:r>
    </w:p>
    <w:p w14:paraId="76BD9143">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3.参比人没有失信黑名单记录（以最高院失信被执行人系统发布信息为准）。</w:t>
      </w:r>
    </w:p>
    <w:p w14:paraId="3B82EDB6">
      <w:pPr>
        <w:tabs>
          <w:tab w:val="left" w:pos="709"/>
        </w:tabs>
        <w:spacing w:line="360" w:lineRule="auto"/>
        <w:ind w:firstLine="480" w:firstLineChars="200"/>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lang w:eastAsia="zh-CN"/>
        </w:rPr>
        <w:t>.与采购人无诉讼纠纷。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color w:val="FF0000"/>
          <w:w w:val="95"/>
          <w:sz w:val="28"/>
          <w:lang w:eastAsia="zh-CN"/>
        </w:rPr>
        <w:t>（</w:t>
      </w:r>
      <w:r>
        <w:rPr>
          <w:rFonts w:hint="eastAsia"/>
          <w:b/>
          <w:color w:val="FF0000"/>
          <w:w w:val="95"/>
          <w:sz w:val="28"/>
          <w:lang w:val="en-US" w:eastAsia="zh-CN"/>
        </w:rPr>
        <w:t>待后续通知商务报价时候再缴交</w:t>
      </w:r>
      <w:r>
        <w:rPr>
          <w:rFonts w:hint="eastAsia"/>
          <w:b/>
          <w:color w:val="FF0000"/>
          <w:w w:val="95"/>
          <w:sz w:val="28"/>
          <w:lang w:eastAsia="zh-CN"/>
        </w:rPr>
        <w:t>）</w:t>
      </w:r>
    </w:p>
    <w:p w14:paraId="51EA630E">
      <w:pPr>
        <w:pStyle w:val="21"/>
        <w:spacing w:line="360" w:lineRule="auto"/>
        <w:ind w:right="121"/>
        <w:jc w:val="both"/>
        <w:rPr>
          <w:color w:val="000000" w:themeColor="text1"/>
          <w:lang w:eastAsia="zh-CN"/>
        </w:rPr>
      </w:pPr>
      <w:r>
        <w:rPr>
          <w:rFonts w:hint="eastAsia"/>
          <w:lang w:eastAsia="zh-CN"/>
        </w:rPr>
        <w:t xml:space="preserve">    1.参比单位应缴纳参比保证金，保</w:t>
      </w:r>
      <w:r>
        <w:rPr>
          <w:rFonts w:hint="eastAsia"/>
          <w:color w:val="000000" w:themeColor="text1"/>
          <w:lang w:eastAsia="zh-CN"/>
        </w:rPr>
        <w:t>证金金额</w:t>
      </w:r>
      <w:r>
        <w:rPr>
          <w:rFonts w:hint="eastAsia"/>
          <w:color w:val="000000" w:themeColor="text1"/>
          <w:lang w:val="en-US" w:eastAsia="zh-CN"/>
        </w:rPr>
        <w:t>14000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注明用途：渣油加氢装置螺旋板换热器高压射流清洗装备采购参比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7A7CCB53">
      <w:pPr>
        <w:pStyle w:val="21"/>
        <w:spacing w:line="360" w:lineRule="auto"/>
        <w:ind w:right="121"/>
        <w:jc w:val="both"/>
        <w:rPr>
          <w:rFonts w:ascii="宋体" w:hAnsi="宋体" w:eastAsia="宋体" w:cs="宋体"/>
          <w:lang w:eastAsia="zh-CN"/>
        </w:rPr>
      </w:pPr>
      <w:r>
        <w:rPr>
          <w:rFonts w:hint="eastAsia" w:ascii="宋体" w:hAnsi="宋体" w:eastAsia="宋体" w:cs="宋体"/>
          <w:lang w:eastAsia="zh-CN"/>
        </w:rPr>
        <w:t xml:space="preserve">    </w:t>
      </w:r>
      <w:r>
        <w:rPr>
          <w:rFonts w:ascii="宋体" w:hAnsi="宋体" w:eastAsia="宋体" w:cs="宋体"/>
          <w:lang w:eastAsia="zh-CN"/>
        </w:rPr>
        <w:t>1.参</w:t>
      </w:r>
      <w:r>
        <w:rPr>
          <w:rFonts w:hint="eastAsia" w:ascii="宋体" w:hAnsi="宋体" w:eastAsia="宋体" w:cs="宋体"/>
          <w:lang w:eastAsia="zh-CN"/>
        </w:rPr>
        <w:t>比</w:t>
      </w:r>
      <w:r>
        <w:rPr>
          <w:rFonts w:ascii="宋体" w:hAnsi="宋体" w:eastAsia="宋体" w:cs="宋体"/>
          <w:lang w:eastAsia="zh-CN"/>
        </w:rPr>
        <w:t>文件递交的截止时间</w:t>
      </w:r>
      <w:r>
        <w:rPr>
          <w:rFonts w:hint="eastAsia" w:ascii="宋体" w:hAnsi="宋体" w:eastAsia="宋体" w:cs="宋体"/>
          <w:lang w:eastAsia="zh-CN"/>
        </w:rPr>
        <w:t>：</w:t>
      </w:r>
      <w:r>
        <w:rPr>
          <w:rFonts w:hint="eastAsia" w:ascii="宋体" w:hAnsi="宋体" w:eastAsia="宋体" w:cs="宋体"/>
          <w:lang w:val="en-US" w:eastAsia="zh-CN"/>
        </w:rPr>
        <w:t>待签订技术协议后再另行邮件通知，技术不合格单位（或未签订技术协议单位）不用递交</w:t>
      </w:r>
      <w:r>
        <w:rPr>
          <w:rFonts w:hint="eastAsia" w:ascii="宋体" w:hAnsi="宋体" w:eastAsia="宋体" w:cs="宋体"/>
          <w:lang w:eastAsia="zh-CN"/>
        </w:rPr>
        <w:t>。</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21"/>
        <w:spacing w:line="360" w:lineRule="auto"/>
        <w:ind w:right="121" w:firstLine="480" w:firstLineChars="200"/>
        <w:jc w:val="both"/>
        <w:rPr>
          <w:lang w:eastAsia="zh-CN"/>
        </w:rPr>
      </w:pPr>
      <w:r>
        <w:rPr>
          <w:rFonts w:hint="eastAsia"/>
          <w:lang w:eastAsia="zh-CN"/>
        </w:rPr>
        <w:t>1.技术参比文件</w:t>
      </w:r>
    </w:p>
    <w:p w14:paraId="4888CBF9">
      <w:pPr>
        <w:pStyle w:val="21"/>
        <w:spacing w:line="360" w:lineRule="auto"/>
        <w:ind w:right="121" w:firstLine="360" w:firstLineChars="150"/>
        <w:jc w:val="both"/>
        <w:rPr>
          <w:color w:val="auto"/>
          <w:lang w:eastAsia="zh-CN"/>
        </w:rPr>
      </w:pPr>
      <w:r>
        <w:rPr>
          <w:rFonts w:hint="eastAsia"/>
          <w:color w:val="auto"/>
          <w:lang w:eastAsia="zh-CN"/>
        </w:rPr>
        <w:t>（1）</w:t>
      </w:r>
      <w:r>
        <w:rPr>
          <w:color w:val="auto"/>
          <w:lang w:eastAsia="zh-CN"/>
        </w:rPr>
        <w:t>参</w:t>
      </w:r>
      <w:r>
        <w:rPr>
          <w:rFonts w:hint="eastAsia"/>
          <w:color w:val="auto"/>
          <w:lang w:eastAsia="zh-CN"/>
        </w:rPr>
        <w:t>比</w:t>
      </w:r>
      <w:r>
        <w:rPr>
          <w:color w:val="auto"/>
          <w:lang w:eastAsia="zh-CN"/>
        </w:rPr>
        <w:t>单位企业概况（企业简介、经营状况）、营业执照</w:t>
      </w:r>
      <w:r>
        <w:rPr>
          <w:rFonts w:hint="eastAsia"/>
          <w:color w:val="auto"/>
          <w:lang w:eastAsia="zh-CN"/>
        </w:rPr>
        <w:t>、</w:t>
      </w:r>
      <w:r>
        <w:rPr>
          <w:rFonts w:hint="eastAsia"/>
          <w:color w:val="auto"/>
          <w:lang w:val="en-US" w:eastAsia="zh-CN"/>
        </w:rPr>
        <w:t>业绩清单及证明文件</w:t>
      </w:r>
      <w:r>
        <w:rPr>
          <w:rFonts w:hint="eastAsia"/>
          <w:color w:val="auto"/>
          <w:lang w:eastAsia="zh-CN"/>
        </w:rPr>
        <w:t>；</w:t>
      </w:r>
    </w:p>
    <w:p w14:paraId="5B4AE6E3">
      <w:pPr>
        <w:pStyle w:val="21"/>
        <w:spacing w:line="360" w:lineRule="auto"/>
        <w:ind w:right="121" w:firstLine="360" w:firstLineChars="150"/>
        <w:jc w:val="both"/>
        <w:rPr>
          <w:rFonts w:hint="default"/>
          <w:color w:val="auto"/>
          <w:lang w:val="en-US" w:eastAsia="zh-CN"/>
        </w:rPr>
      </w:pPr>
      <w:r>
        <w:rPr>
          <w:rFonts w:hint="eastAsia"/>
          <w:color w:val="auto"/>
          <w:lang w:eastAsia="zh-CN"/>
        </w:rPr>
        <w:t>（2）</w:t>
      </w:r>
      <w:r>
        <w:rPr>
          <w:rFonts w:hint="eastAsia"/>
          <w:color w:val="auto"/>
          <w:lang w:val="en-US" w:eastAsia="zh-CN"/>
        </w:rPr>
        <w:t>双方签订的技术协议。</w:t>
      </w:r>
    </w:p>
    <w:p w14:paraId="63887837">
      <w:pPr>
        <w:pStyle w:val="21"/>
        <w:spacing w:line="360" w:lineRule="auto"/>
        <w:ind w:right="121" w:firstLine="480" w:firstLineChars="200"/>
        <w:jc w:val="both"/>
        <w:rPr>
          <w:lang w:eastAsia="zh-CN"/>
        </w:rPr>
      </w:pPr>
      <w:r>
        <w:rPr>
          <w:rFonts w:hint="eastAsia"/>
          <w:lang w:eastAsia="zh-CN"/>
        </w:rPr>
        <w:t>2.商务参比文件</w:t>
      </w:r>
    </w:p>
    <w:p w14:paraId="0578C973">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70</w:t>
      </w:r>
      <w:r>
        <w:rPr>
          <w:rFonts w:hint="eastAsia"/>
          <w:b/>
          <w:color w:val="FF0000"/>
          <w:lang w:eastAsia="zh-CN"/>
        </w:rPr>
        <w:t>万元整（含税包干总价）</w:t>
      </w:r>
      <w:r>
        <w:rPr>
          <w:rFonts w:hint="eastAsia"/>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FCA740C">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6C49C654">
      <w:pPr>
        <w:pStyle w:val="210"/>
        <w:snapToGrid w:val="0"/>
        <w:spacing w:line="360" w:lineRule="auto"/>
        <w:ind w:left="1446" w:hanging="883" w:hangingChars="200"/>
        <w:jc w:val="center"/>
        <w:rPr>
          <w:rFonts w:hint="eastAsia" w:ascii="宋体" w:hAnsi="宋体"/>
          <w:b/>
          <w:sz w:val="44"/>
          <w:szCs w:val="44"/>
          <w:highlight w:val="none"/>
        </w:rPr>
      </w:pPr>
    </w:p>
    <w:p w14:paraId="19978BC8">
      <w:pPr>
        <w:pStyle w:val="210"/>
        <w:snapToGrid w:val="0"/>
        <w:spacing w:line="360" w:lineRule="auto"/>
        <w:ind w:left="1446" w:hanging="883" w:hangingChars="200"/>
        <w:jc w:val="center"/>
        <w:rPr>
          <w:rFonts w:hint="eastAsia" w:ascii="宋体" w:hAnsi="宋体"/>
          <w:b/>
          <w:sz w:val="44"/>
          <w:szCs w:val="44"/>
          <w:highlight w:val="none"/>
        </w:rPr>
      </w:pPr>
    </w:p>
    <w:p w14:paraId="414AF2EA">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23739B43">
      <w:pPr>
        <w:pStyle w:val="210"/>
        <w:snapToGrid w:val="0"/>
        <w:spacing w:line="360" w:lineRule="auto"/>
        <w:ind w:left="1446" w:hanging="883" w:hangingChars="200"/>
        <w:jc w:val="center"/>
        <w:rPr>
          <w:rFonts w:hint="eastAsia" w:ascii="宋体" w:hAnsi="宋体"/>
          <w:b/>
          <w:sz w:val="72"/>
          <w:szCs w:val="72"/>
          <w:highlight w:val="none"/>
        </w:rPr>
      </w:pPr>
      <w:r>
        <w:rPr>
          <w:rFonts w:hint="eastAsia" w:ascii="宋体" w:hAnsi="宋体"/>
          <w:b/>
          <w:sz w:val="44"/>
          <w:szCs w:val="44"/>
          <w:highlight w:val="none"/>
        </w:rPr>
        <w:t>渣油加氢装置螺旋板换热器高压射流清洗装备采购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ascii="宋体" w:hAnsi="宋体"/>
          <w:b/>
          <w:sz w:val="32"/>
          <w:szCs w:val="32"/>
          <w:highlight w:val="none"/>
        </w:rPr>
        <w:t xml:space="preserve"> </w:t>
      </w:r>
      <w:r>
        <w:rPr>
          <w:rFonts w:hint="eastAsia" w:ascii="宋体" w:hAnsi="宋体"/>
          <w:b/>
          <w:sz w:val="32"/>
          <w:szCs w:val="32"/>
          <w:highlight w:val="none"/>
          <w:lang w:val="en-US" w:eastAsia="zh-CN"/>
        </w:rPr>
        <w:t>1</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3E493ABE">
      <w:pPr>
        <w:pStyle w:val="211"/>
        <w:rPr>
          <w:rFonts w:hint="eastAsia" w:ascii="宋体" w:hAnsi="宋体"/>
          <w:b/>
          <w:sz w:val="32"/>
          <w:szCs w:val="32"/>
          <w:highlight w:val="none"/>
          <w:lang w:val="en-US" w:eastAsia="zh-CN"/>
        </w:rPr>
      </w:pPr>
    </w:p>
    <w:p w14:paraId="61C1F281">
      <w:pPr>
        <w:pStyle w:val="210"/>
        <w:rPr>
          <w:rFonts w:hint="default"/>
          <w:lang w:val="en-US" w:eastAsia="zh-CN"/>
        </w:rPr>
      </w:pPr>
    </w:p>
    <w:p w14:paraId="111354F7">
      <w:pPr>
        <w:spacing w:line="360" w:lineRule="auto"/>
        <w:ind w:left="480" w:hanging="480" w:hangingChars="200"/>
        <w:rPr>
          <w:sz w:val="24"/>
          <w:szCs w:val="24"/>
          <w:highlight w:val="none"/>
        </w:rPr>
      </w:pPr>
      <w:r>
        <w:rPr>
          <w:rFonts w:hint="eastAsia"/>
          <w:sz w:val="24"/>
          <w:szCs w:val="24"/>
          <w:highlight w:val="none"/>
        </w:rPr>
        <w:t>买方（甲方）：福建福海创石油化工有限公司</w:t>
      </w:r>
    </w:p>
    <w:p w14:paraId="10168D06">
      <w:pPr>
        <w:keepNext w:val="0"/>
        <w:keepLines w:val="0"/>
        <w:widowControl/>
        <w:suppressLineNumbers w:val="0"/>
        <w:jc w:val="left"/>
        <w:rPr>
          <w:sz w:val="24"/>
          <w:szCs w:val="24"/>
          <w:highlight w:val="none"/>
        </w:rPr>
      </w:pPr>
      <w:r>
        <w:rPr>
          <w:rFonts w:hint="eastAsia"/>
          <w:sz w:val="24"/>
          <w:szCs w:val="24"/>
          <w:highlight w:val="none"/>
        </w:rPr>
        <w:t xml:space="preserve">卖方（乙方）：                    </w:t>
      </w:r>
    </w:p>
    <w:p w14:paraId="55C925CD">
      <w:pPr>
        <w:spacing w:line="360" w:lineRule="auto"/>
        <w:ind w:left="480" w:hanging="480" w:hangingChars="200"/>
        <w:rPr>
          <w:sz w:val="24"/>
          <w:szCs w:val="24"/>
          <w:highlight w:val="none"/>
        </w:rPr>
      </w:pPr>
      <w:r>
        <w:rPr>
          <w:rFonts w:hint="eastAsia"/>
          <w:sz w:val="24"/>
          <w:szCs w:val="24"/>
          <w:highlight w:val="none"/>
        </w:rPr>
        <w:t>签订地点：福建漳州市漳浦县</w:t>
      </w:r>
    </w:p>
    <w:p w14:paraId="367AEE9D">
      <w:pPr>
        <w:spacing w:line="360" w:lineRule="auto"/>
        <w:ind w:left="480" w:hanging="480" w:hangingChars="200"/>
        <w:rPr>
          <w:sz w:val="24"/>
          <w:szCs w:val="24"/>
          <w:highlight w:val="none"/>
        </w:rPr>
      </w:pPr>
      <w:r>
        <w:rPr>
          <w:rFonts w:hint="eastAsia"/>
          <w:sz w:val="24"/>
          <w:szCs w:val="24"/>
          <w:highlight w:val="none"/>
        </w:rPr>
        <w:t>签订时间：202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  日</w:t>
      </w:r>
    </w:p>
    <w:p w14:paraId="1093939A">
      <w:pPr>
        <w:spacing w:line="500" w:lineRule="exact"/>
        <w:ind w:left="482" w:hanging="482" w:hangingChars="200"/>
        <w:jc w:val="center"/>
        <w:rPr>
          <w:b/>
          <w:sz w:val="24"/>
          <w:szCs w:val="24"/>
          <w:highlight w:val="none"/>
        </w:rPr>
      </w:pPr>
      <w:r>
        <w:rPr>
          <w:rFonts w:hint="eastAsia"/>
          <w:b/>
          <w:sz w:val="24"/>
          <w:szCs w:val="24"/>
          <w:highlight w:val="none"/>
        </w:rPr>
        <w:t>一、总则</w:t>
      </w:r>
    </w:p>
    <w:p w14:paraId="24B4F113">
      <w:pPr>
        <w:spacing w:line="500" w:lineRule="exact"/>
        <w:rPr>
          <w:rFonts w:ascii="宋体" w:hAnsi="宋体" w:cs="宋体"/>
          <w:sz w:val="24"/>
          <w:szCs w:val="24"/>
          <w:highlight w:val="none"/>
        </w:rPr>
      </w:pPr>
      <w:r>
        <w:rPr>
          <w:rFonts w:hint="eastAsia" w:ascii="宋体" w:hAnsi="宋体" w:cs="宋体"/>
          <w:sz w:val="24"/>
          <w:szCs w:val="24"/>
          <w:highlight w:val="none"/>
        </w:rPr>
        <w:t>1.1 甲方委托乙方承担</w:t>
      </w:r>
      <w:r>
        <w:rPr>
          <w:rFonts w:hint="eastAsia" w:ascii="宋体" w:hAnsi="宋体" w:cs="宋体"/>
          <w:sz w:val="24"/>
          <w:szCs w:val="24"/>
          <w:highlight w:val="none"/>
          <w:lang w:eastAsia="zh-CN"/>
        </w:rPr>
        <w:t>渣油加氢装置螺旋板换热器高压射流清洗装备</w:t>
      </w:r>
      <w:r>
        <w:rPr>
          <w:rFonts w:hint="eastAsia" w:cs="宋体"/>
          <w:sz w:val="24"/>
          <w:szCs w:val="24"/>
          <w:highlight w:val="none"/>
          <w:lang w:val="en-US" w:eastAsia="zh-CN"/>
        </w:rPr>
        <w:t>供货</w:t>
      </w:r>
      <w:r>
        <w:rPr>
          <w:rFonts w:hint="eastAsia" w:ascii="宋体" w:hAnsi="宋体" w:cs="宋体"/>
          <w:sz w:val="24"/>
          <w:szCs w:val="24"/>
          <w:highlight w:val="none"/>
        </w:rPr>
        <w:t>工作，乙方接受甲方的委托，双方根据《中华人民共和国民法典》、《中华人民共和国招投标法》等规定，经过招投标，达成一致意见，签订本合同。</w:t>
      </w:r>
    </w:p>
    <w:p w14:paraId="3F455D08">
      <w:pPr>
        <w:spacing w:line="500" w:lineRule="exact"/>
        <w:rPr>
          <w:rFonts w:ascii="宋体" w:hAnsi="宋体" w:cs="宋体"/>
          <w:sz w:val="24"/>
          <w:szCs w:val="24"/>
          <w:highlight w:val="none"/>
        </w:rPr>
      </w:pPr>
      <w:r>
        <w:rPr>
          <w:rFonts w:hint="eastAsia" w:ascii="宋体" w:hAnsi="宋体" w:cs="宋体"/>
          <w:sz w:val="24"/>
          <w:szCs w:val="24"/>
          <w:highlight w:val="none"/>
        </w:rPr>
        <w:t>1.2 本合同货物名称、型号、规格、数量（含供货范围）详见《技术协议》。</w:t>
      </w:r>
    </w:p>
    <w:p w14:paraId="1C6F7FAE">
      <w:pPr>
        <w:spacing w:line="500" w:lineRule="exact"/>
        <w:rPr>
          <w:rFonts w:ascii="宋体" w:hAnsi="宋体" w:cs="宋体"/>
          <w:sz w:val="24"/>
          <w:szCs w:val="24"/>
          <w:highlight w:val="none"/>
        </w:rPr>
      </w:pPr>
      <w:r>
        <w:rPr>
          <w:rFonts w:hint="eastAsia" w:ascii="宋体" w:hAnsi="宋体" w:cs="宋体"/>
          <w:sz w:val="24"/>
          <w:szCs w:val="24"/>
          <w:highlight w:val="none"/>
        </w:rPr>
        <w:t>1.3乙方按本合同和《技术协议》规定制造合同产品，并就货物的技术和性能向买方负责。本合同项下所供合同货物的技术规格应与本招标文件技术规范规定的标准相一致。若技术规格中无相应规定，合同设备则应符合国家或国家有关部门最新颁布的相应的合法有效的标准。</w:t>
      </w:r>
    </w:p>
    <w:p w14:paraId="40615EB4">
      <w:pPr>
        <w:spacing w:line="500" w:lineRule="exact"/>
        <w:rPr>
          <w:rFonts w:ascii="宋体" w:hAnsi="宋体" w:cs="宋体"/>
          <w:sz w:val="24"/>
          <w:szCs w:val="24"/>
          <w:highlight w:val="none"/>
        </w:rPr>
      </w:pPr>
      <w:r>
        <w:rPr>
          <w:rFonts w:hint="eastAsia" w:ascii="宋体" w:hAnsi="宋体" w:cs="宋体"/>
          <w:sz w:val="24"/>
          <w:szCs w:val="24"/>
          <w:highlight w:val="none"/>
        </w:rPr>
        <w:t>1.4乙方须保障甲方在使用或处分其合同设备或合同设备的任何一部分时，不受到第三方关于侵犯专利权、商标权或工业设计权等知识产权的任何异议和指控。任何第三方如果提出异议和侵权指控，甲方须与第三方交涉并承担由此而引起的一切法律责任及任何费用。</w:t>
      </w:r>
    </w:p>
    <w:p w14:paraId="4B38B154">
      <w:pPr>
        <w:spacing w:line="500" w:lineRule="exact"/>
        <w:ind w:left="482" w:hanging="482" w:hangingChars="200"/>
        <w:jc w:val="center"/>
        <w:rPr>
          <w:rFonts w:ascii="宋体" w:hAnsi="宋体" w:cs="宋体"/>
          <w:b/>
          <w:sz w:val="24"/>
          <w:szCs w:val="24"/>
          <w:highlight w:val="none"/>
        </w:rPr>
      </w:pPr>
      <w:r>
        <w:rPr>
          <w:rFonts w:hint="eastAsia" w:ascii="宋体" w:hAnsi="宋体" w:cs="宋体"/>
          <w:b/>
          <w:sz w:val="24"/>
          <w:szCs w:val="24"/>
          <w:highlight w:val="none"/>
        </w:rPr>
        <w:t>二、价格</w:t>
      </w:r>
    </w:p>
    <w:p w14:paraId="2E56819B">
      <w:pPr>
        <w:pStyle w:val="3"/>
        <w:snapToGrid w:val="0"/>
        <w:spacing w:line="46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2.1 本合同总价为：人民币￥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元（大写：元整）</w:t>
      </w:r>
      <w:r>
        <w:rPr>
          <w:rFonts w:hint="eastAsia" w:ascii="宋体" w:hAnsi="宋体" w:cs="宋体"/>
          <w:sz w:val="24"/>
          <w:szCs w:val="24"/>
          <w:highlight w:val="none"/>
          <w:lang w:eastAsia="zh-CN"/>
        </w:rPr>
        <w:t>，</w:t>
      </w:r>
      <w:r>
        <w:rPr>
          <w:rFonts w:ascii="宋体" w:hAnsi="宋体"/>
          <w:sz w:val="24"/>
          <w:szCs w:val="24"/>
          <w:highlight w:val="none"/>
        </w:rPr>
        <w:t>税率</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13%</w:t>
      </w:r>
      <w:r>
        <w:rPr>
          <w:rFonts w:ascii="宋体" w:hAnsi="宋体"/>
          <w:sz w:val="24"/>
          <w:szCs w:val="24"/>
          <w:highlight w:val="none"/>
          <w:u w:val="single"/>
        </w:rPr>
        <w:t xml:space="preserve">  </w:t>
      </w:r>
      <w:r>
        <w:rPr>
          <w:rFonts w:ascii="宋体" w:hAnsi="宋体"/>
          <w:sz w:val="24"/>
          <w:szCs w:val="24"/>
          <w:highlight w:val="none"/>
        </w:rPr>
        <w:t>,</w:t>
      </w:r>
      <w:r>
        <w:rPr>
          <w:rFonts w:ascii="宋体" w:hAnsi="宋体"/>
          <w:sz w:val="24"/>
          <w:szCs w:val="24"/>
          <w:highlight w:val="none"/>
          <w:u w:val="none"/>
        </w:rPr>
        <w:t>不含税金额为</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 xml:space="preserve">  </w:t>
      </w:r>
      <w:r>
        <w:rPr>
          <w:rFonts w:ascii="宋体" w:hAnsi="宋体"/>
          <w:sz w:val="24"/>
          <w:szCs w:val="24"/>
          <w:highlight w:val="none"/>
          <w:u w:val="none"/>
        </w:rPr>
        <w:t>元</w:t>
      </w:r>
      <w:r>
        <w:rPr>
          <w:rFonts w:ascii="宋体" w:hAnsi="宋体"/>
          <w:sz w:val="24"/>
          <w:szCs w:val="24"/>
          <w:highlight w:val="none"/>
        </w:rPr>
        <w:t>(</w:t>
      </w:r>
      <w:r>
        <w:rPr>
          <w:rFonts w:hint="eastAsia" w:ascii="宋体" w:hAnsi="宋体"/>
          <w:sz w:val="24"/>
          <w:szCs w:val="24"/>
          <w:highlight w:val="none"/>
        </w:rPr>
        <w:t>如因国家政策导致税率调整，则双方根据不含税金额不变的情况下合同价格根据税差进行相应调整</w:t>
      </w:r>
      <w:r>
        <w:rPr>
          <w:rFonts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报价清单如附件。</w:t>
      </w:r>
    </w:p>
    <w:p w14:paraId="6163022B">
      <w:pPr>
        <w:spacing w:line="500" w:lineRule="exact"/>
        <w:rPr>
          <w:rFonts w:ascii="宋体" w:hAnsi="宋体" w:cs="宋体"/>
          <w:sz w:val="24"/>
          <w:szCs w:val="24"/>
          <w:highlight w:val="none"/>
        </w:rPr>
      </w:pPr>
      <w:r>
        <w:rPr>
          <w:rFonts w:hint="eastAsia" w:ascii="宋体" w:hAnsi="宋体" w:cs="宋体"/>
          <w:sz w:val="24"/>
          <w:szCs w:val="24"/>
          <w:highlight w:val="none"/>
        </w:rPr>
        <w:t>2.2 本合同总价含货物制造费、以及按国家规定收费标准运到买方现场的运输费、税金、保险费、技术服务费及其他所需费用。</w:t>
      </w:r>
    </w:p>
    <w:p w14:paraId="1216D2A2">
      <w:pPr>
        <w:spacing w:line="500" w:lineRule="exact"/>
        <w:rPr>
          <w:rFonts w:ascii="宋体" w:hAnsi="宋体" w:cs="宋体"/>
          <w:sz w:val="24"/>
          <w:szCs w:val="24"/>
          <w:highlight w:val="none"/>
        </w:rPr>
      </w:pPr>
      <w:r>
        <w:rPr>
          <w:rFonts w:hint="eastAsia" w:ascii="宋体" w:hAnsi="宋体" w:cs="宋体"/>
          <w:sz w:val="24"/>
          <w:szCs w:val="24"/>
          <w:highlight w:val="none"/>
        </w:rPr>
        <w:t>2.3 合同总价为一次性不变价。以上总金额为货到买方现场指定地点交货价。现场交货前一切费用及风险由卖方承担。</w:t>
      </w:r>
    </w:p>
    <w:p w14:paraId="5A073AEB">
      <w:pPr>
        <w:spacing w:line="500" w:lineRule="exact"/>
        <w:ind w:firstLine="3368" w:firstLineChars="1398"/>
        <w:rPr>
          <w:rFonts w:ascii="宋体" w:hAnsi="宋体" w:cs="宋体"/>
          <w:b/>
          <w:sz w:val="24"/>
          <w:szCs w:val="24"/>
          <w:highlight w:val="none"/>
        </w:rPr>
      </w:pPr>
      <w:r>
        <w:rPr>
          <w:rFonts w:hint="eastAsia" w:ascii="宋体" w:hAnsi="宋体" w:cs="宋体"/>
          <w:b/>
          <w:sz w:val="24"/>
          <w:szCs w:val="24"/>
          <w:highlight w:val="none"/>
        </w:rPr>
        <w:t>三、支付条款</w:t>
      </w:r>
    </w:p>
    <w:p w14:paraId="67A10F9B">
      <w:pPr>
        <w:spacing w:line="520" w:lineRule="exact"/>
        <w:rPr>
          <w:rFonts w:ascii="宋体" w:hAnsi="宋体" w:cs="宋体"/>
          <w:sz w:val="24"/>
          <w:szCs w:val="24"/>
          <w:highlight w:val="none"/>
        </w:rPr>
      </w:pPr>
      <w:r>
        <w:rPr>
          <w:rFonts w:hint="eastAsia" w:ascii="宋体" w:hAnsi="宋体" w:cs="宋体"/>
          <w:sz w:val="24"/>
          <w:szCs w:val="24"/>
          <w:highlight w:val="none"/>
        </w:rPr>
        <w:t>3.1 货物到货验收合格后支付款</w:t>
      </w:r>
    </w:p>
    <w:p w14:paraId="5ADCE68F">
      <w:pPr>
        <w:spacing w:line="520" w:lineRule="exact"/>
        <w:rPr>
          <w:rFonts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货物到货验收合格后，凭以下列明的单证和文件，甲方在30(三十)日历天内向乙方支付合同总价的</w:t>
      </w:r>
      <w:r>
        <w:rPr>
          <w:rFonts w:hint="eastAsia" w:cs="宋体"/>
          <w:sz w:val="24"/>
          <w:szCs w:val="24"/>
          <w:highlight w:val="none"/>
          <w:lang w:val="en-US" w:eastAsia="zh-CN"/>
        </w:rPr>
        <w:t>90</w:t>
      </w:r>
      <w:r>
        <w:rPr>
          <w:rFonts w:hint="eastAsia" w:ascii="宋体" w:hAnsi="宋体" w:cs="宋体"/>
          <w:sz w:val="24"/>
          <w:szCs w:val="24"/>
          <w:highlight w:val="none"/>
        </w:rPr>
        <w:t>%，金额为人民币￥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14:paraId="533D3082">
      <w:pPr>
        <w:spacing w:line="520" w:lineRule="exact"/>
        <w:rPr>
          <w:rFonts w:ascii="宋体" w:hAnsi="宋体" w:cs="宋体"/>
          <w:sz w:val="24"/>
          <w:szCs w:val="24"/>
          <w:highlight w:val="none"/>
        </w:rPr>
      </w:pPr>
      <w:r>
        <w:rPr>
          <w:rFonts w:hint="eastAsia" w:ascii="宋体" w:hAnsi="宋体" w:cs="宋体"/>
          <w:sz w:val="24"/>
          <w:szCs w:val="24"/>
          <w:highlight w:val="none"/>
        </w:rPr>
        <w:t xml:space="preserve">    a.甲方收到乙方的合同总价全额增值税发票（增值税率1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6C6C6D50">
      <w:pPr>
        <w:spacing w:line="520" w:lineRule="exact"/>
        <w:rPr>
          <w:rFonts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14:paraId="27BB3CB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c.甲方已收讫货物的验收凭证。</w:t>
      </w:r>
    </w:p>
    <w:p w14:paraId="398BD40A">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cs="宋体"/>
          <w:sz w:val="24"/>
          <w:szCs w:val="24"/>
          <w:highlight w:val="none"/>
          <w:lang w:val="en-US" w:eastAsia="zh-CN"/>
        </w:rPr>
        <w:t>2</w:t>
      </w:r>
      <w:r>
        <w:rPr>
          <w:rFonts w:hint="eastAsia" w:ascii="宋体" w:hAnsi="宋体" w:cs="宋体"/>
          <w:sz w:val="24"/>
          <w:szCs w:val="24"/>
          <w:highlight w:val="none"/>
        </w:rPr>
        <w:t>质保金</w:t>
      </w:r>
    </w:p>
    <w:p w14:paraId="0DC58B4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元整）。保质期为设备验收考核合格后12个月或乙方全部货物到达甲方指定现场后18个月，以先到为准，保质期满后，乙方凭下列单证和文件。甲方在30(三十)日历天内向乙方支付合同金额10%的合同尾数。</w:t>
      </w:r>
    </w:p>
    <w:p w14:paraId="12A270D4">
      <w:pPr>
        <w:numPr>
          <w:ilvl w:val="0"/>
          <w:numId w:val="8"/>
        </w:numPr>
        <w:spacing w:line="500" w:lineRule="exact"/>
        <w:rPr>
          <w:rFonts w:ascii="宋体" w:hAnsi="宋体" w:cs="宋体"/>
          <w:sz w:val="24"/>
          <w:szCs w:val="24"/>
          <w:highlight w:val="none"/>
        </w:rPr>
      </w:pPr>
      <w:r>
        <w:rPr>
          <w:rFonts w:hint="eastAsia" w:ascii="宋体" w:hAnsi="宋体" w:cs="宋体"/>
          <w:sz w:val="24"/>
          <w:szCs w:val="24"/>
          <w:highlight w:val="none"/>
        </w:rPr>
        <w:t>质量保证期内，已无质量保证规定的未了事件的证明文件。</w:t>
      </w:r>
    </w:p>
    <w:p w14:paraId="60013AFD">
      <w:pPr>
        <w:snapToGrid w:val="0"/>
        <w:spacing w:line="460" w:lineRule="exact"/>
        <w:rPr>
          <w:rFonts w:ascii="宋体" w:hAnsi="宋体"/>
          <w:sz w:val="24"/>
          <w:szCs w:val="24"/>
          <w:highlight w:val="none"/>
        </w:rPr>
      </w:pPr>
      <w:r>
        <w:rPr>
          <w:highlight w:val="none"/>
        </w:rPr>
        <w:t xml:space="preserve">    </w:t>
      </w:r>
      <w:r>
        <w:rPr>
          <w:rFonts w:hint="eastAsia" w:ascii="宋体" w:hAnsi="宋体"/>
          <w:sz w:val="24"/>
          <w:szCs w:val="24"/>
          <w:highlight w:val="none"/>
        </w:rPr>
        <w:t>3.</w:t>
      </w:r>
      <w:r>
        <w:rPr>
          <w:rFonts w:hint="eastAsia"/>
          <w:sz w:val="24"/>
          <w:szCs w:val="24"/>
          <w:highlight w:val="none"/>
          <w:lang w:val="en-US" w:eastAsia="zh-CN"/>
        </w:rPr>
        <w:t>3</w:t>
      </w:r>
      <w:r>
        <w:rPr>
          <w:rFonts w:hint="eastAsia" w:ascii="宋体" w:hAnsi="宋体"/>
          <w:sz w:val="24"/>
          <w:szCs w:val="24"/>
          <w:highlight w:val="none"/>
        </w:rPr>
        <w:t>甲方的付款并不限制甲方在随后时间对已开具发票的费用提出争议或对合同中不满意的服务、不符合要求的产品进行索赔的权利。</w:t>
      </w:r>
    </w:p>
    <w:p w14:paraId="13B2BB11">
      <w:pPr>
        <w:snapToGri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sz w:val="24"/>
          <w:szCs w:val="24"/>
          <w:highlight w:val="none"/>
          <w:lang w:val="en-US" w:eastAsia="zh-CN"/>
        </w:rPr>
        <w:t>4</w:t>
      </w:r>
      <w:r>
        <w:rPr>
          <w:rFonts w:hint="eastAsia" w:ascii="宋体" w:hAnsi="宋体"/>
          <w:sz w:val="24"/>
          <w:szCs w:val="24"/>
          <w:highlight w:val="none"/>
        </w:rPr>
        <w:t>甲方有权从应付乙方的款项中抵扣乙方按本合同应支付给甲方的费用，包括但不限于违约金、赔偿金、乙方造成的一切损失、债务。</w:t>
      </w:r>
    </w:p>
    <w:p w14:paraId="3174C235">
      <w:pPr>
        <w:pStyle w:val="49"/>
        <w:ind w:left="0" w:leftChars="0" w:firstLine="0" w:firstLineChars="0"/>
        <w:rPr>
          <w:rFonts w:hint="eastAsia"/>
          <w:highlight w:val="none"/>
        </w:rPr>
      </w:pPr>
    </w:p>
    <w:p w14:paraId="0F2D5EE9">
      <w:pPr>
        <w:spacing w:line="520" w:lineRule="exact"/>
        <w:ind w:firstLine="562" w:firstLineChars="200"/>
        <w:jc w:val="center"/>
        <w:rPr>
          <w:rFonts w:ascii="宋体" w:hAnsi="宋体" w:cs="宋体"/>
          <w:sz w:val="24"/>
          <w:szCs w:val="24"/>
          <w:highlight w:val="none"/>
        </w:rPr>
      </w:pPr>
      <w:r>
        <w:rPr>
          <w:rFonts w:hint="eastAsia" w:ascii="宋体" w:hAnsi="宋体" w:cs="宋体"/>
          <w:b/>
          <w:spacing w:val="20"/>
          <w:sz w:val="24"/>
          <w:szCs w:val="24"/>
          <w:highlight w:val="none"/>
        </w:rPr>
        <w:t>四、交货</w:t>
      </w:r>
    </w:p>
    <w:p w14:paraId="361B30F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4.1 交货时间：</w:t>
      </w:r>
      <w:r>
        <w:rPr>
          <w:rFonts w:hint="eastAsia" w:ascii="宋体" w:hAnsi="宋体" w:cs="宋体"/>
          <w:sz w:val="24"/>
          <w:szCs w:val="24"/>
          <w:highlight w:val="none"/>
          <w:u w:val="single"/>
          <w:lang w:val="en-US" w:eastAsia="zh-CN"/>
        </w:rPr>
        <w:t>合同生效后</w:t>
      </w:r>
      <w:r>
        <w:rPr>
          <w:rFonts w:hint="eastAsia" w:cs="宋体"/>
          <w:sz w:val="24"/>
          <w:szCs w:val="24"/>
          <w:highlight w:val="none"/>
          <w:u w:val="single"/>
          <w:lang w:val="en-US" w:eastAsia="zh-CN"/>
        </w:rPr>
        <w:t>2</w:t>
      </w:r>
      <w:r>
        <w:rPr>
          <w:rFonts w:hint="eastAsia" w:ascii="宋体" w:hAnsi="宋体" w:cs="宋体"/>
          <w:sz w:val="24"/>
          <w:szCs w:val="24"/>
          <w:highlight w:val="none"/>
          <w:u w:val="single"/>
          <w:lang w:val="en-US" w:eastAsia="zh-CN"/>
        </w:rPr>
        <w:t>个月内送货到买方现场指定地点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4450738">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4.2交货地点：福建漳州古雷港经济开发区腾龙路84号买方指定地点</w:t>
      </w:r>
      <w:r>
        <w:rPr>
          <w:rFonts w:hint="eastAsia" w:ascii="宋体" w:hAnsi="宋体" w:cs="宋体"/>
          <w:sz w:val="24"/>
          <w:szCs w:val="24"/>
          <w:highlight w:val="none"/>
          <w:lang w:eastAsia="zh-CN"/>
        </w:rPr>
        <w:t>，</w:t>
      </w:r>
      <w:r>
        <w:rPr>
          <w:rFonts w:hint="eastAsia" w:ascii="宋体" w:hAnsi="宋体"/>
          <w:sz w:val="24"/>
          <w:szCs w:val="24"/>
          <w:highlight w:val="none"/>
        </w:rPr>
        <w:t>收货</w:t>
      </w:r>
      <w:r>
        <w:rPr>
          <w:rFonts w:hint="eastAsia" w:ascii="宋体" w:hAnsi="宋体"/>
          <w:sz w:val="24"/>
          <w:szCs w:val="24"/>
          <w:highlight w:val="none"/>
          <w:lang w:eastAsia="zh-CN"/>
        </w:rPr>
        <w:t>、</w:t>
      </w:r>
      <w:r>
        <w:rPr>
          <w:rFonts w:hint="eastAsia" w:ascii="宋体" w:hAnsi="宋体"/>
          <w:sz w:val="24"/>
          <w:szCs w:val="24"/>
          <w:highlight w:val="none"/>
          <w:lang w:val="en-US" w:eastAsia="zh-CN"/>
        </w:rPr>
        <w:t>接收发票、付款联系</w:t>
      </w:r>
      <w:r>
        <w:rPr>
          <w:rFonts w:hint="eastAsia" w:ascii="宋体" w:hAnsi="宋体"/>
          <w:sz w:val="24"/>
          <w:szCs w:val="24"/>
          <w:highlight w:val="none"/>
        </w:rPr>
        <w:t>人：</w:t>
      </w:r>
      <w:r>
        <w:rPr>
          <w:rFonts w:hint="eastAsia"/>
          <w:sz w:val="24"/>
          <w:szCs w:val="24"/>
          <w:highlight w:val="none"/>
          <w:u w:val="single"/>
          <w:lang w:val="en-US" w:eastAsia="zh-CN"/>
        </w:rPr>
        <w:t>王敬民 18760658010，jmwang</w:t>
      </w:r>
      <w:r>
        <w:rPr>
          <w:rFonts w:hint="eastAsia" w:ascii="宋体" w:hAnsi="宋体"/>
          <w:sz w:val="24"/>
          <w:szCs w:val="24"/>
          <w:highlight w:val="none"/>
          <w:u w:val="single"/>
          <w:lang w:val="en-US" w:eastAsia="zh-CN"/>
        </w:rPr>
        <w:t xml:space="preserve">@fhcpec.com.cn </w:t>
      </w:r>
      <w:r>
        <w:rPr>
          <w:rFonts w:hint="eastAsia" w:ascii="宋体" w:hAnsi="宋体"/>
          <w:sz w:val="24"/>
          <w:szCs w:val="24"/>
          <w:highlight w:val="none"/>
          <w:u w:val="none"/>
          <w:lang w:val="en-US" w:eastAsia="zh-CN"/>
        </w:rPr>
        <w:t>。</w:t>
      </w:r>
    </w:p>
    <w:p w14:paraId="144182E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4.3 乙方应于装货前十天以传真通知甲方供货合同号、货物名称、货物备妥发运日、大约毛净重、体积、运输方式、装运日期、交运车站/码头名称、车号/船号和运单号及预计到货日期，并提交装箱清单一份，以便甲方做好接货准备。本合同设备的交货期及交货顺序应满足设备安装进度和顺序的要求，应保证及时和部套的完整性。乙方提供交货进度安排。</w:t>
      </w:r>
    </w:p>
    <w:p w14:paraId="10D5073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4.4 重量超过二十吨或尺寸超过9米×3米×3米的每件货物的名称、重量、体积和件数。对每件该类设备(部件)必须标明重心和吊点位置，并附有草图。</w:t>
      </w:r>
    </w:p>
    <w:p w14:paraId="2B4A959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4.5 对于特殊物品(易燃、易爆、有毒物品及其它危险品和运输过程中对温度等环境因素和震动有特殊要求的设备或物品)必须特别标明其品名、性质、特殊保护措施、保存方法以及处理意外情况的方法。</w:t>
      </w:r>
    </w:p>
    <w:p w14:paraId="20C006DE">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4.6 乙方提供的设备应完成全部制造和检验，并需在检验合格后进行必要的表面防腐、涂漆（需要处）和包装。</w:t>
      </w:r>
    </w:p>
    <w:p w14:paraId="5AC93740">
      <w:pPr>
        <w:spacing w:line="520" w:lineRule="exact"/>
        <w:rPr>
          <w:rFonts w:ascii="宋体" w:hAnsi="宋体" w:cs="宋体"/>
          <w:sz w:val="24"/>
          <w:szCs w:val="24"/>
          <w:highlight w:val="none"/>
        </w:rPr>
      </w:pPr>
      <w:r>
        <w:rPr>
          <w:rFonts w:hint="eastAsia" w:ascii="宋体" w:hAnsi="宋体" w:cs="宋体"/>
          <w:sz w:val="24"/>
          <w:szCs w:val="24"/>
          <w:highlight w:val="none"/>
        </w:rPr>
        <w:t>4.7 交货设备铭牌的内容至少应包括下列内容：</w:t>
      </w:r>
    </w:p>
    <w:p w14:paraId="01A96FFC">
      <w:pPr>
        <w:spacing w:line="520" w:lineRule="exact"/>
        <w:rPr>
          <w:rFonts w:ascii="宋体" w:hAnsi="宋体" w:cs="宋体"/>
          <w:sz w:val="24"/>
          <w:szCs w:val="24"/>
          <w:highlight w:val="none"/>
        </w:rPr>
      </w:pPr>
      <w:r>
        <w:rPr>
          <w:rFonts w:hint="eastAsia" w:ascii="宋体" w:hAnsi="宋体" w:cs="宋体"/>
          <w:sz w:val="24"/>
          <w:szCs w:val="24"/>
          <w:highlight w:val="none"/>
        </w:rPr>
        <w:t xml:space="preserve">    （1）制造厂名称和制造许可证号；</w:t>
      </w:r>
    </w:p>
    <w:p w14:paraId="7941E374">
      <w:pPr>
        <w:spacing w:line="520" w:lineRule="exact"/>
        <w:rPr>
          <w:rFonts w:ascii="宋体" w:hAnsi="宋体" w:cs="宋体"/>
          <w:sz w:val="24"/>
          <w:szCs w:val="24"/>
          <w:highlight w:val="none"/>
        </w:rPr>
      </w:pPr>
      <w:r>
        <w:rPr>
          <w:rFonts w:hint="eastAsia" w:ascii="宋体" w:hAnsi="宋体" w:cs="宋体"/>
          <w:sz w:val="24"/>
          <w:szCs w:val="24"/>
          <w:highlight w:val="none"/>
        </w:rPr>
        <w:t xml:space="preserve">    （2）产品编号和制造日期；</w:t>
      </w:r>
    </w:p>
    <w:p w14:paraId="0C22C9C0">
      <w:pPr>
        <w:spacing w:line="520" w:lineRule="exact"/>
        <w:rPr>
          <w:rFonts w:ascii="宋体" w:hAnsi="宋体" w:cs="宋体"/>
          <w:sz w:val="24"/>
          <w:szCs w:val="24"/>
          <w:highlight w:val="none"/>
        </w:rPr>
      </w:pPr>
      <w:r>
        <w:rPr>
          <w:rFonts w:hint="eastAsia" w:ascii="宋体" w:hAnsi="宋体" w:cs="宋体"/>
          <w:sz w:val="24"/>
          <w:szCs w:val="24"/>
          <w:highlight w:val="none"/>
        </w:rPr>
        <w:t xml:space="preserve">    （3）设备位号和名称；</w:t>
      </w:r>
    </w:p>
    <w:p w14:paraId="14DEBA7F">
      <w:pPr>
        <w:spacing w:line="520" w:lineRule="exact"/>
        <w:rPr>
          <w:rFonts w:ascii="宋体" w:hAnsi="宋体" w:cs="宋体"/>
          <w:sz w:val="24"/>
          <w:szCs w:val="24"/>
          <w:highlight w:val="none"/>
        </w:rPr>
      </w:pPr>
      <w:r>
        <w:rPr>
          <w:rFonts w:hint="eastAsia" w:ascii="宋体" w:hAnsi="宋体" w:cs="宋体"/>
          <w:sz w:val="24"/>
          <w:szCs w:val="24"/>
          <w:highlight w:val="none"/>
        </w:rPr>
        <w:t xml:space="preserve">    （4）设备规格等。（详见技术规格书）</w:t>
      </w:r>
    </w:p>
    <w:p w14:paraId="6FCEA872">
      <w:pPr>
        <w:spacing w:line="520" w:lineRule="exact"/>
        <w:rPr>
          <w:rFonts w:ascii="宋体" w:hAnsi="宋体" w:cs="宋体"/>
          <w:sz w:val="24"/>
          <w:szCs w:val="24"/>
          <w:highlight w:val="none"/>
        </w:rPr>
      </w:pPr>
      <w:r>
        <w:rPr>
          <w:rFonts w:hint="eastAsia" w:ascii="宋体" w:hAnsi="宋体" w:cs="宋体"/>
          <w:sz w:val="24"/>
          <w:szCs w:val="24"/>
          <w:highlight w:val="none"/>
        </w:rPr>
        <w:t>4.8 设备交货时乙方需要提供的文字资料包括：</w:t>
      </w:r>
    </w:p>
    <w:p w14:paraId="47AE02AE">
      <w:pPr>
        <w:spacing w:line="520" w:lineRule="exact"/>
        <w:rPr>
          <w:rFonts w:ascii="宋体" w:hAnsi="宋体" w:cs="宋体"/>
          <w:sz w:val="24"/>
          <w:szCs w:val="24"/>
          <w:highlight w:val="none"/>
        </w:rPr>
      </w:pPr>
      <w:r>
        <w:rPr>
          <w:rFonts w:hint="eastAsia" w:ascii="宋体" w:hAnsi="宋体" w:cs="宋体"/>
          <w:sz w:val="24"/>
          <w:szCs w:val="24"/>
          <w:highlight w:val="none"/>
        </w:rPr>
        <w:t xml:space="preserve">    （1）供货清单、文件和图纸目录清单；</w:t>
      </w:r>
    </w:p>
    <w:p w14:paraId="7548F63F">
      <w:pPr>
        <w:spacing w:line="520" w:lineRule="exact"/>
        <w:rPr>
          <w:rFonts w:ascii="宋体" w:hAnsi="宋体" w:cs="宋体"/>
          <w:sz w:val="24"/>
          <w:szCs w:val="24"/>
          <w:highlight w:val="none"/>
        </w:rPr>
      </w:pPr>
      <w:r>
        <w:rPr>
          <w:rFonts w:hint="eastAsia" w:ascii="宋体" w:hAnsi="宋体" w:cs="宋体"/>
          <w:sz w:val="24"/>
          <w:szCs w:val="24"/>
          <w:highlight w:val="none"/>
        </w:rPr>
        <w:t xml:space="preserve">    （2）材质证明文件；</w:t>
      </w:r>
    </w:p>
    <w:p w14:paraId="172BB21A">
      <w:pPr>
        <w:spacing w:line="520" w:lineRule="exact"/>
        <w:rPr>
          <w:rFonts w:ascii="宋体" w:hAnsi="宋体" w:cs="宋体"/>
          <w:sz w:val="24"/>
          <w:szCs w:val="24"/>
          <w:highlight w:val="none"/>
        </w:rPr>
      </w:pPr>
      <w:r>
        <w:rPr>
          <w:rFonts w:hint="eastAsia" w:ascii="宋体" w:hAnsi="宋体" w:cs="宋体"/>
          <w:sz w:val="24"/>
          <w:szCs w:val="24"/>
          <w:highlight w:val="none"/>
        </w:rPr>
        <w:t xml:space="preserve">    （3）供货厂（商）的检验报告和证明书，制造厂车间完成的试验报告；</w:t>
      </w:r>
    </w:p>
    <w:p w14:paraId="0F98F4FE">
      <w:pPr>
        <w:spacing w:line="520" w:lineRule="exact"/>
        <w:rPr>
          <w:rFonts w:ascii="宋体" w:hAnsi="宋体" w:cs="宋体"/>
          <w:sz w:val="24"/>
          <w:szCs w:val="24"/>
          <w:highlight w:val="none"/>
        </w:rPr>
      </w:pPr>
      <w:r>
        <w:rPr>
          <w:rFonts w:hint="eastAsia" w:ascii="宋体" w:hAnsi="宋体" w:cs="宋体"/>
          <w:sz w:val="24"/>
          <w:szCs w:val="24"/>
          <w:highlight w:val="none"/>
        </w:rPr>
        <w:t xml:space="preserve">    （4）与实物相符的设备竣工图；</w:t>
      </w:r>
    </w:p>
    <w:p w14:paraId="7804690A">
      <w:pPr>
        <w:spacing w:line="520" w:lineRule="exact"/>
        <w:rPr>
          <w:rFonts w:ascii="宋体" w:hAnsi="宋体" w:cs="宋体"/>
          <w:sz w:val="24"/>
          <w:szCs w:val="24"/>
          <w:highlight w:val="none"/>
        </w:rPr>
      </w:pPr>
      <w:r>
        <w:rPr>
          <w:rFonts w:hint="eastAsia" w:ascii="宋体" w:hAnsi="宋体" w:cs="宋体"/>
          <w:sz w:val="24"/>
          <w:szCs w:val="24"/>
          <w:highlight w:val="none"/>
        </w:rPr>
        <w:t xml:space="preserve">    （5）乙方在设备制造过程中请求并经甲方同意的材料代用单、结构修改单、连接尺寸及附件变更单；</w:t>
      </w:r>
    </w:p>
    <w:p w14:paraId="46958633">
      <w:pPr>
        <w:spacing w:line="520" w:lineRule="exact"/>
        <w:rPr>
          <w:rFonts w:ascii="宋体" w:hAnsi="宋体" w:cs="宋体"/>
          <w:sz w:val="24"/>
          <w:szCs w:val="24"/>
          <w:highlight w:val="none"/>
        </w:rPr>
      </w:pPr>
      <w:r>
        <w:rPr>
          <w:rFonts w:hint="eastAsia" w:ascii="宋体" w:hAnsi="宋体" w:cs="宋体"/>
          <w:sz w:val="24"/>
          <w:szCs w:val="24"/>
          <w:highlight w:val="none"/>
        </w:rPr>
        <w:t xml:space="preserve">    （6）备品配件清单（含开车和两年备品配件）；</w:t>
      </w:r>
    </w:p>
    <w:p w14:paraId="1FC34149">
      <w:pPr>
        <w:spacing w:line="520" w:lineRule="exact"/>
        <w:rPr>
          <w:rFonts w:ascii="宋体" w:hAnsi="宋体" w:cs="宋体"/>
          <w:sz w:val="24"/>
          <w:szCs w:val="24"/>
          <w:highlight w:val="none"/>
        </w:rPr>
      </w:pPr>
      <w:r>
        <w:rPr>
          <w:rFonts w:hint="eastAsia" w:ascii="宋体" w:hAnsi="宋体" w:cs="宋体"/>
          <w:sz w:val="24"/>
          <w:szCs w:val="24"/>
          <w:highlight w:val="none"/>
        </w:rPr>
        <w:t xml:space="preserve">    （7）产品合格证及质量证明书；</w:t>
      </w:r>
    </w:p>
    <w:p w14:paraId="698180CE">
      <w:pPr>
        <w:spacing w:line="520" w:lineRule="exact"/>
        <w:rPr>
          <w:rFonts w:ascii="宋体" w:hAnsi="宋体" w:cs="宋体"/>
          <w:sz w:val="24"/>
          <w:szCs w:val="24"/>
          <w:highlight w:val="none"/>
        </w:rPr>
      </w:pPr>
      <w:r>
        <w:rPr>
          <w:rFonts w:hint="eastAsia" w:ascii="宋体" w:hAnsi="宋体" w:cs="宋体"/>
          <w:sz w:val="24"/>
          <w:szCs w:val="24"/>
          <w:highlight w:val="none"/>
        </w:rPr>
        <w:t xml:space="preserve">    （8）安装调试的技术条件；</w:t>
      </w:r>
    </w:p>
    <w:p w14:paraId="3F6004B1">
      <w:pPr>
        <w:spacing w:line="520" w:lineRule="exact"/>
        <w:rPr>
          <w:rFonts w:ascii="宋体" w:hAnsi="宋体" w:cs="宋体"/>
          <w:sz w:val="24"/>
          <w:szCs w:val="24"/>
          <w:highlight w:val="none"/>
        </w:rPr>
      </w:pPr>
      <w:r>
        <w:rPr>
          <w:rFonts w:hint="eastAsia" w:ascii="宋体" w:hAnsi="宋体" w:cs="宋体"/>
          <w:sz w:val="24"/>
          <w:szCs w:val="24"/>
          <w:highlight w:val="none"/>
        </w:rPr>
        <w:t xml:space="preserve">    （9）按规定所应提供的其它资料。</w:t>
      </w:r>
    </w:p>
    <w:p w14:paraId="2C37102B">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4.9货物的风险在货物被稳妥地卸在甲方指定地点并验收合格后由乙方移交给甲方。</w:t>
      </w:r>
    </w:p>
    <w:p w14:paraId="2E6103F7">
      <w:pPr>
        <w:snapToGrid w:val="0"/>
        <w:spacing w:line="360" w:lineRule="auto"/>
        <w:jc w:val="center"/>
        <w:rPr>
          <w:rFonts w:ascii="宋体" w:hAnsi="宋体"/>
          <w:b/>
          <w:sz w:val="24"/>
          <w:szCs w:val="24"/>
          <w:highlight w:val="none"/>
        </w:rPr>
      </w:pPr>
      <w:r>
        <w:rPr>
          <w:rFonts w:hint="eastAsia" w:ascii="宋体" w:hAnsi="宋体"/>
          <w:b/>
          <w:sz w:val="24"/>
          <w:szCs w:val="24"/>
          <w:highlight w:val="none"/>
        </w:rPr>
        <w:t>五、包装与运输</w:t>
      </w:r>
    </w:p>
    <w:p w14:paraId="0F1D9829">
      <w:pPr>
        <w:snapToGrid w:val="0"/>
        <w:spacing w:line="360" w:lineRule="auto"/>
        <w:rPr>
          <w:rFonts w:ascii="宋体" w:hAnsi="宋体"/>
          <w:sz w:val="24"/>
          <w:szCs w:val="24"/>
          <w:highlight w:val="none"/>
        </w:rPr>
      </w:pPr>
      <w:r>
        <w:rPr>
          <w:rFonts w:hint="eastAsia" w:ascii="宋体" w:hAnsi="宋体"/>
          <w:sz w:val="24"/>
          <w:szCs w:val="24"/>
          <w:highlight w:val="none"/>
        </w:rPr>
        <w:t>5.1设备整体包装发运，按JB2536－80标准执行。</w:t>
      </w:r>
    </w:p>
    <w:p w14:paraId="5B567F24">
      <w:pPr>
        <w:snapToGrid w:val="0"/>
        <w:spacing w:line="360" w:lineRule="auto"/>
        <w:rPr>
          <w:rFonts w:ascii="宋体" w:hAnsi="宋体"/>
          <w:sz w:val="24"/>
          <w:szCs w:val="24"/>
          <w:highlight w:val="none"/>
        </w:rPr>
      </w:pPr>
      <w:r>
        <w:rPr>
          <w:rFonts w:hint="eastAsia" w:ascii="宋体" w:hAnsi="宋体"/>
          <w:sz w:val="24"/>
          <w:szCs w:val="24"/>
          <w:highlight w:val="none"/>
        </w:rPr>
        <w:t>5.2设备包装应符合安全、经济和不受损以及室外存放半年以上的要求。乙方应对不合格的包装引起的设备生锈、损坏和丢失承担全部责任。</w:t>
      </w:r>
    </w:p>
    <w:p w14:paraId="1AD910FE">
      <w:pPr>
        <w:snapToGrid w:val="0"/>
        <w:spacing w:line="360" w:lineRule="auto"/>
        <w:rPr>
          <w:rFonts w:ascii="宋体" w:hAnsi="宋体"/>
          <w:sz w:val="24"/>
          <w:szCs w:val="24"/>
          <w:highlight w:val="none"/>
        </w:rPr>
      </w:pPr>
      <w:r>
        <w:rPr>
          <w:rFonts w:hint="eastAsia" w:ascii="宋体" w:hAnsi="宋体"/>
          <w:sz w:val="24"/>
          <w:szCs w:val="24"/>
          <w:highlight w:val="none"/>
        </w:rPr>
        <w:t>5.3 设备内件的包装应保证在运输和贮存过程中不发生变形和损坏，碳钢零部件应有防锈措施，所有包装箱应注明详细标记。设备的备品配件应单独装箱发货，包装箱上应注明“备品配件”字样。</w:t>
      </w:r>
    </w:p>
    <w:p w14:paraId="2BCEE356">
      <w:pPr>
        <w:snapToGrid w:val="0"/>
        <w:spacing w:line="360" w:lineRule="auto"/>
        <w:rPr>
          <w:rFonts w:ascii="宋体" w:hAnsi="宋体"/>
          <w:sz w:val="24"/>
          <w:szCs w:val="24"/>
          <w:highlight w:val="none"/>
        </w:rPr>
      </w:pPr>
      <w:r>
        <w:rPr>
          <w:rFonts w:hint="eastAsia" w:ascii="宋体" w:hAnsi="宋体"/>
          <w:sz w:val="24"/>
          <w:szCs w:val="24"/>
          <w:highlight w:val="none"/>
        </w:rPr>
        <w:t>5.4交货时设备外观应完好无损，标志清晰，因包装不良造成货物残损及因包装防护设备不当、不周招致货物发生锈蚀，均由乙方负责，包装物不回收。</w:t>
      </w:r>
    </w:p>
    <w:p w14:paraId="1BD6443E">
      <w:pPr>
        <w:snapToGrid w:val="0"/>
        <w:spacing w:line="360" w:lineRule="auto"/>
        <w:rPr>
          <w:rFonts w:ascii="宋体" w:hAnsi="宋体"/>
          <w:sz w:val="24"/>
          <w:szCs w:val="24"/>
          <w:highlight w:val="none"/>
        </w:rPr>
      </w:pPr>
      <w:r>
        <w:rPr>
          <w:rFonts w:hint="eastAsia" w:ascii="宋体" w:hAnsi="宋体"/>
          <w:sz w:val="24"/>
          <w:szCs w:val="24"/>
          <w:highlight w:val="none"/>
        </w:rPr>
        <w:t>5.5根据不同货物的特性和对装卸运输及存放的不同要求，乙方应在包装箱的端面和侧面清楚地印刷【轻放】、【勿倒置】、【起吊点】等字样、裸装货物应系加金属标签。</w:t>
      </w:r>
    </w:p>
    <w:p w14:paraId="1A37DA21">
      <w:pPr>
        <w:snapToGrid w:val="0"/>
        <w:spacing w:line="360" w:lineRule="auto"/>
        <w:rPr>
          <w:rFonts w:ascii="宋体" w:hAnsi="宋体"/>
          <w:sz w:val="24"/>
          <w:szCs w:val="24"/>
          <w:highlight w:val="none"/>
        </w:rPr>
      </w:pPr>
      <w:r>
        <w:rPr>
          <w:rFonts w:hint="eastAsia" w:ascii="宋体" w:hAnsi="宋体"/>
          <w:sz w:val="24"/>
          <w:szCs w:val="24"/>
          <w:highlight w:val="none"/>
        </w:rPr>
        <w:t>5.6因乙方原因漏发、错发的部分，乙方应负完全责任，并及时补齐，由此发生的费用由乙方承担，并保证不影响甲方的工程进度。</w:t>
      </w:r>
    </w:p>
    <w:p w14:paraId="74EE1DD1">
      <w:pPr>
        <w:snapToGrid w:val="0"/>
        <w:spacing w:line="360" w:lineRule="auto"/>
        <w:jc w:val="center"/>
        <w:rPr>
          <w:rFonts w:ascii="宋体" w:hAnsi="宋体"/>
          <w:b/>
          <w:sz w:val="24"/>
          <w:szCs w:val="24"/>
          <w:highlight w:val="none"/>
        </w:rPr>
      </w:pPr>
      <w:r>
        <w:rPr>
          <w:rFonts w:hint="eastAsia" w:ascii="宋体" w:hAnsi="宋体"/>
          <w:b/>
          <w:sz w:val="24"/>
          <w:szCs w:val="24"/>
          <w:highlight w:val="none"/>
        </w:rPr>
        <w:t>六、安装、试运转和性能考核</w:t>
      </w:r>
    </w:p>
    <w:p w14:paraId="0FC234FA">
      <w:pPr>
        <w:snapToGrid w:val="0"/>
        <w:spacing w:line="460" w:lineRule="exact"/>
        <w:rPr>
          <w:rFonts w:ascii="宋体" w:hAnsi="宋体"/>
          <w:sz w:val="24"/>
          <w:szCs w:val="24"/>
          <w:highlight w:val="none"/>
        </w:rPr>
      </w:pPr>
      <w:r>
        <w:rPr>
          <w:rFonts w:hint="eastAsia" w:ascii="宋体" w:hAnsi="宋体"/>
          <w:sz w:val="24"/>
          <w:szCs w:val="24"/>
          <w:highlight w:val="none"/>
        </w:rPr>
        <w:t>6.1乙方应及时提供与本货物有关的设计、检验、安装、调试、验收、性能验收试验、运行、检修等相应的技术指导、技术配合、技术培训等全过程的服务，乙方应在交货</w:t>
      </w:r>
      <w:r>
        <w:rPr>
          <w:rFonts w:ascii="宋体" w:hAnsi="宋体"/>
          <w:sz w:val="24"/>
          <w:szCs w:val="24"/>
          <w:highlight w:val="none"/>
          <w:u w:val="single"/>
        </w:rPr>
        <w:t>30</w:t>
      </w:r>
      <w:r>
        <w:rPr>
          <w:rFonts w:hint="eastAsia" w:ascii="宋体" w:hAnsi="宋体"/>
          <w:sz w:val="24"/>
          <w:szCs w:val="24"/>
          <w:highlight w:val="none"/>
        </w:rPr>
        <w:t>日内自费派遣技术人员到现场进行相关的技术指导。</w:t>
      </w:r>
    </w:p>
    <w:p w14:paraId="52DC8081">
      <w:pPr>
        <w:snapToGrid w:val="0"/>
        <w:spacing w:line="460" w:lineRule="exact"/>
        <w:rPr>
          <w:rFonts w:ascii="宋体" w:hAnsi="宋体"/>
          <w:sz w:val="24"/>
          <w:szCs w:val="24"/>
          <w:highlight w:val="none"/>
        </w:rPr>
      </w:pPr>
      <w:r>
        <w:rPr>
          <w:rFonts w:hint="eastAsia" w:ascii="宋体" w:hAnsi="宋体"/>
          <w:sz w:val="24"/>
          <w:szCs w:val="24"/>
          <w:highlight w:val="none"/>
        </w:rPr>
        <w:t>6.2设备性能考核和最终验收由甲方和乙方双方共同执行。乙方承诺负责设备性能考核应达到技术指标，并能保持稳定运行。</w:t>
      </w:r>
    </w:p>
    <w:p w14:paraId="5061BD80">
      <w:pPr>
        <w:snapToGrid w:val="0"/>
        <w:spacing w:line="460" w:lineRule="exact"/>
        <w:rPr>
          <w:rFonts w:ascii="宋体" w:hAnsi="宋体"/>
          <w:sz w:val="24"/>
          <w:szCs w:val="24"/>
          <w:highlight w:val="none"/>
        </w:rPr>
      </w:pPr>
      <w:r>
        <w:rPr>
          <w:rFonts w:hint="eastAsia" w:ascii="宋体" w:hAnsi="宋体"/>
          <w:sz w:val="24"/>
          <w:szCs w:val="24"/>
          <w:highlight w:val="none"/>
        </w:rPr>
        <w:t>6.3在安装、试运转和性能考核期间，</w:t>
      </w:r>
      <w:r>
        <w:rPr>
          <w:rFonts w:hint="eastAsia" w:ascii="宋体" w:hAnsi="宋体"/>
          <w:b/>
          <w:sz w:val="24"/>
          <w:szCs w:val="24"/>
          <w:highlight w:val="none"/>
        </w:rPr>
        <w:t>如发现设备有缺陷或损伤属于乙方责任时，乙方应自费进行修理、更换或退货并赔偿因此给甲方造成的损失</w:t>
      </w:r>
      <w:r>
        <w:rPr>
          <w:rFonts w:hint="eastAsia" w:ascii="宋体" w:hAnsi="宋体"/>
          <w:sz w:val="24"/>
          <w:szCs w:val="24"/>
          <w:highlight w:val="none"/>
        </w:rPr>
        <w:t>。</w:t>
      </w:r>
    </w:p>
    <w:p w14:paraId="7FA8064F">
      <w:pPr>
        <w:snapToGrid w:val="0"/>
        <w:spacing w:line="460" w:lineRule="exact"/>
        <w:rPr>
          <w:rFonts w:ascii="宋体" w:hAnsi="宋体"/>
          <w:sz w:val="24"/>
          <w:szCs w:val="24"/>
          <w:highlight w:val="none"/>
        </w:rPr>
      </w:pPr>
      <w:r>
        <w:rPr>
          <w:rFonts w:hint="eastAsia" w:ascii="宋体" w:hAnsi="宋体"/>
          <w:sz w:val="24"/>
          <w:szCs w:val="24"/>
          <w:highlight w:val="none"/>
        </w:rPr>
        <w:t>6.4</w:t>
      </w:r>
      <w:r>
        <w:rPr>
          <w:rFonts w:hint="eastAsia" w:ascii="宋体" w:hAnsi="宋体"/>
          <w:b/>
          <w:sz w:val="24"/>
          <w:szCs w:val="24"/>
          <w:highlight w:val="none"/>
        </w:rPr>
        <w:t>在本合同试运转和性能考核期间，由于乙方提供的数据资料或乙方技术人员指导错误给甲方造成损失时，由乙方承担赔偿责任</w:t>
      </w:r>
      <w:r>
        <w:rPr>
          <w:rFonts w:hint="eastAsia" w:ascii="宋体" w:hAnsi="宋体"/>
          <w:sz w:val="24"/>
          <w:szCs w:val="24"/>
          <w:highlight w:val="none"/>
        </w:rPr>
        <w:t>。</w:t>
      </w:r>
    </w:p>
    <w:p w14:paraId="1F0935D2">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5</w:t>
      </w:r>
      <w:r>
        <w:rPr>
          <w:rFonts w:hint="eastAsia" w:ascii="宋体" w:hAnsi="宋体"/>
          <w:sz w:val="24"/>
          <w:szCs w:val="24"/>
          <w:highlight w:val="none"/>
        </w:rPr>
        <w:t xml:space="preserve"> </w:t>
      </w:r>
      <w:r>
        <w:rPr>
          <w:rFonts w:hint="eastAsia" w:ascii="宋体" w:hAnsi="宋体"/>
          <w:b/>
          <w:sz w:val="24"/>
          <w:szCs w:val="24"/>
          <w:highlight w:val="none"/>
        </w:rPr>
        <w:t>上述性能考核期间，出现任何属于乙方的责任问题，均视为乙方违约，。甲方可根据设备的质量缺陷情况决定是否解除本合同，甲方要求解除合同的，乙方应返还所有甲方已付款项，并支付合同总价20%的违约金给甲方，违约金不足以弥补甲方损失的，甲方有权向乙方追偿</w:t>
      </w:r>
      <w:r>
        <w:rPr>
          <w:rFonts w:hint="eastAsia" w:ascii="宋体" w:hAnsi="宋体"/>
          <w:sz w:val="24"/>
          <w:szCs w:val="24"/>
          <w:highlight w:val="none"/>
        </w:rPr>
        <w:t>。</w:t>
      </w:r>
    </w:p>
    <w:p w14:paraId="7AAF0C9A">
      <w:pPr>
        <w:snapToGrid w:val="0"/>
        <w:spacing w:line="360" w:lineRule="auto"/>
        <w:jc w:val="center"/>
        <w:rPr>
          <w:rFonts w:ascii="宋体" w:hAnsi="宋体"/>
          <w:b/>
          <w:sz w:val="24"/>
          <w:szCs w:val="24"/>
          <w:highlight w:val="none"/>
        </w:rPr>
      </w:pPr>
      <w:r>
        <w:rPr>
          <w:rFonts w:hint="eastAsia" w:ascii="宋体" w:hAnsi="宋体"/>
          <w:b/>
          <w:sz w:val="24"/>
          <w:szCs w:val="24"/>
          <w:highlight w:val="none"/>
        </w:rPr>
        <w:t>七、保证与索赔</w:t>
      </w:r>
    </w:p>
    <w:p w14:paraId="7074F8BD">
      <w:pPr>
        <w:spacing w:line="360" w:lineRule="auto"/>
        <w:rPr>
          <w:rFonts w:ascii="宋体" w:hAnsi="宋体"/>
          <w:sz w:val="24"/>
          <w:szCs w:val="24"/>
          <w:highlight w:val="none"/>
        </w:rPr>
      </w:pPr>
      <w:r>
        <w:rPr>
          <w:rFonts w:hint="eastAsia" w:ascii="宋体" w:hAnsi="宋体"/>
          <w:sz w:val="24"/>
          <w:szCs w:val="24"/>
          <w:highlight w:val="none"/>
        </w:rPr>
        <w:t>7.1质保期为设备安装、调试试车合格后12个月或设备全部运达甲方现场18个月，以先到为准。</w:t>
      </w:r>
    </w:p>
    <w:p w14:paraId="4DCD641E">
      <w:pPr>
        <w:spacing w:line="360" w:lineRule="auto"/>
        <w:rPr>
          <w:rFonts w:ascii="宋体" w:hAnsi="宋体"/>
          <w:sz w:val="24"/>
          <w:szCs w:val="24"/>
          <w:highlight w:val="none"/>
        </w:rPr>
      </w:pPr>
      <w:r>
        <w:rPr>
          <w:rFonts w:hint="eastAsia" w:ascii="宋体" w:hAnsi="宋体"/>
          <w:sz w:val="24"/>
          <w:szCs w:val="24"/>
          <w:highlight w:val="none"/>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33E57876">
      <w:pPr>
        <w:spacing w:line="360" w:lineRule="auto"/>
        <w:rPr>
          <w:rFonts w:ascii="宋体" w:hAnsi="宋体"/>
          <w:sz w:val="24"/>
          <w:szCs w:val="24"/>
          <w:highlight w:val="none"/>
        </w:rPr>
      </w:pPr>
      <w:r>
        <w:rPr>
          <w:rFonts w:hint="eastAsia" w:ascii="宋体" w:hAnsi="宋体"/>
          <w:sz w:val="24"/>
          <w:szCs w:val="24"/>
          <w:highlight w:val="none"/>
        </w:rPr>
        <w:t>7.3</w:t>
      </w:r>
      <w:r>
        <w:rPr>
          <w:rFonts w:ascii="宋体" w:hAnsi="宋体"/>
          <w:sz w:val="24"/>
          <w:szCs w:val="24"/>
          <w:highlight w:val="none"/>
        </w:rPr>
        <w:t>在产品质量保证期内，如因产品质量问题给</w:t>
      </w:r>
      <w:r>
        <w:rPr>
          <w:rFonts w:hint="eastAsia" w:ascii="宋体" w:hAnsi="宋体"/>
          <w:sz w:val="24"/>
          <w:szCs w:val="24"/>
          <w:highlight w:val="none"/>
        </w:rPr>
        <w:t>甲方</w:t>
      </w:r>
      <w:r>
        <w:rPr>
          <w:rFonts w:ascii="宋体" w:hAnsi="宋体"/>
          <w:sz w:val="24"/>
          <w:szCs w:val="24"/>
          <w:highlight w:val="none"/>
        </w:rPr>
        <w:t>造成损失的，</w:t>
      </w:r>
      <w:r>
        <w:rPr>
          <w:rFonts w:hint="eastAsia" w:ascii="宋体" w:hAnsi="宋体"/>
          <w:sz w:val="24"/>
          <w:szCs w:val="24"/>
          <w:highlight w:val="none"/>
        </w:rPr>
        <w:t>乙方</w:t>
      </w:r>
      <w:r>
        <w:rPr>
          <w:rFonts w:ascii="宋体" w:hAnsi="宋体"/>
          <w:sz w:val="24"/>
          <w:szCs w:val="24"/>
          <w:highlight w:val="none"/>
        </w:rPr>
        <w:t>还应赔偿</w:t>
      </w:r>
      <w:r>
        <w:rPr>
          <w:rFonts w:hint="eastAsia" w:ascii="宋体" w:hAnsi="宋体"/>
          <w:sz w:val="24"/>
          <w:szCs w:val="24"/>
          <w:highlight w:val="none"/>
        </w:rPr>
        <w:t>甲方由此</w:t>
      </w:r>
      <w:r>
        <w:rPr>
          <w:rFonts w:ascii="宋体" w:hAnsi="宋体"/>
          <w:sz w:val="24"/>
          <w:szCs w:val="24"/>
          <w:highlight w:val="none"/>
        </w:rPr>
        <w:t>遭受的损失</w:t>
      </w:r>
      <w:r>
        <w:rPr>
          <w:rFonts w:hint="eastAsia" w:ascii="宋体" w:hAnsi="宋体"/>
          <w:sz w:val="24"/>
          <w:szCs w:val="24"/>
          <w:highlight w:val="none"/>
        </w:rPr>
        <w:t>及相关费用</w:t>
      </w:r>
      <w:r>
        <w:rPr>
          <w:rFonts w:ascii="宋体" w:hAnsi="宋体"/>
          <w:sz w:val="24"/>
          <w:szCs w:val="24"/>
          <w:highlight w:val="none"/>
        </w:rPr>
        <w:t>。</w:t>
      </w:r>
    </w:p>
    <w:p w14:paraId="4FCBD13C">
      <w:pPr>
        <w:spacing w:line="360" w:lineRule="auto"/>
        <w:rPr>
          <w:rFonts w:ascii="宋体" w:hAnsi="宋体"/>
          <w:sz w:val="24"/>
          <w:szCs w:val="24"/>
          <w:highlight w:val="none"/>
        </w:rPr>
      </w:pPr>
      <w:r>
        <w:rPr>
          <w:rFonts w:hint="eastAsia" w:ascii="宋体" w:hAnsi="宋体"/>
          <w:sz w:val="24"/>
          <w:szCs w:val="24"/>
          <w:highlight w:val="none"/>
        </w:rPr>
        <w:t xml:space="preserve"> 7.4</w:t>
      </w:r>
      <w:r>
        <w:rPr>
          <w:rFonts w:ascii="宋体" w:hAnsi="宋体"/>
          <w:sz w:val="24"/>
          <w:szCs w:val="24"/>
          <w:highlight w:val="none"/>
        </w:rPr>
        <w:t>.</w:t>
      </w:r>
      <w:r>
        <w:rPr>
          <w:rFonts w:hint="eastAsia" w:ascii="宋体" w:hAnsi="宋体"/>
          <w:sz w:val="24"/>
          <w:szCs w:val="24"/>
          <w:highlight w:val="none"/>
        </w:rPr>
        <w:t>质量保证期的顺延：</w:t>
      </w:r>
      <w:r>
        <w:rPr>
          <w:rFonts w:ascii="宋体" w:hAnsi="宋体"/>
          <w:sz w:val="24"/>
          <w:szCs w:val="24"/>
          <w:highlight w:val="none"/>
        </w:rPr>
        <w:t>在质量保证期内，</w:t>
      </w:r>
      <w:r>
        <w:rPr>
          <w:rFonts w:hint="eastAsia" w:ascii="宋体" w:hAnsi="宋体"/>
          <w:sz w:val="24"/>
          <w:szCs w:val="24"/>
          <w:highlight w:val="none"/>
        </w:rPr>
        <w:t>因需要修理有缺陷的设备，而使合同设备停运或推迟安装时，则保证期应按实际修理所延误的时间做相应的延长。非因甲方</w:t>
      </w:r>
      <w:r>
        <w:rPr>
          <w:rFonts w:ascii="宋体" w:hAnsi="宋体"/>
          <w:sz w:val="24"/>
          <w:szCs w:val="24"/>
          <w:highlight w:val="none"/>
        </w:rPr>
        <w:t>原因导致全部货物或零部件更换时，则所更换部件/货物的质量保证期为自更换并验收合格之日起重新计算。</w:t>
      </w:r>
    </w:p>
    <w:p w14:paraId="6F2E582A">
      <w:pPr>
        <w:spacing w:line="360" w:lineRule="auto"/>
        <w:ind w:firstLine="316"/>
        <w:rPr>
          <w:rFonts w:ascii="宋体" w:hAnsi="宋体"/>
          <w:sz w:val="24"/>
          <w:szCs w:val="24"/>
          <w:highlight w:val="none"/>
        </w:rPr>
      </w:pPr>
      <w:r>
        <w:rPr>
          <w:rFonts w:hint="eastAsia" w:ascii="宋体" w:hAnsi="宋体"/>
          <w:sz w:val="24"/>
          <w:szCs w:val="24"/>
          <w:highlight w:val="none"/>
        </w:rPr>
        <w:t>7.5产品质量缺陷责任：</w:t>
      </w:r>
      <w:r>
        <w:rPr>
          <w:rFonts w:ascii="宋体" w:hAnsi="宋体"/>
          <w:sz w:val="24"/>
          <w:szCs w:val="24"/>
          <w:highlight w:val="none"/>
        </w:rPr>
        <w:t>在质量保证期过后</w:t>
      </w:r>
      <w:r>
        <w:rPr>
          <w:rFonts w:hint="eastAsia" w:ascii="宋体" w:hAnsi="宋体"/>
          <w:sz w:val="24"/>
          <w:szCs w:val="24"/>
          <w:highlight w:val="none"/>
        </w:rPr>
        <w:t>甲方</w:t>
      </w:r>
      <w:r>
        <w:rPr>
          <w:rFonts w:ascii="宋体" w:hAnsi="宋体"/>
          <w:sz w:val="24"/>
          <w:szCs w:val="24"/>
          <w:highlight w:val="none"/>
        </w:rPr>
        <w:t>发现的比如材质错误等原则性</w:t>
      </w:r>
      <w:r>
        <w:rPr>
          <w:rFonts w:hint="eastAsia" w:ascii="宋体" w:hAnsi="宋体"/>
          <w:sz w:val="24"/>
          <w:szCs w:val="24"/>
          <w:highlight w:val="none"/>
        </w:rPr>
        <w:t>产品质量缺陷</w:t>
      </w:r>
      <w:r>
        <w:rPr>
          <w:rFonts w:ascii="宋体" w:hAnsi="宋体"/>
          <w:sz w:val="24"/>
          <w:szCs w:val="24"/>
          <w:highlight w:val="none"/>
        </w:rPr>
        <w:t>问题，仍属于</w:t>
      </w:r>
      <w:r>
        <w:rPr>
          <w:rFonts w:hint="eastAsia" w:ascii="宋体" w:hAnsi="宋体"/>
          <w:sz w:val="24"/>
          <w:szCs w:val="24"/>
          <w:highlight w:val="none"/>
        </w:rPr>
        <w:t>乙方</w:t>
      </w:r>
      <w:r>
        <w:rPr>
          <w:rFonts w:ascii="宋体" w:hAnsi="宋体"/>
          <w:sz w:val="24"/>
          <w:szCs w:val="24"/>
          <w:highlight w:val="none"/>
        </w:rPr>
        <w:t>的</w:t>
      </w:r>
      <w:r>
        <w:rPr>
          <w:rFonts w:hint="eastAsia" w:ascii="宋体" w:hAnsi="宋体"/>
          <w:sz w:val="24"/>
          <w:szCs w:val="24"/>
          <w:highlight w:val="none"/>
        </w:rPr>
        <w:t>质量</w:t>
      </w:r>
      <w:r>
        <w:rPr>
          <w:rFonts w:ascii="宋体" w:hAnsi="宋体"/>
          <w:sz w:val="24"/>
          <w:szCs w:val="24"/>
          <w:highlight w:val="none"/>
        </w:rPr>
        <w:t>责任，</w:t>
      </w:r>
      <w:r>
        <w:rPr>
          <w:rFonts w:hint="eastAsia" w:ascii="宋体" w:hAnsi="宋体"/>
          <w:sz w:val="24"/>
          <w:szCs w:val="24"/>
          <w:highlight w:val="none"/>
        </w:rPr>
        <w:t>乙方</w:t>
      </w:r>
      <w:r>
        <w:rPr>
          <w:rFonts w:ascii="宋体" w:hAnsi="宋体"/>
          <w:sz w:val="24"/>
          <w:szCs w:val="24"/>
          <w:highlight w:val="none"/>
        </w:rPr>
        <w:t>仍需承担</w:t>
      </w:r>
      <w:r>
        <w:rPr>
          <w:rFonts w:hint="eastAsia" w:ascii="宋体" w:hAnsi="宋体"/>
          <w:sz w:val="24"/>
          <w:szCs w:val="24"/>
          <w:highlight w:val="none"/>
        </w:rPr>
        <w:t>相应责任</w:t>
      </w:r>
      <w:r>
        <w:rPr>
          <w:rFonts w:ascii="宋体" w:hAnsi="宋体"/>
          <w:sz w:val="24"/>
          <w:szCs w:val="24"/>
          <w:highlight w:val="none"/>
        </w:rPr>
        <w:t>，如该货物给</w:t>
      </w:r>
      <w:r>
        <w:rPr>
          <w:rFonts w:hint="eastAsia" w:ascii="宋体" w:hAnsi="宋体"/>
          <w:sz w:val="24"/>
          <w:szCs w:val="24"/>
          <w:highlight w:val="none"/>
        </w:rPr>
        <w:t>甲方</w:t>
      </w:r>
      <w:r>
        <w:rPr>
          <w:rFonts w:ascii="宋体" w:hAnsi="宋体"/>
          <w:sz w:val="24"/>
          <w:szCs w:val="24"/>
          <w:highlight w:val="none"/>
        </w:rPr>
        <w:t>或第三方造成损失的，</w:t>
      </w:r>
      <w:r>
        <w:rPr>
          <w:rFonts w:hint="eastAsia" w:ascii="宋体" w:hAnsi="宋体"/>
          <w:sz w:val="24"/>
          <w:szCs w:val="24"/>
          <w:highlight w:val="none"/>
        </w:rPr>
        <w:t>乙方</w:t>
      </w:r>
      <w:r>
        <w:rPr>
          <w:rFonts w:ascii="宋体" w:hAnsi="宋体"/>
          <w:sz w:val="24"/>
          <w:szCs w:val="24"/>
          <w:highlight w:val="none"/>
        </w:rPr>
        <w:t>还应承担赔偿责任。</w:t>
      </w:r>
    </w:p>
    <w:p w14:paraId="51D6B0A0">
      <w:pPr>
        <w:snapToGrid w:val="0"/>
        <w:spacing w:line="360" w:lineRule="auto"/>
        <w:jc w:val="center"/>
        <w:rPr>
          <w:rFonts w:ascii="宋体" w:hAnsi="宋体"/>
          <w:b/>
          <w:sz w:val="24"/>
          <w:szCs w:val="24"/>
          <w:highlight w:val="none"/>
        </w:rPr>
      </w:pPr>
      <w:r>
        <w:rPr>
          <w:rFonts w:hint="eastAsia" w:ascii="宋体" w:hAnsi="宋体"/>
          <w:b/>
          <w:sz w:val="24"/>
          <w:szCs w:val="24"/>
          <w:highlight w:val="none"/>
        </w:rPr>
        <w:t>八、 保密义务</w:t>
      </w:r>
    </w:p>
    <w:p w14:paraId="32FD45DB">
      <w:pPr>
        <w:snapToGrid w:val="0"/>
        <w:spacing w:line="360" w:lineRule="auto"/>
        <w:rPr>
          <w:rFonts w:ascii="宋体" w:hAnsi="宋体"/>
          <w:sz w:val="24"/>
          <w:szCs w:val="24"/>
          <w:highlight w:val="none"/>
        </w:rPr>
      </w:pPr>
      <w:r>
        <w:rPr>
          <w:rFonts w:hint="eastAsia" w:ascii="宋体" w:hAnsi="宋体"/>
          <w:sz w:val="24"/>
          <w:szCs w:val="24"/>
          <w:highlight w:val="none"/>
        </w:rPr>
        <w:t>乙方必须对本合同的所有资料保密，未经甲方同意，不得向第三方透露本合同资料相关内容，亦不得用于本合同之外的目的。</w:t>
      </w:r>
    </w:p>
    <w:p w14:paraId="59DFFC72">
      <w:pPr>
        <w:snapToGrid w:val="0"/>
        <w:spacing w:line="360" w:lineRule="auto"/>
        <w:jc w:val="center"/>
        <w:rPr>
          <w:rFonts w:ascii="宋体" w:hAnsi="宋体"/>
          <w:b/>
          <w:sz w:val="24"/>
          <w:szCs w:val="24"/>
          <w:highlight w:val="none"/>
        </w:rPr>
      </w:pPr>
      <w:r>
        <w:rPr>
          <w:rFonts w:hint="eastAsia" w:ascii="宋体" w:hAnsi="宋体"/>
          <w:b/>
          <w:sz w:val="24"/>
          <w:szCs w:val="24"/>
          <w:highlight w:val="none"/>
        </w:rPr>
        <w:t>九、违约责任</w:t>
      </w:r>
    </w:p>
    <w:p w14:paraId="6CD0E568">
      <w:pPr>
        <w:snapToGrid w:val="0"/>
        <w:spacing w:line="360" w:lineRule="auto"/>
        <w:rPr>
          <w:rFonts w:ascii="宋体" w:hAnsi="宋体"/>
          <w:sz w:val="24"/>
          <w:szCs w:val="24"/>
          <w:highlight w:val="none"/>
        </w:rPr>
      </w:pPr>
      <w:r>
        <w:rPr>
          <w:rFonts w:hint="eastAsia" w:ascii="宋体" w:hAnsi="宋体"/>
          <w:sz w:val="24"/>
          <w:szCs w:val="24"/>
          <w:highlight w:val="none"/>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6966102">
      <w:pPr>
        <w:spacing w:line="360" w:lineRule="auto"/>
        <w:rPr>
          <w:rFonts w:ascii="宋体" w:hAnsi="宋体"/>
          <w:sz w:val="24"/>
          <w:szCs w:val="24"/>
          <w:highlight w:val="none"/>
        </w:rPr>
      </w:pPr>
      <w:r>
        <w:rPr>
          <w:rFonts w:hint="eastAsia" w:ascii="宋体" w:hAnsi="宋体"/>
          <w:sz w:val="24"/>
          <w:szCs w:val="24"/>
          <w:highlight w:val="none"/>
        </w:rPr>
        <w:t>乙方逾期交货的，每日按照合同总额的</w:t>
      </w:r>
      <w:r>
        <w:rPr>
          <w:rFonts w:hint="eastAsia" w:ascii="宋体" w:hAnsi="宋体"/>
          <w:sz w:val="24"/>
          <w:szCs w:val="24"/>
          <w:highlight w:val="none"/>
          <w:u w:val="single"/>
        </w:rPr>
        <w:t>0.1</w:t>
      </w:r>
      <w:r>
        <w:rPr>
          <w:rFonts w:hint="eastAsia" w:ascii="宋体" w:hAnsi="宋体"/>
          <w:sz w:val="24"/>
          <w:szCs w:val="24"/>
          <w:highlight w:val="none"/>
        </w:rPr>
        <w:t>%向甲方支付违约金，逾期超过</w:t>
      </w:r>
      <w:r>
        <w:rPr>
          <w:rFonts w:hint="eastAsia" w:ascii="宋体" w:hAnsi="宋体"/>
          <w:sz w:val="24"/>
          <w:szCs w:val="24"/>
          <w:highlight w:val="none"/>
          <w:u w:val="single"/>
        </w:rPr>
        <w:t>30</w:t>
      </w:r>
      <w:r>
        <w:rPr>
          <w:rFonts w:hint="eastAsia" w:ascii="宋体" w:hAnsi="宋体"/>
          <w:sz w:val="24"/>
          <w:szCs w:val="24"/>
          <w:highlight w:val="none"/>
        </w:rPr>
        <w:t>日的，甲方有权解除合同，并要求乙方一次性支付合同总额</w:t>
      </w:r>
      <w:r>
        <w:rPr>
          <w:rFonts w:ascii="宋体" w:hAnsi="宋体"/>
          <w:sz w:val="24"/>
          <w:szCs w:val="24"/>
          <w:highlight w:val="none"/>
          <w:u w:val="single"/>
        </w:rPr>
        <w:t>2</w:t>
      </w:r>
      <w:r>
        <w:rPr>
          <w:rFonts w:hint="eastAsia" w:ascii="宋体" w:hAnsi="宋体"/>
          <w:sz w:val="24"/>
          <w:szCs w:val="24"/>
          <w:highlight w:val="none"/>
          <w:u w:val="single"/>
        </w:rPr>
        <w:t>0</w:t>
      </w:r>
      <w:r>
        <w:rPr>
          <w:rFonts w:hint="eastAsia" w:ascii="宋体" w:hAnsi="宋体"/>
          <w:sz w:val="24"/>
          <w:szCs w:val="24"/>
          <w:highlight w:val="none"/>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09489766">
      <w:pPr>
        <w:snapToGrid w:val="0"/>
        <w:spacing w:line="360" w:lineRule="auto"/>
        <w:rPr>
          <w:rFonts w:ascii="宋体" w:hAnsi="宋体"/>
          <w:sz w:val="24"/>
          <w:szCs w:val="24"/>
          <w:highlight w:val="none"/>
        </w:rPr>
      </w:pPr>
      <w:r>
        <w:rPr>
          <w:rFonts w:hint="eastAsia" w:ascii="宋体" w:hAnsi="宋体"/>
          <w:sz w:val="24"/>
          <w:szCs w:val="24"/>
          <w:highlight w:val="none"/>
        </w:rPr>
        <w:t>9.2如果由于乙方提供技术服务的延误，造成执行合同延误，每延误工期一日，乙方应向甲方支付合同总价0.1%的违约金。</w:t>
      </w:r>
    </w:p>
    <w:p w14:paraId="4BF2395C">
      <w:pPr>
        <w:snapToGrid w:val="0"/>
        <w:spacing w:line="360" w:lineRule="auto"/>
        <w:rPr>
          <w:rFonts w:ascii="宋体" w:hAnsi="宋体"/>
          <w:sz w:val="24"/>
          <w:szCs w:val="24"/>
          <w:highlight w:val="none"/>
        </w:rPr>
      </w:pPr>
      <w:r>
        <w:rPr>
          <w:rFonts w:hint="eastAsia" w:ascii="宋体" w:hAnsi="宋体"/>
          <w:sz w:val="24"/>
          <w:szCs w:val="24"/>
          <w:highlight w:val="none"/>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792DD2B">
      <w:pPr>
        <w:spacing w:line="360" w:lineRule="auto"/>
        <w:rPr>
          <w:rFonts w:ascii="宋体" w:hAnsi="宋体"/>
          <w:sz w:val="24"/>
          <w:szCs w:val="24"/>
          <w:highlight w:val="none"/>
        </w:rPr>
      </w:pPr>
      <w:r>
        <w:rPr>
          <w:rFonts w:hint="eastAsia" w:ascii="宋体" w:hAnsi="宋体"/>
          <w:sz w:val="24"/>
          <w:szCs w:val="24"/>
          <w:highlight w:val="none"/>
        </w:rPr>
        <w:t>9.4 甲方无故逾期付款的，按照全国银行间同业拆借中心公布的贷款市场报价利率支付利息。</w:t>
      </w:r>
    </w:p>
    <w:p w14:paraId="08406086">
      <w:pPr>
        <w:spacing w:line="360" w:lineRule="auto"/>
        <w:rPr>
          <w:rFonts w:ascii="宋体" w:hAnsi="宋体"/>
          <w:sz w:val="24"/>
          <w:szCs w:val="24"/>
          <w:highlight w:val="none"/>
        </w:rPr>
      </w:pPr>
      <w:r>
        <w:rPr>
          <w:rFonts w:hint="eastAsia" w:ascii="宋体" w:hAnsi="宋体"/>
          <w:sz w:val="24"/>
          <w:szCs w:val="24"/>
          <w:highlight w:val="none"/>
        </w:rPr>
        <w:t>9.5一方的违约行为给对方造成的损失超过本合同约定的违约金数额的，超出部分，违约方应予以赔偿。</w:t>
      </w:r>
    </w:p>
    <w:p w14:paraId="1F390783">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十、纠纷解决</w:t>
      </w:r>
    </w:p>
    <w:p w14:paraId="3F680BA6">
      <w:pPr>
        <w:snapToGrid w:val="0"/>
        <w:spacing w:line="360" w:lineRule="auto"/>
        <w:rPr>
          <w:rFonts w:ascii="宋体" w:hAnsi="宋体"/>
          <w:sz w:val="24"/>
          <w:szCs w:val="24"/>
          <w:highlight w:val="none"/>
        </w:rPr>
      </w:pPr>
      <w:r>
        <w:rPr>
          <w:rFonts w:hint="eastAsia" w:ascii="宋体" w:hAnsi="宋体"/>
          <w:sz w:val="24"/>
          <w:szCs w:val="24"/>
          <w:highlight w:val="none"/>
        </w:rPr>
        <w:t>10.1 本合同各方之间产生有关本合同的一切争议,应本着实事求是的原则友好协商解决。如仍达不成协议时,任何一方都可将这些争议提交给甲方所在地人民法院解决。</w:t>
      </w:r>
    </w:p>
    <w:p w14:paraId="129A2A38">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十一、其它</w:t>
      </w:r>
    </w:p>
    <w:p w14:paraId="3DF75328">
      <w:pPr>
        <w:snapToGrid w:val="0"/>
        <w:spacing w:line="360" w:lineRule="auto"/>
        <w:rPr>
          <w:rFonts w:ascii="宋体" w:hAnsi="宋体"/>
          <w:sz w:val="24"/>
          <w:szCs w:val="24"/>
          <w:highlight w:val="none"/>
        </w:rPr>
      </w:pPr>
      <w:r>
        <w:rPr>
          <w:rFonts w:hint="eastAsia" w:ascii="宋体" w:hAnsi="宋体"/>
          <w:sz w:val="24"/>
          <w:szCs w:val="24"/>
          <w:highlight w:val="none"/>
        </w:rPr>
        <w:t>11.1本合同未尽事宜，合同各方应本着实事求是友好协商的原则解决。</w:t>
      </w:r>
    </w:p>
    <w:p w14:paraId="4BDCB4F1">
      <w:pPr>
        <w:snapToGrid w:val="0"/>
        <w:spacing w:line="360" w:lineRule="auto"/>
        <w:rPr>
          <w:rFonts w:ascii="宋体" w:hAnsi="宋体"/>
          <w:sz w:val="24"/>
          <w:szCs w:val="24"/>
          <w:highlight w:val="none"/>
        </w:rPr>
      </w:pPr>
      <w:r>
        <w:rPr>
          <w:rFonts w:hint="eastAsia" w:ascii="宋体" w:hAnsi="宋体"/>
          <w:sz w:val="24"/>
          <w:szCs w:val="24"/>
          <w:highlight w:val="none"/>
        </w:rPr>
        <w:t>11.2合同签订后壹周内，乙方向甲方提供甲方工程设计所需的技术资料，（详见技术规格书）。</w:t>
      </w:r>
    </w:p>
    <w:p w14:paraId="6897D911">
      <w:pPr>
        <w:snapToGrid w:val="0"/>
        <w:spacing w:line="360" w:lineRule="auto"/>
        <w:rPr>
          <w:rFonts w:ascii="宋体" w:hAnsi="宋体"/>
          <w:sz w:val="24"/>
          <w:szCs w:val="24"/>
          <w:highlight w:val="none"/>
        </w:rPr>
      </w:pPr>
      <w:r>
        <w:rPr>
          <w:rFonts w:hint="eastAsia" w:ascii="宋体" w:hAnsi="宋体"/>
          <w:sz w:val="24"/>
          <w:szCs w:val="24"/>
          <w:highlight w:val="none"/>
        </w:rPr>
        <w:t>11.3技术规格书、技术要求同为本合同组成要件，具有法律效力。当各文件的内容发生抵触时，以时间在后文件的表述为准。</w:t>
      </w:r>
    </w:p>
    <w:p w14:paraId="0081817A">
      <w:pPr>
        <w:snapToGrid w:val="0"/>
        <w:spacing w:line="360" w:lineRule="auto"/>
        <w:rPr>
          <w:rFonts w:ascii="宋体" w:hAnsi="宋体"/>
          <w:sz w:val="24"/>
          <w:szCs w:val="24"/>
          <w:highlight w:val="none"/>
        </w:rPr>
      </w:pPr>
      <w:r>
        <w:rPr>
          <w:rFonts w:hint="eastAsia" w:ascii="宋体" w:hAnsi="宋体"/>
          <w:sz w:val="24"/>
          <w:szCs w:val="24"/>
          <w:highlight w:val="none"/>
        </w:rPr>
        <w:t>11.4本合同在执行过程中的修改、补充，凡经本合同各方同意，并形成正式文件，都可视为本合同的组成部分，并与本合同具有同等法律效力。</w:t>
      </w:r>
    </w:p>
    <w:p w14:paraId="54D34CD7">
      <w:pPr>
        <w:snapToGrid w:val="0"/>
        <w:spacing w:line="360" w:lineRule="auto"/>
        <w:rPr>
          <w:rFonts w:ascii="宋体" w:hAnsi="宋体"/>
          <w:sz w:val="24"/>
          <w:szCs w:val="24"/>
          <w:highlight w:val="none"/>
        </w:rPr>
      </w:pPr>
      <w:r>
        <w:rPr>
          <w:rFonts w:hint="eastAsia" w:ascii="宋体" w:hAnsi="宋体"/>
          <w:sz w:val="24"/>
          <w:szCs w:val="24"/>
          <w:highlight w:val="none"/>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0F79458">
      <w:pPr>
        <w:snapToGrid w:val="0"/>
        <w:spacing w:line="360" w:lineRule="auto"/>
        <w:rPr>
          <w:rFonts w:ascii="宋体" w:hAnsi="宋体"/>
          <w:sz w:val="24"/>
          <w:szCs w:val="24"/>
          <w:highlight w:val="none"/>
        </w:rPr>
      </w:pPr>
      <w:r>
        <w:rPr>
          <w:rFonts w:hint="eastAsia" w:ascii="宋体" w:hAnsi="宋体"/>
          <w:sz w:val="24"/>
          <w:szCs w:val="24"/>
          <w:highlight w:val="none"/>
        </w:rPr>
        <w:t>11.6本合同经各方签订后生效。本合同正本一式五份，甲方执三份，乙方执二份。</w:t>
      </w:r>
    </w:p>
    <w:p w14:paraId="18F7D7DC">
      <w:pPr>
        <w:snapToGrid w:val="0"/>
        <w:spacing w:line="360"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p>
    <w:p w14:paraId="0855D4E2">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w:t>
      </w:r>
      <w:r>
        <w:rPr>
          <w:rFonts w:hint="eastAsia"/>
          <w:i w:val="0"/>
          <w:iCs w:val="0"/>
          <w:sz w:val="24"/>
          <w:szCs w:val="24"/>
          <w:highlight w:val="none"/>
          <w:lang w:val="en-US" w:eastAsia="zh-CN"/>
        </w:rPr>
        <w:t>1</w:t>
      </w:r>
      <w:r>
        <w:rPr>
          <w:rFonts w:hint="eastAsia" w:ascii="宋体" w:hAnsi="宋体"/>
          <w:i w:val="0"/>
          <w:iCs w:val="0"/>
          <w:sz w:val="24"/>
          <w:szCs w:val="24"/>
          <w:highlight w:val="none"/>
          <w:lang w:val="en-US" w:eastAsia="zh-CN"/>
        </w:rPr>
        <w:t>、人员、车辆入厂安全管理协议</w:t>
      </w:r>
    </w:p>
    <w:p w14:paraId="45B101EF">
      <w:pPr>
        <w:pStyle w:val="50"/>
        <w:rPr>
          <w:rFonts w:hint="default" w:ascii="宋体" w:hAnsi="宋体"/>
          <w:i w:val="0"/>
          <w:iCs w:val="0"/>
          <w:sz w:val="24"/>
          <w:szCs w:val="24"/>
          <w:highlight w:val="none"/>
          <w:lang w:val="en-US" w:eastAsia="zh-CN"/>
        </w:rPr>
      </w:pPr>
    </w:p>
    <w:p w14:paraId="557D4101">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w:t>
      </w:r>
      <w:r>
        <w:rPr>
          <w:rFonts w:hint="eastAsia"/>
          <w:i w:val="0"/>
          <w:iCs w:val="0"/>
          <w:sz w:val="24"/>
          <w:szCs w:val="24"/>
          <w:highlight w:val="none"/>
          <w:lang w:val="en-US" w:eastAsia="zh-CN"/>
        </w:rPr>
        <w:t>2</w:t>
      </w:r>
      <w:r>
        <w:rPr>
          <w:rFonts w:hint="eastAsia" w:ascii="宋体" w:hAnsi="宋体"/>
          <w:i w:val="0"/>
          <w:iCs w:val="0"/>
          <w:sz w:val="24"/>
          <w:szCs w:val="24"/>
          <w:highlight w:val="none"/>
          <w:lang w:val="en-US" w:eastAsia="zh-CN"/>
        </w:rPr>
        <w:t>、技术协议</w:t>
      </w:r>
    </w:p>
    <w:p w14:paraId="3965D295">
      <w:pPr>
        <w:pStyle w:val="50"/>
        <w:rPr>
          <w:rFonts w:hint="eastAsia" w:ascii="宋体" w:hAnsi="宋体"/>
          <w:i w:val="0"/>
          <w:iCs w:val="0"/>
          <w:sz w:val="24"/>
          <w:szCs w:val="24"/>
          <w:highlight w:val="none"/>
          <w:lang w:val="en-US" w:eastAsia="zh-CN"/>
        </w:rPr>
      </w:pPr>
    </w:p>
    <w:p w14:paraId="14998302">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w:t>
      </w:r>
      <w:r>
        <w:rPr>
          <w:rFonts w:hint="eastAsia"/>
          <w:i w:val="0"/>
          <w:iCs w:val="0"/>
          <w:sz w:val="24"/>
          <w:szCs w:val="24"/>
          <w:highlight w:val="none"/>
          <w:lang w:val="en-US" w:eastAsia="zh-CN"/>
        </w:rPr>
        <w:t>3</w:t>
      </w:r>
      <w:r>
        <w:rPr>
          <w:rFonts w:hint="eastAsia" w:ascii="宋体" w:hAnsi="宋体"/>
          <w:i w:val="0"/>
          <w:iCs w:val="0"/>
          <w:sz w:val="24"/>
          <w:szCs w:val="24"/>
          <w:highlight w:val="none"/>
          <w:lang w:val="en-US" w:eastAsia="zh-CN"/>
        </w:rPr>
        <w:t>、报价清单</w:t>
      </w:r>
    </w:p>
    <w:p w14:paraId="42659A25">
      <w:pPr>
        <w:pStyle w:val="50"/>
        <w:rPr>
          <w:rFonts w:hint="eastAsia" w:ascii="宋体" w:hAnsi="宋体"/>
          <w:i w:val="0"/>
          <w:iCs w:val="0"/>
          <w:sz w:val="24"/>
          <w:szCs w:val="24"/>
          <w:highlight w:val="none"/>
          <w:lang w:val="en-US" w:eastAsia="zh-CN"/>
        </w:rPr>
      </w:pPr>
    </w:p>
    <w:p w14:paraId="52251147">
      <w:pPr>
        <w:pStyle w:val="50"/>
        <w:rPr>
          <w:rFonts w:hint="eastAsia" w:ascii="宋体" w:hAnsi="宋体"/>
          <w:i w:val="0"/>
          <w:iCs w:val="0"/>
          <w:sz w:val="24"/>
          <w:szCs w:val="24"/>
          <w:highlight w:val="none"/>
          <w:lang w:val="en-US" w:eastAsia="zh-CN"/>
        </w:rPr>
      </w:pPr>
    </w:p>
    <w:p w14:paraId="20B5440D">
      <w:pPr>
        <w:pStyle w:val="50"/>
        <w:rPr>
          <w:rFonts w:hint="eastAsia" w:ascii="宋体" w:hAnsi="宋体"/>
          <w:i w:val="0"/>
          <w:iCs w:val="0"/>
          <w:sz w:val="24"/>
          <w:szCs w:val="24"/>
          <w:highlight w:val="none"/>
          <w:lang w:val="en-US" w:eastAsia="zh-CN"/>
        </w:rPr>
      </w:pPr>
    </w:p>
    <w:p w14:paraId="7825584B">
      <w:pPr>
        <w:pStyle w:val="50"/>
        <w:rPr>
          <w:rFonts w:hint="eastAsia" w:ascii="宋体" w:hAnsi="宋体"/>
          <w:i w:val="0"/>
          <w:iCs w:val="0"/>
          <w:sz w:val="24"/>
          <w:szCs w:val="24"/>
          <w:highlight w:val="none"/>
          <w:lang w:val="en-US" w:eastAsia="zh-CN"/>
        </w:rPr>
      </w:pPr>
    </w:p>
    <w:p w14:paraId="669DAC4D">
      <w:pPr>
        <w:pStyle w:val="50"/>
        <w:rPr>
          <w:rFonts w:hint="eastAsia" w:ascii="宋体" w:hAnsi="宋体"/>
          <w:i w:val="0"/>
          <w:iCs w:val="0"/>
          <w:sz w:val="24"/>
          <w:szCs w:val="24"/>
          <w:highlight w:val="none"/>
          <w:lang w:val="en-US" w:eastAsia="zh-CN"/>
        </w:rPr>
      </w:pPr>
    </w:p>
    <w:p w14:paraId="646D9E00">
      <w:pPr>
        <w:pStyle w:val="50"/>
        <w:rPr>
          <w:rFonts w:hint="eastAsia" w:ascii="宋体" w:hAnsi="宋体"/>
          <w:i w:val="0"/>
          <w:iCs w:val="0"/>
          <w:sz w:val="24"/>
          <w:szCs w:val="24"/>
          <w:highlight w:val="none"/>
          <w:lang w:val="en-US" w:eastAsia="zh-CN"/>
        </w:rPr>
      </w:pPr>
    </w:p>
    <w:p w14:paraId="07C9AA29">
      <w:pPr>
        <w:pStyle w:val="50"/>
        <w:rPr>
          <w:rFonts w:hint="eastAsia" w:ascii="宋体" w:hAnsi="宋体"/>
          <w:i w:val="0"/>
          <w:iCs w:val="0"/>
          <w:sz w:val="24"/>
          <w:szCs w:val="24"/>
          <w:highlight w:val="none"/>
          <w:lang w:val="en-US" w:eastAsia="zh-CN"/>
        </w:rPr>
      </w:pPr>
    </w:p>
    <w:p w14:paraId="7F4F6372">
      <w:pPr>
        <w:pStyle w:val="50"/>
        <w:rPr>
          <w:rFonts w:hint="eastAsia" w:ascii="宋体" w:hAnsi="宋体"/>
          <w:i w:val="0"/>
          <w:iCs w:val="0"/>
          <w:sz w:val="24"/>
          <w:szCs w:val="24"/>
          <w:highlight w:val="none"/>
          <w:lang w:val="en-US" w:eastAsia="zh-CN"/>
        </w:rPr>
      </w:pPr>
    </w:p>
    <w:p w14:paraId="22E7B00C">
      <w:pPr>
        <w:pStyle w:val="50"/>
        <w:rPr>
          <w:rFonts w:hint="eastAsia" w:ascii="宋体" w:hAnsi="宋体"/>
          <w:i w:val="0"/>
          <w:iCs w:val="0"/>
          <w:sz w:val="24"/>
          <w:szCs w:val="24"/>
          <w:highlight w:val="none"/>
          <w:lang w:val="en-US" w:eastAsia="zh-CN"/>
        </w:rPr>
      </w:pPr>
    </w:p>
    <w:p w14:paraId="2F2DB4DC">
      <w:pPr>
        <w:pStyle w:val="50"/>
        <w:rPr>
          <w:rFonts w:hint="eastAsia" w:ascii="宋体" w:hAnsi="宋体"/>
          <w:i w:val="0"/>
          <w:iCs w:val="0"/>
          <w:sz w:val="24"/>
          <w:szCs w:val="24"/>
          <w:highlight w:val="none"/>
          <w:lang w:val="en-US" w:eastAsia="zh-CN"/>
        </w:rPr>
      </w:pPr>
    </w:p>
    <w:p w14:paraId="6657115E">
      <w:pPr>
        <w:pStyle w:val="50"/>
        <w:rPr>
          <w:rFonts w:hint="eastAsia" w:ascii="宋体" w:hAnsi="宋体"/>
          <w:i w:val="0"/>
          <w:iCs w:val="0"/>
          <w:sz w:val="24"/>
          <w:szCs w:val="24"/>
          <w:highlight w:val="none"/>
          <w:lang w:val="en-US" w:eastAsia="zh-CN"/>
        </w:rPr>
      </w:pPr>
    </w:p>
    <w:p w14:paraId="5846E878">
      <w:pPr>
        <w:pStyle w:val="50"/>
        <w:rPr>
          <w:rFonts w:hint="eastAsia" w:ascii="宋体" w:hAnsi="宋体"/>
          <w:sz w:val="24"/>
          <w:szCs w:val="24"/>
          <w:highlight w:val="none"/>
          <w:lang w:val="en-US" w:eastAsia="zh-CN"/>
        </w:rPr>
      </w:pPr>
    </w:p>
    <w:p w14:paraId="229CCE67">
      <w:pPr>
        <w:pStyle w:val="50"/>
        <w:rPr>
          <w:rFonts w:hint="eastAsia" w:ascii="宋体" w:hAnsi="宋体"/>
          <w:sz w:val="24"/>
          <w:szCs w:val="24"/>
          <w:highlight w:val="none"/>
          <w:lang w:val="en-US" w:eastAsia="zh-CN"/>
        </w:rPr>
      </w:pPr>
    </w:p>
    <w:p w14:paraId="2E787596">
      <w:pPr>
        <w:pStyle w:val="50"/>
        <w:rPr>
          <w:rFonts w:hint="eastAsia" w:ascii="宋体" w:hAnsi="宋体"/>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rPr>
                <w:rFonts w:ascii="宋体" w:hAnsi="宋体"/>
                <w:sz w:val="24"/>
                <w:szCs w:val="24"/>
                <w:highlight w:val="none"/>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rPr>
                <w:rFonts w:ascii="宋体" w:hAnsi="宋体"/>
                <w:sz w:val="24"/>
                <w:szCs w:val="24"/>
                <w:highlight w:val="none"/>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rPr>
                <w:rFonts w:ascii="宋体" w:hAnsi="宋体"/>
                <w:sz w:val="24"/>
                <w:szCs w:val="24"/>
                <w:highlight w:val="none"/>
              </w:rPr>
            </w:pPr>
            <w:r>
              <w:rPr>
                <w:rFonts w:hint="eastAsia" w:ascii="宋体" w:hAnsi="宋体"/>
                <w:sz w:val="24"/>
                <w:szCs w:val="24"/>
                <w:highlight w:val="none"/>
              </w:rPr>
              <w:t xml:space="preserve">地     址：       </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rPr>
                <w:rFonts w:ascii="宋体" w:hAnsi="宋体"/>
                <w:sz w:val="24"/>
                <w:szCs w:val="24"/>
                <w:highlight w:val="none"/>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rPr>
                <w:rFonts w:ascii="宋体" w:hAnsi="宋体"/>
                <w:sz w:val="24"/>
                <w:szCs w:val="24"/>
                <w:highlight w:val="none"/>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rPr>
                <w:rFonts w:ascii="宋体" w:hAnsi="宋体"/>
                <w:sz w:val="24"/>
                <w:szCs w:val="24"/>
                <w:highlight w:val="none"/>
              </w:rPr>
            </w:pPr>
            <w:r>
              <w:rPr>
                <w:rFonts w:hint="eastAsia" w:ascii="宋体" w:hAnsi="宋体"/>
                <w:sz w:val="24"/>
                <w:szCs w:val="24"/>
                <w:highlight w:val="none"/>
              </w:rPr>
              <w:t xml:space="preserve">电     话：      </w:t>
            </w:r>
          </w:p>
        </w:tc>
      </w:tr>
      <w:tr w14:paraId="12AE641A">
        <w:tblPrEx>
          <w:tblCellMar>
            <w:top w:w="0" w:type="dxa"/>
            <w:left w:w="108" w:type="dxa"/>
            <w:bottom w:w="0" w:type="dxa"/>
            <w:right w:w="108" w:type="dxa"/>
          </w:tblCellMar>
        </w:tblPrEx>
        <w:trPr>
          <w:trHeight w:val="510" w:hRule="atLeast"/>
        </w:trPr>
        <w:tc>
          <w:tcPr>
            <w:tcW w:w="4357" w:type="dxa"/>
            <w:noWrap/>
            <w:vAlign w:val="center"/>
          </w:tcPr>
          <w:p w14:paraId="351593F6">
            <w:pPr>
              <w:widowControl/>
              <w:rPr>
                <w:rFonts w:ascii="宋体" w:hAnsi="宋体"/>
                <w:sz w:val="24"/>
                <w:szCs w:val="24"/>
                <w:highlight w:val="none"/>
              </w:rPr>
            </w:pPr>
            <w:r>
              <w:rPr>
                <w:rFonts w:hint="eastAsia" w:ascii="宋体" w:hAnsi="宋体"/>
                <w:sz w:val="24"/>
                <w:szCs w:val="24"/>
                <w:highlight w:val="none"/>
              </w:rPr>
              <w:t xml:space="preserve">传     真：     </w:t>
            </w:r>
          </w:p>
        </w:tc>
        <w:tc>
          <w:tcPr>
            <w:tcW w:w="4543" w:type="dxa"/>
            <w:noWrap w:val="0"/>
            <w:vAlign w:val="center"/>
          </w:tcPr>
          <w:p w14:paraId="1AEDD4A0">
            <w:pPr>
              <w:ind w:left="248"/>
              <w:rPr>
                <w:rFonts w:ascii="宋体" w:hAnsi="宋体"/>
                <w:sz w:val="24"/>
                <w:szCs w:val="24"/>
                <w:highlight w:val="none"/>
              </w:rPr>
            </w:pPr>
            <w:r>
              <w:rPr>
                <w:rFonts w:hint="eastAsia" w:ascii="宋体" w:hAnsi="宋体"/>
                <w:sz w:val="24"/>
                <w:szCs w:val="24"/>
                <w:highlight w:val="none"/>
              </w:rPr>
              <w:t xml:space="preserve">传     真：      </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 xml:space="preserve">： </w:t>
            </w:r>
          </w:p>
        </w:tc>
      </w:tr>
    </w:tbl>
    <w:p w14:paraId="468D8682">
      <w:pPr>
        <w:rPr>
          <w:b/>
          <w:bCs/>
          <w:sz w:val="24"/>
          <w:szCs w:val="24"/>
          <w:highlight w:val="none"/>
        </w:rPr>
      </w:pPr>
    </w:p>
    <w:p w14:paraId="142B5595">
      <w:pPr>
        <w:pStyle w:val="49"/>
      </w:pPr>
    </w:p>
    <w:p w14:paraId="0D50B5C0">
      <w:pPr>
        <w:pStyle w:val="50"/>
      </w:pPr>
    </w:p>
    <w:p w14:paraId="5AB094B2">
      <w:pPr>
        <w:pStyle w:val="50"/>
      </w:pPr>
    </w:p>
    <w:p w14:paraId="5E0BFEB3">
      <w:pPr>
        <w:pStyle w:val="50"/>
      </w:pPr>
    </w:p>
    <w:p w14:paraId="2384FBC6">
      <w:pPr>
        <w:pStyle w:val="50"/>
      </w:pPr>
    </w:p>
    <w:p w14:paraId="555D7600">
      <w:pPr>
        <w:pStyle w:val="50"/>
      </w:pPr>
    </w:p>
    <w:p w14:paraId="37B65674">
      <w:pPr>
        <w:pStyle w:val="50"/>
      </w:pPr>
    </w:p>
    <w:p w14:paraId="37AE502A">
      <w:pPr>
        <w:pStyle w:val="50"/>
      </w:pPr>
    </w:p>
    <w:p w14:paraId="7D7A857B">
      <w:pPr>
        <w:pStyle w:val="50"/>
      </w:pPr>
    </w:p>
    <w:p w14:paraId="031F6B39">
      <w:pPr>
        <w:pStyle w:val="50"/>
      </w:pPr>
    </w:p>
    <w:p w14:paraId="348FFD09">
      <w:pPr>
        <w:pStyle w:val="50"/>
      </w:pPr>
    </w:p>
    <w:p w14:paraId="4BA34B26">
      <w:pPr>
        <w:pStyle w:val="50"/>
      </w:pPr>
    </w:p>
    <w:p w14:paraId="34A316B7">
      <w:pPr>
        <w:pStyle w:val="50"/>
      </w:pPr>
    </w:p>
    <w:p w14:paraId="1CBA106D">
      <w:pPr>
        <w:pStyle w:val="50"/>
      </w:pPr>
    </w:p>
    <w:p w14:paraId="2529282A">
      <w:pPr>
        <w:pStyle w:val="50"/>
      </w:pPr>
    </w:p>
    <w:p w14:paraId="5A31D00A">
      <w:pPr>
        <w:pStyle w:val="50"/>
      </w:pPr>
    </w:p>
    <w:p w14:paraId="5CBB4505">
      <w:pPr>
        <w:pStyle w:val="50"/>
      </w:pPr>
    </w:p>
    <w:p w14:paraId="19C0B94D">
      <w:pPr>
        <w:pStyle w:val="50"/>
      </w:pPr>
    </w:p>
    <w:p w14:paraId="6631ABB8">
      <w:pPr>
        <w:pStyle w:val="50"/>
      </w:pPr>
    </w:p>
    <w:p w14:paraId="6C6B8E80">
      <w:pPr>
        <w:pStyle w:val="50"/>
      </w:pPr>
    </w:p>
    <w:p w14:paraId="30361695">
      <w:pPr>
        <w:pStyle w:val="50"/>
      </w:pPr>
    </w:p>
    <w:p w14:paraId="77100CE8">
      <w:pPr>
        <w:pStyle w:val="50"/>
      </w:pPr>
    </w:p>
    <w:p w14:paraId="62E3965A">
      <w:pPr>
        <w:pStyle w:val="50"/>
      </w:pPr>
    </w:p>
    <w:p w14:paraId="23F50B23">
      <w:pPr>
        <w:pStyle w:val="50"/>
      </w:pPr>
    </w:p>
    <w:p w14:paraId="702F1C3A">
      <w:pPr>
        <w:pStyle w:val="50"/>
      </w:pPr>
    </w:p>
    <w:p w14:paraId="3F7B83AB">
      <w:pPr>
        <w:pStyle w:val="50"/>
      </w:pPr>
    </w:p>
    <w:p w14:paraId="323A6509">
      <w:pPr>
        <w:pStyle w:val="50"/>
      </w:pPr>
    </w:p>
    <w:p w14:paraId="0DA939DD">
      <w:pPr>
        <w:pStyle w:val="50"/>
      </w:pPr>
    </w:p>
    <w:p w14:paraId="065BB40B">
      <w:pPr>
        <w:jc w:val="center"/>
        <w:rPr>
          <w:rFonts w:hint="eastAsia" w:ascii="宋体" w:hAnsi="宋体"/>
          <w:bCs/>
          <w:szCs w:val="21"/>
          <w:highlight w:val="none"/>
        </w:rPr>
      </w:pPr>
    </w:p>
    <w:p w14:paraId="59A95A35">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bCs/>
          <w:szCs w:val="21"/>
          <w:highlight w:val="none"/>
          <w:u w:val="single"/>
          <w:lang w:val="en-US" w:eastAsia="zh-CN"/>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9"/>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10"/>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10"/>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10"/>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10"/>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10"/>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9"/>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1"/>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1"/>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1"/>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1"/>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1"/>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1"/>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9"/>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2"/>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D5FC75">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6FB98109">
      <w:pPr>
        <w:spacing w:line="276" w:lineRule="auto"/>
        <w:ind w:left="-526" w:leftChars="-239" w:firstLine="464" w:firstLineChars="211"/>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1</w:t>
      </w:r>
      <w:r>
        <w:rPr>
          <w:rFonts w:hint="eastAsia"/>
          <w:szCs w:val="21"/>
          <w:highlight w:val="none"/>
        </w:rPr>
        <w:t xml:space="preserve">月  日     </w:t>
      </w:r>
    </w:p>
    <w:p w14:paraId="1C0AE297">
      <w:pPr>
        <w:pStyle w:val="4"/>
      </w:pPr>
    </w:p>
    <w:p w14:paraId="09CFE543">
      <w:pPr>
        <w:pStyle w:val="4"/>
      </w:pPr>
    </w:p>
    <w:p w14:paraId="7E3045B3">
      <w:pPr>
        <w:pStyle w:val="4"/>
        <w:rPr>
          <w:rFonts w:hint="eastAsia"/>
          <w:b/>
          <w:bCs/>
          <w:sz w:val="24"/>
          <w:szCs w:val="24"/>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E35F528">
      <w:pPr>
        <w:pStyle w:val="28"/>
        <w:spacing w:line="615"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渣油加氢装置螺旋板换热器高压射流清洗装备采购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0FC7527A">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1</w:t>
      </w:r>
      <w:r>
        <w:rPr>
          <w:rFonts w:ascii="Times New Roman" w:hAnsi="Times New Roman"/>
          <w:b/>
          <w:bCs/>
          <w:color w:val="FF0000"/>
          <w:w w:val="95"/>
          <w:sz w:val="32"/>
          <w:lang w:eastAsia="zh-CN"/>
        </w:rPr>
        <w:t>月</w:t>
      </w:r>
    </w:p>
    <w:p w14:paraId="53D34211">
      <w:pPr>
        <w:rPr>
          <w:lang w:eastAsia="zh-CN"/>
        </w:rPr>
      </w:pPr>
    </w:p>
    <w:p w14:paraId="6A9A7A9D">
      <w:pPr>
        <w:pStyle w:val="4"/>
      </w:pPr>
    </w:p>
    <w:p w14:paraId="435EBD37">
      <w:pPr>
        <w:pStyle w:val="4"/>
      </w:pPr>
    </w:p>
    <w:p w14:paraId="248DBB34">
      <w:pPr>
        <w:pStyle w:val="4"/>
      </w:pPr>
    </w:p>
    <w:p w14:paraId="5F621FF8">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5584E937">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3.提交参比文件时提供两个包装，商务参比文件（报价单）一个包装、技术参比文件一个包装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6F3D19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32BBD22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6A796B7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4F1CC3DE">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75C66B0E">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5805E0E9">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749228FA">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63AF2F6">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3E878FD3">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1A55DED">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1D92FD5B">
      <w:pPr>
        <w:rPr>
          <w:szCs w:val="21"/>
          <w:lang w:eastAsia="zh-CN"/>
        </w:rPr>
      </w:pPr>
    </w:p>
    <w:p w14:paraId="2B0E6081">
      <w:pPr>
        <w:rPr>
          <w:szCs w:val="21"/>
          <w:lang w:eastAsia="zh-CN"/>
        </w:rPr>
      </w:pPr>
    </w:p>
    <w:p w14:paraId="61990389">
      <w:pPr>
        <w:rPr>
          <w:szCs w:val="21"/>
          <w:lang w:eastAsia="zh-CN"/>
        </w:rPr>
      </w:pPr>
    </w:p>
    <w:p w14:paraId="46299455">
      <w:pPr>
        <w:rPr>
          <w:szCs w:val="21"/>
          <w:lang w:eastAsia="zh-CN"/>
        </w:rPr>
      </w:pPr>
    </w:p>
    <w:p w14:paraId="442C5A7E">
      <w:pPr>
        <w:rPr>
          <w:szCs w:val="21"/>
          <w:lang w:eastAsia="zh-CN"/>
        </w:rPr>
      </w:pPr>
    </w:p>
    <w:p w14:paraId="749876E7">
      <w:pPr>
        <w:rPr>
          <w:szCs w:val="21"/>
          <w:lang w:eastAsia="zh-CN"/>
        </w:rPr>
      </w:pPr>
    </w:p>
    <w:p w14:paraId="181661AC">
      <w:pPr>
        <w:rPr>
          <w:szCs w:val="21"/>
          <w:lang w:eastAsia="zh-CN"/>
        </w:rPr>
      </w:pPr>
    </w:p>
    <w:p w14:paraId="2DADD0BD">
      <w:pPr>
        <w:pStyle w:val="77"/>
        <w:spacing w:beforeLines="0" w:afterLines="0" w:line="240" w:lineRule="auto"/>
        <w:ind w:firstLine="618" w:firstLineChars="221"/>
        <w:rPr>
          <w:rFonts w:cs="Times New Roman"/>
          <w:bCs w:val="0"/>
          <w:color w:val="C00000"/>
          <w:lang w:eastAsia="zh-CN"/>
        </w:rPr>
      </w:pPr>
    </w:p>
    <w:p w14:paraId="002DA08E">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71751C68">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34CFC429">
      <w:pPr>
        <w:rPr>
          <w:szCs w:val="21"/>
          <w:lang w:eastAsia="zh-CN"/>
        </w:rPr>
      </w:pPr>
    </w:p>
    <w:p w14:paraId="21A51CDB">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sz w:val="24"/>
                <w:lang w:eastAsia="zh-CN"/>
              </w:rPr>
            </w:pPr>
            <w:r>
              <w:rPr>
                <w:rFonts w:hint="eastAsia"/>
                <w:sz w:val="24"/>
                <w:szCs w:val="28"/>
              </w:rPr>
              <w:t>业绩</w:t>
            </w:r>
            <w:r>
              <w:rPr>
                <w:rFonts w:hint="eastAsia"/>
                <w:sz w:val="24"/>
                <w:szCs w:val="28"/>
                <w:lang w:val="en-US" w:eastAsia="zh-CN"/>
              </w:rPr>
              <w:t>清单及证明文件</w:t>
            </w:r>
          </w:p>
        </w:tc>
        <w:tc>
          <w:tcPr>
            <w:tcW w:w="1843" w:type="dxa"/>
          </w:tcPr>
          <w:p w14:paraId="58770EBD">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eastAsia="zh-CN"/>
              </w:rPr>
              <w:t>8</w:t>
            </w:r>
          </w:p>
        </w:tc>
        <w:tc>
          <w:tcPr>
            <w:tcW w:w="6023" w:type="dxa"/>
          </w:tcPr>
          <w:p w14:paraId="6C26E074">
            <w:pPr>
              <w:spacing w:line="500" w:lineRule="exact"/>
              <w:rPr>
                <w:rFonts w:hint="default"/>
                <w:sz w:val="24"/>
                <w:lang w:val="en-US" w:eastAsia="zh-CN"/>
              </w:rPr>
            </w:pPr>
            <w:r>
              <w:rPr>
                <w:rFonts w:hint="eastAsia"/>
                <w:sz w:val="24"/>
                <w:lang w:val="en-US" w:eastAsia="zh-CN"/>
              </w:rPr>
              <w:t>技术协议</w:t>
            </w:r>
          </w:p>
        </w:tc>
        <w:tc>
          <w:tcPr>
            <w:tcW w:w="1843" w:type="dxa"/>
          </w:tcPr>
          <w:p w14:paraId="2A7DA13A">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9</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r>
              <w:rPr>
                <w:sz w:val="24"/>
              </w:rPr>
              <w:t>商务</w:t>
            </w:r>
            <w:r>
              <w:rPr>
                <w:rFonts w:hint="eastAsia"/>
                <w:sz w:val="24"/>
                <w:lang w:eastAsia="zh-CN"/>
              </w:rPr>
              <w:t>参比</w:t>
            </w:r>
            <w:r>
              <w:rPr>
                <w:sz w:val="24"/>
              </w:rPr>
              <w:t>文件</w:t>
            </w: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0D966427">
      <w:pPr>
        <w:pStyle w:val="4"/>
      </w:pPr>
    </w:p>
    <w:p w14:paraId="0C63721E">
      <w:pPr>
        <w:pStyle w:val="4"/>
      </w:pPr>
    </w:p>
    <w:p w14:paraId="2E75E908">
      <w:pPr>
        <w:pStyle w:val="4"/>
      </w:pPr>
    </w:p>
    <w:p w14:paraId="234CCF5A">
      <w:pPr>
        <w:pStyle w:val="4"/>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w:t>
      </w:r>
      <w:r>
        <w:rPr>
          <w:rFonts w:hint="eastAsia"/>
          <w:sz w:val="24"/>
          <w:lang w:val="en-US" w:eastAsia="zh-CN"/>
        </w:rPr>
        <w:t>福建福海创石油化工有限公司</w:t>
      </w:r>
      <w:r>
        <w:rPr>
          <w:rFonts w:hint="eastAsia"/>
          <w:sz w:val="24"/>
          <w:lang w:eastAsia="zh-CN"/>
        </w:rPr>
        <w:t>渣油加氢装置螺旋板换热器高压射流清洗装备采购公开询比活动，以本公司名义参与报价、合同执行并处理与之有关的其他事务，相关责任及后果由本公司承担。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3E639D39">
      <w:pPr>
        <w:pStyle w:val="4"/>
        <w:jc w:val="center"/>
        <w:rPr>
          <w:rFonts w:ascii="Times New Roman" w:hAnsi="Times New Roman"/>
          <w:b/>
          <w:bCs/>
          <w:kern w:val="2"/>
          <w:sz w:val="36"/>
          <w:szCs w:val="36"/>
        </w:rPr>
      </w:pPr>
      <w:r>
        <w:rPr>
          <w:rFonts w:hint="eastAsia" w:ascii="Times New Roman" w:hAnsi="Times New Roman"/>
          <w:b/>
          <w:bCs/>
          <w:kern w:val="2"/>
          <w:sz w:val="36"/>
          <w:szCs w:val="36"/>
        </w:rPr>
        <w:t>业绩</w:t>
      </w:r>
      <w:r>
        <w:rPr>
          <w:rFonts w:hint="eastAsia" w:ascii="Times New Roman" w:hAnsi="Times New Roman"/>
          <w:b/>
          <w:bCs/>
          <w:kern w:val="2"/>
          <w:sz w:val="36"/>
          <w:szCs w:val="36"/>
          <w:lang w:val="en-US" w:eastAsia="zh-CN"/>
        </w:rPr>
        <w:t>清单及</w:t>
      </w:r>
      <w:r>
        <w:rPr>
          <w:rFonts w:hint="eastAsia" w:ascii="Times New Roman" w:hAnsi="Times New Roman"/>
          <w:b/>
          <w:bCs/>
          <w:kern w:val="2"/>
          <w:sz w:val="36"/>
          <w:szCs w:val="36"/>
        </w:rPr>
        <w:t>证明</w:t>
      </w:r>
    </w:p>
    <w:p w14:paraId="0E936ED3">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490F4355">
      <w:pPr>
        <w:pStyle w:val="77"/>
        <w:spacing w:beforeLines="0" w:afterLines="0" w:line="240" w:lineRule="auto"/>
        <w:rPr>
          <w:rFonts w:cs="Times New Roman"/>
          <w:bCs w:val="0"/>
          <w:color w:val="4E6127"/>
          <w:lang w:eastAsia="zh-CN"/>
        </w:rPr>
      </w:pPr>
    </w:p>
    <w:p w14:paraId="6996F3EF">
      <w:pPr>
        <w:pStyle w:val="77"/>
        <w:spacing w:beforeLines="0" w:afterLines="0" w:line="240" w:lineRule="auto"/>
        <w:rPr>
          <w:rFonts w:cs="Times New Roman"/>
          <w:bCs w:val="0"/>
          <w:lang w:eastAsia="zh-CN"/>
        </w:rPr>
      </w:pPr>
    </w:p>
    <w:p w14:paraId="5F1912C8">
      <w:pPr>
        <w:pStyle w:val="77"/>
        <w:spacing w:beforeLines="0" w:afterLines="0" w:line="240" w:lineRule="auto"/>
        <w:rPr>
          <w:rFonts w:cs="Times New Roman"/>
          <w:bCs w:val="0"/>
          <w:lang w:eastAsia="zh-CN"/>
        </w:rPr>
      </w:pPr>
    </w:p>
    <w:p w14:paraId="5FF25F44">
      <w:pPr>
        <w:pStyle w:val="77"/>
        <w:spacing w:beforeLines="0" w:afterLines="0" w:line="240" w:lineRule="auto"/>
        <w:rPr>
          <w:rFonts w:cs="Times New Roman"/>
          <w:bCs w:val="0"/>
          <w:lang w:eastAsia="zh-CN"/>
        </w:rPr>
      </w:pPr>
    </w:p>
    <w:p w14:paraId="703DA105">
      <w:pPr>
        <w:pStyle w:val="77"/>
        <w:spacing w:beforeLines="0" w:afterLines="0" w:line="240" w:lineRule="auto"/>
        <w:rPr>
          <w:rFonts w:cs="Times New Roman"/>
          <w:bCs w:val="0"/>
          <w:lang w:eastAsia="zh-CN"/>
        </w:rPr>
      </w:pPr>
    </w:p>
    <w:p w14:paraId="07573D8C">
      <w:pPr>
        <w:pStyle w:val="77"/>
        <w:spacing w:beforeLines="0" w:afterLines="0" w:line="240" w:lineRule="auto"/>
        <w:rPr>
          <w:rFonts w:cs="Times New Roman"/>
          <w:bCs w:val="0"/>
          <w:lang w:eastAsia="zh-CN"/>
        </w:rPr>
      </w:pPr>
    </w:p>
    <w:p w14:paraId="38E0D9BC">
      <w:pPr>
        <w:pStyle w:val="77"/>
        <w:spacing w:beforeLines="0" w:afterLines="0" w:line="240" w:lineRule="auto"/>
        <w:rPr>
          <w:rFonts w:cs="Times New Roman"/>
          <w:bCs w:val="0"/>
          <w:lang w:eastAsia="zh-CN"/>
        </w:rPr>
      </w:pPr>
    </w:p>
    <w:p w14:paraId="250DCBC7">
      <w:pPr>
        <w:pStyle w:val="77"/>
        <w:spacing w:beforeLines="0" w:afterLines="0" w:line="240" w:lineRule="auto"/>
        <w:rPr>
          <w:rFonts w:cs="Times New Roman"/>
          <w:bCs w:val="0"/>
          <w:lang w:eastAsia="zh-CN"/>
        </w:rPr>
      </w:pPr>
    </w:p>
    <w:p w14:paraId="1D4F59E7">
      <w:pPr>
        <w:pStyle w:val="77"/>
        <w:spacing w:beforeLines="0" w:afterLines="0" w:line="240" w:lineRule="auto"/>
        <w:rPr>
          <w:rFonts w:cs="Times New Roman"/>
          <w:bCs w:val="0"/>
          <w:lang w:eastAsia="zh-CN"/>
        </w:rPr>
      </w:pPr>
    </w:p>
    <w:p w14:paraId="0838A6C6">
      <w:pPr>
        <w:pStyle w:val="77"/>
        <w:spacing w:beforeLines="0" w:afterLines="0" w:line="240" w:lineRule="auto"/>
        <w:rPr>
          <w:rFonts w:cs="Times New Roman"/>
          <w:bCs w:val="0"/>
          <w:lang w:eastAsia="zh-CN"/>
        </w:rPr>
      </w:pPr>
    </w:p>
    <w:p w14:paraId="0062A1B9">
      <w:pPr>
        <w:pStyle w:val="77"/>
        <w:spacing w:beforeLines="0" w:afterLines="0" w:line="240" w:lineRule="auto"/>
        <w:rPr>
          <w:rFonts w:cs="Times New Roman"/>
          <w:bCs w:val="0"/>
          <w:lang w:eastAsia="zh-CN"/>
        </w:rPr>
      </w:pPr>
    </w:p>
    <w:p w14:paraId="62E2D4A0">
      <w:pPr>
        <w:pStyle w:val="77"/>
        <w:spacing w:beforeLines="0" w:afterLines="0" w:line="240" w:lineRule="auto"/>
        <w:rPr>
          <w:rFonts w:cs="Times New Roman"/>
          <w:bCs w:val="0"/>
          <w:lang w:eastAsia="zh-CN"/>
        </w:rPr>
      </w:pPr>
    </w:p>
    <w:p w14:paraId="3303F497">
      <w:pPr>
        <w:pStyle w:val="77"/>
        <w:spacing w:beforeLines="0" w:afterLines="0" w:line="240" w:lineRule="auto"/>
        <w:rPr>
          <w:rFonts w:cs="Times New Roman"/>
          <w:bCs w:val="0"/>
          <w:lang w:eastAsia="zh-CN"/>
        </w:rPr>
      </w:pPr>
    </w:p>
    <w:p w14:paraId="39CB0D63">
      <w:pPr>
        <w:pStyle w:val="77"/>
        <w:spacing w:beforeLines="0" w:afterLines="0" w:line="240" w:lineRule="auto"/>
        <w:rPr>
          <w:rFonts w:cs="Times New Roman"/>
          <w:bCs w:val="0"/>
          <w:lang w:eastAsia="zh-CN"/>
        </w:rPr>
      </w:pPr>
    </w:p>
    <w:p w14:paraId="3DCD6236">
      <w:pPr>
        <w:pStyle w:val="77"/>
        <w:spacing w:beforeLines="0" w:afterLines="0" w:line="240" w:lineRule="auto"/>
        <w:rPr>
          <w:rFonts w:cs="Times New Roman"/>
          <w:bCs w:val="0"/>
          <w:lang w:eastAsia="zh-CN"/>
        </w:rPr>
      </w:pPr>
    </w:p>
    <w:p w14:paraId="0B3D83E4">
      <w:pPr>
        <w:pStyle w:val="77"/>
        <w:spacing w:beforeLines="0" w:afterLines="0" w:line="240" w:lineRule="auto"/>
        <w:rPr>
          <w:rFonts w:cs="Times New Roman"/>
          <w:bCs w:val="0"/>
          <w:lang w:eastAsia="zh-CN"/>
        </w:rPr>
      </w:pPr>
    </w:p>
    <w:p w14:paraId="51F9863D">
      <w:pPr>
        <w:pStyle w:val="77"/>
        <w:spacing w:beforeLines="0" w:afterLines="0" w:line="240" w:lineRule="auto"/>
        <w:rPr>
          <w:rFonts w:cs="Times New Roman"/>
          <w:bCs w:val="0"/>
          <w:lang w:eastAsia="zh-CN"/>
        </w:rPr>
      </w:pPr>
    </w:p>
    <w:p w14:paraId="6C9FA5C7">
      <w:pPr>
        <w:pStyle w:val="77"/>
        <w:spacing w:beforeLines="0" w:afterLines="0" w:line="240" w:lineRule="auto"/>
        <w:rPr>
          <w:rFonts w:cs="Times New Roman"/>
          <w:bCs w:val="0"/>
          <w:lang w:eastAsia="zh-CN"/>
        </w:rPr>
      </w:pPr>
    </w:p>
    <w:p w14:paraId="43A7B868">
      <w:pPr>
        <w:pStyle w:val="77"/>
        <w:spacing w:beforeLines="0" w:afterLines="0" w:line="240" w:lineRule="auto"/>
        <w:rPr>
          <w:rFonts w:cs="Times New Roman"/>
          <w:bCs w:val="0"/>
          <w:lang w:eastAsia="zh-CN"/>
        </w:rPr>
      </w:pPr>
    </w:p>
    <w:p w14:paraId="145A4407">
      <w:pPr>
        <w:pStyle w:val="77"/>
        <w:spacing w:beforeLines="0" w:afterLines="0" w:line="240" w:lineRule="auto"/>
        <w:rPr>
          <w:rFonts w:cs="Times New Roman"/>
          <w:bCs w:val="0"/>
          <w:lang w:eastAsia="zh-CN"/>
        </w:rPr>
      </w:pPr>
    </w:p>
    <w:p w14:paraId="65F076A4">
      <w:pPr>
        <w:pStyle w:val="77"/>
        <w:spacing w:beforeLines="0" w:afterLines="0" w:line="240" w:lineRule="auto"/>
        <w:rPr>
          <w:rFonts w:cs="Times New Roman"/>
          <w:bCs w:val="0"/>
          <w:lang w:eastAsia="zh-CN"/>
        </w:rPr>
      </w:pPr>
    </w:p>
    <w:p w14:paraId="550450F6">
      <w:pPr>
        <w:pStyle w:val="77"/>
        <w:spacing w:beforeLines="0" w:afterLines="0" w:line="240" w:lineRule="auto"/>
        <w:rPr>
          <w:rFonts w:cs="Times New Roman"/>
          <w:bCs w:val="0"/>
          <w:lang w:eastAsia="zh-CN"/>
        </w:rPr>
      </w:pPr>
    </w:p>
    <w:p w14:paraId="7E115ECB">
      <w:pPr>
        <w:pStyle w:val="77"/>
        <w:spacing w:beforeLines="0" w:afterLines="0" w:line="240" w:lineRule="auto"/>
        <w:jc w:val="center"/>
        <w:rPr>
          <w:rFonts w:hint="default" w:eastAsia="宋体" w:cs="Times New Roman"/>
          <w:bCs w:val="0"/>
          <w:lang w:val="en-US" w:eastAsia="zh-CN"/>
        </w:rPr>
      </w:pPr>
      <w:r>
        <w:rPr>
          <w:rFonts w:hint="eastAsia" w:ascii="Times New Roman" w:hAnsi="Times New Roman"/>
          <w:b/>
          <w:bCs/>
          <w:kern w:val="2"/>
          <w:sz w:val="36"/>
          <w:szCs w:val="36"/>
          <w:lang w:val="en-US" w:eastAsia="zh-CN"/>
        </w:rPr>
        <w:t>技术协议</w:t>
      </w:r>
    </w:p>
    <w:p w14:paraId="7B6E7BB1">
      <w:pPr>
        <w:pStyle w:val="77"/>
        <w:spacing w:beforeLines="0" w:afterLines="0" w:line="240" w:lineRule="auto"/>
        <w:rPr>
          <w:rFonts w:cs="Times New Roman"/>
          <w:bCs w:val="0"/>
          <w:lang w:eastAsia="zh-CN"/>
        </w:rPr>
      </w:pPr>
    </w:p>
    <w:p w14:paraId="588C2F82">
      <w:pPr>
        <w:pStyle w:val="77"/>
        <w:spacing w:beforeLines="0" w:afterLines="0" w:line="240" w:lineRule="auto"/>
        <w:rPr>
          <w:rFonts w:cs="Times New Roman"/>
          <w:bCs w:val="0"/>
          <w:lang w:eastAsia="zh-CN"/>
        </w:rPr>
      </w:pPr>
    </w:p>
    <w:p w14:paraId="150771F6">
      <w:pPr>
        <w:pStyle w:val="77"/>
        <w:spacing w:beforeLines="0" w:afterLines="0" w:line="240" w:lineRule="auto"/>
        <w:rPr>
          <w:rFonts w:cs="Times New Roman"/>
          <w:bCs w:val="0"/>
          <w:lang w:eastAsia="zh-CN"/>
        </w:rPr>
      </w:pPr>
    </w:p>
    <w:p w14:paraId="59AB94C6">
      <w:pPr>
        <w:pStyle w:val="77"/>
        <w:spacing w:beforeLines="0" w:afterLines="0" w:line="240" w:lineRule="auto"/>
        <w:rPr>
          <w:rFonts w:cs="Times New Roman"/>
          <w:bCs w:val="0"/>
          <w:lang w:eastAsia="zh-CN"/>
        </w:rPr>
      </w:pPr>
    </w:p>
    <w:p w14:paraId="267768CA">
      <w:pPr>
        <w:pStyle w:val="77"/>
        <w:spacing w:beforeLines="0" w:afterLines="0" w:line="240" w:lineRule="auto"/>
        <w:rPr>
          <w:rFonts w:cs="Times New Roman"/>
          <w:bCs w:val="0"/>
          <w:lang w:eastAsia="zh-CN"/>
        </w:rPr>
      </w:pPr>
    </w:p>
    <w:p w14:paraId="4DFBE6B2">
      <w:pPr>
        <w:pStyle w:val="77"/>
        <w:spacing w:beforeLines="0" w:afterLines="0" w:line="240" w:lineRule="auto"/>
        <w:rPr>
          <w:rFonts w:cs="Times New Roman"/>
          <w:bCs w:val="0"/>
          <w:lang w:eastAsia="zh-CN"/>
        </w:rPr>
      </w:pPr>
    </w:p>
    <w:p w14:paraId="53CE2849">
      <w:pPr>
        <w:pStyle w:val="77"/>
        <w:spacing w:beforeLines="0" w:afterLines="0" w:line="240" w:lineRule="auto"/>
        <w:rPr>
          <w:rFonts w:cs="Times New Roman"/>
          <w:bCs w:val="0"/>
          <w:lang w:eastAsia="zh-CN"/>
        </w:rPr>
      </w:pPr>
    </w:p>
    <w:p w14:paraId="26EC4865">
      <w:pPr>
        <w:pStyle w:val="77"/>
        <w:spacing w:beforeLines="0" w:afterLines="0" w:line="240" w:lineRule="auto"/>
        <w:rPr>
          <w:rFonts w:cs="Times New Roman"/>
          <w:bCs w:val="0"/>
          <w:lang w:eastAsia="zh-CN"/>
        </w:rPr>
      </w:pPr>
    </w:p>
    <w:p w14:paraId="51A2164B">
      <w:pPr>
        <w:pStyle w:val="77"/>
        <w:spacing w:beforeLines="0" w:afterLines="0" w:line="240" w:lineRule="auto"/>
        <w:rPr>
          <w:rFonts w:cs="Times New Roman"/>
          <w:bCs w:val="0"/>
          <w:lang w:eastAsia="zh-CN"/>
        </w:rPr>
      </w:pPr>
    </w:p>
    <w:p w14:paraId="523E1FA6">
      <w:pPr>
        <w:pStyle w:val="77"/>
        <w:spacing w:beforeLines="0" w:afterLines="0" w:line="240" w:lineRule="auto"/>
        <w:rPr>
          <w:rFonts w:cs="Times New Roman"/>
          <w:bCs w:val="0"/>
          <w:lang w:eastAsia="zh-CN"/>
        </w:rPr>
      </w:pPr>
    </w:p>
    <w:p w14:paraId="34510C6E">
      <w:pPr>
        <w:pStyle w:val="77"/>
        <w:spacing w:beforeLines="0" w:afterLines="0" w:line="240" w:lineRule="auto"/>
        <w:rPr>
          <w:rFonts w:cs="Times New Roman"/>
          <w:bCs w:val="0"/>
          <w:lang w:eastAsia="zh-CN"/>
        </w:rPr>
      </w:pPr>
    </w:p>
    <w:p w14:paraId="2456ABBC">
      <w:pPr>
        <w:pStyle w:val="77"/>
        <w:spacing w:beforeLines="0" w:afterLines="0" w:line="240" w:lineRule="auto"/>
        <w:rPr>
          <w:rFonts w:cs="Times New Roman"/>
          <w:bCs w:val="0"/>
          <w:lang w:eastAsia="zh-CN"/>
        </w:rPr>
      </w:pPr>
    </w:p>
    <w:p w14:paraId="2C07019F">
      <w:pPr>
        <w:pStyle w:val="77"/>
        <w:spacing w:beforeLines="0" w:afterLines="0" w:line="240" w:lineRule="auto"/>
        <w:rPr>
          <w:rFonts w:cs="Times New Roman"/>
          <w:bCs w:val="0"/>
          <w:lang w:eastAsia="zh-CN"/>
        </w:rPr>
      </w:pPr>
    </w:p>
    <w:p w14:paraId="23D5FEB0">
      <w:pPr>
        <w:pStyle w:val="77"/>
        <w:spacing w:beforeLines="0" w:afterLines="0" w:line="240" w:lineRule="auto"/>
        <w:rPr>
          <w:rFonts w:cs="Times New Roman"/>
          <w:bCs w:val="0"/>
          <w:lang w:eastAsia="zh-CN"/>
        </w:rPr>
      </w:pPr>
    </w:p>
    <w:p w14:paraId="63987C2E">
      <w:pPr>
        <w:pStyle w:val="77"/>
        <w:spacing w:beforeLines="0" w:afterLines="0" w:line="240" w:lineRule="auto"/>
        <w:rPr>
          <w:rFonts w:cs="Times New Roman"/>
          <w:bCs w:val="0"/>
          <w:lang w:eastAsia="zh-CN"/>
        </w:rPr>
      </w:pPr>
    </w:p>
    <w:p w14:paraId="6BE0CD2C">
      <w:pPr>
        <w:pStyle w:val="77"/>
        <w:spacing w:beforeLines="0" w:afterLines="0" w:line="240" w:lineRule="auto"/>
        <w:rPr>
          <w:rFonts w:cs="Times New Roman"/>
          <w:bCs w:val="0"/>
          <w:lang w:eastAsia="zh-CN"/>
        </w:rPr>
      </w:pPr>
    </w:p>
    <w:p w14:paraId="2A2BF05F">
      <w:pPr>
        <w:pStyle w:val="77"/>
        <w:spacing w:beforeLines="0" w:afterLines="0" w:line="240" w:lineRule="auto"/>
        <w:rPr>
          <w:rFonts w:cs="Times New Roman"/>
          <w:bCs w:val="0"/>
          <w:lang w:eastAsia="zh-CN"/>
        </w:rPr>
      </w:pPr>
    </w:p>
    <w:p w14:paraId="72B128D4">
      <w:pPr>
        <w:pStyle w:val="77"/>
        <w:spacing w:beforeLines="0" w:afterLines="0" w:line="240" w:lineRule="auto"/>
        <w:rPr>
          <w:rFonts w:cs="Times New Roman"/>
          <w:bCs w:val="0"/>
          <w:lang w:eastAsia="zh-CN"/>
        </w:rPr>
      </w:pPr>
    </w:p>
    <w:p w14:paraId="11782F53">
      <w:pPr>
        <w:pStyle w:val="77"/>
        <w:spacing w:beforeLines="0" w:afterLines="0" w:line="240" w:lineRule="auto"/>
        <w:rPr>
          <w:rFonts w:cs="Times New Roman"/>
          <w:bCs w:val="0"/>
          <w:lang w:eastAsia="zh-CN"/>
        </w:rPr>
      </w:pPr>
    </w:p>
    <w:p w14:paraId="4ABC429E">
      <w:pPr>
        <w:pStyle w:val="77"/>
        <w:spacing w:beforeLines="0" w:afterLines="0" w:line="240" w:lineRule="auto"/>
        <w:rPr>
          <w:rFonts w:cs="Times New Roman"/>
          <w:bCs w:val="0"/>
          <w:lang w:eastAsia="zh-CN"/>
        </w:rPr>
      </w:pPr>
    </w:p>
    <w:p w14:paraId="33547B78">
      <w:pPr>
        <w:pStyle w:val="77"/>
        <w:spacing w:beforeLines="0" w:afterLines="0" w:line="240" w:lineRule="auto"/>
        <w:rPr>
          <w:rFonts w:cs="Times New Roman"/>
          <w:bCs w:val="0"/>
          <w:lang w:eastAsia="zh-CN"/>
        </w:rPr>
      </w:pPr>
    </w:p>
    <w:p w14:paraId="68D60B4B">
      <w:pPr>
        <w:pStyle w:val="77"/>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auto"/>
          <w:sz w:val="28"/>
          <w:szCs w:val="28"/>
          <w:u w:val="single"/>
          <w:lang w:eastAsia="zh-CN"/>
        </w:rPr>
        <w:t>渣油加氢装置螺旋板换热器高压射流清洗装备采购</w:t>
      </w:r>
      <w:r>
        <w:rPr>
          <w:rFonts w:hint="eastAsia" w:ascii="Times New Roman" w:hAnsi="ˎ̥"/>
          <w:color w:val="auto"/>
          <w:sz w:val="28"/>
          <w:szCs w:val="28"/>
          <w:lang w:eastAsia="zh-CN"/>
        </w:rPr>
        <w:t>采</w:t>
      </w:r>
      <w:r>
        <w:rPr>
          <w:rFonts w:hint="eastAsia" w:ascii="Times New Roman" w:hAnsi="ˎ̥"/>
          <w:sz w:val="28"/>
          <w:szCs w:val="28"/>
          <w:lang w:eastAsia="zh-CN"/>
        </w:rPr>
        <w:t>购文件的全部内容后，我方愿以以下报价，严格按照采购文件的要求，交付本项目并维修其中的任何缺陷。</w:t>
      </w:r>
    </w:p>
    <w:tbl>
      <w:tblPr>
        <w:tblStyle w:val="51"/>
        <w:tblW w:w="9499" w:type="dxa"/>
        <w:tblInd w:w="-318" w:type="dxa"/>
        <w:tblLayout w:type="fixed"/>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7663" w:hRule="atLeast"/>
        </w:trPr>
        <w:tc>
          <w:tcPr>
            <w:tcW w:w="9499" w:type="dxa"/>
            <w:shd w:val="clear" w:color="auto" w:fill="auto"/>
            <w:noWrap/>
            <w:vAlign w:val="center"/>
          </w:tcPr>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具体各项报价清单如下：</w:t>
            </w:r>
          </w:p>
          <w:tbl>
            <w:tblPr>
              <w:tblStyle w:val="51"/>
              <w:tblW w:w="8939" w:type="dxa"/>
              <w:jc w:val="center"/>
              <w:tblLayout w:type="fixed"/>
              <w:tblCellMar>
                <w:top w:w="0" w:type="dxa"/>
                <w:left w:w="108" w:type="dxa"/>
                <w:bottom w:w="0" w:type="dxa"/>
                <w:right w:w="108" w:type="dxa"/>
              </w:tblCellMar>
            </w:tblPr>
            <w:tblGrid>
              <w:gridCol w:w="562"/>
              <w:gridCol w:w="2100"/>
              <w:gridCol w:w="1661"/>
              <w:gridCol w:w="1235"/>
              <w:gridCol w:w="727"/>
              <w:gridCol w:w="1327"/>
              <w:gridCol w:w="1327"/>
            </w:tblGrid>
            <w:tr w14:paraId="75CD1A7E">
              <w:tblPrEx>
                <w:tblCellMar>
                  <w:top w:w="0" w:type="dxa"/>
                  <w:left w:w="108" w:type="dxa"/>
                  <w:bottom w:w="0" w:type="dxa"/>
                  <w:right w:w="108" w:type="dxa"/>
                </w:tblCellMar>
              </w:tblPrEx>
              <w:trPr>
                <w:trHeight w:val="54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F08B3F">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2100" w:type="dxa"/>
                  <w:tcBorders>
                    <w:top w:val="single" w:color="auto" w:sz="4" w:space="0"/>
                    <w:left w:val="nil"/>
                    <w:bottom w:val="single" w:color="auto" w:sz="4" w:space="0"/>
                    <w:right w:val="single" w:color="auto" w:sz="4" w:space="0"/>
                  </w:tcBorders>
                  <w:shd w:val="clear" w:color="auto" w:fill="auto"/>
                  <w:noWrap/>
                  <w:vAlign w:val="bottom"/>
                </w:tcPr>
                <w:p w14:paraId="181AB114">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设备名称</w:t>
                  </w:r>
                </w:p>
              </w:tc>
              <w:tc>
                <w:tcPr>
                  <w:tcW w:w="1661" w:type="dxa"/>
                  <w:tcBorders>
                    <w:top w:val="single" w:color="auto" w:sz="4" w:space="0"/>
                    <w:left w:val="nil"/>
                    <w:bottom w:val="single" w:color="auto" w:sz="4" w:space="0"/>
                    <w:right w:val="single" w:color="auto" w:sz="4" w:space="0"/>
                  </w:tcBorders>
                  <w:shd w:val="clear" w:color="auto" w:fill="auto"/>
                  <w:noWrap/>
                  <w:vAlign w:val="bottom"/>
                </w:tcPr>
                <w:p w14:paraId="530800CA">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规格</w:t>
                  </w:r>
                </w:p>
              </w:tc>
              <w:tc>
                <w:tcPr>
                  <w:tcW w:w="1235" w:type="dxa"/>
                  <w:tcBorders>
                    <w:top w:val="single" w:color="auto" w:sz="4" w:space="0"/>
                    <w:left w:val="nil"/>
                    <w:bottom w:val="single" w:color="auto" w:sz="4" w:space="0"/>
                    <w:right w:val="single" w:color="auto" w:sz="4" w:space="0"/>
                  </w:tcBorders>
                  <w:shd w:val="clear" w:color="auto" w:fill="auto"/>
                  <w:vAlign w:val="bottom"/>
                </w:tcPr>
                <w:p w14:paraId="75132BE2">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品牌</w:t>
                  </w:r>
                </w:p>
              </w:tc>
              <w:tc>
                <w:tcPr>
                  <w:tcW w:w="727" w:type="dxa"/>
                  <w:tcBorders>
                    <w:top w:val="single" w:color="auto" w:sz="4" w:space="0"/>
                    <w:left w:val="nil"/>
                    <w:bottom w:val="single" w:color="auto" w:sz="4" w:space="0"/>
                    <w:right w:val="single" w:color="auto" w:sz="4" w:space="0"/>
                  </w:tcBorders>
                  <w:shd w:val="clear" w:color="auto" w:fill="auto"/>
                  <w:noWrap/>
                  <w:vAlign w:val="bottom"/>
                </w:tcPr>
                <w:p w14:paraId="7B876985">
                  <w:pPr>
                    <w:widowControl/>
                    <w:autoSpaceDE/>
                    <w:autoSpaceDN/>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数量</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62658AB2">
                  <w:pPr>
                    <w:widowControl/>
                    <w:autoSpaceDE/>
                    <w:autoSpaceDN/>
                    <w:jc w:val="center"/>
                    <w:rPr>
                      <w:rFonts w:hint="eastAsia" w:ascii="宋体" w:hAnsi="宋体" w:eastAsia="宋体" w:cs="宋体"/>
                      <w:b w:val="0"/>
                      <w:bCs w:val="0"/>
                      <w:color w:val="auto"/>
                      <w:sz w:val="21"/>
                      <w:szCs w:val="21"/>
                      <w:lang w:val="en-US" w:eastAsia="zh-CN"/>
                    </w:rPr>
                  </w:pPr>
                </w:p>
                <w:p w14:paraId="2DEBC05A">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单价（元）</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06E15E62">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小计（元）</w:t>
                  </w:r>
                </w:p>
              </w:tc>
            </w:tr>
            <w:tr w14:paraId="5F2C255A">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255031EE">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100" w:type="dxa"/>
                  <w:tcBorders>
                    <w:top w:val="nil"/>
                    <w:left w:val="nil"/>
                    <w:bottom w:val="single" w:color="auto" w:sz="4" w:space="0"/>
                    <w:right w:val="single" w:color="auto" w:sz="4" w:space="0"/>
                  </w:tcBorders>
                  <w:shd w:val="clear" w:color="auto" w:fill="auto"/>
                  <w:noWrap/>
                  <w:vAlign w:val="center"/>
                </w:tcPr>
                <w:p w14:paraId="35276706">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螺旋板换热器换热腔体高压射流</w:t>
                  </w:r>
                </w:p>
                <w:p w14:paraId="1098325C">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0"/>
                      <w:sz w:val="21"/>
                      <w:szCs w:val="21"/>
                      <w:lang w:val="en-US" w:eastAsia="zh-CN" w:bidi="ar"/>
                    </w:rPr>
                    <w:t>清洗装备</w:t>
                  </w:r>
                </w:p>
              </w:tc>
              <w:tc>
                <w:tcPr>
                  <w:tcW w:w="1661" w:type="dxa"/>
                  <w:tcBorders>
                    <w:top w:val="nil"/>
                    <w:left w:val="nil"/>
                    <w:bottom w:val="single" w:color="auto" w:sz="4" w:space="0"/>
                    <w:right w:val="single" w:color="auto" w:sz="4" w:space="0"/>
                  </w:tcBorders>
                  <w:shd w:val="clear" w:color="auto" w:fill="auto"/>
                  <w:noWrap/>
                  <w:vAlign w:val="bottom"/>
                </w:tcPr>
                <w:p w14:paraId="39D09E0F">
                  <w:pPr>
                    <w:widowControl/>
                    <w:autoSpaceDE/>
                    <w:autoSpaceDN/>
                    <w:jc w:val="center"/>
                    <w:rPr>
                      <w:rFonts w:hint="eastAsia" w:ascii="宋体" w:hAnsi="宋体" w:eastAsia="宋体" w:cs="宋体"/>
                      <w:b w:val="0"/>
                      <w:bCs w:val="0"/>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134C667D">
                  <w:pPr>
                    <w:widowControl/>
                    <w:autoSpaceDE/>
                    <w:autoSpaceDN/>
                    <w:jc w:val="center"/>
                    <w:rPr>
                      <w:rFonts w:hint="eastAsia" w:ascii="宋体" w:hAnsi="宋体" w:eastAsia="宋体" w:cs="宋体"/>
                      <w:b w:val="0"/>
                      <w:bCs w:val="0"/>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7504965C">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highlight w:val="none"/>
                      <w:lang w:val="en-US" w:eastAsia="zh-CN"/>
                    </w:rPr>
                    <w:t>1</w:t>
                  </w:r>
                  <w:bookmarkStart w:id="1" w:name="_GoBack"/>
                  <w:bookmarkEnd w:id="1"/>
                  <w:r>
                    <w:rPr>
                      <w:rFonts w:hint="eastAsia" w:ascii="宋体" w:hAnsi="宋体" w:eastAsia="宋体" w:cs="宋体"/>
                      <w:b w:val="0"/>
                      <w:bCs w:val="0"/>
                      <w:color w:val="auto"/>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0A96C5D6">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194A959A">
                  <w:pPr>
                    <w:widowControl/>
                    <w:autoSpaceDE/>
                    <w:autoSpaceDN/>
                    <w:jc w:val="center"/>
                    <w:rPr>
                      <w:rFonts w:hint="eastAsia" w:ascii="宋体" w:hAnsi="宋体" w:eastAsia="宋体" w:cs="宋体"/>
                      <w:b w:val="0"/>
                      <w:bCs w:val="0"/>
                      <w:color w:val="auto"/>
                      <w:sz w:val="21"/>
                      <w:szCs w:val="21"/>
                      <w:lang w:eastAsia="zh-CN"/>
                    </w:rPr>
                  </w:pPr>
                </w:p>
              </w:tc>
            </w:tr>
            <w:tr w14:paraId="1A452CDC">
              <w:tblPrEx>
                <w:tblCellMar>
                  <w:top w:w="0" w:type="dxa"/>
                  <w:left w:w="108" w:type="dxa"/>
                  <w:bottom w:w="0" w:type="dxa"/>
                  <w:right w:w="108" w:type="dxa"/>
                </w:tblCellMar>
              </w:tblPrEx>
              <w:trPr>
                <w:trHeight w:val="540" w:hRule="atLeast"/>
                <w:jc w:val="center"/>
              </w:trPr>
              <w:tc>
                <w:tcPr>
                  <w:tcW w:w="7612" w:type="dxa"/>
                  <w:gridSpan w:val="6"/>
                  <w:tcBorders>
                    <w:top w:val="nil"/>
                    <w:left w:val="single" w:color="auto" w:sz="4" w:space="0"/>
                    <w:bottom w:val="single" w:color="auto" w:sz="4" w:space="0"/>
                    <w:right w:val="single" w:color="auto" w:sz="4" w:space="0"/>
                  </w:tcBorders>
                  <w:shd w:val="clear" w:color="auto" w:fill="auto"/>
                  <w:noWrap/>
                  <w:vAlign w:val="bottom"/>
                </w:tcPr>
                <w:p w14:paraId="044A0F99">
                  <w:pPr>
                    <w:widowControl/>
                    <w:autoSpaceDE/>
                    <w:autoSpaceDN/>
                    <w:jc w:val="center"/>
                    <w:rPr>
                      <w:rFonts w:hint="default" w:ascii="宋体" w:hAnsi="宋体" w:eastAsia="宋体" w:cs="宋体"/>
                      <w:b w:val="0"/>
                      <w:bCs w:val="0"/>
                      <w:color w:val="FF0000"/>
                      <w:sz w:val="21"/>
                      <w:szCs w:val="21"/>
                      <w:lang w:val="en-US" w:eastAsia="zh-CN"/>
                    </w:rPr>
                  </w:pPr>
                  <w:r>
                    <w:rPr>
                      <w:rFonts w:hint="eastAsia" w:cs="宋体"/>
                      <w:b w:val="0"/>
                      <w:bCs w:val="0"/>
                      <w:color w:val="auto"/>
                      <w:sz w:val="21"/>
                      <w:szCs w:val="21"/>
                      <w:lang w:val="en-US" w:eastAsia="zh-CN"/>
                    </w:rPr>
                    <w:t>合计</w:t>
                  </w:r>
                </w:p>
              </w:tc>
              <w:tc>
                <w:tcPr>
                  <w:tcW w:w="1327" w:type="dxa"/>
                  <w:tcBorders>
                    <w:top w:val="nil"/>
                    <w:left w:val="nil"/>
                    <w:bottom w:val="single" w:color="auto" w:sz="4" w:space="0"/>
                    <w:right w:val="single" w:color="auto" w:sz="4" w:space="0"/>
                  </w:tcBorders>
                  <w:shd w:val="clear" w:color="auto" w:fill="auto"/>
                  <w:noWrap/>
                  <w:vAlign w:val="bottom"/>
                </w:tcPr>
                <w:p w14:paraId="2CCE0712">
                  <w:pPr>
                    <w:widowControl/>
                    <w:autoSpaceDE/>
                    <w:autoSpaceDN/>
                    <w:jc w:val="center"/>
                    <w:rPr>
                      <w:rFonts w:hint="eastAsia" w:ascii="宋体" w:hAnsi="宋体" w:eastAsia="宋体" w:cs="宋体"/>
                      <w:b w:val="0"/>
                      <w:bCs w:val="0"/>
                      <w:color w:val="FF0000"/>
                      <w:sz w:val="21"/>
                      <w:szCs w:val="21"/>
                      <w:lang w:eastAsia="zh-CN"/>
                    </w:rPr>
                  </w:pPr>
                </w:p>
              </w:tc>
            </w:tr>
          </w:tbl>
          <w:p w14:paraId="0FE76553">
            <w:pPr>
              <w:spacing w:line="360" w:lineRule="auto"/>
              <w:rPr>
                <w:lang w:eastAsia="zh-CN"/>
              </w:rPr>
            </w:pPr>
          </w:p>
        </w:tc>
      </w:tr>
    </w:tbl>
    <w:p w14:paraId="2DA4BB47">
      <w:pPr>
        <w:spacing w:line="460" w:lineRule="exact"/>
        <w:ind w:firstLine="480" w:firstLineChars="200"/>
        <w:rPr>
          <w:sz w:val="24"/>
          <w:szCs w:val="24"/>
          <w:u w:val="single"/>
          <w:lang w:eastAsia="zh-CN"/>
        </w:rPr>
      </w:pPr>
      <w:r>
        <w:rPr>
          <w:rFonts w:hint="eastAsia"/>
          <w:sz w:val="24"/>
          <w:szCs w:val="24"/>
          <w:lang w:eastAsia="zh-CN"/>
        </w:rPr>
        <w:t>参比人：</w:t>
      </w:r>
      <w:r>
        <w:rPr>
          <w:rFonts w:hint="eastAsia"/>
          <w:sz w:val="24"/>
          <w:szCs w:val="24"/>
          <w:u w:val="single"/>
          <w:lang w:eastAsia="zh-CN"/>
        </w:rPr>
        <w:t xml:space="preserve">      </w:t>
      </w:r>
      <w:r>
        <w:rPr>
          <w:rFonts w:hint="eastAsia"/>
          <w:color w:val="00B050"/>
          <w:sz w:val="24"/>
          <w:szCs w:val="24"/>
          <w:lang w:eastAsia="zh-CN"/>
        </w:rPr>
        <w:t>（加盖参比单位章）</w:t>
      </w:r>
    </w:p>
    <w:p w14:paraId="23B16F1B">
      <w:pPr>
        <w:spacing w:line="460" w:lineRule="exact"/>
        <w:ind w:firstLine="480" w:firstLineChars="200"/>
        <w:rPr>
          <w:sz w:val="24"/>
          <w:szCs w:val="24"/>
          <w:u w:val="single"/>
          <w:lang w:eastAsia="zh-CN"/>
        </w:rPr>
      </w:pPr>
    </w:p>
    <w:p w14:paraId="69003041">
      <w:pPr>
        <w:spacing w:line="460" w:lineRule="exact"/>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47481876">
      <w:pPr>
        <w:spacing w:line="460" w:lineRule="exact"/>
        <w:ind w:firstLine="480" w:firstLineChars="200"/>
        <w:rPr>
          <w:color w:val="00B050"/>
          <w:sz w:val="24"/>
          <w:szCs w:val="24"/>
          <w:lang w:eastAsia="zh-CN"/>
        </w:rPr>
      </w:pPr>
    </w:p>
    <w:p w14:paraId="33DF4175">
      <w:pPr>
        <w:spacing w:line="460" w:lineRule="exact"/>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6DEF023">
      <w:pPr>
        <w:spacing w:line="500" w:lineRule="exact"/>
        <w:rPr>
          <w:color w:val="4E6127"/>
          <w:sz w:val="24"/>
          <w:szCs w:val="24"/>
          <w:u w:val="single"/>
          <w:lang w:eastAsia="zh-CN"/>
        </w:rPr>
      </w:pPr>
    </w:p>
    <w:p w14:paraId="01AF1EE6">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57947"/>
                  <w:docPartObj>
                    <w:docPartGallery w:val="autotext"/>
                  </w:docPartObj>
                </w:sdtPr>
                <w:sdtContent>
                  <w:sdt>
                    <w:sdtPr>
                      <w:id w:val="147466222"/>
                      <w:docPartObj>
                        <w:docPartGallery w:val="autotext"/>
                      </w:docPartObj>
                    </w:sdtPr>
                    <w:sdtContent>
                      <w:p w14:paraId="69164D5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4A43711B"/>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57405"/>
                  <w:docPartObj>
                    <w:docPartGallery w:val="autotext"/>
                  </w:docPartObj>
                </w:sdtPr>
                <w:sdtContent>
                  <w:sdt>
                    <w:sdtPr>
                      <w:id w:val="147454650"/>
                      <w:docPartObj>
                        <w:docPartGallery w:val="autotext"/>
                      </w:docPartObj>
                    </w:sdtPr>
                    <w:sdtContent>
                      <w:p w14:paraId="27ED37CB">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4FFC60D2"/>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B73B81F">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728CD10">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5F3EB3"/>
    <w:multiLevelType w:val="multilevel"/>
    <w:tmpl w:val="655F3EB3"/>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1"/>
  </w:num>
  <w:num w:numId="8">
    <w:abstractNumId w:val="10"/>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0D267C7A"/>
    <w:rsid w:val="10294AA3"/>
    <w:rsid w:val="10E40CA0"/>
    <w:rsid w:val="136130D9"/>
    <w:rsid w:val="18DD4F7E"/>
    <w:rsid w:val="195B58A2"/>
    <w:rsid w:val="1E085A14"/>
    <w:rsid w:val="1FF43DDB"/>
    <w:rsid w:val="21933AA2"/>
    <w:rsid w:val="25BF356F"/>
    <w:rsid w:val="25DB0C2D"/>
    <w:rsid w:val="269469E7"/>
    <w:rsid w:val="28BC1C1E"/>
    <w:rsid w:val="29FC3B14"/>
    <w:rsid w:val="2B11792E"/>
    <w:rsid w:val="2EB52D90"/>
    <w:rsid w:val="31C54755"/>
    <w:rsid w:val="3216608C"/>
    <w:rsid w:val="34CE14C6"/>
    <w:rsid w:val="34D84CEC"/>
    <w:rsid w:val="37AF5AB7"/>
    <w:rsid w:val="37F64385"/>
    <w:rsid w:val="39F107F1"/>
    <w:rsid w:val="3B1C3371"/>
    <w:rsid w:val="3CC23198"/>
    <w:rsid w:val="3DDF4815"/>
    <w:rsid w:val="3FE669E5"/>
    <w:rsid w:val="4BD313C4"/>
    <w:rsid w:val="4F8C4B2A"/>
    <w:rsid w:val="50F63E28"/>
    <w:rsid w:val="511F35C1"/>
    <w:rsid w:val="5221007F"/>
    <w:rsid w:val="52926B5A"/>
    <w:rsid w:val="545C5E51"/>
    <w:rsid w:val="5486175B"/>
    <w:rsid w:val="54B631E7"/>
    <w:rsid w:val="57667D24"/>
    <w:rsid w:val="57CE5BC3"/>
    <w:rsid w:val="5AE1516A"/>
    <w:rsid w:val="5B6A3A79"/>
    <w:rsid w:val="5C1A5F7B"/>
    <w:rsid w:val="5D097408"/>
    <w:rsid w:val="62E60828"/>
    <w:rsid w:val="645771F8"/>
    <w:rsid w:val="667D41A5"/>
    <w:rsid w:val="698711F2"/>
    <w:rsid w:val="6A54112D"/>
    <w:rsid w:val="6AA035AE"/>
    <w:rsid w:val="6E0F2E14"/>
    <w:rsid w:val="6F1E141D"/>
    <w:rsid w:val="6F5354F8"/>
    <w:rsid w:val="70424AC1"/>
    <w:rsid w:val="740A2BDE"/>
    <w:rsid w:val="751839E0"/>
    <w:rsid w:val="76274F93"/>
    <w:rsid w:val="76331222"/>
    <w:rsid w:val="79EB3F2F"/>
    <w:rsid w:val="7B11789E"/>
    <w:rsid w:val="7DC94A0A"/>
    <w:rsid w:val="7DEF1420"/>
    <w:rsid w:val="7F54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uiPriority w:val="0"/>
  </w:style>
  <w:style w:type="character" w:customStyle="1" w:styleId="84">
    <w:name w:val="无间隔 Char"/>
    <w:basedOn w:val="53"/>
    <w:link w:val="85"/>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uiPriority w:val="0"/>
    <w:rPr>
      <w:kern w:val="2"/>
      <w:sz w:val="18"/>
      <w:szCs w:val="18"/>
    </w:rPr>
  </w:style>
  <w:style w:type="character" w:customStyle="1" w:styleId="88">
    <w:name w:val="正文文本缩进 3 Char"/>
    <w:basedOn w:val="53"/>
    <w:link w:val="38"/>
    <w:uiPriority w:val="0"/>
    <w:rPr>
      <w:kern w:val="2"/>
      <w:sz w:val="28"/>
    </w:rPr>
  </w:style>
  <w:style w:type="character" w:customStyle="1" w:styleId="89">
    <w:name w:val="正文文本缩进 2 Char"/>
    <w:basedOn w:val="53"/>
    <w:link w:val="31"/>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uiPriority w:val="0"/>
    <w:rPr>
      <w:rFonts w:hint="default" w:ascii="Times New Roman" w:hAnsi="Times New Roman" w:cs="Times New Roman"/>
      <w:color w:val="000000"/>
      <w:sz w:val="20"/>
      <w:szCs w:val="20"/>
      <w:u w:val="none"/>
    </w:rPr>
  </w:style>
  <w:style w:type="character" w:customStyle="1" w:styleId="97">
    <w:name w:val="glossaryitem"/>
    <w:basedOn w:val="53"/>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uiPriority w:val="0"/>
    <w:rPr>
      <w:rFonts w:ascii="宋体"/>
      <w:sz w:val="28"/>
      <w:shd w:val="clear" w:color="auto" w:fill="000080"/>
    </w:rPr>
  </w:style>
  <w:style w:type="character" w:customStyle="1" w:styleId="100">
    <w:name w:val="日期 Char"/>
    <w:basedOn w:val="53"/>
    <w:link w:val="30"/>
    <w:uiPriority w:val="0"/>
    <w:rPr>
      <w:kern w:val="2"/>
      <w:sz w:val="21"/>
      <w:szCs w:val="24"/>
    </w:rPr>
  </w:style>
  <w:style w:type="character" w:customStyle="1" w:styleId="101">
    <w:name w:val="正文文本 2 Char"/>
    <w:basedOn w:val="53"/>
    <w:link w:val="41"/>
    <w:uiPriority w:val="0"/>
    <w:rPr>
      <w:kern w:val="2"/>
      <w:sz w:val="21"/>
      <w:szCs w:val="24"/>
    </w:rPr>
  </w:style>
  <w:style w:type="character" w:customStyle="1" w:styleId="102">
    <w:name w:val="正文首行缩进 Char"/>
    <w:basedOn w:val="90"/>
    <w:link w:val="48"/>
    <w:uiPriority w:val="0"/>
    <w:rPr>
      <w:rFonts w:eastAsia="宋体"/>
      <w:sz w:val="21"/>
      <w:szCs w:val="21"/>
      <w:lang w:val="en-US" w:eastAsia="zh-CN" w:bidi="ar-SA"/>
    </w:rPr>
  </w:style>
  <w:style w:type="character" w:customStyle="1" w:styleId="103">
    <w:name w:val="批注主题 Char"/>
    <w:basedOn w:val="86"/>
    <w:link w:val="47"/>
    <w:uiPriority w:val="0"/>
    <w:rPr>
      <w:b/>
      <w:bCs/>
      <w:kern w:val="2"/>
      <w:sz w:val="24"/>
      <w:szCs w:val="24"/>
    </w:rPr>
  </w:style>
  <w:style w:type="paragraph" w:customStyle="1" w:styleId="104">
    <w:name w:val="标题3(小3号)"/>
    <w:basedOn w:val="6"/>
    <w:next w:val="105"/>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uiPriority w:val="0"/>
    <w:rPr>
      <w:rFonts w:ascii="宋体" w:hAnsi="宋体" w:cs="宋体"/>
      <w:sz w:val="24"/>
      <w:szCs w:val="24"/>
      <w:lang w:eastAsia="en-US"/>
    </w:rPr>
  </w:style>
  <w:style w:type="character" w:customStyle="1" w:styleId="107">
    <w:name w:val="信息标题 Char"/>
    <w:basedOn w:val="53"/>
    <w:link w:val="42"/>
    <w:uiPriority w:val="0"/>
    <w:rPr>
      <w:rFonts w:ascii="Arial" w:hAnsi="Arial" w:cs="Arial"/>
      <w:kern w:val="2"/>
      <w:sz w:val="24"/>
      <w:szCs w:val="24"/>
      <w:shd w:val="pct20" w:color="auto" w:fill="auto"/>
    </w:rPr>
  </w:style>
  <w:style w:type="character" w:customStyle="1" w:styleId="108">
    <w:name w:val="正文文本 3 Char1"/>
    <w:basedOn w:val="53"/>
    <w:uiPriority w:val="0"/>
    <w:rPr>
      <w:rFonts w:ascii="宋体" w:hAnsi="宋体" w:cs="宋体"/>
      <w:sz w:val="16"/>
      <w:szCs w:val="16"/>
      <w:lang w:eastAsia="en-US"/>
    </w:rPr>
  </w:style>
  <w:style w:type="paragraph" w:customStyle="1" w:styleId="109">
    <w:name w:val="封面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uiPriority w:val="0"/>
    <w:rPr>
      <w:rFonts w:ascii="宋体" w:hAnsi="宋体" w:cs="宋体"/>
      <w:sz w:val="22"/>
      <w:szCs w:val="22"/>
      <w:lang w:eastAsia="en-US"/>
    </w:rPr>
  </w:style>
  <w:style w:type="character" w:customStyle="1" w:styleId="112">
    <w:name w:val="批注文字 Char1"/>
    <w:basedOn w:val="53"/>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uiPriority w:val="0"/>
    <w:rPr>
      <w:rFonts w:ascii="宋体" w:hAnsi="宋体" w:cs="宋体"/>
      <w:sz w:val="18"/>
      <w:szCs w:val="18"/>
      <w:lang w:eastAsia="en-US"/>
    </w:rPr>
  </w:style>
  <w:style w:type="character" w:customStyle="1" w:styleId="117">
    <w:name w:val="日期 Char1"/>
    <w:basedOn w:val="53"/>
    <w:uiPriority w:val="0"/>
    <w:rPr>
      <w:rFonts w:ascii="宋体" w:hAnsi="宋体" w:cs="宋体"/>
      <w:sz w:val="22"/>
      <w:szCs w:val="22"/>
      <w:lang w:eastAsia="en-US"/>
    </w:rPr>
  </w:style>
  <w:style w:type="paragraph" w:customStyle="1" w:styleId="118">
    <w:name w:val="标题3(3号)"/>
    <w:basedOn w:val="6"/>
    <w:next w:val="119"/>
    <w:uiPriority w:val="0"/>
    <w:pPr>
      <w:widowControl/>
      <w:spacing w:before="0" w:after="0" w:line="420" w:lineRule="exact"/>
    </w:pPr>
    <w:rPr>
      <w:b w:val="0"/>
      <w:bCs w:val="0"/>
      <w:color w:val="000000"/>
      <w:kern w:val="0"/>
      <w:szCs w:val="21"/>
    </w:rPr>
  </w:style>
  <w:style w:type="paragraph" w:customStyle="1" w:styleId="119">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uiPriority w:val="0"/>
    <w:rPr>
      <w:rFonts w:ascii="Courier New" w:hAnsi="Courier New" w:cs="Courier New"/>
      <w:lang w:eastAsia="en-US"/>
    </w:rPr>
  </w:style>
  <w:style w:type="character" w:customStyle="1" w:styleId="122">
    <w:name w:val="正文文本缩进 Char1"/>
    <w:basedOn w:val="53"/>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uiPriority w:val="0"/>
    <w:rPr>
      <w:rFonts w:asciiTheme="majorHAnsi" w:hAnsiTheme="majorHAnsi" w:cstheme="majorBidi"/>
      <w:b/>
      <w:bCs/>
      <w:sz w:val="32"/>
      <w:szCs w:val="32"/>
      <w:lang w:eastAsia="en-US"/>
    </w:rPr>
  </w:style>
  <w:style w:type="character" w:customStyle="1" w:styleId="131">
    <w:name w:val="正文文本缩进 3 Char1"/>
    <w:basedOn w:val="53"/>
    <w:uiPriority w:val="0"/>
    <w:rPr>
      <w:rFonts w:ascii="宋体" w:hAnsi="宋体" w:cs="宋体"/>
      <w:sz w:val="16"/>
      <w:szCs w:val="16"/>
      <w:lang w:eastAsia="en-US"/>
    </w:rPr>
  </w:style>
  <w:style w:type="paragraph" w:customStyle="1" w:styleId="132">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5157</Words>
  <Characters>5513</Characters>
  <Lines>127</Lines>
  <Paragraphs>35</Paragraphs>
  <TotalTime>9</TotalTime>
  <ScaleCrop>false</ScaleCrop>
  <LinksUpToDate>false</LinksUpToDate>
  <CharactersWithSpaces>5979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2026-01-21T07:58:45Z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FD708A30BF3A405D8FA1C369B90B9452_12</vt:lpwstr>
  </property>
</Properties>
</file>