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7CC9">
      <w:pPr>
        <w:keepNext w:val="0"/>
        <w:pageBreakBefore w:val="0"/>
        <w:kinsoku/>
        <w:wordWrap/>
        <w:overflowPunct/>
        <w:topLinePunct w:val="0"/>
        <w:bidi w:val="0"/>
        <w:spacing w:line="300" w:lineRule="auto"/>
        <w:jc w:val="both"/>
        <w:textAlignment w:val="auto"/>
        <w:rPr>
          <w:rFonts w:ascii="华文楷体" w:hAnsi="华文楷体" w:eastAsia="华文楷体"/>
          <w:sz w:val="28"/>
          <w:szCs w:val="28"/>
        </w:rPr>
      </w:pPr>
    </w:p>
    <w:p w14:paraId="2E138AFB">
      <w:pPr>
        <w:keepNext w:val="0"/>
        <w:pageBreakBefore w:val="0"/>
        <w:kinsoku/>
        <w:wordWrap/>
        <w:overflowPunct/>
        <w:topLinePunct w:val="0"/>
        <w:bidi w:val="0"/>
        <w:spacing w:line="300" w:lineRule="auto"/>
        <w:jc w:val="center"/>
        <w:textAlignment w:val="auto"/>
        <w:rPr>
          <w:rFonts w:ascii="华文楷体" w:hAnsi="华文楷体" w:eastAsia="华文楷体"/>
          <w:sz w:val="28"/>
          <w:szCs w:val="28"/>
        </w:rPr>
      </w:pPr>
      <w:bookmarkStart w:id="0" w:name="_MON_1738481666"/>
      <w:bookmarkEnd w:id="0"/>
      <w:r>
        <w:rPr>
          <w:rFonts w:ascii="华文楷体" w:hAnsi="华文楷体" w:eastAsia="华文楷体"/>
          <w:sz w:val="28"/>
          <w:szCs w:val="28"/>
        </w:rPr>
        <w:object>
          <v:shape id="_x0000_i1025" o:spt="75" type="#_x0000_t75" style="height:77.35pt;width:288.55pt;" o:ole="t" filled="f" o:preferrelative="t" stroked="f" coordsize="21600,21600">
            <v:path/>
            <v:fill on="f" focussize="0,0"/>
            <v:stroke on="f" joinstyle="miter"/>
            <v:imagedata r:id="rId13" o:title=""/>
            <o:lock v:ext="edit" aspectratio="t"/>
            <w10:wrap type="none"/>
            <w10:anchorlock/>
          </v:shape>
          <o:OLEObject Type="Embed" ProgID="Word.Document.12" ShapeID="_x0000_i1025" DrawAspect="Content" ObjectID="_1468075725" r:id="rId12">
            <o:LockedField>false</o:LockedField>
          </o:OLEObject>
        </w:object>
      </w:r>
    </w:p>
    <w:p w14:paraId="52C66A84">
      <w:pPr>
        <w:keepNext w:val="0"/>
        <w:pageBreakBefore w:val="0"/>
        <w:kinsoku/>
        <w:wordWrap/>
        <w:overflowPunct/>
        <w:topLinePunct w:val="0"/>
        <w:bidi w:val="0"/>
        <w:spacing w:line="300" w:lineRule="auto"/>
        <w:jc w:val="both"/>
        <w:textAlignment w:val="auto"/>
        <w:rPr>
          <w:rFonts w:ascii="华文楷体" w:hAnsi="华文楷体" w:eastAsia="华文楷体"/>
          <w:sz w:val="28"/>
          <w:szCs w:val="28"/>
        </w:rPr>
      </w:pPr>
    </w:p>
    <w:p w14:paraId="6A3A8C1E">
      <w:pPr>
        <w:keepNext w:val="0"/>
        <w:pageBreakBefore w:val="0"/>
        <w:kinsoku/>
        <w:wordWrap/>
        <w:overflowPunct/>
        <w:topLinePunct w:val="0"/>
        <w:bidi w:val="0"/>
        <w:spacing w:line="300" w:lineRule="auto"/>
        <w:jc w:val="both"/>
        <w:textAlignment w:val="auto"/>
        <w:rPr>
          <w:rFonts w:ascii="华文楷体" w:hAnsi="华文楷体" w:eastAsia="华文楷体"/>
          <w:caps/>
        </w:rPr>
      </w:pPr>
    </w:p>
    <w:p w14:paraId="38326578">
      <w:pPr>
        <w:keepNext w:val="0"/>
        <w:pageBreakBefore w:val="0"/>
        <w:kinsoku/>
        <w:wordWrap/>
        <w:overflowPunct/>
        <w:topLinePunct w:val="0"/>
        <w:bidi w:val="0"/>
        <w:spacing w:line="300" w:lineRule="auto"/>
        <w:jc w:val="both"/>
        <w:textAlignment w:val="auto"/>
        <w:rPr>
          <w:rFonts w:ascii="华文楷体" w:hAnsi="华文楷体" w:eastAsia="华文楷体"/>
          <w:sz w:val="28"/>
          <w:szCs w:val="28"/>
        </w:rPr>
      </w:pPr>
    </w:p>
    <w:p w14:paraId="7A4BF06D">
      <w:pPr>
        <w:keepNext w:val="0"/>
        <w:pageBreakBefore w:val="0"/>
        <w:kinsoku/>
        <w:wordWrap/>
        <w:overflowPunct/>
        <w:topLinePunct w:val="0"/>
        <w:bidi w:val="0"/>
        <w:spacing w:line="300" w:lineRule="auto"/>
        <w:jc w:val="both"/>
        <w:textAlignment w:val="auto"/>
        <w:rPr>
          <w:rFonts w:eastAsia="楷体_GB2312"/>
        </w:rPr>
      </w:pPr>
    </w:p>
    <w:p w14:paraId="2D9DA042">
      <w:pPr>
        <w:keepNext w:val="0"/>
        <w:pageBreakBefore w:val="0"/>
        <w:kinsoku/>
        <w:wordWrap/>
        <w:overflowPunct/>
        <w:topLinePunct w:val="0"/>
        <w:bidi w:val="0"/>
        <w:spacing w:line="300" w:lineRule="auto"/>
        <w:jc w:val="both"/>
        <w:textAlignment w:val="auto"/>
        <w:rPr>
          <w:rFonts w:eastAsia="楷体_GB2312"/>
        </w:rPr>
      </w:pPr>
    </w:p>
    <w:p w14:paraId="1162E017">
      <w:pPr>
        <w:keepNext w:val="0"/>
        <w:pageBreakBefore w:val="0"/>
        <w:kinsoku/>
        <w:wordWrap/>
        <w:overflowPunct/>
        <w:topLinePunct w:val="0"/>
        <w:bidi w:val="0"/>
        <w:spacing w:line="300" w:lineRule="auto"/>
        <w:jc w:val="center"/>
        <w:textAlignment w:val="auto"/>
        <w:rPr>
          <w:rFonts w:ascii="黑体" w:eastAsia="黑体"/>
          <w:b/>
          <w:sz w:val="36"/>
          <w:szCs w:val="36"/>
        </w:rPr>
      </w:pPr>
      <w:r>
        <w:rPr>
          <w:rFonts w:hint="eastAsia" w:ascii="黑体" w:eastAsia="黑体"/>
          <w:b/>
          <w:sz w:val="36"/>
          <w:szCs w:val="36"/>
          <w:lang w:val="en-US" w:eastAsia="zh-CN"/>
        </w:rPr>
        <w:t>水质环保</w:t>
      </w:r>
      <w:r>
        <w:rPr>
          <w:rFonts w:hint="eastAsia" w:ascii="黑体" w:eastAsia="黑体"/>
          <w:b/>
          <w:sz w:val="36"/>
          <w:szCs w:val="36"/>
        </w:rPr>
        <w:t>分析仪器</w:t>
      </w:r>
    </w:p>
    <w:p w14:paraId="39927DB2">
      <w:pPr>
        <w:keepNext w:val="0"/>
        <w:pageBreakBefore w:val="0"/>
        <w:kinsoku/>
        <w:wordWrap/>
        <w:overflowPunct/>
        <w:topLinePunct w:val="0"/>
        <w:bidi w:val="0"/>
        <w:spacing w:line="300" w:lineRule="auto"/>
        <w:jc w:val="both"/>
        <w:textAlignment w:val="auto"/>
        <w:rPr>
          <w:rFonts w:ascii="黑体" w:eastAsia="黑体"/>
          <w:b/>
          <w:sz w:val="32"/>
          <w:szCs w:val="32"/>
        </w:rPr>
      </w:pPr>
    </w:p>
    <w:p w14:paraId="23E1B324">
      <w:pPr>
        <w:keepNext w:val="0"/>
        <w:pageBreakBefore w:val="0"/>
        <w:kinsoku/>
        <w:wordWrap/>
        <w:overflowPunct/>
        <w:topLinePunct w:val="0"/>
        <w:bidi w:val="0"/>
        <w:spacing w:line="300" w:lineRule="auto"/>
        <w:jc w:val="both"/>
        <w:textAlignment w:val="auto"/>
        <w:rPr>
          <w:rFonts w:ascii="黑体" w:eastAsia="黑体"/>
          <w:b/>
          <w:sz w:val="32"/>
          <w:szCs w:val="32"/>
        </w:rPr>
      </w:pPr>
    </w:p>
    <w:p w14:paraId="0A0985E1">
      <w:pPr>
        <w:keepNext w:val="0"/>
        <w:pageBreakBefore w:val="0"/>
        <w:kinsoku/>
        <w:wordWrap/>
        <w:overflowPunct/>
        <w:topLinePunct w:val="0"/>
        <w:bidi w:val="0"/>
        <w:spacing w:line="300" w:lineRule="auto"/>
        <w:jc w:val="both"/>
        <w:textAlignment w:val="auto"/>
        <w:rPr>
          <w:rFonts w:ascii="华文楷体" w:hAnsi="华文楷体" w:eastAsia="华文楷体"/>
        </w:rPr>
      </w:pPr>
    </w:p>
    <w:p w14:paraId="5E1E1432">
      <w:pPr>
        <w:keepNext w:val="0"/>
        <w:pageBreakBefore w:val="0"/>
        <w:kinsoku/>
        <w:wordWrap/>
        <w:overflowPunct/>
        <w:topLinePunct w:val="0"/>
        <w:bidi w:val="0"/>
        <w:spacing w:line="300" w:lineRule="auto"/>
        <w:jc w:val="both"/>
        <w:textAlignment w:val="auto"/>
        <w:rPr>
          <w:rFonts w:ascii="黑体" w:hAnsi="华文楷体" w:eastAsia="黑体"/>
          <w:b/>
          <w:sz w:val="36"/>
          <w:szCs w:val="36"/>
        </w:rPr>
      </w:pPr>
    </w:p>
    <w:p w14:paraId="1AEAFAC0">
      <w:pPr>
        <w:keepNext w:val="0"/>
        <w:pageBreakBefore w:val="0"/>
        <w:kinsoku/>
        <w:wordWrap/>
        <w:overflowPunct/>
        <w:topLinePunct w:val="0"/>
        <w:bidi w:val="0"/>
        <w:spacing w:line="300" w:lineRule="auto"/>
        <w:jc w:val="both"/>
        <w:textAlignment w:val="auto"/>
        <w:rPr>
          <w:rFonts w:ascii="华文楷体" w:hAnsi="华文楷体" w:eastAsia="华文楷体"/>
        </w:rPr>
      </w:pPr>
    </w:p>
    <w:p w14:paraId="58A96CB0">
      <w:pPr>
        <w:keepNext w:val="0"/>
        <w:pageBreakBefore w:val="0"/>
        <w:kinsoku/>
        <w:wordWrap/>
        <w:overflowPunct/>
        <w:topLinePunct w:val="0"/>
        <w:bidi w:val="0"/>
        <w:spacing w:line="300" w:lineRule="auto"/>
        <w:jc w:val="both"/>
        <w:textAlignment w:val="auto"/>
        <w:rPr>
          <w:rFonts w:ascii="华文楷体" w:hAnsi="华文楷体" w:eastAsia="华文楷体"/>
        </w:rPr>
      </w:pPr>
    </w:p>
    <w:p w14:paraId="3A18EF35">
      <w:pPr>
        <w:keepNext w:val="0"/>
        <w:pageBreakBefore w:val="0"/>
        <w:kinsoku/>
        <w:wordWrap/>
        <w:overflowPunct/>
        <w:topLinePunct w:val="0"/>
        <w:bidi w:val="0"/>
        <w:spacing w:line="300" w:lineRule="auto"/>
        <w:jc w:val="both"/>
        <w:textAlignment w:val="auto"/>
        <w:rPr>
          <w:rFonts w:ascii="华文楷体" w:hAnsi="华文楷体" w:eastAsia="华文楷体"/>
        </w:rPr>
      </w:pPr>
    </w:p>
    <w:p w14:paraId="40302674">
      <w:pPr>
        <w:keepNext w:val="0"/>
        <w:pageBreakBefore w:val="0"/>
        <w:kinsoku/>
        <w:wordWrap/>
        <w:overflowPunct/>
        <w:topLinePunct w:val="0"/>
        <w:bidi w:val="0"/>
        <w:spacing w:line="300" w:lineRule="auto"/>
        <w:jc w:val="center"/>
        <w:textAlignment w:val="auto"/>
        <w:rPr>
          <w:rFonts w:ascii="黑体" w:hAnsi="华文楷体" w:eastAsia="黑体"/>
          <w:b/>
          <w:sz w:val="36"/>
          <w:szCs w:val="36"/>
        </w:rPr>
      </w:pPr>
      <w:r>
        <w:rPr>
          <w:rFonts w:hint="eastAsia" w:ascii="黑体" w:hAnsi="华文楷体" w:eastAsia="黑体"/>
          <w:b/>
          <w:sz w:val="36"/>
          <w:szCs w:val="36"/>
        </w:rPr>
        <w:t>采购技术规格书</w:t>
      </w:r>
    </w:p>
    <w:p w14:paraId="1011485D">
      <w:pPr>
        <w:keepNext w:val="0"/>
        <w:pageBreakBefore w:val="0"/>
        <w:kinsoku/>
        <w:wordWrap/>
        <w:overflowPunct/>
        <w:topLinePunct w:val="0"/>
        <w:bidi w:val="0"/>
        <w:spacing w:line="300" w:lineRule="auto"/>
        <w:jc w:val="both"/>
        <w:textAlignment w:val="auto"/>
        <w:rPr>
          <w:rFonts w:ascii="黑体" w:hAnsi="华文楷体" w:eastAsia="黑体"/>
          <w:b/>
          <w:sz w:val="36"/>
          <w:szCs w:val="36"/>
        </w:rPr>
      </w:pPr>
    </w:p>
    <w:p w14:paraId="46ADA56F">
      <w:pPr>
        <w:keepNext w:val="0"/>
        <w:pageBreakBefore w:val="0"/>
        <w:kinsoku/>
        <w:wordWrap/>
        <w:overflowPunct/>
        <w:topLinePunct w:val="0"/>
        <w:bidi w:val="0"/>
        <w:spacing w:line="300" w:lineRule="auto"/>
        <w:jc w:val="both"/>
        <w:textAlignment w:val="auto"/>
        <w:rPr>
          <w:rFonts w:ascii="黑体" w:hAnsi="华文楷体" w:eastAsia="黑体"/>
          <w:b/>
          <w:sz w:val="36"/>
          <w:szCs w:val="36"/>
        </w:rPr>
        <w:sectPr>
          <w:headerReference r:id="rId5" w:type="default"/>
          <w:footerReference r:id="rId7" w:type="default"/>
          <w:headerReference r:id="rId6" w:type="even"/>
          <w:pgSz w:w="11909" w:h="16834"/>
          <w:pgMar w:top="1440" w:right="1134" w:bottom="1440" w:left="1418" w:header="839" w:footer="720" w:gutter="0"/>
          <w:pgNumType w:start="1"/>
          <w:cols w:space="720" w:num="1"/>
        </w:sectPr>
      </w:pPr>
    </w:p>
    <w:p w14:paraId="4B9E07B3">
      <w:pPr>
        <w:keepNext w:val="0"/>
        <w:pageBreakBefore w:val="0"/>
        <w:kinsoku/>
        <w:wordWrap/>
        <w:overflowPunct/>
        <w:topLinePunct w:val="0"/>
        <w:bidi w:val="0"/>
        <w:spacing w:line="300" w:lineRule="auto"/>
        <w:jc w:val="both"/>
        <w:textAlignment w:val="auto"/>
        <w:rPr>
          <w:rFonts w:ascii="华文楷体" w:hAnsi="华文楷体" w:eastAsia="华文楷体"/>
        </w:rPr>
      </w:pPr>
    </w:p>
    <w:sdt>
      <w:sdtPr>
        <w:rPr>
          <w:rFonts w:asciiTheme="minorHAnsi" w:hAnsiTheme="minorHAnsi"/>
          <w:b w:val="0"/>
          <w:lang w:val="zh-CN"/>
        </w:rPr>
        <w:id w:val="-1153753587"/>
        <w:docPartObj>
          <w:docPartGallery w:val="Table of Contents"/>
          <w:docPartUnique/>
        </w:docPartObj>
      </w:sdtPr>
      <w:sdtEndPr>
        <w:rPr>
          <w:rFonts w:eastAsia="宋体" w:asciiTheme="minorHAnsi" w:hAnsiTheme="minorHAnsi"/>
          <w:b w:val="0"/>
          <w:bCs/>
          <w:lang w:val="zh-CN"/>
        </w:rPr>
      </w:sdtEndPr>
      <w:sdtContent>
        <w:p w14:paraId="0EFA63F8">
          <w:pPr>
            <w:pStyle w:val="69"/>
            <w:keepNext w:val="0"/>
            <w:pageBreakBefore w:val="0"/>
            <w:kinsoku/>
            <w:wordWrap/>
            <w:overflowPunct/>
            <w:topLinePunct w:val="0"/>
            <w:bidi w:val="0"/>
            <w:spacing w:line="300" w:lineRule="auto"/>
            <w:textAlignment w:val="auto"/>
          </w:pPr>
          <w:r>
            <w:rPr>
              <w:lang w:val="zh-CN"/>
            </w:rPr>
            <w:t>目录</w:t>
          </w:r>
        </w:p>
        <w:p w14:paraId="541EBFC6">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rPr>
              <w:rFonts w:asciiTheme="minorEastAsia" w:hAnsiTheme="minorEastAsia"/>
              <w:b w:val="0"/>
              <w:bCs w:val="0"/>
              <w:caps w:val="0"/>
              <w:sz w:val="24"/>
              <w:szCs w:val="24"/>
            </w:rPr>
            <w:fldChar w:fldCharType="begin"/>
          </w:r>
          <w:r>
            <w:rPr>
              <w:rFonts w:asciiTheme="minorEastAsia" w:hAnsiTheme="minorEastAsia"/>
              <w:b w:val="0"/>
              <w:bCs w:val="0"/>
              <w:caps w:val="0"/>
              <w:sz w:val="24"/>
              <w:szCs w:val="24"/>
            </w:rPr>
            <w:instrText xml:space="preserve"> TOC \o "1-2" \h \z \u </w:instrText>
          </w:r>
          <w:r>
            <w:rPr>
              <w:rFonts w:asciiTheme="minorEastAsia" w:hAnsiTheme="minorEastAsia"/>
              <w:b w:val="0"/>
              <w:bCs w:val="0"/>
              <w:caps w:val="0"/>
              <w:sz w:val="24"/>
              <w:szCs w:val="24"/>
            </w:rPr>
            <w:fldChar w:fldCharType="separate"/>
          </w:r>
          <w:r>
            <w:fldChar w:fldCharType="begin"/>
          </w:r>
          <w:r>
            <w:instrText xml:space="preserve"> HYPERLINK \l "_Toc179969142" </w:instrText>
          </w:r>
          <w:r>
            <w:fldChar w:fldCharType="separate"/>
          </w:r>
          <w:r>
            <w:rPr>
              <w:rStyle w:val="36"/>
              <w:rFonts w:hint="eastAsia" w:asciiTheme="minorEastAsia" w:hAnsiTheme="minorEastAsia"/>
              <w:b w:val="0"/>
              <w:sz w:val="24"/>
              <w:szCs w:val="24"/>
            </w:rPr>
            <w:t>一、总则</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_Toc179969142 \h </w:instrText>
          </w:r>
          <w:r>
            <w:rPr>
              <w:rFonts w:asciiTheme="minorEastAsia" w:hAnsiTheme="minorEastAsia"/>
              <w:b w:val="0"/>
              <w:sz w:val="24"/>
              <w:szCs w:val="24"/>
            </w:rPr>
            <w:fldChar w:fldCharType="separate"/>
          </w:r>
          <w:r>
            <w:rPr>
              <w:rFonts w:asciiTheme="minorEastAsia" w:hAnsiTheme="minorEastAsia"/>
              <w:b w:val="0"/>
              <w:sz w:val="24"/>
              <w:szCs w:val="24"/>
            </w:rPr>
            <w:t>1</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4E7E5237">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"_Toc179969143" </w:instrText>
          </w:r>
          <w:r>
            <w:fldChar w:fldCharType="separate"/>
          </w:r>
          <w:r>
            <w:rPr>
              <w:rStyle w:val="36"/>
              <w:rFonts w:asciiTheme="minorEastAsia" w:hAnsiTheme="minorEastAsia"/>
              <w:sz w:val="24"/>
              <w:szCs w:val="24"/>
            </w:rPr>
            <w:t>1</w:t>
          </w:r>
          <w:r>
            <w:rPr>
              <w:rStyle w:val="36"/>
              <w:rFonts w:hint="eastAsia" w:asciiTheme="minorEastAsia" w:hAnsiTheme="minorEastAsia"/>
              <w:sz w:val="24"/>
              <w:szCs w:val="24"/>
            </w:rPr>
            <w:t>、概述</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_Toc179969143 \h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r>
            <w:rPr>
              <w:rFonts w:asciiTheme="minorEastAsia" w:hAnsiTheme="minorEastAsia"/>
              <w:sz w:val="24"/>
              <w:szCs w:val="24"/>
            </w:rPr>
            <w:fldChar w:fldCharType="end"/>
          </w:r>
        </w:p>
        <w:p w14:paraId="0270B32F">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"_Toc179969144" </w:instrText>
          </w:r>
          <w:r>
            <w:fldChar w:fldCharType="separate"/>
          </w:r>
          <w:r>
            <w:rPr>
              <w:rStyle w:val="36"/>
              <w:rFonts w:asciiTheme="minorEastAsia" w:hAnsiTheme="minorEastAsia"/>
              <w:sz w:val="24"/>
              <w:szCs w:val="24"/>
            </w:rPr>
            <w:t>2</w:t>
          </w:r>
          <w:r>
            <w:rPr>
              <w:rStyle w:val="36"/>
              <w:rFonts w:hint="eastAsia" w:asciiTheme="minorEastAsia" w:hAnsiTheme="minorEastAsia"/>
              <w:sz w:val="24"/>
              <w:szCs w:val="24"/>
            </w:rPr>
            <w:t>、卖方资质业绩要求</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_Toc179969144 \h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r>
            <w:rPr>
              <w:rFonts w:asciiTheme="minorEastAsia" w:hAnsiTheme="minorEastAsia"/>
              <w:sz w:val="24"/>
              <w:szCs w:val="24"/>
            </w:rPr>
            <w:fldChar w:fldCharType="end"/>
          </w:r>
        </w:p>
        <w:p w14:paraId="6C700DC3">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"_Toc179969145" </w:instrText>
          </w:r>
          <w:r>
            <w:fldChar w:fldCharType="separate"/>
          </w:r>
          <w:r>
            <w:rPr>
              <w:rStyle w:val="36"/>
              <w:rFonts w:asciiTheme="minorEastAsia" w:hAnsiTheme="minorEastAsia"/>
              <w:sz w:val="24"/>
              <w:szCs w:val="24"/>
            </w:rPr>
            <w:t>3</w:t>
          </w:r>
          <w:r>
            <w:rPr>
              <w:rStyle w:val="36"/>
              <w:rFonts w:hint="eastAsia" w:asciiTheme="minorEastAsia" w:hAnsiTheme="minorEastAsia"/>
              <w:sz w:val="24"/>
              <w:szCs w:val="24"/>
            </w:rPr>
            <w:t>、卖方的责任</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_Toc179969145 \h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r>
            <w:rPr>
              <w:rFonts w:asciiTheme="minorEastAsia" w:hAnsiTheme="minorEastAsia"/>
              <w:sz w:val="24"/>
              <w:szCs w:val="24"/>
            </w:rPr>
            <w:fldChar w:fldCharType="end"/>
          </w:r>
        </w:p>
        <w:p w14:paraId="56ED0F50">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fldChar w:fldCharType="begin"/>
          </w:r>
          <w:r>
            <w:instrText xml:space="preserve"> HYPERLINK \l "_Toc179969146" </w:instrText>
          </w:r>
          <w:r>
            <w:fldChar w:fldCharType="separate"/>
          </w:r>
          <w:r>
            <w:rPr>
              <w:rStyle w:val="36"/>
              <w:rFonts w:hint="eastAsia" w:asciiTheme="minorEastAsia" w:hAnsiTheme="minorEastAsia"/>
              <w:b w:val="0"/>
              <w:sz w:val="24"/>
              <w:szCs w:val="24"/>
            </w:rPr>
            <w:t>二、测试样品及项目</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_Toc179969146 \h </w:instrText>
          </w:r>
          <w:r>
            <w:rPr>
              <w:rFonts w:asciiTheme="minorEastAsia" w:hAnsiTheme="minorEastAsia"/>
              <w:b w:val="0"/>
              <w:sz w:val="24"/>
              <w:szCs w:val="24"/>
            </w:rPr>
            <w:fldChar w:fldCharType="separate"/>
          </w:r>
          <w:r>
            <w:rPr>
              <w:rFonts w:asciiTheme="minorEastAsia" w:hAnsiTheme="minorEastAsia"/>
              <w:b w:val="0"/>
              <w:sz w:val="24"/>
              <w:szCs w:val="24"/>
            </w:rPr>
            <w:t>2</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3EB3DDD6">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fldChar w:fldCharType="begin"/>
          </w:r>
          <w:r>
            <w:instrText xml:space="preserve"> HYPERLINK \l "_Toc179969147" </w:instrText>
          </w:r>
          <w:r>
            <w:fldChar w:fldCharType="separate"/>
          </w:r>
          <w:r>
            <w:rPr>
              <w:rStyle w:val="36"/>
              <w:rFonts w:hint="eastAsia" w:asciiTheme="minorEastAsia" w:hAnsiTheme="minorEastAsia"/>
              <w:b w:val="0"/>
              <w:sz w:val="24"/>
              <w:szCs w:val="24"/>
            </w:rPr>
            <w:t>三、技术要求</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_Toc179969147 \h </w:instrText>
          </w:r>
          <w:r>
            <w:rPr>
              <w:rFonts w:asciiTheme="minorEastAsia" w:hAnsiTheme="minorEastAsia"/>
              <w:b w:val="0"/>
              <w:sz w:val="24"/>
              <w:szCs w:val="24"/>
            </w:rPr>
            <w:fldChar w:fldCharType="separate"/>
          </w:r>
          <w:r>
            <w:rPr>
              <w:rFonts w:asciiTheme="minorEastAsia" w:hAnsiTheme="minorEastAsia"/>
              <w:b w:val="0"/>
              <w:sz w:val="24"/>
              <w:szCs w:val="24"/>
            </w:rPr>
            <w:t>3</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64921AEC">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"_Toc179969148" </w:instrText>
          </w:r>
          <w:r>
            <w:fldChar w:fldCharType="separate"/>
          </w:r>
          <w:r>
            <w:rPr>
              <w:rStyle w:val="36"/>
              <w:rFonts w:asciiTheme="minorEastAsia" w:hAnsiTheme="minorEastAsia"/>
              <w:sz w:val="24"/>
              <w:szCs w:val="24"/>
            </w:rPr>
            <w:t>1</w:t>
          </w:r>
          <w:r>
            <w:rPr>
              <w:rStyle w:val="36"/>
              <w:rFonts w:hint="eastAsia" w:asciiTheme="minorEastAsia" w:hAnsiTheme="minorEastAsia"/>
              <w:sz w:val="24"/>
              <w:szCs w:val="24"/>
            </w:rPr>
            <w:t>、基本要求</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_Toc179969148 \h </w:instrText>
          </w:r>
          <w:r>
            <w:rPr>
              <w:rFonts w:asciiTheme="minorEastAsia" w:hAnsiTheme="minorEastAsia"/>
              <w:sz w:val="24"/>
              <w:szCs w:val="24"/>
            </w:rPr>
            <w:fldChar w:fldCharType="separate"/>
          </w:r>
          <w:r>
            <w:rPr>
              <w:rFonts w:asciiTheme="minorEastAsia" w:hAnsiTheme="minorEastAsia"/>
              <w:sz w:val="24"/>
              <w:szCs w:val="24"/>
            </w:rPr>
            <w:t>3</w:t>
          </w:r>
          <w:r>
            <w:rPr>
              <w:rFonts w:asciiTheme="minorEastAsia" w:hAnsiTheme="minorEastAsia"/>
              <w:sz w:val="24"/>
              <w:szCs w:val="24"/>
            </w:rPr>
            <w:fldChar w:fldCharType="end"/>
          </w:r>
          <w:r>
            <w:rPr>
              <w:rFonts w:asciiTheme="minorEastAsia" w:hAnsiTheme="minorEastAsia"/>
              <w:sz w:val="24"/>
              <w:szCs w:val="24"/>
            </w:rPr>
            <w:fldChar w:fldCharType="end"/>
          </w:r>
        </w:p>
        <w:p w14:paraId="1422128F">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"_Toc179969149" </w:instrText>
          </w:r>
          <w:r>
            <w:fldChar w:fldCharType="separate"/>
          </w:r>
          <w:r>
            <w:rPr>
              <w:rStyle w:val="36"/>
              <w:rFonts w:asciiTheme="minorEastAsia" w:hAnsiTheme="minorEastAsia"/>
              <w:sz w:val="24"/>
              <w:szCs w:val="24"/>
            </w:rPr>
            <w:t>2</w:t>
          </w:r>
          <w:r>
            <w:rPr>
              <w:rStyle w:val="36"/>
              <w:rFonts w:hint="eastAsia" w:asciiTheme="minorEastAsia" w:hAnsiTheme="minorEastAsia"/>
              <w:sz w:val="24"/>
              <w:szCs w:val="24"/>
            </w:rPr>
            <w:t>、供货范围（卖方供货清单明细）</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_Toc179969149 \h </w:instrText>
          </w:r>
          <w:r>
            <w:rPr>
              <w:rFonts w:asciiTheme="minorEastAsia" w:hAnsiTheme="minorEastAsia"/>
              <w:sz w:val="24"/>
              <w:szCs w:val="24"/>
            </w:rPr>
            <w:fldChar w:fldCharType="separate"/>
          </w:r>
          <w:r>
            <w:rPr>
              <w:rFonts w:asciiTheme="minorEastAsia" w:hAnsiTheme="minorEastAsia"/>
              <w:sz w:val="24"/>
              <w:szCs w:val="24"/>
            </w:rPr>
            <w:t>3</w:t>
          </w:r>
          <w:r>
            <w:rPr>
              <w:rFonts w:asciiTheme="minorEastAsia" w:hAnsiTheme="minorEastAsia"/>
              <w:sz w:val="24"/>
              <w:szCs w:val="24"/>
            </w:rPr>
            <w:fldChar w:fldCharType="end"/>
          </w:r>
          <w:r>
            <w:rPr>
              <w:rFonts w:asciiTheme="minorEastAsia" w:hAnsiTheme="minorEastAsia"/>
              <w:sz w:val="24"/>
              <w:szCs w:val="24"/>
            </w:rPr>
            <w:fldChar w:fldCharType="end"/>
          </w:r>
        </w:p>
        <w:p w14:paraId="33CAC483">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"_Toc179969150" </w:instrText>
          </w:r>
          <w:r>
            <w:fldChar w:fldCharType="separate"/>
          </w:r>
          <w:r>
            <w:rPr>
              <w:rStyle w:val="36"/>
              <w:rFonts w:asciiTheme="minorEastAsia" w:hAnsiTheme="minorEastAsia"/>
              <w:sz w:val="24"/>
              <w:szCs w:val="24"/>
            </w:rPr>
            <w:t>3</w:t>
          </w:r>
          <w:r>
            <w:rPr>
              <w:rStyle w:val="36"/>
              <w:rFonts w:hint="eastAsia" w:asciiTheme="minorEastAsia" w:hAnsiTheme="minorEastAsia"/>
              <w:sz w:val="24"/>
              <w:szCs w:val="24"/>
            </w:rPr>
            <w:t>、仪器技术指标和性能特点</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_Toc179969150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14:paraId="60ACD4B6">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"_Toc179969151" </w:instrText>
          </w:r>
          <w:r>
            <w:fldChar w:fldCharType="separate"/>
          </w:r>
          <w:r>
            <w:rPr>
              <w:rStyle w:val="36"/>
              <w:rFonts w:asciiTheme="minorEastAsia" w:hAnsiTheme="minorEastAsia"/>
              <w:sz w:val="24"/>
              <w:szCs w:val="24"/>
            </w:rPr>
            <w:t>4</w:t>
          </w:r>
          <w:r>
            <w:rPr>
              <w:rStyle w:val="36"/>
              <w:rFonts w:hint="eastAsia" w:asciiTheme="minorEastAsia" w:hAnsiTheme="minorEastAsia"/>
              <w:sz w:val="24"/>
              <w:szCs w:val="24"/>
            </w:rPr>
            <w:t>、仪器安装条件</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_Toc179969151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14:paraId="48E5E8C8">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fldChar w:fldCharType="begin"/>
          </w:r>
          <w:r>
            <w:instrText xml:space="preserve"> HYPERLINK \l "_Toc179969152" </w:instrText>
          </w:r>
          <w:r>
            <w:fldChar w:fldCharType="separate"/>
          </w:r>
          <w:r>
            <w:rPr>
              <w:rStyle w:val="36"/>
              <w:rFonts w:hint="eastAsia" w:asciiTheme="minorEastAsia" w:hAnsiTheme="minorEastAsia"/>
              <w:b w:val="0"/>
              <w:sz w:val="24"/>
              <w:szCs w:val="24"/>
            </w:rPr>
            <w:t>四、技术服务</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_Toc179969152 \h </w:instrText>
          </w:r>
          <w:r>
            <w:rPr>
              <w:rFonts w:asciiTheme="minorEastAsia" w:hAnsiTheme="minorEastAsia"/>
              <w:b w:val="0"/>
              <w:sz w:val="24"/>
              <w:szCs w:val="24"/>
            </w:rPr>
            <w:fldChar w:fldCharType="separate"/>
          </w:r>
          <w:r>
            <w:rPr>
              <w:rFonts w:asciiTheme="minorEastAsia" w:hAnsiTheme="minorEastAsia"/>
              <w:b w:val="0"/>
              <w:sz w:val="24"/>
              <w:szCs w:val="24"/>
            </w:rPr>
            <w:t>4</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557B8821">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"_Toc179969153" </w:instrText>
          </w:r>
          <w:r>
            <w:fldChar w:fldCharType="separate"/>
          </w:r>
          <w:r>
            <w:rPr>
              <w:rStyle w:val="36"/>
              <w:rFonts w:asciiTheme="minorEastAsia" w:hAnsiTheme="minorEastAsia"/>
              <w:sz w:val="24"/>
              <w:szCs w:val="24"/>
            </w:rPr>
            <w:t xml:space="preserve">1 </w:t>
          </w:r>
          <w:r>
            <w:rPr>
              <w:rStyle w:val="36"/>
              <w:rFonts w:hint="eastAsia" w:asciiTheme="minorEastAsia" w:hAnsiTheme="minorEastAsia"/>
              <w:sz w:val="24"/>
              <w:szCs w:val="24"/>
            </w:rPr>
            <w:t>、概述</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_Toc179969153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14:paraId="763D2F39">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"_Toc179969154" </w:instrText>
          </w:r>
          <w:r>
            <w:fldChar w:fldCharType="separate"/>
          </w:r>
          <w:r>
            <w:rPr>
              <w:rStyle w:val="36"/>
              <w:rFonts w:asciiTheme="minorEastAsia" w:hAnsiTheme="minorEastAsia"/>
              <w:sz w:val="24"/>
              <w:szCs w:val="24"/>
            </w:rPr>
            <w:t>2</w:t>
          </w:r>
          <w:r>
            <w:rPr>
              <w:rStyle w:val="36"/>
              <w:rFonts w:hint="eastAsia" w:asciiTheme="minorEastAsia" w:hAnsiTheme="minorEastAsia"/>
              <w:sz w:val="24"/>
              <w:szCs w:val="24"/>
            </w:rPr>
            <w:t>、仪器交货期</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_Toc179969154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14:paraId="6AD5EAFD">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"_Toc179969155" </w:instrText>
          </w:r>
          <w:r>
            <w:fldChar w:fldCharType="separate"/>
          </w:r>
          <w:r>
            <w:rPr>
              <w:rStyle w:val="36"/>
              <w:rFonts w:asciiTheme="minorEastAsia" w:hAnsiTheme="minorEastAsia"/>
              <w:sz w:val="24"/>
              <w:szCs w:val="24"/>
            </w:rPr>
            <w:t>3</w:t>
          </w:r>
          <w:r>
            <w:rPr>
              <w:rStyle w:val="36"/>
              <w:rFonts w:hint="eastAsia" w:asciiTheme="minorEastAsia" w:hAnsiTheme="minorEastAsia"/>
              <w:sz w:val="24"/>
              <w:szCs w:val="24"/>
            </w:rPr>
            <w:t>、验货</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_Toc179969155 \h </w:instrText>
          </w:r>
          <w:r>
            <w:rPr>
              <w:rFonts w:asciiTheme="minorEastAsia" w:hAnsiTheme="minorEastAsia"/>
              <w:sz w:val="24"/>
              <w:szCs w:val="24"/>
            </w:rPr>
            <w:fldChar w:fldCharType="separate"/>
          </w:r>
          <w:r>
            <w:rPr>
              <w:rFonts w:asciiTheme="minorEastAsia" w:hAnsiTheme="minorEastAsia"/>
              <w:sz w:val="24"/>
              <w:szCs w:val="24"/>
            </w:rPr>
            <w:t>4</w:t>
          </w:r>
          <w:r>
            <w:rPr>
              <w:rFonts w:asciiTheme="minorEastAsia" w:hAnsiTheme="minorEastAsia"/>
              <w:sz w:val="24"/>
              <w:szCs w:val="24"/>
            </w:rPr>
            <w:fldChar w:fldCharType="end"/>
          </w:r>
          <w:r>
            <w:rPr>
              <w:rFonts w:asciiTheme="minorEastAsia" w:hAnsiTheme="minorEastAsia"/>
              <w:sz w:val="24"/>
              <w:szCs w:val="24"/>
            </w:rPr>
            <w:fldChar w:fldCharType="end"/>
          </w:r>
        </w:p>
        <w:p w14:paraId="23E568F3">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"_Toc179969156" </w:instrText>
          </w:r>
          <w:r>
            <w:fldChar w:fldCharType="separate"/>
          </w:r>
          <w:r>
            <w:rPr>
              <w:rStyle w:val="36"/>
              <w:rFonts w:asciiTheme="minorEastAsia" w:hAnsiTheme="minorEastAsia"/>
              <w:sz w:val="24"/>
              <w:szCs w:val="24"/>
            </w:rPr>
            <w:t>4</w:t>
          </w:r>
          <w:r>
            <w:rPr>
              <w:rStyle w:val="36"/>
              <w:rFonts w:hint="eastAsia" w:asciiTheme="minorEastAsia" w:hAnsiTheme="minorEastAsia"/>
              <w:sz w:val="24"/>
              <w:szCs w:val="24"/>
            </w:rPr>
            <w:t>、仪器现场安装调试</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_Toc179969156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14:paraId="68DD1CF2">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"_Toc179969157" </w:instrText>
          </w:r>
          <w:r>
            <w:fldChar w:fldCharType="separate"/>
          </w:r>
          <w:r>
            <w:rPr>
              <w:rStyle w:val="36"/>
              <w:rFonts w:asciiTheme="minorEastAsia" w:hAnsiTheme="minorEastAsia"/>
              <w:sz w:val="24"/>
              <w:szCs w:val="24"/>
            </w:rPr>
            <w:t>5</w:t>
          </w:r>
          <w:r>
            <w:rPr>
              <w:rStyle w:val="36"/>
              <w:rFonts w:hint="eastAsia" w:asciiTheme="minorEastAsia" w:hAnsiTheme="minorEastAsia"/>
              <w:sz w:val="24"/>
              <w:szCs w:val="24"/>
            </w:rPr>
            <w:t>、仪器验收</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_Toc179969157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14:paraId="47EBC4D2">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"_Toc179969158" </w:instrText>
          </w:r>
          <w:r>
            <w:fldChar w:fldCharType="separate"/>
          </w:r>
          <w:r>
            <w:rPr>
              <w:rStyle w:val="36"/>
              <w:rFonts w:asciiTheme="minorEastAsia" w:hAnsiTheme="minorEastAsia"/>
              <w:sz w:val="24"/>
              <w:szCs w:val="24"/>
            </w:rPr>
            <w:t>6</w:t>
          </w:r>
          <w:r>
            <w:rPr>
              <w:rStyle w:val="36"/>
              <w:rFonts w:hint="eastAsia" w:asciiTheme="minorEastAsia" w:hAnsiTheme="minorEastAsia"/>
              <w:sz w:val="24"/>
              <w:szCs w:val="24"/>
            </w:rPr>
            <w:t>、培训</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_Toc179969158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14:paraId="1CB587D1">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"_Toc179969159" </w:instrText>
          </w:r>
          <w:r>
            <w:fldChar w:fldCharType="separate"/>
          </w:r>
          <w:r>
            <w:rPr>
              <w:rStyle w:val="36"/>
              <w:rFonts w:asciiTheme="minorEastAsia" w:hAnsiTheme="minorEastAsia"/>
              <w:sz w:val="24"/>
              <w:szCs w:val="24"/>
            </w:rPr>
            <w:t>7</w:t>
          </w:r>
          <w:r>
            <w:rPr>
              <w:rStyle w:val="36"/>
              <w:rFonts w:hint="eastAsia" w:asciiTheme="minorEastAsia" w:hAnsiTheme="minorEastAsia"/>
              <w:sz w:val="24"/>
              <w:szCs w:val="24"/>
            </w:rPr>
            <w:t>、保修期及售后服务</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_Toc179969159 \h </w:instrText>
          </w:r>
          <w:r>
            <w:rPr>
              <w:rFonts w:asciiTheme="minorEastAsia" w:hAnsiTheme="minorEastAsia"/>
              <w:sz w:val="24"/>
              <w:szCs w:val="24"/>
            </w:rPr>
            <w:fldChar w:fldCharType="separate"/>
          </w:r>
          <w:r>
            <w:rPr>
              <w:rFonts w:asciiTheme="minorEastAsia" w:hAnsiTheme="minorEastAsia"/>
              <w:sz w:val="24"/>
              <w:szCs w:val="24"/>
            </w:rPr>
            <w:t>5</w:t>
          </w:r>
          <w:r>
            <w:rPr>
              <w:rFonts w:asciiTheme="minorEastAsia" w:hAnsiTheme="minorEastAsia"/>
              <w:sz w:val="24"/>
              <w:szCs w:val="24"/>
            </w:rPr>
            <w:fldChar w:fldCharType="end"/>
          </w:r>
          <w:r>
            <w:rPr>
              <w:rFonts w:asciiTheme="minorEastAsia" w:hAnsiTheme="minorEastAsia"/>
              <w:sz w:val="24"/>
              <w:szCs w:val="24"/>
            </w:rPr>
            <w:fldChar w:fldCharType="end"/>
          </w:r>
        </w:p>
        <w:p w14:paraId="509F440E">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fldChar w:fldCharType="begin"/>
          </w:r>
          <w:r>
            <w:instrText xml:space="preserve"> HYPERLINK \l "_Toc179969160" </w:instrText>
          </w:r>
          <w:r>
            <w:fldChar w:fldCharType="separate"/>
          </w:r>
          <w:r>
            <w:rPr>
              <w:rStyle w:val="36"/>
              <w:rFonts w:hint="eastAsia" w:asciiTheme="minorEastAsia" w:hAnsiTheme="minorEastAsia"/>
              <w:b w:val="0"/>
              <w:snapToGrid w:val="0"/>
              <w:sz w:val="24"/>
              <w:szCs w:val="24"/>
            </w:rPr>
            <w:t>五、其他保证</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_Toc179969160 \h </w:instrText>
          </w:r>
          <w:r>
            <w:rPr>
              <w:rFonts w:asciiTheme="minorEastAsia" w:hAnsiTheme="minorEastAsia"/>
              <w:b w:val="0"/>
              <w:sz w:val="24"/>
              <w:szCs w:val="24"/>
            </w:rPr>
            <w:fldChar w:fldCharType="separate"/>
          </w:r>
          <w:r>
            <w:rPr>
              <w:rFonts w:asciiTheme="minorEastAsia" w:hAnsiTheme="minorEastAsia"/>
              <w:b w:val="0"/>
              <w:sz w:val="24"/>
              <w:szCs w:val="24"/>
            </w:rPr>
            <w:t>5</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78057A2E">
          <w:pPr>
            <w:pStyle w:val="23"/>
            <w:keepNext w:val="0"/>
            <w:pageBreakBefore w:val="0"/>
            <w:tabs>
              <w:tab w:val="right" w:leader="dot" w:pos="9347"/>
            </w:tabs>
            <w:kinsoku/>
            <w:wordWrap/>
            <w:overflowPunct/>
            <w:topLinePunct w:val="0"/>
            <w:bidi w:val="0"/>
            <w:spacing w:before="0" w:after="0" w:line="300" w:lineRule="auto"/>
            <w:jc w:val="both"/>
            <w:textAlignment w:val="auto"/>
            <w:rPr>
              <w:rFonts w:asciiTheme="minorEastAsia" w:hAnsiTheme="minorEastAsia" w:cstheme="minorBidi"/>
              <w:b w:val="0"/>
              <w:bCs w:val="0"/>
              <w:caps w:val="0"/>
              <w:kern w:val="2"/>
              <w:sz w:val="24"/>
              <w:szCs w:val="24"/>
            </w:rPr>
          </w:pPr>
          <w:r>
            <w:fldChar w:fldCharType="begin"/>
          </w:r>
          <w:r>
            <w:instrText xml:space="preserve"> HYPERLINK \l "_Toc179969161" </w:instrText>
          </w:r>
          <w:r>
            <w:fldChar w:fldCharType="separate"/>
          </w:r>
          <w:r>
            <w:rPr>
              <w:rStyle w:val="36"/>
              <w:rFonts w:hint="eastAsia" w:asciiTheme="minorEastAsia" w:hAnsiTheme="minorEastAsia"/>
              <w:b w:val="0"/>
              <w:sz w:val="24"/>
              <w:szCs w:val="24"/>
            </w:rPr>
            <w:t>附件一</w:t>
          </w:r>
          <w:r>
            <w:rPr>
              <w:rStyle w:val="36"/>
              <w:rFonts w:asciiTheme="minorEastAsia" w:hAnsiTheme="minorEastAsia"/>
              <w:b w:val="0"/>
              <w:sz w:val="24"/>
              <w:szCs w:val="24"/>
            </w:rPr>
            <w:t>:</w:t>
          </w:r>
          <w:r>
            <w:rPr>
              <w:rFonts w:asciiTheme="minorEastAsia" w:hAnsiTheme="minorEastAsia"/>
              <w:b w:val="0"/>
              <w:sz w:val="24"/>
              <w:szCs w:val="24"/>
            </w:rPr>
            <w:tab/>
          </w:r>
          <w:r>
            <w:rPr>
              <w:rFonts w:asciiTheme="minorEastAsia" w:hAnsiTheme="minorEastAsia"/>
              <w:b w:val="0"/>
              <w:sz w:val="24"/>
              <w:szCs w:val="24"/>
            </w:rPr>
            <w:fldChar w:fldCharType="begin"/>
          </w:r>
          <w:r>
            <w:rPr>
              <w:rFonts w:asciiTheme="minorEastAsia" w:hAnsiTheme="minorEastAsia"/>
              <w:b w:val="0"/>
              <w:sz w:val="24"/>
              <w:szCs w:val="24"/>
            </w:rPr>
            <w:instrText xml:space="preserve"> PAGEREF _Toc179969161 \h </w:instrText>
          </w:r>
          <w:r>
            <w:rPr>
              <w:rFonts w:asciiTheme="minorEastAsia" w:hAnsiTheme="minorEastAsia"/>
              <w:b w:val="0"/>
              <w:sz w:val="24"/>
              <w:szCs w:val="24"/>
            </w:rPr>
            <w:fldChar w:fldCharType="separate"/>
          </w:r>
          <w:r>
            <w:rPr>
              <w:rFonts w:asciiTheme="minorEastAsia" w:hAnsiTheme="minorEastAsia"/>
              <w:b w:val="0"/>
              <w:sz w:val="24"/>
              <w:szCs w:val="24"/>
            </w:rPr>
            <w:t>7</w:t>
          </w:r>
          <w:r>
            <w:rPr>
              <w:rFonts w:asciiTheme="minorEastAsia" w:hAnsiTheme="minorEastAsia"/>
              <w:b w:val="0"/>
              <w:sz w:val="24"/>
              <w:szCs w:val="24"/>
            </w:rPr>
            <w:fldChar w:fldCharType="end"/>
          </w:r>
          <w:r>
            <w:rPr>
              <w:rFonts w:asciiTheme="minorEastAsia" w:hAnsiTheme="minorEastAsia"/>
              <w:b w:val="0"/>
              <w:sz w:val="24"/>
              <w:szCs w:val="24"/>
            </w:rPr>
            <w:fldChar w:fldCharType="end"/>
          </w:r>
        </w:p>
        <w:p w14:paraId="073ED0C5">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"_Toc179969162" </w:instrText>
          </w:r>
          <w:r>
            <w:fldChar w:fldCharType="separate"/>
          </w:r>
          <w:r>
            <w:rPr>
              <w:rStyle w:val="36"/>
              <w:rFonts w:hint="eastAsia" w:asciiTheme="minorEastAsia" w:hAnsiTheme="minorEastAsia"/>
              <w:sz w:val="24"/>
              <w:szCs w:val="24"/>
            </w:rPr>
            <w:t>（一）分析仪器设备请购目录</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_Toc179969162 \h </w:instrText>
          </w:r>
          <w:r>
            <w:rPr>
              <w:rFonts w:asciiTheme="minorEastAsia" w:hAnsiTheme="minorEastAsia"/>
              <w:sz w:val="24"/>
              <w:szCs w:val="24"/>
            </w:rPr>
            <w:fldChar w:fldCharType="separate"/>
          </w:r>
          <w:r>
            <w:rPr>
              <w:rFonts w:asciiTheme="minorEastAsia" w:hAnsiTheme="minorEastAsia"/>
              <w:sz w:val="24"/>
              <w:szCs w:val="24"/>
            </w:rPr>
            <w:t>7</w:t>
          </w:r>
          <w:r>
            <w:rPr>
              <w:rFonts w:asciiTheme="minorEastAsia" w:hAnsiTheme="minorEastAsia"/>
              <w:sz w:val="24"/>
              <w:szCs w:val="24"/>
            </w:rPr>
            <w:fldChar w:fldCharType="end"/>
          </w:r>
          <w:r>
            <w:rPr>
              <w:rFonts w:asciiTheme="minorEastAsia" w:hAnsiTheme="minorEastAsia"/>
              <w:sz w:val="24"/>
              <w:szCs w:val="24"/>
            </w:rPr>
            <w:fldChar w:fldCharType="end"/>
          </w:r>
        </w:p>
        <w:p w14:paraId="20B625B7">
          <w:pPr>
            <w:pStyle w:val="27"/>
            <w:keepNext w:val="0"/>
            <w:pageBreakBefore w:val="0"/>
            <w:tabs>
              <w:tab w:val="right" w:leader="dot" w:pos="9347"/>
            </w:tabs>
            <w:kinsoku/>
            <w:wordWrap/>
            <w:overflowPunct/>
            <w:topLinePunct w:val="0"/>
            <w:bidi w:val="0"/>
            <w:spacing w:line="300" w:lineRule="auto"/>
            <w:jc w:val="both"/>
            <w:textAlignment w:val="auto"/>
            <w:rPr>
              <w:rFonts w:asciiTheme="minorEastAsia" w:hAnsiTheme="minorEastAsia" w:cstheme="minorBidi"/>
              <w:smallCaps w:val="0"/>
              <w:kern w:val="2"/>
              <w:sz w:val="24"/>
              <w:szCs w:val="24"/>
            </w:rPr>
          </w:pPr>
          <w:r>
            <w:fldChar w:fldCharType="begin"/>
          </w:r>
          <w:r>
            <w:instrText xml:space="preserve"> HYPERLINK \l "_Toc179969163" </w:instrText>
          </w:r>
          <w:r>
            <w:fldChar w:fldCharType="separate"/>
          </w:r>
          <w:r>
            <w:rPr>
              <w:rStyle w:val="36"/>
              <w:rFonts w:hint="eastAsia" w:asciiTheme="minorEastAsia" w:hAnsiTheme="minorEastAsia"/>
              <w:sz w:val="24"/>
              <w:szCs w:val="24"/>
            </w:rPr>
            <w:t>（二）请购要求</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_Toc179969163 \h </w:instrText>
          </w:r>
          <w:r>
            <w:rPr>
              <w:rFonts w:asciiTheme="minorEastAsia" w:hAnsiTheme="minorEastAsia"/>
              <w:sz w:val="24"/>
              <w:szCs w:val="24"/>
            </w:rPr>
            <w:fldChar w:fldCharType="separate"/>
          </w:r>
          <w:r>
            <w:rPr>
              <w:rFonts w:asciiTheme="minorEastAsia" w:hAnsiTheme="minorEastAsia"/>
              <w:sz w:val="24"/>
              <w:szCs w:val="24"/>
            </w:rPr>
            <w:t>7</w:t>
          </w:r>
          <w:r>
            <w:rPr>
              <w:rFonts w:asciiTheme="minorEastAsia" w:hAnsiTheme="minorEastAsia"/>
              <w:sz w:val="24"/>
              <w:szCs w:val="24"/>
            </w:rPr>
            <w:fldChar w:fldCharType="end"/>
          </w:r>
          <w:r>
            <w:rPr>
              <w:rFonts w:asciiTheme="minorEastAsia" w:hAnsiTheme="minorEastAsia"/>
              <w:sz w:val="24"/>
              <w:szCs w:val="24"/>
            </w:rPr>
            <w:fldChar w:fldCharType="end"/>
          </w:r>
        </w:p>
        <w:p w14:paraId="495F9703">
          <w:pPr>
            <w:keepNext w:val="0"/>
            <w:pageBreakBefore w:val="0"/>
            <w:kinsoku/>
            <w:wordWrap/>
            <w:overflowPunct/>
            <w:topLinePunct w:val="0"/>
            <w:bidi w:val="0"/>
            <w:spacing w:line="300" w:lineRule="auto"/>
            <w:jc w:val="both"/>
            <w:textAlignment w:val="auto"/>
            <w:rPr>
              <w:rFonts w:ascii="宋体" w:hAnsi="宋体" w:eastAsia="宋体"/>
            </w:rPr>
          </w:pPr>
          <w:r>
            <w:rPr>
              <w:rFonts w:asciiTheme="minorEastAsia" w:hAnsiTheme="minorEastAsia" w:cstheme="minorHAnsi"/>
              <w:bCs/>
              <w:caps/>
            </w:rPr>
            <w:fldChar w:fldCharType="end"/>
          </w:r>
        </w:p>
      </w:sdtContent>
    </w:sdt>
    <w:p w14:paraId="0C7761FA">
      <w:pPr>
        <w:keepNext w:val="0"/>
        <w:pageBreakBefore w:val="0"/>
        <w:kinsoku/>
        <w:wordWrap/>
        <w:overflowPunct/>
        <w:topLinePunct w:val="0"/>
        <w:bidi w:val="0"/>
        <w:spacing w:line="300" w:lineRule="auto"/>
        <w:jc w:val="both"/>
        <w:textAlignment w:val="auto"/>
        <w:rPr>
          <w:rFonts w:ascii="宋体" w:hAnsi="宋体" w:eastAsia="宋体"/>
        </w:rPr>
        <w:sectPr>
          <w:footerReference r:id="rId8" w:type="default"/>
          <w:pgSz w:w="11909" w:h="16834"/>
          <w:pgMar w:top="1440" w:right="1134" w:bottom="1440" w:left="1418" w:header="839" w:footer="720" w:gutter="0"/>
          <w:pgNumType w:start="1"/>
          <w:cols w:space="720" w:num="1"/>
        </w:sectPr>
      </w:pPr>
    </w:p>
    <w:p w14:paraId="05245F2C">
      <w:pPr>
        <w:pStyle w:val="2"/>
        <w:keepNext w:val="0"/>
        <w:pageBreakBefore w:val="0"/>
        <w:kinsoku/>
        <w:wordWrap/>
        <w:overflowPunct/>
        <w:topLinePunct w:val="0"/>
        <w:bidi w:val="0"/>
        <w:spacing w:line="300" w:lineRule="auto"/>
        <w:textAlignment w:val="auto"/>
      </w:pPr>
      <w:bookmarkStart w:id="1" w:name="_Toc179969142"/>
      <w:bookmarkStart w:id="2" w:name="_Toc194850708"/>
      <w:r>
        <w:rPr>
          <w:rFonts w:hint="eastAsia"/>
        </w:rPr>
        <w:t>一、总则</w:t>
      </w:r>
      <w:bookmarkEnd w:id="1"/>
    </w:p>
    <w:p w14:paraId="54D4C41F">
      <w:pPr>
        <w:pStyle w:val="3"/>
        <w:keepNext w:val="0"/>
        <w:pageBreakBefore w:val="0"/>
        <w:kinsoku/>
        <w:wordWrap/>
        <w:overflowPunct/>
        <w:topLinePunct w:val="0"/>
        <w:bidi w:val="0"/>
        <w:spacing w:line="300" w:lineRule="auto"/>
        <w:textAlignment w:val="auto"/>
      </w:pPr>
      <w:bookmarkStart w:id="3" w:name="_Toc179969143"/>
      <w:r>
        <w:rPr>
          <w:rFonts w:hint="eastAsia"/>
        </w:rPr>
        <w:t>1、概述</w:t>
      </w:r>
      <w:bookmarkEnd w:id="3"/>
    </w:p>
    <w:p w14:paraId="553BACCA">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宋体" w:hAnsi="宋体"/>
        </w:rPr>
        <w:t>1.1 本采购技术规格书详细说明了买方对所购买的</w:t>
      </w:r>
      <w:r>
        <w:rPr>
          <w:rFonts w:hint="eastAsia" w:ascii="宋体" w:hAnsi="宋体"/>
          <w:lang w:val="en-US" w:eastAsia="zh-CN"/>
        </w:rPr>
        <w:t>水质环保</w:t>
      </w:r>
      <w:r>
        <w:rPr>
          <w:rFonts w:hint="eastAsia" w:ascii="宋体" w:hAnsi="宋体"/>
        </w:rPr>
        <w:t>分析仪器（</w:t>
      </w:r>
      <w:r>
        <w:rPr>
          <w:rFonts w:hint="eastAsia" w:ascii="宋体" w:hAnsi="宋体"/>
          <w:b/>
        </w:rPr>
        <w:t>具体清单详见附件一</w:t>
      </w:r>
      <w:r>
        <w:rPr>
          <w:rFonts w:hint="eastAsia" w:asciiTheme="minorEastAsia" w:hAnsiTheme="minorEastAsia"/>
          <w:b/>
          <w:bCs/>
        </w:rPr>
        <w:t>分析仪器设备请购目录</w:t>
      </w:r>
      <w:r>
        <w:rPr>
          <w:rFonts w:hint="eastAsia" w:ascii="宋体" w:hAnsi="宋体"/>
        </w:rPr>
        <w:t>）的要求，</w:t>
      </w:r>
      <w:r>
        <w:rPr>
          <w:rFonts w:hint="eastAsia" w:ascii="宋体" w:hAnsi="宋体"/>
          <w:snapToGrid w:val="0"/>
        </w:rPr>
        <w:t>卖方需达成本采购技术规格书要求。采购技术规格书是编写技术协议书的基础文件；技术协议书作为商务合同附件与之同时生效，并具有同等法律效力。</w:t>
      </w:r>
    </w:p>
    <w:p w14:paraId="5244F7C0">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1.2 在签订合同之后，买方保留对本协议提出补充要求和修改的权利，买卖双方可举行设计条件会议，如对供货清单、系统配置、仪器规格、服务条款、文件资料、具体的交付时间等方面内容进行再次确认。经双方确认后的文件即成为补充技术协议书，具有订货合同附件的同等效力。</w:t>
      </w:r>
    </w:p>
    <w:p w14:paraId="32156F22">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1.3 本采购技术规格书中，术语“买方”特指最终用户，术语“卖方”特指分析仪器系统供货商（制造商或代理商），术语“采购技术规格书”特指买方发出的技术招标文件。术语“技术协议书”特指卖方根据买方提供的规定格式做出的技术应标文件，即采购技术方案、技术投标书、技术应标书。</w:t>
      </w:r>
    </w:p>
    <w:p w14:paraId="31134A75">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w:t>
      </w:r>
      <w:r>
        <w:rPr>
          <w:rFonts w:ascii="宋体" w:hAnsi="宋体"/>
        </w:rPr>
        <w:t xml:space="preserve">.4 </w:t>
      </w:r>
      <w:r>
        <w:rPr>
          <w:rFonts w:hint="eastAsia" w:ascii="宋体" w:hAnsi="宋体"/>
        </w:rPr>
        <w:t>技术条款（参数）加注星号（“*”），不满足任何一条带星号(“*”）的条款（参数）将导致废标。</w:t>
      </w:r>
    </w:p>
    <w:p w14:paraId="655BF283">
      <w:pPr>
        <w:pStyle w:val="3"/>
        <w:keepNext w:val="0"/>
        <w:pageBreakBefore w:val="0"/>
        <w:kinsoku/>
        <w:wordWrap/>
        <w:overflowPunct/>
        <w:topLinePunct w:val="0"/>
        <w:bidi w:val="0"/>
        <w:spacing w:line="300" w:lineRule="auto"/>
        <w:textAlignment w:val="auto"/>
      </w:pPr>
      <w:bookmarkStart w:id="4" w:name="_Toc179969144"/>
      <w:r>
        <w:t>2</w:t>
      </w:r>
      <w:r>
        <w:rPr>
          <w:rFonts w:hint="eastAsia"/>
        </w:rPr>
        <w:t>、卖方资质业绩要求</w:t>
      </w:r>
      <w:bookmarkEnd w:id="4"/>
    </w:p>
    <w:p w14:paraId="70B6E68B">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2</w:t>
      </w:r>
      <w:r>
        <w:rPr>
          <w:rFonts w:hint="eastAsia" w:ascii="宋体" w:hAnsi="宋体"/>
        </w:rPr>
        <w:t>.</w:t>
      </w:r>
      <w:r>
        <w:rPr>
          <w:rFonts w:ascii="宋体" w:hAnsi="宋体"/>
        </w:rPr>
        <w:t>1</w:t>
      </w:r>
      <w:r>
        <w:rPr>
          <w:rFonts w:hint="eastAsia" w:ascii="宋体" w:hAnsi="宋体"/>
        </w:rPr>
        <w:t xml:space="preserve"> 卖方提供的系统必须符合最新版本质量规范和方法标准的要求。卖方提供的仪器品牌必须是在石油和石化行业近</w:t>
      </w:r>
      <w:r>
        <w:rPr>
          <w:rFonts w:ascii="宋体" w:hAnsi="宋体"/>
        </w:rPr>
        <w:t>3</w:t>
      </w:r>
      <w:r>
        <w:rPr>
          <w:rFonts w:hint="eastAsia" w:ascii="宋体" w:hAnsi="宋体"/>
        </w:rPr>
        <w:t>年有5家以上用户的品牌。</w:t>
      </w:r>
    </w:p>
    <w:p w14:paraId="6A996C02">
      <w:pPr>
        <w:keepNext w:val="0"/>
        <w:keepLines/>
        <w:pageBreakBefore w:val="0"/>
        <w:kinsoku/>
        <w:wordWrap/>
        <w:overflowPunct/>
        <w:topLinePunct w:val="0"/>
        <w:bidi w:val="0"/>
        <w:spacing w:line="300" w:lineRule="auto"/>
        <w:jc w:val="both"/>
        <w:textAlignment w:val="auto"/>
        <w:rPr>
          <w:rFonts w:ascii="宋体" w:hAnsi="宋体"/>
        </w:rPr>
      </w:pPr>
      <w:r>
        <w:rPr>
          <w:rFonts w:hint="eastAsia" w:ascii="宋体" w:hAnsi="宋体"/>
        </w:rPr>
        <w:t>2</w:t>
      </w:r>
      <w:r>
        <w:rPr>
          <w:rFonts w:ascii="宋体" w:hAnsi="宋体"/>
        </w:rPr>
        <w:t>.2</w:t>
      </w:r>
      <w:r>
        <w:rPr>
          <w:rFonts w:hint="eastAsia" w:ascii="宋体" w:hAnsi="宋体"/>
        </w:rPr>
        <w:t>卖方在中华人民共和国国境内（不含港、澳、台地区）承揽过一项合同金额不低于</w:t>
      </w:r>
      <w:r>
        <w:rPr>
          <w:rFonts w:hint="eastAsia" w:ascii="宋体" w:hAnsi="宋体"/>
          <w:lang w:val="en-US" w:eastAsia="zh-CN"/>
        </w:rPr>
        <w:t>15</w:t>
      </w:r>
      <w:r>
        <w:rPr>
          <w:rFonts w:hint="eastAsia" w:ascii="宋体" w:hAnsi="宋体"/>
        </w:rPr>
        <w:t>0万元人民币的实验室分析设备供货业绩。并提供业绩证明(证明其销售业绩的合同和发票复印件，并由投标人代表签字或盖章)。</w:t>
      </w:r>
    </w:p>
    <w:p w14:paraId="2DCDE914">
      <w:pPr>
        <w:pStyle w:val="3"/>
        <w:keepNext w:val="0"/>
        <w:pageBreakBefore w:val="0"/>
        <w:kinsoku/>
        <w:wordWrap/>
        <w:overflowPunct/>
        <w:topLinePunct w:val="0"/>
        <w:bidi w:val="0"/>
        <w:spacing w:line="300" w:lineRule="auto"/>
        <w:textAlignment w:val="auto"/>
      </w:pPr>
      <w:bookmarkStart w:id="5" w:name="_Toc179969145"/>
      <w:r>
        <w:t>3</w:t>
      </w:r>
      <w:r>
        <w:rPr>
          <w:rFonts w:hint="eastAsia"/>
        </w:rPr>
        <w:t>、卖方的责任</w:t>
      </w:r>
      <w:bookmarkEnd w:id="5"/>
    </w:p>
    <w:p w14:paraId="39246542">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.1卖方必须根据本请购技术规格书的规定，提供技术响应文件供买方确认审查，提供最终资料和随机资料，并应确保提供的技术资料准确无误。</w:t>
      </w:r>
    </w:p>
    <w:p w14:paraId="0EB4E6B0">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.2卖方必须按照本采购技术规格书的要求，对</w:t>
      </w:r>
      <w:r>
        <w:rPr>
          <w:rFonts w:hint="eastAsia" w:ascii="宋体" w:hAnsi="宋体"/>
          <w:lang w:val="en-US" w:eastAsia="zh-CN"/>
        </w:rPr>
        <w:t>水质环保</w:t>
      </w:r>
      <w:r>
        <w:rPr>
          <w:rFonts w:hint="eastAsia" w:ascii="宋体" w:hAnsi="宋体"/>
        </w:rPr>
        <w:t>分析仪器系统进行选型，保证选型的正确性，并完全满足买方的应用要求，选型错误必须由卖方负责。</w:t>
      </w:r>
    </w:p>
    <w:p w14:paraId="53C1B92B">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3本采购技术规格书作为合同附件的一部分，卖方必须保证其提供的产品满足本规格书的技术要求，并能适应本规格书中提出的使用环境及场合。除特殊说明外，技术要求应以本规格文件为准。如有不符合，无论卖方文件是否被买方确认，所产生的问题必须由卖方负责。</w:t>
      </w:r>
    </w:p>
    <w:p w14:paraId="3B49B420">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.4卖方必须按本采购技术规格书要求提供</w:t>
      </w:r>
      <w:r>
        <w:rPr>
          <w:rFonts w:hint="eastAsia" w:ascii="宋体" w:hAnsi="宋体"/>
          <w:lang w:val="en-US" w:eastAsia="zh-CN"/>
        </w:rPr>
        <w:t>水质</w:t>
      </w:r>
      <w:r>
        <w:rPr>
          <w:rFonts w:hint="eastAsia" w:ascii="宋体" w:hAnsi="宋体"/>
        </w:rPr>
        <w:t>分析</w:t>
      </w:r>
      <w:r>
        <w:rPr>
          <w:rFonts w:hint="eastAsia" w:ascii="宋体" w:hAnsi="宋体"/>
          <w:lang w:val="en-US" w:eastAsia="zh-CN"/>
        </w:rPr>
        <w:t>环保</w:t>
      </w:r>
      <w:r>
        <w:rPr>
          <w:rFonts w:hint="eastAsia" w:ascii="宋体" w:hAnsi="宋体"/>
        </w:rPr>
        <w:t>仪器硬件、软件、技术服务、技术培训、包装运输、开箱验收、安装调试、售后服务等，并对以上提供的货物、服务及整套系统的最终运转负有完全责任。</w:t>
      </w:r>
    </w:p>
    <w:p w14:paraId="13B70D5A">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5卖方提供的仪器必须是完整的。整个系统应经过出厂测试，只要接上电源和输入输出信号即可实现其全部功能，并能满足买方实验室分析测试的要求。凡属系统运行所必需的硬件、软件和技术服务，即使本采购技术规格书中没有提出要求，卖方也应负此责任。</w:t>
      </w:r>
    </w:p>
    <w:p w14:paraId="7E897649">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.6卖方提供的油品分析仪器系统应整体供货。若某些部件或附件不能整体安装，卖方应得到买方的批准。</w:t>
      </w:r>
    </w:p>
    <w:p w14:paraId="68D485F2">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.7当本请购技术规格书中的要求与相关的标准、规范、数据表、图纸和请购单等有任何冲突，应提交给买方澄清/解决。</w:t>
      </w:r>
    </w:p>
    <w:p w14:paraId="2995B1EA">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w:t>
      </w:r>
      <w:r>
        <w:rPr>
          <w:rFonts w:hint="eastAsia" w:ascii="宋体" w:hAnsi="宋体"/>
        </w:rPr>
        <w:t>.8本采购技术规格书中的要求中所有涉及到分析标准方法里指定仪器品牌、指定仪器型号等均不作为本次招投标规定指标。</w:t>
      </w:r>
    </w:p>
    <w:bookmarkEnd w:id="2"/>
    <w:p w14:paraId="4DAD4DC9">
      <w:pPr>
        <w:keepNext w:val="0"/>
        <w:keepLines/>
        <w:pageBreakBefore w:val="0"/>
        <w:kinsoku/>
        <w:wordWrap/>
        <w:overflowPunct/>
        <w:topLinePunct w:val="0"/>
        <w:bidi w:val="0"/>
        <w:spacing w:line="300" w:lineRule="auto"/>
        <w:jc w:val="both"/>
        <w:textAlignment w:val="auto"/>
        <w:rPr>
          <w:rFonts w:ascii="宋体" w:hAnsi="宋体"/>
        </w:rPr>
      </w:pPr>
      <w:bookmarkStart w:id="6" w:name="_Toc194850710"/>
      <w:r>
        <w:rPr>
          <w:rFonts w:ascii="宋体" w:hAnsi="宋体"/>
        </w:rPr>
        <w:t>3.9</w:t>
      </w:r>
      <w:r>
        <w:rPr>
          <w:rFonts w:hint="eastAsia" w:ascii="宋体" w:hAnsi="宋体"/>
        </w:rPr>
        <w:t xml:space="preserve"> 在卖方的合同中，如果买方所购买的仪器涉及到第三方的设备、部件和软件，那制造商和代理商都要在相关的技术协议书上签字。</w:t>
      </w:r>
    </w:p>
    <w:p w14:paraId="32A8EA24">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3.10</w:t>
      </w:r>
      <w:r>
        <w:rPr>
          <w:rFonts w:hint="eastAsia" w:ascii="宋体" w:hAnsi="宋体"/>
        </w:rPr>
        <w:t xml:space="preserve"> 技术协议书是经买方与卖方根据采购技术规格书要求而定。技术协议书（包括所有附件）一式两份（或三份），双方（或三方）签字方可生效。其中双方包括买方和卖方，三方包括买方、制造商和代理商。特别说明：不接受二次代理商的报价。</w:t>
      </w:r>
    </w:p>
    <w:p w14:paraId="4048E324">
      <w:pPr>
        <w:keepNext w:val="0"/>
        <w:keepLines/>
        <w:pageBreakBefore w:val="0"/>
        <w:kinsoku/>
        <w:wordWrap/>
        <w:overflowPunct/>
        <w:topLinePunct w:val="0"/>
        <w:bidi w:val="0"/>
        <w:spacing w:line="300" w:lineRule="auto"/>
        <w:jc w:val="both"/>
        <w:textAlignment w:val="auto"/>
        <w:rPr>
          <w:rFonts w:ascii="宋体" w:hAnsi="宋体"/>
        </w:rPr>
      </w:pPr>
      <w:r>
        <w:rPr>
          <w:rFonts w:ascii="宋体" w:hAnsi="宋体"/>
        </w:rPr>
        <w:t xml:space="preserve">3.11 </w:t>
      </w:r>
      <w:r>
        <w:rPr>
          <w:rFonts w:hint="eastAsia" w:ascii="宋体" w:hAnsi="宋体"/>
        </w:rPr>
        <w:t>上述责任须全部包含在合同供货范围中。如由于卖方不履行职责而造成的一切后果必须由卖方承担。</w:t>
      </w:r>
    </w:p>
    <w:p w14:paraId="0D3AD514">
      <w:pPr>
        <w:pStyle w:val="2"/>
        <w:rPr>
          <w:rFonts w:hint="default" w:ascii="宋体" w:hAnsi="宋体" w:eastAsia="宋体" w:cs="宋体"/>
          <w:b w:val="0"/>
          <w:bCs/>
          <w:color w:val="000000"/>
          <w:highlight w:val="none"/>
          <w:lang w:val="en-US" w:eastAsia="zh-CN"/>
        </w:rPr>
      </w:pPr>
      <w:bookmarkStart w:id="7" w:name="_Toc179969146"/>
      <w:r>
        <w:rPr>
          <w:rFonts w:hint="eastAsia"/>
        </w:rPr>
        <w:t>二、测试样品及项目</w:t>
      </w:r>
      <w:bookmarkEnd w:id="7"/>
    </w:p>
    <w:p w14:paraId="36804592">
      <w:pPr>
        <w:keepNext w:val="0"/>
        <w:keepLines/>
        <w:pageBreakBefore w:val="0"/>
        <w:kinsoku/>
        <w:wordWrap/>
        <w:overflowPunct/>
        <w:topLinePunct w:val="0"/>
        <w:bidi w:val="0"/>
        <w:spacing w:line="300" w:lineRule="auto"/>
        <w:jc w:val="both"/>
        <w:textAlignment w:val="auto"/>
        <w:rPr>
          <w:rFonts w:hint="default" w:ascii="宋体" w:hAnsi="宋体" w:eastAsiaTheme="minorEastAsia"/>
          <w:b/>
          <w:lang w:val="en-US" w:eastAsia="zh-CN"/>
        </w:rPr>
      </w:pPr>
      <w:r>
        <w:rPr>
          <w:rFonts w:hint="eastAsia" w:ascii="宋体" w:hAnsi="宋体"/>
          <w:b/>
          <w:lang w:val="en-US" w:eastAsia="zh-CN"/>
        </w:rPr>
        <w:t>1</w:t>
      </w:r>
      <w:r>
        <w:rPr>
          <w:rFonts w:hint="eastAsia" w:ascii="宋体" w:hAnsi="宋体"/>
          <w:b/>
        </w:rPr>
        <w:t>、</w:t>
      </w:r>
      <w:r>
        <w:rPr>
          <w:rFonts w:hint="eastAsia" w:ascii="宋体" w:hAnsi="宋体"/>
          <w:b/>
          <w:lang w:val="en-US" w:eastAsia="zh-CN"/>
        </w:rPr>
        <w:t>连续流动分析仪测硫化物、硅/铁</w:t>
      </w:r>
    </w:p>
    <w:p w14:paraId="55896E41">
      <w:pPr>
        <w:keepNext w:val="0"/>
        <w:pageBreakBefore w:val="0"/>
        <w:tabs>
          <w:tab w:val="left" w:pos="6030"/>
        </w:tabs>
        <w:kinsoku/>
        <w:wordWrap/>
        <w:overflowPunct/>
        <w:topLinePunct w:val="0"/>
        <w:bidi w:val="0"/>
        <w:adjustRightInd w:val="0"/>
        <w:snapToGrid w:val="0"/>
        <w:spacing w:line="300" w:lineRule="auto"/>
        <w:jc w:val="both"/>
        <w:textAlignment w:val="auto"/>
        <w:rPr>
          <w:rFonts w:cs="Arial" w:asciiTheme="minorEastAsia" w:hAnsiTheme="minorEastAsia"/>
        </w:rPr>
      </w:pPr>
      <w:r>
        <w:rPr>
          <w:rFonts w:hint="eastAsia" w:asciiTheme="minorEastAsia" w:hAnsiTheme="minorEastAsia"/>
          <w:lang w:val="en-US" w:eastAsia="zh-CN"/>
        </w:rPr>
        <w:t>1</w:t>
      </w:r>
      <w:r>
        <w:rPr>
          <w:rFonts w:asciiTheme="minorEastAsia" w:hAnsiTheme="minorEastAsia"/>
        </w:rPr>
        <w:t>.1</w:t>
      </w:r>
      <w:r>
        <w:rPr>
          <w:rFonts w:hint="eastAsia" w:ascii="宋体" w:hAnsi="宋体"/>
          <w:snapToGrid w:val="0"/>
        </w:rPr>
        <w:t>适用于</w:t>
      </w:r>
      <w:r>
        <w:rPr>
          <w:rFonts w:hint="eastAsia" w:asciiTheme="minorEastAsia" w:hAnsiTheme="minorEastAsia"/>
          <w:lang w:val="en-US" w:eastAsia="zh-CN"/>
        </w:rPr>
        <w:t>地表水、</w:t>
      </w:r>
      <w:r>
        <w:rPr>
          <w:rFonts w:hint="eastAsia" w:cs="宋体-方正超大字符集"/>
        </w:rPr>
        <w:t>工业污水中</w:t>
      </w:r>
      <w:r>
        <w:rPr>
          <w:rFonts w:hint="eastAsia"/>
          <w:bCs/>
        </w:rPr>
        <w:t>硫化物（0.01</w:t>
      </w:r>
      <w:r>
        <w:rPr>
          <w:rFonts w:hint="eastAsia"/>
        </w:rPr>
        <w:t>～30mg/L）、锅炉用水中二氧化硅</w:t>
      </w:r>
      <w:r>
        <w:rPr>
          <w:rFonts w:hint="eastAsia"/>
          <w:bCs/>
        </w:rPr>
        <w:t>（0.0</w:t>
      </w:r>
      <w:r>
        <w:rPr>
          <w:rFonts w:hint="eastAsia"/>
          <w:bCs/>
          <w:lang w:val="en-US" w:eastAsia="zh-CN"/>
        </w:rPr>
        <w:t>05</w:t>
      </w:r>
      <w:r>
        <w:rPr>
          <w:rFonts w:hint="eastAsia"/>
        </w:rPr>
        <w:t>～6mg/L）</w:t>
      </w:r>
      <w:r>
        <w:rPr>
          <w:rFonts w:hint="eastAsia"/>
          <w:lang w:eastAsia="zh-CN"/>
        </w:rPr>
        <w:t>、</w:t>
      </w:r>
      <w:r>
        <w:rPr>
          <w:rFonts w:hint="eastAsia"/>
        </w:rPr>
        <w:t>锅炉用水中</w:t>
      </w:r>
      <w:r>
        <w:rPr>
          <w:rFonts w:hint="eastAsia"/>
          <w:lang w:val="en-US" w:eastAsia="zh-CN"/>
        </w:rPr>
        <w:t>铁</w:t>
      </w:r>
      <w:r>
        <w:rPr>
          <w:rFonts w:hint="eastAsia"/>
          <w:bCs/>
        </w:rPr>
        <w:t>（0.01</w:t>
      </w:r>
      <w:r>
        <w:rPr>
          <w:rFonts w:hint="eastAsia"/>
        </w:rPr>
        <w:t>～</w:t>
      </w:r>
      <w:r>
        <w:rPr>
          <w:rFonts w:hint="eastAsia"/>
          <w:lang w:val="en-US" w:eastAsia="zh-CN"/>
        </w:rPr>
        <w:t>3</w:t>
      </w:r>
      <w:r>
        <w:rPr>
          <w:rFonts w:hint="eastAsia"/>
        </w:rPr>
        <w:t>mg/L）的测定</w:t>
      </w:r>
      <w:r>
        <w:rPr>
          <w:rFonts w:hint="eastAsia" w:ascii="宋体" w:hAnsi="宋体"/>
          <w:snapToGrid w:val="0"/>
          <w:color w:val="000000"/>
        </w:rPr>
        <w:t>。</w:t>
      </w:r>
    </w:p>
    <w:p w14:paraId="0F2029D1">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宋体" w:hAnsi="宋体"/>
          <w:snapToGrid w:val="0"/>
          <w:color w:val="000000"/>
          <w:lang w:val="en-US" w:eastAsia="zh-CN"/>
        </w:rPr>
        <w:t>1</w:t>
      </w:r>
      <w:r>
        <w:rPr>
          <w:rFonts w:ascii="宋体" w:hAnsi="宋体"/>
          <w:snapToGrid w:val="0"/>
          <w:color w:val="000000"/>
        </w:rPr>
        <w:t>.</w:t>
      </w:r>
      <w:r>
        <w:rPr>
          <w:rFonts w:hint="eastAsia" w:ascii="宋体" w:hAnsi="宋体"/>
          <w:snapToGrid w:val="0"/>
          <w:color w:val="000000"/>
          <w:lang w:val="en-US" w:eastAsia="zh-CN"/>
        </w:rPr>
        <w:t>2</w:t>
      </w:r>
      <w:r>
        <w:rPr>
          <w:rFonts w:hint="eastAsia" w:asciiTheme="minorEastAsia" w:hAnsiTheme="minorEastAsia"/>
        </w:rPr>
        <w:t>仪器试验方法及结果精密度须符合《ISO16264水中硅的测定 流动分析法》《GB</w:t>
      </w:r>
      <w:r>
        <w:rPr>
          <w:rFonts w:hint="eastAsia" w:asciiTheme="minorEastAsia" w:hAnsiTheme="minorEastAsia"/>
          <w:lang w:eastAsia="zh-CN"/>
        </w:rPr>
        <w:t>/</w:t>
      </w:r>
      <w:r>
        <w:rPr>
          <w:rFonts w:hint="eastAsia" w:asciiTheme="minorEastAsia" w:hAnsiTheme="minorEastAsia"/>
        </w:rPr>
        <w:t>T 12149-2017 工业循环冷却水和锅炉用水中硅的测定》、《HJ1226</w:t>
      </w:r>
      <w:r>
        <w:rPr>
          <w:rFonts w:hint="eastAsia" w:asciiTheme="minorEastAsia" w:hAnsiTheme="minorEastAsia"/>
          <w:lang w:val="en-US" w:eastAsia="zh-CN"/>
        </w:rPr>
        <w:t>-2021</w:t>
      </w:r>
      <w:r>
        <w:rPr>
          <w:rFonts w:hint="eastAsia" w:asciiTheme="minorEastAsia" w:hAnsiTheme="minorEastAsia"/>
        </w:rPr>
        <w:t xml:space="preserve"> 水质 硫化物的测定 亚甲基蓝分光光度法》、《SLT788-2019 水质 总氮、挥发酚、硫化物、阴离子表面活性剂和六价铬的测定 连续流动分析-分光光度法》</w:t>
      </w:r>
      <w:r>
        <w:rPr>
          <w:rFonts w:hint="eastAsia" w:asciiTheme="minorEastAsia" w:hAnsiTheme="minorEastAsia"/>
          <w:lang w:eastAsia="zh-CN"/>
        </w:rPr>
        <w:t>、《GB/T 14427-2017 锅炉用水和冷却水分析方法 铁的测定》</w:t>
      </w:r>
      <w:r>
        <w:rPr>
          <w:rFonts w:hint="eastAsia" w:asciiTheme="minorEastAsia" w:hAnsiTheme="minorEastAsia"/>
        </w:rPr>
        <w:t>方法要求</w:t>
      </w:r>
      <w:r>
        <w:rPr>
          <w:rFonts w:hint="eastAsia" w:asciiTheme="minorEastAsia" w:hAnsiTheme="minorEastAsia"/>
          <w:snapToGrid/>
        </w:rPr>
        <w:t>。</w:t>
      </w:r>
    </w:p>
    <w:p w14:paraId="1373DE9D">
      <w:pPr>
        <w:keepNext w:val="0"/>
        <w:keepLines/>
        <w:pageBreakBefore w:val="0"/>
        <w:kinsoku/>
        <w:wordWrap/>
        <w:overflowPunct/>
        <w:topLinePunct w:val="0"/>
        <w:bidi w:val="0"/>
        <w:spacing w:line="300" w:lineRule="auto"/>
        <w:jc w:val="both"/>
        <w:textAlignment w:val="auto"/>
        <w:rPr>
          <w:rFonts w:ascii="宋体" w:hAnsi="宋体"/>
          <w:b/>
        </w:rPr>
      </w:pPr>
      <w:r>
        <w:rPr>
          <w:rFonts w:hint="eastAsia" w:ascii="宋体" w:hAnsi="宋体"/>
          <w:b/>
          <w:lang w:val="en-US" w:eastAsia="zh-CN"/>
        </w:rPr>
        <w:t>2</w:t>
      </w:r>
      <w:r>
        <w:rPr>
          <w:rFonts w:hint="eastAsia" w:ascii="宋体" w:hAnsi="宋体"/>
          <w:b/>
        </w:rPr>
        <w:t>、</w:t>
      </w:r>
      <w:r>
        <w:rPr>
          <w:rFonts w:hint="eastAsia" w:ascii="宋体" w:hAnsi="宋体"/>
          <w:b/>
          <w:lang w:val="en-US" w:eastAsia="zh-CN"/>
        </w:rPr>
        <w:t>连续流动分析仪测正磷、总磷、硅</w:t>
      </w:r>
    </w:p>
    <w:p w14:paraId="381BFBE7">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宋体" w:hAnsi="宋体"/>
          <w:snapToGrid w:val="0"/>
          <w:lang w:val="en-US" w:eastAsia="zh-CN"/>
        </w:rPr>
        <w:t>2</w:t>
      </w:r>
      <w:r>
        <w:rPr>
          <w:rFonts w:ascii="宋体" w:hAnsi="宋体"/>
          <w:snapToGrid w:val="0"/>
        </w:rPr>
        <w:t>.1</w:t>
      </w:r>
      <w:r>
        <w:rPr>
          <w:rFonts w:hint="eastAsia" w:cs="宋体-方正超大字符集"/>
        </w:rPr>
        <w:t>适用于锅炉用水、工业污水中</w:t>
      </w:r>
      <w:r>
        <w:rPr>
          <w:rFonts w:hint="eastAsia"/>
          <w:bCs/>
        </w:rPr>
        <w:t>正磷酸盐（0.1</w:t>
      </w:r>
      <w:r>
        <w:rPr>
          <w:rFonts w:hint="eastAsia"/>
        </w:rPr>
        <w:t>～50mg/L）、总磷酸盐</w:t>
      </w:r>
      <w:r>
        <w:rPr>
          <w:rFonts w:hint="eastAsia"/>
          <w:bCs/>
        </w:rPr>
        <w:t>（0.</w:t>
      </w:r>
      <w:r>
        <w:rPr>
          <w:rFonts w:hint="eastAsia"/>
          <w:bCs/>
          <w:lang w:val="en-US" w:eastAsia="zh-CN"/>
        </w:rPr>
        <w:t>1</w:t>
      </w:r>
      <w:r>
        <w:rPr>
          <w:rFonts w:hint="eastAsia"/>
        </w:rPr>
        <w:t>～50mg/L）、总磷</w:t>
      </w:r>
      <w:r>
        <w:rPr>
          <w:rFonts w:hint="eastAsia"/>
          <w:bCs/>
        </w:rPr>
        <w:t>（0.</w:t>
      </w:r>
      <w:r>
        <w:rPr>
          <w:rFonts w:hint="eastAsia"/>
          <w:bCs/>
          <w:lang w:val="en-US" w:eastAsia="zh-CN"/>
        </w:rPr>
        <w:t>04</w:t>
      </w:r>
      <w:r>
        <w:rPr>
          <w:rFonts w:hint="eastAsia"/>
        </w:rPr>
        <w:t>～</w:t>
      </w:r>
      <w:r>
        <w:rPr>
          <w:rFonts w:hint="eastAsia"/>
          <w:lang w:val="en-US" w:eastAsia="zh-CN"/>
        </w:rPr>
        <w:t>5</w:t>
      </w:r>
      <w:r>
        <w:rPr>
          <w:rFonts w:hint="eastAsia"/>
        </w:rPr>
        <w:t>mg/L）、锅炉用水二氧化硅</w:t>
      </w:r>
      <w:r>
        <w:rPr>
          <w:rFonts w:hint="eastAsia"/>
          <w:bCs/>
        </w:rPr>
        <w:t>（0.0</w:t>
      </w:r>
      <w:r>
        <w:rPr>
          <w:rFonts w:hint="eastAsia"/>
          <w:bCs/>
          <w:lang w:val="en-US" w:eastAsia="zh-CN"/>
        </w:rPr>
        <w:t>05</w:t>
      </w:r>
      <w:r>
        <w:rPr>
          <w:rFonts w:hint="eastAsia"/>
        </w:rPr>
        <w:t>～6mg/L）的测定</w:t>
      </w:r>
      <w:r>
        <w:rPr>
          <w:rFonts w:hint="eastAsia" w:ascii="宋体" w:hAnsi="宋体"/>
          <w:snapToGrid w:val="0"/>
        </w:rPr>
        <w:t>。</w:t>
      </w:r>
    </w:p>
    <w:p w14:paraId="65182ED8">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Theme="minorEastAsia" w:hAnsiTheme="minorEastAsia"/>
          <w:lang w:val="en-US" w:eastAsia="zh-CN"/>
        </w:rPr>
        <w:t>2</w:t>
      </w:r>
      <w:r>
        <w:rPr>
          <w:rFonts w:hint="eastAsia" w:asciiTheme="minorEastAsia" w:hAnsiTheme="minorEastAsia"/>
        </w:rPr>
        <w:t>.2仪器试验方法及结果精密度须符合《HJ670-2013水质磷酸盐和总磷的测定  连续流动-钼酸铵分光光度法》、《GB/T 6913-2023锅炉用水和冷却水分析方法磷酸盐的测定》、《ISO16264水中硅的测定 流动分析法》、《GB</w:t>
      </w:r>
      <w:r>
        <w:rPr>
          <w:rFonts w:hint="eastAsia" w:asciiTheme="minorEastAsia" w:hAnsiTheme="minorEastAsia"/>
          <w:lang w:val="en-US" w:eastAsia="zh-CN"/>
        </w:rPr>
        <w:t>/</w:t>
      </w:r>
      <w:r>
        <w:rPr>
          <w:rFonts w:hint="eastAsia" w:asciiTheme="minorEastAsia" w:hAnsiTheme="minorEastAsia"/>
        </w:rPr>
        <w:t>T 12149-2017 工业循环冷却水和锅炉用水中硅的测定》方法要求。</w:t>
      </w:r>
    </w:p>
    <w:p w14:paraId="0EE2173D">
      <w:pPr>
        <w:keepNext w:val="0"/>
        <w:pageBreakBefore w:val="0"/>
        <w:kinsoku/>
        <w:wordWrap/>
        <w:overflowPunct/>
        <w:topLinePunct w:val="0"/>
        <w:bidi w:val="0"/>
        <w:spacing w:line="300" w:lineRule="auto"/>
        <w:jc w:val="both"/>
        <w:textAlignment w:val="auto"/>
        <w:rPr>
          <w:rFonts w:asciiTheme="minorEastAsia" w:hAnsiTheme="minorEastAsia"/>
          <w:b/>
          <w:color w:val="auto"/>
        </w:rPr>
      </w:pPr>
      <w:r>
        <w:rPr>
          <w:rFonts w:hint="eastAsia" w:asciiTheme="minorEastAsia" w:hAnsiTheme="minorEastAsia"/>
          <w:b/>
          <w:lang w:val="en-US" w:eastAsia="zh-CN"/>
        </w:rPr>
        <w:t>3</w:t>
      </w:r>
      <w:r>
        <w:rPr>
          <w:rFonts w:hint="eastAsia" w:asciiTheme="minorEastAsia" w:hAnsiTheme="minorEastAsia"/>
          <w:b/>
        </w:rPr>
        <w:t>、</w:t>
      </w:r>
      <w:r>
        <w:rPr>
          <w:rFonts w:hint="eastAsia" w:cs="Arial" w:asciiTheme="minorEastAsia" w:hAnsiTheme="minorEastAsia" w:eastAsiaTheme="minorEastAsia"/>
          <w:b/>
          <w:bCs/>
          <w:color w:val="auto"/>
          <w:sz w:val="24"/>
          <w:szCs w:val="24"/>
          <w:highlight w:val="none"/>
        </w:rPr>
        <w:t>烟气含湿量多功能检测仪</w:t>
      </w:r>
    </w:p>
    <w:p w14:paraId="7CD7C717">
      <w:pPr>
        <w:keepNext w:val="0"/>
        <w:pageBreakBefore w:val="0"/>
        <w:kinsoku/>
        <w:wordWrap/>
        <w:overflowPunct/>
        <w:topLinePunct w:val="0"/>
        <w:bidi w:val="0"/>
        <w:spacing w:line="300" w:lineRule="auto"/>
        <w:jc w:val="both"/>
        <w:textAlignment w:val="auto"/>
        <w:rPr>
          <w:rFonts w:hint="eastAsia" w:ascii="宋体" w:hAnsi="宋体"/>
          <w:snapToGrid w:val="0"/>
        </w:rPr>
      </w:pPr>
      <w:r>
        <w:rPr>
          <w:rFonts w:hint="eastAsia" w:ascii="宋体" w:hAnsi="宋体"/>
          <w:snapToGrid w:val="0"/>
          <w:lang w:val="en-US" w:eastAsia="zh-CN"/>
        </w:rPr>
        <w:t>3</w:t>
      </w:r>
      <w:r>
        <w:rPr>
          <w:rFonts w:ascii="宋体" w:hAnsi="宋体"/>
          <w:snapToGrid w:val="0"/>
        </w:rPr>
        <w:t xml:space="preserve">.1 </w:t>
      </w:r>
      <w:r>
        <w:rPr>
          <w:rFonts w:hint="eastAsia" w:ascii="宋体" w:hAnsi="宋体"/>
          <w:snapToGrid w:val="0"/>
        </w:rPr>
        <w:t>适用于</w:t>
      </w:r>
      <w:r>
        <w:rPr>
          <w:rFonts w:hint="eastAsia" w:ascii="宋体" w:hAnsi="宋体"/>
          <w:snapToGrid w:val="0"/>
          <w:lang w:val="en-US" w:eastAsia="zh-CN"/>
        </w:rPr>
        <w:t>固定污染源废气含湿量的实时测量，集成了含湿量、烟气流速、动压、静压以及烟温等参数的测量，将取样管、含湿量模块与主机集成，抽取式一体化设计</w:t>
      </w:r>
      <w:r>
        <w:rPr>
          <w:rFonts w:hint="eastAsia" w:ascii="宋体" w:hAnsi="宋体"/>
          <w:snapToGrid w:val="0"/>
        </w:rPr>
        <w:t>。</w:t>
      </w:r>
    </w:p>
    <w:p w14:paraId="0114C58D">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Theme="minorEastAsia" w:hAnsiTheme="minorEastAsia"/>
          <w:color w:val="000000"/>
          <w:lang w:val="en-US" w:eastAsia="zh-CN"/>
        </w:rPr>
        <w:t>3</w:t>
      </w:r>
      <w:r>
        <w:rPr>
          <w:rFonts w:hint="eastAsia" w:asciiTheme="minorEastAsia" w:hAnsiTheme="minorEastAsia"/>
          <w:color w:val="000000"/>
        </w:rPr>
        <w:t>.2仪器试验方法及结果精密度须</w:t>
      </w:r>
      <w:r>
        <w:rPr>
          <w:rFonts w:hint="eastAsia" w:ascii="宋体" w:hAnsi="宋体"/>
          <w:snapToGrid w:val="0"/>
          <w:color w:val="000000" w:themeColor="text1"/>
          <w:sz w:val="24"/>
          <w:szCs w:val="24"/>
          <w:lang w:eastAsia="zh-CN"/>
          <w14:textFill>
            <w14:solidFill>
              <w14:schemeClr w14:val="tx1"/>
            </w14:solidFill>
          </w14:textFill>
        </w:rPr>
        <w:t>符合GB/T 16157-1996、GB/T 11605-2005、HJ/T 397-2007</w:t>
      </w:r>
      <w:r>
        <w:rPr>
          <w:lang w:eastAsia="zh-CN"/>
        </w:rPr>
        <w:t xml:space="preserve"> </w:t>
      </w:r>
      <w:r>
        <w:rPr>
          <w:rFonts w:hint="eastAsia"/>
          <w:lang w:eastAsia="zh-CN"/>
        </w:rPr>
        <w:t>、</w:t>
      </w:r>
      <w:r>
        <w:rPr>
          <w:rFonts w:hint="eastAsia" w:ascii="宋体" w:hAnsi="宋体"/>
          <w:snapToGrid w:val="0"/>
          <w:color w:val="000000" w:themeColor="text1"/>
          <w:sz w:val="24"/>
          <w:szCs w:val="24"/>
          <w:lang w:eastAsia="zh-CN"/>
          <w14:textFill>
            <w14:solidFill>
              <w14:schemeClr w14:val="tx1"/>
            </w14:solidFill>
          </w14:textFill>
        </w:rPr>
        <w:t>T/SSESB 1-2020等方法标准要求</w:t>
      </w:r>
      <w:r>
        <w:rPr>
          <w:rFonts w:hint="eastAsia" w:asciiTheme="minorEastAsia" w:hAnsiTheme="minorEastAsia"/>
          <w:color w:val="000000"/>
        </w:rPr>
        <w:t>。</w:t>
      </w:r>
    </w:p>
    <w:p w14:paraId="765D2018">
      <w:pPr>
        <w:keepNext w:val="0"/>
        <w:pageBreakBefore w:val="0"/>
        <w:kinsoku/>
        <w:wordWrap/>
        <w:overflowPunct/>
        <w:topLinePunct w:val="0"/>
        <w:bidi w:val="0"/>
        <w:spacing w:line="300" w:lineRule="auto"/>
        <w:jc w:val="both"/>
        <w:textAlignment w:val="auto"/>
        <w:rPr>
          <w:rFonts w:asciiTheme="minorEastAsia" w:hAnsiTheme="minorEastAsia"/>
          <w:b/>
        </w:rPr>
      </w:pPr>
      <w:r>
        <w:rPr>
          <w:rFonts w:hint="eastAsia" w:asciiTheme="minorEastAsia" w:hAnsiTheme="minorEastAsia"/>
          <w:b/>
          <w:lang w:val="en-US" w:eastAsia="zh-CN"/>
        </w:rPr>
        <w:t>4</w:t>
      </w:r>
      <w:r>
        <w:rPr>
          <w:rFonts w:hint="eastAsia" w:asciiTheme="minorEastAsia" w:hAnsiTheme="minorEastAsia"/>
          <w:b/>
        </w:rPr>
        <w:t>、</w:t>
      </w:r>
      <w:r>
        <w:rPr>
          <w:rFonts w:hint="eastAsia" w:asciiTheme="minorEastAsia" w:hAnsiTheme="minorEastAsia"/>
          <w:b/>
          <w:lang w:val="en-US" w:eastAsia="zh-CN"/>
        </w:rPr>
        <w:t>自动</w:t>
      </w:r>
      <w:r>
        <w:rPr>
          <w:rFonts w:hint="eastAsia" w:asciiTheme="minorEastAsia" w:hAnsiTheme="minorEastAsia"/>
          <w:b/>
        </w:rPr>
        <w:t>电位滴定仪</w:t>
      </w:r>
    </w:p>
    <w:p w14:paraId="5CC4FFBF">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宋体" w:hAnsi="宋体"/>
          <w:snapToGrid w:val="0"/>
          <w:lang w:val="en-US" w:eastAsia="zh-CN"/>
        </w:rPr>
        <w:t>4</w:t>
      </w:r>
      <w:r>
        <w:rPr>
          <w:rFonts w:ascii="宋体" w:hAnsi="宋体"/>
          <w:snapToGrid w:val="0"/>
        </w:rPr>
        <w:t xml:space="preserve">.1 </w:t>
      </w:r>
      <w:r>
        <w:rPr>
          <w:rFonts w:hint="eastAsia" w:ascii="宋体" w:hAnsi="宋体"/>
          <w:snapToGrid w:val="0"/>
        </w:rPr>
        <w:t>适用于</w:t>
      </w:r>
      <w:r>
        <w:rPr>
          <w:rFonts w:hint="eastAsia" w:ascii="宋体" w:hAnsi="宋体"/>
          <w:snapToGrid w:val="0"/>
          <w:lang w:val="en-US" w:eastAsia="zh-CN"/>
        </w:rPr>
        <w:t>工业循环冷却水、锅炉用水、工业污水中氯离子、碱度、酸度</w:t>
      </w:r>
      <w:r>
        <w:rPr>
          <w:rFonts w:hint="eastAsia" w:ascii="宋体" w:hAnsi="宋体"/>
          <w:snapToGrid w:val="0"/>
        </w:rPr>
        <w:t>含量的测定。</w:t>
      </w:r>
    </w:p>
    <w:p w14:paraId="5803D005">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宋体" w:hAnsi="宋体"/>
          <w:snapToGrid w:val="0"/>
          <w:lang w:val="en-US" w:eastAsia="zh-CN"/>
        </w:rPr>
        <w:t>4</w:t>
      </w:r>
      <w:r>
        <w:rPr>
          <w:rFonts w:ascii="宋体" w:hAnsi="宋体"/>
          <w:snapToGrid w:val="0"/>
        </w:rPr>
        <w:t xml:space="preserve">.2 </w:t>
      </w:r>
      <w:r>
        <w:rPr>
          <w:rFonts w:hint="eastAsia" w:asciiTheme="minorEastAsia" w:hAnsiTheme="minorEastAsia"/>
          <w:color w:val="000000"/>
        </w:rPr>
        <w:t>仪器试验方法及结果精密度须</w:t>
      </w:r>
      <w:r>
        <w:rPr>
          <w:rFonts w:hint="eastAsia" w:ascii="宋体" w:hAnsi="宋体"/>
          <w:snapToGrid w:val="0"/>
          <w:color w:val="000000" w:themeColor="text1"/>
          <w:sz w:val="24"/>
          <w:szCs w:val="24"/>
          <w:lang w:eastAsia="zh-CN"/>
          <w14:textFill>
            <w14:solidFill>
              <w14:schemeClr w14:val="tx1"/>
            </w14:solidFill>
          </w14:textFill>
        </w:rPr>
        <w:t>符合</w:t>
      </w:r>
      <w:r>
        <w:rPr>
          <w:rFonts w:hint="eastAsia" w:ascii="宋体" w:hAnsi="宋体"/>
        </w:rPr>
        <w:t>《GB</w:t>
      </w:r>
      <w:r>
        <w:rPr>
          <w:rFonts w:hint="eastAsia" w:ascii="宋体" w:hAnsi="宋体"/>
          <w:lang w:val="en-US" w:eastAsia="zh-CN"/>
        </w:rPr>
        <w:t>/</w:t>
      </w:r>
      <w:r>
        <w:rPr>
          <w:rFonts w:hint="eastAsia" w:ascii="宋体" w:hAnsi="宋体"/>
        </w:rPr>
        <w:t>T 15451-2006工业循环冷却水 总碱及酚酞碱度的测定》、《GB</w:t>
      </w:r>
      <w:r>
        <w:rPr>
          <w:rFonts w:hint="eastAsia" w:ascii="宋体" w:hAnsi="宋体"/>
          <w:lang w:val="en-US" w:eastAsia="zh-CN"/>
        </w:rPr>
        <w:t>/</w:t>
      </w:r>
      <w:r>
        <w:rPr>
          <w:rFonts w:hint="eastAsia" w:ascii="宋体" w:hAnsi="宋体"/>
        </w:rPr>
        <w:t>T 15453 2018 工业循环冷却水和锅炉用水中氯离子的测定》</w:t>
      </w:r>
      <w:r>
        <w:rPr>
          <w:rFonts w:hint="eastAsia" w:ascii="宋体" w:hAnsi="宋体"/>
          <w:lang w:eastAsia="zh-CN"/>
        </w:rPr>
        <w:t>、</w:t>
      </w:r>
      <w:r>
        <w:rPr>
          <w:rFonts w:ascii="宋体" w:hAnsi="宋体"/>
          <w:snapToGrid w:val="0"/>
        </w:rPr>
        <w:t>《</w:t>
      </w:r>
      <w:r>
        <w:rPr>
          <w:rFonts w:hint="eastAsia" w:ascii="宋体" w:hAnsi="宋体"/>
          <w:snapToGrid w:val="0"/>
          <w:lang w:val="en-US" w:eastAsia="zh-CN"/>
        </w:rPr>
        <w:t>JJG 814-2015 自动电位滴定仪</w:t>
      </w:r>
      <w:r>
        <w:rPr>
          <w:rFonts w:hint="eastAsia" w:ascii="宋体" w:hAnsi="宋体"/>
          <w:snapToGrid w:val="0"/>
        </w:rPr>
        <w:t>》</w:t>
      </w:r>
      <w:r>
        <w:rPr>
          <w:rFonts w:hint="eastAsia" w:ascii="宋体" w:hAnsi="宋体"/>
          <w:snapToGrid w:val="0"/>
          <w:color w:val="000000" w:themeColor="text1"/>
          <w:sz w:val="24"/>
          <w:szCs w:val="24"/>
          <w:lang w:eastAsia="zh-CN"/>
          <w14:textFill>
            <w14:solidFill>
              <w14:schemeClr w14:val="tx1"/>
            </w14:solidFill>
          </w14:textFill>
        </w:rPr>
        <w:t>等方法标准要求</w:t>
      </w:r>
      <w:r>
        <w:rPr>
          <w:rFonts w:hint="eastAsia" w:asciiTheme="minorEastAsia" w:hAnsiTheme="minorEastAsia"/>
          <w:color w:val="000000"/>
        </w:rPr>
        <w:t>。</w:t>
      </w:r>
    </w:p>
    <w:p w14:paraId="01BD0989">
      <w:pPr>
        <w:keepNext w:val="0"/>
        <w:pageBreakBefore w:val="0"/>
        <w:kinsoku/>
        <w:wordWrap/>
        <w:overflowPunct/>
        <w:topLinePunct w:val="0"/>
        <w:bidi w:val="0"/>
        <w:spacing w:line="300" w:lineRule="auto"/>
        <w:jc w:val="both"/>
        <w:textAlignment w:val="auto"/>
        <w:rPr>
          <w:rFonts w:asciiTheme="minorEastAsia" w:hAnsiTheme="minorEastAsia"/>
          <w:b/>
        </w:rPr>
      </w:pPr>
      <w:r>
        <w:rPr>
          <w:rFonts w:hint="eastAsia" w:asciiTheme="minorEastAsia" w:hAnsiTheme="minorEastAsia"/>
          <w:b/>
          <w:lang w:val="en-US" w:eastAsia="zh-CN"/>
        </w:rPr>
        <w:t>5</w:t>
      </w:r>
      <w:r>
        <w:rPr>
          <w:rFonts w:hint="eastAsia" w:asciiTheme="minorEastAsia" w:hAnsiTheme="minorEastAsia"/>
          <w:b/>
        </w:rPr>
        <w:t>、</w:t>
      </w:r>
      <w:r>
        <w:rPr>
          <w:rFonts w:hint="eastAsia" w:asciiTheme="minorEastAsia" w:hAnsiTheme="minorEastAsia"/>
          <w:b/>
          <w:lang w:val="en-US" w:eastAsia="zh-CN"/>
        </w:rPr>
        <w:t>总氮</w:t>
      </w:r>
      <w:r>
        <w:rPr>
          <w:rFonts w:hint="eastAsia" w:asciiTheme="minorEastAsia" w:hAnsiTheme="minorEastAsia"/>
          <w:b/>
        </w:rPr>
        <w:t>气相分子吸收光谱仪</w:t>
      </w:r>
    </w:p>
    <w:p w14:paraId="1052E18B">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Theme="minorEastAsia" w:hAnsiTheme="minorEastAsia"/>
          <w:lang w:val="en-US" w:eastAsia="zh-CN"/>
        </w:rPr>
        <w:t>5.1 适用于</w:t>
      </w:r>
      <w:r>
        <w:rPr>
          <w:rFonts w:hint="eastAsia" w:asciiTheme="minorEastAsia" w:hAnsiTheme="minorEastAsia"/>
        </w:rPr>
        <w:t>水中硫化物、氨氮、硝酸盐氮、亚硝酸盐氮、总氮</w:t>
      </w:r>
      <w:r>
        <w:rPr>
          <w:rFonts w:hint="eastAsia" w:asciiTheme="minorEastAsia" w:hAnsiTheme="minorEastAsia"/>
          <w:lang w:val="en-US" w:eastAsia="zh-CN"/>
        </w:rPr>
        <w:t>的测定，采用气相分子吸收光谱法</w:t>
      </w:r>
      <w:r>
        <w:rPr>
          <w:rFonts w:hint="eastAsia" w:asciiTheme="minorEastAsia" w:hAnsiTheme="minorEastAsia"/>
        </w:rPr>
        <w:t>；</w:t>
      </w:r>
      <w:r>
        <w:rPr>
          <w:rFonts w:hint="eastAsia" w:asciiTheme="minorEastAsia" w:hAnsiTheme="minorEastAsia"/>
          <w:lang w:val="en-US" w:eastAsia="zh-CN"/>
        </w:rPr>
        <w:t>且</w:t>
      </w:r>
      <w:r>
        <w:rPr>
          <w:rFonts w:hint="eastAsia" w:ascii="宋体" w:hAnsi="宋体"/>
        </w:rPr>
        <w:t>一次进样可同时测定样品中氨氮和亚硝酸盐氮含量。</w:t>
      </w:r>
    </w:p>
    <w:p w14:paraId="00420D64">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lang w:val="en-US" w:eastAsia="zh-CN"/>
        </w:rPr>
        <w:t>5</w:t>
      </w:r>
      <w:r>
        <w:rPr>
          <w:rFonts w:hint="eastAsia" w:ascii="宋体" w:hAnsi="宋体"/>
        </w:rPr>
        <w:t>.</w:t>
      </w:r>
      <w:r>
        <w:rPr>
          <w:rFonts w:hint="eastAsia" w:ascii="宋体" w:hAnsi="宋体"/>
          <w:lang w:val="en-US" w:eastAsia="zh-CN"/>
        </w:rPr>
        <w:t>2</w:t>
      </w:r>
      <w:r>
        <w:rPr>
          <w:rFonts w:hint="eastAsia" w:asciiTheme="minorEastAsia" w:hAnsiTheme="minorEastAsia"/>
          <w:color w:val="000000"/>
        </w:rPr>
        <w:t>仪器试验方法及结果精密度须</w:t>
      </w:r>
      <w:r>
        <w:rPr>
          <w:rFonts w:hint="eastAsia" w:ascii="宋体" w:hAnsi="宋体"/>
          <w:snapToGrid w:val="0"/>
          <w:color w:val="000000" w:themeColor="text1"/>
          <w:sz w:val="24"/>
          <w:szCs w:val="24"/>
          <w:lang w:eastAsia="zh-CN"/>
          <w14:textFill>
            <w14:solidFill>
              <w14:schemeClr w14:val="tx1"/>
            </w14:solidFill>
          </w14:textFill>
        </w:rPr>
        <w:t>符合</w:t>
      </w:r>
      <w:r>
        <w:rPr>
          <w:rFonts w:hint="eastAsia" w:ascii="宋体" w:hAnsi="宋体"/>
        </w:rPr>
        <w:t>《</w:t>
      </w:r>
      <w:r>
        <w:rPr>
          <w:rFonts w:ascii="宋体" w:hAnsi="宋体"/>
        </w:rPr>
        <w:t xml:space="preserve">HJ200-2023 </w:t>
      </w:r>
      <w:r>
        <w:rPr>
          <w:rFonts w:hint="eastAsia" w:ascii="宋体" w:hAnsi="宋体"/>
        </w:rPr>
        <w:t>水质硫化物的测定</w:t>
      </w:r>
      <w:r>
        <w:rPr>
          <w:rFonts w:ascii="宋体" w:hAnsi="宋体"/>
        </w:rPr>
        <w:t xml:space="preserve"> </w:t>
      </w:r>
      <w:r>
        <w:rPr>
          <w:rFonts w:hint="eastAsia" w:ascii="宋体" w:hAnsi="宋体"/>
        </w:rPr>
        <w:t>气相分子吸收光谱法</w:t>
      </w:r>
      <w:r>
        <w:rPr>
          <w:rFonts w:ascii="宋体" w:hAnsi="宋体"/>
        </w:rPr>
        <w:t xml:space="preserve"> </w:t>
      </w:r>
      <w:r>
        <w:rPr>
          <w:rFonts w:hint="eastAsia" w:ascii="宋体" w:hAnsi="宋体"/>
        </w:rPr>
        <w:t>》、《</w:t>
      </w:r>
      <w:r>
        <w:rPr>
          <w:rFonts w:ascii="宋体" w:hAnsi="宋体"/>
        </w:rPr>
        <w:t>HJ</w:t>
      </w:r>
      <w:r>
        <w:rPr>
          <w:rFonts w:hint="eastAsia" w:ascii="宋体" w:hAnsi="宋体"/>
        </w:rPr>
        <w:t>195</w:t>
      </w:r>
      <w:r>
        <w:rPr>
          <w:rFonts w:ascii="宋体" w:hAnsi="宋体"/>
        </w:rPr>
        <w:t xml:space="preserve">-2023 </w:t>
      </w:r>
      <w:r>
        <w:rPr>
          <w:rFonts w:hint="eastAsia" w:ascii="宋体" w:hAnsi="宋体"/>
        </w:rPr>
        <w:t>水质 氨氮的测定</w:t>
      </w:r>
      <w:r>
        <w:rPr>
          <w:rFonts w:ascii="宋体" w:hAnsi="宋体"/>
        </w:rPr>
        <w:t xml:space="preserve"> </w:t>
      </w:r>
      <w:r>
        <w:rPr>
          <w:rFonts w:hint="eastAsia" w:ascii="宋体" w:hAnsi="宋体"/>
        </w:rPr>
        <w:t>气相分子吸收光谱法》、《</w:t>
      </w:r>
      <w:r>
        <w:rPr>
          <w:rFonts w:ascii="宋体" w:hAnsi="宋体"/>
        </w:rPr>
        <w:t>HJ</w:t>
      </w:r>
      <w:r>
        <w:rPr>
          <w:rFonts w:hint="eastAsia" w:ascii="宋体" w:hAnsi="宋体"/>
        </w:rPr>
        <w:t>197</w:t>
      </w:r>
      <w:r>
        <w:rPr>
          <w:rFonts w:ascii="宋体" w:hAnsi="宋体"/>
        </w:rPr>
        <w:t>-20</w:t>
      </w:r>
      <w:r>
        <w:rPr>
          <w:rFonts w:hint="eastAsia" w:ascii="宋体" w:hAnsi="宋体"/>
          <w:lang w:val="en-US" w:eastAsia="zh-CN"/>
        </w:rPr>
        <w:t>24</w:t>
      </w:r>
      <w:r>
        <w:rPr>
          <w:rFonts w:ascii="宋体" w:hAnsi="宋体"/>
        </w:rPr>
        <w:t xml:space="preserve"> </w:t>
      </w:r>
      <w:r>
        <w:rPr>
          <w:rFonts w:hint="eastAsia" w:ascii="宋体" w:hAnsi="宋体"/>
        </w:rPr>
        <w:t>水质 亚硝酸盐氮的测定 气相分子吸收光谱法》、《</w:t>
      </w:r>
      <w:r>
        <w:rPr>
          <w:rFonts w:ascii="宋体" w:hAnsi="宋体"/>
        </w:rPr>
        <w:t>HJ</w:t>
      </w:r>
      <w:r>
        <w:rPr>
          <w:rFonts w:hint="eastAsia" w:ascii="宋体" w:hAnsi="宋体"/>
        </w:rPr>
        <w:t>198</w:t>
      </w:r>
      <w:r>
        <w:rPr>
          <w:rFonts w:ascii="宋体" w:hAnsi="宋体"/>
        </w:rPr>
        <w:t>-20</w:t>
      </w:r>
      <w:r>
        <w:rPr>
          <w:rFonts w:hint="eastAsia" w:ascii="宋体" w:hAnsi="宋体"/>
          <w:lang w:val="en-US" w:eastAsia="zh-CN"/>
        </w:rPr>
        <w:t>24</w:t>
      </w:r>
      <w:r>
        <w:rPr>
          <w:rFonts w:ascii="宋体" w:hAnsi="宋体"/>
        </w:rPr>
        <w:t xml:space="preserve"> </w:t>
      </w:r>
      <w:r>
        <w:rPr>
          <w:rFonts w:hint="eastAsia" w:ascii="宋体" w:hAnsi="宋体"/>
        </w:rPr>
        <w:t>水质 硝酸盐氮的测定 气相分子吸收光谱法》、《</w:t>
      </w:r>
      <w:r>
        <w:rPr>
          <w:rFonts w:ascii="宋体" w:hAnsi="宋体"/>
        </w:rPr>
        <w:t>HJ</w:t>
      </w:r>
      <w:r>
        <w:rPr>
          <w:rFonts w:hint="eastAsia" w:ascii="宋体" w:hAnsi="宋体"/>
        </w:rPr>
        <w:t>199</w:t>
      </w:r>
      <w:r>
        <w:rPr>
          <w:rFonts w:ascii="宋体" w:hAnsi="宋体"/>
        </w:rPr>
        <w:t>-20</w:t>
      </w:r>
      <w:r>
        <w:rPr>
          <w:rFonts w:hint="eastAsia" w:ascii="宋体" w:hAnsi="宋体"/>
        </w:rPr>
        <w:t>23</w:t>
      </w:r>
      <w:r>
        <w:rPr>
          <w:rFonts w:ascii="宋体" w:hAnsi="宋体"/>
        </w:rPr>
        <w:t xml:space="preserve"> </w:t>
      </w:r>
      <w:r>
        <w:rPr>
          <w:rFonts w:hint="eastAsia" w:ascii="宋体" w:hAnsi="宋体"/>
        </w:rPr>
        <w:t>水质 总氮的测定 气相分子吸收光谱法》</w:t>
      </w:r>
      <w:r>
        <w:rPr>
          <w:rFonts w:hint="eastAsia" w:ascii="宋体" w:hAnsi="宋体"/>
          <w:lang w:val="en-US" w:eastAsia="zh-CN"/>
        </w:rPr>
        <w:t>方法要求</w:t>
      </w:r>
      <w:r>
        <w:rPr>
          <w:rFonts w:ascii="宋体" w:hAnsi="宋体"/>
        </w:rPr>
        <w:t>。</w:t>
      </w:r>
    </w:p>
    <w:p w14:paraId="33CA2BBF">
      <w:pPr>
        <w:keepNext w:val="0"/>
        <w:pageBreakBefore w:val="0"/>
        <w:numPr>
          <w:ilvl w:val="0"/>
          <w:numId w:val="0"/>
        </w:numPr>
        <w:kinsoku/>
        <w:wordWrap/>
        <w:overflowPunct/>
        <w:topLinePunct w:val="0"/>
        <w:bidi w:val="0"/>
        <w:spacing w:line="300" w:lineRule="auto"/>
        <w:jc w:val="both"/>
        <w:textAlignment w:val="auto"/>
        <w:rPr>
          <w:rFonts w:hint="eastAsia" w:ascii="宋体" w:hAnsi="宋体" w:cs="Times New Roman"/>
          <w:b/>
          <w:bCs/>
          <w:snapToGrid w:val="0"/>
        </w:rPr>
      </w:pPr>
      <w:r>
        <w:rPr>
          <w:rFonts w:hint="eastAsia" w:ascii="宋体" w:hAnsi="宋体" w:cs="Times New Roman"/>
          <w:b/>
          <w:bCs/>
          <w:snapToGrid w:val="0"/>
          <w:lang w:val="en-US" w:eastAsia="zh-CN"/>
        </w:rPr>
        <w:t>6、</w:t>
      </w:r>
      <w:r>
        <w:rPr>
          <w:rFonts w:hint="eastAsia" w:ascii="宋体" w:hAnsi="宋体" w:cs="Times New Roman"/>
          <w:b/>
          <w:bCs/>
          <w:snapToGrid w:val="0"/>
        </w:rPr>
        <w:t>COD消解器</w:t>
      </w:r>
    </w:p>
    <w:p w14:paraId="047FED24">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Theme="minorEastAsia" w:hAnsiTheme="minorEastAsia"/>
          <w:lang w:val="en-US" w:eastAsia="zh-CN"/>
        </w:rPr>
        <w:t xml:space="preserve">6.1 </w:t>
      </w:r>
      <w:r>
        <w:rPr>
          <w:rFonts w:hint="eastAsia" w:asciiTheme="minorEastAsia" w:hAnsiTheme="minorEastAsia"/>
        </w:rPr>
        <w:t>仪器须</w:t>
      </w:r>
      <w:r>
        <w:rPr>
          <w:rFonts w:hint="eastAsia" w:asciiTheme="minorEastAsia" w:hAnsiTheme="minorEastAsia"/>
          <w:lang w:val="en-US" w:eastAsia="zh-CN"/>
        </w:rPr>
        <w:t>适用</w:t>
      </w:r>
      <w:r>
        <w:rPr>
          <w:rFonts w:hint="eastAsia" w:asciiTheme="minorEastAsia" w:hAnsiTheme="minorEastAsia"/>
        </w:rPr>
        <w:t>试验方法</w:t>
      </w:r>
      <w:r>
        <w:rPr>
          <w:rFonts w:hint="eastAsia" w:asciiTheme="minorEastAsia" w:hAnsiTheme="minorEastAsia"/>
          <w:lang w:eastAsia="zh-CN"/>
        </w:rPr>
        <w:t>《</w:t>
      </w:r>
      <w:r>
        <w:rPr>
          <w:rFonts w:hint="eastAsia" w:asciiTheme="minorEastAsia" w:hAnsiTheme="minorEastAsia"/>
        </w:rPr>
        <w:t>JJG 975-2002 化学需氧量(COD)测定仪</w:t>
      </w:r>
      <w:r>
        <w:rPr>
          <w:rFonts w:hint="eastAsia" w:asciiTheme="minorEastAsia" w:hAnsiTheme="minorEastAsia"/>
          <w:lang w:eastAsia="zh-CN"/>
        </w:rPr>
        <w:t>》</w:t>
      </w:r>
      <w:r>
        <w:rPr>
          <w:rFonts w:hint="eastAsia" w:ascii="宋体" w:hAnsi="宋体"/>
          <w:snapToGrid w:val="0"/>
          <w:lang w:eastAsia="zh-CN"/>
        </w:rPr>
        <w:t>、</w:t>
      </w:r>
      <w:r>
        <w:rPr>
          <w:rFonts w:hint="eastAsia" w:asciiTheme="minorEastAsia" w:hAnsiTheme="minorEastAsia"/>
        </w:rPr>
        <w:t>《 HJ</w:t>
      </w:r>
      <w:r>
        <w:rPr>
          <w:rFonts w:hint="eastAsia" w:asciiTheme="minorEastAsia" w:hAnsiTheme="minorEastAsia"/>
          <w:lang w:val="en-US" w:eastAsia="zh-CN"/>
        </w:rPr>
        <w:t>/</w:t>
      </w:r>
      <w:r>
        <w:rPr>
          <w:rFonts w:hint="eastAsia" w:asciiTheme="minorEastAsia" w:hAnsiTheme="minorEastAsia"/>
        </w:rPr>
        <w:t>T 399-2007 水质 化学需氧量的测定 快速消解分光光度法》</w:t>
      </w:r>
      <w:r>
        <w:rPr>
          <w:rFonts w:hint="eastAsia" w:asciiTheme="minorEastAsia" w:hAnsiTheme="minorEastAsia"/>
          <w:lang w:val="en-US" w:eastAsia="zh-CN"/>
        </w:rPr>
        <w:t>中对消解器的</w:t>
      </w:r>
      <w:r>
        <w:rPr>
          <w:rFonts w:hint="eastAsia" w:asciiTheme="minorEastAsia" w:hAnsiTheme="minorEastAsia"/>
        </w:rPr>
        <w:t>要求。</w:t>
      </w:r>
    </w:p>
    <w:p w14:paraId="2698DDDF">
      <w:pPr>
        <w:keepNext w:val="0"/>
        <w:pageBreakBefore w:val="0"/>
        <w:numPr>
          <w:ilvl w:val="0"/>
          <w:numId w:val="0"/>
        </w:numPr>
        <w:kinsoku/>
        <w:wordWrap/>
        <w:overflowPunct/>
        <w:topLinePunct w:val="0"/>
        <w:bidi w:val="0"/>
        <w:spacing w:line="300" w:lineRule="auto"/>
        <w:jc w:val="both"/>
        <w:textAlignment w:val="auto"/>
        <w:rPr>
          <w:rFonts w:hint="eastAsia" w:ascii="宋体" w:hAnsi="宋体" w:cs="Times New Roman"/>
          <w:snapToGrid w:val="0"/>
        </w:rPr>
      </w:pPr>
      <w:r>
        <w:rPr>
          <w:rFonts w:hint="eastAsia" w:ascii="宋体" w:hAnsi="宋体" w:cs="Times New Roman"/>
          <w:snapToGrid w:val="0"/>
          <w:lang w:val="en-US" w:eastAsia="zh-CN"/>
        </w:rPr>
        <w:t xml:space="preserve">6.2 </w:t>
      </w:r>
      <w:r>
        <w:rPr>
          <w:rFonts w:hint="eastAsia" w:ascii="宋体" w:hAnsi="宋体" w:cs="Times New Roman"/>
          <w:snapToGrid w:val="0"/>
        </w:rPr>
        <w:t>仪器COD消解器应具有自动恒温加热，计时鸣叫等功能，有透明且通风的防消解液飞溅的防护盖</w:t>
      </w:r>
      <w:r>
        <w:rPr>
          <w:rFonts w:hint="eastAsia" w:ascii="宋体" w:hAnsi="宋体" w:cs="Times New Roman"/>
          <w:snapToGrid w:val="0"/>
          <w:lang w:eastAsia="zh-CN"/>
        </w:rPr>
        <w:t>，加热器加热时不会产生局部过热现象。加热孔的直径应能使消解管与加热壁紧密接触。为保证消解反应液在消解管内有充分的加热消解和冷却回流</w:t>
      </w:r>
      <w:r>
        <w:rPr>
          <w:rFonts w:hint="eastAsia" w:ascii="宋体" w:hAnsi="宋体" w:cs="Times New Roman"/>
          <w:snapToGrid w:val="0"/>
        </w:rPr>
        <w:t>。</w:t>
      </w:r>
    </w:p>
    <w:p w14:paraId="351C1223">
      <w:pPr>
        <w:keepNext w:val="0"/>
        <w:pageBreakBefore w:val="0"/>
        <w:kinsoku/>
        <w:wordWrap/>
        <w:overflowPunct/>
        <w:topLinePunct w:val="0"/>
        <w:bidi w:val="0"/>
        <w:spacing w:line="300" w:lineRule="auto"/>
        <w:textAlignment w:val="auto"/>
        <w:rPr>
          <w:rFonts w:cs="Arial" w:asciiTheme="minorEastAsia" w:hAnsiTheme="minorEastAsia"/>
          <w:b/>
          <w:color w:val="C00000"/>
        </w:rPr>
      </w:pPr>
      <w:r>
        <w:rPr>
          <w:rFonts w:hint="eastAsia" w:ascii="宋体" w:hAnsi="宋体" w:eastAsia="宋体" w:cs="Arial"/>
          <w:b/>
          <w:bCs/>
          <w:sz w:val="24"/>
          <w:szCs w:val="24"/>
          <w:lang w:val="en-US" w:eastAsia="zh-CN"/>
        </w:rPr>
        <w:t>7、</w:t>
      </w:r>
      <w:r>
        <w:rPr>
          <w:rFonts w:hint="eastAsia" w:ascii="宋体" w:hAnsi="宋体" w:eastAsia="宋体" w:cs="宋体"/>
          <w:b/>
          <w:color w:val="auto"/>
          <w:highlight w:val="none"/>
        </w:rPr>
        <w:t>总悬浮颗粒物采样器</w:t>
      </w:r>
    </w:p>
    <w:p w14:paraId="6A32C34A">
      <w:pPr>
        <w:keepNext w:val="0"/>
        <w:pageBreakBefore w:val="0"/>
        <w:widowControl/>
        <w:kinsoku/>
        <w:wordWrap/>
        <w:overflowPunct/>
        <w:topLinePunct w:val="0"/>
        <w:bidi w:val="0"/>
        <w:spacing w:line="300" w:lineRule="auto"/>
        <w:jc w:val="both"/>
        <w:textAlignment w:val="auto"/>
        <w:rPr>
          <w:rFonts w:hint="default" w:ascii="宋体" w:hAnsi="宋体" w:cs="Times New Roman"/>
          <w:snapToGrid w:val="0"/>
          <w:color w:val="auto"/>
          <w:kern w:val="0"/>
          <w:sz w:val="24"/>
          <w:lang w:val="en-US" w:eastAsia="zh-CN"/>
        </w:rPr>
      </w:pPr>
      <w:r>
        <w:rPr>
          <w:rFonts w:hint="eastAsia" w:ascii="宋体" w:hAnsi="宋体"/>
          <w:snapToGrid w:val="0"/>
        </w:rPr>
        <w:t>仪器</w:t>
      </w:r>
      <w:r>
        <w:rPr>
          <w:rFonts w:hint="eastAsia" w:ascii="宋体" w:hAnsi="宋体"/>
          <w:snapToGrid w:val="0"/>
          <w:lang w:val="en-US" w:eastAsia="zh-CN"/>
        </w:rPr>
        <w:t>适用</w:t>
      </w:r>
      <w:r>
        <w:rPr>
          <w:rFonts w:hint="eastAsia" w:ascii="宋体" w:hAnsi="宋体"/>
          <w:snapToGrid w:val="0"/>
        </w:rPr>
        <w:t>滤膜称重法捕集环境大气中的总悬浮微粒(TSP)和可吸入微粒(PM10)或细颗粒物</w:t>
      </w:r>
      <w:r>
        <w:rPr>
          <w:rFonts w:hint="eastAsia" w:ascii="宋体" w:hAnsi="宋体"/>
          <w:snapToGrid w:val="0"/>
          <w:lang w:val="en-US" w:eastAsia="zh-CN"/>
        </w:rPr>
        <w:t>的采样要求</w:t>
      </w:r>
      <w:r>
        <w:rPr>
          <w:rFonts w:hint="eastAsia" w:ascii="宋体" w:hAnsi="宋体"/>
          <w:snapToGrid w:val="0"/>
        </w:rPr>
        <w:t>；用溶液吸收法采集环境大气、室内空气中各种污染性气体成份(SO</w:t>
      </w:r>
      <w:r>
        <w:rPr>
          <w:rFonts w:hint="eastAsia" w:ascii="宋体" w:hAnsi="宋体"/>
          <w:snapToGrid w:val="0"/>
          <w:vertAlign w:val="subscript"/>
        </w:rPr>
        <w:t>2</w:t>
      </w:r>
      <w:r>
        <w:rPr>
          <w:rFonts w:hint="eastAsia" w:ascii="宋体" w:hAnsi="宋体"/>
          <w:snapToGrid w:val="0"/>
        </w:rPr>
        <w:t>、NO</w:t>
      </w:r>
      <w:r>
        <w:rPr>
          <w:rFonts w:hint="eastAsia" w:ascii="宋体" w:hAnsi="宋体"/>
          <w:snapToGrid w:val="0"/>
          <w:vertAlign w:val="subscript"/>
        </w:rPr>
        <w:t>x</w:t>
      </w:r>
      <w:r>
        <w:rPr>
          <w:rFonts w:hint="eastAsia" w:ascii="宋体" w:hAnsi="宋体"/>
          <w:snapToGrid w:val="0"/>
        </w:rPr>
        <w:t>等)；也可应用于环境空气中VOCs的采样。可供环保、卫生、劳动、安监等用于颗粒物、气态物质和气溶胶的常规或应急监测</w:t>
      </w:r>
      <w:r>
        <w:rPr>
          <w:rFonts w:hint="eastAsia" w:ascii="宋体" w:hAnsi="宋体"/>
          <w:snapToGrid w:val="0"/>
          <w:lang w:eastAsia="zh-CN"/>
        </w:rPr>
        <w:t>，</w:t>
      </w:r>
      <w:r>
        <w:rPr>
          <w:rFonts w:hint="eastAsia" w:ascii="宋体" w:hAnsi="宋体"/>
          <w:snapToGrid w:val="0"/>
          <w:lang w:val="en-US" w:eastAsia="zh-CN"/>
        </w:rPr>
        <w:t>一机含1路颗粒物采样，4路大气采样</w:t>
      </w:r>
      <w:r>
        <w:rPr>
          <w:rFonts w:hint="eastAsia"/>
        </w:rPr>
        <w:t>。</w:t>
      </w:r>
    </w:p>
    <w:bookmarkEnd w:id="6"/>
    <w:p w14:paraId="26C2B1D8">
      <w:pPr>
        <w:pStyle w:val="2"/>
        <w:keepNext w:val="0"/>
        <w:pageBreakBefore w:val="0"/>
        <w:kinsoku/>
        <w:wordWrap/>
        <w:overflowPunct/>
        <w:topLinePunct w:val="0"/>
        <w:bidi w:val="0"/>
        <w:spacing w:line="300" w:lineRule="auto"/>
        <w:textAlignment w:val="auto"/>
      </w:pPr>
      <w:bookmarkStart w:id="8" w:name="_Toc179969147"/>
      <w:r>
        <w:rPr>
          <w:rFonts w:hint="eastAsia"/>
        </w:rPr>
        <w:t>三、技术要求</w:t>
      </w:r>
      <w:bookmarkEnd w:id="8"/>
    </w:p>
    <w:p w14:paraId="6EF4645B">
      <w:pPr>
        <w:pStyle w:val="3"/>
        <w:keepNext w:val="0"/>
        <w:pageBreakBefore w:val="0"/>
        <w:kinsoku/>
        <w:wordWrap/>
        <w:overflowPunct/>
        <w:topLinePunct w:val="0"/>
        <w:bidi w:val="0"/>
        <w:spacing w:line="300" w:lineRule="auto"/>
        <w:textAlignment w:val="auto"/>
      </w:pPr>
      <w:bookmarkStart w:id="9" w:name="_Toc179969148"/>
      <w:r>
        <w:rPr>
          <w:rFonts w:hint="eastAsia"/>
        </w:rPr>
        <w:t>1、基本要求</w:t>
      </w:r>
      <w:bookmarkEnd w:id="9"/>
    </w:p>
    <w:p w14:paraId="6124D6A9">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1.1 仪器配置必须能完成本技术规格书中“二、测试样品及项目”要求的分析样品及分析项目，并达到性能保证指标。</w:t>
      </w:r>
    </w:p>
    <w:p w14:paraId="1CBF7DAA">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1.2 操作软件应具备图形界面、远程诊断、维护/维修监控等功能；中英文操作界面、可用于windows</w:t>
      </w:r>
      <w:r>
        <w:rPr>
          <w:rFonts w:ascii="宋体" w:hAnsi="宋体"/>
        </w:rPr>
        <w:t>10</w:t>
      </w:r>
      <w:r>
        <w:rPr>
          <w:rFonts w:hint="eastAsia" w:ascii="宋体" w:hAnsi="宋体"/>
        </w:rPr>
        <w:t>以上专业版操作系统；</w:t>
      </w:r>
    </w:p>
    <w:p w14:paraId="3104A29D">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1.3 仪器主机与电脑主机的通讯接口应为</w:t>
      </w:r>
      <w:r>
        <w:rPr>
          <w:rFonts w:hint="eastAsia" w:ascii="宋体" w:hAnsi="宋体"/>
          <w:color w:val="000000"/>
        </w:rPr>
        <w:t>RS232、LAN、USB等</w:t>
      </w:r>
      <w:r>
        <w:rPr>
          <w:rFonts w:hint="eastAsia" w:ascii="宋体" w:hAnsi="宋体"/>
        </w:rPr>
        <w:t>或其他通用网络通讯接口；</w:t>
      </w:r>
    </w:p>
    <w:p w14:paraId="0F4D5762">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1.4 仪器的电脑为品牌商用台式电脑，其配置应为当前主流产品，具体配置不低于：CPU i</w:t>
      </w:r>
      <w:r>
        <w:rPr>
          <w:rFonts w:ascii="宋体" w:hAnsi="宋体"/>
        </w:rPr>
        <w:t>7</w:t>
      </w:r>
      <w:r>
        <w:rPr>
          <w:rFonts w:hint="eastAsia" w:ascii="宋体" w:hAnsi="宋体"/>
        </w:rPr>
        <w:t>十四代，</w:t>
      </w:r>
      <w:r>
        <w:rPr>
          <w:rFonts w:ascii="宋体" w:hAnsi="宋体"/>
        </w:rPr>
        <w:t>512G SSD</w:t>
      </w:r>
      <w:r>
        <w:rPr>
          <w:rFonts w:hint="eastAsia" w:ascii="宋体" w:hAnsi="宋体"/>
        </w:rPr>
        <w:t>+1T的硬盘（统一分成4个区），内存</w:t>
      </w:r>
      <w:r>
        <w:rPr>
          <w:rFonts w:ascii="宋体" w:hAnsi="宋体"/>
        </w:rPr>
        <w:t>32</w:t>
      </w:r>
      <w:r>
        <w:rPr>
          <w:rFonts w:hint="eastAsia" w:ascii="宋体" w:hAnsi="宋体"/>
        </w:rPr>
        <w:t>G</w:t>
      </w:r>
      <w:r>
        <w:rPr>
          <w:rFonts w:hint="eastAsia"/>
        </w:rPr>
        <w:t xml:space="preserve"> </w:t>
      </w:r>
      <w:r>
        <w:rPr>
          <w:rFonts w:hint="eastAsia" w:ascii="宋体" w:hAnsi="宋体"/>
        </w:rPr>
        <w:t>DDR</w:t>
      </w:r>
      <w:r>
        <w:rPr>
          <w:rFonts w:ascii="宋体" w:hAnsi="宋体"/>
        </w:rPr>
        <w:t>5</w:t>
      </w:r>
      <w:r>
        <w:rPr>
          <w:rFonts w:hint="eastAsia" w:ascii="宋体" w:hAnsi="宋体"/>
        </w:rPr>
        <w:t>及以上，23寸宽屏液晶显示器，独立显卡4G，100/1000Mbps有线及无线双网卡，光驱，标准鼠标和键盘，预装正版Windows 11以上专业版操作系统64 位和应用软件；机箱容积不小于1</w:t>
      </w:r>
      <w:r>
        <w:rPr>
          <w:rFonts w:ascii="宋体" w:hAnsi="宋体"/>
        </w:rPr>
        <w:t>7L</w:t>
      </w:r>
      <w:r>
        <w:rPr>
          <w:rFonts w:hint="eastAsia" w:ascii="宋体" w:hAnsi="宋体"/>
        </w:rPr>
        <w:t>；</w:t>
      </w:r>
    </w:p>
    <w:p w14:paraId="3D4127A2">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1.5 仪器控制软件能与LIMS（实验室信息管理系统）系统相连接，保证仪器分析数据能上传LIMS；</w:t>
      </w:r>
    </w:p>
    <w:p w14:paraId="2C23BE6E">
      <w:pPr>
        <w:keepNext w:val="0"/>
        <w:pageBreakBefore w:val="0"/>
        <w:kinsoku/>
        <w:wordWrap/>
        <w:overflowPunct/>
        <w:topLinePunct w:val="0"/>
        <w:bidi w:val="0"/>
        <w:spacing w:line="300" w:lineRule="auto"/>
        <w:jc w:val="both"/>
        <w:textAlignment w:val="auto"/>
        <w:rPr>
          <w:rFonts w:ascii="宋体" w:hAnsi="宋体"/>
        </w:rPr>
      </w:pPr>
      <w:r>
        <w:rPr>
          <w:rFonts w:hint="eastAsia" w:ascii="宋体" w:hAnsi="宋体"/>
        </w:rPr>
        <w:t>1.6 每台仪器必须提供书面中文仪器说明书、电路图及故障诊断说明资料2套；相应的电子版本说明书</w:t>
      </w:r>
      <w:r>
        <w:rPr>
          <w:rFonts w:ascii="宋体" w:hAnsi="宋体"/>
        </w:rPr>
        <w:t>2</w:t>
      </w:r>
      <w:r>
        <w:rPr>
          <w:rFonts w:hint="eastAsia" w:ascii="宋体" w:hAnsi="宋体"/>
        </w:rPr>
        <w:t>套（存于U</w:t>
      </w:r>
      <w:r>
        <w:rPr>
          <w:rFonts w:ascii="宋体" w:hAnsi="宋体"/>
        </w:rPr>
        <w:t>盘</w:t>
      </w:r>
      <w:r>
        <w:rPr>
          <w:rFonts w:hint="eastAsia" w:ascii="宋体" w:hAnsi="宋体"/>
        </w:rPr>
        <w:t>）。</w:t>
      </w:r>
    </w:p>
    <w:p w14:paraId="44F2451B">
      <w:pPr>
        <w:pStyle w:val="3"/>
        <w:keepNext w:val="0"/>
        <w:pageBreakBefore w:val="0"/>
        <w:kinsoku/>
        <w:wordWrap/>
        <w:overflowPunct/>
        <w:topLinePunct w:val="0"/>
        <w:bidi w:val="0"/>
        <w:spacing w:line="300" w:lineRule="auto"/>
        <w:textAlignment w:val="auto"/>
      </w:pPr>
      <w:bookmarkStart w:id="10" w:name="_Toc179969149"/>
      <w:r>
        <w:rPr>
          <w:rFonts w:hint="eastAsia"/>
        </w:rPr>
        <w:t>2、供货范围（卖方供货清单明细）</w:t>
      </w:r>
      <w:bookmarkEnd w:id="10"/>
    </w:p>
    <w:p w14:paraId="2E0FEEF0">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rPr>
      </w:pPr>
      <w:r>
        <w:rPr>
          <w:rFonts w:hint="eastAsia" w:ascii="宋体" w:hAnsi="宋体"/>
        </w:rPr>
        <w:t>此部分为卖方的仪器供货清单。此清单应包括：</w:t>
      </w:r>
    </w:p>
    <w:p w14:paraId="42557EA8">
      <w:pPr>
        <w:pStyle w:val="37"/>
        <w:keepNext w:val="0"/>
        <w:pageBreakBefore w:val="0"/>
        <w:kinsoku/>
        <w:wordWrap/>
        <w:overflowPunct/>
        <w:topLinePunct w:val="0"/>
        <w:bidi w:val="0"/>
        <w:adjustRightInd/>
        <w:spacing w:line="300" w:lineRule="auto"/>
        <w:jc w:val="both"/>
        <w:textAlignment w:val="auto"/>
        <w:rPr>
          <w:rFonts w:ascii="宋体" w:hAnsi="宋体"/>
        </w:rPr>
      </w:pPr>
      <w:r>
        <w:rPr>
          <w:rFonts w:hint="eastAsia" w:ascii="宋体" w:hAnsi="宋体"/>
        </w:rPr>
        <w:t>2.1 仪器名称、规格型号、数量、仪器制造厂商等内容。</w:t>
      </w:r>
    </w:p>
    <w:p w14:paraId="67364FAA">
      <w:pPr>
        <w:pStyle w:val="37"/>
        <w:keepNext w:val="0"/>
        <w:pageBreakBefore w:val="0"/>
        <w:kinsoku/>
        <w:wordWrap/>
        <w:overflowPunct/>
        <w:topLinePunct w:val="0"/>
        <w:bidi w:val="0"/>
        <w:adjustRightInd/>
        <w:spacing w:line="300" w:lineRule="auto"/>
        <w:jc w:val="both"/>
        <w:textAlignment w:val="auto"/>
        <w:rPr>
          <w:rFonts w:ascii="宋体" w:hAnsi="宋体"/>
        </w:rPr>
      </w:pPr>
      <w:r>
        <w:rPr>
          <w:rFonts w:hint="eastAsia" w:ascii="宋体" w:hAnsi="宋体"/>
        </w:rPr>
        <w:t>2.2 仪器硬件及软件的具体配置，包括仪器的标准配置、选购配置、备品备件及消耗品配置等。</w:t>
      </w:r>
    </w:p>
    <w:p w14:paraId="626E5A13">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rPr>
      </w:pPr>
      <w:r>
        <w:rPr>
          <w:rFonts w:hint="eastAsia" w:ascii="宋体" w:hAnsi="宋体"/>
        </w:rPr>
        <w:t>卖方保证供货的每台仪器均为原装产品。</w:t>
      </w:r>
    </w:p>
    <w:p w14:paraId="66781AD5">
      <w:pPr>
        <w:pStyle w:val="37"/>
        <w:keepNext w:val="0"/>
        <w:pageBreakBefore w:val="0"/>
        <w:kinsoku/>
        <w:wordWrap/>
        <w:overflowPunct/>
        <w:topLinePunct w:val="0"/>
        <w:bidi w:val="0"/>
        <w:adjustRightInd/>
        <w:spacing w:line="300" w:lineRule="auto"/>
        <w:jc w:val="both"/>
        <w:textAlignment w:val="auto"/>
        <w:rPr>
          <w:rFonts w:ascii="宋体" w:hAnsi="宋体"/>
        </w:rPr>
      </w:pPr>
      <w:r>
        <w:rPr>
          <w:rFonts w:hint="eastAsia" w:ascii="宋体" w:hAnsi="宋体"/>
        </w:rPr>
        <w:t xml:space="preserve">    卖方应保证所提供的系统配置是完整的。</w:t>
      </w:r>
      <w:r>
        <w:rPr>
          <w:rFonts w:hint="eastAsia" w:ascii="宋体" w:hAnsi="宋体" w:cs="宋体"/>
        </w:rPr>
        <w:t>卖方应保证</w:t>
      </w:r>
      <w:r>
        <w:rPr>
          <w:rFonts w:hint="eastAsia" w:ascii="宋体" w:hAnsi="宋体"/>
        </w:rPr>
        <w:t>仪器主机所携带的用于日常维护保养的专用工具齐全。</w:t>
      </w:r>
      <w:r>
        <w:rPr>
          <w:rFonts w:hint="eastAsia" w:ascii="宋体" w:hAnsi="宋体" w:cs="宋体"/>
        </w:rPr>
        <w:t>卖方应保证</w:t>
      </w:r>
      <w:r>
        <w:rPr>
          <w:rFonts w:hint="eastAsia" w:ascii="宋体" w:hAnsi="宋体"/>
        </w:rPr>
        <w:t>仪器主机所携带的标准样品满足仪器现场</w:t>
      </w:r>
      <w:r>
        <w:rPr>
          <w:rFonts w:hint="eastAsia" w:ascii="宋体" w:hAnsi="宋体" w:cs="宋体"/>
        </w:rPr>
        <w:t>调试和验收的要求</w:t>
      </w:r>
      <w:r>
        <w:rPr>
          <w:rFonts w:hint="eastAsia" w:ascii="宋体" w:hAnsi="宋体"/>
        </w:rPr>
        <w:t>。卖方应保证所提供的备品备件及消耗品的数量满足买方的两年需求。</w:t>
      </w:r>
    </w:p>
    <w:p w14:paraId="3F0555D2">
      <w:pPr>
        <w:keepNext w:val="0"/>
        <w:pageBreakBefore w:val="0"/>
        <w:kinsoku/>
        <w:wordWrap/>
        <w:overflowPunct/>
        <w:topLinePunct w:val="0"/>
        <w:bidi w:val="0"/>
        <w:spacing w:line="300" w:lineRule="auto"/>
        <w:ind w:firstLine="480"/>
        <w:jc w:val="both"/>
        <w:textAlignment w:val="auto"/>
        <w:rPr>
          <w:rFonts w:ascii="宋体" w:hAnsi="宋体"/>
          <w:b/>
        </w:rPr>
      </w:pPr>
      <w:r>
        <w:rPr>
          <w:rFonts w:hint="eastAsia" w:ascii="宋体" w:hAnsi="宋体"/>
          <w:b/>
        </w:rPr>
        <w:t>具体内容请见附件一</w:t>
      </w:r>
    </w:p>
    <w:p w14:paraId="1E24F991">
      <w:pPr>
        <w:pStyle w:val="3"/>
        <w:keepNext w:val="0"/>
        <w:pageBreakBefore w:val="0"/>
        <w:kinsoku/>
        <w:wordWrap/>
        <w:overflowPunct/>
        <w:topLinePunct w:val="0"/>
        <w:bidi w:val="0"/>
        <w:spacing w:line="300" w:lineRule="auto"/>
        <w:textAlignment w:val="auto"/>
      </w:pPr>
      <w:bookmarkStart w:id="11" w:name="_Toc179969150"/>
      <w:r>
        <w:rPr>
          <w:rFonts w:hint="eastAsia"/>
        </w:rPr>
        <w:t>3、仪器技术指标和性能特点</w:t>
      </w:r>
      <w:bookmarkEnd w:id="11"/>
    </w:p>
    <w:p w14:paraId="242BA4C4">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此部分为仪器的技术指标说明部分。</w:t>
      </w:r>
    </w:p>
    <w:p w14:paraId="3F2A8C27">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卖方应保证所提供的技术指标真实准确而有效。</w:t>
      </w:r>
    </w:p>
    <w:p w14:paraId="30FF3263">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b/>
        </w:rPr>
        <w:t>具体内容详见附件一</w:t>
      </w:r>
      <w:r>
        <w:rPr>
          <w:rFonts w:hint="eastAsia" w:ascii="宋体" w:hAnsi="宋体"/>
        </w:rPr>
        <w:t>。</w:t>
      </w:r>
    </w:p>
    <w:p w14:paraId="616C7DB9">
      <w:pPr>
        <w:pStyle w:val="3"/>
        <w:keepNext w:val="0"/>
        <w:pageBreakBefore w:val="0"/>
        <w:kinsoku/>
        <w:wordWrap/>
        <w:overflowPunct/>
        <w:topLinePunct w:val="0"/>
        <w:bidi w:val="0"/>
        <w:spacing w:line="300" w:lineRule="auto"/>
        <w:textAlignment w:val="auto"/>
      </w:pPr>
      <w:bookmarkStart w:id="12" w:name="_Toc179969151"/>
      <w:r>
        <w:rPr>
          <w:rFonts w:hint="eastAsia"/>
        </w:rPr>
        <w:t>4、仪器安装条件</w:t>
      </w:r>
      <w:bookmarkEnd w:id="12"/>
    </w:p>
    <w:p w14:paraId="1A11DA0D">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对于仪器安装所需具备的条件(如：供电、接地、环境、水、气路、实验台等)，卖方应在合同生效后一周内书面告知买方，买方根据安装条件做好准备工作。</w:t>
      </w:r>
    </w:p>
    <w:p w14:paraId="6419D1C3">
      <w:pPr>
        <w:pStyle w:val="2"/>
        <w:keepNext w:val="0"/>
        <w:pageBreakBefore w:val="0"/>
        <w:kinsoku/>
        <w:wordWrap/>
        <w:overflowPunct/>
        <w:topLinePunct w:val="0"/>
        <w:bidi w:val="0"/>
        <w:spacing w:line="300" w:lineRule="auto"/>
        <w:textAlignment w:val="auto"/>
      </w:pPr>
      <w:bookmarkStart w:id="13" w:name="_Toc179969152"/>
      <w:r>
        <w:rPr>
          <w:rFonts w:hint="eastAsia"/>
        </w:rPr>
        <w:t>四、技术服务</w:t>
      </w:r>
      <w:bookmarkEnd w:id="13"/>
    </w:p>
    <w:p w14:paraId="24AB00F7">
      <w:pPr>
        <w:pStyle w:val="3"/>
        <w:keepNext w:val="0"/>
        <w:pageBreakBefore w:val="0"/>
        <w:kinsoku/>
        <w:wordWrap/>
        <w:overflowPunct/>
        <w:topLinePunct w:val="0"/>
        <w:bidi w:val="0"/>
        <w:spacing w:line="300" w:lineRule="auto"/>
        <w:textAlignment w:val="auto"/>
      </w:pPr>
      <w:bookmarkStart w:id="14" w:name="_Toc179969153"/>
      <w:r>
        <w:rPr>
          <w:rFonts w:hint="eastAsia"/>
        </w:rPr>
        <w:t>1 、概述</w:t>
      </w:r>
      <w:bookmarkEnd w:id="14"/>
    </w:p>
    <w:p w14:paraId="31403E8C">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技术服务应包括工程服务与现场服务。工程服务有项目管理、组态、生成、集成调试、工厂试验与出厂验收、培训服务（操作、维护）等。现场服务包括现场开箱检查、系统通电、联调试运、现场验收、保运服务等。</w:t>
      </w:r>
    </w:p>
    <w:p w14:paraId="00FABAA1">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无论是工程服务还是现场服务，卖方都应派遣有经验的技术人员，并应提供完全免费的技术服务。在合同签定后，卖方应立即指派一名有经验的项目经理给买方，并提供其固定通讯方式及通信地址。项目经理应自始至终地负责整个项目的实施，包括文件、信件（传真、网络信件等）等资料的往来，处理双方的有关事宜等。如有人员变更或临时变化，卖方应预先通知买方，并获其批准。</w:t>
      </w:r>
    </w:p>
    <w:p w14:paraId="22E76270">
      <w:pPr>
        <w:pStyle w:val="3"/>
        <w:keepNext w:val="0"/>
        <w:pageBreakBefore w:val="0"/>
        <w:kinsoku/>
        <w:wordWrap/>
        <w:overflowPunct/>
        <w:topLinePunct w:val="0"/>
        <w:bidi w:val="0"/>
        <w:spacing w:line="300" w:lineRule="auto"/>
        <w:textAlignment w:val="auto"/>
      </w:pPr>
      <w:bookmarkStart w:id="15" w:name="_Toc179969154"/>
      <w:r>
        <w:rPr>
          <w:rFonts w:hint="eastAsia"/>
        </w:rPr>
        <w:t>2、仪器交货期</w:t>
      </w:r>
      <w:bookmarkEnd w:id="15"/>
    </w:p>
    <w:p w14:paraId="4587FCFA">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仪器交货时间：卖方在合同生效后</w:t>
      </w:r>
      <w:r>
        <w:rPr>
          <w:rFonts w:ascii="宋体" w:hAnsi="宋体"/>
          <w:b/>
          <w:color w:val="000000"/>
        </w:rPr>
        <w:t>3</w:t>
      </w:r>
      <w:r>
        <w:rPr>
          <w:rFonts w:hint="eastAsia" w:ascii="宋体" w:hAnsi="宋体"/>
          <w:b/>
          <w:color w:val="000000"/>
        </w:rPr>
        <w:t>个月</w:t>
      </w:r>
      <w:r>
        <w:rPr>
          <w:rFonts w:hint="eastAsia" w:ascii="宋体" w:hAnsi="宋体"/>
        </w:rPr>
        <w:t>内交货（或根据商务合同的规定时限交货），卖方保证仪器到货时仪器的各个系统完整性。</w:t>
      </w:r>
    </w:p>
    <w:p w14:paraId="0269949E">
      <w:pPr>
        <w:pStyle w:val="3"/>
        <w:keepNext w:val="0"/>
        <w:pageBreakBefore w:val="0"/>
        <w:kinsoku/>
        <w:wordWrap/>
        <w:overflowPunct/>
        <w:topLinePunct w:val="0"/>
        <w:bidi w:val="0"/>
        <w:spacing w:line="300" w:lineRule="auto"/>
        <w:textAlignment w:val="auto"/>
      </w:pPr>
      <w:bookmarkStart w:id="16" w:name="_Toc179969155"/>
      <w:r>
        <w:rPr>
          <w:rFonts w:hint="eastAsia"/>
        </w:rPr>
        <w:t>3、验货</w:t>
      </w:r>
      <w:bookmarkEnd w:id="16"/>
    </w:p>
    <w:p w14:paraId="2C10B080">
      <w:pPr>
        <w:pStyle w:val="37"/>
        <w:keepNext w:val="0"/>
        <w:pageBreakBefore w:val="0"/>
        <w:kinsoku/>
        <w:wordWrap/>
        <w:overflowPunct/>
        <w:topLinePunct w:val="0"/>
        <w:bidi w:val="0"/>
        <w:spacing w:line="300" w:lineRule="auto"/>
        <w:ind w:firstLine="480" w:firstLineChars="200"/>
        <w:jc w:val="both"/>
        <w:textAlignment w:val="auto"/>
        <w:rPr>
          <w:rFonts w:ascii="宋体" w:hAnsi="宋体"/>
          <w:color w:val="auto"/>
        </w:rPr>
      </w:pPr>
      <w:r>
        <w:rPr>
          <w:rFonts w:hint="eastAsia" w:ascii="宋体" w:hAnsi="宋体"/>
          <w:color w:val="auto"/>
        </w:rPr>
        <w:t>仪器到现场后，卖方应派人与买方共同开箱验货。确认装箱单和设备完好情况。在买方现场开箱验收时，仪器应达到如下要求：</w:t>
      </w:r>
    </w:p>
    <w:p w14:paraId="314F2B9D">
      <w:pPr>
        <w:keepNext w:val="0"/>
        <w:pageBreakBefore w:val="0"/>
        <w:kinsoku/>
        <w:wordWrap/>
        <w:overflowPunct/>
        <w:topLinePunct w:val="0"/>
        <w:bidi w:val="0"/>
        <w:spacing w:line="300" w:lineRule="auto"/>
        <w:ind w:firstLine="480" w:firstLineChars="200"/>
        <w:jc w:val="both"/>
        <w:textAlignment w:val="auto"/>
        <w:rPr>
          <w:rFonts w:ascii="宋体" w:hAnsi="宋体"/>
        </w:rPr>
      </w:pPr>
      <w:r>
        <w:rPr>
          <w:rFonts w:hint="eastAsia" w:ascii="宋体" w:hAnsi="宋体"/>
        </w:rPr>
        <w:t>所有仪器的外观、喷漆、电缆的外壳和接头必须完好无缺，铭牌正确。</w:t>
      </w:r>
    </w:p>
    <w:p w14:paraId="6F520ED2">
      <w:pPr>
        <w:keepNext w:val="0"/>
        <w:pageBreakBefore w:val="0"/>
        <w:kinsoku/>
        <w:wordWrap/>
        <w:overflowPunct/>
        <w:topLinePunct w:val="0"/>
        <w:bidi w:val="0"/>
        <w:spacing w:line="300" w:lineRule="auto"/>
        <w:ind w:firstLine="480" w:firstLineChars="200"/>
        <w:jc w:val="both"/>
        <w:textAlignment w:val="auto"/>
        <w:rPr>
          <w:rFonts w:ascii="宋体" w:hAnsi="宋体"/>
        </w:rPr>
      </w:pPr>
      <w:r>
        <w:rPr>
          <w:rFonts w:hint="eastAsia" w:ascii="宋体" w:hAnsi="宋体"/>
        </w:rPr>
        <w:t>所有仪器的主机、附件、备件必须完整齐全，标识清楚。</w:t>
      </w:r>
    </w:p>
    <w:p w14:paraId="2A9C4268">
      <w:pPr>
        <w:keepNext w:val="0"/>
        <w:pageBreakBefore w:val="0"/>
        <w:kinsoku/>
        <w:wordWrap/>
        <w:overflowPunct/>
        <w:topLinePunct w:val="0"/>
        <w:bidi w:val="0"/>
        <w:spacing w:line="300" w:lineRule="auto"/>
        <w:ind w:firstLine="480" w:firstLineChars="200"/>
        <w:jc w:val="both"/>
        <w:textAlignment w:val="auto"/>
        <w:rPr>
          <w:rFonts w:ascii="宋体" w:hAnsi="宋体"/>
        </w:rPr>
      </w:pPr>
      <w:r>
        <w:rPr>
          <w:rFonts w:hint="eastAsia" w:ascii="宋体" w:hAnsi="宋体"/>
        </w:rPr>
        <w:t>所有仪器的技术资料必须完整齐全。资料包括现场准备和安装说明书、操作维护手册、电路图、订货单规定的所有供货项目的详细清单、合格证书、安全证书、出厂验收测试程序、原产地证明等。</w:t>
      </w:r>
    </w:p>
    <w:p w14:paraId="45B5FA26">
      <w:pPr>
        <w:keepNext w:val="0"/>
        <w:pageBreakBefore w:val="0"/>
        <w:kinsoku/>
        <w:wordWrap/>
        <w:overflowPunct/>
        <w:topLinePunct w:val="0"/>
        <w:bidi w:val="0"/>
        <w:spacing w:line="300" w:lineRule="auto"/>
        <w:ind w:firstLine="480" w:firstLineChars="200"/>
        <w:jc w:val="both"/>
        <w:textAlignment w:val="auto"/>
        <w:rPr>
          <w:rFonts w:ascii="宋体" w:hAnsi="宋体"/>
        </w:rPr>
      </w:pPr>
      <w:r>
        <w:rPr>
          <w:rFonts w:hint="eastAsia" w:ascii="宋体" w:hAnsi="宋体"/>
        </w:rPr>
        <w:t>在运输过程中造成的仪器损坏、零部件缺项、资料缺失，卖方确认并负责在7天内补全缺件。卖方对仪器配置（包括辅助设备）的完整性和配套性负责，并保证仪器的正常使用。</w:t>
      </w:r>
    </w:p>
    <w:p w14:paraId="362A6ED3">
      <w:pPr>
        <w:pStyle w:val="3"/>
        <w:keepNext w:val="0"/>
        <w:pageBreakBefore w:val="0"/>
        <w:kinsoku/>
        <w:wordWrap/>
        <w:overflowPunct/>
        <w:topLinePunct w:val="0"/>
        <w:bidi w:val="0"/>
        <w:spacing w:line="300" w:lineRule="auto"/>
        <w:textAlignment w:val="auto"/>
      </w:pPr>
      <w:bookmarkStart w:id="17" w:name="_Toc179969156"/>
      <w:r>
        <w:rPr>
          <w:rFonts w:hint="eastAsia"/>
        </w:rPr>
        <w:t>4、仪器现场安装调试</w:t>
      </w:r>
      <w:bookmarkEnd w:id="17"/>
    </w:p>
    <w:p w14:paraId="45BCF9E3">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cs="Arial"/>
          <w:bCs/>
        </w:rPr>
        <w:t>在收到买方仪器安装调试通知后，由卖方派出工程技术人员，到达买方实验室进行仪器的免费安装调试工作；具体时间由双方协商决定。</w:t>
      </w:r>
      <w:r>
        <w:rPr>
          <w:rFonts w:hint="eastAsia" w:ascii="宋体" w:hAnsi="宋体"/>
        </w:rPr>
        <w:t>仪器安装调试时间不应超过1周时间。</w:t>
      </w:r>
    </w:p>
    <w:p w14:paraId="3FFE323B">
      <w:pPr>
        <w:keepNext w:val="0"/>
        <w:pageBreakBefore w:val="0"/>
        <w:kinsoku/>
        <w:wordWrap/>
        <w:overflowPunct/>
        <w:topLinePunct w:val="0"/>
        <w:bidi w:val="0"/>
        <w:spacing w:line="300" w:lineRule="auto"/>
        <w:ind w:firstLine="480"/>
        <w:jc w:val="both"/>
        <w:textAlignment w:val="auto"/>
        <w:rPr>
          <w:rFonts w:ascii="宋体" w:hAnsi="宋体"/>
        </w:rPr>
      </w:pPr>
      <w:r>
        <w:rPr>
          <w:rFonts w:hint="eastAsia" w:ascii="宋体" w:hAnsi="宋体"/>
        </w:rPr>
        <w:t>卖方负责建立分析样品及分析项目所对应的分析方法及标准曲线，并优化各种参数，使分析达到最佳效果。</w:t>
      </w:r>
    </w:p>
    <w:p w14:paraId="73EAAB88">
      <w:pPr>
        <w:pStyle w:val="3"/>
        <w:keepNext w:val="0"/>
        <w:pageBreakBefore w:val="0"/>
        <w:kinsoku/>
        <w:wordWrap/>
        <w:overflowPunct/>
        <w:topLinePunct w:val="0"/>
        <w:bidi w:val="0"/>
        <w:spacing w:line="300" w:lineRule="auto"/>
        <w:textAlignment w:val="auto"/>
      </w:pPr>
      <w:bookmarkStart w:id="18" w:name="_Toc179969157"/>
      <w:r>
        <w:rPr>
          <w:rFonts w:hint="eastAsia"/>
        </w:rPr>
        <w:t>5、仪器验收</w:t>
      </w:r>
      <w:bookmarkEnd w:id="18"/>
    </w:p>
    <w:p w14:paraId="108D34D2">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cs="宋体"/>
          <w:color w:val="auto"/>
        </w:rPr>
      </w:pPr>
      <w:r>
        <w:rPr>
          <w:rFonts w:hint="eastAsia" w:ascii="宋体" w:hAnsi="宋体" w:cs="宋体"/>
          <w:color w:val="auto"/>
        </w:rPr>
        <w:t xml:space="preserve">卖方提供测试用的仪器和工具，供买方技术人员在验收时使用。 </w:t>
      </w:r>
    </w:p>
    <w:p w14:paraId="1C78D167">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cs="宋体"/>
          <w:color w:val="0000FF"/>
        </w:rPr>
      </w:pPr>
      <w:r>
        <w:rPr>
          <w:rFonts w:hint="eastAsia" w:ascii="宋体" w:hAnsi="宋体" w:cs="宋体"/>
          <w:color w:val="auto"/>
        </w:rPr>
        <w:t>卖方提供仪器QA/QC的标准样品，以保证仪器正常的调试和验收。</w:t>
      </w:r>
      <w:r>
        <w:rPr>
          <w:rFonts w:hint="eastAsia" w:ascii="宋体" w:hAnsi="宋体" w:cs="宋体"/>
          <w:color w:val="0000FF"/>
        </w:rPr>
        <w:t xml:space="preserve"> </w:t>
      </w:r>
    </w:p>
    <w:p w14:paraId="2643EDED">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color w:val="auto"/>
        </w:rPr>
      </w:pPr>
      <w:r>
        <w:rPr>
          <w:rFonts w:hint="eastAsia" w:ascii="宋体" w:hAnsi="宋体" w:cs="宋体"/>
          <w:color w:val="auto"/>
        </w:rPr>
        <w:t>卖方</w:t>
      </w:r>
      <w:r>
        <w:rPr>
          <w:rFonts w:hint="eastAsia" w:ascii="宋体" w:hAnsi="宋体" w:cs="宋体"/>
        </w:rPr>
        <w:t>严格按照请购规格书、技术协议书的要求及仪器厂商的产品验收标准等进行验收</w:t>
      </w:r>
      <w:r>
        <w:rPr>
          <w:rFonts w:hint="eastAsia" w:ascii="宋体" w:hAnsi="宋体"/>
        </w:rPr>
        <w:t>，二者之间选用指标较高的标准。</w:t>
      </w:r>
    </w:p>
    <w:p w14:paraId="555EA34C">
      <w:pPr>
        <w:keepNext w:val="0"/>
        <w:pageBreakBefore w:val="0"/>
        <w:kinsoku/>
        <w:wordWrap/>
        <w:overflowPunct/>
        <w:topLinePunct w:val="0"/>
        <w:bidi w:val="0"/>
        <w:spacing w:line="300" w:lineRule="auto"/>
        <w:ind w:firstLine="480" w:firstLineChars="200"/>
        <w:jc w:val="both"/>
        <w:textAlignment w:val="auto"/>
        <w:rPr>
          <w:rFonts w:ascii="宋体" w:hAnsi="宋体"/>
        </w:rPr>
      </w:pPr>
      <w:r>
        <w:rPr>
          <w:rFonts w:hint="eastAsia" w:ascii="宋体" w:hAnsi="宋体" w:cs="宋体"/>
        </w:rPr>
        <w:t>仪器的验收必须满足以下条件：仪器的各项性能指标必须符合仪器出厂规定的技术性能指标；必须符合本技术协议附件中的技术要求或请购规格书的技术指标。仪器必须能满足用户的要求；</w:t>
      </w:r>
      <w:r>
        <w:rPr>
          <w:rFonts w:hint="eastAsia" w:ascii="宋体" w:hAnsi="宋体"/>
        </w:rPr>
        <w:t>必须满足相应方法标准中对设备的要求，必须满足标准和技术协议中规定的测量范围和测量精度。如仪器附带标准物质，还需用标准物质进行验收。如仪器有检出限要求，还需对检出限进行验收。</w:t>
      </w:r>
    </w:p>
    <w:p w14:paraId="5E529DD3">
      <w:pPr>
        <w:pStyle w:val="3"/>
        <w:keepNext w:val="0"/>
        <w:pageBreakBefore w:val="0"/>
        <w:kinsoku/>
        <w:wordWrap/>
        <w:overflowPunct/>
        <w:topLinePunct w:val="0"/>
        <w:bidi w:val="0"/>
        <w:spacing w:line="300" w:lineRule="auto"/>
        <w:textAlignment w:val="auto"/>
      </w:pPr>
      <w:bookmarkStart w:id="19" w:name="_Toc179969158"/>
      <w:r>
        <w:rPr>
          <w:rFonts w:hint="eastAsia"/>
        </w:rPr>
        <w:t>6、培训</w:t>
      </w:r>
      <w:bookmarkEnd w:id="19"/>
    </w:p>
    <w:p w14:paraId="0B5D73AA">
      <w:pPr>
        <w:keepNext w:val="0"/>
        <w:pageBreakBefore w:val="0"/>
        <w:kinsoku/>
        <w:wordWrap/>
        <w:overflowPunct/>
        <w:topLinePunct w:val="0"/>
        <w:bidi w:val="0"/>
        <w:spacing w:line="300" w:lineRule="auto"/>
        <w:ind w:firstLine="480" w:firstLineChars="200"/>
        <w:jc w:val="both"/>
        <w:textAlignment w:val="auto"/>
        <w:rPr>
          <w:rFonts w:ascii="宋体" w:hAnsi="宋体"/>
          <w:snapToGrid w:val="0"/>
          <w:color w:val="000000"/>
        </w:rPr>
      </w:pPr>
      <w:r>
        <w:rPr>
          <w:rFonts w:hint="eastAsia" w:ascii="宋体" w:hAnsi="宋体"/>
          <w:snapToGrid w:val="0"/>
          <w:color w:val="000000"/>
        </w:rPr>
        <w:t>卖方在仪器安装完成后，对买方人员进行第一期技术培训（5天以上现场培训），保证买方仪器操作人员能够正常操作仪器、初步判断故障、简单维护保养。培训内容包括：仪器结构原理、操作原理、安装调试、实际操作、软件使用、日常维护、故障排除、注意事项、应用方法、样品处理、用户使用过程中出现的问题等方面。</w:t>
      </w:r>
    </w:p>
    <w:p w14:paraId="155A0227">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snapToGrid w:val="0"/>
        </w:rPr>
      </w:pPr>
      <w:r>
        <w:rPr>
          <w:rFonts w:hint="eastAsia" w:ascii="宋体" w:hAnsi="宋体" w:cs="宋体"/>
          <w:szCs w:val="21"/>
        </w:rPr>
        <w:t>在保修期内，</w:t>
      </w:r>
      <w:r>
        <w:rPr>
          <w:rFonts w:ascii="宋体" w:hAnsi="宋体" w:cs="宋体"/>
          <w:szCs w:val="21"/>
        </w:rPr>
        <w:t>卖方</w:t>
      </w:r>
      <w:r>
        <w:rPr>
          <w:rFonts w:hint="eastAsia" w:ascii="宋体" w:hAnsi="宋体" w:cs="宋体"/>
          <w:szCs w:val="21"/>
        </w:rPr>
        <w:t>应</w:t>
      </w:r>
      <w:r>
        <w:rPr>
          <w:rFonts w:ascii="宋体" w:hAnsi="宋体" w:cs="宋体"/>
          <w:szCs w:val="21"/>
        </w:rPr>
        <w:t>根据</w:t>
      </w:r>
      <w:r>
        <w:rPr>
          <w:rFonts w:hint="eastAsia" w:ascii="宋体" w:hAnsi="宋体" w:cs="宋体"/>
          <w:szCs w:val="21"/>
        </w:rPr>
        <w:t>买方</w:t>
      </w:r>
      <w:r>
        <w:rPr>
          <w:rFonts w:ascii="宋体" w:hAnsi="宋体" w:cs="宋体"/>
          <w:szCs w:val="21"/>
        </w:rPr>
        <w:t>要求进行定期回访</w:t>
      </w:r>
      <w:r>
        <w:rPr>
          <w:rFonts w:hint="eastAsia" w:ascii="宋体" w:hAnsi="宋体"/>
          <w:snapToGrid w:val="0"/>
        </w:rPr>
        <w:t>，对仪器进行维护保养。并对买方在仪器使用过程中存在的问题进行解答及培训。</w:t>
      </w:r>
    </w:p>
    <w:p w14:paraId="4E79B066">
      <w:pPr>
        <w:pStyle w:val="3"/>
        <w:keepNext w:val="0"/>
        <w:pageBreakBefore w:val="0"/>
        <w:kinsoku/>
        <w:wordWrap/>
        <w:overflowPunct/>
        <w:topLinePunct w:val="0"/>
        <w:bidi w:val="0"/>
        <w:spacing w:line="300" w:lineRule="auto"/>
        <w:textAlignment w:val="auto"/>
      </w:pPr>
      <w:bookmarkStart w:id="20" w:name="_Toc179969159"/>
      <w:r>
        <w:rPr>
          <w:rFonts w:hint="eastAsia"/>
        </w:rPr>
        <w:t>7、</w:t>
      </w:r>
      <w:bookmarkStart w:id="21" w:name="_Toc194850717"/>
      <w:r>
        <w:rPr>
          <w:rFonts w:hint="eastAsia"/>
        </w:rPr>
        <w:t>保修</w:t>
      </w:r>
      <w:bookmarkEnd w:id="21"/>
      <w:r>
        <w:rPr>
          <w:rFonts w:hint="eastAsia"/>
        </w:rPr>
        <w:t>期及售后服务</w:t>
      </w:r>
      <w:bookmarkEnd w:id="20"/>
    </w:p>
    <w:p w14:paraId="78228DF3">
      <w:pPr>
        <w:keepNext w:val="0"/>
        <w:pageBreakBefore w:val="0"/>
        <w:kinsoku/>
        <w:wordWrap/>
        <w:overflowPunct/>
        <w:topLinePunct w:val="0"/>
        <w:bidi w:val="0"/>
        <w:spacing w:line="300" w:lineRule="auto"/>
        <w:ind w:firstLine="480" w:firstLineChars="200"/>
        <w:jc w:val="both"/>
        <w:textAlignment w:val="auto"/>
        <w:rPr>
          <w:rFonts w:ascii="宋体" w:hAnsi="宋体"/>
          <w:snapToGrid w:val="0"/>
          <w:color w:val="000000"/>
        </w:rPr>
      </w:pPr>
      <w:r>
        <w:rPr>
          <w:rFonts w:hint="eastAsia" w:ascii="宋体" w:hAnsi="宋体"/>
          <w:snapToGrid w:val="0"/>
          <w:color w:val="000000"/>
        </w:rPr>
        <w:t>卖方负责仪器自验收合格之日起一年的仪器免费保修，免费保修</w:t>
      </w:r>
      <w:r>
        <w:rPr>
          <w:rFonts w:hint="eastAsia" w:ascii="宋体" w:hAnsi="宋体" w:cs="Arial"/>
          <w:color w:val="000000"/>
        </w:rPr>
        <w:t>期内的设备，均可获得免费维修服务及坏件更换</w:t>
      </w:r>
      <w:r>
        <w:rPr>
          <w:rFonts w:hint="eastAsia" w:ascii="宋体" w:hAnsi="宋体"/>
          <w:snapToGrid w:val="0"/>
          <w:color w:val="000000"/>
        </w:rPr>
        <w:t>。用来更换的部件和设备应当是全新的。</w:t>
      </w:r>
    </w:p>
    <w:p w14:paraId="0C15D3F7">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cs="宋体"/>
          <w:color w:val="auto"/>
        </w:rPr>
      </w:pPr>
      <w:r>
        <w:rPr>
          <w:rFonts w:hint="eastAsia" w:ascii="宋体" w:hAnsi="宋体" w:cs="Arial"/>
          <w:color w:val="auto"/>
        </w:rPr>
        <w:t>保修期内和</w:t>
      </w:r>
      <w:r>
        <w:rPr>
          <w:rFonts w:hint="eastAsia" w:ascii="宋体" w:hAnsi="宋体" w:cs="宋体"/>
          <w:color w:val="auto"/>
        </w:rPr>
        <w:t>保修期后</w:t>
      </w:r>
      <w:r>
        <w:rPr>
          <w:rFonts w:hint="eastAsia" w:ascii="宋体" w:hAnsi="宋体" w:cs="Arial"/>
          <w:color w:val="auto"/>
        </w:rPr>
        <w:t>，如买方发现仪器有技术问题或仪器故障，卖方接到买方</w:t>
      </w:r>
      <w:r>
        <w:rPr>
          <w:rFonts w:hint="eastAsia" w:ascii="宋体" w:hAnsi="宋体" w:cs="宋体"/>
          <w:color w:val="auto"/>
        </w:rPr>
        <w:t>的Email、电话、传真或</w:t>
      </w:r>
      <w:r>
        <w:rPr>
          <w:rFonts w:hint="eastAsia" w:ascii="宋体" w:hAnsi="宋体" w:cs="Arial"/>
          <w:color w:val="auto"/>
        </w:rPr>
        <w:t>书面通知的服务请求报告后，</w:t>
      </w:r>
      <w:r>
        <w:rPr>
          <w:rFonts w:hint="eastAsia" w:ascii="宋体" w:hAnsi="宋体"/>
          <w:b/>
          <w:color w:val="auto"/>
        </w:rPr>
        <w:t>2</w:t>
      </w:r>
      <w:r>
        <w:rPr>
          <w:rFonts w:hint="eastAsia" w:ascii="宋体" w:hAnsi="宋体"/>
          <w:color w:val="auto"/>
        </w:rPr>
        <w:t>小时之内响应，</w:t>
      </w:r>
      <w:r>
        <w:rPr>
          <w:rFonts w:hint="eastAsia" w:ascii="宋体" w:hAnsi="宋体" w:cs="宋体"/>
          <w:b/>
          <w:color w:val="auto"/>
        </w:rPr>
        <w:t>8</w:t>
      </w:r>
      <w:r>
        <w:rPr>
          <w:rFonts w:hint="eastAsia" w:ascii="宋体" w:hAnsi="宋体" w:cs="宋体"/>
          <w:color w:val="auto"/>
        </w:rPr>
        <w:t>小时内提供解决方案。</w:t>
      </w:r>
      <w:r>
        <w:rPr>
          <w:rFonts w:hint="eastAsia" w:ascii="宋体" w:hAnsi="宋体" w:cs="Arial"/>
          <w:color w:val="auto"/>
        </w:rPr>
        <w:t>如不能解决问题，或</w:t>
      </w:r>
      <w:r>
        <w:rPr>
          <w:rFonts w:hint="eastAsia" w:ascii="宋体" w:hAnsi="宋体" w:cs="宋体"/>
          <w:color w:val="auto"/>
        </w:rPr>
        <w:t>根据买方的要求，</w:t>
      </w:r>
      <w:r>
        <w:rPr>
          <w:rFonts w:hint="eastAsia" w:ascii="宋体" w:hAnsi="宋体" w:cs="Arial"/>
          <w:color w:val="auto"/>
        </w:rPr>
        <w:t>卖方自接到技术服务要求起计，</w:t>
      </w:r>
      <w:r>
        <w:rPr>
          <w:rFonts w:hint="eastAsia" w:ascii="宋体" w:hAnsi="宋体" w:cs="宋体"/>
          <w:b/>
          <w:color w:val="auto"/>
        </w:rPr>
        <w:t>48</w:t>
      </w:r>
      <w:r>
        <w:rPr>
          <w:rFonts w:hint="eastAsia" w:ascii="宋体" w:hAnsi="宋体" w:cs="宋体"/>
          <w:color w:val="auto"/>
        </w:rPr>
        <w:t>小时内无条件提供现场</w:t>
      </w:r>
      <w:r>
        <w:rPr>
          <w:rFonts w:hint="eastAsia" w:ascii="宋体" w:hAnsi="宋体" w:cs="Arial"/>
          <w:color w:val="auto"/>
        </w:rPr>
        <w:t>维修</w:t>
      </w:r>
      <w:r>
        <w:rPr>
          <w:rFonts w:hint="eastAsia" w:ascii="宋体" w:hAnsi="宋体" w:cs="宋体"/>
          <w:color w:val="auto"/>
        </w:rPr>
        <w:t>服务</w:t>
      </w:r>
      <w:r>
        <w:rPr>
          <w:rFonts w:hint="eastAsia" w:ascii="宋体" w:hAnsi="宋体" w:cs="Arial"/>
          <w:color w:val="auto"/>
        </w:rPr>
        <w:t>，并彻底解决仪器之故障。</w:t>
      </w:r>
    </w:p>
    <w:p w14:paraId="525CE6DD">
      <w:pPr>
        <w:keepNext w:val="0"/>
        <w:pageBreakBefore w:val="0"/>
        <w:kinsoku/>
        <w:wordWrap/>
        <w:overflowPunct/>
        <w:topLinePunct w:val="0"/>
        <w:bidi w:val="0"/>
        <w:spacing w:line="300" w:lineRule="auto"/>
        <w:ind w:firstLine="480" w:firstLineChars="200"/>
        <w:jc w:val="both"/>
        <w:textAlignment w:val="auto"/>
        <w:rPr>
          <w:rFonts w:ascii="宋体" w:hAnsi="宋体" w:cs="Arial"/>
        </w:rPr>
      </w:pPr>
      <w:r>
        <w:rPr>
          <w:rFonts w:hint="eastAsia" w:ascii="宋体" w:hAnsi="宋体" w:cs="Arial"/>
        </w:rPr>
        <w:t>保修期内的维修：保修范围内的零部件等不收取费用（消耗品除外）。维修服务不收取服务费用（包括交通费、住宿费、工时费）。</w:t>
      </w:r>
    </w:p>
    <w:p w14:paraId="373F229B">
      <w:pPr>
        <w:pStyle w:val="2"/>
        <w:keepNext w:val="0"/>
        <w:pageBreakBefore w:val="0"/>
        <w:kinsoku/>
        <w:wordWrap/>
        <w:overflowPunct/>
        <w:topLinePunct w:val="0"/>
        <w:bidi w:val="0"/>
        <w:spacing w:line="300" w:lineRule="auto"/>
        <w:textAlignment w:val="auto"/>
        <w:rPr>
          <w:snapToGrid w:val="0"/>
        </w:rPr>
      </w:pPr>
      <w:bookmarkStart w:id="22" w:name="_Toc179969160"/>
      <w:r>
        <w:rPr>
          <w:rFonts w:hint="eastAsia"/>
          <w:snapToGrid w:val="0"/>
        </w:rPr>
        <w:t>五、其他保证</w:t>
      </w:r>
      <w:bookmarkEnd w:id="22"/>
    </w:p>
    <w:p w14:paraId="71553623">
      <w:pPr>
        <w:keepNext w:val="0"/>
        <w:pageBreakBefore w:val="0"/>
        <w:kinsoku/>
        <w:wordWrap/>
        <w:overflowPunct/>
        <w:topLinePunct w:val="0"/>
        <w:bidi w:val="0"/>
        <w:spacing w:line="300" w:lineRule="auto"/>
        <w:jc w:val="both"/>
        <w:textAlignment w:val="auto"/>
        <w:rPr>
          <w:rFonts w:ascii="宋体" w:hAnsi="宋体"/>
          <w:snapToGrid w:val="0"/>
          <w:color w:val="000000"/>
        </w:rPr>
      </w:pPr>
      <w:r>
        <w:rPr>
          <w:rFonts w:hint="eastAsia" w:ascii="宋体" w:hAnsi="宋体"/>
          <w:snapToGrid w:val="0"/>
          <w:color w:val="000000"/>
        </w:rPr>
        <w:t>1、备品备件保证</w:t>
      </w:r>
    </w:p>
    <w:p w14:paraId="20F88986">
      <w:pPr>
        <w:pStyle w:val="37"/>
        <w:keepNext w:val="0"/>
        <w:pageBreakBefore w:val="0"/>
        <w:kinsoku/>
        <w:wordWrap/>
        <w:overflowPunct/>
        <w:topLinePunct w:val="0"/>
        <w:bidi w:val="0"/>
        <w:adjustRightInd/>
        <w:spacing w:line="300" w:lineRule="auto"/>
        <w:ind w:firstLine="480" w:firstLineChars="200"/>
        <w:jc w:val="both"/>
        <w:textAlignment w:val="auto"/>
        <w:rPr>
          <w:rFonts w:ascii="宋体" w:hAnsi="宋体" w:cs="宋体"/>
        </w:rPr>
      </w:pPr>
      <w:r>
        <w:rPr>
          <w:rFonts w:hint="eastAsia" w:ascii="宋体" w:hAnsi="宋体" w:cs="宋体"/>
        </w:rPr>
        <w:t>卖方供货清单中的所有设备、部件应保证</w:t>
      </w:r>
      <w:r>
        <w:rPr>
          <w:rFonts w:hint="eastAsia" w:ascii="宋体" w:hAnsi="宋体" w:cs="宋体"/>
          <w:b/>
        </w:rPr>
        <w:t>15</w:t>
      </w:r>
      <w:r>
        <w:rPr>
          <w:rFonts w:hint="eastAsia" w:ascii="宋体" w:hAnsi="宋体" w:cs="宋体"/>
        </w:rPr>
        <w:t>年（或停止生产后</w:t>
      </w:r>
      <w:r>
        <w:rPr>
          <w:rFonts w:ascii="宋体" w:hAnsi="宋体" w:cs="宋体"/>
          <w:b/>
        </w:rPr>
        <w:t>10</w:t>
      </w:r>
      <w:r>
        <w:rPr>
          <w:rFonts w:hint="eastAsia" w:ascii="宋体" w:hAnsi="宋体" w:cs="宋体"/>
        </w:rPr>
        <w:t xml:space="preserve">年）以上的备件供应期。 </w:t>
      </w:r>
    </w:p>
    <w:p w14:paraId="1C13E8B7">
      <w:pPr>
        <w:keepNext w:val="0"/>
        <w:pageBreakBefore w:val="0"/>
        <w:kinsoku/>
        <w:wordWrap/>
        <w:overflowPunct/>
        <w:topLinePunct w:val="0"/>
        <w:bidi w:val="0"/>
        <w:spacing w:line="300" w:lineRule="auto"/>
        <w:ind w:firstLine="480" w:firstLineChars="200"/>
        <w:jc w:val="both"/>
        <w:textAlignment w:val="auto"/>
        <w:rPr>
          <w:rFonts w:ascii="宋体" w:hAnsi="宋体" w:cs="Arial"/>
        </w:rPr>
      </w:pPr>
      <w:r>
        <w:rPr>
          <w:rFonts w:hint="eastAsia" w:ascii="宋体" w:hAnsi="宋体" w:cs="Arial"/>
        </w:rPr>
        <w:t>保修期后，</w:t>
      </w:r>
      <w:r>
        <w:rPr>
          <w:rFonts w:hint="eastAsia" w:ascii="宋体" w:hAnsi="宋体"/>
        </w:rPr>
        <w:t>卖方</w:t>
      </w:r>
      <w:r>
        <w:rPr>
          <w:rFonts w:hint="eastAsia" w:ascii="宋体" w:hAnsi="宋体" w:cs="Arial"/>
        </w:rPr>
        <w:t>继续免费为买方提供仪器技术咨询和支持，有偿提供维修服务，有偿供应备品备件。</w:t>
      </w:r>
    </w:p>
    <w:p w14:paraId="561D3159">
      <w:pPr>
        <w:keepNext w:val="0"/>
        <w:pageBreakBefore w:val="0"/>
        <w:kinsoku/>
        <w:wordWrap/>
        <w:overflowPunct/>
        <w:topLinePunct w:val="0"/>
        <w:bidi w:val="0"/>
        <w:spacing w:line="300" w:lineRule="auto"/>
        <w:jc w:val="both"/>
        <w:textAlignment w:val="auto"/>
        <w:rPr>
          <w:rFonts w:ascii="宋体" w:hAnsi="宋体" w:cs="Arial"/>
        </w:rPr>
      </w:pPr>
      <w:r>
        <w:rPr>
          <w:rFonts w:hint="eastAsia" w:ascii="宋体" w:hAnsi="宋体" w:cs="Arial"/>
        </w:rPr>
        <w:t>2、能力保证</w:t>
      </w:r>
    </w:p>
    <w:p w14:paraId="29D4B2D4">
      <w:pPr>
        <w:keepNext w:val="0"/>
        <w:pageBreakBefore w:val="0"/>
        <w:kinsoku/>
        <w:wordWrap/>
        <w:overflowPunct/>
        <w:topLinePunct w:val="0"/>
        <w:bidi w:val="0"/>
        <w:spacing w:line="300" w:lineRule="auto"/>
        <w:ind w:firstLine="480"/>
        <w:jc w:val="both"/>
        <w:textAlignment w:val="auto"/>
        <w:rPr>
          <w:rFonts w:ascii="宋体" w:hAnsi="宋体" w:cs="Arial"/>
        </w:rPr>
      </w:pPr>
      <w:r>
        <w:rPr>
          <w:rFonts w:hint="eastAsia" w:ascii="宋体" w:hAnsi="宋体" w:cs="Arial"/>
        </w:rPr>
        <w:t>卖方应提供国内距本项目最近的技术咨询专家、应用专家、维修工程师的联络方式等资料。</w:t>
      </w:r>
    </w:p>
    <w:p w14:paraId="73DEDA81">
      <w:pPr>
        <w:keepNext w:val="0"/>
        <w:pageBreakBefore w:val="0"/>
        <w:kinsoku/>
        <w:wordWrap/>
        <w:overflowPunct/>
        <w:topLinePunct w:val="0"/>
        <w:bidi w:val="0"/>
        <w:spacing w:line="300" w:lineRule="auto"/>
        <w:jc w:val="both"/>
        <w:textAlignment w:val="auto"/>
        <w:rPr>
          <w:rFonts w:ascii="宋体" w:hAnsi="宋体" w:cs="Arial"/>
        </w:rPr>
      </w:pPr>
      <w:r>
        <w:rPr>
          <w:rFonts w:hint="eastAsia" w:ascii="宋体" w:hAnsi="宋体" w:cs="Arial"/>
        </w:rPr>
        <w:t>3、其他服务</w:t>
      </w:r>
    </w:p>
    <w:p w14:paraId="7F3037C2">
      <w:pPr>
        <w:keepNext w:val="0"/>
        <w:pageBreakBefore w:val="0"/>
        <w:kinsoku/>
        <w:wordWrap/>
        <w:overflowPunct/>
        <w:topLinePunct w:val="0"/>
        <w:bidi w:val="0"/>
        <w:spacing w:line="300" w:lineRule="auto"/>
        <w:ind w:firstLine="480"/>
        <w:jc w:val="both"/>
        <w:textAlignment w:val="auto"/>
        <w:rPr>
          <w:rFonts w:ascii="宋体" w:hAnsi="宋体" w:cs="Arial"/>
        </w:rPr>
      </w:pPr>
      <w:r>
        <w:rPr>
          <w:rFonts w:hint="eastAsia" w:ascii="宋体" w:hAnsi="宋体" w:cs="Arial"/>
        </w:rPr>
        <w:t>回访服务：保修期过后，卖方工程师每年对买方进行回访，以便于及时发现和处理问题，保证仪器的各项性能得到最大的发挥。</w:t>
      </w:r>
    </w:p>
    <w:p w14:paraId="182396EE">
      <w:pPr>
        <w:pStyle w:val="2"/>
        <w:keepNext w:val="0"/>
        <w:pageBreakBefore w:val="0"/>
        <w:kinsoku/>
        <w:wordWrap/>
        <w:overflowPunct/>
        <w:topLinePunct w:val="0"/>
        <w:bidi w:val="0"/>
        <w:spacing w:line="300" w:lineRule="auto"/>
        <w:textAlignment w:val="auto"/>
      </w:pPr>
      <w:r>
        <w:br w:type="page"/>
      </w:r>
      <w:bookmarkStart w:id="23" w:name="_Toc179969161"/>
      <w:r>
        <w:rPr>
          <w:rFonts w:hint="eastAsia"/>
        </w:rPr>
        <w:t>附件一:</w:t>
      </w:r>
      <w:bookmarkEnd w:id="23"/>
    </w:p>
    <w:p w14:paraId="61FF0604">
      <w:pPr>
        <w:pStyle w:val="3"/>
        <w:keepNext w:val="0"/>
        <w:pageBreakBefore w:val="0"/>
        <w:kinsoku/>
        <w:wordWrap/>
        <w:overflowPunct/>
        <w:topLinePunct w:val="0"/>
        <w:bidi w:val="0"/>
        <w:spacing w:line="300" w:lineRule="auto"/>
        <w:textAlignment w:val="auto"/>
      </w:pPr>
      <w:bookmarkStart w:id="24" w:name="_Toc179969162"/>
      <w:r>
        <w:rPr>
          <w:rFonts w:hint="eastAsia"/>
        </w:rPr>
        <w:t>（一）分析仪器设备请购目录</w:t>
      </w:r>
      <w:bookmarkEnd w:id="24"/>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50"/>
        <w:gridCol w:w="5131"/>
        <w:gridCol w:w="1601"/>
      </w:tblGrid>
      <w:tr w14:paraId="34EED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99FF99"/>
            <w:vAlign w:val="center"/>
          </w:tcPr>
          <w:p w14:paraId="2EC907E9">
            <w:pPr>
              <w:keepNext w:val="0"/>
              <w:pageBreakBefore w:val="0"/>
              <w:kinsoku/>
              <w:wordWrap/>
              <w:overflowPunct/>
              <w:topLinePunct w:val="0"/>
              <w:bidi w:val="0"/>
              <w:spacing w:line="300" w:lineRule="auto"/>
              <w:jc w:val="center"/>
              <w:textAlignment w:val="auto"/>
              <w:rPr>
                <w:rFonts w:asciiTheme="minorEastAsia" w:hAnsiTheme="minorEastAsia"/>
                <w:b/>
                <w:bCs/>
                <w:color w:val="691734"/>
              </w:rPr>
            </w:pPr>
            <w:r>
              <w:rPr>
                <w:rFonts w:hint="eastAsia" w:asciiTheme="minorEastAsia" w:hAnsiTheme="minorEastAsia"/>
                <w:b/>
                <w:bCs/>
                <w:color w:val="691734"/>
              </w:rPr>
              <w:t>编号</w:t>
            </w:r>
          </w:p>
        </w:tc>
        <w:tc>
          <w:tcPr>
            <w:tcW w:w="5131" w:type="dxa"/>
            <w:tcBorders>
              <w:top w:val="single" w:color="auto" w:sz="4" w:space="0"/>
              <w:left w:val="single" w:color="auto" w:sz="4" w:space="0"/>
              <w:bottom w:val="single" w:color="auto" w:sz="4" w:space="0"/>
              <w:right w:val="single" w:color="auto" w:sz="4" w:space="0"/>
            </w:tcBorders>
            <w:shd w:val="clear" w:color="auto" w:fill="99FF99"/>
            <w:vAlign w:val="center"/>
          </w:tcPr>
          <w:p w14:paraId="4F54351A">
            <w:pPr>
              <w:keepNext w:val="0"/>
              <w:pageBreakBefore w:val="0"/>
              <w:kinsoku/>
              <w:wordWrap/>
              <w:overflowPunct/>
              <w:topLinePunct w:val="0"/>
              <w:bidi w:val="0"/>
              <w:spacing w:line="300" w:lineRule="auto"/>
              <w:jc w:val="both"/>
              <w:textAlignment w:val="auto"/>
              <w:rPr>
                <w:rFonts w:asciiTheme="minorEastAsia" w:hAnsiTheme="minorEastAsia"/>
                <w:b/>
                <w:bCs/>
                <w:color w:val="691734"/>
              </w:rPr>
            </w:pPr>
            <w:r>
              <w:rPr>
                <w:rFonts w:hint="eastAsia" w:asciiTheme="minorEastAsia" w:hAnsiTheme="minorEastAsia"/>
                <w:b/>
                <w:bCs/>
                <w:color w:val="691734"/>
              </w:rPr>
              <w:t>仪器名称</w:t>
            </w:r>
          </w:p>
        </w:tc>
        <w:tc>
          <w:tcPr>
            <w:tcW w:w="1601" w:type="dxa"/>
            <w:tcBorders>
              <w:top w:val="single" w:color="auto" w:sz="4" w:space="0"/>
              <w:left w:val="single" w:color="auto" w:sz="4" w:space="0"/>
              <w:bottom w:val="single" w:color="auto" w:sz="4" w:space="0"/>
              <w:right w:val="single" w:color="auto" w:sz="4" w:space="0"/>
            </w:tcBorders>
            <w:shd w:val="clear" w:color="auto" w:fill="99FF99"/>
            <w:vAlign w:val="center"/>
          </w:tcPr>
          <w:p w14:paraId="6AB0C3C3">
            <w:pPr>
              <w:keepNext w:val="0"/>
              <w:pageBreakBefore w:val="0"/>
              <w:kinsoku/>
              <w:wordWrap/>
              <w:overflowPunct/>
              <w:topLinePunct w:val="0"/>
              <w:bidi w:val="0"/>
              <w:spacing w:line="300" w:lineRule="auto"/>
              <w:jc w:val="center"/>
              <w:textAlignment w:val="auto"/>
              <w:rPr>
                <w:rFonts w:asciiTheme="minorEastAsia" w:hAnsiTheme="minorEastAsia"/>
                <w:b/>
                <w:bCs/>
                <w:color w:val="691734"/>
              </w:rPr>
            </w:pPr>
            <w:r>
              <w:rPr>
                <w:rFonts w:hint="eastAsia" w:asciiTheme="minorEastAsia" w:hAnsiTheme="minorEastAsia"/>
                <w:b/>
                <w:bCs/>
                <w:color w:val="691734"/>
              </w:rPr>
              <w:t>数量</w:t>
            </w:r>
          </w:p>
        </w:tc>
      </w:tr>
      <w:tr w14:paraId="1C129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1B1B224A">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1</w:t>
            </w:r>
          </w:p>
        </w:tc>
        <w:tc>
          <w:tcPr>
            <w:tcW w:w="5131" w:type="dxa"/>
            <w:tcBorders>
              <w:top w:val="single" w:color="auto" w:sz="4" w:space="0"/>
              <w:left w:val="single" w:color="auto" w:sz="4" w:space="0"/>
              <w:bottom w:val="single" w:color="auto" w:sz="4" w:space="0"/>
              <w:right w:val="single" w:color="auto" w:sz="4" w:space="0"/>
            </w:tcBorders>
            <w:shd w:val="clear" w:color="auto" w:fill="auto"/>
            <w:vAlign w:val="center"/>
          </w:tcPr>
          <w:p w14:paraId="3563D938">
            <w:pPr>
              <w:keepNext w:val="0"/>
              <w:pageBreakBefore w:val="0"/>
              <w:kinsoku/>
              <w:wordWrap/>
              <w:overflowPunct/>
              <w:topLinePunct w:val="0"/>
              <w:bidi w:val="0"/>
              <w:spacing w:line="300" w:lineRule="auto"/>
              <w:jc w:val="both"/>
              <w:textAlignment w:val="auto"/>
              <w:rPr>
                <w:rFonts w:hint="eastAsia" w:ascii="宋体" w:hAnsi="宋体" w:eastAsia="宋体" w:cs="宋体"/>
                <w:b/>
                <w:color w:val="000000"/>
                <w:sz w:val="24"/>
                <w:szCs w:val="24"/>
                <w:highlight w:val="none"/>
                <w:lang w:val="en-US" w:eastAsia="zh-CN" w:bidi="ar-SA"/>
              </w:rPr>
            </w:pPr>
            <w:r>
              <w:rPr>
                <w:rFonts w:hint="eastAsia" w:ascii="宋体" w:hAnsi="宋体"/>
                <w:b/>
                <w:highlight w:val="none"/>
                <w:lang w:val="en-US" w:eastAsia="zh-CN"/>
              </w:rPr>
              <w:t>连续流动分析仪测硫化物、硅/铁</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48F2015C">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1</w:t>
            </w:r>
            <w:r>
              <w:rPr>
                <w:rFonts w:hint="eastAsia" w:ascii="宋体" w:hAnsi="宋体" w:eastAsia="宋体" w:cs="宋体"/>
                <w:b/>
                <w:color w:val="000000"/>
                <w:highlight w:val="none"/>
              </w:rPr>
              <w:t>台</w:t>
            </w:r>
          </w:p>
        </w:tc>
      </w:tr>
      <w:tr w14:paraId="44912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2C2EB73E">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2</w:t>
            </w:r>
          </w:p>
        </w:tc>
        <w:tc>
          <w:tcPr>
            <w:tcW w:w="5131" w:type="dxa"/>
            <w:tcBorders>
              <w:top w:val="single" w:color="auto" w:sz="4" w:space="0"/>
              <w:left w:val="single" w:color="auto" w:sz="4" w:space="0"/>
              <w:bottom w:val="single" w:color="auto" w:sz="4" w:space="0"/>
              <w:right w:val="single" w:color="auto" w:sz="4" w:space="0"/>
            </w:tcBorders>
            <w:vAlign w:val="center"/>
          </w:tcPr>
          <w:p w14:paraId="3F57C562">
            <w:pPr>
              <w:keepNext w:val="0"/>
              <w:pageBreakBefore w:val="0"/>
              <w:kinsoku/>
              <w:wordWrap/>
              <w:overflowPunct/>
              <w:topLinePunct w:val="0"/>
              <w:bidi w:val="0"/>
              <w:spacing w:line="300" w:lineRule="auto"/>
              <w:jc w:val="both"/>
              <w:textAlignment w:val="auto"/>
              <w:rPr>
                <w:rFonts w:ascii="宋体" w:hAnsi="宋体" w:eastAsia="宋体" w:cs="宋体"/>
                <w:b/>
                <w:color w:val="000000"/>
                <w:highlight w:val="none"/>
              </w:rPr>
            </w:pPr>
            <w:r>
              <w:rPr>
                <w:rFonts w:hint="eastAsia" w:ascii="宋体" w:hAnsi="宋体"/>
                <w:b/>
                <w:highlight w:val="none"/>
                <w:lang w:val="en-US" w:eastAsia="zh-CN"/>
              </w:rPr>
              <w:t>连续流动分析仪测正磷、总磷、硅</w:t>
            </w:r>
          </w:p>
        </w:tc>
        <w:tc>
          <w:tcPr>
            <w:tcW w:w="1601" w:type="dxa"/>
            <w:tcBorders>
              <w:top w:val="single" w:color="auto" w:sz="4" w:space="0"/>
              <w:left w:val="single" w:color="auto" w:sz="4" w:space="0"/>
              <w:bottom w:val="single" w:color="auto" w:sz="4" w:space="0"/>
              <w:right w:val="single" w:color="auto" w:sz="4" w:space="0"/>
            </w:tcBorders>
            <w:vAlign w:val="center"/>
          </w:tcPr>
          <w:p w14:paraId="3E6162E7">
            <w:pPr>
              <w:keepNext w:val="0"/>
              <w:pageBreakBefore w:val="0"/>
              <w:kinsoku/>
              <w:wordWrap/>
              <w:overflowPunct/>
              <w:topLinePunct w:val="0"/>
              <w:bidi w:val="0"/>
              <w:spacing w:line="300" w:lineRule="auto"/>
              <w:jc w:val="center"/>
              <w:textAlignment w:val="auto"/>
              <w:rPr>
                <w:rFonts w:ascii="宋体" w:hAnsi="宋体" w:eastAsia="宋体" w:cs="宋体"/>
                <w:b/>
                <w:color w:val="000000"/>
                <w:highlight w:val="none"/>
              </w:rPr>
            </w:pPr>
            <w:r>
              <w:rPr>
                <w:rFonts w:hint="eastAsia" w:ascii="宋体" w:hAnsi="宋体" w:eastAsia="宋体" w:cs="宋体"/>
                <w:b/>
                <w:color w:val="000000"/>
                <w:highlight w:val="none"/>
              </w:rPr>
              <w:t>1台</w:t>
            </w:r>
          </w:p>
        </w:tc>
      </w:tr>
      <w:tr w14:paraId="0B941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3265FBDB">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3</w:t>
            </w:r>
          </w:p>
        </w:tc>
        <w:tc>
          <w:tcPr>
            <w:tcW w:w="5131" w:type="dxa"/>
            <w:tcBorders>
              <w:top w:val="single" w:color="auto" w:sz="4" w:space="0"/>
              <w:left w:val="single" w:color="auto" w:sz="4" w:space="0"/>
              <w:bottom w:val="single" w:color="auto" w:sz="4" w:space="0"/>
              <w:right w:val="single" w:color="auto" w:sz="4" w:space="0"/>
            </w:tcBorders>
            <w:vAlign w:val="center"/>
          </w:tcPr>
          <w:p w14:paraId="4ECBD2D4">
            <w:pPr>
              <w:keepNext w:val="0"/>
              <w:pageBreakBefore w:val="0"/>
              <w:kinsoku/>
              <w:wordWrap/>
              <w:overflowPunct/>
              <w:topLinePunct w:val="0"/>
              <w:bidi w:val="0"/>
              <w:spacing w:line="300" w:lineRule="auto"/>
              <w:jc w:val="both"/>
              <w:textAlignment w:val="auto"/>
              <w:rPr>
                <w:rFonts w:ascii="宋体" w:hAnsi="宋体" w:eastAsia="宋体" w:cs="宋体"/>
                <w:b/>
                <w:bCs/>
                <w:color w:val="auto"/>
                <w:highlight w:val="none"/>
              </w:rPr>
            </w:pPr>
            <w:r>
              <w:rPr>
                <w:rFonts w:hint="eastAsia" w:cs="Arial" w:asciiTheme="minorEastAsia" w:hAnsiTheme="minorEastAsia" w:eastAsiaTheme="minorEastAsia"/>
                <w:b/>
                <w:bCs/>
                <w:color w:val="auto"/>
                <w:sz w:val="24"/>
                <w:szCs w:val="24"/>
                <w:highlight w:val="none"/>
              </w:rPr>
              <w:t>烟气含湿量多功能检测仪</w:t>
            </w:r>
          </w:p>
        </w:tc>
        <w:tc>
          <w:tcPr>
            <w:tcW w:w="1601" w:type="dxa"/>
            <w:tcBorders>
              <w:top w:val="single" w:color="auto" w:sz="4" w:space="0"/>
              <w:left w:val="single" w:color="auto" w:sz="4" w:space="0"/>
              <w:bottom w:val="single" w:color="auto" w:sz="4" w:space="0"/>
              <w:right w:val="single" w:color="auto" w:sz="4" w:space="0"/>
            </w:tcBorders>
            <w:vAlign w:val="center"/>
          </w:tcPr>
          <w:p w14:paraId="13DC7AC8">
            <w:pPr>
              <w:keepNext w:val="0"/>
              <w:pageBreakBefore w:val="0"/>
              <w:kinsoku/>
              <w:wordWrap/>
              <w:overflowPunct/>
              <w:topLinePunct w:val="0"/>
              <w:bidi w:val="0"/>
              <w:spacing w:line="300" w:lineRule="auto"/>
              <w:jc w:val="center"/>
              <w:textAlignment w:val="auto"/>
              <w:rPr>
                <w:rFonts w:ascii="宋体" w:hAnsi="宋体" w:eastAsia="宋体" w:cs="宋体"/>
                <w:b/>
                <w:color w:val="000000"/>
                <w:highlight w:val="none"/>
              </w:rPr>
            </w:pPr>
            <w:r>
              <w:rPr>
                <w:rFonts w:hint="eastAsia" w:ascii="宋体" w:hAnsi="宋体" w:eastAsia="宋体" w:cs="宋体"/>
                <w:b/>
                <w:color w:val="000000"/>
                <w:highlight w:val="none"/>
              </w:rPr>
              <w:t>1台</w:t>
            </w:r>
          </w:p>
        </w:tc>
      </w:tr>
      <w:tr w14:paraId="0E12A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8791761">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4</w:t>
            </w:r>
          </w:p>
        </w:tc>
        <w:tc>
          <w:tcPr>
            <w:tcW w:w="5131" w:type="dxa"/>
            <w:tcBorders>
              <w:top w:val="single" w:color="auto" w:sz="4" w:space="0"/>
              <w:left w:val="single" w:color="auto" w:sz="4" w:space="0"/>
              <w:bottom w:val="single" w:color="auto" w:sz="4" w:space="0"/>
              <w:right w:val="single" w:color="auto" w:sz="4" w:space="0"/>
            </w:tcBorders>
            <w:vAlign w:val="center"/>
          </w:tcPr>
          <w:p w14:paraId="6713C65C">
            <w:pPr>
              <w:keepNext w:val="0"/>
              <w:pageBreakBefore w:val="0"/>
              <w:kinsoku/>
              <w:wordWrap/>
              <w:overflowPunct/>
              <w:topLinePunct w:val="0"/>
              <w:bidi w:val="0"/>
              <w:spacing w:line="300" w:lineRule="auto"/>
              <w:jc w:val="both"/>
              <w:textAlignment w:val="auto"/>
              <w:rPr>
                <w:rFonts w:ascii="宋体" w:hAnsi="宋体" w:eastAsia="宋体" w:cs="宋体"/>
                <w:b/>
                <w:bCs/>
                <w:color w:val="auto"/>
                <w:highlight w:val="none"/>
              </w:rPr>
            </w:pPr>
            <w:r>
              <w:rPr>
                <w:rFonts w:hint="eastAsia" w:ascii="宋体" w:hAnsi="宋体" w:eastAsia="宋体" w:cs="宋体"/>
                <w:b/>
                <w:bCs/>
                <w:color w:val="auto"/>
                <w:highlight w:val="none"/>
                <w:lang w:val="en-US" w:eastAsia="zh-CN"/>
              </w:rPr>
              <w:t>自动</w:t>
            </w:r>
            <w:r>
              <w:rPr>
                <w:rFonts w:hint="eastAsia" w:ascii="宋体" w:hAnsi="宋体" w:eastAsia="宋体" w:cs="宋体"/>
                <w:b/>
                <w:bCs/>
                <w:color w:val="auto"/>
                <w:highlight w:val="none"/>
              </w:rPr>
              <w:t>电位滴定仪</w:t>
            </w:r>
          </w:p>
        </w:tc>
        <w:tc>
          <w:tcPr>
            <w:tcW w:w="1601" w:type="dxa"/>
            <w:tcBorders>
              <w:top w:val="single" w:color="auto" w:sz="4" w:space="0"/>
              <w:left w:val="single" w:color="auto" w:sz="4" w:space="0"/>
              <w:bottom w:val="single" w:color="auto" w:sz="4" w:space="0"/>
              <w:right w:val="single" w:color="auto" w:sz="4" w:space="0"/>
            </w:tcBorders>
            <w:vAlign w:val="center"/>
          </w:tcPr>
          <w:p w14:paraId="65736E05">
            <w:pPr>
              <w:keepNext w:val="0"/>
              <w:pageBreakBefore w:val="0"/>
              <w:kinsoku/>
              <w:wordWrap/>
              <w:overflowPunct/>
              <w:topLinePunct w:val="0"/>
              <w:bidi w:val="0"/>
              <w:spacing w:line="300" w:lineRule="auto"/>
              <w:jc w:val="center"/>
              <w:textAlignment w:val="auto"/>
              <w:rPr>
                <w:rFonts w:ascii="宋体" w:hAnsi="宋体" w:eastAsia="宋体" w:cs="宋体"/>
                <w:b/>
                <w:color w:val="000000"/>
                <w:highlight w:val="none"/>
              </w:rPr>
            </w:pPr>
            <w:r>
              <w:rPr>
                <w:rFonts w:hint="eastAsia" w:ascii="宋体" w:hAnsi="宋体" w:eastAsia="宋体" w:cs="宋体"/>
                <w:b/>
                <w:color w:val="000000"/>
                <w:highlight w:val="none"/>
                <w:lang w:val="en-US" w:eastAsia="zh-CN"/>
              </w:rPr>
              <w:t>2</w:t>
            </w:r>
            <w:r>
              <w:rPr>
                <w:rFonts w:hint="eastAsia" w:ascii="宋体" w:hAnsi="宋体" w:eastAsia="宋体" w:cs="宋体"/>
                <w:b/>
                <w:color w:val="000000"/>
                <w:highlight w:val="none"/>
              </w:rPr>
              <w:t>台</w:t>
            </w:r>
          </w:p>
        </w:tc>
      </w:tr>
      <w:tr w14:paraId="0E292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041DBB10">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5</w:t>
            </w:r>
          </w:p>
        </w:tc>
        <w:tc>
          <w:tcPr>
            <w:tcW w:w="5131" w:type="dxa"/>
            <w:tcBorders>
              <w:top w:val="single" w:color="auto" w:sz="4" w:space="0"/>
              <w:left w:val="single" w:color="auto" w:sz="4" w:space="0"/>
              <w:bottom w:val="single" w:color="auto" w:sz="4" w:space="0"/>
              <w:right w:val="single" w:color="auto" w:sz="4" w:space="0"/>
            </w:tcBorders>
            <w:vAlign w:val="center"/>
          </w:tcPr>
          <w:p w14:paraId="09686D58">
            <w:pPr>
              <w:keepNext w:val="0"/>
              <w:pageBreakBefore w:val="0"/>
              <w:kinsoku/>
              <w:wordWrap/>
              <w:overflowPunct/>
              <w:topLinePunct w:val="0"/>
              <w:bidi w:val="0"/>
              <w:spacing w:line="300" w:lineRule="auto"/>
              <w:jc w:val="both"/>
              <w:textAlignment w:val="auto"/>
              <w:rPr>
                <w:rFonts w:ascii="宋体" w:hAnsi="宋体" w:eastAsia="宋体" w:cs="宋体"/>
                <w:b/>
                <w:bCs/>
                <w:color w:val="auto"/>
                <w:highlight w:val="none"/>
              </w:rPr>
            </w:pPr>
            <w:r>
              <w:rPr>
                <w:rFonts w:hint="eastAsia" w:ascii="宋体" w:hAnsi="宋体" w:eastAsia="宋体" w:cs="宋体"/>
                <w:b/>
                <w:bCs/>
                <w:color w:val="auto"/>
                <w:highlight w:val="none"/>
              </w:rPr>
              <w:t>总氮气相分子吸收光谱仪</w:t>
            </w:r>
          </w:p>
        </w:tc>
        <w:tc>
          <w:tcPr>
            <w:tcW w:w="1601" w:type="dxa"/>
            <w:tcBorders>
              <w:top w:val="single" w:color="auto" w:sz="4" w:space="0"/>
              <w:left w:val="single" w:color="auto" w:sz="4" w:space="0"/>
              <w:bottom w:val="single" w:color="auto" w:sz="4" w:space="0"/>
              <w:right w:val="single" w:color="auto" w:sz="4" w:space="0"/>
            </w:tcBorders>
            <w:vAlign w:val="center"/>
          </w:tcPr>
          <w:p w14:paraId="409F6485">
            <w:pPr>
              <w:keepNext w:val="0"/>
              <w:pageBreakBefore w:val="0"/>
              <w:kinsoku/>
              <w:wordWrap/>
              <w:overflowPunct/>
              <w:topLinePunct w:val="0"/>
              <w:bidi w:val="0"/>
              <w:spacing w:line="300" w:lineRule="auto"/>
              <w:jc w:val="center"/>
              <w:textAlignment w:val="auto"/>
              <w:rPr>
                <w:rFonts w:ascii="宋体" w:hAnsi="宋体" w:eastAsia="宋体" w:cs="宋体"/>
                <w:b/>
                <w:color w:val="000000"/>
                <w:highlight w:val="none"/>
              </w:rPr>
            </w:pPr>
            <w:r>
              <w:rPr>
                <w:rFonts w:hint="eastAsia" w:ascii="宋体" w:hAnsi="宋体" w:eastAsia="宋体" w:cs="宋体"/>
                <w:b/>
                <w:color w:val="000000"/>
                <w:highlight w:val="none"/>
              </w:rPr>
              <w:t>1台</w:t>
            </w:r>
          </w:p>
        </w:tc>
      </w:tr>
      <w:tr w14:paraId="7FDD4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248C0467">
            <w:pPr>
              <w:keepNext w:val="0"/>
              <w:pageBreakBefore w:val="0"/>
              <w:kinsoku/>
              <w:wordWrap/>
              <w:overflowPunct/>
              <w:topLinePunct w:val="0"/>
              <w:bidi w:val="0"/>
              <w:spacing w:line="300" w:lineRule="auto"/>
              <w:jc w:val="center"/>
              <w:textAlignment w:val="auto"/>
              <w:rPr>
                <w:rFonts w:hint="default"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6</w:t>
            </w:r>
          </w:p>
        </w:tc>
        <w:tc>
          <w:tcPr>
            <w:tcW w:w="5131" w:type="dxa"/>
            <w:tcBorders>
              <w:top w:val="single" w:color="auto" w:sz="4" w:space="0"/>
              <w:left w:val="single" w:color="auto" w:sz="4" w:space="0"/>
              <w:bottom w:val="single" w:color="auto" w:sz="4" w:space="0"/>
              <w:right w:val="single" w:color="auto" w:sz="4" w:space="0"/>
            </w:tcBorders>
            <w:vAlign w:val="center"/>
          </w:tcPr>
          <w:p w14:paraId="3F1859FF">
            <w:pPr>
              <w:keepNext w:val="0"/>
              <w:pageBreakBefore w:val="0"/>
              <w:kinsoku/>
              <w:wordWrap/>
              <w:overflowPunct/>
              <w:topLinePunct w:val="0"/>
              <w:bidi w:val="0"/>
              <w:spacing w:line="300" w:lineRule="auto"/>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COD消解器</w:t>
            </w:r>
          </w:p>
        </w:tc>
        <w:tc>
          <w:tcPr>
            <w:tcW w:w="1601" w:type="dxa"/>
            <w:tcBorders>
              <w:top w:val="single" w:color="auto" w:sz="4" w:space="0"/>
              <w:left w:val="single" w:color="auto" w:sz="4" w:space="0"/>
              <w:bottom w:val="single" w:color="auto" w:sz="4" w:space="0"/>
              <w:right w:val="single" w:color="auto" w:sz="4" w:space="0"/>
            </w:tcBorders>
            <w:vAlign w:val="center"/>
          </w:tcPr>
          <w:p w14:paraId="31102EC8">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3台</w:t>
            </w:r>
          </w:p>
        </w:tc>
      </w:tr>
      <w:tr w14:paraId="4A338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36E984AB">
            <w:pPr>
              <w:keepNext w:val="0"/>
              <w:pageBreakBefore w:val="0"/>
              <w:kinsoku/>
              <w:wordWrap/>
              <w:overflowPunct/>
              <w:topLinePunct w:val="0"/>
              <w:bidi w:val="0"/>
              <w:spacing w:line="300" w:lineRule="auto"/>
              <w:jc w:val="center"/>
              <w:textAlignment w:val="auto"/>
              <w:rPr>
                <w:rFonts w:hint="default" w:ascii="宋体" w:hAnsi="宋体" w:eastAsia="宋体" w:cs="宋体"/>
                <w:b/>
                <w:color w:val="000000"/>
                <w:sz w:val="24"/>
                <w:szCs w:val="24"/>
                <w:highlight w:val="none"/>
                <w:lang w:val="en-US" w:eastAsia="zh-CN" w:bidi="ar-SA"/>
              </w:rPr>
            </w:pPr>
            <w:r>
              <w:rPr>
                <w:rFonts w:hint="eastAsia" w:ascii="宋体" w:hAnsi="宋体" w:eastAsia="宋体" w:cs="宋体"/>
                <w:b/>
                <w:color w:val="000000"/>
                <w:highlight w:val="none"/>
                <w:lang w:val="en-US" w:eastAsia="zh-CN"/>
              </w:rPr>
              <w:t>7</w:t>
            </w:r>
          </w:p>
        </w:tc>
        <w:tc>
          <w:tcPr>
            <w:tcW w:w="5131" w:type="dxa"/>
            <w:tcBorders>
              <w:top w:val="single" w:color="auto" w:sz="4" w:space="0"/>
              <w:left w:val="single" w:color="auto" w:sz="4" w:space="0"/>
              <w:bottom w:val="single" w:color="auto" w:sz="4" w:space="0"/>
              <w:right w:val="single" w:color="auto" w:sz="4" w:space="0"/>
            </w:tcBorders>
            <w:vAlign w:val="center"/>
          </w:tcPr>
          <w:p w14:paraId="53F1C5FE">
            <w:pPr>
              <w:keepNext w:val="0"/>
              <w:pageBreakBefore w:val="0"/>
              <w:kinsoku/>
              <w:wordWrap/>
              <w:overflowPunct/>
              <w:topLinePunct w:val="0"/>
              <w:bidi w:val="0"/>
              <w:spacing w:line="300" w:lineRule="auto"/>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总悬浮颗粒物采样器</w:t>
            </w:r>
          </w:p>
        </w:tc>
        <w:tc>
          <w:tcPr>
            <w:tcW w:w="1601" w:type="dxa"/>
            <w:tcBorders>
              <w:top w:val="single" w:color="auto" w:sz="4" w:space="0"/>
              <w:left w:val="single" w:color="auto" w:sz="4" w:space="0"/>
              <w:bottom w:val="single" w:color="auto" w:sz="4" w:space="0"/>
              <w:right w:val="single" w:color="auto" w:sz="4" w:space="0"/>
            </w:tcBorders>
            <w:vAlign w:val="center"/>
          </w:tcPr>
          <w:p w14:paraId="654551EB">
            <w:pPr>
              <w:keepNext w:val="0"/>
              <w:pageBreakBefore w:val="0"/>
              <w:kinsoku/>
              <w:wordWrap/>
              <w:overflowPunct/>
              <w:topLinePunct w:val="0"/>
              <w:bidi w:val="0"/>
              <w:spacing w:line="300" w:lineRule="auto"/>
              <w:jc w:val="center"/>
              <w:textAlignment w:val="auto"/>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2台</w:t>
            </w:r>
          </w:p>
        </w:tc>
      </w:tr>
    </w:tbl>
    <w:p w14:paraId="3E55BA0F">
      <w:pPr>
        <w:pStyle w:val="3"/>
        <w:keepNext w:val="0"/>
        <w:pageBreakBefore w:val="0"/>
        <w:numPr>
          <w:ilvl w:val="0"/>
          <w:numId w:val="2"/>
        </w:numPr>
        <w:kinsoku/>
        <w:wordWrap/>
        <w:overflowPunct/>
        <w:topLinePunct w:val="0"/>
        <w:bidi w:val="0"/>
        <w:spacing w:line="300" w:lineRule="auto"/>
        <w:textAlignment w:val="auto"/>
        <w:rPr>
          <w:rFonts w:hint="eastAsia"/>
        </w:rPr>
      </w:pPr>
      <w:bookmarkStart w:id="25" w:name="_Toc179969163"/>
      <w:r>
        <w:rPr>
          <w:rFonts w:hint="eastAsia"/>
        </w:rPr>
        <w:t>请购要求</w:t>
      </w:r>
      <w:bookmarkEnd w:id="25"/>
    </w:p>
    <w:p w14:paraId="4140C636">
      <w:pPr>
        <w:keepNext w:val="0"/>
        <w:pageBreakBefore w:val="0"/>
        <w:widowControl/>
        <w:kinsoku/>
        <w:wordWrap/>
        <w:overflowPunct/>
        <w:topLinePunct w:val="0"/>
        <w:bidi w:val="0"/>
        <w:spacing w:line="300" w:lineRule="auto"/>
        <w:textAlignment w:val="auto"/>
        <w:rPr>
          <w:rFonts w:ascii="宋体" w:hAnsi="宋体" w:eastAsia="宋体" w:cs="Arial"/>
          <w:b/>
          <w:color w:val="C00000"/>
          <w:kern w:val="0"/>
          <w:sz w:val="24"/>
          <w:szCs w:val="24"/>
          <w14:ligatures w14:val="none"/>
        </w:rPr>
      </w:pPr>
      <w:r>
        <w:rPr>
          <w:rFonts w:hint="eastAsia" w:ascii="宋体" w:hAnsi="宋体" w:eastAsia="宋体" w:cs="Times New Roman"/>
          <w:b/>
          <w:color w:val="C00000"/>
          <w:kern w:val="0"/>
          <w:sz w:val="24"/>
          <w:szCs w:val="24"/>
          <w:lang w:val="en-US" w:eastAsia="zh-CN"/>
          <w14:ligatures w14:val="none"/>
        </w:rPr>
        <w:t>一</w:t>
      </w:r>
      <w:r>
        <w:rPr>
          <w:rFonts w:hint="eastAsia" w:ascii="宋体" w:hAnsi="宋体" w:eastAsia="宋体" w:cs="Times New Roman"/>
          <w:b/>
          <w:color w:val="C00000"/>
          <w:kern w:val="0"/>
          <w:sz w:val="24"/>
          <w:szCs w:val="24"/>
          <w14:ligatures w14:val="none"/>
        </w:rPr>
        <w:t>、</w:t>
      </w:r>
      <w:r>
        <w:rPr>
          <w:rFonts w:hint="eastAsia" w:ascii="宋体" w:hAnsi="宋体" w:eastAsia="宋体" w:cs="Times New Roman"/>
          <w:b/>
          <w:color w:val="C00000"/>
          <w:kern w:val="0"/>
          <w:sz w:val="24"/>
          <w:szCs w:val="24"/>
          <w:lang w:eastAsia="zh-CN"/>
          <w14:ligatures w14:val="none"/>
        </w:rPr>
        <w:t>连续流动分析仪测硫化物、硅/铁</w:t>
      </w:r>
      <w:r>
        <w:rPr>
          <w:rFonts w:hint="eastAsia" w:ascii="宋体" w:hAnsi="宋体" w:eastAsia="宋体" w:cs="Arial"/>
          <w:b/>
          <w:bCs/>
          <w:color w:val="C00000"/>
          <w:sz w:val="24"/>
          <w:szCs w:val="24"/>
        </w:rPr>
        <w:t>(1台)</w:t>
      </w:r>
    </w:p>
    <w:p w14:paraId="6D00CC46">
      <w:pPr>
        <w:keepNext w:val="0"/>
        <w:pageBreakBefore w:val="0"/>
        <w:widowControl/>
        <w:kinsoku/>
        <w:wordWrap/>
        <w:overflowPunct/>
        <w:topLinePunct w:val="0"/>
        <w:bidi w:val="0"/>
        <w:spacing w:line="300" w:lineRule="auto"/>
        <w:textAlignment w:val="auto"/>
        <w:rPr>
          <w:rFonts w:ascii="宋体" w:hAnsi="宋体" w:eastAsia="宋体" w:cs="Times New Roman"/>
          <w:b/>
          <w:kern w:val="0"/>
          <w:sz w:val="24"/>
          <w:szCs w:val="24"/>
          <w14:ligatures w14:val="none"/>
        </w:rPr>
      </w:pPr>
      <w:r>
        <w:rPr>
          <w:rFonts w:hint="eastAsia" w:ascii="宋体" w:hAnsi="宋体" w:eastAsia="宋体" w:cs="Times New Roman"/>
          <w:b/>
          <w:kern w:val="0"/>
          <w:sz w:val="24"/>
          <w:szCs w:val="24"/>
          <w14:ligatures w14:val="none"/>
        </w:rPr>
        <w:t>1.仪器技术指标和性能特点要求</w:t>
      </w:r>
    </w:p>
    <w:p w14:paraId="52A97E48">
      <w:pPr>
        <w:keepNext w:val="0"/>
        <w:pageBreakBefore w:val="0"/>
        <w:widowControl/>
        <w:kinsoku/>
        <w:wordWrap/>
        <w:overflowPunct/>
        <w:topLinePunct w:val="0"/>
        <w:bidi w:val="0"/>
        <w:spacing w:line="300" w:lineRule="auto"/>
        <w:textAlignment w:val="auto"/>
        <w:rPr>
          <w:rFonts w:ascii="宋体" w:hAnsi="宋体" w:eastAsia="宋体" w:cs="Times New Roman"/>
          <w:b/>
          <w:bCs/>
          <w:snapToGrid w:val="0"/>
          <w:kern w:val="0"/>
          <w:sz w:val="24"/>
          <w:szCs w:val="24"/>
          <w14:ligatures w14:val="none"/>
        </w:rPr>
      </w:pPr>
      <w:r>
        <w:rPr>
          <w:rFonts w:hint="eastAsia" w:ascii="宋体" w:hAnsi="宋体" w:eastAsia="宋体" w:cs="Times New Roman"/>
          <w:b/>
          <w:bCs/>
          <w:snapToGrid w:val="0"/>
          <w:kern w:val="0"/>
          <w:sz w:val="24"/>
          <w:szCs w:val="24"/>
          <w14:ligatures w14:val="none"/>
        </w:rPr>
        <w:t>1.1安装条件要求：</w:t>
      </w:r>
    </w:p>
    <w:p w14:paraId="4B5E7CE0">
      <w:pPr>
        <w:keepNext w:val="0"/>
        <w:pageBreakBefore w:val="0"/>
        <w:widowControl/>
        <w:kinsoku/>
        <w:wordWrap/>
        <w:overflowPunct/>
        <w:topLinePunct w:val="0"/>
        <w:bidi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1.1.1电源符合要求：100V～240V，频率：50Hz</w:t>
      </w:r>
    </w:p>
    <w:p w14:paraId="02E98CB9">
      <w:pPr>
        <w:keepNext w:val="0"/>
        <w:pageBreakBefore w:val="0"/>
        <w:widowControl/>
        <w:kinsoku/>
        <w:wordWrap/>
        <w:overflowPunct/>
        <w:topLinePunct w:val="0"/>
        <w:bidi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1.1.2适用环境温度要求：10</w:t>
      </w:r>
      <w:r>
        <w:rPr>
          <w:rFonts w:ascii="Times New Roman" w:hAnsi="Times New Roman" w:eastAsia="宋体" w:cs="Times New Roman"/>
          <w:kern w:val="0"/>
          <w:sz w:val="24"/>
          <w:szCs w:val="24"/>
          <w14:ligatures w14:val="none"/>
        </w:rPr>
        <w:t>˚</w:t>
      </w:r>
      <w:r>
        <w:rPr>
          <w:rFonts w:hint="eastAsia" w:ascii="宋体" w:hAnsi="宋体" w:eastAsia="宋体" w:cs="宋体"/>
          <w:kern w:val="0"/>
          <w:sz w:val="24"/>
          <w:szCs w:val="24"/>
          <w14:ligatures w14:val="none"/>
        </w:rPr>
        <w:t>C～35</w:t>
      </w:r>
      <w:r>
        <w:rPr>
          <w:rFonts w:ascii="Times New Roman" w:hAnsi="Times New Roman" w:eastAsia="宋体" w:cs="Times New Roman"/>
          <w:kern w:val="0"/>
          <w:sz w:val="24"/>
          <w:szCs w:val="24"/>
          <w14:ligatures w14:val="none"/>
        </w:rPr>
        <w:t>˚</w:t>
      </w:r>
      <w:r>
        <w:rPr>
          <w:rFonts w:hint="eastAsia" w:ascii="宋体" w:hAnsi="宋体" w:eastAsia="宋体" w:cs="宋体"/>
          <w:kern w:val="0"/>
          <w:sz w:val="24"/>
          <w:szCs w:val="24"/>
          <w14:ligatures w14:val="none"/>
        </w:rPr>
        <w:t>C</w:t>
      </w:r>
    </w:p>
    <w:p w14:paraId="54C84589">
      <w:pPr>
        <w:keepNext w:val="0"/>
        <w:pageBreakBefore w:val="0"/>
        <w:widowControl/>
        <w:kinsoku/>
        <w:wordWrap/>
        <w:overflowPunct/>
        <w:topLinePunct w:val="0"/>
        <w:bidi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1.1.3适用环境湿度要求：5%RH～85%RH </w:t>
      </w:r>
    </w:p>
    <w:p w14:paraId="222078AF">
      <w:pPr>
        <w:keepNext w:val="0"/>
        <w:pageBreakBefore w:val="0"/>
        <w:widowControl/>
        <w:kinsoku/>
        <w:wordWrap/>
        <w:overflowPunct/>
        <w:topLinePunct w:val="0"/>
        <w:bidi w:val="0"/>
        <w:spacing w:line="300" w:lineRule="auto"/>
        <w:textAlignment w:val="auto"/>
        <w:rPr>
          <w:rFonts w:ascii="宋体" w:hAnsi="宋体" w:eastAsia="宋体" w:cs="Times New Roman"/>
          <w:b/>
          <w:kern w:val="0"/>
          <w:sz w:val="24"/>
          <w:szCs w:val="24"/>
          <w14:ligatures w14:val="none"/>
        </w:rPr>
      </w:pPr>
      <w:r>
        <w:rPr>
          <w:rFonts w:hint="eastAsia" w:ascii="宋体" w:hAnsi="宋体" w:eastAsia="宋体" w:cs="Times New Roman"/>
          <w:b/>
          <w:bCs/>
          <w:snapToGrid w:val="0"/>
          <w:kern w:val="0"/>
          <w:sz w:val="24"/>
          <w:szCs w:val="24"/>
          <w14:ligatures w14:val="none"/>
        </w:rPr>
        <w:t>1.2</w:t>
      </w:r>
      <w:r>
        <w:rPr>
          <w:rFonts w:hint="eastAsia" w:ascii="宋体" w:hAnsi="宋体" w:eastAsia="宋体" w:cs="宋体"/>
          <w:b/>
          <w:kern w:val="0"/>
          <w:sz w:val="24"/>
          <w:szCs w:val="24"/>
          <w14:ligatures w14:val="none"/>
        </w:rPr>
        <w:t>主机及整体性能</w:t>
      </w:r>
    </w:p>
    <w:p w14:paraId="52C288DF">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1.2.1</w:t>
      </w:r>
      <w:r>
        <w:rPr>
          <w:rFonts w:hint="eastAsia" w:ascii="Calibri" w:hAnsi="Calibri" w:eastAsia="宋体" w:cs="Times New Roman"/>
          <w:kern w:val="0"/>
          <w:sz w:val="24"/>
          <w:szCs w:val="24"/>
          <w14:ligatures w14:val="none"/>
        </w:rPr>
        <w:t>仪器采用稳态反应的气泡间隔的流动分析反应原理（</w:t>
      </w:r>
      <w:r>
        <w:rPr>
          <w:rFonts w:ascii="Calibri" w:hAnsi="Calibri" w:eastAsia="宋体" w:cs="Times New Roman"/>
          <w:kern w:val="0"/>
          <w:sz w:val="24"/>
          <w:szCs w:val="24"/>
          <w14:ligatures w14:val="none"/>
        </w:rPr>
        <w:t>SFA</w:t>
      </w:r>
      <w:r>
        <w:rPr>
          <w:rFonts w:hint="eastAsia" w:ascii="Calibri" w:hAnsi="Calibri" w:eastAsia="宋体" w:cs="Times New Roman"/>
          <w:kern w:val="0"/>
          <w:sz w:val="24"/>
          <w:szCs w:val="24"/>
          <w14:ligatures w14:val="none"/>
        </w:rPr>
        <w:t>），样品和试剂吸入管路后，全程使用气泡隔断的方式进行，无需对样品和试剂进行除气泡和过滤处理。主要含自动进样器、高精度蠕动泵、化学分析模块、硫化物加热吹扫吸收模块、分光比色模块、硅与铁共用一通道、数据处理工作站等。</w:t>
      </w:r>
    </w:p>
    <w:p w14:paraId="0C09AECD">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1.2.2 测试项目及指标：</w:t>
      </w:r>
    </w:p>
    <w:p w14:paraId="6A83B581">
      <w:pPr>
        <w:keepNext w:val="0"/>
        <w:pageBreakBefore w:val="0"/>
        <w:widowControl/>
        <w:kinsoku/>
        <w:wordWrap/>
        <w:overflowPunct/>
        <w:topLinePunct w:val="0"/>
        <w:bidi w:val="0"/>
        <w:spacing w:line="300" w:lineRule="auto"/>
        <w:textAlignment w:val="auto"/>
        <w:rPr>
          <w:rFonts w:hint="default" w:ascii="宋体" w:hAnsi="宋体" w:eastAsia="宋体" w:cs="Times New Roman"/>
          <w:snapToGrid w:val="0"/>
          <w:kern w:val="0"/>
          <w:sz w:val="24"/>
          <w:szCs w:val="24"/>
          <w:lang w:val="en-US"/>
          <w14:ligatures w14:val="none"/>
        </w:rPr>
      </w:pPr>
      <w:r>
        <w:rPr>
          <w:rFonts w:hint="eastAsia" w:ascii="宋体" w:hAnsi="宋体" w:eastAsia="宋体" w:cs="Times New Roman"/>
          <w:snapToGrid w:val="0"/>
          <w:kern w:val="0"/>
          <w:sz w:val="24"/>
          <w:szCs w:val="24"/>
          <w14:ligatures w14:val="none"/>
        </w:rPr>
        <w:t>1.2.2.1 硫化物：</w:t>
      </w:r>
      <w:r>
        <w:rPr>
          <w:rFonts w:hint="eastAsia" w:ascii="宋体" w:hAnsi="宋体" w:eastAsia="宋体" w:cs="Times New Roman"/>
          <w:snapToGrid w:val="0"/>
          <w:kern w:val="0"/>
          <w:sz w:val="24"/>
          <w:szCs w:val="24"/>
          <w:lang w:val="en-US" w:eastAsia="zh-CN"/>
          <w14:ligatures w14:val="none"/>
        </w:rPr>
        <w:t>采用</w:t>
      </w:r>
      <w:r>
        <w:rPr>
          <w:rFonts w:hint="eastAsia" w:ascii="宋体" w:hAnsi="宋体" w:eastAsia="宋体" w:cs="Times New Roman"/>
          <w:kern w:val="0"/>
          <w:sz w:val="24"/>
          <w:szCs w:val="24"/>
          <w14:ligatures w14:val="none"/>
        </w:rPr>
        <w:t>《HJ1226-2021 水质 硫化物的测定 亚甲基蓝分光光度法》</w:t>
      </w:r>
      <w:r>
        <w:rPr>
          <w:rFonts w:hint="eastAsia" w:ascii="宋体" w:hAnsi="宋体" w:eastAsia="宋体" w:cs="Times New Roman"/>
          <w:snapToGrid w:val="0"/>
          <w:kern w:val="0"/>
          <w:sz w:val="24"/>
          <w:szCs w:val="24"/>
          <w:lang w:val="en-US" w:eastAsia="zh-CN"/>
          <w14:ligatures w14:val="none"/>
        </w:rPr>
        <w:t>亚甲基蓝法检测</w:t>
      </w:r>
    </w:p>
    <w:p w14:paraId="59D6F732">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直接测定检测范围：</w:t>
      </w:r>
      <w:r>
        <w:rPr>
          <w:rFonts w:hint="eastAsia" w:ascii="宋体" w:hAnsi="宋体" w:eastAsia="宋体" w:cs="Times New Roman"/>
          <w:snapToGrid w:val="0"/>
          <w:kern w:val="0"/>
          <w:sz w:val="24"/>
          <w:szCs w:val="24"/>
          <w14:ligatures w14:val="none"/>
        </w:rPr>
        <w:t>0.01mg/L～30mg/L</w:t>
      </w:r>
    </w:p>
    <w:p w14:paraId="26D61122">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精密度要求（连续测定6次）：0.5mg/L，RSD&lt; 2％。</w:t>
      </w:r>
    </w:p>
    <w:p w14:paraId="7D5C0244">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线性要求：根据《HJ1226-2021 水质 硫化物的测定 亚甲基蓝分光光度法》设定自动配置标准曲线浓度，相关性系数r≥0.9996；</w:t>
      </w:r>
    </w:p>
    <w:p w14:paraId="02644425">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highlight w:val="none"/>
          <w:lang w:eastAsia="zh-CN"/>
          <w14:ligatures w14:val="none"/>
        </w:rPr>
      </w:pPr>
      <w:r>
        <w:rPr>
          <w:rFonts w:hint="eastAsia" w:ascii="宋体" w:hAnsi="宋体" w:eastAsia="宋体" w:cs="Times New Roman"/>
          <w:kern w:val="0"/>
          <w:sz w:val="24"/>
          <w:szCs w:val="24"/>
          <w:highlight w:val="none"/>
          <w14:ligatures w14:val="none"/>
        </w:rPr>
        <w:t>根据标准方法要求配置</w:t>
      </w:r>
      <w:r>
        <w:rPr>
          <w:rFonts w:hint="eastAsia" w:ascii="宋体" w:hAnsi="宋体" w:eastAsia="宋体" w:cs="Times New Roman"/>
          <w:kern w:val="0"/>
          <w:sz w:val="24"/>
          <w:szCs w:val="24"/>
          <w:highlight w:val="none"/>
          <w:lang w:val="en-US" w:eastAsia="zh-CN"/>
          <w14:ligatures w14:val="none"/>
        </w:rPr>
        <w:t>氮气或空气吹扫，</w:t>
      </w:r>
      <w:r>
        <w:rPr>
          <w:rFonts w:hint="eastAsia" w:ascii="宋体" w:hAnsi="宋体" w:eastAsia="宋体" w:cs="Times New Roman"/>
          <w:kern w:val="0"/>
          <w:sz w:val="24"/>
          <w:szCs w:val="24"/>
          <w:highlight w:val="none"/>
          <w14:ligatures w14:val="none"/>
        </w:rPr>
        <w:t>蒸馏</w:t>
      </w:r>
      <w:r>
        <w:rPr>
          <w:rFonts w:hint="eastAsia" w:ascii="宋体" w:hAnsi="宋体" w:eastAsia="宋体" w:cs="Times New Roman"/>
          <w:kern w:val="0"/>
          <w:sz w:val="24"/>
          <w:szCs w:val="24"/>
          <w:highlight w:val="none"/>
          <w:lang w:val="en-US" w:eastAsia="zh-CN"/>
          <w14:ligatures w14:val="none"/>
        </w:rPr>
        <w:t>吸收</w:t>
      </w:r>
      <w:r>
        <w:rPr>
          <w:rFonts w:hint="eastAsia" w:ascii="宋体" w:hAnsi="宋体" w:eastAsia="宋体" w:cs="Times New Roman"/>
          <w:kern w:val="0"/>
          <w:sz w:val="24"/>
          <w:szCs w:val="24"/>
          <w:highlight w:val="none"/>
          <w14:ligatures w14:val="none"/>
        </w:rPr>
        <w:t>装置</w:t>
      </w:r>
      <w:r>
        <w:rPr>
          <w:rFonts w:hint="eastAsia" w:ascii="宋体" w:hAnsi="宋体" w:eastAsia="宋体" w:cs="Times New Roman"/>
          <w:kern w:val="0"/>
          <w:sz w:val="24"/>
          <w:szCs w:val="24"/>
          <w:highlight w:val="none"/>
          <w:lang w:eastAsia="zh-CN"/>
          <w14:ligatures w14:val="none"/>
        </w:rPr>
        <w:t>；</w:t>
      </w:r>
    </w:p>
    <w:p w14:paraId="4DCFDE64">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检出限要求：检出限≤</w:t>
      </w:r>
      <w:r>
        <w:rPr>
          <w:rFonts w:hint="eastAsia" w:ascii="宋体" w:hAnsi="宋体" w:eastAsia="宋体" w:cs="Times New Roman"/>
          <w:snapToGrid w:val="0"/>
          <w:kern w:val="0"/>
          <w:sz w:val="24"/>
          <w:szCs w:val="24"/>
          <w14:ligatures w14:val="none"/>
        </w:rPr>
        <w:t>0.01mg/L</w:t>
      </w:r>
      <w:r>
        <w:rPr>
          <w:rFonts w:hint="eastAsia" w:ascii="宋体" w:hAnsi="宋体" w:eastAsia="宋体" w:cs="Times New Roman"/>
          <w:kern w:val="0"/>
          <w:sz w:val="24"/>
          <w:szCs w:val="24"/>
          <w14:ligatures w14:val="none"/>
        </w:rPr>
        <w:t>；</w:t>
      </w:r>
    </w:p>
    <w:p w14:paraId="6E37DA88">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lang w:eastAsia="zh-CN"/>
          <w14:ligatures w14:val="none"/>
        </w:rPr>
      </w:pPr>
      <w:r>
        <w:rPr>
          <w:rFonts w:hint="eastAsia" w:ascii="宋体" w:hAnsi="宋体" w:eastAsia="宋体" w:cs="Times New Roman"/>
          <w:kern w:val="0"/>
          <w:sz w:val="24"/>
          <w:szCs w:val="24"/>
          <w:lang w:val="en-US" w:eastAsia="zh-CN"/>
          <w14:ligatures w14:val="none"/>
        </w:rPr>
        <w:t>最小分辨率≤0.001</w:t>
      </w:r>
      <w:r>
        <w:rPr>
          <w:rFonts w:hint="eastAsia" w:ascii="宋体" w:hAnsi="宋体" w:eastAsia="宋体" w:cs="Times New Roman"/>
          <w:snapToGrid w:val="0"/>
          <w:kern w:val="0"/>
          <w:sz w:val="24"/>
          <w:szCs w:val="24"/>
          <w14:ligatures w14:val="none"/>
        </w:rPr>
        <w:t>mg/L</w:t>
      </w:r>
      <w:r>
        <w:rPr>
          <w:rFonts w:hint="eastAsia" w:ascii="宋体" w:hAnsi="宋体" w:eastAsia="宋体" w:cs="Times New Roman"/>
          <w:snapToGrid w:val="0"/>
          <w:kern w:val="0"/>
          <w:sz w:val="24"/>
          <w:szCs w:val="24"/>
          <w:lang w:eastAsia="zh-CN"/>
          <w14:ligatures w14:val="none"/>
        </w:rPr>
        <w:t>；</w:t>
      </w:r>
    </w:p>
    <w:p w14:paraId="3A938D8D">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单样分析时间≤8min，连续单样分析时长≤3min</w:t>
      </w:r>
    </w:p>
    <w:p w14:paraId="49AA314A">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1.2.2.2 二氧化硅：</w:t>
      </w:r>
      <w:r>
        <w:rPr>
          <w:rFonts w:hint="eastAsia" w:ascii="宋体" w:hAnsi="宋体" w:eastAsia="宋体" w:cs="Times New Roman"/>
          <w:snapToGrid w:val="0"/>
          <w:kern w:val="0"/>
          <w:sz w:val="24"/>
          <w:szCs w:val="24"/>
          <w:lang w:val="en-US" w:eastAsia="zh-CN"/>
          <w14:ligatures w14:val="none"/>
        </w:rPr>
        <w:t>采用</w:t>
      </w:r>
      <w:r>
        <w:rPr>
          <w:rFonts w:hint="eastAsia" w:ascii="宋体" w:hAnsi="宋体" w:eastAsia="宋体" w:cs="Times New Roman"/>
          <w:kern w:val="0"/>
          <w:sz w:val="24"/>
          <w:szCs w:val="24"/>
          <w14:ligatures w14:val="none"/>
        </w:rPr>
        <w:t>《GB/T 12149-2017 工业循环冷却水和锅炉用水中硅的测定》</w:t>
      </w:r>
      <w:r>
        <w:rPr>
          <w:rFonts w:hint="eastAsia" w:ascii="宋体" w:hAnsi="宋体" w:eastAsia="宋体" w:cs="Times New Roman"/>
          <w:snapToGrid w:val="0"/>
          <w:kern w:val="0"/>
          <w:sz w:val="24"/>
          <w:szCs w:val="24"/>
          <w:lang w:val="en-US" w:eastAsia="zh-CN"/>
          <w14:ligatures w14:val="none"/>
        </w:rPr>
        <w:t>硅钼蓝法检测</w:t>
      </w:r>
    </w:p>
    <w:p w14:paraId="2131C046">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直接测定检测范围：</w:t>
      </w:r>
      <w:r>
        <w:rPr>
          <w:rFonts w:hint="eastAsia" w:ascii="宋体" w:hAnsi="宋体" w:eastAsia="宋体" w:cs="Times New Roman"/>
          <w:snapToGrid w:val="0"/>
          <w:kern w:val="0"/>
          <w:sz w:val="24"/>
          <w:szCs w:val="24"/>
          <w14:ligatures w14:val="none"/>
        </w:rPr>
        <w:t>0.0</w:t>
      </w:r>
      <w:r>
        <w:rPr>
          <w:rFonts w:hint="eastAsia" w:ascii="宋体" w:hAnsi="宋体" w:eastAsia="宋体" w:cs="Times New Roman"/>
          <w:snapToGrid w:val="0"/>
          <w:kern w:val="0"/>
          <w:sz w:val="24"/>
          <w:szCs w:val="24"/>
          <w:lang w:val="en-US" w:eastAsia="zh-CN"/>
          <w14:ligatures w14:val="none"/>
        </w:rPr>
        <w:t>05</w:t>
      </w:r>
      <w:r>
        <w:rPr>
          <w:rFonts w:hint="eastAsia" w:ascii="宋体" w:hAnsi="宋体" w:eastAsia="宋体" w:cs="Times New Roman"/>
          <w:snapToGrid w:val="0"/>
          <w:kern w:val="0"/>
          <w:sz w:val="24"/>
          <w:szCs w:val="24"/>
          <w14:ligatures w14:val="none"/>
        </w:rPr>
        <w:t>mg/L～6mg/L</w:t>
      </w:r>
    </w:p>
    <w:p w14:paraId="0CA9EF7C">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精密度要求（连续测定6次）：0.05mg/L，RSD&lt; 2％。</w:t>
      </w:r>
    </w:p>
    <w:p w14:paraId="6E552868">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线性要求：根据《GB/T 12149-2017 工业循环冷却水和锅炉用水中硅的测定》设定自动配置标准曲线浓度，相关性系数r≥0.9996；</w:t>
      </w:r>
    </w:p>
    <w:p w14:paraId="7A900EA2">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snapToGrid w:val="0"/>
          <w:kern w:val="0"/>
          <w:sz w:val="24"/>
          <w:szCs w:val="24"/>
          <w:lang w:eastAsia="zh-CN"/>
          <w14:ligatures w14:val="none"/>
        </w:rPr>
      </w:pPr>
      <w:r>
        <w:rPr>
          <w:rFonts w:hint="eastAsia" w:ascii="宋体" w:hAnsi="宋体" w:eastAsia="宋体" w:cs="Times New Roman"/>
          <w:kern w:val="0"/>
          <w:sz w:val="24"/>
          <w:szCs w:val="24"/>
          <w14:ligatures w14:val="none"/>
        </w:rPr>
        <w:t>检出限要求：检出限≤</w:t>
      </w:r>
      <w:r>
        <w:rPr>
          <w:rFonts w:hint="eastAsia" w:ascii="宋体" w:hAnsi="宋体" w:eastAsia="宋体" w:cs="Times New Roman"/>
          <w:snapToGrid w:val="0"/>
          <w:kern w:val="0"/>
          <w:sz w:val="24"/>
          <w:szCs w:val="24"/>
          <w14:ligatures w14:val="none"/>
        </w:rPr>
        <w:t>0.0</w:t>
      </w:r>
      <w:r>
        <w:rPr>
          <w:rFonts w:hint="eastAsia" w:ascii="宋体" w:hAnsi="宋体" w:eastAsia="宋体" w:cs="Times New Roman"/>
          <w:snapToGrid w:val="0"/>
          <w:kern w:val="0"/>
          <w:sz w:val="24"/>
          <w:szCs w:val="24"/>
          <w:lang w:val="en-US" w:eastAsia="zh-CN"/>
          <w14:ligatures w14:val="none"/>
        </w:rPr>
        <w:t>05</w:t>
      </w:r>
      <w:r>
        <w:rPr>
          <w:rFonts w:hint="eastAsia" w:ascii="宋体" w:hAnsi="宋体" w:eastAsia="宋体" w:cs="Times New Roman"/>
          <w:snapToGrid w:val="0"/>
          <w:kern w:val="0"/>
          <w:sz w:val="24"/>
          <w:szCs w:val="24"/>
          <w14:ligatures w14:val="none"/>
        </w:rPr>
        <w:t>mg/L</w:t>
      </w:r>
      <w:r>
        <w:rPr>
          <w:rFonts w:hint="eastAsia" w:ascii="宋体" w:hAnsi="宋体" w:eastAsia="宋体" w:cs="Times New Roman"/>
          <w:snapToGrid w:val="0"/>
          <w:kern w:val="0"/>
          <w:sz w:val="24"/>
          <w:szCs w:val="24"/>
          <w:lang w:eastAsia="zh-CN"/>
          <w14:ligatures w14:val="none"/>
        </w:rPr>
        <w:t>；</w:t>
      </w:r>
    </w:p>
    <w:p w14:paraId="5A7B03A6">
      <w:pPr>
        <w:keepNext w:val="0"/>
        <w:pageBreakBefore w:val="0"/>
        <w:widowControl/>
        <w:kinsoku/>
        <w:wordWrap/>
        <w:overflowPunct/>
        <w:topLinePunct w:val="0"/>
        <w:bidi w:val="0"/>
        <w:adjustRightInd w:val="0"/>
        <w:snapToGrid w:val="0"/>
        <w:spacing w:line="300" w:lineRule="auto"/>
        <w:textAlignment w:val="auto"/>
        <w:rPr>
          <w:rFonts w:hint="default" w:ascii="宋体" w:hAnsi="宋体" w:eastAsia="宋体" w:cs="Times New Roman"/>
          <w:kern w:val="0"/>
          <w:sz w:val="24"/>
          <w:szCs w:val="24"/>
          <w:lang w:val="en-US" w:eastAsia="zh-CN"/>
          <w14:ligatures w14:val="none"/>
        </w:rPr>
      </w:pPr>
      <w:r>
        <w:rPr>
          <w:rFonts w:hint="eastAsia" w:ascii="宋体" w:hAnsi="宋体" w:eastAsia="宋体" w:cs="Times New Roman"/>
          <w:kern w:val="0"/>
          <w:sz w:val="24"/>
          <w:szCs w:val="24"/>
          <w:lang w:val="en-US" w:eastAsia="zh-CN"/>
          <w14:ligatures w14:val="none"/>
        </w:rPr>
        <w:t>最小分辨率≤0.001</w:t>
      </w:r>
      <w:r>
        <w:rPr>
          <w:rFonts w:hint="eastAsia" w:ascii="宋体" w:hAnsi="宋体" w:eastAsia="宋体" w:cs="Times New Roman"/>
          <w:snapToGrid w:val="0"/>
          <w:kern w:val="0"/>
          <w:sz w:val="24"/>
          <w:szCs w:val="24"/>
          <w14:ligatures w14:val="none"/>
        </w:rPr>
        <w:t>mg/L</w:t>
      </w:r>
    </w:p>
    <w:p w14:paraId="0A423C6F">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单样分析时间≤8min，连续单样分析时长≤3min</w:t>
      </w:r>
    </w:p>
    <w:p w14:paraId="2A1517D6">
      <w:pPr>
        <w:keepNext w:val="0"/>
        <w:pageBreakBefore w:val="0"/>
        <w:widowControl/>
        <w:kinsoku/>
        <w:wordWrap/>
        <w:overflowPunct/>
        <w:topLinePunct w:val="0"/>
        <w:bidi w:val="0"/>
        <w:adjustRightInd w:val="0"/>
        <w:snapToGrid w:val="0"/>
        <w:spacing w:line="300" w:lineRule="auto"/>
        <w:textAlignment w:val="auto"/>
        <w:rPr>
          <w:rFonts w:hint="default" w:ascii="宋体" w:hAnsi="宋体" w:eastAsia="宋体" w:cs="Times New Roman"/>
          <w:kern w:val="0"/>
          <w:sz w:val="24"/>
          <w:szCs w:val="24"/>
          <w:lang w:val="en-US" w:eastAsia="zh-CN"/>
          <w14:ligatures w14:val="none"/>
        </w:rPr>
      </w:pPr>
      <w:r>
        <w:rPr>
          <w:rFonts w:hint="eastAsia" w:ascii="宋体" w:hAnsi="宋体" w:eastAsia="宋体" w:cs="Times New Roman"/>
          <w:kern w:val="0"/>
          <w:sz w:val="24"/>
          <w:szCs w:val="24"/>
          <w14:ligatures w14:val="none"/>
        </w:rPr>
        <w:t>1.2.2.3 铁：</w:t>
      </w:r>
      <w:r>
        <w:rPr>
          <w:rFonts w:hint="eastAsia" w:ascii="宋体" w:hAnsi="宋体" w:eastAsia="宋体" w:cs="Times New Roman"/>
          <w:kern w:val="0"/>
          <w:sz w:val="24"/>
          <w:szCs w:val="24"/>
          <w:lang w:val="en-US" w:eastAsia="zh-CN"/>
          <w14:ligatures w14:val="none"/>
        </w:rPr>
        <w:t>采用</w:t>
      </w:r>
      <w:r>
        <w:rPr>
          <w:rFonts w:hint="eastAsia" w:ascii="宋体" w:hAnsi="宋体" w:eastAsia="宋体" w:cs="Times New Roman"/>
          <w:kern w:val="0"/>
          <w:sz w:val="24"/>
          <w:szCs w:val="24"/>
          <w14:ligatures w14:val="none"/>
        </w:rPr>
        <w:t>《GB/T 14427-2017 锅炉用水和冷却水分析方法 铁的测定》</w:t>
      </w:r>
      <w:r>
        <w:rPr>
          <w:rFonts w:hint="eastAsia" w:ascii="宋体" w:hAnsi="宋体" w:eastAsia="宋体" w:cs="Times New Roman"/>
          <w:kern w:val="0"/>
          <w:sz w:val="24"/>
          <w:szCs w:val="24"/>
          <w:lang w:val="en-US" w:eastAsia="zh-CN"/>
          <w14:ligatures w14:val="none"/>
        </w:rPr>
        <w:t>1,10-菲啰啉法检测</w:t>
      </w:r>
    </w:p>
    <w:p w14:paraId="06403859">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直接测定检测范围：</w:t>
      </w:r>
      <w:r>
        <w:rPr>
          <w:rFonts w:hint="eastAsia" w:ascii="宋体" w:hAnsi="宋体" w:eastAsia="宋体" w:cs="Times New Roman"/>
          <w:snapToGrid w:val="0"/>
          <w:kern w:val="0"/>
          <w:sz w:val="24"/>
          <w:szCs w:val="24"/>
          <w14:ligatures w14:val="none"/>
        </w:rPr>
        <w:t>0.01mg/L～3mg/L</w:t>
      </w:r>
    </w:p>
    <w:p w14:paraId="68BE6C5F">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精密度要求（连续测定6次）：0.</w:t>
      </w:r>
      <w:r>
        <w:rPr>
          <w:rFonts w:hint="eastAsia" w:ascii="宋体" w:hAnsi="宋体" w:eastAsia="宋体" w:cs="Times New Roman"/>
          <w:kern w:val="0"/>
          <w:sz w:val="24"/>
          <w:szCs w:val="24"/>
          <w:lang w:val="en-US" w:eastAsia="zh-CN"/>
          <w14:ligatures w14:val="none"/>
        </w:rPr>
        <w:t>0</w:t>
      </w:r>
      <w:r>
        <w:rPr>
          <w:rFonts w:hint="eastAsia" w:ascii="宋体" w:hAnsi="宋体" w:eastAsia="宋体" w:cs="Times New Roman"/>
          <w:kern w:val="0"/>
          <w:sz w:val="24"/>
          <w:szCs w:val="24"/>
          <w14:ligatures w14:val="none"/>
        </w:rPr>
        <w:t>5mg/L，RSD&lt; 2％。</w:t>
      </w:r>
    </w:p>
    <w:p w14:paraId="6C5061A2">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线性要求：根据《GB/T 14427-2017 锅炉用水和冷却水分析方法 铁的测定》</w:t>
      </w:r>
    </w:p>
    <w:p w14:paraId="62BE7DFC">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设定自动配置标准曲线浓度，相关性系数r≥0.9996；</w:t>
      </w:r>
    </w:p>
    <w:p w14:paraId="40F40962">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检出限要求：检出限≤</w:t>
      </w:r>
      <w:r>
        <w:rPr>
          <w:rFonts w:hint="eastAsia" w:ascii="宋体" w:hAnsi="宋体" w:eastAsia="宋体" w:cs="Times New Roman"/>
          <w:snapToGrid w:val="0"/>
          <w:kern w:val="0"/>
          <w:sz w:val="24"/>
          <w:szCs w:val="24"/>
          <w14:ligatures w14:val="none"/>
        </w:rPr>
        <w:t>0.01mg/L</w:t>
      </w:r>
      <w:r>
        <w:rPr>
          <w:rFonts w:hint="eastAsia" w:ascii="宋体" w:hAnsi="宋体" w:eastAsia="宋体" w:cs="Times New Roman"/>
          <w:kern w:val="0"/>
          <w:sz w:val="24"/>
          <w:szCs w:val="24"/>
          <w14:ligatures w14:val="none"/>
        </w:rPr>
        <w:t>；</w:t>
      </w:r>
    </w:p>
    <w:p w14:paraId="6325B126">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lang w:eastAsia="zh-CN"/>
          <w14:ligatures w14:val="none"/>
        </w:rPr>
      </w:pPr>
      <w:r>
        <w:rPr>
          <w:rFonts w:hint="eastAsia" w:ascii="宋体" w:hAnsi="宋体" w:eastAsia="宋体" w:cs="Times New Roman"/>
          <w:kern w:val="0"/>
          <w:sz w:val="24"/>
          <w:szCs w:val="24"/>
          <w:lang w:val="en-US" w:eastAsia="zh-CN"/>
          <w14:ligatures w14:val="none"/>
        </w:rPr>
        <w:t>最小分辨率≤0.001</w:t>
      </w:r>
      <w:r>
        <w:rPr>
          <w:rFonts w:hint="eastAsia" w:ascii="宋体" w:hAnsi="宋体" w:eastAsia="宋体" w:cs="Times New Roman"/>
          <w:snapToGrid w:val="0"/>
          <w:kern w:val="0"/>
          <w:sz w:val="24"/>
          <w:szCs w:val="24"/>
          <w14:ligatures w14:val="none"/>
        </w:rPr>
        <w:t>mg/L</w:t>
      </w:r>
      <w:r>
        <w:rPr>
          <w:rFonts w:hint="eastAsia" w:ascii="宋体" w:hAnsi="宋体" w:eastAsia="宋体" w:cs="Times New Roman"/>
          <w:snapToGrid w:val="0"/>
          <w:kern w:val="0"/>
          <w:sz w:val="24"/>
          <w:szCs w:val="24"/>
          <w:lang w:eastAsia="zh-CN"/>
          <w14:ligatures w14:val="none"/>
        </w:rPr>
        <w:t>；</w:t>
      </w:r>
    </w:p>
    <w:p w14:paraId="6D18D076">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单样分析时间≤8min，连续单样分析时长≤3min</w:t>
      </w:r>
    </w:p>
    <w:p w14:paraId="5F65CD03">
      <w:pPr>
        <w:keepNext w:val="0"/>
        <w:pageBreakBefore w:val="0"/>
        <w:widowControl/>
        <w:kinsoku/>
        <w:wordWrap/>
        <w:overflowPunct/>
        <w:topLinePunct w:val="0"/>
        <w:bidi w:val="0"/>
        <w:spacing w:line="300" w:lineRule="auto"/>
        <w:textAlignment w:val="auto"/>
        <w:rPr>
          <w:rFonts w:hint="default" w:ascii="宋体" w:hAnsi="宋体" w:eastAsia="宋体" w:cs="Times New Roman"/>
          <w:kern w:val="0"/>
          <w:sz w:val="24"/>
          <w:szCs w:val="24"/>
          <w:lang w:val="en-US" w:eastAsia="zh-CN"/>
          <w14:ligatures w14:val="none"/>
        </w:rPr>
      </w:pPr>
      <w:r>
        <w:rPr>
          <w:rFonts w:hint="eastAsia" w:ascii="宋体" w:hAnsi="宋体" w:eastAsia="宋体" w:cs="Times New Roman"/>
          <w:kern w:val="0"/>
          <w:sz w:val="24"/>
          <w:szCs w:val="24"/>
          <w:lang w:val="en-US" w:eastAsia="zh-CN"/>
          <w14:ligatures w14:val="none"/>
        </w:rPr>
        <w:t xml:space="preserve">1.2.2.4 </w:t>
      </w:r>
      <w:r>
        <w:rPr>
          <w:rFonts w:hint="eastAsia" w:ascii="宋体" w:hAnsi="宋体" w:eastAsia="宋体" w:cs="Times New Roman"/>
          <w:snapToGrid w:val="0"/>
          <w:kern w:val="0"/>
          <w:sz w:val="24"/>
          <w:szCs w:val="24"/>
          <w:lang w:val="en-US" w:eastAsia="zh-CN"/>
          <w14:ligatures w14:val="none"/>
        </w:rPr>
        <w:t>仪器从开机到满足分析条件，预热稳定时间≤15min。</w:t>
      </w:r>
    </w:p>
    <w:p w14:paraId="6C02333A">
      <w:pPr>
        <w:keepNext w:val="0"/>
        <w:pageBreakBefore w:val="0"/>
        <w:widowControl/>
        <w:kinsoku/>
        <w:wordWrap/>
        <w:overflowPunct/>
        <w:topLinePunct w:val="0"/>
        <w:bidi w:val="0"/>
        <w:spacing w:line="300" w:lineRule="auto"/>
        <w:textAlignment w:val="auto"/>
        <w:rPr>
          <w:rFonts w:ascii="Calibri" w:hAnsi="Calibri" w:eastAsia="宋体" w:cs="Times New Roman"/>
          <w:kern w:val="0"/>
          <w:sz w:val="24"/>
          <w:szCs w:val="24"/>
          <w14:ligatures w14:val="none"/>
        </w:rPr>
      </w:pPr>
      <w:r>
        <w:rPr>
          <w:rFonts w:hint="eastAsia" w:ascii="宋体" w:hAnsi="Calibri" w:eastAsia="宋体" w:cs="宋体"/>
          <w:kern w:val="0"/>
          <w:sz w:val="24"/>
          <w:szCs w:val="24"/>
          <w14:ligatures w14:val="none"/>
        </w:rPr>
        <w:t>*</w:t>
      </w:r>
      <w:r>
        <w:rPr>
          <w:rFonts w:hint="eastAsia" w:ascii="宋体" w:hAnsi="宋体" w:eastAsia="宋体" w:cs="Times New Roman"/>
          <w:snapToGrid w:val="0"/>
          <w:kern w:val="0"/>
          <w:sz w:val="24"/>
          <w:szCs w:val="24"/>
          <w14:ligatures w14:val="none"/>
        </w:rPr>
        <w:t xml:space="preserve">1.2.3 </w:t>
      </w:r>
      <w:r>
        <w:rPr>
          <w:rFonts w:hint="eastAsia" w:ascii="Calibri" w:hAnsi="Calibri" w:eastAsia="宋体" w:cs="Times New Roman"/>
          <w:kern w:val="0"/>
          <w:sz w:val="24"/>
          <w:szCs w:val="24"/>
          <w14:ligatures w14:val="none"/>
        </w:rPr>
        <w:t>自动进样器</w:t>
      </w:r>
    </w:p>
    <w:p w14:paraId="2B743BB9">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 xml:space="preserve">1.2.3.1 </w:t>
      </w:r>
      <w:r>
        <w:rPr>
          <w:rFonts w:hint="eastAsia" w:ascii="宋体" w:hAnsi="宋体" w:eastAsia="宋体" w:cs="Times New Roman"/>
          <w:snapToGrid w:val="0"/>
          <w:kern w:val="0"/>
          <w:sz w:val="24"/>
          <w:szCs w:val="24"/>
          <w:lang w:val="en-US" w:eastAsia="zh-CN"/>
          <w14:ligatures w14:val="none"/>
        </w:rPr>
        <w:t>原品牌</w:t>
      </w:r>
      <w:r>
        <w:rPr>
          <w:rFonts w:hint="eastAsia" w:ascii="宋体" w:hAnsi="宋体" w:eastAsia="宋体" w:cs="Times New Roman"/>
          <w:snapToGrid w:val="0"/>
          <w:kern w:val="0"/>
          <w:sz w:val="24"/>
          <w:szCs w:val="24"/>
          <w14:ligatures w14:val="none"/>
        </w:rPr>
        <w:t>双进样针自动进样器，</w:t>
      </w:r>
      <w:r>
        <w:rPr>
          <w:rFonts w:hint="eastAsia" w:ascii="宋体" w:hAnsi="宋体" w:eastAsia="宋体" w:cs="Times New Roman"/>
          <w:snapToGrid w:val="0"/>
          <w:kern w:val="0"/>
          <w:sz w:val="24"/>
          <w:szCs w:val="24"/>
          <w:lang w:val="en-US" w:eastAsia="zh-CN"/>
          <w14:ligatures w14:val="none"/>
        </w:rPr>
        <w:t>硫化物</w:t>
      </w:r>
      <w:r>
        <w:rPr>
          <w:rFonts w:hint="eastAsia" w:ascii="宋体" w:hAnsi="宋体" w:eastAsia="宋体" w:cs="Times New Roman"/>
          <w:snapToGrid w:val="0"/>
          <w:kern w:val="0"/>
          <w:sz w:val="24"/>
          <w:szCs w:val="24"/>
          <w14:ligatures w14:val="none"/>
        </w:rPr>
        <w:t>和硅独立自动进样通道</w:t>
      </w:r>
      <w:r>
        <w:rPr>
          <w:rFonts w:hint="eastAsia" w:ascii="宋体" w:hAnsi="宋体" w:eastAsia="宋体" w:cs="Times New Roman"/>
          <w:snapToGrid w:val="0"/>
          <w:kern w:val="0"/>
          <w:sz w:val="24"/>
          <w:szCs w:val="24"/>
          <w:lang w:eastAsia="zh-CN"/>
          <w14:ligatures w14:val="none"/>
        </w:rPr>
        <w:t>，</w:t>
      </w:r>
      <w:r>
        <w:rPr>
          <w:rFonts w:hint="eastAsia" w:ascii="宋体" w:hAnsi="宋体" w:eastAsia="宋体" w:cs="Times New Roman"/>
          <w:snapToGrid w:val="0"/>
          <w:kern w:val="0"/>
          <w:sz w:val="24"/>
          <w:szCs w:val="24"/>
          <w:lang w:val="en-US" w:eastAsia="zh-CN"/>
          <w14:ligatures w14:val="none"/>
        </w:rPr>
        <w:t>不得共用一个进样管</w:t>
      </w:r>
      <w:r>
        <w:rPr>
          <w:rFonts w:hint="eastAsia" w:ascii="宋体" w:hAnsi="宋体" w:eastAsia="宋体" w:cs="Times New Roman"/>
          <w:snapToGrid w:val="0"/>
          <w:kern w:val="0"/>
          <w:sz w:val="24"/>
          <w:szCs w:val="24"/>
          <w:lang w:eastAsia="zh-CN"/>
          <w14:ligatures w14:val="none"/>
        </w:rPr>
        <w:t>，</w:t>
      </w:r>
      <w:r>
        <w:rPr>
          <w:rFonts w:hint="eastAsia" w:ascii="宋体" w:hAnsi="宋体" w:eastAsia="宋体" w:cs="Times New Roman"/>
          <w:snapToGrid w:val="0"/>
          <w:kern w:val="0"/>
          <w:sz w:val="24"/>
          <w:szCs w:val="24"/>
          <w:lang w:val="en-US" w:eastAsia="zh-CN"/>
          <w14:ligatures w14:val="none"/>
        </w:rPr>
        <w:t>分别</w:t>
      </w:r>
      <w:r>
        <w:rPr>
          <w:rFonts w:hint="eastAsia" w:ascii="宋体" w:hAnsi="宋体" w:eastAsia="宋体" w:cs="Times New Roman"/>
          <w:snapToGrid w:val="0"/>
          <w:kern w:val="0"/>
          <w:sz w:val="24"/>
          <w:szCs w:val="24"/>
          <w14:ligatures w14:val="none"/>
        </w:rPr>
        <w:t>可以任意设定进样针取样位置，不用按照固定位置顺序取样。</w:t>
      </w:r>
    </w:p>
    <w:p w14:paraId="2523E13B">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1.2.3.2 样品管容量（</w:t>
      </w:r>
      <w:r>
        <w:rPr>
          <w:rFonts w:hint="eastAsia" w:ascii="宋体" w:hAnsi="宋体" w:eastAsia="宋体" w:cs="Times New Roman"/>
          <w:snapToGrid w:val="0"/>
          <w:kern w:val="0"/>
          <w:sz w:val="24"/>
          <w:szCs w:val="24"/>
          <w:lang w:val="en-US" w:eastAsia="zh-CN"/>
          <w14:ligatures w14:val="none"/>
        </w:rPr>
        <w:t>5</w:t>
      </w:r>
      <w:r>
        <w:rPr>
          <w:rFonts w:hint="eastAsia" w:ascii="宋体" w:hAnsi="宋体" w:eastAsia="宋体" w:cs="Times New Roman"/>
          <w:snapToGrid w:val="0"/>
          <w:kern w:val="0"/>
          <w:sz w:val="24"/>
          <w:szCs w:val="24"/>
          <w14:ligatures w14:val="none"/>
        </w:rPr>
        <w:t>～50）mL，能满足3次以上分析，样品位</w:t>
      </w:r>
      <w:r>
        <w:rPr>
          <w:rFonts w:hint="eastAsia" w:ascii="宋体" w:hAnsi="宋体" w:eastAsia="宋体" w:cs="Times New Roman"/>
          <w:snapToGrid w:val="0"/>
          <w:kern w:val="0"/>
          <w:sz w:val="24"/>
          <w:szCs w:val="24"/>
          <w:lang w:val="en-US" w:eastAsia="zh-CN"/>
          <w14:ligatures w14:val="none"/>
        </w:rPr>
        <w:t>不少于300</w:t>
      </w:r>
      <w:r>
        <w:rPr>
          <w:rFonts w:hint="eastAsia" w:ascii="宋体" w:hAnsi="宋体" w:eastAsia="宋体" w:cs="Times New Roman"/>
          <w:snapToGrid w:val="0"/>
          <w:kern w:val="0"/>
          <w:sz w:val="24"/>
          <w:szCs w:val="24"/>
          <w14:ligatures w14:val="none"/>
        </w:rPr>
        <w:t>位； 标准溶液容量（</w:t>
      </w:r>
      <w:r>
        <w:rPr>
          <w:rFonts w:hint="eastAsia" w:ascii="宋体" w:hAnsi="宋体" w:eastAsia="宋体" w:cs="Times New Roman"/>
          <w:snapToGrid w:val="0"/>
          <w:kern w:val="0"/>
          <w:sz w:val="24"/>
          <w:szCs w:val="24"/>
          <w:lang w:val="en-US" w:eastAsia="zh-CN"/>
          <w14:ligatures w14:val="none"/>
        </w:rPr>
        <w:t>5</w:t>
      </w:r>
      <w:r>
        <w:rPr>
          <w:rFonts w:hint="eastAsia" w:ascii="宋体" w:hAnsi="宋体" w:eastAsia="宋体" w:cs="Times New Roman"/>
          <w:snapToGrid w:val="0"/>
          <w:kern w:val="0"/>
          <w:sz w:val="24"/>
          <w:szCs w:val="24"/>
          <w14:ligatures w14:val="none"/>
        </w:rPr>
        <w:t>～50）mL。</w:t>
      </w:r>
    </w:p>
    <w:p w14:paraId="6C8450AC">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1.2.3.3 清洗泵：进样器带有独立清洗槽，</w:t>
      </w:r>
      <w:r>
        <w:rPr>
          <w:rFonts w:hint="eastAsia" w:ascii="宋体" w:hAnsi="宋体" w:eastAsia="宋体" w:cs="Times New Roman"/>
          <w:snapToGrid w:val="0"/>
          <w:kern w:val="0"/>
          <w:sz w:val="24"/>
          <w:szCs w:val="24"/>
          <w:lang w:val="en-US" w:eastAsia="zh-CN"/>
          <w14:ligatures w14:val="none"/>
        </w:rPr>
        <w:t>硫化物</w:t>
      </w:r>
      <w:r>
        <w:rPr>
          <w:rFonts w:hint="eastAsia" w:ascii="宋体" w:hAnsi="宋体" w:eastAsia="宋体" w:cs="Times New Roman"/>
          <w:snapToGrid w:val="0"/>
          <w:kern w:val="0"/>
          <w:sz w:val="24"/>
          <w:szCs w:val="24"/>
          <w14:ligatures w14:val="none"/>
        </w:rPr>
        <w:t>和硅</w:t>
      </w:r>
      <w:r>
        <w:rPr>
          <w:rFonts w:hint="eastAsia" w:ascii="宋体" w:hAnsi="宋体" w:eastAsia="宋体" w:cs="Times New Roman"/>
          <w:snapToGrid w:val="0"/>
          <w:kern w:val="0"/>
          <w:sz w:val="24"/>
          <w:szCs w:val="24"/>
          <w:lang w:val="en-US" w:eastAsia="zh-CN"/>
          <w14:ligatures w14:val="none"/>
        </w:rPr>
        <w:t>不得共用一个清洗槽，</w:t>
      </w:r>
      <w:r>
        <w:rPr>
          <w:rFonts w:hint="eastAsia" w:ascii="宋体" w:hAnsi="宋体" w:eastAsia="宋体" w:cs="Times New Roman"/>
          <w:snapToGrid w:val="0"/>
          <w:kern w:val="0"/>
          <w:sz w:val="24"/>
          <w:szCs w:val="24"/>
          <w14:ligatures w14:val="none"/>
        </w:rPr>
        <w:t>硫和硅清洗槽独立控制清洗水管道，不互相污染。</w:t>
      </w:r>
    </w:p>
    <w:p w14:paraId="2B17D830">
      <w:pPr>
        <w:keepNext w:val="0"/>
        <w:pageBreakBefore w:val="0"/>
        <w:widowControl/>
        <w:kinsoku/>
        <w:wordWrap/>
        <w:overflowPunct/>
        <w:topLinePunct w:val="0"/>
        <w:bidi w:val="0"/>
        <w:spacing w:line="300" w:lineRule="auto"/>
        <w:textAlignment w:val="auto"/>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1.2.3.4 进样针自动调节功能：具有进样针位置</w:t>
      </w:r>
      <w:r>
        <w:rPr>
          <w:rFonts w:hint="eastAsia" w:ascii="宋体" w:hAnsi="宋体" w:eastAsia="宋体" w:cs="Times New Roman"/>
          <w:snapToGrid w:val="0"/>
          <w:kern w:val="0"/>
          <w:sz w:val="24"/>
          <w:szCs w:val="24"/>
          <w:lang w:val="en-US" w:eastAsia="zh-CN"/>
          <w14:ligatures w14:val="none"/>
        </w:rPr>
        <w:t>校准</w:t>
      </w:r>
      <w:r>
        <w:rPr>
          <w:rFonts w:hint="eastAsia" w:ascii="宋体" w:hAnsi="宋体" w:eastAsia="宋体" w:cs="Times New Roman"/>
          <w:snapToGrid w:val="0"/>
          <w:kern w:val="0"/>
          <w:sz w:val="24"/>
          <w:szCs w:val="24"/>
          <w14:ligatures w14:val="none"/>
        </w:rPr>
        <w:t>，可设置取样数量、取样重复次数、取样时间、清洗时间、空气注入时间等参数。</w:t>
      </w:r>
    </w:p>
    <w:p w14:paraId="13AEB864">
      <w:pPr>
        <w:keepNext w:val="0"/>
        <w:pageBreakBefore w:val="0"/>
        <w:widowControl/>
        <w:kinsoku/>
        <w:wordWrap/>
        <w:overflowPunct/>
        <w:topLinePunct w:val="0"/>
        <w:bidi w:val="0"/>
        <w:spacing w:line="300" w:lineRule="auto"/>
        <w:textAlignment w:val="auto"/>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1.2.3.5</w:t>
      </w:r>
      <w:r>
        <w:rPr>
          <w:rFonts w:hint="eastAsia" w:ascii="宋体" w:hAnsi="宋体" w:eastAsia="宋体" w:cs="Times New Roman"/>
          <w:snapToGrid w:val="0"/>
          <w:kern w:val="0"/>
          <w:sz w:val="24"/>
          <w:szCs w:val="24"/>
          <w:lang w:val="en-US" w:eastAsia="zh-CN"/>
          <w14:ligatures w14:val="none"/>
        </w:rPr>
        <w:t xml:space="preserve"> </w:t>
      </w:r>
      <w:r>
        <w:rPr>
          <w:rFonts w:hint="eastAsia" w:ascii="宋体" w:hAnsi="宋体" w:eastAsia="宋体" w:cs="Times New Roman"/>
          <w:snapToGrid w:val="0"/>
          <w:kern w:val="0"/>
          <w:sz w:val="24"/>
          <w:szCs w:val="24"/>
          <w14:ligatures w14:val="none"/>
        </w:rPr>
        <w:t>取样器</w:t>
      </w:r>
      <w:r>
        <w:rPr>
          <w:rFonts w:hint="eastAsia" w:ascii="宋体" w:hAnsi="宋体" w:eastAsia="宋体" w:cs="Times New Roman"/>
          <w:snapToGrid w:val="0"/>
          <w:kern w:val="0"/>
          <w:sz w:val="24"/>
          <w:szCs w:val="24"/>
          <w:lang w:val="en-US" w:eastAsia="zh-CN"/>
          <w14:ligatures w14:val="none"/>
        </w:rPr>
        <w:t>双针位置匀</w:t>
      </w:r>
      <w:r>
        <w:rPr>
          <w:rFonts w:hint="eastAsia" w:ascii="宋体" w:hAnsi="宋体" w:eastAsia="宋体" w:cs="Times New Roman"/>
          <w:snapToGrid w:val="0"/>
          <w:kern w:val="0"/>
          <w:sz w:val="24"/>
          <w:szCs w:val="24"/>
          <w14:ligatures w14:val="none"/>
        </w:rPr>
        <w:t>内置</w:t>
      </w:r>
      <w:r>
        <w:rPr>
          <w:rFonts w:hint="eastAsia" w:ascii="宋体" w:hAnsi="宋体" w:eastAsia="宋体" w:cs="Times New Roman"/>
          <w:snapToGrid w:val="0"/>
          <w:kern w:val="0"/>
          <w:sz w:val="24"/>
          <w:szCs w:val="24"/>
          <w:lang w:val="en-US" w:eastAsia="zh-CN"/>
          <w14:ligatures w14:val="none"/>
        </w:rPr>
        <w:t>样品均匀化</w:t>
      </w:r>
      <w:r>
        <w:rPr>
          <w:rFonts w:hint="eastAsia" w:ascii="宋体" w:hAnsi="宋体" w:eastAsia="宋体" w:cs="Times New Roman"/>
          <w:snapToGrid w:val="0"/>
          <w:kern w:val="0"/>
          <w:sz w:val="24"/>
          <w:szCs w:val="24"/>
          <w14:ligatures w14:val="none"/>
        </w:rPr>
        <w:t>装置。</w:t>
      </w:r>
    </w:p>
    <w:p w14:paraId="4CCD6D19">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1.2.4 高精度蠕动泵：配备</w:t>
      </w:r>
      <w:r>
        <w:rPr>
          <w:rFonts w:hint="eastAsia" w:ascii="宋体" w:hAnsi="宋体" w:eastAsia="宋体" w:cs="Times New Roman"/>
          <w:snapToGrid w:val="0"/>
          <w:kern w:val="0"/>
          <w:sz w:val="24"/>
          <w:szCs w:val="24"/>
          <w:lang w:val="en-US" w:eastAsia="zh-CN"/>
          <w14:ligatures w14:val="none"/>
        </w:rPr>
        <w:t>大于等于</w:t>
      </w:r>
      <w:r>
        <w:rPr>
          <w:rFonts w:hint="eastAsia" w:ascii="宋体" w:hAnsi="宋体" w:eastAsia="宋体" w:cs="Times New Roman"/>
          <w:snapToGrid w:val="0"/>
          <w:kern w:val="0"/>
          <w:sz w:val="24"/>
          <w:szCs w:val="24"/>
          <w14:ligatures w14:val="none"/>
        </w:rPr>
        <w:t>1台高精度蠕动泵，单个蠕动泵盖下能容纳≥16根蠕动泵管，可保证总共2个项目同时分析所需的试剂泵管位；采用光电感应电磁阀，或独立的空气注射泵及内置电子空压机提供气泡；具有蠕动泵转速可调功能；蠕动泵配备漏液检测装置，发现漏液后蠕动泵自动停止。</w:t>
      </w:r>
    </w:p>
    <w:p w14:paraId="7FDF32BE">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1.2.5 化学分析模块</w:t>
      </w:r>
    </w:p>
    <w:p w14:paraId="30AA9AFC">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1.2.5.1 硫化物独立分析模块由</w:t>
      </w:r>
      <w:bookmarkStart w:id="26" w:name="OLE_LINK2"/>
      <w:bookmarkStart w:id="27" w:name="OLE_LINK1"/>
      <w:r>
        <w:rPr>
          <w:rFonts w:hint="eastAsia" w:ascii="宋体" w:hAnsi="宋体" w:eastAsia="宋体" w:cs="Times New Roman"/>
          <w:snapToGrid w:val="0"/>
          <w:kern w:val="0"/>
          <w:sz w:val="24"/>
          <w:szCs w:val="24"/>
          <w14:ligatures w14:val="none"/>
        </w:rPr>
        <w:t>泵管、</w:t>
      </w:r>
      <w:r>
        <w:rPr>
          <w:rFonts w:hint="eastAsia" w:ascii="宋体" w:hAnsi="宋体" w:eastAsia="宋体" w:cs="Times New Roman"/>
          <w:snapToGrid w:val="0"/>
          <w:kern w:val="0"/>
          <w:sz w:val="24"/>
          <w:szCs w:val="24"/>
          <w:highlight w:val="none"/>
          <w14:ligatures w14:val="none"/>
        </w:rPr>
        <w:t>氮气</w:t>
      </w:r>
      <w:r>
        <w:rPr>
          <w:rFonts w:hint="eastAsia" w:ascii="宋体" w:hAnsi="宋体" w:eastAsia="宋体" w:cs="Times New Roman"/>
          <w:snapToGrid w:val="0"/>
          <w:kern w:val="0"/>
          <w:sz w:val="24"/>
          <w:szCs w:val="24"/>
          <w:highlight w:val="none"/>
          <w:lang w:val="en-US" w:eastAsia="zh-CN"/>
          <w14:ligatures w14:val="none"/>
        </w:rPr>
        <w:t>或空气</w:t>
      </w:r>
      <w:r>
        <w:rPr>
          <w:rFonts w:hint="eastAsia" w:ascii="宋体" w:hAnsi="宋体" w:eastAsia="宋体" w:cs="Times New Roman"/>
          <w:snapToGrid w:val="0"/>
          <w:kern w:val="0"/>
          <w:sz w:val="24"/>
          <w:szCs w:val="24"/>
          <w:highlight w:val="none"/>
          <w14:ligatures w14:val="none"/>
        </w:rPr>
        <w:t>吹扫装置、流量计和蒸馏器、</w:t>
      </w:r>
      <w:r>
        <w:rPr>
          <w:rFonts w:hint="eastAsia" w:ascii="宋体" w:hAnsi="宋体" w:eastAsia="宋体" w:cs="Times New Roman"/>
          <w:snapToGrid w:val="0"/>
          <w:kern w:val="0"/>
          <w:sz w:val="24"/>
          <w:szCs w:val="24"/>
          <w:lang w:val="en-US" w:eastAsia="zh-CN"/>
          <w14:ligatures w14:val="none"/>
        </w:rPr>
        <w:t>样品前处理吸收</w:t>
      </w:r>
      <w:r>
        <w:rPr>
          <w:rFonts w:hint="eastAsia" w:ascii="宋体" w:hAnsi="宋体" w:eastAsia="宋体" w:cs="Times New Roman"/>
          <w:snapToGrid w:val="0"/>
          <w:kern w:val="0"/>
          <w:sz w:val="24"/>
          <w:szCs w:val="24"/>
          <w14:ligatures w14:val="none"/>
        </w:rPr>
        <w:t>装置、冷凝装置、混合反应圈等</w:t>
      </w:r>
      <w:bookmarkEnd w:id="26"/>
      <w:bookmarkEnd w:id="27"/>
      <w:r>
        <w:rPr>
          <w:rFonts w:hint="eastAsia" w:ascii="宋体" w:hAnsi="宋体" w:eastAsia="宋体" w:cs="Times New Roman"/>
          <w:snapToGrid w:val="0"/>
          <w:kern w:val="0"/>
          <w:sz w:val="24"/>
          <w:szCs w:val="24"/>
          <w14:ligatures w14:val="none"/>
        </w:rPr>
        <w:t>组成。</w:t>
      </w:r>
      <w:r>
        <w:rPr>
          <w:rFonts w:hint="eastAsia" w:ascii="宋体" w:hAnsi="宋体" w:eastAsia="宋体" w:cs="Times New Roman"/>
          <w:snapToGrid w:val="0"/>
          <w:kern w:val="0"/>
          <w:sz w:val="24"/>
          <w:szCs w:val="24"/>
          <w:lang w:val="en-US" w:eastAsia="zh-CN"/>
          <w14:ligatures w14:val="none"/>
        </w:rPr>
        <w:t>泵管内径直径不小于2mm，</w:t>
      </w:r>
      <w:r>
        <w:rPr>
          <w:rFonts w:hint="eastAsia" w:ascii="宋体" w:hAnsi="宋体" w:eastAsia="宋体" w:cs="Times New Roman"/>
          <w:snapToGrid w:val="0"/>
          <w:kern w:val="0"/>
          <w:sz w:val="24"/>
          <w:szCs w:val="24"/>
          <w14:ligatures w14:val="none"/>
        </w:rPr>
        <w:t>硫化物采用在线蒸馏、吹扫（可用氮气或空气吹扫）装置，</w:t>
      </w:r>
      <w:r>
        <w:rPr>
          <w:rFonts w:hint="eastAsia" w:ascii="宋体" w:hAnsi="宋体" w:eastAsia="宋体" w:cs="Times New Roman"/>
          <w:snapToGrid w:val="0"/>
          <w:kern w:val="0"/>
          <w:sz w:val="24"/>
          <w:szCs w:val="24"/>
          <w:lang w:val="en-US" w:eastAsia="zh-CN"/>
          <w14:ligatures w14:val="none"/>
        </w:rPr>
        <w:t>并</w:t>
      </w:r>
      <w:r>
        <w:rPr>
          <w:rFonts w:hint="eastAsia" w:ascii="宋体" w:hAnsi="宋体" w:eastAsia="宋体" w:cs="Times New Roman"/>
          <w:snapToGrid w:val="0"/>
          <w:kern w:val="0"/>
          <w:sz w:val="24"/>
          <w:szCs w:val="24"/>
          <w14:ligatures w14:val="none"/>
        </w:rPr>
        <w:t>满足</w:t>
      </w:r>
      <w:r>
        <w:rPr>
          <w:rFonts w:hint="eastAsia" w:ascii="宋体" w:hAnsi="宋体" w:eastAsia="宋体" w:cs="Times New Roman"/>
          <w:kern w:val="0"/>
          <w:sz w:val="24"/>
          <w:szCs w:val="24"/>
          <w14:ligatures w14:val="none"/>
        </w:rPr>
        <w:t>《HJ1226-2021 水质 硫化物的测定 亚甲基蓝分光光度法》</w:t>
      </w:r>
      <w:r>
        <w:rPr>
          <w:rFonts w:hint="eastAsia" w:ascii="宋体" w:hAnsi="宋体" w:eastAsia="宋体" w:cs="Times New Roman"/>
          <w:snapToGrid w:val="0"/>
          <w:kern w:val="0"/>
          <w:sz w:val="24"/>
          <w:szCs w:val="24"/>
          <w14:ligatures w14:val="none"/>
        </w:rPr>
        <w:t>中对</w:t>
      </w:r>
      <w:r>
        <w:rPr>
          <w:rFonts w:hint="eastAsia" w:ascii="宋体" w:hAnsi="宋体" w:eastAsia="宋体" w:cs="Times New Roman"/>
          <w:snapToGrid w:val="0"/>
          <w:kern w:val="0"/>
          <w:sz w:val="24"/>
          <w:szCs w:val="24"/>
          <w:lang w:val="en-US" w:eastAsia="zh-CN"/>
          <w14:ligatures w14:val="none"/>
        </w:rPr>
        <w:t>样品前处理</w:t>
      </w:r>
      <w:r>
        <w:rPr>
          <w:rFonts w:hint="eastAsia" w:ascii="宋体" w:hAnsi="宋体" w:eastAsia="宋体" w:cs="Times New Roman"/>
          <w:snapToGrid w:val="0"/>
          <w:kern w:val="0"/>
          <w:sz w:val="24"/>
          <w:szCs w:val="24"/>
          <w14:ligatures w14:val="none"/>
        </w:rPr>
        <w:t>和吸收液等要求。</w:t>
      </w:r>
    </w:p>
    <w:p w14:paraId="1C08880C">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1.2.5.2 二氧化硅/铁独立分析模块由</w:t>
      </w:r>
      <w:bookmarkStart w:id="28" w:name="OLE_LINK4"/>
      <w:bookmarkStart w:id="29" w:name="OLE_LINK3"/>
      <w:r>
        <w:rPr>
          <w:rFonts w:hint="eastAsia" w:ascii="宋体" w:hAnsi="宋体" w:eastAsia="宋体" w:cs="Times New Roman"/>
          <w:snapToGrid w:val="0"/>
          <w:kern w:val="0"/>
          <w:sz w:val="24"/>
          <w:szCs w:val="24"/>
          <w14:ligatures w14:val="none"/>
        </w:rPr>
        <w:t>泵管、混合反应圈</w:t>
      </w:r>
      <w:bookmarkEnd w:id="28"/>
      <w:bookmarkEnd w:id="29"/>
      <w:r>
        <w:rPr>
          <w:rFonts w:hint="eastAsia" w:ascii="宋体" w:hAnsi="宋体" w:eastAsia="宋体" w:cs="Times New Roman"/>
          <w:snapToGrid w:val="0"/>
          <w:kern w:val="0"/>
          <w:sz w:val="24"/>
          <w:szCs w:val="24"/>
          <w14:ligatures w14:val="none"/>
        </w:rPr>
        <w:t>等组成</w:t>
      </w:r>
      <w:r>
        <w:rPr>
          <w:rFonts w:hint="eastAsia" w:ascii="宋体" w:hAnsi="宋体" w:eastAsia="宋体" w:cs="Times New Roman"/>
          <w:snapToGrid w:val="0"/>
          <w:kern w:val="0"/>
          <w:sz w:val="24"/>
          <w:szCs w:val="24"/>
          <w:lang w:eastAsia="zh-CN"/>
          <w14:ligatures w14:val="none"/>
        </w:rPr>
        <w:t>，</w:t>
      </w:r>
      <w:r>
        <w:rPr>
          <w:rFonts w:hint="eastAsia" w:ascii="宋体" w:hAnsi="宋体" w:eastAsia="宋体" w:cs="Times New Roman"/>
          <w:snapToGrid w:val="0"/>
          <w:kern w:val="0"/>
          <w:sz w:val="24"/>
          <w:szCs w:val="24"/>
          <w:lang w:val="en-US" w:eastAsia="zh-CN"/>
          <w14:ligatures w14:val="none"/>
        </w:rPr>
        <w:t>泵管内径直径不小于2mm。</w:t>
      </w:r>
      <w:r>
        <w:rPr>
          <w:rFonts w:hint="eastAsia" w:ascii="宋体" w:hAnsi="宋体" w:eastAsia="宋体" w:cs="Times New Roman"/>
          <w:snapToGrid w:val="0"/>
          <w:kern w:val="0"/>
          <w:sz w:val="24"/>
          <w:szCs w:val="24"/>
          <w14:ligatures w14:val="none"/>
        </w:rPr>
        <w:t>。</w:t>
      </w:r>
    </w:p>
    <w:p w14:paraId="0E57E750">
      <w:pPr>
        <w:keepNext w:val="0"/>
        <w:pageBreakBefore w:val="0"/>
        <w:widowControl/>
        <w:kinsoku/>
        <w:wordWrap/>
        <w:overflowPunct/>
        <w:topLinePunct w:val="0"/>
        <w:bidi w:val="0"/>
        <w:spacing w:line="300" w:lineRule="auto"/>
        <w:textAlignment w:val="auto"/>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1.2.5.3 混合反应圈由耐腐蚀惰性玻璃圈组成，能清楚看见系统内部运行情况，内径2.0 mm或以上。</w:t>
      </w:r>
    </w:p>
    <w:p w14:paraId="4769B334">
      <w:pPr>
        <w:keepNext w:val="0"/>
        <w:pageBreakBefore w:val="0"/>
        <w:widowControl/>
        <w:kinsoku/>
        <w:wordWrap/>
        <w:overflowPunct/>
        <w:topLinePunct w:val="0"/>
        <w:bidi w:val="0"/>
        <w:spacing w:line="300" w:lineRule="auto"/>
        <w:textAlignment w:val="auto"/>
        <w:rPr>
          <w:rFonts w:hint="default" w:ascii="宋体" w:hAnsi="宋体" w:eastAsia="宋体" w:cs="Times New Roman"/>
          <w:snapToGrid w:val="0"/>
          <w:kern w:val="0"/>
          <w:sz w:val="24"/>
          <w:szCs w:val="24"/>
          <w:lang w:val="en-US" w:eastAsia="zh-CN"/>
          <w14:ligatures w14:val="none"/>
        </w:rPr>
      </w:pPr>
      <w:r>
        <w:rPr>
          <w:rFonts w:hint="eastAsia" w:ascii="宋体" w:hAnsi="宋体" w:eastAsia="宋体" w:cs="Times New Roman"/>
          <w:snapToGrid w:val="0"/>
          <w:kern w:val="0"/>
          <w:sz w:val="24"/>
          <w:szCs w:val="24"/>
          <w:lang w:val="en-US" w:eastAsia="zh-CN"/>
          <w14:ligatures w14:val="none"/>
        </w:rPr>
        <w:t>1.2.5.4 分析所用试剂可市场购得，不用专用试剂。</w:t>
      </w:r>
    </w:p>
    <w:p w14:paraId="1B544018">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1.2.6 分光比色模块</w:t>
      </w:r>
    </w:p>
    <w:p w14:paraId="5D51AF51">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ascii="宋体" w:hAnsi="宋体" w:eastAsia="宋体" w:cs="Times New Roman"/>
          <w:snapToGrid w:val="0"/>
          <w:kern w:val="0"/>
          <w:sz w:val="24"/>
          <w:szCs w:val="24"/>
          <w14:ligatures w14:val="none"/>
        </w:rPr>
        <w:t>*</w:t>
      </w:r>
      <w:r>
        <w:rPr>
          <w:rFonts w:hint="eastAsia" w:ascii="宋体" w:hAnsi="宋体" w:eastAsia="宋体" w:cs="Times New Roman"/>
          <w:snapToGrid w:val="0"/>
          <w:kern w:val="0"/>
          <w:sz w:val="24"/>
          <w:szCs w:val="24"/>
          <w14:ligatures w14:val="none"/>
        </w:rPr>
        <w:t>1.2.6.1 采用双光束数字式比色计，硫化物、二氧化硅每个检测器采用</w:t>
      </w:r>
      <w:r>
        <w:rPr>
          <w:rFonts w:hint="eastAsia" w:ascii="宋体" w:hAnsi="宋体" w:eastAsia="宋体" w:cs="Times New Roman"/>
          <w:snapToGrid w:val="0"/>
          <w:kern w:val="0"/>
          <w:sz w:val="24"/>
          <w:szCs w:val="24"/>
          <w:lang w:val="en-US" w:eastAsia="zh-CN"/>
          <w14:ligatures w14:val="none"/>
        </w:rPr>
        <w:t>双光束光源</w:t>
      </w:r>
      <w:r>
        <w:rPr>
          <w:rFonts w:hint="eastAsia" w:ascii="宋体" w:hAnsi="宋体" w:eastAsia="宋体" w:cs="Times New Roman"/>
          <w:snapToGrid w:val="0"/>
          <w:kern w:val="0"/>
          <w:sz w:val="24"/>
          <w:szCs w:val="24"/>
          <w14:ligatures w14:val="none"/>
        </w:rPr>
        <w:t>，每个光源可分成两束波长一样的光束，其中一束进样品池，另一束进参比池。</w:t>
      </w:r>
    </w:p>
    <w:p w14:paraId="21BFACAA">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ascii="宋体" w:hAnsi="宋体" w:eastAsia="宋体" w:cs="Times New Roman"/>
          <w:snapToGrid w:val="0"/>
          <w:kern w:val="0"/>
          <w:sz w:val="24"/>
          <w:szCs w:val="24"/>
          <w14:ligatures w14:val="none"/>
        </w:rPr>
        <w:t>1.2.6.2 检测器光源</w:t>
      </w:r>
      <w:r>
        <w:rPr>
          <w:rFonts w:hint="eastAsia" w:ascii="宋体" w:hAnsi="宋体" w:eastAsia="宋体" w:cs="Times New Roman"/>
          <w:snapToGrid w:val="0"/>
          <w:kern w:val="0"/>
          <w:sz w:val="24"/>
          <w:szCs w:val="24"/>
          <w14:ligatures w14:val="none"/>
        </w:rPr>
        <w:t>：LED或卤素光源。</w:t>
      </w:r>
    </w:p>
    <w:p w14:paraId="514FC15C">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ascii="宋体" w:hAnsi="宋体" w:eastAsia="宋体" w:cs="Times New Roman"/>
          <w:snapToGrid w:val="0"/>
          <w:kern w:val="0"/>
          <w:sz w:val="24"/>
          <w:szCs w:val="24"/>
          <w14:ligatures w14:val="none"/>
        </w:rPr>
        <w:t>1.2.6.3 硫化物检测和二氧化硅检测分别采用独立的双光束数字式比色计</w:t>
      </w:r>
      <w:r>
        <w:rPr>
          <w:rFonts w:hint="eastAsia" w:ascii="宋体" w:hAnsi="宋体" w:eastAsia="宋体" w:cs="Times New Roman"/>
          <w:snapToGrid w:val="0"/>
          <w:kern w:val="0"/>
          <w:sz w:val="24"/>
          <w:szCs w:val="24"/>
          <w14:ligatures w14:val="none"/>
        </w:rPr>
        <w:t>。</w:t>
      </w:r>
    </w:p>
    <w:p w14:paraId="7BB9CAD3">
      <w:pPr>
        <w:keepNext w:val="0"/>
        <w:pageBreakBefore w:val="0"/>
        <w:widowControl/>
        <w:kinsoku/>
        <w:wordWrap/>
        <w:overflowPunct/>
        <w:topLinePunct w:val="0"/>
        <w:bidi w:val="0"/>
        <w:spacing w:line="300" w:lineRule="auto"/>
        <w:textAlignment w:val="auto"/>
        <w:rPr>
          <w:rFonts w:hint="eastAsia" w:ascii="Calibri" w:hAnsi="Calibri" w:eastAsia="宋体" w:cs="Times New Roman"/>
          <w:kern w:val="0"/>
          <w:sz w:val="24"/>
          <w:szCs w:val="24"/>
          <w14:ligatures w14:val="none"/>
        </w:rPr>
      </w:pPr>
      <w:r>
        <w:rPr>
          <w:rFonts w:hint="eastAsia" w:ascii="宋体" w:hAnsi="宋体" w:eastAsia="宋体" w:cs="Times New Roman"/>
          <w:snapToGrid w:val="0"/>
          <w:kern w:val="0"/>
          <w:sz w:val="24"/>
          <w:szCs w:val="24"/>
          <w14:ligatures w14:val="none"/>
        </w:rPr>
        <w:t xml:space="preserve">1.2.6.4 </w:t>
      </w:r>
      <w:r>
        <w:rPr>
          <w:rFonts w:hint="eastAsia" w:ascii="Calibri" w:hAnsi="Calibri" w:eastAsia="宋体" w:cs="Times New Roman"/>
          <w:kern w:val="0"/>
          <w:sz w:val="24"/>
          <w:szCs w:val="24"/>
          <w14:ligatures w14:val="none"/>
        </w:rPr>
        <w:t>采用</w:t>
      </w:r>
      <w:r>
        <w:rPr>
          <w:rFonts w:hint="eastAsia" w:ascii="Calibri" w:hAnsi="Calibri" w:eastAsia="宋体" w:cs="Times New Roman"/>
          <w:kern w:val="0"/>
          <w:sz w:val="24"/>
          <w:szCs w:val="24"/>
          <w:lang w:val="en-US" w:eastAsia="zh-CN"/>
          <w14:ligatures w14:val="none"/>
        </w:rPr>
        <w:t>去气泡干扰检测</w:t>
      </w:r>
      <w:r>
        <w:rPr>
          <w:rFonts w:hint="eastAsia" w:ascii="Calibri" w:hAnsi="Calibri" w:eastAsia="宋体" w:cs="Times New Roman"/>
          <w:kern w:val="0"/>
          <w:sz w:val="24"/>
          <w:szCs w:val="24"/>
          <w14:ligatures w14:val="none"/>
        </w:rPr>
        <w:t>流通池，在相同的分析条件下进一步提升模块方法的检测限和灵敏度。</w:t>
      </w:r>
    </w:p>
    <w:p w14:paraId="4CC6B2CC">
      <w:pPr>
        <w:keepNext w:val="0"/>
        <w:pageBreakBefore w:val="0"/>
        <w:widowControl/>
        <w:kinsoku/>
        <w:wordWrap/>
        <w:overflowPunct/>
        <w:topLinePunct w:val="0"/>
        <w:bidi w:val="0"/>
        <w:spacing w:line="300" w:lineRule="auto"/>
        <w:textAlignment w:val="auto"/>
        <w:rPr>
          <w:rFonts w:hint="eastAsia" w:ascii="Calibri" w:hAnsi="Calibri" w:eastAsia="宋体" w:cs="Times New Roman"/>
          <w:kern w:val="0"/>
          <w:sz w:val="24"/>
          <w:szCs w:val="24"/>
          <w14:ligatures w14:val="none"/>
        </w:rPr>
      </w:pPr>
      <w:r>
        <w:rPr>
          <w:rFonts w:hint="eastAsia" w:ascii="宋体" w:hAnsi="宋体" w:eastAsia="宋体" w:cs="Times New Roman"/>
          <w:snapToGrid w:val="0"/>
          <w:kern w:val="0"/>
          <w:sz w:val="24"/>
          <w:szCs w:val="24"/>
          <w:lang w:val="en-US" w:eastAsia="zh-CN"/>
          <w14:ligatures w14:val="none"/>
        </w:rPr>
        <w:t>1.2.6.5 仪器预热稳定时间≤15min。</w:t>
      </w:r>
    </w:p>
    <w:p w14:paraId="21A6E9C7">
      <w:pPr>
        <w:keepNext w:val="0"/>
        <w:pageBreakBefore w:val="0"/>
        <w:widowControl/>
        <w:kinsoku/>
        <w:wordWrap/>
        <w:overflowPunct/>
        <w:topLinePunct w:val="0"/>
        <w:bidi w:val="0"/>
        <w:spacing w:line="300" w:lineRule="auto"/>
        <w:textAlignment w:val="auto"/>
        <w:rPr>
          <w:rFonts w:ascii="宋体" w:hAnsi="宋体" w:eastAsia="宋体" w:cs="宋体"/>
          <w:b/>
          <w:kern w:val="0"/>
          <w:sz w:val="24"/>
          <w:szCs w:val="24"/>
          <w14:ligatures w14:val="none"/>
        </w:rPr>
      </w:pPr>
      <w:r>
        <w:rPr>
          <w:rFonts w:hint="eastAsia" w:ascii="宋体" w:hAnsi="宋体" w:eastAsia="宋体" w:cs="Times New Roman"/>
          <w:b/>
          <w:kern w:val="0"/>
          <w:sz w:val="24"/>
          <w:szCs w:val="24"/>
          <w14:ligatures w14:val="none"/>
        </w:rPr>
        <w:t>2.</w:t>
      </w:r>
      <w:r>
        <w:rPr>
          <w:rFonts w:hint="eastAsia" w:ascii="宋体" w:hAnsi="宋体" w:eastAsia="宋体" w:cs="宋体"/>
          <w:b/>
          <w:kern w:val="0"/>
          <w:sz w:val="24"/>
          <w:szCs w:val="24"/>
          <w14:ligatures w14:val="none"/>
        </w:rPr>
        <w:t>适用方法</w:t>
      </w:r>
    </w:p>
    <w:p w14:paraId="1B634B24">
      <w:pPr>
        <w:keepNext w:val="0"/>
        <w:pageBreakBefore w:val="0"/>
        <w:widowControl/>
        <w:kinsoku/>
        <w:wordWrap/>
        <w:overflowPunct/>
        <w:topLinePunct w:val="0"/>
        <w:bidi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lang w:val="en-US" w:eastAsia="zh-CN"/>
          <w14:ligatures w14:val="none"/>
        </w:rPr>
        <w:t xml:space="preserve">2.1 </w:t>
      </w:r>
      <w:r>
        <w:rPr>
          <w:rFonts w:hint="eastAsia" w:ascii="宋体" w:hAnsi="宋体" w:eastAsia="宋体" w:cs="Times New Roman"/>
          <w:kern w:val="0"/>
          <w:sz w:val="24"/>
          <w:szCs w:val="24"/>
          <w14:ligatures w14:val="none"/>
        </w:rPr>
        <w:t>仪器须符合试验方法《</w:t>
      </w:r>
      <w:r>
        <w:rPr>
          <w:rFonts w:hint="eastAsia" w:ascii="宋体" w:hAnsi="宋体" w:eastAsia="宋体" w:cs="Times New Roman"/>
          <w:kern w:val="0"/>
          <w:sz w:val="24"/>
          <w:szCs w:val="24"/>
          <w:lang w:val="en-US" w:eastAsia="zh-CN"/>
          <w14:ligatures w14:val="none"/>
        </w:rPr>
        <w:t>JJF1568-2016 分光光度法流动分析仪校准规范</w:t>
      </w:r>
      <w:r>
        <w:rPr>
          <w:rFonts w:hint="eastAsia" w:ascii="宋体" w:hAnsi="宋体" w:eastAsia="宋体" w:cs="Times New Roman"/>
          <w:kern w:val="0"/>
          <w:sz w:val="24"/>
          <w:szCs w:val="24"/>
          <w14:ligatures w14:val="none"/>
        </w:rPr>
        <w:t>》</w:t>
      </w:r>
      <w:r>
        <w:rPr>
          <w:rFonts w:hint="eastAsia" w:ascii="宋体" w:hAnsi="宋体" w:eastAsia="宋体" w:cs="Times New Roman"/>
          <w:kern w:val="0"/>
          <w:sz w:val="24"/>
          <w:szCs w:val="24"/>
          <w:lang w:val="en-US" w:eastAsia="zh-CN"/>
          <w14:ligatures w14:val="none"/>
        </w:rPr>
        <w:t>对连续流动要求</w:t>
      </w:r>
      <w:r>
        <w:rPr>
          <w:rFonts w:hint="eastAsia" w:ascii="宋体" w:hAnsi="宋体" w:eastAsia="宋体" w:cs="Times New Roman"/>
          <w:kern w:val="0"/>
          <w:sz w:val="24"/>
          <w:szCs w:val="24"/>
          <w:lang w:eastAsia="zh-CN"/>
          <w14:ligatures w14:val="none"/>
        </w:rPr>
        <w:t>、</w:t>
      </w:r>
      <w:r>
        <w:rPr>
          <w:rFonts w:hint="eastAsia" w:ascii="宋体" w:hAnsi="宋体" w:eastAsia="宋体" w:cs="Times New Roman"/>
          <w:kern w:val="0"/>
          <w:sz w:val="24"/>
          <w:szCs w:val="24"/>
          <w14:ligatures w14:val="none"/>
        </w:rPr>
        <w:t>《ISO16264水中硅的测定 流动分析法》</w:t>
      </w:r>
      <w:r>
        <w:rPr>
          <w:rFonts w:hint="eastAsia" w:ascii="宋体" w:hAnsi="宋体" w:eastAsia="宋体" w:cs="Times New Roman"/>
          <w:kern w:val="0"/>
          <w:sz w:val="24"/>
          <w:szCs w:val="24"/>
          <w:lang w:eastAsia="zh-CN"/>
          <w14:ligatures w14:val="none"/>
        </w:rPr>
        <w:t>、</w:t>
      </w:r>
      <w:r>
        <w:rPr>
          <w:rFonts w:hint="eastAsia" w:ascii="宋体" w:hAnsi="宋体" w:eastAsia="宋体" w:cs="Times New Roman"/>
          <w:kern w:val="0"/>
          <w:sz w:val="24"/>
          <w:szCs w:val="24"/>
          <w14:ligatures w14:val="none"/>
        </w:rPr>
        <w:t>《GB/T 12149-2017 工业循环冷却水和锅炉用水中硅的测定》、《HJ1226-2021 水质 硫化物的测定 亚甲基蓝分光光度法》、《SL</w:t>
      </w:r>
      <w:r>
        <w:rPr>
          <w:rFonts w:hint="eastAsia" w:ascii="宋体" w:hAnsi="宋体" w:eastAsia="宋体" w:cs="Times New Roman"/>
          <w:kern w:val="0"/>
          <w:sz w:val="24"/>
          <w:szCs w:val="24"/>
          <w:lang w:val="en-US" w:eastAsia="zh-CN"/>
          <w14:ligatures w14:val="none"/>
        </w:rPr>
        <w:t>/</w:t>
      </w:r>
      <w:r>
        <w:rPr>
          <w:rFonts w:hint="eastAsia" w:ascii="宋体" w:hAnsi="宋体" w:eastAsia="宋体" w:cs="Times New Roman"/>
          <w:kern w:val="0"/>
          <w:sz w:val="24"/>
          <w:szCs w:val="24"/>
          <w14:ligatures w14:val="none"/>
        </w:rPr>
        <w:t>T788-2019 水质 总氮、挥发酚、硫化物、阴离子表面活性剂和六价铬的测定 连续流动分析-分光光度法》、《GB/T 14427-2017 锅炉用水和冷却水分析方法 铁的测定》要求。</w:t>
      </w:r>
    </w:p>
    <w:p w14:paraId="55DCCF99">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kern w:val="0"/>
          <w:sz w:val="24"/>
          <w:szCs w:val="24"/>
          <w14:ligatures w14:val="none"/>
        </w:rPr>
      </w:pPr>
      <w:r>
        <w:rPr>
          <w:rFonts w:hint="eastAsia" w:ascii="宋体" w:hAnsi="宋体" w:eastAsia="宋体" w:cs="Times New Roman"/>
          <w:snapToGrid w:val="0"/>
          <w:color w:val="auto"/>
          <w:kern w:val="0"/>
          <w:sz w:val="24"/>
          <w:lang w:val="en-US" w:eastAsia="zh-CN"/>
        </w:rPr>
        <w:t xml:space="preserve">2.2 </w:t>
      </w:r>
      <w:r>
        <w:rPr>
          <w:rFonts w:hint="eastAsia" w:cs="宋体" w:asciiTheme="minorEastAsia" w:hAnsiTheme="minorEastAsia" w:eastAsiaTheme="minorEastAsia"/>
          <w:sz w:val="24"/>
          <w:szCs w:val="24"/>
          <w:lang w:eastAsia="zh-CN"/>
        </w:rPr>
        <w:t>卖方需根据买方要求，依照国家或行业标准，建立相应运行方法和标准工作曲线。</w:t>
      </w:r>
    </w:p>
    <w:p w14:paraId="4B46615E">
      <w:pPr>
        <w:keepNext w:val="0"/>
        <w:pageBreakBefore w:val="0"/>
        <w:widowControl/>
        <w:kinsoku/>
        <w:wordWrap/>
        <w:overflowPunct/>
        <w:topLinePunct w:val="0"/>
        <w:bidi w:val="0"/>
        <w:spacing w:line="300" w:lineRule="auto"/>
        <w:textAlignment w:val="auto"/>
        <w:rPr>
          <w:rFonts w:ascii="宋体" w:hAnsi="宋体" w:eastAsia="宋体" w:cs="Times New Roman"/>
          <w:b/>
          <w:bCs/>
          <w:snapToGrid w:val="0"/>
          <w:kern w:val="0"/>
          <w:sz w:val="24"/>
          <w:szCs w:val="24"/>
          <w14:ligatures w14:val="none"/>
        </w:rPr>
      </w:pPr>
      <w:r>
        <w:rPr>
          <w:rFonts w:hint="eastAsia" w:ascii="宋体" w:hAnsi="宋体" w:eastAsia="宋体" w:cs="Times New Roman"/>
          <w:b/>
          <w:kern w:val="0"/>
          <w:sz w:val="24"/>
          <w:szCs w:val="24"/>
          <w14:ligatures w14:val="none"/>
        </w:rPr>
        <w:t>3.仪器</w:t>
      </w:r>
      <w:r>
        <w:rPr>
          <w:rFonts w:hint="eastAsia" w:ascii="宋体" w:hAnsi="宋体" w:eastAsia="宋体" w:cs="Times New Roman"/>
          <w:b/>
          <w:bCs/>
          <w:snapToGrid w:val="0"/>
          <w:kern w:val="0"/>
          <w:sz w:val="24"/>
          <w:szCs w:val="24"/>
          <w14:ligatures w14:val="none"/>
        </w:rPr>
        <w:t>配置要求：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5791"/>
        <w:gridCol w:w="944"/>
        <w:gridCol w:w="807"/>
      </w:tblGrid>
      <w:tr w14:paraId="529F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noWrap/>
            <w:vAlign w:val="center"/>
          </w:tcPr>
          <w:p w14:paraId="66124350">
            <w:pPr>
              <w:keepNext w:val="0"/>
              <w:pageBreakBefore w:val="0"/>
              <w:widowControl/>
              <w:kinsoku/>
              <w:wordWrap/>
              <w:overflowPunct/>
              <w:topLinePunct w:val="0"/>
              <w:bidi w:val="0"/>
              <w:spacing w:line="300" w:lineRule="auto"/>
              <w:ind w:firstLine="241" w:firstLineChars="100"/>
              <w:jc w:val="center"/>
              <w:textAlignment w:val="auto"/>
              <w:rPr>
                <w:rFonts w:ascii="微软雅黑" w:hAnsi="微软雅黑" w:eastAsia="微软雅黑" w:cs="宋体"/>
                <w:b/>
                <w:bCs/>
                <w:color w:val="000000"/>
                <w:kern w:val="0"/>
                <w:sz w:val="24"/>
                <w:szCs w:val="21"/>
                <w14:ligatures w14:val="none"/>
              </w:rPr>
            </w:pPr>
            <w:r>
              <w:rPr>
                <w:rFonts w:hint="eastAsia" w:ascii="Calibri" w:hAnsi="Calibri" w:eastAsia="宋体" w:cs="Times New Roman"/>
                <w:b/>
                <w:color w:val="000000"/>
                <w:kern w:val="0"/>
                <w:sz w:val="24"/>
                <w:szCs w:val="21"/>
                <w14:ligatures w14:val="none"/>
              </w:rPr>
              <w:t>序号</w:t>
            </w:r>
          </w:p>
        </w:tc>
        <w:tc>
          <w:tcPr>
            <w:tcW w:w="5791" w:type="dxa"/>
            <w:tcBorders>
              <w:top w:val="single" w:color="auto" w:sz="4" w:space="0"/>
              <w:left w:val="single" w:color="auto" w:sz="4" w:space="0"/>
              <w:bottom w:val="single" w:color="auto" w:sz="4" w:space="0"/>
              <w:right w:val="single" w:color="auto" w:sz="4" w:space="0"/>
            </w:tcBorders>
            <w:noWrap/>
            <w:vAlign w:val="center"/>
          </w:tcPr>
          <w:p w14:paraId="65AD510A">
            <w:pPr>
              <w:keepNext w:val="0"/>
              <w:pageBreakBefore w:val="0"/>
              <w:widowControl/>
              <w:kinsoku/>
              <w:wordWrap/>
              <w:overflowPunct/>
              <w:topLinePunct w:val="0"/>
              <w:bidi w:val="0"/>
              <w:spacing w:line="300" w:lineRule="auto"/>
              <w:textAlignment w:val="auto"/>
              <w:rPr>
                <w:rFonts w:ascii="微软雅黑" w:hAnsi="微软雅黑" w:eastAsia="微软雅黑" w:cs="宋体"/>
                <w:b/>
                <w:bCs/>
                <w:color w:val="000000"/>
                <w:kern w:val="0"/>
                <w:sz w:val="24"/>
                <w:szCs w:val="21"/>
                <w14:ligatures w14:val="none"/>
              </w:rPr>
            </w:pPr>
            <w:r>
              <w:rPr>
                <w:rFonts w:hint="eastAsia" w:ascii="Calibri" w:hAnsi="Calibri" w:eastAsia="宋体" w:cs="Times New Roman"/>
                <w:b/>
                <w:color w:val="000000"/>
                <w:kern w:val="0"/>
                <w:sz w:val="24"/>
                <w:szCs w:val="21"/>
                <w14:ligatures w14:val="none"/>
              </w:rPr>
              <w:t>名称</w:t>
            </w:r>
          </w:p>
        </w:tc>
        <w:tc>
          <w:tcPr>
            <w:tcW w:w="944" w:type="dxa"/>
            <w:tcBorders>
              <w:top w:val="single" w:color="auto" w:sz="4" w:space="0"/>
              <w:left w:val="single" w:color="auto" w:sz="4" w:space="0"/>
              <w:bottom w:val="single" w:color="auto" w:sz="4" w:space="0"/>
              <w:right w:val="single" w:color="auto" w:sz="4" w:space="0"/>
            </w:tcBorders>
            <w:vAlign w:val="center"/>
          </w:tcPr>
          <w:p w14:paraId="450AEBF0">
            <w:pPr>
              <w:keepNext w:val="0"/>
              <w:pageBreakBefore w:val="0"/>
              <w:widowControl/>
              <w:kinsoku/>
              <w:wordWrap/>
              <w:overflowPunct/>
              <w:topLinePunct w:val="0"/>
              <w:bidi w:val="0"/>
              <w:spacing w:line="300" w:lineRule="auto"/>
              <w:jc w:val="center"/>
              <w:textAlignment w:val="auto"/>
              <w:rPr>
                <w:rFonts w:ascii="微软雅黑" w:hAnsi="微软雅黑" w:eastAsia="微软雅黑" w:cs="宋体"/>
                <w:b/>
                <w:bCs/>
                <w:color w:val="000000"/>
                <w:kern w:val="0"/>
                <w:sz w:val="24"/>
                <w:szCs w:val="21"/>
                <w14:ligatures w14:val="none"/>
              </w:rPr>
            </w:pPr>
            <w:r>
              <w:rPr>
                <w:rFonts w:hint="eastAsia" w:ascii="Calibri" w:hAnsi="Calibri" w:eastAsia="宋体" w:cs="Times New Roman"/>
                <w:b/>
                <w:color w:val="000000"/>
                <w:kern w:val="0"/>
                <w:sz w:val="24"/>
                <w:szCs w:val="21"/>
                <w14:ligatures w14:val="none"/>
              </w:rPr>
              <w:t>单位</w:t>
            </w:r>
          </w:p>
        </w:tc>
        <w:tc>
          <w:tcPr>
            <w:tcW w:w="807" w:type="dxa"/>
            <w:tcBorders>
              <w:top w:val="single" w:color="auto" w:sz="4" w:space="0"/>
              <w:left w:val="single" w:color="auto" w:sz="4" w:space="0"/>
              <w:bottom w:val="single" w:color="auto" w:sz="4" w:space="0"/>
              <w:right w:val="single" w:color="auto" w:sz="4" w:space="0"/>
            </w:tcBorders>
            <w:noWrap/>
            <w:vAlign w:val="center"/>
          </w:tcPr>
          <w:p w14:paraId="4F0A20F7">
            <w:pPr>
              <w:keepNext w:val="0"/>
              <w:pageBreakBefore w:val="0"/>
              <w:widowControl/>
              <w:kinsoku/>
              <w:wordWrap/>
              <w:overflowPunct/>
              <w:topLinePunct w:val="0"/>
              <w:bidi w:val="0"/>
              <w:spacing w:line="300" w:lineRule="auto"/>
              <w:jc w:val="center"/>
              <w:textAlignment w:val="auto"/>
              <w:rPr>
                <w:rFonts w:ascii="微软雅黑" w:hAnsi="微软雅黑" w:eastAsia="微软雅黑" w:cs="宋体"/>
                <w:b/>
                <w:bCs/>
                <w:color w:val="000000"/>
                <w:kern w:val="0"/>
                <w:sz w:val="24"/>
                <w:szCs w:val="21"/>
                <w14:ligatures w14:val="none"/>
              </w:rPr>
            </w:pPr>
            <w:r>
              <w:rPr>
                <w:rFonts w:hint="eastAsia" w:ascii="Calibri" w:hAnsi="Calibri" w:eastAsia="宋体" w:cs="Times New Roman"/>
                <w:b/>
                <w:color w:val="000000"/>
                <w:kern w:val="0"/>
                <w:sz w:val="24"/>
                <w:szCs w:val="21"/>
                <w14:ligatures w14:val="none"/>
              </w:rPr>
              <w:t>数量</w:t>
            </w:r>
          </w:p>
        </w:tc>
      </w:tr>
      <w:tr w14:paraId="0F2F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D394959">
            <w:pPr>
              <w:keepNext w:val="0"/>
              <w:pageBreakBefore w:val="0"/>
              <w:widowControl/>
              <w:kinsoku/>
              <w:wordWrap/>
              <w:overflowPunct/>
              <w:topLinePunct w:val="0"/>
              <w:bidi w:val="0"/>
              <w:spacing w:line="300" w:lineRule="auto"/>
              <w:jc w:val="center"/>
              <w:textAlignment w:val="auto"/>
              <w:rPr>
                <w:rFonts w:hint="eastAsia" w:ascii="微软雅黑" w:hAnsi="微软雅黑" w:eastAsia="微软雅黑" w:cs="宋体"/>
                <w:kern w:val="0"/>
                <w:sz w:val="24"/>
                <w:szCs w:val="21"/>
                <w:lang w:val="en-US" w:eastAsia="zh-CN" w:bidi="ar-SA"/>
                <w14:ligatures w14:val="none"/>
              </w:rPr>
            </w:pPr>
            <w:r>
              <w:rPr>
                <w:rFonts w:hint="eastAsia" w:ascii="宋体" w:hAnsi="宋体" w:eastAsia="宋体" w:cs="Times New Roman"/>
                <w:snapToGrid w:val="0"/>
                <w:kern w:val="0"/>
                <w:sz w:val="24"/>
                <w:szCs w:val="24"/>
                <w14:ligatures w14:val="none"/>
              </w:rPr>
              <w:t>1</w:t>
            </w:r>
          </w:p>
        </w:tc>
        <w:tc>
          <w:tcPr>
            <w:tcW w:w="5791" w:type="dxa"/>
            <w:tcBorders>
              <w:top w:val="single" w:color="auto" w:sz="4" w:space="0"/>
              <w:left w:val="single" w:color="auto" w:sz="4" w:space="0"/>
              <w:bottom w:val="single" w:color="auto" w:sz="4" w:space="0"/>
              <w:right w:val="single" w:color="auto" w:sz="4" w:space="0"/>
            </w:tcBorders>
            <w:vAlign w:val="center"/>
          </w:tcPr>
          <w:p w14:paraId="29BFAAFC">
            <w:pPr>
              <w:keepNext w:val="0"/>
              <w:pageBreakBefore w:val="0"/>
              <w:kinsoku/>
              <w:wordWrap/>
              <w:overflowPunct/>
              <w:topLinePunct w:val="0"/>
              <w:autoSpaceDE w:val="0"/>
              <w:autoSpaceDN w:val="0"/>
              <w:bidi w:val="0"/>
              <w:adjustRightInd w:val="0"/>
              <w:snapToGrid w:val="0"/>
              <w:spacing w:line="300" w:lineRule="auto"/>
              <w:textAlignment w:val="auto"/>
              <w:rPr>
                <w:rFonts w:hint="default" w:ascii="宋体" w:hAnsi="宋体" w:cs="Times New Roman" w:eastAsiaTheme="minorEastAsia"/>
                <w:snapToGrid w:val="0"/>
                <w:kern w:val="0"/>
                <w:sz w:val="24"/>
                <w:szCs w:val="24"/>
                <w:lang w:val="en-US" w:eastAsia="zh-CN"/>
                <w14:ligatures w14:val="none"/>
              </w:rPr>
            </w:pPr>
            <w:r>
              <w:rPr>
                <w:rFonts w:hint="eastAsia" w:ascii="宋体" w:hAnsi="宋体" w:cs="Times New Roman"/>
                <w:snapToGrid w:val="0"/>
                <w:kern w:val="0"/>
                <w:sz w:val="24"/>
                <w:szCs w:val="24"/>
                <w:lang w:val="en-US" w:eastAsia="zh-CN"/>
                <w14:ligatures w14:val="none"/>
              </w:rPr>
              <w:t>双通道主机，配置以下模块，</w:t>
            </w:r>
            <w:r>
              <w:t>整机直接可以用于测试</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390F3C3F">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1887074B">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1</w:t>
            </w:r>
          </w:p>
        </w:tc>
      </w:tr>
      <w:tr w14:paraId="4F6A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2DC98170">
            <w:pPr>
              <w:keepNext w:val="0"/>
              <w:pageBreakBefore w:val="0"/>
              <w:widowControl/>
              <w:kinsoku/>
              <w:wordWrap/>
              <w:overflowPunct/>
              <w:topLinePunct w:val="0"/>
              <w:bidi w:val="0"/>
              <w:spacing w:line="300" w:lineRule="auto"/>
              <w:jc w:val="center"/>
              <w:textAlignment w:val="auto"/>
              <w:rPr>
                <w:rFonts w:hint="eastAsia" w:ascii="微软雅黑" w:hAnsi="微软雅黑" w:eastAsia="微软雅黑" w:cs="宋体"/>
                <w:kern w:val="0"/>
                <w:sz w:val="24"/>
                <w:szCs w:val="21"/>
                <w:lang w:val="en-US" w:eastAsia="zh-CN" w:bidi="ar-SA"/>
                <w14:ligatures w14:val="none"/>
              </w:rPr>
            </w:pPr>
            <w:r>
              <w:rPr>
                <w:rFonts w:hint="eastAsia" w:ascii="宋体" w:hAnsi="宋体" w:eastAsia="宋体" w:cs="Times New Roman"/>
                <w:snapToGrid w:val="0"/>
                <w:kern w:val="0"/>
                <w:sz w:val="24"/>
                <w:szCs w:val="24"/>
                <w14:ligatures w14:val="none"/>
              </w:rPr>
              <w:t>2</w:t>
            </w:r>
          </w:p>
        </w:tc>
        <w:tc>
          <w:tcPr>
            <w:tcW w:w="5791" w:type="dxa"/>
            <w:tcBorders>
              <w:top w:val="single" w:color="auto" w:sz="4" w:space="0"/>
              <w:left w:val="single" w:color="auto" w:sz="4" w:space="0"/>
              <w:bottom w:val="single" w:color="auto" w:sz="4" w:space="0"/>
              <w:right w:val="single" w:color="auto" w:sz="4" w:space="0"/>
            </w:tcBorders>
            <w:vAlign w:val="center"/>
          </w:tcPr>
          <w:p w14:paraId="26777377">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高精度蠕动泵及空气阀/注射泵，</w:t>
            </w:r>
            <w:bookmarkStart w:id="30" w:name="OLE_LINK12"/>
            <w:r>
              <w:rPr>
                <w:rFonts w:hint="eastAsia" w:ascii="宋体" w:hAnsi="宋体" w:eastAsia="宋体" w:cs="Times New Roman"/>
                <w:snapToGrid w:val="0"/>
                <w:kern w:val="0"/>
                <w:sz w:val="24"/>
                <w:szCs w:val="24"/>
                <w14:ligatures w14:val="none"/>
              </w:rPr>
              <w:t>含：单个蠕动泵有16根或以上泵管</w:t>
            </w:r>
            <w:bookmarkEnd w:id="30"/>
            <w:r>
              <w:rPr>
                <w:rFonts w:hint="eastAsia" w:ascii="宋体" w:hAnsi="宋体" w:eastAsia="宋体" w:cs="Times New Roman"/>
                <w:snapToGrid w:val="0"/>
                <w:kern w:val="0"/>
                <w:sz w:val="24"/>
                <w:szCs w:val="24"/>
                <w14:ligatures w14:val="none"/>
              </w:rPr>
              <w:t>位</w:t>
            </w:r>
          </w:p>
        </w:tc>
        <w:tc>
          <w:tcPr>
            <w:tcW w:w="944" w:type="dxa"/>
            <w:tcBorders>
              <w:top w:val="single" w:color="auto" w:sz="4" w:space="0"/>
              <w:left w:val="single" w:color="auto" w:sz="4" w:space="0"/>
              <w:bottom w:val="single" w:color="auto" w:sz="4" w:space="0"/>
              <w:right w:val="single" w:color="auto" w:sz="4" w:space="0"/>
            </w:tcBorders>
            <w:vAlign w:val="center"/>
          </w:tcPr>
          <w:p w14:paraId="4F956489">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313EC079">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4F4E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D6B4A81">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3</w:t>
            </w:r>
          </w:p>
        </w:tc>
        <w:tc>
          <w:tcPr>
            <w:tcW w:w="5791" w:type="dxa"/>
            <w:tcBorders>
              <w:top w:val="single" w:color="auto" w:sz="4" w:space="0"/>
              <w:left w:val="single" w:color="auto" w:sz="4" w:space="0"/>
              <w:bottom w:val="single" w:color="auto" w:sz="4" w:space="0"/>
              <w:right w:val="single" w:color="auto" w:sz="4" w:space="0"/>
            </w:tcBorders>
            <w:vAlign w:val="center"/>
          </w:tcPr>
          <w:p w14:paraId="2816150D">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highlight w:val="none"/>
                <w14:ligatures w14:val="none"/>
              </w:rPr>
            </w:pPr>
            <w:r>
              <w:rPr>
                <w:rFonts w:hint="eastAsia" w:ascii="宋体" w:hAnsi="宋体" w:eastAsia="宋体" w:cs="Times New Roman"/>
                <w:snapToGrid w:val="0"/>
                <w:kern w:val="0"/>
                <w:sz w:val="24"/>
                <w:szCs w:val="24"/>
                <w:highlight w:val="none"/>
                <w14:ligatures w14:val="none"/>
              </w:rPr>
              <w:t>硫化物分析模块，含：泵管、蒸馏装置、冷凝装置、氮</w:t>
            </w:r>
            <w:r>
              <w:rPr>
                <w:rFonts w:hint="eastAsia" w:ascii="宋体" w:hAnsi="宋体" w:eastAsia="宋体" w:cs="Times New Roman"/>
                <w:snapToGrid w:val="0"/>
                <w:kern w:val="0"/>
                <w:sz w:val="24"/>
                <w:szCs w:val="24"/>
                <w:highlight w:val="none"/>
                <w:lang w:val="en-US" w:eastAsia="zh-CN"/>
                <w14:ligatures w14:val="none"/>
              </w:rPr>
              <w:t>气或空气</w:t>
            </w:r>
            <w:r>
              <w:rPr>
                <w:rFonts w:hint="eastAsia" w:ascii="宋体" w:hAnsi="宋体" w:eastAsia="宋体" w:cs="Times New Roman"/>
                <w:snapToGrid w:val="0"/>
                <w:kern w:val="0"/>
                <w:sz w:val="24"/>
                <w:szCs w:val="24"/>
                <w:highlight w:val="none"/>
                <w14:ligatures w14:val="none"/>
              </w:rPr>
              <w:t>吹装置、流量计、混合反应圈等</w:t>
            </w:r>
          </w:p>
        </w:tc>
        <w:tc>
          <w:tcPr>
            <w:tcW w:w="944" w:type="dxa"/>
            <w:tcBorders>
              <w:top w:val="single" w:color="auto" w:sz="4" w:space="0"/>
              <w:left w:val="single" w:color="auto" w:sz="4" w:space="0"/>
              <w:bottom w:val="single" w:color="auto" w:sz="4" w:space="0"/>
              <w:right w:val="single" w:color="auto" w:sz="4" w:space="0"/>
            </w:tcBorders>
            <w:vAlign w:val="center"/>
          </w:tcPr>
          <w:p w14:paraId="7232538F">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0FBC8BDD">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2A09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C0408ED">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4</w:t>
            </w:r>
          </w:p>
        </w:tc>
        <w:tc>
          <w:tcPr>
            <w:tcW w:w="5791" w:type="dxa"/>
            <w:tcBorders>
              <w:top w:val="single" w:color="auto" w:sz="4" w:space="0"/>
              <w:left w:val="single" w:color="auto" w:sz="4" w:space="0"/>
              <w:bottom w:val="single" w:color="auto" w:sz="4" w:space="0"/>
              <w:right w:val="single" w:color="auto" w:sz="4" w:space="0"/>
            </w:tcBorders>
            <w:vAlign w:val="center"/>
          </w:tcPr>
          <w:p w14:paraId="11D72E1D">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Calibri" w:hAnsi="Calibri" w:eastAsia="宋体" w:cs="Times New Roman"/>
                <w:kern w:val="0"/>
                <w:sz w:val="24"/>
                <w:szCs w:val="24"/>
                <w14:ligatures w14:val="none"/>
              </w:rPr>
              <w:t>二氧化硅</w:t>
            </w:r>
            <w:r>
              <w:rPr>
                <w:rFonts w:ascii="Calibri" w:hAnsi="Calibri" w:eastAsia="宋体" w:cs="Times New Roman"/>
                <w:kern w:val="0"/>
                <w:sz w:val="24"/>
                <w:szCs w:val="24"/>
                <w14:ligatures w14:val="none"/>
              </w:rPr>
              <w:t>/</w:t>
            </w:r>
            <w:r>
              <w:rPr>
                <w:rFonts w:hint="eastAsia" w:ascii="Calibri" w:hAnsi="Calibri" w:eastAsia="宋体" w:cs="Times New Roman"/>
                <w:kern w:val="0"/>
                <w:sz w:val="24"/>
                <w:szCs w:val="24"/>
                <w14:ligatures w14:val="none"/>
              </w:rPr>
              <w:t>铁分析模块，含：泵管、混合反应圈</w:t>
            </w:r>
          </w:p>
        </w:tc>
        <w:tc>
          <w:tcPr>
            <w:tcW w:w="944" w:type="dxa"/>
            <w:tcBorders>
              <w:top w:val="single" w:color="auto" w:sz="4" w:space="0"/>
              <w:left w:val="single" w:color="auto" w:sz="4" w:space="0"/>
              <w:bottom w:val="single" w:color="auto" w:sz="4" w:space="0"/>
              <w:right w:val="single" w:color="auto" w:sz="4" w:space="0"/>
            </w:tcBorders>
            <w:vAlign w:val="center"/>
          </w:tcPr>
          <w:p w14:paraId="0710C2FD">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29151D15">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137C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86C704B">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5</w:t>
            </w:r>
          </w:p>
        </w:tc>
        <w:tc>
          <w:tcPr>
            <w:tcW w:w="5791" w:type="dxa"/>
            <w:tcBorders>
              <w:top w:val="single" w:color="auto" w:sz="4" w:space="0"/>
              <w:left w:val="single" w:color="auto" w:sz="4" w:space="0"/>
              <w:bottom w:val="single" w:color="auto" w:sz="4" w:space="0"/>
              <w:right w:val="single" w:color="auto" w:sz="4" w:space="0"/>
            </w:tcBorders>
            <w:vAlign w:val="center"/>
          </w:tcPr>
          <w:p w14:paraId="04952B92">
            <w:pPr>
              <w:keepNext w:val="0"/>
              <w:pageBreakBefore w:val="0"/>
              <w:widowControl/>
              <w:kinsoku/>
              <w:wordWrap/>
              <w:overflowPunct/>
              <w:topLinePunct w:val="0"/>
              <w:bidi w:val="0"/>
              <w:spacing w:line="300" w:lineRule="auto"/>
              <w:textAlignment w:val="auto"/>
              <w:rPr>
                <w:rFonts w:hint="default" w:ascii="Calibri" w:hAnsi="Calibri" w:eastAsia="宋体" w:cs="Times New Roman"/>
                <w:kern w:val="0"/>
                <w:sz w:val="24"/>
                <w:szCs w:val="24"/>
                <w:highlight w:val="none"/>
                <w:lang w:val="en-US" w:eastAsia="zh-CN"/>
                <w14:ligatures w14:val="none"/>
              </w:rPr>
            </w:pPr>
            <w:bookmarkStart w:id="31" w:name="OLE_LINK5"/>
            <w:r>
              <w:rPr>
                <w:rFonts w:hint="eastAsia" w:ascii="Calibri" w:hAnsi="Calibri" w:eastAsia="宋体" w:cs="Times New Roman"/>
                <w:kern w:val="0"/>
                <w:sz w:val="24"/>
                <w:szCs w:val="24"/>
                <w:highlight w:val="none"/>
                <w14:ligatures w14:val="none"/>
              </w:rPr>
              <w:t>双光束数字检测器，</w:t>
            </w:r>
            <w:bookmarkEnd w:id="31"/>
            <w:r>
              <w:rPr>
                <w:rFonts w:hint="eastAsia" w:ascii="Calibri" w:hAnsi="Calibri" w:eastAsia="宋体" w:cs="Times New Roman"/>
                <w:kern w:val="0"/>
                <w:sz w:val="24"/>
                <w:szCs w:val="24"/>
                <w:highlight w:val="none"/>
                <w:lang w:val="en-US" w:eastAsia="zh-CN"/>
                <w14:ligatures w14:val="none"/>
              </w:rPr>
              <w:t>硫化物</w:t>
            </w:r>
            <w:r>
              <w:rPr>
                <w:rFonts w:hint="eastAsia" w:ascii="Calibri" w:hAnsi="Calibri" w:eastAsia="宋体" w:cs="Times New Roman"/>
                <w:kern w:val="0"/>
                <w:sz w:val="24"/>
                <w:szCs w:val="24"/>
                <w:highlight w:val="none"/>
                <w14:ligatures w14:val="none"/>
              </w:rPr>
              <w:t>流通池、</w:t>
            </w:r>
            <w:r>
              <w:rPr>
                <w:rFonts w:hint="eastAsia" w:ascii="Calibri" w:hAnsi="Calibri" w:eastAsia="宋体" w:cs="Times New Roman"/>
                <w:kern w:val="0"/>
                <w:sz w:val="24"/>
                <w:szCs w:val="24"/>
                <w:highlight w:val="none"/>
                <w:lang w:val="en-US" w:eastAsia="zh-CN"/>
                <w14:ligatures w14:val="none"/>
              </w:rPr>
              <w:t>灯源、</w:t>
            </w:r>
            <w:r>
              <w:rPr>
                <w:rFonts w:hint="eastAsia" w:ascii="Calibri" w:hAnsi="Calibri" w:eastAsia="宋体" w:cs="Times New Roman"/>
                <w:kern w:val="0"/>
                <w:sz w:val="24"/>
                <w:szCs w:val="24"/>
                <w:highlight w:val="none"/>
                <w14:ligatures w14:val="none"/>
              </w:rPr>
              <w:t>滤光器</w:t>
            </w:r>
            <w:r>
              <w:rPr>
                <w:rFonts w:hint="eastAsia" w:ascii="Calibri" w:hAnsi="Calibri" w:eastAsia="宋体" w:cs="Times New Roman"/>
                <w:kern w:val="0"/>
                <w:sz w:val="24"/>
                <w:szCs w:val="24"/>
                <w:highlight w:val="none"/>
                <w:lang w:val="en-US" w:eastAsia="zh-CN"/>
                <w14:ligatures w14:val="none"/>
              </w:rPr>
              <w:t>及配套检测组件</w:t>
            </w:r>
          </w:p>
        </w:tc>
        <w:tc>
          <w:tcPr>
            <w:tcW w:w="944" w:type="dxa"/>
            <w:tcBorders>
              <w:top w:val="single" w:color="auto" w:sz="4" w:space="0"/>
              <w:left w:val="single" w:color="auto" w:sz="4" w:space="0"/>
              <w:bottom w:val="single" w:color="auto" w:sz="4" w:space="0"/>
              <w:right w:val="single" w:color="auto" w:sz="4" w:space="0"/>
            </w:tcBorders>
            <w:vAlign w:val="center"/>
          </w:tcPr>
          <w:p w14:paraId="69B52C8C">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667AE3A5">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61A1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F9B33FE">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6</w:t>
            </w:r>
          </w:p>
        </w:tc>
        <w:tc>
          <w:tcPr>
            <w:tcW w:w="5791" w:type="dxa"/>
            <w:tcBorders>
              <w:top w:val="single" w:color="auto" w:sz="4" w:space="0"/>
              <w:left w:val="single" w:color="auto" w:sz="4" w:space="0"/>
              <w:bottom w:val="single" w:color="auto" w:sz="4" w:space="0"/>
              <w:right w:val="single" w:color="auto" w:sz="4" w:space="0"/>
            </w:tcBorders>
            <w:vAlign w:val="center"/>
          </w:tcPr>
          <w:p w14:paraId="5026504B">
            <w:pPr>
              <w:keepNext w:val="0"/>
              <w:pageBreakBefore w:val="0"/>
              <w:widowControl/>
              <w:kinsoku/>
              <w:wordWrap/>
              <w:overflowPunct/>
              <w:topLinePunct w:val="0"/>
              <w:bidi w:val="0"/>
              <w:spacing w:line="300" w:lineRule="auto"/>
              <w:textAlignment w:val="auto"/>
              <w:rPr>
                <w:rFonts w:ascii="Calibri" w:hAnsi="Calibri" w:eastAsia="宋体" w:cs="Times New Roman"/>
                <w:kern w:val="0"/>
                <w:sz w:val="24"/>
                <w:szCs w:val="24"/>
                <w:highlight w:val="none"/>
                <w14:ligatures w14:val="none"/>
              </w:rPr>
            </w:pPr>
            <w:r>
              <w:rPr>
                <w:rFonts w:hint="eastAsia" w:ascii="Calibri" w:hAnsi="Calibri" w:eastAsia="宋体" w:cs="Times New Roman"/>
                <w:kern w:val="0"/>
                <w:sz w:val="24"/>
                <w:szCs w:val="24"/>
                <w:highlight w:val="none"/>
                <w14:ligatures w14:val="none"/>
              </w:rPr>
              <w:t>双光束数字检测器，</w:t>
            </w:r>
            <w:r>
              <w:rPr>
                <w:rFonts w:hint="eastAsia" w:ascii="Calibri" w:hAnsi="Calibri" w:eastAsia="宋体" w:cs="Times New Roman"/>
                <w:kern w:val="0"/>
                <w:sz w:val="24"/>
                <w:szCs w:val="24"/>
                <w:highlight w:val="none"/>
                <w:lang w:val="en-US" w:eastAsia="zh-CN"/>
                <w14:ligatures w14:val="none"/>
              </w:rPr>
              <w:t>硅</w:t>
            </w:r>
            <w:r>
              <w:rPr>
                <w:rFonts w:hint="eastAsia" w:ascii="Calibri" w:hAnsi="Calibri" w:eastAsia="宋体" w:cs="Times New Roman"/>
                <w:kern w:val="0"/>
                <w:sz w:val="24"/>
                <w:szCs w:val="24"/>
                <w:highlight w:val="none"/>
                <w14:ligatures w14:val="none"/>
              </w:rPr>
              <w:t>流通池、</w:t>
            </w:r>
            <w:r>
              <w:rPr>
                <w:rFonts w:hint="eastAsia" w:ascii="Calibri" w:hAnsi="Calibri" w:eastAsia="宋体" w:cs="Times New Roman"/>
                <w:kern w:val="0"/>
                <w:sz w:val="24"/>
                <w:szCs w:val="24"/>
                <w:highlight w:val="none"/>
                <w:lang w:val="en-US" w:eastAsia="zh-CN"/>
                <w14:ligatures w14:val="none"/>
              </w:rPr>
              <w:t>灯源、</w:t>
            </w:r>
            <w:r>
              <w:rPr>
                <w:rFonts w:hint="eastAsia" w:ascii="Calibri" w:hAnsi="Calibri" w:eastAsia="宋体" w:cs="Times New Roman"/>
                <w:kern w:val="0"/>
                <w:sz w:val="24"/>
                <w:szCs w:val="24"/>
                <w:highlight w:val="none"/>
                <w14:ligatures w14:val="none"/>
              </w:rPr>
              <w:t>滤光器</w:t>
            </w:r>
            <w:r>
              <w:rPr>
                <w:rFonts w:hint="eastAsia" w:ascii="Calibri" w:hAnsi="Calibri" w:eastAsia="宋体" w:cs="Times New Roman"/>
                <w:kern w:val="0"/>
                <w:sz w:val="24"/>
                <w:szCs w:val="24"/>
                <w:highlight w:val="none"/>
                <w:lang w:val="en-US" w:eastAsia="zh-CN"/>
                <w14:ligatures w14:val="none"/>
              </w:rPr>
              <w:t>灯源及配套检测组件</w:t>
            </w:r>
          </w:p>
        </w:tc>
        <w:tc>
          <w:tcPr>
            <w:tcW w:w="944" w:type="dxa"/>
            <w:tcBorders>
              <w:top w:val="single" w:color="auto" w:sz="4" w:space="0"/>
              <w:left w:val="single" w:color="auto" w:sz="4" w:space="0"/>
              <w:bottom w:val="single" w:color="auto" w:sz="4" w:space="0"/>
              <w:right w:val="single" w:color="auto" w:sz="4" w:space="0"/>
            </w:tcBorders>
            <w:vAlign w:val="center"/>
          </w:tcPr>
          <w:p w14:paraId="68E32FD9">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6EAF9988">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0194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17FC3751">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14:ligatures w14:val="none"/>
              </w:rPr>
              <w:t>7</w:t>
            </w:r>
          </w:p>
        </w:tc>
        <w:tc>
          <w:tcPr>
            <w:tcW w:w="5791" w:type="dxa"/>
            <w:tcBorders>
              <w:top w:val="single" w:color="auto" w:sz="4" w:space="0"/>
              <w:left w:val="single" w:color="auto" w:sz="4" w:space="0"/>
              <w:bottom w:val="single" w:color="auto" w:sz="4" w:space="0"/>
              <w:right w:val="single" w:color="auto" w:sz="4" w:space="0"/>
            </w:tcBorders>
            <w:shd w:val="clear" w:color="auto" w:fill="auto"/>
            <w:vAlign w:val="center"/>
          </w:tcPr>
          <w:p w14:paraId="34E63F37">
            <w:pPr>
              <w:keepNext w:val="0"/>
              <w:pageBreakBefore w:val="0"/>
              <w:kinsoku/>
              <w:wordWrap/>
              <w:overflowPunct/>
              <w:topLinePunct w:val="0"/>
              <w:autoSpaceDE w:val="0"/>
              <w:autoSpaceDN w:val="0"/>
              <w:bidi w:val="0"/>
              <w:adjustRightInd w:val="0"/>
              <w:snapToGrid w:val="0"/>
              <w:spacing w:line="300" w:lineRule="auto"/>
              <w:textAlignment w:val="auto"/>
              <w:rPr>
                <w:rFonts w:hint="eastAsia" w:ascii="宋体" w:hAnsi="宋体" w:cs="Times New Roman" w:eastAsiaTheme="minorEastAsia"/>
                <w:snapToGrid w:val="0"/>
                <w:kern w:val="0"/>
                <w:sz w:val="24"/>
                <w:szCs w:val="24"/>
                <w:lang w:val="en-US" w:eastAsia="zh-CN" w:bidi="ar-SA"/>
                <w14:ligatures w14:val="none"/>
              </w:rPr>
            </w:pPr>
            <w:r>
              <w:rPr>
                <w:rFonts w:hint="eastAsia" w:ascii="宋体" w:hAnsi="宋体" w:eastAsia="Times New Roman" w:cs="Times New Roman"/>
                <w:snapToGrid w:val="0"/>
                <w:kern w:val="0"/>
                <w:sz w:val="24"/>
                <w:szCs w:val="24"/>
                <w14:ligatures w14:val="none"/>
              </w:rPr>
              <w:t>双针取样器，含：</w:t>
            </w:r>
            <w:r>
              <w:rPr>
                <w:rFonts w:hint="eastAsia" w:ascii="宋体" w:hAnsi="宋体" w:cs="Times New Roman"/>
                <w:snapToGrid w:val="0"/>
                <w:kern w:val="0"/>
                <w:sz w:val="24"/>
                <w:szCs w:val="24"/>
                <w:lang w:val="en-US" w:eastAsia="zh-CN"/>
                <w14:ligatures w14:val="none"/>
              </w:rPr>
              <w:t>300</w:t>
            </w:r>
            <w:r>
              <w:rPr>
                <w:rFonts w:hint="eastAsia" w:ascii="宋体" w:hAnsi="宋体" w:cs="Times New Roman" w:eastAsiaTheme="minorEastAsia"/>
                <w:snapToGrid w:val="0"/>
                <w:kern w:val="0"/>
                <w:sz w:val="24"/>
                <w:szCs w:val="24"/>
                <w14:ligatures w14:val="none"/>
              </w:rPr>
              <w:t>个或以上样品位</w:t>
            </w:r>
            <w:r>
              <w:rPr>
                <w:rFonts w:hint="eastAsia" w:ascii="宋体" w:hAnsi="宋体" w:cs="Times New Roman"/>
                <w:snapToGrid w:val="0"/>
                <w:kern w:val="0"/>
                <w:sz w:val="24"/>
                <w:szCs w:val="24"/>
                <w:lang w:eastAsia="zh-CN"/>
                <w14:ligatures w14:val="none"/>
              </w:rPr>
              <w:t>、</w:t>
            </w:r>
            <w:r>
              <w:rPr>
                <w:rFonts w:hint="eastAsia" w:ascii="宋体" w:hAnsi="宋体" w:cs="Times New Roman"/>
                <w:snapToGrid w:val="0"/>
                <w:kern w:val="0"/>
                <w:sz w:val="24"/>
                <w:szCs w:val="24"/>
                <w:lang w:val="en-US" w:eastAsia="zh-CN"/>
                <w14:ligatures w14:val="none"/>
              </w:rPr>
              <w:t>进样器带样品均质功能</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46661655">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477A9">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1</w:t>
            </w:r>
          </w:p>
        </w:tc>
      </w:tr>
      <w:tr w14:paraId="615A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1AB05592">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14:ligatures w14:val="none"/>
              </w:rPr>
              <w:t>8</w:t>
            </w:r>
          </w:p>
        </w:tc>
        <w:tc>
          <w:tcPr>
            <w:tcW w:w="5791" w:type="dxa"/>
            <w:tcBorders>
              <w:top w:val="single" w:color="auto" w:sz="4" w:space="0"/>
              <w:left w:val="single" w:color="auto" w:sz="4" w:space="0"/>
              <w:bottom w:val="single" w:color="auto" w:sz="4" w:space="0"/>
              <w:right w:val="single" w:color="auto" w:sz="4" w:space="0"/>
            </w:tcBorders>
            <w:vAlign w:val="center"/>
          </w:tcPr>
          <w:p w14:paraId="79CF78A9">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Calibri" w:hAnsi="Calibri" w:eastAsia="宋体" w:cs="Times New Roman"/>
                <w:kern w:val="0"/>
                <w:sz w:val="24"/>
                <w:szCs w:val="24"/>
                <w14:ligatures w14:val="none"/>
              </w:rPr>
              <w:t>仪器控制和数据分析软件</w:t>
            </w:r>
          </w:p>
        </w:tc>
        <w:tc>
          <w:tcPr>
            <w:tcW w:w="944" w:type="dxa"/>
            <w:tcBorders>
              <w:top w:val="single" w:color="auto" w:sz="4" w:space="0"/>
              <w:left w:val="single" w:color="auto" w:sz="4" w:space="0"/>
              <w:bottom w:val="single" w:color="auto" w:sz="4" w:space="0"/>
              <w:right w:val="single" w:color="auto" w:sz="4" w:space="0"/>
            </w:tcBorders>
            <w:vAlign w:val="center"/>
          </w:tcPr>
          <w:p w14:paraId="2754D532">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7C83A4EB">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6357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3DEB11C">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14:ligatures w14:val="none"/>
              </w:rPr>
              <w:t>9</w:t>
            </w:r>
          </w:p>
        </w:tc>
        <w:tc>
          <w:tcPr>
            <w:tcW w:w="5791" w:type="dxa"/>
            <w:tcBorders>
              <w:top w:val="single" w:color="auto" w:sz="4" w:space="0"/>
              <w:left w:val="single" w:color="auto" w:sz="4" w:space="0"/>
              <w:bottom w:val="single" w:color="auto" w:sz="4" w:space="0"/>
              <w:right w:val="single" w:color="auto" w:sz="4" w:space="0"/>
            </w:tcBorders>
            <w:vAlign w:val="center"/>
          </w:tcPr>
          <w:p w14:paraId="413D6A05">
            <w:pPr>
              <w:keepNext w:val="0"/>
              <w:pageBreakBefore w:val="0"/>
              <w:widowControl/>
              <w:kinsoku/>
              <w:wordWrap/>
              <w:overflowPunct/>
              <w:topLinePunct w:val="0"/>
              <w:bidi w:val="0"/>
              <w:spacing w:line="300" w:lineRule="auto"/>
              <w:textAlignment w:val="auto"/>
              <w:rPr>
                <w:rFonts w:ascii="Calibri" w:hAnsi="Calibri" w:eastAsia="宋体" w:cs="Times New Roman"/>
                <w:kern w:val="0"/>
                <w:sz w:val="24"/>
                <w:szCs w:val="24"/>
                <w14:ligatures w14:val="none"/>
              </w:rPr>
            </w:pPr>
            <w:r>
              <w:rPr>
                <w:rFonts w:hint="eastAsia" w:ascii="Calibri" w:hAnsi="Calibri" w:eastAsia="宋体" w:cs="Times New Roman"/>
                <w:kern w:val="0"/>
                <w:sz w:val="24"/>
                <w:szCs w:val="24"/>
                <w14:ligatures w14:val="none"/>
              </w:rPr>
              <w:t>启动工具</w:t>
            </w:r>
          </w:p>
          <w:p w14:paraId="6C191C8D">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Calibri" w:hAnsi="Calibri" w:eastAsia="宋体" w:cs="Times New Roman"/>
                <w:kern w:val="0"/>
                <w:sz w:val="24"/>
                <w:szCs w:val="24"/>
                <w14:ligatures w14:val="none"/>
              </w:rPr>
              <w:t>满足硫化物和硅</w:t>
            </w:r>
            <w:r>
              <w:rPr>
                <w:rFonts w:ascii="Calibri" w:hAnsi="Calibri" w:eastAsia="宋体" w:cs="Times New Roman"/>
                <w:kern w:val="0"/>
                <w:sz w:val="24"/>
                <w:szCs w:val="24"/>
                <w14:ligatures w14:val="none"/>
              </w:rPr>
              <w:t>/</w:t>
            </w:r>
            <w:r>
              <w:rPr>
                <w:rFonts w:hint="eastAsia" w:ascii="Calibri" w:hAnsi="Calibri" w:eastAsia="宋体" w:cs="Times New Roman"/>
                <w:kern w:val="0"/>
                <w:sz w:val="24"/>
                <w:szCs w:val="24"/>
                <w14:ligatures w14:val="none"/>
              </w:rPr>
              <w:t>铁分析所需的泵管各</w:t>
            </w:r>
            <w:r>
              <w:rPr>
                <w:rFonts w:ascii="Calibri" w:hAnsi="Calibri" w:eastAsia="宋体" w:cs="Times New Roman"/>
                <w:kern w:val="0"/>
                <w:sz w:val="24"/>
                <w:szCs w:val="24"/>
                <w14:ligatures w14:val="none"/>
              </w:rPr>
              <w:t>1</w:t>
            </w:r>
            <w:r>
              <w:rPr>
                <w:rFonts w:hint="eastAsia" w:ascii="Calibri" w:hAnsi="Calibri" w:eastAsia="宋体" w:cs="Times New Roman"/>
                <w:kern w:val="0"/>
                <w:sz w:val="24"/>
                <w:szCs w:val="24"/>
                <w14:ligatures w14:val="none"/>
              </w:rPr>
              <w:t>根，空气管</w:t>
            </w:r>
            <w:r>
              <w:rPr>
                <w:rFonts w:ascii="Calibri" w:hAnsi="Calibri" w:eastAsia="宋体" w:cs="Times New Roman"/>
                <w:kern w:val="0"/>
                <w:sz w:val="24"/>
                <w:szCs w:val="24"/>
                <w14:ligatures w14:val="none"/>
              </w:rPr>
              <w:t>1</w:t>
            </w:r>
            <w:r>
              <w:rPr>
                <w:rFonts w:hint="eastAsia" w:ascii="Calibri" w:hAnsi="Calibri" w:eastAsia="宋体" w:cs="Times New Roman"/>
                <w:kern w:val="0"/>
                <w:sz w:val="24"/>
                <w:szCs w:val="24"/>
                <w14:ligatures w14:val="none"/>
              </w:rPr>
              <w:t>套，连接件</w:t>
            </w:r>
            <w:r>
              <w:rPr>
                <w:rFonts w:ascii="Calibri" w:hAnsi="Calibri" w:eastAsia="宋体" w:cs="Times New Roman"/>
                <w:kern w:val="0"/>
                <w:sz w:val="24"/>
                <w:szCs w:val="24"/>
                <w14:ligatures w14:val="none"/>
              </w:rPr>
              <w:t>1</w:t>
            </w:r>
            <w:r>
              <w:rPr>
                <w:rFonts w:hint="eastAsia" w:ascii="Calibri" w:hAnsi="Calibri" w:eastAsia="宋体" w:cs="Times New Roman"/>
                <w:kern w:val="0"/>
                <w:sz w:val="24"/>
                <w:szCs w:val="24"/>
                <w14:ligatures w14:val="none"/>
              </w:rPr>
              <w:t>套，</w:t>
            </w:r>
            <w:r>
              <w:rPr>
                <w:rFonts w:ascii="Calibri" w:hAnsi="Calibri" w:eastAsia="宋体" w:cs="Times New Roman"/>
                <w:kern w:val="0"/>
                <w:sz w:val="24"/>
                <w:szCs w:val="24"/>
                <w14:ligatures w14:val="none"/>
              </w:rPr>
              <w:t>250mL</w:t>
            </w:r>
            <w:r>
              <w:rPr>
                <w:rFonts w:hint="eastAsia" w:ascii="Calibri" w:hAnsi="Calibri" w:eastAsia="宋体" w:cs="Times New Roman"/>
                <w:kern w:val="0"/>
                <w:sz w:val="24"/>
                <w:szCs w:val="24"/>
                <w14:ligatures w14:val="none"/>
              </w:rPr>
              <w:t>试剂瓶</w:t>
            </w:r>
            <w:r>
              <w:rPr>
                <w:rFonts w:ascii="Calibri" w:hAnsi="Calibri" w:eastAsia="宋体" w:cs="Times New Roman"/>
                <w:kern w:val="0"/>
                <w:sz w:val="24"/>
                <w:szCs w:val="24"/>
                <w14:ligatures w14:val="none"/>
              </w:rPr>
              <w:t>20</w:t>
            </w:r>
            <w:r>
              <w:rPr>
                <w:rFonts w:hint="eastAsia" w:ascii="Calibri" w:hAnsi="Calibri" w:eastAsia="宋体" w:cs="Times New Roman"/>
                <w:kern w:val="0"/>
                <w:sz w:val="24"/>
                <w:szCs w:val="24"/>
                <w14:ligatures w14:val="none"/>
              </w:rPr>
              <w:t>个，样品管</w:t>
            </w:r>
            <w:r>
              <w:rPr>
                <w:rFonts w:ascii="Calibri" w:hAnsi="Calibri" w:eastAsia="宋体" w:cs="Times New Roman"/>
                <w:kern w:val="0"/>
                <w:sz w:val="24"/>
                <w:szCs w:val="24"/>
                <w14:ligatures w14:val="none"/>
              </w:rPr>
              <w:t>1000</w:t>
            </w:r>
            <w:r>
              <w:rPr>
                <w:rFonts w:hint="eastAsia" w:ascii="Calibri" w:hAnsi="Calibri" w:eastAsia="宋体" w:cs="Times New Roman"/>
                <w:kern w:val="0"/>
                <w:sz w:val="24"/>
                <w:szCs w:val="24"/>
                <w14:ligatures w14:val="none"/>
              </w:rPr>
              <w:t>个</w:t>
            </w:r>
          </w:p>
        </w:tc>
        <w:tc>
          <w:tcPr>
            <w:tcW w:w="944" w:type="dxa"/>
            <w:tcBorders>
              <w:top w:val="single" w:color="auto" w:sz="4" w:space="0"/>
              <w:left w:val="single" w:color="auto" w:sz="4" w:space="0"/>
              <w:bottom w:val="single" w:color="auto" w:sz="4" w:space="0"/>
              <w:right w:val="single" w:color="auto" w:sz="4" w:space="0"/>
            </w:tcBorders>
            <w:vAlign w:val="center"/>
          </w:tcPr>
          <w:p w14:paraId="1A694C27">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549B429E">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2917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00B6711">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14:ligatures w14:val="none"/>
              </w:rPr>
              <w:t>10</w:t>
            </w:r>
          </w:p>
        </w:tc>
        <w:tc>
          <w:tcPr>
            <w:tcW w:w="5791" w:type="dxa"/>
            <w:tcBorders>
              <w:top w:val="single" w:color="auto" w:sz="4" w:space="0"/>
              <w:left w:val="single" w:color="auto" w:sz="4" w:space="0"/>
              <w:bottom w:val="single" w:color="auto" w:sz="4" w:space="0"/>
              <w:right w:val="single" w:color="auto" w:sz="4" w:space="0"/>
            </w:tcBorders>
          </w:tcPr>
          <w:p w14:paraId="407DB2D2">
            <w:pPr>
              <w:keepNext w:val="0"/>
              <w:pageBreakBefore w:val="0"/>
              <w:widowControl/>
              <w:kinsoku/>
              <w:wordWrap/>
              <w:overflowPunct/>
              <w:topLinePunct w:val="0"/>
              <w:bidi w:val="0"/>
              <w:spacing w:line="300" w:lineRule="auto"/>
              <w:textAlignment w:val="auto"/>
              <w:rPr>
                <w:rFonts w:ascii="Calibri" w:hAnsi="Calibri" w:eastAsia="宋体" w:cs="Times New Roman"/>
                <w:kern w:val="0"/>
                <w:sz w:val="24"/>
                <w:szCs w:val="24"/>
                <w14:ligatures w14:val="none"/>
              </w:rPr>
            </w:pPr>
            <w:r>
              <w:rPr>
                <w:rFonts w:hint="eastAsia" w:ascii="Calibri" w:hAnsi="Calibri" w:eastAsia="宋体" w:cs="Times New Roman"/>
                <w:kern w:val="0"/>
                <w:sz w:val="24"/>
                <w:szCs w:val="24"/>
                <w14:ligatures w14:val="none"/>
              </w:rPr>
              <w:t>仪器电脑：主机、显示器，符合配置要求</w:t>
            </w:r>
          </w:p>
        </w:tc>
        <w:tc>
          <w:tcPr>
            <w:tcW w:w="944" w:type="dxa"/>
            <w:tcBorders>
              <w:top w:val="single" w:color="auto" w:sz="4" w:space="0"/>
              <w:left w:val="single" w:color="auto" w:sz="4" w:space="0"/>
              <w:bottom w:val="single" w:color="auto" w:sz="4" w:space="0"/>
              <w:right w:val="single" w:color="auto" w:sz="4" w:space="0"/>
            </w:tcBorders>
            <w:vAlign w:val="center"/>
          </w:tcPr>
          <w:p w14:paraId="3141EC3F">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4910EB14">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5FF3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9718541">
            <w:pPr>
              <w:keepNext w:val="0"/>
              <w:pageBreakBefore w:val="0"/>
              <w:widowControl/>
              <w:kinsoku/>
              <w:wordWrap/>
              <w:overflowPunct/>
              <w:topLinePunct w:val="0"/>
              <w:bidi w:val="0"/>
              <w:spacing w:line="300" w:lineRule="auto"/>
              <w:jc w:val="center"/>
              <w:textAlignment w:val="auto"/>
              <w:rPr>
                <w:rFonts w:hint="default"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1</w:t>
            </w:r>
            <w:r>
              <w:rPr>
                <w:rFonts w:hint="eastAsia" w:ascii="宋体" w:hAnsi="宋体" w:eastAsia="宋体" w:cs="Times New Roman"/>
                <w:snapToGrid w:val="0"/>
                <w:kern w:val="0"/>
                <w:sz w:val="24"/>
                <w:szCs w:val="24"/>
                <w:lang w:val="en-US" w:eastAsia="zh-CN"/>
                <w14:ligatures w14:val="none"/>
              </w:rPr>
              <w:t>1</w:t>
            </w:r>
          </w:p>
        </w:tc>
        <w:tc>
          <w:tcPr>
            <w:tcW w:w="5791" w:type="dxa"/>
            <w:tcBorders>
              <w:top w:val="single" w:color="auto" w:sz="4" w:space="0"/>
              <w:left w:val="single" w:color="auto" w:sz="4" w:space="0"/>
              <w:bottom w:val="single" w:color="auto" w:sz="4" w:space="0"/>
              <w:right w:val="single" w:color="auto" w:sz="4" w:space="0"/>
            </w:tcBorders>
          </w:tcPr>
          <w:p w14:paraId="1312126A">
            <w:pPr>
              <w:keepNext w:val="0"/>
              <w:pageBreakBefore w:val="0"/>
              <w:widowControl/>
              <w:kinsoku/>
              <w:wordWrap/>
              <w:overflowPunct/>
              <w:topLinePunct w:val="0"/>
              <w:bidi w:val="0"/>
              <w:spacing w:line="300" w:lineRule="auto"/>
              <w:textAlignment w:val="auto"/>
              <w:rPr>
                <w:rFonts w:ascii="Calibri" w:hAnsi="Calibri" w:eastAsia="宋体" w:cs="Times New Roman"/>
                <w:kern w:val="0"/>
                <w:sz w:val="24"/>
                <w:szCs w:val="24"/>
                <w14:ligatures w14:val="none"/>
              </w:rPr>
            </w:pPr>
            <w:r>
              <w:rPr>
                <w:rFonts w:hint="eastAsia" w:ascii="Calibri" w:hAnsi="Calibri" w:eastAsia="宋体" w:cs="Times New Roman"/>
                <w:kern w:val="0"/>
                <w:sz w:val="24"/>
                <w:szCs w:val="24"/>
                <w14:ligatures w14:val="none"/>
              </w:rPr>
              <w:t>冷却水循环装置</w:t>
            </w:r>
          </w:p>
        </w:tc>
        <w:tc>
          <w:tcPr>
            <w:tcW w:w="944" w:type="dxa"/>
            <w:tcBorders>
              <w:top w:val="single" w:color="auto" w:sz="4" w:space="0"/>
              <w:left w:val="single" w:color="auto" w:sz="4" w:space="0"/>
              <w:bottom w:val="single" w:color="auto" w:sz="4" w:space="0"/>
              <w:right w:val="single" w:color="auto" w:sz="4" w:space="0"/>
            </w:tcBorders>
            <w:vAlign w:val="center"/>
          </w:tcPr>
          <w:p w14:paraId="37593377">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74183697">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7394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3848879">
            <w:pPr>
              <w:keepNext w:val="0"/>
              <w:pageBreakBefore w:val="0"/>
              <w:widowControl/>
              <w:kinsoku/>
              <w:wordWrap/>
              <w:overflowPunct/>
              <w:topLinePunct w:val="0"/>
              <w:bidi w:val="0"/>
              <w:spacing w:line="300" w:lineRule="auto"/>
              <w:jc w:val="center"/>
              <w:textAlignment w:val="auto"/>
              <w:rPr>
                <w:rFonts w:hint="default"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14:ligatures w14:val="none"/>
              </w:rPr>
              <w:t>12</w:t>
            </w:r>
          </w:p>
        </w:tc>
        <w:tc>
          <w:tcPr>
            <w:tcW w:w="5791" w:type="dxa"/>
            <w:tcBorders>
              <w:top w:val="single" w:color="auto" w:sz="4" w:space="0"/>
              <w:left w:val="single" w:color="auto" w:sz="4" w:space="0"/>
              <w:bottom w:val="single" w:color="auto" w:sz="4" w:space="0"/>
              <w:right w:val="single" w:color="auto" w:sz="4" w:space="0"/>
            </w:tcBorders>
          </w:tcPr>
          <w:p w14:paraId="6E746AD6">
            <w:pPr>
              <w:keepNext w:val="0"/>
              <w:pageBreakBefore w:val="0"/>
              <w:widowControl/>
              <w:kinsoku/>
              <w:wordWrap/>
              <w:overflowPunct/>
              <w:topLinePunct w:val="0"/>
              <w:bidi w:val="0"/>
              <w:spacing w:line="300" w:lineRule="auto"/>
              <w:textAlignment w:val="auto"/>
              <w:rPr>
                <w:rFonts w:ascii="Calibri" w:hAnsi="Calibri" w:eastAsia="宋体" w:cs="Times New Roman"/>
                <w:kern w:val="0"/>
                <w:sz w:val="24"/>
                <w:szCs w:val="24"/>
                <w14:ligatures w14:val="none"/>
              </w:rPr>
            </w:pPr>
            <w:r>
              <w:rPr>
                <w:rFonts w:hint="eastAsia" w:ascii="宋体" w:hAnsi="宋体" w:eastAsia="宋体" w:cs="Times New Roman"/>
                <w:kern w:val="0"/>
                <w:sz w:val="24"/>
                <w:szCs w:val="24"/>
                <w14:ligatures w14:val="none"/>
              </w:rPr>
              <w:t>硫化物、硅/铁标准溶液各1瓶</w:t>
            </w:r>
          </w:p>
        </w:tc>
        <w:tc>
          <w:tcPr>
            <w:tcW w:w="944" w:type="dxa"/>
            <w:tcBorders>
              <w:top w:val="single" w:color="auto" w:sz="4" w:space="0"/>
              <w:left w:val="single" w:color="auto" w:sz="4" w:space="0"/>
              <w:bottom w:val="single" w:color="auto" w:sz="4" w:space="0"/>
              <w:right w:val="single" w:color="auto" w:sz="4" w:space="0"/>
            </w:tcBorders>
            <w:vAlign w:val="center"/>
          </w:tcPr>
          <w:p w14:paraId="03338EA1">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6BF365C4">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5F35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0AB44143">
            <w:pPr>
              <w:keepNext w:val="0"/>
              <w:pageBreakBefore w:val="0"/>
              <w:widowControl/>
              <w:kinsoku/>
              <w:wordWrap/>
              <w:overflowPunct/>
              <w:topLinePunct w:val="0"/>
              <w:bidi w:val="0"/>
              <w:spacing w:line="300" w:lineRule="auto"/>
              <w:jc w:val="center"/>
              <w:textAlignment w:val="auto"/>
              <w:rPr>
                <w:rFonts w:hint="default" w:ascii="宋体" w:hAnsi="宋体" w:eastAsia="宋体" w:cs="Times New Roman"/>
                <w:snapToGrid w:val="0"/>
                <w:kern w:val="0"/>
                <w:sz w:val="24"/>
                <w:szCs w:val="24"/>
                <w:lang w:val="en-US" w:eastAsia="zh-CN"/>
                <w14:ligatures w14:val="none"/>
              </w:rPr>
            </w:pPr>
            <w:r>
              <w:rPr>
                <w:rFonts w:hint="eastAsia" w:ascii="宋体" w:hAnsi="宋体" w:eastAsia="宋体" w:cs="Times New Roman"/>
                <w:snapToGrid w:val="0"/>
                <w:kern w:val="0"/>
                <w:sz w:val="24"/>
                <w:szCs w:val="24"/>
                <w:lang w:val="en-US" w:eastAsia="zh-CN"/>
                <w14:ligatures w14:val="none"/>
              </w:rPr>
              <w:t>13</w:t>
            </w:r>
          </w:p>
        </w:tc>
        <w:tc>
          <w:tcPr>
            <w:tcW w:w="5791" w:type="dxa"/>
            <w:tcBorders>
              <w:top w:val="single" w:color="auto" w:sz="4" w:space="0"/>
              <w:left w:val="single" w:color="auto" w:sz="4" w:space="0"/>
              <w:bottom w:val="single" w:color="auto" w:sz="4" w:space="0"/>
              <w:right w:val="single" w:color="auto" w:sz="4" w:space="0"/>
            </w:tcBorders>
          </w:tcPr>
          <w:p w14:paraId="7F753B88">
            <w:pPr>
              <w:keepNext w:val="0"/>
              <w:pageBreakBefore w:val="0"/>
              <w:widowControl/>
              <w:kinsoku/>
              <w:wordWrap/>
              <w:overflowPunct/>
              <w:topLinePunct w:val="0"/>
              <w:bidi w:val="0"/>
              <w:spacing w:line="300" w:lineRule="auto"/>
              <w:textAlignment w:val="auto"/>
              <w:rPr>
                <w:rFonts w:hint="default" w:ascii="宋体" w:hAnsi="宋体" w:eastAsia="宋体" w:cs="Times New Roman"/>
                <w:kern w:val="0"/>
                <w:sz w:val="24"/>
                <w:szCs w:val="24"/>
                <w:lang w:val="en-US" w:eastAsia="zh-CN"/>
                <w14:ligatures w14:val="none"/>
              </w:rPr>
            </w:pPr>
            <w:r>
              <w:rPr>
                <w:rFonts w:hint="eastAsia" w:ascii="宋体" w:hAnsi="宋体" w:eastAsia="宋体" w:cs="Times New Roman"/>
                <w:kern w:val="0"/>
                <w:sz w:val="24"/>
                <w:szCs w:val="24"/>
                <w:lang w:val="en-US" w:eastAsia="zh-CN"/>
                <w14:ligatures w14:val="none"/>
              </w:rPr>
              <w:t>调试验收所需试剂</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251D7565">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560D6">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1</w:t>
            </w:r>
          </w:p>
        </w:tc>
      </w:tr>
    </w:tbl>
    <w:p w14:paraId="121D3052">
      <w:pPr>
        <w:keepNext w:val="0"/>
        <w:pageBreakBefore w:val="0"/>
        <w:widowControl/>
        <w:kinsoku/>
        <w:wordWrap/>
        <w:overflowPunct/>
        <w:topLinePunct w:val="0"/>
        <w:bidi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宋体-方正超大字符集"/>
          <w:b/>
          <w:kern w:val="0"/>
          <w:sz w:val="24"/>
          <w:szCs w:val="24"/>
          <w14:ligatures w14:val="none"/>
        </w:rPr>
        <w:t>4.备品备件</w:t>
      </w:r>
      <w:r>
        <w:rPr>
          <w:rFonts w:hint="eastAsia" w:ascii="宋体" w:hAnsi="宋体" w:eastAsia="宋体" w:cs="宋体-方正超大字符集"/>
          <w:b/>
          <w:kern w:val="0"/>
          <w:sz w:val="24"/>
          <w:szCs w:val="24"/>
          <w14:ligatures w14:val="none"/>
        </w:rPr>
        <w:tab/>
      </w:r>
    </w:p>
    <w:p w14:paraId="04D36B3F">
      <w:pPr>
        <w:keepNext w:val="0"/>
        <w:pageBreakBefore w:val="0"/>
        <w:widowControl/>
        <w:tabs>
          <w:tab w:val="left" w:pos="6030"/>
        </w:tabs>
        <w:kinsoku/>
        <w:wordWrap/>
        <w:overflowPunct/>
        <w:topLinePunct w:val="0"/>
        <w:bidi w:val="0"/>
        <w:adjustRightInd w:val="0"/>
        <w:snapToGrid w:val="0"/>
        <w:spacing w:line="300" w:lineRule="auto"/>
        <w:textAlignment w:val="auto"/>
        <w:rPr>
          <w:rFonts w:ascii="宋体" w:hAnsi="宋体" w:eastAsia="宋体" w:cs="宋体-方正超大字符集"/>
          <w:b/>
          <w:kern w:val="0"/>
          <w:sz w:val="24"/>
          <w:szCs w:val="24"/>
          <w14:ligatures w14:val="none"/>
        </w:rPr>
      </w:pPr>
      <w:r>
        <w:rPr>
          <w:rFonts w:hint="eastAsia" w:ascii="宋体" w:hAnsi="宋体" w:eastAsia="宋体" w:cs="宋体"/>
          <w:kern w:val="0"/>
          <w:sz w:val="24"/>
          <w:szCs w:val="24"/>
          <w14:ligatures w14:val="none"/>
        </w:rPr>
        <w:t>4.1 除随机标配的备品备件外，再提供以下备件：</w:t>
      </w:r>
      <w:r>
        <w:rPr>
          <w:rFonts w:hint="eastAsia" w:ascii="宋体" w:hAnsi="宋体" w:eastAsia="宋体" w:cs="宋体-方正超大字符集"/>
          <w:b/>
          <w:kern w:val="0"/>
          <w:sz w:val="24"/>
          <w:szCs w:val="24"/>
          <w14:ligatures w14:val="none"/>
        </w:rPr>
        <w:tab/>
      </w:r>
    </w:p>
    <w:p w14:paraId="3DC5FEDE">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bookmarkStart w:id="32" w:name="OLE_LINK6"/>
      <w:r>
        <w:rPr>
          <w:rFonts w:hint="eastAsia" w:ascii="宋体" w:hAnsi="宋体" w:eastAsia="宋体" w:cs="宋体"/>
          <w:kern w:val="0"/>
          <w:sz w:val="24"/>
          <w:szCs w:val="24"/>
          <w14:ligatures w14:val="none"/>
        </w:rPr>
        <w:t xml:space="preserve">4.1.1 </w:t>
      </w:r>
      <w:bookmarkStart w:id="33" w:name="OLE_LINK9"/>
      <w:r>
        <w:rPr>
          <w:rFonts w:hint="eastAsia" w:ascii="宋体" w:hAnsi="宋体" w:eastAsia="宋体" w:cs="宋体"/>
          <w:kern w:val="0"/>
          <w:sz w:val="24"/>
          <w:szCs w:val="24"/>
          <w14:ligatures w14:val="none"/>
        </w:rPr>
        <w:t>所需不同规格泵管：</w:t>
      </w:r>
      <w:r>
        <w:rPr>
          <w:rFonts w:hint="eastAsia" w:ascii="宋体" w:hAnsi="宋体" w:eastAsia="宋体" w:cs="宋体"/>
          <w:kern w:val="0"/>
          <w:sz w:val="24"/>
          <w:szCs w:val="24"/>
          <w:lang w:val="en-US" w:eastAsia="zh-CN"/>
          <w14:ligatures w14:val="none"/>
        </w:rPr>
        <w:t>至少满足</w:t>
      </w:r>
      <w:r>
        <w:rPr>
          <w:rFonts w:hint="eastAsia" w:ascii="宋体" w:hAnsi="宋体" w:eastAsia="宋体" w:cs="宋体"/>
          <w:kern w:val="0"/>
          <w:sz w:val="24"/>
          <w:szCs w:val="24"/>
          <w14:ligatures w14:val="none"/>
        </w:rPr>
        <w:t>各12根</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lang w:val="en-US" w:eastAsia="zh-CN"/>
          <w14:ligatures w14:val="none"/>
        </w:rPr>
        <w:t>至少满足</w:t>
      </w:r>
      <w:r>
        <w:rPr>
          <w:rFonts w:hint="eastAsia" w:ascii="宋体" w:hAnsi="宋体" w:eastAsia="宋体" w:cs="Times New Roman"/>
          <w:kern w:val="0"/>
          <w:sz w:val="24"/>
          <w:szCs w:val="24"/>
          <w14:ligatures w14:val="none"/>
        </w:rPr>
        <w:t>96根；</w:t>
      </w:r>
    </w:p>
    <w:bookmarkEnd w:id="33"/>
    <w:p w14:paraId="6FCF6037">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4.1.2 空气管：</w:t>
      </w:r>
      <w:r>
        <w:rPr>
          <w:rFonts w:hint="eastAsia" w:ascii="宋体" w:hAnsi="宋体" w:eastAsia="宋体" w:cs="Times New Roman"/>
          <w:snapToGrid w:val="0"/>
          <w:kern w:val="0"/>
          <w:sz w:val="24"/>
          <w:szCs w:val="24"/>
          <w14:ligatures w14:val="none"/>
        </w:rPr>
        <w:t>1套</w:t>
      </w:r>
      <w:r>
        <w:rPr>
          <w:rFonts w:hint="eastAsia" w:ascii="宋体" w:hAnsi="宋体" w:eastAsia="宋体" w:cs="Times New Roman"/>
          <w:kern w:val="0"/>
          <w:sz w:val="24"/>
          <w:szCs w:val="24"/>
          <w14:ligatures w14:val="none"/>
        </w:rPr>
        <w:t>；</w:t>
      </w:r>
    </w:p>
    <w:p w14:paraId="4DAC03CB">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highlight w:val="none"/>
          <w14:ligatures w14:val="none"/>
        </w:rPr>
      </w:pPr>
      <w:r>
        <w:rPr>
          <w:rFonts w:hint="eastAsia" w:ascii="宋体" w:hAnsi="宋体" w:eastAsia="宋体" w:cs="Times New Roman"/>
          <w:kern w:val="0"/>
          <w:sz w:val="24"/>
          <w:szCs w:val="24"/>
          <w:lang w:val="en-US" w:eastAsia="zh-CN"/>
          <w14:ligatures w14:val="none"/>
        </w:rPr>
        <w:t xml:space="preserve">4.1.3 </w:t>
      </w:r>
      <w:r>
        <w:rPr>
          <w:rFonts w:hint="eastAsia" w:ascii="Calibri" w:hAnsi="Calibri" w:eastAsia="宋体" w:cs="Times New Roman"/>
          <w:kern w:val="0"/>
          <w:sz w:val="24"/>
          <w:szCs w:val="24"/>
          <w:highlight w:val="none"/>
          <w:lang w:val="en-US" w:eastAsia="zh-CN"/>
          <w14:ligatures w14:val="none"/>
        </w:rPr>
        <w:t>铁</w:t>
      </w:r>
      <w:r>
        <w:rPr>
          <w:rFonts w:hint="eastAsia" w:ascii="Calibri" w:hAnsi="Calibri" w:eastAsia="宋体" w:cs="Times New Roman"/>
          <w:kern w:val="0"/>
          <w:sz w:val="24"/>
          <w:szCs w:val="24"/>
          <w:highlight w:val="none"/>
          <w14:ligatures w14:val="none"/>
        </w:rPr>
        <w:t>流通池</w:t>
      </w:r>
      <w:r>
        <w:rPr>
          <w:rFonts w:hint="eastAsia" w:ascii="Calibri" w:hAnsi="Calibri" w:eastAsia="宋体" w:cs="Times New Roman"/>
          <w:kern w:val="0"/>
          <w:sz w:val="24"/>
          <w:szCs w:val="24"/>
          <w:highlight w:val="none"/>
          <w:lang w:eastAsia="zh-CN"/>
          <w14:ligatures w14:val="none"/>
        </w:rPr>
        <w:t>、</w:t>
      </w:r>
      <w:r>
        <w:rPr>
          <w:rFonts w:hint="eastAsia" w:ascii="Calibri" w:hAnsi="Calibri" w:eastAsia="宋体" w:cs="Times New Roman"/>
          <w:kern w:val="0"/>
          <w:sz w:val="24"/>
          <w:szCs w:val="24"/>
          <w:highlight w:val="none"/>
          <w:lang w:val="en-US" w:eastAsia="zh-CN"/>
          <w14:ligatures w14:val="none"/>
        </w:rPr>
        <w:t>灯源、</w:t>
      </w:r>
      <w:r>
        <w:rPr>
          <w:rFonts w:hint="eastAsia" w:ascii="Calibri" w:hAnsi="Calibri" w:eastAsia="宋体" w:cs="Times New Roman"/>
          <w:kern w:val="0"/>
          <w:sz w:val="24"/>
          <w:szCs w:val="24"/>
          <w:highlight w:val="none"/>
          <w14:ligatures w14:val="none"/>
        </w:rPr>
        <w:t>滤光器</w:t>
      </w:r>
      <w:r>
        <w:rPr>
          <w:rFonts w:hint="eastAsia" w:ascii="Calibri" w:hAnsi="Calibri" w:eastAsia="宋体" w:cs="Times New Roman"/>
          <w:kern w:val="0"/>
          <w:sz w:val="24"/>
          <w:szCs w:val="24"/>
          <w:highlight w:val="none"/>
          <w:lang w:val="en-US" w:eastAsia="zh-CN"/>
          <w14:ligatures w14:val="none"/>
        </w:rPr>
        <w:t>及配套检测组件，</w:t>
      </w:r>
      <w:r>
        <w:rPr>
          <w:rFonts w:hint="eastAsia" w:ascii="宋体" w:hAnsi="宋体" w:eastAsia="宋体" w:cs="Times New Roman"/>
          <w:snapToGrid w:val="0"/>
          <w:kern w:val="0"/>
          <w:sz w:val="24"/>
          <w:szCs w:val="24"/>
          <w:highlight w:val="none"/>
          <w14:ligatures w14:val="none"/>
        </w:rPr>
        <w:t>1套</w:t>
      </w:r>
      <w:r>
        <w:rPr>
          <w:rFonts w:hint="eastAsia" w:ascii="宋体" w:hAnsi="宋体" w:eastAsia="宋体" w:cs="Times New Roman"/>
          <w:kern w:val="0"/>
          <w:sz w:val="24"/>
          <w:szCs w:val="24"/>
          <w:highlight w:val="none"/>
          <w14:ligatures w14:val="none"/>
        </w:rPr>
        <w:t>；</w:t>
      </w:r>
    </w:p>
    <w:p w14:paraId="01891D25">
      <w:pPr>
        <w:keepNext w:val="0"/>
        <w:pageBreakBefore w:val="0"/>
        <w:widowControl/>
        <w:kinsoku/>
        <w:wordWrap/>
        <w:overflowPunct/>
        <w:topLinePunct w:val="0"/>
        <w:bidi w:val="0"/>
        <w:adjustRightInd w:val="0"/>
        <w:snapToGrid w:val="0"/>
        <w:spacing w:line="300" w:lineRule="auto"/>
        <w:textAlignment w:val="auto"/>
        <w:rPr>
          <w:rFonts w:hint="default" w:ascii="宋体" w:hAnsi="宋体" w:eastAsia="宋体" w:cs="Times New Roman"/>
          <w:kern w:val="0"/>
          <w:sz w:val="24"/>
          <w:szCs w:val="24"/>
          <w:highlight w:val="none"/>
          <w:lang w:val="en-US" w:eastAsia="zh-CN"/>
          <w14:ligatures w14:val="none"/>
        </w:rPr>
      </w:pPr>
      <w:r>
        <w:rPr>
          <w:rFonts w:hint="eastAsia" w:ascii="宋体" w:hAnsi="宋体" w:eastAsia="宋体" w:cs="Times New Roman"/>
          <w:kern w:val="0"/>
          <w:sz w:val="24"/>
          <w:szCs w:val="24"/>
          <w:highlight w:val="none"/>
          <w:lang w:val="en-US" w:eastAsia="zh-CN"/>
          <w14:ligatures w14:val="none"/>
        </w:rPr>
        <w:t>4.1.4 采用卤素灯源，备件4个灯。</w:t>
      </w:r>
    </w:p>
    <w:bookmarkEnd w:id="32"/>
    <w:p w14:paraId="54AA309C">
      <w:pPr>
        <w:keepNext w:val="0"/>
        <w:pageBreakBefore w:val="0"/>
        <w:widowControl/>
        <w:kinsoku/>
        <w:wordWrap/>
        <w:overflowPunct/>
        <w:topLinePunct w:val="0"/>
        <w:bidi w:val="0"/>
        <w:adjustRightInd w:val="0"/>
        <w:snapToGrid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4.2 其它备件</w:t>
      </w:r>
      <w:r>
        <w:rPr>
          <w:rFonts w:hint="eastAsia" w:ascii="宋体" w:hAnsi="宋体" w:eastAsia="宋体" w:cs="Times New Roman"/>
          <w:kern w:val="0"/>
          <w:sz w:val="24"/>
          <w:szCs w:val="24"/>
          <w14:ligatures w14:val="none"/>
        </w:rPr>
        <w:t>：</w:t>
      </w:r>
    </w:p>
    <w:p w14:paraId="2017ABB6">
      <w:pPr>
        <w:keepNext w:val="0"/>
        <w:pageBreakBefore w:val="0"/>
        <w:widowControl/>
        <w:kinsoku/>
        <w:wordWrap/>
        <w:overflowPunct/>
        <w:topLinePunct w:val="0"/>
        <w:bidi w:val="0"/>
        <w:adjustRightInd w:val="0"/>
        <w:snapToGrid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4.2.1 其他易损件及耗品满足两年用量；</w:t>
      </w:r>
    </w:p>
    <w:p w14:paraId="47233331">
      <w:pPr>
        <w:keepNext w:val="0"/>
        <w:pageBreakBefore w:val="0"/>
        <w:widowControl/>
        <w:kinsoku/>
        <w:wordWrap/>
        <w:overflowPunct/>
        <w:topLinePunct w:val="0"/>
        <w:bidi w:val="0"/>
        <w:adjustRightInd w:val="0"/>
        <w:snapToGrid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4.2.2 仪器配套的工具包一套；</w:t>
      </w:r>
    </w:p>
    <w:p w14:paraId="2C6FC2FB">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b/>
          <w:kern w:val="0"/>
          <w:sz w:val="24"/>
          <w:szCs w:val="24"/>
          <w14:ligatures w14:val="none"/>
        </w:rPr>
      </w:pPr>
      <w:r>
        <w:rPr>
          <w:rFonts w:hint="eastAsia" w:ascii="宋体" w:hAnsi="宋体" w:eastAsia="宋体" w:cs="Times New Roman"/>
          <w:b/>
          <w:kern w:val="0"/>
          <w:sz w:val="24"/>
          <w:szCs w:val="24"/>
          <w14:ligatures w14:val="none"/>
        </w:rPr>
        <w:t>5.电脑配置</w:t>
      </w:r>
    </w:p>
    <w:p w14:paraId="353BB84D">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宋体" w:hAnsi="宋体" w:eastAsia="宋体" w:cs="Times New Roman"/>
          <w:kern w:val="0"/>
          <w:sz w:val="24"/>
          <w:szCs w:val="24"/>
          <w14:ligatures w14:val="none"/>
        </w:rPr>
        <w:t>5.1</w:t>
      </w:r>
      <w:r>
        <w:rPr>
          <w:rFonts w:hint="eastAsia" w:asciiTheme="minorEastAsia" w:hAnsiTheme="minorEastAsia"/>
        </w:rPr>
        <w:t xml:space="preserve">整机品牌商用台式电脑；配置不低于：CPU  </w:t>
      </w:r>
      <w:r>
        <w:rPr>
          <w:rFonts w:asciiTheme="minorEastAsia" w:hAnsiTheme="minorEastAsia"/>
        </w:rPr>
        <w:t>intel</w:t>
      </w:r>
      <w:r>
        <w:rPr>
          <w:rFonts w:hint="eastAsia" w:asciiTheme="minorEastAsia" w:hAnsiTheme="minorEastAsia"/>
        </w:rPr>
        <w:t>十四代</w:t>
      </w:r>
      <w:r>
        <w:rPr>
          <w:rFonts w:asciiTheme="minorEastAsia" w:hAnsiTheme="minorEastAsia"/>
        </w:rPr>
        <w:t>i7</w:t>
      </w:r>
      <w:r>
        <w:rPr>
          <w:rFonts w:hint="eastAsia" w:asciiTheme="minorEastAsia" w:hAnsiTheme="minorEastAsia"/>
        </w:rPr>
        <w:t xml:space="preserve"> 1</w:t>
      </w:r>
      <w:r>
        <w:rPr>
          <w:rFonts w:asciiTheme="minorEastAsia" w:hAnsiTheme="minorEastAsia"/>
        </w:rPr>
        <w:t>4</w:t>
      </w:r>
      <w:r>
        <w:rPr>
          <w:rFonts w:hint="eastAsia" w:asciiTheme="minorEastAsia" w:hAnsiTheme="minorEastAsia"/>
        </w:rPr>
        <w:t>700；</w:t>
      </w:r>
      <w:r>
        <w:rPr>
          <w:rFonts w:asciiTheme="minorEastAsia" w:hAnsiTheme="minorEastAsia"/>
        </w:rPr>
        <w:t>512</w:t>
      </w:r>
      <w:r>
        <w:rPr>
          <w:rFonts w:hint="eastAsia" w:asciiTheme="minorEastAsia" w:hAnsiTheme="minorEastAsia"/>
        </w:rPr>
        <w:t>SSD</w:t>
      </w:r>
      <w:r>
        <w:rPr>
          <w:rFonts w:asciiTheme="minorEastAsia" w:hAnsiTheme="minorEastAsia"/>
        </w:rPr>
        <w:t>+</w:t>
      </w:r>
      <w:r>
        <w:rPr>
          <w:rFonts w:hint="eastAsia" w:asciiTheme="minorEastAsia" w:hAnsiTheme="minorEastAsia"/>
        </w:rPr>
        <w:t>1T的硬盘；32G</w:t>
      </w:r>
      <w:r>
        <w:rPr>
          <w:rFonts w:asciiTheme="minorEastAsia" w:hAnsiTheme="minorEastAsia"/>
        </w:rPr>
        <w:t xml:space="preserve"> </w:t>
      </w:r>
      <w:r>
        <w:rPr>
          <w:rFonts w:hint="eastAsia" w:asciiTheme="minorEastAsia" w:hAnsiTheme="minorEastAsia"/>
        </w:rPr>
        <w:t>D</w:t>
      </w:r>
      <w:r>
        <w:rPr>
          <w:rFonts w:asciiTheme="minorEastAsia" w:hAnsiTheme="minorEastAsia"/>
        </w:rPr>
        <w:t>DR5</w:t>
      </w:r>
      <w:r>
        <w:rPr>
          <w:rFonts w:hint="eastAsia" w:asciiTheme="minorEastAsia" w:hAnsiTheme="minorEastAsia"/>
        </w:rPr>
        <w:t>内存；</w:t>
      </w:r>
      <w:r>
        <w:rPr>
          <w:rFonts w:hint="eastAsia" w:asciiTheme="minorEastAsia" w:hAnsiTheme="minorEastAsia"/>
          <w:lang w:val="en-US" w:eastAsia="zh-CN"/>
        </w:rPr>
        <w:t>同品牌</w:t>
      </w:r>
      <w:r>
        <w:rPr>
          <w:rFonts w:asciiTheme="minorEastAsia" w:hAnsiTheme="minorEastAsia"/>
        </w:rPr>
        <w:t>23</w:t>
      </w:r>
      <w:r>
        <w:rPr>
          <w:rFonts w:hint="eastAsia" w:asciiTheme="minorEastAsia" w:hAnsiTheme="minorEastAsia"/>
        </w:rPr>
        <w:t>寸宽屏液晶显示器；独立显卡4G；100/1000Mbps有线及无线双网卡；光驱；标准鼠标和键盘。机箱容积不小于17L</w:t>
      </w:r>
      <w:r>
        <w:rPr>
          <w:rFonts w:hint="eastAsia" w:ascii="宋体" w:hAnsi="宋体" w:cs="宋体"/>
          <w:color w:val="000000" w:themeColor="text1"/>
          <w:sz w:val="24"/>
          <w:szCs w:val="24"/>
          <w:highlight w:val="none"/>
          <w:lang w:val="de-DE" w:eastAsia="zh-CN"/>
          <w14:textFill>
            <w14:solidFill>
              <w14:schemeClr w14:val="tx1"/>
            </w14:solidFill>
          </w14:textFill>
        </w:rPr>
        <w:t>并带机箱散热风扇</w:t>
      </w:r>
      <w:r>
        <w:rPr>
          <w:rFonts w:hint="eastAsia" w:asciiTheme="minorEastAsia" w:hAnsiTheme="minorEastAsia"/>
        </w:rPr>
        <w:t>。有满足与仪器联接的接口。若仪器与计算机以LAN接口通讯，则电脑主机需带2个网卡。预装正版Windows 11专业版64位操作系统和应用软件。</w:t>
      </w:r>
    </w:p>
    <w:p w14:paraId="04B39DD5">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Theme="minorEastAsia" w:hAnsiTheme="minorEastAsia"/>
        </w:rPr>
        <w:t>5</w:t>
      </w:r>
      <w:r>
        <w:rPr>
          <w:rFonts w:asciiTheme="minorEastAsia" w:hAnsiTheme="minorEastAsia"/>
        </w:rPr>
        <w:t xml:space="preserve">.2 </w:t>
      </w:r>
      <w:r>
        <w:rPr>
          <w:rFonts w:hint="eastAsia" w:asciiTheme="minorEastAsia" w:hAnsiTheme="minorEastAsia"/>
        </w:rPr>
        <w:t>配置五口千兆钢壳交换机1台及5米CAT6类RJ45网线2条。</w:t>
      </w:r>
    </w:p>
    <w:p w14:paraId="1D2EAE8E">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b/>
          <w:kern w:val="0"/>
          <w:sz w:val="24"/>
          <w:szCs w:val="24"/>
          <w14:ligatures w14:val="none"/>
        </w:rPr>
      </w:pPr>
      <w:r>
        <w:rPr>
          <w:rFonts w:hint="eastAsia" w:ascii="宋体" w:hAnsi="宋体" w:eastAsia="宋体" w:cs="Times New Roman"/>
          <w:b/>
          <w:kern w:val="0"/>
          <w:sz w:val="24"/>
          <w:szCs w:val="24"/>
          <w14:ligatures w14:val="none"/>
        </w:rPr>
        <w:t>6.业绩证明</w:t>
      </w:r>
    </w:p>
    <w:p w14:paraId="22EB32CA">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自2023年1月1日起至今（以合同签订时间为准）该仪器在国内实验室不少于30台的业绩，并标明设备名称、数量、用户名称、相关联系人及电话号码，并提供业绩证明(证明其销售业绩的合同复印件或中标公告，并由投标人代表签字或盖章)。</w:t>
      </w:r>
    </w:p>
    <w:p w14:paraId="56C7D7AA">
      <w:pPr>
        <w:keepNext w:val="0"/>
        <w:pageBreakBefore w:val="0"/>
        <w:widowControl/>
        <w:kinsoku/>
        <w:wordWrap/>
        <w:overflowPunct/>
        <w:topLinePunct w:val="0"/>
        <w:bidi w:val="0"/>
        <w:spacing w:line="300" w:lineRule="auto"/>
        <w:textAlignment w:val="auto"/>
        <w:rPr>
          <w:rFonts w:hint="eastAsia" w:cs="Arial" w:asciiTheme="minorEastAsia" w:hAnsiTheme="minorEastAsia"/>
          <w:b/>
          <w:color w:val="C00000"/>
          <w:lang w:val="en-US" w:eastAsia="zh-CN"/>
        </w:rPr>
      </w:pPr>
    </w:p>
    <w:p w14:paraId="27142A0F">
      <w:pPr>
        <w:keepNext w:val="0"/>
        <w:pageBreakBefore w:val="0"/>
        <w:widowControl/>
        <w:kinsoku/>
        <w:wordWrap/>
        <w:overflowPunct/>
        <w:topLinePunct w:val="0"/>
        <w:bidi w:val="0"/>
        <w:spacing w:line="300" w:lineRule="auto"/>
        <w:textAlignment w:val="auto"/>
        <w:rPr>
          <w:rFonts w:ascii="宋体" w:hAnsi="宋体" w:eastAsia="宋体" w:cs="Arial"/>
          <w:b/>
          <w:color w:val="C00000"/>
          <w:kern w:val="0"/>
          <w:sz w:val="24"/>
          <w:szCs w:val="24"/>
          <w14:ligatures w14:val="none"/>
        </w:rPr>
      </w:pPr>
      <w:r>
        <w:rPr>
          <w:rFonts w:hint="eastAsia" w:cs="Arial" w:asciiTheme="minorEastAsia" w:hAnsiTheme="minorEastAsia"/>
          <w:b/>
          <w:color w:val="C00000"/>
          <w:lang w:val="en-US" w:eastAsia="zh-CN"/>
        </w:rPr>
        <w:t>二</w:t>
      </w:r>
      <w:r>
        <w:rPr>
          <w:rFonts w:cs="Arial" w:asciiTheme="minorEastAsia" w:hAnsiTheme="minorEastAsia"/>
          <w:b/>
          <w:color w:val="C00000"/>
        </w:rPr>
        <w:t>、</w:t>
      </w:r>
      <w:r>
        <w:rPr>
          <w:rFonts w:hint="eastAsia" w:ascii="宋体" w:hAnsi="宋体"/>
          <w:b/>
          <w:color w:val="C00000"/>
          <w:highlight w:val="none"/>
          <w:lang w:val="en-US" w:eastAsia="zh-CN"/>
        </w:rPr>
        <w:t>连续流动分析仪测正磷、总磷、硅</w:t>
      </w:r>
      <w:r>
        <w:rPr>
          <w:rFonts w:hint="eastAsia" w:ascii="宋体" w:hAnsi="宋体" w:eastAsia="宋体" w:cs="Arial"/>
          <w:b/>
          <w:bCs/>
          <w:color w:val="C00000"/>
          <w:sz w:val="24"/>
          <w:szCs w:val="24"/>
        </w:rPr>
        <w:t>(1台)</w:t>
      </w:r>
    </w:p>
    <w:p w14:paraId="09C69015">
      <w:pPr>
        <w:keepNext w:val="0"/>
        <w:pageBreakBefore w:val="0"/>
        <w:widowControl/>
        <w:kinsoku/>
        <w:wordWrap/>
        <w:overflowPunct/>
        <w:topLinePunct w:val="0"/>
        <w:bidi w:val="0"/>
        <w:spacing w:line="300" w:lineRule="auto"/>
        <w:textAlignment w:val="auto"/>
        <w:rPr>
          <w:rFonts w:ascii="宋体" w:hAnsi="宋体" w:eastAsia="宋体" w:cs="Times New Roman"/>
          <w:b/>
          <w:kern w:val="0"/>
          <w:sz w:val="24"/>
          <w:szCs w:val="24"/>
          <w14:ligatures w14:val="none"/>
        </w:rPr>
      </w:pPr>
      <w:r>
        <w:rPr>
          <w:rFonts w:hint="eastAsia" w:ascii="宋体" w:hAnsi="宋体" w:eastAsia="宋体" w:cs="Times New Roman"/>
          <w:b/>
          <w:kern w:val="0"/>
          <w:sz w:val="24"/>
          <w:szCs w:val="24"/>
          <w14:ligatures w14:val="none"/>
        </w:rPr>
        <w:t>1.仪器技术指标和性能特点要求</w:t>
      </w:r>
    </w:p>
    <w:p w14:paraId="4CC1FDF3">
      <w:pPr>
        <w:keepNext w:val="0"/>
        <w:pageBreakBefore w:val="0"/>
        <w:widowControl/>
        <w:kinsoku/>
        <w:wordWrap/>
        <w:overflowPunct/>
        <w:topLinePunct w:val="0"/>
        <w:bidi w:val="0"/>
        <w:spacing w:line="300" w:lineRule="auto"/>
        <w:textAlignment w:val="auto"/>
        <w:rPr>
          <w:rFonts w:ascii="宋体" w:hAnsi="宋体" w:eastAsia="宋体" w:cs="Times New Roman"/>
          <w:b/>
          <w:bCs/>
          <w:snapToGrid w:val="0"/>
          <w:kern w:val="0"/>
          <w:sz w:val="24"/>
          <w:szCs w:val="24"/>
          <w14:ligatures w14:val="none"/>
        </w:rPr>
      </w:pPr>
      <w:r>
        <w:rPr>
          <w:rFonts w:hint="eastAsia" w:ascii="宋体" w:hAnsi="宋体" w:eastAsia="宋体" w:cs="Times New Roman"/>
          <w:b/>
          <w:bCs/>
          <w:snapToGrid w:val="0"/>
          <w:kern w:val="0"/>
          <w:sz w:val="24"/>
          <w:szCs w:val="24"/>
          <w14:ligatures w14:val="none"/>
        </w:rPr>
        <w:t>1.1安装条件要求：</w:t>
      </w:r>
    </w:p>
    <w:p w14:paraId="67D2E0B9">
      <w:pPr>
        <w:keepNext w:val="0"/>
        <w:pageBreakBefore w:val="0"/>
        <w:widowControl/>
        <w:kinsoku/>
        <w:wordWrap/>
        <w:overflowPunct/>
        <w:topLinePunct w:val="0"/>
        <w:bidi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1.1.1电源符合要求：100V～240V，频率：50Hz</w:t>
      </w:r>
    </w:p>
    <w:p w14:paraId="77CA71B1">
      <w:pPr>
        <w:keepNext w:val="0"/>
        <w:pageBreakBefore w:val="0"/>
        <w:widowControl/>
        <w:kinsoku/>
        <w:wordWrap/>
        <w:overflowPunct/>
        <w:topLinePunct w:val="0"/>
        <w:bidi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1.1.2适用环境温度要求：10</w:t>
      </w:r>
      <w:r>
        <w:rPr>
          <w:rFonts w:ascii="Times New Roman" w:hAnsi="Times New Roman" w:eastAsia="宋体" w:cs="Times New Roman"/>
          <w:kern w:val="0"/>
          <w:sz w:val="24"/>
          <w:szCs w:val="24"/>
          <w14:ligatures w14:val="none"/>
        </w:rPr>
        <w:t>˚</w:t>
      </w:r>
      <w:r>
        <w:rPr>
          <w:rFonts w:hint="eastAsia" w:ascii="宋体" w:hAnsi="宋体" w:eastAsia="宋体" w:cs="宋体"/>
          <w:kern w:val="0"/>
          <w:sz w:val="24"/>
          <w:szCs w:val="24"/>
          <w14:ligatures w14:val="none"/>
        </w:rPr>
        <w:t>C～35</w:t>
      </w:r>
      <w:r>
        <w:rPr>
          <w:rFonts w:ascii="Times New Roman" w:hAnsi="Times New Roman" w:eastAsia="宋体" w:cs="Times New Roman"/>
          <w:kern w:val="0"/>
          <w:sz w:val="24"/>
          <w:szCs w:val="24"/>
          <w14:ligatures w14:val="none"/>
        </w:rPr>
        <w:t>˚</w:t>
      </w:r>
      <w:r>
        <w:rPr>
          <w:rFonts w:hint="eastAsia" w:ascii="宋体" w:hAnsi="宋体" w:eastAsia="宋体" w:cs="宋体"/>
          <w:kern w:val="0"/>
          <w:sz w:val="24"/>
          <w:szCs w:val="24"/>
          <w14:ligatures w14:val="none"/>
        </w:rPr>
        <w:t>C</w:t>
      </w:r>
    </w:p>
    <w:p w14:paraId="45B0E7D0">
      <w:pPr>
        <w:keepNext w:val="0"/>
        <w:pageBreakBefore w:val="0"/>
        <w:widowControl/>
        <w:kinsoku/>
        <w:wordWrap/>
        <w:overflowPunct/>
        <w:topLinePunct w:val="0"/>
        <w:bidi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1.1.3适用环境湿度要求：5%RH～85%RH </w:t>
      </w:r>
    </w:p>
    <w:p w14:paraId="772DB00A">
      <w:pPr>
        <w:keepNext w:val="0"/>
        <w:pageBreakBefore w:val="0"/>
        <w:widowControl/>
        <w:kinsoku/>
        <w:wordWrap/>
        <w:overflowPunct/>
        <w:topLinePunct w:val="0"/>
        <w:bidi w:val="0"/>
        <w:spacing w:line="300" w:lineRule="auto"/>
        <w:textAlignment w:val="auto"/>
        <w:rPr>
          <w:rFonts w:ascii="宋体" w:hAnsi="宋体" w:eastAsia="宋体" w:cs="Times New Roman"/>
          <w:b/>
          <w:kern w:val="0"/>
          <w:sz w:val="24"/>
          <w:szCs w:val="24"/>
          <w14:ligatures w14:val="none"/>
        </w:rPr>
      </w:pPr>
      <w:r>
        <w:rPr>
          <w:rFonts w:hint="eastAsia" w:ascii="宋体" w:hAnsi="宋体" w:eastAsia="宋体" w:cs="Times New Roman"/>
          <w:b/>
          <w:bCs/>
          <w:snapToGrid w:val="0"/>
          <w:kern w:val="0"/>
          <w:sz w:val="24"/>
          <w:szCs w:val="24"/>
          <w14:ligatures w14:val="none"/>
        </w:rPr>
        <w:t>1.2</w:t>
      </w:r>
      <w:r>
        <w:rPr>
          <w:rFonts w:hint="eastAsia" w:ascii="宋体" w:hAnsi="宋体" w:eastAsia="宋体" w:cs="宋体"/>
          <w:b/>
          <w:kern w:val="0"/>
          <w:sz w:val="24"/>
          <w:szCs w:val="24"/>
          <w14:ligatures w14:val="none"/>
        </w:rPr>
        <w:t>主机及整体性能</w:t>
      </w:r>
    </w:p>
    <w:p w14:paraId="4C74BE38">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1.2.1</w:t>
      </w:r>
      <w:r>
        <w:rPr>
          <w:rFonts w:hint="eastAsia" w:ascii="Calibri" w:hAnsi="Calibri" w:eastAsia="宋体" w:cs="Times New Roman"/>
          <w:kern w:val="0"/>
          <w:sz w:val="24"/>
          <w:szCs w:val="24"/>
          <w14:ligatures w14:val="none"/>
        </w:rPr>
        <w:t>仪器采用稳态反应的气泡间隔的流动分析反应原理（SFA），样品和试剂吸入管路后，全程使用气泡隔断的方式进行，无需对样品和试剂进行除气泡和过滤处理。主要含自动进样器、高精度蠕动泵、化学分析模块、总磷紫外消解</w:t>
      </w:r>
      <w:r>
        <w:rPr>
          <w:rFonts w:hint="eastAsia" w:ascii="Calibri" w:hAnsi="Calibri" w:eastAsia="宋体" w:cs="Times New Roman"/>
          <w:kern w:val="0"/>
          <w:sz w:val="24"/>
          <w:szCs w:val="24"/>
          <w:lang w:eastAsia="zh-CN"/>
          <w14:ligatures w14:val="none"/>
        </w:rPr>
        <w:t>、</w:t>
      </w:r>
      <w:r>
        <w:rPr>
          <w:rFonts w:hint="eastAsia" w:ascii="Calibri" w:hAnsi="Calibri" w:eastAsia="宋体" w:cs="Times New Roman"/>
          <w:kern w:val="0"/>
          <w:sz w:val="24"/>
          <w:szCs w:val="24"/>
          <w14:ligatures w14:val="none"/>
        </w:rPr>
        <w:t>1</w:t>
      </w:r>
      <w:r>
        <w:rPr>
          <w:rFonts w:hint="eastAsia" w:ascii="Calibri" w:hAnsi="Calibri" w:eastAsia="宋体" w:cs="Times New Roman"/>
          <w:kern w:val="0"/>
          <w:sz w:val="24"/>
          <w:szCs w:val="24"/>
          <w:lang w:val="en-US" w:eastAsia="zh-CN"/>
          <w14:ligatures w14:val="none"/>
        </w:rPr>
        <w:t>07</w:t>
      </w:r>
      <w:r>
        <w:rPr>
          <w:rFonts w:hint="eastAsia" w:ascii="宋体" w:hAnsi="宋体" w:eastAsia="宋体" w:cs="Times New Roman"/>
          <w:kern w:val="0"/>
          <w:sz w:val="24"/>
          <w:szCs w:val="24"/>
          <w14:ligatures w14:val="none"/>
        </w:rPr>
        <w:t>℃</w:t>
      </w:r>
      <w:r>
        <w:rPr>
          <w:rFonts w:hint="eastAsia" w:ascii="Calibri" w:hAnsi="Calibri" w:eastAsia="宋体" w:cs="Times New Roman"/>
          <w:kern w:val="0"/>
          <w:sz w:val="24"/>
          <w:szCs w:val="24"/>
          <w14:ligatures w14:val="none"/>
        </w:rPr>
        <w:t>高温</w:t>
      </w:r>
      <w:r>
        <w:rPr>
          <w:rFonts w:hint="eastAsia" w:ascii="Calibri" w:hAnsi="Calibri" w:eastAsia="宋体" w:cs="Times New Roman"/>
          <w:kern w:val="0"/>
          <w:sz w:val="24"/>
          <w:szCs w:val="24"/>
          <w:lang w:val="en-US" w:eastAsia="zh-CN"/>
          <w14:ligatures w14:val="none"/>
        </w:rPr>
        <w:t>高</w:t>
      </w:r>
      <w:r>
        <w:rPr>
          <w:rFonts w:hint="eastAsia" w:ascii="Calibri" w:hAnsi="Calibri" w:eastAsia="宋体" w:cs="Times New Roman"/>
          <w:kern w:val="0"/>
          <w:sz w:val="24"/>
          <w:szCs w:val="24"/>
          <w14:ligatures w14:val="none"/>
        </w:rPr>
        <w:t>压消解模块、分光比色模块、</w:t>
      </w:r>
      <w:r>
        <w:rPr>
          <w:rFonts w:hint="eastAsia" w:ascii="宋体" w:hAnsi="宋体" w:eastAsia="宋体" w:cs="Times New Roman"/>
          <w:kern w:val="0"/>
          <w:sz w:val="24"/>
          <w:szCs w:val="24"/>
          <w14:ligatures w14:val="none"/>
        </w:rPr>
        <w:t>硅和磷独立检测通道、</w:t>
      </w:r>
      <w:r>
        <w:rPr>
          <w:rFonts w:hint="eastAsia" w:ascii="Calibri" w:hAnsi="Calibri" w:eastAsia="宋体" w:cs="Times New Roman"/>
          <w:kern w:val="0"/>
          <w:sz w:val="24"/>
          <w:szCs w:val="24"/>
          <w14:ligatures w14:val="none"/>
        </w:rPr>
        <w:t>数据处理工作站等。</w:t>
      </w:r>
    </w:p>
    <w:p w14:paraId="36EA5A66">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1.2.2 测试项目及指标：</w:t>
      </w:r>
    </w:p>
    <w:p w14:paraId="090352CB">
      <w:pPr>
        <w:keepNext w:val="0"/>
        <w:pageBreakBefore w:val="0"/>
        <w:widowControl/>
        <w:kinsoku/>
        <w:wordWrap/>
        <w:overflowPunct/>
        <w:topLinePunct w:val="0"/>
        <w:bidi w:val="0"/>
        <w:spacing w:line="300" w:lineRule="auto"/>
        <w:textAlignment w:val="auto"/>
        <w:rPr>
          <w:rFonts w:hint="default" w:ascii="宋体" w:hAnsi="宋体" w:eastAsia="宋体" w:cs="Times New Roman"/>
          <w:snapToGrid w:val="0"/>
          <w:kern w:val="0"/>
          <w:sz w:val="24"/>
          <w:szCs w:val="24"/>
          <w:lang w:val="en-US" w:eastAsia="zh-CN"/>
          <w14:ligatures w14:val="none"/>
        </w:rPr>
      </w:pPr>
      <w:r>
        <w:rPr>
          <w:rFonts w:hint="eastAsia" w:ascii="宋体" w:hAnsi="宋体" w:eastAsia="宋体" w:cs="Times New Roman"/>
          <w:snapToGrid w:val="0"/>
          <w:kern w:val="0"/>
          <w:sz w:val="24"/>
          <w:szCs w:val="24"/>
          <w14:ligatures w14:val="none"/>
        </w:rPr>
        <w:t>1.2.2.1 正磷</w:t>
      </w:r>
      <w:r>
        <w:rPr>
          <w:rFonts w:hint="eastAsia" w:ascii="宋体" w:hAnsi="宋体" w:eastAsia="宋体" w:cs="Times New Roman"/>
          <w:snapToGrid w:val="0"/>
          <w:kern w:val="0"/>
          <w:sz w:val="24"/>
          <w:szCs w:val="24"/>
          <w:lang w:val="en-US" w:eastAsia="zh-CN"/>
          <w14:ligatures w14:val="none"/>
        </w:rPr>
        <w:t>/总磷酸盐</w:t>
      </w:r>
      <w:r>
        <w:rPr>
          <w:rFonts w:hint="eastAsia" w:ascii="宋体" w:hAnsi="宋体" w:eastAsia="宋体" w:cs="Times New Roman"/>
          <w:snapToGrid w:val="0"/>
          <w:kern w:val="0"/>
          <w:sz w:val="24"/>
          <w:szCs w:val="24"/>
          <w14:ligatures w14:val="none"/>
        </w:rPr>
        <w:t>：</w:t>
      </w:r>
      <w:r>
        <w:rPr>
          <w:rFonts w:hint="eastAsia" w:ascii="宋体" w:hAnsi="宋体" w:eastAsia="宋体" w:cs="Times New Roman"/>
          <w:snapToGrid w:val="0"/>
          <w:kern w:val="0"/>
          <w:sz w:val="24"/>
          <w:szCs w:val="24"/>
          <w:lang w:val="en-US" w:eastAsia="zh-CN"/>
          <w14:ligatures w14:val="none"/>
        </w:rPr>
        <w:t>采用</w:t>
      </w:r>
      <w:r>
        <w:rPr>
          <w:rFonts w:hint="eastAsia" w:ascii="宋体" w:hAnsi="宋体" w:eastAsia="宋体" w:cs="Times New Roman"/>
          <w:kern w:val="0"/>
          <w:sz w:val="24"/>
          <w:szCs w:val="24"/>
          <w14:ligatures w14:val="none"/>
        </w:rPr>
        <w:t>《GB/T 6913-2023锅炉用水和冷却水分析方法磷酸盐的测定》</w:t>
      </w:r>
      <w:r>
        <w:rPr>
          <w:rFonts w:hint="eastAsia" w:ascii="宋体" w:hAnsi="宋体" w:eastAsia="宋体" w:cs="Times New Roman"/>
          <w:snapToGrid w:val="0"/>
          <w:kern w:val="0"/>
          <w:sz w:val="24"/>
          <w:szCs w:val="24"/>
          <w:lang w:val="en-US" w:eastAsia="zh-CN"/>
          <w14:ligatures w14:val="none"/>
        </w:rPr>
        <w:t>磷钼蓝法检测</w:t>
      </w:r>
    </w:p>
    <w:p w14:paraId="649A4895">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highlight w:val="none"/>
          <w14:ligatures w14:val="none"/>
        </w:rPr>
      </w:pPr>
      <w:r>
        <w:rPr>
          <w:rFonts w:hint="eastAsia" w:ascii="宋体" w:hAnsi="宋体" w:eastAsia="宋体" w:cs="Times New Roman"/>
          <w:kern w:val="0"/>
          <w:sz w:val="24"/>
          <w:szCs w:val="24"/>
          <w14:ligatures w14:val="none"/>
        </w:rPr>
        <w:t>直接测定检测范围</w:t>
      </w:r>
      <w:r>
        <w:rPr>
          <w:rFonts w:hint="eastAsia" w:ascii="宋体" w:hAnsi="宋体" w:eastAsia="宋体" w:cs="Times New Roman"/>
          <w:kern w:val="0"/>
          <w:sz w:val="24"/>
          <w:szCs w:val="24"/>
          <w:highlight w:val="none"/>
          <w14:ligatures w14:val="none"/>
        </w:rPr>
        <w:t>：</w:t>
      </w:r>
      <w:r>
        <w:rPr>
          <w:rFonts w:hint="eastAsia" w:ascii="宋体" w:hAnsi="宋体" w:eastAsia="宋体" w:cs="Times New Roman"/>
          <w:snapToGrid w:val="0"/>
          <w:kern w:val="0"/>
          <w:sz w:val="24"/>
          <w:szCs w:val="24"/>
          <w:highlight w:val="none"/>
          <w14:ligatures w14:val="none"/>
        </w:rPr>
        <w:t>0.</w:t>
      </w:r>
      <w:r>
        <w:rPr>
          <w:rFonts w:hint="eastAsia" w:ascii="宋体" w:hAnsi="宋体" w:eastAsia="宋体" w:cs="Times New Roman"/>
          <w:snapToGrid w:val="0"/>
          <w:kern w:val="0"/>
          <w:sz w:val="24"/>
          <w:szCs w:val="24"/>
          <w:highlight w:val="none"/>
          <w:lang w:val="en-US" w:eastAsia="zh-CN"/>
          <w14:ligatures w14:val="none"/>
        </w:rPr>
        <w:t>1</w:t>
      </w:r>
      <w:r>
        <w:rPr>
          <w:rFonts w:hint="eastAsia" w:ascii="宋体" w:hAnsi="宋体" w:eastAsia="宋体" w:cs="Times New Roman"/>
          <w:snapToGrid w:val="0"/>
          <w:kern w:val="0"/>
          <w:sz w:val="24"/>
          <w:szCs w:val="24"/>
          <w:highlight w:val="none"/>
          <w14:ligatures w14:val="none"/>
        </w:rPr>
        <w:t>mg/L～50mg/L</w:t>
      </w:r>
    </w:p>
    <w:p w14:paraId="67857DBF">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highlight w:val="none"/>
          <w14:ligatures w14:val="none"/>
        </w:rPr>
        <w:t>精密度要求（连续测定6次）：</w:t>
      </w:r>
      <w:r>
        <w:rPr>
          <w:rFonts w:hint="eastAsia" w:ascii="宋体" w:hAnsi="宋体" w:eastAsia="宋体" w:cs="Times New Roman"/>
          <w:kern w:val="0"/>
          <w:sz w:val="24"/>
          <w:szCs w:val="24"/>
          <w:highlight w:val="none"/>
          <w:lang w:val="en-US" w:eastAsia="zh-CN"/>
          <w14:ligatures w14:val="none"/>
        </w:rPr>
        <w:t>0.5</w:t>
      </w:r>
      <w:r>
        <w:rPr>
          <w:rFonts w:hint="eastAsia" w:ascii="宋体" w:hAnsi="宋体" w:eastAsia="宋体" w:cs="Times New Roman"/>
          <w:kern w:val="0"/>
          <w:sz w:val="24"/>
          <w:szCs w:val="24"/>
          <w:highlight w:val="none"/>
          <w14:ligatures w14:val="none"/>
        </w:rPr>
        <w:t>mg/</w:t>
      </w:r>
      <w:r>
        <w:rPr>
          <w:rFonts w:hint="eastAsia" w:ascii="宋体" w:hAnsi="宋体" w:eastAsia="宋体" w:cs="Times New Roman"/>
          <w:kern w:val="0"/>
          <w:sz w:val="24"/>
          <w:szCs w:val="24"/>
          <w14:ligatures w14:val="none"/>
        </w:rPr>
        <w:t>L，RSD&lt; 2％。</w:t>
      </w:r>
    </w:p>
    <w:p w14:paraId="3D8F3C45">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线性要求：根据《GB/T 6913-2023锅炉用水和冷却水分析方法磷酸盐的测定》设定自动配置标准曲线浓度，相关性系数r≥0.9996；</w:t>
      </w:r>
    </w:p>
    <w:p w14:paraId="4289D2DB">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检出限要求：检出限≤</w:t>
      </w:r>
      <w:r>
        <w:rPr>
          <w:rFonts w:hint="eastAsia" w:ascii="宋体" w:hAnsi="宋体" w:eastAsia="宋体" w:cs="Times New Roman"/>
          <w:snapToGrid w:val="0"/>
          <w:kern w:val="0"/>
          <w:sz w:val="24"/>
          <w:szCs w:val="24"/>
          <w14:ligatures w14:val="none"/>
        </w:rPr>
        <w:t>0.1mg/L</w:t>
      </w:r>
      <w:r>
        <w:rPr>
          <w:rFonts w:hint="eastAsia" w:ascii="宋体" w:hAnsi="宋体" w:eastAsia="宋体" w:cs="Times New Roman"/>
          <w:kern w:val="0"/>
          <w:sz w:val="24"/>
          <w:szCs w:val="24"/>
          <w14:ligatures w14:val="none"/>
        </w:rPr>
        <w:t>；</w:t>
      </w:r>
    </w:p>
    <w:p w14:paraId="73796107">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lang w:val="en-US" w:eastAsia="zh-CN"/>
          <w14:ligatures w14:val="none"/>
        </w:rPr>
        <w:t>最小分辨率≤0.001</w:t>
      </w:r>
      <w:r>
        <w:rPr>
          <w:rFonts w:hint="eastAsia" w:ascii="宋体" w:hAnsi="宋体" w:eastAsia="宋体" w:cs="Times New Roman"/>
          <w:snapToGrid w:val="0"/>
          <w:kern w:val="0"/>
          <w:sz w:val="24"/>
          <w:szCs w:val="24"/>
          <w14:ligatures w14:val="none"/>
        </w:rPr>
        <w:t>mg/L</w:t>
      </w:r>
      <w:r>
        <w:rPr>
          <w:rFonts w:hint="eastAsia" w:ascii="宋体" w:hAnsi="宋体" w:eastAsia="宋体" w:cs="Times New Roman"/>
          <w:snapToGrid w:val="0"/>
          <w:kern w:val="0"/>
          <w:sz w:val="24"/>
          <w:szCs w:val="24"/>
          <w:lang w:eastAsia="zh-CN"/>
          <w14:ligatures w14:val="none"/>
        </w:rPr>
        <w:t>；</w:t>
      </w:r>
    </w:p>
    <w:p w14:paraId="7CA6A3CC">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单样分析时间≤12min，连续单样分析时长≤3min</w:t>
      </w:r>
    </w:p>
    <w:p w14:paraId="00317A9F">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1.2.2.2 总磷：</w:t>
      </w:r>
      <w:r>
        <w:rPr>
          <w:rFonts w:hint="eastAsia" w:ascii="宋体" w:hAnsi="宋体" w:eastAsia="宋体" w:cs="Times New Roman"/>
          <w:snapToGrid w:val="0"/>
          <w:kern w:val="0"/>
          <w:sz w:val="24"/>
          <w:szCs w:val="24"/>
          <w:lang w:val="en-US" w:eastAsia="zh-CN"/>
          <w14:ligatures w14:val="none"/>
        </w:rPr>
        <w:t>采用</w:t>
      </w:r>
      <w:r>
        <w:rPr>
          <w:rFonts w:hint="eastAsia" w:ascii="宋体" w:hAnsi="宋体" w:eastAsia="宋体" w:cs="Times New Roman"/>
          <w:kern w:val="0"/>
          <w:sz w:val="24"/>
          <w:szCs w:val="24"/>
          <w:highlight w:val="none"/>
          <w14:ligatures w14:val="none"/>
        </w:rPr>
        <w:t>《HJ670-2013水质磷酸盐和总磷的测定  连续流动-钼酸铵分光光度法》</w:t>
      </w:r>
      <w:r>
        <w:rPr>
          <w:rFonts w:hint="eastAsia" w:ascii="宋体" w:hAnsi="宋体" w:eastAsia="宋体" w:cs="Times New Roman"/>
          <w:snapToGrid w:val="0"/>
          <w:kern w:val="0"/>
          <w:sz w:val="24"/>
          <w:szCs w:val="24"/>
          <w:lang w:val="en-US" w:eastAsia="zh-CN"/>
          <w14:ligatures w14:val="none"/>
        </w:rPr>
        <w:t>磷钼蓝法检测</w:t>
      </w:r>
    </w:p>
    <w:p w14:paraId="0539D62B">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直接测定检测范围：</w:t>
      </w:r>
      <w:r>
        <w:rPr>
          <w:rFonts w:hint="eastAsia" w:ascii="宋体" w:hAnsi="宋体" w:eastAsia="宋体" w:cs="Times New Roman"/>
          <w:snapToGrid w:val="0"/>
          <w:kern w:val="0"/>
          <w:sz w:val="24"/>
          <w:szCs w:val="24"/>
          <w14:ligatures w14:val="none"/>
        </w:rPr>
        <w:t>0.04mg/L～5mg/L</w:t>
      </w:r>
    </w:p>
    <w:p w14:paraId="16D9F023">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highlight w:val="none"/>
          <w14:ligatures w14:val="none"/>
        </w:rPr>
      </w:pPr>
      <w:r>
        <w:rPr>
          <w:rFonts w:hint="eastAsia" w:ascii="宋体" w:hAnsi="宋体" w:eastAsia="宋体" w:cs="Times New Roman"/>
          <w:kern w:val="0"/>
          <w:sz w:val="24"/>
          <w:szCs w:val="24"/>
          <w14:ligatures w14:val="none"/>
        </w:rPr>
        <w:t>精密度要求（连续测定6</w:t>
      </w:r>
      <w:r>
        <w:rPr>
          <w:rFonts w:hint="eastAsia" w:ascii="宋体" w:hAnsi="宋体" w:eastAsia="宋体" w:cs="Times New Roman"/>
          <w:kern w:val="0"/>
          <w:sz w:val="24"/>
          <w:szCs w:val="24"/>
          <w:highlight w:val="none"/>
          <w14:ligatures w14:val="none"/>
        </w:rPr>
        <w:t>次）：</w:t>
      </w:r>
      <w:r>
        <w:rPr>
          <w:rFonts w:hint="eastAsia" w:ascii="宋体" w:hAnsi="宋体" w:eastAsia="宋体" w:cs="Times New Roman"/>
          <w:kern w:val="0"/>
          <w:sz w:val="24"/>
          <w:szCs w:val="24"/>
          <w:highlight w:val="none"/>
          <w:lang w:val="en-US" w:eastAsia="zh-CN"/>
          <w14:ligatures w14:val="none"/>
        </w:rPr>
        <w:t>0.2</w:t>
      </w:r>
      <w:r>
        <w:rPr>
          <w:rFonts w:hint="eastAsia" w:ascii="宋体" w:hAnsi="宋体" w:eastAsia="宋体" w:cs="Times New Roman"/>
          <w:kern w:val="0"/>
          <w:sz w:val="24"/>
          <w:szCs w:val="24"/>
          <w:highlight w:val="none"/>
          <w14:ligatures w14:val="none"/>
        </w:rPr>
        <w:t>mg/L，RSD&lt; 2％。</w:t>
      </w:r>
    </w:p>
    <w:p w14:paraId="063BA6AC">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highlight w:val="none"/>
          <w14:ligatures w14:val="none"/>
        </w:rPr>
        <w:t>线性要求：根据《HJ670-2013水质磷酸盐和总磷的测定  连续流动-钼酸铵分光光度法》设定自动配置标准曲线浓度，</w:t>
      </w:r>
      <w:r>
        <w:rPr>
          <w:rFonts w:hint="eastAsia" w:ascii="宋体" w:hAnsi="宋体" w:eastAsia="宋体" w:cs="Times New Roman"/>
          <w:kern w:val="0"/>
          <w:sz w:val="24"/>
          <w:szCs w:val="24"/>
          <w14:ligatures w14:val="none"/>
        </w:rPr>
        <w:t>相关性系数r≥0.9996；</w:t>
      </w:r>
    </w:p>
    <w:p w14:paraId="3975BF92">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检出限要求：检出限≤</w:t>
      </w:r>
      <w:r>
        <w:rPr>
          <w:rFonts w:hint="eastAsia" w:ascii="宋体" w:hAnsi="宋体" w:eastAsia="宋体" w:cs="Times New Roman"/>
          <w:snapToGrid w:val="0"/>
          <w:kern w:val="0"/>
          <w:sz w:val="24"/>
          <w:szCs w:val="24"/>
          <w14:ligatures w14:val="none"/>
        </w:rPr>
        <w:t>0.0</w:t>
      </w:r>
      <w:r>
        <w:rPr>
          <w:rFonts w:hint="eastAsia" w:ascii="宋体" w:hAnsi="宋体" w:eastAsia="宋体" w:cs="Times New Roman"/>
          <w:snapToGrid w:val="0"/>
          <w:kern w:val="0"/>
          <w:sz w:val="24"/>
          <w:szCs w:val="24"/>
          <w:lang w:val="en-US" w:eastAsia="zh-CN"/>
          <w14:ligatures w14:val="none"/>
        </w:rPr>
        <w:t>1</w:t>
      </w:r>
      <w:r>
        <w:rPr>
          <w:rFonts w:hint="eastAsia" w:ascii="宋体" w:hAnsi="宋体" w:eastAsia="宋体" w:cs="Times New Roman"/>
          <w:snapToGrid w:val="0"/>
          <w:kern w:val="0"/>
          <w:sz w:val="24"/>
          <w:szCs w:val="24"/>
          <w14:ligatures w14:val="none"/>
        </w:rPr>
        <w:t>mg/L</w:t>
      </w:r>
      <w:r>
        <w:rPr>
          <w:rFonts w:hint="eastAsia" w:ascii="宋体" w:hAnsi="宋体" w:eastAsia="宋体" w:cs="Times New Roman"/>
          <w:kern w:val="0"/>
          <w:sz w:val="24"/>
          <w:szCs w:val="24"/>
          <w14:ligatures w14:val="none"/>
        </w:rPr>
        <w:t>；</w:t>
      </w:r>
    </w:p>
    <w:p w14:paraId="4CBE73B1">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lang w:eastAsia="zh-CN"/>
          <w14:ligatures w14:val="none"/>
        </w:rPr>
      </w:pPr>
      <w:r>
        <w:rPr>
          <w:rFonts w:hint="eastAsia" w:ascii="宋体" w:hAnsi="宋体" w:eastAsia="宋体" w:cs="Times New Roman"/>
          <w:kern w:val="0"/>
          <w:sz w:val="24"/>
          <w:szCs w:val="24"/>
          <w:lang w:val="en-US" w:eastAsia="zh-CN"/>
          <w14:ligatures w14:val="none"/>
        </w:rPr>
        <w:t>最小分辨率≤0.001</w:t>
      </w:r>
      <w:r>
        <w:rPr>
          <w:rFonts w:hint="eastAsia" w:ascii="宋体" w:hAnsi="宋体" w:eastAsia="宋体" w:cs="Times New Roman"/>
          <w:snapToGrid w:val="0"/>
          <w:kern w:val="0"/>
          <w:sz w:val="24"/>
          <w:szCs w:val="24"/>
          <w14:ligatures w14:val="none"/>
        </w:rPr>
        <w:t>mg/L</w:t>
      </w:r>
      <w:r>
        <w:rPr>
          <w:rFonts w:hint="eastAsia" w:ascii="宋体" w:hAnsi="宋体" w:eastAsia="宋体" w:cs="Times New Roman"/>
          <w:snapToGrid w:val="0"/>
          <w:kern w:val="0"/>
          <w:sz w:val="24"/>
          <w:szCs w:val="24"/>
          <w:lang w:eastAsia="zh-CN"/>
          <w14:ligatures w14:val="none"/>
        </w:rPr>
        <w:t>；</w:t>
      </w:r>
    </w:p>
    <w:p w14:paraId="75430885">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单样分析时间≤8min，连续单样分析时长≤3min</w:t>
      </w:r>
    </w:p>
    <w:p w14:paraId="33832123">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1.2.2.3 二氧化硅：</w:t>
      </w:r>
      <w:r>
        <w:rPr>
          <w:rFonts w:hint="eastAsia" w:ascii="宋体" w:hAnsi="宋体" w:eastAsia="宋体" w:cs="Times New Roman"/>
          <w:snapToGrid w:val="0"/>
          <w:kern w:val="0"/>
          <w:sz w:val="24"/>
          <w:szCs w:val="24"/>
          <w:lang w:val="en-US" w:eastAsia="zh-CN"/>
          <w14:ligatures w14:val="none"/>
        </w:rPr>
        <w:t>采用</w:t>
      </w:r>
      <w:r>
        <w:rPr>
          <w:rFonts w:hint="eastAsia" w:ascii="宋体" w:hAnsi="宋体" w:eastAsia="宋体" w:cs="Times New Roman"/>
          <w:kern w:val="0"/>
          <w:sz w:val="24"/>
          <w:szCs w:val="24"/>
          <w14:ligatures w14:val="none"/>
        </w:rPr>
        <w:t>《GB/T 12149-2017 工业循环冷却水和锅炉用水中硅的测定》</w:t>
      </w:r>
      <w:r>
        <w:rPr>
          <w:rFonts w:hint="eastAsia" w:ascii="宋体" w:hAnsi="宋体" w:eastAsia="宋体" w:cs="Times New Roman"/>
          <w:snapToGrid w:val="0"/>
          <w:kern w:val="0"/>
          <w:sz w:val="24"/>
          <w:szCs w:val="24"/>
          <w:lang w:val="en-US" w:eastAsia="zh-CN"/>
          <w14:ligatures w14:val="none"/>
        </w:rPr>
        <w:t>硅钼蓝法检测</w:t>
      </w:r>
    </w:p>
    <w:p w14:paraId="2D4D7B62">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直接测定检测范围：</w:t>
      </w:r>
      <w:r>
        <w:rPr>
          <w:rFonts w:hint="eastAsia" w:ascii="宋体" w:hAnsi="宋体" w:eastAsia="宋体" w:cs="Times New Roman"/>
          <w:snapToGrid w:val="0"/>
          <w:kern w:val="0"/>
          <w:sz w:val="24"/>
          <w:szCs w:val="24"/>
          <w14:ligatures w14:val="none"/>
        </w:rPr>
        <w:t>0.0</w:t>
      </w:r>
      <w:r>
        <w:rPr>
          <w:rFonts w:hint="eastAsia" w:ascii="宋体" w:hAnsi="宋体" w:eastAsia="宋体" w:cs="Times New Roman"/>
          <w:snapToGrid w:val="0"/>
          <w:kern w:val="0"/>
          <w:sz w:val="24"/>
          <w:szCs w:val="24"/>
          <w:lang w:val="en-US" w:eastAsia="zh-CN"/>
          <w14:ligatures w14:val="none"/>
        </w:rPr>
        <w:t>05</w:t>
      </w:r>
      <w:r>
        <w:rPr>
          <w:rFonts w:hint="eastAsia" w:ascii="宋体" w:hAnsi="宋体" w:eastAsia="宋体" w:cs="Times New Roman"/>
          <w:snapToGrid w:val="0"/>
          <w:kern w:val="0"/>
          <w:sz w:val="24"/>
          <w:szCs w:val="24"/>
          <w14:ligatures w14:val="none"/>
        </w:rPr>
        <w:t>mg/L～6mg/L</w:t>
      </w:r>
    </w:p>
    <w:p w14:paraId="0CD10C2F">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精密度要求（连续测定6次）：0.05mg/L，RSD&lt; 2％。</w:t>
      </w:r>
    </w:p>
    <w:p w14:paraId="2026EFF0">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线性要求：根据《GB/T 12149-2017 工业循环冷却水和锅炉用水中硅的测定》设定自动配置标准曲线浓度，相关性系数r≥0.9996；</w:t>
      </w:r>
    </w:p>
    <w:p w14:paraId="53FC1F1B">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检出限要求：检出限≤</w:t>
      </w:r>
      <w:r>
        <w:rPr>
          <w:rFonts w:hint="eastAsia" w:ascii="宋体" w:hAnsi="宋体" w:eastAsia="宋体" w:cs="Times New Roman"/>
          <w:snapToGrid w:val="0"/>
          <w:kern w:val="0"/>
          <w:sz w:val="24"/>
          <w:szCs w:val="24"/>
          <w14:ligatures w14:val="none"/>
        </w:rPr>
        <w:t>0.0</w:t>
      </w:r>
      <w:r>
        <w:rPr>
          <w:rFonts w:hint="eastAsia" w:ascii="宋体" w:hAnsi="宋体" w:eastAsia="宋体" w:cs="Times New Roman"/>
          <w:snapToGrid w:val="0"/>
          <w:kern w:val="0"/>
          <w:sz w:val="24"/>
          <w:szCs w:val="24"/>
          <w:lang w:val="en-US" w:eastAsia="zh-CN"/>
          <w14:ligatures w14:val="none"/>
        </w:rPr>
        <w:t>05</w:t>
      </w:r>
      <w:r>
        <w:rPr>
          <w:rFonts w:hint="eastAsia" w:ascii="宋体" w:hAnsi="宋体" w:eastAsia="宋体" w:cs="Times New Roman"/>
          <w:snapToGrid w:val="0"/>
          <w:kern w:val="0"/>
          <w:sz w:val="24"/>
          <w:szCs w:val="24"/>
          <w14:ligatures w14:val="none"/>
        </w:rPr>
        <w:t>mg/L</w:t>
      </w:r>
      <w:r>
        <w:rPr>
          <w:rFonts w:hint="eastAsia" w:ascii="宋体" w:hAnsi="宋体" w:eastAsia="宋体" w:cs="Times New Roman"/>
          <w:kern w:val="0"/>
          <w:sz w:val="24"/>
          <w:szCs w:val="24"/>
          <w14:ligatures w14:val="none"/>
        </w:rPr>
        <w:t>；</w:t>
      </w:r>
    </w:p>
    <w:p w14:paraId="744030CA">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snapToGrid w:val="0"/>
          <w:kern w:val="0"/>
          <w:sz w:val="24"/>
          <w:szCs w:val="24"/>
          <w:lang w:eastAsia="zh-CN"/>
          <w14:ligatures w14:val="none"/>
        </w:rPr>
      </w:pPr>
      <w:r>
        <w:rPr>
          <w:rFonts w:hint="eastAsia" w:ascii="宋体" w:hAnsi="宋体" w:eastAsia="宋体" w:cs="Times New Roman"/>
          <w:kern w:val="0"/>
          <w:sz w:val="24"/>
          <w:szCs w:val="24"/>
          <w:lang w:val="en-US" w:eastAsia="zh-CN"/>
          <w14:ligatures w14:val="none"/>
        </w:rPr>
        <w:t>最小分辨率≤0.001</w:t>
      </w:r>
      <w:r>
        <w:rPr>
          <w:rFonts w:hint="eastAsia" w:ascii="宋体" w:hAnsi="宋体" w:eastAsia="宋体" w:cs="Times New Roman"/>
          <w:snapToGrid w:val="0"/>
          <w:kern w:val="0"/>
          <w:sz w:val="24"/>
          <w:szCs w:val="24"/>
          <w14:ligatures w14:val="none"/>
        </w:rPr>
        <w:t>mg/L</w:t>
      </w:r>
      <w:r>
        <w:rPr>
          <w:rFonts w:hint="eastAsia" w:ascii="宋体" w:hAnsi="宋体" w:eastAsia="宋体" w:cs="Times New Roman"/>
          <w:snapToGrid w:val="0"/>
          <w:kern w:val="0"/>
          <w:sz w:val="24"/>
          <w:szCs w:val="24"/>
          <w:lang w:eastAsia="zh-CN"/>
          <w14:ligatures w14:val="none"/>
        </w:rPr>
        <w:t>；</w:t>
      </w:r>
    </w:p>
    <w:p w14:paraId="4D789298">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单样分析时间≤8min，连续单样分析时长≤3min</w:t>
      </w:r>
    </w:p>
    <w:p w14:paraId="52C4F3CC">
      <w:pPr>
        <w:keepNext w:val="0"/>
        <w:pageBreakBefore w:val="0"/>
        <w:widowControl/>
        <w:kinsoku/>
        <w:wordWrap/>
        <w:overflowPunct/>
        <w:topLinePunct w:val="0"/>
        <w:bidi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lang w:val="en-US" w:eastAsia="zh-CN"/>
          <w14:ligatures w14:val="none"/>
        </w:rPr>
        <w:t xml:space="preserve">1.2.2.4 </w:t>
      </w:r>
      <w:r>
        <w:rPr>
          <w:rFonts w:hint="eastAsia" w:ascii="宋体" w:hAnsi="宋体" w:eastAsia="宋体" w:cs="Times New Roman"/>
          <w:snapToGrid w:val="0"/>
          <w:kern w:val="0"/>
          <w:sz w:val="24"/>
          <w:szCs w:val="24"/>
          <w:lang w:val="en-US" w:eastAsia="zh-CN"/>
          <w14:ligatures w14:val="none"/>
        </w:rPr>
        <w:t>仪器从开机到满足分析条件，预热稳定时间≤15min。</w:t>
      </w:r>
    </w:p>
    <w:p w14:paraId="79984FC7">
      <w:pPr>
        <w:keepNext w:val="0"/>
        <w:pageBreakBefore w:val="0"/>
        <w:widowControl/>
        <w:kinsoku/>
        <w:wordWrap/>
        <w:overflowPunct/>
        <w:topLinePunct w:val="0"/>
        <w:bidi w:val="0"/>
        <w:spacing w:line="300" w:lineRule="auto"/>
        <w:textAlignment w:val="auto"/>
        <w:rPr>
          <w:rFonts w:ascii="Calibri" w:hAnsi="Calibri" w:eastAsia="宋体" w:cs="Times New Roman"/>
          <w:kern w:val="0"/>
          <w:sz w:val="24"/>
          <w:szCs w:val="24"/>
          <w14:ligatures w14:val="none"/>
        </w:rPr>
      </w:pPr>
      <w:r>
        <w:rPr>
          <w:rFonts w:hint="eastAsia" w:ascii="宋体" w:hAnsi="Calibri" w:eastAsia="宋体" w:cs="宋体"/>
          <w:kern w:val="0"/>
          <w:sz w:val="24"/>
          <w:szCs w:val="24"/>
          <w14:ligatures w14:val="none"/>
        </w:rPr>
        <w:t>*</w:t>
      </w:r>
      <w:r>
        <w:rPr>
          <w:rFonts w:hint="eastAsia" w:ascii="宋体" w:hAnsi="宋体" w:eastAsia="宋体" w:cs="Times New Roman"/>
          <w:snapToGrid w:val="0"/>
          <w:kern w:val="0"/>
          <w:sz w:val="24"/>
          <w:szCs w:val="24"/>
          <w14:ligatures w14:val="none"/>
        </w:rPr>
        <w:t xml:space="preserve">1.2.3 </w:t>
      </w:r>
      <w:r>
        <w:rPr>
          <w:rFonts w:hint="eastAsia" w:ascii="Calibri" w:hAnsi="Calibri" w:eastAsia="宋体" w:cs="Times New Roman"/>
          <w:kern w:val="0"/>
          <w:sz w:val="24"/>
          <w:szCs w:val="24"/>
          <w14:ligatures w14:val="none"/>
        </w:rPr>
        <w:t>自动进样器</w:t>
      </w:r>
    </w:p>
    <w:p w14:paraId="738751DF">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 xml:space="preserve">1.2.3.1 </w:t>
      </w:r>
      <w:r>
        <w:rPr>
          <w:rFonts w:hint="eastAsia" w:ascii="宋体" w:hAnsi="宋体" w:eastAsia="宋体" w:cs="Times New Roman"/>
          <w:snapToGrid w:val="0"/>
          <w:kern w:val="0"/>
          <w:sz w:val="24"/>
          <w:szCs w:val="24"/>
          <w:lang w:val="en-US" w:eastAsia="zh-CN"/>
          <w14:ligatures w14:val="none"/>
        </w:rPr>
        <w:t>原品牌</w:t>
      </w:r>
      <w:r>
        <w:rPr>
          <w:rFonts w:hint="eastAsia" w:ascii="宋体" w:hAnsi="宋体" w:eastAsia="宋体" w:cs="Times New Roman"/>
          <w:snapToGrid w:val="0"/>
          <w:kern w:val="0"/>
          <w:sz w:val="24"/>
          <w:szCs w:val="24"/>
          <w14:ligatures w14:val="none"/>
        </w:rPr>
        <w:t>双进样针自动进样器，磷和硅独立自动进样通道</w:t>
      </w:r>
      <w:r>
        <w:rPr>
          <w:rFonts w:hint="eastAsia" w:ascii="宋体" w:hAnsi="宋体" w:eastAsia="宋体" w:cs="Times New Roman"/>
          <w:snapToGrid w:val="0"/>
          <w:kern w:val="0"/>
          <w:sz w:val="24"/>
          <w:szCs w:val="24"/>
          <w:lang w:eastAsia="zh-CN"/>
          <w14:ligatures w14:val="none"/>
        </w:rPr>
        <w:t>，</w:t>
      </w:r>
      <w:r>
        <w:rPr>
          <w:rFonts w:hint="eastAsia" w:ascii="宋体" w:hAnsi="宋体" w:eastAsia="宋体" w:cs="Times New Roman"/>
          <w:snapToGrid w:val="0"/>
          <w:kern w:val="0"/>
          <w:sz w:val="24"/>
          <w:szCs w:val="24"/>
          <w:lang w:val="en-US" w:eastAsia="zh-CN"/>
          <w14:ligatures w14:val="none"/>
        </w:rPr>
        <w:t>不得共用一个进样管</w:t>
      </w:r>
      <w:r>
        <w:rPr>
          <w:rFonts w:hint="eastAsia" w:ascii="宋体" w:hAnsi="宋体" w:eastAsia="宋体" w:cs="Times New Roman"/>
          <w:snapToGrid w:val="0"/>
          <w:kern w:val="0"/>
          <w:sz w:val="24"/>
          <w:szCs w:val="24"/>
          <w:lang w:eastAsia="zh-CN"/>
          <w14:ligatures w14:val="none"/>
        </w:rPr>
        <w:t>，</w:t>
      </w:r>
      <w:r>
        <w:rPr>
          <w:rFonts w:hint="eastAsia" w:ascii="宋体" w:hAnsi="宋体" w:eastAsia="宋体" w:cs="Times New Roman"/>
          <w:snapToGrid w:val="0"/>
          <w:kern w:val="0"/>
          <w:sz w:val="24"/>
          <w:szCs w:val="24"/>
          <w:lang w:val="en-US" w:eastAsia="zh-CN"/>
          <w14:ligatures w14:val="none"/>
        </w:rPr>
        <w:t>分别</w:t>
      </w:r>
      <w:r>
        <w:rPr>
          <w:rFonts w:hint="eastAsia" w:ascii="宋体" w:hAnsi="宋体" w:eastAsia="宋体" w:cs="Times New Roman"/>
          <w:snapToGrid w:val="0"/>
          <w:kern w:val="0"/>
          <w:sz w:val="24"/>
          <w:szCs w:val="24"/>
          <w14:ligatures w14:val="none"/>
        </w:rPr>
        <w:t>可以任意设定进样针取样位置，不用按照固定位置顺序取样。</w:t>
      </w:r>
    </w:p>
    <w:p w14:paraId="31CC1070">
      <w:pPr>
        <w:keepNext w:val="0"/>
        <w:pageBreakBefore w:val="0"/>
        <w:widowControl/>
        <w:kinsoku/>
        <w:wordWrap/>
        <w:overflowPunct/>
        <w:topLinePunct w:val="0"/>
        <w:bidi w:val="0"/>
        <w:spacing w:line="300" w:lineRule="auto"/>
        <w:textAlignment w:val="auto"/>
        <w:rPr>
          <w:rFonts w:hint="default" w:ascii="宋体" w:hAnsi="宋体" w:eastAsia="宋体" w:cs="Times New Roman"/>
          <w:snapToGrid w:val="0"/>
          <w:kern w:val="0"/>
          <w:sz w:val="24"/>
          <w:szCs w:val="24"/>
          <w:lang w:val="en-US" w:eastAsia="zh-CN"/>
          <w14:ligatures w14:val="none"/>
        </w:rPr>
      </w:pPr>
      <w:r>
        <w:rPr>
          <w:rFonts w:hint="eastAsia" w:ascii="宋体" w:hAnsi="宋体" w:eastAsia="宋体" w:cs="Times New Roman"/>
          <w:snapToGrid w:val="0"/>
          <w:kern w:val="0"/>
          <w:sz w:val="24"/>
          <w:szCs w:val="24"/>
          <w14:ligatures w14:val="none"/>
        </w:rPr>
        <w:t>1.2.3.2 样品管容量（</w:t>
      </w:r>
      <w:r>
        <w:rPr>
          <w:rFonts w:hint="eastAsia" w:ascii="宋体" w:hAnsi="宋体" w:eastAsia="宋体" w:cs="Times New Roman"/>
          <w:snapToGrid w:val="0"/>
          <w:kern w:val="0"/>
          <w:sz w:val="24"/>
          <w:szCs w:val="24"/>
          <w:lang w:val="en-US" w:eastAsia="zh-CN"/>
          <w14:ligatures w14:val="none"/>
        </w:rPr>
        <w:t>5</w:t>
      </w:r>
      <w:r>
        <w:rPr>
          <w:rFonts w:hint="eastAsia" w:ascii="宋体" w:hAnsi="宋体" w:eastAsia="宋体" w:cs="Times New Roman"/>
          <w:snapToGrid w:val="0"/>
          <w:kern w:val="0"/>
          <w:sz w:val="24"/>
          <w:szCs w:val="24"/>
          <w14:ligatures w14:val="none"/>
        </w:rPr>
        <w:t>～50）mL，能满足3次以上分析，样品位</w:t>
      </w:r>
      <w:r>
        <w:rPr>
          <w:rFonts w:hint="eastAsia" w:ascii="宋体" w:hAnsi="宋体" w:eastAsia="宋体" w:cs="Times New Roman"/>
          <w:snapToGrid w:val="0"/>
          <w:kern w:val="0"/>
          <w:sz w:val="24"/>
          <w:szCs w:val="24"/>
          <w:lang w:val="en-US" w:eastAsia="zh-CN"/>
          <w14:ligatures w14:val="none"/>
        </w:rPr>
        <w:t>不少于300</w:t>
      </w:r>
      <w:r>
        <w:rPr>
          <w:rFonts w:hint="eastAsia" w:ascii="宋体" w:hAnsi="宋体" w:eastAsia="宋体" w:cs="Times New Roman"/>
          <w:snapToGrid w:val="0"/>
          <w:kern w:val="0"/>
          <w:sz w:val="24"/>
          <w:szCs w:val="24"/>
          <w14:ligatures w14:val="none"/>
        </w:rPr>
        <w:t>位；标准溶液容量（</w:t>
      </w:r>
      <w:r>
        <w:rPr>
          <w:rFonts w:hint="eastAsia" w:ascii="宋体" w:hAnsi="宋体" w:eastAsia="宋体" w:cs="Times New Roman"/>
          <w:snapToGrid w:val="0"/>
          <w:kern w:val="0"/>
          <w:sz w:val="24"/>
          <w:szCs w:val="24"/>
          <w:lang w:val="en-US" w:eastAsia="zh-CN"/>
          <w14:ligatures w14:val="none"/>
        </w:rPr>
        <w:t>5</w:t>
      </w:r>
      <w:r>
        <w:rPr>
          <w:rFonts w:hint="eastAsia" w:ascii="宋体" w:hAnsi="宋体" w:eastAsia="宋体" w:cs="Times New Roman"/>
          <w:snapToGrid w:val="0"/>
          <w:kern w:val="0"/>
          <w:sz w:val="24"/>
          <w:szCs w:val="24"/>
          <w14:ligatures w14:val="none"/>
        </w:rPr>
        <w:t>～50）mL。</w:t>
      </w:r>
    </w:p>
    <w:p w14:paraId="36D892A7">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1.2.3.3 清洗泵：进样器带有独立清洗槽，磷和硅</w:t>
      </w:r>
      <w:r>
        <w:rPr>
          <w:rFonts w:hint="eastAsia" w:ascii="宋体" w:hAnsi="宋体" w:eastAsia="宋体" w:cs="Times New Roman"/>
          <w:snapToGrid w:val="0"/>
          <w:kern w:val="0"/>
          <w:sz w:val="24"/>
          <w:szCs w:val="24"/>
          <w:lang w:val="en-US" w:eastAsia="zh-CN"/>
          <w14:ligatures w14:val="none"/>
        </w:rPr>
        <w:t>不得共用一个清洗槽，</w:t>
      </w:r>
      <w:r>
        <w:rPr>
          <w:rFonts w:hint="eastAsia" w:ascii="宋体" w:hAnsi="宋体" w:eastAsia="宋体" w:cs="Times New Roman"/>
          <w:snapToGrid w:val="0"/>
          <w:kern w:val="0"/>
          <w:sz w:val="24"/>
          <w:szCs w:val="24"/>
          <w14:ligatures w14:val="none"/>
        </w:rPr>
        <w:t>磷和硅清洗槽独立控制清洗水管道，不互相污染。</w:t>
      </w:r>
    </w:p>
    <w:p w14:paraId="3FCCDCB9">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1.2.3.4 进样针自动调节功能：具有进样针位置</w:t>
      </w:r>
      <w:r>
        <w:rPr>
          <w:rFonts w:hint="eastAsia" w:ascii="宋体" w:hAnsi="宋体" w:eastAsia="宋体" w:cs="Times New Roman"/>
          <w:snapToGrid w:val="0"/>
          <w:kern w:val="0"/>
          <w:sz w:val="24"/>
          <w:szCs w:val="24"/>
          <w:lang w:val="en-US" w:eastAsia="zh-CN"/>
          <w14:ligatures w14:val="none"/>
        </w:rPr>
        <w:t>校准</w:t>
      </w:r>
      <w:r>
        <w:rPr>
          <w:rFonts w:hint="eastAsia" w:ascii="宋体" w:hAnsi="宋体" w:eastAsia="宋体" w:cs="Times New Roman"/>
          <w:snapToGrid w:val="0"/>
          <w:kern w:val="0"/>
          <w:sz w:val="24"/>
          <w:szCs w:val="24"/>
          <w14:ligatures w14:val="none"/>
        </w:rPr>
        <w:t>，可设置取样数量、取样重复次数、取样时间、清洗时间、空气注入时间等参数。</w:t>
      </w:r>
    </w:p>
    <w:p w14:paraId="6ECE401B">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1.2.3.5</w:t>
      </w:r>
      <w:r>
        <w:rPr>
          <w:rFonts w:hint="eastAsia" w:ascii="宋体" w:hAnsi="宋体" w:eastAsia="宋体" w:cs="Times New Roman"/>
          <w:snapToGrid w:val="0"/>
          <w:kern w:val="0"/>
          <w:sz w:val="24"/>
          <w:szCs w:val="24"/>
          <w:lang w:val="en-US" w:eastAsia="zh-CN"/>
          <w14:ligatures w14:val="none"/>
        </w:rPr>
        <w:t xml:space="preserve"> </w:t>
      </w:r>
      <w:r>
        <w:rPr>
          <w:rFonts w:hint="eastAsia" w:ascii="宋体" w:hAnsi="宋体" w:eastAsia="宋体" w:cs="Times New Roman"/>
          <w:snapToGrid w:val="0"/>
          <w:kern w:val="0"/>
          <w:sz w:val="24"/>
          <w:szCs w:val="24"/>
          <w14:ligatures w14:val="none"/>
        </w:rPr>
        <w:t>取样器</w:t>
      </w:r>
      <w:r>
        <w:rPr>
          <w:rFonts w:hint="eastAsia" w:ascii="宋体" w:hAnsi="宋体" w:eastAsia="宋体" w:cs="Times New Roman"/>
          <w:snapToGrid w:val="0"/>
          <w:kern w:val="0"/>
          <w:sz w:val="24"/>
          <w:szCs w:val="24"/>
          <w:lang w:val="en-US" w:eastAsia="zh-CN"/>
          <w14:ligatures w14:val="none"/>
        </w:rPr>
        <w:t>双针位置匀</w:t>
      </w:r>
      <w:r>
        <w:rPr>
          <w:rFonts w:hint="eastAsia" w:ascii="宋体" w:hAnsi="宋体" w:eastAsia="宋体" w:cs="Times New Roman"/>
          <w:snapToGrid w:val="0"/>
          <w:kern w:val="0"/>
          <w:sz w:val="24"/>
          <w:szCs w:val="24"/>
          <w14:ligatures w14:val="none"/>
        </w:rPr>
        <w:t>内置</w:t>
      </w:r>
      <w:r>
        <w:rPr>
          <w:rFonts w:hint="eastAsia" w:ascii="宋体" w:hAnsi="宋体" w:eastAsia="宋体" w:cs="Times New Roman"/>
          <w:snapToGrid w:val="0"/>
          <w:kern w:val="0"/>
          <w:sz w:val="24"/>
          <w:szCs w:val="24"/>
          <w:lang w:val="en-US" w:eastAsia="zh-CN"/>
          <w14:ligatures w14:val="none"/>
        </w:rPr>
        <w:t>样品均匀化</w:t>
      </w:r>
      <w:r>
        <w:rPr>
          <w:rFonts w:hint="eastAsia" w:ascii="宋体" w:hAnsi="宋体" w:eastAsia="宋体" w:cs="Times New Roman"/>
          <w:snapToGrid w:val="0"/>
          <w:kern w:val="0"/>
          <w:sz w:val="24"/>
          <w:szCs w:val="24"/>
          <w14:ligatures w14:val="none"/>
        </w:rPr>
        <w:t>装置，</w:t>
      </w:r>
      <w:r>
        <w:rPr>
          <w:rFonts w:hint="eastAsia" w:ascii="宋体" w:hAnsi="宋体" w:eastAsia="宋体" w:cs="Times New Roman"/>
          <w:snapToGrid w:val="0"/>
          <w:kern w:val="0"/>
          <w:sz w:val="24"/>
          <w:szCs w:val="24"/>
          <w:lang w:val="en-US" w:eastAsia="zh-CN"/>
          <w14:ligatures w14:val="none"/>
        </w:rPr>
        <w:t>以满足</w:t>
      </w:r>
      <w:r>
        <w:rPr>
          <w:rFonts w:hint="eastAsia" w:ascii="宋体" w:hAnsi="宋体" w:eastAsia="宋体" w:cs="Times New Roman"/>
          <w:snapToGrid w:val="0"/>
          <w:kern w:val="0"/>
          <w:sz w:val="24"/>
          <w:szCs w:val="24"/>
          <w14:ligatures w14:val="none"/>
        </w:rPr>
        <w:t>标准方法规定的要求。</w:t>
      </w:r>
    </w:p>
    <w:p w14:paraId="0C9C8D15">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1.2.4 高精度蠕动泵：配备</w:t>
      </w:r>
      <w:r>
        <w:rPr>
          <w:rFonts w:hint="eastAsia" w:ascii="宋体" w:hAnsi="宋体" w:eastAsia="宋体" w:cs="Times New Roman"/>
          <w:snapToGrid w:val="0"/>
          <w:kern w:val="0"/>
          <w:sz w:val="24"/>
          <w:szCs w:val="24"/>
          <w:lang w:val="en-US" w:eastAsia="zh-CN"/>
          <w14:ligatures w14:val="none"/>
        </w:rPr>
        <w:t>大于等于</w:t>
      </w:r>
      <w:r>
        <w:rPr>
          <w:rFonts w:hint="eastAsia" w:ascii="宋体" w:hAnsi="宋体" w:eastAsia="宋体" w:cs="Times New Roman"/>
          <w:snapToGrid w:val="0"/>
          <w:kern w:val="0"/>
          <w:sz w:val="24"/>
          <w:szCs w:val="24"/>
          <w14:ligatures w14:val="none"/>
        </w:rPr>
        <w:t>1台高精度蠕动泵，单个蠕动泵盖下能容纳≥16根蠕动泵管，可保证总共2个项目同时分析所需的试剂泵管位；采用光电感应电磁阀，或独立的空气注射泵及内置电子空压机提供气泡；具有蠕动泵转速可调功能；蠕动泵配备漏液检测装置，发现漏液后蠕动泵自动停止。</w:t>
      </w:r>
    </w:p>
    <w:p w14:paraId="6AE0DFC0">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1.2.5 化学分析模块</w:t>
      </w:r>
    </w:p>
    <w:p w14:paraId="0D626492">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1.2.5.1总磷/正磷独立分析模块由</w:t>
      </w:r>
      <w:bookmarkStart w:id="34" w:name="OLE_LINK13"/>
      <w:r>
        <w:rPr>
          <w:rFonts w:hint="eastAsia" w:ascii="宋体" w:hAnsi="宋体" w:eastAsia="宋体" w:cs="Times New Roman"/>
          <w:snapToGrid w:val="0"/>
          <w:kern w:val="0"/>
          <w:sz w:val="24"/>
          <w:szCs w:val="24"/>
          <w14:ligatures w14:val="none"/>
        </w:rPr>
        <w:t>泵管、</w:t>
      </w:r>
      <w:r>
        <w:rPr>
          <w:rFonts w:hint="eastAsia" w:ascii="宋体" w:hAnsi="宋体" w:eastAsia="宋体" w:cs="Times New Roman"/>
          <w:snapToGrid w:val="0"/>
          <w:kern w:val="0"/>
          <w:sz w:val="24"/>
          <w:szCs w:val="24"/>
          <w:highlight w:val="none"/>
          <w14:ligatures w14:val="none"/>
        </w:rPr>
        <w:t>紫外消解器、</w:t>
      </w:r>
      <w:r>
        <w:rPr>
          <w:rFonts w:hint="eastAsia" w:ascii="宋体" w:hAnsi="宋体" w:eastAsia="宋体" w:cs="Times New Roman"/>
          <w:snapToGrid w:val="0"/>
          <w:kern w:val="0"/>
          <w:sz w:val="24"/>
          <w:szCs w:val="24"/>
          <w:highlight w:val="none"/>
          <w:lang w:eastAsia="zh-CN"/>
          <w14:ligatures w14:val="none"/>
        </w:rPr>
        <w:t>（</w:t>
      </w:r>
      <w:r>
        <w:rPr>
          <w:rFonts w:hint="eastAsia" w:ascii="宋体" w:hAnsi="宋体" w:eastAsia="宋体" w:cs="Times New Roman"/>
          <w:snapToGrid w:val="0"/>
          <w:kern w:val="0"/>
          <w:sz w:val="24"/>
          <w:szCs w:val="24"/>
          <w:highlight w:val="none"/>
          <w14:ligatures w14:val="none"/>
        </w:rPr>
        <w:t>1</w:t>
      </w:r>
      <w:r>
        <w:rPr>
          <w:rFonts w:hint="eastAsia" w:ascii="宋体" w:hAnsi="宋体" w:eastAsia="宋体" w:cs="Times New Roman"/>
          <w:snapToGrid w:val="0"/>
          <w:kern w:val="0"/>
          <w:sz w:val="24"/>
          <w:szCs w:val="24"/>
          <w:highlight w:val="none"/>
          <w:lang w:val="en-US" w:eastAsia="zh-CN"/>
          <w14:ligatures w14:val="none"/>
        </w:rPr>
        <w:t>07±1）</w:t>
      </w:r>
      <w:r>
        <w:rPr>
          <w:rFonts w:hint="eastAsia" w:ascii="宋体" w:hAnsi="宋体" w:eastAsia="宋体" w:cs="Times New Roman"/>
          <w:snapToGrid w:val="0"/>
          <w:kern w:val="0"/>
          <w:sz w:val="24"/>
          <w:szCs w:val="24"/>
          <w:highlight w:val="none"/>
          <w14:ligatures w14:val="none"/>
        </w:rPr>
        <w:t>℃高温高压消解器</w:t>
      </w:r>
      <w:r>
        <w:rPr>
          <w:rFonts w:hint="eastAsia" w:ascii="宋体" w:hAnsi="宋体" w:eastAsia="宋体" w:cs="Times New Roman"/>
          <w:snapToGrid w:val="0"/>
          <w:kern w:val="0"/>
          <w:sz w:val="24"/>
          <w:szCs w:val="24"/>
          <w14:ligatures w14:val="none"/>
        </w:rPr>
        <w:t>、混合反应圈、在线透析装置等</w:t>
      </w:r>
      <w:bookmarkEnd w:id="34"/>
      <w:r>
        <w:rPr>
          <w:rFonts w:hint="eastAsia" w:ascii="宋体" w:hAnsi="宋体" w:eastAsia="宋体" w:cs="Times New Roman"/>
          <w:snapToGrid w:val="0"/>
          <w:kern w:val="0"/>
          <w:sz w:val="24"/>
          <w:szCs w:val="24"/>
          <w14:ligatures w14:val="none"/>
        </w:rPr>
        <w:t>组成。</w:t>
      </w:r>
      <w:r>
        <w:rPr>
          <w:rFonts w:hint="eastAsia" w:ascii="宋体" w:hAnsi="宋体" w:eastAsia="宋体" w:cs="Times New Roman"/>
          <w:snapToGrid w:val="0"/>
          <w:kern w:val="0"/>
          <w:sz w:val="24"/>
          <w:szCs w:val="24"/>
          <w:lang w:val="en-US" w:eastAsia="zh-CN"/>
          <w14:ligatures w14:val="none"/>
        </w:rPr>
        <w:t>泵管内径直径不小于2mm，</w:t>
      </w:r>
      <w:r>
        <w:rPr>
          <w:rFonts w:hint="eastAsia" w:ascii="宋体" w:hAnsi="宋体" w:eastAsia="宋体" w:cs="Times New Roman"/>
          <w:snapToGrid w:val="0"/>
          <w:kern w:val="0"/>
          <w:sz w:val="24"/>
          <w:szCs w:val="24"/>
          <w14:ligatures w14:val="none"/>
        </w:rPr>
        <w:t>总磷采用高温高压、紫外联合消解系统，完全满足《HJ670-2013水质磷酸盐和总磷的测定  连续流动-钼酸铵分光光度法》中对紫外消解的温度和压力要求。软件数字化控制在线高温消解器，温度精确度为±0.1℃。</w:t>
      </w:r>
    </w:p>
    <w:p w14:paraId="742F69C7">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1.2.5.2 二氧化硅独立分析模块由</w:t>
      </w:r>
      <w:bookmarkStart w:id="35" w:name="OLE_LINK15"/>
      <w:bookmarkStart w:id="36" w:name="OLE_LINK14"/>
      <w:r>
        <w:rPr>
          <w:rFonts w:hint="eastAsia" w:ascii="宋体" w:hAnsi="宋体" w:eastAsia="宋体" w:cs="Times New Roman"/>
          <w:snapToGrid w:val="0"/>
          <w:kern w:val="0"/>
          <w:sz w:val="24"/>
          <w:szCs w:val="24"/>
          <w14:ligatures w14:val="none"/>
        </w:rPr>
        <w:t>泵管、混合反应圈等</w:t>
      </w:r>
      <w:bookmarkEnd w:id="35"/>
      <w:bookmarkEnd w:id="36"/>
      <w:r>
        <w:rPr>
          <w:rFonts w:hint="eastAsia" w:ascii="宋体" w:hAnsi="宋体" w:eastAsia="宋体" w:cs="Times New Roman"/>
          <w:snapToGrid w:val="0"/>
          <w:kern w:val="0"/>
          <w:sz w:val="24"/>
          <w:szCs w:val="24"/>
          <w14:ligatures w14:val="none"/>
        </w:rPr>
        <w:t>组成。</w:t>
      </w:r>
      <w:r>
        <w:rPr>
          <w:rFonts w:hint="eastAsia" w:ascii="宋体" w:hAnsi="宋体" w:eastAsia="宋体" w:cs="Times New Roman"/>
          <w:snapToGrid w:val="0"/>
          <w:kern w:val="0"/>
          <w:sz w:val="24"/>
          <w:szCs w:val="24"/>
          <w:lang w:val="en-US" w:eastAsia="zh-CN"/>
          <w14:ligatures w14:val="none"/>
        </w:rPr>
        <w:t>泵管内径直径不小于2mm。</w:t>
      </w:r>
    </w:p>
    <w:p w14:paraId="41060475">
      <w:pPr>
        <w:keepNext w:val="0"/>
        <w:pageBreakBefore w:val="0"/>
        <w:widowControl/>
        <w:kinsoku/>
        <w:wordWrap/>
        <w:overflowPunct/>
        <w:topLinePunct w:val="0"/>
        <w:bidi w:val="0"/>
        <w:spacing w:line="300" w:lineRule="auto"/>
        <w:textAlignment w:val="auto"/>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1.2.5.3 混合反应圈由耐腐蚀惰性玻璃圈组成，能清楚看见系统内部运行情况，内径2.0 mm或以上。</w:t>
      </w:r>
    </w:p>
    <w:p w14:paraId="03BC303E">
      <w:pPr>
        <w:keepNext w:val="0"/>
        <w:pageBreakBefore w:val="0"/>
        <w:widowControl/>
        <w:kinsoku/>
        <w:wordWrap/>
        <w:overflowPunct/>
        <w:topLinePunct w:val="0"/>
        <w:bidi w:val="0"/>
        <w:spacing w:line="300" w:lineRule="auto"/>
        <w:textAlignment w:val="auto"/>
        <w:rPr>
          <w:rFonts w:hint="default" w:ascii="宋体" w:hAnsi="宋体" w:eastAsia="宋体" w:cs="Times New Roman"/>
          <w:snapToGrid w:val="0"/>
          <w:kern w:val="0"/>
          <w:sz w:val="24"/>
          <w:szCs w:val="24"/>
          <w:lang w:val="en-US" w:eastAsia="zh-CN"/>
          <w14:ligatures w14:val="none"/>
        </w:rPr>
      </w:pPr>
      <w:r>
        <w:rPr>
          <w:rFonts w:hint="eastAsia" w:ascii="宋体" w:hAnsi="宋体" w:eastAsia="宋体" w:cs="Times New Roman"/>
          <w:snapToGrid w:val="0"/>
          <w:kern w:val="0"/>
          <w:sz w:val="24"/>
          <w:szCs w:val="24"/>
          <w:lang w:val="en-US" w:eastAsia="zh-CN"/>
          <w14:ligatures w14:val="none"/>
        </w:rPr>
        <w:t>1.2.5.4 分析所用试剂可市场购得，不用专用试剂。</w:t>
      </w:r>
    </w:p>
    <w:p w14:paraId="531B672D">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1.2.6 分光比色模块</w:t>
      </w:r>
    </w:p>
    <w:p w14:paraId="4E8F8764">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1.2.6.1 采用双光束数字式比色计，总磷/正磷、二氧化硅每个检测器采用</w:t>
      </w:r>
      <w:r>
        <w:rPr>
          <w:rFonts w:hint="eastAsia" w:ascii="宋体" w:hAnsi="宋体" w:eastAsia="宋体" w:cs="Times New Roman"/>
          <w:snapToGrid w:val="0"/>
          <w:kern w:val="0"/>
          <w:sz w:val="24"/>
          <w:szCs w:val="24"/>
          <w:lang w:val="en-US" w:eastAsia="zh-CN"/>
          <w14:ligatures w14:val="none"/>
        </w:rPr>
        <w:t>双光束</w:t>
      </w:r>
      <w:r>
        <w:rPr>
          <w:rFonts w:hint="eastAsia" w:ascii="宋体" w:hAnsi="宋体" w:eastAsia="宋体" w:cs="Times New Roman"/>
          <w:snapToGrid w:val="0"/>
          <w:kern w:val="0"/>
          <w:sz w:val="24"/>
          <w:szCs w:val="24"/>
          <w14:ligatures w14:val="none"/>
        </w:rPr>
        <w:t>光源，每个光源可分成两束波长一样的光束，其中一束进样品池，另一束进参比池。</w:t>
      </w:r>
    </w:p>
    <w:p w14:paraId="465B2065">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ascii="宋体" w:hAnsi="宋体" w:eastAsia="宋体" w:cs="Times New Roman"/>
          <w:snapToGrid w:val="0"/>
          <w:kern w:val="0"/>
          <w:sz w:val="24"/>
          <w:szCs w:val="24"/>
          <w14:ligatures w14:val="none"/>
        </w:rPr>
        <w:t>1.2.6.2 检测器光源</w:t>
      </w:r>
      <w:r>
        <w:rPr>
          <w:rFonts w:hint="eastAsia" w:ascii="宋体" w:hAnsi="宋体" w:eastAsia="宋体" w:cs="Times New Roman"/>
          <w:snapToGrid w:val="0"/>
          <w:kern w:val="0"/>
          <w:sz w:val="24"/>
          <w:szCs w:val="24"/>
          <w14:ligatures w14:val="none"/>
        </w:rPr>
        <w:t>：LED或卤素光源。</w:t>
      </w:r>
    </w:p>
    <w:p w14:paraId="49E93881">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ascii="宋体" w:hAnsi="宋体" w:eastAsia="宋体" w:cs="Times New Roman"/>
          <w:snapToGrid w:val="0"/>
          <w:kern w:val="0"/>
          <w:sz w:val="24"/>
          <w:szCs w:val="24"/>
          <w14:ligatures w14:val="none"/>
        </w:rPr>
        <w:t>1.2.6.3</w:t>
      </w:r>
      <w:r>
        <w:rPr>
          <w:rFonts w:hint="eastAsia" w:ascii="宋体" w:hAnsi="宋体" w:eastAsia="宋体" w:cs="Times New Roman"/>
          <w:snapToGrid w:val="0"/>
          <w:kern w:val="0"/>
          <w:sz w:val="24"/>
          <w:szCs w:val="24"/>
          <w14:ligatures w14:val="none"/>
        </w:rPr>
        <w:t xml:space="preserve"> 总磷/正磷检测和二氧化硅检测分别采用独立的双光束数字式比色计。</w:t>
      </w:r>
    </w:p>
    <w:p w14:paraId="6CB79EED">
      <w:pPr>
        <w:keepNext w:val="0"/>
        <w:pageBreakBefore w:val="0"/>
        <w:widowControl/>
        <w:kinsoku/>
        <w:wordWrap/>
        <w:overflowPunct/>
        <w:topLinePunct w:val="0"/>
        <w:bidi w:val="0"/>
        <w:spacing w:line="300" w:lineRule="auto"/>
        <w:textAlignment w:val="auto"/>
        <w:rPr>
          <w:rFonts w:hint="eastAsia" w:ascii="Calibri" w:hAnsi="Calibri" w:eastAsia="宋体" w:cs="Times New Roman"/>
          <w:kern w:val="0"/>
          <w:sz w:val="24"/>
          <w:szCs w:val="24"/>
          <w14:ligatures w14:val="none"/>
        </w:rPr>
      </w:pPr>
      <w:r>
        <w:rPr>
          <w:rFonts w:hint="eastAsia" w:ascii="宋体" w:hAnsi="宋体" w:eastAsia="宋体" w:cs="Times New Roman"/>
          <w:snapToGrid w:val="0"/>
          <w:kern w:val="0"/>
          <w:sz w:val="24"/>
          <w:szCs w:val="24"/>
          <w14:ligatures w14:val="none"/>
        </w:rPr>
        <w:t xml:space="preserve">1.2.6.4 </w:t>
      </w:r>
      <w:r>
        <w:rPr>
          <w:rFonts w:hint="eastAsia" w:ascii="Calibri" w:hAnsi="Calibri" w:eastAsia="宋体" w:cs="Times New Roman"/>
          <w:kern w:val="0"/>
          <w:sz w:val="24"/>
          <w:szCs w:val="24"/>
          <w14:ligatures w14:val="none"/>
        </w:rPr>
        <w:t>采用</w:t>
      </w:r>
      <w:r>
        <w:rPr>
          <w:rFonts w:hint="eastAsia" w:ascii="Calibri" w:hAnsi="Calibri" w:eastAsia="宋体" w:cs="Times New Roman"/>
          <w:kern w:val="0"/>
          <w:sz w:val="24"/>
          <w:szCs w:val="24"/>
          <w:lang w:val="en-US" w:eastAsia="zh-CN"/>
          <w14:ligatures w14:val="none"/>
        </w:rPr>
        <w:t>去气泡干扰检测</w:t>
      </w:r>
      <w:r>
        <w:rPr>
          <w:rFonts w:hint="eastAsia" w:ascii="Calibri" w:hAnsi="Calibri" w:eastAsia="宋体" w:cs="Times New Roman"/>
          <w:kern w:val="0"/>
          <w:sz w:val="24"/>
          <w:szCs w:val="24"/>
          <w14:ligatures w14:val="none"/>
        </w:rPr>
        <w:t>流通池，在相同的分析条件下进一步提升模块方法的检测限和灵敏度。</w:t>
      </w:r>
    </w:p>
    <w:p w14:paraId="3ECE1B36">
      <w:pPr>
        <w:keepNext w:val="0"/>
        <w:pageBreakBefore w:val="0"/>
        <w:widowControl/>
        <w:kinsoku/>
        <w:wordWrap/>
        <w:overflowPunct/>
        <w:topLinePunct w:val="0"/>
        <w:bidi w:val="0"/>
        <w:spacing w:line="300" w:lineRule="auto"/>
        <w:textAlignment w:val="auto"/>
        <w:rPr>
          <w:rFonts w:hint="eastAsia" w:ascii="Calibri" w:hAnsi="Calibri" w:eastAsia="宋体" w:cs="Times New Roman"/>
          <w:kern w:val="0"/>
          <w:sz w:val="24"/>
          <w:szCs w:val="24"/>
          <w14:ligatures w14:val="none"/>
        </w:rPr>
      </w:pPr>
      <w:r>
        <w:rPr>
          <w:rFonts w:hint="eastAsia" w:ascii="宋体" w:hAnsi="宋体" w:eastAsia="宋体" w:cs="Times New Roman"/>
          <w:snapToGrid w:val="0"/>
          <w:kern w:val="0"/>
          <w:sz w:val="24"/>
          <w:szCs w:val="24"/>
          <w:lang w:val="en-US" w:eastAsia="zh-CN"/>
          <w14:ligatures w14:val="none"/>
        </w:rPr>
        <w:t>1.2.6.5 仪器预热稳定时间≤15min。</w:t>
      </w:r>
    </w:p>
    <w:p w14:paraId="2F1BFF50">
      <w:pPr>
        <w:keepNext w:val="0"/>
        <w:pageBreakBefore w:val="0"/>
        <w:widowControl/>
        <w:kinsoku/>
        <w:wordWrap/>
        <w:overflowPunct/>
        <w:topLinePunct w:val="0"/>
        <w:bidi w:val="0"/>
        <w:spacing w:line="300" w:lineRule="auto"/>
        <w:textAlignment w:val="auto"/>
        <w:rPr>
          <w:rFonts w:ascii="宋体" w:hAnsi="宋体" w:eastAsia="宋体" w:cs="宋体"/>
          <w:b/>
          <w:kern w:val="0"/>
          <w:sz w:val="24"/>
          <w:szCs w:val="24"/>
          <w14:ligatures w14:val="none"/>
        </w:rPr>
      </w:pPr>
      <w:r>
        <w:rPr>
          <w:rFonts w:hint="eastAsia" w:ascii="宋体" w:hAnsi="宋体" w:eastAsia="宋体" w:cs="Times New Roman"/>
          <w:b/>
          <w:kern w:val="0"/>
          <w:sz w:val="24"/>
          <w:szCs w:val="24"/>
          <w14:ligatures w14:val="none"/>
        </w:rPr>
        <w:t>2.</w:t>
      </w:r>
      <w:r>
        <w:rPr>
          <w:rFonts w:hint="eastAsia" w:ascii="宋体" w:hAnsi="宋体" w:eastAsia="宋体" w:cs="宋体"/>
          <w:b/>
          <w:kern w:val="0"/>
          <w:sz w:val="24"/>
          <w:szCs w:val="24"/>
          <w14:ligatures w14:val="none"/>
        </w:rPr>
        <w:t>适用方法</w:t>
      </w:r>
    </w:p>
    <w:p w14:paraId="24B571E7">
      <w:pPr>
        <w:keepNext w:val="0"/>
        <w:pageBreakBefore w:val="0"/>
        <w:widowControl/>
        <w:kinsoku/>
        <w:wordWrap/>
        <w:overflowPunct/>
        <w:topLinePunct w:val="0"/>
        <w:bidi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lang w:val="en-US" w:eastAsia="zh-CN"/>
          <w14:ligatures w14:val="none"/>
        </w:rPr>
        <w:t>2.1</w:t>
      </w:r>
      <w:r>
        <w:rPr>
          <w:rFonts w:hint="eastAsia" w:ascii="宋体" w:hAnsi="宋体" w:eastAsia="宋体" w:cs="Times New Roman"/>
          <w:kern w:val="0"/>
          <w:sz w:val="24"/>
          <w:szCs w:val="24"/>
          <w14:ligatures w14:val="none"/>
        </w:rPr>
        <w:t>仪器性能满足《</w:t>
      </w:r>
      <w:r>
        <w:rPr>
          <w:rFonts w:hint="eastAsia" w:ascii="宋体" w:hAnsi="宋体" w:eastAsia="宋体" w:cs="Times New Roman"/>
          <w:kern w:val="0"/>
          <w:sz w:val="24"/>
          <w:szCs w:val="24"/>
          <w:lang w:val="en-US" w:eastAsia="zh-CN"/>
          <w14:ligatures w14:val="none"/>
        </w:rPr>
        <w:t>JJF1568-2016 分光光度法流动分析仪校准规范</w:t>
      </w:r>
      <w:r>
        <w:rPr>
          <w:rFonts w:hint="eastAsia" w:ascii="宋体" w:hAnsi="宋体" w:eastAsia="宋体" w:cs="Times New Roman"/>
          <w:kern w:val="0"/>
          <w:sz w:val="24"/>
          <w:szCs w:val="24"/>
          <w14:ligatures w14:val="none"/>
        </w:rPr>
        <w:t>》</w:t>
      </w:r>
      <w:r>
        <w:rPr>
          <w:rFonts w:hint="eastAsia" w:ascii="宋体" w:hAnsi="宋体" w:eastAsia="宋体" w:cs="Times New Roman"/>
          <w:kern w:val="0"/>
          <w:sz w:val="24"/>
          <w:szCs w:val="24"/>
          <w:lang w:val="en-US" w:eastAsia="zh-CN"/>
          <w14:ligatures w14:val="none"/>
        </w:rPr>
        <w:t>对连续流动要求、</w:t>
      </w:r>
      <w:r>
        <w:rPr>
          <w:rFonts w:hint="eastAsia" w:ascii="宋体" w:hAnsi="宋体" w:eastAsia="宋体" w:cs="Times New Roman"/>
          <w:kern w:val="0"/>
          <w:sz w:val="24"/>
          <w:szCs w:val="24"/>
          <w14:ligatures w14:val="none"/>
        </w:rPr>
        <w:t>《HJ670-2013水质磷酸盐和总磷的测定  连续流动-钼酸铵分光光度法》、《GB/T 6913-2023锅炉用水和冷却水分析方法磷酸盐的测定》、《ISO16264水中硅的测定 流动分析法》、《GB T 12149-2017 工业循环冷却水和锅炉用水中硅的测定》的要求。</w:t>
      </w:r>
    </w:p>
    <w:p w14:paraId="43738ED2">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kern w:val="0"/>
          <w:sz w:val="24"/>
          <w:szCs w:val="24"/>
          <w14:ligatures w14:val="none"/>
        </w:rPr>
      </w:pPr>
      <w:r>
        <w:rPr>
          <w:rFonts w:hint="eastAsia" w:ascii="宋体" w:hAnsi="宋体" w:eastAsia="宋体" w:cs="Times New Roman"/>
          <w:snapToGrid w:val="0"/>
          <w:color w:val="auto"/>
          <w:kern w:val="0"/>
          <w:sz w:val="24"/>
          <w:lang w:val="en-US" w:eastAsia="zh-CN"/>
        </w:rPr>
        <w:t xml:space="preserve">2.2 </w:t>
      </w:r>
      <w:r>
        <w:rPr>
          <w:rFonts w:hint="eastAsia" w:cs="宋体" w:asciiTheme="minorEastAsia" w:hAnsiTheme="minorEastAsia" w:eastAsiaTheme="minorEastAsia"/>
          <w:sz w:val="24"/>
          <w:szCs w:val="24"/>
          <w:lang w:eastAsia="zh-CN"/>
        </w:rPr>
        <w:t>卖方需根据买方要求，依照国家或行业标准，建立相应运行方法和标准工作曲线。</w:t>
      </w:r>
    </w:p>
    <w:p w14:paraId="29BDB02B">
      <w:pPr>
        <w:keepNext w:val="0"/>
        <w:pageBreakBefore w:val="0"/>
        <w:widowControl/>
        <w:kinsoku/>
        <w:wordWrap/>
        <w:overflowPunct/>
        <w:topLinePunct w:val="0"/>
        <w:bidi w:val="0"/>
        <w:spacing w:line="300" w:lineRule="auto"/>
        <w:textAlignment w:val="auto"/>
        <w:rPr>
          <w:rFonts w:ascii="宋体" w:hAnsi="宋体" w:eastAsia="宋体" w:cs="Times New Roman"/>
          <w:b/>
          <w:bCs/>
          <w:snapToGrid w:val="0"/>
          <w:kern w:val="0"/>
          <w:sz w:val="24"/>
          <w:szCs w:val="24"/>
          <w14:ligatures w14:val="none"/>
        </w:rPr>
      </w:pPr>
      <w:r>
        <w:rPr>
          <w:rFonts w:hint="eastAsia" w:ascii="宋体" w:hAnsi="Calibri" w:eastAsia="宋体" w:cs="宋体"/>
          <w:kern w:val="0"/>
          <w:sz w:val="24"/>
          <w:szCs w:val="24"/>
          <w14:ligatures w14:val="none"/>
        </w:rPr>
        <w:t>*</w:t>
      </w:r>
      <w:r>
        <w:rPr>
          <w:rFonts w:hint="eastAsia" w:ascii="宋体" w:hAnsi="宋体" w:eastAsia="宋体" w:cs="Times New Roman"/>
          <w:b/>
          <w:kern w:val="0"/>
          <w:sz w:val="24"/>
          <w:szCs w:val="24"/>
          <w14:ligatures w14:val="none"/>
        </w:rPr>
        <w:t>3.仪器</w:t>
      </w:r>
      <w:r>
        <w:rPr>
          <w:rFonts w:hint="eastAsia" w:ascii="宋体" w:hAnsi="宋体" w:eastAsia="宋体" w:cs="Times New Roman"/>
          <w:b/>
          <w:bCs/>
          <w:snapToGrid w:val="0"/>
          <w:kern w:val="0"/>
          <w:sz w:val="24"/>
          <w:szCs w:val="24"/>
          <w14:ligatures w14:val="none"/>
        </w:rPr>
        <w:t>配置要求：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5791"/>
        <w:gridCol w:w="944"/>
        <w:gridCol w:w="807"/>
      </w:tblGrid>
      <w:tr w14:paraId="3EF0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noWrap/>
            <w:vAlign w:val="center"/>
          </w:tcPr>
          <w:p w14:paraId="0A4FB6FA">
            <w:pPr>
              <w:keepNext w:val="0"/>
              <w:pageBreakBefore w:val="0"/>
              <w:widowControl/>
              <w:kinsoku/>
              <w:wordWrap/>
              <w:overflowPunct/>
              <w:topLinePunct w:val="0"/>
              <w:bidi w:val="0"/>
              <w:spacing w:line="300" w:lineRule="auto"/>
              <w:ind w:firstLine="241" w:firstLineChars="100"/>
              <w:jc w:val="center"/>
              <w:textAlignment w:val="auto"/>
              <w:rPr>
                <w:rFonts w:ascii="微软雅黑" w:hAnsi="微软雅黑" w:eastAsia="微软雅黑" w:cs="宋体"/>
                <w:b/>
                <w:bCs/>
                <w:color w:val="000000"/>
                <w:kern w:val="0"/>
                <w:sz w:val="24"/>
                <w:szCs w:val="21"/>
                <w14:ligatures w14:val="none"/>
              </w:rPr>
            </w:pPr>
            <w:r>
              <w:rPr>
                <w:rFonts w:hint="eastAsia" w:ascii="Calibri" w:hAnsi="Calibri" w:eastAsia="宋体" w:cs="Times New Roman"/>
                <w:b/>
                <w:color w:val="000000"/>
                <w:kern w:val="0"/>
                <w:sz w:val="24"/>
                <w:szCs w:val="21"/>
                <w14:ligatures w14:val="none"/>
              </w:rPr>
              <w:t>序号</w:t>
            </w:r>
          </w:p>
        </w:tc>
        <w:tc>
          <w:tcPr>
            <w:tcW w:w="5791" w:type="dxa"/>
            <w:tcBorders>
              <w:top w:val="single" w:color="auto" w:sz="4" w:space="0"/>
              <w:left w:val="single" w:color="auto" w:sz="4" w:space="0"/>
              <w:bottom w:val="single" w:color="auto" w:sz="4" w:space="0"/>
              <w:right w:val="single" w:color="auto" w:sz="4" w:space="0"/>
            </w:tcBorders>
            <w:noWrap/>
            <w:vAlign w:val="center"/>
          </w:tcPr>
          <w:p w14:paraId="1ADB7720">
            <w:pPr>
              <w:keepNext w:val="0"/>
              <w:pageBreakBefore w:val="0"/>
              <w:widowControl/>
              <w:kinsoku/>
              <w:wordWrap/>
              <w:overflowPunct/>
              <w:topLinePunct w:val="0"/>
              <w:bidi w:val="0"/>
              <w:spacing w:line="300" w:lineRule="auto"/>
              <w:textAlignment w:val="auto"/>
              <w:rPr>
                <w:rFonts w:ascii="微软雅黑" w:hAnsi="微软雅黑" w:eastAsia="微软雅黑" w:cs="宋体"/>
                <w:b/>
                <w:bCs/>
                <w:color w:val="000000"/>
                <w:kern w:val="0"/>
                <w:sz w:val="24"/>
                <w:szCs w:val="21"/>
                <w14:ligatures w14:val="none"/>
              </w:rPr>
            </w:pPr>
            <w:r>
              <w:rPr>
                <w:rFonts w:hint="eastAsia" w:ascii="Calibri" w:hAnsi="Calibri" w:eastAsia="宋体" w:cs="Times New Roman"/>
                <w:b/>
                <w:color w:val="000000"/>
                <w:kern w:val="0"/>
                <w:sz w:val="24"/>
                <w:szCs w:val="21"/>
                <w14:ligatures w14:val="none"/>
              </w:rPr>
              <w:t>名称</w:t>
            </w:r>
          </w:p>
        </w:tc>
        <w:tc>
          <w:tcPr>
            <w:tcW w:w="944" w:type="dxa"/>
            <w:tcBorders>
              <w:top w:val="single" w:color="auto" w:sz="4" w:space="0"/>
              <w:left w:val="single" w:color="auto" w:sz="4" w:space="0"/>
              <w:bottom w:val="single" w:color="auto" w:sz="4" w:space="0"/>
              <w:right w:val="single" w:color="auto" w:sz="4" w:space="0"/>
            </w:tcBorders>
            <w:vAlign w:val="center"/>
          </w:tcPr>
          <w:p w14:paraId="77C3AD7E">
            <w:pPr>
              <w:keepNext w:val="0"/>
              <w:pageBreakBefore w:val="0"/>
              <w:widowControl/>
              <w:kinsoku/>
              <w:wordWrap/>
              <w:overflowPunct/>
              <w:topLinePunct w:val="0"/>
              <w:bidi w:val="0"/>
              <w:spacing w:line="300" w:lineRule="auto"/>
              <w:jc w:val="center"/>
              <w:textAlignment w:val="auto"/>
              <w:rPr>
                <w:rFonts w:ascii="微软雅黑" w:hAnsi="微软雅黑" w:eastAsia="微软雅黑" w:cs="宋体"/>
                <w:b/>
                <w:bCs/>
                <w:color w:val="000000"/>
                <w:kern w:val="0"/>
                <w:sz w:val="24"/>
                <w:szCs w:val="21"/>
                <w14:ligatures w14:val="none"/>
              </w:rPr>
            </w:pPr>
            <w:r>
              <w:rPr>
                <w:rFonts w:hint="eastAsia" w:ascii="Calibri" w:hAnsi="Calibri" w:eastAsia="宋体" w:cs="Times New Roman"/>
                <w:b/>
                <w:color w:val="000000"/>
                <w:kern w:val="0"/>
                <w:sz w:val="24"/>
                <w:szCs w:val="21"/>
                <w14:ligatures w14:val="none"/>
              </w:rPr>
              <w:t>单位</w:t>
            </w:r>
          </w:p>
        </w:tc>
        <w:tc>
          <w:tcPr>
            <w:tcW w:w="807" w:type="dxa"/>
            <w:tcBorders>
              <w:top w:val="single" w:color="auto" w:sz="4" w:space="0"/>
              <w:left w:val="single" w:color="auto" w:sz="4" w:space="0"/>
              <w:bottom w:val="single" w:color="auto" w:sz="4" w:space="0"/>
              <w:right w:val="single" w:color="auto" w:sz="4" w:space="0"/>
            </w:tcBorders>
            <w:noWrap/>
            <w:vAlign w:val="center"/>
          </w:tcPr>
          <w:p w14:paraId="4512A3ED">
            <w:pPr>
              <w:keepNext w:val="0"/>
              <w:pageBreakBefore w:val="0"/>
              <w:widowControl/>
              <w:kinsoku/>
              <w:wordWrap/>
              <w:overflowPunct/>
              <w:topLinePunct w:val="0"/>
              <w:bidi w:val="0"/>
              <w:spacing w:line="300" w:lineRule="auto"/>
              <w:jc w:val="center"/>
              <w:textAlignment w:val="auto"/>
              <w:rPr>
                <w:rFonts w:ascii="微软雅黑" w:hAnsi="微软雅黑" w:eastAsia="微软雅黑" w:cs="宋体"/>
                <w:b/>
                <w:bCs/>
                <w:color w:val="000000"/>
                <w:kern w:val="0"/>
                <w:sz w:val="24"/>
                <w:szCs w:val="21"/>
                <w14:ligatures w14:val="none"/>
              </w:rPr>
            </w:pPr>
            <w:r>
              <w:rPr>
                <w:rFonts w:hint="eastAsia" w:ascii="Calibri" w:hAnsi="Calibri" w:eastAsia="宋体" w:cs="Times New Roman"/>
                <w:b/>
                <w:color w:val="000000"/>
                <w:kern w:val="0"/>
                <w:sz w:val="24"/>
                <w:szCs w:val="21"/>
                <w14:ligatures w14:val="none"/>
              </w:rPr>
              <w:t>数量</w:t>
            </w:r>
          </w:p>
        </w:tc>
      </w:tr>
      <w:tr w14:paraId="780A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6C3C21A7">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14:ligatures w14:val="none"/>
              </w:rPr>
            </w:pPr>
            <w:r>
              <w:rPr>
                <w:rFonts w:hint="eastAsia" w:ascii="宋体" w:hAnsi="宋体" w:eastAsia="宋体" w:cs="Times New Roman"/>
                <w:snapToGrid w:val="0"/>
                <w:kern w:val="0"/>
                <w:sz w:val="24"/>
                <w:szCs w:val="24"/>
                <w:lang w:val="en-US" w:eastAsia="zh-CN"/>
                <w14:ligatures w14:val="none"/>
              </w:rPr>
              <w:t>1</w:t>
            </w:r>
          </w:p>
        </w:tc>
        <w:tc>
          <w:tcPr>
            <w:tcW w:w="5791" w:type="dxa"/>
            <w:tcBorders>
              <w:top w:val="single" w:color="auto" w:sz="4" w:space="0"/>
              <w:left w:val="single" w:color="auto" w:sz="4" w:space="0"/>
              <w:bottom w:val="single" w:color="auto" w:sz="4" w:space="0"/>
              <w:right w:val="single" w:color="auto" w:sz="4" w:space="0"/>
            </w:tcBorders>
            <w:shd w:val="clear" w:color="auto" w:fill="auto"/>
            <w:vAlign w:val="center"/>
          </w:tcPr>
          <w:p w14:paraId="2DFCE8EE">
            <w:pPr>
              <w:keepNext w:val="0"/>
              <w:pageBreakBefore w:val="0"/>
              <w:kinsoku/>
              <w:wordWrap/>
              <w:overflowPunct/>
              <w:topLinePunct w:val="0"/>
              <w:autoSpaceDE w:val="0"/>
              <w:autoSpaceDN w:val="0"/>
              <w:bidi w:val="0"/>
              <w:adjustRightInd w:val="0"/>
              <w:snapToGrid w:val="0"/>
              <w:spacing w:line="300" w:lineRule="auto"/>
              <w:textAlignment w:val="auto"/>
              <w:rPr>
                <w:rFonts w:hint="eastAsia" w:ascii="宋体" w:hAnsi="宋体" w:cs="Times New Roman" w:eastAsiaTheme="minorEastAsia"/>
                <w:snapToGrid w:val="0"/>
                <w:kern w:val="0"/>
                <w:sz w:val="24"/>
                <w:szCs w:val="24"/>
                <w:lang w:val="en-US" w:eastAsia="zh-CN" w:bidi="ar-SA"/>
                <w14:ligatures w14:val="none"/>
              </w:rPr>
            </w:pPr>
            <w:r>
              <w:rPr>
                <w:rFonts w:hint="eastAsia" w:ascii="宋体" w:hAnsi="宋体" w:cs="Times New Roman"/>
                <w:snapToGrid w:val="0"/>
                <w:kern w:val="0"/>
                <w:sz w:val="24"/>
                <w:szCs w:val="24"/>
                <w:lang w:val="en-US" w:eastAsia="zh-CN"/>
                <w14:ligatures w14:val="none"/>
              </w:rPr>
              <w:t>双通道主机，配置以下模块，</w:t>
            </w:r>
            <w:r>
              <w:t>整机直接可以用于测试</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744186DB">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7DE9FDAC">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1</w:t>
            </w:r>
          </w:p>
        </w:tc>
      </w:tr>
      <w:tr w14:paraId="60BD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6EA1C65B">
            <w:pPr>
              <w:keepNext w:val="0"/>
              <w:pageBreakBefore w:val="0"/>
              <w:widowControl/>
              <w:kinsoku/>
              <w:wordWrap/>
              <w:overflowPunct/>
              <w:topLinePunct w:val="0"/>
              <w:bidi w:val="0"/>
              <w:spacing w:line="300" w:lineRule="auto"/>
              <w:jc w:val="center"/>
              <w:textAlignment w:val="auto"/>
              <w:rPr>
                <w:rFonts w:ascii="微软雅黑" w:hAnsi="微软雅黑" w:eastAsia="微软雅黑" w:cs="宋体"/>
                <w:kern w:val="0"/>
                <w:sz w:val="24"/>
                <w:szCs w:val="21"/>
                <w14:ligatures w14:val="none"/>
              </w:rPr>
            </w:pPr>
            <w:r>
              <w:rPr>
                <w:rFonts w:hint="eastAsia" w:ascii="宋体" w:hAnsi="宋体" w:eastAsia="宋体" w:cs="Times New Roman"/>
                <w:snapToGrid w:val="0"/>
                <w:kern w:val="0"/>
                <w:sz w:val="24"/>
                <w:szCs w:val="24"/>
                <w14:ligatures w14:val="none"/>
              </w:rPr>
              <w:t>2</w:t>
            </w:r>
          </w:p>
        </w:tc>
        <w:tc>
          <w:tcPr>
            <w:tcW w:w="5791" w:type="dxa"/>
            <w:tcBorders>
              <w:top w:val="single" w:color="auto" w:sz="4" w:space="0"/>
              <w:left w:val="single" w:color="auto" w:sz="4" w:space="0"/>
              <w:bottom w:val="single" w:color="auto" w:sz="4" w:space="0"/>
              <w:right w:val="single" w:color="auto" w:sz="4" w:space="0"/>
            </w:tcBorders>
            <w:vAlign w:val="center"/>
          </w:tcPr>
          <w:p w14:paraId="4B94D0D3">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高精度蠕动泵及空气阀/注射泵，含：单个蠕动泵有16根或以上泵管位</w:t>
            </w:r>
          </w:p>
        </w:tc>
        <w:tc>
          <w:tcPr>
            <w:tcW w:w="944" w:type="dxa"/>
            <w:tcBorders>
              <w:top w:val="single" w:color="auto" w:sz="4" w:space="0"/>
              <w:left w:val="single" w:color="auto" w:sz="4" w:space="0"/>
              <w:bottom w:val="single" w:color="auto" w:sz="4" w:space="0"/>
              <w:right w:val="single" w:color="auto" w:sz="4" w:space="0"/>
            </w:tcBorders>
            <w:vAlign w:val="center"/>
          </w:tcPr>
          <w:p w14:paraId="58F6806C">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293D3EA3">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763E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43333F0F">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3</w:t>
            </w:r>
          </w:p>
        </w:tc>
        <w:tc>
          <w:tcPr>
            <w:tcW w:w="5791" w:type="dxa"/>
            <w:tcBorders>
              <w:top w:val="single" w:color="auto" w:sz="4" w:space="0"/>
              <w:left w:val="single" w:color="auto" w:sz="4" w:space="0"/>
              <w:bottom w:val="single" w:color="auto" w:sz="4" w:space="0"/>
              <w:right w:val="single" w:color="auto" w:sz="4" w:space="0"/>
            </w:tcBorders>
            <w:vAlign w:val="center"/>
          </w:tcPr>
          <w:p w14:paraId="13191A33">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总磷/正磷分析模块，含：泵管、</w:t>
            </w:r>
            <w:r>
              <w:rPr>
                <w:rFonts w:hint="eastAsia" w:ascii="宋体" w:hAnsi="宋体" w:eastAsia="宋体" w:cs="Times New Roman"/>
                <w:snapToGrid w:val="0"/>
                <w:kern w:val="0"/>
                <w:sz w:val="24"/>
                <w:szCs w:val="24"/>
                <w:highlight w:val="none"/>
                <w14:ligatures w14:val="none"/>
              </w:rPr>
              <w:t>在线紫外消解器、在线</w:t>
            </w:r>
            <w:r>
              <w:rPr>
                <w:rFonts w:hint="eastAsia" w:ascii="宋体" w:hAnsi="宋体" w:eastAsia="宋体" w:cs="Times New Roman"/>
                <w:snapToGrid w:val="0"/>
                <w:kern w:val="0"/>
                <w:sz w:val="24"/>
                <w:szCs w:val="24"/>
                <w:highlight w:val="none"/>
                <w:lang w:eastAsia="zh-CN"/>
                <w14:ligatures w14:val="none"/>
              </w:rPr>
              <w:t>（</w:t>
            </w:r>
            <w:r>
              <w:rPr>
                <w:rFonts w:hint="eastAsia" w:ascii="宋体" w:hAnsi="宋体" w:eastAsia="宋体" w:cs="Times New Roman"/>
                <w:snapToGrid w:val="0"/>
                <w:kern w:val="0"/>
                <w:sz w:val="24"/>
                <w:szCs w:val="24"/>
                <w:highlight w:val="none"/>
                <w14:ligatures w14:val="none"/>
              </w:rPr>
              <w:t>1</w:t>
            </w:r>
            <w:r>
              <w:rPr>
                <w:rFonts w:hint="eastAsia" w:ascii="宋体" w:hAnsi="宋体" w:eastAsia="宋体" w:cs="Times New Roman"/>
                <w:snapToGrid w:val="0"/>
                <w:kern w:val="0"/>
                <w:sz w:val="24"/>
                <w:szCs w:val="24"/>
                <w:highlight w:val="none"/>
                <w:lang w:val="en-US" w:eastAsia="zh-CN"/>
                <w14:ligatures w14:val="none"/>
              </w:rPr>
              <w:t>07±1）</w:t>
            </w:r>
            <w:r>
              <w:rPr>
                <w:rFonts w:hint="eastAsia" w:ascii="宋体" w:hAnsi="宋体" w:eastAsia="宋体" w:cs="Times New Roman"/>
                <w:snapToGrid w:val="0"/>
                <w:kern w:val="0"/>
                <w:sz w:val="24"/>
                <w:szCs w:val="24"/>
                <w:highlight w:val="none"/>
                <w14:ligatures w14:val="none"/>
              </w:rPr>
              <w:t>℃高温高压消解器、加压装置</w:t>
            </w:r>
            <w:r>
              <w:rPr>
                <w:rFonts w:hint="eastAsia" w:ascii="宋体" w:hAnsi="宋体" w:eastAsia="宋体" w:cs="Times New Roman"/>
                <w:snapToGrid w:val="0"/>
                <w:kern w:val="0"/>
                <w:sz w:val="24"/>
                <w:szCs w:val="24"/>
                <w14:ligatures w14:val="none"/>
              </w:rPr>
              <w:t>消解装置、混合反应圈、在线透析装置等</w:t>
            </w:r>
          </w:p>
        </w:tc>
        <w:tc>
          <w:tcPr>
            <w:tcW w:w="944" w:type="dxa"/>
            <w:tcBorders>
              <w:top w:val="single" w:color="auto" w:sz="4" w:space="0"/>
              <w:left w:val="single" w:color="auto" w:sz="4" w:space="0"/>
              <w:bottom w:val="single" w:color="auto" w:sz="4" w:space="0"/>
              <w:right w:val="single" w:color="auto" w:sz="4" w:space="0"/>
            </w:tcBorders>
            <w:vAlign w:val="center"/>
          </w:tcPr>
          <w:p w14:paraId="04B63182">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776E1D22">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4BF0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6BB3DB80">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4</w:t>
            </w:r>
          </w:p>
        </w:tc>
        <w:tc>
          <w:tcPr>
            <w:tcW w:w="5791" w:type="dxa"/>
            <w:tcBorders>
              <w:top w:val="single" w:color="auto" w:sz="4" w:space="0"/>
              <w:left w:val="single" w:color="auto" w:sz="4" w:space="0"/>
              <w:bottom w:val="single" w:color="auto" w:sz="4" w:space="0"/>
              <w:right w:val="single" w:color="auto" w:sz="4" w:space="0"/>
            </w:tcBorders>
            <w:vAlign w:val="center"/>
          </w:tcPr>
          <w:p w14:paraId="04342BF1">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Calibri" w:hAnsi="Calibri" w:eastAsia="宋体" w:cs="Times New Roman"/>
                <w:kern w:val="0"/>
                <w:sz w:val="24"/>
                <w:szCs w:val="24"/>
                <w14:ligatures w14:val="none"/>
              </w:rPr>
              <w:t>二氧化硅分析模块，含：泵管、混合反应圈等</w:t>
            </w:r>
          </w:p>
        </w:tc>
        <w:tc>
          <w:tcPr>
            <w:tcW w:w="944" w:type="dxa"/>
            <w:tcBorders>
              <w:top w:val="single" w:color="auto" w:sz="4" w:space="0"/>
              <w:left w:val="single" w:color="auto" w:sz="4" w:space="0"/>
              <w:bottom w:val="single" w:color="auto" w:sz="4" w:space="0"/>
              <w:right w:val="single" w:color="auto" w:sz="4" w:space="0"/>
            </w:tcBorders>
            <w:vAlign w:val="center"/>
          </w:tcPr>
          <w:p w14:paraId="661B3432">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70E5D678">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2203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7AAB4BE3">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5</w:t>
            </w:r>
          </w:p>
        </w:tc>
        <w:tc>
          <w:tcPr>
            <w:tcW w:w="5791" w:type="dxa"/>
            <w:tcBorders>
              <w:top w:val="single" w:color="auto" w:sz="4" w:space="0"/>
              <w:left w:val="single" w:color="auto" w:sz="4" w:space="0"/>
              <w:bottom w:val="single" w:color="auto" w:sz="4" w:space="0"/>
              <w:right w:val="single" w:color="auto" w:sz="4" w:space="0"/>
            </w:tcBorders>
            <w:vAlign w:val="center"/>
          </w:tcPr>
          <w:p w14:paraId="601A21B0">
            <w:pPr>
              <w:keepNext w:val="0"/>
              <w:pageBreakBefore w:val="0"/>
              <w:widowControl/>
              <w:kinsoku/>
              <w:wordWrap/>
              <w:overflowPunct/>
              <w:topLinePunct w:val="0"/>
              <w:bidi w:val="0"/>
              <w:spacing w:line="300" w:lineRule="auto"/>
              <w:textAlignment w:val="auto"/>
              <w:rPr>
                <w:rFonts w:ascii="Calibri" w:hAnsi="Calibri" w:eastAsia="宋体" w:cs="Times New Roman"/>
                <w:kern w:val="0"/>
                <w:sz w:val="24"/>
                <w:szCs w:val="24"/>
                <w14:ligatures w14:val="none"/>
              </w:rPr>
            </w:pPr>
            <w:r>
              <w:rPr>
                <w:rFonts w:hint="eastAsia" w:ascii="Calibri" w:hAnsi="Calibri" w:eastAsia="宋体" w:cs="Times New Roman"/>
                <w:kern w:val="0"/>
                <w:sz w:val="24"/>
                <w:szCs w:val="24"/>
                <w14:ligatures w14:val="none"/>
              </w:rPr>
              <w:t>双光束数字检测器，磷流通池、滤光器及配套检测组件</w:t>
            </w:r>
            <w:r>
              <w:rPr>
                <w:rFonts w:hint="eastAsia" w:ascii="Calibri" w:hAnsi="Calibri" w:eastAsia="宋体" w:cs="Times New Roman"/>
                <w:kern w:val="0"/>
                <w:sz w:val="24"/>
                <w:szCs w:val="24"/>
                <w:lang w:val="en-US" w:eastAsia="zh-CN"/>
                <w14:ligatures w14:val="none"/>
              </w:rPr>
              <w:t>件</w:t>
            </w:r>
          </w:p>
        </w:tc>
        <w:tc>
          <w:tcPr>
            <w:tcW w:w="944" w:type="dxa"/>
            <w:tcBorders>
              <w:top w:val="single" w:color="auto" w:sz="4" w:space="0"/>
              <w:left w:val="single" w:color="auto" w:sz="4" w:space="0"/>
              <w:bottom w:val="single" w:color="auto" w:sz="4" w:space="0"/>
              <w:right w:val="single" w:color="auto" w:sz="4" w:space="0"/>
            </w:tcBorders>
            <w:vAlign w:val="center"/>
          </w:tcPr>
          <w:p w14:paraId="48B784CE">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3026AC4B">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084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58EC6354">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6</w:t>
            </w:r>
          </w:p>
        </w:tc>
        <w:tc>
          <w:tcPr>
            <w:tcW w:w="5791" w:type="dxa"/>
            <w:tcBorders>
              <w:top w:val="single" w:color="auto" w:sz="4" w:space="0"/>
              <w:left w:val="single" w:color="auto" w:sz="4" w:space="0"/>
              <w:bottom w:val="single" w:color="auto" w:sz="4" w:space="0"/>
              <w:right w:val="single" w:color="auto" w:sz="4" w:space="0"/>
            </w:tcBorders>
            <w:vAlign w:val="center"/>
          </w:tcPr>
          <w:p w14:paraId="7FAB6F25">
            <w:pPr>
              <w:keepNext w:val="0"/>
              <w:pageBreakBefore w:val="0"/>
              <w:widowControl/>
              <w:kinsoku/>
              <w:wordWrap/>
              <w:overflowPunct/>
              <w:topLinePunct w:val="0"/>
              <w:bidi w:val="0"/>
              <w:spacing w:line="300" w:lineRule="auto"/>
              <w:textAlignment w:val="auto"/>
              <w:rPr>
                <w:rFonts w:hint="eastAsia" w:ascii="Calibri" w:hAnsi="Calibri" w:eastAsia="宋体" w:cs="Times New Roman"/>
                <w:kern w:val="0"/>
                <w:sz w:val="24"/>
                <w:szCs w:val="24"/>
                <w14:ligatures w14:val="none"/>
              </w:rPr>
            </w:pPr>
            <w:r>
              <w:rPr>
                <w:rFonts w:hint="eastAsia" w:ascii="Calibri" w:hAnsi="Calibri" w:eastAsia="宋体" w:cs="Times New Roman"/>
                <w:kern w:val="0"/>
                <w:sz w:val="24"/>
                <w:szCs w:val="24"/>
                <w14:ligatures w14:val="none"/>
              </w:rPr>
              <w:t>双光束数字检测器，硅流通池、滤光器及配套检测组件</w:t>
            </w:r>
          </w:p>
        </w:tc>
        <w:tc>
          <w:tcPr>
            <w:tcW w:w="944" w:type="dxa"/>
            <w:tcBorders>
              <w:top w:val="single" w:color="auto" w:sz="4" w:space="0"/>
              <w:left w:val="single" w:color="auto" w:sz="4" w:space="0"/>
              <w:bottom w:val="single" w:color="auto" w:sz="4" w:space="0"/>
              <w:right w:val="single" w:color="auto" w:sz="4" w:space="0"/>
            </w:tcBorders>
            <w:vAlign w:val="center"/>
          </w:tcPr>
          <w:p w14:paraId="6ED3D247">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4F36E6F4">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0CBC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71FF87C">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14:ligatures w14:val="none"/>
              </w:rPr>
              <w:t>7</w:t>
            </w:r>
          </w:p>
        </w:tc>
        <w:tc>
          <w:tcPr>
            <w:tcW w:w="5791" w:type="dxa"/>
            <w:tcBorders>
              <w:top w:val="single" w:color="auto" w:sz="4" w:space="0"/>
              <w:left w:val="single" w:color="auto" w:sz="4" w:space="0"/>
              <w:bottom w:val="single" w:color="auto" w:sz="4" w:space="0"/>
              <w:right w:val="single" w:color="auto" w:sz="4" w:space="0"/>
            </w:tcBorders>
            <w:shd w:val="clear" w:color="auto" w:fill="auto"/>
            <w:vAlign w:val="center"/>
          </w:tcPr>
          <w:p w14:paraId="34E85B87">
            <w:pPr>
              <w:keepNext w:val="0"/>
              <w:pageBreakBefore w:val="0"/>
              <w:kinsoku/>
              <w:wordWrap/>
              <w:overflowPunct/>
              <w:topLinePunct w:val="0"/>
              <w:autoSpaceDE w:val="0"/>
              <w:autoSpaceDN w:val="0"/>
              <w:bidi w:val="0"/>
              <w:adjustRightInd w:val="0"/>
              <w:snapToGrid w:val="0"/>
              <w:spacing w:line="300" w:lineRule="auto"/>
              <w:textAlignment w:val="auto"/>
              <w:rPr>
                <w:rFonts w:hint="default" w:ascii="宋体" w:hAnsi="宋体" w:eastAsia="宋体" w:cs="Times New Roman"/>
                <w:snapToGrid w:val="0"/>
                <w:kern w:val="0"/>
                <w:sz w:val="24"/>
                <w:szCs w:val="24"/>
                <w:lang w:val="en-US" w:eastAsia="zh-CN" w:bidi="ar-SA"/>
                <w14:ligatures w14:val="none"/>
              </w:rPr>
            </w:pPr>
            <w:r>
              <w:rPr>
                <w:rFonts w:hint="eastAsia" w:ascii="宋体" w:hAnsi="宋体" w:eastAsia="Times New Roman" w:cs="Times New Roman"/>
                <w:snapToGrid w:val="0"/>
                <w:kern w:val="0"/>
                <w:sz w:val="24"/>
                <w:szCs w:val="24"/>
                <w14:ligatures w14:val="none"/>
              </w:rPr>
              <w:t>双针自动取样器，含：</w:t>
            </w:r>
            <w:r>
              <w:rPr>
                <w:rFonts w:hint="eastAsia" w:ascii="宋体" w:hAnsi="宋体" w:eastAsia="宋体" w:cs="Times New Roman"/>
                <w:snapToGrid w:val="0"/>
                <w:kern w:val="0"/>
                <w:sz w:val="24"/>
                <w:szCs w:val="24"/>
                <w:lang w:val="en-US" w:eastAsia="zh-CN"/>
                <w14:ligatures w14:val="none"/>
              </w:rPr>
              <w:t>300</w:t>
            </w:r>
            <w:r>
              <w:rPr>
                <w:rFonts w:hint="eastAsia" w:ascii="宋体" w:hAnsi="宋体" w:eastAsia="Times New Roman" w:cs="Times New Roman"/>
                <w:snapToGrid w:val="0"/>
                <w:kern w:val="0"/>
                <w:sz w:val="24"/>
                <w:szCs w:val="24"/>
                <w14:ligatures w14:val="none"/>
              </w:rPr>
              <w:t>个或以上样品位</w:t>
            </w:r>
            <w:r>
              <w:rPr>
                <w:rFonts w:hint="eastAsia" w:ascii="宋体" w:hAnsi="宋体" w:eastAsia="宋体" w:cs="Times New Roman"/>
                <w:snapToGrid w:val="0"/>
                <w:kern w:val="0"/>
                <w:sz w:val="24"/>
                <w:szCs w:val="24"/>
                <w:lang w:eastAsia="zh-CN"/>
                <w14:ligatures w14:val="none"/>
              </w:rPr>
              <w:t>，</w:t>
            </w:r>
            <w:r>
              <w:rPr>
                <w:rFonts w:hint="eastAsia" w:ascii="宋体" w:hAnsi="宋体" w:cs="Times New Roman"/>
                <w:snapToGrid w:val="0"/>
                <w:color w:val="auto"/>
                <w:kern w:val="0"/>
                <w:sz w:val="24"/>
                <w:szCs w:val="24"/>
                <w:lang w:val="en-US" w:eastAsia="zh-CN"/>
                <w14:ligatures w14:val="none"/>
              </w:rPr>
              <w:t>进样器带样品均质功能</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79070C07">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663B8">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1</w:t>
            </w:r>
          </w:p>
        </w:tc>
      </w:tr>
      <w:tr w14:paraId="7E64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9E3F743">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14:ligatures w14:val="none"/>
              </w:rPr>
              <w:t>8</w:t>
            </w:r>
          </w:p>
        </w:tc>
        <w:tc>
          <w:tcPr>
            <w:tcW w:w="5791" w:type="dxa"/>
            <w:tcBorders>
              <w:top w:val="single" w:color="auto" w:sz="4" w:space="0"/>
              <w:left w:val="single" w:color="auto" w:sz="4" w:space="0"/>
              <w:bottom w:val="single" w:color="auto" w:sz="4" w:space="0"/>
              <w:right w:val="single" w:color="auto" w:sz="4" w:space="0"/>
            </w:tcBorders>
            <w:vAlign w:val="center"/>
          </w:tcPr>
          <w:p w14:paraId="34CF00C1">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Calibri" w:hAnsi="Calibri" w:eastAsia="宋体" w:cs="Times New Roman"/>
                <w:kern w:val="0"/>
                <w:sz w:val="24"/>
                <w:szCs w:val="24"/>
                <w14:ligatures w14:val="none"/>
              </w:rPr>
              <w:t>仪器控制和数据分析软件</w:t>
            </w:r>
          </w:p>
        </w:tc>
        <w:tc>
          <w:tcPr>
            <w:tcW w:w="944" w:type="dxa"/>
            <w:tcBorders>
              <w:top w:val="single" w:color="auto" w:sz="4" w:space="0"/>
              <w:left w:val="single" w:color="auto" w:sz="4" w:space="0"/>
              <w:bottom w:val="single" w:color="auto" w:sz="4" w:space="0"/>
              <w:right w:val="single" w:color="auto" w:sz="4" w:space="0"/>
            </w:tcBorders>
            <w:vAlign w:val="center"/>
          </w:tcPr>
          <w:p w14:paraId="70DFCF30">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01862149">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54AA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2C385870">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14:ligatures w14:val="none"/>
              </w:rPr>
              <w:t>9</w:t>
            </w:r>
          </w:p>
        </w:tc>
        <w:tc>
          <w:tcPr>
            <w:tcW w:w="5791" w:type="dxa"/>
            <w:tcBorders>
              <w:top w:val="single" w:color="auto" w:sz="4" w:space="0"/>
              <w:left w:val="single" w:color="auto" w:sz="4" w:space="0"/>
              <w:bottom w:val="single" w:color="auto" w:sz="4" w:space="0"/>
              <w:right w:val="single" w:color="auto" w:sz="4" w:space="0"/>
            </w:tcBorders>
            <w:vAlign w:val="center"/>
          </w:tcPr>
          <w:p w14:paraId="1B8C63BF">
            <w:pPr>
              <w:keepNext w:val="0"/>
              <w:pageBreakBefore w:val="0"/>
              <w:widowControl/>
              <w:kinsoku/>
              <w:wordWrap/>
              <w:overflowPunct/>
              <w:topLinePunct w:val="0"/>
              <w:bidi w:val="0"/>
              <w:spacing w:line="300" w:lineRule="auto"/>
              <w:textAlignment w:val="auto"/>
              <w:rPr>
                <w:rFonts w:ascii="Calibri" w:hAnsi="Calibri" w:eastAsia="宋体" w:cs="Times New Roman"/>
                <w:kern w:val="0"/>
                <w:sz w:val="24"/>
                <w:szCs w:val="24"/>
                <w14:ligatures w14:val="none"/>
              </w:rPr>
            </w:pPr>
            <w:r>
              <w:rPr>
                <w:rFonts w:hint="eastAsia" w:ascii="Calibri" w:hAnsi="Calibri" w:eastAsia="宋体" w:cs="Times New Roman"/>
                <w:kern w:val="0"/>
                <w:sz w:val="24"/>
                <w:szCs w:val="24"/>
                <w14:ligatures w14:val="none"/>
              </w:rPr>
              <w:t>启动工具</w:t>
            </w:r>
          </w:p>
          <w:p w14:paraId="09505568">
            <w:pPr>
              <w:keepNext w:val="0"/>
              <w:pageBreakBefore w:val="0"/>
              <w:widowControl/>
              <w:kinsoku/>
              <w:wordWrap/>
              <w:overflowPunct/>
              <w:topLinePunct w:val="0"/>
              <w:bidi w:val="0"/>
              <w:spacing w:line="300" w:lineRule="auto"/>
              <w:textAlignment w:val="auto"/>
              <w:rPr>
                <w:rFonts w:ascii="宋体" w:hAnsi="宋体" w:eastAsia="宋体" w:cs="Times New Roman"/>
                <w:snapToGrid w:val="0"/>
                <w:kern w:val="0"/>
                <w:sz w:val="24"/>
                <w:szCs w:val="24"/>
                <w14:ligatures w14:val="none"/>
              </w:rPr>
            </w:pPr>
            <w:r>
              <w:rPr>
                <w:rFonts w:hint="eastAsia" w:ascii="Calibri" w:hAnsi="Calibri" w:eastAsia="宋体" w:cs="Times New Roman"/>
                <w:kern w:val="0"/>
                <w:sz w:val="24"/>
                <w:szCs w:val="24"/>
                <w14:ligatures w14:val="none"/>
              </w:rPr>
              <w:t>满足总磷/正磷和硅分析所需的泵管各</w:t>
            </w:r>
            <w:r>
              <w:rPr>
                <w:rFonts w:ascii="Calibri" w:hAnsi="Calibri" w:eastAsia="宋体" w:cs="Times New Roman"/>
                <w:kern w:val="0"/>
                <w:sz w:val="24"/>
                <w:szCs w:val="24"/>
                <w14:ligatures w14:val="none"/>
              </w:rPr>
              <w:t>1</w:t>
            </w:r>
            <w:r>
              <w:rPr>
                <w:rFonts w:hint="eastAsia" w:ascii="Calibri" w:hAnsi="Calibri" w:eastAsia="宋体" w:cs="Times New Roman"/>
                <w:kern w:val="0"/>
                <w:sz w:val="24"/>
                <w:szCs w:val="24"/>
                <w14:ligatures w14:val="none"/>
              </w:rPr>
              <w:t>根，空气管</w:t>
            </w:r>
            <w:r>
              <w:rPr>
                <w:rFonts w:ascii="Calibri" w:hAnsi="Calibri" w:eastAsia="宋体" w:cs="Times New Roman"/>
                <w:kern w:val="0"/>
                <w:sz w:val="24"/>
                <w:szCs w:val="24"/>
                <w14:ligatures w14:val="none"/>
              </w:rPr>
              <w:t>1</w:t>
            </w:r>
            <w:r>
              <w:rPr>
                <w:rFonts w:hint="eastAsia" w:ascii="Calibri" w:hAnsi="Calibri" w:eastAsia="宋体" w:cs="Times New Roman"/>
                <w:kern w:val="0"/>
                <w:sz w:val="24"/>
                <w:szCs w:val="24"/>
                <w14:ligatures w14:val="none"/>
              </w:rPr>
              <w:t>套，透析膜1套（12片/套），连接件</w:t>
            </w:r>
            <w:r>
              <w:rPr>
                <w:rFonts w:ascii="Calibri" w:hAnsi="Calibri" w:eastAsia="宋体" w:cs="Times New Roman"/>
                <w:kern w:val="0"/>
                <w:sz w:val="24"/>
                <w:szCs w:val="24"/>
                <w14:ligatures w14:val="none"/>
              </w:rPr>
              <w:t>1</w:t>
            </w:r>
            <w:r>
              <w:rPr>
                <w:rFonts w:hint="eastAsia" w:ascii="Calibri" w:hAnsi="Calibri" w:eastAsia="宋体" w:cs="Times New Roman"/>
                <w:kern w:val="0"/>
                <w:sz w:val="24"/>
                <w:szCs w:val="24"/>
                <w14:ligatures w14:val="none"/>
              </w:rPr>
              <w:t>套，</w:t>
            </w:r>
            <w:r>
              <w:rPr>
                <w:rFonts w:ascii="Calibri" w:hAnsi="Calibri" w:eastAsia="宋体" w:cs="Times New Roman"/>
                <w:kern w:val="0"/>
                <w:sz w:val="24"/>
                <w:szCs w:val="24"/>
                <w14:ligatures w14:val="none"/>
              </w:rPr>
              <w:t>250mL</w:t>
            </w:r>
            <w:r>
              <w:rPr>
                <w:rFonts w:hint="eastAsia" w:ascii="Calibri" w:hAnsi="Calibri" w:eastAsia="宋体" w:cs="Times New Roman"/>
                <w:kern w:val="0"/>
                <w:sz w:val="24"/>
                <w:szCs w:val="24"/>
                <w14:ligatures w14:val="none"/>
              </w:rPr>
              <w:t>试剂瓶</w:t>
            </w:r>
            <w:r>
              <w:rPr>
                <w:rFonts w:ascii="Calibri" w:hAnsi="Calibri" w:eastAsia="宋体" w:cs="Times New Roman"/>
                <w:kern w:val="0"/>
                <w:sz w:val="24"/>
                <w:szCs w:val="24"/>
                <w14:ligatures w14:val="none"/>
              </w:rPr>
              <w:t>20</w:t>
            </w:r>
            <w:r>
              <w:rPr>
                <w:rFonts w:hint="eastAsia" w:ascii="Calibri" w:hAnsi="Calibri" w:eastAsia="宋体" w:cs="Times New Roman"/>
                <w:kern w:val="0"/>
                <w:sz w:val="24"/>
                <w:szCs w:val="24"/>
                <w14:ligatures w14:val="none"/>
              </w:rPr>
              <w:t>个，样品管</w:t>
            </w:r>
            <w:r>
              <w:rPr>
                <w:rFonts w:ascii="Calibri" w:hAnsi="Calibri" w:eastAsia="宋体" w:cs="Times New Roman"/>
                <w:kern w:val="0"/>
                <w:sz w:val="24"/>
                <w:szCs w:val="24"/>
                <w14:ligatures w14:val="none"/>
              </w:rPr>
              <w:t>1000</w:t>
            </w:r>
            <w:r>
              <w:rPr>
                <w:rFonts w:hint="eastAsia" w:ascii="Calibri" w:hAnsi="Calibri" w:eastAsia="宋体" w:cs="Times New Roman"/>
                <w:kern w:val="0"/>
                <w:sz w:val="24"/>
                <w:szCs w:val="24"/>
                <w14:ligatures w14:val="none"/>
              </w:rPr>
              <w:t>个</w:t>
            </w:r>
          </w:p>
        </w:tc>
        <w:tc>
          <w:tcPr>
            <w:tcW w:w="944" w:type="dxa"/>
            <w:tcBorders>
              <w:top w:val="single" w:color="auto" w:sz="4" w:space="0"/>
              <w:left w:val="single" w:color="auto" w:sz="4" w:space="0"/>
              <w:bottom w:val="single" w:color="auto" w:sz="4" w:space="0"/>
              <w:right w:val="single" w:color="auto" w:sz="4" w:space="0"/>
            </w:tcBorders>
            <w:vAlign w:val="center"/>
          </w:tcPr>
          <w:p w14:paraId="0A6D305E">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6FB39CB5">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6CDF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AFB2B18">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14:ligatures w14:val="none"/>
              </w:rPr>
              <w:t>10</w:t>
            </w:r>
          </w:p>
        </w:tc>
        <w:tc>
          <w:tcPr>
            <w:tcW w:w="5791" w:type="dxa"/>
            <w:tcBorders>
              <w:top w:val="single" w:color="auto" w:sz="4" w:space="0"/>
              <w:left w:val="single" w:color="auto" w:sz="4" w:space="0"/>
              <w:bottom w:val="single" w:color="auto" w:sz="4" w:space="0"/>
              <w:right w:val="single" w:color="auto" w:sz="4" w:space="0"/>
            </w:tcBorders>
          </w:tcPr>
          <w:p w14:paraId="29DC2C21">
            <w:pPr>
              <w:keepNext w:val="0"/>
              <w:pageBreakBefore w:val="0"/>
              <w:widowControl/>
              <w:kinsoku/>
              <w:wordWrap/>
              <w:overflowPunct/>
              <w:topLinePunct w:val="0"/>
              <w:bidi w:val="0"/>
              <w:spacing w:line="300" w:lineRule="auto"/>
              <w:textAlignment w:val="auto"/>
              <w:rPr>
                <w:rFonts w:ascii="Calibri" w:hAnsi="Calibri" w:eastAsia="宋体" w:cs="Times New Roman"/>
                <w:kern w:val="0"/>
                <w:sz w:val="24"/>
                <w:szCs w:val="24"/>
                <w14:ligatures w14:val="none"/>
              </w:rPr>
            </w:pPr>
            <w:r>
              <w:rPr>
                <w:rFonts w:hint="eastAsia" w:ascii="Calibri" w:hAnsi="Calibri" w:eastAsia="宋体" w:cs="Times New Roman"/>
                <w:kern w:val="0"/>
                <w:sz w:val="24"/>
                <w:szCs w:val="24"/>
                <w14:ligatures w14:val="none"/>
              </w:rPr>
              <w:t>仪器电脑：主机、显示器，符合配置要求</w:t>
            </w:r>
          </w:p>
        </w:tc>
        <w:tc>
          <w:tcPr>
            <w:tcW w:w="944" w:type="dxa"/>
            <w:tcBorders>
              <w:top w:val="single" w:color="auto" w:sz="4" w:space="0"/>
              <w:left w:val="single" w:color="auto" w:sz="4" w:space="0"/>
              <w:bottom w:val="single" w:color="auto" w:sz="4" w:space="0"/>
              <w:right w:val="single" w:color="auto" w:sz="4" w:space="0"/>
            </w:tcBorders>
            <w:vAlign w:val="center"/>
          </w:tcPr>
          <w:p w14:paraId="5FD8237B">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noWrap/>
            <w:vAlign w:val="center"/>
          </w:tcPr>
          <w:p w14:paraId="742951D7">
            <w:pPr>
              <w:keepNext w:val="0"/>
              <w:pageBreakBefore w:val="0"/>
              <w:widowControl/>
              <w:kinsoku/>
              <w:wordWrap/>
              <w:overflowPunct/>
              <w:topLinePunct w:val="0"/>
              <w:bidi w:val="0"/>
              <w:spacing w:line="300" w:lineRule="auto"/>
              <w:jc w:val="center"/>
              <w:textAlignment w:val="auto"/>
              <w:rPr>
                <w:rFonts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w:t>
            </w:r>
          </w:p>
        </w:tc>
      </w:tr>
      <w:tr w14:paraId="4671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2987C9E4">
            <w:pPr>
              <w:keepNext w:val="0"/>
              <w:pageBreakBefore w:val="0"/>
              <w:widowControl/>
              <w:kinsoku/>
              <w:wordWrap/>
              <w:overflowPunct/>
              <w:topLinePunct w:val="0"/>
              <w:bidi w:val="0"/>
              <w:spacing w:line="300" w:lineRule="auto"/>
              <w:jc w:val="center"/>
              <w:textAlignment w:val="auto"/>
              <w:rPr>
                <w:rFonts w:hint="default"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14:ligatures w14:val="none"/>
              </w:rPr>
              <w:t>11</w:t>
            </w:r>
          </w:p>
        </w:tc>
        <w:tc>
          <w:tcPr>
            <w:tcW w:w="5791" w:type="dxa"/>
            <w:tcBorders>
              <w:top w:val="single" w:color="auto" w:sz="4" w:space="0"/>
              <w:left w:val="single" w:color="auto" w:sz="4" w:space="0"/>
              <w:bottom w:val="single" w:color="auto" w:sz="4" w:space="0"/>
              <w:right w:val="single" w:color="auto" w:sz="4" w:space="0"/>
            </w:tcBorders>
            <w:shd w:val="clear" w:color="auto" w:fill="auto"/>
            <w:vAlign w:val="top"/>
          </w:tcPr>
          <w:p w14:paraId="3595D308">
            <w:pPr>
              <w:keepNext w:val="0"/>
              <w:pageBreakBefore w:val="0"/>
              <w:widowControl/>
              <w:kinsoku/>
              <w:wordWrap/>
              <w:overflowPunct/>
              <w:topLinePunct w:val="0"/>
              <w:bidi w:val="0"/>
              <w:spacing w:line="300" w:lineRule="auto"/>
              <w:textAlignment w:val="auto"/>
              <w:rPr>
                <w:rFonts w:hint="eastAsia" w:ascii="Calibri" w:hAnsi="Calibri" w:eastAsia="宋体" w:cs="Times New Roman"/>
                <w:kern w:val="0"/>
                <w:sz w:val="24"/>
                <w:szCs w:val="24"/>
                <w:lang w:val="en-US" w:eastAsia="zh-CN" w:bidi="ar-SA"/>
                <w14:ligatures w14:val="none"/>
              </w:rPr>
            </w:pPr>
            <w:r>
              <w:rPr>
                <w:rFonts w:hint="eastAsia" w:ascii="宋体" w:hAnsi="宋体" w:eastAsia="宋体" w:cs="Times New Roman"/>
                <w:kern w:val="0"/>
                <w:sz w:val="24"/>
                <w:szCs w:val="24"/>
                <w:lang w:val="en-US" w:eastAsia="zh-CN"/>
                <w14:ligatures w14:val="none"/>
              </w:rPr>
              <w:t>总磷、正磷</w:t>
            </w:r>
            <w:r>
              <w:rPr>
                <w:rFonts w:hint="eastAsia" w:ascii="宋体" w:hAnsi="宋体" w:eastAsia="宋体" w:cs="Times New Roman"/>
                <w:kern w:val="0"/>
                <w:sz w:val="24"/>
                <w:szCs w:val="24"/>
                <w14:ligatures w14:val="none"/>
              </w:rPr>
              <w:t>、硅标准溶液各1瓶</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32B48A6D">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57F40">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1</w:t>
            </w:r>
          </w:p>
        </w:tc>
      </w:tr>
      <w:tr w14:paraId="5075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9FAE30F">
            <w:pPr>
              <w:keepNext w:val="0"/>
              <w:pageBreakBefore w:val="0"/>
              <w:widowControl/>
              <w:kinsoku/>
              <w:wordWrap/>
              <w:overflowPunct/>
              <w:topLinePunct w:val="0"/>
              <w:bidi w:val="0"/>
              <w:spacing w:line="300" w:lineRule="auto"/>
              <w:jc w:val="center"/>
              <w:textAlignment w:val="auto"/>
              <w:rPr>
                <w:rFonts w:hint="default"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lang w:val="en-US" w:eastAsia="zh-CN" w:bidi="ar-SA"/>
                <w14:ligatures w14:val="none"/>
              </w:rPr>
              <w:t>12</w:t>
            </w:r>
          </w:p>
        </w:tc>
        <w:tc>
          <w:tcPr>
            <w:tcW w:w="5791" w:type="dxa"/>
            <w:tcBorders>
              <w:top w:val="single" w:color="auto" w:sz="4" w:space="0"/>
              <w:left w:val="single" w:color="auto" w:sz="4" w:space="0"/>
              <w:bottom w:val="single" w:color="auto" w:sz="4" w:space="0"/>
              <w:right w:val="single" w:color="auto" w:sz="4" w:space="0"/>
            </w:tcBorders>
            <w:shd w:val="clear" w:color="auto" w:fill="auto"/>
            <w:vAlign w:val="top"/>
          </w:tcPr>
          <w:p w14:paraId="78629ECF">
            <w:pPr>
              <w:keepNext w:val="0"/>
              <w:pageBreakBefore w:val="0"/>
              <w:widowControl/>
              <w:kinsoku/>
              <w:wordWrap/>
              <w:overflowPunct/>
              <w:topLinePunct w:val="0"/>
              <w:bidi w:val="0"/>
              <w:spacing w:line="300" w:lineRule="auto"/>
              <w:textAlignment w:val="auto"/>
              <w:rPr>
                <w:rFonts w:hint="eastAsia" w:ascii="宋体" w:hAnsi="宋体" w:eastAsia="宋体" w:cs="Times New Roman"/>
                <w:kern w:val="0"/>
                <w:sz w:val="24"/>
                <w:szCs w:val="24"/>
                <w:lang w:val="en-US" w:eastAsia="zh-CN" w:bidi="ar-SA"/>
                <w14:ligatures w14:val="none"/>
              </w:rPr>
            </w:pPr>
            <w:r>
              <w:rPr>
                <w:rFonts w:hint="eastAsia" w:ascii="宋体" w:hAnsi="宋体" w:eastAsia="宋体" w:cs="Times New Roman"/>
                <w:kern w:val="0"/>
                <w:sz w:val="24"/>
                <w:szCs w:val="24"/>
                <w:lang w:val="en-US" w:eastAsia="zh-CN"/>
                <w14:ligatures w14:val="none"/>
              </w:rPr>
              <w:t>调试验收所需试剂</w:t>
            </w: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0D50DEDC">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套</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7830E">
            <w:pPr>
              <w:keepNext w:val="0"/>
              <w:pageBreakBefore w:val="0"/>
              <w:widowControl/>
              <w:kinsoku/>
              <w:wordWrap/>
              <w:overflowPunct/>
              <w:topLinePunct w:val="0"/>
              <w:bidi w:val="0"/>
              <w:spacing w:line="300" w:lineRule="auto"/>
              <w:jc w:val="center"/>
              <w:textAlignment w:val="auto"/>
              <w:rPr>
                <w:rFonts w:hint="eastAsia" w:ascii="宋体" w:hAnsi="宋体" w:eastAsia="宋体" w:cs="Times New Roman"/>
                <w:snapToGrid w:val="0"/>
                <w:kern w:val="0"/>
                <w:sz w:val="24"/>
                <w:szCs w:val="24"/>
                <w:lang w:val="en-US" w:eastAsia="zh-CN" w:bidi="ar-SA"/>
                <w14:ligatures w14:val="none"/>
              </w:rPr>
            </w:pPr>
            <w:r>
              <w:rPr>
                <w:rFonts w:hint="eastAsia" w:ascii="宋体" w:hAnsi="宋体" w:eastAsia="宋体" w:cs="Times New Roman"/>
                <w:snapToGrid w:val="0"/>
                <w:kern w:val="0"/>
                <w:sz w:val="24"/>
                <w:szCs w:val="24"/>
                <w14:ligatures w14:val="none"/>
              </w:rPr>
              <w:t>1</w:t>
            </w:r>
          </w:p>
        </w:tc>
      </w:tr>
    </w:tbl>
    <w:p w14:paraId="03C4DA4F">
      <w:pPr>
        <w:keepNext w:val="0"/>
        <w:pageBreakBefore w:val="0"/>
        <w:widowControl/>
        <w:kinsoku/>
        <w:wordWrap/>
        <w:overflowPunct/>
        <w:topLinePunct w:val="0"/>
        <w:bidi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宋体-方正超大字符集"/>
          <w:b/>
          <w:kern w:val="0"/>
          <w:sz w:val="24"/>
          <w:szCs w:val="24"/>
          <w14:ligatures w14:val="none"/>
        </w:rPr>
        <w:t>4.备品备件</w:t>
      </w:r>
      <w:r>
        <w:rPr>
          <w:rFonts w:hint="eastAsia" w:ascii="宋体" w:hAnsi="宋体" w:eastAsia="宋体" w:cs="宋体-方正超大字符集"/>
          <w:b/>
          <w:kern w:val="0"/>
          <w:sz w:val="24"/>
          <w:szCs w:val="24"/>
          <w14:ligatures w14:val="none"/>
        </w:rPr>
        <w:tab/>
      </w:r>
    </w:p>
    <w:p w14:paraId="4A099DF4">
      <w:pPr>
        <w:keepNext w:val="0"/>
        <w:pageBreakBefore w:val="0"/>
        <w:widowControl/>
        <w:tabs>
          <w:tab w:val="left" w:pos="6030"/>
        </w:tabs>
        <w:kinsoku/>
        <w:wordWrap/>
        <w:overflowPunct/>
        <w:topLinePunct w:val="0"/>
        <w:bidi w:val="0"/>
        <w:adjustRightInd w:val="0"/>
        <w:snapToGrid w:val="0"/>
        <w:spacing w:line="300" w:lineRule="auto"/>
        <w:textAlignment w:val="auto"/>
        <w:rPr>
          <w:rFonts w:ascii="宋体" w:hAnsi="宋体" w:eastAsia="宋体" w:cs="宋体-方正超大字符集"/>
          <w:b/>
          <w:kern w:val="0"/>
          <w:sz w:val="24"/>
          <w:szCs w:val="24"/>
          <w14:ligatures w14:val="none"/>
        </w:rPr>
      </w:pPr>
      <w:r>
        <w:rPr>
          <w:rFonts w:hint="eastAsia" w:ascii="宋体" w:hAnsi="宋体" w:eastAsia="宋体" w:cs="宋体"/>
          <w:kern w:val="0"/>
          <w:sz w:val="24"/>
          <w:szCs w:val="24"/>
          <w14:ligatures w14:val="none"/>
        </w:rPr>
        <w:t>4.1 除随机标配的备品备件外，再提供以下备件：</w:t>
      </w:r>
      <w:r>
        <w:rPr>
          <w:rFonts w:hint="eastAsia" w:ascii="宋体" w:hAnsi="宋体" w:eastAsia="宋体" w:cs="宋体-方正超大字符集"/>
          <w:b/>
          <w:kern w:val="0"/>
          <w:sz w:val="24"/>
          <w:szCs w:val="24"/>
          <w14:ligatures w14:val="none"/>
        </w:rPr>
        <w:tab/>
      </w:r>
    </w:p>
    <w:p w14:paraId="1B6DDD9E">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宋体"/>
          <w:kern w:val="0"/>
          <w:sz w:val="24"/>
          <w:szCs w:val="24"/>
          <w14:ligatures w14:val="none"/>
        </w:rPr>
        <w:t>4.1.1 所需不同规格泵管：</w:t>
      </w:r>
      <w:r>
        <w:rPr>
          <w:rFonts w:hint="eastAsia" w:ascii="宋体" w:hAnsi="宋体" w:eastAsia="宋体" w:cs="宋体"/>
          <w:kern w:val="0"/>
          <w:sz w:val="24"/>
          <w:szCs w:val="24"/>
          <w:lang w:val="en-US" w:eastAsia="zh-CN"/>
          <w14:ligatures w14:val="none"/>
        </w:rPr>
        <w:t>至少满足</w:t>
      </w:r>
      <w:r>
        <w:rPr>
          <w:rFonts w:hint="eastAsia" w:ascii="宋体" w:hAnsi="宋体" w:eastAsia="宋体" w:cs="宋体"/>
          <w:kern w:val="0"/>
          <w:sz w:val="24"/>
          <w:szCs w:val="24"/>
          <w14:ligatures w14:val="none"/>
        </w:rPr>
        <w:t>各12根</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lang w:val="en-US" w:eastAsia="zh-CN"/>
          <w14:ligatures w14:val="none"/>
        </w:rPr>
        <w:t>至少满足</w:t>
      </w:r>
      <w:r>
        <w:rPr>
          <w:rFonts w:hint="eastAsia" w:ascii="宋体" w:hAnsi="宋体" w:eastAsia="宋体" w:cs="宋体"/>
          <w:kern w:val="0"/>
          <w:sz w:val="24"/>
          <w:szCs w:val="24"/>
          <w14:ligatures w14:val="none"/>
        </w:rPr>
        <w:t>84根</w:t>
      </w:r>
      <w:r>
        <w:rPr>
          <w:rFonts w:hint="eastAsia" w:ascii="宋体" w:hAnsi="宋体" w:eastAsia="宋体" w:cs="Times New Roman"/>
          <w:kern w:val="0"/>
          <w:sz w:val="24"/>
          <w:szCs w:val="24"/>
          <w14:ligatures w14:val="none"/>
        </w:rPr>
        <w:t>；</w:t>
      </w:r>
    </w:p>
    <w:p w14:paraId="44018C9B">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4.1.2 空气管：</w:t>
      </w:r>
      <w:r>
        <w:rPr>
          <w:rFonts w:hint="eastAsia" w:ascii="宋体" w:hAnsi="宋体" w:eastAsia="宋体" w:cs="Times New Roman"/>
          <w:snapToGrid w:val="0"/>
          <w:kern w:val="0"/>
          <w:sz w:val="24"/>
          <w:szCs w:val="24"/>
          <w14:ligatures w14:val="none"/>
        </w:rPr>
        <w:t>1套</w:t>
      </w:r>
      <w:r>
        <w:rPr>
          <w:rFonts w:hint="eastAsia" w:ascii="宋体" w:hAnsi="宋体" w:eastAsia="宋体" w:cs="Times New Roman"/>
          <w:kern w:val="0"/>
          <w:sz w:val="24"/>
          <w:szCs w:val="24"/>
          <w14:ligatures w14:val="none"/>
        </w:rPr>
        <w:t>；</w:t>
      </w:r>
    </w:p>
    <w:p w14:paraId="50E9AB18">
      <w:pPr>
        <w:keepNext w:val="0"/>
        <w:pageBreakBefore w:val="0"/>
        <w:widowControl/>
        <w:kinsoku/>
        <w:wordWrap/>
        <w:overflowPunct/>
        <w:topLinePunct w:val="0"/>
        <w:bidi w:val="0"/>
        <w:adjustRightInd w:val="0"/>
        <w:snapToGrid w:val="0"/>
        <w:spacing w:line="300" w:lineRule="auto"/>
        <w:textAlignment w:val="auto"/>
        <w:rPr>
          <w:rFonts w:hint="eastAsia" w:ascii="宋体" w:hAnsi="宋体" w:eastAsia="宋体" w:cs="Times New Roman"/>
          <w:kern w:val="0"/>
          <w:sz w:val="24"/>
          <w:szCs w:val="24"/>
          <w14:ligatures w14:val="none"/>
        </w:rPr>
      </w:pPr>
      <w:r>
        <w:rPr>
          <w:rFonts w:hint="eastAsia" w:ascii="宋体" w:hAnsi="宋体" w:eastAsia="宋体" w:cs="Times New Roman"/>
          <w:kern w:val="0"/>
          <w:sz w:val="24"/>
          <w:szCs w:val="24"/>
          <w14:ligatures w14:val="none"/>
        </w:rPr>
        <w:t>4.1.3 透析膜：12片/套，</w:t>
      </w:r>
      <w:r>
        <w:rPr>
          <w:rFonts w:hint="eastAsia" w:ascii="宋体" w:hAnsi="宋体" w:eastAsia="宋体" w:cs="Times New Roman"/>
          <w:kern w:val="0"/>
          <w:sz w:val="24"/>
          <w:szCs w:val="24"/>
          <w:lang w:val="en-US" w:eastAsia="zh-CN"/>
          <w14:ligatures w14:val="none"/>
        </w:rPr>
        <w:t>3</w:t>
      </w:r>
      <w:r>
        <w:rPr>
          <w:rFonts w:hint="eastAsia" w:ascii="宋体" w:hAnsi="宋体" w:eastAsia="宋体" w:cs="Times New Roman"/>
          <w:kern w:val="0"/>
          <w:sz w:val="24"/>
          <w:szCs w:val="24"/>
          <w14:ligatures w14:val="none"/>
        </w:rPr>
        <w:t>套；</w:t>
      </w:r>
    </w:p>
    <w:p w14:paraId="7D6CFF5E">
      <w:pPr>
        <w:keepNext w:val="0"/>
        <w:pageBreakBefore w:val="0"/>
        <w:widowControl/>
        <w:kinsoku/>
        <w:wordWrap/>
        <w:overflowPunct/>
        <w:topLinePunct w:val="0"/>
        <w:bidi w:val="0"/>
        <w:adjustRightInd w:val="0"/>
        <w:snapToGrid w:val="0"/>
        <w:spacing w:line="300" w:lineRule="auto"/>
        <w:textAlignment w:val="auto"/>
        <w:rPr>
          <w:rFonts w:hint="default" w:ascii="宋体" w:hAnsi="宋体" w:eastAsia="宋体" w:cs="Times New Roman"/>
          <w:kern w:val="0"/>
          <w:sz w:val="24"/>
          <w:szCs w:val="24"/>
          <w:lang w:val="en-US" w:eastAsia="zh-CN"/>
          <w14:ligatures w14:val="none"/>
        </w:rPr>
      </w:pPr>
      <w:r>
        <w:rPr>
          <w:rFonts w:hint="eastAsia" w:ascii="宋体" w:hAnsi="宋体" w:eastAsia="宋体" w:cs="Times New Roman"/>
          <w:kern w:val="0"/>
          <w:sz w:val="24"/>
          <w:szCs w:val="24"/>
          <w:lang w:val="en-US" w:eastAsia="zh-CN"/>
          <w14:ligatures w14:val="none"/>
        </w:rPr>
        <w:t>4.1.4 采用卤素灯源，备件4个灯。</w:t>
      </w:r>
    </w:p>
    <w:p w14:paraId="519EEEDC">
      <w:pPr>
        <w:keepNext w:val="0"/>
        <w:pageBreakBefore w:val="0"/>
        <w:widowControl/>
        <w:kinsoku/>
        <w:wordWrap/>
        <w:overflowPunct/>
        <w:topLinePunct w:val="0"/>
        <w:bidi w:val="0"/>
        <w:adjustRightInd w:val="0"/>
        <w:snapToGrid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4.2 其它备件</w:t>
      </w:r>
      <w:r>
        <w:rPr>
          <w:rFonts w:hint="eastAsia" w:ascii="宋体" w:hAnsi="宋体" w:eastAsia="宋体" w:cs="Times New Roman"/>
          <w:kern w:val="0"/>
          <w:sz w:val="24"/>
          <w:szCs w:val="24"/>
          <w14:ligatures w14:val="none"/>
        </w:rPr>
        <w:t>：</w:t>
      </w:r>
    </w:p>
    <w:p w14:paraId="09333598">
      <w:pPr>
        <w:keepNext w:val="0"/>
        <w:pageBreakBefore w:val="0"/>
        <w:widowControl/>
        <w:kinsoku/>
        <w:wordWrap/>
        <w:overflowPunct/>
        <w:topLinePunct w:val="0"/>
        <w:bidi w:val="0"/>
        <w:adjustRightInd w:val="0"/>
        <w:snapToGrid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4.2.1 其他易损件及耗品满足两年用量；</w:t>
      </w:r>
    </w:p>
    <w:p w14:paraId="1D2A319C">
      <w:pPr>
        <w:keepNext w:val="0"/>
        <w:pageBreakBefore w:val="0"/>
        <w:widowControl/>
        <w:kinsoku/>
        <w:wordWrap/>
        <w:overflowPunct/>
        <w:topLinePunct w:val="0"/>
        <w:bidi w:val="0"/>
        <w:adjustRightInd w:val="0"/>
        <w:snapToGrid w:val="0"/>
        <w:spacing w:line="300" w:lineRule="auto"/>
        <w:textAlignment w:val="auto"/>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4.2.2 仪器配套的工具包一套；</w:t>
      </w:r>
    </w:p>
    <w:p w14:paraId="33F7A70A">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b/>
          <w:kern w:val="0"/>
          <w:sz w:val="24"/>
          <w:szCs w:val="24"/>
          <w14:ligatures w14:val="none"/>
        </w:rPr>
      </w:pPr>
      <w:r>
        <w:rPr>
          <w:rFonts w:hint="eastAsia" w:ascii="宋体" w:hAnsi="宋体" w:eastAsia="宋体" w:cs="Times New Roman"/>
          <w:b/>
          <w:kern w:val="0"/>
          <w:sz w:val="24"/>
          <w:szCs w:val="24"/>
          <w14:ligatures w14:val="none"/>
        </w:rPr>
        <w:t>5.电脑配置</w:t>
      </w:r>
    </w:p>
    <w:p w14:paraId="472B1FF7">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宋体" w:hAnsi="宋体" w:eastAsia="宋体" w:cs="Times New Roman"/>
          <w:kern w:val="0"/>
          <w:sz w:val="24"/>
          <w:szCs w:val="24"/>
          <w14:ligatures w14:val="none"/>
        </w:rPr>
        <w:t xml:space="preserve">5.1 </w:t>
      </w:r>
      <w:r>
        <w:rPr>
          <w:rFonts w:hint="eastAsia" w:asciiTheme="minorEastAsia" w:hAnsiTheme="minorEastAsia"/>
        </w:rPr>
        <w:t xml:space="preserve">整机品牌商用台式电脑；配置不低于：CPU  </w:t>
      </w:r>
      <w:r>
        <w:rPr>
          <w:rFonts w:asciiTheme="minorEastAsia" w:hAnsiTheme="minorEastAsia"/>
        </w:rPr>
        <w:t>intel</w:t>
      </w:r>
      <w:r>
        <w:rPr>
          <w:rFonts w:hint="eastAsia" w:asciiTheme="minorEastAsia" w:hAnsiTheme="minorEastAsia"/>
        </w:rPr>
        <w:t>十四代</w:t>
      </w:r>
      <w:r>
        <w:rPr>
          <w:rFonts w:asciiTheme="minorEastAsia" w:hAnsiTheme="minorEastAsia"/>
        </w:rPr>
        <w:t>i7</w:t>
      </w:r>
      <w:r>
        <w:rPr>
          <w:rFonts w:hint="eastAsia" w:asciiTheme="minorEastAsia" w:hAnsiTheme="minorEastAsia"/>
        </w:rPr>
        <w:t xml:space="preserve"> 1</w:t>
      </w:r>
      <w:r>
        <w:rPr>
          <w:rFonts w:asciiTheme="minorEastAsia" w:hAnsiTheme="minorEastAsia"/>
        </w:rPr>
        <w:t>4</w:t>
      </w:r>
      <w:r>
        <w:rPr>
          <w:rFonts w:hint="eastAsia" w:asciiTheme="minorEastAsia" w:hAnsiTheme="minorEastAsia"/>
        </w:rPr>
        <w:t>700；</w:t>
      </w:r>
      <w:r>
        <w:rPr>
          <w:rFonts w:asciiTheme="minorEastAsia" w:hAnsiTheme="minorEastAsia"/>
        </w:rPr>
        <w:t>512</w:t>
      </w:r>
      <w:r>
        <w:rPr>
          <w:rFonts w:hint="eastAsia" w:asciiTheme="minorEastAsia" w:hAnsiTheme="minorEastAsia"/>
        </w:rPr>
        <w:t>SSD</w:t>
      </w:r>
      <w:r>
        <w:rPr>
          <w:rFonts w:asciiTheme="minorEastAsia" w:hAnsiTheme="minorEastAsia"/>
        </w:rPr>
        <w:t>+</w:t>
      </w:r>
      <w:r>
        <w:rPr>
          <w:rFonts w:hint="eastAsia" w:asciiTheme="minorEastAsia" w:hAnsiTheme="minorEastAsia"/>
        </w:rPr>
        <w:t>1T的硬盘；32G</w:t>
      </w:r>
      <w:r>
        <w:rPr>
          <w:rFonts w:asciiTheme="minorEastAsia" w:hAnsiTheme="minorEastAsia"/>
        </w:rPr>
        <w:t xml:space="preserve"> </w:t>
      </w:r>
      <w:r>
        <w:rPr>
          <w:rFonts w:hint="eastAsia" w:asciiTheme="minorEastAsia" w:hAnsiTheme="minorEastAsia"/>
        </w:rPr>
        <w:t>D</w:t>
      </w:r>
      <w:r>
        <w:rPr>
          <w:rFonts w:asciiTheme="minorEastAsia" w:hAnsiTheme="minorEastAsia"/>
        </w:rPr>
        <w:t>DR5</w:t>
      </w:r>
      <w:r>
        <w:rPr>
          <w:rFonts w:hint="eastAsia" w:asciiTheme="minorEastAsia" w:hAnsiTheme="minorEastAsia"/>
        </w:rPr>
        <w:t>内存；</w:t>
      </w:r>
      <w:r>
        <w:rPr>
          <w:rFonts w:hint="eastAsia" w:asciiTheme="minorEastAsia" w:hAnsiTheme="minorEastAsia"/>
          <w:lang w:val="en-US" w:eastAsia="zh-CN"/>
        </w:rPr>
        <w:t>同品牌</w:t>
      </w:r>
      <w:r>
        <w:rPr>
          <w:rFonts w:asciiTheme="minorEastAsia" w:hAnsiTheme="minorEastAsia"/>
        </w:rPr>
        <w:t>23</w:t>
      </w:r>
      <w:r>
        <w:rPr>
          <w:rFonts w:hint="eastAsia" w:asciiTheme="minorEastAsia" w:hAnsiTheme="minorEastAsia"/>
        </w:rPr>
        <w:t>寸宽屏液晶显示器；独立显卡4G；100/1000Mbps有线及无线双网卡；光驱；标准鼠标和键盘。机箱容积不小于17L</w:t>
      </w:r>
      <w:r>
        <w:rPr>
          <w:rFonts w:hint="eastAsia" w:ascii="宋体" w:hAnsi="宋体" w:cs="宋体"/>
          <w:color w:val="000000" w:themeColor="text1"/>
          <w:sz w:val="24"/>
          <w:szCs w:val="24"/>
          <w:highlight w:val="none"/>
          <w:lang w:val="de-DE" w:eastAsia="zh-CN"/>
          <w14:textFill>
            <w14:solidFill>
              <w14:schemeClr w14:val="tx1"/>
            </w14:solidFill>
          </w14:textFill>
        </w:rPr>
        <w:t>并带机箱散热风扇</w:t>
      </w:r>
      <w:r>
        <w:rPr>
          <w:rFonts w:hint="eastAsia" w:asciiTheme="minorEastAsia" w:hAnsiTheme="minorEastAsia"/>
        </w:rPr>
        <w:t>。有满足与仪器联接的接口。若仪器与计算机以LAN接口通讯，则电脑主机需带2个网卡。预装正版Windows 11专业版64位操作系统和应用软件。</w:t>
      </w:r>
    </w:p>
    <w:p w14:paraId="44DBAB5E">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kern w:val="0"/>
          <w:sz w:val="24"/>
          <w:szCs w:val="24"/>
          <w14:ligatures w14:val="none"/>
        </w:rPr>
      </w:pPr>
      <w:r>
        <w:rPr>
          <w:rFonts w:hint="eastAsia" w:asciiTheme="minorEastAsia" w:hAnsiTheme="minorEastAsia"/>
        </w:rPr>
        <w:t>5</w:t>
      </w:r>
      <w:r>
        <w:rPr>
          <w:rFonts w:asciiTheme="minorEastAsia" w:hAnsiTheme="minorEastAsia"/>
        </w:rPr>
        <w:t xml:space="preserve">.2 </w:t>
      </w:r>
      <w:r>
        <w:rPr>
          <w:rFonts w:hint="eastAsia" w:asciiTheme="minorEastAsia" w:hAnsiTheme="minorEastAsia"/>
        </w:rPr>
        <w:t>配置五口千兆钢壳交换机1台及5米CAT6类RJ45网线2条。</w:t>
      </w:r>
    </w:p>
    <w:p w14:paraId="5D6BF178">
      <w:pPr>
        <w:keepNext w:val="0"/>
        <w:pageBreakBefore w:val="0"/>
        <w:widowControl/>
        <w:kinsoku/>
        <w:wordWrap/>
        <w:overflowPunct/>
        <w:topLinePunct w:val="0"/>
        <w:bidi w:val="0"/>
        <w:adjustRightInd w:val="0"/>
        <w:snapToGrid w:val="0"/>
        <w:spacing w:line="300" w:lineRule="auto"/>
        <w:textAlignment w:val="auto"/>
        <w:rPr>
          <w:rFonts w:ascii="宋体" w:hAnsi="宋体" w:eastAsia="宋体" w:cs="Times New Roman"/>
          <w:b/>
          <w:kern w:val="0"/>
          <w:sz w:val="24"/>
          <w:szCs w:val="24"/>
          <w14:ligatures w14:val="none"/>
        </w:rPr>
      </w:pPr>
      <w:r>
        <w:rPr>
          <w:rFonts w:hint="eastAsia" w:ascii="宋体" w:hAnsi="宋体" w:eastAsia="宋体" w:cs="Times New Roman"/>
          <w:b/>
          <w:kern w:val="0"/>
          <w:sz w:val="24"/>
          <w:szCs w:val="24"/>
          <w14:ligatures w14:val="none"/>
        </w:rPr>
        <w:t>6.业绩证明</w:t>
      </w:r>
    </w:p>
    <w:p w14:paraId="11F6E6F4">
      <w:pPr>
        <w:keepNext w:val="0"/>
        <w:pageBreakBefore w:val="0"/>
        <w:widowControl/>
        <w:kinsoku/>
        <w:wordWrap/>
        <w:overflowPunct/>
        <w:topLinePunct w:val="0"/>
        <w:bidi w:val="0"/>
        <w:adjustRightInd w:val="0"/>
        <w:snapToGrid w:val="0"/>
        <w:spacing w:line="300" w:lineRule="auto"/>
        <w:textAlignment w:val="auto"/>
      </w:pPr>
      <w:r>
        <w:rPr>
          <w:rFonts w:hint="eastAsia" w:ascii="宋体" w:hAnsi="宋体" w:eastAsia="宋体" w:cs="Times New Roman"/>
          <w:kern w:val="0"/>
          <w:sz w:val="24"/>
          <w:szCs w:val="24"/>
          <w14:ligatures w14:val="none"/>
        </w:rPr>
        <w:t>自2023年1月1日起至今（以合同签订时间为准）该仪器在国内实验室不少于30台的业绩，并标明设备名称、数量、用户名称、相关联系人及电话号码，并提供业绩证明(证明其销售业绩的合同复印件或中标公告，并由投标人代表签字或盖章)。</w:t>
      </w:r>
    </w:p>
    <w:p w14:paraId="77CF8CDB">
      <w:pPr>
        <w:keepNext w:val="0"/>
        <w:pageBreakBefore w:val="0"/>
        <w:kinsoku/>
        <w:wordWrap/>
        <w:overflowPunct/>
        <w:topLinePunct w:val="0"/>
        <w:bidi w:val="0"/>
        <w:spacing w:line="300" w:lineRule="auto"/>
        <w:jc w:val="both"/>
        <w:textAlignment w:val="auto"/>
        <w:rPr>
          <w:rFonts w:hint="eastAsia" w:ascii="宋体" w:hAnsi="宋体" w:eastAsia="宋体" w:cs="Arial"/>
          <w:b/>
          <w:bCs/>
          <w:color w:val="C00000"/>
          <w:sz w:val="24"/>
          <w:szCs w:val="24"/>
          <w:lang w:val="en-US" w:eastAsia="zh-CN"/>
        </w:rPr>
      </w:pPr>
    </w:p>
    <w:p w14:paraId="4144BB2E">
      <w:pPr>
        <w:keepNext w:val="0"/>
        <w:pageBreakBefore w:val="0"/>
        <w:kinsoku/>
        <w:wordWrap/>
        <w:overflowPunct/>
        <w:topLinePunct w:val="0"/>
        <w:bidi w:val="0"/>
        <w:spacing w:line="300" w:lineRule="auto"/>
        <w:jc w:val="both"/>
        <w:textAlignment w:val="auto"/>
        <w:rPr>
          <w:rFonts w:hint="eastAsia" w:ascii="宋体" w:hAnsi="宋体" w:eastAsia="宋体" w:cs="Arial"/>
          <w:b/>
          <w:bCs/>
          <w:color w:val="C00000"/>
          <w:sz w:val="24"/>
          <w:szCs w:val="24"/>
        </w:rPr>
      </w:pPr>
      <w:r>
        <w:rPr>
          <w:rFonts w:hint="eastAsia" w:ascii="宋体" w:hAnsi="宋体" w:eastAsia="宋体" w:cs="Arial"/>
          <w:b/>
          <w:bCs/>
          <w:color w:val="C00000"/>
          <w:sz w:val="24"/>
          <w:szCs w:val="24"/>
          <w:lang w:val="en-US" w:eastAsia="zh-CN"/>
        </w:rPr>
        <w:t>三</w:t>
      </w:r>
      <w:r>
        <w:rPr>
          <w:rFonts w:hint="eastAsia" w:ascii="宋体" w:hAnsi="宋体" w:eastAsia="宋体" w:cs="Arial"/>
          <w:b/>
          <w:bCs/>
          <w:color w:val="C00000"/>
          <w:sz w:val="24"/>
          <w:szCs w:val="24"/>
        </w:rPr>
        <w:t>、</w:t>
      </w:r>
      <w:r>
        <w:rPr>
          <w:rFonts w:hint="eastAsia" w:cs="Arial" w:asciiTheme="minorEastAsia" w:hAnsiTheme="minorEastAsia" w:eastAsiaTheme="minorEastAsia"/>
          <w:b/>
          <w:bCs/>
          <w:color w:val="C00000"/>
          <w:sz w:val="24"/>
          <w:szCs w:val="24"/>
          <w:highlight w:val="none"/>
        </w:rPr>
        <w:t>烟气含湿量多功能检测仪</w:t>
      </w:r>
      <w:r>
        <w:rPr>
          <w:rFonts w:hint="eastAsia" w:ascii="宋体" w:hAnsi="宋体" w:eastAsia="宋体" w:cs="Arial"/>
          <w:b/>
          <w:bCs/>
          <w:color w:val="C00000"/>
          <w:sz w:val="24"/>
          <w:szCs w:val="24"/>
        </w:rPr>
        <w:t>(1台)</w:t>
      </w:r>
    </w:p>
    <w:p w14:paraId="62001B55">
      <w:pPr>
        <w:keepNext w:val="0"/>
        <w:pageBreakBefore w:val="0"/>
        <w:kinsoku/>
        <w:wordWrap/>
        <w:overflowPunct/>
        <w:topLinePunct w:val="0"/>
        <w:bidi w:val="0"/>
        <w:spacing w:line="300" w:lineRule="auto"/>
        <w:jc w:val="both"/>
        <w:textAlignment w:val="auto"/>
        <w:rPr>
          <w:rFonts w:ascii="宋体" w:hAnsi="宋体"/>
          <w:b/>
        </w:rPr>
      </w:pPr>
      <w:r>
        <w:rPr>
          <w:rFonts w:hint="eastAsia" w:ascii="宋体" w:hAnsi="宋体"/>
          <w:b/>
        </w:rPr>
        <w:t>1、仪器技术指标和性能特点要求</w:t>
      </w:r>
    </w:p>
    <w:p w14:paraId="45A3EB86">
      <w:pPr>
        <w:keepNext w:val="0"/>
        <w:pageBreakBefore w:val="0"/>
        <w:kinsoku/>
        <w:wordWrap/>
        <w:overflowPunct/>
        <w:topLinePunct w:val="0"/>
        <w:bidi w:val="0"/>
        <w:spacing w:line="300" w:lineRule="auto"/>
        <w:jc w:val="both"/>
        <w:textAlignment w:val="auto"/>
        <w:rPr>
          <w:rFonts w:ascii="宋体" w:hAnsi="宋体"/>
          <w:b/>
          <w:bCs/>
          <w:snapToGrid w:val="0"/>
        </w:rPr>
      </w:pPr>
      <w:r>
        <w:rPr>
          <w:rFonts w:hint="eastAsia" w:ascii="宋体" w:hAnsi="宋体"/>
          <w:b/>
          <w:bCs/>
          <w:snapToGrid w:val="0"/>
        </w:rPr>
        <w:t>1</w:t>
      </w:r>
      <w:r>
        <w:rPr>
          <w:rFonts w:ascii="宋体" w:hAnsi="宋体"/>
          <w:b/>
          <w:bCs/>
          <w:snapToGrid w:val="0"/>
        </w:rPr>
        <w:t>.1</w:t>
      </w:r>
      <w:r>
        <w:rPr>
          <w:rFonts w:hint="eastAsia" w:ascii="宋体" w:hAnsi="宋体"/>
          <w:b/>
          <w:bCs/>
          <w:snapToGrid w:val="0"/>
        </w:rPr>
        <w:t>安装条件要求：</w:t>
      </w:r>
    </w:p>
    <w:p w14:paraId="38068BDF">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1.1.1电源符合要求：100V～240V，频率：50Hz</w:t>
      </w:r>
    </w:p>
    <w:p w14:paraId="7D8A1FBE">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1.1.2适用环境温度要求：10˚C～35˚C</w:t>
      </w:r>
    </w:p>
    <w:p w14:paraId="352EFA67">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 xml:space="preserve">1.1.3适用环境湿度要求：5%RH～85%RH </w:t>
      </w:r>
    </w:p>
    <w:p w14:paraId="3C93C134">
      <w:pPr>
        <w:keepNext w:val="0"/>
        <w:pageBreakBefore w:val="0"/>
        <w:kinsoku/>
        <w:wordWrap/>
        <w:overflowPunct/>
        <w:topLinePunct w:val="0"/>
        <w:bidi w:val="0"/>
        <w:spacing w:line="300" w:lineRule="auto"/>
        <w:jc w:val="both"/>
        <w:textAlignment w:val="auto"/>
        <w:rPr>
          <w:rFonts w:ascii="宋体" w:hAnsi="宋体" w:cs="Arial"/>
        </w:rPr>
      </w:pPr>
      <w:r>
        <w:rPr>
          <w:rFonts w:ascii="宋体" w:hAnsi="宋体"/>
          <w:b/>
          <w:bCs/>
          <w:snapToGrid w:val="0"/>
        </w:rPr>
        <w:t>1.2</w:t>
      </w:r>
      <w:r>
        <w:rPr>
          <w:rFonts w:hint="eastAsia" w:ascii="宋体" w:hAnsi="宋体" w:cs="宋体"/>
          <w:b/>
        </w:rPr>
        <w:t>主机及整体性能</w:t>
      </w:r>
    </w:p>
    <w:p w14:paraId="53AEC8DF">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1.2.1检测方法：采用阻容法测量固定污染源废气中烟气含湿量；根据皮托管气体流速测量原理，测得到动压、静压和温度的值自动计算得出烟气流速，根据大气压、湿度、管道截面积等参数自动计算出流速、实际流量和标干流量。配含氧量测量功能。</w:t>
      </w:r>
    </w:p>
    <w:p w14:paraId="705F67D9">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1.2.2 含湿量：（0～40）%，分辨率不小于0.01%，（0～5）%量程绝对误差≤±0.75%、（5～40）%量程相对误差≤±15%</w:t>
      </w:r>
    </w:p>
    <w:p w14:paraId="7DE6AD39">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流速：(1～45）m/s，分辨率不小于0.1m/s，示值误差不超过±5%；</w:t>
      </w:r>
    </w:p>
    <w:p w14:paraId="7566DA7D">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烟温：(0～500）℃，分辨率不小于0.1℃，示值误差不超过±3℃；</w:t>
      </w:r>
    </w:p>
    <w:p w14:paraId="2C8542BC">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大气压：(50～130）kPa，分辨率不小于0.01kPa，示值误差不超过±500Pa；</w:t>
      </w:r>
    </w:p>
    <w:p w14:paraId="5FD60C2C">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动压： (0～2000）kPa，分辨率不小于0.01kPa， 示值误差不超过±1%FS</w:t>
      </w:r>
    </w:p>
    <w:p w14:paraId="48081F72">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静压 ：(-30～+30）kPa ，分辨率不小于0.01kPa， 示值误差不超过±1%FS</w:t>
      </w:r>
    </w:p>
    <w:p w14:paraId="62F5451C">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加热温度： （50～120）℃ ，分辨率不小于1℃ ，示值误差不超过±10℃</w:t>
      </w:r>
    </w:p>
    <w:p w14:paraId="20D15B2A">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1.2.3 数据存储：不小于100000组；</w:t>
      </w:r>
    </w:p>
    <w:p w14:paraId="1139C77B">
      <w:pPr>
        <w:keepNext w:val="0"/>
        <w:pageBreakBefore w:val="0"/>
        <w:widowControl/>
        <w:kinsoku/>
        <w:wordWrap/>
        <w:overflowPunct/>
        <w:topLinePunct w:val="0"/>
        <w:bidi w:val="0"/>
        <w:spacing w:line="300" w:lineRule="auto"/>
        <w:jc w:val="both"/>
        <w:textAlignment w:val="auto"/>
        <w:rPr>
          <w:rFonts w:hint="default" w:ascii="宋体" w:hAnsi="宋体" w:eastAsia="宋体" w:cs="Times New Roman"/>
          <w:snapToGrid w:val="0"/>
          <w:color w:val="auto"/>
          <w:kern w:val="0"/>
          <w:sz w:val="24"/>
          <w:highlight w:val="none"/>
          <w:lang w:val="en-US" w:eastAsia="zh-CN"/>
        </w:rPr>
      </w:pPr>
      <w:r>
        <w:rPr>
          <w:rFonts w:hint="eastAsia" w:ascii="宋体" w:hAnsi="宋体" w:eastAsia="宋体" w:cs="Times New Roman"/>
          <w:snapToGrid w:val="0"/>
          <w:color w:val="auto"/>
          <w:kern w:val="0"/>
          <w:sz w:val="24"/>
          <w:highlight w:val="none"/>
          <w:lang w:val="en-US" w:eastAsia="zh-CN"/>
        </w:rPr>
        <w:t>1.2.4 工作电源：</w:t>
      </w:r>
      <w:r>
        <w:rPr>
          <w:rFonts w:hint="eastAsia" w:ascii="宋体" w:hAnsi="宋体" w:cs="Times New Roman"/>
          <w:snapToGrid w:val="0"/>
          <w:color w:val="auto"/>
          <w:kern w:val="0"/>
          <w:sz w:val="24"/>
          <w:highlight w:val="none"/>
          <w:lang w:val="en-US" w:eastAsia="zh-CN"/>
        </w:rPr>
        <w:t>内置加外置电池供电时</w:t>
      </w:r>
      <w:r>
        <w:rPr>
          <w:rFonts w:hint="eastAsia" w:ascii="宋体" w:hAnsi="宋体" w:eastAsia="宋体" w:cs="Times New Roman"/>
          <w:snapToGrid w:val="0"/>
          <w:color w:val="auto"/>
          <w:kern w:val="0"/>
          <w:sz w:val="24"/>
          <w:highlight w:val="none"/>
          <w:lang w:val="en-US" w:eastAsia="zh-CN"/>
        </w:rPr>
        <w:t>，不小于</w:t>
      </w:r>
      <w:r>
        <w:rPr>
          <w:rFonts w:hint="eastAsia" w:ascii="宋体" w:hAnsi="宋体" w:cs="Times New Roman"/>
          <w:snapToGrid w:val="0"/>
          <w:color w:val="auto"/>
          <w:kern w:val="0"/>
          <w:sz w:val="24"/>
          <w:highlight w:val="none"/>
          <w:lang w:val="en-US" w:eastAsia="zh-CN"/>
        </w:rPr>
        <w:t>4</w:t>
      </w:r>
      <w:r>
        <w:rPr>
          <w:rFonts w:hint="eastAsia" w:ascii="宋体" w:hAnsi="宋体" w:eastAsia="宋体" w:cs="Times New Roman"/>
          <w:snapToGrid w:val="0"/>
          <w:color w:val="auto"/>
          <w:kern w:val="0"/>
          <w:sz w:val="24"/>
          <w:highlight w:val="none"/>
          <w:lang w:val="en-US" w:eastAsia="zh-CN"/>
        </w:rPr>
        <w:t>h连续工作时间；也可以直接外接220V，50/60Hz电源工作；支持交、直流两种供电方式，电源适配器具有仪器供电和电池充电管理双功能；</w:t>
      </w:r>
      <w:r>
        <w:rPr>
          <w:rFonts w:hint="eastAsia" w:ascii="宋体" w:hAnsi="宋体" w:cs="Times New Roman"/>
          <w:snapToGrid w:val="0"/>
          <w:color w:val="auto"/>
          <w:kern w:val="0"/>
          <w:sz w:val="24"/>
          <w:highlight w:val="none"/>
          <w:lang w:val="en-US" w:eastAsia="zh-CN"/>
        </w:rPr>
        <w:t>外置电池不小于800W输出，不小于0.6度电。</w:t>
      </w:r>
    </w:p>
    <w:p w14:paraId="6BBA9DD1">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1.2.5 仪器总长度1.5m，标配有效长度1.3m</w:t>
      </w:r>
      <w:r>
        <w:rPr>
          <w:rFonts w:hint="eastAsia" w:ascii="宋体" w:hAnsi="宋体" w:cs="Times New Roman"/>
          <w:snapToGrid w:val="0"/>
          <w:color w:val="auto"/>
          <w:kern w:val="0"/>
          <w:sz w:val="24"/>
          <w:lang w:val="en-US" w:eastAsia="zh-CN"/>
        </w:rPr>
        <w:t>；</w:t>
      </w:r>
      <w:r>
        <w:rPr>
          <w:rFonts w:hint="eastAsia" w:ascii="宋体" w:hAnsi="宋体" w:eastAsia="宋体" w:cs="Times New Roman"/>
          <w:snapToGrid w:val="0"/>
          <w:color w:val="auto"/>
          <w:kern w:val="0"/>
          <w:sz w:val="24"/>
          <w:lang w:val="en-US" w:eastAsia="zh-CN"/>
        </w:rPr>
        <w:t xml:space="preserve"> </w:t>
      </w:r>
    </w:p>
    <w:p w14:paraId="0C8CB6DE">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1.2.6 主机重量不超过6kg；</w:t>
      </w:r>
    </w:p>
    <w:p w14:paraId="197F077E">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1.2.7 含湿量测量模块后置，直读烟道内含湿量数据，可适应高温、高湿等复杂工况，保证含湿量传感器的使用寿命；</w:t>
      </w:r>
    </w:p>
    <w:p w14:paraId="094DFB40">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1.2.8 含湿量具有校准功能，可对含湿量进行校准</w:t>
      </w:r>
      <w:r>
        <w:rPr>
          <w:rFonts w:hint="eastAsia" w:ascii="宋体" w:hAnsi="宋体" w:cs="Times New Roman"/>
          <w:snapToGrid w:val="0"/>
          <w:color w:val="auto"/>
          <w:kern w:val="0"/>
          <w:sz w:val="24"/>
          <w:lang w:val="en-US" w:eastAsia="zh-CN"/>
        </w:rPr>
        <w:t>；</w:t>
      </w:r>
    </w:p>
    <w:p w14:paraId="10768762">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 xml:space="preserve">1.2.9 进口工业级温湿度传感器，较强的抗干扰能力、自动温度补偿、精度高、响应时间快、使用寿命长； </w:t>
      </w:r>
    </w:p>
    <w:p w14:paraId="29A3D58B">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highlight w:val="none"/>
          <w:lang w:val="en-US" w:eastAsia="zh-CN"/>
        </w:rPr>
      </w:pPr>
      <w:r>
        <w:rPr>
          <w:rFonts w:hint="eastAsia" w:ascii="宋体" w:hAnsi="宋体" w:eastAsia="宋体" w:cs="Times New Roman"/>
          <w:snapToGrid w:val="0"/>
          <w:color w:val="auto"/>
          <w:kern w:val="0"/>
          <w:sz w:val="24"/>
          <w:lang w:val="en-US" w:eastAsia="zh-CN"/>
        </w:rPr>
        <w:t>1.2.10 取样管全程伴热，加热温度可调，特殊均匀加热设计，降低管路及传感</w:t>
      </w:r>
      <w:r>
        <w:rPr>
          <w:rFonts w:hint="eastAsia" w:ascii="宋体" w:hAnsi="宋体" w:eastAsia="宋体" w:cs="Times New Roman"/>
          <w:snapToGrid w:val="0"/>
          <w:color w:val="auto"/>
          <w:kern w:val="0"/>
          <w:sz w:val="24"/>
          <w:highlight w:val="none"/>
          <w:lang w:val="en-US" w:eastAsia="zh-CN"/>
        </w:rPr>
        <w:t xml:space="preserve">器表面结露的风险，提高使用寿命和测量准确性； </w:t>
      </w:r>
    </w:p>
    <w:p w14:paraId="71D5CBA2">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highlight w:val="none"/>
          <w:lang w:val="en-US" w:eastAsia="zh-CN"/>
        </w:rPr>
      </w:pPr>
      <w:r>
        <w:rPr>
          <w:rFonts w:hint="eastAsia" w:ascii="宋体" w:hAnsi="宋体" w:eastAsia="宋体" w:cs="Times New Roman"/>
          <w:snapToGrid w:val="0"/>
          <w:color w:val="auto"/>
          <w:kern w:val="0"/>
          <w:sz w:val="24"/>
          <w:highlight w:val="none"/>
          <w:lang w:val="en-US" w:eastAsia="zh-CN"/>
        </w:rPr>
        <w:t xml:space="preserve">1.2.11 取样管可适应 500℃高温工况采样，同时可满足其它不同复杂工况采样； </w:t>
      </w:r>
    </w:p>
    <w:p w14:paraId="766C5CBB">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highlight w:val="none"/>
          <w:lang w:val="en-US" w:eastAsia="zh-CN"/>
        </w:rPr>
      </w:pPr>
      <w:r>
        <w:rPr>
          <w:rFonts w:hint="eastAsia" w:ascii="宋体" w:hAnsi="宋体" w:eastAsia="宋体" w:cs="Times New Roman"/>
          <w:snapToGrid w:val="0"/>
          <w:color w:val="auto"/>
          <w:kern w:val="0"/>
          <w:sz w:val="24"/>
          <w:highlight w:val="none"/>
          <w:lang w:val="en-US" w:eastAsia="zh-CN"/>
        </w:rPr>
        <w:t>1.2.12 皮托管可双向使用，面对不同工况屏幕显示均可位于正面，方便查看数据及操作仪器；</w:t>
      </w:r>
    </w:p>
    <w:p w14:paraId="5D4C6C45">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highlight w:val="none"/>
          <w:lang w:val="en-US" w:eastAsia="zh-CN"/>
        </w:rPr>
      </w:pPr>
      <w:r>
        <w:rPr>
          <w:rFonts w:hint="eastAsia" w:ascii="宋体" w:hAnsi="宋体" w:eastAsia="宋体" w:cs="Times New Roman"/>
          <w:snapToGrid w:val="0"/>
          <w:color w:val="auto"/>
          <w:kern w:val="0"/>
          <w:sz w:val="24"/>
          <w:highlight w:val="none"/>
          <w:lang w:val="en-US" w:eastAsia="zh-CN"/>
        </w:rPr>
        <w:t xml:space="preserve">1.2.13 含湿量检测时同步测量动压、静压、烟温、流速、大气压等参数； </w:t>
      </w:r>
    </w:p>
    <w:p w14:paraId="551632DA">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highlight w:val="none"/>
          <w:lang w:val="en-US" w:eastAsia="zh-CN"/>
        </w:rPr>
      </w:pPr>
      <w:r>
        <w:rPr>
          <w:rFonts w:hint="eastAsia" w:ascii="宋体" w:hAnsi="宋体" w:eastAsia="宋体" w:cs="Times New Roman"/>
          <w:snapToGrid w:val="0"/>
          <w:color w:val="auto"/>
          <w:kern w:val="0"/>
          <w:sz w:val="24"/>
          <w:highlight w:val="none"/>
          <w:lang w:val="en-US" w:eastAsia="zh-CN"/>
        </w:rPr>
        <w:t xml:space="preserve">1.2.14 采用无线或有线双传输模式，可将实时检测数据输出给其他设备； </w:t>
      </w:r>
    </w:p>
    <w:p w14:paraId="2A9446D2">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highlight w:val="none"/>
          <w:lang w:val="en-US" w:eastAsia="zh-CN"/>
        </w:rPr>
      </w:pPr>
      <w:r>
        <w:rPr>
          <w:rFonts w:hint="eastAsia" w:ascii="宋体" w:hAnsi="宋体" w:eastAsia="宋体" w:cs="Times New Roman"/>
          <w:snapToGrid w:val="0"/>
          <w:color w:val="auto"/>
          <w:kern w:val="0"/>
          <w:sz w:val="24"/>
          <w:highlight w:val="none"/>
          <w:lang w:val="en-US" w:eastAsia="zh-CN"/>
        </w:rPr>
        <w:t xml:space="preserve">1.2.15 加热隔离设计，内置隔离模块将取样管与控制系统分开； </w:t>
      </w:r>
    </w:p>
    <w:p w14:paraId="275D1EE5">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highlight w:val="none"/>
          <w:lang w:val="en-US" w:eastAsia="zh-CN"/>
        </w:rPr>
      </w:pPr>
      <w:r>
        <w:rPr>
          <w:rFonts w:hint="eastAsia" w:ascii="宋体" w:hAnsi="宋体" w:eastAsia="宋体" w:cs="Times New Roman"/>
          <w:snapToGrid w:val="0"/>
          <w:color w:val="auto"/>
          <w:kern w:val="0"/>
          <w:sz w:val="24"/>
          <w:highlight w:val="none"/>
          <w:lang w:val="en-US" w:eastAsia="zh-CN"/>
        </w:rPr>
        <w:t>1.2.16 热电偶或铂电阻检测加热温度，加热时采用热电偶或铂电阻实时监测加热温度控温更精准；</w:t>
      </w:r>
    </w:p>
    <w:p w14:paraId="0EB8A404">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1.2.17 抽取式一体化设计，将取样管、含湿量等功能模块与主机集成。</w:t>
      </w:r>
    </w:p>
    <w:p w14:paraId="35829A55">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2、适用方法</w:t>
      </w:r>
    </w:p>
    <w:p w14:paraId="44688037">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2.1 仪器须符合试验方法：用于含湿量、流速、烟温的测定同步测量动压、静压、流速、大气压参数，符合GB/T 16157-1996、GB/T 11605-2005、HJ/T 397-2007、HJ/T48-1999、HJ 836-2017 、T/SSESB 1-2020等方法标准要求。</w:t>
      </w:r>
    </w:p>
    <w:p w14:paraId="5B0A0F2E">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2.2 卖方需根据买方要求，依照国家或行业标准，建立相应运行方法。</w:t>
      </w:r>
    </w:p>
    <w:p w14:paraId="5A9ADD8B">
      <w:pPr>
        <w:keepNext w:val="0"/>
        <w:pageBreakBefore w:val="0"/>
        <w:widowControl w:val="0"/>
        <w:kinsoku/>
        <w:wordWrap/>
        <w:overflowPunct/>
        <w:topLinePunct w:val="0"/>
        <w:bidi w:val="0"/>
        <w:spacing w:line="300" w:lineRule="auto"/>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.配置要求：</w:t>
      </w:r>
    </w:p>
    <w:tbl>
      <w:tblPr>
        <w:tblStyle w:val="32"/>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081"/>
        <w:gridCol w:w="1080"/>
        <w:gridCol w:w="1290"/>
      </w:tblGrid>
      <w:tr w14:paraId="6F2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6280D58D">
            <w:pPr>
              <w:keepNext w:val="0"/>
              <w:pageBreakBefore w:val="0"/>
              <w:kinsoku/>
              <w:wordWrap/>
              <w:overflowPunct/>
              <w:topLinePunct w:val="0"/>
              <w:bidi w:val="0"/>
              <w:spacing w:line="300" w:lineRule="auto"/>
              <w:ind w:firstLine="241" w:firstLineChars="100"/>
              <w:jc w:val="center"/>
              <w:textAlignment w:val="auto"/>
              <w:rPr>
                <w:rFonts w:ascii="宋体" w:hAnsi="宋体"/>
                <w:snapToGrid w:val="0"/>
                <w:highlight w:val="none"/>
              </w:rPr>
            </w:pPr>
            <w:r>
              <w:rPr>
                <w:b/>
                <w:color w:val="000000"/>
                <w:szCs w:val="21"/>
                <w:highlight w:val="none"/>
              </w:rPr>
              <w:t>序号</w:t>
            </w:r>
          </w:p>
        </w:tc>
        <w:tc>
          <w:tcPr>
            <w:tcW w:w="5081" w:type="dxa"/>
            <w:noWrap w:val="0"/>
            <w:vAlign w:val="center"/>
          </w:tcPr>
          <w:p w14:paraId="1792B5CF">
            <w:pPr>
              <w:keepNext w:val="0"/>
              <w:pageBreakBefore w:val="0"/>
              <w:kinsoku/>
              <w:wordWrap/>
              <w:overflowPunct/>
              <w:topLinePunct w:val="0"/>
              <w:bidi w:val="0"/>
              <w:spacing w:line="300" w:lineRule="auto"/>
              <w:jc w:val="both"/>
              <w:textAlignment w:val="auto"/>
              <w:rPr>
                <w:rFonts w:ascii="宋体" w:hAnsi="宋体"/>
                <w:snapToGrid w:val="0"/>
                <w:highlight w:val="none"/>
              </w:rPr>
            </w:pPr>
            <w:r>
              <w:rPr>
                <w:b/>
                <w:color w:val="000000"/>
                <w:szCs w:val="21"/>
                <w:highlight w:val="none"/>
              </w:rPr>
              <w:t>名称</w:t>
            </w:r>
          </w:p>
        </w:tc>
        <w:tc>
          <w:tcPr>
            <w:tcW w:w="1080" w:type="dxa"/>
            <w:noWrap w:val="0"/>
            <w:vAlign w:val="center"/>
          </w:tcPr>
          <w:p w14:paraId="15F2ED06">
            <w:pPr>
              <w:keepNext w:val="0"/>
              <w:pageBreakBefore w:val="0"/>
              <w:kinsoku/>
              <w:wordWrap/>
              <w:overflowPunct/>
              <w:topLinePunct w:val="0"/>
              <w:bidi w:val="0"/>
              <w:spacing w:line="300" w:lineRule="auto"/>
              <w:jc w:val="center"/>
              <w:textAlignment w:val="auto"/>
              <w:rPr>
                <w:rFonts w:ascii="宋体" w:hAnsi="宋体"/>
                <w:snapToGrid w:val="0"/>
                <w:highlight w:val="none"/>
              </w:rPr>
            </w:pPr>
            <w:r>
              <w:rPr>
                <w:b/>
                <w:color w:val="000000"/>
                <w:szCs w:val="21"/>
                <w:highlight w:val="none"/>
              </w:rPr>
              <w:t>单位</w:t>
            </w:r>
          </w:p>
        </w:tc>
        <w:tc>
          <w:tcPr>
            <w:tcW w:w="1290" w:type="dxa"/>
            <w:noWrap w:val="0"/>
            <w:vAlign w:val="center"/>
          </w:tcPr>
          <w:p w14:paraId="441A77ED">
            <w:pPr>
              <w:keepNext w:val="0"/>
              <w:pageBreakBefore w:val="0"/>
              <w:kinsoku/>
              <w:wordWrap/>
              <w:overflowPunct/>
              <w:topLinePunct w:val="0"/>
              <w:bidi w:val="0"/>
              <w:spacing w:line="300" w:lineRule="auto"/>
              <w:jc w:val="center"/>
              <w:textAlignment w:val="auto"/>
              <w:rPr>
                <w:rFonts w:ascii="宋体" w:hAnsi="宋体"/>
                <w:snapToGrid w:val="0"/>
                <w:highlight w:val="none"/>
              </w:rPr>
            </w:pPr>
            <w:r>
              <w:rPr>
                <w:b/>
                <w:color w:val="000000"/>
                <w:szCs w:val="21"/>
                <w:highlight w:val="none"/>
              </w:rPr>
              <w:t>数量</w:t>
            </w:r>
          </w:p>
        </w:tc>
      </w:tr>
      <w:tr w14:paraId="0E0D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03D58F59">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rPr>
              <w:t>1</w:t>
            </w:r>
          </w:p>
        </w:tc>
        <w:tc>
          <w:tcPr>
            <w:tcW w:w="5081" w:type="dxa"/>
            <w:noWrap w:val="0"/>
            <w:vAlign w:val="center"/>
          </w:tcPr>
          <w:p w14:paraId="2F0000E2">
            <w:pPr>
              <w:pStyle w:val="37"/>
              <w:keepNext w:val="0"/>
              <w:pageBreakBefore w:val="0"/>
              <w:kinsoku/>
              <w:wordWrap/>
              <w:overflowPunct/>
              <w:topLinePunct w:val="0"/>
              <w:bidi w:val="0"/>
              <w:snapToGrid w:val="0"/>
              <w:spacing w:line="300" w:lineRule="auto"/>
              <w:jc w:val="both"/>
              <w:textAlignment w:val="auto"/>
              <w:rPr>
                <w:rFonts w:ascii="宋体" w:hAnsi="宋体"/>
                <w:snapToGrid w:val="0"/>
                <w:highlight w:val="none"/>
              </w:rPr>
            </w:pPr>
            <w:r>
              <w:rPr>
                <w:rFonts w:hint="eastAsia" w:ascii="宋体" w:hAnsi="宋体"/>
                <w:snapToGrid w:val="0"/>
                <w:highlight w:val="none"/>
                <w:lang w:val="en-US" w:eastAsia="zh-CN"/>
              </w:rPr>
              <w:t>仪器主机</w:t>
            </w:r>
          </w:p>
        </w:tc>
        <w:tc>
          <w:tcPr>
            <w:tcW w:w="1080" w:type="dxa"/>
            <w:noWrap w:val="0"/>
            <w:vAlign w:val="center"/>
          </w:tcPr>
          <w:p w14:paraId="191A8B62">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ascii="宋体" w:hAnsi="宋体"/>
                <w:snapToGrid w:val="0"/>
                <w:highlight w:val="none"/>
              </w:rPr>
              <w:t>台</w:t>
            </w:r>
          </w:p>
        </w:tc>
        <w:tc>
          <w:tcPr>
            <w:tcW w:w="1290" w:type="dxa"/>
            <w:noWrap w:val="0"/>
            <w:vAlign w:val="center"/>
          </w:tcPr>
          <w:p w14:paraId="3A14CA90">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rPr>
              <w:t>1</w:t>
            </w:r>
          </w:p>
        </w:tc>
      </w:tr>
      <w:tr w14:paraId="3409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16C5B6FC">
            <w:pPr>
              <w:keepNext w:val="0"/>
              <w:pageBreakBefore w:val="0"/>
              <w:kinsoku/>
              <w:wordWrap/>
              <w:overflowPunct/>
              <w:topLinePunct w:val="0"/>
              <w:bidi w:val="0"/>
              <w:spacing w:line="300" w:lineRule="auto"/>
              <w:jc w:val="center"/>
              <w:textAlignment w:val="auto"/>
              <w:rPr>
                <w:rFonts w:hint="eastAsia" w:ascii="宋体" w:hAnsi="宋体" w:eastAsia="宋体"/>
                <w:snapToGrid w:val="0"/>
                <w:highlight w:val="none"/>
                <w:lang w:eastAsia="zh-CN"/>
              </w:rPr>
            </w:pPr>
            <w:r>
              <w:rPr>
                <w:rFonts w:hint="eastAsia" w:ascii="宋体" w:hAnsi="宋体"/>
                <w:snapToGrid w:val="0"/>
                <w:highlight w:val="none"/>
                <w:lang w:val="en-US" w:eastAsia="zh-CN"/>
              </w:rPr>
              <w:t>2</w:t>
            </w:r>
          </w:p>
        </w:tc>
        <w:tc>
          <w:tcPr>
            <w:tcW w:w="5081" w:type="dxa"/>
            <w:noWrap w:val="0"/>
            <w:vAlign w:val="center"/>
          </w:tcPr>
          <w:p w14:paraId="4E2C8430">
            <w:pPr>
              <w:keepNext w:val="0"/>
              <w:pageBreakBefore w:val="0"/>
              <w:kinsoku/>
              <w:wordWrap/>
              <w:overflowPunct/>
              <w:topLinePunct w:val="0"/>
              <w:bidi w:val="0"/>
              <w:spacing w:line="300" w:lineRule="auto"/>
              <w:jc w:val="both"/>
              <w:textAlignment w:val="auto"/>
              <w:rPr>
                <w:rFonts w:ascii="宋体" w:hAnsi="宋体"/>
                <w:snapToGrid w:val="0"/>
                <w:highlight w:val="none"/>
              </w:rPr>
            </w:pPr>
            <w:r>
              <w:rPr>
                <w:rFonts w:hint="eastAsia" w:ascii="宋体" w:hAnsi="宋体"/>
                <w:highlight w:val="none"/>
                <w:lang w:val="en-US" w:eastAsia="zh-CN"/>
              </w:rPr>
              <w:t>纸质及电子版</w:t>
            </w:r>
            <w:r>
              <w:rPr>
                <w:rFonts w:hint="eastAsia" w:ascii="宋体" w:hAnsi="宋体"/>
                <w:highlight w:val="none"/>
              </w:rPr>
              <w:t>中文仪器说明书</w:t>
            </w:r>
          </w:p>
        </w:tc>
        <w:tc>
          <w:tcPr>
            <w:tcW w:w="1080" w:type="dxa"/>
            <w:noWrap w:val="0"/>
            <w:vAlign w:val="center"/>
          </w:tcPr>
          <w:p w14:paraId="6BBE8D6E">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rPr>
              <w:t>份</w:t>
            </w:r>
          </w:p>
        </w:tc>
        <w:tc>
          <w:tcPr>
            <w:tcW w:w="1290" w:type="dxa"/>
            <w:noWrap w:val="0"/>
            <w:vAlign w:val="center"/>
          </w:tcPr>
          <w:p w14:paraId="1D33C320">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lang w:val="en-US" w:eastAsia="zh-CN"/>
              </w:rPr>
              <w:t>各2</w:t>
            </w:r>
          </w:p>
        </w:tc>
      </w:tr>
      <w:tr w14:paraId="4019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57FD99CA">
            <w:pPr>
              <w:keepNext w:val="0"/>
              <w:pageBreakBefore w:val="0"/>
              <w:kinsoku/>
              <w:wordWrap/>
              <w:overflowPunct/>
              <w:topLinePunct w:val="0"/>
              <w:bidi w:val="0"/>
              <w:spacing w:line="300" w:lineRule="auto"/>
              <w:jc w:val="center"/>
              <w:textAlignment w:val="auto"/>
              <w:rPr>
                <w:rFonts w:hint="eastAsia" w:ascii="宋体" w:hAnsi="宋体" w:eastAsia="宋体" w:cs="Times New Roman"/>
                <w:snapToGrid w:val="0"/>
                <w:kern w:val="2"/>
                <w:sz w:val="21"/>
                <w:szCs w:val="24"/>
                <w:highlight w:val="none"/>
                <w:lang w:val="en-US" w:eastAsia="zh-CN" w:bidi="ar-SA"/>
              </w:rPr>
            </w:pPr>
            <w:r>
              <w:rPr>
                <w:rFonts w:hint="eastAsia" w:ascii="宋体" w:hAnsi="宋体"/>
                <w:snapToGrid w:val="0"/>
                <w:highlight w:val="none"/>
                <w:lang w:val="en-US" w:eastAsia="zh-CN"/>
              </w:rPr>
              <w:t>3</w:t>
            </w:r>
          </w:p>
        </w:tc>
        <w:tc>
          <w:tcPr>
            <w:tcW w:w="5081" w:type="dxa"/>
            <w:noWrap w:val="0"/>
            <w:vAlign w:val="center"/>
          </w:tcPr>
          <w:p w14:paraId="54305052">
            <w:pPr>
              <w:keepNext w:val="0"/>
              <w:pageBreakBefore w:val="0"/>
              <w:kinsoku/>
              <w:wordWrap/>
              <w:overflowPunct/>
              <w:topLinePunct w:val="0"/>
              <w:bidi w:val="0"/>
              <w:spacing w:line="300" w:lineRule="auto"/>
              <w:jc w:val="both"/>
              <w:textAlignment w:val="auto"/>
              <w:rPr>
                <w:rFonts w:hint="eastAsia" w:ascii="宋体" w:hAnsi="宋体" w:eastAsia="宋体" w:cs="宋体"/>
                <w:bCs/>
                <w:color w:val="000000"/>
                <w:sz w:val="24"/>
                <w:szCs w:val="24"/>
                <w:highlight w:val="none"/>
                <w:lang w:val="en-US" w:eastAsia="zh-CN"/>
              </w:rPr>
            </w:pPr>
            <w:r>
              <w:rPr>
                <w:rFonts w:hint="eastAsia" w:ascii="宋体" w:hAnsi="宋体"/>
                <w:snapToGrid w:val="0"/>
                <w:highlight w:val="none"/>
                <w:lang w:val="en-US" w:eastAsia="zh-CN"/>
              </w:rPr>
              <w:t>蓝牙打印机</w:t>
            </w:r>
          </w:p>
        </w:tc>
        <w:tc>
          <w:tcPr>
            <w:tcW w:w="1080" w:type="dxa"/>
            <w:noWrap w:val="0"/>
            <w:vAlign w:val="center"/>
          </w:tcPr>
          <w:p w14:paraId="7A8D3EEC">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snapToGrid w:val="0"/>
                <w:highlight w:val="none"/>
                <w:lang w:val="en-US" w:eastAsia="zh-CN"/>
              </w:rPr>
              <w:t>台</w:t>
            </w:r>
          </w:p>
        </w:tc>
        <w:tc>
          <w:tcPr>
            <w:tcW w:w="1290" w:type="dxa"/>
            <w:noWrap w:val="0"/>
            <w:vAlign w:val="center"/>
          </w:tcPr>
          <w:p w14:paraId="3191F882">
            <w:pPr>
              <w:keepNext w:val="0"/>
              <w:pageBreakBefore w:val="0"/>
              <w:kinsoku/>
              <w:wordWrap/>
              <w:overflowPunct/>
              <w:topLinePunct w:val="0"/>
              <w:bidi w:val="0"/>
              <w:spacing w:line="300" w:lineRule="auto"/>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snapToGrid w:val="0"/>
                <w:highlight w:val="none"/>
                <w:lang w:val="en-US" w:eastAsia="zh-CN"/>
              </w:rPr>
              <w:t>1</w:t>
            </w:r>
          </w:p>
        </w:tc>
      </w:tr>
      <w:tr w14:paraId="79FB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4C4B786E">
            <w:pPr>
              <w:keepNext w:val="0"/>
              <w:pageBreakBefore w:val="0"/>
              <w:kinsoku/>
              <w:wordWrap/>
              <w:overflowPunct/>
              <w:topLinePunct w:val="0"/>
              <w:bidi w:val="0"/>
              <w:spacing w:line="300" w:lineRule="auto"/>
              <w:jc w:val="center"/>
              <w:textAlignment w:val="auto"/>
              <w:rPr>
                <w:rFonts w:hint="eastAsia" w:ascii="宋体" w:hAnsi="宋体" w:eastAsia="宋体"/>
                <w:snapToGrid w:val="0"/>
                <w:highlight w:val="none"/>
                <w:lang w:eastAsia="zh-CN"/>
              </w:rPr>
            </w:pPr>
            <w:r>
              <w:rPr>
                <w:rFonts w:hint="eastAsia" w:ascii="宋体" w:hAnsi="宋体"/>
                <w:snapToGrid w:val="0"/>
                <w:highlight w:val="none"/>
                <w:lang w:val="en-US" w:eastAsia="zh-CN"/>
              </w:rPr>
              <w:t>4</w:t>
            </w:r>
          </w:p>
        </w:tc>
        <w:tc>
          <w:tcPr>
            <w:tcW w:w="5081" w:type="dxa"/>
            <w:noWrap w:val="0"/>
            <w:vAlign w:val="center"/>
          </w:tcPr>
          <w:p w14:paraId="1FD1FD63">
            <w:pPr>
              <w:keepNext w:val="0"/>
              <w:pageBreakBefore w:val="0"/>
              <w:kinsoku/>
              <w:wordWrap/>
              <w:overflowPunct/>
              <w:topLinePunct w:val="0"/>
              <w:bidi w:val="0"/>
              <w:spacing w:line="300" w:lineRule="auto"/>
              <w:jc w:val="both"/>
              <w:textAlignment w:val="auto"/>
              <w:rPr>
                <w:rFonts w:ascii="宋体" w:hAnsi="宋体"/>
                <w:snapToGrid w:val="0"/>
                <w:highlight w:val="none"/>
              </w:rPr>
            </w:pPr>
            <w:r>
              <w:rPr>
                <w:rFonts w:hint="eastAsia" w:ascii="宋体" w:hAnsi="宋体"/>
                <w:snapToGrid w:val="0"/>
                <w:highlight w:val="none"/>
                <w:lang w:val="en-US" w:eastAsia="zh-CN"/>
              </w:rPr>
              <w:t>电源适配器</w:t>
            </w:r>
          </w:p>
        </w:tc>
        <w:tc>
          <w:tcPr>
            <w:tcW w:w="1080" w:type="dxa"/>
            <w:noWrap w:val="0"/>
            <w:vAlign w:val="center"/>
          </w:tcPr>
          <w:p w14:paraId="6779232B">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lang w:val="en-US" w:eastAsia="zh-CN"/>
              </w:rPr>
              <w:t>个</w:t>
            </w:r>
          </w:p>
        </w:tc>
        <w:tc>
          <w:tcPr>
            <w:tcW w:w="1290" w:type="dxa"/>
            <w:noWrap w:val="0"/>
            <w:vAlign w:val="center"/>
          </w:tcPr>
          <w:p w14:paraId="65834560">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lang w:eastAsia="zh-CN"/>
              </w:rPr>
              <w:t>1</w:t>
            </w:r>
          </w:p>
        </w:tc>
      </w:tr>
      <w:tr w14:paraId="3A41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5CB6DDCC">
            <w:pPr>
              <w:keepNext w:val="0"/>
              <w:pageBreakBefore w:val="0"/>
              <w:kinsoku/>
              <w:wordWrap/>
              <w:overflowPunct/>
              <w:topLinePunct w:val="0"/>
              <w:bidi w:val="0"/>
              <w:spacing w:line="300" w:lineRule="auto"/>
              <w:jc w:val="center"/>
              <w:textAlignment w:val="auto"/>
              <w:rPr>
                <w:rFonts w:hint="eastAsia" w:ascii="宋体" w:hAnsi="宋体" w:eastAsia="宋体"/>
                <w:snapToGrid w:val="0"/>
                <w:highlight w:val="none"/>
                <w:lang w:eastAsia="zh-CN"/>
              </w:rPr>
            </w:pPr>
            <w:r>
              <w:rPr>
                <w:rFonts w:hint="eastAsia" w:ascii="宋体" w:hAnsi="宋体"/>
                <w:snapToGrid w:val="0"/>
                <w:highlight w:val="none"/>
                <w:lang w:val="en-US" w:eastAsia="zh-CN"/>
              </w:rPr>
              <w:t>5</w:t>
            </w:r>
          </w:p>
        </w:tc>
        <w:tc>
          <w:tcPr>
            <w:tcW w:w="5081" w:type="dxa"/>
            <w:noWrap w:val="0"/>
            <w:vAlign w:val="center"/>
          </w:tcPr>
          <w:p w14:paraId="3A65C43E">
            <w:pPr>
              <w:keepNext w:val="0"/>
              <w:pageBreakBefore w:val="0"/>
              <w:kinsoku/>
              <w:wordWrap/>
              <w:overflowPunct/>
              <w:topLinePunct w:val="0"/>
              <w:bidi w:val="0"/>
              <w:spacing w:line="300" w:lineRule="auto"/>
              <w:jc w:val="both"/>
              <w:textAlignment w:val="auto"/>
              <w:rPr>
                <w:rFonts w:hint="default" w:ascii="宋体" w:hAnsi="宋体"/>
                <w:snapToGrid w:val="0"/>
                <w:highlight w:val="none"/>
                <w:lang w:val="en-US"/>
              </w:rPr>
            </w:pPr>
            <w:r>
              <w:rPr>
                <w:rFonts w:hint="eastAsia" w:ascii="宋体" w:hAnsi="宋体"/>
                <w:snapToGrid w:val="0"/>
                <w:highlight w:val="none"/>
                <w:lang w:val="en-US" w:eastAsia="zh-CN"/>
              </w:rPr>
              <w:t>包装布包或包装箱</w:t>
            </w:r>
          </w:p>
        </w:tc>
        <w:tc>
          <w:tcPr>
            <w:tcW w:w="1080" w:type="dxa"/>
            <w:noWrap w:val="0"/>
            <w:vAlign w:val="center"/>
          </w:tcPr>
          <w:p w14:paraId="410BF84B">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lang w:val="en-US" w:eastAsia="zh-CN"/>
              </w:rPr>
              <w:t>个</w:t>
            </w:r>
          </w:p>
        </w:tc>
        <w:tc>
          <w:tcPr>
            <w:tcW w:w="1290" w:type="dxa"/>
            <w:noWrap w:val="0"/>
            <w:vAlign w:val="center"/>
          </w:tcPr>
          <w:p w14:paraId="79E7C8A6">
            <w:pPr>
              <w:keepNext w:val="0"/>
              <w:pageBreakBefore w:val="0"/>
              <w:kinsoku/>
              <w:wordWrap/>
              <w:overflowPunct/>
              <w:topLinePunct w:val="0"/>
              <w:bidi w:val="0"/>
              <w:spacing w:line="300" w:lineRule="auto"/>
              <w:jc w:val="center"/>
              <w:textAlignment w:val="auto"/>
              <w:rPr>
                <w:rFonts w:ascii="宋体" w:hAnsi="宋体"/>
                <w:snapToGrid w:val="0"/>
                <w:highlight w:val="none"/>
              </w:rPr>
            </w:pPr>
            <w:r>
              <w:rPr>
                <w:rFonts w:hint="eastAsia" w:ascii="宋体" w:hAnsi="宋体"/>
                <w:snapToGrid w:val="0"/>
                <w:highlight w:val="none"/>
                <w:lang w:eastAsia="zh-CN"/>
              </w:rPr>
              <w:t>1</w:t>
            </w:r>
          </w:p>
        </w:tc>
      </w:tr>
      <w:tr w14:paraId="7A2F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2F97261B">
            <w:pPr>
              <w:keepNext w:val="0"/>
              <w:pageBreakBefore w:val="0"/>
              <w:kinsoku/>
              <w:wordWrap/>
              <w:overflowPunct/>
              <w:topLinePunct w:val="0"/>
              <w:bidi w:val="0"/>
              <w:spacing w:line="300" w:lineRule="auto"/>
              <w:jc w:val="center"/>
              <w:textAlignment w:val="auto"/>
              <w:rPr>
                <w:rFonts w:hint="eastAsia" w:ascii="宋体" w:hAnsi="宋体" w:eastAsia="宋体"/>
                <w:snapToGrid w:val="0"/>
                <w:color w:val="auto"/>
                <w:highlight w:val="none"/>
                <w:lang w:val="en-US" w:eastAsia="zh-CN"/>
              </w:rPr>
            </w:pPr>
            <w:r>
              <w:rPr>
                <w:rFonts w:hint="eastAsia" w:ascii="宋体" w:hAnsi="宋体"/>
                <w:snapToGrid w:val="0"/>
                <w:color w:val="auto"/>
                <w:highlight w:val="none"/>
                <w:lang w:val="en-US" w:eastAsia="zh-CN"/>
              </w:rPr>
              <w:t>6</w:t>
            </w:r>
          </w:p>
        </w:tc>
        <w:tc>
          <w:tcPr>
            <w:tcW w:w="5081" w:type="dxa"/>
            <w:noWrap w:val="0"/>
            <w:vAlign w:val="center"/>
          </w:tcPr>
          <w:p w14:paraId="518A76B8">
            <w:pPr>
              <w:keepNext w:val="0"/>
              <w:pageBreakBefore w:val="0"/>
              <w:kinsoku/>
              <w:wordWrap/>
              <w:overflowPunct/>
              <w:topLinePunct w:val="0"/>
              <w:bidi w:val="0"/>
              <w:spacing w:line="300" w:lineRule="auto"/>
              <w:jc w:val="both"/>
              <w:textAlignment w:val="auto"/>
              <w:rPr>
                <w:rFonts w:hint="default" w:ascii="宋体" w:hAnsi="宋体"/>
                <w:snapToGrid w:val="0"/>
                <w:color w:val="auto"/>
                <w:highlight w:val="none"/>
                <w:lang w:val="en-US" w:eastAsia="zh-CN"/>
              </w:rPr>
            </w:pPr>
            <w:r>
              <w:rPr>
                <w:rFonts w:hint="eastAsia" w:ascii="宋体" w:hAnsi="宋体"/>
                <w:snapToGrid w:val="0"/>
                <w:color w:val="auto"/>
                <w:highlight w:val="none"/>
                <w:lang w:val="en-US" w:eastAsia="zh-CN"/>
              </w:rPr>
              <w:t>便携外置电源，600w，电池容量不小于36AH,正弦交流输出，直流12V、24V输出。</w:t>
            </w:r>
          </w:p>
        </w:tc>
        <w:tc>
          <w:tcPr>
            <w:tcW w:w="1080" w:type="dxa"/>
            <w:noWrap w:val="0"/>
            <w:vAlign w:val="center"/>
          </w:tcPr>
          <w:p w14:paraId="06D94775">
            <w:pPr>
              <w:keepNext w:val="0"/>
              <w:pageBreakBefore w:val="0"/>
              <w:kinsoku/>
              <w:wordWrap/>
              <w:overflowPunct/>
              <w:topLinePunct w:val="0"/>
              <w:bidi w:val="0"/>
              <w:spacing w:line="30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snapToGrid w:val="0"/>
                <w:color w:val="auto"/>
                <w:highlight w:val="none"/>
                <w:lang w:val="en-US" w:eastAsia="zh-CN"/>
              </w:rPr>
              <w:t>台</w:t>
            </w:r>
          </w:p>
        </w:tc>
        <w:tc>
          <w:tcPr>
            <w:tcW w:w="1290" w:type="dxa"/>
            <w:noWrap w:val="0"/>
            <w:vAlign w:val="center"/>
          </w:tcPr>
          <w:p w14:paraId="09538E41">
            <w:pPr>
              <w:keepNext w:val="0"/>
              <w:pageBreakBefore w:val="0"/>
              <w:kinsoku/>
              <w:wordWrap/>
              <w:overflowPunct/>
              <w:topLinePunct w:val="0"/>
              <w:bidi w:val="0"/>
              <w:spacing w:line="30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snapToGrid w:val="0"/>
                <w:color w:val="auto"/>
                <w:highlight w:val="none"/>
                <w:lang w:val="en-US" w:eastAsia="zh-CN"/>
              </w:rPr>
              <w:t>1</w:t>
            </w:r>
          </w:p>
        </w:tc>
      </w:tr>
    </w:tbl>
    <w:p w14:paraId="2F91A573">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b/>
          <w:bCs/>
          <w:snapToGrid w:val="0"/>
          <w:color w:val="auto"/>
          <w:kern w:val="0"/>
          <w:sz w:val="24"/>
          <w:lang w:val="en-US" w:eastAsia="zh-CN"/>
        </w:rPr>
      </w:pPr>
      <w:r>
        <w:rPr>
          <w:rFonts w:hint="eastAsia" w:ascii="宋体" w:hAnsi="宋体" w:eastAsia="宋体" w:cs="Times New Roman"/>
          <w:b/>
          <w:bCs/>
          <w:snapToGrid w:val="0"/>
          <w:color w:val="auto"/>
          <w:kern w:val="0"/>
          <w:sz w:val="24"/>
          <w:lang w:val="en-US" w:eastAsia="zh-CN"/>
        </w:rPr>
        <w:t>4业绩证明</w:t>
      </w:r>
    </w:p>
    <w:p w14:paraId="23FD5E97">
      <w:pPr>
        <w:keepNext w:val="0"/>
        <w:pageBreakBefore w:val="0"/>
        <w:widowControl/>
        <w:kinsoku/>
        <w:wordWrap/>
        <w:overflowPunct/>
        <w:topLinePunct w:val="0"/>
        <w:bidi w:val="0"/>
        <w:spacing w:line="300" w:lineRule="auto"/>
        <w:jc w:val="both"/>
        <w:textAlignment w:val="auto"/>
        <w:rPr>
          <w:rFonts w:hint="eastAsia" w:ascii="宋体" w:hAnsi="宋体" w:eastAsia="宋体" w:cs="Times New Roman"/>
          <w:snapToGrid w:val="0"/>
          <w:color w:val="auto"/>
          <w:kern w:val="0"/>
          <w:sz w:val="24"/>
          <w:lang w:val="en-US" w:eastAsia="zh-CN"/>
        </w:rPr>
      </w:pPr>
      <w:r>
        <w:rPr>
          <w:rFonts w:hint="eastAsia" w:ascii="宋体" w:hAnsi="宋体" w:eastAsia="宋体" w:cs="Times New Roman"/>
          <w:snapToGrid w:val="0"/>
          <w:color w:val="auto"/>
          <w:kern w:val="0"/>
          <w:sz w:val="24"/>
          <w:lang w:val="en-US" w:eastAsia="zh-CN"/>
        </w:rPr>
        <w:t>自2021年1月1日起至今（以合同签订时间为准）该仪器在国内实验室不少于60台的业绩，单个项目中标1台及以上合同1份，并标明设备名称、数量、用户名称、相关联系人及电话号码，并提供业绩证明(证明其销售业绩的合同复印件，并由投标人代表签字或盖章)。</w:t>
      </w:r>
    </w:p>
    <w:p w14:paraId="09391CD2">
      <w:pPr>
        <w:keepNext w:val="0"/>
        <w:pageBreakBefore w:val="0"/>
        <w:kinsoku/>
        <w:wordWrap/>
        <w:overflowPunct/>
        <w:topLinePunct w:val="0"/>
        <w:bidi w:val="0"/>
        <w:spacing w:line="300" w:lineRule="auto"/>
        <w:jc w:val="both"/>
        <w:textAlignment w:val="auto"/>
        <w:rPr>
          <w:rFonts w:hint="eastAsia" w:ascii="宋体" w:hAnsi="宋体" w:eastAsia="宋体" w:cs="Arial"/>
          <w:b/>
          <w:bCs/>
          <w:color w:val="C00000"/>
          <w:sz w:val="24"/>
          <w:szCs w:val="24"/>
        </w:rPr>
      </w:pPr>
      <w:r>
        <w:rPr>
          <w:rFonts w:hint="eastAsia" w:ascii="宋体" w:hAnsi="宋体" w:eastAsia="宋体" w:cs="Arial"/>
          <w:b/>
          <w:bCs/>
          <w:color w:val="C00000"/>
          <w:sz w:val="24"/>
          <w:szCs w:val="24"/>
          <w:lang w:val="en-US" w:eastAsia="zh-CN"/>
        </w:rPr>
        <w:t>四</w:t>
      </w:r>
      <w:r>
        <w:rPr>
          <w:rFonts w:hint="eastAsia" w:ascii="宋体" w:hAnsi="宋体" w:eastAsia="宋体" w:cs="Arial"/>
          <w:b/>
          <w:bCs/>
          <w:color w:val="C00000"/>
          <w:sz w:val="24"/>
          <w:szCs w:val="24"/>
        </w:rPr>
        <w:t>、</w:t>
      </w:r>
      <w:r>
        <w:rPr>
          <w:rFonts w:hint="eastAsia" w:ascii="宋体" w:hAnsi="宋体" w:eastAsia="宋体" w:cs="Arial"/>
          <w:b/>
          <w:bCs/>
          <w:color w:val="C00000"/>
          <w:sz w:val="24"/>
          <w:szCs w:val="24"/>
          <w:lang w:val="en-US" w:eastAsia="zh-CN"/>
        </w:rPr>
        <w:t>自动</w:t>
      </w:r>
      <w:r>
        <w:rPr>
          <w:rFonts w:hint="eastAsia" w:ascii="宋体" w:hAnsi="宋体" w:eastAsia="宋体" w:cs="Arial"/>
          <w:b/>
          <w:bCs/>
          <w:color w:val="C00000"/>
          <w:sz w:val="24"/>
          <w:szCs w:val="24"/>
        </w:rPr>
        <w:t>电位滴定仪(</w:t>
      </w:r>
      <w:r>
        <w:rPr>
          <w:rFonts w:hint="eastAsia" w:ascii="宋体" w:hAnsi="宋体" w:eastAsia="宋体" w:cs="Arial"/>
          <w:b/>
          <w:bCs/>
          <w:color w:val="C00000"/>
          <w:sz w:val="24"/>
          <w:szCs w:val="24"/>
          <w:lang w:val="en-US" w:eastAsia="zh-CN"/>
        </w:rPr>
        <w:t>2</w:t>
      </w:r>
      <w:r>
        <w:rPr>
          <w:rFonts w:hint="eastAsia" w:ascii="宋体" w:hAnsi="宋体" w:eastAsia="宋体" w:cs="Arial"/>
          <w:b/>
          <w:bCs/>
          <w:color w:val="C00000"/>
          <w:sz w:val="24"/>
          <w:szCs w:val="24"/>
        </w:rPr>
        <w:t>台)</w:t>
      </w:r>
    </w:p>
    <w:p w14:paraId="52882756">
      <w:pPr>
        <w:keepNext w:val="0"/>
        <w:pageBreakBefore w:val="0"/>
        <w:kinsoku/>
        <w:wordWrap/>
        <w:overflowPunct/>
        <w:topLinePunct w:val="0"/>
        <w:bidi w:val="0"/>
        <w:spacing w:line="300" w:lineRule="auto"/>
        <w:jc w:val="both"/>
        <w:textAlignment w:val="auto"/>
        <w:rPr>
          <w:rFonts w:ascii="宋体" w:hAnsi="宋体"/>
          <w:b/>
        </w:rPr>
      </w:pPr>
      <w:r>
        <w:rPr>
          <w:rFonts w:hint="eastAsia" w:ascii="宋体" w:hAnsi="宋体"/>
          <w:b/>
        </w:rPr>
        <w:t>1、仪器技术指标和性能特点要求</w:t>
      </w:r>
    </w:p>
    <w:p w14:paraId="3E9A9311">
      <w:pPr>
        <w:keepNext w:val="0"/>
        <w:pageBreakBefore w:val="0"/>
        <w:kinsoku/>
        <w:wordWrap/>
        <w:overflowPunct/>
        <w:topLinePunct w:val="0"/>
        <w:bidi w:val="0"/>
        <w:spacing w:line="300" w:lineRule="auto"/>
        <w:jc w:val="both"/>
        <w:textAlignment w:val="auto"/>
        <w:rPr>
          <w:rFonts w:ascii="宋体" w:hAnsi="宋体"/>
          <w:b/>
          <w:bCs/>
          <w:snapToGrid w:val="0"/>
        </w:rPr>
      </w:pPr>
      <w:r>
        <w:rPr>
          <w:rFonts w:hint="eastAsia" w:ascii="宋体" w:hAnsi="宋体"/>
          <w:b/>
          <w:bCs/>
          <w:snapToGrid w:val="0"/>
        </w:rPr>
        <w:t>1</w:t>
      </w:r>
      <w:r>
        <w:rPr>
          <w:rFonts w:ascii="宋体" w:hAnsi="宋体"/>
          <w:b/>
          <w:bCs/>
          <w:snapToGrid w:val="0"/>
        </w:rPr>
        <w:t>.1</w:t>
      </w:r>
      <w:r>
        <w:rPr>
          <w:rFonts w:hint="eastAsia" w:ascii="宋体" w:hAnsi="宋体"/>
          <w:b/>
          <w:bCs/>
          <w:snapToGrid w:val="0"/>
        </w:rPr>
        <w:t>安装条件要求：</w:t>
      </w:r>
    </w:p>
    <w:p w14:paraId="0C59100E">
      <w:pPr>
        <w:keepNext w:val="0"/>
        <w:pageBreakBefore w:val="0"/>
        <w:kinsoku/>
        <w:wordWrap/>
        <w:overflowPunct/>
        <w:topLinePunct w:val="0"/>
        <w:bidi w:val="0"/>
        <w:spacing w:line="300" w:lineRule="auto"/>
        <w:jc w:val="both"/>
        <w:textAlignment w:val="auto"/>
        <w:rPr>
          <w:rFonts w:cs="宋体" w:asciiTheme="minorEastAsia" w:hAnsiTheme="minorEastAsia"/>
        </w:rPr>
      </w:pPr>
      <w:r>
        <w:rPr>
          <w:rFonts w:hint="eastAsia" w:cs="宋体" w:asciiTheme="minorEastAsia" w:hAnsiTheme="minorEastAsia"/>
        </w:rPr>
        <w:t>1.</w:t>
      </w:r>
      <w:r>
        <w:rPr>
          <w:rFonts w:cs="宋体" w:asciiTheme="minorEastAsia" w:hAnsiTheme="minorEastAsia"/>
        </w:rPr>
        <w:t>1.1</w:t>
      </w:r>
      <w:r>
        <w:rPr>
          <w:rFonts w:hint="eastAsia" w:cs="宋体" w:asciiTheme="minorEastAsia" w:hAnsiTheme="minorEastAsia"/>
        </w:rPr>
        <w:t>电源符合要求：100</w:t>
      </w:r>
      <w:r>
        <w:rPr>
          <w:rFonts w:cs="宋体" w:asciiTheme="minorEastAsia" w:hAnsiTheme="minorEastAsia"/>
        </w:rPr>
        <w:t>V</w:t>
      </w:r>
      <w:r>
        <w:rPr>
          <w:rFonts w:hint="eastAsia" w:cs="宋体" w:asciiTheme="minorEastAsia" w:hAnsiTheme="minorEastAsia"/>
        </w:rPr>
        <w:t>～</w:t>
      </w:r>
      <w:r>
        <w:rPr>
          <w:rFonts w:cs="宋体" w:asciiTheme="minorEastAsia" w:hAnsiTheme="minorEastAsia"/>
        </w:rPr>
        <w:t>2</w:t>
      </w:r>
      <w:r>
        <w:rPr>
          <w:rFonts w:hint="eastAsia" w:cs="宋体" w:asciiTheme="minorEastAsia" w:hAnsiTheme="minorEastAsia"/>
        </w:rPr>
        <w:t>4</w:t>
      </w:r>
      <w:r>
        <w:rPr>
          <w:rFonts w:cs="宋体" w:asciiTheme="minorEastAsia" w:hAnsiTheme="minorEastAsia"/>
        </w:rPr>
        <w:t>0V</w:t>
      </w:r>
      <w:r>
        <w:rPr>
          <w:rFonts w:hint="eastAsia" w:cs="宋体" w:asciiTheme="minorEastAsia" w:hAnsiTheme="minorEastAsia"/>
        </w:rPr>
        <w:t>，频率：50</w:t>
      </w:r>
      <w:r>
        <w:rPr>
          <w:rFonts w:cs="宋体" w:asciiTheme="minorEastAsia" w:hAnsiTheme="minorEastAsia"/>
        </w:rPr>
        <w:t>Hz</w:t>
      </w:r>
    </w:p>
    <w:p w14:paraId="43399DD3">
      <w:pPr>
        <w:keepNext w:val="0"/>
        <w:pageBreakBefore w:val="0"/>
        <w:kinsoku/>
        <w:wordWrap/>
        <w:overflowPunct/>
        <w:topLinePunct w:val="0"/>
        <w:bidi w:val="0"/>
        <w:spacing w:line="300" w:lineRule="auto"/>
        <w:jc w:val="both"/>
        <w:textAlignment w:val="auto"/>
        <w:rPr>
          <w:rFonts w:cs="宋体" w:asciiTheme="minorEastAsia" w:hAnsiTheme="minorEastAsia"/>
        </w:rPr>
      </w:pPr>
      <w:r>
        <w:rPr>
          <w:rFonts w:hint="eastAsia" w:cs="宋体" w:asciiTheme="minorEastAsia" w:hAnsiTheme="minorEastAsia"/>
        </w:rPr>
        <w:t>1</w:t>
      </w:r>
      <w:r>
        <w:rPr>
          <w:rFonts w:cs="宋体" w:asciiTheme="minorEastAsia" w:hAnsiTheme="minorEastAsia"/>
        </w:rPr>
        <w:t>.1.2</w:t>
      </w:r>
      <w:r>
        <w:rPr>
          <w:rFonts w:hint="eastAsia" w:cs="宋体" w:asciiTheme="minorEastAsia" w:hAnsiTheme="minorEastAsia"/>
        </w:rPr>
        <w:t>适用环境温度要求：</w:t>
      </w:r>
      <w:r>
        <w:rPr>
          <w:rFonts w:cs="宋体" w:asciiTheme="minorEastAsia" w:hAnsiTheme="minorEastAsia"/>
        </w:rPr>
        <w:t>1</w:t>
      </w:r>
      <w:r>
        <w:rPr>
          <w:rFonts w:hint="eastAsia" w:cs="宋体" w:asciiTheme="minorEastAsia" w:hAnsiTheme="minorEastAsia"/>
        </w:rPr>
        <w:t>0</w:t>
      </w:r>
      <w:r>
        <w:rPr>
          <w:rFonts w:ascii="Times New Roman" w:hAnsi="Times New Roman"/>
        </w:rPr>
        <w:t>˚</w:t>
      </w:r>
      <w:r>
        <w:rPr>
          <w:rFonts w:cs="宋体" w:asciiTheme="minorEastAsia" w:hAnsiTheme="minorEastAsia"/>
        </w:rPr>
        <w:t>C</w:t>
      </w:r>
      <w:r>
        <w:rPr>
          <w:rFonts w:hint="eastAsia" w:cs="宋体" w:asciiTheme="minorEastAsia" w:hAnsiTheme="minorEastAsia"/>
        </w:rPr>
        <w:t>～3</w:t>
      </w:r>
      <w:r>
        <w:rPr>
          <w:rFonts w:cs="宋体" w:asciiTheme="minorEastAsia" w:hAnsiTheme="minorEastAsia"/>
        </w:rPr>
        <w:t>5</w:t>
      </w:r>
      <w:r>
        <w:rPr>
          <w:rFonts w:ascii="Times New Roman" w:hAnsi="Times New Roman"/>
        </w:rPr>
        <w:t>˚</w:t>
      </w:r>
      <w:r>
        <w:rPr>
          <w:rFonts w:cs="宋体" w:asciiTheme="minorEastAsia" w:hAnsiTheme="minorEastAsia"/>
        </w:rPr>
        <w:t>C</w:t>
      </w:r>
    </w:p>
    <w:p w14:paraId="7AF75831">
      <w:pPr>
        <w:keepNext w:val="0"/>
        <w:pageBreakBefore w:val="0"/>
        <w:kinsoku/>
        <w:wordWrap/>
        <w:overflowPunct/>
        <w:topLinePunct w:val="0"/>
        <w:bidi w:val="0"/>
        <w:spacing w:line="300" w:lineRule="auto"/>
        <w:jc w:val="both"/>
        <w:textAlignment w:val="auto"/>
        <w:rPr>
          <w:rFonts w:ascii="宋体" w:hAnsi="宋体"/>
          <w:b/>
          <w:bCs/>
          <w:snapToGrid w:val="0"/>
        </w:rPr>
      </w:pPr>
      <w:r>
        <w:rPr>
          <w:rFonts w:hint="eastAsia" w:cs="宋体" w:asciiTheme="minorEastAsia" w:hAnsiTheme="minorEastAsia"/>
        </w:rPr>
        <w:t>1</w:t>
      </w:r>
      <w:r>
        <w:rPr>
          <w:rFonts w:cs="宋体" w:asciiTheme="minorEastAsia" w:hAnsiTheme="minorEastAsia"/>
        </w:rPr>
        <w:t>.1.3</w:t>
      </w:r>
      <w:r>
        <w:rPr>
          <w:rFonts w:hint="eastAsia" w:cs="宋体" w:asciiTheme="minorEastAsia" w:hAnsiTheme="minorEastAsia"/>
        </w:rPr>
        <w:t>适用环境湿度要求：5%RH～85%RH</w:t>
      </w:r>
      <w:r>
        <w:rPr>
          <w:rFonts w:ascii="宋体" w:hAnsi="宋体"/>
          <w:b/>
          <w:bCs/>
          <w:snapToGrid w:val="0"/>
        </w:rPr>
        <w:t xml:space="preserve"> </w:t>
      </w:r>
    </w:p>
    <w:p w14:paraId="22146E68">
      <w:pPr>
        <w:keepNext w:val="0"/>
        <w:pageBreakBefore w:val="0"/>
        <w:kinsoku/>
        <w:wordWrap/>
        <w:overflowPunct/>
        <w:topLinePunct w:val="0"/>
        <w:bidi w:val="0"/>
        <w:spacing w:line="300" w:lineRule="auto"/>
        <w:jc w:val="both"/>
        <w:textAlignment w:val="auto"/>
        <w:rPr>
          <w:rFonts w:ascii="宋体" w:hAnsi="宋体"/>
          <w:b/>
          <w:bCs/>
          <w:snapToGrid w:val="0"/>
        </w:rPr>
      </w:pPr>
      <w:r>
        <w:rPr>
          <w:rFonts w:ascii="宋体" w:hAnsi="宋体"/>
          <w:b/>
          <w:bCs/>
          <w:snapToGrid w:val="0"/>
        </w:rPr>
        <w:t>1.2</w:t>
      </w:r>
      <w:r>
        <w:rPr>
          <w:rFonts w:hint="eastAsia" w:cs="宋体" w:asciiTheme="minorEastAsia" w:hAnsiTheme="minorEastAsia"/>
          <w:b/>
        </w:rPr>
        <w:t>主机及整体性能</w:t>
      </w:r>
    </w:p>
    <w:p w14:paraId="5F4515BC">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1.2.1 电位滴定仪可用于酸碱滴定、络合滴定、沉淀滴定、氧化还原滴定</w:t>
      </w:r>
      <w:r>
        <w:rPr>
          <w:rFonts w:hint="eastAsia" w:ascii="宋体" w:hAnsi="宋体"/>
          <w:snapToGrid w:val="0"/>
          <w:sz w:val="24"/>
          <w:szCs w:val="24"/>
          <w:lang w:eastAsia="zh-CN"/>
        </w:rPr>
        <w:t>、恒pH滴定、容量法/库仑法卡氏水分测试</w:t>
      </w:r>
      <w:r>
        <w:rPr>
          <w:rFonts w:ascii="宋体" w:hAnsi="宋体"/>
          <w:snapToGrid w:val="0"/>
          <w:sz w:val="24"/>
          <w:szCs w:val="24"/>
          <w:lang w:eastAsia="zh-CN"/>
        </w:rPr>
        <w:t>等化学测试</w:t>
      </w:r>
      <w:r>
        <w:rPr>
          <w:rFonts w:hint="eastAsia" w:ascii="宋体" w:hAnsi="宋体"/>
          <w:snapToGrid w:val="0"/>
          <w:sz w:val="24"/>
          <w:szCs w:val="24"/>
          <w:lang w:eastAsia="zh-CN"/>
        </w:rPr>
        <w:t>；</w:t>
      </w:r>
    </w:p>
    <w:p w14:paraId="08E73048">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 xml:space="preserve">1.2.2 </w:t>
      </w:r>
      <w:r>
        <w:rPr>
          <w:rFonts w:hint="eastAsia" w:ascii="宋体" w:hAnsi="宋体"/>
          <w:snapToGrid w:val="0"/>
          <w:sz w:val="24"/>
          <w:szCs w:val="24"/>
          <w:lang w:eastAsia="zh-CN"/>
        </w:rPr>
        <w:t>测量范围：±</w:t>
      </w:r>
      <w:r>
        <w:rPr>
          <w:rFonts w:ascii="宋体" w:hAnsi="宋体"/>
          <w:snapToGrid w:val="0"/>
          <w:sz w:val="24"/>
          <w:szCs w:val="24"/>
          <w:lang w:eastAsia="zh-CN"/>
        </w:rPr>
        <w:t>1200m</w:t>
      </w:r>
      <w:r>
        <w:rPr>
          <w:rFonts w:hint="eastAsia" w:ascii="宋体" w:hAnsi="宋体"/>
          <w:snapToGrid w:val="0"/>
          <w:sz w:val="24"/>
          <w:szCs w:val="24"/>
          <w:lang w:eastAsia="zh-CN"/>
        </w:rPr>
        <w:t>V</w:t>
      </w:r>
      <w:r>
        <w:rPr>
          <w:rFonts w:ascii="宋体" w:hAnsi="宋体"/>
          <w:snapToGrid w:val="0"/>
          <w:sz w:val="24"/>
          <w:szCs w:val="24"/>
          <w:lang w:eastAsia="zh-CN"/>
        </w:rPr>
        <w:t>/-13.0</w:t>
      </w:r>
      <w:r>
        <w:rPr>
          <w:rFonts w:hint="eastAsia" w:cs="宋体" w:asciiTheme="minorEastAsia" w:hAnsiTheme="minorEastAsia" w:eastAsiaTheme="minorEastAsia"/>
          <w:sz w:val="24"/>
          <w:szCs w:val="24"/>
          <w:lang w:eastAsia="zh-CN"/>
        </w:rPr>
        <w:t>～</w:t>
      </w:r>
      <w:r>
        <w:rPr>
          <w:rFonts w:ascii="宋体" w:hAnsi="宋体"/>
          <w:snapToGrid w:val="0"/>
          <w:sz w:val="24"/>
          <w:szCs w:val="24"/>
          <w:lang w:eastAsia="zh-CN"/>
        </w:rPr>
        <w:t>+20.0</w:t>
      </w:r>
      <w:r>
        <w:rPr>
          <w:rFonts w:hint="eastAsia" w:ascii="宋体" w:hAnsi="宋体"/>
          <w:snapToGrid w:val="0"/>
          <w:sz w:val="24"/>
          <w:szCs w:val="24"/>
          <w:lang w:eastAsia="zh-CN"/>
        </w:rPr>
        <w:t xml:space="preserve"> p</w:t>
      </w:r>
      <w:r>
        <w:rPr>
          <w:rFonts w:ascii="宋体" w:hAnsi="宋体"/>
          <w:snapToGrid w:val="0"/>
          <w:sz w:val="24"/>
          <w:szCs w:val="24"/>
          <w:lang w:eastAsia="zh-CN"/>
        </w:rPr>
        <w:t>H</w:t>
      </w:r>
      <w:r>
        <w:rPr>
          <w:rFonts w:hint="eastAsia" w:ascii="宋体" w:hAnsi="宋体"/>
          <w:snapToGrid w:val="0"/>
          <w:sz w:val="24"/>
          <w:szCs w:val="24"/>
          <w:lang w:eastAsia="zh-CN"/>
        </w:rPr>
        <w:t>；</w:t>
      </w:r>
    </w:p>
    <w:p w14:paraId="38A050E6">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 xml:space="preserve">1.2.3 </w:t>
      </w:r>
      <w:r>
        <w:rPr>
          <w:rFonts w:hint="eastAsia" w:ascii="宋体" w:hAnsi="宋体"/>
          <w:snapToGrid w:val="0"/>
          <w:sz w:val="24"/>
          <w:szCs w:val="24"/>
          <w:lang w:eastAsia="zh-CN"/>
        </w:rPr>
        <w:t xml:space="preserve">pH分辨率：0.001pH；电势分辨率：±0.1mV； </w:t>
      </w:r>
    </w:p>
    <w:p w14:paraId="26A367BD">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hint="eastAsia" w:ascii="宋体" w:hAnsi="宋体"/>
          <w:snapToGrid w:val="0"/>
          <w:sz w:val="24"/>
          <w:szCs w:val="24"/>
          <w:lang w:eastAsia="zh-CN"/>
        </w:rPr>
        <w:t>1.2.4 误差：电位</w:t>
      </w:r>
      <w:r>
        <w:rPr>
          <w:rFonts w:ascii="宋体" w:hAnsi="宋体" w:cs="Arial"/>
          <w:sz w:val="24"/>
          <w:lang w:eastAsia="zh-CN"/>
        </w:rPr>
        <w:t>0.</w:t>
      </w:r>
      <w:r>
        <w:rPr>
          <w:rFonts w:hint="eastAsia" w:ascii="宋体" w:hAnsi="宋体" w:cs="Arial"/>
          <w:sz w:val="24"/>
          <w:lang w:eastAsia="zh-CN"/>
        </w:rPr>
        <w:t>2</w:t>
      </w:r>
      <w:r>
        <w:rPr>
          <w:rFonts w:hint="eastAsia" w:ascii="宋体" w:hAnsi="宋体"/>
          <w:sz w:val="24"/>
          <w:lang w:eastAsia="zh-CN"/>
        </w:rPr>
        <w:t>mV；</w:t>
      </w:r>
      <w:r>
        <w:rPr>
          <w:rFonts w:hint="eastAsia" w:ascii="宋体" w:hAnsi="宋体" w:cs="Arial"/>
          <w:sz w:val="24"/>
          <w:lang w:eastAsia="zh-CN"/>
        </w:rPr>
        <w:t>0.003pH；电流</w:t>
      </w:r>
      <w:r>
        <w:rPr>
          <w:rFonts w:ascii="宋体" w:hAnsi="宋体" w:cs="Arial"/>
          <w:sz w:val="24"/>
          <w:lang w:eastAsia="zh-CN"/>
        </w:rPr>
        <w:t>0.</w:t>
      </w:r>
      <w:r>
        <w:rPr>
          <w:rFonts w:hint="eastAsia" w:ascii="宋体" w:hAnsi="宋体" w:cs="Arial"/>
          <w:sz w:val="24"/>
          <w:lang w:eastAsia="zh-CN"/>
        </w:rPr>
        <w:t>2</w:t>
      </w:r>
      <w:r>
        <w:rPr>
          <w:rFonts w:ascii="宋体" w:hAnsi="宋体" w:cs="Arial"/>
          <w:sz w:val="24"/>
        </w:rPr>
        <w:t>μ</w:t>
      </w:r>
      <w:r>
        <w:rPr>
          <w:rFonts w:ascii="宋体" w:hAnsi="宋体" w:cs="Arial"/>
          <w:sz w:val="24"/>
          <w:lang w:eastAsia="zh-CN"/>
        </w:rPr>
        <w:t>A</w:t>
      </w:r>
      <w:r>
        <w:rPr>
          <w:rFonts w:hint="eastAsia" w:ascii="宋体" w:hAnsi="宋体"/>
          <w:sz w:val="24"/>
          <w:lang w:eastAsia="zh-CN"/>
        </w:rPr>
        <w:t>；</w:t>
      </w:r>
    </w:p>
    <w:p w14:paraId="54D04022">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1.2.</w:t>
      </w:r>
      <w:r>
        <w:rPr>
          <w:rFonts w:hint="eastAsia" w:ascii="宋体" w:hAnsi="宋体"/>
          <w:snapToGrid w:val="0"/>
          <w:sz w:val="24"/>
          <w:szCs w:val="24"/>
          <w:lang w:eastAsia="zh-CN"/>
        </w:rPr>
        <w:t>5</w:t>
      </w:r>
      <w:r>
        <w:rPr>
          <w:rFonts w:ascii="宋体" w:hAnsi="宋体"/>
          <w:snapToGrid w:val="0"/>
          <w:sz w:val="24"/>
          <w:szCs w:val="24"/>
          <w:lang w:eastAsia="zh-CN"/>
        </w:rPr>
        <w:t xml:space="preserve"> </w:t>
      </w:r>
      <w:r>
        <w:rPr>
          <w:rFonts w:hint="eastAsia" w:ascii="宋体" w:hAnsi="宋体"/>
          <w:snapToGrid w:val="0"/>
          <w:sz w:val="24"/>
          <w:szCs w:val="24"/>
          <w:lang w:eastAsia="zh-CN"/>
        </w:rPr>
        <w:t>滴定管分辨率(10mL滴定管)：±</w:t>
      </w:r>
      <w:r>
        <w:rPr>
          <w:rFonts w:ascii="宋体" w:hAnsi="宋体"/>
          <w:snapToGrid w:val="0"/>
          <w:sz w:val="24"/>
          <w:szCs w:val="24"/>
          <w:lang w:eastAsia="zh-CN"/>
        </w:rPr>
        <w:t>0</w:t>
      </w:r>
      <w:r>
        <w:rPr>
          <w:rFonts w:hint="eastAsia" w:ascii="宋体" w:hAnsi="宋体"/>
          <w:snapToGrid w:val="0"/>
          <w:sz w:val="24"/>
          <w:szCs w:val="24"/>
          <w:lang w:eastAsia="zh-CN"/>
        </w:rPr>
        <w:t>.5uL；驱动器分辨率：不小于</w:t>
      </w:r>
      <w:r>
        <w:rPr>
          <w:rFonts w:ascii="宋体" w:hAnsi="宋体"/>
          <w:snapToGrid w:val="0"/>
          <w:sz w:val="24"/>
          <w:szCs w:val="24"/>
          <w:lang w:eastAsia="zh-CN"/>
        </w:rPr>
        <w:t>1</w:t>
      </w:r>
      <w:r>
        <w:rPr>
          <w:rFonts w:hint="eastAsia" w:ascii="宋体" w:hAnsi="宋体"/>
          <w:snapToGrid w:val="0"/>
          <w:sz w:val="24"/>
          <w:szCs w:val="24"/>
          <w:lang w:eastAsia="zh-CN"/>
        </w:rPr>
        <w:t>0000步；</w:t>
      </w:r>
    </w:p>
    <w:p w14:paraId="62D6D9BF">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hint="eastAsia" w:ascii="宋体" w:hAnsi="宋体"/>
          <w:snapToGrid w:val="0"/>
          <w:sz w:val="24"/>
          <w:szCs w:val="24"/>
          <w:lang w:eastAsia="zh-CN"/>
        </w:rPr>
        <w:t>1.2.6 滴定头具有可防止扩散功能；滴定管采用上推式无气泡加液法或外置瓶顶式；</w:t>
      </w:r>
    </w:p>
    <w:p w14:paraId="2C1F43BD">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1.2.</w:t>
      </w:r>
      <w:r>
        <w:rPr>
          <w:rFonts w:hint="eastAsia" w:ascii="宋体" w:hAnsi="宋体"/>
          <w:snapToGrid w:val="0"/>
          <w:sz w:val="24"/>
          <w:szCs w:val="24"/>
          <w:lang w:eastAsia="zh-CN"/>
        </w:rPr>
        <w:t>7</w:t>
      </w:r>
      <w:r>
        <w:rPr>
          <w:rFonts w:ascii="宋体" w:hAnsi="宋体"/>
          <w:snapToGrid w:val="0"/>
          <w:sz w:val="24"/>
          <w:szCs w:val="24"/>
          <w:lang w:eastAsia="zh-CN"/>
        </w:rPr>
        <w:t xml:space="preserve"> </w:t>
      </w:r>
      <w:r>
        <w:rPr>
          <w:rFonts w:hint="eastAsia" w:ascii="宋体" w:hAnsi="宋体"/>
          <w:snapToGrid w:val="0"/>
          <w:sz w:val="24"/>
          <w:szCs w:val="24"/>
          <w:lang w:eastAsia="zh-CN"/>
        </w:rPr>
        <w:t>操作采用高亮度彩色中文触摸屏幕，也可使用中文电脑软件同时操作；</w:t>
      </w:r>
    </w:p>
    <w:p w14:paraId="2B968A94">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1.2.</w:t>
      </w:r>
      <w:r>
        <w:rPr>
          <w:rFonts w:hint="eastAsia" w:ascii="宋体" w:hAnsi="宋体"/>
          <w:snapToGrid w:val="0"/>
          <w:sz w:val="24"/>
          <w:szCs w:val="24"/>
          <w:lang w:eastAsia="zh-CN"/>
        </w:rPr>
        <w:t>8</w:t>
      </w:r>
      <w:r>
        <w:rPr>
          <w:rFonts w:ascii="宋体" w:hAnsi="宋体"/>
          <w:snapToGrid w:val="0"/>
          <w:sz w:val="24"/>
          <w:szCs w:val="24"/>
          <w:lang w:eastAsia="zh-CN"/>
        </w:rPr>
        <w:t xml:space="preserve"> </w:t>
      </w:r>
      <w:r>
        <w:rPr>
          <w:rFonts w:hint="eastAsia" w:ascii="宋体" w:hAnsi="宋体"/>
          <w:snapToGrid w:val="0"/>
          <w:sz w:val="24"/>
          <w:szCs w:val="24"/>
          <w:lang w:eastAsia="zh-CN"/>
        </w:rPr>
        <w:t>触摸屏或者软件可以同时显示多种滴定曲线和数据，方便对滴定过程监控；</w:t>
      </w:r>
    </w:p>
    <w:p w14:paraId="1CAF54F6">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hint="eastAsia" w:ascii="宋体" w:hAnsi="宋体"/>
          <w:snapToGrid w:val="0"/>
          <w:sz w:val="24"/>
          <w:szCs w:val="24"/>
          <w:lang w:eastAsia="zh-CN"/>
        </w:rPr>
        <w:t>1.2.9 内置方法大于10个，并可在仪器上按照实验要求自由编辑方法进行测定，可编方法不少于</w:t>
      </w:r>
      <w:r>
        <w:rPr>
          <w:rFonts w:ascii="宋体" w:hAnsi="宋体"/>
          <w:snapToGrid w:val="0"/>
          <w:sz w:val="24"/>
          <w:szCs w:val="24"/>
          <w:lang w:eastAsia="zh-CN"/>
        </w:rPr>
        <w:t>10</w:t>
      </w:r>
      <w:r>
        <w:rPr>
          <w:rFonts w:hint="eastAsia" w:ascii="宋体" w:hAnsi="宋体"/>
          <w:snapToGrid w:val="0"/>
          <w:sz w:val="24"/>
          <w:szCs w:val="24"/>
          <w:lang w:eastAsia="zh-CN"/>
        </w:rPr>
        <w:t>个；</w:t>
      </w:r>
    </w:p>
    <w:p w14:paraId="78A9EE57">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1.2.</w:t>
      </w:r>
      <w:r>
        <w:rPr>
          <w:rFonts w:hint="eastAsia" w:ascii="宋体" w:hAnsi="宋体"/>
          <w:snapToGrid w:val="0"/>
          <w:sz w:val="24"/>
          <w:szCs w:val="24"/>
          <w:lang w:eastAsia="zh-CN"/>
        </w:rPr>
        <w:t>10</w:t>
      </w:r>
      <w:r>
        <w:rPr>
          <w:rFonts w:ascii="宋体" w:hAnsi="宋体"/>
          <w:snapToGrid w:val="0"/>
          <w:sz w:val="24"/>
          <w:szCs w:val="24"/>
          <w:lang w:eastAsia="zh-CN"/>
        </w:rPr>
        <w:t xml:space="preserve"> </w:t>
      </w:r>
      <w:r>
        <w:rPr>
          <w:rFonts w:hint="eastAsia" w:ascii="宋体" w:hAnsi="宋体"/>
          <w:snapToGrid w:val="0"/>
          <w:sz w:val="24"/>
          <w:szCs w:val="24"/>
          <w:lang w:eastAsia="zh-CN"/>
        </w:rPr>
        <w:t>滴定管加配智能识别技术，可实现数据的可溯源性；</w:t>
      </w:r>
    </w:p>
    <w:p w14:paraId="28CBCD58">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1.2.</w:t>
      </w:r>
      <w:r>
        <w:rPr>
          <w:rFonts w:hint="eastAsia" w:ascii="宋体" w:hAnsi="宋体"/>
          <w:snapToGrid w:val="0"/>
          <w:sz w:val="24"/>
          <w:szCs w:val="24"/>
          <w:lang w:eastAsia="zh-CN"/>
        </w:rPr>
        <w:t>11 搅拌器：配置螺旋搅拌器，搅拌速度可根据需要设置；</w:t>
      </w:r>
    </w:p>
    <w:p w14:paraId="4FD62E60">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1.2.</w:t>
      </w:r>
      <w:r>
        <w:rPr>
          <w:rFonts w:hint="eastAsia" w:ascii="宋体" w:hAnsi="宋体"/>
          <w:snapToGrid w:val="0"/>
          <w:sz w:val="24"/>
          <w:szCs w:val="24"/>
          <w:lang w:eastAsia="zh-CN"/>
        </w:rPr>
        <w:t>12</w:t>
      </w:r>
      <w:r>
        <w:rPr>
          <w:rFonts w:ascii="宋体" w:hAnsi="宋体"/>
          <w:snapToGrid w:val="0"/>
          <w:sz w:val="24"/>
          <w:szCs w:val="24"/>
          <w:lang w:eastAsia="zh-CN"/>
        </w:rPr>
        <w:t xml:space="preserve"> </w:t>
      </w:r>
      <w:r>
        <w:rPr>
          <w:rFonts w:hint="eastAsia" w:ascii="宋体" w:hAnsi="宋体"/>
          <w:snapToGrid w:val="0"/>
          <w:sz w:val="24"/>
          <w:szCs w:val="24"/>
          <w:lang w:eastAsia="zh-CN"/>
        </w:rPr>
        <w:t>主机具备卡氏水分滴定功能；</w:t>
      </w:r>
    </w:p>
    <w:p w14:paraId="54DCF3FB">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1.2.</w:t>
      </w:r>
      <w:r>
        <w:rPr>
          <w:rFonts w:hint="eastAsia" w:ascii="宋体" w:hAnsi="宋体"/>
          <w:snapToGrid w:val="0"/>
          <w:sz w:val="24"/>
          <w:szCs w:val="24"/>
          <w:lang w:eastAsia="zh-CN"/>
        </w:rPr>
        <w:t>13</w:t>
      </w:r>
      <w:r>
        <w:rPr>
          <w:rFonts w:ascii="宋体" w:hAnsi="宋体"/>
          <w:snapToGrid w:val="0"/>
          <w:sz w:val="24"/>
          <w:szCs w:val="24"/>
          <w:lang w:eastAsia="zh-CN"/>
        </w:rPr>
        <w:t xml:space="preserve"> </w:t>
      </w:r>
      <w:r>
        <w:rPr>
          <w:rFonts w:hint="eastAsia" w:ascii="宋体" w:hAnsi="宋体"/>
          <w:snapToGrid w:val="0"/>
          <w:sz w:val="24"/>
          <w:szCs w:val="24"/>
          <w:lang w:eastAsia="zh-CN"/>
        </w:rPr>
        <w:t>可设置快捷键个数≥</w:t>
      </w:r>
      <w:r>
        <w:rPr>
          <w:rFonts w:ascii="宋体" w:hAnsi="宋体"/>
          <w:snapToGrid w:val="0"/>
          <w:sz w:val="24"/>
          <w:szCs w:val="24"/>
          <w:lang w:eastAsia="zh-CN"/>
        </w:rPr>
        <w:t>1</w:t>
      </w:r>
      <w:r>
        <w:rPr>
          <w:rFonts w:hint="eastAsia" w:ascii="宋体" w:hAnsi="宋体"/>
          <w:snapToGrid w:val="0"/>
          <w:sz w:val="24"/>
          <w:szCs w:val="24"/>
          <w:lang w:eastAsia="zh-CN"/>
        </w:rPr>
        <w:t>2</w:t>
      </w:r>
      <w:r>
        <w:rPr>
          <w:rFonts w:ascii="宋体" w:hAnsi="宋体"/>
          <w:snapToGrid w:val="0"/>
          <w:sz w:val="24"/>
          <w:szCs w:val="24"/>
          <w:lang w:eastAsia="zh-CN"/>
        </w:rPr>
        <w:t>个</w:t>
      </w:r>
      <w:r>
        <w:rPr>
          <w:rFonts w:hint="eastAsia" w:ascii="宋体" w:hAnsi="宋体"/>
          <w:snapToGrid w:val="0"/>
          <w:sz w:val="24"/>
          <w:szCs w:val="24"/>
          <w:lang w:eastAsia="zh-CN"/>
        </w:rPr>
        <w:t>；</w:t>
      </w:r>
    </w:p>
    <w:p w14:paraId="4C6FF4F8">
      <w:pPr>
        <w:keepNext w:val="0"/>
        <w:pageBreakBefore w:val="0"/>
        <w:kinsoku/>
        <w:wordWrap/>
        <w:overflowPunct/>
        <w:topLinePunct w:val="0"/>
        <w:bidi w:val="0"/>
        <w:spacing w:line="300" w:lineRule="auto"/>
        <w:textAlignment w:val="auto"/>
        <w:rPr>
          <w:rFonts w:ascii="宋体" w:hAnsi="宋体"/>
          <w:snapToGrid w:val="0"/>
          <w:sz w:val="24"/>
          <w:szCs w:val="24"/>
          <w:lang w:eastAsia="zh-CN"/>
        </w:rPr>
      </w:pPr>
      <w:r>
        <w:rPr>
          <w:rFonts w:ascii="宋体" w:hAnsi="宋体"/>
          <w:snapToGrid w:val="0"/>
          <w:sz w:val="24"/>
          <w:szCs w:val="24"/>
          <w:lang w:eastAsia="zh-CN"/>
        </w:rPr>
        <w:t>1.2.</w:t>
      </w:r>
      <w:r>
        <w:rPr>
          <w:rFonts w:hint="eastAsia" w:ascii="宋体" w:hAnsi="宋体"/>
          <w:snapToGrid w:val="0"/>
          <w:sz w:val="24"/>
          <w:szCs w:val="24"/>
          <w:lang w:eastAsia="zh-CN"/>
        </w:rPr>
        <w:t>14</w:t>
      </w:r>
      <w:r>
        <w:rPr>
          <w:rFonts w:ascii="宋体" w:hAnsi="宋体"/>
          <w:snapToGrid w:val="0"/>
          <w:sz w:val="24"/>
          <w:szCs w:val="24"/>
          <w:lang w:eastAsia="zh-CN"/>
        </w:rPr>
        <w:t xml:space="preserve"> </w:t>
      </w:r>
      <w:r>
        <w:rPr>
          <w:rFonts w:hint="eastAsia" w:ascii="宋体" w:hAnsi="宋体"/>
          <w:snapToGrid w:val="0"/>
          <w:sz w:val="24"/>
          <w:szCs w:val="24"/>
          <w:lang w:eastAsia="zh-CN"/>
        </w:rPr>
        <w:t>输入有误时可修改，可重新计算检测结果；</w:t>
      </w:r>
    </w:p>
    <w:p w14:paraId="04B1D26A">
      <w:pPr>
        <w:keepNext w:val="0"/>
        <w:pageBreakBefore w:val="0"/>
        <w:kinsoku/>
        <w:wordWrap/>
        <w:overflowPunct/>
        <w:topLinePunct w:val="0"/>
        <w:bidi w:val="0"/>
        <w:spacing w:line="300" w:lineRule="auto"/>
        <w:jc w:val="both"/>
        <w:textAlignment w:val="auto"/>
        <w:rPr>
          <w:rFonts w:ascii="宋体" w:hAnsi="宋体" w:cs="Arial"/>
          <w:sz w:val="24"/>
          <w:lang w:eastAsia="zh-CN"/>
        </w:rPr>
      </w:pPr>
      <w:r>
        <w:rPr>
          <w:rFonts w:ascii="宋体" w:hAnsi="宋体"/>
          <w:snapToGrid w:val="0"/>
          <w:sz w:val="24"/>
          <w:szCs w:val="24"/>
          <w:lang w:eastAsia="zh-CN"/>
        </w:rPr>
        <w:t>1.2.1</w:t>
      </w:r>
      <w:r>
        <w:rPr>
          <w:rFonts w:hint="eastAsia" w:ascii="宋体" w:hAnsi="宋体"/>
          <w:snapToGrid w:val="0"/>
          <w:sz w:val="24"/>
          <w:szCs w:val="24"/>
          <w:lang w:eastAsia="zh-CN"/>
        </w:rPr>
        <w:t>5</w:t>
      </w:r>
      <w:r>
        <w:rPr>
          <w:rFonts w:ascii="宋体" w:hAnsi="宋体"/>
          <w:snapToGrid w:val="0"/>
          <w:sz w:val="24"/>
          <w:szCs w:val="24"/>
          <w:lang w:eastAsia="zh-CN"/>
        </w:rPr>
        <w:t xml:space="preserve"> </w:t>
      </w:r>
      <w:r>
        <w:rPr>
          <w:rFonts w:hint="eastAsia" w:ascii="宋体" w:hAnsi="宋体"/>
          <w:snapToGrid w:val="0"/>
          <w:sz w:val="24"/>
          <w:szCs w:val="24"/>
          <w:lang w:eastAsia="zh-CN"/>
        </w:rPr>
        <w:t>主机具有</w:t>
      </w:r>
      <w:r>
        <w:rPr>
          <w:rFonts w:ascii="宋体" w:hAnsi="宋体"/>
          <w:snapToGrid w:val="0"/>
          <w:sz w:val="24"/>
          <w:szCs w:val="24"/>
          <w:lang w:eastAsia="zh-CN"/>
        </w:rPr>
        <w:t>DET、MET、SET、KFT、CAL等测量模式</w:t>
      </w:r>
      <w:r>
        <w:rPr>
          <w:rFonts w:hint="eastAsia" w:ascii="宋体" w:hAnsi="宋体"/>
          <w:snapToGrid w:val="0"/>
          <w:sz w:val="24"/>
          <w:szCs w:val="24"/>
          <w:lang w:eastAsia="zh-CN"/>
        </w:rPr>
        <w:t>，可连接电脑和打印机。</w:t>
      </w:r>
    </w:p>
    <w:p w14:paraId="7DCCF14B">
      <w:pPr>
        <w:keepNext w:val="0"/>
        <w:pageBreakBefore w:val="0"/>
        <w:kinsoku/>
        <w:wordWrap/>
        <w:overflowPunct/>
        <w:topLinePunct w:val="0"/>
        <w:bidi w:val="0"/>
        <w:spacing w:line="300" w:lineRule="auto"/>
        <w:jc w:val="both"/>
        <w:textAlignment w:val="auto"/>
        <w:rPr>
          <w:rFonts w:cs="宋体" w:asciiTheme="minorEastAsia" w:hAnsiTheme="minorEastAsia"/>
          <w:b/>
        </w:rPr>
      </w:pPr>
      <w:r>
        <w:rPr>
          <w:rFonts w:cs="宋体" w:asciiTheme="minorEastAsia" w:hAnsiTheme="minorEastAsia"/>
          <w:b/>
        </w:rPr>
        <w:t>2.</w:t>
      </w:r>
      <w:r>
        <w:rPr>
          <w:rFonts w:hint="eastAsia" w:cs="宋体" w:asciiTheme="minorEastAsia" w:hAnsiTheme="minorEastAsia"/>
          <w:b/>
        </w:rPr>
        <w:t>适用方法：</w:t>
      </w:r>
    </w:p>
    <w:p w14:paraId="04AA113E">
      <w:pPr>
        <w:keepNext w:val="0"/>
        <w:pageBreakBefore w:val="0"/>
        <w:kinsoku/>
        <w:wordWrap/>
        <w:overflowPunct/>
        <w:topLinePunct w:val="0"/>
        <w:bidi w:val="0"/>
        <w:spacing w:line="300" w:lineRule="auto"/>
        <w:jc w:val="both"/>
        <w:textAlignment w:val="auto"/>
        <w:rPr>
          <w:rFonts w:ascii="宋体" w:hAnsi="宋体"/>
        </w:rPr>
      </w:pPr>
      <w:r>
        <w:rPr>
          <w:rFonts w:hint="eastAsia" w:asciiTheme="minorEastAsia" w:hAnsiTheme="minorEastAsia"/>
        </w:rPr>
        <w:t>仪器须符合试验方</w:t>
      </w:r>
      <w:r>
        <w:rPr>
          <w:rFonts w:hint="eastAsia" w:ascii="宋体" w:hAnsi="宋体"/>
        </w:rPr>
        <w:t>法：</w:t>
      </w:r>
    </w:p>
    <w:p w14:paraId="26640791">
      <w:pPr>
        <w:keepNext w:val="0"/>
        <w:pageBreakBefore w:val="0"/>
        <w:kinsoku/>
        <w:wordWrap/>
        <w:overflowPunct/>
        <w:topLinePunct w:val="0"/>
        <w:bidi w:val="0"/>
        <w:spacing w:line="300" w:lineRule="auto"/>
        <w:jc w:val="both"/>
        <w:textAlignment w:val="auto"/>
        <w:rPr>
          <w:rFonts w:ascii="宋体" w:hAnsi="宋体"/>
        </w:rPr>
      </w:pPr>
      <w:r>
        <w:rPr>
          <w:rFonts w:ascii="宋体" w:hAnsi="宋体"/>
        </w:rPr>
        <w:t>2.1</w:t>
      </w:r>
      <w:r>
        <w:rPr>
          <w:rFonts w:hint="eastAsia" w:ascii="宋体" w:hAnsi="宋体"/>
        </w:rPr>
        <w:t>含量测定需符合《GB</w:t>
      </w:r>
      <w:r>
        <w:rPr>
          <w:rFonts w:hint="eastAsia" w:ascii="宋体" w:hAnsi="宋体"/>
          <w:lang w:val="en-US" w:eastAsia="zh-CN"/>
        </w:rPr>
        <w:t>/</w:t>
      </w:r>
      <w:r>
        <w:rPr>
          <w:rFonts w:hint="eastAsia" w:ascii="宋体" w:hAnsi="宋体"/>
        </w:rPr>
        <w:t>T 15451-2006工业循环冷却水 总碱及酚酞碱度的测定》、《GB</w:t>
      </w:r>
      <w:r>
        <w:rPr>
          <w:rFonts w:hint="eastAsia" w:ascii="宋体" w:hAnsi="宋体"/>
          <w:lang w:val="en-US" w:eastAsia="zh-CN"/>
        </w:rPr>
        <w:t>/</w:t>
      </w:r>
      <w:r>
        <w:rPr>
          <w:rFonts w:hint="eastAsia" w:ascii="宋体" w:hAnsi="宋体"/>
        </w:rPr>
        <w:t>T 15453 2018 工业循环冷却水和锅炉用水中氯离子的测定》的要求。</w:t>
      </w:r>
    </w:p>
    <w:p w14:paraId="205DB066">
      <w:pPr>
        <w:keepNext w:val="0"/>
        <w:pageBreakBefore w:val="0"/>
        <w:kinsoku/>
        <w:wordWrap/>
        <w:overflowPunct/>
        <w:topLinePunct w:val="0"/>
        <w:bidi w:val="0"/>
        <w:spacing w:line="300" w:lineRule="auto"/>
        <w:jc w:val="both"/>
        <w:textAlignment w:val="auto"/>
        <w:rPr>
          <w:rFonts w:hint="eastAsia" w:ascii="宋体" w:hAnsi="宋体"/>
          <w:snapToGrid w:val="0"/>
        </w:rPr>
      </w:pPr>
      <w:r>
        <w:rPr>
          <w:rFonts w:hint="eastAsia" w:ascii="宋体" w:hAnsi="宋体"/>
        </w:rPr>
        <w:t>2</w:t>
      </w:r>
      <w:r>
        <w:rPr>
          <w:rFonts w:ascii="宋体" w:hAnsi="宋体"/>
        </w:rPr>
        <w:t xml:space="preserve">.2 </w:t>
      </w:r>
      <w:r>
        <w:rPr>
          <w:rFonts w:ascii="宋体" w:hAnsi="宋体"/>
          <w:snapToGrid w:val="0"/>
        </w:rPr>
        <w:t>符合《</w:t>
      </w:r>
      <w:r>
        <w:rPr>
          <w:rFonts w:hint="eastAsia" w:ascii="宋体" w:hAnsi="宋体"/>
          <w:snapToGrid w:val="0"/>
          <w:lang w:val="en-US" w:eastAsia="zh-CN"/>
        </w:rPr>
        <w:t>JJG 814-2015 自动电位滴定仪</w:t>
      </w:r>
      <w:r>
        <w:rPr>
          <w:rFonts w:hint="eastAsia" w:ascii="宋体" w:hAnsi="宋体"/>
          <w:snapToGrid w:val="0"/>
        </w:rPr>
        <w:t>》</w:t>
      </w:r>
      <w:r>
        <w:rPr>
          <w:rFonts w:hint="eastAsia" w:ascii="宋体" w:hAnsi="宋体"/>
        </w:rPr>
        <w:t>的要求</w:t>
      </w:r>
      <w:r>
        <w:rPr>
          <w:rFonts w:hint="eastAsia" w:ascii="宋体" w:hAnsi="宋体"/>
          <w:snapToGrid w:val="0"/>
        </w:rPr>
        <w:t>。</w:t>
      </w:r>
    </w:p>
    <w:p w14:paraId="4E69C89C">
      <w:pPr>
        <w:keepNext w:val="0"/>
        <w:pageBreakBefore w:val="0"/>
        <w:kinsoku/>
        <w:wordWrap/>
        <w:overflowPunct/>
        <w:topLinePunct w:val="0"/>
        <w:bidi w:val="0"/>
        <w:spacing w:line="300" w:lineRule="auto"/>
        <w:jc w:val="both"/>
        <w:textAlignment w:val="auto"/>
        <w:rPr>
          <w:rFonts w:hint="default" w:ascii="宋体" w:hAnsi="宋体" w:eastAsiaTheme="minorEastAsia"/>
          <w:snapToGrid w:val="0"/>
          <w:lang w:val="en-US" w:eastAsia="zh-CN"/>
        </w:rPr>
      </w:pPr>
      <w:r>
        <w:rPr>
          <w:rFonts w:hint="eastAsia" w:ascii="宋体" w:hAnsi="宋体"/>
          <w:snapToGrid w:val="0"/>
          <w:lang w:val="en-US" w:eastAsia="zh-CN"/>
        </w:rPr>
        <w:t xml:space="preserve">2.3 </w:t>
      </w:r>
      <w:r>
        <w:rPr>
          <w:rFonts w:hint="eastAsia" w:cs="宋体" w:asciiTheme="minorEastAsia" w:hAnsiTheme="minorEastAsia" w:eastAsiaTheme="minorEastAsia"/>
          <w:sz w:val="24"/>
          <w:szCs w:val="24"/>
          <w:lang w:eastAsia="zh-CN"/>
        </w:rPr>
        <w:t>卖方需根据买方要求，依照国家或行业标准，建立相应运行方法。</w:t>
      </w:r>
    </w:p>
    <w:p w14:paraId="67A80E19">
      <w:pPr>
        <w:keepNext w:val="0"/>
        <w:pageBreakBefore w:val="0"/>
        <w:kinsoku/>
        <w:wordWrap/>
        <w:overflowPunct/>
        <w:topLinePunct w:val="0"/>
        <w:bidi w:val="0"/>
        <w:spacing w:line="300" w:lineRule="auto"/>
        <w:jc w:val="both"/>
        <w:textAlignment w:val="auto"/>
        <w:rPr>
          <w:rFonts w:ascii="宋体" w:hAnsi="宋体"/>
          <w:b/>
          <w:bCs/>
          <w:snapToGrid w:val="0"/>
        </w:rPr>
      </w:pPr>
      <w:r>
        <w:rPr>
          <w:rFonts w:ascii="宋体" w:hAnsi="宋体"/>
          <w:snapToGrid w:val="0"/>
        </w:rPr>
        <w:t>*</w:t>
      </w:r>
      <w:r>
        <w:rPr>
          <w:rFonts w:ascii="宋体" w:hAnsi="宋体"/>
          <w:b/>
          <w:bCs/>
          <w:snapToGrid w:val="0"/>
        </w:rPr>
        <w:t>3.</w:t>
      </w:r>
      <w:r>
        <w:rPr>
          <w:rFonts w:hint="eastAsia" w:ascii="宋体" w:hAnsi="宋体"/>
          <w:b/>
          <w:bCs/>
          <w:snapToGrid w:val="0"/>
        </w:rPr>
        <w:t>配置要求：</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3372"/>
        <w:gridCol w:w="3371"/>
        <w:gridCol w:w="1268"/>
      </w:tblGrid>
      <w:tr w14:paraId="3C62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5FE02988">
            <w:pPr>
              <w:keepNext w:val="0"/>
              <w:pageBreakBefore w:val="0"/>
              <w:kinsoku/>
              <w:wordWrap/>
              <w:overflowPunct/>
              <w:topLinePunct w:val="0"/>
              <w:bidi w:val="0"/>
              <w:spacing w:line="300" w:lineRule="auto"/>
              <w:jc w:val="center"/>
              <w:textAlignment w:val="auto"/>
              <w:rPr>
                <w:rFonts w:ascii="宋体" w:hAnsi="宋体"/>
                <w:b/>
                <w:snapToGrid w:val="0"/>
              </w:rPr>
            </w:pPr>
            <w:r>
              <w:rPr>
                <w:rFonts w:hint="eastAsia" w:ascii="宋体" w:hAnsi="宋体" w:cs="宋体"/>
                <w:b/>
                <w:bCs/>
                <w:color w:val="000000" w:themeColor="text1"/>
                <w:sz w:val="24"/>
                <w:szCs w:val="24"/>
                <w14:textFill>
                  <w14:solidFill>
                    <w14:schemeClr w14:val="tx1"/>
                  </w14:solidFill>
                </w14:textFill>
              </w:rPr>
              <w:t>序号</w:t>
            </w:r>
          </w:p>
        </w:tc>
        <w:tc>
          <w:tcPr>
            <w:tcW w:w="3372" w:type="dxa"/>
            <w:vAlign w:val="center"/>
          </w:tcPr>
          <w:p w14:paraId="2AF2191E">
            <w:pPr>
              <w:keepNext w:val="0"/>
              <w:pageBreakBefore w:val="0"/>
              <w:kinsoku/>
              <w:wordWrap/>
              <w:overflowPunct/>
              <w:topLinePunct w:val="0"/>
              <w:bidi w:val="0"/>
              <w:spacing w:line="300" w:lineRule="auto"/>
              <w:jc w:val="center"/>
              <w:textAlignment w:val="auto"/>
              <w:rPr>
                <w:rFonts w:ascii="宋体" w:hAnsi="宋体"/>
                <w:b/>
                <w:snapToGrid w:val="0"/>
              </w:rPr>
            </w:pPr>
            <w:r>
              <w:rPr>
                <w:rFonts w:hint="eastAsia" w:ascii="宋体" w:hAnsi="宋体" w:cs="宋体"/>
                <w:b/>
                <w:bCs/>
                <w:color w:val="000000" w:themeColor="text1"/>
                <w:sz w:val="24"/>
                <w:szCs w:val="24"/>
                <w14:textFill>
                  <w14:solidFill>
                    <w14:schemeClr w14:val="tx1"/>
                  </w14:solidFill>
                </w14:textFill>
              </w:rPr>
              <w:t>名称</w:t>
            </w:r>
          </w:p>
        </w:tc>
        <w:tc>
          <w:tcPr>
            <w:tcW w:w="3371" w:type="dxa"/>
            <w:vAlign w:val="center"/>
          </w:tcPr>
          <w:p w14:paraId="738084E7">
            <w:pPr>
              <w:keepNext w:val="0"/>
              <w:pageBreakBefore w:val="0"/>
              <w:kinsoku/>
              <w:wordWrap/>
              <w:overflowPunct/>
              <w:topLinePunct w:val="0"/>
              <w:bidi w:val="0"/>
              <w:spacing w:line="300" w:lineRule="auto"/>
              <w:jc w:val="center"/>
              <w:textAlignment w:val="auto"/>
              <w:rPr>
                <w:rFonts w:ascii="宋体" w:hAnsi="宋体"/>
                <w:b/>
                <w:snapToGrid w:val="0"/>
              </w:rPr>
            </w:pPr>
            <w:r>
              <w:rPr>
                <w:rFonts w:hint="eastAsia" w:ascii="宋体" w:hAnsi="宋体" w:cs="宋体"/>
                <w:b/>
                <w:bCs/>
                <w:color w:val="000000" w:themeColor="text1"/>
                <w:sz w:val="24"/>
                <w:szCs w:val="24"/>
                <w:lang w:eastAsia="zh-CN"/>
                <w14:textFill>
                  <w14:solidFill>
                    <w14:schemeClr w14:val="tx1"/>
                  </w14:solidFill>
                </w14:textFill>
              </w:rPr>
              <w:t>详细</w:t>
            </w:r>
            <w:r>
              <w:rPr>
                <w:rFonts w:hint="eastAsia" w:ascii="宋体" w:hAnsi="宋体" w:cs="宋体"/>
                <w:b/>
                <w:bCs/>
                <w:color w:val="000000" w:themeColor="text1"/>
                <w:sz w:val="24"/>
                <w:szCs w:val="24"/>
                <w14:textFill>
                  <w14:solidFill>
                    <w14:schemeClr w14:val="tx1"/>
                  </w14:solidFill>
                </w14:textFill>
              </w:rPr>
              <w:t>说明</w:t>
            </w:r>
          </w:p>
        </w:tc>
        <w:tc>
          <w:tcPr>
            <w:tcW w:w="1268" w:type="dxa"/>
            <w:vAlign w:val="center"/>
          </w:tcPr>
          <w:p w14:paraId="26FADE2E">
            <w:pPr>
              <w:keepNext w:val="0"/>
              <w:pageBreakBefore w:val="0"/>
              <w:kinsoku/>
              <w:wordWrap/>
              <w:overflowPunct/>
              <w:topLinePunct w:val="0"/>
              <w:bidi w:val="0"/>
              <w:spacing w:line="300" w:lineRule="auto"/>
              <w:jc w:val="center"/>
              <w:textAlignment w:val="auto"/>
              <w:rPr>
                <w:rFonts w:ascii="宋体" w:hAnsi="宋体"/>
                <w:b/>
                <w:snapToGrid w:val="0"/>
              </w:rPr>
            </w:pPr>
            <w:r>
              <w:rPr>
                <w:rFonts w:hint="eastAsia" w:ascii="宋体" w:hAnsi="宋体" w:cs="宋体"/>
                <w:b/>
                <w:bCs/>
                <w:color w:val="000000" w:themeColor="text1"/>
                <w:sz w:val="24"/>
                <w:szCs w:val="24"/>
                <w14:textFill>
                  <w14:solidFill>
                    <w14:schemeClr w14:val="tx1"/>
                  </w14:solidFill>
                </w14:textFill>
              </w:rPr>
              <w:t>数量</w:t>
            </w:r>
          </w:p>
        </w:tc>
      </w:tr>
      <w:tr w14:paraId="7196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0060E31E">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color w:val="000000" w:themeColor="text1"/>
                <w:sz w:val="24"/>
                <w:szCs w:val="24"/>
                <w:lang w:eastAsia="zh-CN"/>
                <w14:textFill>
                  <w14:solidFill>
                    <w14:schemeClr w14:val="tx1"/>
                  </w14:solidFill>
                </w14:textFill>
              </w:rPr>
              <w:t>1</w:t>
            </w:r>
          </w:p>
        </w:tc>
        <w:tc>
          <w:tcPr>
            <w:tcW w:w="3372" w:type="dxa"/>
            <w:vAlign w:val="center"/>
          </w:tcPr>
          <w:p w14:paraId="21FFA548">
            <w:pPr>
              <w:keepNext w:val="0"/>
              <w:pageBreakBefore w:val="0"/>
              <w:kinsoku/>
              <w:wordWrap/>
              <w:overflowPunct/>
              <w:topLinePunct w:val="0"/>
              <w:bidi w:val="0"/>
              <w:spacing w:line="300" w:lineRule="auto"/>
              <w:textAlignment w:val="auto"/>
              <w:rPr>
                <w:rFonts w:ascii="宋体" w:hAnsi="宋体"/>
                <w:snapToGrid w:val="0"/>
              </w:rPr>
            </w:pPr>
            <w:r>
              <w:rPr>
                <w:rFonts w:hint="eastAsia"/>
                <w:sz w:val="24"/>
              </w:rPr>
              <w:t>滴定仪主机</w:t>
            </w:r>
          </w:p>
        </w:tc>
        <w:tc>
          <w:tcPr>
            <w:tcW w:w="3371" w:type="dxa"/>
            <w:vAlign w:val="center"/>
          </w:tcPr>
          <w:p w14:paraId="6B610C3C">
            <w:pPr>
              <w:keepNext w:val="0"/>
              <w:pageBreakBefore w:val="0"/>
              <w:kinsoku/>
              <w:wordWrap/>
              <w:overflowPunct/>
              <w:topLinePunct w:val="0"/>
              <w:bidi w:val="0"/>
              <w:spacing w:line="300" w:lineRule="auto"/>
              <w:textAlignment w:val="auto"/>
              <w:rPr>
                <w:rFonts w:ascii="宋体" w:hAnsi="宋体"/>
                <w:snapToGrid w:val="0"/>
              </w:rPr>
            </w:pPr>
            <w:r>
              <w:rPr>
                <w:rFonts w:ascii="宋体" w:hAnsi="宋体"/>
                <w:snapToGrid w:val="0"/>
                <w:sz w:val="21"/>
                <w:szCs w:val="21"/>
                <w:lang w:eastAsia="zh-CN"/>
              </w:rPr>
              <w:t>包含且不限于标准配置和随机配件，整机直接可以用于测试。</w:t>
            </w:r>
          </w:p>
        </w:tc>
        <w:tc>
          <w:tcPr>
            <w:tcW w:w="1268" w:type="dxa"/>
            <w:vAlign w:val="center"/>
          </w:tcPr>
          <w:p w14:paraId="34524799">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套</w:t>
            </w:r>
            <w:r>
              <w:rPr>
                <w:rFonts w:hint="default" w:ascii="Arial" w:hAnsi="Arial" w:cs="Arial"/>
                <w:snapToGrid w:val="0"/>
                <w:sz w:val="24"/>
              </w:rPr>
              <w:t>×</w:t>
            </w:r>
            <w:r>
              <w:rPr>
                <w:rFonts w:hint="eastAsia" w:ascii="宋体" w:hAnsi="宋体" w:cs="宋体"/>
                <w:snapToGrid w:val="0"/>
                <w:sz w:val="24"/>
                <w:lang w:val="en-US" w:eastAsia="zh-CN"/>
              </w:rPr>
              <w:t>2</w:t>
            </w:r>
          </w:p>
        </w:tc>
      </w:tr>
      <w:tr w14:paraId="1EBA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20" w:type="dxa"/>
            <w:vAlign w:val="center"/>
          </w:tcPr>
          <w:p w14:paraId="28DE6567">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2</w:t>
            </w:r>
          </w:p>
        </w:tc>
        <w:tc>
          <w:tcPr>
            <w:tcW w:w="3372" w:type="dxa"/>
            <w:vAlign w:val="center"/>
          </w:tcPr>
          <w:p w14:paraId="4FDD2CBB">
            <w:pPr>
              <w:keepNext w:val="0"/>
              <w:pageBreakBefore w:val="0"/>
              <w:kinsoku/>
              <w:wordWrap/>
              <w:overflowPunct/>
              <w:topLinePunct w:val="0"/>
              <w:bidi w:val="0"/>
              <w:spacing w:line="300" w:lineRule="auto"/>
              <w:textAlignment w:val="auto"/>
              <w:rPr>
                <w:rFonts w:ascii="宋体" w:hAnsi="宋体"/>
                <w:snapToGrid w:val="0"/>
              </w:rPr>
            </w:pPr>
            <w:r>
              <w:rPr>
                <w:rFonts w:hint="eastAsia"/>
                <w:sz w:val="24"/>
                <w:lang w:eastAsia="zh-CN"/>
              </w:rPr>
              <w:t>滴定台</w:t>
            </w:r>
          </w:p>
        </w:tc>
        <w:tc>
          <w:tcPr>
            <w:tcW w:w="3371" w:type="dxa"/>
            <w:vAlign w:val="center"/>
          </w:tcPr>
          <w:p w14:paraId="1D946D50">
            <w:pPr>
              <w:keepNext w:val="0"/>
              <w:pageBreakBefore w:val="0"/>
              <w:kinsoku/>
              <w:wordWrap/>
              <w:overflowPunct/>
              <w:topLinePunct w:val="0"/>
              <w:bidi w:val="0"/>
              <w:spacing w:line="300" w:lineRule="auto"/>
              <w:textAlignment w:val="auto"/>
              <w:rPr>
                <w:rFonts w:ascii="宋体" w:hAnsi="宋体"/>
                <w:snapToGrid w:val="0"/>
              </w:rPr>
            </w:pPr>
            <w:r>
              <w:rPr>
                <w:rFonts w:hint="eastAsia"/>
                <w:sz w:val="24"/>
                <w:lang w:eastAsia="zh-CN"/>
              </w:rPr>
              <w:t>含滴定杯配套装置</w:t>
            </w:r>
            <w:r>
              <w:rPr>
                <w:rFonts w:hint="eastAsia" w:ascii="宋体" w:hAnsi="宋体" w:cs="宋体"/>
                <w:sz w:val="24"/>
                <w:szCs w:val="24"/>
                <w:lang w:val="de-DE" w:eastAsia="zh-CN"/>
              </w:rPr>
              <w:t>等</w:t>
            </w:r>
          </w:p>
        </w:tc>
        <w:tc>
          <w:tcPr>
            <w:tcW w:w="1268" w:type="dxa"/>
            <w:vAlign w:val="center"/>
          </w:tcPr>
          <w:p w14:paraId="7BD399E7">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rPr>
              <w:t>1套</w:t>
            </w:r>
            <w:r>
              <w:rPr>
                <w:rFonts w:hint="default" w:ascii="Arial" w:hAnsi="Arial" w:cs="Arial"/>
                <w:snapToGrid w:val="0"/>
                <w:sz w:val="24"/>
              </w:rPr>
              <w:t>×</w:t>
            </w:r>
            <w:r>
              <w:rPr>
                <w:rFonts w:hint="eastAsia" w:ascii="宋体" w:hAnsi="宋体" w:cs="宋体"/>
                <w:snapToGrid w:val="0"/>
                <w:sz w:val="24"/>
                <w:lang w:val="en-US" w:eastAsia="zh-CN"/>
              </w:rPr>
              <w:t>2</w:t>
            </w:r>
          </w:p>
        </w:tc>
      </w:tr>
      <w:tr w14:paraId="0364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30D1517B">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3</w:t>
            </w:r>
          </w:p>
        </w:tc>
        <w:tc>
          <w:tcPr>
            <w:tcW w:w="3372" w:type="dxa"/>
            <w:vAlign w:val="center"/>
          </w:tcPr>
          <w:p w14:paraId="507F6332">
            <w:pPr>
              <w:keepNext w:val="0"/>
              <w:pageBreakBefore w:val="0"/>
              <w:kinsoku/>
              <w:wordWrap/>
              <w:overflowPunct/>
              <w:topLinePunct w:val="0"/>
              <w:bidi w:val="0"/>
              <w:spacing w:line="300" w:lineRule="auto"/>
              <w:textAlignment w:val="auto"/>
              <w:rPr>
                <w:rFonts w:ascii="宋体" w:hAnsi="宋体"/>
                <w:snapToGrid w:val="0"/>
              </w:rPr>
            </w:pPr>
            <w:r>
              <w:rPr>
                <w:rFonts w:hint="eastAsia"/>
                <w:sz w:val="24"/>
              </w:rPr>
              <w:t>滴定管驱动器</w:t>
            </w:r>
          </w:p>
        </w:tc>
        <w:tc>
          <w:tcPr>
            <w:tcW w:w="3371" w:type="dxa"/>
            <w:vAlign w:val="center"/>
          </w:tcPr>
          <w:p w14:paraId="71EF0DF2">
            <w:pPr>
              <w:keepNext w:val="0"/>
              <w:pageBreakBefore w:val="0"/>
              <w:kinsoku/>
              <w:wordWrap/>
              <w:overflowPunct/>
              <w:topLinePunct w:val="0"/>
              <w:bidi w:val="0"/>
              <w:spacing w:line="300" w:lineRule="auto"/>
              <w:textAlignment w:val="auto"/>
              <w:rPr>
                <w:rFonts w:ascii="宋体" w:hAnsi="宋体"/>
                <w:snapToGrid w:val="0"/>
              </w:rPr>
            </w:pPr>
            <w:r>
              <w:rPr>
                <w:rFonts w:hint="eastAsia"/>
                <w:sz w:val="24"/>
                <w:lang w:eastAsia="zh-CN"/>
              </w:rPr>
              <w:t>内置滴定管驱动器</w:t>
            </w:r>
          </w:p>
        </w:tc>
        <w:tc>
          <w:tcPr>
            <w:tcW w:w="1268" w:type="dxa"/>
            <w:vAlign w:val="center"/>
          </w:tcPr>
          <w:p w14:paraId="075DFF06">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rPr>
              <w:t>1套</w:t>
            </w:r>
            <w:r>
              <w:rPr>
                <w:rFonts w:hint="default" w:ascii="Arial" w:hAnsi="Arial" w:cs="Arial"/>
                <w:snapToGrid w:val="0"/>
                <w:sz w:val="24"/>
              </w:rPr>
              <w:t>×</w:t>
            </w:r>
            <w:r>
              <w:rPr>
                <w:rFonts w:hint="eastAsia" w:ascii="宋体" w:hAnsi="宋体" w:cs="宋体"/>
                <w:snapToGrid w:val="0"/>
                <w:sz w:val="24"/>
                <w:lang w:val="en-US" w:eastAsia="zh-CN"/>
              </w:rPr>
              <w:t>2</w:t>
            </w:r>
          </w:p>
        </w:tc>
      </w:tr>
      <w:tr w14:paraId="6273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20" w:type="dxa"/>
            <w:vAlign w:val="center"/>
          </w:tcPr>
          <w:p w14:paraId="4B9851A2">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4</w:t>
            </w:r>
          </w:p>
        </w:tc>
        <w:tc>
          <w:tcPr>
            <w:tcW w:w="3372" w:type="dxa"/>
            <w:vAlign w:val="center"/>
          </w:tcPr>
          <w:p w14:paraId="73196212">
            <w:pPr>
              <w:keepNext w:val="0"/>
              <w:pageBreakBefore w:val="0"/>
              <w:kinsoku/>
              <w:wordWrap/>
              <w:overflowPunct/>
              <w:topLinePunct w:val="0"/>
              <w:bidi w:val="0"/>
              <w:spacing w:line="300" w:lineRule="auto"/>
              <w:textAlignment w:val="auto"/>
              <w:rPr>
                <w:rFonts w:ascii="宋体" w:hAnsi="宋体"/>
                <w:snapToGrid w:val="0"/>
              </w:rPr>
            </w:pPr>
            <w:r>
              <w:rPr>
                <w:rFonts w:hint="eastAsia"/>
                <w:sz w:val="24"/>
              </w:rPr>
              <w:t>搅拌器</w:t>
            </w:r>
          </w:p>
        </w:tc>
        <w:tc>
          <w:tcPr>
            <w:tcW w:w="3371" w:type="dxa"/>
            <w:vAlign w:val="center"/>
          </w:tcPr>
          <w:p w14:paraId="5260EDF2">
            <w:pPr>
              <w:keepNext w:val="0"/>
              <w:pageBreakBefore w:val="0"/>
              <w:kinsoku/>
              <w:wordWrap/>
              <w:overflowPunct/>
              <w:topLinePunct w:val="0"/>
              <w:bidi w:val="0"/>
              <w:spacing w:line="300" w:lineRule="auto"/>
              <w:textAlignment w:val="auto"/>
              <w:rPr>
                <w:rFonts w:ascii="宋体" w:hAnsi="宋体"/>
                <w:snapToGrid w:val="0"/>
              </w:rPr>
            </w:pPr>
            <w:r>
              <w:rPr>
                <w:rFonts w:hint="eastAsia"/>
                <w:sz w:val="24"/>
                <w:lang w:eastAsia="zh-CN"/>
              </w:rPr>
              <w:t>螺旋桨搅拌器</w:t>
            </w:r>
          </w:p>
        </w:tc>
        <w:tc>
          <w:tcPr>
            <w:tcW w:w="1268" w:type="dxa"/>
            <w:vAlign w:val="center"/>
          </w:tcPr>
          <w:p w14:paraId="78380A5B">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rPr>
              <w:t>1套</w:t>
            </w:r>
            <w:r>
              <w:rPr>
                <w:rFonts w:hint="default" w:ascii="Arial" w:hAnsi="Arial" w:cs="Arial"/>
                <w:snapToGrid w:val="0"/>
                <w:sz w:val="24"/>
              </w:rPr>
              <w:t>×</w:t>
            </w:r>
            <w:r>
              <w:rPr>
                <w:rFonts w:hint="eastAsia" w:ascii="宋体" w:hAnsi="宋体" w:cs="宋体"/>
                <w:snapToGrid w:val="0"/>
                <w:sz w:val="24"/>
                <w:lang w:val="en-US" w:eastAsia="zh-CN"/>
              </w:rPr>
              <w:t>2</w:t>
            </w:r>
          </w:p>
        </w:tc>
      </w:tr>
      <w:tr w14:paraId="4866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20" w:type="dxa"/>
            <w:vAlign w:val="center"/>
          </w:tcPr>
          <w:p w14:paraId="7BAF34C1">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5</w:t>
            </w:r>
          </w:p>
        </w:tc>
        <w:tc>
          <w:tcPr>
            <w:tcW w:w="3372" w:type="dxa"/>
            <w:vAlign w:val="center"/>
          </w:tcPr>
          <w:p w14:paraId="06EA5708">
            <w:pPr>
              <w:keepNext w:val="0"/>
              <w:pageBreakBefore w:val="0"/>
              <w:kinsoku/>
              <w:wordWrap/>
              <w:overflowPunct/>
              <w:topLinePunct w:val="0"/>
              <w:bidi w:val="0"/>
              <w:spacing w:line="300" w:lineRule="auto"/>
              <w:textAlignment w:val="auto"/>
              <w:rPr>
                <w:rFonts w:ascii="宋体" w:hAnsi="宋体"/>
                <w:snapToGrid w:val="0"/>
              </w:rPr>
            </w:pPr>
            <w:r>
              <w:rPr>
                <w:rFonts w:hint="eastAsia" w:ascii="宋体" w:hAnsi="宋体" w:cs="宋体"/>
                <w:sz w:val="24"/>
                <w:szCs w:val="24"/>
                <w:lang w:eastAsia="zh-CN"/>
              </w:rPr>
              <w:t>操作屏</w:t>
            </w:r>
          </w:p>
        </w:tc>
        <w:tc>
          <w:tcPr>
            <w:tcW w:w="3371" w:type="dxa"/>
            <w:vAlign w:val="center"/>
          </w:tcPr>
          <w:p w14:paraId="5A585DFB">
            <w:pPr>
              <w:keepNext w:val="0"/>
              <w:pageBreakBefore w:val="0"/>
              <w:kinsoku/>
              <w:wordWrap/>
              <w:overflowPunct/>
              <w:topLinePunct w:val="0"/>
              <w:bidi w:val="0"/>
              <w:spacing w:line="300" w:lineRule="auto"/>
              <w:textAlignment w:val="auto"/>
              <w:rPr>
                <w:rFonts w:ascii="宋体" w:hAnsi="宋体"/>
                <w:snapToGrid w:val="0"/>
              </w:rPr>
            </w:pPr>
            <w:r>
              <w:rPr>
                <w:rFonts w:hint="eastAsia"/>
                <w:sz w:val="24"/>
              </w:rPr>
              <w:t>一体化中文彩色触摸屏</w:t>
            </w:r>
          </w:p>
        </w:tc>
        <w:tc>
          <w:tcPr>
            <w:tcW w:w="1268" w:type="dxa"/>
            <w:vAlign w:val="center"/>
          </w:tcPr>
          <w:p w14:paraId="3A3D4A0A">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rPr>
              <w:t>1套</w:t>
            </w:r>
            <w:r>
              <w:rPr>
                <w:rFonts w:hint="default" w:ascii="Arial" w:hAnsi="Arial" w:cs="Arial"/>
                <w:snapToGrid w:val="0"/>
                <w:sz w:val="24"/>
              </w:rPr>
              <w:t>×</w:t>
            </w:r>
            <w:r>
              <w:rPr>
                <w:rFonts w:hint="eastAsia" w:ascii="宋体" w:hAnsi="宋体" w:cs="宋体"/>
                <w:snapToGrid w:val="0"/>
                <w:sz w:val="24"/>
                <w:lang w:val="en-US" w:eastAsia="zh-CN"/>
              </w:rPr>
              <w:t>2</w:t>
            </w:r>
          </w:p>
        </w:tc>
      </w:tr>
      <w:tr w14:paraId="7E7C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08939586">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6</w:t>
            </w:r>
          </w:p>
        </w:tc>
        <w:tc>
          <w:tcPr>
            <w:tcW w:w="3372" w:type="dxa"/>
            <w:vAlign w:val="center"/>
          </w:tcPr>
          <w:p w14:paraId="571A879F">
            <w:pPr>
              <w:keepNext w:val="0"/>
              <w:pageBreakBefore w:val="0"/>
              <w:kinsoku/>
              <w:wordWrap/>
              <w:overflowPunct/>
              <w:topLinePunct w:val="0"/>
              <w:bidi w:val="0"/>
              <w:spacing w:line="300" w:lineRule="auto"/>
              <w:textAlignment w:val="auto"/>
              <w:rPr>
                <w:rFonts w:ascii="宋体" w:hAnsi="宋体"/>
                <w:snapToGrid w:val="0"/>
              </w:rPr>
            </w:pPr>
            <w:r>
              <w:rPr>
                <w:rFonts w:hint="eastAsia" w:ascii="宋体" w:hAnsi="宋体" w:cs="宋体"/>
                <w:sz w:val="24"/>
                <w:szCs w:val="24"/>
                <w:lang w:eastAsia="zh-CN"/>
              </w:rPr>
              <w:t>电极连接电缆</w:t>
            </w:r>
          </w:p>
        </w:tc>
        <w:tc>
          <w:tcPr>
            <w:tcW w:w="3371" w:type="dxa"/>
            <w:vAlign w:val="center"/>
          </w:tcPr>
          <w:p w14:paraId="325A56BF">
            <w:pPr>
              <w:keepNext w:val="0"/>
              <w:pageBreakBefore w:val="0"/>
              <w:kinsoku/>
              <w:wordWrap/>
              <w:overflowPunct/>
              <w:topLinePunct w:val="0"/>
              <w:bidi w:val="0"/>
              <w:spacing w:line="300" w:lineRule="auto"/>
              <w:textAlignment w:val="auto"/>
              <w:rPr>
                <w:rFonts w:hint="default" w:ascii="宋体" w:hAnsi="宋体" w:eastAsiaTheme="minorEastAsia"/>
                <w:snapToGrid w:val="0"/>
                <w:lang w:val="en-US" w:eastAsia="zh-CN"/>
              </w:rPr>
            </w:pPr>
            <w:r>
              <w:rPr>
                <w:rFonts w:hint="eastAsia" w:ascii="宋体" w:hAnsi="宋体" w:cs="宋体"/>
                <w:sz w:val="24"/>
                <w:szCs w:val="24"/>
                <w:lang w:eastAsia="zh-CN"/>
              </w:rPr>
              <w:t>智能电极连接电缆</w:t>
            </w:r>
          </w:p>
        </w:tc>
        <w:tc>
          <w:tcPr>
            <w:tcW w:w="1268" w:type="dxa"/>
            <w:vAlign w:val="center"/>
          </w:tcPr>
          <w:p w14:paraId="4BA2BE95">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1套</w:t>
            </w:r>
            <w:r>
              <w:rPr>
                <w:rFonts w:hint="default" w:ascii="Arial" w:hAnsi="Arial" w:cs="Arial"/>
                <w:snapToGrid w:val="0"/>
                <w:sz w:val="24"/>
              </w:rPr>
              <w:t>×</w:t>
            </w:r>
            <w:r>
              <w:rPr>
                <w:rFonts w:hint="eastAsia" w:ascii="宋体" w:hAnsi="宋体" w:cs="宋体"/>
                <w:snapToGrid w:val="0"/>
                <w:sz w:val="24"/>
                <w:lang w:val="en-US" w:eastAsia="zh-CN"/>
              </w:rPr>
              <w:t>2</w:t>
            </w:r>
          </w:p>
        </w:tc>
      </w:tr>
      <w:tr w14:paraId="0C6F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60288F38">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7</w:t>
            </w:r>
          </w:p>
        </w:tc>
        <w:tc>
          <w:tcPr>
            <w:tcW w:w="3372" w:type="dxa"/>
            <w:vAlign w:val="center"/>
          </w:tcPr>
          <w:p w14:paraId="04E2EB2B">
            <w:pPr>
              <w:keepNext w:val="0"/>
              <w:pageBreakBefore w:val="0"/>
              <w:kinsoku/>
              <w:wordWrap/>
              <w:overflowPunct/>
              <w:topLinePunct w:val="0"/>
              <w:bidi w:val="0"/>
              <w:spacing w:line="300" w:lineRule="auto"/>
              <w:textAlignment w:val="auto"/>
              <w:rPr>
                <w:rFonts w:ascii="宋体" w:hAnsi="宋体"/>
                <w:snapToGrid w:val="0"/>
              </w:rPr>
            </w:pPr>
            <w:r>
              <w:rPr>
                <w:rFonts w:hint="eastAsia" w:ascii="宋体" w:hAnsi="宋体" w:cs="宋体"/>
                <w:sz w:val="24"/>
                <w:szCs w:val="24"/>
                <w:lang w:eastAsia="zh-CN"/>
              </w:rPr>
              <w:t>滴定杯</w:t>
            </w:r>
          </w:p>
        </w:tc>
        <w:tc>
          <w:tcPr>
            <w:tcW w:w="3371" w:type="dxa"/>
            <w:vAlign w:val="center"/>
          </w:tcPr>
          <w:p w14:paraId="47D701E3">
            <w:pPr>
              <w:keepNext w:val="0"/>
              <w:pageBreakBefore w:val="0"/>
              <w:kinsoku/>
              <w:wordWrap/>
              <w:overflowPunct/>
              <w:topLinePunct w:val="0"/>
              <w:bidi w:val="0"/>
              <w:spacing w:line="300" w:lineRule="auto"/>
              <w:textAlignment w:val="auto"/>
              <w:rPr>
                <w:rFonts w:ascii="宋体" w:hAnsi="宋体"/>
                <w:snapToGrid w:val="0"/>
              </w:rPr>
            </w:pPr>
            <w:r>
              <w:rPr>
                <w:rFonts w:hint="eastAsia" w:ascii="宋体" w:hAnsi="宋体" w:cs="宋体"/>
                <w:sz w:val="24"/>
                <w:szCs w:val="24"/>
                <w:lang w:eastAsia="zh-CN"/>
              </w:rPr>
              <w:t>配套聚丙烯滴定杯</w:t>
            </w:r>
          </w:p>
        </w:tc>
        <w:tc>
          <w:tcPr>
            <w:tcW w:w="1268" w:type="dxa"/>
            <w:vAlign w:val="center"/>
          </w:tcPr>
          <w:p w14:paraId="5F3BBF44">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50个</w:t>
            </w:r>
            <w:r>
              <w:rPr>
                <w:rFonts w:hint="default" w:ascii="Arial" w:hAnsi="Arial" w:cs="Arial"/>
                <w:snapToGrid w:val="0"/>
                <w:sz w:val="24"/>
              </w:rPr>
              <w:t>×</w:t>
            </w:r>
            <w:r>
              <w:rPr>
                <w:rFonts w:hint="eastAsia" w:ascii="宋体" w:hAnsi="宋体" w:cs="宋体"/>
                <w:snapToGrid w:val="0"/>
                <w:sz w:val="24"/>
                <w:lang w:val="en-US" w:eastAsia="zh-CN"/>
              </w:rPr>
              <w:t>2</w:t>
            </w:r>
          </w:p>
        </w:tc>
      </w:tr>
      <w:tr w14:paraId="47C6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30D4F3FD">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8</w:t>
            </w:r>
          </w:p>
        </w:tc>
        <w:tc>
          <w:tcPr>
            <w:tcW w:w="3372" w:type="dxa"/>
            <w:vAlign w:val="center"/>
          </w:tcPr>
          <w:p w14:paraId="4D35A502">
            <w:pPr>
              <w:keepNext w:val="0"/>
              <w:pageBreakBefore w:val="0"/>
              <w:kinsoku/>
              <w:wordWrap/>
              <w:overflowPunct/>
              <w:topLinePunct w:val="0"/>
              <w:bidi w:val="0"/>
              <w:spacing w:line="300" w:lineRule="auto"/>
              <w:textAlignment w:val="auto"/>
              <w:rPr>
                <w:rFonts w:ascii="宋体" w:hAnsi="宋体"/>
                <w:snapToGrid w:val="0"/>
              </w:rPr>
            </w:pPr>
            <w:r>
              <w:rPr>
                <w:rFonts w:hint="eastAsia" w:ascii="宋体" w:hAnsi="宋体" w:cs="宋体"/>
                <w:sz w:val="24"/>
                <w:szCs w:val="24"/>
                <w:lang w:eastAsia="zh-CN"/>
              </w:rPr>
              <w:t>滴定管</w:t>
            </w:r>
          </w:p>
        </w:tc>
        <w:tc>
          <w:tcPr>
            <w:tcW w:w="3371" w:type="dxa"/>
            <w:vAlign w:val="center"/>
          </w:tcPr>
          <w:p w14:paraId="5D83C6C3">
            <w:pPr>
              <w:keepNext w:val="0"/>
              <w:pageBreakBefore w:val="0"/>
              <w:kinsoku/>
              <w:wordWrap/>
              <w:overflowPunct/>
              <w:topLinePunct w:val="0"/>
              <w:bidi w:val="0"/>
              <w:spacing w:line="300" w:lineRule="auto"/>
              <w:textAlignment w:val="auto"/>
              <w:rPr>
                <w:rFonts w:ascii="宋体" w:hAnsi="宋体"/>
                <w:snapToGrid w:val="0"/>
              </w:rPr>
            </w:pPr>
            <w:r>
              <w:rPr>
                <w:rFonts w:ascii="宋体" w:hAnsi="宋体" w:cs="宋体"/>
                <w:sz w:val="24"/>
                <w:szCs w:val="24"/>
                <w:lang w:eastAsia="zh-CN"/>
              </w:rPr>
              <w:t>1</w:t>
            </w:r>
            <w:r>
              <w:rPr>
                <w:rFonts w:hint="eastAsia" w:ascii="宋体" w:hAnsi="宋体" w:cs="宋体"/>
                <w:sz w:val="24"/>
                <w:szCs w:val="24"/>
                <w:lang w:eastAsia="zh-CN"/>
              </w:rPr>
              <w:t>0ml滴定管，加配智能芯片，含防扩散滴定管。</w:t>
            </w:r>
          </w:p>
        </w:tc>
        <w:tc>
          <w:tcPr>
            <w:tcW w:w="1268" w:type="dxa"/>
            <w:vAlign w:val="center"/>
          </w:tcPr>
          <w:p w14:paraId="2D536E02">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1套</w:t>
            </w:r>
          </w:p>
        </w:tc>
      </w:tr>
      <w:tr w14:paraId="021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59C059FF">
            <w:pPr>
              <w:keepNext w:val="0"/>
              <w:pageBreakBefore w:val="0"/>
              <w:kinsoku/>
              <w:wordWrap/>
              <w:overflowPunct/>
              <w:topLinePunct w:val="0"/>
              <w:bidi w:val="0"/>
              <w:spacing w:line="30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3372" w:type="dxa"/>
            <w:vAlign w:val="center"/>
          </w:tcPr>
          <w:p w14:paraId="3865E2CE">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宋体" w:hAnsi="宋体" w:cs="宋体"/>
                <w:sz w:val="24"/>
                <w:szCs w:val="24"/>
                <w:lang w:eastAsia="zh-CN"/>
              </w:rPr>
              <w:t>滴定管</w:t>
            </w:r>
          </w:p>
        </w:tc>
        <w:tc>
          <w:tcPr>
            <w:tcW w:w="3371" w:type="dxa"/>
            <w:vAlign w:val="center"/>
          </w:tcPr>
          <w:p w14:paraId="269B38F9">
            <w:pPr>
              <w:keepNext w:val="0"/>
              <w:pageBreakBefore w:val="0"/>
              <w:kinsoku/>
              <w:wordWrap/>
              <w:overflowPunct/>
              <w:topLinePunct w:val="0"/>
              <w:bidi w:val="0"/>
              <w:spacing w:line="300" w:lineRule="auto"/>
              <w:textAlignment w:val="auto"/>
              <w:rPr>
                <w:rFonts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lang w:eastAsia="zh-CN"/>
              </w:rPr>
              <w:t>0ml滴定管，加配智能芯片，含防扩散滴定管。</w:t>
            </w:r>
          </w:p>
        </w:tc>
        <w:tc>
          <w:tcPr>
            <w:tcW w:w="1268" w:type="dxa"/>
            <w:vAlign w:val="center"/>
          </w:tcPr>
          <w:p w14:paraId="5A5D98B5">
            <w:pPr>
              <w:keepNext w:val="0"/>
              <w:pageBreakBefore w:val="0"/>
              <w:kinsoku/>
              <w:wordWrap/>
              <w:overflowPunct/>
              <w:topLinePunct w:val="0"/>
              <w:bidi w:val="0"/>
              <w:spacing w:line="30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1套</w:t>
            </w:r>
          </w:p>
        </w:tc>
      </w:tr>
      <w:tr w14:paraId="213C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3BB7988B">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val="en-US" w:eastAsia="zh-CN"/>
              </w:rPr>
              <w:t>10</w:t>
            </w:r>
          </w:p>
        </w:tc>
        <w:tc>
          <w:tcPr>
            <w:tcW w:w="3372" w:type="dxa"/>
            <w:vAlign w:val="center"/>
          </w:tcPr>
          <w:p w14:paraId="4EDC011B">
            <w:pPr>
              <w:keepNext w:val="0"/>
              <w:pageBreakBefore w:val="0"/>
              <w:kinsoku/>
              <w:wordWrap/>
              <w:overflowPunct/>
              <w:topLinePunct w:val="0"/>
              <w:bidi w:val="0"/>
              <w:spacing w:line="300" w:lineRule="auto"/>
              <w:textAlignment w:val="auto"/>
              <w:rPr>
                <w:rFonts w:ascii="宋体" w:hAnsi="宋体"/>
                <w:snapToGrid w:val="0"/>
              </w:rPr>
            </w:pPr>
            <w:r>
              <w:rPr>
                <w:rFonts w:hint="eastAsia" w:ascii="宋体" w:hAnsi="宋体" w:cs="宋体"/>
                <w:sz w:val="24"/>
                <w:szCs w:val="24"/>
                <w:lang w:eastAsia="zh-CN"/>
              </w:rPr>
              <w:t>试剂瓶</w:t>
            </w:r>
          </w:p>
        </w:tc>
        <w:tc>
          <w:tcPr>
            <w:tcW w:w="3371" w:type="dxa"/>
            <w:vAlign w:val="center"/>
          </w:tcPr>
          <w:p w14:paraId="25F05537">
            <w:pPr>
              <w:keepNext w:val="0"/>
              <w:pageBreakBefore w:val="0"/>
              <w:kinsoku/>
              <w:wordWrap/>
              <w:overflowPunct/>
              <w:topLinePunct w:val="0"/>
              <w:bidi w:val="0"/>
              <w:spacing w:line="300" w:lineRule="auto"/>
              <w:textAlignment w:val="auto"/>
              <w:rPr>
                <w:rFonts w:ascii="宋体" w:hAnsi="宋体"/>
                <w:snapToGrid w:val="0"/>
              </w:rPr>
            </w:pPr>
            <w:r>
              <w:rPr>
                <w:rFonts w:hint="eastAsia" w:ascii="宋体" w:hAnsi="宋体" w:cs="宋体"/>
                <w:sz w:val="24"/>
                <w:szCs w:val="24"/>
                <w:lang w:eastAsia="zh-CN"/>
              </w:rPr>
              <w:t>配套</w:t>
            </w:r>
            <w:r>
              <w:rPr>
                <w:rFonts w:ascii="宋体" w:hAnsi="宋体" w:cs="宋体"/>
                <w:sz w:val="24"/>
                <w:szCs w:val="24"/>
                <w:lang w:eastAsia="zh-CN"/>
              </w:rPr>
              <w:t xml:space="preserve">试剂瓶 </w:t>
            </w:r>
          </w:p>
        </w:tc>
        <w:tc>
          <w:tcPr>
            <w:tcW w:w="1268" w:type="dxa"/>
            <w:vAlign w:val="center"/>
          </w:tcPr>
          <w:p w14:paraId="0DC48A42">
            <w:pPr>
              <w:keepNext w:val="0"/>
              <w:pageBreakBefore w:val="0"/>
              <w:kinsoku/>
              <w:wordWrap/>
              <w:overflowPunct/>
              <w:topLinePunct w:val="0"/>
              <w:bidi w:val="0"/>
              <w:spacing w:line="300" w:lineRule="auto"/>
              <w:jc w:val="center"/>
              <w:textAlignment w:val="auto"/>
              <w:rPr>
                <w:rFonts w:ascii="宋体" w:hAnsi="宋体"/>
                <w:snapToGrid w:val="0"/>
              </w:rPr>
            </w:pPr>
            <w:r>
              <w:rPr>
                <w:rFonts w:hint="eastAsia" w:ascii="宋体" w:hAnsi="宋体" w:cs="宋体"/>
                <w:sz w:val="24"/>
                <w:szCs w:val="24"/>
                <w:lang w:eastAsia="zh-CN"/>
              </w:rPr>
              <w:t>1套</w:t>
            </w:r>
            <w:r>
              <w:rPr>
                <w:rFonts w:hint="default" w:ascii="Arial" w:hAnsi="Arial" w:cs="Arial"/>
                <w:snapToGrid w:val="0"/>
                <w:sz w:val="24"/>
              </w:rPr>
              <w:t>×</w:t>
            </w:r>
            <w:r>
              <w:rPr>
                <w:rFonts w:hint="eastAsia" w:ascii="宋体" w:hAnsi="宋体" w:cs="宋体"/>
                <w:snapToGrid w:val="0"/>
                <w:sz w:val="24"/>
                <w:lang w:val="en-US" w:eastAsia="zh-CN"/>
              </w:rPr>
              <w:t>2</w:t>
            </w:r>
          </w:p>
        </w:tc>
      </w:tr>
      <w:tr w14:paraId="622E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79CE45B6">
            <w:pPr>
              <w:keepNext w:val="0"/>
              <w:pageBreakBefore w:val="0"/>
              <w:kinsoku/>
              <w:wordWrap/>
              <w:overflowPunct/>
              <w:topLinePunct w:val="0"/>
              <w:bidi w:val="0"/>
              <w:spacing w:line="30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3372" w:type="dxa"/>
            <w:vAlign w:val="center"/>
          </w:tcPr>
          <w:p w14:paraId="7D68B26C">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宋体" w:hAnsi="宋体" w:cs="宋体"/>
                <w:sz w:val="24"/>
                <w:szCs w:val="24"/>
                <w:lang w:val="en-US" w:eastAsia="zh-CN"/>
              </w:rPr>
              <w:t>银</w:t>
            </w:r>
            <w:r>
              <w:rPr>
                <w:rFonts w:hint="eastAsia" w:ascii="宋体" w:hAnsi="宋体" w:cs="宋体"/>
                <w:sz w:val="24"/>
                <w:szCs w:val="24"/>
                <w:lang w:eastAsia="zh-CN"/>
              </w:rPr>
              <w:t>电极</w:t>
            </w:r>
          </w:p>
        </w:tc>
        <w:tc>
          <w:tcPr>
            <w:tcW w:w="3371" w:type="dxa"/>
            <w:vAlign w:val="center"/>
          </w:tcPr>
          <w:p w14:paraId="00BEA46C">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宋体" w:hAnsi="宋体" w:cs="宋体"/>
                <w:sz w:val="24"/>
                <w:szCs w:val="24"/>
                <w:lang w:eastAsia="zh-CN"/>
              </w:rPr>
              <w:t>配套电极</w:t>
            </w:r>
          </w:p>
        </w:tc>
        <w:tc>
          <w:tcPr>
            <w:tcW w:w="1268" w:type="dxa"/>
            <w:vAlign w:val="center"/>
          </w:tcPr>
          <w:p w14:paraId="2B7259C5">
            <w:pPr>
              <w:keepNext w:val="0"/>
              <w:pageBreakBefore w:val="0"/>
              <w:kinsoku/>
              <w:wordWrap/>
              <w:overflowPunct/>
              <w:topLinePunct w:val="0"/>
              <w:bidi w:val="0"/>
              <w:spacing w:line="300" w:lineRule="auto"/>
              <w:jc w:val="center"/>
              <w:textAlignment w:val="auto"/>
              <w:rPr>
                <w:rFonts w:hint="eastAsia" w:ascii="宋体" w:hAnsi="宋体" w:cs="宋体"/>
                <w:sz w:val="24"/>
                <w:szCs w:val="24"/>
                <w:lang w:eastAsia="zh-CN"/>
              </w:rPr>
            </w:pPr>
            <w:r>
              <w:rPr>
                <w:rFonts w:hint="eastAsia" w:ascii="宋体" w:hAnsi="宋体" w:cs="宋体"/>
                <w:color w:val="auto"/>
                <w:sz w:val="24"/>
                <w:szCs w:val="24"/>
                <w:lang w:eastAsia="zh-CN"/>
              </w:rPr>
              <w:t>1套</w:t>
            </w:r>
          </w:p>
        </w:tc>
      </w:tr>
      <w:tr w14:paraId="16F9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186E1DCF">
            <w:pPr>
              <w:keepNext w:val="0"/>
              <w:pageBreakBefore w:val="0"/>
              <w:kinsoku/>
              <w:wordWrap/>
              <w:overflowPunct/>
              <w:topLinePunct w:val="0"/>
              <w:bidi w:val="0"/>
              <w:spacing w:line="30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3372" w:type="dxa"/>
            <w:vAlign w:val="center"/>
          </w:tcPr>
          <w:p w14:paraId="44C0257B">
            <w:pPr>
              <w:keepNext w:val="0"/>
              <w:pageBreakBefore w:val="0"/>
              <w:kinsoku/>
              <w:wordWrap/>
              <w:overflowPunct/>
              <w:topLinePunct w:val="0"/>
              <w:bidi w:val="0"/>
              <w:spacing w:line="300" w:lineRule="auto"/>
              <w:textAlignment w:val="auto"/>
              <w:rPr>
                <w:rFonts w:hint="default" w:ascii="宋体" w:hAnsi="宋体" w:cs="宋体"/>
                <w:sz w:val="24"/>
                <w:szCs w:val="24"/>
                <w:lang w:val="en-US" w:eastAsia="zh-CN"/>
              </w:rPr>
            </w:pPr>
            <w:r>
              <w:rPr>
                <w:rFonts w:hint="eastAsia" w:ascii="宋体" w:hAnsi="宋体" w:cs="宋体"/>
                <w:sz w:val="24"/>
                <w:szCs w:val="24"/>
                <w:lang w:val="en-US" w:eastAsia="zh-CN"/>
              </w:rPr>
              <w:t>pH电极</w:t>
            </w:r>
          </w:p>
        </w:tc>
        <w:tc>
          <w:tcPr>
            <w:tcW w:w="3371" w:type="dxa"/>
            <w:vAlign w:val="center"/>
          </w:tcPr>
          <w:p w14:paraId="174A8C80">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宋体" w:hAnsi="宋体" w:cs="宋体"/>
                <w:sz w:val="24"/>
                <w:szCs w:val="24"/>
                <w:lang w:eastAsia="zh-CN"/>
              </w:rPr>
              <w:t>配套电极</w:t>
            </w:r>
          </w:p>
        </w:tc>
        <w:tc>
          <w:tcPr>
            <w:tcW w:w="1268" w:type="dxa"/>
            <w:vAlign w:val="center"/>
          </w:tcPr>
          <w:p w14:paraId="5A9F6119">
            <w:pPr>
              <w:keepNext w:val="0"/>
              <w:pageBreakBefore w:val="0"/>
              <w:kinsoku/>
              <w:wordWrap/>
              <w:overflowPunct/>
              <w:topLinePunct w:val="0"/>
              <w:bidi w:val="0"/>
              <w:spacing w:line="30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1套</w:t>
            </w:r>
          </w:p>
        </w:tc>
      </w:tr>
      <w:tr w14:paraId="4279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7BEE8CE3">
            <w:pPr>
              <w:keepNext w:val="0"/>
              <w:pageBreakBefore w:val="0"/>
              <w:kinsoku/>
              <w:wordWrap/>
              <w:overflowPunct/>
              <w:topLinePunct w:val="0"/>
              <w:bidi w:val="0"/>
              <w:spacing w:line="30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13</w:t>
            </w:r>
          </w:p>
        </w:tc>
        <w:tc>
          <w:tcPr>
            <w:tcW w:w="3372" w:type="dxa"/>
            <w:vAlign w:val="center"/>
          </w:tcPr>
          <w:p w14:paraId="7DF822BE">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宋体" w:hAnsi="宋体" w:cs="宋体"/>
                <w:sz w:val="24"/>
                <w:szCs w:val="24"/>
                <w:lang w:eastAsia="zh-CN"/>
              </w:rPr>
              <w:t>安装包</w:t>
            </w:r>
          </w:p>
        </w:tc>
        <w:tc>
          <w:tcPr>
            <w:tcW w:w="3371" w:type="dxa"/>
            <w:vAlign w:val="center"/>
          </w:tcPr>
          <w:p w14:paraId="499141A3">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宋体" w:hAnsi="宋体" w:cs="宋体"/>
                <w:sz w:val="24"/>
                <w:szCs w:val="24"/>
                <w:lang w:eastAsia="zh-CN"/>
              </w:rPr>
              <w:t>配套电源线、连接线、保险丝、电缆、工具等</w:t>
            </w:r>
          </w:p>
        </w:tc>
        <w:tc>
          <w:tcPr>
            <w:tcW w:w="1268" w:type="dxa"/>
            <w:vAlign w:val="center"/>
          </w:tcPr>
          <w:p w14:paraId="555E432E">
            <w:pPr>
              <w:keepNext w:val="0"/>
              <w:pageBreakBefore w:val="0"/>
              <w:kinsoku/>
              <w:wordWrap/>
              <w:overflowPunct/>
              <w:topLinePunct w:val="0"/>
              <w:bidi w:val="0"/>
              <w:spacing w:line="30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1套</w:t>
            </w:r>
            <w:r>
              <w:rPr>
                <w:rFonts w:hint="default" w:ascii="Arial" w:hAnsi="Arial" w:cs="Arial"/>
                <w:snapToGrid w:val="0"/>
                <w:sz w:val="24"/>
              </w:rPr>
              <w:t>×</w:t>
            </w:r>
            <w:r>
              <w:rPr>
                <w:rFonts w:hint="eastAsia" w:ascii="宋体" w:hAnsi="宋体" w:cs="宋体"/>
                <w:snapToGrid w:val="0"/>
                <w:sz w:val="24"/>
                <w:lang w:val="en-US" w:eastAsia="zh-CN"/>
              </w:rPr>
              <w:t>2</w:t>
            </w:r>
          </w:p>
        </w:tc>
      </w:tr>
      <w:tr w14:paraId="49C9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75A6C70F">
            <w:pPr>
              <w:keepNext w:val="0"/>
              <w:pageBreakBefore w:val="0"/>
              <w:kinsoku/>
              <w:wordWrap/>
              <w:overflowPunct/>
              <w:topLinePunct w:val="0"/>
              <w:bidi w:val="0"/>
              <w:spacing w:line="30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14</w:t>
            </w:r>
          </w:p>
        </w:tc>
        <w:tc>
          <w:tcPr>
            <w:tcW w:w="3372" w:type="dxa"/>
            <w:vAlign w:val="center"/>
          </w:tcPr>
          <w:p w14:paraId="77210676">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宋体" w:hAnsi="宋体" w:cs="宋体"/>
                <w:sz w:val="24"/>
                <w:szCs w:val="24"/>
                <w:lang w:eastAsia="zh-CN"/>
              </w:rPr>
              <w:t>说明书</w:t>
            </w:r>
          </w:p>
        </w:tc>
        <w:tc>
          <w:tcPr>
            <w:tcW w:w="3371" w:type="dxa"/>
            <w:vAlign w:val="center"/>
          </w:tcPr>
          <w:p w14:paraId="7935DED7">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宋体" w:hAnsi="宋体" w:cs="宋体"/>
                <w:sz w:val="24"/>
                <w:szCs w:val="24"/>
                <w:lang w:eastAsia="zh-CN"/>
              </w:rPr>
              <w:t>书面中英文说明书、故障诊断资料、电子版本说明书（存</w:t>
            </w:r>
            <w:r>
              <w:rPr>
                <w:rFonts w:ascii="宋体" w:hAnsi="宋体" w:cs="宋体"/>
                <w:sz w:val="24"/>
                <w:szCs w:val="24"/>
                <w:lang w:eastAsia="zh-CN"/>
              </w:rPr>
              <w:t>U盘）</w:t>
            </w:r>
          </w:p>
        </w:tc>
        <w:tc>
          <w:tcPr>
            <w:tcW w:w="1268" w:type="dxa"/>
            <w:vAlign w:val="center"/>
          </w:tcPr>
          <w:p w14:paraId="13442D99">
            <w:pPr>
              <w:keepNext w:val="0"/>
              <w:pageBreakBefore w:val="0"/>
              <w:kinsoku/>
              <w:wordWrap/>
              <w:overflowPunct/>
              <w:topLinePunct w:val="0"/>
              <w:bidi w:val="0"/>
              <w:spacing w:line="300" w:lineRule="auto"/>
              <w:jc w:val="center"/>
              <w:textAlignment w:val="auto"/>
              <w:rPr>
                <w:rFonts w:hint="eastAsia" w:ascii="宋体" w:hAnsi="宋体" w:cs="宋体"/>
                <w:sz w:val="24"/>
                <w:szCs w:val="24"/>
                <w:lang w:eastAsia="zh-CN"/>
              </w:rPr>
            </w:pPr>
            <w:r>
              <w:rPr>
                <w:rFonts w:hint="eastAsia" w:ascii="宋体" w:hAnsi="宋体" w:cs="宋体"/>
                <w:sz w:val="24"/>
                <w:szCs w:val="24"/>
                <w:lang w:val="en-US" w:eastAsia="zh-CN"/>
              </w:rPr>
              <w:t>各2</w:t>
            </w:r>
            <w:r>
              <w:rPr>
                <w:rFonts w:hint="eastAsia" w:ascii="宋体" w:hAnsi="宋体" w:cs="宋体"/>
                <w:sz w:val="24"/>
                <w:szCs w:val="24"/>
                <w:lang w:eastAsia="zh-CN"/>
              </w:rPr>
              <w:t>套</w:t>
            </w:r>
            <w:r>
              <w:rPr>
                <w:rFonts w:hint="default" w:ascii="Arial" w:hAnsi="Arial" w:cs="Arial"/>
                <w:snapToGrid w:val="0"/>
                <w:sz w:val="24"/>
              </w:rPr>
              <w:t>×</w:t>
            </w:r>
            <w:r>
              <w:rPr>
                <w:rFonts w:hint="eastAsia" w:ascii="宋体" w:hAnsi="宋体" w:cs="宋体"/>
                <w:snapToGrid w:val="0"/>
                <w:sz w:val="24"/>
                <w:lang w:val="en-US" w:eastAsia="zh-CN"/>
              </w:rPr>
              <w:t>2</w:t>
            </w:r>
          </w:p>
        </w:tc>
      </w:tr>
      <w:tr w14:paraId="6AD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3D48EB4D">
            <w:pPr>
              <w:keepNext w:val="0"/>
              <w:pageBreakBefore w:val="0"/>
              <w:kinsoku/>
              <w:wordWrap/>
              <w:overflowPunct/>
              <w:topLinePunct w:val="0"/>
              <w:bidi w:val="0"/>
              <w:spacing w:line="30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15</w:t>
            </w:r>
          </w:p>
        </w:tc>
        <w:tc>
          <w:tcPr>
            <w:tcW w:w="3372" w:type="dxa"/>
            <w:vAlign w:val="center"/>
          </w:tcPr>
          <w:p w14:paraId="28351D50">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宋体" w:hAnsi="宋体" w:cs="宋体"/>
                <w:sz w:val="24"/>
                <w:szCs w:val="24"/>
                <w:lang w:eastAsia="zh-CN"/>
              </w:rPr>
              <w:t>仪器出厂相关资料</w:t>
            </w:r>
          </w:p>
        </w:tc>
        <w:tc>
          <w:tcPr>
            <w:tcW w:w="3371" w:type="dxa"/>
            <w:vAlign w:val="center"/>
          </w:tcPr>
          <w:p w14:paraId="1DE15FB4">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宋体" w:hAnsi="宋体" w:cs="宋体"/>
                <w:sz w:val="24"/>
                <w:szCs w:val="24"/>
                <w:lang w:eastAsia="zh-CN"/>
              </w:rPr>
              <w:t>合格证书、安全证书、出厂验收测试程序、原产地证明等</w:t>
            </w:r>
          </w:p>
        </w:tc>
        <w:tc>
          <w:tcPr>
            <w:tcW w:w="1268" w:type="dxa"/>
            <w:vAlign w:val="center"/>
          </w:tcPr>
          <w:p w14:paraId="4E42EFC5">
            <w:pPr>
              <w:keepNext w:val="0"/>
              <w:pageBreakBefore w:val="0"/>
              <w:kinsoku/>
              <w:wordWrap/>
              <w:overflowPunct/>
              <w:topLinePunct w:val="0"/>
              <w:bidi w:val="0"/>
              <w:spacing w:line="30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1套</w:t>
            </w:r>
            <w:r>
              <w:rPr>
                <w:rFonts w:hint="default" w:ascii="Arial" w:hAnsi="Arial" w:cs="Arial"/>
                <w:snapToGrid w:val="0"/>
                <w:sz w:val="24"/>
              </w:rPr>
              <w:t>×</w:t>
            </w:r>
            <w:r>
              <w:rPr>
                <w:rFonts w:hint="eastAsia" w:ascii="宋体" w:hAnsi="宋体" w:cs="宋体"/>
                <w:snapToGrid w:val="0"/>
                <w:sz w:val="24"/>
                <w:lang w:val="en-US" w:eastAsia="zh-CN"/>
              </w:rPr>
              <w:t>2</w:t>
            </w:r>
          </w:p>
        </w:tc>
      </w:tr>
      <w:tr w14:paraId="44D5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20" w:type="dxa"/>
            <w:vAlign w:val="center"/>
          </w:tcPr>
          <w:p w14:paraId="5DDDA85A">
            <w:pPr>
              <w:keepNext w:val="0"/>
              <w:pageBreakBefore w:val="0"/>
              <w:kinsoku/>
              <w:wordWrap/>
              <w:overflowPunct/>
              <w:topLinePunct w:val="0"/>
              <w:bidi w:val="0"/>
              <w:spacing w:line="30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16</w:t>
            </w:r>
          </w:p>
        </w:tc>
        <w:tc>
          <w:tcPr>
            <w:tcW w:w="3372" w:type="dxa"/>
            <w:vAlign w:val="center"/>
          </w:tcPr>
          <w:p w14:paraId="7F926AC0">
            <w:pPr>
              <w:keepNext w:val="0"/>
              <w:pageBreakBefore w:val="0"/>
              <w:kinsoku/>
              <w:wordWrap/>
              <w:overflowPunct/>
              <w:topLinePunct w:val="0"/>
              <w:bidi w:val="0"/>
              <w:spacing w:line="300" w:lineRule="auto"/>
              <w:textAlignment w:val="auto"/>
              <w:rPr>
                <w:rFonts w:hint="default" w:ascii="宋体" w:hAnsi="宋体" w:cs="宋体"/>
                <w:sz w:val="24"/>
                <w:szCs w:val="24"/>
                <w:lang w:val="en-US" w:eastAsia="zh-CN"/>
              </w:rPr>
            </w:pPr>
            <w:r>
              <w:rPr>
                <w:rFonts w:hint="eastAsia" w:ascii="宋体" w:hAnsi="宋体" w:cs="宋体"/>
                <w:sz w:val="24"/>
                <w:szCs w:val="24"/>
                <w:lang w:val="en-US" w:eastAsia="zh-CN"/>
              </w:rPr>
              <w:t>仪器电脑</w:t>
            </w:r>
          </w:p>
        </w:tc>
        <w:tc>
          <w:tcPr>
            <w:tcW w:w="3371" w:type="dxa"/>
            <w:vAlign w:val="center"/>
          </w:tcPr>
          <w:p w14:paraId="198F0020">
            <w:pPr>
              <w:keepNext w:val="0"/>
              <w:pageBreakBefore w:val="0"/>
              <w:kinsoku/>
              <w:wordWrap/>
              <w:overflowPunct/>
              <w:topLinePunct w:val="0"/>
              <w:bidi w:val="0"/>
              <w:spacing w:line="300" w:lineRule="auto"/>
              <w:textAlignment w:val="auto"/>
              <w:rPr>
                <w:rFonts w:hint="eastAsia" w:ascii="宋体" w:hAnsi="宋体" w:cs="宋体"/>
                <w:sz w:val="24"/>
                <w:szCs w:val="24"/>
                <w:lang w:eastAsia="zh-CN"/>
              </w:rPr>
            </w:pPr>
            <w:r>
              <w:rPr>
                <w:rFonts w:hint="eastAsia" w:ascii="Calibri" w:hAnsi="Calibri" w:eastAsia="宋体" w:cs="Times New Roman"/>
                <w:kern w:val="0"/>
                <w:sz w:val="24"/>
                <w:szCs w:val="24"/>
                <w14:ligatures w14:val="none"/>
              </w:rPr>
              <w:t>主机、显示器，符合配置要求</w:t>
            </w:r>
          </w:p>
        </w:tc>
        <w:tc>
          <w:tcPr>
            <w:tcW w:w="1268" w:type="dxa"/>
            <w:vAlign w:val="center"/>
          </w:tcPr>
          <w:p w14:paraId="2286AE44">
            <w:pPr>
              <w:keepNext w:val="0"/>
              <w:pageBreakBefore w:val="0"/>
              <w:kinsoku/>
              <w:wordWrap/>
              <w:overflowPunct/>
              <w:topLinePunct w:val="0"/>
              <w:bidi w:val="0"/>
              <w:spacing w:line="30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1套</w:t>
            </w:r>
          </w:p>
        </w:tc>
      </w:tr>
    </w:tbl>
    <w:p w14:paraId="2743C3EF">
      <w:pPr>
        <w:keepNext w:val="0"/>
        <w:pageBreakBefore w:val="0"/>
        <w:kinsoku/>
        <w:wordWrap/>
        <w:overflowPunct/>
        <w:topLinePunct w:val="0"/>
        <w:bidi w:val="0"/>
        <w:spacing w:line="300" w:lineRule="auto"/>
        <w:jc w:val="both"/>
        <w:textAlignment w:val="auto"/>
        <w:rPr>
          <w:rFonts w:ascii="宋体" w:hAnsi="宋体"/>
        </w:rPr>
      </w:pPr>
      <w:r>
        <w:rPr>
          <w:rFonts w:ascii="宋体" w:hAnsi="宋体"/>
          <w:snapToGrid w:val="0"/>
        </w:rPr>
        <w:t>*</w:t>
      </w:r>
      <w:r>
        <w:rPr>
          <w:rFonts w:cs="宋体-方正超大字符集" w:asciiTheme="minorEastAsia" w:hAnsiTheme="minorEastAsia"/>
          <w:b/>
        </w:rPr>
        <w:t>4.</w:t>
      </w:r>
      <w:r>
        <w:rPr>
          <w:rFonts w:hint="eastAsia" w:cs="宋体-方正超大字符集" w:asciiTheme="minorEastAsia" w:hAnsiTheme="minorEastAsia"/>
          <w:b/>
        </w:rPr>
        <w:t>备品备件</w:t>
      </w:r>
      <w:r>
        <w:rPr>
          <w:rFonts w:cs="宋体-方正超大字符集" w:asciiTheme="minorEastAsia" w:hAnsiTheme="minorEastAsia"/>
          <w:b/>
        </w:rPr>
        <w:tab/>
      </w:r>
    </w:p>
    <w:p w14:paraId="6CECED99">
      <w:pPr>
        <w:keepNext w:val="0"/>
        <w:pageBreakBefore w:val="0"/>
        <w:tabs>
          <w:tab w:val="left" w:pos="6030"/>
        </w:tabs>
        <w:kinsoku/>
        <w:wordWrap/>
        <w:overflowPunct/>
        <w:topLinePunct w:val="0"/>
        <w:bidi w:val="0"/>
        <w:adjustRightInd w:val="0"/>
        <w:snapToGrid w:val="0"/>
        <w:spacing w:line="300" w:lineRule="auto"/>
        <w:jc w:val="both"/>
        <w:textAlignment w:val="auto"/>
        <w:rPr>
          <w:rFonts w:cs="宋体-方正超大字符集" w:asciiTheme="minorEastAsia" w:hAnsiTheme="minorEastAsia"/>
          <w:b/>
        </w:rPr>
      </w:pPr>
      <w:r>
        <w:rPr>
          <w:rFonts w:cs="宋体" w:asciiTheme="minorEastAsia" w:hAnsiTheme="minorEastAsia"/>
        </w:rPr>
        <w:t>4</w:t>
      </w:r>
      <w:r>
        <w:rPr>
          <w:rFonts w:hint="eastAsia" w:cs="宋体" w:asciiTheme="minorEastAsia" w:hAnsiTheme="minorEastAsia"/>
        </w:rPr>
        <w:t>.1 除随机标配的备品备件外，再提供以下备件：</w:t>
      </w:r>
      <w:r>
        <w:rPr>
          <w:rFonts w:cs="宋体-方正超大字符集" w:asciiTheme="minorEastAsia" w:hAnsiTheme="minorEastAsia"/>
          <w:b/>
        </w:rPr>
        <w:tab/>
      </w:r>
    </w:p>
    <w:p w14:paraId="6B16911A">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cs="宋体" w:asciiTheme="minorEastAsia" w:hAnsiTheme="minorEastAsia"/>
        </w:rPr>
        <w:t>4</w:t>
      </w:r>
      <w:r>
        <w:rPr>
          <w:rFonts w:hint="eastAsia" w:cs="宋体" w:asciiTheme="minorEastAsia" w:hAnsiTheme="minorEastAsia"/>
        </w:rPr>
        <w:t xml:space="preserve">.1.1 </w:t>
      </w:r>
      <w:r>
        <w:rPr>
          <w:rFonts w:ascii="宋体" w:hAnsi="宋体"/>
          <w:snapToGrid w:val="0"/>
        </w:rPr>
        <w:t>搅拌桨</w:t>
      </w:r>
      <w:r>
        <w:rPr>
          <w:rFonts w:hint="eastAsia" w:asciiTheme="minorEastAsia" w:hAnsiTheme="minorEastAsia"/>
        </w:rPr>
        <w:t>：</w:t>
      </w:r>
      <w:r>
        <w:rPr>
          <w:rFonts w:ascii="宋体" w:hAnsi="宋体"/>
          <w:snapToGrid w:val="0"/>
        </w:rPr>
        <w:t>4</w:t>
      </w:r>
      <w:r>
        <w:rPr>
          <w:rFonts w:hint="eastAsia" w:ascii="宋体" w:hAnsi="宋体"/>
          <w:snapToGrid w:val="0"/>
        </w:rPr>
        <w:t>个</w:t>
      </w:r>
      <w:r>
        <w:rPr>
          <w:rFonts w:hint="eastAsia" w:asciiTheme="minorEastAsia" w:hAnsiTheme="minorEastAsia"/>
        </w:rPr>
        <w:t>；</w:t>
      </w:r>
    </w:p>
    <w:p w14:paraId="31926BCC">
      <w:pPr>
        <w:keepNext w:val="0"/>
        <w:pageBreakBefore w:val="0"/>
        <w:kinsoku/>
        <w:wordWrap/>
        <w:overflowPunct/>
        <w:topLinePunct w:val="0"/>
        <w:bidi w:val="0"/>
        <w:adjustRightInd w:val="0"/>
        <w:snapToGrid w:val="0"/>
        <w:spacing w:line="300" w:lineRule="auto"/>
        <w:jc w:val="both"/>
        <w:textAlignment w:val="auto"/>
        <w:rPr>
          <w:rFonts w:hint="eastAsia" w:asciiTheme="minorEastAsia" w:hAnsiTheme="minorEastAsia"/>
        </w:rPr>
      </w:pPr>
      <w:r>
        <w:rPr>
          <w:rFonts w:asciiTheme="minorEastAsia" w:hAnsiTheme="minorEastAsia"/>
        </w:rPr>
        <w:t>4</w:t>
      </w:r>
      <w:r>
        <w:rPr>
          <w:rFonts w:hint="eastAsia" w:asciiTheme="minorEastAsia" w:hAnsiTheme="minorEastAsia"/>
        </w:rPr>
        <w:t>.1.2</w:t>
      </w:r>
      <w:r>
        <w:rPr>
          <w:rFonts w:asciiTheme="minorEastAsia" w:hAnsiTheme="minorEastAsia"/>
        </w:rPr>
        <w:t xml:space="preserve"> </w:t>
      </w:r>
      <w:r>
        <w:rPr>
          <w:rFonts w:ascii="宋体" w:hAnsi="宋体"/>
          <w:snapToGrid w:val="0"/>
        </w:rPr>
        <w:t>防扩散堵头</w:t>
      </w:r>
      <w:r>
        <w:rPr>
          <w:rFonts w:hint="eastAsia" w:asciiTheme="minorEastAsia" w:hAnsiTheme="minorEastAsia"/>
        </w:rPr>
        <w:t>：</w:t>
      </w:r>
      <w:r>
        <w:rPr>
          <w:rFonts w:hint="eastAsia" w:ascii="宋体" w:hAnsi="宋体"/>
          <w:snapToGrid w:val="0"/>
          <w:lang w:val="en-US" w:eastAsia="zh-CN"/>
        </w:rPr>
        <w:t>6</w:t>
      </w:r>
      <w:r>
        <w:rPr>
          <w:rFonts w:hint="eastAsia" w:ascii="宋体" w:hAnsi="宋体"/>
          <w:snapToGrid w:val="0"/>
        </w:rPr>
        <w:t>个</w:t>
      </w:r>
      <w:r>
        <w:rPr>
          <w:rFonts w:hint="eastAsia" w:asciiTheme="minorEastAsia" w:hAnsiTheme="minorEastAsia"/>
        </w:rPr>
        <w:t>；</w:t>
      </w:r>
    </w:p>
    <w:p w14:paraId="04DBB081">
      <w:pPr>
        <w:keepNext w:val="0"/>
        <w:pageBreakBefore w:val="0"/>
        <w:kinsoku/>
        <w:wordWrap/>
        <w:overflowPunct/>
        <w:topLinePunct w:val="0"/>
        <w:bidi w:val="0"/>
        <w:adjustRightInd w:val="0"/>
        <w:snapToGrid w:val="0"/>
        <w:spacing w:line="300" w:lineRule="auto"/>
        <w:jc w:val="both"/>
        <w:textAlignment w:val="auto"/>
        <w:rPr>
          <w:rFonts w:hint="eastAsia" w:ascii="宋体" w:hAnsi="宋体" w:cs="宋体"/>
          <w:sz w:val="24"/>
          <w:szCs w:val="24"/>
          <w:lang w:val="en-US" w:eastAsia="zh-CN"/>
        </w:rPr>
      </w:pPr>
      <w:r>
        <w:rPr>
          <w:rFonts w:asciiTheme="minorEastAsia" w:hAnsiTheme="minorEastAsia"/>
        </w:rPr>
        <w:t>4</w:t>
      </w:r>
      <w:r>
        <w:rPr>
          <w:rFonts w:hint="eastAsia" w:asciiTheme="minorEastAsia" w:hAnsiTheme="minorEastAsia"/>
        </w:rPr>
        <w:t>.1.</w:t>
      </w:r>
      <w:r>
        <w:rPr>
          <w:rFonts w:hint="eastAsia" w:asciiTheme="minorEastAsia" w:hAnsiTheme="minorEastAsia"/>
          <w:lang w:val="en-US" w:eastAsia="zh-CN"/>
        </w:rPr>
        <w:t>3</w:t>
      </w:r>
      <w:r>
        <w:rPr>
          <w:rFonts w:hint="eastAsia" w:ascii="宋体" w:hAnsi="宋体" w:cs="宋体"/>
          <w:sz w:val="24"/>
          <w:szCs w:val="24"/>
          <w:lang w:eastAsia="zh-CN"/>
        </w:rPr>
        <w:t>配套聚丙烯滴定杯</w:t>
      </w:r>
      <w:r>
        <w:rPr>
          <w:rFonts w:hint="eastAsia" w:ascii="宋体" w:hAnsi="宋体" w:cs="宋体"/>
          <w:sz w:val="24"/>
          <w:szCs w:val="24"/>
          <w:lang w:val="en-US" w:eastAsia="zh-CN"/>
        </w:rPr>
        <w:t>:100个</w:t>
      </w:r>
    </w:p>
    <w:p w14:paraId="7A2DAE1E">
      <w:pPr>
        <w:keepNext w:val="0"/>
        <w:pageBreakBefore w:val="0"/>
        <w:kinsoku/>
        <w:wordWrap/>
        <w:overflowPunct/>
        <w:topLinePunct w:val="0"/>
        <w:bidi w:val="0"/>
        <w:adjustRightInd w:val="0"/>
        <w:snapToGrid w:val="0"/>
        <w:spacing w:line="300" w:lineRule="auto"/>
        <w:jc w:val="both"/>
        <w:textAlignment w:val="auto"/>
        <w:rPr>
          <w:rFonts w:hint="default" w:asciiTheme="minorEastAsia" w:hAnsiTheme="minorEastAsia"/>
          <w:lang w:val="en-US" w:eastAsia="zh-CN"/>
        </w:rPr>
      </w:pPr>
      <w:r>
        <w:rPr>
          <w:rFonts w:asciiTheme="minorEastAsia" w:hAnsiTheme="minorEastAsia"/>
        </w:rPr>
        <w:t>4</w:t>
      </w:r>
      <w:r>
        <w:rPr>
          <w:rFonts w:hint="eastAsia" w:asciiTheme="minorEastAsia" w:hAnsiTheme="minorEastAsia"/>
        </w:rPr>
        <w:t>.1.</w:t>
      </w:r>
      <w:r>
        <w:rPr>
          <w:rFonts w:hint="eastAsia" w:asciiTheme="minorEastAsia" w:hAnsiTheme="minorEastAsia"/>
          <w:lang w:val="en-US" w:eastAsia="zh-CN"/>
        </w:rPr>
        <w:t>4同型号银电极：1支</w:t>
      </w:r>
    </w:p>
    <w:p w14:paraId="3DE490B1">
      <w:pPr>
        <w:keepNext w:val="0"/>
        <w:pageBreakBefore w:val="0"/>
        <w:kinsoku/>
        <w:wordWrap/>
        <w:overflowPunct/>
        <w:topLinePunct w:val="0"/>
        <w:bidi w:val="0"/>
        <w:adjustRightInd w:val="0"/>
        <w:snapToGrid w:val="0"/>
        <w:spacing w:line="300" w:lineRule="auto"/>
        <w:jc w:val="both"/>
        <w:textAlignment w:val="auto"/>
        <w:rPr>
          <w:rFonts w:hint="default" w:asciiTheme="minorEastAsia" w:hAnsiTheme="minorEastAsia"/>
          <w:lang w:val="en-US" w:eastAsia="zh-CN"/>
        </w:rPr>
      </w:pPr>
      <w:r>
        <w:rPr>
          <w:rFonts w:asciiTheme="minorEastAsia" w:hAnsiTheme="minorEastAsia"/>
        </w:rPr>
        <w:t>4</w:t>
      </w:r>
      <w:r>
        <w:rPr>
          <w:rFonts w:hint="eastAsia" w:asciiTheme="minorEastAsia" w:hAnsiTheme="minorEastAsia"/>
        </w:rPr>
        <w:t>.1.</w:t>
      </w:r>
      <w:r>
        <w:rPr>
          <w:rFonts w:hint="eastAsia" w:asciiTheme="minorEastAsia" w:hAnsiTheme="minorEastAsia"/>
          <w:lang w:val="en-US" w:eastAsia="zh-CN"/>
        </w:rPr>
        <w:t>5同型号PH电极:1支</w:t>
      </w:r>
    </w:p>
    <w:p w14:paraId="142CC94A">
      <w:pPr>
        <w:keepNext w:val="0"/>
        <w:pageBreakBefore w:val="0"/>
        <w:kinsoku/>
        <w:wordWrap/>
        <w:overflowPunct/>
        <w:topLinePunct w:val="0"/>
        <w:bidi w:val="0"/>
        <w:adjustRightInd w:val="0"/>
        <w:snapToGrid w:val="0"/>
        <w:spacing w:line="300" w:lineRule="auto"/>
        <w:jc w:val="both"/>
        <w:textAlignment w:val="auto"/>
        <w:rPr>
          <w:rFonts w:cs="宋体" w:asciiTheme="minorEastAsia" w:hAnsiTheme="minorEastAsia"/>
        </w:rPr>
      </w:pPr>
      <w:r>
        <w:rPr>
          <w:rFonts w:cs="宋体" w:asciiTheme="minorEastAsia" w:hAnsiTheme="minorEastAsia"/>
        </w:rPr>
        <w:t>4</w:t>
      </w:r>
      <w:r>
        <w:rPr>
          <w:rFonts w:hint="eastAsia" w:cs="宋体" w:asciiTheme="minorEastAsia" w:hAnsiTheme="minorEastAsia"/>
        </w:rPr>
        <w:t>.2 其它备件</w:t>
      </w:r>
      <w:r>
        <w:rPr>
          <w:rFonts w:hint="eastAsia" w:asciiTheme="minorEastAsia" w:hAnsiTheme="minorEastAsia"/>
        </w:rPr>
        <w:t>：</w:t>
      </w:r>
    </w:p>
    <w:p w14:paraId="34CBAE72">
      <w:pPr>
        <w:keepNext w:val="0"/>
        <w:pageBreakBefore w:val="0"/>
        <w:kinsoku/>
        <w:wordWrap/>
        <w:overflowPunct/>
        <w:topLinePunct w:val="0"/>
        <w:bidi w:val="0"/>
        <w:adjustRightInd w:val="0"/>
        <w:snapToGrid w:val="0"/>
        <w:spacing w:line="300" w:lineRule="auto"/>
        <w:jc w:val="both"/>
        <w:textAlignment w:val="auto"/>
        <w:rPr>
          <w:rFonts w:cs="宋体" w:asciiTheme="minorEastAsia" w:hAnsiTheme="minorEastAsia"/>
        </w:rPr>
      </w:pPr>
      <w:r>
        <w:rPr>
          <w:rFonts w:cs="宋体" w:asciiTheme="minorEastAsia" w:hAnsiTheme="minorEastAsia"/>
        </w:rPr>
        <w:t>4</w:t>
      </w:r>
      <w:r>
        <w:rPr>
          <w:rFonts w:hint="eastAsia" w:cs="宋体" w:asciiTheme="minorEastAsia" w:hAnsiTheme="minorEastAsia"/>
        </w:rPr>
        <w:t xml:space="preserve">.2.1 </w:t>
      </w:r>
      <w:r>
        <w:rPr>
          <w:rFonts w:cs="宋体" w:asciiTheme="minorEastAsia" w:hAnsiTheme="minorEastAsia"/>
        </w:rPr>
        <w:t>其他</w:t>
      </w:r>
      <w:r>
        <w:rPr>
          <w:rFonts w:hint="eastAsia" w:cs="宋体" w:asciiTheme="minorEastAsia" w:hAnsiTheme="minorEastAsia"/>
        </w:rPr>
        <w:t>易损件及耗品满足两年用量；</w:t>
      </w:r>
    </w:p>
    <w:p w14:paraId="729545DD">
      <w:pPr>
        <w:keepNext w:val="0"/>
        <w:pageBreakBefore w:val="0"/>
        <w:kinsoku/>
        <w:wordWrap/>
        <w:overflowPunct/>
        <w:topLinePunct w:val="0"/>
        <w:bidi w:val="0"/>
        <w:adjustRightInd w:val="0"/>
        <w:snapToGrid w:val="0"/>
        <w:spacing w:line="300" w:lineRule="auto"/>
        <w:jc w:val="both"/>
        <w:textAlignment w:val="auto"/>
        <w:rPr>
          <w:rFonts w:hint="eastAsia" w:cs="宋体" w:asciiTheme="minorEastAsia" w:hAnsiTheme="minorEastAsia"/>
        </w:rPr>
      </w:pPr>
      <w:r>
        <w:rPr>
          <w:rFonts w:cs="宋体" w:asciiTheme="minorEastAsia" w:hAnsiTheme="minorEastAsia"/>
        </w:rPr>
        <w:t>4</w:t>
      </w:r>
      <w:r>
        <w:rPr>
          <w:rFonts w:hint="eastAsia" w:cs="宋体" w:asciiTheme="minorEastAsia" w:hAnsiTheme="minorEastAsia"/>
        </w:rPr>
        <w:t>.2.2 仪器配套的工具包一套；</w:t>
      </w:r>
    </w:p>
    <w:p w14:paraId="3C3AD70C">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hint="eastAsia" w:asciiTheme="minorEastAsia" w:hAnsiTheme="minorEastAsia"/>
          <w:b/>
        </w:rPr>
        <w:t>5.电脑配置</w:t>
      </w:r>
    </w:p>
    <w:p w14:paraId="5FAB7AA8">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5</w:t>
      </w:r>
      <w:r>
        <w:rPr>
          <w:rFonts w:asciiTheme="minorEastAsia" w:hAnsiTheme="minorEastAsia"/>
        </w:rPr>
        <w:t xml:space="preserve">.1 </w:t>
      </w:r>
      <w:r>
        <w:rPr>
          <w:rFonts w:hint="eastAsia" w:asciiTheme="minorEastAsia" w:hAnsiTheme="minorEastAsia"/>
        </w:rPr>
        <w:t xml:space="preserve">整机品牌商用台式电脑；配置不低于：CPU  </w:t>
      </w:r>
      <w:r>
        <w:rPr>
          <w:rFonts w:asciiTheme="minorEastAsia" w:hAnsiTheme="minorEastAsia"/>
        </w:rPr>
        <w:t>intel</w:t>
      </w:r>
      <w:r>
        <w:rPr>
          <w:rFonts w:hint="eastAsia" w:asciiTheme="minorEastAsia" w:hAnsiTheme="minorEastAsia"/>
        </w:rPr>
        <w:t>十四代</w:t>
      </w:r>
      <w:r>
        <w:rPr>
          <w:rFonts w:asciiTheme="minorEastAsia" w:hAnsiTheme="minorEastAsia"/>
        </w:rPr>
        <w:t>i7</w:t>
      </w:r>
      <w:r>
        <w:rPr>
          <w:rFonts w:hint="eastAsia" w:asciiTheme="minorEastAsia" w:hAnsiTheme="minorEastAsia"/>
        </w:rPr>
        <w:t xml:space="preserve"> 1</w:t>
      </w:r>
      <w:r>
        <w:rPr>
          <w:rFonts w:asciiTheme="minorEastAsia" w:hAnsiTheme="minorEastAsia"/>
        </w:rPr>
        <w:t>4</w:t>
      </w:r>
      <w:r>
        <w:rPr>
          <w:rFonts w:hint="eastAsia" w:asciiTheme="minorEastAsia" w:hAnsiTheme="minorEastAsia"/>
        </w:rPr>
        <w:t>700；</w:t>
      </w:r>
      <w:r>
        <w:rPr>
          <w:rFonts w:asciiTheme="minorEastAsia" w:hAnsiTheme="minorEastAsia"/>
        </w:rPr>
        <w:t>512</w:t>
      </w:r>
      <w:r>
        <w:rPr>
          <w:rFonts w:hint="eastAsia" w:asciiTheme="minorEastAsia" w:hAnsiTheme="minorEastAsia"/>
        </w:rPr>
        <w:t>SSD</w:t>
      </w:r>
      <w:r>
        <w:rPr>
          <w:rFonts w:asciiTheme="minorEastAsia" w:hAnsiTheme="minorEastAsia"/>
        </w:rPr>
        <w:t>+</w:t>
      </w:r>
      <w:r>
        <w:rPr>
          <w:rFonts w:hint="eastAsia" w:asciiTheme="minorEastAsia" w:hAnsiTheme="minorEastAsia"/>
        </w:rPr>
        <w:t>1T的硬盘；32G</w:t>
      </w:r>
      <w:r>
        <w:rPr>
          <w:rFonts w:asciiTheme="minorEastAsia" w:hAnsiTheme="minorEastAsia"/>
        </w:rPr>
        <w:t xml:space="preserve"> </w:t>
      </w:r>
      <w:r>
        <w:rPr>
          <w:rFonts w:hint="eastAsia" w:asciiTheme="minorEastAsia" w:hAnsiTheme="minorEastAsia"/>
        </w:rPr>
        <w:t>D</w:t>
      </w:r>
      <w:r>
        <w:rPr>
          <w:rFonts w:asciiTheme="minorEastAsia" w:hAnsiTheme="minorEastAsia"/>
        </w:rPr>
        <w:t>DR5</w:t>
      </w:r>
      <w:r>
        <w:rPr>
          <w:rFonts w:hint="eastAsia" w:asciiTheme="minorEastAsia" w:hAnsiTheme="minorEastAsia"/>
        </w:rPr>
        <w:t>内存；</w:t>
      </w:r>
      <w:r>
        <w:rPr>
          <w:rFonts w:hint="eastAsia" w:asciiTheme="minorEastAsia" w:hAnsiTheme="minorEastAsia"/>
          <w:lang w:val="en-US" w:eastAsia="zh-CN"/>
        </w:rPr>
        <w:t>同品牌</w:t>
      </w:r>
      <w:r>
        <w:rPr>
          <w:rFonts w:asciiTheme="minorEastAsia" w:hAnsiTheme="minorEastAsia"/>
        </w:rPr>
        <w:t>23</w:t>
      </w:r>
      <w:r>
        <w:rPr>
          <w:rFonts w:hint="eastAsia" w:asciiTheme="minorEastAsia" w:hAnsiTheme="minorEastAsia"/>
        </w:rPr>
        <w:t>寸宽屏液晶显示器；独立显卡4G；100/1000Mbps有线及无线双网卡；光驱；标准鼠标和键盘。机箱容积不小于17L</w:t>
      </w:r>
      <w:r>
        <w:rPr>
          <w:rFonts w:hint="eastAsia" w:ascii="宋体" w:hAnsi="宋体" w:cs="宋体"/>
          <w:color w:val="000000" w:themeColor="text1"/>
          <w:sz w:val="24"/>
          <w:szCs w:val="24"/>
          <w:highlight w:val="none"/>
          <w:lang w:val="de-DE" w:eastAsia="zh-CN"/>
          <w14:textFill>
            <w14:solidFill>
              <w14:schemeClr w14:val="tx1"/>
            </w14:solidFill>
          </w14:textFill>
        </w:rPr>
        <w:t>并带机箱散热风扇</w:t>
      </w:r>
      <w:r>
        <w:rPr>
          <w:rFonts w:hint="eastAsia" w:asciiTheme="minorEastAsia" w:hAnsiTheme="minorEastAsia"/>
        </w:rPr>
        <w:t>。有满足与仪器联接的接口。若仪器与计算机以LAN接口通讯，则电脑主机需带2个网卡。预装正版Windows 11专业版64位操作系统和应用软件。</w:t>
      </w:r>
    </w:p>
    <w:p w14:paraId="424AED76">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5</w:t>
      </w:r>
      <w:r>
        <w:rPr>
          <w:rFonts w:asciiTheme="minorEastAsia" w:hAnsiTheme="minorEastAsia"/>
        </w:rPr>
        <w:t xml:space="preserve">.2 </w:t>
      </w:r>
      <w:r>
        <w:rPr>
          <w:rFonts w:hint="eastAsia" w:asciiTheme="minorEastAsia" w:hAnsiTheme="minorEastAsia"/>
        </w:rPr>
        <w:t>配置五口千兆钢壳交换机1台及5米CAT6类RJ45网线2条。</w:t>
      </w:r>
    </w:p>
    <w:p w14:paraId="52294E8B">
      <w:pPr>
        <w:keepNext w:val="0"/>
        <w:pageBreakBefore w:val="0"/>
        <w:kinsoku/>
        <w:wordWrap/>
        <w:overflowPunct/>
        <w:topLinePunct w:val="0"/>
        <w:bidi w:val="0"/>
        <w:adjustRightInd w:val="0"/>
        <w:snapToGrid w:val="0"/>
        <w:spacing w:line="300" w:lineRule="auto"/>
        <w:jc w:val="both"/>
        <w:textAlignment w:val="auto"/>
        <w:rPr>
          <w:rFonts w:ascii="宋体" w:hAnsi="宋体"/>
          <w:b/>
        </w:rPr>
      </w:pPr>
      <w:r>
        <w:rPr>
          <w:rFonts w:hint="eastAsia" w:ascii="宋体" w:hAnsi="宋体"/>
          <w:b/>
          <w:lang w:val="en-US" w:eastAsia="zh-CN"/>
        </w:rPr>
        <w:t>6</w:t>
      </w:r>
      <w:r>
        <w:rPr>
          <w:rFonts w:hint="eastAsia" w:ascii="宋体" w:hAnsi="宋体"/>
          <w:b/>
        </w:rPr>
        <w:t>.业绩证明</w:t>
      </w:r>
    </w:p>
    <w:p w14:paraId="2B4B8161">
      <w:pPr>
        <w:keepNext w:val="0"/>
        <w:pageBreakBefore w:val="0"/>
        <w:kinsoku/>
        <w:wordWrap/>
        <w:overflowPunct/>
        <w:topLinePunct w:val="0"/>
        <w:bidi w:val="0"/>
        <w:spacing w:line="300" w:lineRule="auto"/>
        <w:jc w:val="both"/>
        <w:textAlignment w:val="auto"/>
        <w:rPr>
          <w:rFonts w:hint="eastAsia" w:ascii="宋体" w:hAnsi="宋体" w:eastAsia="宋体" w:cs="Arial"/>
          <w:b/>
          <w:bCs/>
          <w:color w:val="C00000"/>
          <w:sz w:val="24"/>
          <w:szCs w:val="24"/>
          <w:lang w:val="en-US" w:eastAsia="zh-CN"/>
        </w:rPr>
      </w:pPr>
      <w:r>
        <w:rPr>
          <w:rFonts w:hint="eastAsia" w:asciiTheme="minorEastAsia" w:hAnsiTheme="minorEastAsia"/>
          <w:sz w:val="24"/>
          <w:szCs w:val="24"/>
          <w:lang w:val="en-US" w:eastAsia="zh-CN"/>
        </w:rPr>
        <w:t>自2022年1月1日起至今该投标型号仪器在国内相关化工行业实验室业绩，单个合同≥5台业绩至少5个，并标明设备名称、数量、用户名称、相关联系人及电话号码，并提供业绩证明(证明其销售业绩的合同复印件，并由投标人代表签字或盖章)。</w:t>
      </w:r>
    </w:p>
    <w:p w14:paraId="69821E39">
      <w:pPr>
        <w:keepNext w:val="0"/>
        <w:pageBreakBefore w:val="0"/>
        <w:kinsoku/>
        <w:wordWrap/>
        <w:overflowPunct/>
        <w:topLinePunct w:val="0"/>
        <w:bidi w:val="0"/>
        <w:spacing w:line="300" w:lineRule="auto"/>
        <w:jc w:val="both"/>
        <w:textAlignment w:val="auto"/>
        <w:rPr>
          <w:rFonts w:hint="eastAsia" w:ascii="宋体" w:hAnsi="宋体" w:eastAsia="宋体" w:cs="Arial"/>
          <w:b/>
          <w:bCs/>
          <w:color w:val="C00000"/>
          <w:sz w:val="24"/>
          <w:szCs w:val="24"/>
        </w:rPr>
      </w:pPr>
      <w:r>
        <w:rPr>
          <w:rFonts w:hint="eastAsia" w:ascii="宋体" w:hAnsi="宋体" w:eastAsia="宋体" w:cs="Arial"/>
          <w:b/>
          <w:bCs/>
          <w:color w:val="C00000"/>
          <w:sz w:val="24"/>
          <w:szCs w:val="24"/>
          <w:lang w:val="en-US" w:eastAsia="zh-CN"/>
        </w:rPr>
        <w:t>五</w:t>
      </w:r>
      <w:r>
        <w:rPr>
          <w:rFonts w:hint="eastAsia" w:ascii="宋体" w:hAnsi="宋体" w:eastAsia="宋体" w:cs="Arial"/>
          <w:b/>
          <w:bCs/>
          <w:color w:val="C00000"/>
          <w:sz w:val="24"/>
          <w:szCs w:val="24"/>
        </w:rPr>
        <w:t>、</w:t>
      </w:r>
      <w:r>
        <w:rPr>
          <w:rFonts w:hint="eastAsia" w:ascii="宋体" w:hAnsi="宋体" w:eastAsia="宋体" w:cs="Arial"/>
          <w:b/>
          <w:bCs/>
          <w:color w:val="C00000"/>
          <w:sz w:val="24"/>
          <w:szCs w:val="24"/>
          <w:lang w:val="en-US" w:eastAsia="zh-CN"/>
        </w:rPr>
        <w:t>总氮</w:t>
      </w:r>
      <w:r>
        <w:rPr>
          <w:rFonts w:hint="eastAsia" w:ascii="宋体" w:hAnsi="宋体" w:eastAsia="宋体" w:cs="Arial"/>
          <w:b/>
          <w:bCs/>
          <w:color w:val="C00000"/>
          <w:sz w:val="24"/>
          <w:szCs w:val="24"/>
        </w:rPr>
        <w:t>气相分子吸收光谱仪(1台)</w:t>
      </w:r>
    </w:p>
    <w:p w14:paraId="765B21B3">
      <w:pPr>
        <w:keepNext w:val="0"/>
        <w:pageBreakBefore w:val="0"/>
        <w:kinsoku/>
        <w:wordWrap/>
        <w:overflowPunct/>
        <w:topLinePunct w:val="0"/>
        <w:bidi w:val="0"/>
        <w:spacing w:line="300" w:lineRule="auto"/>
        <w:jc w:val="both"/>
        <w:textAlignment w:val="auto"/>
        <w:rPr>
          <w:rFonts w:ascii="宋体" w:hAnsi="宋体"/>
          <w:b/>
        </w:rPr>
      </w:pPr>
      <w:r>
        <w:rPr>
          <w:rFonts w:hint="eastAsia" w:ascii="宋体" w:hAnsi="宋体"/>
          <w:b/>
        </w:rPr>
        <w:t>1、仪器技术指标和性能特点要求</w:t>
      </w:r>
    </w:p>
    <w:p w14:paraId="758A5C39">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b/>
          <w:color w:val="auto"/>
        </w:rPr>
        <w:t>1</w:t>
      </w:r>
      <w:r>
        <w:rPr>
          <w:rFonts w:ascii="宋体" w:hAnsi="宋体"/>
          <w:b/>
          <w:color w:val="auto"/>
        </w:rPr>
        <w:t>.1</w:t>
      </w:r>
      <w:r>
        <w:rPr>
          <w:rFonts w:hint="eastAsia" w:ascii="宋体" w:hAnsi="宋体"/>
        </w:rPr>
        <w:t>仪器性能满足《GB/T 42027-2022气相分子吸收光谱仪》、《</w:t>
      </w:r>
      <w:r>
        <w:rPr>
          <w:rFonts w:ascii="宋体" w:hAnsi="宋体"/>
        </w:rPr>
        <w:t xml:space="preserve">HJ200-2023 </w:t>
      </w:r>
      <w:r>
        <w:rPr>
          <w:rFonts w:hint="eastAsia" w:ascii="宋体" w:hAnsi="宋体"/>
        </w:rPr>
        <w:t>水质硫化物的测定</w:t>
      </w:r>
      <w:r>
        <w:rPr>
          <w:rFonts w:ascii="宋体" w:hAnsi="宋体"/>
        </w:rPr>
        <w:t xml:space="preserve"> </w:t>
      </w:r>
      <w:r>
        <w:rPr>
          <w:rFonts w:hint="eastAsia" w:ascii="宋体" w:hAnsi="宋体"/>
        </w:rPr>
        <w:t>气相分子吸收光谱法</w:t>
      </w:r>
      <w:r>
        <w:rPr>
          <w:rFonts w:ascii="宋体" w:hAnsi="宋体"/>
        </w:rPr>
        <w:t xml:space="preserve"> </w:t>
      </w:r>
      <w:r>
        <w:rPr>
          <w:rFonts w:hint="eastAsia" w:ascii="宋体" w:hAnsi="宋体"/>
        </w:rPr>
        <w:t>》、《</w:t>
      </w:r>
      <w:r>
        <w:rPr>
          <w:rFonts w:ascii="宋体" w:hAnsi="宋体"/>
        </w:rPr>
        <w:t>HJ</w:t>
      </w:r>
      <w:r>
        <w:rPr>
          <w:rFonts w:hint="eastAsia" w:ascii="宋体" w:hAnsi="宋体"/>
        </w:rPr>
        <w:t>195</w:t>
      </w:r>
      <w:r>
        <w:rPr>
          <w:rFonts w:ascii="宋体" w:hAnsi="宋体"/>
        </w:rPr>
        <w:t xml:space="preserve">-2023 </w:t>
      </w:r>
      <w:r>
        <w:rPr>
          <w:rFonts w:hint="eastAsia" w:ascii="宋体" w:hAnsi="宋体"/>
        </w:rPr>
        <w:t>水质 氨氮的测定</w:t>
      </w:r>
      <w:r>
        <w:rPr>
          <w:rFonts w:ascii="宋体" w:hAnsi="宋体"/>
        </w:rPr>
        <w:t xml:space="preserve"> </w:t>
      </w:r>
      <w:r>
        <w:rPr>
          <w:rFonts w:hint="eastAsia" w:ascii="宋体" w:hAnsi="宋体"/>
        </w:rPr>
        <w:t>气相分子吸收光谱法》、《</w:t>
      </w:r>
      <w:r>
        <w:rPr>
          <w:rFonts w:ascii="宋体" w:hAnsi="宋体"/>
        </w:rPr>
        <w:t>HJ</w:t>
      </w:r>
      <w:r>
        <w:rPr>
          <w:rFonts w:hint="eastAsia" w:ascii="宋体" w:hAnsi="宋体"/>
        </w:rPr>
        <w:t>197</w:t>
      </w:r>
      <w:r>
        <w:rPr>
          <w:rFonts w:ascii="宋体" w:hAnsi="宋体"/>
        </w:rPr>
        <w:t>-20</w:t>
      </w:r>
      <w:r>
        <w:rPr>
          <w:rFonts w:hint="eastAsia" w:ascii="宋体" w:hAnsi="宋体"/>
        </w:rPr>
        <w:t>05</w:t>
      </w:r>
      <w:r>
        <w:rPr>
          <w:rFonts w:ascii="宋体" w:hAnsi="宋体"/>
        </w:rPr>
        <w:t xml:space="preserve"> </w:t>
      </w:r>
      <w:r>
        <w:rPr>
          <w:rFonts w:hint="eastAsia" w:ascii="宋体" w:hAnsi="宋体"/>
        </w:rPr>
        <w:t>水质 亚硝酸盐氮的测定 气相分子吸收光谱法》、《</w:t>
      </w:r>
      <w:r>
        <w:rPr>
          <w:rFonts w:ascii="宋体" w:hAnsi="宋体"/>
        </w:rPr>
        <w:t>HJ</w:t>
      </w:r>
      <w:r>
        <w:rPr>
          <w:rFonts w:hint="eastAsia" w:ascii="宋体" w:hAnsi="宋体"/>
        </w:rPr>
        <w:t>198</w:t>
      </w:r>
      <w:r>
        <w:rPr>
          <w:rFonts w:ascii="宋体" w:hAnsi="宋体"/>
        </w:rPr>
        <w:t>-20</w:t>
      </w:r>
      <w:r>
        <w:rPr>
          <w:rFonts w:hint="eastAsia" w:ascii="宋体" w:hAnsi="宋体"/>
        </w:rPr>
        <w:t>05</w:t>
      </w:r>
      <w:r>
        <w:rPr>
          <w:rFonts w:ascii="宋体" w:hAnsi="宋体"/>
        </w:rPr>
        <w:t xml:space="preserve"> </w:t>
      </w:r>
      <w:r>
        <w:rPr>
          <w:rFonts w:hint="eastAsia" w:ascii="宋体" w:hAnsi="宋体"/>
        </w:rPr>
        <w:t>水质 硝酸盐氮的测定 气相分子吸收光谱法》、《</w:t>
      </w:r>
      <w:r>
        <w:rPr>
          <w:rFonts w:ascii="宋体" w:hAnsi="宋体"/>
        </w:rPr>
        <w:t>HJ</w:t>
      </w:r>
      <w:r>
        <w:rPr>
          <w:rFonts w:hint="eastAsia" w:ascii="宋体" w:hAnsi="宋体"/>
        </w:rPr>
        <w:t>199</w:t>
      </w:r>
      <w:r>
        <w:rPr>
          <w:rFonts w:ascii="宋体" w:hAnsi="宋体"/>
        </w:rPr>
        <w:t>-20</w:t>
      </w:r>
      <w:r>
        <w:rPr>
          <w:rFonts w:hint="eastAsia" w:ascii="宋体" w:hAnsi="宋体"/>
        </w:rPr>
        <w:t>23</w:t>
      </w:r>
      <w:r>
        <w:rPr>
          <w:rFonts w:ascii="宋体" w:hAnsi="宋体"/>
        </w:rPr>
        <w:t xml:space="preserve"> </w:t>
      </w:r>
      <w:r>
        <w:rPr>
          <w:rFonts w:hint="eastAsia" w:ascii="宋体" w:hAnsi="宋体"/>
        </w:rPr>
        <w:t>水质　总氮的测定　气相分子吸收光谱法》方法要求；满足水中硫化物（</w:t>
      </w:r>
      <w:r>
        <w:rPr>
          <w:rFonts w:ascii="宋体" w:hAnsi="宋体"/>
        </w:rPr>
        <w:t>0.02mg/L～2mg/L）、氨氮（0.08mg/L～2mg/L）、硝酸盐氮（0.06mg/L～2mg/L）、亚硝酸盐氮（0.01mg/L～2mg/L）、总氮（0.20mg/L～2mg/L）的直接测定；</w:t>
      </w:r>
    </w:p>
    <w:p w14:paraId="568A4F6D">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asciiTheme="minorEastAsia" w:hAnsiTheme="minorEastAsia"/>
          <w:b/>
        </w:rPr>
        <w:t>1.</w:t>
      </w:r>
      <w:r>
        <w:rPr>
          <w:rFonts w:hint="eastAsia" w:asciiTheme="minorEastAsia" w:hAnsiTheme="minorEastAsia"/>
          <w:b/>
        </w:rPr>
        <w:t>2</w:t>
      </w:r>
      <w:r>
        <w:rPr>
          <w:rFonts w:asciiTheme="minorEastAsia" w:hAnsiTheme="minorEastAsia"/>
          <w:b/>
        </w:rPr>
        <w:t xml:space="preserve"> </w:t>
      </w:r>
      <w:r>
        <w:rPr>
          <w:rFonts w:hint="eastAsia" w:asciiTheme="minorEastAsia" w:hAnsiTheme="minorEastAsia"/>
          <w:b/>
        </w:rPr>
        <w:t>安装条件要求：</w:t>
      </w:r>
    </w:p>
    <w:p w14:paraId="4603D963">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1.2.1电源符合要求：</w:t>
      </w:r>
      <w:r>
        <w:rPr>
          <w:rFonts w:asciiTheme="minorEastAsia" w:hAnsiTheme="minorEastAsia"/>
        </w:rPr>
        <w:t>220V，50Hz电源，±5%</w:t>
      </w:r>
    </w:p>
    <w:p w14:paraId="4F940214">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1.2.2适用环境温度要求：</w:t>
      </w:r>
      <w:r>
        <w:rPr>
          <w:rFonts w:asciiTheme="minorEastAsia" w:hAnsiTheme="minorEastAsia"/>
        </w:rPr>
        <w:t>15˚C</w:t>
      </w:r>
      <w:r>
        <w:rPr>
          <w:rFonts w:hint="eastAsia" w:asciiTheme="minorEastAsia" w:hAnsiTheme="minorEastAsia"/>
        </w:rPr>
        <w:t>～</w:t>
      </w:r>
      <w:r>
        <w:rPr>
          <w:rFonts w:asciiTheme="minorEastAsia" w:hAnsiTheme="minorEastAsia"/>
        </w:rPr>
        <w:t>35˚C</w:t>
      </w:r>
    </w:p>
    <w:p w14:paraId="15061797">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1.2.3适用环境湿度要求：</w:t>
      </w:r>
      <w:r>
        <w:rPr>
          <w:rFonts w:asciiTheme="minorEastAsia" w:hAnsiTheme="minorEastAsia"/>
        </w:rPr>
        <w:t>20%～80%</w:t>
      </w:r>
    </w:p>
    <w:p w14:paraId="02C8E0F6">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1.2.4气源：空气或氮气</w:t>
      </w:r>
    </w:p>
    <w:p w14:paraId="2DE4279D">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asciiTheme="minorEastAsia" w:hAnsiTheme="minorEastAsia"/>
          <w:b/>
        </w:rPr>
        <w:t>1.</w:t>
      </w:r>
      <w:r>
        <w:rPr>
          <w:rFonts w:hint="eastAsia" w:asciiTheme="minorEastAsia" w:hAnsiTheme="minorEastAsia"/>
          <w:b/>
        </w:rPr>
        <w:t>3</w:t>
      </w:r>
      <w:r>
        <w:rPr>
          <w:rFonts w:asciiTheme="minorEastAsia" w:hAnsiTheme="minorEastAsia"/>
          <w:b/>
        </w:rPr>
        <w:t xml:space="preserve"> </w:t>
      </w:r>
      <w:r>
        <w:rPr>
          <w:rFonts w:hint="eastAsia" w:asciiTheme="minorEastAsia" w:hAnsiTheme="minorEastAsia"/>
          <w:b/>
        </w:rPr>
        <w:t>主机及整体性能</w:t>
      </w:r>
    </w:p>
    <w:p w14:paraId="454E48B1">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Theme="minorEastAsia" w:hAnsiTheme="minorEastAsia"/>
          <w:b/>
        </w:rPr>
        <w:t>1.3.1主机：</w:t>
      </w:r>
      <w:r>
        <w:rPr>
          <w:rFonts w:hint="eastAsia" w:asciiTheme="minorEastAsia" w:hAnsiTheme="minorEastAsia"/>
        </w:rPr>
        <w:t>主要含光学系统、自动除水系统、载气及控制</w:t>
      </w:r>
      <w:r>
        <w:rPr>
          <w:rFonts w:asciiTheme="minorEastAsia" w:hAnsiTheme="minorEastAsia"/>
        </w:rPr>
        <w:t>/电子压力报警系统、自动</w:t>
      </w:r>
      <w:r>
        <w:rPr>
          <w:rFonts w:hint="eastAsia" w:asciiTheme="minorEastAsia" w:hAnsiTheme="minorEastAsia"/>
        </w:rPr>
        <w:t>进样盘</w:t>
      </w:r>
      <w:r>
        <w:rPr>
          <w:rFonts w:asciiTheme="minorEastAsia" w:hAnsiTheme="minorEastAsia"/>
        </w:rPr>
        <w:t>/流动注射进样系统、在线加热系统、氨氮快速氧化装置、总氮在线消解模块、工作站、</w:t>
      </w:r>
      <w:r>
        <w:rPr>
          <w:rFonts w:hint="eastAsia" w:asciiTheme="minorEastAsia" w:hAnsiTheme="minorEastAsia"/>
        </w:rPr>
        <w:t>带稀释</w:t>
      </w:r>
      <w:r>
        <w:rPr>
          <w:rFonts w:hint="eastAsia" w:ascii="宋体" w:hAnsi="宋体"/>
        </w:rPr>
        <w:t>功能自动进样器、</w:t>
      </w:r>
      <w:r>
        <w:rPr>
          <w:rFonts w:hint="eastAsia" w:asciiTheme="minorEastAsia" w:hAnsiTheme="minorEastAsia"/>
        </w:rPr>
        <w:t>自动稀释制作工作曲线。</w:t>
      </w:r>
    </w:p>
    <w:p w14:paraId="2FB41AEB">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1.3.1.1主要用途：可用于测定水中硫化物、氨氮、硝酸盐氮、亚硝酸盐氮、总氮，无需前处理即可直接分析浑浊和有颜色的样品；</w:t>
      </w:r>
    </w:p>
    <w:p w14:paraId="374FEE39">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1.3.1.2产品要求：仪器采用模块化设计，紧凑、牢固，便于后期的升级和维护。</w:t>
      </w:r>
    </w:p>
    <w:p w14:paraId="26D88232">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1.3.1.3操作软件：具有自检功能</w:t>
      </w:r>
      <w:r>
        <w:rPr>
          <w:rFonts w:asciiTheme="minorEastAsia" w:hAnsiTheme="minorEastAsia"/>
        </w:rPr>
        <w:t xml:space="preserve">: </w:t>
      </w:r>
      <w:r>
        <w:rPr>
          <w:rFonts w:hint="eastAsia" w:asciiTheme="minorEastAsia" w:hAnsiTheme="minorEastAsia"/>
        </w:rPr>
        <w:t>测定前仪器自动检测通讯口、波长、狭缝及灯位置等。软件具有反控功能，由软件直接设置仪器测试波长，泵转数，进样时间等测试条件，数据可对接实验室</w:t>
      </w:r>
      <w:r>
        <w:rPr>
          <w:rFonts w:asciiTheme="minorEastAsia" w:hAnsiTheme="minorEastAsia"/>
        </w:rPr>
        <w:t>lims</w:t>
      </w:r>
      <w:r>
        <w:rPr>
          <w:rFonts w:hint="eastAsia" w:asciiTheme="minorEastAsia" w:hAnsiTheme="minorEastAsia"/>
        </w:rPr>
        <w:t>系统；</w:t>
      </w:r>
    </w:p>
    <w:p w14:paraId="1B495908">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1.3.1.4分析试剂：非专用试剂，可市场购得</w:t>
      </w:r>
      <w:r>
        <w:rPr>
          <w:rFonts w:asciiTheme="minorEastAsia" w:hAnsiTheme="minorEastAsia"/>
        </w:rPr>
        <w:t>AR、GR试剂。</w:t>
      </w:r>
    </w:p>
    <w:p w14:paraId="09B6C1E5">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asciiTheme="minorEastAsia" w:hAnsiTheme="minorEastAsia"/>
          <w:b/>
        </w:rPr>
        <w:t>1.</w:t>
      </w:r>
      <w:r>
        <w:rPr>
          <w:rFonts w:hint="eastAsia" w:asciiTheme="minorEastAsia" w:hAnsiTheme="minorEastAsia"/>
          <w:b/>
        </w:rPr>
        <w:t>3</w:t>
      </w:r>
      <w:r>
        <w:rPr>
          <w:rFonts w:asciiTheme="minorEastAsia" w:hAnsiTheme="minorEastAsia"/>
          <w:b/>
        </w:rPr>
        <w:t>.</w:t>
      </w:r>
      <w:r>
        <w:rPr>
          <w:rFonts w:hint="eastAsia" w:asciiTheme="minorEastAsia" w:hAnsiTheme="minorEastAsia"/>
          <w:b/>
        </w:rPr>
        <w:t>2</w:t>
      </w:r>
      <w:r>
        <w:rPr>
          <w:rFonts w:asciiTheme="minorEastAsia" w:hAnsiTheme="minorEastAsia"/>
          <w:b/>
        </w:rPr>
        <w:t xml:space="preserve"> </w:t>
      </w:r>
      <w:r>
        <w:rPr>
          <w:rFonts w:hint="eastAsia" w:asciiTheme="minorEastAsia" w:hAnsiTheme="minorEastAsia"/>
          <w:b/>
        </w:rPr>
        <w:t>光学系统：</w:t>
      </w:r>
    </w:p>
    <w:p w14:paraId="66521957">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rPr>
      </w:pPr>
      <w:r>
        <w:rPr>
          <w:rFonts w:hint="eastAsia" w:asciiTheme="minorEastAsia" w:hAnsiTheme="minorEastAsia"/>
        </w:rPr>
        <w:t>1.3.2.1光源：氘灯</w:t>
      </w:r>
      <w:r>
        <w:rPr>
          <w:rFonts w:asciiTheme="minorEastAsia" w:hAnsiTheme="minorEastAsia"/>
        </w:rPr>
        <w:t>/锌空心阴极灯</w:t>
      </w:r>
      <w:r>
        <w:rPr>
          <w:rFonts w:hint="eastAsia" w:asciiTheme="minorEastAsia" w:hAnsiTheme="minorEastAsia"/>
        </w:rPr>
        <w:t>，波长范围</w:t>
      </w:r>
      <w:r>
        <w:rPr>
          <w:rFonts w:asciiTheme="minorEastAsia" w:hAnsiTheme="minorEastAsia"/>
        </w:rPr>
        <w:t>190nm～390nm，自动调节波长，含微调点位功能；基线稳定性：＜0.0005A，1小时；</w:t>
      </w:r>
    </w:p>
    <w:p w14:paraId="25565F33">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2</w:t>
      </w:r>
      <w:r>
        <w:rPr>
          <w:rFonts w:ascii="宋体" w:hAnsi="宋体"/>
        </w:rPr>
        <w:t xml:space="preserve">.2 </w:t>
      </w:r>
      <w:r>
        <w:rPr>
          <w:rFonts w:hint="eastAsia" w:ascii="宋体" w:hAnsi="宋体"/>
        </w:rPr>
        <w:t>光源满足《</w:t>
      </w:r>
      <w:r>
        <w:rPr>
          <w:rFonts w:ascii="宋体" w:hAnsi="宋体"/>
        </w:rPr>
        <w:t xml:space="preserve">HJ200-2023 </w:t>
      </w:r>
      <w:r>
        <w:rPr>
          <w:rFonts w:hint="eastAsia" w:ascii="宋体" w:hAnsi="宋体"/>
        </w:rPr>
        <w:t>水质硫化物的测定</w:t>
      </w:r>
      <w:r>
        <w:rPr>
          <w:rFonts w:ascii="宋体" w:hAnsi="宋体"/>
        </w:rPr>
        <w:t xml:space="preserve"> </w:t>
      </w:r>
      <w:r>
        <w:rPr>
          <w:rFonts w:hint="eastAsia" w:ascii="宋体" w:hAnsi="宋体"/>
        </w:rPr>
        <w:t>气相分子吸收光谱法</w:t>
      </w:r>
      <w:r>
        <w:rPr>
          <w:rFonts w:ascii="宋体" w:hAnsi="宋体"/>
        </w:rPr>
        <w:t xml:space="preserve"> </w:t>
      </w:r>
      <w:r>
        <w:rPr>
          <w:rFonts w:hint="eastAsia" w:ascii="宋体" w:hAnsi="宋体"/>
        </w:rPr>
        <w:t>》、《</w:t>
      </w:r>
      <w:r>
        <w:rPr>
          <w:rFonts w:ascii="宋体" w:hAnsi="宋体"/>
        </w:rPr>
        <w:t>HJ</w:t>
      </w:r>
      <w:r>
        <w:rPr>
          <w:rFonts w:hint="eastAsia" w:ascii="宋体" w:hAnsi="宋体"/>
        </w:rPr>
        <w:t>195</w:t>
      </w:r>
      <w:r>
        <w:rPr>
          <w:rFonts w:ascii="宋体" w:hAnsi="宋体"/>
        </w:rPr>
        <w:t xml:space="preserve">-2023 </w:t>
      </w:r>
      <w:r>
        <w:rPr>
          <w:rFonts w:hint="eastAsia" w:ascii="宋体" w:hAnsi="宋体"/>
        </w:rPr>
        <w:t>水质 氨氮的测定</w:t>
      </w:r>
      <w:r>
        <w:rPr>
          <w:rFonts w:ascii="宋体" w:hAnsi="宋体"/>
        </w:rPr>
        <w:t xml:space="preserve"> </w:t>
      </w:r>
      <w:r>
        <w:rPr>
          <w:rFonts w:hint="eastAsia" w:ascii="宋体" w:hAnsi="宋体"/>
        </w:rPr>
        <w:t>气相分子吸收光谱法》、《</w:t>
      </w:r>
      <w:r>
        <w:rPr>
          <w:rFonts w:ascii="宋体" w:hAnsi="宋体"/>
        </w:rPr>
        <w:t>HJ</w:t>
      </w:r>
      <w:r>
        <w:rPr>
          <w:rFonts w:hint="eastAsia" w:ascii="宋体" w:hAnsi="宋体"/>
        </w:rPr>
        <w:t>197</w:t>
      </w:r>
      <w:r>
        <w:rPr>
          <w:rFonts w:ascii="宋体" w:hAnsi="宋体"/>
        </w:rPr>
        <w:t>-20</w:t>
      </w:r>
      <w:r>
        <w:rPr>
          <w:rFonts w:hint="eastAsia" w:ascii="宋体" w:hAnsi="宋体"/>
        </w:rPr>
        <w:t>05</w:t>
      </w:r>
      <w:r>
        <w:rPr>
          <w:rFonts w:ascii="宋体" w:hAnsi="宋体"/>
        </w:rPr>
        <w:t xml:space="preserve"> </w:t>
      </w:r>
      <w:r>
        <w:rPr>
          <w:rFonts w:hint="eastAsia" w:ascii="宋体" w:hAnsi="宋体"/>
        </w:rPr>
        <w:t>水质 亚硝酸盐氮的测定 气相分子吸收光谱法》、《</w:t>
      </w:r>
      <w:r>
        <w:rPr>
          <w:rFonts w:ascii="宋体" w:hAnsi="宋体"/>
        </w:rPr>
        <w:t>HJ</w:t>
      </w:r>
      <w:r>
        <w:rPr>
          <w:rFonts w:hint="eastAsia" w:ascii="宋体" w:hAnsi="宋体"/>
        </w:rPr>
        <w:t>198</w:t>
      </w:r>
      <w:r>
        <w:rPr>
          <w:rFonts w:ascii="宋体" w:hAnsi="宋体"/>
        </w:rPr>
        <w:t>-20</w:t>
      </w:r>
      <w:r>
        <w:rPr>
          <w:rFonts w:hint="eastAsia" w:ascii="宋体" w:hAnsi="宋体"/>
        </w:rPr>
        <w:t>05</w:t>
      </w:r>
      <w:r>
        <w:rPr>
          <w:rFonts w:ascii="宋体" w:hAnsi="宋体"/>
        </w:rPr>
        <w:t xml:space="preserve"> </w:t>
      </w:r>
      <w:r>
        <w:rPr>
          <w:rFonts w:hint="eastAsia" w:ascii="宋体" w:hAnsi="宋体"/>
        </w:rPr>
        <w:t>水质 硝酸盐氮的测定 气相分子吸收光谱法》、《</w:t>
      </w:r>
      <w:r>
        <w:rPr>
          <w:rFonts w:ascii="宋体" w:hAnsi="宋体"/>
        </w:rPr>
        <w:t>HJ</w:t>
      </w:r>
      <w:r>
        <w:rPr>
          <w:rFonts w:hint="eastAsia" w:ascii="宋体" w:hAnsi="宋体"/>
        </w:rPr>
        <w:t>199</w:t>
      </w:r>
      <w:r>
        <w:rPr>
          <w:rFonts w:ascii="宋体" w:hAnsi="宋体"/>
        </w:rPr>
        <w:t>-20</w:t>
      </w:r>
      <w:r>
        <w:rPr>
          <w:rFonts w:hint="eastAsia" w:ascii="宋体" w:hAnsi="宋体"/>
        </w:rPr>
        <w:t>23</w:t>
      </w:r>
      <w:r>
        <w:rPr>
          <w:rFonts w:ascii="宋体" w:hAnsi="宋体"/>
        </w:rPr>
        <w:t xml:space="preserve"> </w:t>
      </w:r>
      <w:r>
        <w:rPr>
          <w:rFonts w:hint="eastAsia" w:ascii="宋体" w:hAnsi="宋体"/>
        </w:rPr>
        <w:t>水质　总氮的测定 气相分子吸收光谱法》五项气相分子吸收光谱法标准对测定波长的要求；</w:t>
      </w:r>
    </w:p>
    <w:p w14:paraId="71237701">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2</w:t>
      </w:r>
      <w:r>
        <w:rPr>
          <w:rFonts w:ascii="宋体" w:hAnsi="宋体"/>
        </w:rPr>
        <w:t xml:space="preserve">.3 </w:t>
      </w:r>
      <w:r>
        <w:rPr>
          <w:rFonts w:hint="eastAsia" w:ascii="宋体" w:hAnsi="宋体"/>
        </w:rPr>
        <w:t>检测器：配备</w:t>
      </w:r>
      <w:r>
        <w:rPr>
          <w:rFonts w:hint="eastAsia" w:ascii="宋体" w:hAnsi="宋体"/>
          <w:color w:val="auto"/>
        </w:rPr>
        <w:t>高灵敏度</w:t>
      </w:r>
      <w:r>
        <w:rPr>
          <w:rFonts w:ascii="宋体" w:hAnsi="宋体"/>
          <w:color w:val="auto"/>
        </w:rPr>
        <w:t>PMT</w:t>
      </w:r>
      <w:r>
        <w:rPr>
          <w:rFonts w:hint="eastAsia" w:ascii="宋体" w:hAnsi="宋体"/>
        </w:rPr>
        <w:t>或</w:t>
      </w:r>
      <w:r>
        <w:rPr>
          <w:rFonts w:ascii="宋体" w:hAnsi="宋体"/>
        </w:rPr>
        <w:t>CCD</w:t>
      </w:r>
      <w:r>
        <w:rPr>
          <w:rFonts w:hint="eastAsia" w:ascii="宋体" w:hAnsi="宋体"/>
        </w:rPr>
        <w:t>检测器</w:t>
      </w:r>
    </w:p>
    <w:p w14:paraId="7167061E">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2</w:t>
      </w:r>
      <w:r>
        <w:rPr>
          <w:rFonts w:ascii="宋体" w:hAnsi="宋体"/>
        </w:rPr>
        <w:t>.4所有项目测定时，</w:t>
      </w:r>
      <w:r>
        <w:rPr>
          <w:rFonts w:hint="eastAsia" w:ascii="宋体" w:hAnsi="宋体"/>
        </w:rPr>
        <w:t>同时自动生成待测气体国家标准要求下的扫描图谱。</w:t>
      </w:r>
    </w:p>
    <w:p w14:paraId="7FFBF186">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hint="eastAsia" w:ascii="宋体" w:hAnsi="宋体"/>
          <w:b/>
        </w:rPr>
        <w:t>1.3.3</w:t>
      </w:r>
      <w:r>
        <w:rPr>
          <w:rFonts w:asciiTheme="minorEastAsia" w:hAnsiTheme="minorEastAsia"/>
          <w:b/>
        </w:rPr>
        <w:t>在线加热系统</w:t>
      </w:r>
    </w:p>
    <w:p w14:paraId="708D65C4">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1.3.3.</w:t>
      </w:r>
      <w:r>
        <w:rPr>
          <w:rFonts w:ascii="宋体" w:hAnsi="宋体"/>
        </w:rPr>
        <w:t>1</w:t>
      </w:r>
      <w:r>
        <w:rPr>
          <w:rFonts w:hint="eastAsia" w:ascii="宋体" w:hAnsi="宋体"/>
        </w:rPr>
        <w:t>配备自动在线加热模块，超过设定温度自动停止；</w:t>
      </w:r>
    </w:p>
    <w:p w14:paraId="7B22A329">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1.3.3.2环境自适应加热系统：开机自动检测环境温度</w:t>
      </w:r>
      <w:r>
        <w:rPr>
          <w:rFonts w:ascii="宋体" w:hAnsi="宋体"/>
        </w:rPr>
        <w:t>,</w:t>
      </w:r>
      <w:r>
        <w:rPr>
          <w:rFonts w:hint="eastAsia" w:ascii="宋体" w:hAnsi="宋体"/>
        </w:rPr>
        <w:t>无须手动开启辅助加热。</w:t>
      </w:r>
    </w:p>
    <w:p w14:paraId="0B6F723A">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asciiTheme="minorEastAsia" w:hAnsiTheme="minorEastAsia"/>
          <w:b/>
        </w:rPr>
        <w:t>1.</w:t>
      </w:r>
      <w:r>
        <w:rPr>
          <w:rFonts w:hint="eastAsia" w:asciiTheme="minorEastAsia" w:hAnsiTheme="minorEastAsia"/>
          <w:b/>
        </w:rPr>
        <w:t>3</w:t>
      </w:r>
      <w:r>
        <w:rPr>
          <w:rFonts w:asciiTheme="minorEastAsia" w:hAnsiTheme="minorEastAsia"/>
          <w:b/>
        </w:rPr>
        <w:t>.</w:t>
      </w:r>
      <w:r>
        <w:rPr>
          <w:rFonts w:hint="eastAsia" w:asciiTheme="minorEastAsia" w:hAnsiTheme="minorEastAsia"/>
          <w:b/>
        </w:rPr>
        <w:t>4</w:t>
      </w:r>
      <w:r>
        <w:rPr>
          <w:rFonts w:asciiTheme="minorEastAsia" w:hAnsiTheme="minorEastAsia"/>
          <w:b/>
        </w:rPr>
        <w:t xml:space="preserve"> </w:t>
      </w:r>
      <w:r>
        <w:rPr>
          <w:rFonts w:hint="eastAsia" w:asciiTheme="minorEastAsia" w:hAnsiTheme="minorEastAsia"/>
          <w:b/>
        </w:rPr>
        <w:t>自动除水系统</w:t>
      </w:r>
      <w:r>
        <w:rPr>
          <w:rFonts w:asciiTheme="minorEastAsia" w:hAnsiTheme="minorEastAsia"/>
          <w:b/>
        </w:rPr>
        <w:t>:</w:t>
      </w:r>
      <w:r>
        <w:rPr>
          <w:rFonts w:hint="eastAsia" w:asciiTheme="minorEastAsia" w:hAnsiTheme="minorEastAsia"/>
          <w:b/>
        </w:rPr>
        <w:t>分析全过程中完全不使用任何干燥剂；</w:t>
      </w:r>
    </w:p>
    <w:p w14:paraId="0FD44682">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asciiTheme="minorEastAsia" w:hAnsiTheme="minorEastAsia"/>
          <w:b/>
        </w:rPr>
        <w:t>1.</w:t>
      </w:r>
      <w:r>
        <w:rPr>
          <w:rFonts w:hint="eastAsia" w:asciiTheme="minorEastAsia" w:hAnsiTheme="minorEastAsia"/>
          <w:b/>
        </w:rPr>
        <w:t>3</w:t>
      </w:r>
      <w:r>
        <w:rPr>
          <w:rFonts w:asciiTheme="minorEastAsia" w:hAnsiTheme="minorEastAsia"/>
          <w:b/>
        </w:rPr>
        <w:t>.</w:t>
      </w:r>
      <w:r>
        <w:rPr>
          <w:rFonts w:hint="eastAsia" w:asciiTheme="minorEastAsia" w:hAnsiTheme="minorEastAsia"/>
          <w:b/>
        </w:rPr>
        <w:t>5</w:t>
      </w:r>
      <w:r>
        <w:rPr>
          <w:rFonts w:asciiTheme="minorEastAsia" w:hAnsiTheme="minorEastAsia"/>
          <w:b/>
        </w:rPr>
        <w:t xml:space="preserve"> </w:t>
      </w:r>
      <w:r>
        <w:rPr>
          <w:rFonts w:hint="eastAsia" w:asciiTheme="minorEastAsia" w:hAnsiTheme="minorEastAsia"/>
          <w:b/>
        </w:rPr>
        <w:t>载气及控制</w:t>
      </w:r>
      <w:r>
        <w:rPr>
          <w:rFonts w:asciiTheme="minorEastAsia" w:hAnsiTheme="minorEastAsia"/>
          <w:b/>
        </w:rPr>
        <w:t>/电子压力报警系统</w:t>
      </w:r>
    </w:p>
    <w:p w14:paraId="5AA349CA">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5</w:t>
      </w:r>
      <w:r>
        <w:rPr>
          <w:rFonts w:ascii="宋体" w:hAnsi="宋体"/>
        </w:rPr>
        <w:t xml:space="preserve">.1 </w:t>
      </w:r>
      <w:r>
        <w:rPr>
          <w:rFonts w:hint="eastAsia" w:ascii="宋体" w:hAnsi="宋体"/>
        </w:rPr>
        <w:t>载气：以氮气或空气为载气，配备减压阀或对应管路接口。</w:t>
      </w:r>
    </w:p>
    <w:p w14:paraId="19B8275A">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5</w:t>
      </w:r>
      <w:r>
        <w:rPr>
          <w:rFonts w:ascii="宋体" w:hAnsi="宋体"/>
        </w:rPr>
        <w:t>.2电子压力报警系统：无论载气为空气或氮气，都可能会存在载气流量及气压发生变化或载气系统故障，如发生这种状况，自动蜂鸣报警并自动关闭进样及加热系统，同时锁定软件并自动保存已测定数据；</w:t>
      </w:r>
    </w:p>
    <w:p w14:paraId="78AF2DA3">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asciiTheme="minorEastAsia" w:hAnsiTheme="minorEastAsia"/>
          <w:b/>
        </w:rPr>
        <w:t>1.</w:t>
      </w:r>
      <w:r>
        <w:rPr>
          <w:rFonts w:hint="eastAsia" w:asciiTheme="minorEastAsia" w:hAnsiTheme="minorEastAsia"/>
          <w:b/>
        </w:rPr>
        <w:t>3</w:t>
      </w:r>
      <w:r>
        <w:rPr>
          <w:rFonts w:asciiTheme="minorEastAsia" w:hAnsiTheme="minorEastAsia"/>
          <w:b/>
        </w:rPr>
        <w:t>.</w:t>
      </w:r>
      <w:r>
        <w:rPr>
          <w:rFonts w:hint="eastAsia" w:asciiTheme="minorEastAsia" w:hAnsiTheme="minorEastAsia"/>
          <w:b/>
        </w:rPr>
        <w:t>6</w:t>
      </w:r>
      <w:r>
        <w:rPr>
          <w:rFonts w:asciiTheme="minorEastAsia" w:hAnsiTheme="minorEastAsia"/>
          <w:b/>
        </w:rPr>
        <w:t>.带稀释功能自动</w:t>
      </w:r>
      <w:r>
        <w:rPr>
          <w:rFonts w:hint="eastAsia" w:asciiTheme="minorEastAsia" w:hAnsiTheme="minorEastAsia"/>
          <w:b/>
        </w:rPr>
        <w:t>进样盘</w:t>
      </w:r>
      <w:r>
        <w:rPr>
          <w:rFonts w:asciiTheme="minorEastAsia" w:hAnsiTheme="minorEastAsia"/>
          <w:b/>
        </w:rPr>
        <w:t>/流动注射进样系统：</w:t>
      </w:r>
    </w:p>
    <w:p w14:paraId="58648F30">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6</w:t>
      </w:r>
      <w:r>
        <w:rPr>
          <w:rFonts w:ascii="宋体" w:hAnsi="宋体"/>
        </w:rPr>
        <w:t>.1样品位数不少于50位；样品管容积10mL～100mL；</w:t>
      </w:r>
    </w:p>
    <w:p w14:paraId="27203345">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6</w:t>
      </w:r>
      <w:r>
        <w:rPr>
          <w:rFonts w:ascii="宋体" w:hAnsi="宋体"/>
        </w:rPr>
        <w:t>.2进样器上的样品盘可方便拆卸清洗更换；</w:t>
      </w:r>
    </w:p>
    <w:p w14:paraId="709358EE">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cstheme="minorEastAsia"/>
        </w:rPr>
      </w:pPr>
      <w:r>
        <w:rPr>
          <w:rFonts w:ascii="宋体" w:hAnsi="宋体"/>
        </w:rPr>
        <w:t>1.</w:t>
      </w:r>
      <w:r>
        <w:rPr>
          <w:rFonts w:hint="eastAsia" w:ascii="宋体" w:hAnsi="宋体"/>
        </w:rPr>
        <w:t>3</w:t>
      </w:r>
      <w:r>
        <w:rPr>
          <w:rFonts w:ascii="宋体" w:hAnsi="宋体"/>
        </w:rPr>
        <w:t>.</w:t>
      </w:r>
      <w:r>
        <w:rPr>
          <w:rFonts w:hint="eastAsia" w:ascii="宋体" w:hAnsi="宋体"/>
        </w:rPr>
        <w:t>6</w:t>
      </w:r>
      <w:r>
        <w:rPr>
          <w:rFonts w:ascii="宋体" w:hAnsi="宋体"/>
        </w:rPr>
        <w:t>.3使用耐腐蚀的进样管和</w:t>
      </w:r>
      <w:r>
        <w:rPr>
          <w:rFonts w:hint="eastAsia" w:ascii="宋体" w:hAnsi="宋体"/>
        </w:rPr>
        <w:t>具有特氟龙涂层的不锈钢（进样针</w:t>
      </w:r>
      <w:r>
        <w:rPr>
          <w:rFonts w:hint="eastAsia" w:asciiTheme="minorEastAsia" w:hAnsiTheme="minorEastAsia" w:cstheme="minorEastAsia"/>
        </w:rPr>
        <w:t>）等材料；</w:t>
      </w:r>
    </w:p>
    <w:p w14:paraId="12E22CA8">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3.6</w:t>
      </w:r>
      <w:r>
        <w:rPr>
          <w:rFonts w:ascii="宋体" w:hAnsi="宋体"/>
        </w:rPr>
        <w:t>.4样品位置可自由随机编号，无需顺序进行；</w:t>
      </w:r>
    </w:p>
    <w:p w14:paraId="267C0027">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6</w:t>
      </w:r>
      <w:r>
        <w:rPr>
          <w:rFonts w:ascii="宋体" w:hAnsi="宋体"/>
        </w:rPr>
        <w:t>.5吹扫均质系统（样品搅拌装置），自动进样器取样前，自动通入气体，将样品搅拌均匀，自动去除VOC等干扰，使容易分层的样品均质化；</w:t>
      </w:r>
    </w:p>
    <w:p w14:paraId="25B9BAA4">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6</w:t>
      </w:r>
      <w:r>
        <w:rPr>
          <w:rFonts w:ascii="宋体" w:hAnsi="宋体"/>
        </w:rPr>
        <w:t xml:space="preserve">.6 </w:t>
      </w:r>
      <w:r>
        <w:rPr>
          <w:rFonts w:hint="eastAsia" w:ascii="宋体" w:hAnsi="宋体"/>
        </w:rPr>
        <w:t>自动稀释功能至少满足</w:t>
      </w:r>
      <w:r>
        <w:rPr>
          <w:rFonts w:ascii="宋体" w:hAnsi="宋体"/>
        </w:rPr>
        <w:t>1～60</w:t>
      </w:r>
      <w:r>
        <w:rPr>
          <w:rFonts w:hint="eastAsia" w:ascii="宋体" w:hAnsi="宋体"/>
        </w:rPr>
        <w:t>倍稀释；可对高浓度样品自动选择合适的稀释倍数；最大稀释倍数不小于</w:t>
      </w:r>
      <w:r>
        <w:rPr>
          <w:rFonts w:ascii="宋体" w:hAnsi="宋体"/>
        </w:rPr>
        <w:t>60</w:t>
      </w:r>
      <w:r>
        <w:rPr>
          <w:rFonts w:hint="eastAsia" w:ascii="宋体" w:hAnsi="宋体"/>
        </w:rPr>
        <w:t>倍，稀释准确度：</w:t>
      </w:r>
      <w:r>
        <w:rPr>
          <w:rFonts w:ascii="宋体" w:hAnsi="宋体"/>
        </w:rPr>
        <w:t>0～20倍时，稀释误差小于3%；20倍以上稀释误差小于10% (60倍自动稀释比例作为验收必须指标，要求稀释误差小于10%)；</w:t>
      </w:r>
    </w:p>
    <w:p w14:paraId="10D8B92B">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6</w:t>
      </w:r>
      <w:r>
        <w:rPr>
          <w:rFonts w:ascii="宋体" w:hAnsi="宋体"/>
        </w:rPr>
        <w:t xml:space="preserve">.7 </w:t>
      </w:r>
      <w:r>
        <w:rPr>
          <w:rFonts w:hint="eastAsia" w:ascii="宋体" w:hAnsi="宋体"/>
        </w:rPr>
        <w:t>自动稀释制作工作曲线，提供标准母液仪器自动完成</w:t>
      </w:r>
      <w:r>
        <w:rPr>
          <w:rFonts w:ascii="宋体" w:hAnsi="宋体"/>
        </w:rPr>
        <w:t>5点以上曲线制作，自动配置稀释比达到20</w:t>
      </w:r>
      <w:r>
        <w:rPr>
          <w:rFonts w:hint="eastAsia" w:ascii="宋体" w:hAnsi="宋体"/>
        </w:rPr>
        <w:t>倍数的标准曲线，相关性系数</w:t>
      </w:r>
      <w:r>
        <w:rPr>
          <w:rFonts w:ascii="宋体" w:hAnsi="宋体"/>
        </w:rPr>
        <w:t>R≥0.9995。</w:t>
      </w:r>
    </w:p>
    <w:p w14:paraId="304786F8">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6</w:t>
      </w:r>
      <w:r>
        <w:rPr>
          <w:rFonts w:ascii="宋体" w:hAnsi="宋体"/>
        </w:rPr>
        <w:t xml:space="preserve">.8 </w:t>
      </w:r>
      <w:r>
        <w:rPr>
          <w:rFonts w:hint="eastAsia" w:ascii="宋体" w:hAnsi="宋体"/>
        </w:rPr>
        <w:t>节约试剂，减少二次污染产生，要求在符合仪器灵敏度检出限时，测定各污染物单个样品的进样量不大于</w:t>
      </w:r>
      <w:r>
        <w:rPr>
          <w:rFonts w:ascii="宋体" w:hAnsi="宋体"/>
        </w:rPr>
        <w:t>25mL；</w:t>
      </w:r>
    </w:p>
    <w:p w14:paraId="26312499">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asciiTheme="minorEastAsia" w:hAnsiTheme="minorEastAsia"/>
          <w:b/>
        </w:rPr>
        <w:t>1.</w:t>
      </w:r>
      <w:r>
        <w:rPr>
          <w:rFonts w:hint="eastAsia" w:asciiTheme="minorEastAsia" w:hAnsiTheme="minorEastAsia"/>
          <w:b/>
        </w:rPr>
        <w:t>3</w:t>
      </w:r>
      <w:r>
        <w:rPr>
          <w:rFonts w:asciiTheme="minorEastAsia" w:hAnsiTheme="minorEastAsia"/>
          <w:b/>
        </w:rPr>
        <w:t>.</w:t>
      </w:r>
      <w:r>
        <w:rPr>
          <w:rFonts w:hint="eastAsia" w:asciiTheme="minorEastAsia" w:hAnsiTheme="minorEastAsia"/>
          <w:b/>
        </w:rPr>
        <w:t>7</w:t>
      </w:r>
      <w:r>
        <w:rPr>
          <w:rFonts w:asciiTheme="minorEastAsia" w:hAnsiTheme="minorEastAsia"/>
          <w:b/>
        </w:rPr>
        <w:t>氨氮快速氧化装置：</w:t>
      </w:r>
    </w:p>
    <w:p w14:paraId="2AA8BC6E">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7</w:t>
      </w:r>
      <w:r>
        <w:rPr>
          <w:rFonts w:ascii="宋体" w:hAnsi="宋体"/>
        </w:rPr>
        <w:t>.1配备氨氮快速氧化装置，测定氨氮项目时，仪器在线自动把氨氮氧化为亚硝酸盐氮；</w:t>
      </w:r>
    </w:p>
    <w:p w14:paraId="4D727D32">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7</w:t>
      </w:r>
      <w:r>
        <w:rPr>
          <w:rFonts w:ascii="宋体" w:hAnsi="宋体"/>
        </w:rPr>
        <w:t>.2氨氮快速氧化装置的加热方式为将氨氮样品溶液预加热到温度60℃～70℃，不加热次溴酸盐氧化剂；</w:t>
      </w:r>
    </w:p>
    <w:p w14:paraId="1274D11C">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7</w:t>
      </w:r>
      <w:r>
        <w:rPr>
          <w:rFonts w:ascii="宋体" w:hAnsi="宋体"/>
        </w:rPr>
        <w:t>.3在预热后氨氮样品溶液中迅速加入次溴酸盐氧化剂，氧化剂在加入瞬间将溶液中的氨氮氧化为亚硝酸盐氮；</w:t>
      </w:r>
    </w:p>
    <w:p w14:paraId="33085860">
      <w:pPr>
        <w:keepNext w:val="0"/>
        <w:pageBreakBefore w:val="0"/>
        <w:kinsoku/>
        <w:wordWrap/>
        <w:overflowPunct/>
        <w:topLinePunct w:val="0"/>
        <w:bidi w:val="0"/>
        <w:adjustRightInd w:val="0"/>
        <w:snapToGrid w:val="0"/>
        <w:spacing w:line="300" w:lineRule="auto"/>
        <w:jc w:val="both"/>
        <w:textAlignment w:val="auto"/>
        <w:rPr>
          <w:rFonts w:ascii="宋体" w:hAnsi="宋体"/>
          <w:b/>
        </w:rPr>
      </w:pPr>
      <w:r>
        <w:rPr>
          <w:rFonts w:ascii="宋体" w:hAnsi="宋体"/>
          <w:b/>
        </w:rPr>
        <w:t>1.</w:t>
      </w:r>
      <w:r>
        <w:rPr>
          <w:rFonts w:hint="eastAsia" w:ascii="宋体" w:hAnsi="宋体"/>
          <w:b/>
        </w:rPr>
        <w:t>3</w:t>
      </w:r>
      <w:r>
        <w:rPr>
          <w:rFonts w:ascii="宋体" w:hAnsi="宋体"/>
          <w:b/>
        </w:rPr>
        <w:t>.</w:t>
      </w:r>
      <w:r>
        <w:rPr>
          <w:rFonts w:hint="eastAsia" w:ascii="宋体" w:hAnsi="宋体"/>
          <w:b/>
        </w:rPr>
        <w:t>8</w:t>
      </w:r>
      <w:r>
        <w:rPr>
          <w:rFonts w:ascii="宋体" w:hAnsi="宋体"/>
          <w:b/>
        </w:rPr>
        <w:t>．总氮在线消解模块:</w:t>
      </w:r>
    </w:p>
    <w:p w14:paraId="566986AB">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8</w:t>
      </w:r>
      <w:r>
        <w:rPr>
          <w:rFonts w:ascii="宋体" w:hAnsi="宋体"/>
        </w:rPr>
        <w:t xml:space="preserve">.1 </w:t>
      </w:r>
      <w:r>
        <w:rPr>
          <w:rFonts w:hint="eastAsia" w:ascii="宋体" w:hAnsi="宋体"/>
        </w:rPr>
        <w:t>配备总氮紫外在线消解模块，且便于后期的维护升级；</w:t>
      </w:r>
    </w:p>
    <w:p w14:paraId="09761AC5">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1.3.8.2消解类型：紫外消解，灯能耗（智能控制功耗）：</w:t>
      </w:r>
      <w:r>
        <w:rPr>
          <w:rFonts w:ascii="宋体" w:hAnsi="宋体"/>
        </w:rPr>
        <w:t>100W</w:t>
      </w:r>
      <w:r>
        <w:rPr>
          <w:rFonts w:hint="eastAsia" w:ascii="宋体" w:hAnsi="宋体"/>
        </w:rPr>
        <w:t>～</w:t>
      </w:r>
      <w:r>
        <w:rPr>
          <w:rFonts w:ascii="宋体" w:hAnsi="宋体"/>
        </w:rPr>
        <w:t>700W，单个样品测量含消解时间</w:t>
      </w:r>
      <w:r>
        <w:rPr>
          <w:rFonts w:hint="eastAsia" w:ascii="宋体" w:hAnsi="宋体"/>
        </w:rPr>
        <w:t>不超过</w:t>
      </w:r>
      <w:r>
        <w:rPr>
          <w:rFonts w:ascii="宋体" w:hAnsi="宋体"/>
        </w:rPr>
        <w:t xml:space="preserve">5min； </w:t>
      </w:r>
    </w:p>
    <w:p w14:paraId="34610314">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rPr>
      </w:pPr>
      <w:r>
        <w:rPr>
          <w:rFonts w:asciiTheme="minorEastAsia" w:hAnsiTheme="minorEastAsia"/>
          <w:b/>
        </w:rPr>
        <w:t>1.</w:t>
      </w:r>
      <w:r>
        <w:rPr>
          <w:rFonts w:hint="eastAsia" w:asciiTheme="minorEastAsia" w:hAnsiTheme="minorEastAsia"/>
          <w:b/>
        </w:rPr>
        <w:t>3.9</w:t>
      </w:r>
      <w:r>
        <w:rPr>
          <w:rFonts w:asciiTheme="minorEastAsia" w:hAnsiTheme="minorEastAsia"/>
          <w:b/>
        </w:rPr>
        <w:t>测试样品及指标：</w:t>
      </w:r>
    </w:p>
    <w:p w14:paraId="7E8B751C">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Theme="minorEastAsia" w:hAnsiTheme="minorEastAsia"/>
        </w:rPr>
        <w:t>测定水中硫化物、氨氮、硝酸盐氮、亚硝酸盐氮、总氮；</w:t>
      </w:r>
      <w:r>
        <w:rPr>
          <w:rFonts w:hint="eastAsia" w:ascii="宋体" w:hAnsi="宋体"/>
        </w:rPr>
        <w:t>一次进样可同时测定样品中氨氮和亚硝酸盐氮含量。</w:t>
      </w:r>
    </w:p>
    <w:p w14:paraId="7EB49360">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3.9.1</w:t>
      </w:r>
      <w:r>
        <w:rPr>
          <w:rFonts w:ascii="宋体" w:hAnsi="宋体"/>
        </w:rPr>
        <w:t>氨氮项目：</w:t>
      </w:r>
    </w:p>
    <w:p w14:paraId="64B5FE32">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1</w:t>
      </w:r>
      <w:r>
        <w:rPr>
          <w:rFonts w:ascii="宋体" w:hAnsi="宋体"/>
        </w:rPr>
        <w:t>.</w:t>
      </w:r>
      <w:r>
        <w:rPr>
          <w:rFonts w:hint="eastAsia" w:ascii="宋体" w:hAnsi="宋体"/>
        </w:rPr>
        <w:t>3.9</w:t>
      </w:r>
      <w:r>
        <w:rPr>
          <w:rFonts w:ascii="宋体" w:hAnsi="宋体"/>
        </w:rPr>
        <w:t>.1.1</w:t>
      </w:r>
      <w:r>
        <w:rPr>
          <w:rFonts w:hint="eastAsia" w:ascii="宋体" w:hAnsi="宋体"/>
        </w:rPr>
        <w:t>直接测定检测范围：</w:t>
      </w:r>
      <w:r>
        <w:rPr>
          <w:rFonts w:ascii="宋体" w:hAnsi="宋体"/>
        </w:rPr>
        <w:t>0.08mg/L～2mg/L，</w:t>
      </w:r>
    </w:p>
    <w:p w14:paraId="0142BA45">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1.3.9.1.2精密度要求（连续测定</w:t>
      </w:r>
      <w:r>
        <w:rPr>
          <w:rFonts w:ascii="宋体" w:hAnsi="宋体"/>
        </w:rPr>
        <w:t>6次）：0.1mg/L，RSD&lt; 3</w:t>
      </w:r>
      <w:r>
        <w:rPr>
          <w:rFonts w:hint="eastAsia" w:ascii="宋体" w:hAnsi="宋体"/>
        </w:rPr>
        <w:t>％；</w:t>
      </w:r>
      <w:r>
        <w:rPr>
          <w:rFonts w:ascii="宋体" w:hAnsi="宋体"/>
        </w:rPr>
        <w:t>0.2mg/L，RSD&lt; 2</w:t>
      </w:r>
      <w:r>
        <w:rPr>
          <w:rFonts w:hint="eastAsia" w:ascii="宋体" w:hAnsi="宋体"/>
        </w:rPr>
        <w:t>％；</w:t>
      </w:r>
      <w:r>
        <w:rPr>
          <w:rFonts w:ascii="宋体" w:hAnsi="宋体"/>
        </w:rPr>
        <w:t>0.5mg/L，RSD&lt; 1％。</w:t>
      </w:r>
    </w:p>
    <w:p w14:paraId="5C3595C8">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1.3.9.1.3线性要求：根据设定自动配置标准曲线浓度，相关性系数</w:t>
      </w:r>
      <w:r>
        <w:rPr>
          <w:rFonts w:ascii="宋体" w:hAnsi="宋体"/>
        </w:rPr>
        <w:t>r≥0.9995；</w:t>
      </w:r>
    </w:p>
    <w:p w14:paraId="26C1EDF1">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1.3.9.1.4检出限要求：检出限</w:t>
      </w:r>
      <w:r>
        <w:rPr>
          <w:rFonts w:ascii="宋体" w:hAnsi="宋体"/>
        </w:rPr>
        <w:t>&lt;0.01mg/L；</w:t>
      </w:r>
    </w:p>
    <w:p w14:paraId="642B74DB">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1.3.9.1.5单样分析时间＜</w:t>
      </w:r>
      <w:r>
        <w:rPr>
          <w:rFonts w:ascii="宋体" w:hAnsi="宋体"/>
        </w:rPr>
        <w:t>4min。</w:t>
      </w:r>
    </w:p>
    <w:p w14:paraId="2CA38188">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3.9</w:t>
      </w:r>
      <w:r>
        <w:rPr>
          <w:rFonts w:ascii="宋体" w:hAnsi="宋体"/>
        </w:rPr>
        <w:t>.2亚硝酸氮项目：</w:t>
      </w:r>
    </w:p>
    <w:p w14:paraId="7FDB4735">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3.9</w:t>
      </w:r>
      <w:r>
        <w:rPr>
          <w:rFonts w:ascii="宋体" w:hAnsi="宋体"/>
        </w:rPr>
        <w:t>.2</w:t>
      </w:r>
      <w:r>
        <w:rPr>
          <w:rFonts w:hint="eastAsia" w:ascii="宋体" w:hAnsi="宋体"/>
        </w:rPr>
        <w:t>.1直接测定检测范围：</w:t>
      </w:r>
      <w:r>
        <w:rPr>
          <w:rFonts w:ascii="宋体" w:hAnsi="宋体"/>
        </w:rPr>
        <w:t>0.01mg/L～2mg/L</w:t>
      </w:r>
    </w:p>
    <w:p w14:paraId="07FEEF52">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3.9</w:t>
      </w:r>
      <w:r>
        <w:rPr>
          <w:rFonts w:ascii="宋体" w:hAnsi="宋体"/>
        </w:rPr>
        <w:t>.2</w:t>
      </w:r>
      <w:r>
        <w:rPr>
          <w:rFonts w:hint="eastAsia" w:ascii="宋体" w:hAnsi="宋体"/>
        </w:rPr>
        <w:t>.2精密度要求（连续测定</w:t>
      </w:r>
      <w:r>
        <w:rPr>
          <w:rFonts w:ascii="宋体" w:hAnsi="宋体"/>
        </w:rPr>
        <w:t>6次）：0.1mg/L，RSD&lt; 2％；0.2mg/L，RSD&lt; 1.5％；0.5mg/L，RSD&lt; 1％。</w:t>
      </w:r>
    </w:p>
    <w:p w14:paraId="45081ADF">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3.9</w:t>
      </w:r>
      <w:r>
        <w:rPr>
          <w:rFonts w:ascii="宋体" w:hAnsi="宋体"/>
        </w:rPr>
        <w:t>.2</w:t>
      </w:r>
      <w:r>
        <w:rPr>
          <w:rFonts w:hint="eastAsia" w:ascii="宋体" w:hAnsi="宋体"/>
        </w:rPr>
        <w:t>.3线性要求：根据设定自动配置标准曲线浓度，相关性系数</w:t>
      </w:r>
      <w:r>
        <w:rPr>
          <w:rFonts w:ascii="宋体" w:hAnsi="宋体"/>
        </w:rPr>
        <w:t>r≥0.9996；</w:t>
      </w:r>
    </w:p>
    <w:p w14:paraId="78CC4DB0">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3.9</w:t>
      </w:r>
      <w:r>
        <w:rPr>
          <w:rFonts w:ascii="宋体" w:hAnsi="宋体"/>
        </w:rPr>
        <w:t>.2</w:t>
      </w:r>
      <w:r>
        <w:rPr>
          <w:rFonts w:hint="eastAsia" w:ascii="宋体" w:hAnsi="宋体"/>
        </w:rPr>
        <w:t>.4检出限要求：检出限≤</w:t>
      </w:r>
      <w:r>
        <w:rPr>
          <w:rFonts w:ascii="宋体" w:hAnsi="宋体"/>
        </w:rPr>
        <w:t>0.003mg/L；</w:t>
      </w:r>
    </w:p>
    <w:p w14:paraId="29020151">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w:t>
      </w:r>
      <w:r>
        <w:rPr>
          <w:rFonts w:hint="eastAsia" w:ascii="宋体" w:hAnsi="宋体"/>
        </w:rPr>
        <w:t>3.9</w:t>
      </w:r>
      <w:r>
        <w:rPr>
          <w:rFonts w:ascii="宋体" w:hAnsi="宋体"/>
        </w:rPr>
        <w:t>.2</w:t>
      </w:r>
      <w:r>
        <w:rPr>
          <w:rFonts w:hint="eastAsia" w:ascii="宋体" w:hAnsi="宋体"/>
        </w:rPr>
        <w:t>.5单样分析时间＜</w:t>
      </w:r>
      <w:r>
        <w:rPr>
          <w:rFonts w:ascii="宋体" w:hAnsi="宋体"/>
        </w:rPr>
        <w:t>4min。</w:t>
      </w:r>
    </w:p>
    <w:p w14:paraId="12A296F5">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9.3</w:t>
      </w:r>
      <w:r>
        <w:rPr>
          <w:rFonts w:ascii="宋体" w:hAnsi="宋体"/>
        </w:rPr>
        <w:t>硫化物项目：</w:t>
      </w:r>
    </w:p>
    <w:p w14:paraId="7329F6EA">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9.3.1直接测定检测范围：</w:t>
      </w:r>
      <w:r>
        <w:rPr>
          <w:rFonts w:ascii="宋体" w:hAnsi="宋体"/>
        </w:rPr>
        <w:t>0.02mg/L～2mg/L</w:t>
      </w:r>
    </w:p>
    <w:p w14:paraId="21FF8C4C">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9.3.2精密度要求（连续测定</w:t>
      </w:r>
      <w:r>
        <w:rPr>
          <w:rFonts w:ascii="宋体" w:hAnsi="宋体"/>
        </w:rPr>
        <w:t>6次）：0.1mg/L，RSD&lt; 3％；0.2mg/L，RSD&lt; 3％；0.5mg/L，RSD&lt; 2％。</w:t>
      </w:r>
    </w:p>
    <w:p w14:paraId="08C4B9F4">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9.3.3线性要求：根据设定自动配置标准曲线浓度，相关性系数</w:t>
      </w:r>
      <w:r>
        <w:rPr>
          <w:rFonts w:ascii="宋体" w:hAnsi="宋体"/>
        </w:rPr>
        <w:t>r≥0.9996；</w:t>
      </w:r>
    </w:p>
    <w:p w14:paraId="40E4EBE1">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9.3.4检出限要求：检出限≤</w:t>
      </w:r>
      <w:r>
        <w:rPr>
          <w:rFonts w:ascii="宋体" w:hAnsi="宋体"/>
        </w:rPr>
        <w:t>0.004mg/L；</w:t>
      </w:r>
    </w:p>
    <w:p w14:paraId="7C40A3D5">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9.3.5单样分析时间＜</w:t>
      </w:r>
      <w:r>
        <w:rPr>
          <w:rFonts w:ascii="宋体" w:hAnsi="宋体"/>
        </w:rPr>
        <w:t>4min。</w:t>
      </w:r>
    </w:p>
    <w:p w14:paraId="3A4B2F25">
      <w:pPr>
        <w:keepNext w:val="0"/>
        <w:pageBreakBefore w:val="0"/>
        <w:kinsoku/>
        <w:wordWrap/>
        <w:overflowPunct/>
        <w:topLinePunct w:val="0"/>
        <w:bidi w:val="0"/>
        <w:spacing w:line="300" w:lineRule="auto"/>
        <w:jc w:val="both"/>
        <w:textAlignment w:val="auto"/>
        <w:rPr>
          <w:rFonts w:asciiTheme="minorEastAsia" w:hAnsiTheme="minorEastAsia" w:cstheme="minorEastAsia"/>
        </w:rPr>
      </w:pPr>
      <w:r>
        <w:rPr>
          <w:rFonts w:ascii="宋体" w:hAnsi="宋体"/>
        </w:rPr>
        <w:t>1.3.</w:t>
      </w:r>
      <w:r>
        <w:rPr>
          <w:rFonts w:hint="eastAsia" w:ascii="宋体" w:hAnsi="宋体"/>
        </w:rPr>
        <w:t>9.4</w:t>
      </w:r>
      <w:r>
        <w:rPr>
          <w:rFonts w:hint="eastAsia" w:asciiTheme="minorEastAsia" w:hAnsiTheme="minorEastAsia" w:cstheme="minorEastAsia"/>
        </w:rPr>
        <w:t xml:space="preserve"> 硝酸盐氮项目：</w:t>
      </w:r>
    </w:p>
    <w:p w14:paraId="2CE1E0F3">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9.4.1直接测定检测范围：</w:t>
      </w:r>
      <w:r>
        <w:rPr>
          <w:rFonts w:ascii="宋体" w:hAnsi="宋体"/>
        </w:rPr>
        <w:t>0.06mg/L～2mg/L</w:t>
      </w:r>
    </w:p>
    <w:p w14:paraId="2D1B6FB3">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9.4.2精密度要求（连续测定</w:t>
      </w:r>
      <w:r>
        <w:rPr>
          <w:rFonts w:ascii="宋体" w:hAnsi="宋体"/>
        </w:rPr>
        <w:t>6次）：0.2mg/L，RSD&lt; 3％；0.5mg/L，RSD&lt; 2％；1.0mg/L，RSD&lt; 2％。</w:t>
      </w:r>
    </w:p>
    <w:p w14:paraId="66EBFEB8">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9.4.3线性要求：根据设定自动配置标准曲线浓度，相关性系数</w:t>
      </w:r>
      <w:r>
        <w:rPr>
          <w:rFonts w:ascii="宋体" w:hAnsi="宋体"/>
        </w:rPr>
        <w:t>r≥0.9996；</w:t>
      </w:r>
    </w:p>
    <w:p w14:paraId="2F4BC6F3">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9.4.4检出限要求：检出限≤</w:t>
      </w:r>
      <w:r>
        <w:rPr>
          <w:rFonts w:ascii="宋体" w:hAnsi="宋体"/>
        </w:rPr>
        <w:t>0.005mg/L；</w:t>
      </w:r>
    </w:p>
    <w:p w14:paraId="6AFFB74B">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9.4.5单样分析时间＜</w:t>
      </w:r>
      <w:r>
        <w:rPr>
          <w:rFonts w:ascii="宋体" w:hAnsi="宋体"/>
        </w:rPr>
        <w:t>4min。</w:t>
      </w:r>
    </w:p>
    <w:p w14:paraId="3089640E">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9.5</w:t>
      </w:r>
      <w:r>
        <w:rPr>
          <w:rFonts w:ascii="宋体" w:hAnsi="宋体"/>
        </w:rPr>
        <w:t>总氮项目（须以紫外在线消解模块为预处理方式）：</w:t>
      </w:r>
    </w:p>
    <w:p w14:paraId="6E1051C5">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9.5单个样品测量含消解时间＜</w:t>
      </w:r>
      <w:r>
        <w:rPr>
          <w:rFonts w:ascii="宋体" w:hAnsi="宋体"/>
        </w:rPr>
        <w:t>5min；</w:t>
      </w:r>
    </w:p>
    <w:p w14:paraId="256343D2">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9.5.1直接测定检测范围：</w:t>
      </w:r>
      <w:r>
        <w:rPr>
          <w:rFonts w:ascii="宋体" w:hAnsi="宋体"/>
        </w:rPr>
        <w:t>0.20mg/L～4mg/L</w:t>
      </w:r>
    </w:p>
    <w:p w14:paraId="78A73872">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9.5.2精密度要求（连续测定</w:t>
      </w:r>
      <w:r>
        <w:rPr>
          <w:rFonts w:ascii="宋体" w:hAnsi="宋体"/>
        </w:rPr>
        <w:t>6次）：0.2mg/L，RSD&lt; 3％；0.5mg/L，RSD&lt; 3％；1.0mg/L，RSD&lt; 2％。</w:t>
      </w:r>
    </w:p>
    <w:p w14:paraId="16A3996B">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9.5.3线性要求：根据设定自动配置标准曲线浓度，相关性系数</w:t>
      </w:r>
      <w:r>
        <w:rPr>
          <w:rFonts w:ascii="宋体" w:hAnsi="宋体"/>
        </w:rPr>
        <w:t>r≥0.9996；</w:t>
      </w:r>
    </w:p>
    <w:p w14:paraId="4843F7E0">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9.5.4检出限要求：检出限≤</w:t>
      </w:r>
      <w:r>
        <w:rPr>
          <w:rFonts w:ascii="宋体" w:hAnsi="宋体"/>
        </w:rPr>
        <w:t>0.03mg/L；</w:t>
      </w:r>
    </w:p>
    <w:p w14:paraId="5FDC2446">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1.3.</w:t>
      </w:r>
      <w:r>
        <w:rPr>
          <w:rFonts w:hint="eastAsia" w:ascii="宋体" w:hAnsi="宋体"/>
        </w:rPr>
        <w:t>9.5.5单样分析时间＜</w:t>
      </w:r>
      <w:r>
        <w:rPr>
          <w:rFonts w:ascii="宋体" w:hAnsi="宋体"/>
        </w:rPr>
        <w:t>6min。</w:t>
      </w:r>
    </w:p>
    <w:p w14:paraId="45668D64">
      <w:pPr>
        <w:keepNext w:val="0"/>
        <w:pageBreakBefore w:val="0"/>
        <w:kinsoku/>
        <w:wordWrap/>
        <w:overflowPunct/>
        <w:topLinePunct w:val="0"/>
        <w:bidi w:val="0"/>
        <w:spacing w:line="300" w:lineRule="auto"/>
        <w:jc w:val="both"/>
        <w:textAlignment w:val="auto"/>
        <w:rPr>
          <w:rFonts w:cs="宋体" w:asciiTheme="minorEastAsia" w:hAnsiTheme="minorEastAsia"/>
          <w:b/>
        </w:rPr>
      </w:pPr>
      <w:r>
        <w:rPr>
          <w:rFonts w:hint="eastAsia" w:cs="宋体" w:asciiTheme="minorEastAsia" w:hAnsiTheme="minorEastAsia"/>
          <w:b/>
        </w:rPr>
        <w:t>2</w:t>
      </w:r>
      <w:r>
        <w:rPr>
          <w:rFonts w:hint="eastAsia" w:cs="Arial" w:asciiTheme="minorEastAsia" w:hAnsiTheme="minorEastAsia"/>
          <w:b/>
        </w:rPr>
        <w:t>、</w:t>
      </w:r>
      <w:r>
        <w:rPr>
          <w:rFonts w:hint="eastAsia" w:cs="宋体" w:asciiTheme="minorEastAsia" w:hAnsiTheme="minorEastAsia"/>
          <w:b/>
        </w:rPr>
        <w:t>适用方法：</w:t>
      </w:r>
    </w:p>
    <w:p w14:paraId="2183CE71">
      <w:pPr>
        <w:keepNext w:val="0"/>
        <w:pageBreakBefore w:val="0"/>
        <w:kinsoku/>
        <w:wordWrap/>
        <w:overflowPunct/>
        <w:topLinePunct w:val="0"/>
        <w:bidi w:val="0"/>
        <w:adjustRightInd w:val="0"/>
        <w:snapToGrid w:val="0"/>
        <w:spacing w:line="300" w:lineRule="auto"/>
        <w:jc w:val="both"/>
        <w:textAlignment w:val="auto"/>
        <w:rPr>
          <w:rFonts w:hint="eastAsia" w:ascii="宋体" w:hAnsi="宋体"/>
        </w:rPr>
      </w:pPr>
      <w:r>
        <w:rPr>
          <w:rFonts w:hint="eastAsia" w:ascii="宋体" w:hAnsi="宋体"/>
          <w:lang w:val="en-US" w:eastAsia="zh-CN"/>
        </w:rPr>
        <w:t>2.1</w:t>
      </w:r>
      <w:r>
        <w:rPr>
          <w:rFonts w:hint="eastAsia" w:ascii="宋体" w:hAnsi="宋体"/>
        </w:rPr>
        <w:t>仪器须符合试验方法：《</w:t>
      </w:r>
      <w:r>
        <w:rPr>
          <w:rFonts w:ascii="宋体" w:hAnsi="宋体"/>
        </w:rPr>
        <w:t xml:space="preserve">HJ200-2023 </w:t>
      </w:r>
      <w:r>
        <w:rPr>
          <w:rFonts w:hint="eastAsia" w:ascii="宋体" w:hAnsi="宋体"/>
        </w:rPr>
        <w:t>水质硫化物的测定</w:t>
      </w:r>
      <w:r>
        <w:rPr>
          <w:rFonts w:ascii="宋体" w:hAnsi="宋体"/>
        </w:rPr>
        <w:t xml:space="preserve"> </w:t>
      </w:r>
      <w:r>
        <w:rPr>
          <w:rFonts w:hint="eastAsia" w:ascii="宋体" w:hAnsi="宋体"/>
        </w:rPr>
        <w:t>气相分子吸收光谱法</w:t>
      </w:r>
      <w:r>
        <w:rPr>
          <w:rFonts w:ascii="宋体" w:hAnsi="宋体"/>
        </w:rPr>
        <w:t xml:space="preserve"> </w:t>
      </w:r>
      <w:r>
        <w:rPr>
          <w:rFonts w:hint="eastAsia" w:ascii="宋体" w:hAnsi="宋体"/>
        </w:rPr>
        <w:t>》、《</w:t>
      </w:r>
      <w:r>
        <w:rPr>
          <w:rFonts w:ascii="宋体" w:hAnsi="宋体"/>
        </w:rPr>
        <w:t>HJ</w:t>
      </w:r>
      <w:r>
        <w:rPr>
          <w:rFonts w:hint="eastAsia" w:ascii="宋体" w:hAnsi="宋体"/>
        </w:rPr>
        <w:t>195</w:t>
      </w:r>
      <w:r>
        <w:rPr>
          <w:rFonts w:ascii="宋体" w:hAnsi="宋体"/>
        </w:rPr>
        <w:t xml:space="preserve">-2023 </w:t>
      </w:r>
      <w:r>
        <w:rPr>
          <w:rFonts w:hint="eastAsia" w:ascii="宋体" w:hAnsi="宋体"/>
        </w:rPr>
        <w:t>水质 氨氮的测定</w:t>
      </w:r>
      <w:r>
        <w:rPr>
          <w:rFonts w:ascii="宋体" w:hAnsi="宋体"/>
        </w:rPr>
        <w:t xml:space="preserve"> </w:t>
      </w:r>
      <w:r>
        <w:rPr>
          <w:rFonts w:hint="eastAsia" w:ascii="宋体" w:hAnsi="宋体"/>
        </w:rPr>
        <w:t>气相分子吸收光谱法》、《</w:t>
      </w:r>
      <w:r>
        <w:rPr>
          <w:rFonts w:ascii="宋体" w:hAnsi="宋体"/>
        </w:rPr>
        <w:t>HJ</w:t>
      </w:r>
      <w:r>
        <w:rPr>
          <w:rFonts w:hint="eastAsia" w:ascii="宋体" w:hAnsi="宋体"/>
        </w:rPr>
        <w:t>197</w:t>
      </w:r>
      <w:r>
        <w:rPr>
          <w:rFonts w:ascii="宋体" w:hAnsi="宋体"/>
        </w:rPr>
        <w:t>-20</w:t>
      </w:r>
      <w:r>
        <w:rPr>
          <w:rFonts w:hint="eastAsia" w:ascii="宋体" w:hAnsi="宋体"/>
        </w:rPr>
        <w:t>05</w:t>
      </w:r>
      <w:r>
        <w:rPr>
          <w:rFonts w:ascii="宋体" w:hAnsi="宋体"/>
        </w:rPr>
        <w:t xml:space="preserve"> </w:t>
      </w:r>
      <w:r>
        <w:rPr>
          <w:rFonts w:hint="eastAsia" w:ascii="宋体" w:hAnsi="宋体"/>
        </w:rPr>
        <w:t>水质 亚硝酸盐氮的测定 气相分子吸收光谱法》、《</w:t>
      </w:r>
      <w:r>
        <w:rPr>
          <w:rFonts w:ascii="宋体" w:hAnsi="宋体"/>
        </w:rPr>
        <w:t>HJ</w:t>
      </w:r>
      <w:r>
        <w:rPr>
          <w:rFonts w:hint="eastAsia" w:ascii="宋体" w:hAnsi="宋体"/>
        </w:rPr>
        <w:t>198</w:t>
      </w:r>
      <w:r>
        <w:rPr>
          <w:rFonts w:ascii="宋体" w:hAnsi="宋体"/>
        </w:rPr>
        <w:t>-20</w:t>
      </w:r>
      <w:r>
        <w:rPr>
          <w:rFonts w:hint="eastAsia" w:ascii="宋体" w:hAnsi="宋体"/>
        </w:rPr>
        <w:t>05</w:t>
      </w:r>
      <w:r>
        <w:rPr>
          <w:rFonts w:ascii="宋体" w:hAnsi="宋体"/>
        </w:rPr>
        <w:t xml:space="preserve"> </w:t>
      </w:r>
      <w:r>
        <w:rPr>
          <w:rFonts w:hint="eastAsia" w:ascii="宋体" w:hAnsi="宋体"/>
        </w:rPr>
        <w:t>水质 硝酸盐氮的测定 气相分子吸收光谱法》、《</w:t>
      </w:r>
      <w:r>
        <w:rPr>
          <w:rFonts w:ascii="宋体" w:hAnsi="宋体"/>
        </w:rPr>
        <w:t>HJ</w:t>
      </w:r>
      <w:r>
        <w:rPr>
          <w:rFonts w:hint="eastAsia" w:ascii="宋体" w:hAnsi="宋体"/>
        </w:rPr>
        <w:t>199</w:t>
      </w:r>
      <w:r>
        <w:rPr>
          <w:rFonts w:ascii="宋体" w:hAnsi="宋体"/>
        </w:rPr>
        <w:t>-20</w:t>
      </w:r>
      <w:r>
        <w:rPr>
          <w:rFonts w:hint="eastAsia" w:ascii="宋体" w:hAnsi="宋体"/>
        </w:rPr>
        <w:t>23</w:t>
      </w:r>
      <w:r>
        <w:rPr>
          <w:rFonts w:ascii="宋体" w:hAnsi="宋体"/>
        </w:rPr>
        <w:t xml:space="preserve"> </w:t>
      </w:r>
      <w:r>
        <w:rPr>
          <w:rFonts w:hint="eastAsia" w:ascii="宋体" w:hAnsi="宋体"/>
        </w:rPr>
        <w:t>水质 总氮的测定 气相分子吸收光谱法》。</w:t>
      </w:r>
    </w:p>
    <w:p w14:paraId="3DE45801">
      <w:pPr>
        <w:keepNext w:val="0"/>
        <w:pageBreakBefore w:val="0"/>
        <w:kinsoku/>
        <w:wordWrap/>
        <w:overflowPunct/>
        <w:topLinePunct w:val="0"/>
        <w:bidi w:val="0"/>
        <w:adjustRightInd w:val="0"/>
        <w:snapToGrid w:val="0"/>
        <w:spacing w:line="300" w:lineRule="auto"/>
        <w:jc w:val="both"/>
        <w:textAlignment w:val="auto"/>
        <w:rPr>
          <w:rFonts w:hint="default" w:ascii="宋体" w:hAnsi="宋体" w:eastAsiaTheme="minorEastAsia"/>
          <w:lang w:val="en-US" w:eastAsia="zh-CN"/>
        </w:rPr>
      </w:pPr>
      <w:r>
        <w:rPr>
          <w:rFonts w:hint="eastAsia" w:ascii="宋体" w:hAnsi="宋体"/>
          <w:lang w:val="en-US" w:eastAsia="zh-CN"/>
        </w:rPr>
        <w:t>2.2</w:t>
      </w:r>
      <w:r>
        <w:rPr>
          <w:rFonts w:hint="eastAsia" w:cs="宋体" w:asciiTheme="minorEastAsia" w:hAnsiTheme="minorEastAsia" w:eastAsiaTheme="minorEastAsia"/>
          <w:sz w:val="24"/>
          <w:szCs w:val="24"/>
          <w:lang w:eastAsia="zh-CN"/>
        </w:rPr>
        <w:t>卖方需根据买方要求，依照国家或行业标准，建立相应运行方法和标准工作曲线。</w:t>
      </w:r>
    </w:p>
    <w:p w14:paraId="30148B06">
      <w:pPr>
        <w:keepNext w:val="0"/>
        <w:pageBreakBefore w:val="0"/>
        <w:kinsoku/>
        <w:wordWrap/>
        <w:overflowPunct/>
        <w:topLinePunct w:val="0"/>
        <w:bidi w:val="0"/>
        <w:spacing w:line="300" w:lineRule="auto"/>
        <w:jc w:val="both"/>
        <w:textAlignment w:val="auto"/>
        <w:rPr>
          <w:rFonts w:cs="宋体" w:asciiTheme="minorEastAsia" w:hAnsiTheme="minorEastAsia"/>
          <w:b/>
        </w:rPr>
      </w:pPr>
      <w:r>
        <w:rPr>
          <w:rFonts w:ascii="宋体" w:hAnsi="宋体"/>
          <w:snapToGrid w:val="0"/>
        </w:rPr>
        <w:t>*</w:t>
      </w:r>
      <w:r>
        <w:rPr>
          <w:rFonts w:cs="宋体" w:asciiTheme="minorEastAsia" w:hAnsiTheme="minorEastAsia"/>
          <w:b/>
        </w:rPr>
        <w:t>3.仪器配置</w:t>
      </w:r>
    </w:p>
    <w:tbl>
      <w:tblPr>
        <w:tblStyle w:val="31"/>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985"/>
        <w:gridCol w:w="4111"/>
        <w:gridCol w:w="1128"/>
      </w:tblGrid>
      <w:tr w14:paraId="5F19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 w:type="dxa"/>
            <w:vAlign w:val="center"/>
          </w:tcPr>
          <w:p w14:paraId="5942DC5B">
            <w:pPr>
              <w:keepNext w:val="0"/>
              <w:pageBreakBefore w:val="0"/>
              <w:kinsoku/>
              <w:wordWrap/>
              <w:overflowPunct/>
              <w:topLinePunct w:val="0"/>
              <w:bidi w:val="0"/>
              <w:adjustRightInd w:val="0"/>
              <w:snapToGrid w:val="0"/>
              <w:spacing w:line="300" w:lineRule="auto"/>
              <w:jc w:val="both"/>
              <w:textAlignment w:val="auto"/>
              <w:rPr>
                <w:rFonts w:ascii="宋体" w:hAnsi="宋体"/>
                <w:b/>
              </w:rPr>
            </w:pPr>
            <w:r>
              <w:rPr>
                <w:rFonts w:hint="eastAsia" w:ascii="宋体" w:hAnsi="宋体"/>
                <w:b/>
              </w:rPr>
              <w:t>序号</w:t>
            </w:r>
          </w:p>
        </w:tc>
        <w:tc>
          <w:tcPr>
            <w:tcW w:w="2985" w:type="dxa"/>
            <w:vAlign w:val="center"/>
          </w:tcPr>
          <w:p w14:paraId="7323FEFE">
            <w:pPr>
              <w:keepNext w:val="0"/>
              <w:pageBreakBefore w:val="0"/>
              <w:kinsoku/>
              <w:wordWrap/>
              <w:overflowPunct/>
              <w:topLinePunct w:val="0"/>
              <w:bidi w:val="0"/>
              <w:adjustRightInd w:val="0"/>
              <w:snapToGrid w:val="0"/>
              <w:spacing w:line="300" w:lineRule="auto"/>
              <w:jc w:val="both"/>
              <w:textAlignment w:val="auto"/>
              <w:rPr>
                <w:rFonts w:ascii="宋体" w:hAnsi="宋体"/>
                <w:b/>
              </w:rPr>
            </w:pPr>
            <w:r>
              <w:rPr>
                <w:rFonts w:hint="eastAsia" w:ascii="宋体" w:hAnsi="宋体"/>
                <w:b/>
              </w:rPr>
              <w:t>物资名称</w:t>
            </w:r>
          </w:p>
        </w:tc>
        <w:tc>
          <w:tcPr>
            <w:tcW w:w="4111" w:type="dxa"/>
            <w:vAlign w:val="center"/>
          </w:tcPr>
          <w:p w14:paraId="022A4A1B">
            <w:pPr>
              <w:keepNext w:val="0"/>
              <w:pageBreakBefore w:val="0"/>
              <w:kinsoku/>
              <w:wordWrap/>
              <w:overflowPunct/>
              <w:topLinePunct w:val="0"/>
              <w:bidi w:val="0"/>
              <w:adjustRightInd w:val="0"/>
              <w:snapToGrid w:val="0"/>
              <w:spacing w:line="300" w:lineRule="auto"/>
              <w:jc w:val="both"/>
              <w:textAlignment w:val="auto"/>
              <w:rPr>
                <w:rFonts w:ascii="宋体" w:hAnsi="宋体"/>
                <w:b/>
              </w:rPr>
            </w:pPr>
            <w:r>
              <w:rPr>
                <w:rFonts w:hint="eastAsia" w:ascii="宋体" w:hAnsi="宋体"/>
                <w:b/>
              </w:rPr>
              <w:t>详细描述</w:t>
            </w:r>
          </w:p>
        </w:tc>
        <w:tc>
          <w:tcPr>
            <w:tcW w:w="1128" w:type="dxa"/>
            <w:vAlign w:val="center"/>
          </w:tcPr>
          <w:p w14:paraId="7D82BFAD">
            <w:pPr>
              <w:keepNext w:val="0"/>
              <w:pageBreakBefore w:val="0"/>
              <w:kinsoku/>
              <w:wordWrap/>
              <w:overflowPunct/>
              <w:topLinePunct w:val="0"/>
              <w:bidi w:val="0"/>
              <w:adjustRightInd w:val="0"/>
              <w:snapToGrid w:val="0"/>
              <w:spacing w:line="300" w:lineRule="auto"/>
              <w:jc w:val="both"/>
              <w:textAlignment w:val="auto"/>
              <w:rPr>
                <w:rFonts w:ascii="宋体" w:hAnsi="宋体"/>
                <w:b/>
              </w:rPr>
            </w:pPr>
            <w:r>
              <w:rPr>
                <w:rFonts w:hint="eastAsia" w:ascii="宋体" w:hAnsi="宋体"/>
                <w:b/>
              </w:rPr>
              <w:t>数量</w:t>
            </w:r>
          </w:p>
        </w:tc>
      </w:tr>
      <w:tr w14:paraId="1BF2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 w:type="dxa"/>
            <w:vAlign w:val="center"/>
          </w:tcPr>
          <w:p w14:paraId="6F18FAB2">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w:t>
            </w:r>
          </w:p>
        </w:tc>
        <w:tc>
          <w:tcPr>
            <w:tcW w:w="2985" w:type="dxa"/>
            <w:vAlign w:val="center"/>
          </w:tcPr>
          <w:p w14:paraId="05B78E44">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气相分子吸收主机</w:t>
            </w:r>
          </w:p>
        </w:tc>
        <w:tc>
          <w:tcPr>
            <w:tcW w:w="4111" w:type="dxa"/>
            <w:vAlign w:val="center"/>
          </w:tcPr>
          <w:p w14:paraId="6C157D4A">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包含且不限于标准配置和随机配件，整机直接可以用于测试，配氘灯/锌空心阴极灯</w:t>
            </w:r>
          </w:p>
        </w:tc>
        <w:tc>
          <w:tcPr>
            <w:tcW w:w="1128" w:type="dxa"/>
            <w:vAlign w:val="center"/>
          </w:tcPr>
          <w:p w14:paraId="5D787D3F">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1套</w:t>
            </w:r>
          </w:p>
        </w:tc>
      </w:tr>
      <w:tr w14:paraId="6206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 w:type="dxa"/>
            <w:vAlign w:val="center"/>
          </w:tcPr>
          <w:p w14:paraId="1088A372">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2</w:t>
            </w:r>
          </w:p>
        </w:tc>
        <w:tc>
          <w:tcPr>
            <w:tcW w:w="2985" w:type="dxa"/>
            <w:vAlign w:val="center"/>
          </w:tcPr>
          <w:p w14:paraId="1D4C6D6D">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自动进样器</w:t>
            </w:r>
          </w:p>
        </w:tc>
        <w:tc>
          <w:tcPr>
            <w:tcW w:w="4111" w:type="dxa"/>
            <w:vAlign w:val="center"/>
          </w:tcPr>
          <w:p w14:paraId="0E685B6C">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最少满足</w:t>
            </w:r>
            <w:r>
              <w:rPr>
                <w:rFonts w:asciiTheme="minorEastAsia" w:hAnsiTheme="minorEastAsia"/>
              </w:rPr>
              <w:t>50位自动进样器</w:t>
            </w:r>
            <w:r>
              <w:rPr>
                <w:rFonts w:hint="eastAsia" w:asciiTheme="minorEastAsia" w:hAnsiTheme="minorEastAsia"/>
              </w:rPr>
              <w:t>，自动稀释最少满足60倍稀释。</w:t>
            </w:r>
          </w:p>
        </w:tc>
        <w:tc>
          <w:tcPr>
            <w:tcW w:w="1128" w:type="dxa"/>
            <w:vAlign w:val="center"/>
          </w:tcPr>
          <w:p w14:paraId="203A646C">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1套</w:t>
            </w:r>
          </w:p>
        </w:tc>
      </w:tr>
      <w:tr w14:paraId="15E9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28" w:type="dxa"/>
            <w:vAlign w:val="center"/>
          </w:tcPr>
          <w:p w14:paraId="2E9B8AE1">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3</w:t>
            </w:r>
          </w:p>
        </w:tc>
        <w:tc>
          <w:tcPr>
            <w:tcW w:w="2985" w:type="dxa"/>
            <w:vAlign w:val="center"/>
          </w:tcPr>
          <w:p w14:paraId="6ADE2598">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吹扫均质系统</w:t>
            </w:r>
          </w:p>
        </w:tc>
        <w:tc>
          <w:tcPr>
            <w:tcW w:w="4111" w:type="dxa"/>
            <w:vAlign w:val="center"/>
          </w:tcPr>
          <w:p w14:paraId="3901961B">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自动去除</w:t>
            </w:r>
            <w:r>
              <w:rPr>
                <w:rFonts w:asciiTheme="minorEastAsia" w:hAnsiTheme="minorEastAsia"/>
              </w:rPr>
              <w:t>VOC干扰；能够将容易分层的样品均质化，取样更有代表性；</w:t>
            </w:r>
          </w:p>
        </w:tc>
        <w:tc>
          <w:tcPr>
            <w:tcW w:w="1128" w:type="dxa"/>
            <w:vAlign w:val="center"/>
          </w:tcPr>
          <w:p w14:paraId="59676099">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1套</w:t>
            </w:r>
          </w:p>
        </w:tc>
      </w:tr>
      <w:tr w14:paraId="626E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 w:type="dxa"/>
            <w:vAlign w:val="center"/>
          </w:tcPr>
          <w:p w14:paraId="7AF69093">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4</w:t>
            </w:r>
          </w:p>
        </w:tc>
        <w:tc>
          <w:tcPr>
            <w:tcW w:w="2985" w:type="dxa"/>
            <w:vAlign w:val="center"/>
          </w:tcPr>
          <w:p w14:paraId="4BBE611D">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还原剂去消除模块</w:t>
            </w:r>
          </w:p>
        </w:tc>
        <w:tc>
          <w:tcPr>
            <w:tcW w:w="4111" w:type="dxa"/>
            <w:vAlign w:val="center"/>
          </w:tcPr>
          <w:p w14:paraId="1143BD9F">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氨氮测试时，去除样品中还原剂对氨氮氧化效果的干扰</w:t>
            </w:r>
          </w:p>
        </w:tc>
        <w:tc>
          <w:tcPr>
            <w:tcW w:w="1128" w:type="dxa"/>
            <w:vAlign w:val="center"/>
          </w:tcPr>
          <w:p w14:paraId="6023F9A5">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1套</w:t>
            </w:r>
          </w:p>
        </w:tc>
      </w:tr>
      <w:tr w14:paraId="50D5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 w:type="dxa"/>
            <w:vAlign w:val="center"/>
          </w:tcPr>
          <w:p w14:paraId="3062D04B">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5</w:t>
            </w:r>
          </w:p>
        </w:tc>
        <w:tc>
          <w:tcPr>
            <w:tcW w:w="2985" w:type="dxa"/>
            <w:vAlign w:val="center"/>
          </w:tcPr>
          <w:p w14:paraId="528BD7FE">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氨氮快速氧化装置</w:t>
            </w:r>
          </w:p>
        </w:tc>
        <w:tc>
          <w:tcPr>
            <w:tcW w:w="4111" w:type="dxa"/>
            <w:vAlign w:val="center"/>
          </w:tcPr>
          <w:p w14:paraId="31EBA3C7">
            <w:pPr>
              <w:keepNext w:val="0"/>
              <w:pageBreakBefore w:val="0"/>
              <w:kinsoku/>
              <w:wordWrap/>
              <w:overflowPunct/>
              <w:topLinePunct w:val="0"/>
              <w:bidi w:val="0"/>
              <w:spacing w:line="300" w:lineRule="auto"/>
              <w:jc w:val="both"/>
              <w:textAlignment w:val="auto"/>
              <w:rPr>
                <w:rFonts w:asciiTheme="minorEastAsia" w:hAnsiTheme="minorEastAsia"/>
              </w:rPr>
            </w:pPr>
            <w:r>
              <w:rPr>
                <w:rFonts w:ascii="宋体" w:hAnsi="宋体" w:cs="宋体"/>
                <w:spacing w:val="10"/>
              </w:rPr>
              <w:t>仪器在线自动把氨氮氧化为亚硝酸盐氮</w:t>
            </w:r>
          </w:p>
        </w:tc>
        <w:tc>
          <w:tcPr>
            <w:tcW w:w="1128" w:type="dxa"/>
            <w:vAlign w:val="center"/>
          </w:tcPr>
          <w:p w14:paraId="13D31662">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1套</w:t>
            </w:r>
          </w:p>
        </w:tc>
      </w:tr>
      <w:tr w14:paraId="4FB6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 w:type="dxa"/>
            <w:vAlign w:val="center"/>
          </w:tcPr>
          <w:p w14:paraId="07BF9F42">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6</w:t>
            </w:r>
          </w:p>
        </w:tc>
        <w:tc>
          <w:tcPr>
            <w:tcW w:w="2985" w:type="dxa"/>
            <w:vAlign w:val="center"/>
          </w:tcPr>
          <w:p w14:paraId="2136EC11">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总氮在线消解模块</w:t>
            </w:r>
          </w:p>
        </w:tc>
        <w:tc>
          <w:tcPr>
            <w:tcW w:w="4111" w:type="dxa"/>
            <w:vAlign w:val="center"/>
          </w:tcPr>
          <w:p w14:paraId="51DC8120">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在线紫外消解</w:t>
            </w:r>
          </w:p>
        </w:tc>
        <w:tc>
          <w:tcPr>
            <w:tcW w:w="1128" w:type="dxa"/>
            <w:vAlign w:val="center"/>
          </w:tcPr>
          <w:p w14:paraId="4CDD8C96">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1套</w:t>
            </w:r>
          </w:p>
        </w:tc>
      </w:tr>
      <w:tr w14:paraId="6801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8" w:type="dxa"/>
            <w:vAlign w:val="center"/>
          </w:tcPr>
          <w:p w14:paraId="13DA27DA">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7</w:t>
            </w:r>
          </w:p>
        </w:tc>
        <w:tc>
          <w:tcPr>
            <w:tcW w:w="2985" w:type="dxa"/>
            <w:vAlign w:val="center"/>
          </w:tcPr>
          <w:p w14:paraId="68372396">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工作站和许可证</w:t>
            </w:r>
          </w:p>
        </w:tc>
        <w:tc>
          <w:tcPr>
            <w:tcW w:w="4111" w:type="dxa"/>
            <w:vAlign w:val="center"/>
          </w:tcPr>
          <w:p w14:paraId="0E16B312">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同品牌正版工作站软件</w:t>
            </w:r>
          </w:p>
        </w:tc>
        <w:tc>
          <w:tcPr>
            <w:tcW w:w="1128" w:type="dxa"/>
            <w:vAlign w:val="center"/>
          </w:tcPr>
          <w:p w14:paraId="23952409">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1套</w:t>
            </w:r>
          </w:p>
        </w:tc>
      </w:tr>
      <w:tr w14:paraId="6DF3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tcPr>
          <w:p w14:paraId="301A0920">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8</w:t>
            </w:r>
          </w:p>
        </w:tc>
        <w:tc>
          <w:tcPr>
            <w:tcW w:w="2985" w:type="dxa"/>
          </w:tcPr>
          <w:p w14:paraId="71D87A34">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说明书</w:t>
            </w:r>
          </w:p>
        </w:tc>
        <w:tc>
          <w:tcPr>
            <w:tcW w:w="4111" w:type="dxa"/>
          </w:tcPr>
          <w:p w14:paraId="06410C5F">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书面中文说明书、故障诊断资料、电子版说明书</w:t>
            </w:r>
            <w:r>
              <w:rPr>
                <w:rFonts w:asciiTheme="minorEastAsia" w:hAnsiTheme="minorEastAsia"/>
              </w:rPr>
              <w:t>(存U盘)</w:t>
            </w:r>
          </w:p>
        </w:tc>
        <w:tc>
          <w:tcPr>
            <w:tcW w:w="1128" w:type="dxa"/>
          </w:tcPr>
          <w:p w14:paraId="2EA0705D">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2套</w:t>
            </w:r>
          </w:p>
        </w:tc>
      </w:tr>
      <w:tr w14:paraId="31FC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28" w:type="dxa"/>
          </w:tcPr>
          <w:p w14:paraId="16EAA7A3">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9</w:t>
            </w:r>
          </w:p>
        </w:tc>
        <w:tc>
          <w:tcPr>
            <w:tcW w:w="2985" w:type="dxa"/>
          </w:tcPr>
          <w:p w14:paraId="244F11FE">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仪器相关资料</w:t>
            </w:r>
          </w:p>
        </w:tc>
        <w:tc>
          <w:tcPr>
            <w:tcW w:w="4111" w:type="dxa"/>
          </w:tcPr>
          <w:p w14:paraId="63561923">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合格证书</w:t>
            </w:r>
          </w:p>
        </w:tc>
        <w:tc>
          <w:tcPr>
            <w:tcW w:w="1128" w:type="dxa"/>
          </w:tcPr>
          <w:p w14:paraId="1F1A6ED9">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1套</w:t>
            </w:r>
          </w:p>
        </w:tc>
      </w:tr>
      <w:tr w14:paraId="005B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28" w:type="dxa"/>
          </w:tcPr>
          <w:p w14:paraId="1BA6E8E0">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10</w:t>
            </w:r>
          </w:p>
        </w:tc>
        <w:tc>
          <w:tcPr>
            <w:tcW w:w="2985" w:type="dxa"/>
          </w:tcPr>
          <w:p w14:paraId="0E152C32">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仪器电脑</w:t>
            </w:r>
          </w:p>
        </w:tc>
        <w:tc>
          <w:tcPr>
            <w:tcW w:w="4111" w:type="dxa"/>
          </w:tcPr>
          <w:p w14:paraId="7A353D1B">
            <w:pPr>
              <w:keepNext w:val="0"/>
              <w:pageBreakBefore w:val="0"/>
              <w:kinsoku/>
              <w:wordWrap/>
              <w:overflowPunct/>
              <w:topLinePunct w:val="0"/>
              <w:bidi w:val="0"/>
              <w:spacing w:line="300" w:lineRule="auto"/>
              <w:jc w:val="both"/>
              <w:textAlignment w:val="auto"/>
              <w:rPr>
                <w:rFonts w:asciiTheme="minorEastAsia" w:hAnsiTheme="minorEastAsia"/>
              </w:rPr>
            </w:pPr>
            <w:r>
              <w:rPr>
                <w:rFonts w:hint="eastAsia" w:asciiTheme="minorEastAsia" w:hAnsiTheme="minorEastAsia"/>
              </w:rPr>
              <w:t>主机、显示器，符合配置要求</w:t>
            </w:r>
          </w:p>
        </w:tc>
        <w:tc>
          <w:tcPr>
            <w:tcW w:w="1128" w:type="dxa"/>
          </w:tcPr>
          <w:p w14:paraId="3DE972A6">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1套</w:t>
            </w:r>
          </w:p>
        </w:tc>
      </w:tr>
      <w:tr w14:paraId="4502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28" w:type="dxa"/>
          </w:tcPr>
          <w:p w14:paraId="6C0ECF7C">
            <w:pPr>
              <w:keepNext w:val="0"/>
              <w:pageBreakBefore w:val="0"/>
              <w:kinsoku/>
              <w:wordWrap/>
              <w:overflowPunct/>
              <w:topLinePunct w:val="0"/>
              <w:bidi w:val="0"/>
              <w:spacing w:line="300" w:lineRule="auto"/>
              <w:jc w:val="both"/>
              <w:textAlignment w:val="auto"/>
              <w:rPr>
                <w:rFonts w:hint="default" w:asciiTheme="minorEastAsia" w:hAnsiTheme="minorEastAsia" w:eastAsiaTheme="minorEastAsia"/>
                <w:lang w:val="en-US" w:eastAsia="zh-CN"/>
              </w:rPr>
            </w:pPr>
            <w:r>
              <w:rPr>
                <w:rFonts w:hint="eastAsia" w:asciiTheme="minorEastAsia" w:hAnsiTheme="minorEastAsia"/>
                <w:lang w:val="en-US" w:eastAsia="zh-CN"/>
              </w:rPr>
              <w:t>11</w:t>
            </w:r>
          </w:p>
        </w:tc>
        <w:tc>
          <w:tcPr>
            <w:tcW w:w="2985" w:type="dxa"/>
          </w:tcPr>
          <w:p w14:paraId="01A9DC17">
            <w:pPr>
              <w:keepNext w:val="0"/>
              <w:pageBreakBefore w:val="0"/>
              <w:kinsoku/>
              <w:wordWrap/>
              <w:overflowPunct/>
              <w:topLinePunct w:val="0"/>
              <w:bidi w:val="0"/>
              <w:spacing w:line="300" w:lineRule="auto"/>
              <w:jc w:val="both"/>
              <w:textAlignment w:val="auto"/>
              <w:rPr>
                <w:rFonts w:hint="default" w:asciiTheme="minorEastAsia" w:hAnsiTheme="minorEastAsia" w:eastAsiaTheme="minorEastAsia"/>
                <w:lang w:val="en-US" w:eastAsia="zh-CN"/>
              </w:rPr>
            </w:pPr>
            <w:r>
              <w:rPr>
                <w:rFonts w:hint="eastAsia" w:asciiTheme="minorEastAsia" w:hAnsiTheme="minorEastAsia"/>
                <w:lang w:val="en-US" w:eastAsia="zh-CN"/>
              </w:rPr>
              <w:t>仪器调试所需试剂</w:t>
            </w:r>
          </w:p>
        </w:tc>
        <w:tc>
          <w:tcPr>
            <w:tcW w:w="4111" w:type="dxa"/>
          </w:tcPr>
          <w:p w14:paraId="4D4DB046">
            <w:pPr>
              <w:keepNext w:val="0"/>
              <w:pageBreakBefore w:val="0"/>
              <w:kinsoku/>
              <w:wordWrap/>
              <w:overflowPunct/>
              <w:topLinePunct w:val="0"/>
              <w:bidi w:val="0"/>
              <w:spacing w:line="300" w:lineRule="auto"/>
              <w:jc w:val="both"/>
              <w:textAlignment w:val="auto"/>
              <w:rPr>
                <w:rFonts w:hint="eastAsia" w:asciiTheme="minorEastAsia" w:hAnsiTheme="minorEastAsia"/>
              </w:rPr>
            </w:pPr>
          </w:p>
        </w:tc>
        <w:tc>
          <w:tcPr>
            <w:tcW w:w="1128" w:type="dxa"/>
          </w:tcPr>
          <w:p w14:paraId="6A7F5735">
            <w:pPr>
              <w:keepNext w:val="0"/>
              <w:pageBreakBefore w:val="0"/>
              <w:kinsoku/>
              <w:wordWrap/>
              <w:overflowPunct/>
              <w:topLinePunct w:val="0"/>
              <w:bidi w:val="0"/>
              <w:spacing w:line="300" w:lineRule="auto"/>
              <w:jc w:val="both"/>
              <w:textAlignment w:val="auto"/>
              <w:rPr>
                <w:rFonts w:asciiTheme="minorEastAsia" w:hAnsiTheme="minorEastAsia"/>
              </w:rPr>
            </w:pPr>
            <w:r>
              <w:rPr>
                <w:rFonts w:asciiTheme="minorEastAsia" w:hAnsiTheme="minorEastAsia"/>
              </w:rPr>
              <w:t>1套</w:t>
            </w:r>
          </w:p>
        </w:tc>
      </w:tr>
    </w:tbl>
    <w:p w14:paraId="22FF95EE">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cstheme="minorEastAsia"/>
        </w:rPr>
      </w:pPr>
      <w:r>
        <w:rPr>
          <w:rFonts w:ascii="宋体" w:hAnsi="宋体"/>
          <w:snapToGrid w:val="0"/>
        </w:rPr>
        <w:t>*</w:t>
      </w:r>
      <w:r>
        <w:rPr>
          <w:rFonts w:asciiTheme="minorEastAsia" w:hAnsiTheme="minorEastAsia"/>
          <w:b/>
        </w:rPr>
        <w:t>4</w:t>
      </w:r>
      <w:r>
        <w:rPr>
          <w:rFonts w:hint="eastAsia" w:asciiTheme="minorEastAsia" w:hAnsiTheme="minorEastAsia"/>
          <w:b/>
        </w:rPr>
        <w:t>、备品备件</w:t>
      </w:r>
    </w:p>
    <w:p w14:paraId="78166C0D">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4.1标准溶液</w:t>
      </w:r>
    </w:p>
    <w:p w14:paraId="747D76F7">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4.1.1硫化物，浓度1000mg/L，体积20mL，数量1瓶；</w:t>
      </w:r>
    </w:p>
    <w:p w14:paraId="385840FA">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4.1.2 氨氮，浓度1000mg/L，体积20mL，数量1瓶；</w:t>
      </w:r>
    </w:p>
    <w:p w14:paraId="19113F47">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4.1.3 总氮，浓度1000mg/L，体积20mL，数量1瓶；</w:t>
      </w:r>
    </w:p>
    <w:p w14:paraId="1E4FF641">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4.1.4 亚硝酸氮，浓度1000mg/L，体积20mL，数量1瓶；</w:t>
      </w:r>
    </w:p>
    <w:p w14:paraId="25319FD3">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4.1.5 硝酸盐氮，浓度1000mg/L，体积20mL，数量1瓶；</w:t>
      </w:r>
    </w:p>
    <w:p w14:paraId="57656765">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4.2 外接管路1套，含载气减压阀及管路接口；</w:t>
      </w:r>
    </w:p>
    <w:p w14:paraId="05A8C495">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hint="eastAsia" w:ascii="宋体" w:hAnsi="宋体"/>
        </w:rPr>
        <w:t xml:space="preserve">4.3 蠕动泵管 </w:t>
      </w:r>
      <w:r>
        <w:rPr>
          <w:rFonts w:hint="eastAsia" w:ascii="宋体" w:hAnsi="宋体"/>
          <w:lang w:val="en-US" w:eastAsia="zh-CN"/>
        </w:rPr>
        <w:t>36</w:t>
      </w:r>
      <w:r>
        <w:rPr>
          <w:rFonts w:hint="eastAsia" w:ascii="宋体" w:hAnsi="宋体"/>
        </w:rPr>
        <w:t>根；</w:t>
      </w:r>
    </w:p>
    <w:p w14:paraId="69268D24">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4.4</w:t>
      </w:r>
      <w:r>
        <w:rPr>
          <w:rFonts w:hint="eastAsia" w:ascii="宋体" w:hAnsi="宋体"/>
        </w:rPr>
        <w:t xml:space="preserve"> 样品管200个；</w:t>
      </w:r>
    </w:p>
    <w:p w14:paraId="01ED201F">
      <w:pPr>
        <w:keepNext w:val="0"/>
        <w:pageBreakBefore w:val="0"/>
        <w:kinsoku/>
        <w:wordWrap/>
        <w:overflowPunct/>
        <w:topLinePunct w:val="0"/>
        <w:bidi w:val="0"/>
        <w:adjustRightInd w:val="0"/>
        <w:snapToGrid w:val="0"/>
        <w:spacing w:line="300" w:lineRule="auto"/>
        <w:jc w:val="both"/>
        <w:textAlignment w:val="auto"/>
        <w:rPr>
          <w:rFonts w:hint="eastAsia" w:ascii="宋体" w:hAnsi="宋体"/>
        </w:rPr>
      </w:pPr>
      <w:r>
        <w:rPr>
          <w:rFonts w:hint="eastAsia" w:ascii="宋体" w:hAnsi="宋体"/>
        </w:rPr>
        <w:t>4.5 进样针1根；</w:t>
      </w:r>
    </w:p>
    <w:p w14:paraId="16E40488">
      <w:pPr>
        <w:keepNext w:val="0"/>
        <w:pageBreakBefore w:val="0"/>
        <w:kinsoku/>
        <w:wordWrap/>
        <w:overflowPunct/>
        <w:topLinePunct w:val="0"/>
        <w:bidi w:val="0"/>
        <w:adjustRightInd w:val="0"/>
        <w:snapToGrid w:val="0"/>
        <w:spacing w:line="300" w:lineRule="auto"/>
        <w:jc w:val="both"/>
        <w:textAlignment w:val="auto"/>
        <w:rPr>
          <w:rFonts w:hint="default" w:ascii="宋体" w:hAnsi="宋体" w:eastAsiaTheme="minorEastAsia"/>
          <w:lang w:val="en-US" w:eastAsia="zh-CN"/>
        </w:rPr>
      </w:pPr>
      <w:r>
        <w:rPr>
          <w:rFonts w:hint="eastAsia" w:ascii="宋体" w:hAnsi="宋体"/>
          <w:lang w:val="en-US" w:eastAsia="zh-CN"/>
        </w:rPr>
        <w:t>4.6 灯源1支</w:t>
      </w:r>
      <w:r>
        <w:rPr>
          <w:rFonts w:hint="eastAsia" w:ascii="宋体" w:hAnsi="宋体"/>
        </w:rPr>
        <w:t>；</w:t>
      </w:r>
    </w:p>
    <w:p w14:paraId="21B1A26C">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4</w:t>
      </w:r>
      <w:r>
        <w:rPr>
          <w:rFonts w:hint="eastAsia" w:ascii="宋体" w:hAnsi="宋体"/>
        </w:rPr>
        <w:t>.</w:t>
      </w:r>
      <w:r>
        <w:rPr>
          <w:rFonts w:hint="eastAsia" w:ascii="宋体" w:hAnsi="宋体"/>
          <w:lang w:val="en-US" w:eastAsia="zh-CN"/>
        </w:rPr>
        <w:t>7</w:t>
      </w:r>
      <w:r>
        <w:rPr>
          <w:rFonts w:hint="eastAsia" w:ascii="宋体" w:hAnsi="宋体"/>
        </w:rPr>
        <w:t xml:space="preserve"> 其他易损件及耗品满足两年用量；</w:t>
      </w:r>
    </w:p>
    <w:p w14:paraId="60E5CA22">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4</w:t>
      </w:r>
      <w:r>
        <w:rPr>
          <w:rFonts w:hint="eastAsia" w:ascii="宋体" w:hAnsi="宋体"/>
        </w:rPr>
        <w:t>.</w:t>
      </w:r>
      <w:r>
        <w:rPr>
          <w:rFonts w:hint="eastAsia" w:ascii="宋体" w:hAnsi="宋体"/>
          <w:lang w:val="en-US" w:eastAsia="zh-CN"/>
        </w:rPr>
        <w:t>8</w:t>
      </w:r>
      <w:r>
        <w:rPr>
          <w:rFonts w:hint="eastAsia" w:ascii="宋体" w:hAnsi="宋体"/>
        </w:rPr>
        <w:t xml:space="preserve"> 仪器配套的工具包一套。</w:t>
      </w:r>
    </w:p>
    <w:p w14:paraId="61DD0F74">
      <w:pPr>
        <w:keepNext w:val="0"/>
        <w:pageBreakBefore w:val="0"/>
        <w:kinsoku/>
        <w:wordWrap/>
        <w:overflowPunct/>
        <w:topLinePunct w:val="0"/>
        <w:bidi w:val="0"/>
        <w:adjustRightInd w:val="0"/>
        <w:snapToGrid w:val="0"/>
        <w:spacing w:line="300" w:lineRule="auto"/>
        <w:jc w:val="both"/>
        <w:textAlignment w:val="auto"/>
        <w:rPr>
          <w:rFonts w:ascii="宋体" w:hAnsi="宋体"/>
          <w:b/>
        </w:rPr>
      </w:pPr>
      <w:r>
        <w:rPr>
          <w:rFonts w:hint="eastAsia" w:ascii="宋体" w:hAnsi="宋体"/>
          <w:b/>
        </w:rPr>
        <w:t>5.电脑配置</w:t>
      </w:r>
    </w:p>
    <w:p w14:paraId="779F3067">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 xml:space="preserve">5.1 </w:t>
      </w:r>
      <w:r>
        <w:rPr>
          <w:rFonts w:hint="eastAsia" w:asciiTheme="minorEastAsia" w:hAnsiTheme="minorEastAsia"/>
        </w:rPr>
        <w:t xml:space="preserve">整机品牌商用台式电脑；配置不低于：CPU  </w:t>
      </w:r>
      <w:r>
        <w:rPr>
          <w:rFonts w:asciiTheme="minorEastAsia" w:hAnsiTheme="minorEastAsia"/>
        </w:rPr>
        <w:t>intel</w:t>
      </w:r>
      <w:r>
        <w:rPr>
          <w:rFonts w:hint="eastAsia" w:asciiTheme="minorEastAsia" w:hAnsiTheme="minorEastAsia"/>
        </w:rPr>
        <w:t>十四代</w:t>
      </w:r>
      <w:r>
        <w:rPr>
          <w:rFonts w:asciiTheme="minorEastAsia" w:hAnsiTheme="minorEastAsia"/>
        </w:rPr>
        <w:t>i7</w:t>
      </w:r>
      <w:r>
        <w:rPr>
          <w:rFonts w:hint="eastAsia" w:asciiTheme="minorEastAsia" w:hAnsiTheme="minorEastAsia"/>
        </w:rPr>
        <w:t xml:space="preserve"> 1</w:t>
      </w:r>
      <w:r>
        <w:rPr>
          <w:rFonts w:asciiTheme="minorEastAsia" w:hAnsiTheme="minorEastAsia"/>
        </w:rPr>
        <w:t>4</w:t>
      </w:r>
      <w:r>
        <w:rPr>
          <w:rFonts w:hint="eastAsia" w:asciiTheme="minorEastAsia" w:hAnsiTheme="minorEastAsia"/>
        </w:rPr>
        <w:t>700；</w:t>
      </w:r>
      <w:r>
        <w:rPr>
          <w:rFonts w:asciiTheme="minorEastAsia" w:hAnsiTheme="minorEastAsia"/>
        </w:rPr>
        <w:t>512</w:t>
      </w:r>
      <w:r>
        <w:rPr>
          <w:rFonts w:hint="eastAsia" w:asciiTheme="minorEastAsia" w:hAnsiTheme="minorEastAsia"/>
        </w:rPr>
        <w:t>SSD</w:t>
      </w:r>
      <w:r>
        <w:rPr>
          <w:rFonts w:asciiTheme="minorEastAsia" w:hAnsiTheme="minorEastAsia"/>
        </w:rPr>
        <w:t>+</w:t>
      </w:r>
      <w:r>
        <w:rPr>
          <w:rFonts w:hint="eastAsia" w:asciiTheme="minorEastAsia" w:hAnsiTheme="minorEastAsia"/>
        </w:rPr>
        <w:t>1T的硬盘；32G</w:t>
      </w:r>
      <w:r>
        <w:rPr>
          <w:rFonts w:asciiTheme="minorEastAsia" w:hAnsiTheme="minorEastAsia"/>
        </w:rPr>
        <w:t xml:space="preserve"> </w:t>
      </w:r>
      <w:r>
        <w:rPr>
          <w:rFonts w:hint="eastAsia" w:asciiTheme="minorEastAsia" w:hAnsiTheme="minorEastAsia"/>
        </w:rPr>
        <w:t>D</w:t>
      </w:r>
      <w:r>
        <w:rPr>
          <w:rFonts w:asciiTheme="minorEastAsia" w:hAnsiTheme="minorEastAsia"/>
        </w:rPr>
        <w:t>DR5</w:t>
      </w:r>
      <w:r>
        <w:rPr>
          <w:rFonts w:hint="eastAsia" w:asciiTheme="minorEastAsia" w:hAnsiTheme="minorEastAsia"/>
        </w:rPr>
        <w:t>内存；</w:t>
      </w:r>
      <w:r>
        <w:rPr>
          <w:rFonts w:hint="eastAsia" w:asciiTheme="minorEastAsia" w:hAnsiTheme="minorEastAsia"/>
          <w:lang w:val="en-US" w:eastAsia="zh-CN"/>
        </w:rPr>
        <w:t>同品牌</w:t>
      </w:r>
      <w:r>
        <w:rPr>
          <w:rFonts w:asciiTheme="minorEastAsia" w:hAnsiTheme="minorEastAsia"/>
        </w:rPr>
        <w:t>23</w:t>
      </w:r>
      <w:r>
        <w:rPr>
          <w:rFonts w:hint="eastAsia" w:asciiTheme="minorEastAsia" w:hAnsiTheme="minorEastAsia"/>
        </w:rPr>
        <w:t>寸宽屏液晶显示器；独立显卡4G；100/1000Mbps有线及无线双网卡；光驱；标准鼠标和键盘。机箱容积不小于17L</w:t>
      </w:r>
      <w:r>
        <w:rPr>
          <w:rFonts w:hint="eastAsia" w:ascii="宋体" w:hAnsi="宋体" w:cs="宋体"/>
          <w:color w:val="000000" w:themeColor="text1"/>
          <w:sz w:val="24"/>
          <w:szCs w:val="24"/>
          <w:highlight w:val="none"/>
          <w:lang w:val="de-DE" w:eastAsia="zh-CN"/>
          <w14:textFill>
            <w14:solidFill>
              <w14:schemeClr w14:val="tx1"/>
            </w14:solidFill>
          </w14:textFill>
        </w:rPr>
        <w:t>并带机箱散热风扇</w:t>
      </w:r>
      <w:r>
        <w:rPr>
          <w:rFonts w:hint="eastAsia" w:asciiTheme="minorEastAsia" w:hAnsiTheme="minorEastAsia"/>
        </w:rPr>
        <w:t>。有满足与仪器联接的接口。若仪器与计算机以LAN接口通讯，则电脑主机需带2个网卡。预装正版Windows 11专业版64位操作系统和应用软件。</w:t>
      </w:r>
    </w:p>
    <w:p w14:paraId="45ABACC7">
      <w:pPr>
        <w:keepNext w:val="0"/>
        <w:pageBreakBefore w:val="0"/>
        <w:kinsoku/>
        <w:wordWrap/>
        <w:overflowPunct/>
        <w:topLinePunct w:val="0"/>
        <w:bidi w:val="0"/>
        <w:adjustRightInd w:val="0"/>
        <w:snapToGrid w:val="0"/>
        <w:spacing w:line="300" w:lineRule="auto"/>
        <w:jc w:val="both"/>
        <w:textAlignment w:val="auto"/>
        <w:rPr>
          <w:rFonts w:ascii="宋体" w:hAnsi="宋体"/>
        </w:rPr>
      </w:pPr>
      <w:r>
        <w:rPr>
          <w:rFonts w:ascii="宋体" w:hAnsi="宋体"/>
        </w:rPr>
        <w:t xml:space="preserve">5.2 </w:t>
      </w:r>
      <w:r>
        <w:rPr>
          <w:rFonts w:hint="eastAsia" w:ascii="宋体" w:hAnsi="宋体"/>
        </w:rPr>
        <w:t>配置五口千兆钢壳交换机</w:t>
      </w:r>
      <w:r>
        <w:rPr>
          <w:rFonts w:ascii="宋体" w:hAnsi="宋体"/>
        </w:rPr>
        <w:t>1台及5米CAT6类RJ45网线2条。</w:t>
      </w:r>
    </w:p>
    <w:p w14:paraId="5AAC78BD">
      <w:pPr>
        <w:keepNext w:val="0"/>
        <w:pageBreakBefore w:val="0"/>
        <w:kinsoku/>
        <w:wordWrap/>
        <w:overflowPunct/>
        <w:topLinePunct w:val="0"/>
        <w:bidi w:val="0"/>
        <w:adjustRightInd w:val="0"/>
        <w:snapToGrid w:val="0"/>
        <w:spacing w:line="300" w:lineRule="auto"/>
        <w:jc w:val="both"/>
        <w:textAlignment w:val="auto"/>
        <w:rPr>
          <w:rFonts w:asciiTheme="minorEastAsia" w:hAnsiTheme="minorEastAsia"/>
          <w:b/>
          <w:bCs/>
        </w:rPr>
      </w:pPr>
      <w:r>
        <w:rPr>
          <w:rFonts w:asciiTheme="minorEastAsia" w:hAnsiTheme="minorEastAsia"/>
          <w:b/>
          <w:bCs/>
        </w:rPr>
        <w:t>6.业绩证明</w:t>
      </w:r>
    </w:p>
    <w:p w14:paraId="2BB59682">
      <w:pPr>
        <w:keepNext w:val="0"/>
        <w:pageBreakBefore w:val="0"/>
        <w:numPr>
          <w:ilvl w:val="255"/>
          <w:numId w:val="0"/>
        </w:numPr>
        <w:kinsoku/>
        <w:wordWrap/>
        <w:overflowPunct/>
        <w:topLinePunct w:val="0"/>
        <w:bidi w:val="0"/>
        <w:adjustRightInd w:val="0"/>
        <w:snapToGrid w:val="0"/>
        <w:spacing w:line="300" w:lineRule="auto"/>
        <w:jc w:val="both"/>
        <w:textAlignment w:val="auto"/>
        <w:rPr>
          <w:rFonts w:ascii="宋体" w:hAnsi="宋体"/>
        </w:rPr>
      </w:pPr>
      <w:r>
        <w:rPr>
          <w:rFonts w:ascii="宋体" w:hAnsi="宋体"/>
        </w:rPr>
        <w:t>6.1 业绩要求：</w:t>
      </w:r>
      <w:r>
        <w:rPr>
          <w:rFonts w:hint="eastAsia" w:ascii="宋体" w:hAnsi="宋体"/>
        </w:rPr>
        <w:t>供应商应提供最少3份</w:t>
      </w:r>
      <w:r>
        <w:rPr>
          <w:rFonts w:ascii="宋体" w:hAnsi="宋体"/>
        </w:rPr>
        <w:t>500万吨及以上炼化一体化装置的产品应用案例，提供业绩合同及发票作为佐证材料。</w:t>
      </w:r>
      <w:r>
        <w:rPr>
          <w:rFonts w:hint="eastAsia" w:ascii="宋体" w:hAnsi="宋体"/>
        </w:rPr>
        <w:t>产品生产厂家2020年至今，在中石油、中石化、中海油系统石化行业不少于5个同类产品业绩（需提供投标人或投标产品生产厂家与中石油、中石化、中海油系统采购单位签定的合同复印件为证明材料，合同上需有产品名称、品牌或生产厂家的信息，且与投标产品一致；有合同双方的印章）。</w:t>
      </w:r>
    </w:p>
    <w:p w14:paraId="05BD1791">
      <w:pPr>
        <w:keepNext w:val="0"/>
        <w:pageBreakBefore w:val="0"/>
        <w:numPr>
          <w:ilvl w:val="255"/>
          <w:numId w:val="0"/>
        </w:numPr>
        <w:kinsoku/>
        <w:wordWrap/>
        <w:overflowPunct/>
        <w:topLinePunct w:val="0"/>
        <w:bidi w:val="0"/>
        <w:adjustRightInd w:val="0"/>
        <w:snapToGrid w:val="0"/>
        <w:spacing w:line="300" w:lineRule="auto"/>
        <w:jc w:val="both"/>
        <w:textAlignment w:val="auto"/>
        <w:rPr>
          <w:rFonts w:ascii="宋体" w:hAnsi="宋体"/>
        </w:rPr>
      </w:pPr>
      <w:r>
        <w:rPr>
          <w:rFonts w:ascii="宋体" w:hAnsi="宋体"/>
        </w:rPr>
        <w:t>证明材料：投标人须提供相应业绩合同关键页复印件加盖投标人公章并装订在投标文件中，合同原件备查，提供最终用户名称、联系人及联系方式，上述资料如不提供、或有虚假信息，其业绩将不被认可。</w:t>
      </w:r>
    </w:p>
    <w:p w14:paraId="76EC9730">
      <w:pPr>
        <w:keepNext w:val="0"/>
        <w:pageBreakBefore w:val="0"/>
        <w:numPr>
          <w:ilvl w:val="255"/>
          <w:numId w:val="0"/>
        </w:numPr>
        <w:kinsoku/>
        <w:wordWrap/>
        <w:overflowPunct/>
        <w:topLinePunct w:val="0"/>
        <w:bidi w:val="0"/>
        <w:adjustRightInd w:val="0"/>
        <w:snapToGrid w:val="0"/>
        <w:spacing w:line="300" w:lineRule="auto"/>
        <w:jc w:val="both"/>
        <w:textAlignment w:val="auto"/>
        <w:rPr>
          <w:rFonts w:ascii="宋体" w:hAnsi="宋体"/>
        </w:rPr>
      </w:pPr>
      <w:r>
        <w:rPr>
          <w:rFonts w:ascii="宋体" w:hAnsi="宋体"/>
        </w:rPr>
        <w:t xml:space="preserve">6.2 </w:t>
      </w:r>
      <w:r>
        <w:rPr>
          <w:rFonts w:hint="eastAsia" w:ascii="宋体" w:hAnsi="宋体"/>
        </w:rPr>
        <w:t>所投产品为成熟产品，推出市场至少</w:t>
      </w:r>
      <w:r>
        <w:rPr>
          <w:rFonts w:ascii="宋体" w:hAnsi="宋体"/>
        </w:rPr>
        <w:t>3年以上。</w:t>
      </w:r>
    </w:p>
    <w:p w14:paraId="57ED594E">
      <w:pPr>
        <w:keepNext w:val="0"/>
        <w:pageBreakBefore w:val="0"/>
        <w:kinsoku/>
        <w:wordWrap/>
        <w:overflowPunct/>
        <w:topLinePunct w:val="0"/>
        <w:bidi w:val="0"/>
        <w:spacing w:line="300" w:lineRule="auto"/>
        <w:textAlignment w:val="auto"/>
        <w:rPr>
          <w:rFonts w:hint="eastAsia" w:ascii="宋体" w:hAnsi="宋体" w:eastAsia="宋体" w:cs="Arial"/>
          <w:b/>
          <w:bCs/>
          <w:color w:val="C00000"/>
          <w:sz w:val="24"/>
          <w:szCs w:val="24"/>
        </w:rPr>
      </w:pPr>
      <w:r>
        <w:rPr>
          <w:rFonts w:hint="eastAsia" w:ascii="宋体" w:hAnsi="宋体" w:eastAsia="宋体" w:cs="Arial"/>
          <w:b/>
          <w:bCs/>
          <w:color w:val="C00000"/>
          <w:sz w:val="24"/>
          <w:szCs w:val="24"/>
          <w:lang w:val="en-US" w:eastAsia="zh-CN"/>
        </w:rPr>
        <w:t>六</w:t>
      </w:r>
      <w:r>
        <w:rPr>
          <w:rFonts w:hint="eastAsia" w:ascii="宋体" w:hAnsi="宋体" w:eastAsia="宋体" w:cs="Arial"/>
          <w:b/>
          <w:bCs/>
          <w:color w:val="C00000"/>
          <w:sz w:val="24"/>
          <w:szCs w:val="24"/>
        </w:rPr>
        <w:t>、</w:t>
      </w:r>
      <w:r>
        <w:rPr>
          <w:rFonts w:hint="eastAsia" w:ascii="宋体" w:hAnsi="宋体" w:eastAsia="宋体" w:cs="Arial"/>
          <w:b/>
          <w:bCs/>
          <w:color w:val="C00000"/>
          <w:sz w:val="24"/>
          <w:szCs w:val="24"/>
          <w:lang w:val="en-US" w:eastAsia="zh-CN"/>
        </w:rPr>
        <w:t>COD消解器（3台）</w:t>
      </w:r>
    </w:p>
    <w:p w14:paraId="5422773C">
      <w:pPr>
        <w:keepNext w:val="0"/>
        <w:pageBreakBefore w:val="0"/>
        <w:kinsoku/>
        <w:wordWrap/>
        <w:overflowPunct/>
        <w:topLinePunct w:val="0"/>
        <w:bidi w:val="0"/>
        <w:spacing w:line="300" w:lineRule="auto"/>
        <w:jc w:val="both"/>
        <w:textAlignment w:val="auto"/>
        <w:rPr>
          <w:rFonts w:ascii="宋体" w:hAnsi="宋体"/>
          <w:b/>
        </w:rPr>
      </w:pPr>
      <w:r>
        <w:rPr>
          <w:rFonts w:hint="eastAsia" w:ascii="宋体" w:hAnsi="宋体"/>
          <w:b/>
        </w:rPr>
        <w:t>1.仪器技术指标和性能特点要求</w:t>
      </w:r>
    </w:p>
    <w:p w14:paraId="2CBFBEDA">
      <w:pPr>
        <w:keepNext w:val="0"/>
        <w:pageBreakBefore w:val="0"/>
        <w:kinsoku/>
        <w:wordWrap/>
        <w:overflowPunct/>
        <w:topLinePunct w:val="0"/>
        <w:bidi w:val="0"/>
        <w:spacing w:line="300" w:lineRule="auto"/>
        <w:jc w:val="both"/>
        <w:textAlignment w:val="auto"/>
        <w:rPr>
          <w:rFonts w:ascii="宋体" w:hAnsi="宋体"/>
          <w:b/>
          <w:bCs/>
          <w:snapToGrid w:val="0"/>
        </w:rPr>
      </w:pPr>
      <w:r>
        <w:rPr>
          <w:rFonts w:hint="eastAsia" w:ascii="宋体" w:hAnsi="宋体"/>
          <w:b/>
          <w:bCs/>
          <w:snapToGrid w:val="0"/>
        </w:rPr>
        <w:t>1</w:t>
      </w:r>
      <w:r>
        <w:rPr>
          <w:rFonts w:ascii="宋体" w:hAnsi="宋体"/>
          <w:b/>
          <w:bCs/>
          <w:snapToGrid w:val="0"/>
        </w:rPr>
        <w:t>.1</w:t>
      </w:r>
      <w:r>
        <w:rPr>
          <w:rFonts w:hint="eastAsia" w:ascii="宋体" w:hAnsi="宋体"/>
          <w:b/>
          <w:bCs/>
          <w:snapToGrid w:val="0"/>
        </w:rPr>
        <w:t>安装条件要求：</w:t>
      </w:r>
    </w:p>
    <w:p w14:paraId="07D289C2">
      <w:pPr>
        <w:keepNext w:val="0"/>
        <w:pageBreakBefore w:val="0"/>
        <w:kinsoku/>
        <w:wordWrap/>
        <w:overflowPunct/>
        <w:topLinePunct w:val="0"/>
        <w:bidi w:val="0"/>
        <w:spacing w:line="300" w:lineRule="auto"/>
        <w:jc w:val="both"/>
        <w:textAlignment w:val="auto"/>
        <w:rPr>
          <w:rFonts w:cs="宋体" w:asciiTheme="minorEastAsia" w:hAnsiTheme="minorEastAsia"/>
        </w:rPr>
      </w:pPr>
      <w:r>
        <w:rPr>
          <w:rFonts w:hint="eastAsia" w:cs="宋体" w:asciiTheme="minorEastAsia" w:hAnsiTheme="minorEastAsia"/>
        </w:rPr>
        <w:t>1.</w:t>
      </w:r>
      <w:r>
        <w:rPr>
          <w:rFonts w:cs="宋体" w:asciiTheme="minorEastAsia" w:hAnsiTheme="minorEastAsia"/>
        </w:rPr>
        <w:t>1.1</w:t>
      </w:r>
      <w:r>
        <w:rPr>
          <w:rFonts w:hint="eastAsia" w:cs="宋体" w:asciiTheme="minorEastAsia" w:hAnsiTheme="minorEastAsia"/>
        </w:rPr>
        <w:t>电源符合要求：100</w:t>
      </w:r>
      <w:r>
        <w:rPr>
          <w:rFonts w:cs="宋体" w:asciiTheme="minorEastAsia" w:hAnsiTheme="minorEastAsia"/>
        </w:rPr>
        <w:t>V</w:t>
      </w:r>
      <w:r>
        <w:rPr>
          <w:rFonts w:hint="eastAsia" w:cs="宋体" w:asciiTheme="minorEastAsia" w:hAnsiTheme="minorEastAsia"/>
        </w:rPr>
        <w:t>～</w:t>
      </w:r>
      <w:r>
        <w:rPr>
          <w:rFonts w:cs="宋体" w:asciiTheme="minorEastAsia" w:hAnsiTheme="minorEastAsia"/>
        </w:rPr>
        <w:t>2</w:t>
      </w:r>
      <w:r>
        <w:rPr>
          <w:rFonts w:hint="eastAsia" w:cs="宋体" w:asciiTheme="minorEastAsia" w:hAnsiTheme="minorEastAsia"/>
        </w:rPr>
        <w:t>4</w:t>
      </w:r>
      <w:r>
        <w:rPr>
          <w:rFonts w:cs="宋体" w:asciiTheme="minorEastAsia" w:hAnsiTheme="minorEastAsia"/>
        </w:rPr>
        <w:t>0V</w:t>
      </w:r>
      <w:r>
        <w:rPr>
          <w:rFonts w:hint="eastAsia" w:cs="宋体" w:asciiTheme="minorEastAsia" w:hAnsiTheme="minorEastAsia"/>
        </w:rPr>
        <w:t>，频率：50</w:t>
      </w:r>
      <w:r>
        <w:rPr>
          <w:rFonts w:cs="宋体" w:asciiTheme="minorEastAsia" w:hAnsiTheme="minorEastAsia"/>
        </w:rPr>
        <w:t>Hz</w:t>
      </w:r>
    </w:p>
    <w:p w14:paraId="2FE13507">
      <w:pPr>
        <w:keepNext w:val="0"/>
        <w:pageBreakBefore w:val="0"/>
        <w:kinsoku/>
        <w:wordWrap/>
        <w:overflowPunct/>
        <w:topLinePunct w:val="0"/>
        <w:bidi w:val="0"/>
        <w:spacing w:line="300" w:lineRule="auto"/>
        <w:jc w:val="both"/>
        <w:textAlignment w:val="auto"/>
        <w:rPr>
          <w:rFonts w:cs="宋体" w:asciiTheme="minorEastAsia" w:hAnsiTheme="minorEastAsia"/>
        </w:rPr>
      </w:pPr>
      <w:r>
        <w:rPr>
          <w:rFonts w:hint="eastAsia" w:cs="宋体" w:asciiTheme="minorEastAsia" w:hAnsiTheme="minorEastAsia"/>
        </w:rPr>
        <w:t>1</w:t>
      </w:r>
      <w:r>
        <w:rPr>
          <w:rFonts w:cs="宋体" w:asciiTheme="minorEastAsia" w:hAnsiTheme="minorEastAsia"/>
        </w:rPr>
        <w:t>.1.2</w:t>
      </w:r>
      <w:r>
        <w:rPr>
          <w:rFonts w:hint="eastAsia" w:cs="宋体" w:asciiTheme="minorEastAsia" w:hAnsiTheme="minorEastAsia"/>
        </w:rPr>
        <w:t>适用环境温度要求：</w:t>
      </w:r>
      <w:r>
        <w:rPr>
          <w:rFonts w:cs="宋体" w:asciiTheme="minorEastAsia" w:hAnsiTheme="minorEastAsia"/>
        </w:rPr>
        <w:t>1</w:t>
      </w:r>
      <w:r>
        <w:rPr>
          <w:rFonts w:hint="eastAsia" w:cs="宋体" w:asciiTheme="minorEastAsia" w:hAnsiTheme="minorEastAsia"/>
        </w:rPr>
        <w:t>0</w:t>
      </w:r>
      <w:r>
        <w:rPr>
          <w:rFonts w:ascii="Times New Roman" w:hAnsi="Times New Roman"/>
        </w:rPr>
        <w:t>˚</w:t>
      </w:r>
      <w:r>
        <w:rPr>
          <w:rFonts w:cs="宋体" w:asciiTheme="minorEastAsia" w:hAnsiTheme="minorEastAsia"/>
        </w:rPr>
        <w:t>C</w:t>
      </w:r>
      <w:r>
        <w:rPr>
          <w:rFonts w:hint="eastAsia" w:cs="宋体" w:asciiTheme="minorEastAsia" w:hAnsiTheme="minorEastAsia"/>
        </w:rPr>
        <w:t>～3</w:t>
      </w:r>
      <w:r>
        <w:rPr>
          <w:rFonts w:cs="宋体" w:asciiTheme="minorEastAsia" w:hAnsiTheme="minorEastAsia"/>
        </w:rPr>
        <w:t>5</w:t>
      </w:r>
      <w:r>
        <w:rPr>
          <w:rFonts w:ascii="Times New Roman" w:hAnsi="Times New Roman"/>
        </w:rPr>
        <w:t>˚</w:t>
      </w:r>
      <w:r>
        <w:rPr>
          <w:rFonts w:cs="宋体" w:asciiTheme="minorEastAsia" w:hAnsiTheme="minorEastAsia"/>
        </w:rPr>
        <w:t>C</w:t>
      </w:r>
    </w:p>
    <w:p w14:paraId="78FD2293">
      <w:pPr>
        <w:keepNext w:val="0"/>
        <w:pageBreakBefore w:val="0"/>
        <w:kinsoku/>
        <w:wordWrap/>
        <w:overflowPunct/>
        <w:topLinePunct w:val="0"/>
        <w:bidi w:val="0"/>
        <w:spacing w:line="300" w:lineRule="auto"/>
        <w:jc w:val="both"/>
        <w:textAlignment w:val="auto"/>
        <w:rPr>
          <w:rFonts w:cs="宋体" w:asciiTheme="minorEastAsia" w:hAnsiTheme="minorEastAsia"/>
        </w:rPr>
      </w:pPr>
      <w:r>
        <w:rPr>
          <w:rFonts w:hint="eastAsia" w:cs="宋体" w:asciiTheme="minorEastAsia" w:hAnsiTheme="minorEastAsia"/>
        </w:rPr>
        <w:t>1</w:t>
      </w:r>
      <w:r>
        <w:rPr>
          <w:rFonts w:cs="宋体" w:asciiTheme="minorEastAsia" w:hAnsiTheme="minorEastAsia"/>
        </w:rPr>
        <w:t>.1.3</w:t>
      </w:r>
      <w:r>
        <w:rPr>
          <w:rFonts w:hint="eastAsia" w:cs="宋体" w:asciiTheme="minorEastAsia" w:hAnsiTheme="minorEastAsia"/>
        </w:rPr>
        <w:t>适用环境湿度要求：5%RH～85%RH</w:t>
      </w:r>
      <w:r>
        <w:rPr>
          <w:rFonts w:cs="宋体" w:asciiTheme="minorEastAsia" w:hAnsiTheme="minorEastAsia"/>
        </w:rPr>
        <w:t xml:space="preserve"> </w:t>
      </w:r>
    </w:p>
    <w:p w14:paraId="25749753">
      <w:pPr>
        <w:keepNext w:val="0"/>
        <w:pageBreakBefore w:val="0"/>
        <w:kinsoku/>
        <w:wordWrap/>
        <w:overflowPunct/>
        <w:topLinePunct w:val="0"/>
        <w:bidi w:val="0"/>
        <w:spacing w:line="300" w:lineRule="auto"/>
        <w:jc w:val="both"/>
        <w:textAlignment w:val="auto"/>
        <w:rPr>
          <w:rFonts w:ascii="宋体" w:hAnsi="宋体"/>
          <w:b/>
        </w:rPr>
      </w:pPr>
      <w:r>
        <w:rPr>
          <w:rFonts w:ascii="宋体" w:hAnsi="宋体"/>
          <w:b/>
          <w:bCs/>
          <w:snapToGrid w:val="0"/>
        </w:rPr>
        <w:t>1.2</w:t>
      </w:r>
      <w:r>
        <w:rPr>
          <w:rFonts w:hint="eastAsia" w:cs="宋体" w:asciiTheme="minorEastAsia" w:hAnsiTheme="minorEastAsia"/>
          <w:b/>
        </w:rPr>
        <w:t>主机及整体性能</w:t>
      </w:r>
    </w:p>
    <w:p w14:paraId="2681EF02">
      <w:pPr>
        <w:keepNext w:val="0"/>
        <w:pageBreakBefore w:val="0"/>
        <w:kinsoku/>
        <w:wordWrap/>
        <w:overflowPunct/>
        <w:topLinePunct w:val="0"/>
        <w:bidi w:val="0"/>
        <w:spacing w:line="300" w:lineRule="auto"/>
        <w:jc w:val="both"/>
        <w:textAlignment w:val="auto"/>
        <w:rPr>
          <w:rFonts w:hint="eastAsia" w:ascii="宋体" w:hAnsi="宋体" w:cs="Times New Roman"/>
          <w:snapToGrid w:val="0"/>
        </w:rPr>
      </w:pPr>
      <w:r>
        <w:rPr>
          <w:rFonts w:hint="eastAsia" w:ascii="宋体" w:hAnsi="宋体" w:cs="Times New Roman"/>
          <w:snapToGrid w:val="0"/>
        </w:rPr>
        <w:t>1.2.1本仪器COD消解器应具有自动恒温加热，计时鸣叫等功能，有透明且通风的防消解液飞溅的防护盖</w:t>
      </w:r>
      <w:r>
        <w:rPr>
          <w:rFonts w:hint="eastAsia" w:ascii="宋体" w:hAnsi="宋体" w:cs="Times New Roman"/>
          <w:snapToGrid w:val="0"/>
          <w:lang w:eastAsia="zh-CN"/>
        </w:rPr>
        <w:t>，加热器加热时不会产生局部过热现象。加热孔的直径应能使消解管与加热壁紧密接触。为保证消解反应液在消解管内有充分的加热消解和冷却回流</w:t>
      </w:r>
      <w:r>
        <w:rPr>
          <w:rFonts w:hint="eastAsia" w:ascii="宋体" w:hAnsi="宋体" w:cs="Times New Roman"/>
          <w:snapToGrid w:val="0"/>
        </w:rPr>
        <w:t>。</w:t>
      </w:r>
    </w:p>
    <w:p w14:paraId="330A870B">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ascii="宋体" w:hAnsi="宋体"/>
          <w:snapToGrid w:val="0"/>
        </w:rPr>
        <w:t>1.2.</w:t>
      </w:r>
      <w:r>
        <w:rPr>
          <w:rFonts w:hint="eastAsia" w:ascii="宋体" w:hAnsi="宋体"/>
          <w:snapToGrid w:val="0"/>
          <w:lang w:val="en-US" w:eastAsia="zh-CN"/>
        </w:rPr>
        <w:t xml:space="preserve">2 </w:t>
      </w:r>
      <w:r>
        <w:rPr>
          <w:rFonts w:hint="eastAsia" w:ascii="宋体" w:hAnsi="宋体"/>
          <w:snapToGrid w:val="0"/>
        </w:rPr>
        <w:t>加热速度：10分钟内可从20℃加热至1</w:t>
      </w:r>
      <w:r>
        <w:rPr>
          <w:rFonts w:hint="eastAsia" w:ascii="宋体" w:hAnsi="宋体"/>
          <w:snapToGrid w:val="0"/>
          <w:lang w:val="en-US" w:eastAsia="zh-CN"/>
        </w:rPr>
        <w:t>65</w:t>
      </w:r>
      <w:r>
        <w:rPr>
          <w:rFonts w:hint="eastAsia" w:ascii="宋体" w:hAnsi="宋体"/>
          <w:snapToGrid w:val="0"/>
        </w:rPr>
        <w:t>℃</w:t>
      </w:r>
      <w:r>
        <w:rPr>
          <w:rFonts w:hint="eastAsia" w:ascii="宋体" w:hAnsi="宋体"/>
          <w:snapToGrid w:val="0"/>
          <w:lang w:val="en-US" w:eastAsia="zh-CN"/>
        </w:rPr>
        <w:t>。</w:t>
      </w:r>
    </w:p>
    <w:p w14:paraId="2FF296BF">
      <w:pPr>
        <w:keepNext w:val="0"/>
        <w:pageBreakBefore w:val="0"/>
        <w:kinsoku/>
        <w:wordWrap/>
        <w:overflowPunct/>
        <w:topLinePunct w:val="0"/>
        <w:bidi w:val="0"/>
        <w:spacing w:line="300" w:lineRule="auto"/>
        <w:jc w:val="both"/>
        <w:textAlignment w:val="auto"/>
        <w:rPr>
          <w:rFonts w:hint="eastAsia" w:ascii="宋体" w:hAnsi="宋体" w:eastAsiaTheme="minorEastAsia"/>
          <w:snapToGrid w:val="0"/>
          <w:lang w:val="en-US" w:eastAsia="zh-CN"/>
        </w:rPr>
      </w:pPr>
      <w:r>
        <w:rPr>
          <w:rFonts w:hint="eastAsia" w:ascii="宋体" w:hAnsi="宋体"/>
          <w:snapToGrid w:val="0"/>
          <w:lang w:val="en-US" w:eastAsia="zh-CN"/>
        </w:rPr>
        <w:t>1.2.3 加热块温度稳定性 ±0.5</w:t>
      </w:r>
      <w:r>
        <w:rPr>
          <w:rFonts w:hint="eastAsia" w:ascii="宋体" w:hAnsi="宋体"/>
          <w:snapToGrid w:val="0"/>
        </w:rPr>
        <w:t>℃</w:t>
      </w:r>
      <w:r>
        <w:rPr>
          <w:rFonts w:hint="eastAsia" w:ascii="宋体" w:hAnsi="宋体"/>
          <w:snapToGrid w:val="0"/>
          <w:lang w:eastAsia="zh-CN"/>
        </w:rPr>
        <w:t>。</w:t>
      </w:r>
    </w:p>
    <w:p w14:paraId="4623F1C2">
      <w:pPr>
        <w:keepNext w:val="0"/>
        <w:pageBreakBefore w:val="0"/>
        <w:kinsoku/>
        <w:wordWrap/>
        <w:overflowPunct/>
        <w:topLinePunct w:val="0"/>
        <w:bidi w:val="0"/>
        <w:spacing w:line="300" w:lineRule="auto"/>
        <w:jc w:val="both"/>
        <w:textAlignment w:val="auto"/>
        <w:rPr>
          <w:rFonts w:hint="eastAsia" w:ascii="宋体" w:hAnsi="宋体" w:eastAsiaTheme="minorEastAsia"/>
          <w:snapToGrid w:val="0"/>
          <w:lang w:val="en-US" w:eastAsia="zh-CN"/>
        </w:rPr>
      </w:pPr>
      <w:r>
        <w:rPr>
          <w:rFonts w:hint="eastAsia" w:ascii="宋体" w:hAnsi="宋体"/>
          <w:snapToGrid w:val="0"/>
          <w:lang w:val="en-US" w:eastAsia="zh-CN"/>
        </w:rPr>
        <w:t>1.2.4 加热块温度均匀性 ±0.5</w:t>
      </w:r>
      <w:r>
        <w:rPr>
          <w:rFonts w:hint="eastAsia" w:ascii="宋体" w:hAnsi="宋体"/>
          <w:snapToGrid w:val="0"/>
        </w:rPr>
        <w:t>℃</w:t>
      </w:r>
      <w:r>
        <w:rPr>
          <w:rFonts w:hint="eastAsia" w:ascii="宋体" w:hAnsi="宋体"/>
          <w:snapToGrid w:val="0"/>
          <w:lang w:eastAsia="zh-CN"/>
        </w:rPr>
        <w:t>。</w:t>
      </w:r>
    </w:p>
    <w:p w14:paraId="23A6C54F">
      <w:pPr>
        <w:keepNext w:val="0"/>
        <w:pageBreakBefore w:val="0"/>
        <w:kinsoku/>
        <w:wordWrap/>
        <w:overflowPunct/>
        <w:topLinePunct w:val="0"/>
        <w:bidi w:val="0"/>
        <w:spacing w:line="300" w:lineRule="auto"/>
        <w:jc w:val="both"/>
        <w:textAlignment w:val="auto"/>
        <w:rPr>
          <w:rFonts w:hint="eastAsia" w:ascii="宋体" w:hAnsi="宋体" w:eastAsiaTheme="minorEastAsia"/>
          <w:snapToGrid w:val="0"/>
          <w:lang w:val="en-US" w:eastAsia="zh-CN"/>
        </w:rPr>
      </w:pPr>
      <w:r>
        <w:rPr>
          <w:rFonts w:hint="eastAsia" w:ascii="宋体" w:hAnsi="宋体"/>
          <w:snapToGrid w:val="0"/>
          <w:lang w:val="en-US" w:eastAsia="zh-CN"/>
        </w:rPr>
        <w:t>1.2.5 加热块温度精度 ±1</w:t>
      </w:r>
      <w:r>
        <w:rPr>
          <w:rFonts w:hint="eastAsia" w:ascii="宋体" w:hAnsi="宋体"/>
          <w:snapToGrid w:val="0"/>
        </w:rPr>
        <w:t>℃</w:t>
      </w:r>
      <w:r>
        <w:rPr>
          <w:rFonts w:hint="eastAsia" w:ascii="宋体" w:hAnsi="宋体"/>
          <w:snapToGrid w:val="0"/>
          <w:lang w:eastAsia="zh-CN"/>
        </w:rPr>
        <w:t>。</w:t>
      </w:r>
    </w:p>
    <w:p w14:paraId="309BEBB8">
      <w:pPr>
        <w:keepNext w:val="0"/>
        <w:pageBreakBefore w:val="0"/>
        <w:kinsoku/>
        <w:wordWrap/>
        <w:overflowPunct/>
        <w:topLinePunct w:val="0"/>
        <w:bidi w:val="0"/>
        <w:spacing w:line="300" w:lineRule="auto"/>
        <w:jc w:val="both"/>
        <w:textAlignment w:val="auto"/>
        <w:rPr>
          <w:rFonts w:hint="default" w:ascii="宋体" w:hAnsi="宋体"/>
          <w:snapToGrid w:val="0"/>
          <w:lang w:val="en-US" w:eastAsia="zh-CN"/>
        </w:rPr>
      </w:pPr>
      <w:r>
        <w:rPr>
          <w:rFonts w:hint="eastAsia" w:ascii="宋体" w:hAnsi="宋体"/>
          <w:snapToGrid w:val="0"/>
          <w:lang w:val="en-US" w:eastAsia="zh-CN"/>
        </w:rPr>
        <w:t>1.2.6 消解程序：自带消解程序，消解温度100℃、120℃、150℃、160℃、165℃，消解时间30min、60min、120min，任意搭配，到设定时间自动关闭加热。或可以自定义消解温度、消解时间程序，到设定时间自动关闭加热。。</w:t>
      </w:r>
    </w:p>
    <w:p w14:paraId="278D4FA1">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1.2.7 加热孔:不少于15个16mm孔径样品孔。</w:t>
      </w:r>
    </w:p>
    <w:p w14:paraId="087288BF">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 xml:space="preserve">1.2.8 </w:t>
      </w:r>
      <w:r>
        <w:rPr>
          <w:rFonts w:hint="eastAsia" w:ascii="宋体" w:hAnsi="宋体" w:cs="Times New Roman"/>
          <w:snapToGrid w:val="0"/>
          <w:lang w:eastAsia="zh-CN"/>
        </w:rPr>
        <w:t>加热孔</w:t>
      </w:r>
      <w:r>
        <w:rPr>
          <w:rFonts w:hint="eastAsia" w:ascii="宋体" w:hAnsi="宋体" w:cs="Times New Roman"/>
          <w:snapToGrid w:val="0"/>
          <w:lang w:val="en-US" w:eastAsia="zh-CN"/>
        </w:rPr>
        <w:t>有效</w:t>
      </w:r>
      <w:r>
        <w:rPr>
          <w:rFonts w:hint="eastAsia" w:ascii="宋体" w:hAnsi="宋体" w:cs="Times New Roman"/>
          <w:snapToGrid w:val="0"/>
          <w:lang w:eastAsia="zh-CN"/>
        </w:rPr>
        <w:t>深度不</w:t>
      </w:r>
      <w:r>
        <w:rPr>
          <w:rFonts w:hint="eastAsia" w:ascii="宋体" w:hAnsi="宋体" w:cs="Times New Roman"/>
          <w:snapToGrid w:val="0"/>
          <w:lang w:val="en-US" w:eastAsia="zh-CN"/>
        </w:rPr>
        <w:t>小</w:t>
      </w:r>
      <w:r>
        <w:rPr>
          <w:rFonts w:hint="eastAsia" w:ascii="宋体" w:hAnsi="宋体" w:cs="Times New Roman"/>
          <w:snapToGrid w:val="0"/>
          <w:lang w:eastAsia="zh-CN"/>
        </w:rPr>
        <w:t>于5</w:t>
      </w:r>
      <w:r>
        <w:rPr>
          <w:rFonts w:hint="eastAsia" w:ascii="宋体" w:hAnsi="宋体" w:cs="Times New Roman"/>
          <w:snapToGrid w:val="0"/>
          <w:lang w:val="en-US" w:eastAsia="zh-CN"/>
        </w:rPr>
        <w:t>0</w:t>
      </w:r>
      <w:r>
        <w:rPr>
          <w:rFonts w:hint="eastAsia" w:ascii="宋体" w:hAnsi="宋体" w:cs="Times New Roman"/>
          <w:snapToGrid w:val="0"/>
          <w:lang w:eastAsia="zh-CN"/>
        </w:rPr>
        <w:t>mm</w:t>
      </w:r>
      <w:r>
        <w:rPr>
          <w:rFonts w:hint="eastAsia" w:ascii="宋体" w:hAnsi="宋体"/>
          <w:snapToGrid w:val="0"/>
          <w:lang w:val="en-US" w:eastAsia="zh-CN"/>
        </w:rPr>
        <w:t>。</w:t>
      </w:r>
    </w:p>
    <w:p w14:paraId="1BC2D803">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1.2.9 防烫伤设计，加热时，机身温度≤50℃。</w:t>
      </w:r>
    </w:p>
    <w:p w14:paraId="6E257E0E">
      <w:pPr>
        <w:keepNext w:val="0"/>
        <w:pageBreakBefore w:val="0"/>
        <w:kinsoku/>
        <w:wordWrap/>
        <w:overflowPunct/>
        <w:topLinePunct w:val="0"/>
        <w:bidi w:val="0"/>
        <w:spacing w:line="300" w:lineRule="auto"/>
        <w:jc w:val="both"/>
        <w:textAlignment w:val="auto"/>
        <w:rPr>
          <w:rFonts w:hint="default" w:ascii="宋体" w:hAnsi="宋体"/>
          <w:snapToGrid w:val="0"/>
          <w:lang w:val="en-US" w:eastAsia="zh-CN"/>
        </w:rPr>
      </w:pPr>
      <w:r>
        <w:rPr>
          <w:rFonts w:hint="eastAsia" w:ascii="宋体" w:hAnsi="宋体"/>
          <w:snapToGrid w:val="0"/>
          <w:lang w:val="en-US" w:eastAsia="zh-CN"/>
        </w:rPr>
        <w:t>1.2.10 整机重量不超过4.5kg。</w:t>
      </w:r>
    </w:p>
    <w:p w14:paraId="05F7E7CD">
      <w:pPr>
        <w:keepNext w:val="0"/>
        <w:pageBreakBefore w:val="0"/>
        <w:kinsoku/>
        <w:wordWrap/>
        <w:overflowPunct/>
        <w:topLinePunct w:val="0"/>
        <w:bidi w:val="0"/>
        <w:spacing w:line="300" w:lineRule="auto"/>
        <w:jc w:val="both"/>
        <w:textAlignment w:val="auto"/>
        <w:rPr>
          <w:rFonts w:cs="宋体" w:asciiTheme="minorEastAsia" w:hAnsiTheme="minorEastAsia"/>
          <w:b/>
        </w:rPr>
      </w:pPr>
      <w:r>
        <w:rPr>
          <w:rFonts w:ascii="宋体" w:hAnsi="宋体"/>
          <w:b/>
        </w:rPr>
        <w:t>2</w:t>
      </w:r>
      <w:r>
        <w:rPr>
          <w:rFonts w:hint="eastAsia" w:ascii="宋体" w:hAnsi="宋体"/>
          <w:b/>
        </w:rPr>
        <w:t>.</w:t>
      </w:r>
      <w:r>
        <w:rPr>
          <w:rFonts w:hint="eastAsia" w:cs="宋体" w:asciiTheme="minorEastAsia" w:hAnsiTheme="minorEastAsia"/>
          <w:b/>
        </w:rPr>
        <w:t>适用方法</w:t>
      </w:r>
    </w:p>
    <w:p w14:paraId="79A31202">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Theme="minorEastAsia" w:hAnsiTheme="minorEastAsia"/>
        </w:rPr>
        <w:t>仪器须符合试验方法</w:t>
      </w:r>
      <w:r>
        <w:rPr>
          <w:rFonts w:hint="eastAsia" w:asciiTheme="minorEastAsia" w:hAnsiTheme="minorEastAsia"/>
          <w:lang w:eastAsia="zh-CN"/>
        </w:rPr>
        <w:t>《</w:t>
      </w:r>
      <w:r>
        <w:rPr>
          <w:rFonts w:hint="eastAsia" w:asciiTheme="minorEastAsia" w:hAnsiTheme="minorEastAsia"/>
        </w:rPr>
        <w:t>JJG 975-2002 化学需氧量(COD)测定仪</w:t>
      </w:r>
      <w:r>
        <w:rPr>
          <w:rFonts w:hint="eastAsia" w:asciiTheme="minorEastAsia" w:hAnsiTheme="minorEastAsia"/>
          <w:lang w:eastAsia="zh-CN"/>
        </w:rPr>
        <w:t>》</w:t>
      </w:r>
      <w:r>
        <w:rPr>
          <w:rFonts w:hint="eastAsia" w:ascii="宋体" w:hAnsi="宋体"/>
          <w:snapToGrid w:val="0"/>
          <w:lang w:eastAsia="zh-CN"/>
        </w:rPr>
        <w:t>、</w:t>
      </w:r>
      <w:r>
        <w:rPr>
          <w:rFonts w:hint="eastAsia" w:asciiTheme="minorEastAsia" w:hAnsiTheme="minorEastAsia"/>
        </w:rPr>
        <w:t>《 HJ</w:t>
      </w:r>
      <w:r>
        <w:rPr>
          <w:rFonts w:hint="eastAsia" w:asciiTheme="minorEastAsia" w:hAnsiTheme="minorEastAsia"/>
          <w:lang w:val="en-US" w:eastAsia="zh-CN"/>
        </w:rPr>
        <w:t>/</w:t>
      </w:r>
      <w:r>
        <w:rPr>
          <w:rFonts w:hint="eastAsia" w:asciiTheme="minorEastAsia" w:hAnsiTheme="minorEastAsia"/>
        </w:rPr>
        <w:t>T 399-2007 水质 化学需氧量的测定 快速消解分光光度法》</w:t>
      </w:r>
      <w:r>
        <w:rPr>
          <w:rFonts w:hint="eastAsia" w:asciiTheme="minorEastAsia" w:hAnsiTheme="minorEastAsia"/>
          <w:lang w:val="en-US" w:eastAsia="zh-CN"/>
        </w:rPr>
        <w:t>中对消解器的</w:t>
      </w:r>
      <w:r>
        <w:rPr>
          <w:rFonts w:hint="eastAsia" w:asciiTheme="minorEastAsia" w:hAnsiTheme="minorEastAsia"/>
        </w:rPr>
        <w:t>要求。</w:t>
      </w:r>
    </w:p>
    <w:p w14:paraId="6673D6A4">
      <w:pPr>
        <w:keepNext w:val="0"/>
        <w:pageBreakBefore w:val="0"/>
        <w:kinsoku/>
        <w:wordWrap/>
        <w:overflowPunct/>
        <w:topLinePunct w:val="0"/>
        <w:bidi w:val="0"/>
        <w:spacing w:line="300" w:lineRule="auto"/>
        <w:jc w:val="both"/>
        <w:textAlignment w:val="auto"/>
        <w:rPr>
          <w:rFonts w:ascii="宋体" w:hAnsi="宋体"/>
          <w:b/>
          <w:bCs/>
          <w:snapToGrid w:val="0"/>
          <w:highlight w:val="none"/>
        </w:rPr>
      </w:pPr>
      <w:r>
        <w:rPr>
          <w:rFonts w:ascii="宋体" w:hAnsi="宋体"/>
          <w:b/>
          <w:highlight w:val="none"/>
        </w:rPr>
        <w:t>3</w:t>
      </w:r>
      <w:r>
        <w:rPr>
          <w:rFonts w:hint="eastAsia" w:ascii="宋体" w:hAnsi="宋体"/>
          <w:b/>
          <w:highlight w:val="none"/>
        </w:rPr>
        <w:t>.</w:t>
      </w:r>
      <w:r>
        <w:rPr>
          <w:rFonts w:ascii="宋体" w:hAnsi="宋体"/>
          <w:b/>
          <w:highlight w:val="none"/>
        </w:rPr>
        <w:t>仪器</w:t>
      </w:r>
      <w:r>
        <w:rPr>
          <w:rFonts w:hint="eastAsia" w:ascii="宋体" w:hAnsi="宋体"/>
          <w:b/>
          <w:bCs/>
          <w:snapToGrid w:val="0"/>
          <w:highlight w:val="none"/>
        </w:rPr>
        <w:t>配置要求：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604"/>
        <w:gridCol w:w="1375"/>
        <w:gridCol w:w="1067"/>
      </w:tblGrid>
      <w:tr w14:paraId="1240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noWrap/>
            <w:vAlign w:val="center"/>
          </w:tcPr>
          <w:p w14:paraId="4CF8DDB1">
            <w:pPr>
              <w:keepNext w:val="0"/>
              <w:pageBreakBefore w:val="0"/>
              <w:kinsoku/>
              <w:wordWrap/>
              <w:overflowPunct/>
              <w:topLinePunct w:val="0"/>
              <w:bidi w:val="0"/>
              <w:spacing w:line="300" w:lineRule="auto"/>
              <w:ind w:firstLine="241" w:firstLineChars="100"/>
              <w:jc w:val="center"/>
              <w:textAlignment w:val="auto"/>
              <w:rPr>
                <w:rFonts w:ascii="微软雅黑" w:hAnsi="微软雅黑" w:eastAsia="微软雅黑" w:cs="宋体"/>
                <w:b/>
                <w:bCs/>
                <w:color w:val="000000"/>
                <w:szCs w:val="21"/>
                <w:highlight w:val="none"/>
              </w:rPr>
            </w:pPr>
            <w:r>
              <w:rPr>
                <w:b/>
                <w:color w:val="000000"/>
                <w:szCs w:val="21"/>
                <w:highlight w:val="none"/>
              </w:rPr>
              <w:t>序号</w:t>
            </w:r>
          </w:p>
        </w:tc>
        <w:tc>
          <w:tcPr>
            <w:tcW w:w="5604" w:type="dxa"/>
            <w:shd w:val="clear" w:color="auto" w:fill="auto"/>
            <w:noWrap/>
            <w:vAlign w:val="center"/>
          </w:tcPr>
          <w:p w14:paraId="73EF9F21">
            <w:pPr>
              <w:keepNext w:val="0"/>
              <w:pageBreakBefore w:val="0"/>
              <w:kinsoku/>
              <w:wordWrap/>
              <w:overflowPunct/>
              <w:topLinePunct w:val="0"/>
              <w:bidi w:val="0"/>
              <w:spacing w:line="300" w:lineRule="auto"/>
              <w:jc w:val="both"/>
              <w:textAlignment w:val="auto"/>
              <w:rPr>
                <w:rFonts w:ascii="微软雅黑" w:hAnsi="微软雅黑" w:eastAsia="微软雅黑" w:cs="宋体"/>
                <w:b/>
                <w:bCs/>
                <w:color w:val="000000"/>
                <w:szCs w:val="21"/>
                <w:highlight w:val="none"/>
              </w:rPr>
            </w:pPr>
            <w:r>
              <w:rPr>
                <w:b/>
                <w:color w:val="000000"/>
                <w:szCs w:val="21"/>
                <w:highlight w:val="none"/>
              </w:rPr>
              <w:t>名称</w:t>
            </w:r>
          </w:p>
        </w:tc>
        <w:tc>
          <w:tcPr>
            <w:tcW w:w="1375" w:type="dxa"/>
            <w:vAlign w:val="center"/>
          </w:tcPr>
          <w:p w14:paraId="5422B59A">
            <w:pPr>
              <w:keepNext w:val="0"/>
              <w:pageBreakBefore w:val="0"/>
              <w:kinsoku/>
              <w:wordWrap/>
              <w:overflowPunct/>
              <w:topLinePunct w:val="0"/>
              <w:bidi w:val="0"/>
              <w:spacing w:line="300" w:lineRule="auto"/>
              <w:jc w:val="center"/>
              <w:textAlignment w:val="auto"/>
              <w:rPr>
                <w:rFonts w:ascii="微软雅黑" w:hAnsi="微软雅黑" w:eastAsia="微软雅黑" w:cs="宋体"/>
                <w:b/>
                <w:bCs/>
                <w:color w:val="000000"/>
                <w:szCs w:val="21"/>
                <w:highlight w:val="none"/>
              </w:rPr>
            </w:pPr>
            <w:r>
              <w:rPr>
                <w:b/>
                <w:color w:val="000000"/>
                <w:szCs w:val="21"/>
                <w:highlight w:val="none"/>
              </w:rPr>
              <w:t>单位</w:t>
            </w:r>
          </w:p>
        </w:tc>
        <w:tc>
          <w:tcPr>
            <w:tcW w:w="1067" w:type="dxa"/>
            <w:noWrap/>
            <w:vAlign w:val="center"/>
          </w:tcPr>
          <w:p w14:paraId="58D9ADBE">
            <w:pPr>
              <w:keepNext w:val="0"/>
              <w:pageBreakBefore w:val="0"/>
              <w:kinsoku/>
              <w:wordWrap/>
              <w:overflowPunct/>
              <w:topLinePunct w:val="0"/>
              <w:bidi w:val="0"/>
              <w:spacing w:line="300" w:lineRule="auto"/>
              <w:jc w:val="center"/>
              <w:textAlignment w:val="auto"/>
              <w:rPr>
                <w:rFonts w:ascii="微软雅黑" w:hAnsi="微软雅黑" w:eastAsia="微软雅黑" w:cs="宋体"/>
                <w:b/>
                <w:bCs/>
                <w:color w:val="000000"/>
                <w:szCs w:val="21"/>
                <w:highlight w:val="none"/>
              </w:rPr>
            </w:pPr>
            <w:r>
              <w:rPr>
                <w:b/>
                <w:color w:val="000000"/>
                <w:szCs w:val="21"/>
                <w:highlight w:val="none"/>
              </w:rPr>
              <w:t>数量</w:t>
            </w:r>
          </w:p>
        </w:tc>
      </w:tr>
      <w:tr w14:paraId="03DF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0D2938E">
            <w:pPr>
              <w:keepNext w:val="0"/>
              <w:pageBreakBefore w:val="0"/>
              <w:kinsoku/>
              <w:wordWrap/>
              <w:overflowPunct/>
              <w:topLinePunct w:val="0"/>
              <w:bidi w:val="0"/>
              <w:spacing w:line="300" w:lineRule="auto"/>
              <w:jc w:val="both"/>
              <w:textAlignment w:val="auto"/>
              <w:rPr>
                <w:rFonts w:hint="eastAsia" w:cs="Times New Roman" w:asciiTheme="minorEastAsia" w:hAnsiTheme="minorEastAsia" w:eastAsiaTheme="minorEastAsia"/>
                <w:color w:val="auto"/>
                <w:szCs w:val="24"/>
                <w:highlight w:val="none"/>
              </w:rPr>
            </w:pPr>
            <w:r>
              <w:rPr>
                <w:rFonts w:hint="eastAsia" w:asciiTheme="minorEastAsia" w:hAnsiTheme="minorEastAsia"/>
                <w:snapToGrid/>
                <w:highlight w:val="none"/>
              </w:rPr>
              <w:t>1</w:t>
            </w:r>
          </w:p>
        </w:tc>
        <w:tc>
          <w:tcPr>
            <w:tcW w:w="5604" w:type="dxa"/>
            <w:shd w:val="clear" w:color="auto" w:fill="auto"/>
            <w:vAlign w:val="center"/>
          </w:tcPr>
          <w:p w14:paraId="0548B81D">
            <w:pPr>
              <w:keepNext w:val="0"/>
              <w:pageBreakBefore w:val="0"/>
              <w:kinsoku/>
              <w:wordWrap/>
              <w:overflowPunct/>
              <w:topLinePunct w:val="0"/>
              <w:bidi w:val="0"/>
              <w:snapToGrid w:val="0"/>
              <w:spacing w:line="300" w:lineRule="auto"/>
              <w:jc w:val="both"/>
              <w:textAlignment w:val="auto"/>
              <w:rPr>
                <w:rFonts w:hint="eastAsia" w:asciiTheme="minorEastAsia" w:hAnsiTheme="minorEastAsia" w:eastAsiaTheme="minorEastAsia"/>
                <w:snapToGrid/>
                <w:highlight w:val="none"/>
                <w:lang w:val="en-US" w:eastAsia="zh-CN"/>
              </w:rPr>
            </w:pPr>
            <w:r>
              <w:rPr>
                <w:rFonts w:hint="eastAsia" w:asciiTheme="minorEastAsia" w:hAnsiTheme="minorEastAsia" w:eastAsiaTheme="minorEastAsia"/>
                <w:snapToGrid/>
                <w:highlight w:val="none"/>
                <w:lang w:val="en-US" w:eastAsia="zh-CN"/>
              </w:rPr>
              <w:t>COD消解器</w:t>
            </w:r>
          </w:p>
        </w:tc>
        <w:tc>
          <w:tcPr>
            <w:tcW w:w="1375" w:type="dxa"/>
            <w:vAlign w:val="center"/>
          </w:tcPr>
          <w:p w14:paraId="2C01F14D">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snapToGrid/>
              </w:rPr>
              <w:t>台</w:t>
            </w:r>
          </w:p>
        </w:tc>
        <w:tc>
          <w:tcPr>
            <w:tcW w:w="1067" w:type="dxa"/>
            <w:vAlign w:val="center"/>
          </w:tcPr>
          <w:p w14:paraId="67E31340">
            <w:pPr>
              <w:keepNext w:val="0"/>
              <w:pageBreakBefore w:val="0"/>
              <w:kinsoku/>
              <w:wordWrap/>
              <w:overflowPunct/>
              <w:topLinePunct w:val="0"/>
              <w:bidi w:val="0"/>
              <w:spacing w:line="300" w:lineRule="auto"/>
              <w:jc w:val="both"/>
              <w:textAlignment w:val="auto"/>
              <w:rPr>
                <w:rFonts w:hint="eastAsia" w:asciiTheme="minorEastAsia" w:hAnsiTheme="minorEastAsia" w:eastAsiaTheme="minorEastAsia"/>
                <w:snapToGrid/>
                <w:lang w:val="en-US" w:eastAsia="zh-CN"/>
              </w:rPr>
            </w:pPr>
            <w:r>
              <w:rPr>
                <w:rFonts w:hint="eastAsia" w:asciiTheme="minorEastAsia" w:hAnsiTheme="minorEastAsia"/>
                <w:snapToGrid/>
              </w:rPr>
              <w:t>1</w:t>
            </w:r>
            <w:r>
              <w:rPr>
                <w:rFonts w:hint="default" w:ascii="Arial" w:hAnsi="Arial" w:cs="Arial"/>
                <w:snapToGrid/>
              </w:rPr>
              <w:t>×</w:t>
            </w:r>
            <w:r>
              <w:rPr>
                <w:rFonts w:hint="eastAsia" w:asciiTheme="minorEastAsia" w:hAnsiTheme="minorEastAsia"/>
                <w:snapToGrid/>
                <w:lang w:val="en-US" w:eastAsia="zh-CN"/>
              </w:rPr>
              <w:t>3</w:t>
            </w:r>
          </w:p>
        </w:tc>
      </w:tr>
      <w:tr w14:paraId="53E6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431674ED">
            <w:pPr>
              <w:keepNext w:val="0"/>
              <w:pageBreakBefore w:val="0"/>
              <w:kinsoku/>
              <w:wordWrap/>
              <w:overflowPunct/>
              <w:topLinePunct w:val="0"/>
              <w:bidi w:val="0"/>
              <w:spacing w:line="300" w:lineRule="auto"/>
              <w:jc w:val="both"/>
              <w:textAlignment w:val="auto"/>
              <w:rPr>
                <w:rFonts w:hint="eastAsia" w:cs="Times New Roman" w:asciiTheme="minorEastAsia" w:hAnsiTheme="minorEastAsia" w:eastAsiaTheme="minorEastAsia"/>
                <w:color w:val="auto"/>
                <w:szCs w:val="24"/>
              </w:rPr>
            </w:pPr>
            <w:r>
              <w:rPr>
                <w:rFonts w:hint="eastAsia" w:asciiTheme="minorEastAsia" w:hAnsiTheme="minorEastAsia"/>
                <w:snapToGrid/>
              </w:rPr>
              <w:t>2</w:t>
            </w:r>
          </w:p>
        </w:tc>
        <w:tc>
          <w:tcPr>
            <w:tcW w:w="5604" w:type="dxa"/>
            <w:shd w:val="clear" w:color="auto" w:fill="auto"/>
            <w:vAlign w:val="center"/>
          </w:tcPr>
          <w:p w14:paraId="00899A72">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sz w:val="24"/>
                <w:szCs w:val="24"/>
              </w:rPr>
              <w:t>保护盖</w:t>
            </w:r>
          </w:p>
        </w:tc>
        <w:tc>
          <w:tcPr>
            <w:tcW w:w="1375" w:type="dxa"/>
            <w:vAlign w:val="center"/>
          </w:tcPr>
          <w:p w14:paraId="273865B4">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snapToGrid/>
              </w:rPr>
              <w:t>份</w:t>
            </w:r>
          </w:p>
        </w:tc>
        <w:tc>
          <w:tcPr>
            <w:tcW w:w="1067" w:type="dxa"/>
            <w:noWrap/>
            <w:vAlign w:val="center"/>
          </w:tcPr>
          <w:p w14:paraId="6A98C75C">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snapToGrid/>
                <w:lang w:eastAsia="zh-CN"/>
              </w:rPr>
              <w:t>1</w:t>
            </w:r>
            <w:r>
              <w:rPr>
                <w:rFonts w:hint="default" w:ascii="Arial" w:hAnsi="Arial" w:cs="Arial"/>
                <w:snapToGrid/>
              </w:rPr>
              <w:t>×</w:t>
            </w:r>
            <w:r>
              <w:rPr>
                <w:rFonts w:hint="eastAsia" w:asciiTheme="minorEastAsia" w:hAnsiTheme="minorEastAsia"/>
                <w:snapToGrid/>
                <w:lang w:val="en-US" w:eastAsia="zh-CN"/>
              </w:rPr>
              <w:t>3</w:t>
            </w:r>
          </w:p>
        </w:tc>
      </w:tr>
      <w:tr w14:paraId="0B26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FCBF7DA">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snapToGrid/>
              </w:rPr>
              <w:t>3</w:t>
            </w:r>
          </w:p>
        </w:tc>
        <w:tc>
          <w:tcPr>
            <w:tcW w:w="5604" w:type="dxa"/>
            <w:shd w:val="clear" w:color="auto" w:fill="auto"/>
            <w:vAlign w:val="center"/>
          </w:tcPr>
          <w:p w14:paraId="61045BB7">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lang w:val="en-US" w:eastAsia="zh-CN"/>
              </w:rPr>
              <w:t>纸质及电子版</w:t>
            </w:r>
            <w:r>
              <w:rPr>
                <w:rFonts w:hint="eastAsia" w:asciiTheme="minorEastAsia" w:hAnsiTheme="minorEastAsia"/>
              </w:rPr>
              <w:t>说明书</w:t>
            </w:r>
          </w:p>
        </w:tc>
        <w:tc>
          <w:tcPr>
            <w:tcW w:w="1375" w:type="dxa"/>
            <w:vAlign w:val="center"/>
          </w:tcPr>
          <w:p w14:paraId="78600330">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snapToGrid/>
              </w:rPr>
              <w:t>份</w:t>
            </w:r>
          </w:p>
        </w:tc>
        <w:tc>
          <w:tcPr>
            <w:tcW w:w="1067" w:type="dxa"/>
            <w:noWrap/>
            <w:vAlign w:val="center"/>
          </w:tcPr>
          <w:p w14:paraId="4DAF4B13">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snapToGrid/>
                <w:lang w:val="en-US" w:eastAsia="zh-CN"/>
              </w:rPr>
              <w:t>各</w:t>
            </w:r>
            <w:r>
              <w:rPr>
                <w:rFonts w:hint="eastAsia" w:asciiTheme="minorEastAsia" w:hAnsiTheme="minorEastAsia"/>
                <w:snapToGrid/>
              </w:rPr>
              <w:t>2</w:t>
            </w:r>
            <w:r>
              <w:rPr>
                <w:rFonts w:hint="default" w:ascii="Arial" w:hAnsi="Arial" w:cs="Arial"/>
                <w:snapToGrid/>
              </w:rPr>
              <w:t>×</w:t>
            </w:r>
            <w:r>
              <w:rPr>
                <w:rFonts w:hint="eastAsia" w:asciiTheme="minorEastAsia" w:hAnsiTheme="minorEastAsia"/>
                <w:snapToGrid/>
                <w:lang w:val="en-US" w:eastAsia="zh-CN"/>
              </w:rPr>
              <w:t>3</w:t>
            </w:r>
          </w:p>
        </w:tc>
      </w:tr>
      <w:tr w14:paraId="4BB0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643D4EC">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snapToGrid/>
              </w:rPr>
              <w:t>4</w:t>
            </w:r>
          </w:p>
        </w:tc>
        <w:tc>
          <w:tcPr>
            <w:tcW w:w="5604" w:type="dxa"/>
            <w:shd w:val="clear" w:color="auto" w:fill="auto"/>
            <w:vAlign w:val="center"/>
          </w:tcPr>
          <w:p w14:paraId="1382338D">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snapToGrid/>
                <w:highlight w:val="none"/>
              </w:rPr>
              <w:t>电源线</w:t>
            </w:r>
          </w:p>
        </w:tc>
        <w:tc>
          <w:tcPr>
            <w:tcW w:w="1375" w:type="dxa"/>
            <w:vAlign w:val="center"/>
          </w:tcPr>
          <w:p w14:paraId="3B94A637">
            <w:pPr>
              <w:keepNext w:val="0"/>
              <w:pageBreakBefore w:val="0"/>
              <w:kinsoku/>
              <w:wordWrap/>
              <w:overflowPunct/>
              <w:topLinePunct w:val="0"/>
              <w:bidi w:val="0"/>
              <w:spacing w:line="300" w:lineRule="auto"/>
              <w:jc w:val="both"/>
              <w:textAlignment w:val="auto"/>
              <w:rPr>
                <w:rFonts w:hint="eastAsia" w:asciiTheme="minorEastAsia" w:hAnsiTheme="minorEastAsia"/>
                <w:snapToGrid/>
              </w:rPr>
            </w:pPr>
            <w:r>
              <w:rPr>
                <w:rFonts w:hint="eastAsia" w:asciiTheme="minorEastAsia" w:hAnsiTheme="minorEastAsia"/>
                <w:snapToGrid/>
              </w:rPr>
              <w:t>个</w:t>
            </w:r>
          </w:p>
        </w:tc>
        <w:tc>
          <w:tcPr>
            <w:tcW w:w="1067" w:type="dxa"/>
            <w:noWrap/>
            <w:vAlign w:val="center"/>
          </w:tcPr>
          <w:p w14:paraId="2F0D1775">
            <w:pPr>
              <w:keepNext w:val="0"/>
              <w:pageBreakBefore w:val="0"/>
              <w:kinsoku/>
              <w:wordWrap/>
              <w:overflowPunct/>
              <w:topLinePunct w:val="0"/>
              <w:bidi w:val="0"/>
              <w:spacing w:line="300" w:lineRule="auto"/>
              <w:jc w:val="both"/>
              <w:textAlignment w:val="auto"/>
              <w:rPr>
                <w:rFonts w:hint="eastAsia" w:asciiTheme="minorEastAsia" w:hAnsiTheme="minorEastAsia" w:eastAsiaTheme="minorEastAsia"/>
                <w:snapToGrid/>
                <w:lang w:eastAsia="zh-CN"/>
              </w:rPr>
            </w:pPr>
            <w:r>
              <w:rPr>
                <w:rFonts w:hint="eastAsia" w:asciiTheme="minorEastAsia" w:hAnsiTheme="minorEastAsia"/>
                <w:snapToGrid/>
                <w:lang w:val="en-US" w:eastAsia="zh-CN"/>
              </w:rPr>
              <w:t>1</w:t>
            </w:r>
            <w:r>
              <w:rPr>
                <w:rFonts w:hint="default" w:ascii="Arial" w:hAnsi="Arial" w:cs="Arial"/>
                <w:snapToGrid/>
              </w:rPr>
              <w:t>×</w:t>
            </w:r>
            <w:r>
              <w:rPr>
                <w:rFonts w:hint="eastAsia" w:asciiTheme="minorEastAsia" w:hAnsiTheme="minorEastAsia"/>
                <w:snapToGrid/>
                <w:lang w:val="en-US" w:eastAsia="zh-CN"/>
              </w:rPr>
              <w:t>3</w:t>
            </w:r>
          </w:p>
        </w:tc>
      </w:tr>
    </w:tbl>
    <w:p w14:paraId="3DDC5A21">
      <w:pPr>
        <w:keepNext w:val="0"/>
        <w:pageBreakBefore w:val="0"/>
        <w:kinsoku/>
        <w:wordWrap/>
        <w:overflowPunct/>
        <w:topLinePunct w:val="0"/>
        <w:bidi w:val="0"/>
        <w:adjustRightInd w:val="0"/>
        <w:snapToGrid w:val="0"/>
        <w:spacing w:line="300" w:lineRule="auto"/>
        <w:jc w:val="both"/>
        <w:textAlignment w:val="auto"/>
        <w:rPr>
          <w:rFonts w:ascii="宋体" w:hAnsi="宋体"/>
          <w:b/>
          <w:highlight w:val="none"/>
        </w:rPr>
      </w:pPr>
      <w:r>
        <w:rPr>
          <w:rFonts w:hint="eastAsia" w:ascii="宋体" w:cs="宋体"/>
          <w:highlight w:val="none"/>
          <w:lang w:eastAsia="zh-CN"/>
        </w:rPr>
        <w:t>4</w:t>
      </w:r>
      <w:r>
        <w:rPr>
          <w:rFonts w:hint="eastAsia" w:ascii="宋体" w:hAnsi="宋体"/>
          <w:b/>
          <w:highlight w:val="none"/>
        </w:rPr>
        <w:t>.业绩证明</w:t>
      </w:r>
    </w:p>
    <w:p w14:paraId="3488B61A">
      <w:pPr>
        <w:keepNext w:val="0"/>
        <w:pageBreakBefore w:val="0"/>
        <w:kinsoku/>
        <w:wordWrap/>
        <w:overflowPunct/>
        <w:topLinePunct w:val="0"/>
        <w:bidi w:val="0"/>
        <w:adjustRightInd w:val="0"/>
        <w:snapToGrid w:val="0"/>
        <w:spacing w:line="300" w:lineRule="auto"/>
        <w:jc w:val="both"/>
        <w:textAlignment w:val="auto"/>
        <w:rPr>
          <w:rFonts w:hint="eastAsia" w:ascii="宋体" w:hAnsi="宋体"/>
          <w:highlight w:val="none"/>
        </w:rPr>
      </w:pPr>
      <w:r>
        <w:rPr>
          <w:rFonts w:hint="eastAsia" w:ascii="宋体" w:hAnsi="宋体"/>
          <w:highlight w:val="none"/>
        </w:rPr>
        <w:t>自2021年1月1日起至今（以合同签订时间为准）该仪器在国内实验室不少于60台的业绩，单个项目中标5台及以上合同1份，并标明设备名称、数量、用户名称、相关联系人及电话号码，并提供业绩证明(证明其销售业绩的合同复印件，并由投标人代表签字或盖章)。</w:t>
      </w:r>
    </w:p>
    <w:p w14:paraId="4E5EB497">
      <w:pPr>
        <w:keepNext w:val="0"/>
        <w:pageBreakBefore w:val="0"/>
        <w:kinsoku/>
        <w:wordWrap/>
        <w:overflowPunct/>
        <w:topLinePunct w:val="0"/>
        <w:bidi w:val="0"/>
        <w:spacing w:line="300" w:lineRule="auto"/>
        <w:textAlignment w:val="auto"/>
        <w:rPr>
          <w:rFonts w:hint="eastAsia" w:ascii="宋体" w:hAnsi="宋体" w:eastAsia="宋体" w:cs="Arial"/>
          <w:b/>
          <w:bCs/>
          <w:sz w:val="24"/>
          <w:szCs w:val="24"/>
          <w:lang w:val="en-US" w:eastAsia="zh-CN"/>
        </w:rPr>
      </w:pPr>
    </w:p>
    <w:p w14:paraId="74F9C38C">
      <w:pPr>
        <w:keepNext w:val="0"/>
        <w:pageBreakBefore w:val="0"/>
        <w:kinsoku/>
        <w:wordWrap/>
        <w:overflowPunct/>
        <w:topLinePunct w:val="0"/>
        <w:bidi w:val="0"/>
        <w:spacing w:line="300" w:lineRule="auto"/>
        <w:textAlignment w:val="auto"/>
        <w:rPr>
          <w:rFonts w:cs="Arial" w:asciiTheme="minorEastAsia" w:hAnsiTheme="minorEastAsia"/>
          <w:b/>
          <w:color w:val="C00000"/>
        </w:rPr>
      </w:pPr>
      <w:r>
        <w:rPr>
          <w:rFonts w:hint="eastAsia" w:ascii="宋体" w:hAnsi="宋体" w:eastAsia="宋体" w:cs="Arial"/>
          <w:b/>
          <w:bCs/>
          <w:color w:val="C00000"/>
          <w:sz w:val="24"/>
          <w:szCs w:val="24"/>
          <w:lang w:val="en-US" w:eastAsia="zh-CN"/>
        </w:rPr>
        <w:t>七</w:t>
      </w:r>
      <w:r>
        <w:rPr>
          <w:rFonts w:hint="eastAsia" w:ascii="宋体" w:hAnsi="宋体" w:eastAsia="宋体" w:cs="Arial"/>
          <w:b/>
          <w:bCs/>
          <w:color w:val="C00000"/>
          <w:sz w:val="24"/>
          <w:szCs w:val="24"/>
        </w:rPr>
        <w:t>、</w:t>
      </w:r>
      <w:r>
        <w:rPr>
          <w:rFonts w:hint="eastAsia" w:ascii="宋体" w:hAnsi="宋体" w:eastAsia="宋体" w:cs="宋体"/>
          <w:b/>
          <w:color w:val="C00000"/>
          <w:highlight w:val="none"/>
        </w:rPr>
        <w:t>总悬浮颗粒物采样器</w:t>
      </w:r>
      <w:r>
        <w:rPr>
          <w:rFonts w:hint="eastAsia" w:ascii="宋体" w:hAnsi="宋体"/>
          <w:b/>
          <w:color w:val="C00000"/>
          <w:lang w:val="en-US" w:eastAsia="zh-CN"/>
        </w:rPr>
        <w:t>（2台）</w:t>
      </w:r>
    </w:p>
    <w:p w14:paraId="4EA663B1">
      <w:pPr>
        <w:keepNext w:val="0"/>
        <w:pageBreakBefore w:val="0"/>
        <w:kinsoku/>
        <w:wordWrap/>
        <w:overflowPunct/>
        <w:topLinePunct w:val="0"/>
        <w:bidi w:val="0"/>
        <w:spacing w:line="300" w:lineRule="auto"/>
        <w:jc w:val="both"/>
        <w:textAlignment w:val="auto"/>
        <w:rPr>
          <w:rFonts w:ascii="宋体" w:hAnsi="宋体"/>
          <w:b/>
        </w:rPr>
      </w:pPr>
      <w:r>
        <w:rPr>
          <w:rFonts w:hint="eastAsia" w:ascii="宋体" w:hAnsi="宋体"/>
          <w:b/>
        </w:rPr>
        <w:t>1.仪器技术指标和性能特点要求</w:t>
      </w:r>
    </w:p>
    <w:p w14:paraId="11A42D1C">
      <w:pPr>
        <w:keepNext w:val="0"/>
        <w:pageBreakBefore w:val="0"/>
        <w:kinsoku/>
        <w:wordWrap/>
        <w:overflowPunct/>
        <w:topLinePunct w:val="0"/>
        <w:bidi w:val="0"/>
        <w:spacing w:line="300" w:lineRule="auto"/>
        <w:jc w:val="both"/>
        <w:textAlignment w:val="auto"/>
        <w:rPr>
          <w:rFonts w:ascii="宋体" w:hAnsi="宋体"/>
          <w:b/>
          <w:bCs/>
          <w:snapToGrid w:val="0"/>
        </w:rPr>
      </w:pPr>
      <w:r>
        <w:rPr>
          <w:rFonts w:hint="eastAsia" w:ascii="宋体" w:hAnsi="宋体"/>
          <w:b/>
          <w:bCs/>
          <w:snapToGrid w:val="0"/>
        </w:rPr>
        <w:t>1</w:t>
      </w:r>
      <w:r>
        <w:rPr>
          <w:rFonts w:ascii="宋体" w:hAnsi="宋体"/>
          <w:b/>
          <w:bCs/>
          <w:snapToGrid w:val="0"/>
        </w:rPr>
        <w:t>.1</w:t>
      </w:r>
      <w:r>
        <w:rPr>
          <w:rFonts w:hint="eastAsia" w:ascii="宋体" w:hAnsi="宋体"/>
          <w:b/>
          <w:bCs/>
          <w:snapToGrid w:val="0"/>
        </w:rPr>
        <w:t>安装条件要求：</w:t>
      </w:r>
    </w:p>
    <w:p w14:paraId="42BF6899">
      <w:pPr>
        <w:keepNext w:val="0"/>
        <w:pageBreakBefore w:val="0"/>
        <w:kinsoku/>
        <w:wordWrap/>
        <w:overflowPunct/>
        <w:topLinePunct w:val="0"/>
        <w:bidi w:val="0"/>
        <w:spacing w:line="300" w:lineRule="auto"/>
        <w:jc w:val="both"/>
        <w:textAlignment w:val="auto"/>
        <w:rPr>
          <w:rFonts w:cs="宋体" w:asciiTheme="minorEastAsia" w:hAnsiTheme="minorEastAsia"/>
        </w:rPr>
      </w:pPr>
      <w:r>
        <w:rPr>
          <w:rFonts w:hint="eastAsia" w:cs="宋体" w:asciiTheme="minorEastAsia" w:hAnsiTheme="minorEastAsia"/>
        </w:rPr>
        <w:t>1.</w:t>
      </w:r>
      <w:r>
        <w:rPr>
          <w:rFonts w:cs="宋体" w:asciiTheme="minorEastAsia" w:hAnsiTheme="minorEastAsia"/>
        </w:rPr>
        <w:t>1.1</w:t>
      </w:r>
      <w:r>
        <w:rPr>
          <w:rFonts w:hint="eastAsia" w:cs="宋体" w:asciiTheme="minorEastAsia" w:hAnsiTheme="minorEastAsia"/>
        </w:rPr>
        <w:t>电源符合要求：100</w:t>
      </w:r>
      <w:r>
        <w:rPr>
          <w:rFonts w:cs="宋体" w:asciiTheme="minorEastAsia" w:hAnsiTheme="minorEastAsia"/>
        </w:rPr>
        <w:t>V</w:t>
      </w:r>
      <w:r>
        <w:rPr>
          <w:rFonts w:hint="eastAsia" w:cs="宋体" w:asciiTheme="minorEastAsia" w:hAnsiTheme="minorEastAsia"/>
        </w:rPr>
        <w:t>～</w:t>
      </w:r>
      <w:r>
        <w:rPr>
          <w:rFonts w:cs="宋体" w:asciiTheme="minorEastAsia" w:hAnsiTheme="minorEastAsia"/>
        </w:rPr>
        <w:t>2</w:t>
      </w:r>
      <w:r>
        <w:rPr>
          <w:rFonts w:hint="eastAsia" w:cs="宋体" w:asciiTheme="minorEastAsia" w:hAnsiTheme="minorEastAsia"/>
        </w:rPr>
        <w:t>4</w:t>
      </w:r>
      <w:r>
        <w:rPr>
          <w:rFonts w:cs="宋体" w:asciiTheme="minorEastAsia" w:hAnsiTheme="minorEastAsia"/>
        </w:rPr>
        <w:t>0V</w:t>
      </w:r>
      <w:r>
        <w:rPr>
          <w:rFonts w:hint="eastAsia" w:cs="宋体" w:asciiTheme="minorEastAsia" w:hAnsiTheme="minorEastAsia"/>
        </w:rPr>
        <w:t>，频率：50</w:t>
      </w:r>
      <w:r>
        <w:rPr>
          <w:rFonts w:cs="宋体" w:asciiTheme="minorEastAsia" w:hAnsiTheme="minorEastAsia"/>
        </w:rPr>
        <w:t>Hz</w:t>
      </w:r>
    </w:p>
    <w:p w14:paraId="1E259563">
      <w:pPr>
        <w:keepNext w:val="0"/>
        <w:pageBreakBefore w:val="0"/>
        <w:kinsoku/>
        <w:wordWrap/>
        <w:overflowPunct/>
        <w:topLinePunct w:val="0"/>
        <w:bidi w:val="0"/>
        <w:spacing w:line="300" w:lineRule="auto"/>
        <w:jc w:val="both"/>
        <w:textAlignment w:val="auto"/>
        <w:rPr>
          <w:rFonts w:cs="宋体" w:asciiTheme="minorEastAsia" w:hAnsiTheme="minorEastAsia"/>
        </w:rPr>
      </w:pPr>
      <w:r>
        <w:rPr>
          <w:rFonts w:hint="eastAsia" w:cs="宋体" w:asciiTheme="minorEastAsia" w:hAnsiTheme="minorEastAsia"/>
        </w:rPr>
        <w:t>1</w:t>
      </w:r>
      <w:r>
        <w:rPr>
          <w:rFonts w:cs="宋体" w:asciiTheme="minorEastAsia" w:hAnsiTheme="minorEastAsia"/>
        </w:rPr>
        <w:t>.1.2</w:t>
      </w:r>
      <w:r>
        <w:rPr>
          <w:rFonts w:hint="eastAsia" w:cs="宋体" w:asciiTheme="minorEastAsia" w:hAnsiTheme="minorEastAsia"/>
        </w:rPr>
        <w:t>适用环境温度要求：</w:t>
      </w:r>
      <w:r>
        <w:rPr>
          <w:rFonts w:cs="宋体" w:asciiTheme="minorEastAsia" w:hAnsiTheme="minorEastAsia"/>
        </w:rPr>
        <w:t>1</w:t>
      </w:r>
      <w:r>
        <w:rPr>
          <w:rFonts w:hint="eastAsia" w:cs="宋体" w:asciiTheme="minorEastAsia" w:hAnsiTheme="minorEastAsia"/>
        </w:rPr>
        <w:t>0</w:t>
      </w:r>
      <w:r>
        <w:rPr>
          <w:rFonts w:ascii="Times New Roman" w:hAnsi="Times New Roman"/>
        </w:rPr>
        <w:t>˚</w:t>
      </w:r>
      <w:r>
        <w:rPr>
          <w:rFonts w:cs="宋体" w:asciiTheme="minorEastAsia" w:hAnsiTheme="minorEastAsia"/>
        </w:rPr>
        <w:t>C</w:t>
      </w:r>
      <w:r>
        <w:rPr>
          <w:rFonts w:hint="eastAsia" w:cs="宋体" w:asciiTheme="minorEastAsia" w:hAnsiTheme="minorEastAsia"/>
        </w:rPr>
        <w:t>～3</w:t>
      </w:r>
      <w:r>
        <w:rPr>
          <w:rFonts w:cs="宋体" w:asciiTheme="minorEastAsia" w:hAnsiTheme="minorEastAsia"/>
        </w:rPr>
        <w:t>5</w:t>
      </w:r>
      <w:r>
        <w:rPr>
          <w:rFonts w:ascii="Times New Roman" w:hAnsi="Times New Roman"/>
        </w:rPr>
        <w:t>˚</w:t>
      </w:r>
      <w:r>
        <w:rPr>
          <w:rFonts w:cs="宋体" w:asciiTheme="minorEastAsia" w:hAnsiTheme="minorEastAsia"/>
        </w:rPr>
        <w:t>C</w:t>
      </w:r>
    </w:p>
    <w:p w14:paraId="30F001E2">
      <w:pPr>
        <w:keepNext w:val="0"/>
        <w:pageBreakBefore w:val="0"/>
        <w:kinsoku/>
        <w:wordWrap/>
        <w:overflowPunct/>
        <w:topLinePunct w:val="0"/>
        <w:bidi w:val="0"/>
        <w:spacing w:line="300" w:lineRule="auto"/>
        <w:jc w:val="both"/>
        <w:textAlignment w:val="auto"/>
        <w:rPr>
          <w:rFonts w:cs="宋体" w:asciiTheme="minorEastAsia" w:hAnsiTheme="minorEastAsia"/>
        </w:rPr>
      </w:pPr>
      <w:r>
        <w:rPr>
          <w:rFonts w:hint="eastAsia" w:cs="宋体" w:asciiTheme="minorEastAsia" w:hAnsiTheme="minorEastAsia"/>
        </w:rPr>
        <w:t>1</w:t>
      </w:r>
      <w:r>
        <w:rPr>
          <w:rFonts w:cs="宋体" w:asciiTheme="minorEastAsia" w:hAnsiTheme="minorEastAsia"/>
        </w:rPr>
        <w:t>.1.3</w:t>
      </w:r>
      <w:r>
        <w:rPr>
          <w:rFonts w:hint="eastAsia" w:cs="宋体" w:asciiTheme="minorEastAsia" w:hAnsiTheme="minorEastAsia"/>
        </w:rPr>
        <w:t>适用环境湿度要求：5%RH～85%RH</w:t>
      </w:r>
      <w:r>
        <w:rPr>
          <w:rFonts w:cs="宋体" w:asciiTheme="minorEastAsia" w:hAnsiTheme="minorEastAsia"/>
        </w:rPr>
        <w:t xml:space="preserve"> </w:t>
      </w:r>
    </w:p>
    <w:p w14:paraId="4C674B31">
      <w:pPr>
        <w:keepNext w:val="0"/>
        <w:pageBreakBefore w:val="0"/>
        <w:kinsoku/>
        <w:wordWrap/>
        <w:overflowPunct/>
        <w:topLinePunct w:val="0"/>
        <w:bidi w:val="0"/>
        <w:spacing w:line="300" w:lineRule="auto"/>
        <w:jc w:val="both"/>
        <w:textAlignment w:val="auto"/>
        <w:rPr>
          <w:rFonts w:ascii="宋体" w:hAnsi="宋体"/>
          <w:b/>
        </w:rPr>
      </w:pPr>
      <w:r>
        <w:rPr>
          <w:rFonts w:ascii="宋体" w:hAnsi="宋体"/>
          <w:b/>
          <w:bCs/>
          <w:snapToGrid w:val="0"/>
        </w:rPr>
        <w:t>1.2</w:t>
      </w:r>
      <w:r>
        <w:rPr>
          <w:rFonts w:hint="eastAsia" w:cs="宋体" w:asciiTheme="minorEastAsia" w:hAnsiTheme="minorEastAsia"/>
          <w:b/>
        </w:rPr>
        <w:t>主机及整体性能</w:t>
      </w:r>
    </w:p>
    <w:p w14:paraId="1A82036C">
      <w:pPr>
        <w:keepNext w:val="0"/>
        <w:pageBreakBefore w:val="0"/>
        <w:kinsoku/>
        <w:wordWrap/>
        <w:overflowPunct/>
        <w:topLinePunct w:val="0"/>
        <w:bidi w:val="0"/>
        <w:spacing w:line="300" w:lineRule="auto"/>
        <w:jc w:val="both"/>
        <w:textAlignment w:val="auto"/>
        <w:rPr>
          <w:rFonts w:hint="eastAsia" w:ascii="宋体" w:hAnsi="宋体"/>
          <w:snapToGrid w:val="0"/>
        </w:rPr>
      </w:pPr>
      <w:r>
        <w:rPr>
          <w:rFonts w:ascii="宋体" w:hAnsi="宋体"/>
          <w:snapToGrid w:val="0"/>
        </w:rPr>
        <w:t>1.2.</w:t>
      </w:r>
      <w:r>
        <w:rPr>
          <w:rFonts w:hint="eastAsia" w:ascii="宋体" w:hAnsi="宋体"/>
          <w:snapToGrid w:val="0"/>
        </w:rPr>
        <w:t>1本仪器应用滤膜称重法捕集环境大气中的总悬浮微粒(TSP)和可吸入微粒(PM10)或细颗粒物(PM2.5选配)；用溶液吸收法采集环境大气、室内空气中各种污染性气体成份(SO2、NOx等)；也可应用于环境空气中VOCs的采样。可供环保、卫生、劳动、安监等用于颗粒物、气态物质和气溶胶的常规或应急监测</w:t>
      </w:r>
      <w:r>
        <w:rPr>
          <w:rFonts w:hint="eastAsia" w:ascii="宋体" w:hAnsi="宋体"/>
          <w:snapToGrid w:val="0"/>
          <w:lang w:eastAsia="zh-CN"/>
        </w:rPr>
        <w:t>，</w:t>
      </w:r>
      <w:r>
        <w:rPr>
          <w:rFonts w:hint="eastAsia" w:ascii="宋体" w:hAnsi="宋体"/>
          <w:snapToGrid w:val="0"/>
          <w:lang w:val="en-US" w:eastAsia="zh-CN"/>
        </w:rPr>
        <w:t>一机含1路颗粒物采样，4路大气采样</w:t>
      </w:r>
      <w:r>
        <w:rPr>
          <w:rFonts w:hint="eastAsia"/>
        </w:rPr>
        <w:t>。</w:t>
      </w:r>
    </w:p>
    <w:p w14:paraId="51963001">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1.2.2 颗粒物采样流量：最大空载流量(1～150）L/min，最小1L/min，工作点流量可定制。</w:t>
      </w:r>
    </w:p>
    <w:p w14:paraId="070AC7DB">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1.2.3 大气采样流量:2路采样流量范围(0.1～1.0）L/min</w:t>
      </w:r>
      <w:r>
        <w:rPr>
          <w:rFonts w:hint="eastAsia" w:ascii="宋体" w:hAnsi="宋体"/>
          <w:snapToGrid w:val="0"/>
          <w:lang w:eastAsia="zh-CN"/>
        </w:rPr>
        <w:t>，</w:t>
      </w:r>
      <w:r>
        <w:rPr>
          <w:rFonts w:hint="eastAsia" w:ascii="宋体" w:hAnsi="宋体"/>
          <w:snapToGrid w:val="0"/>
          <w:lang w:val="en-US" w:eastAsia="zh-CN"/>
        </w:rPr>
        <w:t>最小0.1L/min；2路采样流量(0.01～0.2）L/min</w:t>
      </w:r>
      <w:r>
        <w:rPr>
          <w:rFonts w:hint="eastAsia" w:ascii="宋体" w:hAnsi="宋体"/>
          <w:snapToGrid w:val="0"/>
          <w:lang w:eastAsia="zh-CN"/>
        </w:rPr>
        <w:t>，</w:t>
      </w:r>
      <w:r>
        <w:rPr>
          <w:rFonts w:hint="eastAsia" w:ascii="宋体" w:hAnsi="宋体"/>
          <w:snapToGrid w:val="0"/>
          <w:lang w:val="en-US" w:eastAsia="zh-CN"/>
        </w:rPr>
        <w:t>最小0.01L/min。</w:t>
      </w:r>
    </w:p>
    <w:p w14:paraId="066DA63D">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1.2.4 采样时间：99h59min内任意设置。</w:t>
      </w:r>
    </w:p>
    <w:p w14:paraId="49CF13F9">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1.2.5 一机多用，具备1路</w:t>
      </w:r>
      <w:r>
        <w:rPr>
          <w:rFonts w:hint="eastAsia" w:asciiTheme="minorEastAsia" w:hAnsiTheme="minorEastAsia"/>
        </w:rPr>
        <w:t>总悬浮颗粒物</w:t>
      </w:r>
      <w:r>
        <w:rPr>
          <w:rFonts w:hint="eastAsia" w:asciiTheme="minorEastAsia" w:hAnsiTheme="minorEastAsia"/>
          <w:lang w:eastAsia="zh-CN"/>
        </w:rPr>
        <w:t>、</w:t>
      </w:r>
      <w:r>
        <w:rPr>
          <w:rFonts w:hint="eastAsia" w:asciiTheme="minorEastAsia" w:hAnsiTheme="minorEastAsia"/>
          <w:lang w:val="en-US" w:eastAsia="zh-CN"/>
        </w:rPr>
        <w:t>4路</w:t>
      </w:r>
      <w:r>
        <w:rPr>
          <w:rFonts w:hint="eastAsia" w:ascii="宋体" w:hAnsi="宋体"/>
          <w:snapToGrid w:val="0"/>
        </w:rPr>
        <w:t>环境大气</w:t>
      </w:r>
      <w:r>
        <w:rPr>
          <w:rFonts w:hint="eastAsia" w:ascii="宋体" w:hAnsi="宋体"/>
          <w:snapToGrid w:val="0"/>
          <w:lang w:val="en-US" w:eastAsia="zh-CN"/>
        </w:rPr>
        <w:t>采样同时采样，每路采样流量分别设置并独自恒流控制。</w:t>
      </w:r>
    </w:p>
    <w:p w14:paraId="4663CF25">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1.2.6 可应用于环境空气中的VOCs进行固相吸附法采样。</w:t>
      </w:r>
    </w:p>
    <w:p w14:paraId="6B14E972">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1.2.7 一体式恒温箱设计，恒温范围（15～30）℃，可内置4个吸收瓶。</w:t>
      </w:r>
    </w:p>
    <w:p w14:paraId="04CDC7B7">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1.2.8 采样流量自动控制：采用高精度、耐腐蚀电子流量计。</w:t>
      </w:r>
    </w:p>
    <w:p w14:paraId="065D2DD4">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1.2.9 内置锂电池，锂电池供电时，5个采样器全开，至少满足4h采样时间，具备交流、直流双供电功能。</w:t>
      </w:r>
    </w:p>
    <w:p w14:paraId="5D0360BB">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1.2.10 内置大容量存储器，存储数据不小于5000条，采样数据可存储、查阅、导出、打印。</w:t>
      </w:r>
    </w:p>
    <w:p w14:paraId="35FF71F4">
      <w:pPr>
        <w:keepNext w:val="0"/>
        <w:pageBreakBefore w:val="0"/>
        <w:kinsoku/>
        <w:wordWrap/>
        <w:overflowPunct/>
        <w:topLinePunct w:val="0"/>
        <w:bidi w:val="0"/>
        <w:spacing w:line="300" w:lineRule="auto"/>
        <w:jc w:val="both"/>
        <w:textAlignment w:val="auto"/>
        <w:rPr>
          <w:rFonts w:hint="eastAsia" w:ascii="宋体" w:hAnsi="宋体"/>
          <w:snapToGrid w:val="0"/>
          <w:lang w:val="en-US" w:eastAsia="zh-CN"/>
        </w:rPr>
      </w:pPr>
      <w:r>
        <w:rPr>
          <w:rFonts w:hint="eastAsia" w:ascii="宋体" w:hAnsi="宋体"/>
          <w:snapToGrid w:val="0"/>
          <w:lang w:val="en-US" w:eastAsia="zh-CN"/>
        </w:rPr>
        <w:t>1.2.11 实时测量大气压、环境温度等参数。</w:t>
      </w:r>
    </w:p>
    <w:p w14:paraId="1A61438E">
      <w:pPr>
        <w:keepNext w:val="0"/>
        <w:pageBreakBefore w:val="0"/>
        <w:kinsoku/>
        <w:wordWrap/>
        <w:overflowPunct/>
        <w:topLinePunct w:val="0"/>
        <w:bidi w:val="0"/>
        <w:spacing w:line="300" w:lineRule="auto"/>
        <w:jc w:val="both"/>
        <w:textAlignment w:val="auto"/>
        <w:rPr>
          <w:rFonts w:hint="default" w:ascii="宋体" w:hAnsi="宋体" w:eastAsiaTheme="minorEastAsia"/>
          <w:snapToGrid w:val="0"/>
          <w:lang w:val="en-US" w:eastAsia="zh-CN"/>
        </w:rPr>
      </w:pPr>
      <w:r>
        <w:rPr>
          <w:rFonts w:hint="eastAsia" w:ascii="宋体" w:hAnsi="宋体"/>
          <w:snapToGrid w:val="0"/>
          <w:lang w:val="en-US" w:eastAsia="zh-CN"/>
        </w:rPr>
        <w:t>1.2.12 具备故障自检功能，可对仪器功能进行检测并提示故障。</w:t>
      </w:r>
    </w:p>
    <w:p w14:paraId="47618713">
      <w:pPr>
        <w:keepNext w:val="0"/>
        <w:pageBreakBefore w:val="0"/>
        <w:kinsoku/>
        <w:wordWrap/>
        <w:overflowPunct/>
        <w:topLinePunct w:val="0"/>
        <w:bidi w:val="0"/>
        <w:spacing w:line="300" w:lineRule="auto"/>
        <w:jc w:val="both"/>
        <w:textAlignment w:val="auto"/>
        <w:rPr>
          <w:rFonts w:cs="宋体" w:asciiTheme="minorEastAsia" w:hAnsiTheme="minorEastAsia"/>
          <w:b/>
        </w:rPr>
      </w:pPr>
      <w:r>
        <w:rPr>
          <w:rFonts w:ascii="宋体" w:hAnsi="宋体"/>
          <w:b/>
        </w:rPr>
        <w:t>2</w:t>
      </w:r>
      <w:r>
        <w:rPr>
          <w:rFonts w:hint="eastAsia" w:ascii="宋体" w:hAnsi="宋体"/>
          <w:b/>
        </w:rPr>
        <w:t>.</w:t>
      </w:r>
      <w:r>
        <w:rPr>
          <w:rFonts w:hint="eastAsia" w:cs="宋体" w:asciiTheme="minorEastAsia" w:hAnsiTheme="minorEastAsia"/>
          <w:b/>
        </w:rPr>
        <w:t>适用方法</w:t>
      </w:r>
    </w:p>
    <w:p w14:paraId="308E7605">
      <w:pPr>
        <w:keepNext w:val="0"/>
        <w:pageBreakBefore w:val="0"/>
        <w:kinsoku/>
        <w:wordWrap/>
        <w:overflowPunct/>
        <w:topLinePunct w:val="0"/>
        <w:bidi w:val="0"/>
        <w:spacing w:line="300" w:lineRule="auto"/>
        <w:jc w:val="both"/>
        <w:textAlignment w:val="auto"/>
        <w:rPr>
          <w:rFonts w:ascii="宋体" w:hAnsi="宋体"/>
          <w:snapToGrid w:val="0"/>
        </w:rPr>
      </w:pPr>
      <w:r>
        <w:rPr>
          <w:rFonts w:hint="eastAsia" w:asciiTheme="minorEastAsia" w:hAnsiTheme="minorEastAsia"/>
        </w:rPr>
        <w:t>仪器须符合试验方法</w:t>
      </w:r>
      <w:r>
        <w:rPr>
          <w:rFonts w:hint="eastAsia" w:ascii="宋体" w:hAnsi="宋体"/>
          <w:snapToGrid w:val="0"/>
        </w:rPr>
        <w:t xml:space="preserve"> </w:t>
      </w:r>
      <w:r>
        <w:rPr>
          <w:rFonts w:hint="eastAsia" w:asciiTheme="minorEastAsia" w:hAnsiTheme="minorEastAsia"/>
        </w:rPr>
        <w:t>《HJ 1263-2022 环境空气 总悬浮颗粒物的测定 重量法》、《HJ 583-2010 环境空气 苯系物的测定 固体吸附热脱附-气相色谱法》、《HJ/T 375-2007</w:t>
      </w:r>
      <w:r>
        <w:rPr>
          <w:rFonts w:hint="eastAsia" w:asciiTheme="minorEastAsia" w:hAnsiTheme="minorEastAsia"/>
          <w:lang w:val="en-US" w:eastAsia="zh-CN"/>
        </w:rPr>
        <w:t xml:space="preserve"> </w:t>
      </w:r>
      <w:r>
        <w:rPr>
          <w:rFonts w:hint="eastAsia" w:asciiTheme="minorEastAsia" w:hAnsiTheme="minorEastAsia"/>
        </w:rPr>
        <w:t>环境空气采样器技术要求及检测方法》</w:t>
      </w:r>
      <w:r>
        <w:rPr>
          <w:rFonts w:hint="eastAsia" w:asciiTheme="minorEastAsia" w:hAnsiTheme="minorEastAsia"/>
          <w:lang w:eastAsia="zh-CN"/>
        </w:rPr>
        <w:t>、</w:t>
      </w:r>
      <w:r>
        <w:rPr>
          <w:rFonts w:hint="eastAsia" w:asciiTheme="minorEastAsia" w:hAnsiTheme="minorEastAsia"/>
        </w:rPr>
        <w:t>《HJ/T 374-2007</w:t>
      </w:r>
      <w:r>
        <w:rPr>
          <w:rFonts w:hint="eastAsia" w:asciiTheme="minorEastAsia" w:hAnsiTheme="minorEastAsia"/>
          <w:lang w:val="en-US" w:eastAsia="zh-CN"/>
        </w:rPr>
        <w:t xml:space="preserve"> </w:t>
      </w:r>
      <w:r>
        <w:rPr>
          <w:rFonts w:hint="eastAsia" w:asciiTheme="minorEastAsia" w:hAnsiTheme="minorEastAsia"/>
        </w:rPr>
        <w:t>总悬浮颗粒物采样器技术要求及检测方法》要求。</w:t>
      </w:r>
    </w:p>
    <w:p w14:paraId="1834253E">
      <w:pPr>
        <w:keepNext w:val="0"/>
        <w:pageBreakBefore w:val="0"/>
        <w:kinsoku/>
        <w:wordWrap/>
        <w:overflowPunct/>
        <w:topLinePunct w:val="0"/>
        <w:bidi w:val="0"/>
        <w:spacing w:line="300" w:lineRule="auto"/>
        <w:jc w:val="both"/>
        <w:textAlignment w:val="auto"/>
        <w:rPr>
          <w:rFonts w:ascii="宋体" w:hAnsi="宋体"/>
          <w:b/>
          <w:bCs/>
          <w:snapToGrid w:val="0"/>
          <w:color w:val="auto"/>
          <w:highlight w:val="none"/>
        </w:rPr>
      </w:pPr>
      <w:r>
        <w:rPr>
          <w:rFonts w:ascii="宋体" w:cs="宋体"/>
          <w:color w:val="auto"/>
          <w:highlight w:val="none"/>
        </w:rPr>
        <w:t>*</w:t>
      </w:r>
      <w:r>
        <w:rPr>
          <w:rFonts w:ascii="宋体" w:hAnsi="宋体"/>
          <w:b/>
          <w:color w:val="auto"/>
          <w:highlight w:val="none"/>
        </w:rPr>
        <w:t>3</w:t>
      </w:r>
      <w:r>
        <w:rPr>
          <w:rFonts w:hint="eastAsia" w:ascii="宋体" w:hAnsi="宋体"/>
          <w:b/>
          <w:color w:val="auto"/>
          <w:highlight w:val="none"/>
        </w:rPr>
        <w:t>.</w:t>
      </w:r>
      <w:r>
        <w:rPr>
          <w:rFonts w:ascii="宋体" w:hAnsi="宋体"/>
          <w:b/>
          <w:color w:val="auto"/>
          <w:highlight w:val="none"/>
        </w:rPr>
        <w:t>仪器</w:t>
      </w:r>
      <w:r>
        <w:rPr>
          <w:rFonts w:hint="eastAsia" w:ascii="宋体" w:hAnsi="宋体"/>
          <w:b/>
          <w:bCs/>
          <w:snapToGrid w:val="0"/>
          <w:color w:val="auto"/>
          <w:highlight w:val="none"/>
        </w:rPr>
        <w:t>配置要求：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492"/>
        <w:gridCol w:w="1400"/>
        <w:gridCol w:w="1154"/>
      </w:tblGrid>
      <w:tr w14:paraId="2167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noWrap/>
            <w:vAlign w:val="center"/>
          </w:tcPr>
          <w:p w14:paraId="35FF74DE">
            <w:pPr>
              <w:keepNext w:val="0"/>
              <w:pageBreakBefore w:val="0"/>
              <w:kinsoku/>
              <w:wordWrap/>
              <w:overflowPunct/>
              <w:topLinePunct w:val="0"/>
              <w:bidi w:val="0"/>
              <w:spacing w:line="300" w:lineRule="auto"/>
              <w:ind w:firstLine="241" w:firstLineChars="100"/>
              <w:jc w:val="center"/>
              <w:textAlignment w:val="auto"/>
              <w:rPr>
                <w:rFonts w:ascii="微软雅黑" w:hAnsi="微软雅黑" w:eastAsia="微软雅黑" w:cs="宋体"/>
                <w:b/>
                <w:bCs/>
                <w:color w:val="auto"/>
                <w:szCs w:val="21"/>
                <w:highlight w:val="none"/>
              </w:rPr>
            </w:pPr>
            <w:r>
              <w:rPr>
                <w:b/>
                <w:color w:val="auto"/>
                <w:szCs w:val="21"/>
                <w:highlight w:val="none"/>
              </w:rPr>
              <w:t>序号</w:t>
            </w:r>
          </w:p>
        </w:tc>
        <w:tc>
          <w:tcPr>
            <w:tcW w:w="5492" w:type="dxa"/>
            <w:shd w:val="clear" w:color="auto" w:fill="auto"/>
            <w:noWrap/>
            <w:vAlign w:val="center"/>
          </w:tcPr>
          <w:p w14:paraId="3B8D4AE0">
            <w:pPr>
              <w:keepNext w:val="0"/>
              <w:pageBreakBefore w:val="0"/>
              <w:kinsoku/>
              <w:wordWrap/>
              <w:overflowPunct/>
              <w:topLinePunct w:val="0"/>
              <w:bidi w:val="0"/>
              <w:spacing w:line="300" w:lineRule="auto"/>
              <w:jc w:val="both"/>
              <w:textAlignment w:val="auto"/>
              <w:rPr>
                <w:rFonts w:ascii="微软雅黑" w:hAnsi="微软雅黑" w:eastAsia="微软雅黑" w:cs="宋体"/>
                <w:b/>
                <w:bCs/>
                <w:color w:val="auto"/>
                <w:szCs w:val="21"/>
                <w:highlight w:val="none"/>
              </w:rPr>
            </w:pPr>
            <w:r>
              <w:rPr>
                <w:b/>
                <w:color w:val="auto"/>
                <w:szCs w:val="21"/>
                <w:highlight w:val="none"/>
              </w:rPr>
              <w:t>名称</w:t>
            </w:r>
          </w:p>
        </w:tc>
        <w:tc>
          <w:tcPr>
            <w:tcW w:w="1400" w:type="dxa"/>
            <w:vAlign w:val="center"/>
          </w:tcPr>
          <w:p w14:paraId="38CADA35">
            <w:pPr>
              <w:keepNext w:val="0"/>
              <w:pageBreakBefore w:val="0"/>
              <w:kinsoku/>
              <w:wordWrap/>
              <w:overflowPunct/>
              <w:topLinePunct w:val="0"/>
              <w:bidi w:val="0"/>
              <w:spacing w:line="300" w:lineRule="auto"/>
              <w:jc w:val="center"/>
              <w:textAlignment w:val="auto"/>
              <w:rPr>
                <w:rFonts w:ascii="微软雅黑" w:hAnsi="微软雅黑" w:eastAsia="微软雅黑" w:cs="宋体"/>
                <w:b/>
                <w:bCs/>
                <w:color w:val="auto"/>
                <w:szCs w:val="21"/>
                <w:highlight w:val="none"/>
              </w:rPr>
            </w:pPr>
            <w:r>
              <w:rPr>
                <w:b/>
                <w:color w:val="auto"/>
                <w:szCs w:val="21"/>
                <w:highlight w:val="none"/>
              </w:rPr>
              <w:t>单位</w:t>
            </w:r>
          </w:p>
        </w:tc>
        <w:tc>
          <w:tcPr>
            <w:tcW w:w="1154" w:type="dxa"/>
            <w:noWrap/>
            <w:vAlign w:val="center"/>
          </w:tcPr>
          <w:p w14:paraId="271D03A5">
            <w:pPr>
              <w:keepNext w:val="0"/>
              <w:pageBreakBefore w:val="0"/>
              <w:kinsoku/>
              <w:wordWrap/>
              <w:overflowPunct/>
              <w:topLinePunct w:val="0"/>
              <w:bidi w:val="0"/>
              <w:spacing w:line="300" w:lineRule="auto"/>
              <w:jc w:val="center"/>
              <w:textAlignment w:val="auto"/>
              <w:rPr>
                <w:rFonts w:ascii="微软雅黑" w:hAnsi="微软雅黑" w:eastAsia="微软雅黑" w:cs="宋体"/>
                <w:b/>
                <w:bCs/>
                <w:color w:val="auto"/>
                <w:szCs w:val="21"/>
                <w:highlight w:val="none"/>
              </w:rPr>
            </w:pPr>
            <w:r>
              <w:rPr>
                <w:b/>
                <w:color w:val="auto"/>
                <w:szCs w:val="21"/>
                <w:highlight w:val="none"/>
              </w:rPr>
              <w:t>数量</w:t>
            </w:r>
          </w:p>
        </w:tc>
      </w:tr>
      <w:tr w14:paraId="0A61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087835A">
            <w:pPr>
              <w:keepNext w:val="0"/>
              <w:pageBreakBefore w:val="0"/>
              <w:kinsoku/>
              <w:wordWrap/>
              <w:overflowPunct/>
              <w:topLinePunct w:val="0"/>
              <w:bidi w:val="0"/>
              <w:spacing w:line="300" w:lineRule="auto"/>
              <w:jc w:val="center"/>
              <w:textAlignment w:val="auto"/>
              <w:rPr>
                <w:rFonts w:ascii="微软雅黑" w:hAnsi="微软雅黑" w:eastAsia="微软雅黑" w:cs="宋体"/>
                <w:color w:val="auto"/>
                <w:szCs w:val="21"/>
                <w:highlight w:val="none"/>
              </w:rPr>
            </w:pPr>
            <w:r>
              <w:rPr>
                <w:rFonts w:hint="eastAsia" w:ascii="宋体" w:hAnsi="宋体"/>
                <w:snapToGrid w:val="0"/>
                <w:color w:val="auto"/>
                <w:highlight w:val="none"/>
              </w:rPr>
              <w:t>1</w:t>
            </w:r>
          </w:p>
        </w:tc>
        <w:tc>
          <w:tcPr>
            <w:tcW w:w="5492" w:type="dxa"/>
            <w:shd w:val="clear" w:color="auto" w:fill="auto"/>
            <w:vAlign w:val="center"/>
          </w:tcPr>
          <w:p w14:paraId="1A9D83E7">
            <w:pPr>
              <w:pStyle w:val="37"/>
              <w:keepNext w:val="0"/>
              <w:pageBreakBefore w:val="0"/>
              <w:kinsoku/>
              <w:wordWrap/>
              <w:overflowPunct/>
              <w:topLinePunct w:val="0"/>
              <w:bidi w:val="0"/>
              <w:snapToGrid w:val="0"/>
              <w:spacing w:line="300" w:lineRule="auto"/>
              <w:jc w:val="both"/>
              <w:textAlignment w:val="auto"/>
              <w:rPr>
                <w:rFonts w:hint="default" w:ascii="宋体" w:hAnsi="宋体" w:eastAsiaTheme="minorEastAsia"/>
                <w:snapToGrid w:val="0"/>
                <w:color w:val="auto"/>
                <w:highlight w:val="none"/>
                <w:lang w:val="en-US" w:eastAsia="zh-CN"/>
              </w:rPr>
            </w:pPr>
            <w:r>
              <w:rPr>
                <w:rFonts w:hint="eastAsia" w:ascii="宋体" w:hAnsi="宋体"/>
                <w:snapToGrid w:val="0"/>
                <w:color w:val="auto"/>
                <w:highlight w:val="none"/>
                <w:lang w:val="en-US" w:eastAsia="zh-CN"/>
              </w:rPr>
              <w:t>仪器主机</w:t>
            </w:r>
          </w:p>
        </w:tc>
        <w:tc>
          <w:tcPr>
            <w:tcW w:w="1400" w:type="dxa"/>
            <w:vAlign w:val="center"/>
          </w:tcPr>
          <w:p w14:paraId="0E885108">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ascii="宋体" w:hAnsi="宋体"/>
                <w:snapToGrid w:val="0"/>
                <w:color w:val="auto"/>
                <w:highlight w:val="none"/>
              </w:rPr>
              <w:t>台</w:t>
            </w:r>
          </w:p>
        </w:tc>
        <w:tc>
          <w:tcPr>
            <w:tcW w:w="1154" w:type="dxa"/>
            <w:vAlign w:val="center"/>
          </w:tcPr>
          <w:p w14:paraId="1F0D228B">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hint="eastAsia" w:ascii="宋体" w:hAnsi="宋体"/>
                <w:snapToGrid w:val="0"/>
                <w:color w:val="auto"/>
                <w:highlight w:val="none"/>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5CBE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40FD50C7">
            <w:pPr>
              <w:keepNext w:val="0"/>
              <w:pageBreakBefore w:val="0"/>
              <w:kinsoku/>
              <w:wordWrap/>
              <w:overflowPunct/>
              <w:topLinePunct w:val="0"/>
              <w:bidi w:val="0"/>
              <w:spacing w:line="300" w:lineRule="auto"/>
              <w:jc w:val="center"/>
              <w:textAlignment w:val="auto"/>
              <w:rPr>
                <w:rFonts w:hint="eastAsia" w:ascii="微软雅黑" w:hAnsi="微软雅黑" w:eastAsia="微软雅黑" w:cs="宋体"/>
                <w:color w:val="auto"/>
                <w:sz w:val="24"/>
                <w:szCs w:val="21"/>
                <w:highlight w:val="none"/>
                <w:lang w:val="en-US" w:eastAsia="zh-CN" w:bidi="ar-SA"/>
              </w:rPr>
            </w:pPr>
            <w:r>
              <w:rPr>
                <w:rFonts w:hint="eastAsia" w:ascii="宋体" w:hAnsi="宋体"/>
                <w:snapToGrid w:val="0"/>
                <w:color w:val="auto"/>
                <w:highlight w:val="none"/>
              </w:rPr>
              <w:t>1</w:t>
            </w:r>
          </w:p>
        </w:tc>
        <w:tc>
          <w:tcPr>
            <w:tcW w:w="5492" w:type="dxa"/>
            <w:shd w:val="clear" w:color="auto" w:fill="auto"/>
            <w:vAlign w:val="center"/>
          </w:tcPr>
          <w:p w14:paraId="4BD87AEE">
            <w:pPr>
              <w:pStyle w:val="37"/>
              <w:keepNext w:val="0"/>
              <w:pageBreakBefore w:val="0"/>
              <w:kinsoku/>
              <w:wordWrap/>
              <w:overflowPunct/>
              <w:topLinePunct w:val="0"/>
              <w:bidi w:val="0"/>
              <w:snapToGrid w:val="0"/>
              <w:spacing w:line="300" w:lineRule="auto"/>
              <w:jc w:val="both"/>
              <w:textAlignment w:val="auto"/>
              <w:rPr>
                <w:rFonts w:hint="default" w:ascii="宋体" w:hAnsi="宋体" w:cs="Times New Roman" w:eastAsiaTheme="minorEastAsia"/>
                <w:snapToGrid w:val="0"/>
                <w:color w:val="auto"/>
                <w:sz w:val="24"/>
                <w:szCs w:val="24"/>
                <w:highlight w:val="none"/>
                <w:lang w:val="en-US" w:eastAsia="zh-CN" w:bidi="ar-SA"/>
              </w:rPr>
            </w:pPr>
            <w:r>
              <w:rPr>
                <w:rFonts w:hint="eastAsia" w:ascii="宋体" w:hAnsi="宋体" w:cs="Times New Roman"/>
                <w:snapToGrid w:val="0"/>
                <w:color w:val="auto"/>
                <w:sz w:val="24"/>
                <w:szCs w:val="24"/>
                <w:highlight w:val="none"/>
                <w:lang w:val="en-US" w:eastAsia="zh-CN" w:bidi="ar-SA"/>
              </w:rPr>
              <w:t>保护箱</w:t>
            </w:r>
          </w:p>
        </w:tc>
        <w:tc>
          <w:tcPr>
            <w:tcW w:w="1400" w:type="dxa"/>
            <w:shd w:val="clear" w:color="auto" w:fill="auto"/>
            <w:vAlign w:val="center"/>
          </w:tcPr>
          <w:p w14:paraId="34B20615">
            <w:pPr>
              <w:keepNext w:val="0"/>
              <w:pageBreakBefore w:val="0"/>
              <w:kinsoku/>
              <w:wordWrap/>
              <w:overflowPunct/>
              <w:topLinePunct w:val="0"/>
              <w:bidi w:val="0"/>
              <w:spacing w:line="300" w:lineRule="auto"/>
              <w:jc w:val="center"/>
              <w:textAlignment w:val="auto"/>
              <w:rPr>
                <w:rFonts w:ascii="宋体" w:hAnsi="宋体" w:cs="Times New Roman" w:eastAsiaTheme="minorEastAsia"/>
                <w:snapToGrid w:val="0"/>
                <w:color w:val="auto"/>
                <w:sz w:val="24"/>
                <w:szCs w:val="24"/>
                <w:highlight w:val="none"/>
                <w:lang w:val="en-US" w:eastAsia="zh-CN" w:bidi="ar-SA"/>
              </w:rPr>
            </w:pPr>
            <w:r>
              <w:rPr>
                <w:rFonts w:ascii="宋体" w:hAnsi="宋体"/>
                <w:snapToGrid w:val="0"/>
                <w:color w:val="auto"/>
                <w:highlight w:val="none"/>
              </w:rPr>
              <w:t>台</w:t>
            </w:r>
          </w:p>
        </w:tc>
        <w:tc>
          <w:tcPr>
            <w:tcW w:w="1154" w:type="dxa"/>
            <w:shd w:val="clear" w:color="auto" w:fill="auto"/>
            <w:vAlign w:val="center"/>
          </w:tcPr>
          <w:p w14:paraId="3A3F9885">
            <w:pPr>
              <w:keepNext w:val="0"/>
              <w:pageBreakBefore w:val="0"/>
              <w:kinsoku/>
              <w:wordWrap/>
              <w:overflowPunct/>
              <w:topLinePunct w:val="0"/>
              <w:bidi w:val="0"/>
              <w:spacing w:line="300" w:lineRule="auto"/>
              <w:jc w:val="center"/>
              <w:textAlignment w:val="auto"/>
              <w:rPr>
                <w:rFonts w:hint="eastAsia" w:ascii="宋体" w:hAnsi="宋体" w:cs="Times New Roman" w:eastAsiaTheme="minorEastAsia"/>
                <w:snapToGrid w:val="0"/>
                <w:color w:val="auto"/>
                <w:sz w:val="24"/>
                <w:szCs w:val="24"/>
                <w:highlight w:val="none"/>
                <w:lang w:val="en-US" w:eastAsia="zh-CN" w:bidi="ar-SA"/>
              </w:rPr>
            </w:pPr>
            <w:r>
              <w:rPr>
                <w:rFonts w:hint="eastAsia" w:ascii="宋体" w:hAnsi="宋体"/>
                <w:snapToGrid w:val="0"/>
                <w:color w:val="auto"/>
                <w:highlight w:val="none"/>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36FA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05FF462">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hint="eastAsia" w:ascii="宋体" w:hAnsi="宋体"/>
                <w:snapToGrid w:val="0"/>
                <w:color w:val="auto"/>
                <w:highlight w:val="none"/>
              </w:rPr>
              <w:t>3</w:t>
            </w:r>
          </w:p>
        </w:tc>
        <w:tc>
          <w:tcPr>
            <w:tcW w:w="5492" w:type="dxa"/>
            <w:shd w:val="clear" w:color="auto" w:fill="auto"/>
            <w:vAlign w:val="center"/>
          </w:tcPr>
          <w:p w14:paraId="070D020F">
            <w:pPr>
              <w:keepNext w:val="0"/>
              <w:pageBreakBefore w:val="0"/>
              <w:kinsoku/>
              <w:wordWrap/>
              <w:overflowPunct/>
              <w:topLinePunct w:val="0"/>
              <w:bidi w:val="0"/>
              <w:spacing w:line="300" w:lineRule="auto"/>
              <w:jc w:val="both"/>
              <w:textAlignment w:val="auto"/>
              <w:rPr>
                <w:rFonts w:ascii="宋体" w:hAnsi="宋体"/>
                <w:snapToGrid w:val="0"/>
                <w:color w:val="auto"/>
                <w:highlight w:val="none"/>
              </w:rPr>
            </w:pPr>
            <w:r>
              <w:rPr>
                <w:rFonts w:hint="eastAsia" w:ascii="宋体" w:hAnsi="宋体"/>
                <w:color w:val="auto"/>
                <w:highlight w:val="none"/>
                <w:lang w:val="en-US" w:eastAsia="zh-CN"/>
              </w:rPr>
              <w:t>纸质及电子版</w:t>
            </w:r>
            <w:r>
              <w:rPr>
                <w:rFonts w:hint="eastAsia" w:ascii="宋体" w:hAnsi="宋体"/>
                <w:color w:val="auto"/>
                <w:highlight w:val="none"/>
              </w:rPr>
              <w:t>中文仪器说明书</w:t>
            </w:r>
          </w:p>
        </w:tc>
        <w:tc>
          <w:tcPr>
            <w:tcW w:w="1400" w:type="dxa"/>
            <w:vAlign w:val="center"/>
          </w:tcPr>
          <w:p w14:paraId="688C3A28">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hint="eastAsia" w:ascii="宋体" w:hAnsi="宋体"/>
                <w:snapToGrid w:val="0"/>
                <w:color w:val="auto"/>
                <w:highlight w:val="none"/>
              </w:rPr>
              <w:t>份</w:t>
            </w:r>
          </w:p>
        </w:tc>
        <w:tc>
          <w:tcPr>
            <w:tcW w:w="1154" w:type="dxa"/>
            <w:noWrap/>
            <w:vAlign w:val="center"/>
          </w:tcPr>
          <w:p w14:paraId="4957D35A">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hint="eastAsia" w:ascii="宋体" w:hAnsi="宋体"/>
                <w:snapToGrid w:val="0"/>
                <w:color w:val="auto"/>
                <w:highlight w:val="none"/>
                <w:lang w:val="en-US" w:eastAsia="zh-CN"/>
              </w:rPr>
              <w:t>各2</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32DF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2A303AF">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ascii="宋体" w:hAnsi="宋体"/>
                <w:snapToGrid w:val="0"/>
                <w:color w:val="auto"/>
                <w:highlight w:val="none"/>
              </w:rPr>
              <w:t>4</w:t>
            </w:r>
          </w:p>
        </w:tc>
        <w:tc>
          <w:tcPr>
            <w:tcW w:w="5492" w:type="dxa"/>
            <w:shd w:val="clear" w:color="auto" w:fill="auto"/>
            <w:vAlign w:val="center"/>
          </w:tcPr>
          <w:p w14:paraId="5492EE18">
            <w:pPr>
              <w:keepNext w:val="0"/>
              <w:pageBreakBefore w:val="0"/>
              <w:kinsoku/>
              <w:wordWrap/>
              <w:overflowPunct/>
              <w:topLinePunct w:val="0"/>
              <w:bidi w:val="0"/>
              <w:spacing w:line="300" w:lineRule="auto"/>
              <w:jc w:val="both"/>
              <w:textAlignment w:val="auto"/>
              <w:rPr>
                <w:rFonts w:ascii="宋体" w:hAnsi="宋体"/>
                <w:snapToGrid w:val="0"/>
                <w:color w:val="auto"/>
                <w:highlight w:val="none"/>
              </w:rPr>
            </w:pPr>
            <w:r>
              <w:rPr>
                <w:rFonts w:hint="eastAsia"/>
                <w:color w:val="auto"/>
                <w:highlight w:val="none"/>
                <w:lang w:val="en-US" w:eastAsia="zh-CN"/>
              </w:rPr>
              <w:t>切割器TSP/PM10/PM2.5</w:t>
            </w:r>
          </w:p>
        </w:tc>
        <w:tc>
          <w:tcPr>
            <w:tcW w:w="1400" w:type="dxa"/>
            <w:vAlign w:val="center"/>
          </w:tcPr>
          <w:p w14:paraId="7302E8DD">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hint="eastAsia" w:ascii="宋体" w:hAnsi="宋体"/>
                <w:snapToGrid w:val="0"/>
                <w:color w:val="auto"/>
                <w:highlight w:val="none"/>
                <w:lang w:val="en-US" w:eastAsia="zh-CN"/>
              </w:rPr>
              <w:t>台</w:t>
            </w:r>
          </w:p>
        </w:tc>
        <w:tc>
          <w:tcPr>
            <w:tcW w:w="1154" w:type="dxa"/>
            <w:noWrap/>
            <w:vAlign w:val="center"/>
          </w:tcPr>
          <w:p w14:paraId="07351982">
            <w:pPr>
              <w:keepNext w:val="0"/>
              <w:pageBreakBefore w:val="0"/>
              <w:kinsoku/>
              <w:wordWrap/>
              <w:overflowPunct/>
              <w:topLinePunct w:val="0"/>
              <w:bidi w:val="0"/>
              <w:spacing w:line="300" w:lineRule="auto"/>
              <w:jc w:val="center"/>
              <w:textAlignment w:val="auto"/>
              <w:rPr>
                <w:rFonts w:hint="eastAsia" w:ascii="宋体" w:hAnsi="宋体" w:eastAsiaTheme="minorEastAsia"/>
                <w:snapToGrid w:val="0"/>
                <w:color w:val="auto"/>
                <w:highlight w:val="none"/>
                <w:lang w:eastAsia="zh-CN"/>
              </w:rPr>
            </w:pPr>
            <w:r>
              <w:rPr>
                <w:rFonts w:hint="eastAsia" w:ascii="宋体" w:hAnsi="宋体"/>
                <w:snapToGrid w:val="0"/>
                <w:color w:val="auto"/>
                <w:highlight w:val="none"/>
                <w:lang w:val="en-US"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3881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DDCD73C">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ascii="宋体" w:hAnsi="宋体"/>
                <w:snapToGrid w:val="0"/>
                <w:color w:val="auto"/>
                <w:highlight w:val="none"/>
              </w:rPr>
              <w:t>5</w:t>
            </w:r>
          </w:p>
        </w:tc>
        <w:tc>
          <w:tcPr>
            <w:tcW w:w="5492" w:type="dxa"/>
            <w:shd w:val="clear" w:color="auto" w:fill="auto"/>
            <w:vAlign w:val="center"/>
          </w:tcPr>
          <w:p w14:paraId="388F8BC4">
            <w:pPr>
              <w:keepNext w:val="0"/>
              <w:pageBreakBefore w:val="0"/>
              <w:kinsoku/>
              <w:wordWrap/>
              <w:overflowPunct/>
              <w:topLinePunct w:val="0"/>
              <w:bidi w:val="0"/>
              <w:spacing w:line="300" w:lineRule="auto"/>
              <w:jc w:val="both"/>
              <w:textAlignment w:val="auto"/>
              <w:rPr>
                <w:rFonts w:ascii="宋体" w:hAnsi="宋体"/>
                <w:snapToGrid w:val="0"/>
                <w:color w:val="auto"/>
                <w:highlight w:val="none"/>
              </w:rPr>
            </w:pPr>
            <w:r>
              <w:rPr>
                <w:rFonts w:hint="eastAsia" w:ascii="宋体" w:hAnsi="宋体"/>
                <w:snapToGrid w:val="0"/>
                <w:color w:val="auto"/>
                <w:highlight w:val="none"/>
                <w:lang w:val="en-US" w:eastAsia="zh-CN"/>
              </w:rPr>
              <w:t>干燥筒</w:t>
            </w:r>
          </w:p>
        </w:tc>
        <w:tc>
          <w:tcPr>
            <w:tcW w:w="1400" w:type="dxa"/>
            <w:vAlign w:val="center"/>
          </w:tcPr>
          <w:p w14:paraId="22157EF9">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hint="eastAsia" w:ascii="宋体" w:hAnsi="宋体"/>
                <w:snapToGrid w:val="0"/>
                <w:color w:val="auto"/>
                <w:highlight w:val="none"/>
                <w:lang w:val="en-US" w:eastAsia="zh-CN"/>
              </w:rPr>
              <w:t>个</w:t>
            </w:r>
          </w:p>
        </w:tc>
        <w:tc>
          <w:tcPr>
            <w:tcW w:w="1154" w:type="dxa"/>
            <w:noWrap/>
            <w:vAlign w:val="center"/>
          </w:tcPr>
          <w:p w14:paraId="7D800DD3">
            <w:pPr>
              <w:keepNext w:val="0"/>
              <w:pageBreakBefore w:val="0"/>
              <w:kinsoku/>
              <w:wordWrap/>
              <w:overflowPunct/>
              <w:topLinePunct w:val="0"/>
              <w:bidi w:val="0"/>
              <w:spacing w:line="300" w:lineRule="auto"/>
              <w:jc w:val="center"/>
              <w:textAlignment w:val="auto"/>
              <w:rPr>
                <w:rFonts w:hint="default" w:ascii="宋体" w:hAnsi="宋体" w:eastAsiaTheme="minorEastAsia"/>
                <w:snapToGrid w:val="0"/>
                <w:color w:val="auto"/>
                <w:highlight w:val="none"/>
                <w:lang w:val="en-US" w:eastAsia="zh-CN"/>
              </w:rPr>
            </w:pPr>
            <w:r>
              <w:rPr>
                <w:rFonts w:hint="eastAsia" w:ascii="宋体" w:hAnsi="宋体"/>
                <w:snapToGrid w:val="0"/>
                <w:color w:val="auto"/>
                <w:highlight w:val="none"/>
                <w:lang w:val="en-US" w:eastAsia="zh-CN"/>
              </w:rPr>
              <w:t>2</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5A6C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13EDE3C">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ascii="宋体" w:hAnsi="宋体"/>
                <w:snapToGrid w:val="0"/>
                <w:color w:val="auto"/>
                <w:highlight w:val="none"/>
              </w:rPr>
              <w:t>6</w:t>
            </w:r>
          </w:p>
        </w:tc>
        <w:tc>
          <w:tcPr>
            <w:tcW w:w="5492" w:type="dxa"/>
            <w:shd w:val="clear" w:color="auto" w:fill="auto"/>
            <w:vAlign w:val="center"/>
          </w:tcPr>
          <w:p w14:paraId="7E2D7883">
            <w:pPr>
              <w:keepNext w:val="0"/>
              <w:pageBreakBefore w:val="0"/>
              <w:kinsoku/>
              <w:wordWrap/>
              <w:overflowPunct/>
              <w:topLinePunct w:val="0"/>
              <w:bidi w:val="0"/>
              <w:spacing w:line="300" w:lineRule="auto"/>
              <w:jc w:val="both"/>
              <w:textAlignment w:val="auto"/>
              <w:rPr>
                <w:rFonts w:ascii="宋体" w:hAnsi="宋体"/>
                <w:snapToGrid w:val="0"/>
                <w:color w:val="auto"/>
                <w:highlight w:val="none"/>
              </w:rPr>
            </w:pPr>
            <w:r>
              <w:rPr>
                <w:rFonts w:hint="eastAsia" w:ascii="宋体" w:hAnsi="宋体"/>
                <w:snapToGrid w:val="0"/>
                <w:color w:val="auto"/>
                <w:highlight w:val="none"/>
                <w:lang w:val="en-US" w:eastAsia="zh-CN"/>
              </w:rPr>
              <w:t>蓝牙打印机</w:t>
            </w:r>
          </w:p>
        </w:tc>
        <w:tc>
          <w:tcPr>
            <w:tcW w:w="1400" w:type="dxa"/>
            <w:vAlign w:val="center"/>
          </w:tcPr>
          <w:p w14:paraId="6A2450E5">
            <w:pPr>
              <w:keepNext w:val="0"/>
              <w:pageBreakBefore w:val="0"/>
              <w:kinsoku/>
              <w:wordWrap/>
              <w:overflowPunct/>
              <w:topLinePunct w:val="0"/>
              <w:bidi w:val="0"/>
              <w:spacing w:line="300" w:lineRule="auto"/>
              <w:jc w:val="center"/>
              <w:textAlignment w:val="auto"/>
              <w:rPr>
                <w:rFonts w:hint="eastAsia" w:ascii="宋体" w:hAnsi="宋体"/>
                <w:snapToGrid w:val="0"/>
                <w:color w:val="auto"/>
                <w:highlight w:val="none"/>
              </w:rPr>
            </w:pPr>
            <w:r>
              <w:rPr>
                <w:rFonts w:hint="eastAsia" w:ascii="宋体" w:hAnsi="宋体"/>
                <w:snapToGrid w:val="0"/>
                <w:color w:val="auto"/>
                <w:highlight w:val="none"/>
                <w:lang w:val="en-US" w:eastAsia="zh-CN"/>
              </w:rPr>
              <w:t>台</w:t>
            </w:r>
          </w:p>
        </w:tc>
        <w:tc>
          <w:tcPr>
            <w:tcW w:w="1154" w:type="dxa"/>
            <w:noWrap/>
            <w:vAlign w:val="center"/>
          </w:tcPr>
          <w:p w14:paraId="33BE94F5">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hint="eastAsia" w:ascii="宋体" w:hAnsi="宋体"/>
                <w:snapToGrid w:val="0"/>
                <w:color w:val="auto"/>
                <w:highlight w:val="none"/>
                <w:lang w:val="en-US"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7FF0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A2855E6">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ascii="宋体" w:hAnsi="宋体"/>
                <w:snapToGrid w:val="0"/>
                <w:color w:val="auto"/>
                <w:highlight w:val="none"/>
              </w:rPr>
              <w:t>7</w:t>
            </w:r>
          </w:p>
        </w:tc>
        <w:tc>
          <w:tcPr>
            <w:tcW w:w="5492" w:type="dxa"/>
            <w:shd w:val="clear" w:color="auto" w:fill="auto"/>
            <w:vAlign w:val="center"/>
          </w:tcPr>
          <w:p w14:paraId="76473B50">
            <w:pPr>
              <w:keepNext w:val="0"/>
              <w:pageBreakBefore w:val="0"/>
              <w:kinsoku/>
              <w:wordWrap/>
              <w:overflowPunct/>
              <w:topLinePunct w:val="0"/>
              <w:bidi w:val="0"/>
              <w:spacing w:line="300" w:lineRule="auto"/>
              <w:jc w:val="both"/>
              <w:textAlignment w:val="auto"/>
              <w:rPr>
                <w:rFonts w:ascii="宋体" w:hAnsi="宋体"/>
                <w:snapToGrid w:val="0"/>
                <w:color w:val="auto"/>
                <w:highlight w:val="none"/>
              </w:rPr>
            </w:pPr>
            <w:r>
              <w:rPr>
                <w:rFonts w:hint="eastAsia" w:ascii="宋体" w:hAnsi="宋体"/>
                <w:snapToGrid w:val="0"/>
                <w:color w:val="auto"/>
                <w:highlight w:val="none"/>
                <w:lang w:val="en-US" w:eastAsia="zh-CN"/>
              </w:rPr>
              <w:t>三脚架</w:t>
            </w:r>
          </w:p>
        </w:tc>
        <w:tc>
          <w:tcPr>
            <w:tcW w:w="1400" w:type="dxa"/>
            <w:vAlign w:val="center"/>
          </w:tcPr>
          <w:p w14:paraId="5CF03479">
            <w:pPr>
              <w:keepNext w:val="0"/>
              <w:pageBreakBefore w:val="0"/>
              <w:kinsoku/>
              <w:wordWrap/>
              <w:overflowPunct/>
              <w:topLinePunct w:val="0"/>
              <w:bidi w:val="0"/>
              <w:spacing w:line="300" w:lineRule="auto"/>
              <w:jc w:val="center"/>
              <w:textAlignment w:val="auto"/>
              <w:rPr>
                <w:rFonts w:hint="eastAsia" w:ascii="宋体" w:hAnsi="宋体"/>
                <w:snapToGrid w:val="0"/>
                <w:color w:val="auto"/>
                <w:highlight w:val="none"/>
              </w:rPr>
            </w:pPr>
            <w:r>
              <w:rPr>
                <w:rFonts w:hint="eastAsia" w:ascii="宋体" w:hAnsi="宋体"/>
                <w:snapToGrid w:val="0"/>
                <w:color w:val="auto"/>
                <w:highlight w:val="none"/>
                <w:lang w:val="en-US" w:eastAsia="zh-CN"/>
              </w:rPr>
              <w:t>个</w:t>
            </w:r>
          </w:p>
        </w:tc>
        <w:tc>
          <w:tcPr>
            <w:tcW w:w="1154" w:type="dxa"/>
            <w:noWrap/>
            <w:vAlign w:val="center"/>
          </w:tcPr>
          <w:p w14:paraId="3AB0D3CD">
            <w:pPr>
              <w:keepNext w:val="0"/>
              <w:pageBreakBefore w:val="0"/>
              <w:kinsoku/>
              <w:wordWrap/>
              <w:overflowPunct/>
              <w:topLinePunct w:val="0"/>
              <w:bidi w:val="0"/>
              <w:spacing w:line="300" w:lineRule="auto"/>
              <w:jc w:val="center"/>
              <w:textAlignment w:val="auto"/>
              <w:rPr>
                <w:rFonts w:hint="eastAsia" w:ascii="宋体" w:hAnsi="宋体"/>
                <w:snapToGrid w:val="0"/>
                <w:color w:val="auto"/>
                <w:highlight w:val="none"/>
              </w:rPr>
            </w:pPr>
            <w:r>
              <w:rPr>
                <w:rFonts w:hint="eastAsia" w:ascii="宋体" w:hAnsi="宋体"/>
                <w:snapToGrid w:val="0"/>
                <w:color w:val="auto"/>
                <w:highlight w:val="none"/>
                <w:lang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r w14:paraId="7DBC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658530C">
            <w:pPr>
              <w:keepNext w:val="0"/>
              <w:pageBreakBefore w:val="0"/>
              <w:kinsoku/>
              <w:wordWrap/>
              <w:overflowPunct/>
              <w:topLinePunct w:val="0"/>
              <w:bidi w:val="0"/>
              <w:spacing w:line="300" w:lineRule="auto"/>
              <w:jc w:val="center"/>
              <w:textAlignment w:val="auto"/>
              <w:rPr>
                <w:rFonts w:ascii="宋体" w:hAnsi="宋体"/>
                <w:snapToGrid w:val="0"/>
                <w:color w:val="auto"/>
                <w:highlight w:val="none"/>
              </w:rPr>
            </w:pPr>
            <w:r>
              <w:rPr>
                <w:rFonts w:ascii="宋体" w:hAnsi="宋体"/>
                <w:snapToGrid w:val="0"/>
                <w:color w:val="auto"/>
                <w:highlight w:val="none"/>
              </w:rPr>
              <w:t>8</w:t>
            </w:r>
          </w:p>
        </w:tc>
        <w:tc>
          <w:tcPr>
            <w:tcW w:w="5492" w:type="dxa"/>
            <w:shd w:val="clear" w:color="auto" w:fill="auto"/>
            <w:vAlign w:val="center"/>
          </w:tcPr>
          <w:p w14:paraId="052D2991">
            <w:pPr>
              <w:keepNext w:val="0"/>
              <w:pageBreakBefore w:val="0"/>
              <w:kinsoku/>
              <w:wordWrap/>
              <w:overflowPunct/>
              <w:topLinePunct w:val="0"/>
              <w:bidi w:val="0"/>
              <w:spacing w:line="300" w:lineRule="auto"/>
              <w:jc w:val="both"/>
              <w:textAlignment w:val="auto"/>
              <w:rPr>
                <w:rFonts w:hint="default" w:ascii="宋体" w:hAnsi="宋体"/>
                <w:snapToGrid w:val="0"/>
                <w:color w:val="auto"/>
                <w:highlight w:val="none"/>
                <w:lang w:val="en-US"/>
              </w:rPr>
            </w:pPr>
            <w:r>
              <w:rPr>
                <w:rFonts w:hint="eastAsia" w:ascii="宋体" w:hAnsi="宋体"/>
                <w:snapToGrid w:val="0"/>
                <w:color w:val="auto"/>
                <w:highlight w:val="none"/>
                <w:lang w:val="en-US" w:eastAsia="zh-CN"/>
              </w:rPr>
              <w:t>包装布包或包装箱</w:t>
            </w:r>
          </w:p>
        </w:tc>
        <w:tc>
          <w:tcPr>
            <w:tcW w:w="1400" w:type="dxa"/>
            <w:vAlign w:val="center"/>
          </w:tcPr>
          <w:p w14:paraId="67D162EB">
            <w:pPr>
              <w:keepNext w:val="0"/>
              <w:pageBreakBefore w:val="0"/>
              <w:kinsoku/>
              <w:wordWrap/>
              <w:overflowPunct/>
              <w:topLinePunct w:val="0"/>
              <w:bidi w:val="0"/>
              <w:spacing w:line="300" w:lineRule="auto"/>
              <w:jc w:val="center"/>
              <w:textAlignment w:val="auto"/>
              <w:rPr>
                <w:rFonts w:hint="eastAsia" w:ascii="宋体" w:hAnsi="宋体"/>
                <w:snapToGrid w:val="0"/>
                <w:color w:val="auto"/>
                <w:highlight w:val="none"/>
              </w:rPr>
            </w:pPr>
            <w:r>
              <w:rPr>
                <w:rFonts w:hint="eastAsia" w:ascii="宋体" w:hAnsi="宋体"/>
                <w:snapToGrid w:val="0"/>
                <w:color w:val="auto"/>
                <w:highlight w:val="none"/>
                <w:lang w:val="en-US" w:eastAsia="zh-CN"/>
              </w:rPr>
              <w:t>个</w:t>
            </w:r>
          </w:p>
        </w:tc>
        <w:tc>
          <w:tcPr>
            <w:tcW w:w="1154" w:type="dxa"/>
            <w:noWrap/>
            <w:vAlign w:val="center"/>
          </w:tcPr>
          <w:p w14:paraId="2383A904">
            <w:pPr>
              <w:keepNext w:val="0"/>
              <w:pageBreakBefore w:val="0"/>
              <w:kinsoku/>
              <w:wordWrap/>
              <w:overflowPunct/>
              <w:topLinePunct w:val="0"/>
              <w:bidi w:val="0"/>
              <w:spacing w:line="300" w:lineRule="auto"/>
              <w:jc w:val="center"/>
              <w:textAlignment w:val="auto"/>
              <w:rPr>
                <w:rFonts w:hint="eastAsia" w:ascii="宋体" w:hAnsi="宋体"/>
                <w:snapToGrid w:val="0"/>
                <w:color w:val="auto"/>
                <w:highlight w:val="none"/>
              </w:rPr>
            </w:pPr>
            <w:r>
              <w:rPr>
                <w:rFonts w:hint="eastAsia" w:ascii="宋体" w:hAnsi="宋体"/>
                <w:snapToGrid w:val="0"/>
                <w:color w:val="auto"/>
                <w:highlight w:val="none"/>
                <w:lang w:eastAsia="zh-CN"/>
              </w:rPr>
              <w:t>1</w:t>
            </w:r>
            <w:r>
              <w:rPr>
                <w:rFonts w:hint="default" w:ascii="Arial" w:hAnsi="Arial" w:cs="Arial"/>
                <w:snapToGrid w:val="0"/>
                <w:color w:val="auto"/>
                <w:highlight w:val="none"/>
              </w:rPr>
              <w:t>×</w:t>
            </w:r>
            <w:r>
              <w:rPr>
                <w:rFonts w:hint="eastAsia" w:ascii="宋体" w:hAnsi="宋体"/>
                <w:snapToGrid w:val="0"/>
                <w:color w:val="auto"/>
                <w:highlight w:val="none"/>
                <w:lang w:val="en-US" w:eastAsia="zh-CN"/>
              </w:rPr>
              <w:t>2</w:t>
            </w:r>
          </w:p>
        </w:tc>
      </w:tr>
    </w:tbl>
    <w:p w14:paraId="34369281">
      <w:pPr>
        <w:keepNext w:val="0"/>
        <w:pageBreakBefore w:val="0"/>
        <w:kinsoku/>
        <w:wordWrap/>
        <w:overflowPunct/>
        <w:topLinePunct w:val="0"/>
        <w:bidi w:val="0"/>
        <w:adjustRightInd w:val="0"/>
        <w:snapToGrid w:val="0"/>
        <w:spacing w:line="300" w:lineRule="auto"/>
        <w:jc w:val="both"/>
        <w:textAlignment w:val="auto"/>
        <w:rPr>
          <w:rFonts w:ascii="宋体" w:hAnsi="宋体"/>
          <w:b/>
          <w:color w:val="auto"/>
          <w:highlight w:val="none"/>
        </w:rPr>
      </w:pPr>
      <w:r>
        <w:rPr>
          <w:rFonts w:hint="eastAsia" w:ascii="宋体" w:hAnsi="宋体"/>
          <w:b/>
          <w:color w:val="auto"/>
          <w:highlight w:val="none"/>
          <w:lang w:val="en-US" w:eastAsia="zh-CN"/>
        </w:rPr>
        <w:t>4</w:t>
      </w:r>
      <w:r>
        <w:rPr>
          <w:rFonts w:hint="eastAsia" w:ascii="宋体" w:hAnsi="宋体"/>
          <w:b/>
          <w:color w:val="auto"/>
          <w:highlight w:val="none"/>
        </w:rPr>
        <w:t>业绩证明</w:t>
      </w:r>
    </w:p>
    <w:p w14:paraId="4B97C929">
      <w:pPr>
        <w:keepNext w:val="0"/>
        <w:pageBreakBefore w:val="0"/>
        <w:kinsoku/>
        <w:wordWrap/>
        <w:overflowPunct/>
        <w:topLinePunct w:val="0"/>
        <w:bidi w:val="0"/>
        <w:adjustRightInd w:val="0"/>
        <w:snapToGrid w:val="0"/>
        <w:spacing w:line="300" w:lineRule="auto"/>
        <w:jc w:val="both"/>
        <w:textAlignment w:val="auto"/>
        <w:rPr>
          <w:rFonts w:ascii="宋体" w:hAnsi="宋体"/>
          <w:color w:val="auto"/>
          <w:highlight w:val="none"/>
        </w:rPr>
      </w:pPr>
      <w:r>
        <w:rPr>
          <w:rFonts w:hint="eastAsia" w:ascii="宋体" w:hAnsi="宋体"/>
          <w:color w:val="auto"/>
          <w:highlight w:val="none"/>
        </w:rPr>
        <w:t>自2021年1月1日起至今（以合同签订时间为准）该仪器在国内实验室不少于60台的业绩，单个项目中标5台及以上合同1份，并标明设备名称、数量、用户名称、相关联系人及电话号码，并提供业绩证明(证明其销售业绩的合同复印件，并由投标人代表签字或盖章)。</w:t>
      </w:r>
    </w:p>
    <w:p w14:paraId="367CC910">
      <w:pPr>
        <w:keepNext w:val="0"/>
        <w:pageBreakBefore w:val="0"/>
        <w:kinsoku/>
        <w:wordWrap/>
        <w:overflowPunct/>
        <w:topLinePunct w:val="0"/>
        <w:bidi w:val="0"/>
        <w:spacing w:line="300" w:lineRule="auto"/>
        <w:textAlignment w:val="auto"/>
        <w:rPr>
          <w:rFonts w:hint="eastAsia" w:ascii="宋体" w:hAnsi="宋体" w:eastAsia="宋体" w:cs="宋体"/>
          <w:b/>
          <w:bCs/>
          <w:color w:val="C00000"/>
          <w:highlight w:val="none"/>
        </w:rPr>
      </w:pPr>
    </w:p>
    <w:p w14:paraId="13303241">
      <w:pPr>
        <w:keepNext w:val="0"/>
        <w:pageBreakBefore w:val="0"/>
        <w:kinsoku/>
        <w:wordWrap/>
        <w:overflowPunct/>
        <w:topLinePunct w:val="0"/>
        <w:bidi w:val="0"/>
        <w:spacing w:line="300" w:lineRule="auto"/>
        <w:textAlignment w:val="auto"/>
        <w:rPr>
          <w:rFonts w:hint="eastAsia" w:ascii="宋体" w:hAnsi="宋体" w:eastAsia="宋体" w:cs="宋体"/>
          <w:b w:val="0"/>
          <w:bCs w:val="0"/>
          <w:color w:val="C00000"/>
          <w:highlight w:val="none"/>
          <w:lang w:val="en-US" w:eastAsia="zh-CN"/>
        </w:rPr>
      </w:pPr>
      <w:bookmarkStart w:id="37" w:name="_GoBack"/>
      <w:bookmarkEnd w:id="37"/>
    </w:p>
    <w:sectPr>
      <w:headerReference r:id="rId9" w:type="default"/>
      <w:footerReference r:id="rId10" w:type="default"/>
      <w:pgSz w:w="11909" w:h="16834"/>
      <w:pgMar w:top="1440" w:right="1134" w:bottom="1440" w:left="1418" w:header="839" w:footer="72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0A6A">
    <w:pPr>
      <w:pStyle w:val="21"/>
      <w:jc w:val="center"/>
    </w:pPr>
  </w:p>
  <w:p w14:paraId="470A52B3">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B108">
    <w:pPr>
      <w:pStyle w:val="21"/>
      <w:jc w:val="center"/>
    </w:pPr>
  </w:p>
  <w:p w14:paraId="638D5D50">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465559"/>
      <w:docPartObj>
        <w:docPartGallery w:val="autotext"/>
      </w:docPartObj>
    </w:sdtPr>
    <w:sdtContent>
      <w:sdt>
        <w:sdtPr>
          <w:id w:val="1394234734"/>
          <w:docPartObj>
            <w:docPartGallery w:val="autotext"/>
          </w:docPartObj>
        </w:sdtPr>
        <w:sdtContent>
          <w:p w14:paraId="5EDE703A">
            <w:pPr>
              <w:pStyle w:val="21"/>
              <w:jc w:val="center"/>
            </w:pPr>
            <w:r>
              <w:rPr>
                <w:rFonts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Cs/>
                <w:sz w:val="21"/>
                <w:szCs w:val="21"/>
              </w:rPr>
              <w:fldChar w:fldCharType="begin"/>
            </w:r>
            <w:r>
              <w:rPr>
                <w:rFonts w:asciiTheme="minorEastAsia" w:hAnsiTheme="minorEastAsia"/>
                <w:bCs/>
                <w:sz w:val="21"/>
                <w:szCs w:val="21"/>
              </w:rPr>
              <w:instrText xml:space="preserve">PAGE</w:instrText>
            </w:r>
            <w:r>
              <w:rPr>
                <w:rFonts w:asciiTheme="minorEastAsia" w:hAnsiTheme="minorEastAsia"/>
                <w:bCs/>
                <w:sz w:val="21"/>
                <w:szCs w:val="21"/>
              </w:rPr>
              <w:fldChar w:fldCharType="separate"/>
            </w:r>
            <w:r>
              <w:rPr>
                <w:rFonts w:asciiTheme="minorEastAsia" w:hAnsiTheme="minorEastAsia"/>
                <w:bCs/>
                <w:sz w:val="21"/>
                <w:szCs w:val="21"/>
              </w:rPr>
              <w:t>22</w:t>
            </w:r>
            <w:r>
              <w:rPr>
                <w:rFonts w:asciiTheme="minorEastAsia" w:hAnsiTheme="minorEastAsia"/>
                <w:bCs/>
                <w:sz w:val="21"/>
                <w:szCs w:val="21"/>
              </w:rPr>
              <w:fldChar w:fldCharType="end"/>
            </w:r>
            <w:r>
              <w:rPr>
                <w:rFonts w:asciiTheme="minorEastAsia" w:hAnsiTheme="minorEastAsia"/>
                <w:sz w:val="21"/>
                <w:szCs w:val="21"/>
                <w:lang w:val="zh-CN"/>
              </w:rPr>
              <w:t xml:space="preserve"> 页/ 共</w:t>
            </w:r>
            <w:r>
              <w:rPr>
                <w:rFonts w:hint="eastAsia" w:asciiTheme="minorEastAsia" w:hAnsiTheme="minorEastAsia"/>
                <w:bCs/>
                <w:sz w:val="21"/>
                <w:szCs w:val="21"/>
                <w:lang w:val="en-US" w:eastAsia="zh-CN"/>
              </w:rPr>
              <w:t>25</w:t>
            </w:r>
            <w:r>
              <w:rPr>
                <w:rFonts w:asciiTheme="minorEastAsia" w:hAnsiTheme="minorEastAsia"/>
                <w:bCs/>
                <w:sz w:val="21"/>
                <w:szCs w:val="21"/>
              </w:rPr>
              <w:t>页</w:t>
            </w:r>
          </w:p>
        </w:sdtContent>
      </w:sdt>
    </w:sdtContent>
  </w:sdt>
  <w:p w14:paraId="20A53C56">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9FA94">
    <w:pPr>
      <w:pStyle w:val="22"/>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FAD6">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473F">
    <w:pPr>
      <w:pStyle w:val="22"/>
      <w:jc w:val="left"/>
    </w:pPr>
    <w:r>
      <w:drawing>
        <wp:inline distT="0" distB="0" distL="0" distR="0">
          <wp:extent cx="2618740" cy="370205"/>
          <wp:effectExtent l="0" t="0" r="0" b="0"/>
          <wp:docPr id="1" name="图片 1" descr="D:\Uers\Pictures\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ers\Pictures\LO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19100" cy="370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E6F83"/>
    <w:multiLevelType w:val="singleLevel"/>
    <w:tmpl w:val="834E6F83"/>
    <w:lvl w:ilvl="0" w:tentative="0">
      <w:start w:val="2"/>
      <w:numFmt w:val="chineseCounting"/>
      <w:suff w:val="nothing"/>
      <w:lvlText w:val="（%1）"/>
      <w:lvlJc w:val="left"/>
      <w:rPr>
        <w:rFonts w:hint="eastAsia"/>
      </w:rPr>
    </w:lvl>
  </w:abstractNum>
  <w:abstractNum w:abstractNumId="1">
    <w:nsid w:val="46A15E14"/>
    <w:multiLevelType w:val="multilevel"/>
    <w:tmpl w:val="46A15E14"/>
    <w:lvl w:ilvl="0" w:tentative="0">
      <w:start w:val="1"/>
      <w:numFmt w:val="bullet"/>
      <w:pStyle w:val="57"/>
      <w:lvlText w:val=""/>
      <w:lvlJc w:val="left"/>
      <w:pPr>
        <w:tabs>
          <w:tab w:val="left" w:pos="340"/>
        </w:tabs>
        <w:ind w:left="340" w:hanging="227"/>
      </w:pPr>
      <w:rPr>
        <w:rFonts w:hint="default" w:ascii="Symbol" w:hAnsi="Symbol"/>
        <w:b w:val="0"/>
        <w:i w:val="0"/>
        <w:color w:val="ED7D31"/>
        <w:sz w:val="24"/>
      </w:rPr>
    </w:lvl>
    <w:lvl w:ilvl="1" w:tentative="0">
      <w:start w:val="1"/>
      <w:numFmt w:val="bullet"/>
      <w:lvlText w:val="o"/>
      <w:lvlJc w:val="left"/>
      <w:pPr>
        <w:ind w:left="1827" w:hanging="360"/>
      </w:pPr>
      <w:rPr>
        <w:rFonts w:hint="default" w:ascii="Courier New" w:hAnsi="Courier New" w:cs="Courier New"/>
      </w:rPr>
    </w:lvl>
    <w:lvl w:ilvl="2" w:tentative="0">
      <w:start w:val="1"/>
      <w:numFmt w:val="bullet"/>
      <w:lvlText w:val=""/>
      <w:lvlJc w:val="left"/>
      <w:pPr>
        <w:ind w:left="2547" w:hanging="360"/>
      </w:pPr>
      <w:rPr>
        <w:rFonts w:hint="default" w:ascii="Wingdings" w:hAnsi="Wingdings"/>
      </w:rPr>
    </w:lvl>
    <w:lvl w:ilvl="3" w:tentative="0">
      <w:start w:val="1"/>
      <w:numFmt w:val="bullet"/>
      <w:lvlText w:val=""/>
      <w:lvlJc w:val="left"/>
      <w:pPr>
        <w:ind w:left="3267" w:hanging="360"/>
      </w:pPr>
      <w:rPr>
        <w:rFonts w:hint="default" w:ascii="Symbol" w:hAnsi="Symbol"/>
      </w:rPr>
    </w:lvl>
    <w:lvl w:ilvl="4" w:tentative="0">
      <w:start w:val="1"/>
      <w:numFmt w:val="bullet"/>
      <w:lvlText w:val="o"/>
      <w:lvlJc w:val="left"/>
      <w:pPr>
        <w:ind w:left="3987" w:hanging="360"/>
      </w:pPr>
      <w:rPr>
        <w:rFonts w:hint="default" w:ascii="Courier New" w:hAnsi="Courier New" w:cs="Courier New"/>
      </w:rPr>
    </w:lvl>
    <w:lvl w:ilvl="5" w:tentative="0">
      <w:start w:val="1"/>
      <w:numFmt w:val="bullet"/>
      <w:lvlText w:val=""/>
      <w:lvlJc w:val="left"/>
      <w:pPr>
        <w:ind w:left="4707" w:hanging="360"/>
      </w:pPr>
      <w:rPr>
        <w:rFonts w:hint="default" w:ascii="Wingdings" w:hAnsi="Wingdings"/>
      </w:rPr>
    </w:lvl>
    <w:lvl w:ilvl="6" w:tentative="0">
      <w:start w:val="1"/>
      <w:numFmt w:val="bullet"/>
      <w:lvlText w:val=""/>
      <w:lvlJc w:val="left"/>
      <w:pPr>
        <w:ind w:left="5427" w:hanging="360"/>
      </w:pPr>
      <w:rPr>
        <w:rFonts w:hint="default" w:ascii="Symbol" w:hAnsi="Symbol"/>
      </w:rPr>
    </w:lvl>
    <w:lvl w:ilvl="7" w:tentative="0">
      <w:start w:val="1"/>
      <w:numFmt w:val="bullet"/>
      <w:lvlText w:val="o"/>
      <w:lvlJc w:val="left"/>
      <w:pPr>
        <w:ind w:left="6147" w:hanging="360"/>
      </w:pPr>
      <w:rPr>
        <w:rFonts w:hint="default" w:ascii="Courier New" w:hAnsi="Courier New" w:cs="Courier New"/>
      </w:rPr>
    </w:lvl>
    <w:lvl w:ilvl="8" w:tentative="0">
      <w:start w:val="1"/>
      <w:numFmt w:val="bullet"/>
      <w:lvlText w:val=""/>
      <w:lvlJc w:val="left"/>
      <w:pPr>
        <w:ind w:left="6867"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NGVlYTJkNDJhMmMxMzQ1NGQyZDcyYzRkYjA5ZWEifQ=="/>
  </w:docVars>
  <w:rsids>
    <w:rsidRoot w:val="00247334"/>
    <w:rsid w:val="000000B6"/>
    <w:rsid w:val="00003E68"/>
    <w:rsid w:val="00004246"/>
    <w:rsid w:val="000042EB"/>
    <w:rsid w:val="0000619C"/>
    <w:rsid w:val="00007121"/>
    <w:rsid w:val="00007FA1"/>
    <w:rsid w:val="00011269"/>
    <w:rsid w:val="00011C59"/>
    <w:rsid w:val="00013D17"/>
    <w:rsid w:val="00013F38"/>
    <w:rsid w:val="00014E39"/>
    <w:rsid w:val="00016A35"/>
    <w:rsid w:val="00016DA0"/>
    <w:rsid w:val="00023E5B"/>
    <w:rsid w:val="000242FB"/>
    <w:rsid w:val="00024FCF"/>
    <w:rsid w:val="00025403"/>
    <w:rsid w:val="00026250"/>
    <w:rsid w:val="00030EAC"/>
    <w:rsid w:val="00031828"/>
    <w:rsid w:val="00032D93"/>
    <w:rsid w:val="0003445F"/>
    <w:rsid w:val="000354D6"/>
    <w:rsid w:val="000354E2"/>
    <w:rsid w:val="0003559D"/>
    <w:rsid w:val="00035AAD"/>
    <w:rsid w:val="00040EEF"/>
    <w:rsid w:val="0004135F"/>
    <w:rsid w:val="00042155"/>
    <w:rsid w:val="00042996"/>
    <w:rsid w:val="0004365F"/>
    <w:rsid w:val="00043BE8"/>
    <w:rsid w:val="00045CAF"/>
    <w:rsid w:val="00046620"/>
    <w:rsid w:val="00050764"/>
    <w:rsid w:val="00051FC6"/>
    <w:rsid w:val="00053A2F"/>
    <w:rsid w:val="000618FB"/>
    <w:rsid w:val="0006468D"/>
    <w:rsid w:val="00064C5B"/>
    <w:rsid w:val="0006544D"/>
    <w:rsid w:val="00066502"/>
    <w:rsid w:val="00071942"/>
    <w:rsid w:val="00080CB6"/>
    <w:rsid w:val="00081038"/>
    <w:rsid w:val="000811C2"/>
    <w:rsid w:val="0008126A"/>
    <w:rsid w:val="00083792"/>
    <w:rsid w:val="00086076"/>
    <w:rsid w:val="0008785E"/>
    <w:rsid w:val="00091719"/>
    <w:rsid w:val="00091E99"/>
    <w:rsid w:val="00095C6C"/>
    <w:rsid w:val="000962A7"/>
    <w:rsid w:val="00096693"/>
    <w:rsid w:val="000968E2"/>
    <w:rsid w:val="000A0698"/>
    <w:rsid w:val="000A1AE4"/>
    <w:rsid w:val="000A208F"/>
    <w:rsid w:val="000A2707"/>
    <w:rsid w:val="000A54B0"/>
    <w:rsid w:val="000B0858"/>
    <w:rsid w:val="000B38BB"/>
    <w:rsid w:val="000B4760"/>
    <w:rsid w:val="000B6198"/>
    <w:rsid w:val="000C01CE"/>
    <w:rsid w:val="000C1639"/>
    <w:rsid w:val="000C3CFA"/>
    <w:rsid w:val="000C66F0"/>
    <w:rsid w:val="000C732E"/>
    <w:rsid w:val="000D08E9"/>
    <w:rsid w:val="000D1056"/>
    <w:rsid w:val="000D2BC1"/>
    <w:rsid w:val="000D30C2"/>
    <w:rsid w:val="000D60EF"/>
    <w:rsid w:val="000D6B80"/>
    <w:rsid w:val="000E1B95"/>
    <w:rsid w:val="000E2E33"/>
    <w:rsid w:val="000E549B"/>
    <w:rsid w:val="000F05CE"/>
    <w:rsid w:val="000F1F60"/>
    <w:rsid w:val="001013F4"/>
    <w:rsid w:val="00102E34"/>
    <w:rsid w:val="00104ACD"/>
    <w:rsid w:val="0010525D"/>
    <w:rsid w:val="00111B38"/>
    <w:rsid w:val="001130C7"/>
    <w:rsid w:val="00113547"/>
    <w:rsid w:val="001146E5"/>
    <w:rsid w:val="00115F60"/>
    <w:rsid w:val="00120E77"/>
    <w:rsid w:val="001230F7"/>
    <w:rsid w:val="001234D9"/>
    <w:rsid w:val="00125EFF"/>
    <w:rsid w:val="001265A5"/>
    <w:rsid w:val="001279B6"/>
    <w:rsid w:val="00131391"/>
    <w:rsid w:val="00132B72"/>
    <w:rsid w:val="001349A8"/>
    <w:rsid w:val="001349CE"/>
    <w:rsid w:val="001357B4"/>
    <w:rsid w:val="001404CD"/>
    <w:rsid w:val="0014172A"/>
    <w:rsid w:val="00142742"/>
    <w:rsid w:val="00142C21"/>
    <w:rsid w:val="001452C8"/>
    <w:rsid w:val="00145369"/>
    <w:rsid w:val="001469A5"/>
    <w:rsid w:val="00146CB7"/>
    <w:rsid w:val="00147240"/>
    <w:rsid w:val="001479C1"/>
    <w:rsid w:val="0015087F"/>
    <w:rsid w:val="00151047"/>
    <w:rsid w:val="00151C6A"/>
    <w:rsid w:val="0015391D"/>
    <w:rsid w:val="0015442E"/>
    <w:rsid w:val="001612B9"/>
    <w:rsid w:val="00163F72"/>
    <w:rsid w:val="0016786D"/>
    <w:rsid w:val="00171D88"/>
    <w:rsid w:val="00172379"/>
    <w:rsid w:val="00172A41"/>
    <w:rsid w:val="001742EB"/>
    <w:rsid w:val="00174F17"/>
    <w:rsid w:val="00177FDB"/>
    <w:rsid w:val="00184D80"/>
    <w:rsid w:val="0018500E"/>
    <w:rsid w:val="0018555D"/>
    <w:rsid w:val="00185BB7"/>
    <w:rsid w:val="001868F6"/>
    <w:rsid w:val="00187B87"/>
    <w:rsid w:val="00190362"/>
    <w:rsid w:val="00190FB3"/>
    <w:rsid w:val="0019247C"/>
    <w:rsid w:val="00194459"/>
    <w:rsid w:val="00195FA1"/>
    <w:rsid w:val="00196E17"/>
    <w:rsid w:val="001A019A"/>
    <w:rsid w:val="001A1B21"/>
    <w:rsid w:val="001A1CC8"/>
    <w:rsid w:val="001A2EFD"/>
    <w:rsid w:val="001A47F2"/>
    <w:rsid w:val="001A5BA7"/>
    <w:rsid w:val="001A66EB"/>
    <w:rsid w:val="001B0AEB"/>
    <w:rsid w:val="001B2A3E"/>
    <w:rsid w:val="001B30C5"/>
    <w:rsid w:val="001B382B"/>
    <w:rsid w:val="001B45C0"/>
    <w:rsid w:val="001C061B"/>
    <w:rsid w:val="001C0F83"/>
    <w:rsid w:val="001C1713"/>
    <w:rsid w:val="001C3FB0"/>
    <w:rsid w:val="001C46EC"/>
    <w:rsid w:val="001C4F0E"/>
    <w:rsid w:val="001C6A34"/>
    <w:rsid w:val="001C6AF2"/>
    <w:rsid w:val="001C6FDD"/>
    <w:rsid w:val="001D0137"/>
    <w:rsid w:val="001D1E1A"/>
    <w:rsid w:val="001D3142"/>
    <w:rsid w:val="001D47B0"/>
    <w:rsid w:val="001D6D7E"/>
    <w:rsid w:val="001E15FE"/>
    <w:rsid w:val="001E2216"/>
    <w:rsid w:val="001E3A78"/>
    <w:rsid w:val="001E3F67"/>
    <w:rsid w:val="001E4057"/>
    <w:rsid w:val="001E5817"/>
    <w:rsid w:val="001E671A"/>
    <w:rsid w:val="001E72AC"/>
    <w:rsid w:val="001F07FC"/>
    <w:rsid w:val="001F0873"/>
    <w:rsid w:val="001F3293"/>
    <w:rsid w:val="001F617E"/>
    <w:rsid w:val="002051FC"/>
    <w:rsid w:val="00207F1C"/>
    <w:rsid w:val="0021068C"/>
    <w:rsid w:val="002119D9"/>
    <w:rsid w:val="00212A08"/>
    <w:rsid w:val="00221ED2"/>
    <w:rsid w:val="002221A6"/>
    <w:rsid w:val="00222F30"/>
    <w:rsid w:val="00225570"/>
    <w:rsid w:val="0022586D"/>
    <w:rsid w:val="00225D2C"/>
    <w:rsid w:val="0022722F"/>
    <w:rsid w:val="002356BB"/>
    <w:rsid w:val="00236221"/>
    <w:rsid w:val="0023629C"/>
    <w:rsid w:val="0023744C"/>
    <w:rsid w:val="00237558"/>
    <w:rsid w:val="00237D51"/>
    <w:rsid w:val="0024118A"/>
    <w:rsid w:val="0024129E"/>
    <w:rsid w:val="0024177A"/>
    <w:rsid w:val="002418BD"/>
    <w:rsid w:val="0024370A"/>
    <w:rsid w:val="002444CD"/>
    <w:rsid w:val="00245555"/>
    <w:rsid w:val="00245739"/>
    <w:rsid w:val="00246C18"/>
    <w:rsid w:val="00247334"/>
    <w:rsid w:val="00250D5D"/>
    <w:rsid w:val="002521B0"/>
    <w:rsid w:val="00252444"/>
    <w:rsid w:val="002526DB"/>
    <w:rsid w:val="00254684"/>
    <w:rsid w:val="00254D2F"/>
    <w:rsid w:val="002564CF"/>
    <w:rsid w:val="002567FC"/>
    <w:rsid w:val="00257759"/>
    <w:rsid w:val="00257E32"/>
    <w:rsid w:val="002629A9"/>
    <w:rsid w:val="0026597D"/>
    <w:rsid w:val="00266CD3"/>
    <w:rsid w:val="0026798D"/>
    <w:rsid w:val="00274C4E"/>
    <w:rsid w:val="00275FF8"/>
    <w:rsid w:val="002777F0"/>
    <w:rsid w:val="00277F22"/>
    <w:rsid w:val="00280843"/>
    <w:rsid w:val="00281CAF"/>
    <w:rsid w:val="00284730"/>
    <w:rsid w:val="00285A49"/>
    <w:rsid w:val="0028711B"/>
    <w:rsid w:val="0028743C"/>
    <w:rsid w:val="0028753F"/>
    <w:rsid w:val="00290312"/>
    <w:rsid w:val="00290C8F"/>
    <w:rsid w:val="00291AA4"/>
    <w:rsid w:val="00292984"/>
    <w:rsid w:val="00293DFB"/>
    <w:rsid w:val="0029483F"/>
    <w:rsid w:val="00294842"/>
    <w:rsid w:val="00295048"/>
    <w:rsid w:val="00295065"/>
    <w:rsid w:val="0029597D"/>
    <w:rsid w:val="00295FEA"/>
    <w:rsid w:val="002A14EF"/>
    <w:rsid w:val="002A3EDD"/>
    <w:rsid w:val="002B1101"/>
    <w:rsid w:val="002B3008"/>
    <w:rsid w:val="002B31EA"/>
    <w:rsid w:val="002B647D"/>
    <w:rsid w:val="002C28AC"/>
    <w:rsid w:val="002C3C82"/>
    <w:rsid w:val="002C4237"/>
    <w:rsid w:val="002C44C7"/>
    <w:rsid w:val="002C6873"/>
    <w:rsid w:val="002C68A7"/>
    <w:rsid w:val="002C6E01"/>
    <w:rsid w:val="002C7866"/>
    <w:rsid w:val="002C7E93"/>
    <w:rsid w:val="002D1F13"/>
    <w:rsid w:val="002D3201"/>
    <w:rsid w:val="002D541A"/>
    <w:rsid w:val="002D7D69"/>
    <w:rsid w:val="002E0FE4"/>
    <w:rsid w:val="002E13EF"/>
    <w:rsid w:val="002E1B0E"/>
    <w:rsid w:val="002E2DAB"/>
    <w:rsid w:val="002E4279"/>
    <w:rsid w:val="002E55E7"/>
    <w:rsid w:val="002E6E93"/>
    <w:rsid w:val="002F15C1"/>
    <w:rsid w:val="002F4C64"/>
    <w:rsid w:val="002F74F3"/>
    <w:rsid w:val="002F76E2"/>
    <w:rsid w:val="002F7DF1"/>
    <w:rsid w:val="00303522"/>
    <w:rsid w:val="00303598"/>
    <w:rsid w:val="00304769"/>
    <w:rsid w:val="00304906"/>
    <w:rsid w:val="0030494B"/>
    <w:rsid w:val="00304D1B"/>
    <w:rsid w:val="00307684"/>
    <w:rsid w:val="0031092B"/>
    <w:rsid w:val="00310D24"/>
    <w:rsid w:val="003124DA"/>
    <w:rsid w:val="003135C6"/>
    <w:rsid w:val="0031471D"/>
    <w:rsid w:val="00321B12"/>
    <w:rsid w:val="00322CD4"/>
    <w:rsid w:val="00324DDD"/>
    <w:rsid w:val="00325A16"/>
    <w:rsid w:val="003351D0"/>
    <w:rsid w:val="0033524A"/>
    <w:rsid w:val="00335B41"/>
    <w:rsid w:val="00337A50"/>
    <w:rsid w:val="003403D2"/>
    <w:rsid w:val="0034150E"/>
    <w:rsid w:val="003418BD"/>
    <w:rsid w:val="00341E0D"/>
    <w:rsid w:val="00345CF7"/>
    <w:rsid w:val="00347FA9"/>
    <w:rsid w:val="00350655"/>
    <w:rsid w:val="00350A16"/>
    <w:rsid w:val="00351BA6"/>
    <w:rsid w:val="0035462B"/>
    <w:rsid w:val="00354B20"/>
    <w:rsid w:val="00355268"/>
    <w:rsid w:val="00362371"/>
    <w:rsid w:val="00366012"/>
    <w:rsid w:val="003708B0"/>
    <w:rsid w:val="00370F3C"/>
    <w:rsid w:val="0037212F"/>
    <w:rsid w:val="003729B4"/>
    <w:rsid w:val="00377C7D"/>
    <w:rsid w:val="00377F18"/>
    <w:rsid w:val="00382954"/>
    <w:rsid w:val="00382B6F"/>
    <w:rsid w:val="00383FEE"/>
    <w:rsid w:val="00384D01"/>
    <w:rsid w:val="0038542B"/>
    <w:rsid w:val="00387C0C"/>
    <w:rsid w:val="00387DD4"/>
    <w:rsid w:val="003907BF"/>
    <w:rsid w:val="00391BD2"/>
    <w:rsid w:val="0039613F"/>
    <w:rsid w:val="003A0360"/>
    <w:rsid w:val="003A1B68"/>
    <w:rsid w:val="003A3BBB"/>
    <w:rsid w:val="003A6C59"/>
    <w:rsid w:val="003A7EE1"/>
    <w:rsid w:val="003B6CEE"/>
    <w:rsid w:val="003C0D47"/>
    <w:rsid w:val="003C2789"/>
    <w:rsid w:val="003C2917"/>
    <w:rsid w:val="003C35B7"/>
    <w:rsid w:val="003C50E2"/>
    <w:rsid w:val="003C7966"/>
    <w:rsid w:val="003D0DCF"/>
    <w:rsid w:val="003D300B"/>
    <w:rsid w:val="003D4102"/>
    <w:rsid w:val="003D411E"/>
    <w:rsid w:val="003D53B7"/>
    <w:rsid w:val="003D686C"/>
    <w:rsid w:val="003D7450"/>
    <w:rsid w:val="003E061E"/>
    <w:rsid w:val="003E0771"/>
    <w:rsid w:val="003E0A37"/>
    <w:rsid w:val="003E1131"/>
    <w:rsid w:val="003E18FF"/>
    <w:rsid w:val="003E2B18"/>
    <w:rsid w:val="003E2C1E"/>
    <w:rsid w:val="003F0364"/>
    <w:rsid w:val="003F0AFF"/>
    <w:rsid w:val="003F1B8A"/>
    <w:rsid w:val="003F2D43"/>
    <w:rsid w:val="003F4B0D"/>
    <w:rsid w:val="003F5082"/>
    <w:rsid w:val="003F5957"/>
    <w:rsid w:val="003F5E44"/>
    <w:rsid w:val="003F6FD4"/>
    <w:rsid w:val="003F7FCC"/>
    <w:rsid w:val="00401455"/>
    <w:rsid w:val="00402228"/>
    <w:rsid w:val="00403055"/>
    <w:rsid w:val="00403202"/>
    <w:rsid w:val="0040351D"/>
    <w:rsid w:val="00403663"/>
    <w:rsid w:val="004073E3"/>
    <w:rsid w:val="00407968"/>
    <w:rsid w:val="00407C44"/>
    <w:rsid w:val="00414916"/>
    <w:rsid w:val="0042011B"/>
    <w:rsid w:val="004211CD"/>
    <w:rsid w:val="00421C63"/>
    <w:rsid w:val="00421F80"/>
    <w:rsid w:val="00423F3F"/>
    <w:rsid w:val="00424671"/>
    <w:rsid w:val="00425387"/>
    <w:rsid w:val="00425F93"/>
    <w:rsid w:val="00430532"/>
    <w:rsid w:val="004308F0"/>
    <w:rsid w:val="00431DC6"/>
    <w:rsid w:val="004320F4"/>
    <w:rsid w:val="00432F00"/>
    <w:rsid w:val="00433224"/>
    <w:rsid w:val="00433CBC"/>
    <w:rsid w:val="00434B52"/>
    <w:rsid w:val="00435A23"/>
    <w:rsid w:val="004362B5"/>
    <w:rsid w:val="0043633E"/>
    <w:rsid w:val="004377E5"/>
    <w:rsid w:val="00437EF7"/>
    <w:rsid w:val="004413CA"/>
    <w:rsid w:val="00442364"/>
    <w:rsid w:val="00451130"/>
    <w:rsid w:val="004535BB"/>
    <w:rsid w:val="00456EAA"/>
    <w:rsid w:val="00457081"/>
    <w:rsid w:val="004609FC"/>
    <w:rsid w:val="00464298"/>
    <w:rsid w:val="004674F4"/>
    <w:rsid w:val="00470893"/>
    <w:rsid w:val="00471482"/>
    <w:rsid w:val="00472133"/>
    <w:rsid w:val="00473D41"/>
    <w:rsid w:val="00474491"/>
    <w:rsid w:val="00474F88"/>
    <w:rsid w:val="004753AA"/>
    <w:rsid w:val="00475AF0"/>
    <w:rsid w:val="00476791"/>
    <w:rsid w:val="0048341A"/>
    <w:rsid w:val="004834D6"/>
    <w:rsid w:val="00484350"/>
    <w:rsid w:val="0048681A"/>
    <w:rsid w:val="00486E9B"/>
    <w:rsid w:val="00487764"/>
    <w:rsid w:val="00492C50"/>
    <w:rsid w:val="00496110"/>
    <w:rsid w:val="004A081F"/>
    <w:rsid w:val="004A0CE7"/>
    <w:rsid w:val="004A1D61"/>
    <w:rsid w:val="004A44C5"/>
    <w:rsid w:val="004A6A48"/>
    <w:rsid w:val="004B028D"/>
    <w:rsid w:val="004B4BFF"/>
    <w:rsid w:val="004B6E4D"/>
    <w:rsid w:val="004B7BC8"/>
    <w:rsid w:val="004C1F37"/>
    <w:rsid w:val="004C21B2"/>
    <w:rsid w:val="004C27CA"/>
    <w:rsid w:val="004C472C"/>
    <w:rsid w:val="004D0127"/>
    <w:rsid w:val="004D768A"/>
    <w:rsid w:val="004E0022"/>
    <w:rsid w:val="004E4A5D"/>
    <w:rsid w:val="004E5631"/>
    <w:rsid w:val="004E5834"/>
    <w:rsid w:val="004E5B56"/>
    <w:rsid w:val="004E7473"/>
    <w:rsid w:val="004F10E0"/>
    <w:rsid w:val="004F462C"/>
    <w:rsid w:val="004F527F"/>
    <w:rsid w:val="004F6B10"/>
    <w:rsid w:val="004F7106"/>
    <w:rsid w:val="0050117D"/>
    <w:rsid w:val="00501435"/>
    <w:rsid w:val="0050168D"/>
    <w:rsid w:val="00502F83"/>
    <w:rsid w:val="00503BF3"/>
    <w:rsid w:val="00503F45"/>
    <w:rsid w:val="00504813"/>
    <w:rsid w:val="00504D40"/>
    <w:rsid w:val="00504D60"/>
    <w:rsid w:val="00507586"/>
    <w:rsid w:val="00510FD0"/>
    <w:rsid w:val="005117AA"/>
    <w:rsid w:val="00511E7B"/>
    <w:rsid w:val="00513FC5"/>
    <w:rsid w:val="00514B74"/>
    <w:rsid w:val="0052007D"/>
    <w:rsid w:val="005223F1"/>
    <w:rsid w:val="0052259D"/>
    <w:rsid w:val="00523532"/>
    <w:rsid w:val="00523E2D"/>
    <w:rsid w:val="00526A13"/>
    <w:rsid w:val="00527157"/>
    <w:rsid w:val="005271E2"/>
    <w:rsid w:val="00527C61"/>
    <w:rsid w:val="00530900"/>
    <w:rsid w:val="00532333"/>
    <w:rsid w:val="00532DDC"/>
    <w:rsid w:val="00533035"/>
    <w:rsid w:val="0053313F"/>
    <w:rsid w:val="00533B97"/>
    <w:rsid w:val="00536B52"/>
    <w:rsid w:val="00542D55"/>
    <w:rsid w:val="005464CC"/>
    <w:rsid w:val="00546700"/>
    <w:rsid w:val="00546CFA"/>
    <w:rsid w:val="00550ADB"/>
    <w:rsid w:val="00552D57"/>
    <w:rsid w:val="00553689"/>
    <w:rsid w:val="0055502C"/>
    <w:rsid w:val="005634DA"/>
    <w:rsid w:val="005637DD"/>
    <w:rsid w:val="00563D10"/>
    <w:rsid w:val="005649AF"/>
    <w:rsid w:val="0057143D"/>
    <w:rsid w:val="00571DF8"/>
    <w:rsid w:val="005724EB"/>
    <w:rsid w:val="00573067"/>
    <w:rsid w:val="005765CC"/>
    <w:rsid w:val="0057725D"/>
    <w:rsid w:val="00580C89"/>
    <w:rsid w:val="0058227F"/>
    <w:rsid w:val="00582C10"/>
    <w:rsid w:val="005932E9"/>
    <w:rsid w:val="00593E74"/>
    <w:rsid w:val="00597E24"/>
    <w:rsid w:val="005A11E1"/>
    <w:rsid w:val="005A6C91"/>
    <w:rsid w:val="005B0A98"/>
    <w:rsid w:val="005B11F5"/>
    <w:rsid w:val="005B1C9F"/>
    <w:rsid w:val="005B2A67"/>
    <w:rsid w:val="005B3AD5"/>
    <w:rsid w:val="005B61C1"/>
    <w:rsid w:val="005C0CF1"/>
    <w:rsid w:val="005C0D67"/>
    <w:rsid w:val="005C31C9"/>
    <w:rsid w:val="005C320F"/>
    <w:rsid w:val="005C4DAD"/>
    <w:rsid w:val="005C62C7"/>
    <w:rsid w:val="005D1E92"/>
    <w:rsid w:val="005D6679"/>
    <w:rsid w:val="005D750A"/>
    <w:rsid w:val="005D7D66"/>
    <w:rsid w:val="005E2348"/>
    <w:rsid w:val="005E23EE"/>
    <w:rsid w:val="005E3BF0"/>
    <w:rsid w:val="005E44A3"/>
    <w:rsid w:val="005E4B12"/>
    <w:rsid w:val="005E7FBD"/>
    <w:rsid w:val="005F0256"/>
    <w:rsid w:val="005F10E4"/>
    <w:rsid w:val="005F28C1"/>
    <w:rsid w:val="005F390B"/>
    <w:rsid w:val="005F3BA9"/>
    <w:rsid w:val="005F4662"/>
    <w:rsid w:val="005F59F3"/>
    <w:rsid w:val="005F6D79"/>
    <w:rsid w:val="006075B1"/>
    <w:rsid w:val="00607868"/>
    <w:rsid w:val="00610DA7"/>
    <w:rsid w:val="00613B75"/>
    <w:rsid w:val="00614D8C"/>
    <w:rsid w:val="006156BF"/>
    <w:rsid w:val="00615864"/>
    <w:rsid w:val="00616828"/>
    <w:rsid w:val="006217D1"/>
    <w:rsid w:val="006223FE"/>
    <w:rsid w:val="006249B2"/>
    <w:rsid w:val="00625C78"/>
    <w:rsid w:val="00630426"/>
    <w:rsid w:val="00630B0C"/>
    <w:rsid w:val="00630E17"/>
    <w:rsid w:val="006327F5"/>
    <w:rsid w:val="00633A95"/>
    <w:rsid w:val="00634AE4"/>
    <w:rsid w:val="00634D0F"/>
    <w:rsid w:val="006351CB"/>
    <w:rsid w:val="0063532F"/>
    <w:rsid w:val="00635685"/>
    <w:rsid w:val="006367AD"/>
    <w:rsid w:val="0063681F"/>
    <w:rsid w:val="006443DD"/>
    <w:rsid w:val="006457C5"/>
    <w:rsid w:val="006459A6"/>
    <w:rsid w:val="00646958"/>
    <w:rsid w:val="00650C8C"/>
    <w:rsid w:val="006531D9"/>
    <w:rsid w:val="006549AC"/>
    <w:rsid w:val="00654A41"/>
    <w:rsid w:val="00656587"/>
    <w:rsid w:val="00656F12"/>
    <w:rsid w:val="0066135A"/>
    <w:rsid w:val="0066144E"/>
    <w:rsid w:val="006627F5"/>
    <w:rsid w:val="00662DA3"/>
    <w:rsid w:val="006647BF"/>
    <w:rsid w:val="00667187"/>
    <w:rsid w:val="0067077D"/>
    <w:rsid w:val="00670B34"/>
    <w:rsid w:val="00676171"/>
    <w:rsid w:val="00677339"/>
    <w:rsid w:val="0068164D"/>
    <w:rsid w:val="00681F18"/>
    <w:rsid w:val="00683357"/>
    <w:rsid w:val="0068452C"/>
    <w:rsid w:val="00687AF6"/>
    <w:rsid w:val="00687DAA"/>
    <w:rsid w:val="00691F8F"/>
    <w:rsid w:val="0069389F"/>
    <w:rsid w:val="00694EEF"/>
    <w:rsid w:val="00695A5C"/>
    <w:rsid w:val="006962D5"/>
    <w:rsid w:val="006A2D36"/>
    <w:rsid w:val="006A3467"/>
    <w:rsid w:val="006A70A5"/>
    <w:rsid w:val="006A7EDF"/>
    <w:rsid w:val="006B13BE"/>
    <w:rsid w:val="006B4137"/>
    <w:rsid w:val="006B4909"/>
    <w:rsid w:val="006B5C7B"/>
    <w:rsid w:val="006B6D96"/>
    <w:rsid w:val="006C37E3"/>
    <w:rsid w:val="006C5A8C"/>
    <w:rsid w:val="006C5E61"/>
    <w:rsid w:val="006D059E"/>
    <w:rsid w:val="006D5815"/>
    <w:rsid w:val="006D7874"/>
    <w:rsid w:val="006E0E1B"/>
    <w:rsid w:val="006E3A3E"/>
    <w:rsid w:val="006E4748"/>
    <w:rsid w:val="006E4EC9"/>
    <w:rsid w:val="006E72C2"/>
    <w:rsid w:val="006F0747"/>
    <w:rsid w:val="006F0ECD"/>
    <w:rsid w:val="006F1514"/>
    <w:rsid w:val="006F3C7F"/>
    <w:rsid w:val="006F503E"/>
    <w:rsid w:val="006F6BC9"/>
    <w:rsid w:val="006F7776"/>
    <w:rsid w:val="007004EB"/>
    <w:rsid w:val="007009DD"/>
    <w:rsid w:val="00702A2C"/>
    <w:rsid w:val="00702E23"/>
    <w:rsid w:val="00710AFB"/>
    <w:rsid w:val="00710C89"/>
    <w:rsid w:val="007232CF"/>
    <w:rsid w:val="00723EE2"/>
    <w:rsid w:val="00725A57"/>
    <w:rsid w:val="00725B13"/>
    <w:rsid w:val="00725B45"/>
    <w:rsid w:val="007305EA"/>
    <w:rsid w:val="00731701"/>
    <w:rsid w:val="00735512"/>
    <w:rsid w:val="00735A52"/>
    <w:rsid w:val="00737748"/>
    <w:rsid w:val="007401EF"/>
    <w:rsid w:val="0074213F"/>
    <w:rsid w:val="007428CC"/>
    <w:rsid w:val="00742CFB"/>
    <w:rsid w:val="00743532"/>
    <w:rsid w:val="00743ED6"/>
    <w:rsid w:val="0074453E"/>
    <w:rsid w:val="007451DB"/>
    <w:rsid w:val="00745A76"/>
    <w:rsid w:val="0074678F"/>
    <w:rsid w:val="00746F14"/>
    <w:rsid w:val="007472CE"/>
    <w:rsid w:val="00747778"/>
    <w:rsid w:val="007519F7"/>
    <w:rsid w:val="007533D4"/>
    <w:rsid w:val="00754293"/>
    <w:rsid w:val="007555A8"/>
    <w:rsid w:val="00755CC0"/>
    <w:rsid w:val="007567D9"/>
    <w:rsid w:val="0076177D"/>
    <w:rsid w:val="00761F78"/>
    <w:rsid w:val="0076226C"/>
    <w:rsid w:val="0076517B"/>
    <w:rsid w:val="007657C4"/>
    <w:rsid w:val="00767A19"/>
    <w:rsid w:val="00770BC4"/>
    <w:rsid w:val="00770DD2"/>
    <w:rsid w:val="00771985"/>
    <w:rsid w:val="007729D3"/>
    <w:rsid w:val="00773EA4"/>
    <w:rsid w:val="007753C2"/>
    <w:rsid w:val="00780F74"/>
    <w:rsid w:val="00785022"/>
    <w:rsid w:val="00786442"/>
    <w:rsid w:val="007864D5"/>
    <w:rsid w:val="00786975"/>
    <w:rsid w:val="00787EBD"/>
    <w:rsid w:val="007921B1"/>
    <w:rsid w:val="00792A08"/>
    <w:rsid w:val="00792CE7"/>
    <w:rsid w:val="00795490"/>
    <w:rsid w:val="0079775D"/>
    <w:rsid w:val="00797DF6"/>
    <w:rsid w:val="007A172C"/>
    <w:rsid w:val="007A1B83"/>
    <w:rsid w:val="007A1E8E"/>
    <w:rsid w:val="007A2869"/>
    <w:rsid w:val="007A2F65"/>
    <w:rsid w:val="007A3417"/>
    <w:rsid w:val="007A3C51"/>
    <w:rsid w:val="007A6E6E"/>
    <w:rsid w:val="007A7D93"/>
    <w:rsid w:val="007B0A03"/>
    <w:rsid w:val="007B51D5"/>
    <w:rsid w:val="007B5565"/>
    <w:rsid w:val="007B6484"/>
    <w:rsid w:val="007B75E1"/>
    <w:rsid w:val="007B7E42"/>
    <w:rsid w:val="007C196C"/>
    <w:rsid w:val="007C1B8D"/>
    <w:rsid w:val="007C21FD"/>
    <w:rsid w:val="007C3590"/>
    <w:rsid w:val="007C3EFA"/>
    <w:rsid w:val="007C4587"/>
    <w:rsid w:val="007C5D5E"/>
    <w:rsid w:val="007D0BD8"/>
    <w:rsid w:val="007D0C32"/>
    <w:rsid w:val="007D1D62"/>
    <w:rsid w:val="007D2D47"/>
    <w:rsid w:val="007D2E20"/>
    <w:rsid w:val="007D4D94"/>
    <w:rsid w:val="007D6CC7"/>
    <w:rsid w:val="007E4F6C"/>
    <w:rsid w:val="007F0AD2"/>
    <w:rsid w:val="007F7E44"/>
    <w:rsid w:val="00800F5B"/>
    <w:rsid w:val="00802E94"/>
    <w:rsid w:val="008047CD"/>
    <w:rsid w:val="008058CE"/>
    <w:rsid w:val="00806FFA"/>
    <w:rsid w:val="00807348"/>
    <w:rsid w:val="00811342"/>
    <w:rsid w:val="00811E18"/>
    <w:rsid w:val="00812925"/>
    <w:rsid w:val="00816383"/>
    <w:rsid w:val="00817329"/>
    <w:rsid w:val="00817502"/>
    <w:rsid w:val="00821772"/>
    <w:rsid w:val="008221AD"/>
    <w:rsid w:val="008230F7"/>
    <w:rsid w:val="00824784"/>
    <w:rsid w:val="00830609"/>
    <w:rsid w:val="008308E7"/>
    <w:rsid w:val="00833F37"/>
    <w:rsid w:val="008350D6"/>
    <w:rsid w:val="00836C15"/>
    <w:rsid w:val="00840EC3"/>
    <w:rsid w:val="0084209C"/>
    <w:rsid w:val="008420DB"/>
    <w:rsid w:val="00842DA8"/>
    <w:rsid w:val="008434C4"/>
    <w:rsid w:val="008439CA"/>
    <w:rsid w:val="00844C29"/>
    <w:rsid w:val="0084509D"/>
    <w:rsid w:val="00845296"/>
    <w:rsid w:val="00845E70"/>
    <w:rsid w:val="0084689E"/>
    <w:rsid w:val="00846F7A"/>
    <w:rsid w:val="00847D2E"/>
    <w:rsid w:val="00850A9B"/>
    <w:rsid w:val="00851DFE"/>
    <w:rsid w:val="008535A4"/>
    <w:rsid w:val="008556C3"/>
    <w:rsid w:val="00855D47"/>
    <w:rsid w:val="00857BD1"/>
    <w:rsid w:val="0086072C"/>
    <w:rsid w:val="00860CE5"/>
    <w:rsid w:val="00861962"/>
    <w:rsid w:val="0086271F"/>
    <w:rsid w:val="00863802"/>
    <w:rsid w:val="00865060"/>
    <w:rsid w:val="0086508D"/>
    <w:rsid w:val="00865B07"/>
    <w:rsid w:val="008757E5"/>
    <w:rsid w:val="00875DBE"/>
    <w:rsid w:val="00881785"/>
    <w:rsid w:val="00883EA8"/>
    <w:rsid w:val="00890086"/>
    <w:rsid w:val="008906D7"/>
    <w:rsid w:val="008918EB"/>
    <w:rsid w:val="00891B53"/>
    <w:rsid w:val="008921FC"/>
    <w:rsid w:val="008926D8"/>
    <w:rsid w:val="0089296A"/>
    <w:rsid w:val="00893FE6"/>
    <w:rsid w:val="0089426A"/>
    <w:rsid w:val="008966E1"/>
    <w:rsid w:val="00896A8E"/>
    <w:rsid w:val="00896CD6"/>
    <w:rsid w:val="00897AE6"/>
    <w:rsid w:val="008A3E37"/>
    <w:rsid w:val="008A4180"/>
    <w:rsid w:val="008B09A0"/>
    <w:rsid w:val="008B164E"/>
    <w:rsid w:val="008B2A19"/>
    <w:rsid w:val="008B7B7B"/>
    <w:rsid w:val="008C502A"/>
    <w:rsid w:val="008C6E46"/>
    <w:rsid w:val="008C7F59"/>
    <w:rsid w:val="008D011A"/>
    <w:rsid w:val="008D3D76"/>
    <w:rsid w:val="008D5847"/>
    <w:rsid w:val="008D65D3"/>
    <w:rsid w:val="008D676B"/>
    <w:rsid w:val="008D6D45"/>
    <w:rsid w:val="008D7C2F"/>
    <w:rsid w:val="008E4B12"/>
    <w:rsid w:val="008E5A17"/>
    <w:rsid w:val="008E6335"/>
    <w:rsid w:val="008E7306"/>
    <w:rsid w:val="008F57F3"/>
    <w:rsid w:val="008F6040"/>
    <w:rsid w:val="008F65E9"/>
    <w:rsid w:val="008F6E72"/>
    <w:rsid w:val="00901324"/>
    <w:rsid w:val="00906165"/>
    <w:rsid w:val="00911036"/>
    <w:rsid w:val="00911957"/>
    <w:rsid w:val="009165A2"/>
    <w:rsid w:val="009176F6"/>
    <w:rsid w:val="00920263"/>
    <w:rsid w:val="00920700"/>
    <w:rsid w:val="009247F3"/>
    <w:rsid w:val="00926EA3"/>
    <w:rsid w:val="00927238"/>
    <w:rsid w:val="009275FE"/>
    <w:rsid w:val="00931798"/>
    <w:rsid w:val="00931B17"/>
    <w:rsid w:val="00940977"/>
    <w:rsid w:val="00942E72"/>
    <w:rsid w:val="009432E5"/>
    <w:rsid w:val="0094350E"/>
    <w:rsid w:val="009445F0"/>
    <w:rsid w:val="00946AE4"/>
    <w:rsid w:val="00946B6C"/>
    <w:rsid w:val="00946F9E"/>
    <w:rsid w:val="0095018A"/>
    <w:rsid w:val="009501CA"/>
    <w:rsid w:val="009553A0"/>
    <w:rsid w:val="00957271"/>
    <w:rsid w:val="009609A5"/>
    <w:rsid w:val="00960D5C"/>
    <w:rsid w:val="009628ED"/>
    <w:rsid w:val="0096401E"/>
    <w:rsid w:val="009645AC"/>
    <w:rsid w:val="009654AE"/>
    <w:rsid w:val="0096725C"/>
    <w:rsid w:val="00971229"/>
    <w:rsid w:val="009716D5"/>
    <w:rsid w:val="00972A9E"/>
    <w:rsid w:val="0097346C"/>
    <w:rsid w:val="00975357"/>
    <w:rsid w:val="00980933"/>
    <w:rsid w:val="00981AE9"/>
    <w:rsid w:val="00982189"/>
    <w:rsid w:val="0098282D"/>
    <w:rsid w:val="00985B93"/>
    <w:rsid w:val="0099002B"/>
    <w:rsid w:val="00991B70"/>
    <w:rsid w:val="00991D3E"/>
    <w:rsid w:val="00994860"/>
    <w:rsid w:val="009949E2"/>
    <w:rsid w:val="00994F3D"/>
    <w:rsid w:val="009956FB"/>
    <w:rsid w:val="009965A1"/>
    <w:rsid w:val="009A130B"/>
    <w:rsid w:val="009A140C"/>
    <w:rsid w:val="009A1DBC"/>
    <w:rsid w:val="009A23F7"/>
    <w:rsid w:val="009A6900"/>
    <w:rsid w:val="009B181D"/>
    <w:rsid w:val="009B26B5"/>
    <w:rsid w:val="009B320B"/>
    <w:rsid w:val="009B6E04"/>
    <w:rsid w:val="009B76D0"/>
    <w:rsid w:val="009B7717"/>
    <w:rsid w:val="009B7FCB"/>
    <w:rsid w:val="009C0A07"/>
    <w:rsid w:val="009C0AB8"/>
    <w:rsid w:val="009C121F"/>
    <w:rsid w:val="009C2DD8"/>
    <w:rsid w:val="009C3838"/>
    <w:rsid w:val="009C473B"/>
    <w:rsid w:val="009C51D5"/>
    <w:rsid w:val="009C6148"/>
    <w:rsid w:val="009C709F"/>
    <w:rsid w:val="009D017E"/>
    <w:rsid w:val="009D040B"/>
    <w:rsid w:val="009D1A3D"/>
    <w:rsid w:val="009D434B"/>
    <w:rsid w:val="009D4CDC"/>
    <w:rsid w:val="009E56C8"/>
    <w:rsid w:val="009E57B6"/>
    <w:rsid w:val="009E5B0C"/>
    <w:rsid w:val="009E6236"/>
    <w:rsid w:val="009E63C2"/>
    <w:rsid w:val="009F3A7B"/>
    <w:rsid w:val="009F5281"/>
    <w:rsid w:val="009F5739"/>
    <w:rsid w:val="00A0047A"/>
    <w:rsid w:val="00A0139B"/>
    <w:rsid w:val="00A01607"/>
    <w:rsid w:val="00A02568"/>
    <w:rsid w:val="00A02A58"/>
    <w:rsid w:val="00A045B0"/>
    <w:rsid w:val="00A05C07"/>
    <w:rsid w:val="00A073BC"/>
    <w:rsid w:val="00A07C25"/>
    <w:rsid w:val="00A117D0"/>
    <w:rsid w:val="00A14C45"/>
    <w:rsid w:val="00A152DC"/>
    <w:rsid w:val="00A15D6C"/>
    <w:rsid w:val="00A168DF"/>
    <w:rsid w:val="00A17502"/>
    <w:rsid w:val="00A23A77"/>
    <w:rsid w:val="00A23A87"/>
    <w:rsid w:val="00A24502"/>
    <w:rsid w:val="00A306E1"/>
    <w:rsid w:val="00A32E54"/>
    <w:rsid w:val="00A3693D"/>
    <w:rsid w:val="00A36EB7"/>
    <w:rsid w:val="00A428D6"/>
    <w:rsid w:val="00A42DE0"/>
    <w:rsid w:val="00A445AC"/>
    <w:rsid w:val="00A47E85"/>
    <w:rsid w:val="00A50002"/>
    <w:rsid w:val="00A50152"/>
    <w:rsid w:val="00A54552"/>
    <w:rsid w:val="00A55AA9"/>
    <w:rsid w:val="00A55ADE"/>
    <w:rsid w:val="00A562D7"/>
    <w:rsid w:val="00A56D13"/>
    <w:rsid w:val="00A60D53"/>
    <w:rsid w:val="00A61F46"/>
    <w:rsid w:val="00A6250C"/>
    <w:rsid w:val="00A63911"/>
    <w:rsid w:val="00A6489F"/>
    <w:rsid w:val="00A658E3"/>
    <w:rsid w:val="00A65C09"/>
    <w:rsid w:val="00A66209"/>
    <w:rsid w:val="00A675E9"/>
    <w:rsid w:val="00A713A8"/>
    <w:rsid w:val="00A732CB"/>
    <w:rsid w:val="00A736C5"/>
    <w:rsid w:val="00A74C37"/>
    <w:rsid w:val="00A75B3B"/>
    <w:rsid w:val="00A77FB2"/>
    <w:rsid w:val="00A80143"/>
    <w:rsid w:val="00A80778"/>
    <w:rsid w:val="00A8182A"/>
    <w:rsid w:val="00A831E8"/>
    <w:rsid w:val="00A83D59"/>
    <w:rsid w:val="00A84B02"/>
    <w:rsid w:val="00A86760"/>
    <w:rsid w:val="00A93931"/>
    <w:rsid w:val="00A94383"/>
    <w:rsid w:val="00A96753"/>
    <w:rsid w:val="00A96EA4"/>
    <w:rsid w:val="00AA065C"/>
    <w:rsid w:val="00AA0C3F"/>
    <w:rsid w:val="00AA2AC7"/>
    <w:rsid w:val="00AB17C9"/>
    <w:rsid w:val="00AB327B"/>
    <w:rsid w:val="00AB33BF"/>
    <w:rsid w:val="00AB3E6C"/>
    <w:rsid w:val="00AB577D"/>
    <w:rsid w:val="00AC0A06"/>
    <w:rsid w:val="00AC1FFA"/>
    <w:rsid w:val="00AC2E96"/>
    <w:rsid w:val="00AC416E"/>
    <w:rsid w:val="00AD0CA2"/>
    <w:rsid w:val="00AD50CC"/>
    <w:rsid w:val="00AE05E9"/>
    <w:rsid w:val="00AE10A9"/>
    <w:rsid w:val="00AE1D09"/>
    <w:rsid w:val="00AE1D0D"/>
    <w:rsid w:val="00AE3B1D"/>
    <w:rsid w:val="00AE708C"/>
    <w:rsid w:val="00AE7771"/>
    <w:rsid w:val="00AF06FE"/>
    <w:rsid w:val="00AF19F8"/>
    <w:rsid w:val="00AF1A58"/>
    <w:rsid w:val="00B006BE"/>
    <w:rsid w:val="00B00CC7"/>
    <w:rsid w:val="00B017A0"/>
    <w:rsid w:val="00B0277B"/>
    <w:rsid w:val="00B04AD1"/>
    <w:rsid w:val="00B05014"/>
    <w:rsid w:val="00B05918"/>
    <w:rsid w:val="00B12813"/>
    <w:rsid w:val="00B15DF0"/>
    <w:rsid w:val="00B178A0"/>
    <w:rsid w:val="00B20BF1"/>
    <w:rsid w:val="00B22710"/>
    <w:rsid w:val="00B22F0A"/>
    <w:rsid w:val="00B262E7"/>
    <w:rsid w:val="00B267B2"/>
    <w:rsid w:val="00B30CB2"/>
    <w:rsid w:val="00B34A2F"/>
    <w:rsid w:val="00B35AA0"/>
    <w:rsid w:val="00B427B2"/>
    <w:rsid w:val="00B43E6B"/>
    <w:rsid w:val="00B52AC6"/>
    <w:rsid w:val="00B54D3C"/>
    <w:rsid w:val="00B5711C"/>
    <w:rsid w:val="00B63387"/>
    <w:rsid w:val="00B63F8E"/>
    <w:rsid w:val="00B64EAF"/>
    <w:rsid w:val="00B65D02"/>
    <w:rsid w:val="00B673A9"/>
    <w:rsid w:val="00B67BF9"/>
    <w:rsid w:val="00B67E20"/>
    <w:rsid w:val="00B81D40"/>
    <w:rsid w:val="00B822C1"/>
    <w:rsid w:val="00B83830"/>
    <w:rsid w:val="00B84CB9"/>
    <w:rsid w:val="00B866EF"/>
    <w:rsid w:val="00B948CE"/>
    <w:rsid w:val="00B952A7"/>
    <w:rsid w:val="00B97A79"/>
    <w:rsid w:val="00B97B80"/>
    <w:rsid w:val="00BA0A17"/>
    <w:rsid w:val="00BA26DF"/>
    <w:rsid w:val="00BA2FA0"/>
    <w:rsid w:val="00BB05B7"/>
    <w:rsid w:val="00BB08A3"/>
    <w:rsid w:val="00BB1C1F"/>
    <w:rsid w:val="00BB3A0C"/>
    <w:rsid w:val="00BB479F"/>
    <w:rsid w:val="00BB48BC"/>
    <w:rsid w:val="00BB6276"/>
    <w:rsid w:val="00BB78A6"/>
    <w:rsid w:val="00BC23D1"/>
    <w:rsid w:val="00BC2407"/>
    <w:rsid w:val="00BC260E"/>
    <w:rsid w:val="00BC40DA"/>
    <w:rsid w:val="00BC659E"/>
    <w:rsid w:val="00BD0266"/>
    <w:rsid w:val="00BD1542"/>
    <w:rsid w:val="00BD2D41"/>
    <w:rsid w:val="00BD3D44"/>
    <w:rsid w:val="00BD4761"/>
    <w:rsid w:val="00BD6F36"/>
    <w:rsid w:val="00BE1E00"/>
    <w:rsid w:val="00BE1EC6"/>
    <w:rsid w:val="00BE7BEC"/>
    <w:rsid w:val="00BF2480"/>
    <w:rsid w:val="00BF2ACA"/>
    <w:rsid w:val="00BF3A49"/>
    <w:rsid w:val="00BF59FB"/>
    <w:rsid w:val="00BF74AB"/>
    <w:rsid w:val="00C01C3A"/>
    <w:rsid w:val="00C030E8"/>
    <w:rsid w:val="00C0355D"/>
    <w:rsid w:val="00C040CE"/>
    <w:rsid w:val="00C04AEB"/>
    <w:rsid w:val="00C04C2C"/>
    <w:rsid w:val="00C05170"/>
    <w:rsid w:val="00C05206"/>
    <w:rsid w:val="00C05FA6"/>
    <w:rsid w:val="00C06BEB"/>
    <w:rsid w:val="00C06CD3"/>
    <w:rsid w:val="00C07227"/>
    <w:rsid w:val="00C11043"/>
    <w:rsid w:val="00C126F6"/>
    <w:rsid w:val="00C13856"/>
    <w:rsid w:val="00C15BEF"/>
    <w:rsid w:val="00C17DAD"/>
    <w:rsid w:val="00C203E3"/>
    <w:rsid w:val="00C22994"/>
    <w:rsid w:val="00C23C30"/>
    <w:rsid w:val="00C24B19"/>
    <w:rsid w:val="00C24D47"/>
    <w:rsid w:val="00C263E3"/>
    <w:rsid w:val="00C26E94"/>
    <w:rsid w:val="00C3231B"/>
    <w:rsid w:val="00C335DA"/>
    <w:rsid w:val="00C3475E"/>
    <w:rsid w:val="00C41903"/>
    <w:rsid w:val="00C429E9"/>
    <w:rsid w:val="00C42D4A"/>
    <w:rsid w:val="00C42FA4"/>
    <w:rsid w:val="00C43719"/>
    <w:rsid w:val="00C463DD"/>
    <w:rsid w:val="00C50C20"/>
    <w:rsid w:val="00C5438D"/>
    <w:rsid w:val="00C5454D"/>
    <w:rsid w:val="00C54E79"/>
    <w:rsid w:val="00C556CE"/>
    <w:rsid w:val="00C56F9F"/>
    <w:rsid w:val="00C57FE4"/>
    <w:rsid w:val="00C607FB"/>
    <w:rsid w:val="00C6235E"/>
    <w:rsid w:val="00C6292D"/>
    <w:rsid w:val="00C62D72"/>
    <w:rsid w:val="00C62EEF"/>
    <w:rsid w:val="00C65490"/>
    <w:rsid w:val="00C66537"/>
    <w:rsid w:val="00C700F0"/>
    <w:rsid w:val="00C729BE"/>
    <w:rsid w:val="00C751AF"/>
    <w:rsid w:val="00C761C3"/>
    <w:rsid w:val="00C80498"/>
    <w:rsid w:val="00C86080"/>
    <w:rsid w:val="00C86708"/>
    <w:rsid w:val="00C8720B"/>
    <w:rsid w:val="00C8743A"/>
    <w:rsid w:val="00C878CB"/>
    <w:rsid w:val="00C902E8"/>
    <w:rsid w:val="00C915A6"/>
    <w:rsid w:val="00C91798"/>
    <w:rsid w:val="00C925C8"/>
    <w:rsid w:val="00C93BF5"/>
    <w:rsid w:val="00C940D8"/>
    <w:rsid w:val="00C9431A"/>
    <w:rsid w:val="00C951E6"/>
    <w:rsid w:val="00C954A6"/>
    <w:rsid w:val="00C9579E"/>
    <w:rsid w:val="00C95E68"/>
    <w:rsid w:val="00C9612F"/>
    <w:rsid w:val="00CA00DC"/>
    <w:rsid w:val="00CA0BD0"/>
    <w:rsid w:val="00CA173F"/>
    <w:rsid w:val="00CA24E5"/>
    <w:rsid w:val="00CA2A51"/>
    <w:rsid w:val="00CA3E84"/>
    <w:rsid w:val="00CA42DA"/>
    <w:rsid w:val="00CA4343"/>
    <w:rsid w:val="00CA568D"/>
    <w:rsid w:val="00CA5D01"/>
    <w:rsid w:val="00CB039C"/>
    <w:rsid w:val="00CB0C1A"/>
    <w:rsid w:val="00CB1C9D"/>
    <w:rsid w:val="00CB2C86"/>
    <w:rsid w:val="00CB5790"/>
    <w:rsid w:val="00CB749E"/>
    <w:rsid w:val="00CC0B92"/>
    <w:rsid w:val="00CC1EB9"/>
    <w:rsid w:val="00CC34E8"/>
    <w:rsid w:val="00CC4819"/>
    <w:rsid w:val="00CC5314"/>
    <w:rsid w:val="00CC7822"/>
    <w:rsid w:val="00CD24D2"/>
    <w:rsid w:val="00CD32C0"/>
    <w:rsid w:val="00CD3A70"/>
    <w:rsid w:val="00CD516A"/>
    <w:rsid w:val="00CD52E6"/>
    <w:rsid w:val="00CE0AC2"/>
    <w:rsid w:val="00CE0DAE"/>
    <w:rsid w:val="00CE558B"/>
    <w:rsid w:val="00CF434C"/>
    <w:rsid w:val="00CF5498"/>
    <w:rsid w:val="00CF61F9"/>
    <w:rsid w:val="00D00480"/>
    <w:rsid w:val="00D03049"/>
    <w:rsid w:val="00D0387E"/>
    <w:rsid w:val="00D03E29"/>
    <w:rsid w:val="00D05EA9"/>
    <w:rsid w:val="00D10159"/>
    <w:rsid w:val="00D1296C"/>
    <w:rsid w:val="00D14240"/>
    <w:rsid w:val="00D20600"/>
    <w:rsid w:val="00D20608"/>
    <w:rsid w:val="00D233B9"/>
    <w:rsid w:val="00D23952"/>
    <w:rsid w:val="00D239F1"/>
    <w:rsid w:val="00D249BD"/>
    <w:rsid w:val="00D252F3"/>
    <w:rsid w:val="00D264D6"/>
    <w:rsid w:val="00D27D0E"/>
    <w:rsid w:val="00D3021C"/>
    <w:rsid w:val="00D304A6"/>
    <w:rsid w:val="00D30FBF"/>
    <w:rsid w:val="00D314D0"/>
    <w:rsid w:val="00D45A03"/>
    <w:rsid w:val="00D50B1D"/>
    <w:rsid w:val="00D5456D"/>
    <w:rsid w:val="00D6053F"/>
    <w:rsid w:val="00D61162"/>
    <w:rsid w:val="00D61925"/>
    <w:rsid w:val="00D63242"/>
    <w:rsid w:val="00D64998"/>
    <w:rsid w:val="00D656F9"/>
    <w:rsid w:val="00D66265"/>
    <w:rsid w:val="00D6757A"/>
    <w:rsid w:val="00D6798E"/>
    <w:rsid w:val="00D70867"/>
    <w:rsid w:val="00D70C10"/>
    <w:rsid w:val="00D71F4D"/>
    <w:rsid w:val="00D75144"/>
    <w:rsid w:val="00D75207"/>
    <w:rsid w:val="00D76640"/>
    <w:rsid w:val="00D80E81"/>
    <w:rsid w:val="00D82568"/>
    <w:rsid w:val="00D85E52"/>
    <w:rsid w:val="00D9603F"/>
    <w:rsid w:val="00D96249"/>
    <w:rsid w:val="00D97564"/>
    <w:rsid w:val="00DA14FD"/>
    <w:rsid w:val="00DA3491"/>
    <w:rsid w:val="00DA39FD"/>
    <w:rsid w:val="00DA51F5"/>
    <w:rsid w:val="00DA544D"/>
    <w:rsid w:val="00DA6D9B"/>
    <w:rsid w:val="00DA7F87"/>
    <w:rsid w:val="00DB11CA"/>
    <w:rsid w:val="00DB138B"/>
    <w:rsid w:val="00DB24DC"/>
    <w:rsid w:val="00DB3349"/>
    <w:rsid w:val="00DB4EFE"/>
    <w:rsid w:val="00DB50D9"/>
    <w:rsid w:val="00DB5330"/>
    <w:rsid w:val="00DB719D"/>
    <w:rsid w:val="00DB7CE1"/>
    <w:rsid w:val="00DC111C"/>
    <w:rsid w:val="00DC2A7F"/>
    <w:rsid w:val="00DC3D5F"/>
    <w:rsid w:val="00DC5604"/>
    <w:rsid w:val="00DD0EEA"/>
    <w:rsid w:val="00DD1633"/>
    <w:rsid w:val="00DD23F7"/>
    <w:rsid w:val="00DD4552"/>
    <w:rsid w:val="00DD7016"/>
    <w:rsid w:val="00DD7463"/>
    <w:rsid w:val="00DD7B4C"/>
    <w:rsid w:val="00DE0669"/>
    <w:rsid w:val="00DE09DF"/>
    <w:rsid w:val="00DE10B3"/>
    <w:rsid w:val="00DE195A"/>
    <w:rsid w:val="00DF02B6"/>
    <w:rsid w:val="00DF21D4"/>
    <w:rsid w:val="00DF3ECC"/>
    <w:rsid w:val="00DF3FBA"/>
    <w:rsid w:val="00DF685A"/>
    <w:rsid w:val="00DF6E1E"/>
    <w:rsid w:val="00DF7C51"/>
    <w:rsid w:val="00E11147"/>
    <w:rsid w:val="00E13DBD"/>
    <w:rsid w:val="00E140CE"/>
    <w:rsid w:val="00E20607"/>
    <w:rsid w:val="00E24410"/>
    <w:rsid w:val="00E31E6F"/>
    <w:rsid w:val="00E338D8"/>
    <w:rsid w:val="00E33C83"/>
    <w:rsid w:val="00E35F90"/>
    <w:rsid w:val="00E36B8E"/>
    <w:rsid w:val="00E37C50"/>
    <w:rsid w:val="00E37FBD"/>
    <w:rsid w:val="00E42B1A"/>
    <w:rsid w:val="00E454CE"/>
    <w:rsid w:val="00E517A6"/>
    <w:rsid w:val="00E53352"/>
    <w:rsid w:val="00E53BA6"/>
    <w:rsid w:val="00E53FED"/>
    <w:rsid w:val="00E54D23"/>
    <w:rsid w:val="00E56875"/>
    <w:rsid w:val="00E57F51"/>
    <w:rsid w:val="00E608D1"/>
    <w:rsid w:val="00E612DE"/>
    <w:rsid w:val="00E62595"/>
    <w:rsid w:val="00E63018"/>
    <w:rsid w:val="00E645C1"/>
    <w:rsid w:val="00E668A5"/>
    <w:rsid w:val="00E71119"/>
    <w:rsid w:val="00E7181D"/>
    <w:rsid w:val="00E73AB9"/>
    <w:rsid w:val="00E76B15"/>
    <w:rsid w:val="00E81422"/>
    <w:rsid w:val="00E8181A"/>
    <w:rsid w:val="00E81F51"/>
    <w:rsid w:val="00E83D98"/>
    <w:rsid w:val="00E86C82"/>
    <w:rsid w:val="00E87234"/>
    <w:rsid w:val="00E87ECE"/>
    <w:rsid w:val="00E901A4"/>
    <w:rsid w:val="00E904EE"/>
    <w:rsid w:val="00E9103D"/>
    <w:rsid w:val="00E919D7"/>
    <w:rsid w:val="00E929E5"/>
    <w:rsid w:val="00E93C25"/>
    <w:rsid w:val="00E957EF"/>
    <w:rsid w:val="00EA151F"/>
    <w:rsid w:val="00EA1DEC"/>
    <w:rsid w:val="00EA1FAF"/>
    <w:rsid w:val="00EA2894"/>
    <w:rsid w:val="00EA3862"/>
    <w:rsid w:val="00EA4702"/>
    <w:rsid w:val="00EA4DDA"/>
    <w:rsid w:val="00EA56ED"/>
    <w:rsid w:val="00EA60A3"/>
    <w:rsid w:val="00EA63A0"/>
    <w:rsid w:val="00EA6A6C"/>
    <w:rsid w:val="00EA6B57"/>
    <w:rsid w:val="00EB0AD6"/>
    <w:rsid w:val="00EB1527"/>
    <w:rsid w:val="00EB622F"/>
    <w:rsid w:val="00EB6551"/>
    <w:rsid w:val="00EB690D"/>
    <w:rsid w:val="00EC07C3"/>
    <w:rsid w:val="00EC1CCB"/>
    <w:rsid w:val="00EC277D"/>
    <w:rsid w:val="00EC36CB"/>
    <w:rsid w:val="00EC5D83"/>
    <w:rsid w:val="00EC5E0E"/>
    <w:rsid w:val="00ED0153"/>
    <w:rsid w:val="00ED4C14"/>
    <w:rsid w:val="00ED5088"/>
    <w:rsid w:val="00ED6570"/>
    <w:rsid w:val="00ED6D51"/>
    <w:rsid w:val="00EE1D97"/>
    <w:rsid w:val="00EE32C9"/>
    <w:rsid w:val="00EE4AD0"/>
    <w:rsid w:val="00EE6D56"/>
    <w:rsid w:val="00EF4CC1"/>
    <w:rsid w:val="00F00ADA"/>
    <w:rsid w:val="00F01EE3"/>
    <w:rsid w:val="00F024F7"/>
    <w:rsid w:val="00F05AB5"/>
    <w:rsid w:val="00F114B8"/>
    <w:rsid w:val="00F12D10"/>
    <w:rsid w:val="00F15D5D"/>
    <w:rsid w:val="00F2007C"/>
    <w:rsid w:val="00F21253"/>
    <w:rsid w:val="00F23872"/>
    <w:rsid w:val="00F24FBA"/>
    <w:rsid w:val="00F25284"/>
    <w:rsid w:val="00F2676A"/>
    <w:rsid w:val="00F27501"/>
    <w:rsid w:val="00F2776D"/>
    <w:rsid w:val="00F30E5E"/>
    <w:rsid w:val="00F30F95"/>
    <w:rsid w:val="00F321A8"/>
    <w:rsid w:val="00F32BE5"/>
    <w:rsid w:val="00F32FD4"/>
    <w:rsid w:val="00F33D1F"/>
    <w:rsid w:val="00F357CC"/>
    <w:rsid w:val="00F35822"/>
    <w:rsid w:val="00F35B60"/>
    <w:rsid w:val="00F37006"/>
    <w:rsid w:val="00F37142"/>
    <w:rsid w:val="00F3787F"/>
    <w:rsid w:val="00F4020F"/>
    <w:rsid w:val="00F413B1"/>
    <w:rsid w:val="00F42E0A"/>
    <w:rsid w:val="00F431F7"/>
    <w:rsid w:val="00F443F7"/>
    <w:rsid w:val="00F46022"/>
    <w:rsid w:val="00F51E70"/>
    <w:rsid w:val="00F5314F"/>
    <w:rsid w:val="00F5399A"/>
    <w:rsid w:val="00F539F1"/>
    <w:rsid w:val="00F5406B"/>
    <w:rsid w:val="00F55DEE"/>
    <w:rsid w:val="00F56E87"/>
    <w:rsid w:val="00F6006D"/>
    <w:rsid w:val="00F60864"/>
    <w:rsid w:val="00F63303"/>
    <w:rsid w:val="00F64C43"/>
    <w:rsid w:val="00F668DD"/>
    <w:rsid w:val="00F67618"/>
    <w:rsid w:val="00F701D1"/>
    <w:rsid w:val="00F714E6"/>
    <w:rsid w:val="00F71BFC"/>
    <w:rsid w:val="00F7244B"/>
    <w:rsid w:val="00F728DB"/>
    <w:rsid w:val="00F72E32"/>
    <w:rsid w:val="00F73504"/>
    <w:rsid w:val="00F73B44"/>
    <w:rsid w:val="00F75F8F"/>
    <w:rsid w:val="00F768A1"/>
    <w:rsid w:val="00F76AAA"/>
    <w:rsid w:val="00F76DA2"/>
    <w:rsid w:val="00F82B35"/>
    <w:rsid w:val="00F863C9"/>
    <w:rsid w:val="00F86F0E"/>
    <w:rsid w:val="00F90136"/>
    <w:rsid w:val="00F91197"/>
    <w:rsid w:val="00F9475A"/>
    <w:rsid w:val="00F9484D"/>
    <w:rsid w:val="00F9587B"/>
    <w:rsid w:val="00F95C7D"/>
    <w:rsid w:val="00F96106"/>
    <w:rsid w:val="00F97BD5"/>
    <w:rsid w:val="00FA06BC"/>
    <w:rsid w:val="00FA1AC9"/>
    <w:rsid w:val="00FA3B34"/>
    <w:rsid w:val="00FA5F01"/>
    <w:rsid w:val="00FA6D32"/>
    <w:rsid w:val="00FA7247"/>
    <w:rsid w:val="00FB0404"/>
    <w:rsid w:val="00FB1CF2"/>
    <w:rsid w:val="00FB2389"/>
    <w:rsid w:val="00FB314E"/>
    <w:rsid w:val="00FB32CC"/>
    <w:rsid w:val="00FB7CF9"/>
    <w:rsid w:val="00FC31E2"/>
    <w:rsid w:val="00FC35CD"/>
    <w:rsid w:val="00FC3BB9"/>
    <w:rsid w:val="00FC3E86"/>
    <w:rsid w:val="00FC481F"/>
    <w:rsid w:val="00FD1893"/>
    <w:rsid w:val="00FD2095"/>
    <w:rsid w:val="00FD226E"/>
    <w:rsid w:val="00FD3298"/>
    <w:rsid w:val="00FD4646"/>
    <w:rsid w:val="00FD4F62"/>
    <w:rsid w:val="00FD6126"/>
    <w:rsid w:val="00FD62AF"/>
    <w:rsid w:val="00FE0510"/>
    <w:rsid w:val="00FE1517"/>
    <w:rsid w:val="00FE16E8"/>
    <w:rsid w:val="00FE33C8"/>
    <w:rsid w:val="00FE50F6"/>
    <w:rsid w:val="00FE669F"/>
    <w:rsid w:val="00FE6C48"/>
    <w:rsid w:val="00FE6F50"/>
    <w:rsid w:val="00FE7D57"/>
    <w:rsid w:val="00FF0ED2"/>
    <w:rsid w:val="00FF1784"/>
    <w:rsid w:val="00FF19A9"/>
    <w:rsid w:val="00FF1D07"/>
    <w:rsid w:val="00FF3FB3"/>
    <w:rsid w:val="00FF5DDD"/>
    <w:rsid w:val="01883711"/>
    <w:rsid w:val="01BF5575"/>
    <w:rsid w:val="01BF6BDE"/>
    <w:rsid w:val="02ED7A87"/>
    <w:rsid w:val="059B27FA"/>
    <w:rsid w:val="05BE28B4"/>
    <w:rsid w:val="062736E9"/>
    <w:rsid w:val="07057667"/>
    <w:rsid w:val="07300E40"/>
    <w:rsid w:val="07421B37"/>
    <w:rsid w:val="07D57174"/>
    <w:rsid w:val="087F59DE"/>
    <w:rsid w:val="094B1E4C"/>
    <w:rsid w:val="0972111F"/>
    <w:rsid w:val="09C7065C"/>
    <w:rsid w:val="0AE7480F"/>
    <w:rsid w:val="0D5428DD"/>
    <w:rsid w:val="0DAE5ECB"/>
    <w:rsid w:val="0F73174D"/>
    <w:rsid w:val="0F9B28D5"/>
    <w:rsid w:val="0FC4218F"/>
    <w:rsid w:val="11F360C4"/>
    <w:rsid w:val="1212349F"/>
    <w:rsid w:val="12560063"/>
    <w:rsid w:val="12D93455"/>
    <w:rsid w:val="13323366"/>
    <w:rsid w:val="134D58A1"/>
    <w:rsid w:val="143B024A"/>
    <w:rsid w:val="14706BA3"/>
    <w:rsid w:val="14BB054B"/>
    <w:rsid w:val="15512979"/>
    <w:rsid w:val="15A87909"/>
    <w:rsid w:val="16140C23"/>
    <w:rsid w:val="164E75DF"/>
    <w:rsid w:val="16513899"/>
    <w:rsid w:val="1B0342CC"/>
    <w:rsid w:val="1B94061B"/>
    <w:rsid w:val="1BBE1FA1"/>
    <w:rsid w:val="1C530D2F"/>
    <w:rsid w:val="1CFA34AD"/>
    <w:rsid w:val="1DAC5D04"/>
    <w:rsid w:val="1ECE6F48"/>
    <w:rsid w:val="1EFD2C9B"/>
    <w:rsid w:val="1FC3383B"/>
    <w:rsid w:val="20207930"/>
    <w:rsid w:val="240E414C"/>
    <w:rsid w:val="246B3FF5"/>
    <w:rsid w:val="248A15BB"/>
    <w:rsid w:val="2769195B"/>
    <w:rsid w:val="276C15B7"/>
    <w:rsid w:val="29760F6A"/>
    <w:rsid w:val="29766E31"/>
    <w:rsid w:val="2BE80807"/>
    <w:rsid w:val="2BFA049D"/>
    <w:rsid w:val="2C1E2D81"/>
    <w:rsid w:val="2C2456E0"/>
    <w:rsid w:val="2CC8285C"/>
    <w:rsid w:val="2D3E0FDF"/>
    <w:rsid w:val="2EE34571"/>
    <w:rsid w:val="2FA86D99"/>
    <w:rsid w:val="302545A3"/>
    <w:rsid w:val="30947935"/>
    <w:rsid w:val="316B4522"/>
    <w:rsid w:val="31BD2FCF"/>
    <w:rsid w:val="32D95A79"/>
    <w:rsid w:val="33512F20"/>
    <w:rsid w:val="34790D04"/>
    <w:rsid w:val="348B0204"/>
    <w:rsid w:val="3491221E"/>
    <w:rsid w:val="34BD6E42"/>
    <w:rsid w:val="352B0250"/>
    <w:rsid w:val="364B6341"/>
    <w:rsid w:val="374F724D"/>
    <w:rsid w:val="39007D65"/>
    <w:rsid w:val="3A0C3ABA"/>
    <w:rsid w:val="3C410211"/>
    <w:rsid w:val="3D0E5DCE"/>
    <w:rsid w:val="3D4E7429"/>
    <w:rsid w:val="3DB96795"/>
    <w:rsid w:val="3F8B6FBD"/>
    <w:rsid w:val="408F68AE"/>
    <w:rsid w:val="4217359C"/>
    <w:rsid w:val="42667373"/>
    <w:rsid w:val="43C91A8C"/>
    <w:rsid w:val="440553F7"/>
    <w:rsid w:val="445F7962"/>
    <w:rsid w:val="44EB17AA"/>
    <w:rsid w:val="452C7941"/>
    <w:rsid w:val="45543173"/>
    <w:rsid w:val="45BD1944"/>
    <w:rsid w:val="45FE1CEB"/>
    <w:rsid w:val="46FF69B4"/>
    <w:rsid w:val="47541B0D"/>
    <w:rsid w:val="47E93EFB"/>
    <w:rsid w:val="47F72214"/>
    <w:rsid w:val="48AC5B47"/>
    <w:rsid w:val="4989333F"/>
    <w:rsid w:val="49D55BA7"/>
    <w:rsid w:val="4A4B082D"/>
    <w:rsid w:val="4AA422A2"/>
    <w:rsid w:val="4BAC736E"/>
    <w:rsid w:val="4BDB17F8"/>
    <w:rsid w:val="4C6875C8"/>
    <w:rsid w:val="4DBF1A26"/>
    <w:rsid w:val="4E74636C"/>
    <w:rsid w:val="4F3A7FA0"/>
    <w:rsid w:val="4F7E0B7F"/>
    <w:rsid w:val="4FAB400F"/>
    <w:rsid w:val="539D41D5"/>
    <w:rsid w:val="53DB0C3B"/>
    <w:rsid w:val="54304C8F"/>
    <w:rsid w:val="54830442"/>
    <w:rsid w:val="559F247E"/>
    <w:rsid w:val="55BE7727"/>
    <w:rsid w:val="55CF657E"/>
    <w:rsid w:val="55D90C0F"/>
    <w:rsid w:val="5671538F"/>
    <w:rsid w:val="56E258C6"/>
    <w:rsid w:val="573B036F"/>
    <w:rsid w:val="59EC51F7"/>
    <w:rsid w:val="5A0C7DA1"/>
    <w:rsid w:val="5B584CFB"/>
    <w:rsid w:val="5C003935"/>
    <w:rsid w:val="5CB00A09"/>
    <w:rsid w:val="5CF52097"/>
    <w:rsid w:val="5DEF19C0"/>
    <w:rsid w:val="5E227EB9"/>
    <w:rsid w:val="5E50105F"/>
    <w:rsid w:val="605815D1"/>
    <w:rsid w:val="60607018"/>
    <w:rsid w:val="60BB7E2A"/>
    <w:rsid w:val="610D6332"/>
    <w:rsid w:val="61F67F16"/>
    <w:rsid w:val="629A13A2"/>
    <w:rsid w:val="6306796F"/>
    <w:rsid w:val="63B56F4F"/>
    <w:rsid w:val="63C47FD6"/>
    <w:rsid w:val="640F6E0B"/>
    <w:rsid w:val="667B7DC4"/>
    <w:rsid w:val="66952FDC"/>
    <w:rsid w:val="676A313F"/>
    <w:rsid w:val="68A11B59"/>
    <w:rsid w:val="698A54EC"/>
    <w:rsid w:val="6B2653C7"/>
    <w:rsid w:val="6DB11CF3"/>
    <w:rsid w:val="6ECE7E24"/>
    <w:rsid w:val="6EE60768"/>
    <w:rsid w:val="6F5C0DC4"/>
    <w:rsid w:val="6F7033B7"/>
    <w:rsid w:val="6FC87985"/>
    <w:rsid w:val="709E7898"/>
    <w:rsid w:val="717300E1"/>
    <w:rsid w:val="723467DA"/>
    <w:rsid w:val="72822E9E"/>
    <w:rsid w:val="729B5D0E"/>
    <w:rsid w:val="73146CE2"/>
    <w:rsid w:val="761E5F24"/>
    <w:rsid w:val="77FE388F"/>
    <w:rsid w:val="78335939"/>
    <w:rsid w:val="7AD40D4D"/>
    <w:rsid w:val="7BDC3DA8"/>
    <w:rsid w:val="7BFA352B"/>
    <w:rsid w:val="7C4A3A22"/>
    <w:rsid w:val="7D6C638F"/>
    <w:rsid w:val="7EDE018F"/>
    <w:rsid w:val="7FEF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68"/>
    <w:qFormat/>
    <w:uiPriority w:val="9"/>
    <w:pPr>
      <w:spacing w:line="288" w:lineRule="auto"/>
      <w:jc w:val="both"/>
      <w:outlineLvl w:val="0"/>
    </w:pPr>
    <w:rPr>
      <w:rFonts w:ascii="宋体" w:hAnsi="宋体"/>
      <w:b/>
    </w:rPr>
  </w:style>
  <w:style w:type="paragraph" w:styleId="3">
    <w:name w:val="heading 2"/>
    <w:basedOn w:val="1"/>
    <w:next w:val="1"/>
    <w:link w:val="70"/>
    <w:unhideWhenUsed/>
    <w:qFormat/>
    <w:uiPriority w:val="9"/>
    <w:pPr>
      <w:spacing w:line="288" w:lineRule="auto"/>
      <w:jc w:val="both"/>
      <w:outlineLvl w:val="1"/>
    </w:pPr>
    <w:rPr>
      <w:rFonts w:ascii="宋体" w:hAnsi="宋体"/>
      <w:b/>
    </w:rPr>
  </w:style>
  <w:style w:type="paragraph" w:styleId="4">
    <w:name w:val="heading 3"/>
    <w:basedOn w:val="1"/>
    <w:next w:val="1"/>
    <w:link w:val="71"/>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72"/>
    <w:semiHidden/>
    <w:unhideWhenUsed/>
    <w:qFormat/>
    <w:uiPriority w:val="9"/>
    <w:pPr>
      <w:keepNext/>
      <w:spacing w:before="240" w:after="60"/>
      <w:outlineLvl w:val="3"/>
    </w:pPr>
    <w:rPr>
      <w:b/>
      <w:bCs/>
      <w:sz w:val="28"/>
      <w:szCs w:val="28"/>
    </w:rPr>
  </w:style>
  <w:style w:type="paragraph" w:styleId="6">
    <w:name w:val="heading 5"/>
    <w:basedOn w:val="1"/>
    <w:next w:val="1"/>
    <w:link w:val="73"/>
    <w:semiHidden/>
    <w:unhideWhenUsed/>
    <w:qFormat/>
    <w:uiPriority w:val="9"/>
    <w:pPr>
      <w:spacing w:before="240" w:after="60"/>
      <w:outlineLvl w:val="4"/>
    </w:pPr>
    <w:rPr>
      <w:b/>
      <w:bCs/>
      <w:i/>
      <w:iCs/>
      <w:sz w:val="26"/>
      <w:szCs w:val="26"/>
    </w:rPr>
  </w:style>
  <w:style w:type="paragraph" w:styleId="7">
    <w:name w:val="heading 6"/>
    <w:basedOn w:val="1"/>
    <w:next w:val="1"/>
    <w:link w:val="74"/>
    <w:semiHidden/>
    <w:unhideWhenUsed/>
    <w:qFormat/>
    <w:uiPriority w:val="9"/>
    <w:pPr>
      <w:spacing w:before="240" w:after="60"/>
      <w:outlineLvl w:val="5"/>
    </w:pPr>
    <w:rPr>
      <w:b/>
      <w:bCs/>
      <w:sz w:val="22"/>
      <w:szCs w:val="22"/>
    </w:rPr>
  </w:style>
  <w:style w:type="paragraph" w:styleId="8">
    <w:name w:val="heading 7"/>
    <w:basedOn w:val="1"/>
    <w:next w:val="1"/>
    <w:link w:val="75"/>
    <w:semiHidden/>
    <w:unhideWhenUsed/>
    <w:qFormat/>
    <w:uiPriority w:val="9"/>
    <w:pPr>
      <w:spacing w:before="240" w:after="60"/>
      <w:outlineLvl w:val="6"/>
    </w:pPr>
  </w:style>
  <w:style w:type="paragraph" w:styleId="9">
    <w:name w:val="heading 8"/>
    <w:basedOn w:val="1"/>
    <w:next w:val="1"/>
    <w:link w:val="76"/>
    <w:semiHidden/>
    <w:unhideWhenUsed/>
    <w:qFormat/>
    <w:uiPriority w:val="9"/>
    <w:pPr>
      <w:spacing w:before="240" w:after="60"/>
      <w:outlineLvl w:val="7"/>
    </w:pPr>
    <w:rPr>
      <w:i/>
      <w:iCs/>
    </w:rPr>
  </w:style>
  <w:style w:type="paragraph" w:styleId="10">
    <w:name w:val="heading 9"/>
    <w:basedOn w:val="1"/>
    <w:next w:val="1"/>
    <w:link w:val="77"/>
    <w:semiHidden/>
    <w:unhideWhenUsed/>
    <w:qFormat/>
    <w:uiPriority w:val="9"/>
    <w:pPr>
      <w:spacing w:before="240" w:after="60"/>
      <w:outlineLvl w:val="8"/>
    </w:pPr>
    <w:rPr>
      <w:rFonts w:asciiTheme="majorHAnsi" w:hAnsiTheme="majorHAnsi" w:eastAsiaTheme="majorEastAsia"/>
      <w:sz w:val="22"/>
      <w:szCs w:val="2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ind w:left="1440"/>
    </w:pPr>
    <w:rPr>
      <w:rFonts w:cstheme="minorHAnsi"/>
      <w:sz w:val="18"/>
      <w:szCs w:val="18"/>
    </w:rPr>
  </w:style>
  <w:style w:type="paragraph" w:styleId="12">
    <w:name w:val="caption"/>
    <w:basedOn w:val="1"/>
    <w:next w:val="1"/>
    <w:semiHidden/>
    <w:unhideWhenUsed/>
    <w:qFormat/>
    <w:uiPriority w:val="35"/>
    <w:rPr>
      <w:b/>
      <w:bCs/>
      <w:color w:val="2E75B6" w:themeColor="accent1" w:themeShade="BF"/>
      <w:sz w:val="16"/>
      <w:szCs w:val="16"/>
    </w:rPr>
  </w:style>
  <w:style w:type="paragraph" w:styleId="13">
    <w:name w:val="annotation text"/>
    <w:basedOn w:val="1"/>
    <w:semiHidden/>
    <w:unhideWhenUsed/>
    <w:qFormat/>
    <w:uiPriority w:val="0"/>
  </w:style>
  <w:style w:type="paragraph" w:styleId="14">
    <w:name w:val="Body Text"/>
    <w:basedOn w:val="1"/>
    <w:link w:val="89"/>
    <w:qFormat/>
    <w:uiPriority w:val="1"/>
    <w:pPr>
      <w:autoSpaceDE w:val="0"/>
      <w:autoSpaceDN w:val="0"/>
    </w:pPr>
    <w:rPr>
      <w:rFonts w:ascii="宋体" w:hAnsi="宋体" w:eastAsia="宋体" w:cs="宋体"/>
      <w:lang w:eastAsia="en-US"/>
    </w:rPr>
  </w:style>
  <w:style w:type="paragraph" w:styleId="15">
    <w:name w:val="toc 5"/>
    <w:basedOn w:val="1"/>
    <w:next w:val="1"/>
    <w:autoRedefine/>
    <w:unhideWhenUsed/>
    <w:qFormat/>
    <w:uiPriority w:val="0"/>
    <w:pPr>
      <w:ind w:left="960"/>
    </w:pPr>
    <w:rPr>
      <w:rFonts w:cstheme="minorHAnsi"/>
      <w:sz w:val="18"/>
      <w:szCs w:val="18"/>
    </w:rPr>
  </w:style>
  <w:style w:type="paragraph" w:styleId="16">
    <w:name w:val="toc 3"/>
    <w:basedOn w:val="1"/>
    <w:next w:val="1"/>
    <w:autoRedefine/>
    <w:unhideWhenUsed/>
    <w:qFormat/>
    <w:uiPriority w:val="39"/>
    <w:pPr>
      <w:ind w:left="480"/>
    </w:pPr>
    <w:rPr>
      <w:rFonts w:cstheme="minorHAnsi"/>
      <w:i/>
      <w:iCs/>
      <w:sz w:val="20"/>
      <w:szCs w:val="20"/>
    </w:rPr>
  </w:style>
  <w:style w:type="paragraph" w:styleId="17">
    <w:name w:val="Plain Text"/>
    <w:basedOn w:val="1"/>
    <w:link w:val="65"/>
    <w:qFormat/>
    <w:uiPriority w:val="0"/>
    <w:rPr>
      <w:rFonts w:ascii="宋体" w:hAnsi="Courier New" w:cs="Courier New"/>
      <w:sz w:val="21"/>
      <w:szCs w:val="21"/>
    </w:rPr>
  </w:style>
  <w:style w:type="paragraph" w:styleId="18">
    <w:name w:val="toc 8"/>
    <w:basedOn w:val="1"/>
    <w:next w:val="1"/>
    <w:autoRedefine/>
    <w:unhideWhenUsed/>
    <w:qFormat/>
    <w:uiPriority w:val="0"/>
    <w:pPr>
      <w:ind w:left="1680"/>
    </w:pPr>
    <w:rPr>
      <w:rFonts w:cstheme="minorHAnsi"/>
      <w:sz w:val="18"/>
      <w:szCs w:val="18"/>
    </w:rPr>
  </w:style>
  <w:style w:type="paragraph" w:styleId="19">
    <w:name w:val="Date"/>
    <w:basedOn w:val="1"/>
    <w:next w:val="1"/>
    <w:qFormat/>
    <w:uiPriority w:val="0"/>
    <w:pPr>
      <w:overflowPunct w:val="0"/>
      <w:autoSpaceDE w:val="0"/>
      <w:autoSpaceDN w:val="0"/>
      <w:adjustRightInd w:val="0"/>
      <w:ind w:left="100" w:leftChars="2500"/>
      <w:textAlignment w:val="baseline"/>
    </w:pPr>
    <w:rPr>
      <w:rFonts w:ascii="仿宋体" w:eastAsia="仿宋体"/>
    </w:rPr>
  </w:style>
  <w:style w:type="paragraph" w:styleId="20">
    <w:name w:val="Balloon Text"/>
    <w:basedOn w:val="1"/>
    <w:link w:val="43"/>
    <w:qFormat/>
    <w:uiPriority w:val="0"/>
    <w:rPr>
      <w:sz w:val="18"/>
      <w:szCs w:val="18"/>
    </w:rPr>
  </w:style>
  <w:style w:type="paragraph" w:styleId="21">
    <w:name w:val="footer"/>
    <w:basedOn w:val="1"/>
    <w:link w:val="40"/>
    <w:qFormat/>
    <w:uiPriority w:val="99"/>
    <w:pPr>
      <w:tabs>
        <w:tab w:val="center" w:pos="4153"/>
        <w:tab w:val="right" w:pos="8306"/>
      </w:tabs>
      <w:snapToGrid w:val="0"/>
    </w:pPr>
    <w:rPr>
      <w:sz w:val="18"/>
      <w:szCs w:val="18"/>
    </w:rPr>
  </w:style>
  <w:style w:type="paragraph" w:styleId="22">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pPr>
    <w:rPr>
      <w:rFonts w:cstheme="minorHAnsi"/>
      <w:b/>
      <w:bCs/>
      <w:caps/>
      <w:sz w:val="20"/>
      <w:szCs w:val="20"/>
    </w:rPr>
  </w:style>
  <w:style w:type="paragraph" w:styleId="24">
    <w:name w:val="toc 4"/>
    <w:basedOn w:val="1"/>
    <w:next w:val="1"/>
    <w:autoRedefine/>
    <w:unhideWhenUsed/>
    <w:qFormat/>
    <w:uiPriority w:val="0"/>
    <w:pPr>
      <w:ind w:left="720"/>
    </w:pPr>
    <w:rPr>
      <w:rFonts w:cstheme="minorHAnsi"/>
      <w:sz w:val="18"/>
      <w:szCs w:val="18"/>
    </w:rPr>
  </w:style>
  <w:style w:type="paragraph" w:styleId="25">
    <w:name w:val="Subtitle"/>
    <w:basedOn w:val="1"/>
    <w:next w:val="1"/>
    <w:link w:val="78"/>
    <w:qFormat/>
    <w:uiPriority w:val="11"/>
    <w:pPr>
      <w:spacing w:after="60"/>
      <w:jc w:val="center"/>
      <w:outlineLvl w:val="1"/>
    </w:pPr>
    <w:rPr>
      <w:rFonts w:asciiTheme="majorHAnsi" w:hAnsiTheme="majorHAnsi" w:eastAsiaTheme="majorEastAsia"/>
    </w:rPr>
  </w:style>
  <w:style w:type="paragraph" w:styleId="26">
    <w:name w:val="toc 6"/>
    <w:basedOn w:val="1"/>
    <w:next w:val="1"/>
    <w:autoRedefine/>
    <w:unhideWhenUsed/>
    <w:qFormat/>
    <w:uiPriority w:val="0"/>
    <w:pPr>
      <w:ind w:left="1200"/>
    </w:pPr>
    <w:rPr>
      <w:rFonts w:cstheme="minorHAnsi"/>
      <w:sz w:val="18"/>
      <w:szCs w:val="18"/>
    </w:rPr>
  </w:style>
  <w:style w:type="paragraph" w:styleId="27">
    <w:name w:val="toc 2"/>
    <w:basedOn w:val="1"/>
    <w:next w:val="1"/>
    <w:autoRedefine/>
    <w:unhideWhenUsed/>
    <w:qFormat/>
    <w:uiPriority w:val="39"/>
    <w:pPr>
      <w:ind w:left="240"/>
    </w:pPr>
    <w:rPr>
      <w:rFonts w:cstheme="minorHAnsi"/>
      <w:smallCaps/>
      <w:sz w:val="20"/>
      <w:szCs w:val="20"/>
    </w:rPr>
  </w:style>
  <w:style w:type="paragraph" w:styleId="28">
    <w:name w:val="toc 9"/>
    <w:basedOn w:val="1"/>
    <w:next w:val="1"/>
    <w:autoRedefine/>
    <w:unhideWhenUsed/>
    <w:qFormat/>
    <w:uiPriority w:val="0"/>
    <w:pPr>
      <w:ind w:left="1920"/>
    </w:pPr>
    <w:rPr>
      <w:rFonts w:cstheme="minorHAnsi"/>
      <w:sz w:val="18"/>
      <w:szCs w:val="18"/>
    </w:rPr>
  </w:style>
  <w:style w:type="paragraph" w:styleId="29">
    <w:name w:val="Normal (Web)"/>
    <w:basedOn w:val="1"/>
    <w:qFormat/>
    <w:uiPriority w:val="0"/>
    <w:pPr>
      <w:spacing w:before="100" w:beforeAutospacing="1" w:after="100" w:afterAutospacing="1"/>
    </w:pPr>
    <w:rPr>
      <w:rFonts w:ascii="宋体" w:hAnsi="宋体" w:cs="宋体"/>
      <w:sz w:val="18"/>
      <w:szCs w:val="18"/>
    </w:rPr>
  </w:style>
  <w:style w:type="paragraph" w:styleId="30">
    <w:name w:val="Title"/>
    <w:basedOn w:val="1"/>
    <w:next w:val="1"/>
    <w:link w:val="42"/>
    <w:qFormat/>
    <w:uiPriority w:val="10"/>
    <w:pPr>
      <w:spacing w:before="240" w:after="60"/>
      <w:jc w:val="center"/>
      <w:outlineLvl w:val="0"/>
    </w:pPr>
    <w:rPr>
      <w:rFonts w:asciiTheme="majorHAnsi" w:hAnsiTheme="majorHAnsi" w:eastAsiaTheme="majorEastAsia" w:cstheme="majorBidi"/>
      <w:b/>
      <w:bCs/>
      <w:kern w:val="28"/>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Emphasis"/>
    <w:basedOn w:val="33"/>
    <w:qFormat/>
    <w:uiPriority w:val="20"/>
    <w:rPr>
      <w:rFonts w:asciiTheme="minorHAnsi" w:hAnsiTheme="minorHAnsi"/>
      <w:b/>
      <w:i/>
      <w:iCs/>
    </w:rPr>
  </w:style>
  <w:style w:type="character" w:styleId="36">
    <w:name w:val="Hyperlink"/>
    <w:basedOn w:val="33"/>
    <w:autoRedefine/>
    <w:unhideWhenUsed/>
    <w:qFormat/>
    <w:uiPriority w:val="99"/>
    <w:rPr>
      <w:color w:val="0000FF"/>
      <w:u w:val="single"/>
    </w:rPr>
  </w:style>
  <w:style w:type="paragraph" w:customStyle="1" w:styleId="37">
    <w:name w:val="Default"/>
    <w:link w:val="55"/>
    <w:qFormat/>
    <w:uiPriority w:val="0"/>
    <w:pPr>
      <w:widowControl w:val="0"/>
      <w:autoSpaceDE w:val="0"/>
      <w:autoSpaceDN w:val="0"/>
      <w:adjustRightInd w:val="0"/>
    </w:pPr>
    <w:rPr>
      <w:rFonts w:cs="Times New Roman" w:asciiTheme="minorHAnsi" w:hAnsiTheme="minorHAnsi" w:eastAsiaTheme="minorEastAsia"/>
      <w:color w:val="000000"/>
      <w:sz w:val="24"/>
      <w:szCs w:val="24"/>
      <w:lang w:val="en-US" w:eastAsia="zh-CN" w:bidi="ar-SA"/>
    </w:rPr>
  </w:style>
  <w:style w:type="paragraph" w:customStyle="1" w:styleId="38">
    <w:name w:val="CM9"/>
    <w:basedOn w:val="37"/>
    <w:next w:val="37"/>
    <w:autoRedefine/>
    <w:qFormat/>
    <w:uiPriority w:val="99"/>
    <w:pPr>
      <w:spacing w:after="68"/>
    </w:pPr>
    <w:rPr>
      <w:color w:val="auto"/>
    </w:rPr>
  </w:style>
  <w:style w:type="character" w:customStyle="1" w:styleId="39">
    <w:name w:val="页眉 Char"/>
    <w:basedOn w:val="33"/>
    <w:link w:val="22"/>
    <w:qFormat/>
    <w:uiPriority w:val="99"/>
    <w:rPr>
      <w:sz w:val="18"/>
      <w:szCs w:val="18"/>
      <w:lang w:eastAsia="en-US"/>
    </w:rPr>
  </w:style>
  <w:style w:type="character" w:customStyle="1" w:styleId="40">
    <w:name w:val="页脚 Char"/>
    <w:basedOn w:val="33"/>
    <w:link w:val="21"/>
    <w:qFormat/>
    <w:uiPriority w:val="99"/>
    <w:rPr>
      <w:sz w:val="18"/>
      <w:szCs w:val="18"/>
      <w:lang w:eastAsia="en-US"/>
    </w:rPr>
  </w:style>
  <w:style w:type="paragraph" w:customStyle="1" w:styleId="41">
    <w:name w:val="TOC 标题1"/>
    <w:basedOn w:val="2"/>
    <w:next w:val="1"/>
    <w:autoRedefine/>
    <w:qFormat/>
    <w:uiPriority w:val="39"/>
    <w:pPr>
      <w:keepLines/>
      <w:spacing w:before="480" w:line="276" w:lineRule="auto"/>
      <w:outlineLvl w:val="9"/>
    </w:pPr>
    <w:rPr>
      <w:rFonts w:ascii="Cambria" w:hAnsi="Cambria"/>
      <w:bCs/>
      <w:color w:val="365F91"/>
      <w:szCs w:val="28"/>
    </w:rPr>
  </w:style>
  <w:style w:type="character" w:customStyle="1" w:styleId="42">
    <w:name w:val="标题 Char"/>
    <w:basedOn w:val="33"/>
    <w:link w:val="30"/>
    <w:qFormat/>
    <w:uiPriority w:val="10"/>
    <w:rPr>
      <w:rFonts w:asciiTheme="majorHAnsi" w:hAnsiTheme="majorHAnsi" w:eastAsiaTheme="majorEastAsia" w:cstheme="majorBidi"/>
      <w:b/>
      <w:bCs/>
      <w:kern w:val="28"/>
      <w:sz w:val="32"/>
      <w:szCs w:val="32"/>
    </w:rPr>
  </w:style>
  <w:style w:type="character" w:customStyle="1" w:styleId="43">
    <w:name w:val="批注框文本 Char"/>
    <w:basedOn w:val="33"/>
    <w:link w:val="20"/>
    <w:qFormat/>
    <w:uiPriority w:val="0"/>
    <w:rPr>
      <w:sz w:val="18"/>
      <w:szCs w:val="18"/>
      <w:lang w:eastAsia="en-US"/>
    </w:rPr>
  </w:style>
  <w:style w:type="paragraph" w:customStyle="1" w:styleId="44">
    <w:name w:val="默认段落字体 Para Char Char Char Char Char Char Char"/>
    <w:basedOn w:val="1"/>
    <w:autoRedefine/>
    <w:qFormat/>
    <w:uiPriority w:val="0"/>
    <w:pPr>
      <w:widowControl w:val="0"/>
      <w:jc w:val="both"/>
    </w:pPr>
    <w:rPr>
      <w:rFonts w:ascii="Tahoma" w:hAnsi="Tahoma" w:cs="Tahoma"/>
      <w:kern w:val="2"/>
    </w:rPr>
  </w:style>
  <w:style w:type="paragraph" w:customStyle="1" w:styleId="45">
    <w:name w:val="Char Char1 Char Char Char"/>
    <w:basedOn w:val="1"/>
    <w:qFormat/>
    <w:uiPriority w:val="0"/>
    <w:pPr>
      <w:spacing w:after="160" w:line="240" w:lineRule="exact"/>
    </w:pPr>
    <w:rPr>
      <w:rFonts w:ascii="Verdana" w:hAnsi="Verdana"/>
    </w:rPr>
  </w:style>
  <w:style w:type="paragraph" w:customStyle="1" w:styleId="46">
    <w:name w:val="Char Char"/>
    <w:basedOn w:val="1"/>
    <w:qFormat/>
    <w:uiPriority w:val="0"/>
    <w:pPr>
      <w:spacing w:after="160" w:line="240" w:lineRule="exact"/>
    </w:pPr>
    <w:rPr>
      <w:kern w:val="2"/>
      <w:sz w:val="21"/>
    </w:rPr>
  </w:style>
  <w:style w:type="paragraph" w:customStyle="1" w:styleId="47">
    <w:name w:val="样式3"/>
    <w:basedOn w:val="17"/>
    <w:autoRedefine/>
    <w:qFormat/>
    <w:uiPriority w:val="0"/>
    <w:pPr>
      <w:widowControl w:val="0"/>
      <w:spacing w:line="0" w:lineRule="atLeast"/>
      <w:jc w:val="both"/>
      <w:outlineLvl w:val="0"/>
    </w:pPr>
    <w:rPr>
      <w:rFonts w:cs="Times New Roman"/>
      <w:kern w:val="2"/>
      <w:sz w:val="28"/>
      <w:szCs w:val="20"/>
    </w:rPr>
  </w:style>
  <w:style w:type="paragraph" w:customStyle="1" w:styleId="48">
    <w:name w:val="CM1"/>
    <w:basedOn w:val="37"/>
    <w:next w:val="37"/>
    <w:qFormat/>
    <w:uiPriority w:val="99"/>
    <w:rPr>
      <w:rFonts w:ascii="Arial" w:hAnsi="Arial"/>
      <w:color w:val="auto"/>
    </w:rPr>
  </w:style>
  <w:style w:type="paragraph" w:customStyle="1" w:styleId="49">
    <w:name w:val="CM11"/>
    <w:basedOn w:val="37"/>
    <w:next w:val="37"/>
    <w:qFormat/>
    <w:uiPriority w:val="99"/>
    <w:pPr>
      <w:spacing w:after="488"/>
    </w:pPr>
    <w:rPr>
      <w:rFonts w:ascii="Arial" w:hAnsi="Arial"/>
      <w:color w:val="auto"/>
    </w:rPr>
  </w:style>
  <w:style w:type="paragraph" w:customStyle="1" w:styleId="50">
    <w:name w:val="CM2"/>
    <w:basedOn w:val="37"/>
    <w:next w:val="37"/>
    <w:autoRedefine/>
    <w:qFormat/>
    <w:uiPriority w:val="99"/>
    <w:pPr>
      <w:spacing w:line="263" w:lineRule="atLeast"/>
    </w:pPr>
    <w:rPr>
      <w:rFonts w:ascii="Arial" w:hAnsi="Arial"/>
      <w:color w:val="auto"/>
    </w:rPr>
  </w:style>
  <w:style w:type="paragraph" w:customStyle="1" w:styleId="51">
    <w:name w:val="CM12"/>
    <w:basedOn w:val="37"/>
    <w:next w:val="37"/>
    <w:qFormat/>
    <w:uiPriority w:val="99"/>
    <w:pPr>
      <w:spacing w:after="240"/>
    </w:pPr>
    <w:rPr>
      <w:rFonts w:ascii="Arial" w:hAnsi="Arial"/>
      <w:color w:val="auto"/>
    </w:rPr>
  </w:style>
  <w:style w:type="paragraph" w:customStyle="1" w:styleId="52">
    <w:name w:val="CM6"/>
    <w:basedOn w:val="37"/>
    <w:next w:val="37"/>
    <w:qFormat/>
    <w:uiPriority w:val="99"/>
    <w:rPr>
      <w:rFonts w:ascii="Arial" w:hAnsi="Arial"/>
      <w:color w:val="auto"/>
    </w:rPr>
  </w:style>
  <w:style w:type="paragraph" w:customStyle="1" w:styleId="53">
    <w:name w:val="CM10"/>
    <w:basedOn w:val="37"/>
    <w:next w:val="37"/>
    <w:autoRedefine/>
    <w:qFormat/>
    <w:uiPriority w:val="99"/>
    <w:pPr>
      <w:spacing w:line="258" w:lineRule="atLeast"/>
    </w:pPr>
    <w:rPr>
      <w:rFonts w:ascii="Arial" w:hAnsi="Arial"/>
      <w:color w:val="auto"/>
    </w:rPr>
  </w:style>
  <w:style w:type="paragraph" w:customStyle="1" w:styleId="54">
    <w:name w:val="Char"/>
    <w:basedOn w:val="1"/>
    <w:qFormat/>
    <w:uiPriority w:val="0"/>
    <w:pPr>
      <w:spacing w:after="160" w:line="240" w:lineRule="exact"/>
    </w:pPr>
    <w:rPr>
      <w:rFonts w:ascii="Verdana" w:hAnsi="Verdana"/>
    </w:rPr>
  </w:style>
  <w:style w:type="character" w:customStyle="1" w:styleId="55">
    <w:name w:val="Default Char"/>
    <w:link w:val="37"/>
    <w:qFormat/>
    <w:uiPriority w:val="0"/>
    <w:rPr>
      <w:color w:val="000000"/>
      <w:sz w:val="24"/>
      <w:szCs w:val="24"/>
      <w:lang w:bidi="ar-SA"/>
    </w:rPr>
  </w:style>
  <w:style w:type="paragraph" w:styleId="56">
    <w:name w:val="List Paragraph"/>
    <w:basedOn w:val="1"/>
    <w:qFormat/>
    <w:uiPriority w:val="34"/>
    <w:pPr>
      <w:ind w:left="720"/>
      <w:contextualSpacing/>
    </w:pPr>
  </w:style>
  <w:style w:type="paragraph" w:customStyle="1" w:styleId="57">
    <w:name w:val="orange bullets"/>
    <w:basedOn w:val="56"/>
    <w:qFormat/>
    <w:uiPriority w:val="0"/>
    <w:pPr>
      <w:numPr>
        <w:ilvl w:val="0"/>
        <w:numId w:val="1"/>
      </w:numPr>
      <w:tabs>
        <w:tab w:val="left" w:pos="360"/>
        <w:tab w:val="left" w:pos="425"/>
        <w:tab w:val="clear" w:pos="340"/>
      </w:tabs>
      <w:spacing w:line="240" w:lineRule="exact"/>
      <w:ind w:left="0" w:firstLine="0"/>
    </w:pPr>
    <w:rPr>
      <w:rFonts w:ascii="Arial" w:hAnsi="Arial"/>
      <w:iCs/>
      <w:sz w:val="18"/>
      <w:szCs w:val="18"/>
      <w:lang w:val="en-GB"/>
    </w:rPr>
  </w:style>
  <w:style w:type="paragraph" w:customStyle="1" w:styleId="58">
    <w:name w:val="Tabelle"/>
    <w:basedOn w:val="1"/>
    <w:qFormat/>
    <w:uiPriority w:val="0"/>
    <w:pPr>
      <w:spacing w:before="40" w:after="40"/>
    </w:pPr>
    <w:rPr>
      <w:rFonts w:ascii="Arial" w:hAnsi="Arial"/>
      <w:lang w:eastAsia="de-DE"/>
    </w:rPr>
  </w:style>
  <w:style w:type="paragraph" w:customStyle="1" w:styleId="59">
    <w:name w:val="CM21"/>
    <w:basedOn w:val="37"/>
    <w:next w:val="37"/>
    <w:qFormat/>
    <w:uiPriority w:val="0"/>
    <w:pPr>
      <w:spacing w:line="360" w:lineRule="atLeast"/>
    </w:pPr>
    <w:rPr>
      <w:rFonts w:ascii="黑体" w:eastAsia="黑体"/>
      <w:color w:val="auto"/>
    </w:rPr>
  </w:style>
  <w:style w:type="paragraph" w:customStyle="1" w:styleId="60">
    <w:name w:val="Char Char Char Char Char Char"/>
    <w:basedOn w:val="1"/>
    <w:qFormat/>
    <w:uiPriority w:val="0"/>
    <w:pPr>
      <w:spacing w:after="160" w:line="240" w:lineRule="exact"/>
    </w:pPr>
    <w:rPr>
      <w:rFonts w:ascii="Verdana" w:hAnsi="Verdana" w:eastAsia="楷体"/>
    </w:rPr>
  </w:style>
  <w:style w:type="paragraph" w:customStyle="1" w:styleId="61">
    <w:name w:val="Char Char Char Char Char Char1"/>
    <w:basedOn w:val="1"/>
    <w:qFormat/>
    <w:uiPriority w:val="0"/>
    <w:pPr>
      <w:spacing w:after="160" w:line="240" w:lineRule="exact"/>
    </w:pPr>
    <w:rPr>
      <w:rFonts w:ascii="Verdana" w:hAnsi="Verdana" w:eastAsia="楷体"/>
    </w:rPr>
  </w:style>
  <w:style w:type="character" w:customStyle="1" w:styleId="62">
    <w:name w:val="apple-converted-space"/>
    <w:basedOn w:val="33"/>
    <w:qFormat/>
    <w:uiPriority w:val="0"/>
  </w:style>
  <w:style w:type="paragraph" w:customStyle="1" w:styleId="63">
    <w:name w:val="Char Char Char Char Char Char2"/>
    <w:basedOn w:val="1"/>
    <w:qFormat/>
    <w:uiPriority w:val="0"/>
    <w:pPr>
      <w:spacing w:after="160" w:line="240" w:lineRule="exact"/>
    </w:pPr>
    <w:rPr>
      <w:rFonts w:ascii="Verdana" w:hAnsi="Verdana" w:eastAsia="楷体"/>
    </w:rPr>
  </w:style>
  <w:style w:type="paragraph" w:customStyle="1" w:styleId="64">
    <w:name w:val="Char Char Char Char Char Char3"/>
    <w:basedOn w:val="1"/>
    <w:qFormat/>
    <w:uiPriority w:val="0"/>
    <w:pPr>
      <w:spacing w:after="160" w:line="240" w:lineRule="exact"/>
    </w:pPr>
    <w:rPr>
      <w:rFonts w:ascii="Verdana" w:hAnsi="Verdana" w:eastAsia="楷体"/>
    </w:rPr>
  </w:style>
  <w:style w:type="character" w:customStyle="1" w:styleId="65">
    <w:name w:val="纯文本 Char"/>
    <w:basedOn w:val="33"/>
    <w:link w:val="17"/>
    <w:qFormat/>
    <w:uiPriority w:val="0"/>
    <w:rPr>
      <w:rFonts w:ascii="宋体" w:hAnsi="Courier New" w:cs="Courier New"/>
      <w:sz w:val="21"/>
      <w:szCs w:val="21"/>
      <w:lang w:eastAsia="en-US"/>
    </w:rPr>
  </w:style>
  <w:style w:type="paragraph" w:customStyle="1" w:styleId="66">
    <w:name w:val="列出段落1"/>
    <w:basedOn w:val="1"/>
    <w:qFormat/>
    <w:uiPriority w:val="34"/>
    <w:pPr>
      <w:widowControl w:val="0"/>
      <w:ind w:firstLine="420" w:firstLineChars="200"/>
      <w:jc w:val="both"/>
    </w:pPr>
    <w:rPr>
      <w:rFonts w:cstheme="minorBidi"/>
      <w:kern w:val="2"/>
      <w:sz w:val="21"/>
      <w:szCs w:val="22"/>
    </w:rPr>
  </w:style>
  <w:style w:type="table" w:customStyle="1" w:styleId="67">
    <w:name w:val="Table Normal"/>
    <w:semiHidden/>
    <w:unhideWhenUsed/>
    <w:qFormat/>
    <w:uiPriority w:val="0"/>
    <w:rPr>
      <w:rFonts w:cstheme="minorBidi"/>
    </w:rPr>
    <w:tblPr>
      <w:tblCellMar>
        <w:top w:w="0" w:type="dxa"/>
        <w:left w:w="0" w:type="dxa"/>
        <w:bottom w:w="0" w:type="dxa"/>
        <w:right w:w="0" w:type="dxa"/>
      </w:tblCellMar>
    </w:tblPr>
  </w:style>
  <w:style w:type="character" w:customStyle="1" w:styleId="68">
    <w:name w:val="标题 1 Char"/>
    <w:basedOn w:val="33"/>
    <w:link w:val="2"/>
    <w:qFormat/>
    <w:uiPriority w:val="9"/>
    <w:rPr>
      <w:rFonts w:ascii="宋体" w:hAnsi="宋体"/>
      <w:b/>
      <w:sz w:val="24"/>
      <w:szCs w:val="24"/>
    </w:rPr>
  </w:style>
  <w:style w:type="paragraph" w:customStyle="1" w:styleId="69">
    <w:name w:val="TOC 标题2"/>
    <w:basedOn w:val="2"/>
    <w:next w:val="1"/>
    <w:unhideWhenUsed/>
    <w:qFormat/>
    <w:uiPriority w:val="39"/>
    <w:pPr>
      <w:outlineLvl w:val="9"/>
    </w:pPr>
  </w:style>
  <w:style w:type="character" w:customStyle="1" w:styleId="70">
    <w:name w:val="标题 2 Char"/>
    <w:basedOn w:val="33"/>
    <w:link w:val="3"/>
    <w:qFormat/>
    <w:uiPriority w:val="9"/>
    <w:rPr>
      <w:rFonts w:ascii="宋体" w:hAnsi="宋体"/>
      <w:b/>
      <w:sz w:val="24"/>
      <w:szCs w:val="24"/>
    </w:rPr>
  </w:style>
  <w:style w:type="character" w:customStyle="1" w:styleId="71">
    <w:name w:val="标题 3 Char"/>
    <w:basedOn w:val="33"/>
    <w:link w:val="4"/>
    <w:qFormat/>
    <w:uiPriority w:val="9"/>
    <w:rPr>
      <w:rFonts w:asciiTheme="majorHAnsi" w:hAnsiTheme="majorHAnsi" w:eastAsiaTheme="majorEastAsia"/>
      <w:b/>
      <w:bCs/>
      <w:sz w:val="26"/>
      <w:szCs w:val="26"/>
    </w:rPr>
  </w:style>
  <w:style w:type="character" w:customStyle="1" w:styleId="72">
    <w:name w:val="标题 4 Char"/>
    <w:basedOn w:val="33"/>
    <w:link w:val="5"/>
    <w:semiHidden/>
    <w:qFormat/>
    <w:uiPriority w:val="9"/>
    <w:rPr>
      <w:b/>
      <w:bCs/>
      <w:sz w:val="28"/>
      <w:szCs w:val="28"/>
    </w:rPr>
  </w:style>
  <w:style w:type="character" w:customStyle="1" w:styleId="73">
    <w:name w:val="标题 5 Char"/>
    <w:basedOn w:val="33"/>
    <w:link w:val="6"/>
    <w:semiHidden/>
    <w:qFormat/>
    <w:uiPriority w:val="9"/>
    <w:rPr>
      <w:b/>
      <w:bCs/>
      <w:i/>
      <w:iCs/>
      <w:sz w:val="26"/>
      <w:szCs w:val="26"/>
    </w:rPr>
  </w:style>
  <w:style w:type="character" w:customStyle="1" w:styleId="74">
    <w:name w:val="标题 6 Char"/>
    <w:basedOn w:val="33"/>
    <w:link w:val="7"/>
    <w:semiHidden/>
    <w:qFormat/>
    <w:uiPriority w:val="9"/>
    <w:rPr>
      <w:b/>
      <w:bCs/>
    </w:rPr>
  </w:style>
  <w:style w:type="character" w:customStyle="1" w:styleId="75">
    <w:name w:val="标题 7 Char"/>
    <w:basedOn w:val="33"/>
    <w:link w:val="8"/>
    <w:semiHidden/>
    <w:qFormat/>
    <w:uiPriority w:val="9"/>
    <w:rPr>
      <w:sz w:val="24"/>
      <w:szCs w:val="24"/>
    </w:rPr>
  </w:style>
  <w:style w:type="character" w:customStyle="1" w:styleId="76">
    <w:name w:val="标题 8 Char"/>
    <w:basedOn w:val="33"/>
    <w:link w:val="9"/>
    <w:semiHidden/>
    <w:qFormat/>
    <w:uiPriority w:val="9"/>
    <w:rPr>
      <w:i/>
      <w:iCs/>
      <w:sz w:val="24"/>
      <w:szCs w:val="24"/>
    </w:rPr>
  </w:style>
  <w:style w:type="character" w:customStyle="1" w:styleId="77">
    <w:name w:val="标题 9 Char"/>
    <w:basedOn w:val="33"/>
    <w:link w:val="10"/>
    <w:semiHidden/>
    <w:qFormat/>
    <w:uiPriority w:val="9"/>
    <w:rPr>
      <w:rFonts w:asciiTheme="majorHAnsi" w:hAnsiTheme="majorHAnsi" w:eastAsiaTheme="majorEastAsia"/>
    </w:rPr>
  </w:style>
  <w:style w:type="character" w:customStyle="1" w:styleId="78">
    <w:name w:val="副标题 Char"/>
    <w:basedOn w:val="33"/>
    <w:link w:val="25"/>
    <w:qFormat/>
    <w:uiPriority w:val="11"/>
    <w:rPr>
      <w:rFonts w:asciiTheme="majorHAnsi" w:hAnsiTheme="majorHAnsi" w:eastAsiaTheme="majorEastAsia"/>
      <w:sz w:val="24"/>
      <w:szCs w:val="24"/>
    </w:rPr>
  </w:style>
  <w:style w:type="paragraph" w:styleId="79">
    <w:name w:val="No Spacing"/>
    <w:basedOn w:val="1"/>
    <w:qFormat/>
    <w:uiPriority w:val="1"/>
    <w:rPr>
      <w:szCs w:val="32"/>
    </w:rPr>
  </w:style>
  <w:style w:type="paragraph" w:styleId="80">
    <w:name w:val="Quote"/>
    <w:basedOn w:val="1"/>
    <w:next w:val="1"/>
    <w:link w:val="81"/>
    <w:qFormat/>
    <w:uiPriority w:val="29"/>
    <w:rPr>
      <w:i/>
    </w:rPr>
  </w:style>
  <w:style w:type="character" w:customStyle="1" w:styleId="81">
    <w:name w:val="引用 Char"/>
    <w:basedOn w:val="33"/>
    <w:link w:val="80"/>
    <w:qFormat/>
    <w:uiPriority w:val="29"/>
    <w:rPr>
      <w:i/>
      <w:sz w:val="24"/>
      <w:szCs w:val="24"/>
    </w:rPr>
  </w:style>
  <w:style w:type="paragraph" w:styleId="82">
    <w:name w:val="Intense Quote"/>
    <w:basedOn w:val="1"/>
    <w:next w:val="1"/>
    <w:link w:val="83"/>
    <w:qFormat/>
    <w:uiPriority w:val="30"/>
    <w:pPr>
      <w:ind w:left="720" w:right="720"/>
    </w:pPr>
    <w:rPr>
      <w:b/>
      <w:i/>
      <w:szCs w:val="22"/>
    </w:rPr>
  </w:style>
  <w:style w:type="character" w:customStyle="1" w:styleId="83">
    <w:name w:val="明显引用 Char"/>
    <w:basedOn w:val="33"/>
    <w:link w:val="82"/>
    <w:qFormat/>
    <w:uiPriority w:val="30"/>
    <w:rPr>
      <w:b/>
      <w:i/>
      <w:sz w:val="24"/>
    </w:rPr>
  </w:style>
  <w:style w:type="character" w:customStyle="1" w:styleId="8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5">
    <w:name w:val="明显强调1"/>
    <w:basedOn w:val="33"/>
    <w:qFormat/>
    <w:uiPriority w:val="21"/>
    <w:rPr>
      <w:b/>
      <w:i/>
      <w:sz w:val="24"/>
      <w:szCs w:val="24"/>
      <w:u w:val="single"/>
    </w:rPr>
  </w:style>
  <w:style w:type="character" w:customStyle="1" w:styleId="86">
    <w:name w:val="不明显参考1"/>
    <w:basedOn w:val="33"/>
    <w:qFormat/>
    <w:uiPriority w:val="31"/>
    <w:rPr>
      <w:sz w:val="24"/>
      <w:szCs w:val="24"/>
      <w:u w:val="single"/>
    </w:rPr>
  </w:style>
  <w:style w:type="character" w:customStyle="1" w:styleId="87">
    <w:name w:val="明显参考1"/>
    <w:basedOn w:val="33"/>
    <w:qFormat/>
    <w:uiPriority w:val="32"/>
    <w:rPr>
      <w:b/>
      <w:sz w:val="24"/>
      <w:u w:val="single"/>
    </w:rPr>
  </w:style>
  <w:style w:type="character" w:customStyle="1" w:styleId="88">
    <w:name w:val="书籍标题1"/>
    <w:basedOn w:val="33"/>
    <w:qFormat/>
    <w:uiPriority w:val="33"/>
    <w:rPr>
      <w:rFonts w:asciiTheme="majorHAnsi" w:hAnsiTheme="majorHAnsi" w:eastAsiaTheme="majorEastAsia"/>
      <w:b/>
      <w:i/>
      <w:sz w:val="24"/>
      <w:szCs w:val="24"/>
    </w:rPr>
  </w:style>
  <w:style w:type="character" w:customStyle="1" w:styleId="89">
    <w:name w:val="正文文本 Char"/>
    <w:basedOn w:val="33"/>
    <w:link w:val="14"/>
    <w:qFormat/>
    <w:uiPriority w:val="1"/>
    <w:rPr>
      <w:rFonts w:ascii="宋体" w:hAnsi="宋体" w:eastAsia="宋体" w:cs="宋体"/>
      <w:sz w:val="24"/>
      <w:szCs w:val="24"/>
      <w:lang w:eastAsia="en-US"/>
    </w:rPr>
  </w:style>
  <w:style w:type="paragraph" w:customStyle="1" w:styleId="90">
    <w:name w:val="Revision"/>
    <w:hidden/>
    <w:semiHidden/>
    <w:qFormat/>
    <w:uiPriority w:val="99"/>
    <w:rPr>
      <w:rFonts w:cs="Times New Roman" w:asciiTheme="minorHAnsi" w:hAnsiTheme="minorHAnsi"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emf"/><Relationship Id="rId12" Type="http://schemas.openxmlformats.org/officeDocument/2006/relationships/package" Target="embeddings/Document1.docx"/><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04884-1822-4616-A589-BECA00EDFEE5}">
  <ds:schemaRefs/>
</ds:datastoreItem>
</file>

<file path=docProps/app.xml><?xml version="1.0" encoding="utf-8"?>
<Properties xmlns="http://schemas.openxmlformats.org/officeDocument/2006/extended-properties" xmlns:vt="http://schemas.openxmlformats.org/officeDocument/2006/docPropsVTypes">
  <Template>Normal</Template>
  <Company>BeckmanCoulter</Company>
  <Pages>27</Pages>
  <Words>12371</Words>
  <Characters>14538</Characters>
  <Lines>211</Lines>
  <Paragraphs>59</Paragraphs>
  <TotalTime>18</TotalTime>
  <ScaleCrop>false</ScaleCrop>
  <LinksUpToDate>false</LinksUpToDate>
  <CharactersWithSpaces>14904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2025-01-21T06:20:00Z</dcterms:created>
  <dc:creator>slzheng</dc:creator>
  <cp:lastModifiedBy>严素月</cp:lastModifiedBy>
  <cp:lastPrinted>2011-04-20T07:10:00Z</cp:lastPrinted>
  <dcterms:modified xsi:type="dcterms:W3CDTF">2026-01-12T01:06:46Z</dcterms:modified>
  <dc:title>技术协议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E1B0D4FED94B488CA3910BAC5B7BABE3_13</vt:lpwstr>
  </property>
  <property fmtid="{D5CDD505-2E9C-101B-9397-08002B2CF9AE}" pid="4" name="KSOTemplateDocerSaveRecord">
    <vt:lpwstr>eyJoZGlkIjoiYTE3NGVlYTJkNDJhMmMxMzQ1NGQyZDcyYzRkYjA5ZWEiLCJ1c2VySWQiOiIxNTY4NzkyODY1In0=</vt:lpwstr>
  </property>
</Properties>
</file>