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7C92">
      <w:pPr>
        <w:pStyle w:val="2"/>
        <w:jc w:val="center"/>
      </w:pPr>
      <w:r>
        <w:t>沸腾泵密封油供应方案流程发包说明</w:t>
      </w:r>
    </w:p>
    <w:p w14:paraId="4503B9DC">
      <w:pPr>
        <w:pStyle w:val="3"/>
      </w:pPr>
      <w:r>
        <w:t>一、项目概况</w:t>
      </w:r>
    </w:p>
    <w:p w14:paraId="6EA4CC84">
      <w:pPr>
        <w:pStyle w:val="20"/>
        <w:rPr>
          <w:rFonts w:hint="eastAsia" w:eastAsia="等线"/>
          <w:lang w:val="en-US" w:eastAsia="zh-CN"/>
        </w:rPr>
      </w:pPr>
      <w:r>
        <w:t>本项目为福建福海创石油化工有限公司沸腾泵</w:t>
      </w:r>
      <w:r>
        <w:rPr>
          <w:color w:val="auto"/>
        </w:rPr>
        <w:t>密封油供应方案流程设计项目。旨在通过在燃料油罐区新增泵 64-P-109/110，并相应增加管道</w:t>
      </w:r>
      <w:r>
        <w:rPr>
          <w:rFonts w:hint="eastAsia"/>
          <w:color w:val="auto"/>
          <w:lang w:eastAsia="zh-CN"/>
        </w:rPr>
        <w:t>、</w:t>
      </w:r>
      <w:r>
        <w:rPr>
          <w:color w:val="auto"/>
        </w:rPr>
        <w:t>配套增加测量仪表和仪表阀门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将罐区内密封油（蜡油）输送至沸腾床加氢装置，满足生产需求 。</w:t>
      </w:r>
    </w:p>
    <w:p w14:paraId="59DB63A6">
      <w:pPr>
        <w:pStyle w:val="3"/>
      </w:pPr>
      <w:r>
        <w:t>二、施工依据</w:t>
      </w:r>
    </w:p>
    <w:p w14:paraId="4EDB9EAD">
      <w:pPr>
        <w:pStyle w:val="20"/>
        <w:numPr>
          <w:ilvl w:val="0"/>
          <w:numId w:val="1"/>
        </w:numPr>
      </w:pPr>
      <w:r>
        <w:t>业主确定的基础设计方案资料。</w:t>
      </w:r>
    </w:p>
    <w:p w14:paraId="7FE33988">
      <w:pPr>
        <w:pStyle w:val="20"/>
        <w:numPr>
          <w:ilvl w:val="0"/>
          <w:numId w:val="1"/>
        </w:numPr>
      </w:pPr>
      <w:r>
        <w:t>福建福海创石油化工有限公司提供的现有区管道特性表、材料等级表、管道布置图、流程等原设计资料。</w:t>
      </w:r>
    </w:p>
    <w:p w14:paraId="5EFD4EA3">
      <w:pPr>
        <w:pStyle w:val="20"/>
        <w:numPr>
          <w:ilvl w:val="0"/>
          <w:numId w:val="1"/>
        </w:numPr>
      </w:pPr>
      <w:r>
        <w:t>业主提出的相关生产功能要求。</w:t>
      </w:r>
    </w:p>
    <w:p w14:paraId="6C79999C">
      <w:pPr>
        <w:pStyle w:val="20"/>
        <w:numPr>
          <w:ilvl w:val="0"/>
          <w:numId w:val="1"/>
        </w:numPr>
      </w:pPr>
      <w:r>
        <w:t>一系列国家及行业标准规范，包括但不限于《压力管道安全技术监察规程 - 工业管道》TSG D0001 - 2009、《压力管道规范工业管道》GB/T 20801.1 - 6 - 2020 等。</w:t>
      </w:r>
    </w:p>
    <w:p w14:paraId="7507D13E">
      <w:pPr>
        <w:pStyle w:val="3"/>
      </w:pPr>
      <w:r>
        <w:t>三、施工方资质要求和须知</w:t>
      </w:r>
    </w:p>
    <w:p w14:paraId="517B785C">
      <w:pPr>
        <w:pStyle w:val="4"/>
        <w:rPr>
          <w:rFonts w:hint="eastAsia" w:eastAsia="等线"/>
          <w:lang w:eastAsia="zh-CN"/>
        </w:rPr>
      </w:pPr>
      <w:r>
        <w:t>（一）企业资质</w:t>
      </w:r>
    </w:p>
    <w:p w14:paraId="40B9C644">
      <w:pPr>
        <w:pStyle w:val="20"/>
        <w:numPr>
          <w:ilvl w:val="0"/>
          <w:numId w:val="2"/>
        </w:numPr>
      </w:pPr>
      <w:r>
        <w:t>施工方须具备国家相关部门颁发的石油化工工程施工总承包资质，且资质等级不低于</w:t>
      </w:r>
      <w:r>
        <w:rPr>
          <w:rFonts w:hint="eastAsia"/>
          <w:b/>
          <w:bCs/>
          <w:lang w:val="en-US" w:eastAsia="zh-CN"/>
        </w:rPr>
        <w:t>壹</w:t>
      </w:r>
      <w:bookmarkStart w:id="0" w:name="_GoBack"/>
      <w:bookmarkEnd w:id="0"/>
      <w:r>
        <w:t>级，具备独立承担类似项目施工的能力。</w:t>
      </w:r>
    </w:p>
    <w:p w14:paraId="3DFAE4E5">
      <w:pPr>
        <w:pStyle w:val="20"/>
        <w:numPr>
          <w:ilvl w:val="0"/>
          <w:numId w:val="2"/>
        </w:numPr>
        <w:rPr>
          <w:rFonts w:hint="default"/>
          <w:lang w:val="en-US"/>
        </w:rPr>
      </w:pPr>
      <w:r>
        <w:t xml:space="preserve">近 </w:t>
      </w:r>
      <w:r>
        <w:rPr>
          <w:rFonts w:hint="eastAsia"/>
        </w:rPr>
        <w:t>3</w:t>
      </w:r>
      <w:r>
        <w:t>年内，施工方需至少完成 1 项石油化工行业类似业绩，类似业绩指涉及石油化工管道系统安装、设备改造或相关防腐隔热工程等与本项目施工内容相似的工程 。投标时需提供业绩合同等有效证明材料</w:t>
      </w:r>
      <w:r>
        <w:rPr>
          <w:rFonts w:hint="eastAsia"/>
          <w:lang w:val="en-US" w:eastAsia="zh-CN"/>
        </w:rPr>
        <w:t>。</w:t>
      </w:r>
    </w:p>
    <w:p w14:paraId="51106BCB">
      <w:pPr>
        <w:pStyle w:val="4"/>
      </w:pPr>
      <w:r>
        <w:t>（二）人员资质</w:t>
      </w:r>
    </w:p>
    <w:p w14:paraId="6FC3FA70">
      <w:pPr>
        <w:pStyle w:val="20"/>
        <w:numPr>
          <w:ilvl w:val="0"/>
          <w:numId w:val="3"/>
        </w:numPr>
      </w:pPr>
      <w:r>
        <w:t>项目经理需具备机电工程或石油化工专业一级注册建造师资格，具有丰富的类似项目管理经验。</w:t>
      </w:r>
    </w:p>
    <w:p w14:paraId="0C5DE773">
      <w:pPr>
        <w:pStyle w:val="20"/>
        <w:numPr>
          <w:ilvl w:val="0"/>
          <w:numId w:val="3"/>
        </w:numPr>
      </w:pPr>
      <w:r>
        <w:t>技术负责人应具有</w:t>
      </w:r>
      <w:r>
        <w:rPr>
          <w:rFonts w:hint="eastAsia"/>
        </w:rPr>
        <w:t>中</w:t>
      </w:r>
      <w:r>
        <w:t>级工程师及以上职称，具有丰富的类似项目专业技术</w:t>
      </w:r>
      <w:r>
        <w:rPr>
          <w:rFonts w:hint="eastAsia"/>
        </w:rPr>
        <w:t>经验</w:t>
      </w:r>
      <w:r>
        <w:t>，熟悉本项目涉及的各类施工技术和规范。</w:t>
      </w:r>
    </w:p>
    <w:p w14:paraId="00DE6511">
      <w:pPr>
        <w:pStyle w:val="20"/>
        <w:numPr>
          <w:ilvl w:val="0"/>
          <w:numId w:val="3"/>
        </w:numPr>
      </w:pPr>
      <w:r>
        <w:t>施工人员中，焊工需持有相应的特种设备作业人员证，且证件在有效期内；无损检测人员需具备符合《特种设备无损检测人员考核规则》的资质证书，确保检测工作的专业性和准确性。</w:t>
      </w:r>
    </w:p>
    <w:p w14:paraId="587D7E7B">
      <w:pPr>
        <w:pStyle w:val="4"/>
      </w:pPr>
      <w:r>
        <w:t>（三）报价须知</w:t>
      </w:r>
    </w:p>
    <w:p w14:paraId="18CCA816">
      <w:pPr>
        <w:pStyle w:val="20"/>
        <w:numPr>
          <w:ilvl w:val="0"/>
          <w:numId w:val="4"/>
        </w:numPr>
      </w:pPr>
      <w:r>
        <w:t>报价要求：施工方报价涵盖人工费、人员人身保险、施工保险、施工机具、材料倒运、废料垃圾处理、现场材料的看护保管、施工所需消耗性材料的使用等一切费用。施工方应充分考虑施工过程中的各类成本因素，确保报价完整、合理，后续不得因上述费用未充分预估而要求额外增加费用。</w:t>
      </w:r>
    </w:p>
    <w:p w14:paraId="212EC49C">
      <w:pPr>
        <w:pStyle w:val="20"/>
        <w:numPr>
          <w:ilvl w:val="0"/>
          <w:numId w:val="4"/>
        </w:numPr>
      </w:pPr>
      <w:r>
        <w:t>项目调整：如工程单存在遗漏或重复的情况，招标方可根据实际情况增减施工项目，费用按照实际发生情况进行结算。施工方应无条件配合招标方的项目调整要求，不得以任何理由拒绝执行调整后的施工任务，确保工程顺利推进。</w:t>
      </w:r>
    </w:p>
    <w:p w14:paraId="1C696CAE">
      <w:pPr>
        <w:pStyle w:val="20"/>
        <w:numPr>
          <w:ilvl w:val="0"/>
          <w:numId w:val="4"/>
        </w:numPr>
      </w:pPr>
      <w:r>
        <w:t>工程量结算：施工方需根据招标单位提供的工程量明细分项报价。工程完工后，各项目工程量由检修单位现场负责检查验收的人员签字确认，该确认文件将作为工程结算的主要依据。施工方应确保施工过程中的工程量记录准确、完整，积极配合验收人员的核查工作。</w:t>
      </w:r>
    </w:p>
    <w:p w14:paraId="5D17B2F2">
      <w:pPr>
        <w:pStyle w:val="3"/>
      </w:pPr>
      <w:r>
        <w:t>四、工程发包要求</w:t>
      </w:r>
    </w:p>
    <w:p w14:paraId="05C2AF43">
      <w:pPr>
        <w:pStyle w:val="4"/>
      </w:pPr>
      <w:r>
        <w:rPr>
          <w:rFonts w:hint="eastAsia"/>
        </w:rPr>
        <w:t>（一）发包形式</w:t>
      </w:r>
      <w:r>
        <w:t>​</w:t>
      </w:r>
    </w:p>
    <w:p w14:paraId="1711E389">
      <w:pPr>
        <w:pStyle w:val="20"/>
        <w:numPr>
          <w:ilvl w:val="0"/>
          <w:numId w:val="5"/>
        </w:numPr>
      </w:pPr>
      <w:r>
        <w:t>本工程采用 P+C（Procurement + Construction）总承包模式，即由乙方负责项目全部施工工作</w:t>
      </w:r>
      <w:r>
        <w:rPr>
          <w:rFonts w:hint="eastAsia"/>
        </w:rPr>
        <w:t>（包含电气动力电缆、控制电缆的敷设和桥架盖板拆装及操作柱安装、电气设备接地等；</w:t>
      </w:r>
      <w:r>
        <w:rPr>
          <w:rFonts w:hint="eastAsia"/>
          <w:lang w:val="en-US" w:eastAsia="zh-CN"/>
        </w:rPr>
        <w:t>相关仪表的安装及调试</w:t>
      </w:r>
      <w:r>
        <w:rPr>
          <w:rFonts w:hint="eastAsia"/>
          <w:lang w:eastAsia="zh-CN"/>
        </w:rPr>
        <w:t>；</w:t>
      </w:r>
      <w:r>
        <w:rPr>
          <w:rFonts w:hint="eastAsia"/>
        </w:rPr>
        <w:t>管道及相对应管托、支撑制作安装；设备及相应设备基础安装；防腐保温、脚手架搭拆等）</w:t>
      </w:r>
      <w:r>
        <w:t>及</w:t>
      </w:r>
      <w:r>
        <w:rPr>
          <w:rFonts w:hint="eastAsia"/>
          <w:lang w:val="en-US" w:eastAsia="zh-CN"/>
        </w:rPr>
        <w:t>所有的</w:t>
      </w:r>
      <w:r>
        <w:t>材料</w:t>
      </w:r>
      <w:r>
        <w:rPr>
          <w:rFonts w:hint="eastAsia"/>
          <w:lang w:eastAsia="zh-CN"/>
        </w:rPr>
        <w:t>、</w:t>
      </w:r>
      <w:r>
        <w:t>设备的采购供应。在施工环节，乙方需严格依据设计文件、国家及行业标准规范，组织专业施工团队，科学制定施工计划，确保项目高质量完成；材料采购方面，乙方应按照业主</w:t>
      </w:r>
      <w:r>
        <w:rPr>
          <w:rFonts w:hint="eastAsia"/>
        </w:rPr>
        <w:t>的</w:t>
      </w:r>
      <w:r>
        <w:t>管道设计材料等级，从具备资质的供应商处采购符合相关标准要求的材料设备，并负责运输、保管及进场检验工作。​</w:t>
      </w:r>
    </w:p>
    <w:p w14:paraId="2D069F26">
      <w:pPr>
        <w:pStyle w:val="20"/>
        <w:numPr>
          <w:ilvl w:val="0"/>
          <w:numId w:val="5"/>
        </w:numPr>
      </w:pPr>
      <w:r>
        <w:t>甲方则负责对项目全过程进行管理监督，包括审核乙方施工组织设计、施工进度计划，对材料设备质量进行抽检，以及组织工程验收等工作。乙方应积极配合甲方及监理单位的监督检查，对于提出的问题及时整改，共同推进项目顺利实施 。</w:t>
      </w:r>
    </w:p>
    <w:p w14:paraId="40D10597">
      <w:pPr>
        <w:pStyle w:val="20"/>
      </w:pPr>
    </w:p>
    <w:p w14:paraId="0BEEE64F">
      <w:pPr>
        <w:pStyle w:val="4"/>
      </w:pPr>
      <w:r>
        <w:t>（二）管道要求</w:t>
      </w:r>
    </w:p>
    <w:p w14:paraId="303B5A4D">
      <w:pPr>
        <w:pStyle w:val="20"/>
        <w:numPr>
          <w:ilvl w:val="0"/>
          <w:numId w:val="6"/>
        </w:numPr>
      </w:pPr>
      <w:r>
        <w:rPr>
          <w:b/>
          <w:bCs/>
        </w:rPr>
        <w:t>材料选用</w:t>
      </w:r>
      <w:r>
        <w:t>：所用管道材料均按业主和天辰提供的管道设计材料等级进行选用，严格符合《石油裂化用无缝钢管》GB/T 9948 - 2013、《石油化工钢制对焊管件》SH/T 3408 - 2022 等相关标准要求 。不同规格和用途的管道、管件、阀门、法兰等材料详细信息见综合材料表（沸腾床装置部分、罐区 - 管廊部分）。</w:t>
      </w:r>
    </w:p>
    <w:p w14:paraId="0375ACCA">
      <w:pPr>
        <w:pStyle w:val="20"/>
        <w:numPr>
          <w:ilvl w:val="0"/>
          <w:numId w:val="6"/>
        </w:numPr>
      </w:pPr>
      <w:r>
        <w:rPr>
          <w:b/>
          <w:bCs/>
        </w:rPr>
        <w:t>制作与安装</w:t>
      </w:r>
    </w:p>
    <w:p w14:paraId="062D6A31">
      <w:pPr>
        <w:pStyle w:val="20"/>
        <w:numPr>
          <w:ilvl w:val="-1"/>
          <w:numId w:val="0"/>
        </w:numPr>
        <w:ind w:left="432" w:firstLine="0"/>
      </w:pPr>
      <w:r>
        <w:t>压力管道的制作与安装遵循《压力管道安全技术监察规程 - 工业管道》TSG D0001 - 2009 及《压力管道规范工业管道第四部分：制作与安装》GB/T 20801.4 - 2020 中的有关规定，其他管道按照《工业金属管道工程施工规范》GB50235 - 2010 标准进行施工。</w:t>
      </w:r>
    </w:p>
    <w:p w14:paraId="3CADD607">
      <w:pPr>
        <w:pStyle w:val="20"/>
        <w:numPr>
          <w:ilvl w:val="-1"/>
          <w:numId w:val="0"/>
        </w:numPr>
        <w:ind w:left="432" w:firstLine="0"/>
      </w:pPr>
      <w:r>
        <w:t>压力管道安装单位、焊工需具备符合《特种设备生产和充装单位许可规则》(TSG 07 - 2019) 的相关资质。</w:t>
      </w:r>
    </w:p>
    <w:p w14:paraId="49BFAEFD">
      <w:pPr>
        <w:pStyle w:val="20"/>
        <w:numPr>
          <w:ilvl w:val="-1"/>
          <w:numId w:val="0"/>
        </w:numPr>
        <w:ind w:left="432" w:firstLine="0"/>
      </w:pPr>
      <w:r>
        <w:t>安装过程中及安装后，采取严格措施防止焊渣、铁锈及可燃物等进入或遗留在管内。</w:t>
      </w:r>
    </w:p>
    <w:p w14:paraId="52FC5547">
      <w:pPr>
        <w:pStyle w:val="20"/>
        <w:numPr>
          <w:ilvl w:val="-1"/>
          <w:numId w:val="0"/>
        </w:numPr>
        <w:ind w:left="432" w:firstLine="0"/>
      </w:pPr>
      <w:r>
        <w:rPr>
          <w:b/>
          <w:bCs/>
        </w:rPr>
        <w:t>管道支架与管墩施工</w:t>
      </w:r>
      <w:r>
        <w:t>：管道支架、管墩的制作与安装应严格按照设计图纸及相关规范执行。支架形式根据管道的管径、介质、温度、压力等参数合理选择，确保支架的承载能力和稳定性满足管道运行要求。支架安装位置应准确，与管道接触紧密，滑动支架的滑动面应洁净平整，滚珠、滚轴等活动部件与其支撑件应接触良好，保证管道能自由伸缩。管墩基础应牢固，混凝土强度等级、尺寸等符合设计要求，浇筑过程中严格控制施工质量，做好养护工作。</w:t>
      </w:r>
    </w:p>
    <w:p w14:paraId="03D39147">
      <w:pPr>
        <w:pStyle w:val="20"/>
        <w:numPr>
          <w:ilvl w:val="-1"/>
          <w:numId w:val="0"/>
        </w:numPr>
        <w:ind w:left="432" w:firstLine="0"/>
      </w:pPr>
      <w:r>
        <w:rPr>
          <w:b/>
          <w:bCs/>
        </w:rPr>
        <w:t>设备基础施工</w:t>
      </w:r>
      <w:r>
        <w:t>：离心泵等设备基础施工前，需对基础位置、尺寸、标高进行复测，确保符合设计要求。基础混凝土浇筑应连续进行，避免出现施工缝，振捣密实，表面平整。设备基础表面应进行二次灌浆处理，灌浆材料的性能和配合比应符合设计及规范要求，保证设备安装后的稳定性。设备安装前，应对基础表面进行凿毛处理，清除油污、杂物等，确保设备与基础紧密结合。</w:t>
      </w:r>
    </w:p>
    <w:p w14:paraId="4ECD632D">
      <w:pPr>
        <w:pStyle w:val="20"/>
        <w:numPr>
          <w:ilvl w:val="-1"/>
          <w:numId w:val="0"/>
        </w:numPr>
        <w:ind w:left="432" w:firstLine="0"/>
      </w:pPr>
      <w:r>
        <w:rPr>
          <w:b/>
          <w:bCs/>
        </w:rPr>
        <w:t>脚手架搭设</w:t>
      </w:r>
      <w:r>
        <w:t>：脚手架搭设应编制专项施工方案，经监理单位和业主审核批准后实施。搭设人员必须持证上岗，严格按照方案和相关规范进行操作。脚手架材质应符合要求，钢管无裂缝、变形，扣件连接牢固。脚手架的立杆基础应平整、坚实，设置垫板和底座，确保立杆稳定。架体与建筑物之间应按规定设置连墙件，增强脚手架的整体稳定性。作业层应满铺脚手板，设置防护栏杆和挡脚板，防止人员和物体坠落。脚手架搭设完成后，需经施工方、监理方和业主联合验收合格后方可投入使用，使用过程中定期进行检查和维护。</w:t>
      </w:r>
    </w:p>
    <w:p w14:paraId="261D638F">
      <w:pPr>
        <w:pStyle w:val="20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检验与试验</w:t>
      </w:r>
    </w:p>
    <w:p w14:paraId="725BB504">
      <w:pPr>
        <w:pStyle w:val="20"/>
        <w:numPr>
          <w:ilvl w:val="-1"/>
          <w:numId w:val="0"/>
        </w:numPr>
        <w:ind w:left="432" w:firstLine="0"/>
      </w:pPr>
      <w:r>
        <w:t>管道改造安装完毕，按《压力管道规范工业管道第 5 部分：检验与试验》GB/T 20801.5 - 2020 对改造部分的管道进行检验、检查和试验。</w:t>
      </w:r>
    </w:p>
    <w:p w14:paraId="432DD8F4">
      <w:pPr>
        <w:pStyle w:val="20"/>
        <w:numPr>
          <w:ilvl w:val="-1"/>
          <w:numId w:val="0"/>
        </w:numPr>
        <w:ind w:left="432" w:firstLine="0"/>
      </w:pPr>
      <w:r>
        <w:rPr>
          <w:rFonts w:hint="eastAsia"/>
        </w:rPr>
        <w:t>施工完经业主</w:t>
      </w:r>
      <w:r>
        <w:t>无损检测合格后，对管系进行强度试验，试验介质为水（不锈钢管道水质中氯离子含量不得大于 25ppm），试验压力为设计压力的 1.5 倍，试压环境温度不得低于 5℃。可燃流体管道在强度试验合格后还需进行泄漏性试验，试验介质为空气，具体要求详见管道特性表。</w:t>
      </w:r>
    </w:p>
    <w:p w14:paraId="2AD0A10C">
      <w:pPr>
        <w:pStyle w:val="20"/>
        <w:numPr>
          <w:ilvl w:val="-1"/>
          <w:numId w:val="0"/>
        </w:numPr>
        <w:ind w:left="432" w:firstLine="0"/>
      </w:pPr>
      <w:r>
        <w:t>管道在试压试漏合格后，液体管道采用水冲洗（流速要求 &gt; 1.5m/s，不锈钢管道水质中氯离子含量不得大于 25ppm），气体管道采用压缩空气吹扫（流速要求 &gt; 20m/s，气体压力不得超过管道的设计压力）。</w:t>
      </w:r>
    </w:p>
    <w:p w14:paraId="3B6958B8">
      <w:pPr>
        <w:pStyle w:val="4"/>
      </w:pPr>
      <w:r>
        <w:t>（三）设备参数</w:t>
      </w:r>
    </w:p>
    <w:p w14:paraId="0893F5B0">
      <w:pPr>
        <w:pStyle w:val="20"/>
        <w:numPr>
          <w:ilvl w:val="0"/>
          <w:numId w:val="7"/>
        </w:numPr>
      </w:pPr>
      <w:r>
        <w:rPr>
          <w:b/>
          <w:bCs/>
        </w:rPr>
        <w:t>离心泵</w:t>
      </w:r>
      <w:r>
        <w:t>：密封油输送泵选用离心泵，共 2 台（1 台操作，1 台备用）。操作条件为输送密封油（蜡油），介质入口温度 60 - 90℃，入口压力最低 - 0.036MPa (G)、最高 0.09MPa (G)，出口压力 1.88MPa (G)，流量最低 2m³/h、最高 5m³/h 等 。具体性能、结构、材料、密封和冲洗、冷却或加热、电动机等参数及要求详见离心泵数据表。</w:t>
      </w:r>
    </w:p>
    <w:p w14:paraId="61BCF9E4">
      <w:pPr>
        <w:pStyle w:val="20"/>
        <w:numPr>
          <w:ilvl w:val="0"/>
          <w:numId w:val="7"/>
        </w:numPr>
      </w:pPr>
      <w:r>
        <w:rPr>
          <w:b/>
          <w:bCs/>
        </w:rPr>
        <w:t>安全阀</w:t>
      </w:r>
      <w:r>
        <w:t>：选用安全泄压阀，用于保护相关设备管道。安装位置为 64 - 2'' - FO - 35 - 3B4 (ST,60) LS15X1，排向储罐。操作压力 1.88MPa (G)，设计压力 2.06MPa (G)，操作温度 60 - 90℃，设计温度 120℃ 。阀体材质为 WCB，喷嘴材质为 2Cr13 等，具体参数详见安全阀数据表。</w:t>
      </w:r>
    </w:p>
    <w:p w14:paraId="4EB25C88">
      <w:pPr>
        <w:pStyle w:val="4"/>
      </w:pPr>
      <w:r>
        <w:t>（四）防腐要求</w:t>
      </w:r>
    </w:p>
    <w:p w14:paraId="44A31ED9">
      <w:pPr>
        <w:pStyle w:val="20"/>
        <w:numPr>
          <w:ilvl w:val="0"/>
          <w:numId w:val="8"/>
        </w:numPr>
      </w:pPr>
      <w:r>
        <w:t>改造碳钢管道应在试漏试压合格后进行防腐处理。</w:t>
      </w:r>
    </w:p>
    <w:p w14:paraId="757C5876">
      <w:pPr>
        <w:pStyle w:val="20"/>
        <w:numPr>
          <w:ilvl w:val="0"/>
          <w:numId w:val="8"/>
        </w:numPr>
      </w:pPr>
      <w:r>
        <w:t>地面上碳钢管道的外壁、管架、平台均需进行防腐处理，涂刷前钢材表面进行 St3 或 Sa2.5 级除锈处理。除锈后，非保温管道涂刷环氧富锌底漆一道（干膜厚度≥50μm），环氧云铁中间漆两道（干膜厚度≥150μm），脂肪族聚氨酯面漆两道（干膜厚度≥80μm），总厚度≥280μm；保温管道涂刷环氧云铁漆底漆一道（干膜厚度≥100μm），再涂刷环氧云铁漆中间漆一道（干膜厚度≥100μm） 。也可参照原管道防腐要求执行。</w:t>
      </w:r>
    </w:p>
    <w:p w14:paraId="3204F36E">
      <w:pPr>
        <w:pStyle w:val="20"/>
        <w:numPr>
          <w:ilvl w:val="0"/>
          <w:numId w:val="8"/>
        </w:numPr>
      </w:pPr>
      <w:r>
        <w:t>防腐施工及验收要求执行《石油化工涂料防腐工程施工质量验收规范 (SH/T3548 - 2011)》标准。</w:t>
      </w:r>
    </w:p>
    <w:p w14:paraId="2E4C5A9D">
      <w:pPr>
        <w:pStyle w:val="20"/>
        <w:numPr>
          <w:ilvl w:val="0"/>
          <w:numId w:val="8"/>
        </w:numPr>
      </w:pPr>
      <w:r>
        <w:t>管道表面涂色按现有管道执行。</w:t>
      </w:r>
    </w:p>
    <w:p w14:paraId="41415C2B">
      <w:pPr>
        <w:pStyle w:val="4"/>
      </w:pPr>
      <w:r>
        <w:t>（五）隔热要求</w:t>
      </w:r>
    </w:p>
    <w:p w14:paraId="6E2A5205">
      <w:pPr>
        <w:pStyle w:val="20"/>
        <w:numPr>
          <w:ilvl w:val="0"/>
          <w:numId w:val="9"/>
        </w:numPr>
      </w:pPr>
      <w:r>
        <w:t>管道施工完成后，对原管道保温拆除部分及新增管道部分进行保温恢复和完善。隔热层材料采用硅酸铝纤维管壳，外保护层材料采用铝合金薄板，或参照原管道的保温设计规定执行。</w:t>
      </w:r>
    </w:p>
    <w:p w14:paraId="711ED3FC">
      <w:pPr>
        <w:pStyle w:val="20"/>
        <w:numPr>
          <w:ilvl w:val="0"/>
          <w:numId w:val="9"/>
        </w:numPr>
      </w:pPr>
      <w:r>
        <w:t>隔热材料需有制造厂合格证，各项技术指标符合相关规范要求。绝热工程施工在管道系统试验合格、防雷防静电检测及防腐工作完成后进行。</w:t>
      </w:r>
    </w:p>
    <w:p w14:paraId="2F1410C5">
      <w:pPr>
        <w:pStyle w:val="20"/>
        <w:numPr>
          <w:ilvl w:val="0"/>
          <w:numId w:val="9"/>
        </w:numPr>
      </w:pPr>
      <w:r>
        <w:t>设计、施工质量验收不低于《工业设备及管道绝热工程设计规范》GB 50264 - 2013、《工业设备及管道绝热工程施工规范》GB 50126 - 2008 等国家及部颁标准。</w:t>
      </w:r>
    </w:p>
    <w:p w14:paraId="022D453D">
      <w:pPr>
        <w:pStyle w:val="20"/>
        <w:numPr>
          <w:ilvl w:val="-1"/>
          <w:numId w:val="0"/>
        </w:numPr>
        <w:ind w:left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（六）电气要求</w:t>
      </w:r>
    </w:p>
    <w:p w14:paraId="0D473324">
      <w:pPr>
        <w:pStyle w:val="20"/>
        <w:numPr>
          <w:ilvl w:val="-1"/>
          <w:numId w:val="0"/>
        </w:numPr>
        <w:ind w:left="0" w:firstLine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详见附件</w:t>
      </w:r>
      <w:r>
        <w:rPr>
          <w:rFonts w:hint="eastAsia"/>
          <w:color w:val="auto"/>
        </w:rPr>
        <w:t>《电气设备安装技术要求》。</w:t>
      </w:r>
    </w:p>
    <w:p w14:paraId="5474F98D">
      <w:pPr>
        <w:pStyle w:val="20"/>
        <w:numPr>
          <w:ilvl w:val="-1"/>
          <w:numId w:val="0"/>
        </w:numPr>
        <w:ind w:left="0" w:firstLine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（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七</w:t>
      </w:r>
      <w:r>
        <w:rPr>
          <w:rFonts w:hint="eastAsia"/>
          <w:b/>
          <w:color w:val="auto"/>
          <w:sz w:val="30"/>
          <w:szCs w:val="30"/>
        </w:rPr>
        <w:t>）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仪表</w:t>
      </w:r>
      <w:r>
        <w:rPr>
          <w:rFonts w:hint="eastAsia"/>
          <w:b/>
          <w:color w:val="auto"/>
          <w:sz w:val="30"/>
          <w:szCs w:val="30"/>
        </w:rPr>
        <w:t>要求</w:t>
      </w:r>
    </w:p>
    <w:p w14:paraId="22EC1DB2">
      <w:pPr>
        <w:widowControl/>
        <w:shd w:val="clear" w:color="auto" w:fill="FFFFFF"/>
        <w:spacing w:before="120" w:after="120" w:line="23" w:lineRule="atLeast"/>
        <w:ind w:firstLine="0" w:firstLineChars="0"/>
        <w:jc w:val="left"/>
        <w:rPr>
          <w:rFonts w:hint="eastAsia" w:ascii="Segoe UI" w:hAnsi="Segoe UI" w:cs="Segoe UI" w:eastAsiaTheme="minor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8"/>
          <w:lang w:val="en-US" w:eastAsia="zh-CN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rFonts w:ascii="Segoe UI" w:hAnsi="Segoe UI" w:eastAsia="Segoe UI" w:cs="Segoe UI"/>
          <w:color w:val="auto"/>
          <w:sz w:val="24"/>
          <w:szCs w:val="24"/>
          <w:shd w:val="clear" w:color="auto" w:fill="FFFFFF"/>
          <w:lang w:bidi="ar"/>
        </w:rPr>
        <w:t>配套的测量仪表包含压力变送器、现场压力表、孔板差压流量计、调节阀、电动开关阀等，以及仪表电缆。以上仪表及辅材的供货、安装施工和调试检定，均由乙方负责按设计进行采购和施工。以上仪表的采购须执行福海创项目部仪表短名单。相应技术要求，详见附件</w:t>
      </w:r>
      <w:r>
        <w:rPr>
          <w:rFonts w:hint="eastAsia" w:ascii="Segoe UI" w:hAnsi="Segoe UI" w:cs="Segoe UI"/>
          <w:color w:val="auto"/>
          <w:sz w:val="24"/>
          <w:szCs w:val="24"/>
          <w:shd w:val="clear" w:color="auto" w:fill="FFFFFF"/>
          <w:lang w:eastAsia="zh-CN" w:bidi="ar"/>
        </w:rPr>
        <w:t>《</w:t>
      </w:r>
      <w:r>
        <w:rPr>
          <w:rFonts w:ascii="Segoe UI" w:hAnsi="Segoe UI" w:eastAsia="Segoe UI" w:cs="Segoe UI"/>
          <w:color w:val="auto"/>
          <w:sz w:val="24"/>
          <w:szCs w:val="24"/>
          <w:shd w:val="clear" w:color="auto" w:fill="FFFFFF"/>
          <w:lang w:bidi="ar"/>
        </w:rPr>
        <w:t>仪表技术要求</w:t>
      </w:r>
      <w:r>
        <w:rPr>
          <w:rFonts w:hint="eastAsia" w:ascii="Segoe UI" w:hAnsi="Segoe UI" w:cs="Segoe UI"/>
          <w:color w:val="auto"/>
          <w:sz w:val="24"/>
          <w:szCs w:val="24"/>
          <w:shd w:val="clear" w:color="auto" w:fill="FFFFFF"/>
          <w:lang w:eastAsia="zh-CN" w:bidi="ar"/>
        </w:rPr>
        <w:t>》</w:t>
      </w:r>
      <w:r>
        <w:rPr>
          <w:rFonts w:ascii="Segoe UI" w:hAnsi="Segoe UI" w:eastAsia="Segoe UI" w:cs="Segoe UI"/>
          <w:color w:val="auto"/>
          <w:sz w:val="24"/>
          <w:szCs w:val="24"/>
          <w:shd w:val="clear" w:color="auto" w:fill="FFFFFF"/>
          <w:lang w:bidi="ar"/>
        </w:rPr>
        <w:t>。仪表测量元件和阀门，按规范要求提供监检证书。</w:t>
      </w:r>
    </w:p>
    <w:p w14:paraId="0011868F">
      <w:pPr>
        <w:pStyle w:val="3"/>
      </w:pPr>
      <w:r>
        <w:t>五、施工标准</w:t>
      </w:r>
    </w:p>
    <w:p w14:paraId="164F9442">
      <w:pPr>
        <w:pStyle w:val="20"/>
      </w:pPr>
      <w:r>
        <w:t>本项目所用管道及管件选用应符合以下标准的要求:</w:t>
      </w:r>
    </w:p>
    <w:p w14:paraId="28B9BC3D">
      <w:pPr>
        <w:pStyle w:val="20"/>
      </w:pPr>
      <w:r>
        <w:t>(1)《石油裂化用无缝钢管》 GB/T 9948-2013</w:t>
      </w:r>
    </w:p>
    <w:p w14:paraId="0B0F994F">
      <w:pPr>
        <w:pStyle w:val="20"/>
      </w:pPr>
      <w:r>
        <w:t>(2)《石油化工钢管尺寸系列》 SH/T3405-2017</w:t>
      </w:r>
    </w:p>
    <w:p w14:paraId="5C70E3C0">
      <w:pPr>
        <w:pStyle w:val="20"/>
      </w:pPr>
      <w:r>
        <w:t>(3)《石油化工钢制对焊管件》 SH/T 3408-2022</w:t>
      </w:r>
    </w:p>
    <w:p w14:paraId="392FFBE3">
      <w:pPr>
        <w:pStyle w:val="20"/>
      </w:pPr>
      <w:r>
        <w:t>(4)《石油化工锻钢制承插焊和螺纹管件》 SH/T 3410-2012</w:t>
      </w:r>
    </w:p>
    <w:p w14:paraId="14FBE009">
      <w:pPr>
        <w:pStyle w:val="20"/>
      </w:pPr>
      <w:r>
        <w:t>(5)《锻制承插焊、螺纹和对焊支管座》 GB/T 19326-2022</w:t>
      </w:r>
    </w:p>
    <w:p w14:paraId="14948BC4">
      <w:pPr>
        <w:pStyle w:val="20"/>
      </w:pPr>
      <w:r>
        <w:t>(6)《石油化工钢制管法兰技术规范》 SH/T 3406-2022</w:t>
      </w:r>
    </w:p>
    <w:p w14:paraId="3E631330">
      <w:pPr>
        <w:pStyle w:val="20"/>
      </w:pPr>
      <w:r>
        <w:t>(7)《锅炉和压力容器用钢板》 GB/T 713-2014</w:t>
      </w:r>
    </w:p>
    <w:p w14:paraId="6C2EDB36">
      <w:pPr>
        <w:pStyle w:val="20"/>
      </w:pPr>
      <w:r>
        <w:t>(8)《承压设备用碳素钢和合金钢锻件》 NB/T 47008-2017</w:t>
      </w:r>
    </w:p>
    <w:p w14:paraId="40620272">
      <w:pPr>
        <w:pStyle w:val="20"/>
      </w:pPr>
      <w:r>
        <w:t>(9)《石油化工钢制管法兰用非金属平垫片》 SH/T 3401-2013</w:t>
      </w:r>
    </w:p>
    <w:p w14:paraId="15D6BBD8">
      <w:pPr>
        <w:pStyle w:val="20"/>
      </w:pPr>
      <w:r>
        <w:t>(10)《石油化工钢制管法兰用缠绕式垫片》 SH/T 3407-2013</w:t>
      </w:r>
    </w:p>
    <w:p w14:paraId="09E58900">
      <w:pPr>
        <w:pStyle w:val="3"/>
      </w:pPr>
      <w:r>
        <w:t>六、施工须知</w:t>
      </w:r>
    </w:p>
    <w:p w14:paraId="26430E99">
      <w:pPr>
        <w:pStyle w:val="4"/>
      </w:pPr>
      <w:r>
        <w:t>（一）施工前准备</w:t>
      </w:r>
    </w:p>
    <w:p w14:paraId="5C959C73">
      <w:pPr>
        <w:pStyle w:val="20"/>
        <w:numPr>
          <w:ilvl w:val="0"/>
          <w:numId w:val="10"/>
        </w:numPr>
      </w:pPr>
      <w:r>
        <w:t>施工方在签订合同后，需在规定时间内组织专业人员对施工现场进行详细勘察，结合设计文件编制科学合理的施工组织设计和专项施工方案，经监理单位和业主审核批准后方可实施。</w:t>
      </w:r>
    </w:p>
    <w:p w14:paraId="2C0BD6E9">
      <w:pPr>
        <w:pStyle w:val="20"/>
        <w:numPr>
          <w:ilvl w:val="0"/>
          <w:numId w:val="10"/>
        </w:numPr>
      </w:pPr>
      <w:r>
        <w:t>严格按照设计要求采购施工材料和设备，确保其质量符合相关标准和设计规定。所有材料和设备进场时，需向监理单位和业主提交质量证明文件，经检验合格后方可使用。</w:t>
      </w:r>
    </w:p>
    <w:p w14:paraId="37725856">
      <w:pPr>
        <w:pStyle w:val="4"/>
      </w:pPr>
      <w:r>
        <w:t>（二）施工过程管理</w:t>
      </w:r>
    </w:p>
    <w:p w14:paraId="0498CDCF">
      <w:pPr>
        <w:pStyle w:val="20"/>
        <w:numPr>
          <w:ilvl w:val="0"/>
          <w:numId w:val="11"/>
        </w:numPr>
      </w:pPr>
      <w:r>
        <w:rPr>
          <w:b/>
          <w:bCs/>
        </w:rPr>
        <w:t>进度要求</w:t>
      </w:r>
      <w:r>
        <w:t>：施工方必须严格满足计划施工进度安排，制定详细的施工进度计划，并在施工过程中严格执行。若因施工方原因导致工程进度延误，施工方需承担由此产生的一切后果，包括但不限于工期延误违约金、对招标方生产造成的损失赔偿等。</w:t>
      </w:r>
    </w:p>
    <w:p w14:paraId="1F57C043">
      <w:pPr>
        <w:pStyle w:val="20"/>
        <w:numPr>
          <w:ilvl w:val="0"/>
          <w:numId w:val="11"/>
        </w:numPr>
      </w:pPr>
      <w:r>
        <w:rPr>
          <w:b/>
          <w:bCs/>
        </w:rPr>
        <w:t>防爆要求</w:t>
      </w:r>
      <w:r>
        <w:t>：根据现场实际需要，在防爆区域内施工时，施工方必须选用符合相关标准的防爆工具及设备，并严格遵守防爆区域的施工安全规范。施工前，需对施工人员进行防爆区域施工专项安全培训，确保施工过程安全无隐患。</w:t>
      </w:r>
    </w:p>
    <w:p w14:paraId="3CC3A966">
      <w:pPr>
        <w:pStyle w:val="20"/>
        <w:numPr>
          <w:ilvl w:val="0"/>
          <w:numId w:val="11"/>
        </w:numPr>
      </w:pPr>
      <w:r>
        <w:rPr>
          <w:b/>
          <w:bCs/>
        </w:rPr>
        <w:t>人员资质与培训</w:t>
      </w:r>
      <w:r>
        <w:t>：项目施工人员必须持有登高作业证、电工证、焊工证及其他相关专业证书，且证书均在有效期内。所有施工人员需经过专业的施工培训，熟悉本项目的施工工艺、安全操作规程及质量标准。施工方应建立施工人员资质及培训档案，供招标方和监理单位随时核查。</w:t>
      </w:r>
    </w:p>
    <w:p w14:paraId="3F837F70">
      <w:pPr>
        <w:pStyle w:val="20"/>
        <w:numPr>
          <w:ilvl w:val="0"/>
          <w:numId w:val="11"/>
        </w:numPr>
      </w:pPr>
      <w:r>
        <w:t>施工过程中，严格遵守国家和行业相关施工规范、标准以及本项目的设计要求，建立健全质量、安全和环境保护管理体系，落实各项管理制度和措施。</w:t>
      </w:r>
    </w:p>
    <w:p w14:paraId="2528D07F">
      <w:pPr>
        <w:pStyle w:val="20"/>
        <w:numPr>
          <w:ilvl w:val="0"/>
          <w:numId w:val="11"/>
        </w:numPr>
      </w:pPr>
      <w:r>
        <w:t>定期组织施工人员进行安全培训和技术交底，确保施工人员熟悉施工工艺和安全操作规程。每日做好施工日志记录，详细记载施工进度、质量情况、安全措施落实情况等。</w:t>
      </w:r>
    </w:p>
    <w:p w14:paraId="2FFA4B34">
      <w:pPr>
        <w:pStyle w:val="20"/>
        <w:numPr>
          <w:ilvl w:val="0"/>
          <w:numId w:val="11"/>
        </w:numPr>
      </w:pPr>
      <w:r>
        <w:t>接受业主、监理单位的监督和检查，对提出的问题及时整改。涉及设计变更的，需按照规定程序办理变更手续，经确认后方可实施。</w:t>
      </w:r>
    </w:p>
    <w:p w14:paraId="228B761E">
      <w:pPr>
        <w:pStyle w:val="4"/>
      </w:pPr>
      <w:r>
        <w:t>（三）施工后事项</w:t>
      </w:r>
    </w:p>
    <w:p w14:paraId="50284039">
      <w:pPr>
        <w:pStyle w:val="20"/>
        <w:numPr>
          <w:ilvl w:val="0"/>
          <w:numId w:val="12"/>
        </w:numPr>
      </w:pPr>
      <w:r>
        <w:t>工程完工后，施工方需按照相关标准和合同要求进行自检，自检合格后向业主和监理单位提交竣工验收申请，并提供完整的工程竣工资料，包括施工图纸、材料设备检验报告、施工记录、检测报告等。</w:t>
      </w:r>
    </w:p>
    <w:p w14:paraId="19BC62CF">
      <w:pPr>
        <w:pStyle w:val="20"/>
        <w:numPr>
          <w:ilvl w:val="0"/>
          <w:numId w:val="12"/>
        </w:numPr>
      </w:pPr>
      <w:r>
        <w:t>对工程质量承担保修责任，保修期限按照国家相关规定和合同约定执行。在保修期内，接到业主维修通知后，需在规定时间内组织人员进行维修，确保工程正常运行。</w:t>
      </w:r>
    </w:p>
    <w:p w14:paraId="4C3DA596">
      <w:pPr>
        <w:pStyle w:val="3"/>
      </w:pPr>
      <w:r>
        <w:t>七、验收标准</w:t>
      </w:r>
    </w:p>
    <w:p w14:paraId="4CE86415">
      <w:pPr>
        <w:pStyle w:val="20"/>
        <w:numPr>
          <w:ilvl w:val="0"/>
          <w:numId w:val="13"/>
        </w:numPr>
      </w:pPr>
      <w:r>
        <w:t>管道工程验收依据《压力管道规范工业管道》GB/T 20801.1 - 6 - 2020、《工业金属管道工程施工质量验收规范》GB 50517 - 2010 (2023 年局部修订) 等相关标准规范，对管道的制作、安装、检验与试验等环节进行全面验收，确保管道系统安全可靠运行。</w:t>
      </w:r>
    </w:p>
    <w:p w14:paraId="7186A82F">
      <w:pPr>
        <w:pStyle w:val="20"/>
        <w:numPr>
          <w:ilvl w:val="0"/>
          <w:numId w:val="13"/>
        </w:numPr>
      </w:pPr>
      <w:r>
        <w:t>设备验收按照设备数据表中的技术参数和要求，对离心泵、安全阀等设备的性能、质量、规格型号等进行检验，确保设备符合设计和生产需求。</w:t>
      </w:r>
    </w:p>
    <w:p w14:paraId="7A6F43D0">
      <w:pPr>
        <w:pStyle w:val="20"/>
        <w:numPr>
          <w:ilvl w:val="0"/>
          <w:numId w:val="13"/>
        </w:numPr>
      </w:pPr>
      <w:r>
        <w:t>防腐工程验收依据《石油化工涂料防腐工程施工质量验收规范 (SH/T3548 - 2011)》标准，检查防腐施工工艺、涂层厚度、表面质量等是否符合要求。</w:t>
      </w:r>
    </w:p>
    <w:p w14:paraId="0ECB20B8">
      <w:pPr>
        <w:pStyle w:val="20"/>
        <w:numPr>
          <w:ilvl w:val="0"/>
          <w:numId w:val="13"/>
        </w:numPr>
      </w:pPr>
      <w:r>
        <w:t>隔热工程验收依据《工业设备及管道绝热工程设计规范》GB 50264 - 2013、《工业设备及管道绝热工程施工质量验收规范》GB 50185 - 2010 等标准，验收隔热材料质量、施工工艺、保温效果等。</w:t>
      </w:r>
    </w:p>
    <w:p w14:paraId="63743EA2">
      <w:pPr>
        <w:pStyle w:val="3"/>
      </w:pPr>
      <w:r>
        <w:t>八、其他事项</w:t>
      </w:r>
    </w:p>
    <w:p w14:paraId="407154AC">
      <w:pPr>
        <w:pStyle w:val="20"/>
        <w:numPr>
          <w:ilvl w:val="0"/>
          <w:numId w:val="14"/>
        </w:numPr>
      </w:pPr>
      <w:r>
        <w:t>本设计所采用的标准规范由施工单位自备。</w:t>
      </w:r>
    </w:p>
    <w:p w14:paraId="34E0CB16">
      <w:pPr>
        <w:pStyle w:val="20"/>
        <w:numPr>
          <w:ilvl w:val="0"/>
          <w:numId w:val="14"/>
        </w:numPr>
      </w:pPr>
      <w:r>
        <w:t>其它未尽事宜按现行有关国家或行业规范、规定执行。</w:t>
      </w:r>
    </w:p>
    <w:p w14:paraId="00538AEE">
      <w:pPr>
        <w:pStyle w:val="20"/>
        <w:numPr>
          <w:ilvl w:val="0"/>
          <w:numId w:val="14"/>
        </w:numPr>
      </w:pPr>
      <w:r>
        <w:t>改造管道在预制或安装前，施工单位需对现场进行最终测量，核实安装条件，防止预制的管道无法安装。</w:t>
      </w:r>
    </w:p>
    <w:p w14:paraId="7579ACEB">
      <w:pPr>
        <w:pStyle w:val="3"/>
      </w:pPr>
      <w:r>
        <w:t>九、服务承诺</w:t>
      </w:r>
    </w:p>
    <w:p w14:paraId="125199BB">
      <w:pPr>
        <w:pStyle w:val="20"/>
        <w:numPr>
          <w:ilvl w:val="0"/>
          <w:numId w:val="15"/>
        </w:numPr>
      </w:pPr>
      <w:r>
        <w:t>施工方组织严密，项目管理人员坚守现场。</w:t>
      </w:r>
    </w:p>
    <w:p w14:paraId="1EE08A14">
      <w:pPr>
        <w:pStyle w:val="20"/>
        <w:numPr>
          <w:ilvl w:val="0"/>
          <w:numId w:val="15"/>
        </w:numPr>
      </w:pPr>
      <w:r>
        <w:t>未经检修单位允许，施工人员不得随意进入其他非施工区域。</w:t>
      </w:r>
    </w:p>
    <w:p w14:paraId="19EB9CA0">
      <w:pPr>
        <w:pStyle w:val="20"/>
        <w:numPr>
          <w:ilvl w:val="0"/>
          <w:numId w:val="15"/>
        </w:numPr>
      </w:pPr>
      <w:r>
        <w:t>按照业主施工计划要求保质保量完成检修任务。</w:t>
      </w:r>
    </w:p>
    <w:p w14:paraId="7AC06D11">
      <w:pPr>
        <w:pStyle w:val="20"/>
        <w:numPr>
          <w:ilvl w:val="0"/>
          <w:numId w:val="15"/>
        </w:numPr>
      </w:pPr>
      <w:r>
        <w:t>施工质量符合国家规范标准要求。</w:t>
      </w:r>
    </w:p>
    <w:p w14:paraId="2CE29C57">
      <w:pPr>
        <w:pStyle w:val="3"/>
      </w:pPr>
      <w:r>
        <w:t>十、交付文件</w:t>
      </w:r>
    </w:p>
    <w:p w14:paraId="6D035636">
      <w:pPr>
        <w:pStyle w:val="20"/>
        <w:numPr>
          <w:ilvl w:val="0"/>
          <w:numId w:val="16"/>
        </w:numPr>
      </w:pPr>
      <w:r>
        <w:t>企业相关资质文件。</w:t>
      </w:r>
    </w:p>
    <w:p w14:paraId="54AF9A2E">
      <w:pPr>
        <w:pStyle w:val="20"/>
        <w:numPr>
          <w:ilvl w:val="0"/>
          <w:numId w:val="16"/>
        </w:numPr>
      </w:pPr>
      <w:r>
        <w:t>所有备件、设备等验收报告及材质证明。</w:t>
      </w:r>
    </w:p>
    <w:p w14:paraId="16E4CB50">
      <w:pPr>
        <w:pStyle w:val="20"/>
        <w:numPr>
          <w:ilvl w:val="0"/>
          <w:numId w:val="16"/>
        </w:numPr>
      </w:pPr>
      <w:r>
        <w:t>按照要求提供施工方案、施工记录、试验报告、验收资料等交工资料</w:t>
      </w:r>
      <w:r>
        <w:rPr>
          <w:rFonts w:hint="eastAsia"/>
        </w:rPr>
        <w:t>。</w:t>
      </w:r>
    </w:p>
    <w:p w14:paraId="3A01E3D2">
      <w:pPr>
        <w:pStyle w:val="20"/>
        <w:numPr>
          <w:ilvl w:val="0"/>
          <w:numId w:val="0"/>
        </w:numPr>
        <w:spacing w:before="120" w:after="120" w:line="288" w:lineRule="auto"/>
        <w:rPr>
          <w:rFonts w:hint="eastAsia"/>
        </w:rPr>
      </w:pPr>
    </w:p>
    <w:p w14:paraId="4E2175CF">
      <w:pPr>
        <w:pStyle w:val="20"/>
        <w:numPr>
          <w:ilvl w:val="0"/>
          <w:numId w:val="0"/>
        </w:numPr>
        <w:spacing w:before="120" w:after="120" w:line="288" w:lineRule="auto"/>
        <w:rPr>
          <w:rFonts w:hint="eastAsia" w:eastAsia="等线"/>
          <w:lang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BE5B9"/>
    <w:multiLevelType w:val="multilevel"/>
    <w:tmpl w:val="DEEBE5B9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84"/>
    <w:rsid w:val="001D032D"/>
    <w:rsid w:val="00437884"/>
    <w:rsid w:val="0069356F"/>
    <w:rsid w:val="00782AC4"/>
    <w:rsid w:val="00962220"/>
    <w:rsid w:val="00F6730A"/>
    <w:rsid w:val="13E76BAD"/>
    <w:rsid w:val="1614412C"/>
    <w:rsid w:val="1DBC0CFA"/>
    <w:rsid w:val="246A3780"/>
    <w:rsid w:val="288075B8"/>
    <w:rsid w:val="368E5203"/>
    <w:rsid w:val="39E4227A"/>
    <w:rsid w:val="40F2558C"/>
    <w:rsid w:val="411C481F"/>
    <w:rsid w:val="4785241E"/>
    <w:rsid w:val="4AF0150F"/>
    <w:rsid w:val="4B85085D"/>
    <w:rsid w:val="4DA9576A"/>
    <w:rsid w:val="5F002AE4"/>
    <w:rsid w:val="67537F52"/>
    <w:rsid w:val="6C804A45"/>
    <w:rsid w:val="7B0B3724"/>
    <w:rsid w:val="7F3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Char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2">
    <w:name w:val="页眉 Char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Char"/>
    <w:basedOn w:val="15"/>
    <w:link w:val="10"/>
    <w:qFormat/>
    <w:uiPriority w:val="0"/>
    <w:rPr>
      <w:sz w:val="18"/>
      <w:szCs w:val="18"/>
    </w:rPr>
  </w:style>
  <w:style w:type="character" w:customStyle="1" w:styleId="24">
    <w:name w:val="批注框文本 Char"/>
    <w:basedOn w:val="15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0CCC-1495-4903-92FA-C2D11D0FB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5051</Words>
  <Characters>5521</Characters>
  <Lines>40</Lines>
  <Paragraphs>11</Paragraphs>
  <TotalTime>281</TotalTime>
  <ScaleCrop>false</ScaleCrop>
  <LinksUpToDate>false</LinksUpToDate>
  <CharactersWithSpaces>5680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2025-06-30T10:42:00Z</dcterms:created>
  <dc:creator>Un-named</dc:creator>
  <cp:lastModifiedBy>张华娟</cp:lastModifiedBy>
  <dcterms:modified xsi:type="dcterms:W3CDTF">2025-09-26T01:40:57Z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eyJoZGlkIjoiM2RjZTMyYzJjNTA4OWEwZTA4YTBlMjcyOTRiYjQzNmYiLCJ1c2VySWQiOiIxNTY4Mzk2MzIyIn0=</vt:lpwstr>
  </property>
  <property fmtid="{D5CDD505-2E9C-101B-9397-08002B2CF9AE}" pid="3" name="KSOProductBuildVer">
    <vt:lpwstr>2052-12.1.0.22529</vt:lpwstr>
  </property>
  <property fmtid="{D5CDD505-2E9C-101B-9397-08002B2CF9AE}" pid="4" name="ICV">
    <vt:lpwstr>46CE949D4F2D41D788F60FF0A3E3F2C5_13</vt:lpwstr>
  </property>
</Properties>
</file>