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19"/>
        <w:rPr>
          <w:rFonts w:ascii="仿宋" w:hAnsi="仿宋" w:eastAsia="仿宋"/>
          <w:color w:val="auto"/>
          <w:sz w:val="16"/>
          <w:szCs w:val="16"/>
          <w:highlight w:val="none"/>
          <w:lang w:eastAsia="zh-CN"/>
        </w:rPr>
      </w:pPr>
    </w:p>
    <w:p w14:paraId="4422970F">
      <w:pPr>
        <w:pStyle w:val="19"/>
        <w:rPr>
          <w:rFonts w:ascii="仿宋" w:hAnsi="仿宋" w:eastAsia="仿宋"/>
          <w:color w:val="auto"/>
          <w:sz w:val="20"/>
          <w:highlight w:val="none"/>
        </w:rPr>
      </w:pPr>
    </w:p>
    <w:p w14:paraId="7E09FF86">
      <w:pPr>
        <w:pStyle w:val="19"/>
        <w:rPr>
          <w:rFonts w:ascii="仿宋" w:hAnsi="仿宋" w:eastAsia="仿宋"/>
          <w:color w:val="auto"/>
          <w:sz w:val="20"/>
          <w:highlight w:val="none"/>
        </w:rPr>
      </w:pPr>
    </w:p>
    <w:p w14:paraId="609CB927">
      <w:pPr>
        <w:pStyle w:val="19"/>
        <w:rPr>
          <w:rFonts w:ascii="仿宋" w:hAnsi="仿宋" w:eastAsia="仿宋"/>
          <w:color w:val="auto"/>
          <w:sz w:val="20"/>
          <w:highlight w:val="none"/>
        </w:rPr>
      </w:pPr>
    </w:p>
    <w:p w14:paraId="77780892">
      <w:pPr>
        <w:pStyle w:val="19"/>
        <w:rPr>
          <w:rFonts w:ascii="仿宋" w:hAnsi="仿宋" w:eastAsia="仿宋"/>
          <w:color w:val="auto"/>
          <w:sz w:val="20"/>
          <w:highlight w:val="none"/>
        </w:rPr>
      </w:pPr>
    </w:p>
    <w:p w14:paraId="52EDCF76">
      <w:pPr>
        <w:pStyle w:val="19"/>
        <w:spacing w:before="5"/>
        <w:rPr>
          <w:rFonts w:ascii="仿宋" w:hAnsi="仿宋" w:eastAsia="仿宋"/>
          <w:color w:val="auto"/>
          <w:sz w:val="20"/>
          <w:highlight w:val="none"/>
        </w:rPr>
      </w:pPr>
    </w:p>
    <w:p w14:paraId="083CB69D">
      <w:pPr>
        <w:pStyle w:val="19"/>
        <w:jc w:val="center"/>
        <w:rPr>
          <w:rFonts w:hint="eastAsia" w:ascii="仿宋" w:hAnsi="仿宋" w:eastAsia="仿宋"/>
          <w:b/>
          <w:color w:val="auto"/>
          <w:sz w:val="52"/>
          <w:szCs w:val="22"/>
          <w:highlight w:val="none"/>
          <w:u w:val="single"/>
          <w:lang w:eastAsia="zh-CN"/>
        </w:rPr>
      </w:pPr>
      <w:r>
        <w:rPr>
          <w:rFonts w:hint="eastAsia" w:ascii="仿宋" w:hAnsi="仿宋" w:eastAsia="仿宋"/>
          <w:b/>
          <w:color w:val="auto"/>
          <w:sz w:val="52"/>
          <w:szCs w:val="22"/>
          <w:highlight w:val="none"/>
          <w:u w:val="single"/>
          <w:lang w:eastAsia="zh-CN"/>
        </w:rPr>
        <w:t>福建福海创石油化工有限公司</w:t>
      </w:r>
    </w:p>
    <w:p w14:paraId="5DEBA1D5">
      <w:pPr>
        <w:pStyle w:val="19"/>
        <w:jc w:val="center"/>
        <w:rPr>
          <w:rFonts w:hint="eastAsia" w:ascii="仿宋" w:hAnsi="仿宋" w:eastAsia="仿宋"/>
          <w:b/>
          <w:color w:val="auto"/>
          <w:sz w:val="52"/>
          <w:szCs w:val="22"/>
          <w:highlight w:val="none"/>
          <w:u w:val="single"/>
          <w:lang w:eastAsia="zh-CN"/>
        </w:rPr>
      </w:pPr>
    </w:p>
    <w:p w14:paraId="43EC0059">
      <w:pPr>
        <w:pStyle w:val="19"/>
        <w:ind w:firstLine="643" w:firstLineChars="200"/>
        <w:jc w:val="both"/>
        <w:rPr>
          <w:rFonts w:ascii="仿宋" w:hAnsi="仿宋" w:eastAsia="仿宋"/>
          <w:b/>
          <w:color w:val="auto"/>
          <w:sz w:val="32"/>
          <w:szCs w:val="32"/>
          <w:highlight w:val="none"/>
          <w:u w:val="single"/>
          <w:lang w:eastAsia="zh-CN"/>
        </w:rPr>
      </w:pPr>
      <w:r>
        <w:rPr>
          <w:rFonts w:hint="eastAsia" w:ascii="仿宋" w:hAnsi="仿宋" w:eastAsia="仿宋"/>
          <w:b/>
          <w:color w:val="auto"/>
          <w:sz w:val="32"/>
          <w:szCs w:val="32"/>
          <w:highlight w:val="none"/>
          <w:u w:val="single"/>
          <w:lang w:val="en-US" w:eastAsia="zh-CN"/>
        </w:rPr>
        <w:t>2025年9月10500吨PX 船舶运输服务（古雷-宁波/嘉兴）</w:t>
      </w:r>
    </w:p>
    <w:p w14:paraId="0194BC25">
      <w:pPr>
        <w:pStyle w:val="19"/>
        <w:jc w:val="center"/>
        <w:rPr>
          <w:rFonts w:ascii="仿宋" w:hAnsi="仿宋" w:eastAsia="仿宋"/>
          <w:b/>
          <w:color w:val="auto"/>
          <w:sz w:val="44"/>
          <w:szCs w:val="44"/>
          <w:highlight w:val="none"/>
          <w:u w:val="single"/>
          <w:lang w:eastAsia="zh-CN"/>
        </w:rPr>
      </w:pPr>
    </w:p>
    <w:p w14:paraId="4FD62B60">
      <w:pPr>
        <w:pStyle w:val="19"/>
        <w:jc w:val="center"/>
        <w:rPr>
          <w:rFonts w:ascii="仿宋" w:hAnsi="仿宋" w:eastAsia="仿宋"/>
          <w:b/>
          <w:color w:val="auto"/>
          <w:sz w:val="72"/>
          <w:szCs w:val="72"/>
          <w:highlight w:val="none"/>
          <w:u w:val="single"/>
          <w:lang w:eastAsia="zh-CN"/>
        </w:rPr>
      </w:pPr>
      <w:r>
        <w:rPr>
          <w:rFonts w:hint="eastAsia" w:ascii="仿宋" w:hAnsi="仿宋" w:eastAsia="仿宋"/>
          <w:b/>
          <w:color w:val="auto"/>
          <w:sz w:val="72"/>
          <w:szCs w:val="72"/>
          <w:highlight w:val="none"/>
          <w:u w:val="single"/>
          <w:lang w:eastAsia="zh-CN"/>
        </w:rPr>
        <w:t>询比采购文件</w:t>
      </w:r>
    </w:p>
    <w:p w14:paraId="73F45AFF">
      <w:pPr>
        <w:pStyle w:val="19"/>
        <w:jc w:val="center"/>
        <w:rPr>
          <w:rFonts w:ascii="仿宋" w:hAnsi="仿宋" w:eastAsia="仿宋"/>
          <w:color w:val="auto"/>
          <w:sz w:val="28"/>
          <w:szCs w:val="28"/>
          <w:highlight w:val="none"/>
          <w:lang w:eastAsia="zh-CN"/>
        </w:rPr>
      </w:pPr>
    </w:p>
    <w:p w14:paraId="254CD889">
      <w:pPr>
        <w:jc w:val="both"/>
        <w:rPr>
          <w:rFonts w:hint="eastAsia" w:ascii="仿宋" w:hAnsi="仿宋" w:eastAsia="仿宋"/>
          <w:color w:val="auto"/>
          <w:sz w:val="32"/>
          <w:szCs w:val="32"/>
          <w:highlight w:val="none"/>
        </w:rPr>
      </w:pPr>
    </w:p>
    <w:p w14:paraId="664AE1EE">
      <w:pPr>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（文件编号：</w:t>
      </w:r>
      <w:r>
        <w:rPr>
          <w:rFonts w:hint="eastAsia" w:ascii="仿宋" w:hAnsi="仿宋" w:eastAsia="仿宋" w:cs="仿宋"/>
          <w:i w:val="0"/>
          <w:caps w:val="0"/>
          <w:color w:val="auto"/>
          <w:spacing w:val="0"/>
          <w:sz w:val="32"/>
          <w:szCs w:val="32"/>
          <w:shd w:val="clear" w:color="auto" w:fill="FFFFFF"/>
          <w:vertAlign w:val="baseline"/>
          <w:lang w:val="en-US" w:eastAsia="zh-CN" w:bidi="ar-SA"/>
        </w:rPr>
        <w:t>PB250811000027</w:t>
      </w:r>
      <w:r>
        <w:rPr>
          <w:rFonts w:hint="eastAsia" w:ascii="仿宋" w:hAnsi="仿宋" w:eastAsia="仿宋"/>
          <w:color w:val="auto"/>
          <w:sz w:val="32"/>
          <w:szCs w:val="32"/>
          <w:highlight w:val="none"/>
        </w:rPr>
        <w:t>）</w:t>
      </w:r>
    </w:p>
    <w:p w14:paraId="61CA626B">
      <w:pPr>
        <w:pStyle w:val="19"/>
        <w:rPr>
          <w:rFonts w:ascii="仿宋" w:hAnsi="仿宋" w:eastAsia="仿宋"/>
          <w:b/>
          <w:color w:val="auto"/>
          <w:sz w:val="94"/>
          <w:highlight w:val="none"/>
          <w:lang w:eastAsia="zh-CN"/>
        </w:rPr>
      </w:pPr>
    </w:p>
    <w:p w14:paraId="2C2E7F7C">
      <w:pPr>
        <w:pStyle w:val="19"/>
        <w:rPr>
          <w:rFonts w:ascii="仿宋" w:hAnsi="仿宋" w:eastAsia="仿宋"/>
          <w:b/>
          <w:color w:val="auto"/>
          <w:sz w:val="94"/>
          <w:highlight w:val="none"/>
          <w:lang w:eastAsia="zh-CN"/>
        </w:rPr>
      </w:pPr>
    </w:p>
    <w:p w14:paraId="0EDD7F02">
      <w:pPr>
        <w:pStyle w:val="19"/>
        <w:rPr>
          <w:rFonts w:ascii="仿宋" w:hAnsi="仿宋" w:eastAsia="仿宋"/>
          <w:b/>
          <w:color w:val="auto"/>
          <w:sz w:val="32"/>
          <w:szCs w:val="32"/>
          <w:highlight w:val="none"/>
          <w:lang w:eastAsia="zh-CN"/>
        </w:rPr>
      </w:pPr>
    </w:p>
    <w:p w14:paraId="625E23BA">
      <w:pPr>
        <w:pStyle w:val="19"/>
        <w:rPr>
          <w:rFonts w:ascii="仿宋" w:hAnsi="仿宋" w:eastAsia="仿宋"/>
          <w:b/>
          <w:color w:val="auto"/>
          <w:sz w:val="32"/>
          <w:szCs w:val="32"/>
          <w:highlight w:val="none"/>
          <w:lang w:eastAsia="zh-CN"/>
        </w:rPr>
      </w:pPr>
    </w:p>
    <w:p w14:paraId="508D72A8">
      <w:pPr>
        <w:pStyle w:val="19"/>
        <w:rPr>
          <w:rFonts w:ascii="仿宋" w:hAnsi="仿宋" w:eastAsia="仿宋"/>
          <w:b/>
          <w:color w:val="auto"/>
          <w:sz w:val="32"/>
          <w:szCs w:val="32"/>
          <w:highlight w:val="none"/>
          <w:lang w:eastAsia="zh-CN"/>
        </w:rPr>
      </w:pPr>
    </w:p>
    <w:p w14:paraId="5D7479EF">
      <w:pPr>
        <w:pStyle w:val="19"/>
        <w:rPr>
          <w:rFonts w:ascii="仿宋" w:hAnsi="仿宋" w:eastAsia="仿宋"/>
          <w:b/>
          <w:color w:val="auto"/>
          <w:sz w:val="32"/>
          <w:szCs w:val="32"/>
          <w:highlight w:val="none"/>
          <w:lang w:eastAsia="zh-CN"/>
        </w:rPr>
      </w:pPr>
    </w:p>
    <w:p w14:paraId="5876BD09">
      <w:pPr>
        <w:pStyle w:val="19"/>
        <w:rPr>
          <w:rFonts w:ascii="仿宋" w:hAnsi="仿宋" w:eastAsia="仿宋"/>
          <w:b/>
          <w:color w:val="auto"/>
          <w:sz w:val="32"/>
          <w:szCs w:val="32"/>
          <w:highlight w:val="none"/>
          <w:lang w:eastAsia="zh-CN"/>
        </w:rPr>
      </w:pPr>
    </w:p>
    <w:p w14:paraId="22155F58">
      <w:pPr>
        <w:pStyle w:val="54"/>
        <w:jc w:val="center"/>
        <w:rPr>
          <w:rFonts w:ascii="仿宋" w:hAnsi="仿宋" w:eastAsia="仿宋"/>
          <w:b/>
          <w:color w:val="auto"/>
          <w:sz w:val="28"/>
          <w:szCs w:val="28"/>
          <w:highlight w:val="none"/>
        </w:rPr>
      </w:pPr>
    </w:p>
    <w:p w14:paraId="28F76EEA">
      <w:pPr>
        <w:pStyle w:val="54"/>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福建</w:t>
      </w:r>
      <w:r>
        <w:rPr>
          <w:rFonts w:ascii="仿宋" w:hAnsi="仿宋" w:eastAsia="仿宋"/>
          <w:b/>
          <w:color w:val="auto"/>
          <w:sz w:val="28"/>
          <w:szCs w:val="28"/>
          <w:highlight w:val="none"/>
        </w:rPr>
        <w:t>福海创石油化工有限公司</w:t>
      </w:r>
      <w:r>
        <w:rPr>
          <w:rFonts w:hint="eastAsia" w:ascii="仿宋" w:hAnsi="仿宋" w:eastAsia="仿宋"/>
          <w:b/>
          <w:color w:val="auto"/>
          <w:sz w:val="28"/>
          <w:szCs w:val="28"/>
          <w:highlight w:val="none"/>
        </w:rPr>
        <w:t>编制</w:t>
      </w:r>
    </w:p>
    <w:p w14:paraId="35171FC6">
      <w:pPr>
        <w:spacing w:line="271" w:lineRule="auto"/>
        <w:ind w:right="1889"/>
        <w:rPr>
          <w:rFonts w:ascii="仿宋" w:hAnsi="仿宋" w:eastAsia="仿宋"/>
          <w:b/>
          <w:color w:val="auto"/>
          <w:w w:val="95"/>
          <w:sz w:val="32"/>
          <w:highlight w:val="none"/>
          <w:lang w:eastAsia="zh-CN"/>
        </w:rPr>
        <w:sectPr>
          <w:footerReference r:id="rId3" w:type="default"/>
          <w:type w:val="continuous"/>
          <w:pgSz w:w="11910" w:h="16840"/>
          <w:pgMar w:top="1600" w:right="1680" w:bottom="280" w:left="1680" w:header="720" w:footer="720" w:gutter="0"/>
          <w:pgNumType w:fmt="decimal" w:start="1"/>
          <w:cols w:space="720" w:num="1"/>
        </w:sectPr>
      </w:pPr>
      <w:r>
        <w:rPr>
          <w:rFonts w:hint="eastAsia" w:ascii="仿宋" w:hAnsi="仿宋" w:eastAsia="仿宋"/>
          <w:b/>
          <w:color w:val="auto"/>
          <w:w w:val="95"/>
          <w:sz w:val="32"/>
          <w:highlight w:val="none"/>
          <w:lang w:eastAsia="zh-CN"/>
        </w:rPr>
        <w:t xml:space="preserve">                     二〇二五年</w:t>
      </w:r>
      <w:r>
        <w:rPr>
          <w:rFonts w:hint="eastAsia" w:ascii="仿宋" w:hAnsi="仿宋" w:eastAsia="仿宋"/>
          <w:b/>
          <w:color w:val="auto"/>
          <w:w w:val="95"/>
          <w:sz w:val="32"/>
          <w:highlight w:val="none"/>
          <w:lang w:val="en-US" w:eastAsia="zh-CN"/>
        </w:rPr>
        <w:t>八</w:t>
      </w:r>
      <w:r>
        <w:rPr>
          <w:rFonts w:hint="eastAsia" w:ascii="仿宋" w:hAnsi="仿宋" w:eastAsia="仿宋"/>
          <w:b/>
          <w:color w:val="auto"/>
          <w:w w:val="95"/>
          <w:sz w:val="32"/>
          <w:highlight w:val="none"/>
          <w:lang w:eastAsia="zh-CN"/>
        </w:rPr>
        <w:t>月</w:t>
      </w:r>
    </w:p>
    <w:p w14:paraId="0243ECD9">
      <w:pPr>
        <w:tabs>
          <w:tab w:val="left" w:pos="959"/>
        </w:tabs>
        <w:spacing w:line="395" w:lineRule="exact"/>
        <w:ind w:right="170"/>
        <w:jc w:val="center"/>
        <w:rPr>
          <w:rFonts w:ascii="仿宋" w:hAnsi="仿宋" w:eastAsia="仿宋"/>
          <w:color w:val="auto"/>
          <w:sz w:val="32"/>
          <w:highlight w:val="none"/>
          <w:lang w:eastAsia="zh-CN"/>
        </w:rPr>
      </w:pPr>
      <w:r>
        <w:rPr>
          <w:rFonts w:hint="eastAsia" w:ascii="仿宋" w:hAnsi="仿宋" w:eastAsia="仿宋"/>
          <w:color w:val="auto"/>
          <w:sz w:val="32"/>
          <w:highlight w:val="none"/>
          <w:lang w:eastAsia="zh-CN"/>
        </w:rPr>
        <w:t>目</w:t>
      </w:r>
      <w:r>
        <w:rPr>
          <w:rFonts w:hint="eastAsia" w:ascii="仿宋" w:hAnsi="仿宋" w:eastAsia="仿宋"/>
          <w:color w:val="auto"/>
          <w:sz w:val="32"/>
          <w:highlight w:val="none"/>
          <w:lang w:eastAsia="zh-CN"/>
        </w:rPr>
        <w:tab/>
      </w:r>
      <w:r>
        <w:rPr>
          <w:rFonts w:hint="eastAsia" w:ascii="仿宋" w:hAnsi="仿宋" w:eastAsia="仿宋"/>
          <w:color w:val="auto"/>
          <w:sz w:val="32"/>
          <w:highlight w:val="none"/>
          <w:lang w:eastAsia="zh-CN"/>
        </w:rPr>
        <w:t>录</w:t>
      </w:r>
    </w:p>
    <w:p w14:paraId="02E1E4BA">
      <w:pPr>
        <w:pStyle w:val="19"/>
        <w:rPr>
          <w:rFonts w:ascii="仿宋" w:hAnsi="仿宋" w:eastAsia="仿宋"/>
          <w:color w:val="auto"/>
          <w:sz w:val="20"/>
          <w:highlight w:val="none"/>
          <w:lang w:eastAsia="zh-CN"/>
        </w:rPr>
      </w:pPr>
    </w:p>
    <w:p w14:paraId="2F106746">
      <w:pPr>
        <w:pStyle w:val="19"/>
        <w:rPr>
          <w:rFonts w:ascii="仿宋" w:hAnsi="仿宋" w:eastAsia="仿宋"/>
          <w:color w:val="auto"/>
          <w:sz w:val="20"/>
          <w:highlight w:val="none"/>
          <w:lang w:eastAsia="zh-CN"/>
        </w:rPr>
      </w:pPr>
    </w:p>
    <w:p w14:paraId="2356BFA5">
      <w:pPr>
        <w:pStyle w:val="19"/>
        <w:spacing w:before="9"/>
        <w:rPr>
          <w:rFonts w:ascii="仿宋" w:hAnsi="仿宋" w:eastAsia="仿宋"/>
          <w:color w:val="auto"/>
          <w:highlight w:val="none"/>
          <w:lang w:eastAsia="zh-CN"/>
        </w:rPr>
      </w:pPr>
    </w:p>
    <w:p w14:paraId="5202D942">
      <w:pPr>
        <w:tabs>
          <w:tab w:val="left" w:pos="709"/>
        </w:tabs>
        <w:spacing w:line="360" w:lineRule="auto"/>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 xml:space="preserve">    </w:t>
      </w:r>
      <w:r>
        <w:rPr>
          <w:rFonts w:ascii="仿宋" w:hAnsi="仿宋" w:eastAsia="仿宋"/>
          <w:color w:val="auto"/>
          <w:sz w:val="24"/>
          <w:szCs w:val="24"/>
          <w:highlight w:val="none"/>
          <w:lang w:eastAsia="zh-CN"/>
        </w:rPr>
        <w:t>第一章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eastAsia="zh-CN"/>
        </w:rPr>
        <w:t>询比</w:t>
      </w:r>
      <w:r>
        <w:rPr>
          <w:rFonts w:ascii="仿宋" w:hAnsi="仿宋" w:eastAsia="仿宋"/>
          <w:color w:val="auto"/>
          <w:sz w:val="24"/>
          <w:szCs w:val="24"/>
          <w:highlight w:val="none"/>
          <w:lang w:eastAsia="zh-CN"/>
        </w:rPr>
        <w:t xml:space="preserve">公告 </w:t>
      </w:r>
      <w:r>
        <w:rPr>
          <w:rFonts w:hint="eastAsia" w:ascii="仿宋" w:hAnsi="仿宋" w:eastAsia="仿宋"/>
          <w:color w:val="auto"/>
          <w:sz w:val="24"/>
          <w:szCs w:val="24"/>
          <w:highlight w:val="none"/>
          <w:lang w:eastAsia="zh-CN"/>
        </w:rPr>
        <w:t xml:space="preserve">    </w:t>
      </w:r>
    </w:p>
    <w:p w14:paraId="52559B48">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第二章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eastAsia="zh-CN"/>
        </w:rPr>
        <w:t>询比</w:t>
      </w:r>
      <w:r>
        <w:rPr>
          <w:rFonts w:ascii="仿宋" w:hAnsi="仿宋" w:eastAsia="仿宋"/>
          <w:color w:val="auto"/>
          <w:sz w:val="24"/>
          <w:szCs w:val="24"/>
          <w:highlight w:val="none"/>
          <w:lang w:eastAsia="zh-CN"/>
        </w:rPr>
        <w:t>须知</w:t>
      </w:r>
    </w:p>
    <w:p w14:paraId="64BEB7E6">
      <w:pPr>
        <w:tabs>
          <w:tab w:val="left" w:pos="709"/>
        </w:tabs>
        <w:spacing w:line="360" w:lineRule="auto"/>
        <w:ind w:firstLine="480" w:firstLineChars="20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第三章  液体货物运输说明</w:t>
      </w:r>
    </w:p>
    <w:p w14:paraId="3690D67D">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四</w:t>
      </w:r>
      <w:r>
        <w:rPr>
          <w:rFonts w:ascii="仿宋" w:hAnsi="仿宋" w:eastAsia="仿宋"/>
          <w:color w:val="auto"/>
          <w:sz w:val="24"/>
          <w:szCs w:val="24"/>
          <w:highlight w:val="none"/>
          <w:lang w:eastAsia="zh-CN"/>
        </w:rPr>
        <w:t>章</w:t>
      </w:r>
      <w:r>
        <w:rPr>
          <w:rFonts w:hint="eastAsia" w:ascii="仿宋" w:hAnsi="仿宋" w:eastAsia="仿宋"/>
          <w:color w:val="auto"/>
          <w:sz w:val="24"/>
          <w:szCs w:val="24"/>
          <w:highlight w:val="none"/>
          <w:lang w:eastAsia="zh-CN"/>
        </w:rPr>
        <w:t xml:space="preserve">  </w:t>
      </w:r>
      <w:r>
        <w:rPr>
          <w:rFonts w:hint="eastAsia" w:ascii="仿宋" w:hAnsi="仿宋" w:eastAsia="仿宋" w:cs="仿宋"/>
          <w:b w:val="0"/>
          <w:bCs w:val="0"/>
          <w:sz w:val="24"/>
          <w:szCs w:val="24"/>
        </w:rPr>
        <w:t>报价参与书</w:t>
      </w:r>
    </w:p>
    <w:p w14:paraId="2ED1C7DB">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五</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hint="eastAsia" w:ascii="仿宋" w:hAnsi="仿宋" w:eastAsia="仿宋" w:cs="仿宋"/>
          <w:b w:val="0"/>
          <w:bCs w:val="0"/>
          <w:sz w:val="24"/>
          <w:szCs w:val="24"/>
        </w:rPr>
        <w:t>法定代表人授权书</w:t>
      </w:r>
    </w:p>
    <w:p w14:paraId="0487A8DC">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六</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val="en-US" w:eastAsia="zh-CN"/>
        </w:rPr>
        <w:t>运费</w:t>
      </w:r>
      <w:r>
        <w:rPr>
          <w:rFonts w:hint="eastAsia" w:ascii="仿宋" w:hAnsi="仿宋" w:eastAsia="仿宋" w:cs="仿宋"/>
          <w:b w:val="0"/>
          <w:bCs w:val="0"/>
          <w:sz w:val="24"/>
          <w:szCs w:val="24"/>
        </w:rPr>
        <w:t>报价单</w:t>
      </w:r>
    </w:p>
    <w:p w14:paraId="00783197">
      <w:pPr>
        <w:tabs>
          <w:tab w:val="left" w:pos="709"/>
        </w:tabs>
        <w:spacing w:line="360" w:lineRule="auto"/>
        <w:ind w:firstLine="480" w:firstLineChars="200"/>
        <w:rPr>
          <w:rFonts w:ascii="仿宋" w:hAnsi="仿宋" w:eastAsia="仿宋"/>
          <w:b w:val="0"/>
          <w:bCs/>
          <w:color w:val="auto"/>
          <w:w w:val="95"/>
          <w:sz w:val="24"/>
          <w:szCs w:val="24"/>
          <w:highlight w:val="none"/>
          <w:lang w:eastAsia="zh-CN"/>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七</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ascii="仿宋" w:hAnsi="仿宋" w:eastAsia="仿宋"/>
          <w:b w:val="0"/>
          <w:bCs/>
          <w:color w:val="auto"/>
          <w:w w:val="95"/>
          <w:sz w:val="24"/>
          <w:szCs w:val="24"/>
          <w:highlight w:val="none"/>
          <w:lang w:eastAsia="zh-CN"/>
        </w:rPr>
        <w:t>合同授予</w:t>
      </w:r>
    </w:p>
    <w:p w14:paraId="0DE2531A">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八</w:t>
      </w:r>
      <w:r>
        <w:rPr>
          <w:rFonts w:ascii="仿宋" w:hAnsi="仿宋" w:eastAsia="仿宋"/>
          <w:color w:val="auto"/>
          <w:sz w:val="24"/>
          <w:szCs w:val="24"/>
          <w:highlight w:val="none"/>
          <w:lang w:eastAsia="zh-CN"/>
        </w:rPr>
        <w:t>章</w:t>
      </w:r>
      <w:r>
        <w:rPr>
          <w:rFonts w:hint="eastAsia" w:ascii="仿宋" w:hAnsi="仿宋" w:eastAsia="仿宋"/>
          <w:color w:val="auto"/>
          <w:sz w:val="24"/>
          <w:szCs w:val="24"/>
          <w:highlight w:val="none"/>
          <w:lang w:val="en-US" w:eastAsia="zh-CN"/>
        </w:rPr>
        <w:t xml:space="preserve">  </w:t>
      </w:r>
      <w:r>
        <w:rPr>
          <w:rFonts w:ascii="仿宋" w:hAnsi="仿宋" w:eastAsia="仿宋"/>
          <w:color w:val="auto"/>
          <w:sz w:val="24"/>
          <w:szCs w:val="24"/>
          <w:highlight w:val="none"/>
          <w:lang w:eastAsia="zh-CN"/>
        </w:rPr>
        <w:t>中选后相关履约要求</w:t>
      </w:r>
    </w:p>
    <w:p w14:paraId="3E9AC4CB">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九</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ascii="仿宋" w:hAnsi="仿宋" w:eastAsia="仿宋"/>
          <w:color w:val="auto"/>
          <w:sz w:val="24"/>
          <w:szCs w:val="24"/>
          <w:highlight w:val="none"/>
          <w:lang w:eastAsia="zh-CN"/>
        </w:rPr>
        <w:t>其它</w:t>
      </w:r>
    </w:p>
    <w:p w14:paraId="527C6A00">
      <w:pPr>
        <w:tabs>
          <w:tab w:val="left" w:pos="709"/>
        </w:tabs>
        <w:spacing w:line="360" w:lineRule="auto"/>
        <w:ind w:firstLine="480" w:firstLineChars="200"/>
        <w:rPr>
          <w:rFonts w:ascii="仿宋" w:hAnsi="仿宋" w:eastAsia="仿宋"/>
          <w:color w:val="auto"/>
          <w:sz w:val="24"/>
          <w:szCs w:val="24"/>
          <w:highlight w:val="none"/>
          <w:lang w:eastAsia="zh-CN"/>
        </w:rPr>
      </w:pPr>
    </w:p>
    <w:p w14:paraId="09FB5C11">
      <w:pPr>
        <w:tabs>
          <w:tab w:val="left" w:pos="709"/>
        </w:tabs>
        <w:spacing w:line="360" w:lineRule="auto"/>
        <w:ind w:firstLine="480" w:firstLineChars="200"/>
        <w:rPr>
          <w:rFonts w:ascii="仿宋" w:hAnsi="仿宋" w:eastAsia="仿宋"/>
          <w:color w:val="auto"/>
          <w:sz w:val="24"/>
          <w:szCs w:val="24"/>
          <w:highlight w:val="none"/>
          <w:lang w:eastAsia="zh-CN"/>
        </w:rPr>
      </w:pPr>
    </w:p>
    <w:p w14:paraId="0B07B865">
      <w:pPr>
        <w:tabs>
          <w:tab w:val="left" w:pos="709"/>
        </w:tabs>
        <w:spacing w:line="360" w:lineRule="auto"/>
        <w:ind w:firstLine="480" w:firstLineChars="200"/>
        <w:rPr>
          <w:rFonts w:ascii="仿宋" w:hAnsi="仿宋" w:eastAsia="仿宋"/>
          <w:color w:val="auto"/>
          <w:sz w:val="24"/>
          <w:szCs w:val="24"/>
          <w:highlight w:val="none"/>
          <w:lang w:eastAsia="zh-CN"/>
        </w:rPr>
      </w:pPr>
    </w:p>
    <w:p w14:paraId="4239A15B">
      <w:pPr>
        <w:tabs>
          <w:tab w:val="left" w:pos="709"/>
        </w:tabs>
        <w:spacing w:line="360" w:lineRule="auto"/>
        <w:ind w:firstLine="480" w:firstLineChars="200"/>
        <w:rPr>
          <w:rFonts w:ascii="仿宋" w:hAnsi="仿宋" w:eastAsia="仿宋"/>
          <w:color w:val="auto"/>
          <w:sz w:val="24"/>
          <w:szCs w:val="24"/>
          <w:highlight w:val="none"/>
          <w:lang w:eastAsia="zh-CN"/>
        </w:rPr>
      </w:pPr>
    </w:p>
    <w:p w14:paraId="37EFEF69">
      <w:pPr>
        <w:tabs>
          <w:tab w:val="left" w:pos="709"/>
        </w:tabs>
        <w:spacing w:line="360" w:lineRule="auto"/>
        <w:ind w:firstLine="480" w:firstLineChars="200"/>
        <w:rPr>
          <w:rFonts w:ascii="仿宋" w:hAnsi="仿宋" w:eastAsia="仿宋"/>
          <w:color w:val="auto"/>
          <w:sz w:val="24"/>
          <w:szCs w:val="24"/>
          <w:highlight w:val="none"/>
          <w:lang w:eastAsia="zh-CN"/>
        </w:rPr>
      </w:pPr>
    </w:p>
    <w:p w14:paraId="31BFF666">
      <w:pPr>
        <w:spacing w:line="408" w:lineRule="auto"/>
        <w:rPr>
          <w:rFonts w:ascii="仿宋" w:hAnsi="仿宋" w:eastAsia="仿宋"/>
          <w:color w:val="auto"/>
          <w:sz w:val="28"/>
          <w:highlight w:val="none"/>
          <w:lang w:eastAsia="zh-CN"/>
        </w:rPr>
        <w:sectPr>
          <w:footerReference r:id="rId4" w:type="default"/>
          <w:pgSz w:w="11910" w:h="16840"/>
          <w:pgMar w:top="1247" w:right="1474" w:bottom="850" w:left="1587" w:header="0" w:footer="550" w:gutter="0"/>
          <w:pgNumType w:fmt="decimal"/>
          <w:cols w:space="0" w:num="1"/>
        </w:sectPr>
      </w:pPr>
    </w:p>
    <w:p w14:paraId="4472B7D4">
      <w:pPr>
        <w:pStyle w:val="70"/>
        <w:numPr>
          <w:ilvl w:val="0"/>
          <w:numId w:val="6"/>
        </w:numPr>
        <w:tabs>
          <w:tab w:val="left" w:pos="1272"/>
        </w:tabs>
        <w:spacing w:before="240" w:after="240" w:afterLines="100" w:line="240" w:lineRule="exact"/>
        <w:ind w:left="1270" w:hanging="1259"/>
        <w:jc w:val="center"/>
        <w:rPr>
          <w:rFonts w:ascii="仿宋" w:hAnsi="仿宋" w:eastAsia="仿宋"/>
          <w:b/>
          <w:color w:val="auto"/>
          <w:w w:val="95"/>
          <w:sz w:val="32"/>
          <w:szCs w:val="32"/>
          <w:highlight w:val="none"/>
          <w:lang w:eastAsia="zh-CN"/>
        </w:rPr>
      </w:pPr>
      <w:r>
        <w:rPr>
          <w:rFonts w:hint="eastAsia" w:ascii="仿宋" w:hAnsi="仿宋" w:eastAsia="仿宋"/>
          <w:b/>
          <w:color w:val="auto"/>
          <w:spacing w:val="-1"/>
          <w:w w:val="95"/>
          <w:sz w:val="32"/>
          <w:szCs w:val="32"/>
          <w:highlight w:val="none"/>
          <w:lang w:eastAsia="zh-CN"/>
        </w:rPr>
        <w:t>询比</w:t>
      </w:r>
      <w:r>
        <w:rPr>
          <w:rFonts w:ascii="仿宋" w:hAnsi="仿宋" w:eastAsia="仿宋"/>
          <w:b/>
          <w:color w:val="auto"/>
          <w:spacing w:val="-1"/>
          <w:w w:val="95"/>
          <w:sz w:val="32"/>
          <w:szCs w:val="32"/>
          <w:highlight w:val="none"/>
          <w:lang w:eastAsia="zh-CN"/>
        </w:rPr>
        <w:t>公</w:t>
      </w:r>
      <w:r>
        <w:rPr>
          <w:rFonts w:ascii="仿宋" w:hAnsi="仿宋" w:eastAsia="仿宋"/>
          <w:b/>
          <w:color w:val="auto"/>
          <w:w w:val="95"/>
          <w:sz w:val="32"/>
          <w:szCs w:val="32"/>
          <w:highlight w:val="none"/>
          <w:lang w:eastAsia="zh-CN"/>
        </w:rPr>
        <w:t>告</w:t>
      </w:r>
    </w:p>
    <w:p w14:paraId="12A4B0FE">
      <w:pPr>
        <w:pStyle w:val="19"/>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      福建福海创石油化工有限公司就“</w:t>
      </w:r>
      <w:r>
        <w:rPr>
          <w:rFonts w:hint="eastAsia" w:ascii="Times New Roman" w:hAnsi="Times New Roman" w:cs="Times New Roman"/>
          <w:color w:val="auto"/>
          <w:highlight w:val="none"/>
          <w:lang w:val="en-US" w:eastAsia="zh-CN"/>
        </w:rPr>
        <w:t>2025年9月10500吨PX 船舶运输服务（古雷-宁波/嘉兴）</w:t>
      </w:r>
      <w:r>
        <w:rPr>
          <w:rFonts w:ascii="Times New Roman" w:hAnsi="Times New Roman" w:cs="Times New Roman"/>
          <w:color w:val="auto"/>
          <w:highlight w:val="none"/>
          <w:lang w:eastAsia="zh-CN"/>
        </w:rPr>
        <w:t>（编号：</w:t>
      </w:r>
      <w:r>
        <w:rPr>
          <w:rFonts w:hint="eastAsia" w:ascii="Times New Roman" w:hAnsi="Times New Roman" w:cs="Times New Roman"/>
          <w:color w:val="auto"/>
          <w:highlight w:val="none"/>
          <w:lang w:val="en-US" w:eastAsia="zh-CN"/>
        </w:rPr>
        <w:t>PB250811000027</w:t>
      </w:r>
      <w:r>
        <w:rPr>
          <w:rFonts w:ascii="Times New Roman" w:hAnsi="Times New Roman" w:cs="Times New Roman"/>
          <w:color w:val="auto"/>
          <w:highlight w:val="none"/>
          <w:lang w:eastAsia="zh-CN"/>
        </w:rPr>
        <w:t>）”进行国内公开询比采购，欢迎国内符合条件的供应商积极参加。</w:t>
      </w:r>
    </w:p>
    <w:p w14:paraId="5326B2B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一、项目概况与采购内容</w:t>
      </w:r>
    </w:p>
    <w:p w14:paraId="10F6D928">
      <w:pPr>
        <w:spacing w:line="360" w:lineRule="auto"/>
        <w:ind w:left="1456" w:leftChars="1" w:hanging="1454" w:hangingChars="606"/>
        <w:rPr>
          <w:rFonts w:ascii="Times New Roman" w:hAnsi="Times New Roman" w:cs="Times New Roman"/>
          <w:snapToGrid w:val="0"/>
          <w:color w:val="auto"/>
          <w:sz w:val="24"/>
          <w:szCs w:val="24"/>
          <w:highlight w:val="none"/>
          <w:lang w:eastAsia="zh-CN"/>
        </w:rPr>
      </w:pPr>
      <w:r>
        <w:rPr>
          <w:rFonts w:ascii="Times New Roman" w:hAnsi="Times New Roman" w:cs="Times New Roman"/>
          <w:snapToGrid w:val="0"/>
          <w:color w:val="auto"/>
          <w:sz w:val="24"/>
          <w:szCs w:val="24"/>
          <w:highlight w:val="none"/>
          <w:lang w:eastAsia="zh-CN"/>
        </w:rPr>
        <w:t>1、 项目名称：</w:t>
      </w:r>
      <w:r>
        <w:rPr>
          <w:rFonts w:hint="eastAsia" w:asciiTheme="minorEastAsia" w:hAnsiTheme="minorEastAsia" w:eastAsiaTheme="minorEastAsia" w:cstheme="minorEastAsia"/>
          <w:i w:val="0"/>
          <w:caps w:val="0"/>
          <w:color w:val="333333"/>
          <w:spacing w:val="0"/>
          <w:kern w:val="2"/>
          <w:sz w:val="24"/>
          <w:szCs w:val="24"/>
          <w:shd w:val="clear" w:color="auto" w:fill="FFFFFF"/>
          <w:vertAlign w:val="baseline"/>
          <w:lang w:val="en-US" w:eastAsia="zh-CN" w:bidi="ar-SA"/>
        </w:rPr>
        <w:t>2025年9月10500吨PX 船舶运输服务（古雷-宁波/嘉兴）</w:t>
      </w:r>
    </w:p>
    <w:p w14:paraId="0E7CED87">
      <w:pPr>
        <w:spacing w:line="360" w:lineRule="auto"/>
        <w:ind w:left="357" w:leftChars="0" w:hanging="357" w:hangingChars="149"/>
        <w:rPr>
          <w:rFonts w:hint="eastAsia" w:asciiTheme="minorEastAsia" w:hAnsiTheme="minorEastAsia" w:eastAsiaTheme="minorEastAsia" w:cstheme="minorEastAsia"/>
          <w:b w:val="0"/>
          <w:bCs w:val="0"/>
          <w:sz w:val="24"/>
          <w:szCs w:val="24"/>
        </w:rPr>
      </w:pPr>
      <w:r>
        <w:rPr>
          <w:rFonts w:hint="eastAsia" w:ascii="Times New Roman" w:hAnsi="Times New Roman" w:eastAsia="宋体" w:cs="Times New Roman"/>
          <w:color w:val="auto"/>
          <w:sz w:val="24"/>
          <w:szCs w:val="24"/>
          <w:highlight w:val="none"/>
          <w:lang w:val="en-US" w:eastAsia="zh-CN"/>
        </w:rPr>
        <w:t>2、项目概述：</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提供全程包干运输服务，包括提供适合本案物料的运输船舶，将货物安全、按期、按量从古雷港运输到宁波</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lang w:val="en-US" w:eastAsia="zh-CN"/>
        </w:rPr>
        <w:t>或</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嘉兴港，运价含码头费、港建费、港务费、拖轮费、货运险等全程包干费用，以取得发货清单的签收为止；（运输时间为9月份，具体日期待通知）。</w:t>
      </w:r>
    </w:p>
    <w:p w14:paraId="25311C47">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w:t>
      </w:r>
      <w:r>
        <w:rPr>
          <w:rFonts w:hint="eastAsia" w:asciiTheme="minorEastAsia" w:hAnsiTheme="minorEastAsia" w:eastAsiaTheme="minorEastAsia" w:cstheme="minorEastAsia"/>
          <w:b w:val="0"/>
          <w:bCs w:val="0"/>
          <w:color w:val="000000"/>
          <w:kern w:val="0"/>
          <w:sz w:val="24"/>
          <w:szCs w:val="24"/>
          <w:lang w:val="en-US" w:eastAsia="zh-CN" w:bidi="ar"/>
        </w:rPr>
        <w:t>本项目</w:t>
      </w:r>
      <w:r>
        <w:rPr>
          <w:rFonts w:hint="eastAsia" w:asciiTheme="minorEastAsia" w:hAnsiTheme="minorEastAsia" w:eastAsiaTheme="minorEastAsia" w:cstheme="minorEastAsia"/>
          <w:b w:val="0"/>
          <w:bCs w:val="0"/>
          <w:color w:val="auto"/>
          <w:kern w:val="0"/>
          <w:sz w:val="24"/>
          <w:szCs w:val="24"/>
          <w:lang w:val="en-US" w:eastAsia="zh-CN" w:bidi="ar"/>
        </w:rPr>
        <w:t>最高控制价（</w:t>
      </w:r>
      <w:r>
        <w:rPr>
          <w:rFonts w:hint="eastAsia" w:asciiTheme="minorEastAsia" w:hAnsiTheme="minorEastAsia" w:eastAsiaTheme="minorEastAsia" w:cstheme="minorEastAsia"/>
          <w:b w:val="0"/>
          <w:bCs w:val="0"/>
          <w:sz w:val="24"/>
          <w:szCs w:val="24"/>
        </w:rPr>
        <w:t>人民币增值税含税价</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color w:val="auto"/>
          <w:kern w:val="0"/>
          <w:sz w:val="24"/>
          <w:szCs w:val="24"/>
          <w:lang w:val="en-US" w:eastAsia="zh-CN" w:bidi="ar"/>
        </w:rPr>
        <w:t>：126万元（含9%税）</w:t>
      </w:r>
      <w:r>
        <w:rPr>
          <w:rFonts w:hint="eastAsia" w:ascii="Times New Roman" w:hAnsi="Times New Roman" w:eastAsia="宋体" w:cs="Times New Roman"/>
          <w:color w:val="auto"/>
          <w:sz w:val="24"/>
          <w:szCs w:val="24"/>
          <w:highlight w:val="none"/>
          <w:lang w:val="en-US" w:eastAsia="zh-CN"/>
        </w:rPr>
        <w:t>。</w:t>
      </w:r>
    </w:p>
    <w:p w14:paraId="681689A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二、参比人资格要求</w:t>
      </w:r>
    </w:p>
    <w:p w14:paraId="2A28BFC4">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1.参比人必须具备在中华人民共和国境内注册、具有独立承担民事责任能力的企业法人，营业执照经营范围符合采购项目要求；</w:t>
      </w:r>
    </w:p>
    <w:p w14:paraId="49454EB1">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2. 参比人拥有可承运PX产品自有船舶1艘（含）以上（CCS入级，船龄20年以内），提供</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lang w:val="en-US" w:eastAsia="zh-CN"/>
        </w:rPr>
        <w:t>相关</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 xml:space="preserve">证明； </w:t>
      </w:r>
    </w:p>
    <w:p w14:paraId="55171643">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3.单位负责人为同一人或者存在控股、管理关系的不同单位，不得同时参加本项目 ；</w:t>
      </w:r>
    </w:p>
    <w:p w14:paraId="33012D40">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 xml:space="preserve">4.参比人没有失信黑名单记录（以最高院失信被执行人系统发布信息为准）； </w:t>
      </w:r>
    </w:p>
    <w:p w14:paraId="17AA6518">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5.参比人与采购人无诉讼纠纷；</w:t>
      </w:r>
    </w:p>
    <w:p w14:paraId="13F1E65B">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6.本项目不接受联合体参比</w:t>
      </w:r>
    </w:p>
    <w:p w14:paraId="77CAD7A2">
      <w:pPr>
        <w:spacing w:line="360" w:lineRule="auto"/>
        <w:ind w:left="406" w:leftChars="6" w:hanging="393" w:hangingChars="153"/>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三、获取采购文件</w:t>
      </w:r>
    </w:p>
    <w:p w14:paraId="347E2EBC">
      <w:pPr>
        <w:spacing w:line="360" w:lineRule="auto"/>
        <w:ind w:left="380" w:leftChars="6" w:hanging="367" w:hangingChars="153"/>
        <w:rPr>
          <w:rStyle w:val="52"/>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1、凡有意参加者，请在 http://nhygcg.fjshgx.com/（福建能化阳光采购平台）上免费注册，并根据系统提示进行报名即可下载电子采购文件；或在</w:t>
      </w:r>
      <w:r>
        <w:rPr>
          <w:rStyle w:val="52"/>
          <w:rFonts w:ascii="Times New Roman" w:hAnsi="Times New Roman" w:cs="Times New Roman"/>
          <w:color w:val="auto"/>
          <w:sz w:val="24"/>
          <w:szCs w:val="24"/>
          <w:highlight w:val="none"/>
          <w:lang w:eastAsia="zh-CN"/>
        </w:rPr>
        <w:t>http://www.fhcpec.com.cn/</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eastAsia="zh-CN"/>
        </w:rPr>
        <w:fldChar w:fldCharType="begin"/>
      </w:r>
      <w:r>
        <w:rPr>
          <w:rFonts w:hint="eastAsia" w:ascii="Times New Roman" w:hAnsi="Times New Roman" w:cs="Times New Roman"/>
          <w:color w:val="auto"/>
          <w:sz w:val="24"/>
          <w:szCs w:val="24"/>
          <w:highlight w:val="none"/>
          <w:lang w:eastAsia="zh-CN"/>
        </w:rPr>
        <w:instrText xml:space="preserve"> HYPERLINK "http://www.fhcpec.com.cn/" </w:instrText>
      </w:r>
      <w:r>
        <w:rPr>
          <w:rFonts w:hint="eastAsia" w:ascii="Times New Roman" w:hAnsi="Times New Roman" w:cs="Times New Roman"/>
          <w:color w:val="auto"/>
          <w:sz w:val="24"/>
          <w:szCs w:val="24"/>
          <w:highlight w:val="none"/>
          <w:lang w:eastAsia="zh-CN"/>
        </w:rPr>
        <w:fldChar w:fldCharType="separate"/>
      </w:r>
      <w:r>
        <w:rPr>
          <w:rFonts w:hint="eastAsia" w:ascii="Times New Roman" w:hAnsi="Times New Roman" w:cs="Times New Roman"/>
          <w:color w:val="auto"/>
          <w:sz w:val="24"/>
          <w:szCs w:val="24"/>
          <w:highlight w:val="none"/>
          <w:lang w:eastAsia="zh-CN"/>
        </w:rPr>
        <w:t>福建福海创石油化工有限公司</w:t>
      </w:r>
      <w:r>
        <w:rPr>
          <w:rFonts w:hint="eastAsia" w:ascii="Times New Roman" w:hAnsi="Times New Roman" w:cs="Times New Roman"/>
          <w:color w:val="auto"/>
          <w:sz w:val="24"/>
          <w:szCs w:val="24"/>
          <w:highlight w:val="none"/>
          <w:lang w:eastAsia="zh-CN"/>
        </w:rPr>
        <w:fldChar w:fldCharType="end"/>
      </w:r>
      <w:r>
        <w:rPr>
          <w:rFonts w:hint="eastAsia" w:ascii="Times New Roman" w:hAnsi="Times New Roman" w:cs="Times New Roman"/>
          <w:color w:val="auto"/>
          <w:sz w:val="24"/>
          <w:szCs w:val="24"/>
          <w:highlight w:val="none"/>
          <w:lang w:eastAsia="zh-CN"/>
        </w:rPr>
        <w:t>）</w:t>
      </w:r>
      <w:r>
        <w:rPr>
          <w:rStyle w:val="52"/>
          <w:rFonts w:ascii="Times New Roman" w:hAnsi="Times New Roman" w:cs="Times New Roman"/>
          <w:color w:val="auto"/>
          <w:sz w:val="24"/>
          <w:szCs w:val="24"/>
          <w:highlight w:val="none"/>
          <w:lang w:eastAsia="zh-CN"/>
        </w:rPr>
        <w:t>自行下载。</w:t>
      </w:r>
    </w:p>
    <w:p w14:paraId="67D3BB29">
      <w:pPr>
        <w:spacing w:line="360" w:lineRule="auto"/>
        <w:ind w:left="380" w:leftChars="6" w:hanging="367" w:hangingChars="153"/>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w:t>
      </w:r>
      <w:r>
        <w:rPr>
          <w:rFonts w:hint="eastAsia" w:ascii="Times New Roman" w:hAnsi="Times New Roman" w:cs="Times New Roman"/>
          <w:color w:val="auto"/>
          <w:sz w:val="24"/>
          <w:szCs w:val="24"/>
          <w:highlight w:val="none"/>
          <w:lang w:eastAsia="zh-CN"/>
        </w:rPr>
        <w:t>发布公告的媒介：http://nhygcg.fjshgx.com/(福建能化阳光采购平台)和http://www.fhcpec.com.cn/ （</w:t>
      </w:r>
      <w:r>
        <w:rPr>
          <w:rFonts w:hint="eastAsia" w:ascii="Times New Roman" w:hAnsi="Times New Roman" w:cs="Times New Roman"/>
          <w:color w:val="auto"/>
          <w:sz w:val="24"/>
          <w:szCs w:val="24"/>
          <w:highlight w:val="none"/>
          <w:lang w:eastAsia="zh-CN"/>
        </w:rPr>
        <w:fldChar w:fldCharType="begin"/>
      </w:r>
      <w:r>
        <w:rPr>
          <w:rFonts w:hint="eastAsia" w:ascii="Times New Roman" w:hAnsi="Times New Roman" w:cs="Times New Roman"/>
          <w:color w:val="auto"/>
          <w:sz w:val="24"/>
          <w:szCs w:val="24"/>
          <w:highlight w:val="none"/>
          <w:lang w:eastAsia="zh-CN"/>
        </w:rPr>
        <w:instrText xml:space="preserve"> HYPERLINK "http://www.fhcpec.com.cn/" </w:instrText>
      </w:r>
      <w:r>
        <w:rPr>
          <w:rFonts w:hint="eastAsia" w:ascii="Times New Roman" w:hAnsi="Times New Roman" w:cs="Times New Roman"/>
          <w:color w:val="auto"/>
          <w:sz w:val="24"/>
          <w:szCs w:val="24"/>
          <w:highlight w:val="none"/>
          <w:lang w:eastAsia="zh-CN"/>
        </w:rPr>
        <w:fldChar w:fldCharType="separate"/>
      </w:r>
      <w:r>
        <w:rPr>
          <w:rFonts w:hint="eastAsia" w:ascii="Times New Roman" w:hAnsi="Times New Roman" w:cs="Times New Roman"/>
          <w:color w:val="auto"/>
          <w:sz w:val="24"/>
          <w:szCs w:val="24"/>
          <w:highlight w:val="none"/>
          <w:lang w:eastAsia="zh-CN"/>
        </w:rPr>
        <w:t>福建福海创石油化工有限公司</w:t>
      </w:r>
      <w:r>
        <w:rPr>
          <w:rFonts w:hint="eastAsia" w:ascii="Times New Roman" w:hAnsi="Times New Roman" w:cs="Times New Roman"/>
          <w:color w:val="auto"/>
          <w:sz w:val="24"/>
          <w:szCs w:val="24"/>
          <w:highlight w:val="none"/>
          <w:lang w:eastAsia="zh-CN"/>
        </w:rPr>
        <w:fldChar w:fldCharType="end"/>
      </w:r>
      <w:r>
        <w:rPr>
          <w:rFonts w:hint="eastAsia"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本项目采购文件请有意向参比人自行下载，不收取费用，以采购公告或邀请函为准。</w:t>
      </w:r>
    </w:p>
    <w:p w14:paraId="5E5E719C">
      <w:pPr>
        <w:spacing w:line="360" w:lineRule="auto"/>
        <w:ind w:left="380" w:leftChars="6" w:hanging="367" w:hangingChars="153"/>
        <w:rPr>
          <w:rFonts w:hint="eastAsia"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3、报名时间：公示之日起</w:t>
      </w:r>
      <w:r>
        <w:rPr>
          <w:rFonts w:hint="eastAsia" w:ascii="Times New Roman" w:hAnsi="Times New Roman" w:cs="Times New Roman"/>
          <w:color w:val="auto"/>
          <w:sz w:val="24"/>
          <w:szCs w:val="24"/>
          <w:highlight w:val="none"/>
          <w:lang w:val="en-US" w:eastAsia="zh-CN"/>
        </w:rPr>
        <w:t>3天</w:t>
      </w:r>
      <w:r>
        <w:rPr>
          <w:rFonts w:hint="eastAsia" w:ascii="Times New Roman" w:hAnsi="Times New Roman" w:cs="Times New Roman"/>
          <w:color w:val="auto"/>
          <w:sz w:val="24"/>
          <w:szCs w:val="24"/>
          <w:highlight w:val="none"/>
          <w:lang w:eastAsia="zh-CN"/>
        </w:rPr>
        <w:t>；</w:t>
      </w:r>
    </w:p>
    <w:p w14:paraId="52442DA6">
      <w:pPr>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4、报名方式：</w:t>
      </w:r>
      <w:r>
        <w:rPr>
          <w:rFonts w:hint="eastAsia" w:ascii="Times New Roman" w:hAnsi="Times New Roman" w:cs="Times New Roman"/>
          <w:color w:val="auto"/>
          <w:sz w:val="24"/>
          <w:szCs w:val="24"/>
          <w:highlight w:val="none"/>
          <w:lang w:eastAsia="zh-CN"/>
        </w:rPr>
        <w:t>参比人报名需将报名文件</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通过 http://nhygcg.fjshgx.com/（福建能化阳光采购平台）递交电子响应文件</w:t>
      </w:r>
      <w:r>
        <w:rPr>
          <w:rFonts w:ascii="Times New Roman" w:hAnsi="Times New Roman" w:cs="Times New Roman"/>
          <w:color w:val="auto"/>
          <w:sz w:val="24"/>
          <w:szCs w:val="24"/>
          <w:highlight w:val="none"/>
          <w:lang w:eastAsia="zh-CN"/>
        </w:rPr>
        <w:t>，报名文件包含：</w:t>
      </w:r>
    </w:p>
    <w:p w14:paraId="10236FA0">
      <w:pPr>
        <w:spacing w:line="360" w:lineRule="auto"/>
        <w:ind w:firstLine="336" w:firstLineChars="14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（1）法定代表人身份证复印件（正反面）（加盖单位公章的扫描件）；</w:t>
      </w:r>
    </w:p>
    <w:p w14:paraId="3A7E15A8">
      <w:pPr>
        <w:spacing w:line="360" w:lineRule="auto"/>
        <w:ind w:firstLine="336" w:firstLineChars="14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（2）营业执照（加盖单位公章的扫描件）；</w:t>
      </w:r>
    </w:p>
    <w:p w14:paraId="1211A148">
      <w:pPr>
        <w:spacing w:line="360" w:lineRule="auto"/>
        <w:ind w:firstLine="336" w:firstLineChars="14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（3）资质文件（包括水路运输经营许可证、船籍证明、船舶入级证书、船舶适装证书货品表（</w:t>
      </w:r>
      <w:r>
        <w:rPr>
          <w:rFonts w:ascii="Times New Roman" w:hAnsi="Times New Roman" w:cs="Times New Roman"/>
          <w:b/>
          <w:bCs/>
          <w:color w:val="auto"/>
          <w:sz w:val="24"/>
          <w:szCs w:val="24"/>
          <w:highlight w:val="none"/>
          <w:lang w:eastAsia="zh-CN"/>
        </w:rPr>
        <w:t>要标明适装PX项</w:t>
      </w:r>
      <w:r>
        <w:rPr>
          <w:rFonts w:ascii="Times New Roman" w:hAnsi="Times New Roman" w:cs="Times New Roman"/>
          <w:color w:val="auto"/>
          <w:sz w:val="24"/>
          <w:szCs w:val="24"/>
          <w:highlight w:val="none"/>
          <w:lang w:eastAsia="zh-CN"/>
        </w:rPr>
        <w:t>）、海事局DOC证明等，加盖单位公章的扫描件）。</w:t>
      </w:r>
    </w:p>
    <w:p w14:paraId="0070DC96">
      <w:pPr>
        <w:tabs>
          <w:tab w:val="left" w:pos="709"/>
        </w:tabs>
        <w:spacing w:line="360" w:lineRule="auto"/>
        <w:rPr>
          <w:rFonts w:hint="eastAsia" w:asciiTheme="minorEastAsia" w:hAnsiTheme="minorEastAsia" w:eastAsiaTheme="minorEastAsia" w:cstheme="minorEastAsia"/>
          <w:b/>
          <w:bCs/>
          <w:color w:val="auto"/>
          <w:kern w:val="0"/>
          <w:sz w:val="24"/>
          <w:szCs w:val="24"/>
          <w:lang w:val="en-US" w:eastAsia="zh-CN" w:bidi="ar"/>
        </w:rPr>
      </w:pPr>
      <w:r>
        <w:rPr>
          <w:rFonts w:ascii="Times New Roman" w:hAnsi="Times New Roman" w:cs="Times New Roman"/>
          <w:b/>
          <w:snapToGrid w:val="0"/>
          <w:color w:val="auto"/>
          <w:spacing w:val="8"/>
          <w:sz w:val="24"/>
          <w:szCs w:val="24"/>
          <w:highlight w:val="none"/>
          <w:lang w:eastAsia="zh-CN"/>
        </w:rPr>
        <w:t>四、</w:t>
      </w:r>
      <w:r>
        <w:rPr>
          <w:rFonts w:hint="eastAsia" w:asciiTheme="minorEastAsia" w:hAnsiTheme="minorEastAsia" w:eastAsiaTheme="minorEastAsia" w:cstheme="minorEastAsia"/>
          <w:b/>
          <w:bCs/>
          <w:i w:val="0"/>
          <w:caps w:val="0"/>
          <w:color w:val="auto"/>
          <w:spacing w:val="0"/>
          <w:kern w:val="2"/>
          <w:sz w:val="24"/>
          <w:szCs w:val="24"/>
          <w:shd w:val="clear" w:color="auto" w:fill="FFFFFF"/>
          <w:vertAlign w:val="baseline"/>
          <w:lang w:val="en-US" w:eastAsia="zh-CN" w:bidi="ar-SA"/>
        </w:rPr>
        <w:t>本项目评标采用：最低</w:t>
      </w:r>
      <w:r>
        <w:rPr>
          <w:rFonts w:hint="eastAsia" w:asciiTheme="minorEastAsia" w:hAnsiTheme="minorEastAsia" w:eastAsiaTheme="minorEastAsia" w:cstheme="minorEastAsia"/>
          <w:b/>
          <w:bCs/>
          <w:color w:val="auto"/>
          <w:kern w:val="0"/>
          <w:sz w:val="24"/>
          <w:szCs w:val="24"/>
          <w:lang w:val="en-US" w:eastAsia="zh-CN" w:bidi="ar"/>
        </w:rPr>
        <w:t>价评选的方式。参比人所填报的报价高于控制价的，其参比将被比选小组予以否决。价格最低的参比人为中选公司。</w:t>
      </w:r>
    </w:p>
    <w:p w14:paraId="04CB088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五、参比文件递交要求</w:t>
      </w:r>
      <w:r>
        <w:rPr>
          <w:rFonts w:hint="eastAsia" w:ascii="Times New Roman" w:hAnsi="Times New Roman" w:cs="Times New Roman"/>
          <w:b/>
          <w:snapToGrid w:val="0"/>
          <w:color w:val="auto"/>
          <w:spacing w:val="8"/>
          <w:sz w:val="24"/>
          <w:szCs w:val="24"/>
          <w:highlight w:val="none"/>
          <w:lang w:eastAsia="zh-CN"/>
        </w:rPr>
        <w:t>：</w:t>
      </w:r>
    </w:p>
    <w:p w14:paraId="20D63CC0">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1、</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采购响应人应在截止时间前通过 http://nhygcg.fjshgx.com/（福建能化阳光采购平台）递交电子响应文件。</w:t>
      </w:r>
    </w:p>
    <w:p w14:paraId="626B00BC">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2、</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采购相关信息如下：</w:t>
      </w:r>
    </w:p>
    <w:p w14:paraId="3108811F">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报名时间：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自询比公告日起3日内</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w:t>
      </w:r>
    </w:p>
    <w:p w14:paraId="0B370007">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采购文件下载时间：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同报名时间；</w:t>
      </w:r>
    </w:p>
    <w:p w14:paraId="5E6F5A35">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响应文件递交时间：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报名截止时间的后一天内；</w:t>
      </w:r>
    </w:p>
    <w:p w14:paraId="1CE50DDD">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响应文件开启时间：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响应文件递交截止时间的后一天</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w:t>
      </w:r>
    </w:p>
    <w:p w14:paraId="7ACEC56A">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响应文件开启地点：漳州古雷；</w:t>
      </w:r>
    </w:p>
    <w:p w14:paraId="391BEFB6">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3、</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逾期送达的采购文件，福建能化阳光采购平台将予以拒收。</w:t>
      </w:r>
    </w:p>
    <w:p w14:paraId="553570ED">
      <w:pPr>
        <w:pStyle w:val="19"/>
        <w:spacing w:line="360" w:lineRule="auto"/>
        <w:ind w:right="121"/>
        <w:jc w:val="both"/>
        <w:rPr>
          <w:rFonts w:hint="default" w:ascii="Times New Roman" w:hAnsi="Times New Roman" w:cs="Times New Roman"/>
          <w:b/>
          <w:bCs/>
          <w:snapToGrid w:val="0"/>
          <w:color w:val="auto"/>
          <w:spacing w:val="8"/>
          <w:highlight w:val="none"/>
          <w:lang w:val="en-US" w:eastAsia="zh-CN"/>
        </w:rPr>
      </w:pPr>
      <w:r>
        <w:rPr>
          <w:rFonts w:ascii="Times New Roman" w:hAnsi="Times New Roman" w:cs="Times New Roman"/>
          <w:b/>
          <w:bCs/>
          <w:snapToGrid w:val="0"/>
          <w:color w:val="auto"/>
          <w:spacing w:val="8"/>
          <w:highlight w:val="none"/>
          <w:lang w:eastAsia="zh-CN"/>
        </w:rPr>
        <w:t>六、参比保证金：</w:t>
      </w:r>
      <w:r>
        <w:rPr>
          <w:rFonts w:hint="eastAsia" w:ascii="Times New Roman" w:hAnsi="Times New Roman" w:cs="Times New Roman"/>
          <w:b/>
          <w:bCs/>
          <w:snapToGrid w:val="0"/>
          <w:color w:val="auto"/>
          <w:spacing w:val="8"/>
          <w:highlight w:val="none"/>
          <w:lang w:val="en-US" w:eastAsia="zh-CN"/>
        </w:rPr>
        <w:t>无。</w:t>
      </w:r>
    </w:p>
    <w:p w14:paraId="0FD5CA62">
      <w:pPr>
        <w:spacing w:line="360" w:lineRule="auto"/>
        <w:rPr>
          <w:rFonts w:ascii="Times New Roman" w:hAnsi="Times New Roman" w:cs="Times New Roman"/>
          <w:color w:val="auto"/>
          <w:sz w:val="24"/>
          <w:szCs w:val="24"/>
          <w:highlight w:val="none"/>
          <w:lang w:eastAsia="zh-CN"/>
        </w:rPr>
      </w:pPr>
      <w:r>
        <w:rPr>
          <w:rFonts w:ascii="Times New Roman" w:hAnsi="Times New Roman" w:cs="Times New Roman"/>
          <w:b/>
          <w:bCs/>
          <w:snapToGrid w:val="0"/>
          <w:color w:val="auto"/>
          <w:spacing w:val="8"/>
          <w:sz w:val="24"/>
          <w:szCs w:val="24"/>
          <w:highlight w:val="none"/>
          <w:lang w:eastAsia="zh-CN"/>
        </w:rPr>
        <w:t>七、联系方式</w:t>
      </w:r>
      <w:r>
        <w:rPr>
          <w:rFonts w:ascii="Times New Roman" w:hAnsi="Times New Roman" w:cs="Times New Roman"/>
          <w:color w:val="auto"/>
          <w:sz w:val="24"/>
          <w:szCs w:val="24"/>
          <w:highlight w:val="none"/>
          <w:lang w:eastAsia="zh-CN"/>
        </w:rPr>
        <w:t xml:space="preserve">   </w:t>
      </w:r>
    </w:p>
    <w:p w14:paraId="3F9F9611">
      <w:pPr>
        <w:ind w:firstLine="480" w:firstLineChars="200"/>
        <w:rPr>
          <w:sz w:val="22"/>
          <w:szCs w:val="22"/>
        </w:rPr>
      </w:pPr>
      <w:r>
        <w:rPr>
          <w:rFonts w:ascii="Times New Roman" w:hAnsi="Times New Roman" w:eastAsia="宋体" w:cs="Times New Roman"/>
          <w:color w:val="auto"/>
          <w:sz w:val="24"/>
          <w:szCs w:val="24"/>
          <w:highlight w:val="none"/>
          <w:lang w:eastAsia="zh-CN"/>
        </w:rPr>
        <w:t>商务联系人：</w:t>
      </w:r>
      <w:r>
        <w:rPr>
          <w:rFonts w:hint="eastAsia" w:ascii="Times New Roman" w:hAnsi="Times New Roman" w:cs="Times New Roman"/>
          <w:color w:val="auto"/>
          <w:sz w:val="24"/>
          <w:szCs w:val="24"/>
          <w:highlight w:val="none"/>
          <w:lang w:val="en-US" w:eastAsia="zh-CN"/>
        </w:rPr>
        <w:t xml:space="preserve">连毓生 </w:t>
      </w:r>
      <w:r>
        <w:rPr>
          <w:rFonts w:ascii="Times New Roman" w:hAnsi="Times New Roman" w:eastAsia="宋体" w:cs="Times New Roman"/>
          <w:color w:val="auto"/>
          <w:sz w:val="24"/>
          <w:szCs w:val="24"/>
          <w:highlight w:val="none"/>
          <w:lang w:eastAsia="zh-CN"/>
        </w:rPr>
        <w:t xml:space="preserve"> 电话：</w:t>
      </w:r>
      <w:r>
        <w:rPr>
          <w:rFonts w:hint="eastAsia" w:ascii="微软雅黑" w:hAnsi="微软雅黑" w:eastAsia="微软雅黑" w:cs="微软雅黑"/>
          <w:color w:val="auto"/>
          <w:sz w:val="24"/>
          <w:szCs w:val="24"/>
          <w:highlight w:val="none"/>
          <w:lang w:val="en-US" w:eastAsia="zh-CN"/>
        </w:rPr>
        <w:t>17750165336</w:t>
      </w:r>
      <w:r>
        <w:rPr>
          <w:rFonts w:ascii="Times New Roman" w:hAnsi="Times New Roman" w:eastAsia="宋体" w:cs="Times New Roman"/>
          <w:color w:val="auto"/>
          <w:sz w:val="24"/>
          <w:szCs w:val="24"/>
          <w:highlight w:val="none"/>
          <w:lang w:eastAsia="zh-CN"/>
        </w:rPr>
        <w:t xml:space="preserve">    邮箱：</w:t>
      </w:r>
      <w:r>
        <w:rPr>
          <w:rFonts w:hint="eastAsia" w:ascii="Times New Roman" w:hAnsi="Times New Roman" w:cs="Times New Roman"/>
          <w:color w:val="auto"/>
          <w:sz w:val="24"/>
          <w:szCs w:val="24"/>
          <w:highlight w:val="none"/>
          <w:lang w:val="en-US" w:eastAsia="zh-CN"/>
        </w:rPr>
        <w:t>fhzzzhglb@fjpec.com.cn</w:t>
      </w:r>
    </w:p>
    <w:p w14:paraId="514D3B30">
      <w:pPr>
        <w:spacing w:line="360" w:lineRule="auto"/>
        <w:ind w:firstLine="480" w:firstLineChars="200"/>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技术联系人：</w:t>
      </w:r>
      <w:r>
        <w:rPr>
          <w:rFonts w:hint="eastAsia" w:ascii="Times New Roman" w:hAnsi="Times New Roman" w:cs="Times New Roman"/>
          <w:color w:val="auto"/>
          <w:sz w:val="24"/>
          <w:szCs w:val="24"/>
          <w:highlight w:val="none"/>
          <w:lang w:val="en-US" w:eastAsia="zh-CN"/>
        </w:rPr>
        <w:t>梁秀屿</w:t>
      </w:r>
      <w:r>
        <w:rPr>
          <w:rFonts w:ascii="Times New Roman" w:hAnsi="Times New Roman" w:eastAsia="宋体" w:cs="Times New Roman"/>
          <w:color w:val="auto"/>
          <w:sz w:val="24"/>
          <w:szCs w:val="24"/>
          <w:highlight w:val="none"/>
          <w:lang w:eastAsia="zh-CN"/>
        </w:rPr>
        <w:t xml:space="preserve"> 电话：</w:t>
      </w:r>
      <w:r>
        <w:rPr>
          <w:rFonts w:hint="eastAsia" w:ascii="微软雅黑" w:hAnsi="微软雅黑" w:eastAsia="微软雅黑" w:cs="微软雅黑"/>
          <w:color w:val="auto"/>
          <w:sz w:val="24"/>
          <w:szCs w:val="24"/>
          <w:highlight w:val="none"/>
          <w:lang w:val="en-US" w:eastAsia="zh-CN"/>
        </w:rPr>
        <w:t xml:space="preserve"> 18600462817     </w:t>
      </w:r>
    </w:p>
    <w:p w14:paraId="4B94A14A">
      <w:pPr>
        <w:spacing w:line="360" w:lineRule="auto"/>
        <w:ind w:firstLine="480" w:firstLineChars="200"/>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 xml:space="preserve">纪检监察室电话：0596-6311774  </w:t>
      </w:r>
    </w:p>
    <w:p w14:paraId="5D759CE5">
      <w:pPr>
        <w:spacing w:line="360" w:lineRule="auto"/>
        <w:ind w:left="493" w:leftChars="224" w:firstLine="115" w:firstLineChars="48"/>
        <w:rPr>
          <w:rFonts w:hint="eastAsia" w:asciiTheme="minorEastAsia" w:hAnsiTheme="minorEastAsia" w:eastAsiaTheme="minorEastAsia" w:cstheme="minorEastAsia"/>
          <w:i w:val="0"/>
          <w:caps w:val="0"/>
          <w:color w:val="333333"/>
          <w:spacing w:val="0"/>
          <w:kern w:val="2"/>
          <w:sz w:val="24"/>
          <w:szCs w:val="24"/>
          <w:shd w:val="clear" w:color="auto" w:fill="FFFFFF"/>
          <w:vertAlign w:val="baseline"/>
          <w:lang w:val="en-US" w:eastAsia="zh-CN" w:bidi="ar-SA"/>
        </w:rPr>
      </w:pPr>
      <w:r>
        <w:rPr>
          <w:rFonts w:ascii="Times New Roman" w:hAnsi="Times New Roman" w:eastAsia="宋体" w:cs="Times New Roman"/>
          <w:color w:val="auto"/>
          <w:sz w:val="24"/>
          <w:szCs w:val="24"/>
          <w:highlight w:val="none"/>
          <w:lang w:eastAsia="zh-CN"/>
        </w:rPr>
        <w:t>联系地址：</w:t>
      </w:r>
      <w:r>
        <w:rPr>
          <w:rFonts w:hint="eastAsia" w:asciiTheme="minorEastAsia" w:hAnsiTheme="minorEastAsia" w:eastAsiaTheme="minorEastAsia" w:cstheme="minorEastAsia"/>
          <w:i w:val="0"/>
          <w:caps w:val="0"/>
          <w:color w:val="333333"/>
          <w:spacing w:val="0"/>
          <w:kern w:val="2"/>
          <w:sz w:val="24"/>
          <w:szCs w:val="24"/>
          <w:shd w:val="clear" w:color="auto" w:fill="FFFFFF"/>
          <w:vertAlign w:val="baseline"/>
          <w:lang w:val="en-US" w:eastAsia="zh-CN" w:bidi="ar-SA"/>
        </w:rPr>
        <w:t>漳州市漳浦县杜浔镇杜昌路999号古雷宾馆1号楼层 </w:t>
      </w:r>
    </w:p>
    <w:p w14:paraId="345A603E">
      <w:pPr>
        <w:spacing w:line="360" w:lineRule="auto"/>
        <w:ind w:left="493" w:leftChars="224" w:firstLine="115" w:firstLineChars="48"/>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邮    编：363216</w:t>
      </w:r>
    </w:p>
    <w:p w14:paraId="0A2AF5E8">
      <w:pPr>
        <w:spacing w:line="360" w:lineRule="auto"/>
        <w:rPr>
          <w:rFonts w:ascii="Times New Roman" w:hAnsi="Times New Roman" w:cs="Times New Roman"/>
          <w:color w:val="auto"/>
          <w:sz w:val="24"/>
          <w:szCs w:val="24"/>
          <w:highlight w:val="none"/>
          <w:lang w:eastAsia="zh-CN"/>
        </w:rPr>
      </w:pPr>
    </w:p>
    <w:p w14:paraId="2D286E6B">
      <w:pPr>
        <w:spacing w:line="360" w:lineRule="auto"/>
        <w:ind w:firstLine="480" w:firstLineChars="2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 xml:space="preserve">                                                                  福建福海创石油化工有限公司 </w:t>
      </w:r>
    </w:p>
    <w:p w14:paraId="0320CE00">
      <w:pPr>
        <w:spacing w:line="360" w:lineRule="auto"/>
        <w:ind w:firstLine="480" w:firstLineChars="200"/>
        <w:rPr>
          <w:rFonts w:hint="default" w:ascii="Times New Roman" w:hAnsi="Times New Roman" w:cs="Times New Roman"/>
          <w:color w:val="auto"/>
          <w:sz w:val="24"/>
          <w:szCs w:val="24"/>
          <w:highlight w:val="none"/>
          <w:lang w:val="en-US" w:eastAsia="zh-CN"/>
        </w:rPr>
      </w:pPr>
      <w:r>
        <w:rPr>
          <w:rFonts w:ascii="Times New Roman" w:hAnsi="Times New Roman" w:cs="Times New Roman"/>
          <w:color w:val="auto"/>
          <w:sz w:val="24"/>
          <w:szCs w:val="24"/>
          <w:highlight w:val="none"/>
          <w:lang w:eastAsia="zh-CN"/>
        </w:rPr>
        <w:t xml:space="preserve">                                                                         </w:t>
      </w:r>
      <w:r>
        <w:rPr>
          <w:rFonts w:hint="eastAsia" w:ascii="Times New Roman" w:hAnsi="Times New Roman" w:cs="Times New Roman"/>
          <w:color w:val="auto"/>
          <w:sz w:val="24"/>
          <w:szCs w:val="24"/>
          <w:highlight w:val="none"/>
          <w:lang w:val="en-US" w:eastAsia="zh-CN"/>
        </w:rPr>
        <w:t xml:space="preserve">    </w:t>
      </w:r>
      <w:r>
        <w:rPr>
          <w:rFonts w:ascii="Times New Roman" w:hAnsi="Times New Roman" w:cs="Times New Roman"/>
          <w:color w:val="auto"/>
          <w:sz w:val="24"/>
          <w:szCs w:val="24"/>
          <w:highlight w:val="none"/>
          <w:lang w:eastAsia="zh-CN"/>
        </w:rPr>
        <w:t xml:space="preserve"> 2025年0</w:t>
      </w:r>
      <w:r>
        <w:rPr>
          <w:rFonts w:hint="eastAsia" w:ascii="Times New Roman" w:hAnsi="Times New Roman" w:cs="Times New Roman"/>
          <w:color w:val="auto"/>
          <w:sz w:val="24"/>
          <w:szCs w:val="24"/>
          <w:highlight w:val="none"/>
          <w:lang w:val="en-US" w:eastAsia="zh-CN"/>
        </w:rPr>
        <w:t>8</w:t>
      </w:r>
      <w:r>
        <w:rPr>
          <w:rFonts w:ascii="Times New Roman" w:hAnsi="Times New Roman" w:cs="Times New Roman"/>
          <w:color w:val="auto"/>
          <w:sz w:val="24"/>
          <w:szCs w:val="24"/>
          <w:highlight w:val="none"/>
          <w:lang w:eastAsia="zh-CN"/>
        </w:rPr>
        <w:t>月</w:t>
      </w:r>
      <w:r>
        <w:rPr>
          <w:rFonts w:hint="eastAsia" w:ascii="Times New Roman" w:hAnsi="Times New Roman" w:cs="Times New Roman"/>
          <w:color w:val="auto"/>
          <w:sz w:val="24"/>
          <w:szCs w:val="24"/>
          <w:highlight w:val="none"/>
          <w:lang w:val="en-US" w:eastAsia="zh-CN"/>
        </w:rPr>
        <w:t>22日</w:t>
      </w:r>
    </w:p>
    <w:p w14:paraId="1C8B8249">
      <w:pPr>
        <w:pStyle w:val="2"/>
        <w:tabs>
          <w:tab w:val="left" w:pos="1262"/>
        </w:tabs>
        <w:spacing w:line="360" w:lineRule="auto"/>
        <w:ind w:left="0" w:right="108"/>
        <w:jc w:val="center"/>
        <w:rPr>
          <w:rFonts w:ascii="仿宋" w:hAnsi="仿宋" w:eastAsia="仿宋"/>
          <w:color w:val="auto"/>
          <w:sz w:val="24"/>
          <w:szCs w:val="24"/>
          <w:highlight w:val="none"/>
          <w:lang w:eastAsia="zh-CN"/>
        </w:rPr>
      </w:pPr>
      <w:bookmarkStart w:id="2" w:name="_GoBack"/>
      <w:bookmarkEnd w:id="2"/>
    </w:p>
    <w:p w14:paraId="2F11EB69">
      <w:pPr>
        <w:rPr>
          <w:rFonts w:ascii="仿宋" w:hAnsi="仿宋" w:eastAsia="仿宋"/>
          <w:color w:val="auto"/>
          <w:highlight w:val="none"/>
          <w:lang w:eastAsia="zh-CN"/>
        </w:rPr>
      </w:pPr>
    </w:p>
    <w:p w14:paraId="5D80F129">
      <w:pPr>
        <w:pStyle w:val="54"/>
        <w:rPr>
          <w:rFonts w:ascii="仿宋" w:hAnsi="仿宋" w:eastAsia="仿宋"/>
          <w:color w:val="auto"/>
          <w:highlight w:val="none"/>
        </w:rPr>
      </w:pPr>
    </w:p>
    <w:p w14:paraId="36FE9700">
      <w:pPr>
        <w:pStyle w:val="70"/>
        <w:numPr>
          <w:ilvl w:val="255"/>
          <w:numId w:val="0"/>
        </w:numPr>
        <w:tabs>
          <w:tab w:val="left" w:pos="1272"/>
        </w:tabs>
        <w:ind w:left="9" w:firstLine="1516" w:firstLineChars="500"/>
        <w:rPr>
          <w:rFonts w:ascii="仿宋" w:hAnsi="仿宋" w:eastAsia="仿宋"/>
          <w:b/>
          <w:color w:val="auto"/>
          <w:spacing w:val="-1"/>
          <w:w w:val="95"/>
          <w:sz w:val="32"/>
          <w:szCs w:val="32"/>
          <w:highlight w:val="none"/>
          <w:lang w:eastAsia="zh-CN"/>
        </w:rPr>
      </w:pPr>
      <w:r>
        <w:rPr>
          <w:rFonts w:hint="eastAsia" w:ascii="仿宋" w:hAnsi="仿宋" w:eastAsia="仿宋"/>
          <w:b/>
          <w:color w:val="auto"/>
          <w:spacing w:val="-1"/>
          <w:w w:val="95"/>
          <w:sz w:val="32"/>
          <w:szCs w:val="32"/>
          <w:highlight w:val="none"/>
          <w:lang w:eastAsia="zh-CN"/>
        </w:rPr>
        <w:t xml:space="preserve">          第二章</w:t>
      </w:r>
      <w:r>
        <w:rPr>
          <w:rFonts w:hint="eastAsia" w:ascii="仿宋" w:hAnsi="仿宋" w:eastAsia="仿宋"/>
          <w:b/>
          <w:color w:val="auto"/>
          <w:spacing w:val="-1"/>
          <w:w w:val="95"/>
          <w:sz w:val="32"/>
          <w:szCs w:val="32"/>
          <w:highlight w:val="none"/>
          <w:lang w:eastAsia="zh-CN"/>
        </w:rPr>
        <w:tab/>
      </w:r>
      <w:r>
        <w:rPr>
          <w:rFonts w:hint="eastAsia" w:ascii="仿宋" w:hAnsi="仿宋" w:eastAsia="仿宋"/>
          <w:b/>
          <w:color w:val="auto"/>
          <w:spacing w:val="-1"/>
          <w:w w:val="95"/>
          <w:sz w:val="32"/>
          <w:szCs w:val="32"/>
          <w:highlight w:val="none"/>
          <w:lang w:eastAsia="zh-CN"/>
        </w:rPr>
        <w:t>询比须知</w:t>
      </w:r>
    </w:p>
    <w:p w14:paraId="5FF3AF38">
      <w:pPr>
        <w:jc w:val="center"/>
        <w:rPr>
          <w:rFonts w:ascii="仿宋" w:hAnsi="仿宋" w:eastAsia="仿宋"/>
          <w:b/>
          <w:color w:val="auto"/>
          <w:w w:val="95"/>
          <w:sz w:val="28"/>
          <w:highlight w:val="none"/>
          <w:lang w:eastAsia="zh-CN"/>
        </w:rPr>
      </w:pPr>
    </w:p>
    <w:p w14:paraId="2295D77B">
      <w:pPr>
        <w:rPr>
          <w:rFonts w:hint="eastAsia" w:asciiTheme="minorEastAsia" w:hAnsiTheme="minorEastAsia" w:eastAsiaTheme="minorEastAsia" w:cstheme="minorEastAsia"/>
          <w:b/>
          <w:color w:val="auto"/>
          <w:w w:val="95"/>
          <w:sz w:val="24"/>
          <w:szCs w:val="24"/>
          <w:highlight w:val="none"/>
          <w:lang w:val="en-US" w:eastAsia="zh-CN" w:bidi="ar-SA"/>
        </w:rPr>
      </w:pPr>
      <w:r>
        <w:rPr>
          <w:rFonts w:hint="eastAsia" w:asciiTheme="minorEastAsia" w:hAnsiTheme="minorEastAsia" w:eastAsiaTheme="minorEastAsia" w:cstheme="minorEastAsia"/>
          <w:b/>
          <w:color w:val="auto"/>
          <w:w w:val="95"/>
          <w:sz w:val="24"/>
          <w:szCs w:val="24"/>
          <w:highlight w:val="none"/>
          <w:lang w:val="en-US" w:eastAsia="zh-CN" w:bidi="ar-SA"/>
        </w:rPr>
        <w:t>一、参比须知前附表</w:t>
      </w:r>
    </w:p>
    <w:tbl>
      <w:tblPr>
        <w:tblStyle w:val="45"/>
        <w:tblW w:w="92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698"/>
        <w:gridCol w:w="6750"/>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项号</w:t>
            </w:r>
          </w:p>
        </w:tc>
        <w:tc>
          <w:tcPr>
            <w:tcW w:w="1698"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内  容</w:t>
            </w:r>
          </w:p>
        </w:tc>
        <w:tc>
          <w:tcPr>
            <w:tcW w:w="6750"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ind w:firstLine="1928" w:firstLineChars="800"/>
              <w:jc w:val="both"/>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p>
        </w:tc>
        <w:tc>
          <w:tcPr>
            <w:tcW w:w="1698"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人</w:t>
            </w:r>
          </w:p>
        </w:tc>
        <w:tc>
          <w:tcPr>
            <w:tcW w:w="6750" w:type="dxa"/>
            <w:tcBorders>
              <w:top w:val="single" w:color="auto" w:sz="4" w:space="0"/>
              <w:left w:val="single" w:color="auto" w:sz="4" w:space="0"/>
              <w:bottom w:val="single" w:color="auto" w:sz="4" w:space="0"/>
              <w:right w:val="single" w:color="auto" w:sz="4" w:space="0"/>
            </w:tcBorders>
            <w:vAlign w:val="center"/>
          </w:tcPr>
          <w:p w14:paraId="2B72548B">
            <w:pPr>
              <w:widowControl/>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名称：福建</w:t>
            </w:r>
            <w:r>
              <w:rPr>
                <w:rFonts w:hint="eastAsia" w:asciiTheme="minorEastAsia" w:hAnsiTheme="minorEastAsia" w:eastAsiaTheme="minorEastAsia" w:cstheme="minorEastAsia"/>
                <w:color w:val="auto"/>
                <w:sz w:val="21"/>
                <w:szCs w:val="21"/>
                <w:highlight w:val="none"/>
                <w:lang w:val="en-US" w:eastAsia="zh-CN"/>
              </w:rPr>
              <w:t>海裕石化有限公司</w:t>
            </w:r>
          </w:p>
          <w:p w14:paraId="5C2235C8">
            <w:pPr>
              <w:widowControl/>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1698"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项目名称</w:t>
            </w:r>
          </w:p>
        </w:tc>
        <w:tc>
          <w:tcPr>
            <w:tcW w:w="6750"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 w:val="0"/>
                <w:caps w:val="0"/>
                <w:color w:val="333333"/>
                <w:spacing w:val="0"/>
                <w:sz w:val="21"/>
                <w:szCs w:val="21"/>
                <w:shd w:val="clear" w:color="auto" w:fill="FFFFFF"/>
                <w:vertAlign w:val="baseline"/>
                <w:lang w:val="en-US" w:eastAsia="zh-CN"/>
              </w:rPr>
              <w:t>2025年9月10500吨PX船舶运输服务（古雷-宁波/嘉兴）</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w:t>
            </w:r>
          </w:p>
        </w:tc>
        <w:tc>
          <w:tcPr>
            <w:tcW w:w="1698" w:type="dxa"/>
            <w:tcBorders>
              <w:top w:val="single" w:color="auto" w:sz="4" w:space="0"/>
              <w:left w:val="single" w:color="auto" w:sz="4" w:space="0"/>
              <w:bottom w:val="single" w:color="auto" w:sz="4" w:space="0"/>
              <w:right w:val="single" w:color="auto" w:sz="4" w:space="0"/>
            </w:tcBorders>
            <w:vAlign w:val="center"/>
          </w:tcPr>
          <w:p w14:paraId="0D780A35">
            <w:pPr>
              <w:snapToGrid w:val="0"/>
              <w:spacing w:line="264" w:lineRule="auto"/>
              <w:jc w:val="center"/>
              <w:rPr>
                <w:rFonts w:hint="eastAsia"/>
                <w:color w:val="auto"/>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范围</w:t>
            </w:r>
          </w:p>
          <w:p w14:paraId="6ED04C8F">
            <w:pPr>
              <w:pStyle w:val="54"/>
              <w:rPr>
                <w:color w:val="auto"/>
                <w:highlight w:val="none"/>
              </w:rPr>
            </w:pPr>
          </w:p>
        </w:tc>
        <w:tc>
          <w:tcPr>
            <w:tcW w:w="6750" w:type="dxa"/>
            <w:tcBorders>
              <w:top w:val="single" w:color="auto" w:sz="4" w:space="0"/>
              <w:left w:val="single" w:color="auto" w:sz="4" w:space="0"/>
              <w:bottom w:val="single" w:color="auto" w:sz="4" w:space="0"/>
              <w:right w:val="single" w:color="auto" w:sz="4" w:space="0"/>
            </w:tcBorders>
            <w:vAlign w:val="center"/>
          </w:tcPr>
          <w:p w14:paraId="152A462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jc w:val="left"/>
              <w:textAlignment w:val="auto"/>
              <w:rPr>
                <w:rFonts w:ascii="Times New Roman" w:hAnsi="Times New Roman" w:cs="Times New Roman"/>
                <w:b/>
                <w:color w:val="auto"/>
                <w:sz w:val="21"/>
                <w:szCs w:val="21"/>
                <w:highlight w:val="none"/>
                <w:lang w:eastAsia="zh-CN"/>
              </w:rPr>
            </w:pP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rPr>
              <w:t>提供全程包干运输服务，包括提供适合本案物料的运输船舶，将货物安全、按期、按量从古雷港运输到宁波</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val="en-US" w:eastAsia="zh-CN"/>
              </w:rPr>
              <w:t>或</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rPr>
              <w:t>嘉兴港，运价含码头费、港建费、港务费、拖轮费、货运险等全程包干费用，以取得发货清单的签收为止；（运输时间为9月份，具体日期待通知）。</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项目控制价（</w:t>
            </w:r>
            <w:r>
              <w:rPr>
                <w:rFonts w:hint="eastAsia" w:asciiTheme="minorEastAsia" w:hAnsiTheme="minorEastAsia" w:eastAsiaTheme="minorEastAsia" w:cstheme="minorEastAsia"/>
                <w:b w:val="0"/>
                <w:bCs w:val="0"/>
                <w:sz w:val="21"/>
                <w:szCs w:val="21"/>
              </w:rPr>
              <w:t>增值税含税价</w:t>
            </w:r>
            <w:r>
              <w:rPr>
                <w:rFonts w:hint="eastAsia" w:asciiTheme="minorEastAsia" w:hAnsiTheme="minorEastAsia" w:eastAsiaTheme="minorEastAsia" w:cstheme="minorEastAsia"/>
                <w:b w:val="0"/>
                <w:bCs w:val="0"/>
                <w:sz w:val="21"/>
                <w:szCs w:val="21"/>
                <w:lang w:eastAsia="zh-CN"/>
              </w:rPr>
              <w:t>）</w:t>
            </w:r>
          </w:p>
        </w:tc>
        <w:tc>
          <w:tcPr>
            <w:tcW w:w="6750" w:type="dxa"/>
            <w:tcBorders>
              <w:top w:val="single" w:color="auto" w:sz="4" w:space="0"/>
              <w:left w:val="single" w:color="auto" w:sz="4" w:space="0"/>
              <w:bottom w:val="single" w:color="auto" w:sz="4" w:space="0"/>
              <w:right w:val="single" w:color="auto" w:sz="4" w:space="0"/>
            </w:tcBorders>
            <w:vAlign w:val="center"/>
          </w:tcPr>
          <w:p w14:paraId="350C0A63">
            <w:pPr>
              <w:spacing w:line="360" w:lineRule="auto"/>
              <w:ind w:left="1274" w:leftChars="1" w:hanging="1272" w:hangingChars="606"/>
              <w:rPr>
                <w:rFonts w:ascii="Times New Roman" w:hAnsi="Times New Roman" w:cs="Times New Roman"/>
                <w:snapToGrid w:val="0"/>
                <w:color w:val="auto"/>
                <w:sz w:val="21"/>
                <w:szCs w:val="21"/>
                <w:highlight w:val="none"/>
                <w:lang w:eastAsia="zh-CN"/>
              </w:rPr>
            </w:pPr>
            <w:r>
              <w:rPr>
                <w:rFonts w:ascii="Times New Roman" w:hAnsi="Times New Roman" w:cs="Times New Roman"/>
                <w:snapToGrid w:val="0"/>
                <w:color w:val="auto"/>
                <w:sz w:val="21"/>
                <w:szCs w:val="21"/>
                <w:highlight w:val="none"/>
                <w:lang w:eastAsia="zh-CN"/>
              </w:rPr>
              <w:t>人民币</w:t>
            </w:r>
            <w:r>
              <w:rPr>
                <w:rFonts w:hint="eastAsia" w:ascii="Times New Roman" w:hAnsi="Times New Roman" w:cs="Times New Roman"/>
                <w:snapToGrid w:val="0"/>
                <w:color w:val="auto"/>
                <w:sz w:val="21"/>
                <w:szCs w:val="21"/>
                <w:highlight w:val="none"/>
                <w:lang w:val="en-US" w:eastAsia="zh-CN"/>
              </w:rPr>
              <w:t>126</w:t>
            </w:r>
            <w:r>
              <w:rPr>
                <w:rFonts w:ascii="Times New Roman" w:hAnsi="Times New Roman" w:cs="Times New Roman"/>
                <w:snapToGrid w:val="0"/>
                <w:color w:val="auto"/>
                <w:sz w:val="21"/>
                <w:szCs w:val="21"/>
                <w:highlight w:val="none"/>
                <w:lang w:eastAsia="zh-CN"/>
              </w:rPr>
              <w:t>万元</w:t>
            </w:r>
            <w:r>
              <w:rPr>
                <w:rFonts w:hint="eastAsia" w:ascii="Times New Roman" w:hAnsi="Times New Roman" w:cs="Times New Roman"/>
                <w:snapToGrid w:val="0"/>
                <w:color w:val="auto"/>
                <w:sz w:val="21"/>
                <w:szCs w:val="21"/>
                <w:highlight w:val="none"/>
                <w:lang w:eastAsia="zh-CN"/>
              </w:rPr>
              <w:t>（</w:t>
            </w:r>
            <w:r>
              <w:rPr>
                <w:rFonts w:hint="eastAsia" w:ascii="Times New Roman" w:hAnsi="Times New Roman" w:cs="Times New Roman"/>
                <w:snapToGrid w:val="0"/>
                <w:color w:val="auto"/>
                <w:sz w:val="21"/>
                <w:szCs w:val="21"/>
                <w:highlight w:val="none"/>
                <w:lang w:val="en-US" w:eastAsia="zh-CN"/>
              </w:rPr>
              <w:t>含9%税</w:t>
            </w:r>
            <w:r>
              <w:rPr>
                <w:rFonts w:hint="eastAsia" w:ascii="Times New Roman" w:hAnsi="Times New Roman" w:cs="Times New Roman"/>
                <w:snapToGrid w:val="0"/>
                <w:color w:val="auto"/>
                <w:sz w:val="21"/>
                <w:szCs w:val="21"/>
                <w:highlight w:val="none"/>
                <w:lang w:eastAsia="zh-CN"/>
              </w:rPr>
              <w:t>）</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5</w:t>
            </w:r>
          </w:p>
        </w:tc>
        <w:tc>
          <w:tcPr>
            <w:tcW w:w="1698"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参比</w:t>
            </w:r>
            <w:r>
              <w:rPr>
                <w:rFonts w:hint="eastAsia" w:asciiTheme="minorEastAsia" w:hAnsiTheme="minorEastAsia" w:eastAsiaTheme="minorEastAsia" w:cstheme="minorEastAsia"/>
                <w:color w:val="auto"/>
                <w:sz w:val="21"/>
                <w:szCs w:val="21"/>
                <w:highlight w:val="none"/>
              </w:rPr>
              <w:t>保证金</w:t>
            </w:r>
          </w:p>
        </w:tc>
        <w:tc>
          <w:tcPr>
            <w:tcW w:w="6750"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6</w:t>
            </w:r>
          </w:p>
        </w:tc>
        <w:tc>
          <w:tcPr>
            <w:tcW w:w="1698"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w:t>
            </w:r>
          </w:p>
        </w:tc>
        <w:tc>
          <w:tcPr>
            <w:tcW w:w="6750" w:type="dxa"/>
            <w:tcBorders>
              <w:top w:val="single" w:color="auto" w:sz="4" w:space="0"/>
              <w:left w:val="single" w:color="auto" w:sz="4" w:space="0"/>
              <w:bottom w:val="single" w:color="auto" w:sz="4" w:space="0"/>
              <w:right w:val="single" w:color="auto" w:sz="4" w:space="0"/>
            </w:tcBorders>
            <w:vAlign w:val="center"/>
          </w:tcPr>
          <w:p w14:paraId="571D5E0A">
            <w:pPr>
              <w:snapToGrid w:val="0"/>
              <w:spacing w:line="264" w:lineRule="auto"/>
              <w:jc w:val="both"/>
              <w:rPr>
                <w:rFonts w:hint="default" w:asciiTheme="minorEastAsia" w:hAnsiTheme="minorEastAsia" w:eastAsiaTheme="minorEastAsia" w:cstheme="minorEastAsia"/>
                <w:color w:val="auto"/>
                <w:kern w:val="2"/>
                <w:sz w:val="21"/>
                <w:szCs w:val="21"/>
                <w:highlight w:val="none"/>
                <w:lang w:val="en-US" w:eastAsia="zh-CN"/>
              </w:rPr>
            </w:pPr>
            <w:r>
              <w:rPr>
                <w:rFonts w:asciiTheme="minorEastAsia" w:hAnsiTheme="minorEastAsia" w:eastAsiaTheme="minorEastAsia" w:cstheme="minorEastAsia"/>
                <w:color w:val="auto"/>
                <w:kern w:val="2"/>
                <w:sz w:val="21"/>
                <w:szCs w:val="21"/>
                <w:highlight w:val="none"/>
                <w:lang w:eastAsia="zh-CN"/>
              </w:rPr>
              <w:t>人民币</w:t>
            </w:r>
            <w:r>
              <w:rPr>
                <w:rFonts w:hint="eastAsia" w:asciiTheme="minorEastAsia" w:hAnsiTheme="minorEastAsia" w:eastAsiaTheme="minorEastAsia" w:cstheme="minorEastAsia"/>
                <w:color w:val="auto"/>
                <w:kern w:val="2"/>
                <w:sz w:val="21"/>
                <w:szCs w:val="21"/>
                <w:highlight w:val="none"/>
                <w:lang w:val="en-US" w:eastAsia="zh-CN"/>
              </w:rPr>
              <w:t>3万</w:t>
            </w:r>
            <w:r>
              <w:rPr>
                <w:rFonts w:asciiTheme="minorEastAsia" w:hAnsiTheme="minorEastAsia" w:eastAsiaTheme="minorEastAsia" w:cstheme="minorEastAsia"/>
                <w:color w:val="auto"/>
                <w:kern w:val="2"/>
                <w:sz w:val="21"/>
                <w:szCs w:val="21"/>
                <w:highlight w:val="none"/>
                <w:lang w:eastAsia="zh-CN"/>
              </w:rPr>
              <w:t>元</w:t>
            </w:r>
            <w:r>
              <w:rPr>
                <w:rFonts w:hint="eastAsia" w:asciiTheme="minorEastAsia" w:hAnsiTheme="minorEastAsia" w:eastAsiaTheme="minorEastAsia" w:cstheme="minorEastAsia"/>
                <w:color w:val="auto"/>
                <w:kern w:val="2"/>
                <w:sz w:val="21"/>
                <w:szCs w:val="21"/>
                <w:highlight w:val="none"/>
                <w:lang w:val="en-US" w:eastAsia="zh-CN"/>
              </w:rPr>
              <w:t>整</w:t>
            </w:r>
            <w:r>
              <w:rPr>
                <w:rFonts w:asciiTheme="minorEastAsia" w:hAnsiTheme="minorEastAsia" w:eastAsiaTheme="minorEastAsia" w:cstheme="minorEastAsia"/>
                <w:color w:val="auto"/>
                <w:kern w:val="2"/>
                <w:sz w:val="21"/>
                <w:szCs w:val="21"/>
                <w:highlight w:val="none"/>
                <w:lang w:eastAsia="zh-CN"/>
              </w:rPr>
              <w:t>（如中选方为我司年约物流商则无需另缴）</w:t>
            </w: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7</w:t>
            </w:r>
          </w:p>
        </w:tc>
        <w:tc>
          <w:tcPr>
            <w:tcW w:w="1698"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参比</w:t>
            </w:r>
            <w:r>
              <w:rPr>
                <w:rFonts w:hint="eastAsia" w:asciiTheme="minorEastAsia" w:hAnsiTheme="minorEastAsia" w:eastAsiaTheme="minorEastAsia" w:cstheme="minorEastAsia"/>
                <w:color w:val="auto"/>
                <w:kern w:val="2"/>
                <w:sz w:val="21"/>
                <w:szCs w:val="21"/>
                <w:highlight w:val="none"/>
              </w:rPr>
              <w:t>人资质</w:t>
            </w:r>
          </w:p>
        </w:tc>
        <w:tc>
          <w:tcPr>
            <w:tcW w:w="6750" w:type="dxa"/>
            <w:tcBorders>
              <w:top w:val="single" w:color="auto" w:sz="4" w:space="0"/>
              <w:left w:val="single" w:color="auto" w:sz="4" w:space="0"/>
              <w:bottom w:val="single" w:color="auto" w:sz="4" w:space="0"/>
              <w:right w:val="single" w:color="auto" w:sz="4" w:space="0"/>
            </w:tcBorders>
            <w:vAlign w:val="center"/>
          </w:tcPr>
          <w:p w14:paraId="7E1EFCFB">
            <w:pPr>
              <w:shd w:val="clear" w:color="auto" w:fill="FFFFFF"/>
              <w:spacing w:before="100" w:beforeAutospacing="1" w:after="100" w:afterAutospacing="1"/>
              <w:jc w:val="left"/>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iCs/>
                <w:color w:val="auto"/>
                <w:sz w:val="21"/>
                <w:szCs w:val="21"/>
                <w:highlight w:val="none"/>
                <w:lang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8</w:t>
            </w:r>
          </w:p>
        </w:tc>
        <w:tc>
          <w:tcPr>
            <w:tcW w:w="1698"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评审方法</w:t>
            </w:r>
          </w:p>
        </w:tc>
        <w:tc>
          <w:tcPr>
            <w:tcW w:w="6750"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 w:val="0"/>
                <w:caps w:val="0"/>
                <w:color w:val="auto"/>
                <w:spacing w:val="0"/>
                <w:kern w:val="2"/>
                <w:sz w:val="21"/>
                <w:szCs w:val="21"/>
                <w:shd w:val="clear" w:color="auto" w:fill="FFFFFF"/>
                <w:vertAlign w:val="baseline"/>
                <w:lang w:val="en-US" w:eastAsia="zh-CN" w:bidi="ar-SA"/>
              </w:rPr>
              <w:t>最低</w:t>
            </w:r>
            <w:r>
              <w:rPr>
                <w:rFonts w:hint="eastAsia" w:asciiTheme="minorEastAsia" w:hAnsiTheme="minorEastAsia" w:eastAsiaTheme="minorEastAsia" w:cstheme="minorEastAsia"/>
                <w:b w:val="0"/>
                <w:bCs w:val="0"/>
                <w:color w:val="auto"/>
                <w:kern w:val="0"/>
                <w:sz w:val="21"/>
                <w:szCs w:val="21"/>
                <w:lang w:val="en-US" w:eastAsia="zh-CN" w:bidi="ar"/>
              </w:rPr>
              <w:t>价评选的方式</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9</w:t>
            </w:r>
          </w:p>
        </w:tc>
        <w:tc>
          <w:tcPr>
            <w:tcW w:w="1698"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中选供应商数量</w:t>
            </w:r>
          </w:p>
        </w:tc>
        <w:tc>
          <w:tcPr>
            <w:tcW w:w="6750"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10</w:t>
            </w:r>
          </w:p>
        </w:tc>
        <w:tc>
          <w:tcPr>
            <w:tcW w:w="1698"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参比文件递交方式及地址</w:t>
            </w:r>
          </w:p>
        </w:tc>
        <w:tc>
          <w:tcPr>
            <w:tcW w:w="6750"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lang w:val="en-US" w:eastAsia="zh-CN"/>
              </w:rPr>
              <w:t>参比</w:t>
            </w: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rPr>
              <w:t>人应在截止时间前通过 http://nhygcg.fjshgx.com/（福建能化阳光采购平台）递交电子响应文件</w:t>
            </w: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lang w:eastAsia="zh-CN"/>
              </w:rPr>
              <w:t>。</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1</w:t>
            </w:r>
          </w:p>
        </w:tc>
        <w:tc>
          <w:tcPr>
            <w:tcW w:w="1698" w:type="dxa"/>
            <w:tcBorders>
              <w:top w:val="single" w:color="auto" w:sz="4" w:space="0"/>
              <w:left w:val="single" w:color="auto" w:sz="4" w:space="0"/>
              <w:bottom w:val="single" w:color="auto" w:sz="4" w:space="0"/>
              <w:right w:val="single" w:color="auto" w:sz="4" w:space="0"/>
            </w:tcBorders>
            <w:vAlign w:val="center"/>
          </w:tcPr>
          <w:p w14:paraId="54B35DA2">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递交</w:t>
            </w:r>
            <w:r>
              <w:rPr>
                <w:rFonts w:hint="eastAsia" w:asciiTheme="minorEastAsia" w:hAnsiTheme="minorEastAsia" w:eastAsiaTheme="minorEastAsia" w:cstheme="minorEastAsia"/>
                <w:color w:val="auto"/>
                <w:sz w:val="21"/>
                <w:szCs w:val="21"/>
                <w:highlight w:val="none"/>
              </w:rPr>
              <w:t>截止</w:t>
            </w:r>
            <w:r>
              <w:rPr>
                <w:rFonts w:hint="eastAsia" w:asciiTheme="minorEastAsia" w:hAnsiTheme="minorEastAsia" w:eastAsiaTheme="minorEastAsia" w:cstheme="minorEastAsia"/>
                <w:color w:val="auto"/>
                <w:sz w:val="21"/>
                <w:szCs w:val="21"/>
                <w:highlight w:val="none"/>
                <w:lang w:eastAsia="zh-CN"/>
              </w:rPr>
              <w:t>时间</w:t>
            </w:r>
          </w:p>
        </w:tc>
        <w:tc>
          <w:tcPr>
            <w:tcW w:w="6750"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见询比公告</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2</w:t>
            </w:r>
          </w:p>
        </w:tc>
        <w:tc>
          <w:tcPr>
            <w:tcW w:w="1698"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参比</w:t>
            </w:r>
            <w:r>
              <w:rPr>
                <w:rFonts w:hint="eastAsia" w:asciiTheme="minorEastAsia" w:hAnsiTheme="minorEastAsia" w:eastAsiaTheme="minorEastAsia" w:cstheme="minorEastAsia"/>
                <w:color w:val="auto"/>
                <w:sz w:val="21"/>
                <w:szCs w:val="21"/>
                <w:highlight w:val="none"/>
              </w:rPr>
              <w:t>有效期</w:t>
            </w:r>
          </w:p>
        </w:tc>
        <w:tc>
          <w:tcPr>
            <w:tcW w:w="6750" w:type="dxa"/>
            <w:tcBorders>
              <w:top w:val="single" w:color="auto" w:sz="4" w:space="0"/>
              <w:left w:val="single" w:color="auto" w:sz="4" w:space="0"/>
              <w:bottom w:val="single" w:color="auto" w:sz="4" w:space="0"/>
              <w:right w:val="single" w:color="auto" w:sz="4" w:space="0"/>
            </w:tcBorders>
            <w:vAlign w:val="center"/>
          </w:tcPr>
          <w:p w14:paraId="32A1EE13">
            <w:pPr>
              <w:shd w:val="clear" w:color="auto" w:fill="FFFFFF"/>
              <w:spacing w:before="100" w:beforeAutospacing="1" w:after="100" w:afterAutospacing="1"/>
              <w:jc w:val="left"/>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eastAsia="zh-CN"/>
              </w:rPr>
              <w:t>递交截止日期后</w:t>
            </w:r>
            <w:r>
              <w:rPr>
                <w:rFonts w:hint="eastAsia" w:asciiTheme="minorEastAsia" w:hAnsiTheme="minorEastAsia" w:eastAsiaTheme="minorEastAsia" w:cstheme="minorEastAsia"/>
                <w:iCs/>
                <w:color w:val="auto"/>
                <w:sz w:val="21"/>
                <w:szCs w:val="21"/>
                <w:highlight w:val="none"/>
                <w:lang w:val="en-US" w:eastAsia="zh-CN"/>
              </w:rPr>
              <w:t>30</w:t>
            </w:r>
            <w:r>
              <w:rPr>
                <w:rFonts w:hint="eastAsia" w:asciiTheme="minorEastAsia" w:hAnsiTheme="minorEastAsia" w:eastAsiaTheme="minorEastAsia" w:cstheme="minorEastAsia"/>
                <w:iCs/>
                <w:color w:val="auto"/>
                <w:sz w:val="21"/>
                <w:szCs w:val="21"/>
                <w:highlight w:val="none"/>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3</w:t>
            </w:r>
          </w:p>
        </w:tc>
        <w:tc>
          <w:tcPr>
            <w:tcW w:w="1698"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答疑</w:t>
            </w:r>
          </w:p>
        </w:tc>
        <w:tc>
          <w:tcPr>
            <w:tcW w:w="6750" w:type="dxa"/>
            <w:tcBorders>
              <w:top w:val="single" w:color="auto" w:sz="4" w:space="0"/>
              <w:left w:val="single" w:color="auto" w:sz="4" w:space="0"/>
              <w:bottom w:val="single" w:color="auto" w:sz="4" w:space="0"/>
              <w:right w:val="single" w:color="auto" w:sz="4" w:space="0"/>
            </w:tcBorders>
            <w:vAlign w:val="center"/>
          </w:tcPr>
          <w:p w14:paraId="1480BFBE">
            <w:pPr>
              <w:spacing w:line="360" w:lineRule="auto"/>
              <w:ind w:left="334" w:leftChars="6" w:hanging="321" w:hangingChars="153"/>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技术联系人:</w:t>
            </w:r>
            <w:r>
              <w:rPr>
                <w:rFonts w:ascii="Times New Roman" w:hAnsi="Times New Roman" w:cs="Times New Roman"/>
                <w:color w:val="auto"/>
                <w:sz w:val="21"/>
                <w:szCs w:val="21"/>
                <w:highlight w:val="none"/>
                <w:lang w:eastAsia="zh-CN"/>
              </w:rPr>
              <w:t xml:space="preserve"> </w:t>
            </w:r>
          </w:p>
          <w:p w14:paraId="2CDB82E1">
            <w:pPr>
              <w:spacing w:line="360" w:lineRule="auto"/>
              <w:ind w:left="334" w:leftChars="6" w:hanging="321" w:hangingChars="153"/>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color w:val="auto"/>
                <w:sz w:val="21"/>
                <w:szCs w:val="21"/>
                <w:highlight w:val="none"/>
                <w:lang w:val="en-US" w:eastAsia="zh-CN"/>
              </w:rPr>
              <w:t>梁秀屿 电话： 18600462817 </w:t>
            </w:r>
            <w:r>
              <w:rPr>
                <w:rFonts w:hint="eastAsia" w:asciiTheme="minorEastAsia" w:hAnsiTheme="minorEastAsia" w:eastAsiaTheme="minorEastAsia" w:cstheme="minorEastAsia"/>
                <w:color w:val="auto"/>
                <w:sz w:val="21"/>
                <w:szCs w:val="21"/>
                <w:highlight w:val="none"/>
                <w:lang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p w14:paraId="3B20B58B">
            <w:pPr>
              <w:spacing w:line="360" w:lineRule="auto"/>
              <w:ind w:left="334" w:leftChars="6" w:hanging="321" w:hangingChars="153"/>
              <w:rPr>
                <w:rFonts w:hint="eastAsia" w:asciiTheme="minorEastAsia" w:hAnsiTheme="minorEastAsia" w:eastAsiaTheme="minorEastAsia" w:cstheme="minorEastAsia"/>
                <w:i w:val="0"/>
                <w:caps w:val="0"/>
                <w:color w:val="333333"/>
                <w:spacing w:val="0"/>
                <w:kern w:val="2"/>
                <w:sz w:val="21"/>
                <w:szCs w:val="21"/>
                <w:shd w:val="clear" w:color="auto" w:fill="FFFFFF"/>
                <w:vertAlign w:val="baseli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地点：</w:t>
            </w:r>
            <w:r>
              <w:rPr>
                <w:rFonts w:hint="eastAsia" w:asciiTheme="minorEastAsia" w:hAnsiTheme="minorEastAsia" w:eastAsiaTheme="minorEastAsia" w:cstheme="minorEastAsia"/>
                <w:color w:val="auto"/>
                <w:sz w:val="21"/>
                <w:szCs w:val="21"/>
                <w:highlight w:val="none"/>
                <w:lang w:val="en-US" w:eastAsia="zh-CN"/>
              </w:rPr>
              <w:t>福建省</w:t>
            </w:r>
            <w:r>
              <w:rPr>
                <w:rFonts w:hint="eastAsia" w:asciiTheme="minorEastAsia" w:hAnsiTheme="minorEastAsia" w:eastAsiaTheme="minorEastAsia" w:cstheme="minorEastAsia"/>
                <w:i w:val="0"/>
                <w:caps w:val="0"/>
                <w:color w:val="333333"/>
                <w:spacing w:val="0"/>
                <w:kern w:val="2"/>
                <w:sz w:val="21"/>
                <w:szCs w:val="21"/>
                <w:shd w:val="clear" w:color="auto" w:fill="FFFFFF"/>
                <w:vertAlign w:val="baseline"/>
                <w:lang w:val="en-US" w:eastAsia="zh-CN" w:bidi="ar-SA"/>
              </w:rPr>
              <w:t>漳州市漳浦县杜浔镇杜昌路999号古雷宾馆1号楼层</w:t>
            </w:r>
          </w:p>
          <w:p w14:paraId="0E18D1DF">
            <w:pPr>
              <w:spacing w:line="360" w:lineRule="auto"/>
              <w:ind w:left="334" w:leftChars="6" w:hanging="321" w:hangingChars="153"/>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答疑时间：递交截止日期前3天；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其他要求</w:t>
            </w:r>
          </w:p>
        </w:tc>
        <w:tc>
          <w:tcPr>
            <w:tcW w:w="6750"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1、本项目不接受联合体参比。 </w:t>
            </w:r>
          </w:p>
          <w:p w14:paraId="703C0C6A">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2、本次采购原则上采用一次性报价。</w:t>
            </w:r>
          </w:p>
          <w:p w14:paraId="4AB5399D">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3</w:t>
            </w:r>
            <w:r>
              <w:rPr>
                <w:rFonts w:hint="eastAsia" w:asciiTheme="minorEastAsia" w:hAnsiTheme="minorEastAsia" w:eastAsiaTheme="minorEastAsia" w:cstheme="minorEastAsia"/>
                <w:color w:val="auto"/>
                <w:sz w:val="21"/>
                <w:szCs w:val="21"/>
                <w:highlight w:val="none"/>
                <w:lang w:eastAsia="zh-CN"/>
              </w:rPr>
              <w:t>、参比人所提交的参比文件在评审结束后，无论中选与否都不退还。</w:t>
            </w:r>
          </w:p>
          <w:p w14:paraId="257026A9">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5</w:t>
            </w:r>
            <w:r>
              <w:rPr>
                <w:rFonts w:hint="eastAsia" w:asciiTheme="minorEastAsia" w:hAnsiTheme="minorEastAsia" w:eastAsiaTheme="minorEastAsia" w:cstheme="minorEastAsia"/>
                <w:color w:val="auto"/>
                <w:sz w:val="21"/>
                <w:szCs w:val="21"/>
                <w:highlight w:val="none"/>
                <w:lang w:eastAsia="zh-CN"/>
              </w:rPr>
              <w:t>、采购文件的最终解释权归采购人。</w:t>
            </w:r>
          </w:p>
        </w:tc>
      </w:tr>
    </w:tbl>
    <w:p w14:paraId="6DEB406B">
      <w:pPr>
        <w:pStyle w:val="19"/>
        <w:spacing w:line="360" w:lineRule="auto"/>
        <w:ind w:right="121"/>
        <w:jc w:val="both"/>
        <w:rPr>
          <w:rFonts w:hint="eastAsia" w:asciiTheme="minorEastAsia" w:hAnsiTheme="minorEastAsia" w:eastAsiaTheme="minorEastAsia" w:cstheme="minorEastAsia"/>
          <w:b/>
          <w:color w:val="auto"/>
          <w:w w:val="95"/>
          <w:sz w:val="24"/>
          <w:szCs w:val="24"/>
          <w:highlight w:val="none"/>
          <w:lang w:eastAsia="zh-CN"/>
        </w:rPr>
      </w:pPr>
      <w:r>
        <w:rPr>
          <w:rFonts w:hint="eastAsia" w:ascii="仿宋" w:hAnsi="仿宋" w:eastAsia="仿宋"/>
          <w:color w:val="auto"/>
          <w:highlight w:val="none"/>
          <w:lang w:eastAsia="zh-CN"/>
        </w:rPr>
        <w:t xml:space="preserve">   </w:t>
      </w:r>
      <w:r>
        <w:rPr>
          <w:rFonts w:hint="eastAsia" w:ascii="仿宋" w:hAnsi="仿宋" w:eastAsia="仿宋"/>
          <w:b/>
          <w:color w:val="auto"/>
          <w:w w:val="95"/>
          <w:sz w:val="28"/>
          <w:highlight w:val="none"/>
          <w:lang w:eastAsia="zh-CN"/>
        </w:rPr>
        <w:t xml:space="preserve"> </w:t>
      </w:r>
      <w:r>
        <w:rPr>
          <w:rFonts w:hint="eastAsia" w:asciiTheme="minorEastAsia" w:hAnsiTheme="minorEastAsia" w:eastAsiaTheme="minorEastAsia" w:cstheme="minorEastAsia"/>
          <w:b/>
          <w:color w:val="auto"/>
          <w:w w:val="95"/>
          <w:sz w:val="24"/>
          <w:szCs w:val="24"/>
          <w:highlight w:val="none"/>
          <w:lang w:eastAsia="zh-CN"/>
        </w:rPr>
        <w:t>二、定义和解释</w:t>
      </w:r>
    </w:p>
    <w:p w14:paraId="75134DB7">
      <w:pPr>
        <w:pStyle w:val="19"/>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2"/>
          <w:szCs w:val="22"/>
          <w:highlight w:val="none"/>
          <w:lang w:eastAsia="zh-CN"/>
        </w:rPr>
        <w:t xml:space="preserve">  1.“采购人”系福建</w:t>
      </w:r>
      <w:r>
        <w:rPr>
          <w:rFonts w:hint="eastAsia" w:asciiTheme="minorEastAsia" w:hAnsiTheme="minorEastAsia" w:eastAsiaTheme="minorEastAsia" w:cstheme="minorEastAsia"/>
          <w:color w:val="auto"/>
          <w:sz w:val="22"/>
          <w:szCs w:val="22"/>
          <w:highlight w:val="none"/>
          <w:lang w:val="en-US" w:eastAsia="zh-CN"/>
        </w:rPr>
        <w:t>海裕石化有限公司</w:t>
      </w:r>
      <w:r>
        <w:rPr>
          <w:rFonts w:hint="eastAsia" w:asciiTheme="minorEastAsia" w:hAnsiTheme="minorEastAsia" w:eastAsiaTheme="minorEastAsia" w:cstheme="minorEastAsia"/>
          <w:color w:val="auto"/>
          <w:sz w:val="22"/>
          <w:szCs w:val="22"/>
          <w:highlight w:val="none"/>
          <w:lang w:eastAsia="zh-CN"/>
        </w:rPr>
        <w:t>，即业主方。</w:t>
      </w:r>
    </w:p>
    <w:p w14:paraId="009967A3">
      <w:pPr>
        <w:pStyle w:val="19"/>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2.“参比人”系指向采购人报名并接受邀请，领取采购文件，且已经提交或准备提交本次参比文件的法人。</w:t>
      </w:r>
    </w:p>
    <w:p w14:paraId="182978F6">
      <w:pPr>
        <w:pStyle w:val="19"/>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3.“参比人代表”系指全权代表参比人参加本次询比活动并签署参比文件的人，如果参比人代表不是参比人的法定代表人，须持有《法定代表人授权委托书》详见附件。</w:t>
      </w:r>
    </w:p>
    <w:p w14:paraId="0A12374F">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三、采购文件组成</w:t>
      </w:r>
    </w:p>
    <w:p w14:paraId="77E08AAE">
      <w:pPr>
        <w:pStyle w:val="19"/>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2"/>
          <w:szCs w:val="22"/>
          <w:highlight w:val="none"/>
          <w:lang w:eastAsia="zh-CN"/>
        </w:rPr>
        <w:t>1.采购文件包括下列内容：询比公告、询比须知、项目内容、合同书格式、报价单、承诺函等。</w:t>
      </w:r>
    </w:p>
    <w:p w14:paraId="7C352783">
      <w:pPr>
        <w:pStyle w:val="19"/>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2.采购文件除上述 1 中内容外，采购人在询比期间发出的书面文件和其他修改或补充函件，均是采购文件不可分割的组成部分。</w:t>
      </w:r>
    </w:p>
    <w:p w14:paraId="1E39BD36">
      <w:pPr>
        <w:pStyle w:val="19"/>
        <w:spacing w:line="360" w:lineRule="auto"/>
        <w:ind w:right="121" w:firstLine="560"/>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3.参比人应认真阅读、并充分理解采购文件的全部内容（包括所有的补充、修改内容、重要事项、格式、条款和技术规范、参数及要求等）。参比人没有按照采购文件要求提交全部资料，或者没有对采购文件在各方面都做出实质性响应是参比人的风险，有可能导致其参比被拒绝，或被认定为无效参比或被确定为参比无效。</w:t>
      </w:r>
    </w:p>
    <w:p w14:paraId="24E31348">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四、采购文件的澄清</w:t>
      </w:r>
    </w:p>
    <w:p w14:paraId="366780E2">
      <w:pPr>
        <w:pStyle w:val="19"/>
        <w:spacing w:line="360" w:lineRule="auto"/>
        <w:ind w:right="121" w:firstLine="500"/>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参比人获取采购文件后，应仔细检查采购文件的所有内容，如有残缺等问题应在获得采购文件 3 日内向采购人提出。参比人若对采购文件有任何疑问，应在参比截止时间前 </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lang w:eastAsia="zh-CN"/>
        </w:rPr>
        <w:t>日，按询比公告的联系方式以书面形式（包括书面、传真、电子邮件下同）通知到采购人。采购人将视情况确定采用适当方式予以澄清或以书面形式予以答复，澄清文件作为采购文件的组成部分，具有约束作用。</w:t>
      </w:r>
    </w:p>
    <w:p w14:paraId="3BC81BC5">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五、采购文件的修改、补充</w:t>
      </w:r>
    </w:p>
    <w:p w14:paraId="06DE1ADA">
      <w:pPr>
        <w:pStyle w:val="19"/>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2"/>
          <w:szCs w:val="22"/>
          <w:highlight w:val="none"/>
          <w:lang w:eastAsia="zh-CN"/>
        </w:rPr>
        <w:t xml:space="preserve">  1.在参比截止日期前，采购人可主动地或依据参比人要求澄清的问题而修改采购文件，并以书面形式或挂网形式通知所有报名参加询比项目的每一参比人，对方在收到该通知后应立即以书面形式予以确认；以书面形式通知，参比人未按规定时间予以确认或未按规定时间地点领取书面文件的，视同通知已收到；以挂网形式通知的，文件上传公告成功，视同通知已收到。</w:t>
      </w:r>
    </w:p>
    <w:p w14:paraId="11B8DF36">
      <w:pPr>
        <w:pStyle w:val="19"/>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2.为使参比人在准备参比文件时有合理的时间考虑采购文件的修改，采购人可酌情推迟参比截止时间和开评时间，并以书面形式通知已获得采购文件的每一参比人。</w:t>
      </w:r>
    </w:p>
    <w:p w14:paraId="7C57CF10">
      <w:pPr>
        <w:pStyle w:val="19"/>
        <w:spacing w:line="360" w:lineRule="auto"/>
        <w:ind w:right="121"/>
        <w:jc w:val="both"/>
        <w:rPr>
          <w:rFonts w:hint="eastAsia" w:asciiTheme="minorEastAsia" w:hAnsiTheme="minorEastAsia" w:eastAsiaTheme="minorEastAsia" w:cstheme="minorEastAsia"/>
          <w:b/>
          <w:color w:val="auto"/>
          <w:w w:val="95"/>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3.采购文件的修改书将构成采购文件的一部分，对参比人具有约束作用。</w:t>
      </w:r>
      <w:r>
        <w:rPr>
          <w:rFonts w:hint="eastAsia" w:asciiTheme="minorEastAsia" w:hAnsiTheme="minorEastAsia" w:eastAsiaTheme="minorEastAsia" w:cstheme="minorEastAsia"/>
          <w:b/>
          <w:color w:val="auto"/>
          <w:w w:val="95"/>
          <w:sz w:val="22"/>
          <w:szCs w:val="22"/>
          <w:highlight w:val="none"/>
          <w:lang w:eastAsia="zh-CN"/>
        </w:rPr>
        <w:t xml:space="preserve"> </w:t>
      </w:r>
    </w:p>
    <w:p w14:paraId="5C4B16EE">
      <w:pPr>
        <w:tabs>
          <w:tab w:val="left" w:pos="709"/>
        </w:tabs>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w w:val="95"/>
          <w:sz w:val="24"/>
          <w:szCs w:val="24"/>
          <w:highlight w:val="none"/>
          <w:lang w:eastAsia="zh-CN"/>
        </w:rPr>
        <w:t xml:space="preserve"> 六、参比保证金： </w:t>
      </w:r>
      <w:r>
        <w:rPr>
          <w:rFonts w:hint="eastAsia" w:asciiTheme="minorEastAsia" w:hAnsiTheme="minorEastAsia" w:eastAsiaTheme="minorEastAsia" w:cstheme="minorEastAsia"/>
          <w:b/>
          <w:color w:val="auto"/>
          <w:w w:val="95"/>
          <w:sz w:val="24"/>
          <w:szCs w:val="24"/>
          <w:highlight w:val="none"/>
          <w:lang w:val="en-US" w:eastAsia="zh-CN"/>
        </w:rPr>
        <w:t>无。</w:t>
      </w:r>
    </w:p>
    <w:p w14:paraId="45E5856C">
      <w:pPr>
        <w:ind w:firstLine="2140" w:firstLineChars="892"/>
        <w:rPr>
          <w:rFonts w:hint="eastAsia" w:asciiTheme="minorEastAsia" w:hAnsiTheme="minorEastAsia" w:eastAsiaTheme="minorEastAsia" w:cstheme="minorEastAsia"/>
          <w:color w:val="auto"/>
          <w:sz w:val="24"/>
          <w:szCs w:val="24"/>
          <w:highlight w:val="none"/>
          <w:lang w:eastAsia="zh-CN"/>
        </w:rPr>
      </w:pPr>
    </w:p>
    <w:p w14:paraId="6DBE6808">
      <w:pPr>
        <w:ind w:firstLine="2140" w:firstLineChars="892"/>
        <w:rPr>
          <w:rFonts w:hint="eastAsia" w:asciiTheme="minorEastAsia" w:hAnsiTheme="minorEastAsia" w:eastAsiaTheme="minorEastAsia" w:cstheme="minorEastAsia"/>
          <w:color w:val="auto"/>
          <w:sz w:val="24"/>
          <w:szCs w:val="24"/>
          <w:highlight w:val="none"/>
          <w:lang w:eastAsia="zh-CN"/>
        </w:rPr>
      </w:pPr>
    </w:p>
    <w:p w14:paraId="55855935">
      <w:pPr>
        <w:jc w:val="center"/>
        <w:rPr>
          <w:rFonts w:hint="eastAsia" w:ascii="仿宋" w:hAnsi="仿宋" w:eastAsia="仿宋" w:cs="宋体"/>
          <w:b/>
          <w:color w:val="auto"/>
          <w:spacing w:val="-1"/>
          <w:w w:val="95"/>
          <w:sz w:val="32"/>
          <w:szCs w:val="32"/>
          <w:highlight w:val="none"/>
          <w:lang w:val="en-US" w:eastAsia="zh-CN" w:bidi="ar-SA"/>
        </w:rPr>
        <w:sectPr>
          <w:pgSz w:w="11910" w:h="16840"/>
          <w:pgMar w:top="1420" w:right="1140" w:bottom="460" w:left="1300" w:header="0" w:footer="551" w:gutter="0"/>
          <w:pgNumType w:fmt="decimal"/>
          <w:cols w:space="720" w:num="1"/>
        </w:sectPr>
      </w:pPr>
    </w:p>
    <w:p w14:paraId="2CEEDB0C">
      <w:pPr>
        <w:jc w:val="center"/>
        <w:rPr>
          <w:rFonts w:hint="eastAsia" w:ascii="仿宋" w:hAnsi="仿宋" w:eastAsia="仿宋" w:cs="宋体"/>
          <w:b/>
          <w:color w:val="auto"/>
          <w:spacing w:val="-1"/>
          <w:w w:val="95"/>
          <w:sz w:val="32"/>
          <w:szCs w:val="32"/>
          <w:highlight w:val="none"/>
          <w:lang w:val="en-US" w:eastAsia="zh-CN" w:bidi="ar-SA"/>
        </w:rPr>
      </w:pPr>
      <w:r>
        <w:rPr>
          <w:rFonts w:hint="eastAsia" w:ascii="仿宋" w:hAnsi="仿宋" w:eastAsia="仿宋" w:cs="宋体"/>
          <w:b/>
          <w:color w:val="auto"/>
          <w:spacing w:val="-1"/>
          <w:w w:val="95"/>
          <w:sz w:val="32"/>
          <w:szCs w:val="32"/>
          <w:highlight w:val="none"/>
          <w:lang w:val="en-US" w:eastAsia="zh-CN" w:bidi="ar-SA"/>
        </w:rPr>
        <w:t>第三章 液体货物运输说明</w:t>
      </w:r>
    </w:p>
    <w:p w14:paraId="084F9E3F">
      <w:pPr>
        <w:jc w:val="center"/>
        <w:rPr>
          <w:rFonts w:hint="default" w:ascii="仿宋" w:hAnsi="仿宋" w:eastAsia="仿宋" w:cs="宋体"/>
          <w:b/>
          <w:color w:val="auto"/>
          <w:spacing w:val="-1"/>
          <w:w w:val="95"/>
          <w:sz w:val="32"/>
          <w:szCs w:val="32"/>
          <w:highlight w:val="none"/>
          <w:lang w:val="en-US" w:eastAsia="zh-CN" w:bidi="ar-SA"/>
        </w:rPr>
      </w:pPr>
    </w:p>
    <w:p w14:paraId="1D1F7864">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运输货物概况</w:t>
      </w:r>
    </w:p>
    <w:p w14:paraId="73C0DB72">
      <w:pPr>
        <w:spacing w:line="360" w:lineRule="auto"/>
        <w:ind w:left="380" w:leftChars="6" w:hanging="367" w:hangingChars="153"/>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运输货物名称：</w:t>
      </w:r>
      <w:r>
        <w:rPr>
          <w:rFonts w:hint="eastAsia" w:asciiTheme="minorEastAsia" w:hAnsiTheme="minorEastAsia" w:eastAsiaTheme="minorEastAsia" w:cstheme="minorEastAsia"/>
          <w:color w:val="auto"/>
          <w:sz w:val="24"/>
          <w:szCs w:val="24"/>
          <w:highlight w:val="none"/>
          <w:lang w:val="en-US" w:eastAsia="zh-CN"/>
        </w:rPr>
        <w:t>PX（对二甲苯）</w:t>
      </w:r>
    </w:p>
    <w:p w14:paraId="07C0624D">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具体配送量、船型要求、配送线路等见报价单。报价单中所列的预计配送量仅供参考，</w:t>
      </w:r>
      <w:r>
        <w:rPr>
          <w:rFonts w:hint="eastAsia" w:asciiTheme="minorEastAsia" w:hAnsiTheme="minorEastAsia" w:eastAsiaTheme="minorEastAsia" w:cstheme="minorEastAsia"/>
          <w:color w:val="auto"/>
          <w:sz w:val="24"/>
          <w:szCs w:val="24"/>
          <w:highlight w:val="none"/>
          <w:lang w:val="en-US" w:eastAsia="zh-CN"/>
        </w:rPr>
        <w:t>不</w:t>
      </w:r>
      <w:r>
        <w:rPr>
          <w:rFonts w:hint="eastAsia" w:asciiTheme="minorEastAsia" w:hAnsiTheme="minorEastAsia" w:eastAsiaTheme="minorEastAsia" w:cstheme="minorEastAsia"/>
          <w:color w:val="auto"/>
          <w:sz w:val="24"/>
          <w:szCs w:val="24"/>
          <w:highlight w:val="none"/>
          <w:lang w:eastAsia="zh-CN"/>
        </w:rPr>
        <w:t>作为询比采购人的运量承诺。</w:t>
      </w:r>
    </w:p>
    <w:p w14:paraId="7DABA5BD">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合同签订主体：合同签订主体是福建海裕石化有限公司。</w:t>
      </w:r>
    </w:p>
    <w:p w14:paraId="53544A35">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运输时间：202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须9月底之前到达目的港）</w:t>
      </w:r>
      <w:r>
        <w:rPr>
          <w:rFonts w:hint="eastAsia" w:asciiTheme="minorEastAsia" w:hAnsiTheme="minorEastAsia" w:eastAsiaTheme="minorEastAsia" w:cstheme="minorEastAsia"/>
          <w:color w:val="auto"/>
          <w:sz w:val="24"/>
          <w:szCs w:val="24"/>
          <w:highlight w:val="none"/>
          <w:lang w:eastAsia="zh-CN"/>
        </w:rPr>
        <w:t>。</w:t>
      </w:r>
    </w:p>
    <w:p w14:paraId="54E77DF7">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运输要求：</w:t>
      </w:r>
    </w:p>
    <w:p w14:paraId="666B4B2F">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1、货物到达目的地，运输方负责数量的交付及发货清单的签收；运输方应保证货物的数量，损耗率不超过 0.2%，损耗率的计算方法为：损耗率=（装船数量-卸船数量）/装船数量*100%（装船以装货港第三方独立检验机构检验数据为准，卸船以卸货港第三方独立检验机构检验数据为准），超出合理损耗范围的，船东按该批货物完税后的合同价向租家全额赔偿，同时承担由此给租家造成的损失。</w:t>
      </w:r>
    </w:p>
    <w:p w14:paraId="1712702B">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2、运输方提供专业化学品运输船舶，船舶为运输方具有控制权的船舶，为询价方提供运输服务。</w:t>
      </w:r>
    </w:p>
    <w:p w14:paraId="15A53F8B">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3、运输方负责运输，必须对货物投保，任何事故所发生的一切费用及责任都由运输方自负。如发生意外事故，运输方应负责货物全部货款的赔偿。</w:t>
      </w:r>
    </w:p>
    <w:p w14:paraId="7F8BED93">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4、物流商在生产企业、码头提货时需遵守生产企业、码头的规章制度。参比物流商在询比采购之前应主动了解相关规定及产品特性、运输需求。</w:t>
      </w:r>
    </w:p>
    <w:p w14:paraId="4A1B3D58">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报价方式及要求</w:t>
      </w:r>
    </w:p>
    <w:p w14:paraId="1CAC5C3D">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报价为含税价（税点：9%），参比人须能提供正规的运输发票。报价为全程包干价，涉及码头费、港建费、港务费、拖轮费收费标准，物流商可自行前往码头了解情况，以实际收费为准。</w:t>
      </w:r>
    </w:p>
    <w:p w14:paraId="1023338D">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、各参比物流商根据自有船舶实际情况（介质、船型、线路）进行报价。</w:t>
      </w:r>
    </w:p>
    <w:p w14:paraId="41C86C63">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val="zh-CN" w:eastAsia="zh-CN"/>
        </w:rPr>
        <w:t>运费结算方式：</w:t>
      </w:r>
    </w:p>
    <w:p w14:paraId="2FE908B9">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按实际装船量，经双方核对后，由运输方开具正式运输发票，在询比采购人收到发票后，以电汇的方式支付运费，但超过本询价函约定的损耗由参比人承担，从开票量扣除。</w:t>
      </w:r>
    </w:p>
    <w:p w14:paraId="3D5223F6">
      <w:pPr>
        <w:spacing w:line="321" w:lineRule="auto"/>
        <w:jc w:val="both"/>
        <w:rPr>
          <w:rFonts w:hint="eastAsia" w:asciiTheme="minorEastAsia" w:hAnsiTheme="minorEastAsia" w:eastAsiaTheme="minorEastAsia" w:cstheme="minorEastAsia"/>
          <w:color w:val="auto"/>
          <w:sz w:val="24"/>
          <w:szCs w:val="24"/>
          <w:highlight w:val="none"/>
          <w:lang w:eastAsia="zh-CN"/>
        </w:rPr>
        <w:sectPr>
          <w:footerReference r:id="rId5" w:type="default"/>
          <w:pgSz w:w="11910" w:h="16840"/>
          <w:pgMar w:top="1420" w:right="1140" w:bottom="740" w:left="1300" w:header="0" w:footer="551" w:gutter="0"/>
          <w:pgNumType w:fmt="decimal"/>
          <w:cols w:space="720" w:num="1"/>
        </w:sectPr>
      </w:pPr>
    </w:p>
    <w:p w14:paraId="28DE04AB">
      <w:pPr>
        <w:numPr>
          <w:ilvl w:val="0"/>
          <w:numId w:val="0"/>
        </w:numPr>
        <w:spacing w:line="500" w:lineRule="exact"/>
        <w:jc w:val="center"/>
        <w:rPr>
          <w:rFonts w:hint="eastAsia" w:ascii="仿宋" w:hAnsi="仿宋" w:eastAsia="仿宋" w:cs="仿宋"/>
          <w:b/>
          <w:bCs/>
          <w:sz w:val="32"/>
          <w:szCs w:val="32"/>
        </w:rPr>
      </w:pPr>
      <w:bookmarkStart w:id="0" w:name="_Hlk3301888"/>
      <w:r>
        <w:rPr>
          <w:rFonts w:hint="eastAsia" w:ascii="仿宋" w:hAnsi="仿宋" w:eastAsia="仿宋" w:cs="仿宋"/>
          <w:b/>
          <w:bCs/>
          <w:sz w:val="32"/>
          <w:szCs w:val="32"/>
          <w:lang w:val="en-US" w:eastAsia="zh-CN"/>
        </w:rPr>
        <w:t xml:space="preserve">第四章  </w:t>
      </w:r>
      <w:r>
        <w:rPr>
          <w:rFonts w:hint="eastAsia" w:ascii="仿宋" w:hAnsi="仿宋" w:eastAsia="仿宋" w:cs="仿宋"/>
          <w:b/>
          <w:bCs/>
          <w:sz w:val="32"/>
          <w:szCs w:val="32"/>
        </w:rPr>
        <w:t>报价参与书</w:t>
      </w:r>
    </w:p>
    <w:p w14:paraId="688F03A3">
      <w:pPr>
        <w:pStyle w:val="54"/>
        <w:numPr>
          <w:ilvl w:val="0"/>
          <w:numId w:val="0"/>
        </w:numPr>
      </w:pPr>
    </w:p>
    <w:p w14:paraId="3AC556EE">
      <w:pPr>
        <w:ind w:firstLine="480" w:firstLineChars="200"/>
        <w:rPr>
          <w:sz w:val="24"/>
        </w:rPr>
      </w:pPr>
      <w:r>
        <w:rPr>
          <w:sz w:val="24"/>
        </w:rPr>
        <w:t>致：</w:t>
      </w:r>
      <w:r>
        <w:rPr>
          <w:rFonts w:hint="eastAsia" w:ascii="Arial" w:hAnsi="Arial" w:cs="Arial"/>
          <w:color w:val="000000"/>
          <w:sz w:val="24"/>
          <w:lang w:val="en-US" w:eastAsia="zh-CN"/>
        </w:rPr>
        <w:t>福建海裕石化有限公司</w:t>
      </w:r>
    </w:p>
    <w:p w14:paraId="3517BF5A">
      <w:pPr>
        <w:numPr>
          <w:ilvl w:val="255"/>
          <w:numId w:val="0"/>
        </w:numPr>
        <w:spacing w:line="500" w:lineRule="exact"/>
        <w:ind w:firstLine="480" w:firstLineChars="200"/>
        <w:jc w:val="left"/>
        <w:rPr>
          <w:sz w:val="24"/>
        </w:rPr>
      </w:pPr>
      <w:r>
        <w:rPr>
          <w:sz w:val="24"/>
        </w:rPr>
        <w:t>根据贵方的</w:t>
      </w:r>
      <w:r>
        <w:rPr>
          <w:rFonts w:hint="eastAsia"/>
          <w:sz w:val="24"/>
          <w:lang w:eastAsia="zh-CN"/>
        </w:rPr>
        <w:t>询比</w:t>
      </w:r>
      <w:r>
        <w:rPr>
          <w:rFonts w:hint="eastAsia"/>
          <w:sz w:val="24"/>
          <w:lang w:val="en-US" w:eastAsia="zh-CN"/>
        </w:rPr>
        <w:t>采购文件</w:t>
      </w:r>
      <w:r>
        <w:rPr>
          <w:sz w:val="24"/>
        </w:rPr>
        <w:t>（</w:t>
      </w:r>
      <w:r>
        <w:rPr>
          <w:rFonts w:hint="eastAsia"/>
          <w:sz w:val="24"/>
          <w:lang w:val="en-US" w:eastAsia="zh-CN"/>
        </w:rPr>
        <w:t>项目</w:t>
      </w:r>
      <w:r>
        <w:rPr>
          <w:sz w:val="24"/>
        </w:rPr>
        <w:t>编号：</w:t>
      </w:r>
      <w:r>
        <w:rPr>
          <w:rFonts w:hint="eastAsia" w:ascii="Times New Roman" w:hAnsi="Times New Roman" w:cs="Times New Roman"/>
          <w:color w:val="auto"/>
          <w:highlight w:val="none"/>
          <w:lang w:val="en-US" w:eastAsia="zh-CN"/>
        </w:rPr>
        <w:t>PB250811000027</w:t>
      </w:r>
      <w:r>
        <w:rPr>
          <w:sz w:val="24"/>
        </w:rPr>
        <w:t xml:space="preserve">）， </w:t>
      </w:r>
      <w:r>
        <w:rPr>
          <w:sz w:val="24"/>
          <w:u w:val="single"/>
        </w:rPr>
        <w:t xml:space="preserve">             </w:t>
      </w:r>
      <w:r>
        <w:rPr>
          <w:sz w:val="24"/>
        </w:rPr>
        <w:t xml:space="preserve">被我方正式授权并代表我公司  </w:t>
      </w:r>
      <w:r>
        <w:rPr>
          <w:sz w:val="24"/>
          <w:u w:val="single"/>
        </w:rPr>
        <w:t xml:space="preserve">                                 </w:t>
      </w:r>
      <w:r>
        <w:rPr>
          <w:sz w:val="24"/>
        </w:rPr>
        <w:t>（单位名称）递交下述文件，并对此负责。</w:t>
      </w:r>
    </w:p>
    <w:p w14:paraId="6539DE44">
      <w:pPr>
        <w:numPr>
          <w:ilvl w:val="0"/>
          <w:numId w:val="7"/>
        </w:numPr>
        <w:spacing w:line="500" w:lineRule="exact"/>
        <w:ind w:firstLine="480" w:firstLineChars="200"/>
        <w:jc w:val="left"/>
        <w:rPr>
          <w:rFonts w:ascii="Times New Roman" w:hAnsi="Times New Roman" w:cs="Times New Roman"/>
          <w:color w:val="auto"/>
          <w:sz w:val="24"/>
          <w:szCs w:val="24"/>
          <w:highlight w:val="none"/>
          <w:lang w:eastAsia="zh-CN"/>
        </w:rPr>
      </w:pPr>
      <w:r>
        <w:rPr>
          <w:rFonts w:hint="eastAsia"/>
          <w:sz w:val="24"/>
          <w:lang w:val="en-US" w:eastAsia="zh-CN"/>
        </w:rPr>
        <w:t>法定代表人授权委托书</w:t>
      </w:r>
      <w:r>
        <w:rPr>
          <w:rFonts w:ascii="Times New Roman" w:hAnsi="Times New Roman" w:cs="Times New Roman"/>
          <w:color w:val="auto"/>
          <w:sz w:val="24"/>
          <w:szCs w:val="24"/>
          <w:highlight w:val="none"/>
          <w:lang w:eastAsia="zh-CN"/>
        </w:rPr>
        <w:t>件（加盖单位公章）</w:t>
      </w:r>
    </w:p>
    <w:p w14:paraId="2E45FB54">
      <w:pPr>
        <w:numPr>
          <w:ilvl w:val="0"/>
          <w:numId w:val="7"/>
        </w:numPr>
        <w:spacing w:line="500" w:lineRule="exact"/>
        <w:ind w:firstLine="480" w:firstLineChars="200"/>
        <w:jc w:val="left"/>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法定代表人身份证复印件（正反面）（加盖单位公章的扫描件）</w:t>
      </w:r>
    </w:p>
    <w:p w14:paraId="6967C842">
      <w:pPr>
        <w:numPr>
          <w:ilvl w:val="255"/>
          <w:numId w:val="0"/>
        </w:numPr>
        <w:spacing w:line="500" w:lineRule="exact"/>
        <w:ind w:firstLine="480" w:firstLineChars="200"/>
        <w:jc w:val="left"/>
        <w:rPr>
          <w:rFonts w:ascii="Times New Roman" w:hAnsi="Times New Roman" w:cs="Times New Roman"/>
          <w:color w:val="auto"/>
          <w:sz w:val="24"/>
          <w:szCs w:val="24"/>
          <w:highlight w:val="none"/>
          <w:lang w:eastAsia="zh-CN"/>
        </w:rPr>
      </w:pPr>
      <w:r>
        <w:rPr>
          <w:sz w:val="24"/>
        </w:rPr>
        <w:t>（</w:t>
      </w:r>
      <w:r>
        <w:rPr>
          <w:rFonts w:hint="eastAsia"/>
          <w:sz w:val="24"/>
          <w:lang w:val="en-US" w:eastAsia="zh-CN"/>
        </w:rPr>
        <w:t>3</w:t>
      </w:r>
      <w:r>
        <w:rPr>
          <w:sz w:val="24"/>
        </w:rPr>
        <w:t>）</w:t>
      </w:r>
      <w:r>
        <w:rPr>
          <w:rFonts w:hint="eastAsia"/>
          <w:sz w:val="24"/>
          <w:lang w:val="en-US" w:eastAsia="zh-CN"/>
        </w:rPr>
        <w:t>营业执照</w:t>
      </w:r>
      <w:r>
        <w:rPr>
          <w:rFonts w:ascii="Times New Roman" w:hAnsi="Times New Roman" w:cs="Times New Roman"/>
          <w:color w:val="auto"/>
          <w:sz w:val="24"/>
          <w:szCs w:val="24"/>
          <w:highlight w:val="none"/>
          <w:lang w:eastAsia="zh-CN"/>
        </w:rPr>
        <w:t>（加盖单位公章的扫描件）</w:t>
      </w:r>
    </w:p>
    <w:p w14:paraId="5CCD4375">
      <w:pPr>
        <w:numPr>
          <w:ilvl w:val="255"/>
          <w:numId w:val="0"/>
        </w:numPr>
        <w:spacing w:line="500" w:lineRule="exact"/>
        <w:ind w:firstLine="480" w:firstLineChars="200"/>
        <w:jc w:val="left"/>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4）</w:t>
      </w:r>
      <w:r>
        <w:rPr>
          <w:rFonts w:ascii="Times New Roman" w:hAnsi="Times New Roman" w:cs="Times New Roman"/>
          <w:color w:val="auto"/>
          <w:sz w:val="24"/>
          <w:szCs w:val="24"/>
          <w:highlight w:val="none"/>
          <w:lang w:eastAsia="zh-CN"/>
        </w:rPr>
        <w:t>资质文件（加盖单位公章的扫描件）</w:t>
      </w:r>
    </w:p>
    <w:p w14:paraId="035097D8">
      <w:pPr>
        <w:numPr>
          <w:ilvl w:val="255"/>
          <w:numId w:val="0"/>
        </w:numPr>
        <w:spacing w:line="500" w:lineRule="exact"/>
        <w:ind w:firstLine="480" w:firstLineChars="200"/>
        <w:jc w:val="left"/>
        <w:rPr>
          <w:rFonts w:hint="default"/>
          <w:sz w:val="24"/>
          <w:lang w:val="en-US" w:eastAsia="zh-CN"/>
        </w:rPr>
      </w:pPr>
      <w:r>
        <w:rPr>
          <w:rFonts w:hint="eastAsia"/>
          <w:sz w:val="24"/>
          <w:lang w:val="en-US" w:eastAsia="zh-CN"/>
        </w:rPr>
        <w:t>（5）参比保证金回执单</w:t>
      </w:r>
    </w:p>
    <w:p w14:paraId="09EB9BD3">
      <w:pPr>
        <w:numPr>
          <w:ilvl w:val="255"/>
          <w:numId w:val="0"/>
        </w:numPr>
        <w:spacing w:line="500" w:lineRule="exact"/>
        <w:ind w:firstLine="480" w:firstLineChars="200"/>
        <w:jc w:val="left"/>
        <w:rPr>
          <w:sz w:val="24"/>
        </w:rPr>
      </w:pPr>
      <w:r>
        <w:rPr>
          <w:sz w:val="24"/>
        </w:rPr>
        <w:t>（</w:t>
      </w:r>
      <w:r>
        <w:rPr>
          <w:rFonts w:hint="eastAsia"/>
          <w:sz w:val="24"/>
          <w:lang w:val="en-US" w:eastAsia="zh-CN"/>
        </w:rPr>
        <w:t>6</w:t>
      </w:r>
      <w:r>
        <w:rPr>
          <w:sz w:val="24"/>
        </w:rPr>
        <w:t>）报价参与书</w:t>
      </w:r>
    </w:p>
    <w:p w14:paraId="1BD0E2EE">
      <w:pPr>
        <w:numPr>
          <w:ilvl w:val="255"/>
          <w:numId w:val="0"/>
        </w:numPr>
        <w:spacing w:line="500" w:lineRule="exact"/>
        <w:ind w:firstLine="480" w:firstLineChars="200"/>
        <w:jc w:val="left"/>
        <w:rPr>
          <w:sz w:val="24"/>
        </w:rPr>
      </w:pPr>
      <w:r>
        <w:rPr>
          <w:sz w:val="24"/>
        </w:rPr>
        <w:t>（</w:t>
      </w:r>
      <w:r>
        <w:rPr>
          <w:rFonts w:hint="eastAsia"/>
          <w:sz w:val="24"/>
          <w:lang w:val="en-US" w:eastAsia="zh-CN"/>
        </w:rPr>
        <w:t>7</w:t>
      </w:r>
      <w:r>
        <w:rPr>
          <w:sz w:val="24"/>
        </w:rPr>
        <w:t>）报价单</w:t>
      </w:r>
    </w:p>
    <w:p w14:paraId="4368ECFC">
      <w:pPr>
        <w:spacing w:line="500" w:lineRule="exact"/>
        <w:ind w:firstLine="480" w:firstLineChars="200"/>
        <w:jc w:val="left"/>
        <w:rPr>
          <w:sz w:val="24"/>
        </w:rPr>
      </w:pPr>
      <w:r>
        <w:rPr>
          <w:sz w:val="24"/>
        </w:rPr>
        <w:t>据此参与书，我公司及签字代表宣布同意如下：</w:t>
      </w:r>
    </w:p>
    <w:p w14:paraId="63788A9B">
      <w:pPr>
        <w:numPr>
          <w:ilvl w:val="0"/>
          <w:numId w:val="8"/>
        </w:numPr>
        <w:spacing w:line="500" w:lineRule="exact"/>
        <w:ind w:firstLine="480" w:firstLineChars="200"/>
        <w:jc w:val="left"/>
        <w:rPr>
          <w:sz w:val="24"/>
        </w:rPr>
      </w:pPr>
      <w:r>
        <w:rPr>
          <w:sz w:val="24"/>
        </w:rPr>
        <w:t>所提交的文件、资质和所递交的报价真实、可靠。</w:t>
      </w:r>
    </w:p>
    <w:p w14:paraId="66E2A198">
      <w:pPr>
        <w:numPr>
          <w:ilvl w:val="0"/>
          <w:numId w:val="8"/>
        </w:numPr>
        <w:spacing w:line="500" w:lineRule="exact"/>
        <w:ind w:firstLine="480" w:firstLineChars="200"/>
        <w:jc w:val="left"/>
        <w:rPr>
          <w:sz w:val="24"/>
        </w:rPr>
      </w:pPr>
      <w:r>
        <w:rPr>
          <w:sz w:val="24"/>
        </w:rPr>
        <w:t>我方将履行</w:t>
      </w:r>
      <w:r>
        <w:rPr>
          <w:rFonts w:hint="eastAsia"/>
          <w:sz w:val="24"/>
          <w:lang w:eastAsia="zh-CN"/>
        </w:rPr>
        <w:t>询比</w:t>
      </w:r>
      <w:r>
        <w:rPr>
          <w:sz w:val="24"/>
        </w:rPr>
        <w:t>文件规定的每一项要求、按约履行。</w:t>
      </w:r>
    </w:p>
    <w:p w14:paraId="16293BC0">
      <w:pPr>
        <w:numPr>
          <w:ilvl w:val="0"/>
          <w:numId w:val="8"/>
        </w:numPr>
        <w:spacing w:line="500" w:lineRule="exact"/>
        <w:ind w:firstLine="480" w:firstLineChars="200"/>
        <w:jc w:val="left"/>
        <w:rPr>
          <w:sz w:val="24"/>
        </w:rPr>
      </w:pPr>
      <w:r>
        <w:rPr>
          <w:sz w:val="24"/>
        </w:rPr>
        <w:t>我公司报价有效期以满足贵公司</w:t>
      </w:r>
      <w:r>
        <w:rPr>
          <w:rFonts w:hint="eastAsia"/>
          <w:sz w:val="24"/>
          <w:lang w:eastAsia="zh-CN"/>
        </w:rPr>
        <w:t>询比</w:t>
      </w:r>
      <w:r>
        <w:rPr>
          <w:rFonts w:hint="eastAsia"/>
          <w:sz w:val="24"/>
          <w:lang w:val="en-US" w:eastAsia="zh-CN"/>
        </w:rPr>
        <w:t>公告</w:t>
      </w:r>
      <w:r>
        <w:rPr>
          <w:sz w:val="24"/>
        </w:rPr>
        <w:t>要求为基础，</w:t>
      </w:r>
      <w:r>
        <w:rPr>
          <w:rFonts w:hint="eastAsia"/>
          <w:sz w:val="24"/>
        </w:rPr>
        <w:t>我公司</w:t>
      </w:r>
      <w:r>
        <w:rPr>
          <w:sz w:val="24"/>
        </w:rPr>
        <w:t>若中选，将与</w:t>
      </w:r>
      <w:r>
        <w:rPr>
          <w:rFonts w:hint="eastAsia"/>
          <w:sz w:val="24"/>
        </w:rPr>
        <w:t>代理</w:t>
      </w:r>
      <w:r>
        <w:rPr>
          <w:sz w:val="24"/>
        </w:rPr>
        <w:t>合同有效期一致。</w:t>
      </w:r>
    </w:p>
    <w:p w14:paraId="5F74416A">
      <w:pPr>
        <w:spacing w:line="500" w:lineRule="exact"/>
        <w:ind w:firstLine="480" w:firstLineChars="200"/>
        <w:jc w:val="left"/>
        <w:rPr>
          <w:sz w:val="24"/>
        </w:rPr>
      </w:pPr>
      <w:r>
        <w:rPr>
          <w:sz w:val="24"/>
        </w:rPr>
        <w:t>4.承诺严格执行廉政建设和反腐败的法律和法规，不发生违法乱纪行为。</w:t>
      </w:r>
    </w:p>
    <w:p w14:paraId="0F1B0B01"/>
    <w:p w14:paraId="58A7D156"/>
    <w:p w14:paraId="77C9CEF4">
      <w:pPr>
        <w:spacing w:line="500" w:lineRule="exact"/>
        <w:ind w:firstLine="480" w:firstLineChars="200"/>
        <w:rPr>
          <w:sz w:val="24"/>
        </w:rPr>
      </w:pPr>
    </w:p>
    <w:p w14:paraId="355BFE0D">
      <w:pPr>
        <w:spacing w:line="500" w:lineRule="exact"/>
        <w:rPr>
          <w:b/>
          <w:bCs/>
          <w:sz w:val="28"/>
        </w:rPr>
      </w:pPr>
    </w:p>
    <w:p w14:paraId="1722AAA7">
      <w:pPr>
        <w:spacing w:line="500" w:lineRule="exact"/>
        <w:rPr>
          <w:b/>
          <w:bCs/>
          <w:sz w:val="28"/>
        </w:rPr>
      </w:pPr>
    </w:p>
    <w:p w14:paraId="26843916">
      <w:pPr>
        <w:spacing w:line="500" w:lineRule="exact"/>
        <w:rPr>
          <w:b/>
          <w:bCs/>
          <w:sz w:val="28"/>
        </w:rPr>
      </w:pPr>
    </w:p>
    <w:p w14:paraId="7F94FBDF">
      <w:pPr>
        <w:spacing w:line="500" w:lineRule="exact"/>
        <w:rPr>
          <w:b/>
          <w:bCs/>
          <w:sz w:val="28"/>
        </w:rPr>
      </w:pPr>
    </w:p>
    <w:p w14:paraId="749C13CB">
      <w:pPr>
        <w:spacing w:line="500" w:lineRule="exact"/>
        <w:rPr>
          <w:b/>
          <w:bCs/>
          <w:sz w:val="28"/>
        </w:rPr>
      </w:pPr>
    </w:p>
    <w:p w14:paraId="1349E2D0">
      <w:pPr>
        <w:spacing w:line="500" w:lineRule="exact"/>
        <w:rPr>
          <w:b/>
          <w:bCs/>
          <w:sz w:val="28"/>
        </w:rPr>
      </w:pPr>
    </w:p>
    <w:p w14:paraId="04FFDC59">
      <w:pPr>
        <w:pStyle w:val="54"/>
      </w:pPr>
    </w:p>
    <w:p w14:paraId="18006C6E">
      <w:pPr>
        <w:rPr>
          <w:b/>
          <w:bCs/>
          <w:sz w:val="36"/>
          <w:szCs w:val="36"/>
        </w:rPr>
      </w:pPr>
    </w:p>
    <w:p w14:paraId="6F6DCB29">
      <w:pPr>
        <w:bidi w:val="0"/>
        <w:ind w:firstLine="2249" w:firstLineChars="700"/>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第五章  </w:t>
      </w:r>
      <w:r>
        <w:rPr>
          <w:rFonts w:hint="eastAsia" w:ascii="仿宋" w:hAnsi="仿宋" w:eastAsia="仿宋" w:cs="仿宋"/>
          <w:b/>
          <w:bCs/>
          <w:sz w:val="32"/>
          <w:szCs w:val="32"/>
        </w:rPr>
        <w:t>法定代表人授</w:t>
      </w:r>
      <w:r>
        <w:rPr>
          <w:rFonts w:hint="eastAsia" w:ascii="仿宋" w:hAnsi="仿宋" w:eastAsia="仿宋" w:cs="仿宋"/>
          <w:b/>
          <w:bCs/>
          <w:sz w:val="32"/>
          <w:szCs w:val="32"/>
          <w:lang w:val="en-US" w:eastAsia="zh-CN"/>
        </w:rPr>
        <w:t>委托</w:t>
      </w:r>
      <w:r>
        <w:rPr>
          <w:rFonts w:hint="eastAsia" w:ascii="仿宋" w:hAnsi="仿宋" w:eastAsia="仿宋" w:cs="仿宋"/>
          <w:b/>
          <w:bCs/>
          <w:sz w:val="32"/>
          <w:szCs w:val="32"/>
        </w:rPr>
        <w:t>权书</w:t>
      </w:r>
    </w:p>
    <w:p w14:paraId="251B925C">
      <w:pPr>
        <w:ind w:firstLine="560" w:firstLineChars="200"/>
        <w:rPr>
          <w:sz w:val="28"/>
          <w:szCs w:val="28"/>
        </w:rPr>
      </w:pPr>
    </w:p>
    <w:p w14:paraId="7A551294">
      <w:pPr>
        <w:ind w:firstLine="560" w:firstLineChars="200"/>
        <w:rPr>
          <w:rFonts w:hint="default"/>
          <w:sz w:val="28"/>
          <w:szCs w:val="28"/>
          <w:lang w:val="en-US"/>
        </w:rPr>
      </w:pPr>
      <w:r>
        <w:rPr>
          <w:sz w:val="28"/>
          <w:szCs w:val="28"/>
        </w:rPr>
        <w:t>致：</w:t>
      </w:r>
      <w:r>
        <w:rPr>
          <w:rFonts w:hint="eastAsia"/>
          <w:sz w:val="28"/>
          <w:szCs w:val="28"/>
          <w:lang w:val="en-US" w:eastAsia="zh-CN"/>
        </w:rPr>
        <w:t>福建海裕石化有限公司</w:t>
      </w:r>
    </w:p>
    <w:p w14:paraId="567803CA">
      <w:pPr>
        <w:ind w:firstLine="570"/>
        <w:jc w:val="left"/>
        <w:rPr>
          <w:sz w:val="28"/>
          <w:szCs w:val="28"/>
        </w:rPr>
      </w:pPr>
      <w:r>
        <w:rPr>
          <w:sz w:val="28"/>
          <w:szCs w:val="28"/>
        </w:rPr>
        <w:t>本公司</w:t>
      </w:r>
      <w:r>
        <w:rPr>
          <w:sz w:val="28"/>
          <w:szCs w:val="28"/>
          <w:u w:val="single"/>
        </w:rPr>
        <w:t xml:space="preserve">                   </w:t>
      </w:r>
      <w:r>
        <w:rPr>
          <w:sz w:val="28"/>
          <w:szCs w:val="28"/>
        </w:rPr>
        <w:t>（公司名称），注册地址</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sz w:val="28"/>
          <w:szCs w:val="28"/>
        </w:rPr>
        <w:t>现</w:t>
      </w:r>
      <w:r>
        <w:rPr>
          <w:sz w:val="28"/>
          <w:szCs w:val="28"/>
          <w:u w:val="single"/>
        </w:rPr>
        <w:t xml:space="preserve">       </w:t>
      </w:r>
      <w:r>
        <w:rPr>
          <w:sz w:val="28"/>
          <w:szCs w:val="28"/>
        </w:rPr>
        <w:t>（法定代表人）代表本公司授权我公司_________（被授权代表人姓名），身份证号________________________参与贵公司</w:t>
      </w:r>
      <w:r>
        <w:rPr>
          <w:rFonts w:hint="eastAsia"/>
          <w:sz w:val="28"/>
          <w:szCs w:val="28"/>
          <w:lang w:eastAsia="zh-CN"/>
        </w:rPr>
        <w:t>询比</w:t>
      </w:r>
      <w:r>
        <w:rPr>
          <w:sz w:val="28"/>
          <w:szCs w:val="28"/>
        </w:rPr>
        <w:t>采购活动，办理与贵公司业务洽谈、合同签订、履行以及商务往来等事宜。我公司唯一指定邮箱：</w:t>
      </w:r>
      <w:r>
        <w:rPr>
          <w:sz w:val="28"/>
          <w:szCs w:val="28"/>
          <w:u w:val="single"/>
        </w:rPr>
        <w:t xml:space="preserve">                    </w:t>
      </w:r>
      <w:r>
        <w:rPr>
          <w:sz w:val="28"/>
          <w:szCs w:val="28"/>
        </w:rPr>
        <w:t>传真：</w:t>
      </w:r>
      <w:r>
        <w:rPr>
          <w:sz w:val="28"/>
          <w:szCs w:val="28"/>
          <w:u w:val="single"/>
        </w:rPr>
        <w:t xml:space="preserve">               </w:t>
      </w:r>
      <w:r>
        <w:rPr>
          <w:sz w:val="28"/>
          <w:szCs w:val="28"/>
        </w:rPr>
        <w:t>为我公司与贵公司业务往来文件确认渠道。上述指定邮箱或传真发出的文件，均视为我公司的真实意思表示。若指定邮箱或传真发生变更，我给公司将提前书面通知贵公司。否则，因未及时通知造成的损失由我公司自行承担。我公司若变更被授权人，将发函提前书面通知贵公司，未及时通知产生的一切责任和后果由我公司承担，贵公司无须承担任何责任。</w:t>
      </w:r>
    </w:p>
    <w:p w14:paraId="2E701A84">
      <w:pPr>
        <w:ind w:firstLine="570"/>
        <w:jc w:val="left"/>
        <w:rPr>
          <w:sz w:val="28"/>
          <w:szCs w:val="28"/>
        </w:rPr>
      </w:pPr>
      <w:r>
        <w:rPr>
          <w:sz w:val="28"/>
          <w:szCs w:val="28"/>
        </w:rPr>
        <w:t>此委托书自我公司收到贵公司</w:t>
      </w:r>
      <w:r>
        <w:rPr>
          <w:rFonts w:hint="eastAsia"/>
          <w:sz w:val="28"/>
          <w:szCs w:val="28"/>
          <w:lang w:eastAsia="zh-CN"/>
        </w:rPr>
        <w:t>询比</w:t>
      </w:r>
      <w:r>
        <w:rPr>
          <w:sz w:val="28"/>
          <w:szCs w:val="28"/>
        </w:rPr>
        <w:t>采购文件时起生效，至上述委托事项办理完毕时终止。</w:t>
      </w:r>
    </w:p>
    <w:p w14:paraId="08747022">
      <w:pPr>
        <w:jc w:val="left"/>
        <w:rPr>
          <w:sz w:val="28"/>
          <w:szCs w:val="28"/>
        </w:rPr>
      </w:pPr>
      <w:r>
        <w:rPr>
          <w:sz w:val="28"/>
          <w:szCs w:val="28"/>
        </w:rPr>
        <w:t>法定代表人（签字或签章）：</w:t>
      </w:r>
    </w:p>
    <w:p w14:paraId="7B7D8904">
      <w:pPr>
        <w:jc w:val="left"/>
        <w:rPr>
          <w:sz w:val="28"/>
          <w:szCs w:val="28"/>
        </w:rPr>
      </w:pPr>
    </w:p>
    <w:p w14:paraId="4106EE5B">
      <w:pPr>
        <w:jc w:val="left"/>
        <w:rPr>
          <w:sz w:val="28"/>
          <w:szCs w:val="28"/>
        </w:rPr>
      </w:pPr>
      <w:r>
        <w:rPr>
          <w:sz w:val="28"/>
          <w:szCs w:val="28"/>
        </w:rPr>
        <w:t>被授权代表人签字：</w:t>
      </w:r>
    </w:p>
    <w:p w14:paraId="45F025E5">
      <w:pPr>
        <w:pStyle w:val="54"/>
      </w:pPr>
    </w:p>
    <w:p w14:paraId="1FD40D1D">
      <w:pPr>
        <w:jc w:val="left"/>
        <w:rPr>
          <w:sz w:val="28"/>
          <w:szCs w:val="28"/>
        </w:rPr>
      </w:pPr>
      <w:r>
        <w:rPr>
          <w:sz w:val="28"/>
          <w:szCs w:val="28"/>
        </w:rPr>
        <w:t>单位名称（公章）：</w:t>
      </w:r>
    </w:p>
    <w:p w14:paraId="6E61F42F">
      <w:pPr>
        <w:pStyle w:val="54"/>
      </w:pPr>
    </w:p>
    <w:p w14:paraId="00AD80F0">
      <w:pPr>
        <w:jc w:val="left"/>
        <w:rPr>
          <w:sz w:val="28"/>
          <w:szCs w:val="28"/>
        </w:rPr>
      </w:pPr>
      <w:r>
        <w:rPr>
          <w:sz w:val="28"/>
          <w:szCs w:val="28"/>
        </w:rPr>
        <w:t>地址：</w:t>
      </w:r>
    </w:p>
    <w:p w14:paraId="4F903CBB">
      <w:pPr>
        <w:pStyle w:val="54"/>
      </w:pPr>
    </w:p>
    <w:p w14:paraId="2B296B89">
      <w:pPr>
        <w:jc w:val="left"/>
        <w:rPr>
          <w:sz w:val="28"/>
          <w:szCs w:val="28"/>
        </w:rPr>
      </w:pPr>
      <w:r>
        <w:rPr>
          <w:sz w:val="28"/>
          <w:szCs w:val="28"/>
        </w:rPr>
        <w:t>电话：</w:t>
      </w:r>
    </w:p>
    <w:p w14:paraId="1CF5E4B8">
      <w:pPr>
        <w:pStyle w:val="54"/>
      </w:pPr>
    </w:p>
    <w:p w14:paraId="4746A16E">
      <w:pPr>
        <w:jc w:val="left"/>
        <w:rPr>
          <w:rFonts w:hint="eastAsia"/>
          <w:sz w:val="28"/>
          <w:szCs w:val="28"/>
        </w:rPr>
      </w:pPr>
      <w:r>
        <w:rPr>
          <w:sz w:val="28"/>
          <w:szCs w:val="28"/>
        </w:rPr>
        <w:t>传真</w:t>
      </w:r>
      <w:bookmarkEnd w:id="0"/>
      <w:r>
        <w:rPr>
          <w:rFonts w:hint="eastAsia"/>
          <w:sz w:val="28"/>
          <w:szCs w:val="28"/>
        </w:rPr>
        <w:t>：</w:t>
      </w:r>
    </w:p>
    <w:p w14:paraId="4F2D0ABF">
      <w:pPr>
        <w:pStyle w:val="54"/>
        <w:rPr>
          <w:rFonts w:hint="eastAsia"/>
          <w:sz w:val="28"/>
          <w:szCs w:val="28"/>
        </w:rPr>
      </w:pPr>
    </w:p>
    <w:p w14:paraId="6852C068">
      <w:pPr>
        <w:pStyle w:val="54"/>
        <w:rPr>
          <w:rFonts w:hint="eastAsia"/>
          <w:sz w:val="28"/>
          <w:szCs w:val="28"/>
        </w:rPr>
      </w:pPr>
    </w:p>
    <w:p w14:paraId="0745AA34">
      <w:pPr>
        <w:pStyle w:val="54"/>
        <w:rPr>
          <w:rFonts w:hint="eastAsia"/>
          <w:sz w:val="28"/>
          <w:szCs w:val="28"/>
        </w:rPr>
      </w:pPr>
    </w:p>
    <w:p w14:paraId="4CDA7106">
      <w:pPr>
        <w:pStyle w:val="54"/>
        <w:rPr>
          <w:rFonts w:hint="eastAsia"/>
          <w:sz w:val="28"/>
          <w:szCs w:val="28"/>
        </w:rPr>
      </w:pPr>
    </w:p>
    <w:p w14:paraId="19A49CA3">
      <w:pPr>
        <w:pStyle w:val="54"/>
        <w:rPr>
          <w:rFonts w:hint="eastAsia"/>
          <w:sz w:val="28"/>
          <w:szCs w:val="28"/>
        </w:rPr>
      </w:pPr>
    </w:p>
    <w:p w14:paraId="3CA1E163">
      <w:pPr>
        <w:pStyle w:val="54"/>
        <w:rPr>
          <w:rFonts w:hint="eastAsia"/>
          <w:sz w:val="28"/>
          <w:szCs w:val="28"/>
        </w:rPr>
      </w:pPr>
    </w:p>
    <w:p w14:paraId="23569E58">
      <w:pPr>
        <w:pStyle w:val="54"/>
        <w:rPr>
          <w:rFonts w:hint="eastAsia"/>
          <w:sz w:val="28"/>
          <w:szCs w:val="28"/>
        </w:rPr>
      </w:pPr>
    </w:p>
    <w:p w14:paraId="7B0C49F4">
      <w:pPr>
        <w:pStyle w:val="54"/>
        <w:rPr>
          <w:rFonts w:hint="eastAsia"/>
          <w:sz w:val="28"/>
          <w:szCs w:val="28"/>
        </w:rPr>
      </w:pPr>
    </w:p>
    <w:p w14:paraId="19863D8A">
      <w:pPr>
        <w:pStyle w:val="54"/>
        <w:rPr>
          <w:rFonts w:hint="eastAsia"/>
          <w:sz w:val="28"/>
          <w:szCs w:val="28"/>
        </w:rPr>
      </w:pPr>
    </w:p>
    <w:p w14:paraId="6C06B700">
      <w:pPr>
        <w:pStyle w:val="54"/>
        <w:rPr>
          <w:rFonts w:hint="eastAsia"/>
          <w:sz w:val="28"/>
          <w:szCs w:val="28"/>
        </w:rPr>
      </w:pPr>
    </w:p>
    <w:p w14:paraId="0493EDC8">
      <w:pPr>
        <w:pStyle w:val="54"/>
        <w:rPr>
          <w:rFonts w:hint="eastAsia"/>
          <w:sz w:val="28"/>
          <w:szCs w:val="28"/>
        </w:rPr>
      </w:pPr>
    </w:p>
    <w:p w14:paraId="37DCEE62">
      <w:pPr>
        <w:pStyle w:val="54"/>
        <w:rPr>
          <w:rFonts w:hint="eastAsia"/>
          <w:sz w:val="28"/>
          <w:szCs w:val="28"/>
        </w:rPr>
      </w:pPr>
    </w:p>
    <w:p w14:paraId="0E0FAAE6">
      <w:pPr>
        <w:spacing w:line="500" w:lineRule="exact"/>
        <w:jc w:val="center"/>
        <w:rPr>
          <w:b/>
          <w:bCs/>
          <w:sz w:val="36"/>
          <w:szCs w:val="36"/>
        </w:rPr>
      </w:pPr>
      <w:r>
        <w:rPr>
          <w:rFonts w:hint="eastAsia"/>
          <w:b/>
          <w:bCs/>
          <w:sz w:val="36"/>
          <w:szCs w:val="36"/>
          <w:lang w:val="en-US" w:eastAsia="zh-CN"/>
        </w:rPr>
        <w:t xml:space="preserve">第六章  </w:t>
      </w:r>
      <w:r>
        <w:rPr>
          <w:b/>
          <w:bCs/>
          <w:sz w:val="36"/>
          <w:szCs w:val="36"/>
        </w:rPr>
        <w:t>运费报价单</w:t>
      </w:r>
    </w:p>
    <w:p w14:paraId="0F9F69E7">
      <w:pPr>
        <w:ind w:right="960"/>
        <w:rPr>
          <w:sz w:val="24"/>
        </w:rPr>
      </w:pPr>
    </w:p>
    <w:p w14:paraId="714EC356">
      <w:pPr>
        <w:ind w:right="960"/>
        <w:rPr>
          <w:sz w:val="24"/>
        </w:rPr>
      </w:pPr>
      <w:r>
        <w:rPr>
          <w:sz w:val="24"/>
        </w:rPr>
        <w:t>对于贵公司（需方）询价（编号：</w:t>
      </w:r>
      <w:r>
        <w:rPr>
          <w:rFonts w:hint="eastAsia"/>
          <w:sz w:val="24"/>
          <w:lang w:val="en-US" w:eastAsia="zh-CN"/>
        </w:rPr>
        <w:t>PB250811000027</w:t>
      </w:r>
      <w:r>
        <w:rPr>
          <w:sz w:val="24"/>
        </w:rPr>
        <w:t>），报价如下：</w:t>
      </w:r>
    </w:p>
    <w:p w14:paraId="5B186BEB">
      <w:pPr>
        <w:spacing w:line="360" w:lineRule="auto"/>
        <w:ind w:firstLine="480" w:firstLineChars="200"/>
        <w:jc w:val="left"/>
        <w:rPr>
          <w:sz w:val="24"/>
        </w:rPr>
      </w:pPr>
      <w:r>
        <w:rPr>
          <w:rFonts w:hint="eastAsia"/>
          <w:sz w:val="24"/>
          <w:lang w:eastAsia="zh-CN"/>
        </w:rPr>
        <w:t>参比</w:t>
      </w:r>
      <w:r>
        <w:rPr>
          <w:sz w:val="24"/>
        </w:rPr>
        <w:t>人：</w:t>
      </w:r>
    </w:p>
    <w:p w14:paraId="3B146D60">
      <w:pPr>
        <w:spacing w:line="360" w:lineRule="auto"/>
        <w:ind w:firstLine="480" w:firstLineChars="200"/>
        <w:jc w:val="left"/>
        <w:rPr>
          <w:sz w:val="24"/>
        </w:rPr>
      </w:pPr>
      <w:r>
        <w:rPr>
          <w:sz w:val="24"/>
        </w:rPr>
        <w:t>移动电话：</w:t>
      </w:r>
    </w:p>
    <w:p w14:paraId="011B1242">
      <w:pPr>
        <w:spacing w:line="360" w:lineRule="auto"/>
        <w:ind w:firstLine="480" w:firstLineChars="200"/>
        <w:jc w:val="left"/>
        <w:rPr>
          <w:sz w:val="24"/>
        </w:rPr>
      </w:pPr>
      <w:r>
        <w:rPr>
          <w:sz w:val="24"/>
        </w:rPr>
        <w:t>办公电话：</w:t>
      </w:r>
    </w:p>
    <w:tbl>
      <w:tblPr>
        <w:tblStyle w:val="45"/>
        <w:tblW w:w="5143" w:type="pct"/>
        <w:tblInd w:w="0" w:type="dxa"/>
        <w:tblLayout w:type="fixed"/>
        <w:tblCellMar>
          <w:top w:w="0" w:type="dxa"/>
          <w:left w:w="108" w:type="dxa"/>
          <w:bottom w:w="0" w:type="dxa"/>
          <w:right w:w="108" w:type="dxa"/>
        </w:tblCellMar>
      </w:tblPr>
      <w:tblGrid>
        <w:gridCol w:w="1257"/>
        <w:gridCol w:w="1249"/>
        <w:gridCol w:w="1173"/>
        <w:gridCol w:w="1296"/>
        <w:gridCol w:w="1363"/>
        <w:gridCol w:w="1208"/>
        <w:gridCol w:w="2541"/>
      </w:tblGrid>
      <w:tr w14:paraId="0E59DE30">
        <w:tblPrEx>
          <w:tblCellMar>
            <w:top w:w="0" w:type="dxa"/>
            <w:left w:w="108" w:type="dxa"/>
            <w:bottom w:w="0" w:type="dxa"/>
            <w:right w:w="108" w:type="dxa"/>
          </w:tblCellMar>
        </w:tblPrEx>
        <w:trPr>
          <w:trHeight w:val="590" w:hRule="atLeast"/>
        </w:trPr>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1F6F6316">
            <w:pPr>
              <w:widowControl/>
              <w:jc w:val="center"/>
              <w:rPr>
                <w:kern w:val="0"/>
                <w:szCs w:val="21"/>
              </w:rPr>
            </w:pPr>
            <w:r>
              <w:rPr>
                <w:kern w:val="0"/>
                <w:szCs w:val="21"/>
              </w:rPr>
              <w:t>产品名称</w:t>
            </w:r>
          </w:p>
        </w:tc>
        <w:tc>
          <w:tcPr>
            <w:tcW w:w="619" w:type="pct"/>
            <w:tcBorders>
              <w:top w:val="single" w:color="auto" w:sz="4" w:space="0"/>
              <w:left w:val="nil"/>
              <w:bottom w:val="single" w:color="auto" w:sz="4" w:space="0"/>
              <w:right w:val="single" w:color="auto" w:sz="4" w:space="0"/>
            </w:tcBorders>
            <w:shd w:val="clear" w:color="auto" w:fill="auto"/>
            <w:vAlign w:val="center"/>
          </w:tcPr>
          <w:p w14:paraId="6DC3D82F">
            <w:pPr>
              <w:widowControl/>
              <w:jc w:val="center"/>
              <w:rPr>
                <w:kern w:val="0"/>
                <w:szCs w:val="21"/>
              </w:rPr>
            </w:pPr>
            <w:r>
              <w:rPr>
                <w:kern w:val="0"/>
                <w:szCs w:val="21"/>
              </w:rPr>
              <w:t>预计配送量（</w:t>
            </w:r>
            <w:r>
              <w:rPr>
                <w:rFonts w:hint="eastAsia"/>
                <w:kern w:val="0"/>
                <w:szCs w:val="21"/>
              </w:rPr>
              <w:t>吨</w:t>
            </w:r>
            <w:r>
              <w:rPr>
                <w:kern w:val="0"/>
                <w:szCs w:val="21"/>
              </w:rPr>
              <w:t>）</w:t>
            </w:r>
          </w:p>
        </w:tc>
        <w:tc>
          <w:tcPr>
            <w:tcW w:w="581" w:type="pct"/>
            <w:tcBorders>
              <w:top w:val="single" w:color="auto" w:sz="4" w:space="0"/>
              <w:left w:val="nil"/>
              <w:bottom w:val="single" w:color="auto" w:sz="4" w:space="0"/>
              <w:right w:val="single" w:color="auto" w:sz="4" w:space="0"/>
            </w:tcBorders>
            <w:shd w:val="clear" w:color="auto" w:fill="auto"/>
            <w:vAlign w:val="center"/>
          </w:tcPr>
          <w:p w14:paraId="5546491C">
            <w:pPr>
              <w:widowControl/>
              <w:jc w:val="center"/>
              <w:rPr>
                <w:kern w:val="0"/>
                <w:szCs w:val="21"/>
              </w:rPr>
            </w:pPr>
            <w:r>
              <w:rPr>
                <w:kern w:val="0"/>
                <w:szCs w:val="21"/>
              </w:rPr>
              <w:t>起运地</w:t>
            </w:r>
          </w:p>
        </w:tc>
        <w:tc>
          <w:tcPr>
            <w:tcW w:w="642" w:type="pct"/>
            <w:tcBorders>
              <w:top w:val="single" w:color="auto" w:sz="4" w:space="0"/>
              <w:left w:val="nil"/>
              <w:bottom w:val="single" w:color="auto" w:sz="4" w:space="0"/>
              <w:right w:val="single" w:color="auto" w:sz="4" w:space="0"/>
            </w:tcBorders>
            <w:shd w:val="clear" w:color="auto" w:fill="auto"/>
            <w:vAlign w:val="center"/>
          </w:tcPr>
          <w:p w14:paraId="2DDC1A19">
            <w:pPr>
              <w:widowControl/>
              <w:jc w:val="center"/>
              <w:rPr>
                <w:kern w:val="0"/>
                <w:szCs w:val="21"/>
              </w:rPr>
            </w:pPr>
            <w:r>
              <w:rPr>
                <w:kern w:val="0"/>
                <w:szCs w:val="21"/>
              </w:rPr>
              <w:t>目的地</w:t>
            </w:r>
          </w:p>
        </w:tc>
        <w:tc>
          <w:tcPr>
            <w:tcW w:w="675" w:type="pct"/>
            <w:tcBorders>
              <w:top w:val="single" w:color="auto" w:sz="4" w:space="0"/>
              <w:left w:val="nil"/>
              <w:bottom w:val="single" w:color="auto" w:sz="4" w:space="0"/>
              <w:right w:val="single" w:color="auto" w:sz="4" w:space="0"/>
            </w:tcBorders>
            <w:shd w:val="clear" w:color="auto" w:fill="auto"/>
            <w:vAlign w:val="center"/>
          </w:tcPr>
          <w:p w14:paraId="33B65B7B">
            <w:pPr>
              <w:widowControl/>
              <w:jc w:val="center"/>
              <w:rPr>
                <w:rFonts w:hint="eastAsia"/>
                <w:kern w:val="0"/>
                <w:szCs w:val="21"/>
                <w:lang w:val="en-US" w:eastAsia="zh-CN"/>
              </w:rPr>
            </w:pPr>
            <w:r>
              <w:rPr>
                <w:rFonts w:hint="eastAsia"/>
                <w:kern w:val="0"/>
                <w:szCs w:val="21"/>
                <w:lang w:val="en-US" w:eastAsia="zh-CN"/>
              </w:rPr>
              <w:t>运输单价</w:t>
            </w:r>
          </w:p>
          <w:p w14:paraId="2198769B">
            <w:pPr>
              <w:widowControl/>
              <w:jc w:val="center"/>
              <w:rPr>
                <w:kern w:val="0"/>
                <w:szCs w:val="21"/>
              </w:rPr>
            </w:pPr>
            <w:r>
              <w:rPr>
                <w:kern w:val="0"/>
                <w:szCs w:val="21"/>
              </w:rPr>
              <w:t>（元/吨）</w:t>
            </w:r>
          </w:p>
        </w:tc>
        <w:tc>
          <w:tcPr>
            <w:tcW w:w="598" w:type="pct"/>
            <w:tcBorders>
              <w:top w:val="single" w:color="auto" w:sz="4" w:space="0"/>
              <w:left w:val="nil"/>
              <w:bottom w:val="single" w:color="auto" w:sz="4" w:space="0"/>
              <w:right w:val="single" w:color="auto" w:sz="4" w:space="0"/>
            </w:tcBorders>
            <w:shd w:val="clear" w:color="auto" w:fill="auto"/>
            <w:vAlign w:val="center"/>
          </w:tcPr>
          <w:p w14:paraId="4481AF62">
            <w:pPr>
              <w:widowControl/>
              <w:jc w:val="center"/>
              <w:rPr>
                <w:rFonts w:hint="eastAsia"/>
                <w:kern w:val="0"/>
                <w:szCs w:val="21"/>
                <w:lang w:val="en-US" w:eastAsia="zh-CN"/>
              </w:rPr>
            </w:pPr>
            <w:r>
              <w:rPr>
                <w:rFonts w:hint="eastAsia"/>
                <w:kern w:val="0"/>
                <w:szCs w:val="21"/>
                <w:lang w:val="en-US" w:eastAsia="zh-CN"/>
              </w:rPr>
              <w:t>运输总价</w:t>
            </w:r>
          </w:p>
          <w:p w14:paraId="2CDB5E4E">
            <w:pPr>
              <w:widowControl/>
              <w:jc w:val="center"/>
              <w:rPr>
                <w:kern w:val="0"/>
                <w:szCs w:val="21"/>
              </w:rPr>
            </w:pPr>
            <w:r>
              <w:rPr>
                <w:kern w:val="0"/>
                <w:szCs w:val="21"/>
              </w:rPr>
              <w:t>（元）</w:t>
            </w:r>
          </w:p>
        </w:tc>
        <w:tc>
          <w:tcPr>
            <w:tcW w:w="1259" w:type="pct"/>
            <w:tcBorders>
              <w:top w:val="single" w:color="auto" w:sz="4" w:space="0"/>
              <w:left w:val="single" w:color="auto" w:sz="4" w:space="0"/>
              <w:bottom w:val="single" w:color="auto" w:sz="4" w:space="0"/>
              <w:right w:val="single" w:color="auto" w:sz="4" w:space="0"/>
            </w:tcBorders>
            <w:shd w:val="clear" w:color="auto" w:fill="auto"/>
            <w:vAlign w:val="center"/>
          </w:tcPr>
          <w:p w14:paraId="6C532AE5">
            <w:pPr>
              <w:widowControl/>
              <w:jc w:val="center"/>
              <w:rPr>
                <w:kern w:val="0"/>
                <w:szCs w:val="21"/>
              </w:rPr>
            </w:pPr>
            <w:r>
              <w:rPr>
                <w:kern w:val="0"/>
                <w:szCs w:val="21"/>
              </w:rPr>
              <w:t>备注</w:t>
            </w:r>
          </w:p>
        </w:tc>
      </w:tr>
      <w:tr w14:paraId="4A4082C0">
        <w:tblPrEx>
          <w:tblCellMar>
            <w:top w:w="0" w:type="dxa"/>
            <w:left w:w="108" w:type="dxa"/>
            <w:bottom w:w="0" w:type="dxa"/>
            <w:right w:w="108" w:type="dxa"/>
          </w:tblCellMar>
        </w:tblPrEx>
        <w:trPr>
          <w:trHeight w:val="2759" w:hRule="atLeast"/>
        </w:trPr>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63FA56EE">
            <w:pPr>
              <w:widowControl/>
              <w:jc w:val="center"/>
              <w:rPr>
                <w:rFonts w:hint="default" w:eastAsia="宋体"/>
                <w:kern w:val="0"/>
                <w:szCs w:val="21"/>
                <w:lang w:val="en-US" w:eastAsia="zh-CN"/>
              </w:rPr>
            </w:pPr>
            <w:r>
              <w:rPr>
                <w:rFonts w:hint="eastAsia"/>
                <w:kern w:val="0"/>
                <w:szCs w:val="21"/>
                <w:lang w:val="en-US" w:eastAsia="zh-CN"/>
              </w:rPr>
              <w:t>PX</w:t>
            </w: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14:paraId="3A9A7305">
            <w:pPr>
              <w:widowControl/>
              <w:jc w:val="center"/>
              <w:rPr>
                <w:rFonts w:hint="default" w:eastAsia="等线"/>
                <w:kern w:val="0"/>
                <w:szCs w:val="21"/>
                <w:lang w:val="en-US" w:eastAsia="zh-CN"/>
              </w:rPr>
            </w:pPr>
            <w:r>
              <w:rPr>
                <w:rFonts w:hint="eastAsia" w:eastAsia="等线"/>
                <w:kern w:val="0"/>
                <w:szCs w:val="21"/>
                <w:lang w:val="en-US" w:eastAsia="zh-CN"/>
              </w:rPr>
              <w:t>10500（整船）</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14:paraId="7843AA44">
            <w:pPr>
              <w:widowControl/>
              <w:jc w:val="center"/>
              <w:rPr>
                <w:rFonts w:hint="default" w:eastAsia="宋体"/>
                <w:kern w:val="0"/>
                <w:szCs w:val="21"/>
                <w:lang w:val="en-US" w:eastAsia="zh-CN"/>
              </w:rPr>
            </w:pPr>
            <w:r>
              <w:rPr>
                <w:rFonts w:hint="eastAsia"/>
                <w:kern w:val="0"/>
                <w:szCs w:val="21"/>
                <w:lang w:val="en-US" w:eastAsia="zh-CN"/>
              </w:rPr>
              <w:t>漳州古雷</w:t>
            </w:r>
          </w:p>
        </w:tc>
        <w:tc>
          <w:tcPr>
            <w:tcW w:w="642" w:type="pct"/>
            <w:tcBorders>
              <w:top w:val="single" w:color="auto" w:sz="4" w:space="0"/>
              <w:left w:val="nil"/>
              <w:bottom w:val="single" w:color="auto" w:sz="4" w:space="0"/>
              <w:right w:val="single" w:color="auto" w:sz="4" w:space="0"/>
            </w:tcBorders>
            <w:shd w:val="clear" w:color="auto" w:fill="auto"/>
            <w:vAlign w:val="center"/>
          </w:tcPr>
          <w:p w14:paraId="24941F95">
            <w:pPr>
              <w:widowControl/>
              <w:jc w:val="center"/>
              <w:rPr>
                <w:rFonts w:hint="default" w:eastAsia="宋体"/>
                <w:kern w:val="0"/>
                <w:szCs w:val="21"/>
                <w:lang w:val="en-US" w:eastAsia="zh-CN"/>
              </w:rPr>
            </w:pPr>
            <w:r>
              <w:rPr>
                <w:rFonts w:hint="eastAsia"/>
                <w:kern w:val="0"/>
                <w:szCs w:val="21"/>
                <w:lang w:val="en-US" w:eastAsia="zh-CN"/>
              </w:rPr>
              <w:t>宁波/嘉兴</w:t>
            </w:r>
          </w:p>
        </w:tc>
        <w:tc>
          <w:tcPr>
            <w:tcW w:w="675" w:type="pct"/>
            <w:tcBorders>
              <w:top w:val="single" w:color="auto" w:sz="4" w:space="0"/>
              <w:left w:val="nil"/>
              <w:bottom w:val="single" w:color="auto" w:sz="4" w:space="0"/>
              <w:right w:val="single" w:color="auto" w:sz="4" w:space="0"/>
            </w:tcBorders>
            <w:shd w:val="clear" w:color="auto" w:fill="auto"/>
            <w:vAlign w:val="center"/>
          </w:tcPr>
          <w:p w14:paraId="739D15DE">
            <w:pPr>
              <w:widowControl/>
              <w:jc w:val="center"/>
              <w:rPr>
                <w:kern w:val="0"/>
                <w:szCs w:val="21"/>
              </w:rPr>
            </w:pPr>
          </w:p>
        </w:tc>
        <w:tc>
          <w:tcPr>
            <w:tcW w:w="598" w:type="pct"/>
            <w:tcBorders>
              <w:top w:val="single" w:color="auto" w:sz="4" w:space="0"/>
              <w:left w:val="nil"/>
              <w:bottom w:val="single" w:color="auto" w:sz="4" w:space="0"/>
              <w:right w:val="single" w:color="auto" w:sz="4" w:space="0"/>
            </w:tcBorders>
            <w:shd w:val="clear" w:color="auto" w:fill="auto"/>
            <w:vAlign w:val="center"/>
          </w:tcPr>
          <w:p w14:paraId="06B4ABAE">
            <w:pPr>
              <w:widowControl/>
              <w:jc w:val="center"/>
              <w:rPr>
                <w:kern w:val="0"/>
                <w:szCs w:val="21"/>
              </w:rPr>
            </w:pPr>
            <w:r>
              <w:rPr>
                <w:kern w:val="0"/>
                <w:szCs w:val="21"/>
              </w:rPr>
              <w:t>　</w:t>
            </w:r>
          </w:p>
        </w:tc>
        <w:tc>
          <w:tcPr>
            <w:tcW w:w="1259" w:type="pct"/>
            <w:tcBorders>
              <w:top w:val="single" w:color="auto" w:sz="4" w:space="0"/>
              <w:left w:val="single" w:color="auto" w:sz="4" w:space="0"/>
              <w:bottom w:val="single" w:color="auto" w:sz="4" w:space="0"/>
              <w:right w:val="single" w:color="auto" w:sz="4" w:space="0"/>
            </w:tcBorders>
            <w:shd w:val="clear" w:color="auto" w:fill="auto"/>
            <w:vAlign w:val="center"/>
          </w:tcPr>
          <w:p w14:paraId="4266C94A">
            <w:pPr>
              <w:widowControl/>
              <w:jc w:val="left"/>
              <w:rPr>
                <w:rFonts w:hint="default" w:eastAsia="宋体"/>
                <w:kern w:val="0"/>
                <w:szCs w:val="21"/>
                <w:lang w:val="en-US" w:eastAsia="zh-CN"/>
              </w:rPr>
            </w:pPr>
            <w:r>
              <w:rPr>
                <w:rFonts w:eastAsia="等线"/>
                <w:kern w:val="0"/>
                <w:szCs w:val="21"/>
              </w:rPr>
              <w:t>1</w:t>
            </w:r>
            <w:r>
              <w:rPr>
                <w:kern w:val="0"/>
                <w:szCs w:val="21"/>
              </w:rPr>
              <w:t>、船舶要求：</w:t>
            </w:r>
            <w:r>
              <w:rPr>
                <w:rFonts w:hint="eastAsia"/>
                <w:kern w:val="0"/>
                <w:szCs w:val="21"/>
              </w:rPr>
              <w:t>CCS入级认证</w:t>
            </w:r>
            <w:r>
              <w:rPr>
                <w:rFonts w:hint="eastAsia"/>
                <w:kern w:val="0"/>
                <w:szCs w:val="21"/>
                <w:lang w:eastAsia="zh-CN"/>
              </w:rPr>
              <w:t>，</w:t>
            </w:r>
            <w:r>
              <w:rPr>
                <w:rFonts w:hint="eastAsia"/>
                <w:kern w:val="0"/>
                <w:szCs w:val="21"/>
                <w:lang w:val="en-US" w:eastAsia="zh-CN"/>
              </w:rPr>
              <w:t>适装PX万吨以上船型</w:t>
            </w:r>
          </w:p>
          <w:p w14:paraId="6975877B">
            <w:pPr>
              <w:widowControl/>
              <w:jc w:val="left"/>
              <w:rPr>
                <w:kern w:val="0"/>
                <w:szCs w:val="21"/>
              </w:rPr>
            </w:pPr>
            <w:r>
              <w:rPr>
                <w:rFonts w:eastAsia="等线"/>
                <w:kern w:val="0"/>
                <w:szCs w:val="21"/>
              </w:rPr>
              <w:t>2</w:t>
            </w:r>
            <w:r>
              <w:rPr>
                <w:kern w:val="0"/>
                <w:szCs w:val="21"/>
              </w:rPr>
              <w:t>、此报价船运费（含港建费、港务费、拖轮费</w:t>
            </w:r>
            <w:r>
              <w:rPr>
                <w:rFonts w:hint="eastAsia"/>
                <w:kern w:val="0"/>
                <w:szCs w:val="21"/>
                <w:lang w:eastAsia="zh-CN"/>
              </w:rPr>
              <w:t>、</w:t>
            </w:r>
            <w:r>
              <w:rPr>
                <w:rFonts w:hint="eastAsia"/>
                <w:kern w:val="0"/>
                <w:szCs w:val="21"/>
                <w:lang w:val="en-US" w:eastAsia="zh-CN"/>
              </w:rPr>
              <w:t>保险</w:t>
            </w:r>
            <w:r>
              <w:rPr>
                <w:kern w:val="0"/>
                <w:szCs w:val="21"/>
              </w:rPr>
              <w:t>等全程包干费用）</w:t>
            </w:r>
          </w:p>
          <w:p w14:paraId="35BED57A">
            <w:pPr>
              <w:widowControl/>
              <w:jc w:val="left"/>
              <w:rPr>
                <w:kern w:val="0"/>
                <w:szCs w:val="21"/>
              </w:rPr>
            </w:pPr>
            <w:r>
              <w:rPr>
                <w:rFonts w:hint="eastAsia" w:eastAsia="等线"/>
                <w:kern w:val="0"/>
                <w:szCs w:val="21"/>
              </w:rPr>
              <w:t>3、</w:t>
            </w:r>
            <w:r>
              <w:rPr>
                <w:kern w:val="0"/>
                <w:szCs w:val="21"/>
              </w:rPr>
              <w:t>符合</w:t>
            </w:r>
            <w:r>
              <w:rPr>
                <w:rFonts w:hint="eastAsia"/>
                <w:kern w:val="0"/>
                <w:szCs w:val="21"/>
              </w:rPr>
              <w:t>装卸港</w:t>
            </w:r>
            <w:r>
              <w:rPr>
                <w:kern w:val="0"/>
                <w:szCs w:val="21"/>
              </w:rPr>
              <w:t>码头靠泊要求，适装</w:t>
            </w:r>
            <w:r>
              <w:rPr>
                <w:rFonts w:hint="eastAsia"/>
                <w:kern w:val="0"/>
                <w:szCs w:val="21"/>
                <w:lang w:val="en-US" w:eastAsia="zh-CN"/>
              </w:rPr>
              <w:t>PX</w:t>
            </w:r>
            <w:r>
              <w:rPr>
                <w:kern w:val="0"/>
                <w:szCs w:val="21"/>
              </w:rPr>
              <w:t>不影响货物品质</w:t>
            </w:r>
          </w:p>
          <w:p w14:paraId="05C48234">
            <w:pPr>
              <w:widowControl/>
              <w:jc w:val="left"/>
              <w:rPr>
                <w:rFonts w:eastAsia="等线"/>
                <w:kern w:val="0"/>
                <w:szCs w:val="21"/>
              </w:rPr>
            </w:pPr>
            <w:r>
              <w:rPr>
                <w:rFonts w:hint="eastAsia"/>
                <w:kern w:val="0"/>
                <w:szCs w:val="21"/>
                <w:lang w:val="en-US" w:eastAsia="zh-CN"/>
              </w:rPr>
              <w:t>4、装船数量按10000±5%控制。</w:t>
            </w:r>
            <w:r>
              <w:rPr>
                <w:kern w:val="0"/>
                <w:szCs w:val="21"/>
              </w:rPr>
              <w:t xml:space="preserve">  </w:t>
            </w:r>
            <w:r>
              <w:rPr>
                <w:rFonts w:eastAsia="等线"/>
                <w:kern w:val="0"/>
                <w:szCs w:val="21"/>
              </w:rPr>
              <w:t xml:space="preserve">        </w:t>
            </w:r>
          </w:p>
        </w:tc>
      </w:tr>
    </w:tbl>
    <w:p w14:paraId="2445B3AF">
      <w:pPr>
        <w:spacing w:line="360" w:lineRule="auto"/>
        <w:jc w:val="left"/>
        <w:rPr>
          <w:sz w:val="24"/>
        </w:rPr>
      </w:pPr>
    </w:p>
    <w:p w14:paraId="5557A2C6">
      <w:pPr>
        <w:widowControl/>
        <w:jc w:val="left"/>
        <w:rPr>
          <w:sz w:val="24"/>
        </w:rPr>
      </w:pPr>
    </w:p>
    <w:p w14:paraId="6B55DEA4">
      <w:pPr>
        <w:spacing w:line="360" w:lineRule="auto"/>
        <w:ind w:firstLine="480" w:firstLineChars="200"/>
        <w:jc w:val="left"/>
        <w:rPr>
          <w:sz w:val="24"/>
        </w:rPr>
      </w:pPr>
      <w:r>
        <w:rPr>
          <w:sz w:val="24"/>
        </w:rPr>
        <w:t>报价说明：</w:t>
      </w:r>
    </w:p>
    <w:p w14:paraId="7524BB8D">
      <w:pPr>
        <w:pStyle w:val="217"/>
        <w:numPr>
          <w:ilvl w:val="0"/>
          <w:numId w:val="9"/>
        </w:numPr>
        <w:spacing w:line="360" w:lineRule="auto"/>
        <w:ind w:firstLineChars="0"/>
        <w:jc w:val="left"/>
        <w:rPr>
          <w:szCs w:val="21"/>
        </w:rPr>
      </w:pPr>
      <w:r>
        <w:rPr>
          <w:sz w:val="24"/>
        </w:rPr>
        <w:t>我司承诺将按贵司要求合理安排运输船舶，保证贵司运输。运输期间，如因我方运输能力或服务达不到贵司要求，贵司有权单方面终止运输合同。合同解除通知书到达我司时即生效。</w:t>
      </w:r>
    </w:p>
    <w:p w14:paraId="7F655F18">
      <w:pPr>
        <w:pStyle w:val="217"/>
        <w:numPr>
          <w:ilvl w:val="0"/>
          <w:numId w:val="9"/>
        </w:numPr>
        <w:spacing w:line="360" w:lineRule="auto"/>
        <w:ind w:firstLineChars="0"/>
        <w:jc w:val="left"/>
        <w:rPr>
          <w:sz w:val="24"/>
        </w:rPr>
      </w:pPr>
      <w:r>
        <w:rPr>
          <w:sz w:val="24"/>
        </w:rPr>
        <w:t>以上报价为含税单价（税点9%），我司按贵司要求提供正规运输发票。</w:t>
      </w:r>
    </w:p>
    <w:p w14:paraId="58D5882B">
      <w:pPr>
        <w:spacing w:line="360" w:lineRule="auto"/>
        <w:ind w:firstLine="480" w:firstLineChars="200"/>
        <w:jc w:val="left"/>
        <w:rPr>
          <w:sz w:val="24"/>
        </w:rPr>
      </w:pPr>
      <w:r>
        <w:rPr>
          <w:sz w:val="24"/>
        </w:rPr>
        <w:t>3、以上单价为全程包干价。货物自其运输到目的地签收期间产生的一切费用及风险由我司承担</w:t>
      </w:r>
      <w:r>
        <w:rPr>
          <w:rFonts w:hint="eastAsia"/>
          <w:sz w:val="24"/>
        </w:rPr>
        <w:t>。</w:t>
      </w:r>
    </w:p>
    <w:p w14:paraId="6DAC92F3">
      <w:pPr>
        <w:spacing w:line="360" w:lineRule="auto"/>
        <w:ind w:firstLine="480" w:firstLineChars="200"/>
        <w:jc w:val="left"/>
        <w:rPr>
          <w:rFonts w:hint="default" w:eastAsia="宋体"/>
          <w:color w:val="000000" w:themeColor="text1"/>
          <w:sz w:val="24"/>
          <w:lang w:val="en-US" w:eastAsia="zh-CN"/>
          <w14:textFill>
            <w14:solidFill>
              <w14:schemeClr w14:val="tx1"/>
            </w14:solidFill>
          </w14:textFill>
        </w:rPr>
      </w:pPr>
      <w:r>
        <w:rPr>
          <w:sz w:val="24"/>
        </w:rPr>
        <w:t>4、报价</w:t>
      </w:r>
      <w:r>
        <w:rPr>
          <w:rFonts w:hint="eastAsia"/>
          <w:sz w:val="24"/>
        </w:rPr>
        <w:t>执行</w:t>
      </w:r>
      <w:r>
        <w:rPr>
          <w:sz w:val="24"/>
        </w:rPr>
        <w:t>有效期：</w:t>
      </w: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8</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22</w:t>
      </w: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5.9.30</w:t>
      </w:r>
    </w:p>
    <w:p w14:paraId="5280AA9A">
      <w:pPr>
        <w:spacing w:line="360" w:lineRule="auto"/>
        <w:ind w:firstLine="480" w:firstLineChars="200"/>
        <w:jc w:val="left"/>
        <w:rPr>
          <w:sz w:val="24"/>
        </w:rPr>
      </w:pPr>
      <w:r>
        <w:rPr>
          <w:rFonts w:hint="eastAsia"/>
          <w:sz w:val="24"/>
          <w:lang w:eastAsia="zh-CN"/>
        </w:rPr>
        <w:t>参比</w:t>
      </w:r>
      <w:r>
        <w:rPr>
          <w:sz w:val="24"/>
        </w:rPr>
        <w:t>人（盖公章）：</w:t>
      </w:r>
    </w:p>
    <w:p w14:paraId="3156CFCD">
      <w:pPr>
        <w:spacing w:line="360" w:lineRule="auto"/>
        <w:ind w:firstLine="480" w:firstLineChars="200"/>
        <w:jc w:val="left"/>
        <w:rPr>
          <w:sz w:val="24"/>
        </w:rPr>
      </w:pPr>
      <w:r>
        <w:rPr>
          <w:sz w:val="24"/>
        </w:rPr>
        <w:t>法定代表人或被授权人（签字）：</w:t>
      </w:r>
    </w:p>
    <w:p w14:paraId="14ACA931">
      <w:pPr>
        <w:spacing w:line="360" w:lineRule="auto"/>
        <w:ind w:firstLine="480" w:firstLineChars="200"/>
        <w:jc w:val="left"/>
        <w:rPr>
          <w:sz w:val="24"/>
        </w:rPr>
      </w:pPr>
      <w:r>
        <w:rPr>
          <w:sz w:val="24"/>
        </w:rPr>
        <w:t>日期：</w:t>
      </w:r>
    </w:p>
    <w:p w14:paraId="3C5548EF">
      <w:pPr>
        <w:spacing w:before="15" w:line="360" w:lineRule="auto"/>
        <w:jc w:val="center"/>
        <w:rPr>
          <w:rFonts w:ascii="仿宋" w:hAnsi="仿宋" w:eastAsia="仿宋"/>
          <w:b/>
          <w:color w:val="auto"/>
          <w:w w:val="95"/>
          <w:sz w:val="30"/>
          <w:szCs w:val="30"/>
          <w:highlight w:val="none"/>
          <w:lang w:eastAsia="zh-CN"/>
        </w:rPr>
      </w:pPr>
    </w:p>
    <w:p w14:paraId="3C3C920F">
      <w:pPr>
        <w:spacing w:before="15" w:line="360" w:lineRule="auto"/>
        <w:jc w:val="center"/>
        <w:rPr>
          <w:rFonts w:ascii="仿宋" w:hAnsi="仿宋" w:eastAsia="仿宋"/>
          <w:b/>
          <w:color w:val="auto"/>
          <w:w w:val="95"/>
          <w:sz w:val="30"/>
          <w:szCs w:val="30"/>
          <w:highlight w:val="none"/>
          <w:lang w:eastAsia="zh-CN"/>
        </w:rPr>
      </w:pPr>
    </w:p>
    <w:p w14:paraId="6A16D518">
      <w:pPr>
        <w:spacing w:before="15" w:line="360" w:lineRule="auto"/>
        <w:jc w:val="center"/>
        <w:rPr>
          <w:rFonts w:ascii="仿宋" w:hAnsi="仿宋" w:eastAsia="仿宋"/>
          <w:b/>
          <w:color w:val="auto"/>
          <w:w w:val="95"/>
          <w:sz w:val="30"/>
          <w:szCs w:val="30"/>
          <w:highlight w:val="none"/>
          <w:lang w:eastAsia="zh-CN"/>
        </w:rPr>
      </w:pPr>
    </w:p>
    <w:p w14:paraId="4D236B12">
      <w:pPr>
        <w:spacing w:before="15" w:line="360" w:lineRule="auto"/>
        <w:jc w:val="center"/>
        <w:rPr>
          <w:rFonts w:ascii="仿宋" w:hAnsi="仿宋" w:eastAsia="仿宋"/>
          <w:b/>
          <w:color w:val="auto"/>
          <w:w w:val="95"/>
          <w:sz w:val="30"/>
          <w:szCs w:val="30"/>
          <w:highlight w:val="none"/>
          <w:lang w:eastAsia="zh-CN"/>
        </w:rPr>
      </w:pPr>
    </w:p>
    <w:p w14:paraId="43A8A0C6">
      <w:pPr>
        <w:spacing w:before="15" w:line="360" w:lineRule="auto"/>
        <w:jc w:val="center"/>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七</w:t>
      </w:r>
      <w:r>
        <w:rPr>
          <w:rFonts w:ascii="仿宋" w:hAnsi="仿宋" w:eastAsia="仿宋"/>
          <w:b/>
          <w:color w:val="auto"/>
          <w:w w:val="95"/>
          <w:sz w:val="30"/>
          <w:szCs w:val="30"/>
          <w:highlight w:val="none"/>
          <w:lang w:eastAsia="zh-CN"/>
        </w:rPr>
        <w:t>章  合同授予</w:t>
      </w:r>
    </w:p>
    <w:p w14:paraId="372CAF23">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人将把合同授予中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人；在授予前，仍需进行资格</w:t>
      </w:r>
      <w:r>
        <w:rPr>
          <w:rFonts w:hint="eastAsia" w:ascii="仿宋" w:hAnsi="仿宋" w:eastAsia="仿宋"/>
          <w:color w:val="auto"/>
          <w:sz w:val="28"/>
          <w:szCs w:val="28"/>
          <w:highlight w:val="none"/>
          <w:lang w:eastAsia="zh-CN"/>
        </w:rPr>
        <w:t>、资信</w:t>
      </w:r>
      <w:r>
        <w:rPr>
          <w:rFonts w:ascii="仿宋" w:hAnsi="仿宋" w:eastAsia="仿宋"/>
          <w:color w:val="auto"/>
          <w:sz w:val="28"/>
          <w:szCs w:val="28"/>
          <w:highlight w:val="none"/>
          <w:lang w:eastAsia="zh-CN"/>
        </w:rPr>
        <w:t>审查。</w:t>
      </w:r>
    </w:p>
    <w:p w14:paraId="48479813">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人确定后，</w:t>
      </w:r>
      <w:r>
        <w:rPr>
          <w:rFonts w:hint="eastAsia" w:ascii="仿宋" w:hAnsi="仿宋" w:eastAsia="仿宋"/>
          <w:color w:val="auto"/>
          <w:sz w:val="28"/>
          <w:szCs w:val="28"/>
          <w:highlight w:val="none"/>
          <w:lang w:eastAsia="zh-CN"/>
        </w:rPr>
        <w:t>采购人</w:t>
      </w:r>
      <w:r>
        <w:rPr>
          <w:rFonts w:ascii="仿宋" w:hAnsi="仿宋" w:eastAsia="仿宋"/>
          <w:color w:val="auto"/>
          <w:sz w:val="28"/>
          <w:szCs w:val="28"/>
          <w:highlight w:val="none"/>
          <w:lang w:eastAsia="zh-CN"/>
        </w:rPr>
        <w:t>将通知中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w:t>
      </w:r>
    </w:p>
    <w:p w14:paraId="7DA1D9E1">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通知对</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人和中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人具有法律效力。</w:t>
      </w:r>
      <w:r>
        <w:rPr>
          <w:rStyle w:val="48"/>
          <w:rFonts w:hint="eastAsia" w:ascii="仿宋" w:hAnsi="仿宋" w:eastAsia="仿宋"/>
          <w:color w:val="auto"/>
          <w:sz w:val="28"/>
          <w:szCs w:val="28"/>
          <w:highlight w:val="none"/>
          <w:lang w:eastAsia="zh-CN"/>
        </w:rPr>
        <w:t>福建</w:t>
      </w:r>
      <w:r>
        <w:rPr>
          <w:rStyle w:val="48"/>
          <w:rFonts w:hint="eastAsia" w:ascii="仿宋" w:hAnsi="仿宋" w:eastAsia="仿宋"/>
          <w:color w:val="auto"/>
          <w:sz w:val="28"/>
          <w:szCs w:val="28"/>
          <w:highlight w:val="none"/>
          <w:lang w:val="en-US" w:eastAsia="zh-CN"/>
        </w:rPr>
        <w:t>海裕石化</w:t>
      </w:r>
      <w:r>
        <w:rPr>
          <w:rStyle w:val="48"/>
          <w:rFonts w:hint="eastAsia" w:ascii="仿宋" w:hAnsi="仿宋" w:eastAsia="仿宋"/>
          <w:color w:val="auto"/>
          <w:sz w:val="28"/>
          <w:szCs w:val="28"/>
          <w:highlight w:val="none"/>
          <w:lang w:eastAsia="zh-CN"/>
        </w:rPr>
        <w:t>有限公司作为本项目合同执行主体，将于中选结果公示流程结束之日起</w:t>
      </w:r>
      <w:r>
        <w:rPr>
          <w:rStyle w:val="48"/>
          <w:rFonts w:hint="eastAsia" w:ascii="仿宋" w:hAnsi="仿宋" w:eastAsia="仿宋"/>
          <w:color w:val="auto"/>
          <w:sz w:val="28"/>
          <w:szCs w:val="28"/>
          <w:highlight w:val="none"/>
          <w:lang w:val="en-US" w:eastAsia="zh-CN"/>
        </w:rPr>
        <w:t>10</w:t>
      </w:r>
      <w:r>
        <w:rPr>
          <w:rStyle w:val="48"/>
          <w:rFonts w:hint="eastAsia" w:ascii="仿宋" w:hAnsi="仿宋" w:eastAsia="仿宋"/>
          <w:color w:val="auto"/>
          <w:sz w:val="28"/>
          <w:szCs w:val="28"/>
          <w:highlight w:val="none"/>
          <w:lang w:eastAsia="zh-CN"/>
        </w:rPr>
        <w:t>日内与中选人完成合同签订事宜</w:t>
      </w:r>
      <w:r>
        <w:rPr>
          <w:rFonts w:ascii="仿宋" w:hAnsi="仿宋" w:eastAsia="仿宋"/>
          <w:color w:val="auto"/>
          <w:sz w:val="28"/>
          <w:szCs w:val="28"/>
          <w:highlight w:val="none"/>
          <w:lang w:eastAsia="zh-CN"/>
        </w:rPr>
        <w:t>。若因中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原因未在规定的时间和地点与</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人签署合同，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人有权单方取消中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的资格</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若有参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保证金的，</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人可没收参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保证金。同时，由此给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453089CB">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4.中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签署合同后必须履行合同要求。若因中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原因未在规定的时间内完成</w:t>
      </w:r>
      <w:r>
        <w:rPr>
          <w:rFonts w:hint="eastAsia" w:ascii="仿宋" w:hAnsi="仿宋" w:eastAsia="仿宋"/>
          <w:color w:val="auto"/>
          <w:sz w:val="28"/>
          <w:szCs w:val="28"/>
          <w:highlight w:val="none"/>
          <w:lang w:eastAsia="zh-CN"/>
        </w:rPr>
        <w:t>合同</w:t>
      </w:r>
      <w:r>
        <w:rPr>
          <w:rFonts w:ascii="仿宋" w:hAnsi="仿宋" w:eastAsia="仿宋"/>
          <w:color w:val="auto"/>
          <w:sz w:val="28"/>
          <w:szCs w:val="28"/>
          <w:highlight w:val="none"/>
          <w:lang w:eastAsia="zh-CN"/>
        </w:rPr>
        <w:t>内容等相关工作，则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人有权单方面取消中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的资格。并取消中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三年内在</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人的业务中的参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资格，由此给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722310BA">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5.</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文件与合同附件作为签订合同的条款，</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 xml:space="preserve">文件合同条款中没有规定的内容， </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认为有必要进行补充，可另行商定解决。</w:t>
      </w:r>
    </w:p>
    <w:p w14:paraId="4645A38F">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6.接受和拒绝任何或所有参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的权利：</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机构和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人保留在</w:t>
      </w:r>
      <w:r>
        <w:rPr>
          <w:rFonts w:hint="eastAsia" w:ascii="仿宋" w:hAnsi="仿宋" w:eastAsia="仿宋"/>
          <w:color w:val="auto"/>
          <w:sz w:val="28"/>
          <w:szCs w:val="28"/>
          <w:highlight w:val="none"/>
          <w:lang w:eastAsia="zh-CN"/>
        </w:rPr>
        <w:t>授予中选通知书</w:t>
      </w:r>
      <w:r>
        <w:rPr>
          <w:rFonts w:ascii="仿宋" w:hAnsi="仿宋" w:eastAsia="仿宋"/>
          <w:color w:val="auto"/>
          <w:sz w:val="28"/>
          <w:szCs w:val="28"/>
          <w:highlight w:val="none"/>
          <w:lang w:eastAsia="zh-CN"/>
        </w:rPr>
        <w:t>之前任何时候接受或拒绝任何</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，以及宣布</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程序无效或拒绝所有参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的权利，对受影响的参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人不承担任何责任。</w:t>
      </w:r>
    </w:p>
    <w:p w14:paraId="72CB23B9">
      <w:pPr>
        <w:spacing w:line="360" w:lineRule="auto"/>
        <w:jc w:val="both"/>
        <w:rPr>
          <w:rFonts w:ascii="仿宋" w:hAnsi="仿宋" w:eastAsia="仿宋"/>
          <w:color w:val="auto"/>
          <w:highlight w:val="none"/>
          <w:lang w:eastAsia="zh-CN"/>
        </w:rPr>
        <w:sectPr>
          <w:footerReference r:id="rId6" w:type="default"/>
          <w:pgSz w:w="11910" w:h="16840"/>
          <w:pgMar w:top="1500" w:right="1020" w:bottom="740" w:left="1300" w:header="0" w:footer="551" w:gutter="0"/>
          <w:pgNumType w:fmt="decimal"/>
          <w:cols w:space="720" w:num="1"/>
        </w:sectPr>
      </w:pPr>
    </w:p>
    <w:p w14:paraId="0FA994B8">
      <w:pPr>
        <w:spacing w:before="15" w:line="360" w:lineRule="auto"/>
        <w:jc w:val="center"/>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八</w:t>
      </w:r>
      <w:r>
        <w:rPr>
          <w:rFonts w:ascii="仿宋" w:hAnsi="仿宋" w:eastAsia="仿宋"/>
          <w:b/>
          <w:color w:val="auto"/>
          <w:w w:val="95"/>
          <w:sz w:val="30"/>
          <w:szCs w:val="30"/>
          <w:highlight w:val="none"/>
          <w:lang w:eastAsia="zh-CN"/>
        </w:rPr>
        <w:t>章</w:t>
      </w:r>
      <w:r>
        <w:rPr>
          <w:rFonts w:hint="eastAsia" w:ascii="仿宋" w:hAnsi="仿宋" w:eastAsia="仿宋"/>
          <w:b/>
          <w:color w:val="auto"/>
          <w:w w:val="95"/>
          <w:sz w:val="30"/>
          <w:szCs w:val="30"/>
          <w:highlight w:val="none"/>
          <w:lang w:eastAsia="zh-CN"/>
        </w:rPr>
        <w:t xml:space="preserve">  </w:t>
      </w:r>
      <w:r>
        <w:rPr>
          <w:rFonts w:ascii="仿宋" w:hAnsi="仿宋" w:eastAsia="仿宋"/>
          <w:b/>
          <w:color w:val="auto"/>
          <w:w w:val="95"/>
          <w:sz w:val="30"/>
          <w:szCs w:val="30"/>
          <w:highlight w:val="none"/>
          <w:lang w:eastAsia="zh-CN"/>
        </w:rPr>
        <w:t>中</w:t>
      </w:r>
      <w:r>
        <w:rPr>
          <w:rFonts w:hint="eastAsia" w:ascii="仿宋" w:hAnsi="仿宋" w:eastAsia="仿宋"/>
          <w:b/>
          <w:color w:val="auto"/>
          <w:w w:val="95"/>
          <w:sz w:val="30"/>
          <w:szCs w:val="30"/>
          <w:highlight w:val="none"/>
          <w:lang w:eastAsia="zh-CN"/>
        </w:rPr>
        <w:t>选</w:t>
      </w:r>
      <w:r>
        <w:rPr>
          <w:rFonts w:ascii="仿宋" w:hAnsi="仿宋" w:eastAsia="仿宋"/>
          <w:b/>
          <w:color w:val="auto"/>
          <w:w w:val="95"/>
          <w:sz w:val="30"/>
          <w:szCs w:val="30"/>
          <w:highlight w:val="none"/>
          <w:lang w:eastAsia="zh-CN"/>
        </w:rPr>
        <w:t>后相关履约要求</w:t>
      </w:r>
    </w:p>
    <w:p w14:paraId="77BB0752">
      <w:pPr>
        <w:pStyle w:val="19"/>
        <w:spacing w:line="360" w:lineRule="auto"/>
        <w:ind w:right="121"/>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要服从</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人的管理规定，不得影响</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人的生产运行，如有违反，取消中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继续履行合同的资格</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同时，由此给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5D14C2A2">
      <w:pPr>
        <w:pStyle w:val="19"/>
        <w:spacing w:line="360" w:lineRule="auto"/>
        <w:ind w:right="121"/>
        <w:jc w:val="both"/>
        <w:rPr>
          <w:rFonts w:ascii="仿宋" w:hAnsi="仿宋" w:eastAsia="仿宋"/>
          <w:color w:val="auto"/>
          <w:highlight w:val="none"/>
          <w:lang w:eastAsia="zh-CN"/>
        </w:rPr>
      </w:pPr>
      <w:r>
        <w:rPr>
          <w:rFonts w:ascii="仿宋" w:hAnsi="仿宋" w:eastAsia="仿宋"/>
          <w:color w:val="auto"/>
          <w:sz w:val="28"/>
          <w:szCs w:val="28"/>
          <w:highlight w:val="none"/>
          <w:lang w:eastAsia="zh-CN"/>
        </w:rPr>
        <w:t>2.中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必须严格执行</w:t>
      </w:r>
      <w:r>
        <w:rPr>
          <w:rFonts w:hint="eastAsia" w:ascii="仿宋" w:hAnsi="仿宋" w:eastAsia="仿宋"/>
          <w:color w:val="auto"/>
          <w:sz w:val="28"/>
          <w:szCs w:val="28"/>
          <w:highlight w:val="none"/>
          <w:lang w:eastAsia="zh-CN"/>
        </w:rPr>
        <w:t>采购合同</w:t>
      </w:r>
      <w:r>
        <w:rPr>
          <w:rFonts w:ascii="仿宋" w:hAnsi="仿宋" w:eastAsia="仿宋"/>
          <w:color w:val="auto"/>
          <w:sz w:val="28"/>
          <w:szCs w:val="28"/>
          <w:highlight w:val="none"/>
          <w:lang w:eastAsia="zh-CN"/>
        </w:rPr>
        <w:t>（详见附件一）的规定。</w:t>
      </w:r>
    </w:p>
    <w:p w14:paraId="007BA5C9">
      <w:pPr>
        <w:pStyle w:val="2"/>
        <w:tabs>
          <w:tab w:val="left" w:pos="1912"/>
        </w:tabs>
        <w:spacing w:line="355" w:lineRule="exact"/>
        <w:ind w:left="647" w:firstLine="3092" w:firstLineChars="1100"/>
        <w:jc w:val="both"/>
        <w:rPr>
          <w:rFonts w:ascii="仿宋" w:hAnsi="仿宋" w:eastAsia="仿宋"/>
          <w:color w:val="auto"/>
          <w:highlight w:val="none"/>
          <w:lang w:eastAsia="zh-CN"/>
        </w:rPr>
      </w:pPr>
    </w:p>
    <w:p w14:paraId="2293B6D6">
      <w:pPr>
        <w:spacing w:before="15" w:line="360" w:lineRule="auto"/>
        <w:ind w:firstLine="2576" w:firstLineChars="900"/>
        <w:jc w:val="both"/>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九</w:t>
      </w:r>
      <w:r>
        <w:rPr>
          <w:rFonts w:ascii="仿宋" w:hAnsi="仿宋" w:eastAsia="仿宋"/>
          <w:b/>
          <w:color w:val="auto"/>
          <w:w w:val="95"/>
          <w:sz w:val="30"/>
          <w:szCs w:val="30"/>
          <w:highlight w:val="none"/>
          <w:lang w:eastAsia="zh-CN"/>
        </w:rPr>
        <w:t>章</w:t>
      </w:r>
      <w:r>
        <w:rPr>
          <w:rFonts w:ascii="仿宋" w:hAnsi="仿宋" w:eastAsia="仿宋"/>
          <w:b/>
          <w:color w:val="auto"/>
          <w:w w:val="95"/>
          <w:sz w:val="30"/>
          <w:szCs w:val="30"/>
          <w:highlight w:val="none"/>
          <w:lang w:eastAsia="zh-CN"/>
        </w:rPr>
        <w:tab/>
      </w:r>
      <w:r>
        <w:rPr>
          <w:rFonts w:ascii="仿宋" w:hAnsi="仿宋" w:eastAsia="仿宋"/>
          <w:b/>
          <w:color w:val="auto"/>
          <w:w w:val="95"/>
          <w:sz w:val="30"/>
          <w:szCs w:val="30"/>
          <w:highlight w:val="none"/>
          <w:lang w:eastAsia="zh-CN"/>
        </w:rPr>
        <w:t>其它</w:t>
      </w:r>
    </w:p>
    <w:p w14:paraId="17D9E6AB">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文件无论其是否中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，均不退回。</w:t>
      </w:r>
    </w:p>
    <w:p w14:paraId="1D72F292">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人郑重承诺：参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人所提交的参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文件及相关资料不向第三方泄露。</w:t>
      </w:r>
    </w:p>
    <w:p w14:paraId="5DD08EF6">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3.本</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文件的解释权归</w:t>
      </w:r>
      <w:r>
        <w:rPr>
          <w:rFonts w:hint="eastAsia" w:ascii="仿宋" w:hAnsi="仿宋" w:eastAsia="仿宋"/>
          <w:color w:val="auto"/>
          <w:sz w:val="28"/>
          <w:szCs w:val="28"/>
          <w:highlight w:val="none"/>
          <w:lang w:eastAsia="zh-CN"/>
        </w:rPr>
        <w:t>采购人。</w:t>
      </w:r>
    </w:p>
    <w:p w14:paraId="359B6E23">
      <w:pPr>
        <w:pStyle w:val="9"/>
        <w:rPr>
          <w:rFonts w:ascii="仿宋" w:hAnsi="仿宋" w:eastAsia="仿宋"/>
          <w:b/>
          <w:color w:val="auto"/>
          <w:sz w:val="36"/>
          <w:szCs w:val="36"/>
          <w:highlight w:val="none"/>
        </w:rPr>
      </w:pPr>
      <w:bookmarkStart w:id="1" w:name="_Toc251742852"/>
    </w:p>
    <w:bookmarkEnd w:id="1"/>
    <w:p w14:paraId="692FCFC1">
      <w:pPr>
        <w:spacing w:line="360" w:lineRule="auto"/>
        <w:jc w:val="center"/>
        <w:rPr>
          <w:rFonts w:ascii="仿宋" w:hAnsi="仿宋" w:eastAsia="仿宋"/>
          <w:color w:val="auto"/>
          <w:sz w:val="28"/>
          <w:szCs w:val="28"/>
          <w:highlight w:val="none"/>
          <w:lang w:eastAsia="zh-CN"/>
        </w:rPr>
      </w:pPr>
    </w:p>
    <w:sectPr>
      <w:footerReference r:id="rId7" w:type="default"/>
      <w:pgSz w:w="11910" w:h="16840"/>
      <w:pgMar w:top="1500" w:right="1420" w:bottom="1260" w:left="168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8E406">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53D3C">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853D3C">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sdt>
      <w:sdtPr>
        <w:id w:val="-19709189"/>
      </w:sdtPr>
      <w:sdtContent>
        <w:sdt>
          <w:sdtPr>
            <w:id w:val="1728636285"/>
            <w:showingPlcHdr/>
          </w:sdtPr>
          <w:sdtContent>
            <w:r>
              <w:rPr>
                <w:rFonts w:hint="eastAsia"/>
                <w:lang w:eastAsia="zh-CN"/>
              </w:rPr>
              <w:t xml:space="preserve">     </w:t>
            </w:r>
          </w:sdtContent>
        </w:sdt>
      </w:sdtContent>
    </w:sdt>
  </w:p>
  <w:p w14:paraId="27B0B2B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C5B3">
    <w:pPr>
      <w:pStyle w:val="29"/>
      <w:jc w:val="center"/>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237D7">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5A237D7">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sdt>
    <w:sdtPr>
      <w:rPr>
        <w:sz w:val="21"/>
        <w:szCs w:val="21"/>
      </w:rPr>
      <w:id w:val="156900821"/>
    </w:sdtPr>
    <w:sdtEndPr>
      <w:rPr>
        <w:sz w:val="21"/>
        <w:szCs w:val="21"/>
      </w:rPr>
    </w:sdtEndPr>
    <w:sdtContent>
      <w:p w14:paraId="789515CF">
        <w:pPr>
          <w:pStyle w:val="29"/>
          <w:jc w:val="center"/>
        </w:pPr>
      </w:p>
      <w:p w14:paraId="0A72A009">
        <w:pPr>
          <w:pStyle w:val="29"/>
          <w:jc w:val="center"/>
        </w:pPr>
      </w:p>
      <w:p w14:paraId="6A723A3B">
        <w:pPr>
          <w:pStyle w:val="29"/>
          <w:jc w:val="center"/>
        </w:pPr>
      </w:p>
    </w:sdtContent>
  </w:sdt>
  <w:p w14:paraId="3B30D5C8">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6C1B6">
    <w:pPr>
      <w:pStyle w:val="29"/>
      <w:jc w:val="center"/>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C73A2">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7CC73A2">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sdt>
    <w:sdtPr>
      <w:rPr>
        <w:sz w:val="21"/>
        <w:szCs w:val="21"/>
      </w:rPr>
      <w:id w:val="147476626"/>
    </w:sdtPr>
    <w:sdtEndPr>
      <w:rPr>
        <w:sz w:val="21"/>
        <w:szCs w:val="21"/>
      </w:rPr>
    </w:sdtEndPr>
    <w:sdtContent>
      <w:p w14:paraId="7EE2918F">
        <w:pPr>
          <w:pStyle w:val="29"/>
          <w:jc w:val="center"/>
        </w:pPr>
      </w:p>
      <w:p w14:paraId="1CC0E1A4">
        <w:pPr>
          <w:pStyle w:val="29"/>
          <w:jc w:val="center"/>
        </w:pPr>
      </w:p>
      <w:p w14:paraId="6FCE5446">
        <w:pPr>
          <w:pStyle w:val="29"/>
          <w:jc w:val="center"/>
        </w:pPr>
      </w:p>
    </w:sdtContent>
  </w:sdt>
  <w:p w14:paraId="19DF560D">
    <w:pPr>
      <w:pStyle w:val="1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19"/>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A82EC">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36A82EC">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sz w:val="18"/>
                      </w:rPr>
                    </w:pPr>
                  </w:p>
                </w:txbxContent>
              </v:textbox>
            </v:shape>
          </w:pict>
        </mc:Fallback>
      </mc:AlternateContent>
    </w:r>
    <w:r>
      <w:rPr>
        <w:rFonts w:hint="eastAsia"/>
        <w:sz w:val="20"/>
        <w:lang w:val="en-US" w:eastAsia="zh-CN"/>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19"/>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E5CD3">
                          <w:pPr>
                            <w:pStyle w:val="29"/>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3E5CD3">
                    <w:pPr>
                      <w:pStyle w:val="29"/>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lvl>
  </w:abstractNum>
  <w:abstractNum w:abstractNumId="1">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1FAA8C75"/>
    <w:multiLevelType w:val="singleLevel"/>
    <w:tmpl w:val="1FAA8C75"/>
    <w:lvl w:ilvl="0" w:tentative="0">
      <w:start w:val="1"/>
      <w:numFmt w:val="decimal"/>
      <w:suff w:val="nothing"/>
      <w:lvlText w:val="（%1）"/>
      <w:lvlJc w:val="left"/>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8">
    <w:nsid w:val="76B9A46D"/>
    <w:multiLevelType w:val="singleLevel"/>
    <w:tmpl w:val="76B9A46D"/>
    <w:lvl w:ilvl="0" w:tentative="0">
      <w:start w:val="1"/>
      <w:numFmt w:val="decimal"/>
      <w:suff w:val="nothing"/>
      <w:lvlText w:val="%1、"/>
      <w:lvlJc w:val="left"/>
    </w:lvl>
  </w:abstractNum>
  <w:num w:numId="1">
    <w:abstractNumId w:val="6"/>
  </w:num>
  <w:num w:numId="2">
    <w:abstractNumId w:val="1"/>
  </w:num>
  <w:num w:numId="3">
    <w:abstractNumId w:val="3"/>
  </w:num>
  <w:num w:numId="4">
    <w:abstractNumId w:val="4"/>
  </w:num>
  <w:num w:numId="5">
    <w:abstractNumId w:val="5"/>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286A"/>
    <w:rsid w:val="000E505B"/>
    <w:rsid w:val="000F116F"/>
    <w:rsid w:val="000F15E9"/>
    <w:rsid w:val="000F27AD"/>
    <w:rsid w:val="000F39C1"/>
    <w:rsid w:val="000F4255"/>
    <w:rsid w:val="000F46F6"/>
    <w:rsid w:val="00101100"/>
    <w:rsid w:val="0011079D"/>
    <w:rsid w:val="00111D19"/>
    <w:rsid w:val="00113247"/>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55BB7"/>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371D"/>
    <w:rsid w:val="001C4E7A"/>
    <w:rsid w:val="001C5843"/>
    <w:rsid w:val="001D13DE"/>
    <w:rsid w:val="001E3C0E"/>
    <w:rsid w:val="001E5BEC"/>
    <w:rsid w:val="001F3956"/>
    <w:rsid w:val="001F3D0A"/>
    <w:rsid w:val="00200CED"/>
    <w:rsid w:val="0020141D"/>
    <w:rsid w:val="0021497D"/>
    <w:rsid w:val="00226CC5"/>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02D2"/>
    <w:rsid w:val="002855A5"/>
    <w:rsid w:val="002859D4"/>
    <w:rsid w:val="00285F4F"/>
    <w:rsid w:val="00287A75"/>
    <w:rsid w:val="00290ADB"/>
    <w:rsid w:val="00290B7A"/>
    <w:rsid w:val="002933EA"/>
    <w:rsid w:val="002971E6"/>
    <w:rsid w:val="002A053C"/>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1CEF"/>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A49F9"/>
    <w:rsid w:val="003B0814"/>
    <w:rsid w:val="003B3C4F"/>
    <w:rsid w:val="003B3F6B"/>
    <w:rsid w:val="003B6804"/>
    <w:rsid w:val="003B7CBD"/>
    <w:rsid w:val="003C1AF2"/>
    <w:rsid w:val="003D1BC1"/>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256B4"/>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344"/>
    <w:rsid w:val="004C4B54"/>
    <w:rsid w:val="004D543F"/>
    <w:rsid w:val="004D6A19"/>
    <w:rsid w:val="004E6109"/>
    <w:rsid w:val="004F0F94"/>
    <w:rsid w:val="00500D74"/>
    <w:rsid w:val="00502D11"/>
    <w:rsid w:val="00505560"/>
    <w:rsid w:val="00507AB9"/>
    <w:rsid w:val="00513D5D"/>
    <w:rsid w:val="00514AFE"/>
    <w:rsid w:val="00514C80"/>
    <w:rsid w:val="0052658A"/>
    <w:rsid w:val="00533119"/>
    <w:rsid w:val="005339E0"/>
    <w:rsid w:val="005345C8"/>
    <w:rsid w:val="00536365"/>
    <w:rsid w:val="005369F4"/>
    <w:rsid w:val="00547AD0"/>
    <w:rsid w:val="00547FCD"/>
    <w:rsid w:val="005518F3"/>
    <w:rsid w:val="00555E59"/>
    <w:rsid w:val="00565CF8"/>
    <w:rsid w:val="0057705C"/>
    <w:rsid w:val="00581B11"/>
    <w:rsid w:val="0058671D"/>
    <w:rsid w:val="00593DEA"/>
    <w:rsid w:val="00595F8F"/>
    <w:rsid w:val="005A1712"/>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14A1"/>
    <w:rsid w:val="0068537B"/>
    <w:rsid w:val="0068543C"/>
    <w:rsid w:val="00690939"/>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3F7B"/>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B04"/>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5D9A"/>
    <w:rsid w:val="00876586"/>
    <w:rsid w:val="00877188"/>
    <w:rsid w:val="00881942"/>
    <w:rsid w:val="00885D5E"/>
    <w:rsid w:val="00892A2A"/>
    <w:rsid w:val="00895AAC"/>
    <w:rsid w:val="008A20B3"/>
    <w:rsid w:val="008A28CB"/>
    <w:rsid w:val="008B0670"/>
    <w:rsid w:val="008B4179"/>
    <w:rsid w:val="008C03C3"/>
    <w:rsid w:val="008E0EE1"/>
    <w:rsid w:val="008E1769"/>
    <w:rsid w:val="008E1F3F"/>
    <w:rsid w:val="008E2155"/>
    <w:rsid w:val="008E5198"/>
    <w:rsid w:val="008F3559"/>
    <w:rsid w:val="009032FB"/>
    <w:rsid w:val="00903A74"/>
    <w:rsid w:val="009171AF"/>
    <w:rsid w:val="00917368"/>
    <w:rsid w:val="0092039E"/>
    <w:rsid w:val="009235B3"/>
    <w:rsid w:val="00930487"/>
    <w:rsid w:val="009312CA"/>
    <w:rsid w:val="009353D9"/>
    <w:rsid w:val="00937414"/>
    <w:rsid w:val="009401A0"/>
    <w:rsid w:val="009442CE"/>
    <w:rsid w:val="00952F8D"/>
    <w:rsid w:val="009544ED"/>
    <w:rsid w:val="00955A6F"/>
    <w:rsid w:val="009627FF"/>
    <w:rsid w:val="00964F96"/>
    <w:rsid w:val="009663D1"/>
    <w:rsid w:val="00967702"/>
    <w:rsid w:val="00971BD1"/>
    <w:rsid w:val="00974883"/>
    <w:rsid w:val="00975EAC"/>
    <w:rsid w:val="00983B40"/>
    <w:rsid w:val="009873FF"/>
    <w:rsid w:val="0099263B"/>
    <w:rsid w:val="009928C9"/>
    <w:rsid w:val="00992DC8"/>
    <w:rsid w:val="00995066"/>
    <w:rsid w:val="00995F84"/>
    <w:rsid w:val="0099730F"/>
    <w:rsid w:val="009A5EA2"/>
    <w:rsid w:val="009A6FD0"/>
    <w:rsid w:val="009B054A"/>
    <w:rsid w:val="009B1D08"/>
    <w:rsid w:val="009B2DE5"/>
    <w:rsid w:val="009B34A7"/>
    <w:rsid w:val="009B34B8"/>
    <w:rsid w:val="009C3660"/>
    <w:rsid w:val="009D49AE"/>
    <w:rsid w:val="009D501D"/>
    <w:rsid w:val="009D7449"/>
    <w:rsid w:val="009E1058"/>
    <w:rsid w:val="009E7F11"/>
    <w:rsid w:val="009F0778"/>
    <w:rsid w:val="009F6299"/>
    <w:rsid w:val="00A149E5"/>
    <w:rsid w:val="00A153FC"/>
    <w:rsid w:val="00A2542D"/>
    <w:rsid w:val="00A278D7"/>
    <w:rsid w:val="00A3205F"/>
    <w:rsid w:val="00A33603"/>
    <w:rsid w:val="00A35A9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28E"/>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21E54"/>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2D44"/>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477C9"/>
    <w:rsid w:val="00C518F0"/>
    <w:rsid w:val="00C52046"/>
    <w:rsid w:val="00C5267D"/>
    <w:rsid w:val="00C53E9A"/>
    <w:rsid w:val="00C6183F"/>
    <w:rsid w:val="00C6491F"/>
    <w:rsid w:val="00C71916"/>
    <w:rsid w:val="00C76112"/>
    <w:rsid w:val="00C77EDD"/>
    <w:rsid w:val="00C8060B"/>
    <w:rsid w:val="00C8345D"/>
    <w:rsid w:val="00C864FC"/>
    <w:rsid w:val="00C8727A"/>
    <w:rsid w:val="00C913CE"/>
    <w:rsid w:val="00C93BEF"/>
    <w:rsid w:val="00C945D8"/>
    <w:rsid w:val="00CA196F"/>
    <w:rsid w:val="00CA54A9"/>
    <w:rsid w:val="00CB2E01"/>
    <w:rsid w:val="00CB2F5D"/>
    <w:rsid w:val="00CB3440"/>
    <w:rsid w:val="00CB5372"/>
    <w:rsid w:val="00CB73DA"/>
    <w:rsid w:val="00CC6798"/>
    <w:rsid w:val="00CC77EC"/>
    <w:rsid w:val="00CD371C"/>
    <w:rsid w:val="00CD3723"/>
    <w:rsid w:val="00CD487B"/>
    <w:rsid w:val="00CD623F"/>
    <w:rsid w:val="00CD7E0C"/>
    <w:rsid w:val="00CE2DB4"/>
    <w:rsid w:val="00CE411C"/>
    <w:rsid w:val="00CE591F"/>
    <w:rsid w:val="00CE7D5B"/>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2C8"/>
    <w:rsid w:val="00D463C4"/>
    <w:rsid w:val="00D4666F"/>
    <w:rsid w:val="00D46D7D"/>
    <w:rsid w:val="00D5281B"/>
    <w:rsid w:val="00D54A67"/>
    <w:rsid w:val="00D571F8"/>
    <w:rsid w:val="00D60D83"/>
    <w:rsid w:val="00D627B1"/>
    <w:rsid w:val="00D62A2E"/>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22AF7"/>
    <w:rsid w:val="00E3205C"/>
    <w:rsid w:val="00E35382"/>
    <w:rsid w:val="00E37D62"/>
    <w:rsid w:val="00E410EA"/>
    <w:rsid w:val="00E50F7B"/>
    <w:rsid w:val="00E56799"/>
    <w:rsid w:val="00E6494A"/>
    <w:rsid w:val="00E70964"/>
    <w:rsid w:val="00E735CF"/>
    <w:rsid w:val="00E739AE"/>
    <w:rsid w:val="00E80BDD"/>
    <w:rsid w:val="00E85991"/>
    <w:rsid w:val="00E8708B"/>
    <w:rsid w:val="00E93446"/>
    <w:rsid w:val="00E94724"/>
    <w:rsid w:val="00E974B5"/>
    <w:rsid w:val="00E975FE"/>
    <w:rsid w:val="00E97CE7"/>
    <w:rsid w:val="00EA3D4B"/>
    <w:rsid w:val="00EA5A6E"/>
    <w:rsid w:val="00EB36A5"/>
    <w:rsid w:val="00EC50D4"/>
    <w:rsid w:val="00EC5462"/>
    <w:rsid w:val="00EC66E4"/>
    <w:rsid w:val="00ED19AE"/>
    <w:rsid w:val="00ED27BB"/>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58D"/>
    <w:rsid w:val="00F84F93"/>
    <w:rsid w:val="00F8501D"/>
    <w:rsid w:val="00F86767"/>
    <w:rsid w:val="00F93CD8"/>
    <w:rsid w:val="00F93FA3"/>
    <w:rsid w:val="00FA12B9"/>
    <w:rsid w:val="00FB0C70"/>
    <w:rsid w:val="00FB426A"/>
    <w:rsid w:val="00FB7A38"/>
    <w:rsid w:val="00FC6A22"/>
    <w:rsid w:val="00FC74A1"/>
    <w:rsid w:val="00FD0D54"/>
    <w:rsid w:val="00FD1B14"/>
    <w:rsid w:val="00FD1DC9"/>
    <w:rsid w:val="00FD29D5"/>
    <w:rsid w:val="00FD642A"/>
    <w:rsid w:val="00FE65F9"/>
    <w:rsid w:val="00FF3096"/>
    <w:rsid w:val="00FF49E8"/>
    <w:rsid w:val="00FF5F83"/>
    <w:rsid w:val="01125CD1"/>
    <w:rsid w:val="014B38AD"/>
    <w:rsid w:val="01572697"/>
    <w:rsid w:val="017659F6"/>
    <w:rsid w:val="01A775B4"/>
    <w:rsid w:val="01B554DA"/>
    <w:rsid w:val="01C50FF8"/>
    <w:rsid w:val="01C84291"/>
    <w:rsid w:val="01F80EC6"/>
    <w:rsid w:val="02171CFC"/>
    <w:rsid w:val="024702CC"/>
    <w:rsid w:val="025078D7"/>
    <w:rsid w:val="02DD61C8"/>
    <w:rsid w:val="02EE64DC"/>
    <w:rsid w:val="02F84024"/>
    <w:rsid w:val="03522786"/>
    <w:rsid w:val="0367315B"/>
    <w:rsid w:val="036916A9"/>
    <w:rsid w:val="03E948EC"/>
    <w:rsid w:val="03FB11FA"/>
    <w:rsid w:val="046163BD"/>
    <w:rsid w:val="04AA4233"/>
    <w:rsid w:val="04D87301"/>
    <w:rsid w:val="054D2B43"/>
    <w:rsid w:val="055446CC"/>
    <w:rsid w:val="057528B0"/>
    <w:rsid w:val="05802F92"/>
    <w:rsid w:val="058A1323"/>
    <w:rsid w:val="05926AFC"/>
    <w:rsid w:val="05CF1E17"/>
    <w:rsid w:val="05D30172"/>
    <w:rsid w:val="05ED3CF3"/>
    <w:rsid w:val="05FF197E"/>
    <w:rsid w:val="061139E5"/>
    <w:rsid w:val="061A3190"/>
    <w:rsid w:val="061E737F"/>
    <w:rsid w:val="06636B8D"/>
    <w:rsid w:val="06701B73"/>
    <w:rsid w:val="06B66892"/>
    <w:rsid w:val="06F50B00"/>
    <w:rsid w:val="06F772FB"/>
    <w:rsid w:val="072D673C"/>
    <w:rsid w:val="07590949"/>
    <w:rsid w:val="076E1278"/>
    <w:rsid w:val="07F17513"/>
    <w:rsid w:val="08280CF2"/>
    <w:rsid w:val="0842189C"/>
    <w:rsid w:val="08433A9A"/>
    <w:rsid w:val="085262B3"/>
    <w:rsid w:val="085375B8"/>
    <w:rsid w:val="087E5540"/>
    <w:rsid w:val="08CA2E58"/>
    <w:rsid w:val="08D1141D"/>
    <w:rsid w:val="094F4A96"/>
    <w:rsid w:val="095A48E7"/>
    <w:rsid w:val="097917CA"/>
    <w:rsid w:val="099E62D5"/>
    <w:rsid w:val="09A61163"/>
    <w:rsid w:val="09CA5E60"/>
    <w:rsid w:val="09DF4195"/>
    <w:rsid w:val="09E35987"/>
    <w:rsid w:val="0A1E592A"/>
    <w:rsid w:val="0A3A27EF"/>
    <w:rsid w:val="0A4C5174"/>
    <w:rsid w:val="0AC402B6"/>
    <w:rsid w:val="0ACE3FA1"/>
    <w:rsid w:val="0AD153CD"/>
    <w:rsid w:val="0AF21185"/>
    <w:rsid w:val="0B1835C3"/>
    <w:rsid w:val="0B2465BF"/>
    <w:rsid w:val="0B296DE2"/>
    <w:rsid w:val="0B393AF8"/>
    <w:rsid w:val="0B553428"/>
    <w:rsid w:val="0B8870FA"/>
    <w:rsid w:val="0B9338C5"/>
    <w:rsid w:val="0B9C5D9B"/>
    <w:rsid w:val="0BB25D40"/>
    <w:rsid w:val="0BC25FDA"/>
    <w:rsid w:val="0BCA33E7"/>
    <w:rsid w:val="0C163F63"/>
    <w:rsid w:val="0C6C7336"/>
    <w:rsid w:val="0C8A5A23"/>
    <w:rsid w:val="0C8F52AE"/>
    <w:rsid w:val="0CDC6727"/>
    <w:rsid w:val="0CF550D2"/>
    <w:rsid w:val="0D246B1B"/>
    <w:rsid w:val="0D3F6573"/>
    <w:rsid w:val="0D697610"/>
    <w:rsid w:val="0D976E5A"/>
    <w:rsid w:val="0D9C32E2"/>
    <w:rsid w:val="0DAE7DA4"/>
    <w:rsid w:val="0DD856C5"/>
    <w:rsid w:val="0DD86128"/>
    <w:rsid w:val="0DFD278D"/>
    <w:rsid w:val="0E0013EF"/>
    <w:rsid w:val="0E094726"/>
    <w:rsid w:val="0E6D5BB9"/>
    <w:rsid w:val="0EA40291"/>
    <w:rsid w:val="0EB32AAA"/>
    <w:rsid w:val="0EEB6487"/>
    <w:rsid w:val="0F083839"/>
    <w:rsid w:val="0F787370"/>
    <w:rsid w:val="0F974836"/>
    <w:rsid w:val="0FC52672"/>
    <w:rsid w:val="0FF40EB8"/>
    <w:rsid w:val="100E0B96"/>
    <w:rsid w:val="10154C70"/>
    <w:rsid w:val="1023528A"/>
    <w:rsid w:val="10294AA3"/>
    <w:rsid w:val="10591EE1"/>
    <w:rsid w:val="10655CF3"/>
    <w:rsid w:val="10E40CA0"/>
    <w:rsid w:val="10FD29EF"/>
    <w:rsid w:val="110B3F03"/>
    <w:rsid w:val="113C7F55"/>
    <w:rsid w:val="11C25C30"/>
    <w:rsid w:val="11C732A5"/>
    <w:rsid w:val="11E41A18"/>
    <w:rsid w:val="120F7E46"/>
    <w:rsid w:val="12386C7D"/>
    <w:rsid w:val="12517511"/>
    <w:rsid w:val="12594721"/>
    <w:rsid w:val="126122B6"/>
    <w:rsid w:val="1282606E"/>
    <w:rsid w:val="1285376F"/>
    <w:rsid w:val="12D15DED"/>
    <w:rsid w:val="13047A6A"/>
    <w:rsid w:val="13072A44"/>
    <w:rsid w:val="13150595"/>
    <w:rsid w:val="131961E1"/>
    <w:rsid w:val="13362FA7"/>
    <w:rsid w:val="136130D9"/>
    <w:rsid w:val="13A56D72"/>
    <w:rsid w:val="13B67364"/>
    <w:rsid w:val="13D30E93"/>
    <w:rsid w:val="145A45EF"/>
    <w:rsid w:val="14700B97"/>
    <w:rsid w:val="14725519"/>
    <w:rsid w:val="14B35F82"/>
    <w:rsid w:val="14C5232E"/>
    <w:rsid w:val="14FA66F7"/>
    <w:rsid w:val="150D7916"/>
    <w:rsid w:val="15252206"/>
    <w:rsid w:val="15314652"/>
    <w:rsid w:val="15367D4F"/>
    <w:rsid w:val="153C139F"/>
    <w:rsid w:val="154A2FFE"/>
    <w:rsid w:val="15E36674"/>
    <w:rsid w:val="16766EE8"/>
    <w:rsid w:val="168461FE"/>
    <w:rsid w:val="16B447CE"/>
    <w:rsid w:val="16DA61E3"/>
    <w:rsid w:val="16F0332F"/>
    <w:rsid w:val="173B7F2B"/>
    <w:rsid w:val="17592D5E"/>
    <w:rsid w:val="176A0A7A"/>
    <w:rsid w:val="17A82ADD"/>
    <w:rsid w:val="17B111EE"/>
    <w:rsid w:val="17DE2FB7"/>
    <w:rsid w:val="17FB6FCF"/>
    <w:rsid w:val="182A1DB2"/>
    <w:rsid w:val="18322A41"/>
    <w:rsid w:val="18592901"/>
    <w:rsid w:val="1860228C"/>
    <w:rsid w:val="18982224"/>
    <w:rsid w:val="18A31A7B"/>
    <w:rsid w:val="18DD4F7E"/>
    <w:rsid w:val="18F13D79"/>
    <w:rsid w:val="1906629D"/>
    <w:rsid w:val="191B4BBD"/>
    <w:rsid w:val="19360FEA"/>
    <w:rsid w:val="195B58A2"/>
    <w:rsid w:val="197874D5"/>
    <w:rsid w:val="19E6338C"/>
    <w:rsid w:val="1A1D12E8"/>
    <w:rsid w:val="1A33348C"/>
    <w:rsid w:val="1A8B191C"/>
    <w:rsid w:val="1AF0383F"/>
    <w:rsid w:val="1B577D6B"/>
    <w:rsid w:val="1B5A546C"/>
    <w:rsid w:val="1B5F1D8E"/>
    <w:rsid w:val="1BB03C7D"/>
    <w:rsid w:val="1BBC4070"/>
    <w:rsid w:val="1BBF77A7"/>
    <w:rsid w:val="1C2F4299"/>
    <w:rsid w:val="1C86582E"/>
    <w:rsid w:val="1CE72625"/>
    <w:rsid w:val="1CEF0668"/>
    <w:rsid w:val="1D0A73B1"/>
    <w:rsid w:val="1D1B2ECF"/>
    <w:rsid w:val="1D430810"/>
    <w:rsid w:val="1D5929B3"/>
    <w:rsid w:val="1DBD70AE"/>
    <w:rsid w:val="1E085A14"/>
    <w:rsid w:val="1E3E1D2D"/>
    <w:rsid w:val="1E5F7CE3"/>
    <w:rsid w:val="1E6750EF"/>
    <w:rsid w:val="1E82371B"/>
    <w:rsid w:val="1E8930A5"/>
    <w:rsid w:val="1F010B23"/>
    <w:rsid w:val="1F1158D5"/>
    <w:rsid w:val="1F3C1C4F"/>
    <w:rsid w:val="1F880A4A"/>
    <w:rsid w:val="1FED61F0"/>
    <w:rsid w:val="1FF43DDB"/>
    <w:rsid w:val="203046DB"/>
    <w:rsid w:val="2089326C"/>
    <w:rsid w:val="208B2DD7"/>
    <w:rsid w:val="20D50BF7"/>
    <w:rsid w:val="20D649A5"/>
    <w:rsid w:val="20F57A89"/>
    <w:rsid w:val="21472FA9"/>
    <w:rsid w:val="215B41C8"/>
    <w:rsid w:val="21933AA2"/>
    <w:rsid w:val="21C57FF4"/>
    <w:rsid w:val="2236163B"/>
    <w:rsid w:val="228D583F"/>
    <w:rsid w:val="229104E1"/>
    <w:rsid w:val="22EE775E"/>
    <w:rsid w:val="22EF67DD"/>
    <w:rsid w:val="231117DA"/>
    <w:rsid w:val="234165E7"/>
    <w:rsid w:val="234704F0"/>
    <w:rsid w:val="237C76C6"/>
    <w:rsid w:val="23C93F42"/>
    <w:rsid w:val="23DD2BE2"/>
    <w:rsid w:val="246B6FCE"/>
    <w:rsid w:val="24BB3CF9"/>
    <w:rsid w:val="24F649B4"/>
    <w:rsid w:val="25290686"/>
    <w:rsid w:val="252C2672"/>
    <w:rsid w:val="253B1C25"/>
    <w:rsid w:val="25801095"/>
    <w:rsid w:val="25BF356F"/>
    <w:rsid w:val="25DB0C2D"/>
    <w:rsid w:val="25EA0F8B"/>
    <w:rsid w:val="26030C2C"/>
    <w:rsid w:val="265B6D19"/>
    <w:rsid w:val="267C2231"/>
    <w:rsid w:val="269469E7"/>
    <w:rsid w:val="26AE398C"/>
    <w:rsid w:val="26B53474"/>
    <w:rsid w:val="26C85874"/>
    <w:rsid w:val="26D63BC5"/>
    <w:rsid w:val="273803E6"/>
    <w:rsid w:val="274C13F3"/>
    <w:rsid w:val="27610027"/>
    <w:rsid w:val="27A53534"/>
    <w:rsid w:val="27AC5FD1"/>
    <w:rsid w:val="27E3087F"/>
    <w:rsid w:val="285C4CC5"/>
    <w:rsid w:val="287C7778"/>
    <w:rsid w:val="28846EE5"/>
    <w:rsid w:val="28C50E71"/>
    <w:rsid w:val="2973448D"/>
    <w:rsid w:val="299946CD"/>
    <w:rsid w:val="29BC2E14"/>
    <w:rsid w:val="29C71D19"/>
    <w:rsid w:val="29FC3B14"/>
    <w:rsid w:val="29FF750A"/>
    <w:rsid w:val="2A043D7C"/>
    <w:rsid w:val="2A4931EC"/>
    <w:rsid w:val="2A53737E"/>
    <w:rsid w:val="2AD67958"/>
    <w:rsid w:val="2B11792E"/>
    <w:rsid w:val="2B320F6B"/>
    <w:rsid w:val="2B4A1E95"/>
    <w:rsid w:val="2B6E0DD0"/>
    <w:rsid w:val="2BE93044"/>
    <w:rsid w:val="2BEC169E"/>
    <w:rsid w:val="2BFC66E0"/>
    <w:rsid w:val="2C341A92"/>
    <w:rsid w:val="2C473466"/>
    <w:rsid w:val="2CA827D9"/>
    <w:rsid w:val="2CA83FD0"/>
    <w:rsid w:val="2CDC646A"/>
    <w:rsid w:val="2D0830EF"/>
    <w:rsid w:val="2D2222DE"/>
    <w:rsid w:val="2D361DCA"/>
    <w:rsid w:val="2D946557"/>
    <w:rsid w:val="2E226D95"/>
    <w:rsid w:val="2E3D1E67"/>
    <w:rsid w:val="2E587B29"/>
    <w:rsid w:val="2F0902B7"/>
    <w:rsid w:val="2F7047E3"/>
    <w:rsid w:val="2FAF7B4B"/>
    <w:rsid w:val="2FBD105F"/>
    <w:rsid w:val="2FD2725A"/>
    <w:rsid w:val="2FDA2B8D"/>
    <w:rsid w:val="2FED17A8"/>
    <w:rsid w:val="303809A8"/>
    <w:rsid w:val="30486A45"/>
    <w:rsid w:val="305502D9"/>
    <w:rsid w:val="305E2CD3"/>
    <w:rsid w:val="305F1EED"/>
    <w:rsid w:val="3095556F"/>
    <w:rsid w:val="309E3BD0"/>
    <w:rsid w:val="30F658E4"/>
    <w:rsid w:val="313B058C"/>
    <w:rsid w:val="31732CAF"/>
    <w:rsid w:val="31794E91"/>
    <w:rsid w:val="317C35BE"/>
    <w:rsid w:val="31930FE5"/>
    <w:rsid w:val="31A85707"/>
    <w:rsid w:val="31AC1C27"/>
    <w:rsid w:val="31C54755"/>
    <w:rsid w:val="31E35E4A"/>
    <w:rsid w:val="31F51F83"/>
    <w:rsid w:val="3216608C"/>
    <w:rsid w:val="32233DA1"/>
    <w:rsid w:val="32252FA8"/>
    <w:rsid w:val="326C674A"/>
    <w:rsid w:val="326D0948"/>
    <w:rsid w:val="32C928A1"/>
    <w:rsid w:val="32F8632E"/>
    <w:rsid w:val="330246BF"/>
    <w:rsid w:val="333559FB"/>
    <w:rsid w:val="33992634"/>
    <w:rsid w:val="33D64697"/>
    <w:rsid w:val="342954D0"/>
    <w:rsid w:val="342E2B27"/>
    <w:rsid w:val="34A053E5"/>
    <w:rsid w:val="34C907A7"/>
    <w:rsid w:val="34CE14C6"/>
    <w:rsid w:val="34D84CEC"/>
    <w:rsid w:val="352E3D4F"/>
    <w:rsid w:val="353B45DA"/>
    <w:rsid w:val="355A2295"/>
    <w:rsid w:val="356815AA"/>
    <w:rsid w:val="356C7FB1"/>
    <w:rsid w:val="3585695C"/>
    <w:rsid w:val="35941D23"/>
    <w:rsid w:val="36055FB1"/>
    <w:rsid w:val="361F0C57"/>
    <w:rsid w:val="36AD2F26"/>
    <w:rsid w:val="36AF5145"/>
    <w:rsid w:val="36B260C9"/>
    <w:rsid w:val="36D83D8B"/>
    <w:rsid w:val="36EC56C3"/>
    <w:rsid w:val="377E1736"/>
    <w:rsid w:val="3791446D"/>
    <w:rsid w:val="37AF5AB7"/>
    <w:rsid w:val="37B449F3"/>
    <w:rsid w:val="37C6307B"/>
    <w:rsid w:val="37FA5167"/>
    <w:rsid w:val="381270C4"/>
    <w:rsid w:val="38255FAB"/>
    <w:rsid w:val="384F11E3"/>
    <w:rsid w:val="38961762"/>
    <w:rsid w:val="38CC1C3C"/>
    <w:rsid w:val="39091AA1"/>
    <w:rsid w:val="393B7CF1"/>
    <w:rsid w:val="39496601"/>
    <w:rsid w:val="39635633"/>
    <w:rsid w:val="396A4FBD"/>
    <w:rsid w:val="396B62C2"/>
    <w:rsid w:val="39CE7565"/>
    <w:rsid w:val="3A2A5486"/>
    <w:rsid w:val="3A3376C4"/>
    <w:rsid w:val="3A476F2A"/>
    <w:rsid w:val="3AA85CCA"/>
    <w:rsid w:val="3AF634EA"/>
    <w:rsid w:val="3B1C3371"/>
    <w:rsid w:val="3B1D370A"/>
    <w:rsid w:val="3B4E3ED9"/>
    <w:rsid w:val="3B9D74DC"/>
    <w:rsid w:val="3BCD47A7"/>
    <w:rsid w:val="3BCE5AAC"/>
    <w:rsid w:val="3BFB0D78"/>
    <w:rsid w:val="3BFC0B7A"/>
    <w:rsid w:val="3BFE1EB2"/>
    <w:rsid w:val="3C5F1072"/>
    <w:rsid w:val="3C643A21"/>
    <w:rsid w:val="3C6A592B"/>
    <w:rsid w:val="3C7A1448"/>
    <w:rsid w:val="3C874EDB"/>
    <w:rsid w:val="3CC23198"/>
    <w:rsid w:val="3CC60243"/>
    <w:rsid w:val="3CDF5FCE"/>
    <w:rsid w:val="3D243E5F"/>
    <w:rsid w:val="3D9B1520"/>
    <w:rsid w:val="3D9F7F26"/>
    <w:rsid w:val="3DDF4815"/>
    <w:rsid w:val="3DFB428F"/>
    <w:rsid w:val="3E8E5630"/>
    <w:rsid w:val="3F58057C"/>
    <w:rsid w:val="3F6E3AED"/>
    <w:rsid w:val="3F825542"/>
    <w:rsid w:val="3FDE4F89"/>
    <w:rsid w:val="3FE669E5"/>
    <w:rsid w:val="3FF86E00"/>
    <w:rsid w:val="403149DC"/>
    <w:rsid w:val="4044147E"/>
    <w:rsid w:val="406F5B46"/>
    <w:rsid w:val="40713247"/>
    <w:rsid w:val="40D31FE7"/>
    <w:rsid w:val="40D81CF2"/>
    <w:rsid w:val="40DA4C1A"/>
    <w:rsid w:val="40F14E1A"/>
    <w:rsid w:val="40FA1EA6"/>
    <w:rsid w:val="41022B36"/>
    <w:rsid w:val="4157169F"/>
    <w:rsid w:val="416050CE"/>
    <w:rsid w:val="417A14FB"/>
    <w:rsid w:val="417E204F"/>
    <w:rsid w:val="418D051C"/>
    <w:rsid w:val="41BB7D66"/>
    <w:rsid w:val="41EB2AB3"/>
    <w:rsid w:val="42562163"/>
    <w:rsid w:val="425930E7"/>
    <w:rsid w:val="428B4C2F"/>
    <w:rsid w:val="42993ED1"/>
    <w:rsid w:val="42AE05F3"/>
    <w:rsid w:val="42FE51F6"/>
    <w:rsid w:val="430B16C1"/>
    <w:rsid w:val="431D3DAA"/>
    <w:rsid w:val="432B3440"/>
    <w:rsid w:val="43B45922"/>
    <w:rsid w:val="43F44D65"/>
    <w:rsid w:val="44770EE3"/>
    <w:rsid w:val="45101837"/>
    <w:rsid w:val="4535759D"/>
    <w:rsid w:val="45702119"/>
    <w:rsid w:val="45817197"/>
    <w:rsid w:val="45932935"/>
    <w:rsid w:val="45E22CF5"/>
    <w:rsid w:val="46077070"/>
    <w:rsid w:val="463F2A4E"/>
    <w:rsid w:val="467C4AB1"/>
    <w:rsid w:val="46913751"/>
    <w:rsid w:val="46B77214"/>
    <w:rsid w:val="46F56363"/>
    <w:rsid w:val="471A72BA"/>
    <w:rsid w:val="47223D67"/>
    <w:rsid w:val="47293CD0"/>
    <w:rsid w:val="474F068C"/>
    <w:rsid w:val="476067BD"/>
    <w:rsid w:val="47876268"/>
    <w:rsid w:val="47B14EAE"/>
    <w:rsid w:val="47C03E43"/>
    <w:rsid w:val="47E40B80"/>
    <w:rsid w:val="47E71B04"/>
    <w:rsid w:val="48703FE7"/>
    <w:rsid w:val="487429ED"/>
    <w:rsid w:val="48823F01"/>
    <w:rsid w:val="48A01965"/>
    <w:rsid w:val="48AA50C6"/>
    <w:rsid w:val="48E51A27"/>
    <w:rsid w:val="49420ABC"/>
    <w:rsid w:val="49762AE7"/>
    <w:rsid w:val="4989221C"/>
    <w:rsid w:val="49A452DD"/>
    <w:rsid w:val="49E80350"/>
    <w:rsid w:val="49F10C60"/>
    <w:rsid w:val="4A1F7E11"/>
    <w:rsid w:val="4AC81BBD"/>
    <w:rsid w:val="4B0E2331"/>
    <w:rsid w:val="4B2F60E9"/>
    <w:rsid w:val="4B5136CE"/>
    <w:rsid w:val="4B8557F3"/>
    <w:rsid w:val="4B92038C"/>
    <w:rsid w:val="4B9D671D"/>
    <w:rsid w:val="4BDC43E9"/>
    <w:rsid w:val="4C5713CF"/>
    <w:rsid w:val="4C617760"/>
    <w:rsid w:val="4C7166F5"/>
    <w:rsid w:val="4CB901FD"/>
    <w:rsid w:val="4CB964E6"/>
    <w:rsid w:val="4CE444B6"/>
    <w:rsid w:val="4D3C70C3"/>
    <w:rsid w:val="4D4E2860"/>
    <w:rsid w:val="4D8A04C7"/>
    <w:rsid w:val="4D9C3C64"/>
    <w:rsid w:val="4DC35387"/>
    <w:rsid w:val="4DD74D43"/>
    <w:rsid w:val="4E036E8C"/>
    <w:rsid w:val="4E1458CD"/>
    <w:rsid w:val="4E293FE6"/>
    <w:rsid w:val="4E3D7E37"/>
    <w:rsid w:val="4E8823C4"/>
    <w:rsid w:val="4E925476"/>
    <w:rsid w:val="4ED43961"/>
    <w:rsid w:val="4F863785"/>
    <w:rsid w:val="4FD7228A"/>
    <w:rsid w:val="4FE44631"/>
    <w:rsid w:val="50236B06"/>
    <w:rsid w:val="504B2422"/>
    <w:rsid w:val="50AB3567"/>
    <w:rsid w:val="50ED7854"/>
    <w:rsid w:val="50F63E28"/>
    <w:rsid w:val="51877A52"/>
    <w:rsid w:val="519C64C0"/>
    <w:rsid w:val="51CD4943"/>
    <w:rsid w:val="51F31300"/>
    <w:rsid w:val="5221007F"/>
    <w:rsid w:val="52736F12"/>
    <w:rsid w:val="52753E57"/>
    <w:rsid w:val="52902483"/>
    <w:rsid w:val="52926B5A"/>
    <w:rsid w:val="52AD3FB1"/>
    <w:rsid w:val="52FA40B1"/>
    <w:rsid w:val="53681C11"/>
    <w:rsid w:val="53BA7089"/>
    <w:rsid w:val="53D0583A"/>
    <w:rsid w:val="53DD2125"/>
    <w:rsid w:val="53F577CC"/>
    <w:rsid w:val="545C5E51"/>
    <w:rsid w:val="54610180"/>
    <w:rsid w:val="54664607"/>
    <w:rsid w:val="5486175B"/>
    <w:rsid w:val="54B72FAA"/>
    <w:rsid w:val="54EE1F62"/>
    <w:rsid w:val="557C414F"/>
    <w:rsid w:val="55A62377"/>
    <w:rsid w:val="55D36D5C"/>
    <w:rsid w:val="56265F83"/>
    <w:rsid w:val="562E6CBA"/>
    <w:rsid w:val="564D6A26"/>
    <w:rsid w:val="56966EC2"/>
    <w:rsid w:val="56C7506B"/>
    <w:rsid w:val="56E755A0"/>
    <w:rsid w:val="5715646F"/>
    <w:rsid w:val="57213322"/>
    <w:rsid w:val="572A730E"/>
    <w:rsid w:val="576616F1"/>
    <w:rsid w:val="57667D24"/>
    <w:rsid w:val="576B5B79"/>
    <w:rsid w:val="578754A9"/>
    <w:rsid w:val="579A5388"/>
    <w:rsid w:val="57CE5BC3"/>
    <w:rsid w:val="58024024"/>
    <w:rsid w:val="580D3184"/>
    <w:rsid w:val="58C470AF"/>
    <w:rsid w:val="58D26971"/>
    <w:rsid w:val="58E83DEC"/>
    <w:rsid w:val="59701AD0"/>
    <w:rsid w:val="59762756"/>
    <w:rsid w:val="5A001F32"/>
    <w:rsid w:val="5A047A3B"/>
    <w:rsid w:val="5A82089A"/>
    <w:rsid w:val="5A8F4CF7"/>
    <w:rsid w:val="5AE1516A"/>
    <w:rsid w:val="5AFC3238"/>
    <w:rsid w:val="5AFF0F58"/>
    <w:rsid w:val="5B0B05EE"/>
    <w:rsid w:val="5B204D10"/>
    <w:rsid w:val="5B414FED"/>
    <w:rsid w:val="5B4A5B54"/>
    <w:rsid w:val="5B6A3A79"/>
    <w:rsid w:val="5B767C9D"/>
    <w:rsid w:val="5B9934B9"/>
    <w:rsid w:val="5C025303"/>
    <w:rsid w:val="5C1A5F7B"/>
    <w:rsid w:val="5C4279A3"/>
    <w:rsid w:val="5C5B380F"/>
    <w:rsid w:val="5C672AA9"/>
    <w:rsid w:val="5C6F1BE1"/>
    <w:rsid w:val="5C867ADA"/>
    <w:rsid w:val="5CCF6E6E"/>
    <w:rsid w:val="5CE95FB4"/>
    <w:rsid w:val="5D0E453B"/>
    <w:rsid w:val="5D731CE1"/>
    <w:rsid w:val="5D8747AE"/>
    <w:rsid w:val="5DD7160C"/>
    <w:rsid w:val="5E4B69E1"/>
    <w:rsid w:val="5E7E4392"/>
    <w:rsid w:val="5E9A3CC2"/>
    <w:rsid w:val="5EA7685B"/>
    <w:rsid w:val="5EB24BEC"/>
    <w:rsid w:val="5F6B6E2F"/>
    <w:rsid w:val="5FA63769"/>
    <w:rsid w:val="5FDF4359"/>
    <w:rsid w:val="5FE1785D"/>
    <w:rsid w:val="5FFD5B08"/>
    <w:rsid w:val="6012222A"/>
    <w:rsid w:val="607A0954"/>
    <w:rsid w:val="6081108F"/>
    <w:rsid w:val="609459CB"/>
    <w:rsid w:val="60D34866"/>
    <w:rsid w:val="610466BA"/>
    <w:rsid w:val="6105633A"/>
    <w:rsid w:val="61355334"/>
    <w:rsid w:val="61752B5C"/>
    <w:rsid w:val="61E91E30"/>
    <w:rsid w:val="61ED1387"/>
    <w:rsid w:val="62022D5A"/>
    <w:rsid w:val="62467FCB"/>
    <w:rsid w:val="626D2409"/>
    <w:rsid w:val="62A712E9"/>
    <w:rsid w:val="62BE0F0F"/>
    <w:rsid w:val="62D00E29"/>
    <w:rsid w:val="631679A0"/>
    <w:rsid w:val="63290E9E"/>
    <w:rsid w:val="63407F05"/>
    <w:rsid w:val="637067B4"/>
    <w:rsid w:val="637E1A80"/>
    <w:rsid w:val="640956AE"/>
    <w:rsid w:val="641546C5"/>
    <w:rsid w:val="645771F8"/>
    <w:rsid w:val="64844FF7"/>
    <w:rsid w:val="64DB5A06"/>
    <w:rsid w:val="65712A00"/>
    <w:rsid w:val="65731938"/>
    <w:rsid w:val="65755C04"/>
    <w:rsid w:val="657A5FC8"/>
    <w:rsid w:val="658E3951"/>
    <w:rsid w:val="65AD5D5E"/>
    <w:rsid w:val="65D26D7C"/>
    <w:rsid w:val="65D45C1E"/>
    <w:rsid w:val="665A7FBF"/>
    <w:rsid w:val="665B137A"/>
    <w:rsid w:val="66F20EC4"/>
    <w:rsid w:val="670E71C7"/>
    <w:rsid w:val="67515043"/>
    <w:rsid w:val="6788436B"/>
    <w:rsid w:val="67903975"/>
    <w:rsid w:val="67BB003D"/>
    <w:rsid w:val="67E44A5A"/>
    <w:rsid w:val="681770D1"/>
    <w:rsid w:val="68693658"/>
    <w:rsid w:val="68A97CC5"/>
    <w:rsid w:val="68B1337C"/>
    <w:rsid w:val="691F0460"/>
    <w:rsid w:val="6924760F"/>
    <w:rsid w:val="69531E62"/>
    <w:rsid w:val="69744E10"/>
    <w:rsid w:val="698F343B"/>
    <w:rsid w:val="6A240286"/>
    <w:rsid w:val="6A452F6A"/>
    <w:rsid w:val="6A54112D"/>
    <w:rsid w:val="6A7214AF"/>
    <w:rsid w:val="6A8D335E"/>
    <w:rsid w:val="6AA035AE"/>
    <w:rsid w:val="6AC5495F"/>
    <w:rsid w:val="6ACA31C3"/>
    <w:rsid w:val="6AEC1179"/>
    <w:rsid w:val="6B33736F"/>
    <w:rsid w:val="6B8B47F7"/>
    <w:rsid w:val="6BCA5743"/>
    <w:rsid w:val="6C9C30BE"/>
    <w:rsid w:val="6DB0266F"/>
    <w:rsid w:val="6DCA02AD"/>
    <w:rsid w:val="6DCF4734"/>
    <w:rsid w:val="6DDE6F4D"/>
    <w:rsid w:val="6E0A58BB"/>
    <w:rsid w:val="6E0F2E14"/>
    <w:rsid w:val="6E35795C"/>
    <w:rsid w:val="6E6910B0"/>
    <w:rsid w:val="6EA27F90"/>
    <w:rsid w:val="6ED21161"/>
    <w:rsid w:val="6EDB13EF"/>
    <w:rsid w:val="6F1E141D"/>
    <w:rsid w:val="6F221B63"/>
    <w:rsid w:val="6F253D4D"/>
    <w:rsid w:val="6F424616"/>
    <w:rsid w:val="6F5354F8"/>
    <w:rsid w:val="6F556210"/>
    <w:rsid w:val="6F733315"/>
    <w:rsid w:val="6FE03A94"/>
    <w:rsid w:val="6FE11C8E"/>
    <w:rsid w:val="70065659"/>
    <w:rsid w:val="70207868"/>
    <w:rsid w:val="70401AF2"/>
    <w:rsid w:val="709B5B4C"/>
    <w:rsid w:val="70A616C8"/>
    <w:rsid w:val="70C90151"/>
    <w:rsid w:val="70DE5120"/>
    <w:rsid w:val="712D7639"/>
    <w:rsid w:val="71B90522"/>
    <w:rsid w:val="72721ECF"/>
    <w:rsid w:val="728E17FF"/>
    <w:rsid w:val="72954A0D"/>
    <w:rsid w:val="72D810AF"/>
    <w:rsid w:val="72F65D2C"/>
    <w:rsid w:val="731C48E6"/>
    <w:rsid w:val="73A103C3"/>
    <w:rsid w:val="73A45AC4"/>
    <w:rsid w:val="73BD01B5"/>
    <w:rsid w:val="73D0403A"/>
    <w:rsid w:val="73E05929"/>
    <w:rsid w:val="73F70EA5"/>
    <w:rsid w:val="740735EA"/>
    <w:rsid w:val="740A2BDE"/>
    <w:rsid w:val="742A7369"/>
    <w:rsid w:val="743C4F1E"/>
    <w:rsid w:val="74C45BA9"/>
    <w:rsid w:val="751839E0"/>
    <w:rsid w:val="751B14FC"/>
    <w:rsid w:val="75645AA5"/>
    <w:rsid w:val="75A0590A"/>
    <w:rsid w:val="75C65819"/>
    <w:rsid w:val="75C8104D"/>
    <w:rsid w:val="75CD54D4"/>
    <w:rsid w:val="75E02E70"/>
    <w:rsid w:val="76274F93"/>
    <w:rsid w:val="7650368F"/>
    <w:rsid w:val="766D3D59"/>
    <w:rsid w:val="767201E1"/>
    <w:rsid w:val="7695169A"/>
    <w:rsid w:val="76A76BF7"/>
    <w:rsid w:val="76E21799"/>
    <w:rsid w:val="775252D0"/>
    <w:rsid w:val="77966CBE"/>
    <w:rsid w:val="77AE7BE8"/>
    <w:rsid w:val="77CA3C95"/>
    <w:rsid w:val="77FC1EE6"/>
    <w:rsid w:val="780276A7"/>
    <w:rsid w:val="780A11FC"/>
    <w:rsid w:val="78A10475"/>
    <w:rsid w:val="78DD2859"/>
    <w:rsid w:val="79194C3C"/>
    <w:rsid w:val="79350CE9"/>
    <w:rsid w:val="79EB3F2F"/>
    <w:rsid w:val="79FD4EAF"/>
    <w:rsid w:val="7A026144"/>
    <w:rsid w:val="7A2C7779"/>
    <w:rsid w:val="7A3D371A"/>
    <w:rsid w:val="7A481AAB"/>
    <w:rsid w:val="7A970930"/>
    <w:rsid w:val="7AFA7350"/>
    <w:rsid w:val="7B11789E"/>
    <w:rsid w:val="7B4D06B6"/>
    <w:rsid w:val="7B5E7074"/>
    <w:rsid w:val="7B78089E"/>
    <w:rsid w:val="7BA13240"/>
    <w:rsid w:val="7BAC0C40"/>
    <w:rsid w:val="7BB57A83"/>
    <w:rsid w:val="7BB65505"/>
    <w:rsid w:val="7BCE642F"/>
    <w:rsid w:val="7C937471"/>
    <w:rsid w:val="7C944EF3"/>
    <w:rsid w:val="7CAB1E44"/>
    <w:rsid w:val="7CC73564"/>
    <w:rsid w:val="7CF81394"/>
    <w:rsid w:val="7D3511F9"/>
    <w:rsid w:val="7D38437C"/>
    <w:rsid w:val="7D482418"/>
    <w:rsid w:val="7DC94A0A"/>
    <w:rsid w:val="7DD93F05"/>
    <w:rsid w:val="7E1A2770"/>
    <w:rsid w:val="7E3B6E60"/>
    <w:rsid w:val="7E867BE9"/>
    <w:rsid w:val="7E8E6A20"/>
    <w:rsid w:val="7E9F29C9"/>
    <w:rsid w:val="7EAC1CDF"/>
    <w:rsid w:val="7EBD5653"/>
    <w:rsid w:val="7ECF0F9A"/>
    <w:rsid w:val="7EE44058"/>
    <w:rsid w:val="7EE456BC"/>
    <w:rsid w:val="7F0A58FC"/>
    <w:rsid w:val="7F167190"/>
    <w:rsid w:val="7F7C0C7E"/>
    <w:rsid w:val="7FB34A90"/>
    <w:rsid w:val="7FB75065"/>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0"/>
    <w:rPr>
      <w:rFonts w:ascii="宋体" w:hAnsi="宋体" w:cs="宋体"/>
      <w:sz w:val="24"/>
      <w:szCs w:val="24"/>
      <w:lang w:eastAsia="en-US"/>
    </w:rPr>
  </w:style>
  <w:style w:type="character" w:customStyle="1" w:styleId="66">
    <w:name w:val="纯文本 Char"/>
    <w:basedOn w:val="47"/>
    <w:link w:val="24"/>
    <w:qFormat/>
    <w:uiPriority w:val="99"/>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99"/>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99"/>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7"/>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 w:type="paragraph" w:customStyle="1" w:styleId="214">
    <w:name w:val="表的标题"/>
    <w:basedOn w:val="1"/>
    <w:next w:val="215"/>
    <w:qFormat/>
    <w:uiPriority w:val="0"/>
    <w:pPr>
      <w:adjustRightInd w:val="0"/>
      <w:snapToGrid w:val="0"/>
      <w:jc w:val="center"/>
    </w:pPr>
    <w:rPr>
      <w:rFonts w:ascii="Arial" w:hAnsi="Arial"/>
      <w:sz w:val="24"/>
      <w:szCs w:val="20"/>
    </w:rPr>
  </w:style>
  <w:style w:type="paragraph" w:customStyle="1" w:styleId="215">
    <w:name w:val="表中正文"/>
    <w:basedOn w:val="1"/>
    <w:qFormat/>
    <w:uiPriority w:val="0"/>
    <w:pPr>
      <w:adjustRightInd w:val="0"/>
      <w:snapToGrid w:val="0"/>
      <w:spacing w:line="300" w:lineRule="exact"/>
      <w:jc w:val="center"/>
    </w:pPr>
    <w:rPr>
      <w:rFonts w:hAnsi="Times New Roman" w:cs="Times New Roman"/>
      <w:szCs w:val="21"/>
    </w:rPr>
  </w:style>
  <w:style w:type="paragraph" w:customStyle="1" w:styleId="216">
    <w:name w:val="mdf-toolbarpagetitle"/>
    <w:basedOn w:val="1"/>
    <w:qFormat/>
    <w:uiPriority w:val="0"/>
    <w:pPr>
      <w:widowControl/>
      <w:autoSpaceDE/>
      <w:autoSpaceDN/>
      <w:spacing w:before="100" w:beforeAutospacing="1" w:after="100" w:afterAutospacing="1"/>
    </w:pPr>
    <w:rPr>
      <w:sz w:val="24"/>
      <w:szCs w:val="24"/>
      <w:lang w:eastAsia="zh-CN"/>
    </w:rPr>
  </w:style>
  <w:style w:type="paragraph" w:customStyle="1" w:styleId="2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98A0BA-BEB3-4195-A551-16EDF31DCD1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13</Pages>
  <Words>5246</Words>
  <Characters>5699</Characters>
  <Lines>80</Lines>
  <Paragraphs>22</Paragraphs>
  <TotalTime>33</TotalTime>
  <ScaleCrop>false</ScaleCrop>
  <LinksUpToDate>false</LinksUpToDate>
  <CharactersWithSpaces>6170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2025-04-29T01:02:00Z</dcterms:created>
  <dc:creator>CGC</dc:creator>
  <cp:lastModifiedBy>连毓生</cp:lastModifiedBy>
  <dcterms:modified xsi:type="dcterms:W3CDTF">2025-08-22T06:43:26Z</dcterms:modified>
  <dc:title>公开招标文件（货物服务类）</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ICV">
    <vt:lpwstr>92ED5DF7B99D42CD90E8E6063150A246_13</vt:lpwstr>
  </property>
  <property fmtid="{D5CDD505-2E9C-101B-9397-08002B2CF9AE}" pid="7" name="KSOTemplateDocerSaveRecord">
    <vt:lpwstr>eyJoZGlkIjoiY2M4ZDA5NTc1NWQwMDI4MjA1ZTc2MmI5ODhhMWE3OTIiLCJ1c2VySWQiOiIxNTY4Mzk2MzI0In0=</vt:lpwstr>
  </property>
</Properties>
</file>