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C813">
      <w:pPr>
        <w:pStyle w:val="24"/>
        <w:spacing w:line="400" w:lineRule="exact"/>
        <w:jc w:val="center"/>
        <w:rPr>
          <w:rFonts w:ascii="Times New Roman" w:hAnsi="Times New Roman" w:cs="Times New Roman"/>
          <w:b/>
          <w:bCs/>
          <w:sz w:val="32"/>
          <w:szCs w:val="32"/>
          <w:lang w:eastAsia="zh-CN"/>
        </w:rPr>
      </w:pPr>
      <w:bookmarkStart w:id="0" w:name="_Toc251742852"/>
    </w:p>
    <w:p w14:paraId="42513119">
      <w:pPr>
        <w:pStyle w:val="24"/>
        <w:spacing w:line="400" w:lineRule="exact"/>
        <w:jc w:val="center"/>
        <w:rPr>
          <w:rFonts w:ascii="Times New Roman" w:hAnsi="Times New Roman" w:cs="Times New Roman"/>
          <w:b/>
          <w:bCs/>
          <w:sz w:val="32"/>
          <w:szCs w:val="32"/>
          <w:lang w:eastAsia="zh-CN"/>
        </w:rPr>
      </w:pPr>
    </w:p>
    <w:p w14:paraId="12AB1808">
      <w:pPr>
        <w:pStyle w:val="24"/>
        <w:spacing w:line="400" w:lineRule="exact"/>
        <w:jc w:val="center"/>
        <w:rPr>
          <w:rFonts w:ascii="Times New Roman" w:hAnsi="Times New Roman" w:cs="Times New Roman"/>
          <w:b/>
          <w:bCs/>
          <w:sz w:val="32"/>
          <w:szCs w:val="32"/>
          <w:lang w:eastAsia="zh-CN"/>
        </w:rPr>
      </w:pPr>
    </w:p>
    <w:p w14:paraId="28D51472">
      <w:pPr>
        <w:pStyle w:val="24"/>
        <w:spacing w:line="40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南8#</w:t>
      </w: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南9#</w:t>
      </w:r>
      <w:r>
        <w:rPr>
          <w:rFonts w:ascii="Times New Roman" w:hAnsi="Times New Roman" w:cs="Times New Roman"/>
          <w:b/>
          <w:bCs/>
          <w:sz w:val="32"/>
          <w:szCs w:val="32"/>
          <w:lang w:eastAsia="zh-CN"/>
        </w:rPr>
        <w:t>口岸病媒生物的监测与控制、卫生处理项目</w:t>
      </w:r>
    </w:p>
    <w:p w14:paraId="337E10B3">
      <w:pPr>
        <w:pStyle w:val="24"/>
        <w:spacing w:line="400" w:lineRule="exact"/>
        <w:jc w:val="center"/>
        <w:rPr>
          <w:rFonts w:ascii="Times New Roman" w:hAnsi="Times New Roman" w:cs="Times New Roman"/>
          <w:b/>
          <w:sz w:val="32"/>
          <w:szCs w:val="32"/>
          <w:lang w:eastAsia="zh-CN"/>
        </w:rPr>
      </w:pPr>
    </w:p>
    <w:p w14:paraId="268B4073">
      <w:pPr>
        <w:pStyle w:val="24"/>
        <w:spacing w:line="400" w:lineRule="exact"/>
        <w:jc w:val="center"/>
        <w:rPr>
          <w:rFonts w:ascii="Times New Roman" w:hAnsi="Times New Roman" w:cs="Times New Roman"/>
          <w:b/>
          <w:sz w:val="32"/>
          <w:szCs w:val="32"/>
          <w:lang w:eastAsia="zh-CN"/>
        </w:rPr>
      </w:pPr>
    </w:p>
    <w:p w14:paraId="362E78E6">
      <w:pPr>
        <w:pStyle w:val="24"/>
        <w:spacing w:line="400" w:lineRule="exact"/>
        <w:jc w:val="center"/>
        <w:rPr>
          <w:rFonts w:ascii="Times New Roman" w:hAnsi="Times New Roman" w:cs="Times New Roman"/>
          <w:b/>
          <w:sz w:val="32"/>
          <w:szCs w:val="32"/>
          <w:lang w:eastAsia="zh-CN"/>
        </w:rPr>
      </w:pPr>
    </w:p>
    <w:p w14:paraId="10DCAA07">
      <w:pPr>
        <w:pStyle w:val="24"/>
        <w:spacing w:line="400" w:lineRule="exact"/>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技术服务合同</w:t>
      </w:r>
    </w:p>
    <w:p w14:paraId="6E22369B">
      <w:pPr>
        <w:pStyle w:val="24"/>
        <w:spacing w:line="400" w:lineRule="exact"/>
        <w:jc w:val="center"/>
        <w:rPr>
          <w:rFonts w:ascii="Times New Roman" w:hAnsi="Times New Roman" w:cs="Times New Roman"/>
          <w:b/>
          <w:sz w:val="32"/>
          <w:szCs w:val="32"/>
          <w:lang w:eastAsia="zh-CN"/>
        </w:rPr>
      </w:pPr>
    </w:p>
    <w:p w14:paraId="4904994E">
      <w:pPr>
        <w:pStyle w:val="24"/>
        <w:spacing w:line="400" w:lineRule="exact"/>
        <w:ind w:firstLine="3091" w:firstLineChars="1466"/>
        <w:rPr>
          <w:rFonts w:ascii="Times New Roman" w:hAnsi="Times New Roman" w:cs="Times New Roman"/>
          <w:b/>
          <w:sz w:val="21"/>
          <w:lang w:eastAsia="zh-CN"/>
        </w:rPr>
      </w:pPr>
      <w:r>
        <w:rPr>
          <w:rFonts w:hint="eastAsia" w:ascii="Times New Roman" w:hAnsi="Times New Roman" w:cs="Times New Roman"/>
          <w:b/>
          <w:sz w:val="21"/>
          <w:lang w:eastAsia="zh-CN"/>
        </w:rPr>
        <w:t>（</w:t>
      </w:r>
      <w:r>
        <w:rPr>
          <w:rFonts w:ascii="Times New Roman" w:hAnsi="Times New Roman" w:cs="Times New Roman"/>
          <w:b/>
          <w:sz w:val="21"/>
          <w:lang w:eastAsia="zh-CN"/>
        </w:rPr>
        <w:t xml:space="preserve"> 合同编号：</w:t>
      </w:r>
      <w:r>
        <w:rPr>
          <w:rFonts w:hint="eastAsia" w:ascii="Times New Roman" w:hAnsi="Times New Roman" w:cs="Times New Roman"/>
          <w:b/>
          <w:sz w:val="21"/>
          <w:lang w:val="en-US" w:eastAsia="zh-CN"/>
        </w:rPr>
        <w:t xml:space="preserve">CGHT-2025-0000    </w:t>
      </w:r>
      <w:r>
        <w:rPr>
          <w:rFonts w:hint="eastAsia" w:ascii="Times New Roman" w:hAnsi="Times New Roman" w:cs="Times New Roman"/>
          <w:b/>
          <w:sz w:val="21"/>
          <w:lang w:eastAsia="zh-CN"/>
        </w:rPr>
        <w:t>）</w:t>
      </w:r>
    </w:p>
    <w:p w14:paraId="5709D960">
      <w:pPr>
        <w:pStyle w:val="24"/>
        <w:spacing w:line="400" w:lineRule="exact"/>
        <w:jc w:val="center"/>
        <w:rPr>
          <w:rFonts w:ascii="Times New Roman" w:hAnsi="Times New Roman" w:cs="Times New Roman"/>
          <w:b/>
          <w:sz w:val="28"/>
          <w:szCs w:val="28"/>
          <w:lang w:eastAsia="zh-CN"/>
        </w:rPr>
      </w:pPr>
    </w:p>
    <w:p w14:paraId="3625B670">
      <w:pPr>
        <w:pStyle w:val="24"/>
        <w:spacing w:line="400" w:lineRule="exact"/>
        <w:jc w:val="center"/>
        <w:rPr>
          <w:rFonts w:ascii="Times New Roman" w:hAnsi="Times New Roman" w:cs="Times New Roman"/>
          <w:b/>
          <w:sz w:val="28"/>
          <w:szCs w:val="28"/>
          <w:lang w:eastAsia="zh-CN"/>
        </w:rPr>
      </w:pPr>
    </w:p>
    <w:p w14:paraId="70309088">
      <w:pPr>
        <w:pStyle w:val="24"/>
        <w:spacing w:line="400" w:lineRule="exact"/>
        <w:jc w:val="center"/>
        <w:rPr>
          <w:rFonts w:ascii="Times New Roman" w:hAnsi="Times New Roman" w:cs="Times New Roman"/>
          <w:b/>
          <w:sz w:val="28"/>
          <w:szCs w:val="28"/>
          <w:lang w:eastAsia="zh-CN"/>
        </w:rPr>
      </w:pPr>
    </w:p>
    <w:p w14:paraId="3A090F87">
      <w:pPr>
        <w:pStyle w:val="24"/>
        <w:spacing w:line="400" w:lineRule="exact"/>
        <w:jc w:val="center"/>
        <w:rPr>
          <w:rFonts w:ascii="Times New Roman" w:hAnsi="Times New Roman" w:cs="Times New Roman"/>
          <w:b/>
          <w:sz w:val="28"/>
          <w:szCs w:val="28"/>
          <w:lang w:eastAsia="zh-CN"/>
        </w:rPr>
      </w:pPr>
    </w:p>
    <w:p w14:paraId="0BF341B0">
      <w:pPr>
        <w:pStyle w:val="24"/>
        <w:spacing w:line="400" w:lineRule="exact"/>
        <w:rPr>
          <w:rFonts w:ascii="Times New Roman" w:hAnsi="Times New Roman" w:cs="Times New Roman"/>
          <w:lang w:eastAsia="zh-CN"/>
        </w:rPr>
      </w:pPr>
    </w:p>
    <w:p w14:paraId="44CE5FD4">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 xml:space="preserve">委托方（甲方）：翔鹭码头投资管理（漳州）有限公司 </w:t>
      </w:r>
    </w:p>
    <w:p w14:paraId="59BF9106">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地：福建省漳州市古雷开发区腾龙路1号</w:t>
      </w:r>
    </w:p>
    <w:p w14:paraId="5321D360">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r>
        <w:rPr>
          <w:rFonts w:hint="eastAsia" w:ascii="Times New Roman" w:hAnsi="Times New Roman" w:cs="Times New Roman"/>
          <w:sz w:val="24"/>
          <w:szCs w:val="24"/>
          <w:lang w:eastAsia="zh-CN"/>
        </w:rPr>
        <w:t>连毅敏</w:t>
      </w:r>
    </w:p>
    <w:p w14:paraId="61E9DC8F">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项目联系人：陈</w:t>
      </w:r>
      <w:r>
        <w:rPr>
          <w:rFonts w:hint="eastAsia" w:ascii="Times New Roman" w:hAnsi="Times New Roman" w:cs="Times New Roman"/>
          <w:sz w:val="24"/>
          <w:szCs w:val="24"/>
          <w:lang w:eastAsia="zh-CN"/>
        </w:rPr>
        <w:t>加成</w:t>
      </w:r>
      <w:r>
        <w:rPr>
          <w:rFonts w:ascii="Times New Roman" w:hAnsi="Times New Roman" w:cs="Times New Roman"/>
          <w:sz w:val="24"/>
          <w:szCs w:val="24"/>
          <w:lang w:eastAsia="zh-CN"/>
        </w:rPr>
        <w:t xml:space="preserve"> </w:t>
      </w:r>
    </w:p>
    <w:p w14:paraId="600233FD">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w:t>
      </w:r>
      <w:r>
        <w:rPr>
          <w:rFonts w:hint="eastAsia" w:ascii="Times New Roman" w:hAnsi="Times New Roman" w:cs="Times New Roman"/>
          <w:sz w:val="24"/>
          <w:szCs w:val="24"/>
          <w:lang w:eastAsia="zh-CN"/>
        </w:rPr>
        <w:t>84</w:t>
      </w:r>
      <w:r>
        <w:rPr>
          <w:rFonts w:ascii="Times New Roman" w:hAnsi="Times New Roman" w:cs="Times New Roman"/>
          <w:sz w:val="24"/>
          <w:szCs w:val="24"/>
          <w:lang w:eastAsia="zh-CN"/>
        </w:rPr>
        <w:t>号</w:t>
      </w:r>
    </w:p>
    <w:p w14:paraId="21BE9FF9">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 xml:space="preserve">电    话： </w:t>
      </w:r>
      <w:r>
        <w:rPr>
          <w:rFonts w:hint="eastAsia" w:ascii="Times New Roman" w:hAnsi="Times New Roman" w:cs="Times New Roman"/>
          <w:sz w:val="24"/>
          <w:szCs w:val="24"/>
          <w:lang w:eastAsia="zh-CN"/>
        </w:rPr>
        <w:t>18959696678</w:t>
      </w:r>
    </w:p>
    <w:p w14:paraId="6B8CF8DF">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r>
        <w:rPr>
          <w:rFonts w:hint="eastAsia" w:ascii="Times New Roman" w:hAnsi="Times New Roman" w:cs="Times New Roman"/>
          <w:sz w:val="24"/>
          <w:szCs w:val="24"/>
          <w:lang w:eastAsia="zh-CN"/>
        </w:rPr>
        <w:t>chjc@fhcpec.com.cn  </w:t>
      </w:r>
    </w:p>
    <w:p w14:paraId="28D232EF">
      <w:pPr>
        <w:pStyle w:val="24"/>
        <w:spacing w:line="400" w:lineRule="exact"/>
        <w:ind w:left="697" w:leftChars="317" w:firstLine="2"/>
        <w:rPr>
          <w:rFonts w:ascii="Times New Roman" w:hAnsi="Times New Roman" w:cs="Times New Roman"/>
          <w:sz w:val="24"/>
          <w:szCs w:val="24"/>
          <w:lang w:eastAsia="zh-CN"/>
        </w:rPr>
      </w:pPr>
    </w:p>
    <w:p w14:paraId="44E2B047">
      <w:pPr>
        <w:pStyle w:val="24"/>
        <w:spacing w:line="400" w:lineRule="exact"/>
        <w:ind w:left="697" w:leftChars="317" w:firstLine="2"/>
        <w:rPr>
          <w:rFonts w:ascii="Times New Roman" w:hAnsi="Times New Roman" w:cs="Times New Roman"/>
          <w:sz w:val="24"/>
          <w:szCs w:val="24"/>
          <w:lang w:eastAsia="zh-CN"/>
        </w:rPr>
      </w:pPr>
    </w:p>
    <w:p w14:paraId="1E81DEE0">
      <w:pPr>
        <w:pStyle w:val="24"/>
        <w:spacing w:line="400" w:lineRule="exact"/>
        <w:ind w:left="697" w:leftChars="317" w:firstLine="2"/>
        <w:rPr>
          <w:rFonts w:ascii="Times New Roman" w:hAnsi="Times New Roman" w:cs="Times New Roman"/>
          <w:sz w:val="24"/>
          <w:szCs w:val="24"/>
          <w:lang w:eastAsia="zh-CN"/>
        </w:rPr>
      </w:pPr>
    </w:p>
    <w:p w14:paraId="796FC289">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受托方（乙方）：</w:t>
      </w:r>
    </w:p>
    <w:p w14:paraId="00AC826E">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住  所  地：</w:t>
      </w:r>
    </w:p>
    <w:p w14:paraId="33DA4D6E">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14:paraId="5B1C645D">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14:paraId="5CDF75C3">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14:paraId="471E598C">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14:paraId="7844715A">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14:paraId="2036C288">
      <w:pPr>
        <w:pStyle w:val="24"/>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14:paraId="4C02EBDC">
      <w:pPr>
        <w:pStyle w:val="24"/>
        <w:spacing w:line="400" w:lineRule="exact"/>
        <w:ind w:firstLine="630" w:firstLineChars="300"/>
        <w:jc w:val="both"/>
        <w:rPr>
          <w:rFonts w:ascii="Times New Roman" w:hAnsi="Times New Roman" w:cs="Times New Roman"/>
          <w:b/>
          <w:sz w:val="28"/>
          <w:szCs w:val="28"/>
          <w:lang w:eastAsia="zh-CN"/>
        </w:rPr>
      </w:pPr>
      <w:r>
        <w:rPr>
          <w:rFonts w:hint="eastAsia" w:ascii="Times New Roman" w:hAnsi="Times New Roman" w:cs="Times New Roman"/>
          <w:bCs/>
          <w:sz w:val="21"/>
          <w:lang w:eastAsia="zh-CN"/>
        </w:rPr>
        <w:t xml:space="preserve">    </w:t>
      </w:r>
    </w:p>
    <w:p w14:paraId="5007DB71">
      <w:pPr>
        <w:pStyle w:val="24"/>
        <w:spacing w:line="4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南8#</w:t>
      </w:r>
      <w:r>
        <w:rPr>
          <w:rFonts w:hint="eastAsia"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南9#</w:t>
      </w:r>
      <w:r>
        <w:rPr>
          <w:rFonts w:ascii="Times New Roman" w:hAnsi="Times New Roman" w:cs="Times New Roman"/>
          <w:b/>
          <w:bCs/>
          <w:sz w:val="28"/>
          <w:szCs w:val="28"/>
          <w:lang w:eastAsia="zh-CN"/>
        </w:rPr>
        <w:t>口岸病媒生物的监测与控制、卫生处理项目</w:t>
      </w:r>
    </w:p>
    <w:p w14:paraId="5677EBE4">
      <w:pPr>
        <w:pStyle w:val="24"/>
        <w:spacing w:line="400" w:lineRule="exact"/>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技术服务合同</w:t>
      </w:r>
    </w:p>
    <w:p w14:paraId="10997B37">
      <w:pPr>
        <w:pStyle w:val="24"/>
        <w:spacing w:line="400" w:lineRule="exact"/>
        <w:jc w:val="center"/>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 xml:space="preserve">                                                           </w:t>
      </w:r>
      <w:r>
        <w:rPr>
          <w:rFonts w:hint="eastAsia" w:ascii="Times New Roman" w:hAnsi="Times New Roman" w:cs="Times New Roman"/>
          <w:b/>
          <w:sz w:val="21"/>
          <w:lang w:eastAsia="zh-CN"/>
        </w:rPr>
        <w:t xml:space="preserve"> </w:t>
      </w:r>
      <w:r>
        <w:rPr>
          <w:rFonts w:ascii="Times New Roman" w:hAnsi="Times New Roman" w:cs="Times New Roman"/>
          <w:bCs/>
          <w:sz w:val="21"/>
          <w:lang w:eastAsia="zh-CN"/>
        </w:rPr>
        <w:t xml:space="preserve">  </w:t>
      </w:r>
      <w:r>
        <w:rPr>
          <w:rFonts w:ascii="Times New Roman" w:hAnsi="Times New Roman" w:cs="Times New Roman"/>
          <w:b/>
          <w:sz w:val="28"/>
          <w:szCs w:val="28"/>
          <w:lang w:eastAsia="zh-CN"/>
        </w:rPr>
        <w:t xml:space="preserve"> </w:t>
      </w:r>
      <w:r>
        <w:rPr>
          <w:rFonts w:hint="eastAsia" w:ascii="Times New Roman" w:hAnsi="Times New Roman" w:cs="Times New Roman"/>
          <w:b/>
          <w:sz w:val="28"/>
          <w:szCs w:val="28"/>
          <w:lang w:eastAsia="zh-CN"/>
        </w:rPr>
        <w:t xml:space="preserve">            </w:t>
      </w:r>
    </w:p>
    <w:p w14:paraId="49389D1B">
      <w:pPr>
        <w:pStyle w:val="24"/>
        <w:spacing w:line="360" w:lineRule="auto"/>
        <w:ind w:firstLine="440"/>
        <w:rPr>
          <w:rFonts w:ascii="Times New Roman" w:hAnsi="Times New Roman" w:cs="Times New Roman"/>
          <w:sz w:val="21"/>
          <w:lang w:eastAsia="zh-CN"/>
        </w:rPr>
      </w:pPr>
      <w:r>
        <w:rPr>
          <w:rFonts w:ascii="Times New Roman" w:hAnsi="Times New Roman" w:cs="Times New Roman"/>
          <w:sz w:val="21"/>
          <w:lang w:eastAsia="zh-CN"/>
        </w:rPr>
        <w:t>本合同由甲方委托乙方就</w:t>
      </w:r>
      <w:r>
        <w:rPr>
          <w:rFonts w:ascii="Times New Roman" w:hAnsi="Times New Roman" w:cs="Times New Roman"/>
          <w:sz w:val="21"/>
          <w:u w:val="single"/>
          <w:lang w:eastAsia="zh-CN"/>
        </w:rPr>
        <w:t xml:space="preserve"> 南8#</w:t>
      </w:r>
      <w:r>
        <w:rPr>
          <w:rFonts w:hint="eastAsia" w:ascii="Times New Roman" w:hAnsi="Times New Roman" w:cs="Times New Roman"/>
          <w:sz w:val="21"/>
          <w:u w:val="single"/>
          <w:lang w:eastAsia="zh-CN"/>
        </w:rPr>
        <w:t>、</w:t>
      </w:r>
      <w:r>
        <w:rPr>
          <w:rFonts w:ascii="Times New Roman" w:hAnsi="Times New Roman" w:cs="Times New Roman"/>
          <w:sz w:val="21"/>
          <w:u w:val="single"/>
          <w:lang w:eastAsia="zh-CN"/>
        </w:rPr>
        <w:t>南</w:t>
      </w:r>
      <w:r>
        <w:rPr>
          <w:rFonts w:hint="eastAsia" w:ascii="Times New Roman" w:hAnsi="Times New Roman" w:cs="Times New Roman"/>
          <w:sz w:val="21"/>
          <w:u w:val="single"/>
          <w:lang w:val="en-US" w:eastAsia="zh-CN"/>
        </w:rPr>
        <w:t>9</w:t>
      </w:r>
      <w:r>
        <w:rPr>
          <w:rFonts w:ascii="Times New Roman" w:hAnsi="Times New Roman" w:cs="Times New Roman"/>
          <w:sz w:val="21"/>
          <w:u w:val="single"/>
          <w:lang w:eastAsia="zh-CN"/>
        </w:rPr>
        <w:t>#口岸病媒生物的监测与控制、卫生处理项目</w:t>
      </w:r>
      <w:r>
        <w:rPr>
          <w:rFonts w:ascii="Times New Roman" w:hAnsi="Times New Roman" w:cs="Times New Roman"/>
          <w:sz w:val="21"/>
          <w:lang w:eastAsia="zh-CN"/>
        </w:rPr>
        <w:t>进行技术服务及咨询，并支付技术服务及咨询报酬。双方经过平等协商，在真实、充分地表达各自意愿的基础上，根据《中华人民共和国民法典》的规定，达成如下协议，并由双方共同恪守。</w:t>
      </w:r>
    </w:p>
    <w:p w14:paraId="5BF30122">
      <w:pPr>
        <w:pStyle w:val="24"/>
        <w:spacing w:line="360" w:lineRule="auto"/>
        <w:ind w:firstLine="440"/>
        <w:rPr>
          <w:rFonts w:ascii="Times New Roman" w:hAnsi="Times New Roman" w:cs="Times New Roman"/>
          <w:sz w:val="21"/>
          <w:lang w:eastAsia="zh-CN"/>
        </w:rPr>
      </w:pPr>
      <w:r>
        <w:rPr>
          <w:rFonts w:ascii="Times New Roman" w:hAnsi="Times New Roman" w:cs="Times New Roman"/>
          <w:sz w:val="21"/>
          <w:lang w:eastAsia="zh-CN"/>
        </w:rPr>
        <w:t>第一条　乙方进行技术咨询的内容、要求、方式：</w:t>
      </w:r>
    </w:p>
    <w:p w14:paraId="716EC242">
      <w:pPr>
        <w:pStyle w:val="24"/>
        <w:spacing w:line="360" w:lineRule="auto"/>
        <w:rPr>
          <w:rFonts w:ascii="Times New Roman" w:hAnsi="Times New Roman" w:cs="Times New Roman"/>
          <w:sz w:val="21"/>
          <w:u w:val="single"/>
          <w:lang w:eastAsia="zh-CN"/>
        </w:rPr>
      </w:pPr>
      <w:r>
        <w:rPr>
          <w:rFonts w:ascii="Times New Roman" w:hAnsi="Times New Roman" w:cs="Times New Roman"/>
          <w:sz w:val="21"/>
          <w:lang w:eastAsia="zh-CN"/>
        </w:rPr>
        <w:t xml:space="preserve">    1</w:t>
      </w:r>
      <w:r>
        <w:rPr>
          <w:rFonts w:hint="eastAsia" w:ascii="Times New Roman" w:hAnsi="Times New Roman" w:cs="Times New Roman"/>
          <w:sz w:val="21"/>
          <w:lang w:eastAsia="zh-CN"/>
        </w:rPr>
        <w:t>、</w:t>
      </w:r>
      <w:r>
        <w:rPr>
          <w:rFonts w:ascii="Times New Roman" w:hAnsi="Times New Roman" w:cs="Times New Roman"/>
          <w:sz w:val="21"/>
          <w:lang w:eastAsia="zh-CN"/>
        </w:rPr>
        <w:t>技术服务及咨询内容：</w:t>
      </w:r>
      <w:r>
        <w:rPr>
          <w:rFonts w:ascii="Times New Roman" w:hAnsi="Times New Roman" w:cs="Times New Roman"/>
          <w:sz w:val="21"/>
          <w:u w:val="single"/>
          <w:lang w:eastAsia="zh-CN"/>
        </w:rPr>
        <w:t xml:space="preserve"> 口岸病媒生物的监测与控制、卫生处理 </w:t>
      </w:r>
    </w:p>
    <w:p w14:paraId="08F84FF7">
      <w:pPr>
        <w:spacing w:line="360" w:lineRule="auto"/>
        <w:ind w:firstLine="210" w:firstLineChars="100"/>
        <w:rPr>
          <w:rFonts w:ascii="Times New Roman" w:hAnsi="Times New Roman" w:cs="Times New Roman"/>
          <w:color w:val="FF0000"/>
          <w:sz w:val="21"/>
          <w:szCs w:val="21"/>
          <w:highlight w:val="yellow"/>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技术服务及咨询要求：</w:t>
      </w:r>
      <w:r>
        <w:rPr>
          <w:rFonts w:ascii="Times New Roman" w:hAnsi="Times New Roman" w:cs="Times New Roman"/>
          <w:sz w:val="21"/>
          <w:szCs w:val="21"/>
          <w:u w:val="single"/>
          <w:lang w:eastAsia="zh-CN"/>
        </w:rPr>
        <w:t>配合业主进行口岸核心能力相关要求的建设，确保服务内容符合海关总关/总署验收标准，直至通过海关总关/总署验收。</w:t>
      </w:r>
    </w:p>
    <w:p w14:paraId="140F4EC4">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第二条 乙方按照下列要求进行本合同项目的技术咨询工作：</w:t>
      </w:r>
    </w:p>
    <w:p w14:paraId="497646A2">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1</w:t>
      </w:r>
      <w:r>
        <w:rPr>
          <w:rFonts w:hint="eastAsia" w:ascii="Times New Roman" w:hAnsi="Times New Roman" w:cs="Times New Roman"/>
          <w:sz w:val="21"/>
          <w:lang w:eastAsia="zh-CN"/>
        </w:rPr>
        <w:t>、</w:t>
      </w:r>
      <w:r>
        <w:rPr>
          <w:rFonts w:ascii="Times New Roman" w:hAnsi="Times New Roman" w:cs="Times New Roman"/>
          <w:sz w:val="21"/>
          <w:lang w:eastAsia="zh-CN"/>
        </w:rPr>
        <w:t>技术服务及咨询地点：</w:t>
      </w:r>
      <w:r>
        <w:rPr>
          <w:rFonts w:ascii="Times New Roman" w:hAnsi="Times New Roman" w:cs="Times New Roman"/>
          <w:sz w:val="21"/>
          <w:u w:val="single"/>
          <w:lang w:eastAsia="zh-CN"/>
        </w:rPr>
        <w:t xml:space="preserve"> 翔鹭码头投资管理（漳州）有限公司南</w:t>
      </w:r>
      <w:bookmarkStart w:id="3" w:name="_GoBack"/>
      <w:r>
        <w:rPr>
          <w:rFonts w:ascii="Times New Roman" w:hAnsi="Times New Roman" w:cs="Times New Roman"/>
          <w:sz w:val="21"/>
          <w:u w:val="single"/>
          <w:lang w:eastAsia="zh-CN"/>
        </w:rPr>
        <w:t>8#</w:t>
      </w:r>
      <w:bookmarkEnd w:id="3"/>
      <w:r>
        <w:rPr>
          <w:rFonts w:ascii="Times New Roman" w:hAnsi="Times New Roman" w:cs="Times New Roman"/>
          <w:sz w:val="21"/>
          <w:u w:val="single"/>
          <w:lang w:eastAsia="zh-CN"/>
        </w:rPr>
        <w:t xml:space="preserve">泊位口岸开放所属区域，包含但不限于机房、办公、餐饮区域，室外环境、仓库、卫生间等。 </w:t>
      </w:r>
    </w:p>
    <w:p w14:paraId="4EF21D72">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2</w:t>
      </w:r>
      <w:r>
        <w:rPr>
          <w:rFonts w:hint="eastAsia" w:ascii="Times New Roman" w:hAnsi="Times New Roman" w:cs="Times New Roman"/>
          <w:sz w:val="21"/>
          <w:lang w:eastAsia="zh-CN"/>
        </w:rPr>
        <w:t>、</w:t>
      </w:r>
      <w:r>
        <w:rPr>
          <w:rFonts w:ascii="Times New Roman" w:hAnsi="Times New Roman" w:cs="Times New Roman"/>
          <w:sz w:val="21"/>
          <w:lang w:eastAsia="zh-CN"/>
        </w:rPr>
        <w:t>技术服务及咨询期限：</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自2025年8月1日至2025年7月31日止</w:t>
      </w:r>
      <w:r>
        <w:rPr>
          <w:rFonts w:ascii="Times New Roman" w:hAnsi="Times New Roman" w:cs="Times New Roman"/>
          <w:sz w:val="21"/>
          <w:u w:val="single"/>
          <w:lang w:eastAsia="zh-CN"/>
        </w:rPr>
        <w:t xml:space="preserve">     </w:t>
      </w:r>
    </w:p>
    <w:p w14:paraId="664BD7FD">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3</w:t>
      </w:r>
      <w:r>
        <w:rPr>
          <w:rFonts w:hint="eastAsia" w:ascii="Times New Roman" w:hAnsi="Times New Roman" w:cs="Times New Roman"/>
          <w:sz w:val="21"/>
          <w:lang w:eastAsia="zh-CN"/>
        </w:rPr>
        <w:t>、</w:t>
      </w:r>
      <w:r>
        <w:rPr>
          <w:rFonts w:ascii="Times New Roman" w:hAnsi="Times New Roman" w:cs="Times New Roman"/>
          <w:sz w:val="21"/>
          <w:lang w:eastAsia="zh-CN"/>
        </w:rPr>
        <w:t>技术服务及咨询进度：</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自2025年8月1日至2025年7月31日止</w:t>
      </w:r>
      <w:r>
        <w:rPr>
          <w:rFonts w:ascii="Times New Roman" w:hAnsi="Times New Roman" w:cs="Times New Roman"/>
          <w:sz w:val="21"/>
          <w:u w:val="single"/>
          <w:lang w:eastAsia="zh-CN"/>
        </w:rPr>
        <w:t xml:space="preserve">         </w:t>
      </w:r>
    </w:p>
    <w:p w14:paraId="39464A09">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4、技术服务及咨询质量要求：</w:t>
      </w:r>
      <w:r>
        <w:rPr>
          <w:rFonts w:ascii="Times New Roman" w:hAnsi="Times New Roman" w:cs="Times New Roman"/>
          <w:sz w:val="21"/>
          <w:u w:val="single"/>
          <w:lang w:eastAsia="zh-CN"/>
        </w:rPr>
        <w:t xml:space="preserve">    通过海关口岸核心能力建设      </w:t>
      </w:r>
    </w:p>
    <w:p w14:paraId="7DC93185">
      <w:pPr>
        <w:pStyle w:val="24"/>
        <w:spacing w:line="360" w:lineRule="auto"/>
        <w:ind w:firstLine="210" w:firstLineChars="100"/>
        <w:rPr>
          <w:rFonts w:ascii="Times New Roman" w:hAnsi="Times New Roman" w:cs="Times New Roman"/>
          <w:sz w:val="21"/>
          <w:lang w:eastAsia="zh-CN"/>
        </w:rPr>
      </w:pPr>
      <w:r>
        <w:rPr>
          <w:rFonts w:ascii="Times New Roman" w:hAnsi="Times New Roman" w:cs="Times New Roman"/>
          <w:sz w:val="21"/>
          <w:lang w:eastAsia="zh-CN"/>
        </w:rPr>
        <w:t>5、技术服务及咨询质量期限要求：</w:t>
      </w:r>
      <w:r>
        <w:rPr>
          <w:rFonts w:ascii="Times New Roman" w:hAnsi="Times New Roman" w:cs="Times New Roman"/>
          <w:sz w:val="21"/>
          <w:u w:val="single"/>
          <w:lang w:eastAsia="zh-CN"/>
        </w:rPr>
        <w:t xml:space="preserve">     长期                                </w:t>
      </w:r>
    </w:p>
    <w:p w14:paraId="463D2B26">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第三条 为保证乙方有效进行技术咨询工作，甲方应当向乙方提供下列协作事项：</w:t>
      </w:r>
    </w:p>
    <w:p w14:paraId="04A6C3D7">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提供技术资料：</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eastAsia="zh-CN"/>
        </w:rPr>
        <w:t>书面</w:t>
      </w:r>
      <w:r>
        <w:rPr>
          <w:rFonts w:ascii="Times New Roman" w:hAnsi="Times New Roman" w:cs="Times New Roman"/>
          <w:sz w:val="21"/>
          <w:u w:val="single"/>
          <w:lang w:eastAsia="zh-CN"/>
        </w:rPr>
        <w:t xml:space="preserve">工作成果                               </w:t>
      </w:r>
      <w:r>
        <w:rPr>
          <w:rFonts w:ascii="Times New Roman" w:hAnsi="Times New Roman" w:cs="Times New Roman"/>
          <w:sz w:val="21"/>
          <w:lang w:eastAsia="zh-CN"/>
        </w:rPr>
        <w:t xml:space="preserve"> </w:t>
      </w:r>
    </w:p>
    <w:p w14:paraId="0D6486E7">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提供工作条件：</w:t>
      </w:r>
      <w:r>
        <w:rPr>
          <w:rFonts w:ascii="Times New Roman" w:hAnsi="Times New Roman" w:cs="Times New Roman"/>
          <w:sz w:val="21"/>
          <w:u w:val="single"/>
          <w:lang w:eastAsia="zh-CN"/>
        </w:rPr>
        <w:t xml:space="preserve">   无                                           </w:t>
      </w:r>
    </w:p>
    <w:p w14:paraId="34EC70FE">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其他：</w:t>
      </w:r>
      <w:r>
        <w:rPr>
          <w:rFonts w:ascii="Times New Roman" w:hAnsi="Times New Roman" w:cs="Times New Roman"/>
          <w:sz w:val="21"/>
          <w:u w:val="single"/>
          <w:lang w:eastAsia="zh-CN"/>
        </w:rPr>
        <w:t xml:space="preserve">              无                                </w:t>
      </w:r>
    </w:p>
    <w:p w14:paraId="707CB9A2">
      <w:pPr>
        <w:pStyle w:val="24"/>
        <w:spacing w:line="360" w:lineRule="auto"/>
        <w:ind w:firstLine="420" w:firstLineChars="200"/>
        <w:rPr>
          <w:rFonts w:ascii="Times New Roman" w:hAnsi="Times New Roman" w:cs="Times New Roman"/>
          <w:sz w:val="21"/>
          <w:u w:val="single"/>
          <w:lang w:eastAsia="zh-CN"/>
        </w:rPr>
      </w:pPr>
      <w:r>
        <w:rPr>
          <w:rFonts w:ascii="Times New Roman" w:hAnsi="Times New Roman" w:cs="Times New Roman"/>
          <w:sz w:val="21"/>
          <w:lang w:eastAsia="zh-CN"/>
        </w:rPr>
        <w:t>甲方提供上述协作事项的时间及方式：</w:t>
      </w:r>
      <w:r>
        <w:rPr>
          <w:rFonts w:ascii="Times New Roman" w:hAnsi="Times New Roman" w:cs="Times New Roman"/>
          <w:sz w:val="21"/>
          <w:u w:val="single"/>
          <w:lang w:eastAsia="zh-CN"/>
        </w:rPr>
        <w:t xml:space="preserve">    以文件形式和发票一起提供          </w:t>
      </w:r>
    </w:p>
    <w:p w14:paraId="0C18A956">
      <w:pPr>
        <w:pStyle w:val="24"/>
        <w:spacing w:line="360" w:lineRule="auto"/>
        <w:ind w:firstLine="211" w:firstLineChars="100"/>
        <w:rPr>
          <w:rFonts w:ascii="Times New Roman" w:hAnsi="Times New Roman" w:cs="Times New Roman"/>
          <w:b/>
          <w:bCs/>
          <w:sz w:val="21"/>
          <w:lang w:eastAsia="zh-CN"/>
        </w:rPr>
      </w:pPr>
      <w:r>
        <w:rPr>
          <w:rFonts w:ascii="Times New Roman" w:hAnsi="Times New Roman" w:cs="Times New Roman"/>
          <w:b/>
          <w:bCs/>
          <w:sz w:val="21"/>
          <w:lang w:eastAsia="zh-CN"/>
        </w:rPr>
        <w:t>第四条 甲方向乙方支付技术服务及咨询报酬及支付方式为：</w:t>
      </w:r>
    </w:p>
    <w:p w14:paraId="3B9E9B32">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w:t>
      </w:r>
      <w:r>
        <w:rPr>
          <w:rFonts w:hint="eastAsia" w:ascii="Times New Roman" w:hAnsi="Times New Roman" w:cs="Times New Roman"/>
          <w:sz w:val="21"/>
          <w:lang w:eastAsia="zh-CN"/>
        </w:rPr>
        <w:t>、</w:t>
      </w:r>
      <w:r>
        <w:rPr>
          <w:rFonts w:ascii="Times New Roman" w:hAnsi="Times New Roman" w:cs="Times New Roman"/>
          <w:sz w:val="21"/>
          <w:lang w:eastAsia="zh-CN"/>
        </w:rPr>
        <w:t>技术服务及咨询报酬</w:t>
      </w:r>
      <w:r>
        <w:rPr>
          <w:rFonts w:hint="eastAsia" w:ascii="Times New Roman" w:hAnsi="Times New Roman" w:cs="Times New Roman"/>
          <w:sz w:val="21"/>
          <w:lang w:eastAsia="zh-CN"/>
        </w:rPr>
        <w:t>（壹年）</w:t>
      </w:r>
      <w:r>
        <w:rPr>
          <w:rFonts w:ascii="Times New Roman" w:hAnsi="Times New Roman" w:cs="Times New Roman"/>
          <w:sz w:val="21"/>
          <w:lang w:eastAsia="zh-CN"/>
        </w:rPr>
        <w:t>总价款为：</w:t>
      </w:r>
      <w:r>
        <w:rPr>
          <w:rFonts w:ascii="Times New Roman" w:hAnsi="Times New Roman" w:cs="Times New Roman"/>
          <w:sz w:val="21"/>
          <w:u w:val="single"/>
          <w:lang w:eastAsia="zh-CN"/>
        </w:rPr>
        <w:t>¥</w:t>
      </w:r>
      <w:r>
        <w:rPr>
          <w:rFonts w:hint="eastAsia"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lang w:eastAsia="zh-CN"/>
        </w:rPr>
        <w:t>元（</w:t>
      </w:r>
      <w:r>
        <w:rPr>
          <w:rFonts w:ascii="Times New Roman" w:hAnsi="Times New Roman" w:cs="Times New Roman"/>
          <w:sz w:val="21"/>
          <w:highlight w:val="yellow"/>
          <w:lang w:eastAsia="zh-CN"/>
        </w:rPr>
        <w:t>含</w:t>
      </w:r>
      <w:r>
        <w:rPr>
          <w:rFonts w:hint="eastAsia" w:ascii="Times New Roman" w:hAnsi="Times New Roman" w:cs="Times New Roman"/>
          <w:sz w:val="21"/>
          <w:highlight w:val="yellow"/>
          <w:lang w:val="en-US" w:eastAsia="zh-CN"/>
        </w:rPr>
        <w:t xml:space="preserve">   </w:t>
      </w:r>
      <w:r>
        <w:rPr>
          <w:rFonts w:ascii="Times New Roman" w:hAnsi="Times New Roman" w:cs="Times New Roman"/>
          <w:sz w:val="21"/>
          <w:highlight w:val="yellow"/>
          <w:lang w:eastAsia="zh-CN"/>
        </w:rPr>
        <w:t>%增值税专用发票）</w:t>
      </w:r>
      <w:r>
        <w:rPr>
          <w:rFonts w:ascii="Times New Roman" w:hAnsi="Times New Roman" w:cs="Times New Roman"/>
          <w:sz w:val="21"/>
          <w:lang w:eastAsia="zh-CN"/>
        </w:rPr>
        <w:t>，未税总额为</w:t>
      </w:r>
      <w:r>
        <w:rPr>
          <w:rFonts w:ascii="Times New Roman" w:hAnsi="Times New Roman" w:cs="Times New Roman"/>
          <w:sz w:val="21"/>
          <w:u w:val="single"/>
          <w:lang w:eastAsia="zh-CN"/>
        </w:rPr>
        <w:t>¥</w:t>
      </w:r>
      <w:r>
        <w:rPr>
          <w:rFonts w:hint="eastAsia"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元</w:t>
      </w:r>
      <w:r>
        <w:rPr>
          <w:rFonts w:ascii="Times New Roman" w:hAnsi="Times New Roman" w:cs="Times New Roman"/>
          <w:sz w:val="21"/>
          <w:lang w:eastAsia="zh-CN"/>
        </w:rPr>
        <w:t>，税金为</w:t>
      </w:r>
      <w:r>
        <w:rPr>
          <w:rFonts w:ascii="Times New Roman" w:hAnsi="Times New Roman" w:cs="Times New Roman"/>
          <w:sz w:val="21"/>
          <w:u w:val="single"/>
          <w:lang w:eastAsia="zh-CN"/>
        </w:rPr>
        <w:t>¥</w:t>
      </w:r>
      <w:r>
        <w:rPr>
          <w:rFonts w:hint="eastAsia"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元</w:t>
      </w:r>
      <w:r>
        <w:rPr>
          <w:rFonts w:ascii="Times New Roman" w:hAnsi="Times New Roman" w:cs="Times New Roman"/>
          <w:sz w:val="21"/>
          <w:lang w:eastAsia="zh-CN"/>
        </w:rPr>
        <w:t>；若有尾差，以最终实际开票金额为准。</w:t>
      </w:r>
    </w:p>
    <w:p w14:paraId="6E7D893C">
      <w:pPr>
        <w:pStyle w:val="24"/>
        <w:spacing w:line="360" w:lineRule="auto"/>
        <w:rPr>
          <w:rFonts w:ascii="Times New Roman" w:hAnsi="Times New Roman" w:cs="Times New Roman"/>
          <w:sz w:val="21"/>
          <w:lang w:eastAsia="zh-CN"/>
        </w:rPr>
      </w:pPr>
      <w:r>
        <w:rPr>
          <w:rFonts w:ascii="Times New Roman" w:hAnsi="Times New Roman" w:cs="Times New Roman"/>
          <w:sz w:val="21"/>
          <w:lang w:eastAsia="zh-CN"/>
        </w:rPr>
        <w:t xml:space="preserve">     具体支付方式和时间分配如下：</w:t>
      </w:r>
    </w:p>
    <w:p w14:paraId="428B3803">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（1）每半年支付一次，乙方按照合同约定提供完整的服务，配合业主进行口岸核心能力相关要求的建设，确保服务内容符合海关总关/总署验收标准，甲方收到乙方等额发票后</w:t>
      </w:r>
      <w:r>
        <w:rPr>
          <w:rFonts w:ascii="Times New Roman" w:hAnsi="Times New Roman" w:cs="Times New Roman"/>
          <w:sz w:val="21"/>
          <w:u w:val="single"/>
          <w:lang w:eastAsia="zh-CN"/>
        </w:rPr>
        <w:t xml:space="preserve"> 30 </w:t>
      </w:r>
      <w:r>
        <w:rPr>
          <w:rFonts w:ascii="Times New Roman" w:hAnsi="Times New Roman" w:cs="Times New Roman"/>
          <w:sz w:val="21"/>
          <w:lang w:eastAsia="zh-CN"/>
        </w:rPr>
        <w:t>个工作日内，甲方按半年支付合同总价款的</w:t>
      </w:r>
      <w:r>
        <w:rPr>
          <w:rFonts w:ascii="Times New Roman" w:hAnsi="Times New Roman" w:cs="Times New Roman"/>
          <w:sz w:val="21"/>
          <w:u w:val="single"/>
          <w:lang w:eastAsia="zh-CN"/>
        </w:rPr>
        <w:t xml:space="preserve"> 50 </w:t>
      </w:r>
      <w:r>
        <w:rPr>
          <w:rFonts w:ascii="Times New Roman" w:hAnsi="Times New Roman" w:cs="Times New Roman"/>
          <w:sz w:val="21"/>
          <w:lang w:eastAsia="zh-CN"/>
        </w:rPr>
        <w:t>%，即人民币</w:t>
      </w:r>
      <w:r>
        <w:rPr>
          <w:rFonts w:hint="eastAsia" w:ascii="Times New Roman" w:hAnsi="Times New Roman" w:cs="Times New Roman"/>
          <w:sz w:val="21"/>
          <w:u w:val="single"/>
          <w:lang w:val="en-US" w:eastAsia="zh-CN"/>
        </w:rPr>
        <w:t xml:space="preserve">                元</w:t>
      </w:r>
      <w:r>
        <w:rPr>
          <w:rFonts w:ascii="Times New Roman" w:hAnsi="Times New Roman" w:cs="Times New Roman"/>
          <w:sz w:val="21"/>
          <w:lang w:eastAsia="zh-CN"/>
        </w:rPr>
        <w:t>整（</w:t>
      </w:r>
      <w:r>
        <w:rPr>
          <w:rFonts w:ascii="Times New Roman" w:hAnsi="Times New Roman" w:cs="Times New Roman"/>
          <w:sz w:val="21"/>
          <w:u w:val="single"/>
          <w:lang w:eastAsia="zh-CN"/>
        </w:rPr>
        <w:t>¥</w:t>
      </w:r>
      <w:r>
        <w:rPr>
          <w:rFonts w:hint="eastAsia" w:ascii="Times New Roman" w:hAnsi="Times New Roman" w:cs="Times New Roman"/>
          <w:sz w:val="21"/>
          <w:u w:val="single"/>
          <w:lang w:val="en-US" w:eastAsia="zh-CN"/>
        </w:rPr>
        <w:t xml:space="preserve">                   </w:t>
      </w:r>
      <w:r>
        <w:rPr>
          <w:rFonts w:ascii="Times New Roman" w:hAnsi="Times New Roman" w:cs="Times New Roman"/>
          <w:sz w:val="21"/>
          <w:lang w:eastAsia="zh-CN"/>
        </w:rPr>
        <w:t>元）（含</w:t>
      </w:r>
      <w:r>
        <w:rPr>
          <w:rFonts w:hint="eastAsia" w:ascii="Times New Roman" w:hAnsi="Times New Roman" w:cs="Times New Roman"/>
          <w:sz w:val="21"/>
          <w:lang w:val="en-US" w:eastAsia="zh-CN"/>
        </w:rPr>
        <w:t xml:space="preserve">   </w:t>
      </w:r>
      <w:r>
        <w:rPr>
          <w:rFonts w:ascii="Times New Roman" w:hAnsi="Times New Roman" w:cs="Times New Roman"/>
          <w:sz w:val="21"/>
          <w:lang w:eastAsia="zh-CN"/>
        </w:rPr>
        <w:t>%增值税专用发票），未税总额为</w:t>
      </w:r>
      <w:r>
        <w:rPr>
          <w:rFonts w:ascii="Times New Roman" w:hAnsi="Times New Roman" w:cs="Times New Roman"/>
          <w:sz w:val="21"/>
          <w:u w:val="single"/>
          <w:lang w:eastAsia="zh-CN"/>
        </w:rPr>
        <w:t>¥</w:t>
      </w:r>
      <w:r>
        <w:rPr>
          <w:rFonts w:hint="eastAsia"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元</w:t>
      </w:r>
      <w:r>
        <w:rPr>
          <w:rFonts w:ascii="Times New Roman" w:hAnsi="Times New Roman" w:cs="Times New Roman"/>
          <w:sz w:val="21"/>
          <w:lang w:eastAsia="zh-CN"/>
        </w:rPr>
        <w:t>，税金为</w:t>
      </w:r>
      <w:r>
        <w:rPr>
          <w:rFonts w:ascii="Times New Roman" w:hAnsi="Times New Roman" w:cs="Times New Roman"/>
          <w:sz w:val="21"/>
          <w:u w:val="single"/>
          <w:lang w:eastAsia="zh-CN"/>
        </w:rPr>
        <w:t>¥</w:t>
      </w:r>
      <w:r>
        <w:rPr>
          <w:rFonts w:hint="eastAsia"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元</w:t>
      </w:r>
      <w:r>
        <w:rPr>
          <w:rFonts w:ascii="Times New Roman" w:hAnsi="Times New Roman" w:cs="Times New Roman"/>
          <w:sz w:val="21"/>
          <w:lang w:eastAsia="zh-CN"/>
        </w:rPr>
        <w:t>；</w:t>
      </w:r>
      <w:r>
        <w:rPr>
          <w:rFonts w:ascii="Times New Roman" w:hAnsi="Times New Roman" w:cs="Times New Roman"/>
          <w:b/>
          <w:bCs/>
          <w:sz w:val="21"/>
          <w:lang w:eastAsia="zh-CN"/>
        </w:rPr>
        <w:t>若有尾差，以最终实际开票金额为准。</w:t>
      </w:r>
    </w:p>
    <w:p w14:paraId="5F9372F9">
      <w:pPr>
        <w:pStyle w:val="24"/>
        <w:spacing w:line="360" w:lineRule="auto"/>
        <w:ind w:firstLine="315" w:firstLineChars="150"/>
        <w:rPr>
          <w:rFonts w:ascii="Times New Roman" w:hAnsi="Times New Roman" w:cs="Times New Roman"/>
          <w:sz w:val="21"/>
          <w:lang w:eastAsia="zh-CN"/>
        </w:rPr>
      </w:pPr>
      <w:r>
        <w:rPr>
          <w:rFonts w:ascii="Times New Roman" w:hAnsi="Times New Roman" w:cs="Times New Roman"/>
          <w:sz w:val="21"/>
          <w:lang w:eastAsia="zh-CN"/>
        </w:rPr>
        <w:t>（2）乙方应根据合同约定进度，在甲方付款期限届满</w:t>
      </w:r>
      <w:r>
        <w:rPr>
          <w:rFonts w:ascii="Times New Roman" w:hAnsi="Times New Roman" w:cs="Times New Roman"/>
          <w:sz w:val="21"/>
          <w:u w:val="single"/>
          <w:lang w:eastAsia="zh-CN"/>
        </w:rPr>
        <w:t xml:space="preserve"> 30 </w:t>
      </w:r>
      <w:r>
        <w:rPr>
          <w:rFonts w:ascii="Times New Roman" w:hAnsi="Times New Roman" w:cs="Times New Roman"/>
          <w:sz w:val="21"/>
          <w:lang w:eastAsia="zh-CN"/>
        </w:rPr>
        <w:t>日前提供合法、有效的增值税专用发票，否则甲方有权顺延付款。上述技术服务及咨询报酬直接支付至乙方指定的下列账号：</w:t>
      </w:r>
    </w:p>
    <w:p w14:paraId="400D12B1">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乙方开户银行：</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 xml:space="preserve">                    </w:t>
      </w:r>
    </w:p>
    <w:p w14:paraId="3DC5B332">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公司名称：</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 xml:space="preserve">               </w:t>
      </w:r>
    </w:p>
    <w:p w14:paraId="3A3B181B">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账号：</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 xml:space="preserve">                </w:t>
      </w:r>
    </w:p>
    <w:p w14:paraId="38F55517">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第五条 双方确定因履行本合同应遵守的保密义务如下：</w:t>
      </w:r>
    </w:p>
    <w:p w14:paraId="6F327F2A">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甲方：</w:t>
      </w:r>
    </w:p>
    <w:p w14:paraId="22597D17">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w:t>
      </w:r>
      <w:r>
        <w:rPr>
          <w:rFonts w:hint="eastAsia" w:ascii="Times New Roman" w:hAnsi="Times New Roman" w:cs="Times New Roman"/>
          <w:sz w:val="21"/>
          <w:lang w:eastAsia="zh-CN"/>
        </w:rPr>
        <w:t>、</w:t>
      </w:r>
      <w:r>
        <w:rPr>
          <w:rFonts w:ascii="Times New Roman" w:hAnsi="Times New Roman" w:cs="Times New Roman"/>
          <w:sz w:val="21"/>
          <w:lang w:eastAsia="zh-CN"/>
        </w:rPr>
        <w:t>保密内容：乙方提供的资料，服务咨询报告及该服务咨询报告的附件资料除外。</w:t>
      </w:r>
    </w:p>
    <w:p w14:paraId="096F7A12">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eastAsia="zh-CN"/>
        </w:rPr>
        <w:t>、</w:t>
      </w:r>
      <w:r>
        <w:rPr>
          <w:rFonts w:ascii="Times New Roman" w:hAnsi="Times New Roman" w:cs="Times New Roman"/>
          <w:sz w:val="21"/>
          <w:lang w:eastAsia="zh-CN"/>
        </w:rPr>
        <w:t xml:space="preserve">涉密人员范围：甲方及甲方工作人员 </w:t>
      </w:r>
    </w:p>
    <w:p w14:paraId="49F3C134">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3</w:t>
      </w:r>
      <w:r>
        <w:rPr>
          <w:rFonts w:hint="eastAsia" w:ascii="Times New Roman" w:hAnsi="Times New Roman" w:cs="Times New Roman"/>
          <w:sz w:val="21"/>
          <w:lang w:eastAsia="zh-CN"/>
        </w:rPr>
        <w:t>、</w:t>
      </w:r>
      <w:r>
        <w:rPr>
          <w:rFonts w:ascii="Times New Roman" w:hAnsi="Times New Roman" w:cs="Times New Roman"/>
          <w:sz w:val="21"/>
          <w:lang w:eastAsia="zh-CN"/>
        </w:rPr>
        <w:t xml:space="preserve">泄密责任：  按本合同约定及国家有关保密法的规定执行 </w:t>
      </w:r>
    </w:p>
    <w:p w14:paraId="4C583505">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乙方：</w:t>
      </w:r>
    </w:p>
    <w:p w14:paraId="528F9C3C">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w:t>
      </w:r>
      <w:r>
        <w:rPr>
          <w:rFonts w:hint="eastAsia" w:ascii="Times New Roman" w:hAnsi="Times New Roman" w:cs="Times New Roman"/>
          <w:sz w:val="21"/>
          <w:lang w:eastAsia="zh-CN"/>
        </w:rPr>
        <w:t>、</w:t>
      </w:r>
      <w:r>
        <w:rPr>
          <w:rFonts w:ascii="Times New Roman" w:hAnsi="Times New Roman" w:cs="Times New Roman"/>
          <w:sz w:val="21"/>
          <w:lang w:eastAsia="zh-CN"/>
        </w:rPr>
        <w:t xml:space="preserve">保密内容：甲方提供的资料以及乙方在提供本合同约定服务过程中知悉的甲方技术信息、经营信息、生产工艺、操作流程等。 </w:t>
      </w:r>
    </w:p>
    <w:p w14:paraId="4BE9C9D1">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eastAsia="zh-CN"/>
        </w:rPr>
        <w:t>、</w:t>
      </w:r>
      <w:r>
        <w:rPr>
          <w:rFonts w:ascii="Times New Roman" w:hAnsi="Times New Roman" w:cs="Times New Roman"/>
          <w:sz w:val="21"/>
          <w:lang w:eastAsia="zh-CN"/>
        </w:rPr>
        <w:t xml:space="preserve">涉密人员范围：乙方及乙方工作人员 </w:t>
      </w:r>
    </w:p>
    <w:p w14:paraId="61FB0854">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3</w:t>
      </w:r>
      <w:r>
        <w:rPr>
          <w:rFonts w:hint="eastAsia" w:ascii="Times New Roman" w:hAnsi="Times New Roman" w:cs="Times New Roman"/>
          <w:sz w:val="21"/>
          <w:lang w:eastAsia="zh-CN"/>
        </w:rPr>
        <w:t>、</w:t>
      </w:r>
      <w:r>
        <w:rPr>
          <w:rFonts w:ascii="Times New Roman" w:hAnsi="Times New Roman" w:cs="Times New Roman"/>
          <w:sz w:val="21"/>
          <w:lang w:eastAsia="zh-CN"/>
        </w:rPr>
        <w:t xml:space="preserve">泄密责任：按本合同约定及国家有关保密法的规定执行 </w:t>
      </w:r>
    </w:p>
    <w:p w14:paraId="440FD46D">
      <w:pPr>
        <w:spacing w:line="360" w:lineRule="auto"/>
        <w:ind w:firstLine="422" w:firstLineChars="200"/>
        <w:rPr>
          <w:rFonts w:ascii="Times New Roman" w:hAnsi="Times New Roman" w:cs="Times New Roman"/>
          <w:b/>
          <w:bCs/>
          <w:sz w:val="21"/>
          <w:szCs w:val="21"/>
          <w:lang w:eastAsia="zh-CN"/>
        </w:rPr>
      </w:pPr>
      <w:r>
        <w:rPr>
          <w:rFonts w:ascii="Times New Roman" w:hAnsi="Times New Roman" w:cs="Times New Roman"/>
          <w:b/>
          <w:bCs/>
          <w:sz w:val="21"/>
          <w:szCs w:val="21"/>
          <w:lang w:eastAsia="zh-CN"/>
        </w:rPr>
        <w:t>第六条：服务内容及要求：</w:t>
      </w:r>
    </w:p>
    <w:p w14:paraId="605076A4">
      <w:pPr>
        <w:spacing w:line="360" w:lineRule="auto"/>
        <w:ind w:left="650" w:leftChars="200" w:hanging="210" w:hangingChars="10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服务范围为翔鹭码头投资管理（漳州）有限公司南8#泊位口岸开放所属区域，包含但不限于机房、办公、餐饮区域，室外环境、仓库、卫生间等。</w:t>
      </w:r>
    </w:p>
    <w:p w14:paraId="3623A46E">
      <w:pPr>
        <w:spacing w:line="360" w:lineRule="auto"/>
        <w:ind w:left="650" w:leftChars="200" w:hanging="210" w:hangingChars="10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配合业主进行口岸核心能力相关要求的建设，确保服务内容符合海关总关/总署验收标准，直至通过海关总关/总署验收。</w:t>
      </w:r>
    </w:p>
    <w:p w14:paraId="367EEFA0">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口岸区域内的病媒生物控制（针对鼠、 蚊、 蝇、 蠊）</w:t>
      </w:r>
    </w:p>
    <w:p w14:paraId="748278FA">
      <w:pPr>
        <w:pStyle w:val="70"/>
        <w:spacing w:before="0" w:line="360" w:lineRule="auto"/>
        <w:ind w:left="598" w:firstLine="0"/>
        <w:rPr>
          <w:rFonts w:ascii="Times New Roman" w:hAnsi="Times New Roman" w:cs="Times New Roman"/>
          <w:sz w:val="21"/>
          <w:szCs w:val="21"/>
          <w:lang w:eastAsia="zh-CN"/>
        </w:rPr>
      </w:pPr>
      <w:r>
        <w:rPr>
          <w:rFonts w:ascii="Times New Roman" w:hAnsi="Times New Roman" w:cs="Times New Roman"/>
          <w:sz w:val="21"/>
          <w:szCs w:val="21"/>
          <w:lang w:eastAsia="zh-CN"/>
        </w:rPr>
        <w:t>3.1 制定口岸病媒生物监测和控制方案，控制区域覆盖全面；</w:t>
      </w:r>
    </w:p>
    <w:p w14:paraId="2C14B614">
      <w:pPr>
        <w:pStyle w:val="70"/>
        <w:spacing w:before="0" w:line="360" w:lineRule="auto"/>
        <w:ind w:left="598" w:firstLine="0"/>
        <w:rPr>
          <w:rFonts w:ascii="Times New Roman" w:hAnsi="Times New Roman" w:cs="Times New Roman"/>
          <w:sz w:val="21"/>
          <w:szCs w:val="21"/>
          <w:lang w:eastAsia="zh-CN"/>
        </w:rPr>
      </w:pPr>
      <w:r>
        <w:rPr>
          <w:rFonts w:ascii="Times New Roman" w:hAnsi="Times New Roman" w:cs="Times New Roman"/>
          <w:sz w:val="21"/>
          <w:szCs w:val="21"/>
          <w:lang w:eastAsia="zh-CN"/>
        </w:rPr>
        <w:t>3.2 控制计划应符合综合治理原则， 对监测发现密度、 数量、种群等有超标或其他异常情况的， 应当及时组织开展病媒生物控制工作，并开展效果评价。</w:t>
      </w:r>
    </w:p>
    <w:p w14:paraId="327B69F3">
      <w:pPr>
        <w:pStyle w:val="70"/>
        <w:spacing w:before="0" w:line="360" w:lineRule="auto"/>
        <w:ind w:left="598" w:firstLine="0"/>
        <w:rPr>
          <w:rFonts w:ascii="Times New Roman" w:hAnsi="Times New Roman" w:cs="Times New Roman"/>
          <w:sz w:val="21"/>
          <w:szCs w:val="21"/>
          <w:lang w:eastAsia="zh-CN"/>
        </w:rPr>
      </w:pPr>
      <w:r>
        <w:rPr>
          <w:rFonts w:ascii="Times New Roman" w:hAnsi="Times New Roman" w:cs="Times New Roman"/>
          <w:sz w:val="21"/>
          <w:szCs w:val="21"/>
          <w:lang w:eastAsia="zh-CN"/>
        </w:rPr>
        <w:t>3.3 方案需海关认可、备案。</w:t>
      </w:r>
    </w:p>
    <w:p w14:paraId="7E36A881">
      <w:pPr>
        <w:pStyle w:val="70"/>
        <w:spacing w:before="0" w:line="360" w:lineRule="auto"/>
        <w:ind w:left="598" w:firstLine="0"/>
        <w:rPr>
          <w:rFonts w:ascii="Times New Roman" w:hAnsi="Times New Roman" w:cs="Times New Roman"/>
          <w:sz w:val="21"/>
          <w:szCs w:val="21"/>
          <w:lang w:eastAsia="zh-CN"/>
        </w:rPr>
      </w:pPr>
      <w:r>
        <w:rPr>
          <w:rFonts w:ascii="Times New Roman" w:hAnsi="Times New Roman" w:cs="Times New Roman"/>
          <w:sz w:val="21"/>
          <w:szCs w:val="21"/>
          <w:lang w:eastAsia="zh-CN"/>
        </w:rPr>
        <w:t>3.4 建立专业的病媒生物监测、控制队伍，有明细分工，定期开展病媒生物监测与控制的培训,并接受海关监督指导。</w:t>
      </w:r>
    </w:p>
    <w:p w14:paraId="3FB190F5">
      <w:pPr>
        <w:pStyle w:val="70"/>
        <w:spacing w:before="0" w:line="360" w:lineRule="auto"/>
        <w:ind w:left="0"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4</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卫生处理</w:t>
      </w:r>
    </w:p>
    <w:p w14:paraId="403FD875">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4.1 根据不同的卫生处理布控指令，服务单位将具体的实施方案报辖区隶属海关备案。</w:t>
      </w:r>
    </w:p>
    <w:p w14:paraId="6B69E95F">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4.2 卫生处理依据、指征和处理目的符合《出入境检疫处理管理工作规定》的要求。</w:t>
      </w:r>
    </w:p>
    <w:p w14:paraId="36434262">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4.3 具备完善的卫生处理工作制度，包括人员培训、药械使用、质量安全管理、效果评价等。</w:t>
      </w:r>
    </w:p>
    <w:p w14:paraId="527D6B22">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4.4 定期更新和修订卫生处理作业指导书。</w:t>
      </w:r>
    </w:p>
    <w:p w14:paraId="6A583E79">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4.5 卫生处理档案规范完整，有卫生处理原始记录、卫生处理报告单等。</w:t>
      </w:r>
    </w:p>
    <w:p w14:paraId="6ACD6AA6">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4.6 配备卫生处理需要的药品。没有过期药品，或有过期药品但单独存放并有销毁记录。</w:t>
      </w:r>
    </w:p>
    <w:p w14:paraId="02422883">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4.7 所有采购和使用的药品都有严格的出入库手续和台账记录，帐物相符。药品使用量应符合作业指导书或监管部门的要求，施药误差在允许范围内，药品使用量与原始记录和单据等相符。</w:t>
      </w:r>
    </w:p>
    <w:p w14:paraId="42D0B6BF">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4.8 免费提供害虫防范知识，卫生基础设施和防鼠防蝇设施改进的指导，该合同不包括码头基础设施的改造等工程类的相关费用。</w:t>
      </w:r>
    </w:p>
    <w:p w14:paraId="3B88F042">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4.9 提供灭鼠、灭蚊等业主所属公共区间防疫。</w:t>
      </w:r>
    </w:p>
    <w:p w14:paraId="7DAD6C6B">
      <w:pPr>
        <w:pStyle w:val="70"/>
        <w:tabs>
          <w:tab w:val="left" w:pos="312"/>
        </w:tabs>
        <w:spacing w:before="0" w:line="360" w:lineRule="auto"/>
        <w:ind w:left="420" w:firstLine="0"/>
        <w:rPr>
          <w:rFonts w:ascii="Times New Roman" w:hAnsi="Times New Roman" w:cs="Times New Roman"/>
          <w:sz w:val="21"/>
          <w:szCs w:val="21"/>
          <w:lang w:eastAsia="zh-CN"/>
        </w:rPr>
      </w:pPr>
      <w:r>
        <w:rPr>
          <w:rFonts w:ascii="Times New Roman" w:hAnsi="Times New Roman" w:cs="Times New Roman"/>
          <w:sz w:val="21"/>
          <w:szCs w:val="21"/>
          <w:lang w:eastAsia="zh-CN"/>
        </w:rPr>
        <w:t>4.10 如有政府的重要检查或有重大活动需要防制虫害时，乙方须及时赶到现场，进行处理。</w:t>
      </w:r>
    </w:p>
    <w:p w14:paraId="2C4CC7C2">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第七条 本合同的变更必须由双方协商一致，并以书面形式确定。</w:t>
      </w:r>
    </w:p>
    <w:p w14:paraId="504DCC6A">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第八条 双方确定，按以下标准和方式对乙方提交的技术咨询工作成果进行验收：</w:t>
      </w:r>
    </w:p>
    <w:p w14:paraId="1204B573">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1、乙方提交技术工作成果的形式：</w:t>
      </w:r>
      <w:r>
        <w:rPr>
          <w:rFonts w:ascii="Times New Roman" w:hAnsi="Times New Roman" w:cs="Times New Roman"/>
          <w:sz w:val="21"/>
          <w:u w:val="single"/>
          <w:lang w:eastAsia="zh-CN"/>
        </w:rPr>
        <w:t xml:space="preserve">   书面文件                             </w:t>
      </w:r>
    </w:p>
    <w:p w14:paraId="0978BC68">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2、技术工作成果的验收标准：</w:t>
      </w:r>
      <w:r>
        <w:rPr>
          <w:rFonts w:ascii="Times New Roman" w:hAnsi="Times New Roman" w:cs="Times New Roman"/>
          <w:sz w:val="21"/>
          <w:u w:val="single"/>
          <w:lang w:eastAsia="zh-CN"/>
        </w:rPr>
        <w:t xml:space="preserve">  依据《国际卫生条例（2005）》口岸公共卫生核心能力考核指引（水运口岸）之“口岸病媒生物的监测与控制”及“卫生处理”。 </w:t>
      </w:r>
    </w:p>
    <w:p w14:paraId="65657549">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3、验收地点：</w:t>
      </w:r>
      <w:r>
        <w:rPr>
          <w:rFonts w:ascii="Times New Roman" w:hAnsi="Times New Roman" w:cs="Times New Roman"/>
          <w:sz w:val="21"/>
          <w:u w:val="single"/>
          <w:lang w:eastAsia="zh-CN"/>
        </w:rPr>
        <w:t xml:space="preserve"> 翔鹭码头投资管理（漳州）有限公司南8#</w:t>
      </w:r>
      <w:r>
        <w:rPr>
          <w:rFonts w:hint="eastAsia" w:ascii="Times New Roman" w:hAnsi="Times New Roman" w:cs="Times New Roman"/>
          <w:sz w:val="21"/>
          <w:u w:val="single"/>
          <w:lang w:eastAsia="zh-CN"/>
        </w:rPr>
        <w:t>、</w:t>
      </w:r>
      <w:r>
        <w:rPr>
          <w:rFonts w:ascii="Times New Roman" w:hAnsi="Times New Roman" w:cs="Times New Roman"/>
          <w:sz w:val="21"/>
          <w:u w:val="single"/>
          <w:lang w:eastAsia="zh-CN"/>
        </w:rPr>
        <w:t>南</w:t>
      </w:r>
      <w:r>
        <w:rPr>
          <w:rFonts w:hint="eastAsia" w:ascii="Times New Roman" w:hAnsi="Times New Roman" w:cs="Times New Roman"/>
          <w:sz w:val="21"/>
          <w:u w:val="single"/>
          <w:lang w:val="en-US" w:eastAsia="zh-CN"/>
        </w:rPr>
        <w:t>9</w:t>
      </w:r>
      <w:r>
        <w:rPr>
          <w:rFonts w:ascii="Times New Roman" w:hAnsi="Times New Roman" w:cs="Times New Roman"/>
          <w:sz w:val="21"/>
          <w:u w:val="single"/>
          <w:lang w:eastAsia="zh-CN"/>
        </w:rPr>
        <w:t xml:space="preserve">#泊位口岸开放所属区域，包含但不限于机房、办公、餐饮区域，室外环境、仓库、卫生间等。   </w:t>
      </w:r>
    </w:p>
    <w:p w14:paraId="5B628540">
      <w:pPr>
        <w:spacing w:line="360" w:lineRule="auto"/>
        <w:ind w:firstLine="420" w:firstLineChars="200"/>
        <w:rPr>
          <w:rStyle w:val="78"/>
          <w:rFonts w:ascii="Times New Roman" w:hAnsi="Times New Roman" w:cs="Times New Roman"/>
          <w:bCs/>
          <w:color w:val="000000"/>
          <w:sz w:val="21"/>
          <w:szCs w:val="21"/>
          <w:lang w:eastAsia="zh-CN"/>
        </w:rPr>
      </w:pPr>
      <w:r>
        <w:rPr>
          <w:rFonts w:ascii="Times New Roman" w:hAnsi="Times New Roman" w:cs="Times New Roman"/>
          <w:sz w:val="21"/>
          <w:szCs w:val="21"/>
          <w:lang w:eastAsia="zh-CN"/>
        </w:rPr>
        <w:t>4、双方确认，</w:t>
      </w:r>
      <w:r>
        <w:rPr>
          <w:rStyle w:val="78"/>
          <w:rFonts w:ascii="Times New Roman" w:hAnsi="Times New Roman" w:cs="Times New Roman"/>
          <w:bCs/>
          <w:color w:val="000000"/>
          <w:sz w:val="21"/>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p>
    <w:p w14:paraId="0E803E88">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第九条 双方确定，甲方指定甲方指定</w:t>
      </w:r>
      <w:r>
        <w:rPr>
          <w:rFonts w:ascii="Times New Roman" w:hAnsi="Times New Roman" w:cs="Times New Roman"/>
          <w:sz w:val="21"/>
          <w:u w:val="single"/>
          <w:lang w:eastAsia="zh-CN"/>
        </w:rPr>
        <w:t xml:space="preserve"> 陈</w:t>
      </w:r>
      <w:r>
        <w:rPr>
          <w:rFonts w:hint="eastAsia" w:ascii="Times New Roman" w:hAnsi="Times New Roman" w:cs="Times New Roman"/>
          <w:sz w:val="21"/>
          <w:u w:val="single"/>
          <w:lang w:eastAsia="zh-CN"/>
        </w:rPr>
        <w:t>加成</w:t>
      </w:r>
      <w:r>
        <w:rPr>
          <w:rFonts w:ascii="Times New Roman" w:hAnsi="Times New Roman" w:cs="Times New Roman"/>
          <w:sz w:val="21"/>
          <w:u w:val="single"/>
          <w:lang w:eastAsia="zh-CN"/>
        </w:rPr>
        <w:t xml:space="preserve"> </w:t>
      </w:r>
      <w:r>
        <w:rPr>
          <w:rFonts w:hint="eastAsia" w:ascii="Times New Roman" w:hAnsi="Times New Roman" w:cs="Times New Roman"/>
          <w:sz w:val="21"/>
          <w:u w:val="single"/>
          <w:lang w:eastAsia="zh-CN"/>
        </w:rPr>
        <w:t>18959696678</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为甲方项目联系人，乙方指定</w:t>
      </w:r>
      <w:r>
        <w:rPr>
          <w:rFonts w:hint="eastAsia" w:ascii="Times New Roman" w:hAnsi="Times New Roman" w:cs="Times New Roman"/>
          <w:sz w:val="21"/>
          <w:u w:val="single"/>
          <w:lang w:val="en-US" w:eastAsia="zh-CN"/>
        </w:rPr>
        <w:t xml:space="preserve">                    </w:t>
      </w:r>
      <w:r>
        <w:rPr>
          <w:rFonts w:ascii="Times New Roman" w:hAnsi="Times New Roman" w:cs="Times New Roman"/>
          <w:sz w:val="21"/>
          <w:u w:val="single"/>
          <w:lang w:eastAsia="zh-CN"/>
        </w:rPr>
        <w:t xml:space="preserve"> </w:t>
      </w:r>
      <w:r>
        <w:rPr>
          <w:rFonts w:ascii="Times New Roman" w:hAnsi="Times New Roman" w:cs="Times New Roman"/>
          <w:sz w:val="21"/>
          <w:lang w:eastAsia="zh-CN"/>
        </w:rPr>
        <w:t>为乙方项目联系人， 联系具体项目进度并实施；项目联系人承担以下责任：</w:t>
      </w:r>
    </w:p>
    <w:p w14:paraId="79DF9605">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一方变更项目联系人的，应当及时以书面形式通知另一方。未及时通知并影响本合同履行或造成损失的，应承担相应的责任。</w:t>
      </w:r>
    </w:p>
    <w:p w14:paraId="1808A529">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第十条  违约责任</w:t>
      </w:r>
    </w:p>
    <w:p w14:paraId="4C2DB792">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乙方逾期</w:t>
      </w:r>
      <w:r>
        <w:rPr>
          <w:rFonts w:hint="eastAsia" w:ascii="Times New Roman" w:hAnsi="Times New Roman" w:cs="Times New Roman"/>
          <w:sz w:val="21"/>
          <w:szCs w:val="21"/>
          <w:lang w:eastAsia="zh-CN"/>
        </w:rPr>
        <w:t>提供检测控制、卫生处理等服务/</w:t>
      </w:r>
      <w:r>
        <w:rPr>
          <w:rFonts w:ascii="Times New Roman" w:hAnsi="Times New Roman" w:cs="Times New Roman"/>
          <w:sz w:val="21"/>
          <w:szCs w:val="21"/>
          <w:lang w:eastAsia="zh-CN"/>
        </w:rPr>
        <w:t>提交服务咨询报告等工作成果的，每日按照合同总价</w:t>
      </w:r>
      <w:r>
        <w:rPr>
          <w:rFonts w:ascii="Times New Roman" w:hAnsi="Times New Roman" w:cs="Times New Roman"/>
          <w:sz w:val="21"/>
          <w:szCs w:val="21"/>
          <w:u w:val="single"/>
          <w:lang w:eastAsia="zh-CN"/>
        </w:rPr>
        <w:t xml:space="preserve"> 1 </w:t>
      </w:r>
      <w:r>
        <w:rPr>
          <w:rFonts w:ascii="Times New Roman" w:hAnsi="Times New Roman" w:cs="Times New Roman"/>
          <w:sz w:val="21"/>
          <w:szCs w:val="21"/>
          <w:lang w:eastAsia="zh-CN"/>
        </w:rPr>
        <w:t>%向甲方支付违约金，逾期超过</w:t>
      </w:r>
      <w:r>
        <w:rPr>
          <w:rFonts w:ascii="Times New Roman" w:hAnsi="Times New Roman" w:cs="Times New Roman"/>
          <w:sz w:val="21"/>
          <w:szCs w:val="21"/>
          <w:u w:val="single"/>
          <w:lang w:eastAsia="zh-CN"/>
        </w:rPr>
        <w:t xml:space="preserve"> 20</w:t>
      </w:r>
      <w:r>
        <w:rPr>
          <w:rFonts w:ascii="Times New Roman" w:hAnsi="Times New Roman" w:cs="Times New Roman"/>
          <w:sz w:val="21"/>
          <w:szCs w:val="21"/>
          <w:lang w:eastAsia="zh-CN"/>
        </w:rPr>
        <w:t xml:space="preserve"> 日的，甲方有权解除本合同并要求乙方退还已经收取的费用，乙方应按照合同总价20%向甲方支付违约金，违约金不足以弥补甲方损失的，甲方有权追偿。</w:t>
      </w:r>
    </w:p>
    <w:p w14:paraId="130ECEF9">
      <w:pPr>
        <w:snapToGrid w:val="0"/>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w:t>
      </w:r>
      <w:r>
        <w:rPr>
          <w:rFonts w:ascii="Times New Roman" w:hAnsi="Times New Roman" w:cs="Times New Roman"/>
          <w:sz w:val="21"/>
          <w:szCs w:val="21"/>
          <w:lang w:eastAsia="zh-CN"/>
        </w:rPr>
        <w:t xml:space="preserve"> 甲方按协议约定支付方式，按时、足额支付服务费；逾期付款按照全国银行间同业拆借中心公布的贷款市场报价利率计算利息。</w:t>
      </w:r>
    </w:p>
    <w:p w14:paraId="7C7ADEB3">
      <w:pPr>
        <w:pStyle w:val="24"/>
        <w:spacing w:line="360" w:lineRule="auto"/>
        <w:ind w:firstLine="420" w:firstLineChars="200"/>
        <w:rPr>
          <w:rStyle w:val="78"/>
          <w:rFonts w:ascii="Times New Roman" w:hAnsi="Times New Roman" w:cs="Times New Roman"/>
          <w:bCs/>
          <w:color w:val="000000"/>
          <w:sz w:val="21"/>
          <w:lang w:eastAsia="zh-CN"/>
        </w:rPr>
      </w:pPr>
      <w:r>
        <w:rPr>
          <w:rStyle w:val="78"/>
          <w:rFonts w:ascii="Times New Roman" w:hAnsi="Times New Roman" w:cs="Times New Roman"/>
          <w:color w:val="000000"/>
          <w:sz w:val="21"/>
          <w:lang w:eastAsia="zh-CN"/>
        </w:rPr>
        <w:t>3</w:t>
      </w:r>
      <w:r>
        <w:rPr>
          <w:rStyle w:val="78"/>
          <w:rFonts w:hint="eastAsia" w:ascii="Times New Roman" w:hAnsi="Times New Roman" w:cs="Times New Roman"/>
          <w:color w:val="000000"/>
          <w:sz w:val="21"/>
          <w:lang w:eastAsia="zh-CN"/>
        </w:rPr>
        <w:t>、</w:t>
      </w:r>
      <w:r>
        <w:rPr>
          <w:rStyle w:val="78"/>
          <w:rFonts w:ascii="Times New Roman" w:hAnsi="Times New Roman" w:cs="Times New Roman"/>
          <w:color w:val="000000"/>
          <w:sz w:val="21"/>
          <w:lang w:eastAsia="zh-CN"/>
        </w:rPr>
        <w:t>乙方提交的服务咨询报告不符合合同约定的，应在甲方指定期限内修改完善直至符合合同约定为止，</w:t>
      </w:r>
      <w:r>
        <w:rPr>
          <w:rStyle w:val="78"/>
          <w:rFonts w:ascii="Times New Roman" w:hAnsi="Times New Roman" w:cs="Times New Roman"/>
          <w:bCs/>
          <w:color w:val="000000"/>
          <w:sz w:val="21"/>
          <w:lang w:eastAsia="zh-CN"/>
        </w:rPr>
        <w:t>由此造成逾期提交的，按照第1款约定执行。</w:t>
      </w:r>
    </w:p>
    <w:p w14:paraId="56B4BE54">
      <w:pPr>
        <w:pStyle w:val="24"/>
        <w:spacing w:line="360" w:lineRule="auto"/>
        <w:ind w:firstLine="420" w:firstLineChars="200"/>
        <w:rPr>
          <w:rFonts w:ascii="Times New Roman" w:hAnsi="Times New Roman" w:cs="Times New Roman"/>
          <w:sz w:val="21"/>
          <w:lang w:eastAsia="zh-CN"/>
        </w:rPr>
      </w:pPr>
      <w:r>
        <w:rPr>
          <w:rStyle w:val="78"/>
          <w:rFonts w:ascii="Times New Roman" w:hAnsi="Times New Roman" w:cs="Times New Roman"/>
          <w:color w:val="000000"/>
          <w:sz w:val="21"/>
          <w:lang w:eastAsia="zh-CN"/>
        </w:rPr>
        <w:t>4</w:t>
      </w:r>
      <w:r>
        <w:rPr>
          <w:rStyle w:val="78"/>
          <w:rFonts w:hint="eastAsia" w:ascii="Times New Roman" w:hAnsi="Times New Roman" w:cs="Times New Roman"/>
          <w:color w:val="000000"/>
          <w:sz w:val="21"/>
          <w:lang w:eastAsia="zh-CN"/>
        </w:rPr>
        <w:t>、</w:t>
      </w:r>
      <w:r>
        <w:rPr>
          <w:rStyle w:val="78"/>
          <w:rFonts w:ascii="Times New Roman" w:hAnsi="Times New Roman" w:cs="Times New Roman"/>
          <w:color w:val="000000"/>
          <w:sz w:val="21"/>
          <w:lang w:eastAsia="zh-CN"/>
        </w:rPr>
        <w:t>任何一方违反保密义务的，应向对方支付违约金人民币</w:t>
      </w:r>
      <w:r>
        <w:rPr>
          <w:rFonts w:ascii="Times New Roman" w:hAnsi="Times New Roman" w:cs="Times New Roman"/>
          <w:sz w:val="21"/>
          <w:u w:val="single"/>
          <w:lang w:eastAsia="zh-CN"/>
        </w:rPr>
        <w:t xml:space="preserve"> 10000 </w:t>
      </w:r>
      <w:r>
        <w:rPr>
          <w:rStyle w:val="78"/>
          <w:rFonts w:ascii="Times New Roman" w:hAnsi="Times New Roman" w:cs="Times New Roman"/>
          <w:color w:val="000000"/>
          <w:sz w:val="21"/>
          <w:lang w:eastAsia="zh-CN"/>
        </w:rPr>
        <w:t>元；赔偿由此给对方造成的损失。</w:t>
      </w:r>
    </w:p>
    <w:p w14:paraId="4BCDF7B0">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第十一条 双方因履行本合同而发生的争议，可协商、调解解决，也可直接采取下列第</w:t>
      </w:r>
      <w:r>
        <w:rPr>
          <w:rFonts w:ascii="Times New Roman" w:hAnsi="Times New Roman" w:cs="Times New Roman"/>
          <w:sz w:val="21"/>
          <w:u w:val="single"/>
          <w:lang w:eastAsia="zh-CN"/>
        </w:rPr>
        <w:t xml:space="preserve"> 2 </w:t>
      </w:r>
      <w:r>
        <w:rPr>
          <w:rFonts w:ascii="Times New Roman" w:hAnsi="Times New Roman" w:cs="Times New Roman"/>
          <w:sz w:val="21"/>
          <w:lang w:eastAsia="zh-CN"/>
        </w:rPr>
        <w:t>种方式解决：</w:t>
      </w:r>
    </w:p>
    <w:p w14:paraId="7D4AB3F1">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1</w:t>
      </w:r>
      <w:r>
        <w:rPr>
          <w:rFonts w:hint="eastAsia" w:ascii="Times New Roman" w:hAnsi="Times New Roman" w:cs="Times New Roman"/>
          <w:sz w:val="21"/>
          <w:lang w:eastAsia="zh-CN"/>
        </w:rPr>
        <w:t>、</w:t>
      </w:r>
      <w:r>
        <w:rPr>
          <w:rFonts w:ascii="Times New Roman" w:hAnsi="Times New Roman" w:cs="Times New Roman"/>
          <w:sz w:val="21"/>
          <w:lang w:eastAsia="zh-CN"/>
        </w:rPr>
        <w:t>向</w:t>
      </w:r>
      <w:r>
        <w:rPr>
          <w:rFonts w:ascii="Times New Roman" w:hAnsi="Times New Roman" w:cs="Times New Roman"/>
          <w:sz w:val="21"/>
          <w:u w:val="single"/>
          <w:lang w:eastAsia="zh-CN"/>
        </w:rPr>
        <w:t xml:space="preserve">     </w:t>
      </w:r>
      <w:r>
        <w:rPr>
          <w:rFonts w:ascii="Times New Roman" w:hAnsi="Times New Roman" w:cs="Times New Roman"/>
          <w:sz w:val="21"/>
          <w:lang w:eastAsia="zh-CN"/>
        </w:rPr>
        <w:t>仲裁委员会申请仲裁；</w:t>
      </w:r>
    </w:p>
    <w:p w14:paraId="650ECE24">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eastAsia="zh-CN"/>
        </w:rPr>
        <w:t>、</w:t>
      </w:r>
      <w:r>
        <w:rPr>
          <w:rFonts w:ascii="Times New Roman" w:hAnsi="Times New Roman" w:cs="Times New Roman"/>
          <w:sz w:val="21"/>
          <w:lang w:eastAsia="zh-CN"/>
        </w:rPr>
        <w:t>向甲方所在地人民法院提起诉讼。</w:t>
      </w:r>
    </w:p>
    <w:p w14:paraId="74FE9678">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第十二条 其他</w:t>
      </w:r>
    </w:p>
    <w:p w14:paraId="18F0889E">
      <w:pPr>
        <w:pStyle w:val="24"/>
        <w:spacing w:line="360" w:lineRule="auto"/>
        <w:ind w:firstLine="420" w:firstLineChars="200"/>
        <w:rPr>
          <w:rStyle w:val="78"/>
          <w:rFonts w:ascii="Times New Roman" w:hAnsi="Times New Roman" w:cs="Times New Roman"/>
          <w:color w:val="000000"/>
          <w:sz w:val="21"/>
          <w:lang w:eastAsia="zh-CN"/>
        </w:rPr>
      </w:pPr>
      <w:r>
        <w:rPr>
          <w:rStyle w:val="78"/>
          <w:rFonts w:ascii="Times New Roman" w:hAnsi="Times New Roman" w:cs="Times New Roman"/>
          <w:color w:val="000000"/>
          <w:sz w:val="21"/>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32A1E766">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eastAsia="zh-CN"/>
        </w:rPr>
        <w:t>、</w:t>
      </w:r>
      <w:r>
        <w:rPr>
          <w:rFonts w:ascii="Times New Roman" w:hAnsi="Times New Roman" w:cs="Times New Roman"/>
          <w:sz w:val="21"/>
          <w:lang w:eastAsia="zh-CN"/>
        </w:rPr>
        <w:t>乙方提交的服务咨询报告及工作成果归甲方所有，甲方在此基础上可以进行技术创新和改进并对创新和改进的结果享有知识产权。乙方不得自用或将服务咨询报告提供给第三方使用，如有违反按照泄密处理。</w:t>
      </w:r>
    </w:p>
    <w:p w14:paraId="37F03A91">
      <w:pPr>
        <w:pStyle w:val="24"/>
        <w:spacing w:line="360" w:lineRule="auto"/>
        <w:ind w:firstLine="420" w:firstLineChars="200"/>
        <w:rPr>
          <w:rFonts w:ascii="Times New Roman" w:hAnsi="Times New Roman" w:cs="Times New Roman"/>
          <w:sz w:val="21"/>
          <w:lang w:eastAsia="zh-CN"/>
        </w:rPr>
      </w:pPr>
      <w:r>
        <w:rPr>
          <w:rFonts w:ascii="Times New Roman" w:hAnsi="Times New Roman" w:cs="Times New Roman"/>
          <w:sz w:val="21"/>
          <w:lang w:eastAsia="zh-CN"/>
        </w:rPr>
        <w:t>第十三条 本合同经双方签订后生效。本合同一式</w:t>
      </w:r>
      <w:r>
        <w:rPr>
          <w:rFonts w:ascii="Times New Roman" w:hAnsi="Times New Roman" w:cs="Times New Roman"/>
          <w:sz w:val="21"/>
          <w:u w:val="single"/>
          <w:lang w:eastAsia="zh-CN"/>
        </w:rPr>
        <w:t xml:space="preserve">  陆  </w:t>
      </w:r>
      <w:r>
        <w:rPr>
          <w:rFonts w:ascii="Times New Roman" w:hAnsi="Times New Roman" w:cs="Times New Roman"/>
          <w:sz w:val="21"/>
          <w:lang w:eastAsia="zh-CN"/>
        </w:rPr>
        <w:t>份，甲方执</w:t>
      </w:r>
      <w:r>
        <w:rPr>
          <w:rFonts w:ascii="Times New Roman" w:hAnsi="Times New Roman" w:cs="Times New Roman"/>
          <w:sz w:val="21"/>
          <w:u w:val="single"/>
          <w:lang w:eastAsia="zh-CN"/>
        </w:rPr>
        <w:t xml:space="preserve"> 肆 </w:t>
      </w:r>
      <w:r>
        <w:rPr>
          <w:rFonts w:ascii="Times New Roman" w:hAnsi="Times New Roman" w:cs="Times New Roman"/>
          <w:sz w:val="21"/>
          <w:lang w:eastAsia="zh-CN"/>
        </w:rPr>
        <w:t>份，乙方执</w:t>
      </w:r>
      <w:r>
        <w:rPr>
          <w:rFonts w:ascii="Times New Roman" w:hAnsi="Times New Roman" w:cs="Times New Roman"/>
          <w:sz w:val="21"/>
          <w:u w:val="single"/>
          <w:lang w:eastAsia="zh-CN"/>
        </w:rPr>
        <w:t xml:space="preserve"> 贰 </w:t>
      </w:r>
      <w:r>
        <w:rPr>
          <w:rFonts w:ascii="Times New Roman" w:hAnsi="Times New Roman" w:cs="Times New Roman"/>
          <w:sz w:val="21"/>
          <w:lang w:eastAsia="zh-CN"/>
        </w:rPr>
        <w:t>份，具有同等法律效力。</w:t>
      </w:r>
    </w:p>
    <w:p w14:paraId="62D2B977">
      <w:pPr>
        <w:pStyle w:val="24"/>
        <w:spacing w:line="400" w:lineRule="exact"/>
        <w:rPr>
          <w:rFonts w:ascii="Times New Roman" w:hAnsi="Times New Roman" w:cs="Times New Roman"/>
          <w:sz w:val="24"/>
          <w:szCs w:val="24"/>
          <w:lang w:eastAsia="zh-CN"/>
        </w:rPr>
      </w:pPr>
    </w:p>
    <w:p w14:paraId="075F5CA5">
      <w:pPr>
        <w:pStyle w:val="24"/>
        <w:spacing w:line="400" w:lineRule="exact"/>
        <w:rPr>
          <w:rFonts w:ascii="Times New Roman" w:hAnsi="Times New Roman" w:cs="Times New Roman"/>
          <w:sz w:val="24"/>
          <w:szCs w:val="24"/>
          <w:lang w:eastAsia="zh-CN"/>
        </w:rPr>
      </w:pPr>
    </w:p>
    <w:p w14:paraId="0041F14F">
      <w:pPr>
        <w:pStyle w:val="24"/>
        <w:spacing w:line="400" w:lineRule="exact"/>
        <w:ind w:firstLine="440" w:firstLineChars="200"/>
        <w:rPr>
          <w:rFonts w:ascii="Times New Roman" w:hAnsi="Times New Roman" w:cs="Times New Roman"/>
          <w:lang w:eastAsia="zh-CN"/>
        </w:rPr>
      </w:pPr>
    </w:p>
    <w:p w14:paraId="6C038037">
      <w:pPr>
        <w:pStyle w:val="24"/>
        <w:spacing w:line="400" w:lineRule="exact"/>
        <w:ind w:firstLine="440" w:firstLineChars="200"/>
        <w:rPr>
          <w:rFonts w:ascii="Times New Roman" w:hAnsi="Times New Roman" w:cs="Times New Roman"/>
          <w:lang w:eastAsia="zh-CN"/>
        </w:rPr>
      </w:pPr>
    </w:p>
    <w:p w14:paraId="383404FA">
      <w:pPr>
        <w:spacing w:beforeLines="100" w:line="360" w:lineRule="auto"/>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甲  方</w:t>
      </w:r>
      <w:r>
        <w:rPr>
          <w:rFonts w:ascii="Times New Roman" w:hAnsi="Times New Roman" w:cs="Times New Roman"/>
          <w:szCs w:val="21"/>
          <w:lang w:eastAsia="zh-CN"/>
        </w:rPr>
        <w:t xml:space="preserve">:   </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乙方：</w:t>
      </w:r>
      <w:r>
        <w:rPr>
          <w:rFonts w:hint="eastAsia" w:ascii="Times New Roman" w:hAnsi="Times New Roman" w:cs="Times New Roman"/>
          <w:sz w:val="24"/>
          <w:szCs w:val="24"/>
          <w:lang w:val="en-US" w:eastAsia="zh-CN"/>
        </w:rPr>
        <w:t xml:space="preserve"> </w:t>
      </w:r>
    </w:p>
    <w:p w14:paraId="7788B289">
      <w:pPr>
        <w:widowControl/>
        <w:spacing w:beforeLines="100"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账  号：423467650735                      </w:t>
      </w: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账号：</w:t>
      </w:r>
      <w:r>
        <w:rPr>
          <w:rFonts w:hint="eastAsia" w:ascii="Times New Roman" w:hAnsi="Times New Roman" w:cs="Times New Roman"/>
          <w:sz w:val="24"/>
          <w:szCs w:val="24"/>
          <w:lang w:val="en-US" w:eastAsia="zh-CN"/>
        </w:rPr>
        <w:t xml:space="preserve"> </w:t>
      </w:r>
    </w:p>
    <w:p w14:paraId="640A9699">
      <w:pPr>
        <w:widowControl/>
        <w:spacing w:beforeLines="100"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开户行：中国银行漳浦支行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开户行：</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w:t>
      </w:r>
    </w:p>
    <w:p w14:paraId="4C412069">
      <w:pPr>
        <w:widowControl/>
        <w:autoSpaceDE/>
        <w:autoSpaceDN/>
        <w:spacing w:line="360" w:lineRule="auto"/>
        <w:jc w:val="center"/>
        <w:rPr>
          <w:rFonts w:ascii="Times New Roman" w:hAnsi="Times New Roman" w:cs="Times New Roman"/>
          <w:sz w:val="28"/>
          <w:szCs w:val="28"/>
          <w:lang w:eastAsia="zh-CN"/>
        </w:rPr>
      </w:pPr>
    </w:p>
    <w:p w14:paraId="1DC8AC0D">
      <w:pPr>
        <w:widowControl/>
        <w:autoSpaceDE/>
        <w:autoSpaceDN/>
        <w:spacing w:line="360" w:lineRule="auto"/>
        <w:jc w:val="center"/>
        <w:rPr>
          <w:rFonts w:ascii="Times New Roman" w:hAnsi="Times New Roman" w:cs="Times New Roman"/>
          <w:sz w:val="28"/>
          <w:szCs w:val="28"/>
          <w:lang w:eastAsia="zh-CN"/>
        </w:rPr>
      </w:pPr>
    </w:p>
    <w:p w14:paraId="57CDAD5F">
      <w:pPr>
        <w:widowControl/>
        <w:autoSpaceDE/>
        <w:autoSpaceDN/>
        <w:spacing w:line="360" w:lineRule="auto"/>
        <w:ind w:firstLine="210" w:firstLineChars="100"/>
        <w:jc w:val="both"/>
        <w:rPr>
          <w:rFonts w:ascii="Times New Roman" w:hAnsi="Times New Roman" w:cs="Times New Roman"/>
          <w:sz w:val="28"/>
          <w:szCs w:val="28"/>
          <w:lang w:eastAsia="zh-CN"/>
        </w:rPr>
      </w:pPr>
      <w:r>
        <w:rPr>
          <w:rFonts w:ascii="Times New Roman" w:hAnsi="Times New Roman" w:cs="Times New Roman"/>
          <w:bCs/>
          <w:sz w:val="21"/>
          <w:szCs w:val="21"/>
          <w:lang w:eastAsia="zh-CN"/>
        </w:rPr>
        <w:t>签订日期：</w:t>
      </w:r>
      <w:r>
        <w:rPr>
          <w:rFonts w:hint="eastAsia" w:ascii="Times New Roman" w:hAnsi="Times New Roman" w:cs="Times New Roman"/>
          <w:bCs/>
          <w:sz w:val="21"/>
          <w:szCs w:val="21"/>
          <w:lang w:val="en-US" w:eastAsia="zh-CN"/>
        </w:rPr>
        <w:t>2025年07月    日</w:t>
      </w:r>
      <w:r>
        <w:rPr>
          <w:rFonts w:hint="eastAsia" w:ascii="Times New Roman" w:hAnsi="Times New Roman" w:cs="Times New Roman"/>
          <w:bCs/>
          <w:sz w:val="21"/>
          <w:szCs w:val="21"/>
          <w:lang w:eastAsia="zh-CN"/>
        </w:rPr>
        <w:t xml:space="preserve">                                          </w:t>
      </w:r>
      <w:r>
        <w:rPr>
          <w:rFonts w:ascii="Times New Roman" w:hAnsi="Times New Roman" w:cs="Times New Roman"/>
          <w:bCs/>
          <w:sz w:val="21"/>
          <w:szCs w:val="21"/>
          <w:lang w:eastAsia="zh-CN"/>
        </w:rPr>
        <w:t>签订日期：</w:t>
      </w:r>
      <w:r>
        <w:rPr>
          <w:rFonts w:hint="eastAsia" w:ascii="Times New Roman" w:hAnsi="Times New Roman" w:cs="Times New Roman"/>
          <w:bCs/>
          <w:sz w:val="21"/>
          <w:szCs w:val="21"/>
          <w:lang w:eastAsia="zh-CN"/>
        </w:rPr>
        <w:t xml:space="preserve"> </w:t>
      </w:r>
      <w:r>
        <w:rPr>
          <w:rFonts w:hint="eastAsia" w:ascii="Times New Roman" w:hAnsi="Times New Roman" w:cs="Times New Roman"/>
          <w:bCs/>
          <w:sz w:val="21"/>
          <w:szCs w:val="21"/>
          <w:lang w:val="en-US" w:eastAsia="zh-CN"/>
        </w:rPr>
        <w:t>2025年07月   日</w:t>
      </w:r>
      <w:r>
        <w:rPr>
          <w:rFonts w:hint="eastAsia" w:ascii="Times New Roman" w:hAnsi="Times New Roman" w:cs="Times New Roman"/>
          <w:bCs/>
          <w:sz w:val="21"/>
          <w:szCs w:val="21"/>
          <w:lang w:eastAsia="zh-CN"/>
        </w:rPr>
        <w:t xml:space="preserve"> </w:t>
      </w:r>
    </w:p>
    <w:p w14:paraId="1F2FF3D7">
      <w:pPr>
        <w:widowControl/>
        <w:autoSpaceDE/>
        <w:autoSpaceDN/>
        <w:spacing w:line="360" w:lineRule="auto"/>
        <w:jc w:val="center"/>
        <w:rPr>
          <w:rFonts w:ascii="Times New Roman" w:hAnsi="Times New Roman" w:cs="Times New Roman"/>
          <w:sz w:val="28"/>
          <w:szCs w:val="28"/>
          <w:lang w:eastAsia="zh-CN"/>
        </w:rPr>
      </w:pPr>
    </w:p>
    <w:p w14:paraId="78EEE6C5">
      <w:pPr>
        <w:pStyle w:val="54"/>
        <w:rPr>
          <w:rFonts w:ascii="Times New Roman" w:hAnsi="Times New Roman"/>
          <w:sz w:val="28"/>
          <w:szCs w:val="28"/>
        </w:rPr>
      </w:pPr>
    </w:p>
    <w:p w14:paraId="2647ACDB">
      <w:pPr>
        <w:pStyle w:val="54"/>
        <w:rPr>
          <w:rFonts w:ascii="Times New Roman" w:hAnsi="Times New Roman"/>
          <w:sz w:val="21"/>
          <w:szCs w:val="21"/>
        </w:rPr>
      </w:pPr>
      <w:r>
        <w:rPr>
          <w:rFonts w:ascii="Times New Roman" w:hAnsi="Times New Roman"/>
          <w:sz w:val="21"/>
          <w:szCs w:val="21"/>
        </w:rPr>
        <w:t>附件</w:t>
      </w:r>
      <w:r>
        <w:rPr>
          <w:rFonts w:hint="eastAsia" w:ascii="Times New Roman" w:hAnsi="Times New Roman"/>
          <w:sz w:val="21"/>
          <w:szCs w:val="21"/>
          <w:lang w:val="en-US" w:eastAsia="zh-CN"/>
        </w:rPr>
        <w:t>1</w:t>
      </w:r>
      <w:r>
        <w:rPr>
          <w:rFonts w:ascii="Times New Roman" w:hAnsi="Times New Roman"/>
          <w:sz w:val="21"/>
          <w:szCs w:val="21"/>
        </w:rPr>
        <w:t>：</w:t>
      </w:r>
    </w:p>
    <w:p w14:paraId="1457D8CF">
      <w:pPr>
        <w:pStyle w:val="4"/>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rPr>
        <w:t>福建福海创石油化工有限公司翔鹭码头</w:t>
      </w:r>
    </w:p>
    <w:p w14:paraId="4FBB9361">
      <w:pPr>
        <w:pStyle w:val="4"/>
        <w:shd w:val="clear" w:color="auto" w:fill="FFFFFF"/>
        <w:snapToGrid w:val="0"/>
        <w:spacing w:before="0" w:beforeAutospacing="0" w:after="0" w:afterAutospacing="0" w:line="360" w:lineRule="auto"/>
        <w:jc w:val="center"/>
        <w:rPr>
          <w:rFonts w:hint="eastAsia"/>
          <w:b w:val="0"/>
          <w:sz w:val="36"/>
          <w:szCs w:val="36"/>
        </w:rPr>
      </w:pPr>
      <w:r>
        <w:rPr>
          <w:rFonts w:hint="eastAsia"/>
          <w:b w:val="0"/>
          <w:sz w:val="36"/>
          <w:szCs w:val="36"/>
          <w:lang w:eastAsia="zh-CN"/>
        </w:rPr>
        <w:t>南8#、南9#口岸病媒生物监测与控制、卫生处理项目技术</w:t>
      </w:r>
      <w:r>
        <w:rPr>
          <w:rFonts w:hint="eastAsia"/>
          <w:b w:val="0"/>
          <w:sz w:val="36"/>
          <w:szCs w:val="36"/>
        </w:rPr>
        <w:t>服务发包说明</w:t>
      </w:r>
    </w:p>
    <w:p w14:paraId="05F909EA">
      <w:pPr>
        <w:snapToGrid w:val="0"/>
        <w:spacing w:line="360" w:lineRule="auto"/>
        <w:rPr>
          <w:rFonts w:hint="eastAsia" w:ascii="仿宋" w:hAnsi="仿宋" w:eastAsia="仿宋"/>
          <w:sz w:val="30"/>
          <w:szCs w:val="30"/>
        </w:rPr>
      </w:pPr>
      <w:r>
        <w:rPr>
          <w:rFonts w:hint="eastAsia" w:ascii="仿宋" w:hAnsi="仿宋" w:eastAsia="仿宋"/>
          <w:b/>
          <w:sz w:val="30"/>
          <w:szCs w:val="30"/>
        </w:rPr>
        <w:t>一、公司概况</w:t>
      </w:r>
    </w:p>
    <w:p w14:paraId="588A6455">
      <w:pPr>
        <w:snapToGrid w:val="0"/>
        <w:spacing w:line="360" w:lineRule="auto"/>
        <w:ind w:firstLine="480" w:firstLineChars="200"/>
        <w:rPr>
          <w:rFonts w:hint="eastAsia" w:ascii="仿宋" w:hAnsi="仿宋" w:eastAsia="仿宋"/>
          <w:sz w:val="24"/>
        </w:rPr>
      </w:pPr>
      <w:r>
        <w:rPr>
          <w:rFonts w:hint="eastAsia" w:ascii="仿宋" w:hAnsi="仿宋" w:eastAsia="仿宋"/>
          <w:sz w:val="24"/>
        </w:rPr>
        <w:t>福建福海创石油化工有限公司翔鹭码头即翔鹭码头投资管理（漳州）有限公司，</w:t>
      </w:r>
      <w:r>
        <w:rPr>
          <w:rFonts w:ascii="仿宋" w:hAnsi="仿宋" w:eastAsia="仿宋" w:cs="宋体"/>
          <w:color w:val="000000"/>
          <w:spacing w:val="-7"/>
          <w:sz w:val="24"/>
        </w:rPr>
        <w:t>于</w:t>
      </w:r>
      <w:r>
        <w:rPr>
          <w:rFonts w:ascii="仿宋" w:hAnsi="仿宋" w:eastAsia="仿宋"/>
          <w:color w:val="000000"/>
          <w:sz w:val="24"/>
        </w:rPr>
        <w:t>2014</w:t>
      </w:r>
      <w:r>
        <w:rPr>
          <w:rFonts w:ascii="仿宋" w:hAnsi="仿宋" w:eastAsia="仿宋" w:cs="宋体"/>
          <w:color w:val="000000"/>
          <w:sz w:val="24"/>
        </w:rPr>
        <w:t>年</w:t>
      </w:r>
      <w:r>
        <w:rPr>
          <w:rFonts w:ascii="仿宋" w:hAnsi="仿宋" w:eastAsia="仿宋"/>
          <w:color w:val="000000"/>
          <w:sz w:val="24"/>
        </w:rPr>
        <w:t>4</w:t>
      </w:r>
      <w:r>
        <w:rPr>
          <w:rFonts w:ascii="仿宋" w:hAnsi="仿宋" w:eastAsia="仿宋" w:cs="宋体"/>
          <w:color w:val="000000"/>
          <w:sz w:val="24"/>
        </w:rPr>
        <w:t>月经福建省漳州</w:t>
      </w:r>
      <w:r>
        <w:rPr>
          <w:rFonts w:ascii="仿宋" w:hAnsi="仿宋" w:eastAsia="仿宋" w:cs="宋体"/>
          <w:color w:val="000000"/>
          <w:spacing w:val="3"/>
          <w:sz w:val="24"/>
        </w:rPr>
        <w:t>市工商管理局批准成立，</w:t>
      </w:r>
      <w:r>
        <w:rPr>
          <w:rFonts w:ascii="仿宋" w:hAnsi="仿宋" w:eastAsia="仿宋" w:cs="宋体"/>
          <w:color w:val="000000"/>
          <w:spacing w:val="4"/>
          <w:sz w:val="24"/>
        </w:rPr>
        <w:t>主要经营码头投资管理，</w:t>
      </w:r>
      <w:r>
        <w:rPr>
          <w:rFonts w:hint="eastAsia" w:ascii="仿宋" w:hAnsi="仿宋" w:eastAsia="仿宋" w:cs="宋体"/>
          <w:color w:val="000000"/>
          <w:spacing w:val="4"/>
          <w:sz w:val="24"/>
        </w:rPr>
        <w:t>货物进出口、为船舶提供码头设施服务、货物装卸、仓储服务等。</w:t>
      </w:r>
      <w:r>
        <w:rPr>
          <w:rFonts w:hint="eastAsia" w:ascii="仿宋" w:hAnsi="仿宋" w:eastAsia="仿宋"/>
          <w:sz w:val="24"/>
        </w:rPr>
        <w:t>翔鹭码头投资管理（漳州）有限公司共建设南8#和南9#两个散杂货通用泊位，其中南8#泊位为15万吨级通用泊位，泊位总长度349米，设计年吞吐量580万吨/年，其中煤炭490万吨/年，PTA件杂货90万吨/年。南9#泊位为5万吨级通用泊位，泊位总长度320米，设计年吞吐量230万吨/年，其中PTA件杂货215万吨/年，钢材10万吨/年，机械设备5万吨/年。</w:t>
      </w:r>
    </w:p>
    <w:p w14:paraId="6804C890">
      <w:pPr>
        <w:snapToGrid w:val="0"/>
        <w:spacing w:line="360" w:lineRule="auto"/>
        <w:rPr>
          <w:rFonts w:hint="eastAsia" w:ascii="仿宋" w:hAnsi="仿宋" w:eastAsia="仿宋"/>
          <w:sz w:val="30"/>
          <w:szCs w:val="30"/>
        </w:rPr>
      </w:pPr>
      <w:r>
        <w:rPr>
          <w:rFonts w:hint="eastAsia" w:ascii="仿宋" w:hAnsi="仿宋" w:eastAsia="仿宋"/>
          <w:b/>
          <w:sz w:val="30"/>
          <w:szCs w:val="30"/>
        </w:rPr>
        <w:t>二、招标内容</w:t>
      </w:r>
    </w:p>
    <w:p w14:paraId="5B77E669">
      <w:pPr>
        <w:snapToGrid w:val="0"/>
        <w:spacing w:line="360" w:lineRule="auto"/>
        <w:rPr>
          <w:rFonts w:hint="eastAsia" w:ascii="仿宋" w:hAnsi="仿宋" w:eastAsia="仿宋"/>
          <w:sz w:val="24"/>
        </w:rPr>
      </w:pPr>
      <w:r>
        <w:rPr>
          <w:rFonts w:hint="eastAsia" w:ascii="仿宋" w:hAnsi="仿宋" w:eastAsia="仿宋"/>
          <w:sz w:val="24"/>
        </w:rPr>
        <w:t>1、服务范围</w:t>
      </w:r>
    </w:p>
    <w:p w14:paraId="77875B7C">
      <w:pPr>
        <w:snapToGrid w:val="0"/>
        <w:spacing w:line="360" w:lineRule="auto"/>
        <w:ind w:firstLine="360" w:firstLineChars="150"/>
        <w:rPr>
          <w:rFonts w:hint="eastAsia" w:ascii="仿宋" w:hAnsi="仿宋" w:eastAsia="仿宋"/>
          <w:sz w:val="24"/>
        </w:rPr>
      </w:pPr>
      <w:r>
        <w:rPr>
          <w:rFonts w:hint="eastAsia" w:ascii="仿宋" w:hAnsi="仿宋" w:eastAsia="仿宋" w:cs="仿宋"/>
          <w:sz w:val="24"/>
        </w:rPr>
        <w:t>根据《国际卫生条例（</w:t>
      </w:r>
      <w:r>
        <w:rPr>
          <w:rFonts w:ascii="仿宋" w:hAnsi="仿宋" w:eastAsia="仿宋" w:cs="仿宋"/>
          <w:sz w:val="24"/>
        </w:rPr>
        <w:t>2005</w:t>
      </w:r>
      <w:r>
        <w:rPr>
          <w:rFonts w:hint="eastAsia" w:ascii="仿宋" w:hAnsi="仿宋" w:eastAsia="仿宋" w:cs="仿宋"/>
          <w:sz w:val="24"/>
        </w:rPr>
        <w:t>）</w:t>
      </w:r>
      <w:r>
        <w:rPr>
          <w:rFonts w:ascii="仿宋" w:hAnsi="仿宋" w:eastAsia="仿宋" w:cs="仿宋"/>
          <w:sz w:val="24"/>
        </w:rPr>
        <w:t>》附件1《口岸公共卫生核心能</w:t>
      </w:r>
      <w:r>
        <w:rPr>
          <w:rFonts w:hint="eastAsia" w:ascii="仿宋" w:hAnsi="仿宋" w:eastAsia="仿宋" w:cs="仿宋"/>
          <w:sz w:val="24"/>
        </w:rPr>
        <w:t>力建设考核（水运口岸）》</w:t>
      </w:r>
      <w:r>
        <w:rPr>
          <w:rFonts w:ascii="仿宋" w:hAnsi="仿宋" w:eastAsia="仿宋" w:cs="仿宋"/>
          <w:sz w:val="24"/>
        </w:rPr>
        <w:t xml:space="preserve"> 2.5 </w:t>
      </w:r>
      <w:r>
        <w:rPr>
          <w:rFonts w:hint="eastAsia" w:ascii="仿宋" w:hAnsi="仿宋" w:eastAsia="仿宋" w:cs="仿宋"/>
          <w:sz w:val="24"/>
        </w:rPr>
        <w:t>、2</w:t>
      </w:r>
      <w:r>
        <w:rPr>
          <w:rFonts w:ascii="仿宋" w:hAnsi="仿宋" w:eastAsia="仿宋" w:cs="仿宋"/>
          <w:sz w:val="24"/>
        </w:rPr>
        <w:t>.6条款</w:t>
      </w:r>
      <w:r>
        <w:rPr>
          <w:rFonts w:hint="eastAsia" w:ascii="仿宋" w:hAnsi="仿宋" w:eastAsia="仿宋" w:cs="仿宋"/>
          <w:sz w:val="24"/>
        </w:rPr>
        <w:t>口岸病媒生物的监测与控制、卫生处理的相关要求，我司需委托具备相应资质单位开展口岸病媒生物的监测与控制、卫生处理服务。服务范围为翔鹭码头投资管理（漳州）有限公司南8#、南9#泊位口岸开放所属区域，包含但不限于机房、办公、餐饮区域，室外环境、仓库、卫生间等。</w:t>
      </w:r>
    </w:p>
    <w:p w14:paraId="6D667FF9">
      <w:pPr>
        <w:snapToGrid w:val="0"/>
        <w:spacing w:line="360" w:lineRule="auto"/>
        <w:rPr>
          <w:rFonts w:hint="eastAsia" w:ascii="仿宋" w:hAnsi="仿宋" w:eastAsia="仿宋"/>
          <w:sz w:val="24"/>
        </w:rPr>
      </w:pPr>
      <w:r>
        <w:rPr>
          <w:rFonts w:hint="eastAsia" w:ascii="仿宋" w:hAnsi="仿宋" w:eastAsia="仿宋"/>
          <w:sz w:val="24"/>
        </w:rPr>
        <w:t>2、服务要求</w:t>
      </w:r>
    </w:p>
    <w:p w14:paraId="6064B63D">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配合业主</w:t>
      </w:r>
      <w:r>
        <w:rPr>
          <w:rFonts w:ascii="仿宋" w:hAnsi="仿宋" w:eastAsia="仿宋" w:cs="仿宋"/>
          <w:sz w:val="24"/>
        </w:rPr>
        <w:t>进行口岸核心能</w:t>
      </w:r>
      <w:r>
        <w:rPr>
          <w:rFonts w:hint="eastAsia" w:ascii="仿宋" w:hAnsi="仿宋" w:eastAsia="仿宋" w:cs="仿宋"/>
          <w:sz w:val="24"/>
        </w:rPr>
        <w:t>力相关要求的建设，</w:t>
      </w:r>
      <w:r>
        <w:rPr>
          <w:rFonts w:ascii="仿宋" w:hAnsi="仿宋" w:eastAsia="仿宋" w:cs="仿宋"/>
          <w:sz w:val="24"/>
        </w:rPr>
        <w:t>确保</w:t>
      </w:r>
      <w:r>
        <w:rPr>
          <w:rFonts w:hint="eastAsia" w:ascii="仿宋" w:hAnsi="仿宋" w:eastAsia="仿宋" w:cs="仿宋"/>
          <w:sz w:val="24"/>
        </w:rPr>
        <w:t>服务</w:t>
      </w:r>
      <w:r>
        <w:rPr>
          <w:rFonts w:ascii="仿宋" w:hAnsi="仿宋" w:eastAsia="仿宋" w:cs="仿宋"/>
          <w:sz w:val="24"/>
        </w:rPr>
        <w:t>内容符合海关总关</w:t>
      </w:r>
      <w:r>
        <w:rPr>
          <w:rFonts w:hint="eastAsia" w:ascii="仿宋" w:hAnsi="仿宋" w:eastAsia="仿宋" w:cs="仿宋"/>
          <w:sz w:val="24"/>
        </w:rPr>
        <w:t>/总署</w:t>
      </w:r>
      <w:r>
        <w:rPr>
          <w:rFonts w:ascii="仿宋" w:hAnsi="仿宋" w:eastAsia="仿宋" w:cs="仿宋"/>
          <w:sz w:val="24"/>
        </w:rPr>
        <w:t>验收标准，直至通过海关总关</w:t>
      </w:r>
      <w:r>
        <w:rPr>
          <w:rFonts w:hint="eastAsia" w:ascii="仿宋" w:hAnsi="仿宋" w:eastAsia="仿宋" w:cs="仿宋"/>
          <w:sz w:val="24"/>
        </w:rPr>
        <w:t>/总署验收。</w:t>
      </w:r>
    </w:p>
    <w:p w14:paraId="4246A1BB">
      <w:pPr>
        <w:numPr>
          <w:ilvl w:val="0"/>
          <w:numId w:val="6"/>
        </w:numPr>
        <w:snapToGrid w:val="0"/>
        <w:spacing w:line="360" w:lineRule="auto"/>
        <w:rPr>
          <w:rFonts w:hint="eastAsia" w:ascii="仿宋" w:hAnsi="仿宋" w:eastAsia="仿宋" w:cs="仿宋"/>
          <w:sz w:val="24"/>
        </w:rPr>
      </w:pPr>
      <w:r>
        <w:rPr>
          <w:rFonts w:hint="eastAsia" w:ascii="仿宋" w:hAnsi="仿宋" w:eastAsia="仿宋" w:cs="仿宋"/>
          <w:sz w:val="24"/>
        </w:rPr>
        <w:t>口岸区域内的病媒生物控制（针对鼠、</w:t>
      </w:r>
      <w:r>
        <w:rPr>
          <w:rFonts w:ascii="仿宋" w:hAnsi="仿宋" w:eastAsia="仿宋" w:cs="仿宋"/>
          <w:sz w:val="24"/>
        </w:rPr>
        <w:t>蚊、蝇、蠊</w:t>
      </w:r>
      <w:r>
        <w:rPr>
          <w:rFonts w:hint="eastAsia" w:ascii="仿宋" w:hAnsi="仿宋" w:eastAsia="仿宋" w:cs="仿宋"/>
          <w:sz w:val="24"/>
        </w:rPr>
        <w:t>）</w:t>
      </w:r>
    </w:p>
    <w:p w14:paraId="02F04CF8">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制定口岸病媒生物监测和控制方案，控制区域覆盖全面。</w:t>
      </w:r>
    </w:p>
    <w:p w14:paraId="1792EE1D">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控制计划应符合综合治理原则，</w:t>
      </w:r>
      <w:r>
        <w:rPr>
          <w:rFonts w:ascii="仿宋" w:hAnsi="仿宋" w:eastAsia="仿宋" w:cs="仿宋"/>
          <w:sz w:val="24"/>
        </w:rPr>
        <w:t>对监测发现密度、数量、种群</w:t>
      </w:r>
      <w:r>
        <w:rPr>
          <w:rFonts w:hint="eastAsia" w:ascii="仿宋" w:hAnsi="仿宋" w:eastAsia="仿宋" w:cs="仿宋"/>
          <w:sz w:val="24"/>
        </w:rPr>
        <w:t>等有超标或其他异常情况的，</w:t>
      </w:r>
      <w:r>
        <w:rPr>
          <w:rFonts w:ascii="仿宋" w:hAnsi="仿宋" w:eastAsia="仿宋" w:cs="仿宋"/>
          <w:sz w:val="24"/>
        </w:rPr>
        <w:t>应当及时组织开展病媒生物控制工作，</w:t>
      </w:r>
      <w:r>
        <w:rPr>
          <w:rFonts w:hint="eastAsia" w:ascii="仿宋" w:hAnsi="仿宋" w:eastAsia="仿宋" w:cs="仿宋"/>
          <w:sz w:val="24"/>
        </w:rPr>
        <w:t>并开展效果评价。</w:t>
      </w:r>
    </w:p>
    <w:p w14:paraId="0DC0CCD4">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方案需海关认可、备案。</w:t>
      </w:r>
    </w:p>
    <w:p w14:paraId="65D2424B">
      <w:pPr>
        <w:numPr>
          <w:ilvl w:val="0"/>
          <w:numId w:val="7"/>
        </w:numPr>
        <w:snapToGrid w:val="0"/>
        <w:spacing w:line="360" w:lineRule="auto"/>
        <w:rPr>
          <w:rFonts w:ascii="仿宋" w:hAnsi="仿宋" w:eastAsia="仿宋" w:cs="仿宋"/>
          <w:sz w:val="24"/>
        </w:rPr>
      </w:pPr>
      <w:r>
        <w:rPr>
          <w:rFonts w:hint="eastAsia" w:ascii="仿宋" w:hAnsi="仿宋" w:eastAsia="仿宋" w:cs="仿宋"/>
          <w:sz w:val="24"/>
        </w:rPr>
        <w:t>建立专业的病媒生物监测、控制队伍，有明细分工，定期开展病媒生物监测与控制的培训,并接受海关监督指导。</w:t>
      </w:r>
    </w:p>
    <w:p w14:paraId="6EF60A84">
      <w:pPr>
        <w:pStyle w:val="70"/>
        <w:spacing w:line="530" w:lineRule="exact"/>
        <w:ind w:left="0" w:firstLine="120" w:firstLineChars="50"/>
        <w:rPr>
          <w:rFonts w:ascii="仿宋" w:hAnsi="仿宋" w:eastAsia="仿宋" w:cs="仿宋"/>
          <w:sz w:val="24"/>
          <w:szCs w:val="24"/>
          <w:lang w:eastAsia="zh-CN"/>
        </w:rPr>
      </w:pPr>
      <w:r>
        <w:rPr>
          <w:rFonts w:hint="eastAsia" w:ascii="仿宋" w:hAnsi="仿宋" w:eastAsia="仿宋" w:cs="仿宋"/>
          <w:sz w:val="24"/>
          <w:szCs w:val="24"/>
          <w:lang w:eastAsia="zh-CN"/>
        </w:rPr>
        <w:t>（二）卫生处理</w:t>
      </w:r>
    </w:p>
    <w:p w14:paraId="515893E3">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1、根据不同的卫生处理布控指令，服务单位将具体的实施方案报辖区隶属海关备案。</w:t>
      </w:r>
    </w:p>
    <w:p w14:paraId="0F806904">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2、卫生处理依据、指征和处理目的符合《出入境检疫处理管理工作规定》的要求。</w:t>
      </w:r>
    </w:p>
    <w:p w14:paraId="7D91C4E9">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3、具备完善的卫生处理工作制度，包括人员培训、药械使用、质量安全管理、效果评价等。</w:t>
      </w:r>
    </w:p>
    <w:p w14:paraId="271B1A7D">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4、定期更新和修订卫生处理作业指导书。</w:t>
      </w:r>
    </w:p>
    <w:p w14:paraId="2DFC704E">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5、卫生处理档案规范完整，有卫生处理原始记录、卫生处理报告单等。</w:t>
      </w:r>
    </w:p>
    <w:p w14:paraId="18894522">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6、配备卫生处理需要的药品。没有过期药品，或有过期药品但单独存放并有销毁记录。</w:t>
      </w:r>
    </w:p>
    <w:p w14:paraId="38F893C7">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7、所有采购和使用的药品都有严格的出入库手续和台账记录，帐物相符。药品使用量应符合作业指导书或监管部门的要求，施药误差在允许范围内，药品使用量与原始记录和单据等相符。</w:t>
      </w:r>
    </w:p>
    <w:p w14:paraId="671F1BD0">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8、免费提供害虫防范知识，卫生基础设施和防鼠防蝇设施改进的指导。</w:t>
      </w:r>
    </w:p>
    <w:p w14:paraId="4967BC6F">
      <w:pPr>
        <w:pStyle w:val="70"/>
        <w:tabs>
          <w:tab w:val="left" w:pos="312"/>
        </w:tabs>
        <w:ind w:left="420" w:firstLine="0"/>
        <w:rPr>
          <w:rFonts w:ascii="仿宋" w:hAnsi="仿宋" w:eastAsia="仿宋" w:cs="仿宋"/>
          <w:sz w:val="24"/>
          <w:szCs w:val="24"/>
          <w:lang w:eastAsia="zh-CN"/>
        </w:rPr>
      </w:pPr>
      <w:r>
        <w:rPr>
          <w:rFonts w:hint="eastAsia" w:ascii="仿宋" w:hAnsi="仿宋" w:eastAsia="仿宋" w:cs="仿宋"/>
          <w:sz w:val="24"/>
          <w:szCs w:val="24"/>
          <w:lang w:eastAsia="zh-CN"/>
        </w:rPr>
        <w:t>9、提供灭鼠、灭蚊等业主所属公共区间防疫。</w:t>
      </w:r>
    </w:p>
    <w:p w14:paraId="6E3C22C5">
      <w:pPr>
        <w:pStyle w:val="70"/>
        <w:tabs>
          <w:tab w:val="left" w:pos="312"/>
        </w:tabs>
        <w:ind w:left="420" w:firstLine="0"/>
        <w:rPr>
          <w:rFonts w:hint="eastAsia" w:ascii="仿宋" w:hAnsi="仿宋" w:eastAsia="仿宋" w:cs="仿宋"/>
          <w:sz w:val="24"/>
          <w:szCs w:val="24"/>
          <w:lang w:eastAsia="zh-CN"/>
        </w:rPr>
      </w:pPr>
      <w:r>
        <w:rPr>
          <w:rFonts w:hint="eastAsia" w:ascii="仿宋" w:hAnsi="仿宋" w:eastAsia="仿宋" w:cs="仿宋"/>
          <w:sz w:val="24"/>
          <w:szCs w:val="24"/>
          <w:lang w:eastAsia="zh-CN"/>
        </w:rPr>
        <w:t>10、如有政府的重要检查或有重大活动需要防制虫害时，乙方须及时赶到现场，进行处理。</w:t>
      </w:r>
    </w:p>
    <w:p w14:paraId="758FB66F">
      <w:pPr>
        <w:rPr>
          <w:rFonts w:hint="eastAsia" w:ascii="仿宋" w:hAnsi="仿宋" w:eastAsia="仿宋"/>
          <w:sz w:val="24"/>
        </w:rPr>
      </w:pPr>
    </w:p>
    <w:p w14:paraId="362198EA">
      <w:pPr>
        <w:rPr>
          <w:rFonts w:hint="eastAsia" w:ascii="仿宋" w:hAnsi="仿宋" w:eastAsia="仿宋"/>
          <w:sz w:val="24"/>
        </w:rPr>
      </w:pPr>
      <w:r>
        <w:rPr>
          <w:rFonts w:hint="eastAsia" w:ascii="仿宋" w:hAnsi="仿宋" w:eastAsia="仿宋"/>
          <w:sz w:val="24"/>
        </w:rPr>
        <w:t>3、服务地点：</w:t>
      </w:r>
      <w:bookmarkStart w:id="1" w:name="_Hlk50470485"/>
    </w:p>
    <w:p w14:paraId="4EDEF9FC">
      <w:pPr>
        <w:rPr>
          <w:rFonts w:hint="eastAsia" w:ascii="仿宋" w:hAnsi="仿宋" w:eastAsia="仿宋"/>
          <w:sz w:val="24"/>
        </w:rPr>
      </w:pPr>
    </w:p>
    <w:p w14:paraId="7A2EB0F4">
      <w:pPr>
        <w:rPr>
          <w:rFonts w:ascii="仿宋" w:hAnsi="仿宋" w:eastAsia="仿宋"/>
          <w:sz w:val="24"/>
        </w:rPr>
      </w:pPr>
      <w:r>
        <w:rPr>
          <w:rFonts w:hint="eastAsia" w:ascii="仿宋" w:hAnsi="仿宋" w:eastAsia="仿宋"/>
          <w:sz w:val="24"/>
        </w:rPr>
        <w:t>福建省漳州市古雷经济开发区古雷半岛西侧</w:t>
      </w:r>
      <w:bookmarkEnd w:id="1"/>
      <w:r>
        <w:rPr>
          <w:rFonts w:hint="eastAsia" w:ascii="仿宋" w:hAnsi="仿宋" w:eastAsia="仿宋"/>
          <w:sz w:val="24"/>
        </w:rPr>
        <w:t>。</w:t>
      </w:r>
    </w:p>
    <w:p w14:paraId="6655AD1C">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sz w:val="24"/>
        </w:rPr>
      </w:pPr>
      <w:r>
        <w:rPr>
          <w:rFonts w:hint="eastAsia" w:ascii="仿宋" w:hAnsi="仿宋" w:eastAsia="仿宋"/>
          <w:sz w:val="24"/>
        </w:rPr>
        <w:t>4、项目预算及合同签约期限</w:t>
      </w:r>
    </w:p>
    <w:p w14:paraId="24B15BA7">
      <w:pPr>
        <w:widowControl/>
        <w:tabs>
          <w:tab w:val="left" w:pos="510"/>
          <w:tab w:val="left" w:pos="900"/>
          <w:tab w:val="left" w:pos="993"/>
          <w:tab w:val="left" w:pos="1100"/>
          <w:tab w:val="left" w:pos="3807"/>
          <w:tab w:val="left" w:pos="7654"/>
        </w:tabs>
        <w:spacing w:line="530" w:lineRule="exact"/>
        <w:ind w:firstLine="480" w:firstLineChars="200"/>
        <w:jc w:val="left"/>
        <w:rPr>
          <w:rFonts w:hint="eastAsia" w:ascii="仿宋" w:hAnsi="仿宋" w:eastAsia="仿宋"/>
          <w:sz w:val="24"/>
        </w:rPr>
      </w:pPr>
      <w:r>
        <w:rPr>
          <w:rFonts w:ascii="仿宋" w:hAnsi="仿宋" w:eastAsia="仿宋"/>
          <w:sz w:val="24"/>
        </w:rPr>
        <w:t>项目预算：</w:t>
      </w:r>
      <w:r>
        <w:rPr>
          <w:rFonts w:hint="eastAsia" w:ascii="仿宋" w:hAnsi="仿宋" w:eastAsia="仿宋"/>
          <w:sz w:val="24"/>
        </w:rPr>
        <w:t>36万元/年（含税），合同签约期限2年。</w:t>
      </w:r>
    </w:p>
    <w:p w14:paraId="4A107F61">
      <w:pPr>
        <w:widowControl/>
        <w:tabs>
          <w:tab w:val="left" w:pos="510"/>
          <w:tab w:val="left" w:pos="900"/>
          <w:tab w:val="left" w:pos="993"/>
          <w:tab w:val="left" w:pos="1100"/>
          <w:tab w:val="left" w:pos="3807"/>
          <w:tab w:val="left" w:pos="7654"/>
        </w:tabs>
        <w:spacing w:line="530" w:lineRule="exact"/>
        <w:jc w:val="left"/>
        <w:rPr>
          <w:rFonts w:hint="eastAsia" w:ascii="仿宋" w:hAnsi="仿宋" w:eastAsia="仿宋"/>
          <w:b/>
          <w:sz w:val="30"/>
          <w:szCs w:val="30"/>
        </w:rPr>
      </w:pPr>
      <w:r>
        <w:rPr>
          <w:rFonts w:hint="eastAsia" w:ascii="仿宋" w:hAnsi="仿宋" w:eastAsia="仿宋"/>
          <w:b/>
          <w:sz w:val="30"/>
          <w:szCs w:val="30"/>
        </w:rPr>
        <w:t>三、资质要求</w:t>
      </w:r>
    </w:p>
    <w:p w14:paraId="3E19477C">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rPr>
      </w:pPr>
      <w:r>
        <w:rPr>
          <w:rFonts w:hint="eastAsia" w:ascii="仿宋" w:hAnsi="仿宋" w:eastAsia="仿宋"/>
          <w:snapToGrid w:val="0"/>
          <w:color w:val="000000"/>
          <w:sz w:val="24"/>
        </w:rPr>
        <w:t>1.投标人应具有独立承担民事责任的能力，并提供营业执照等证明文件。</w:t>
      </w:r>
    </w:p>
    <w:p w14:paraId="3557B2D3">
      <w:pPr>
        <w:tabs>
          <w:tab w:val="left" w:pos="284"/>
          <w:tab w:val="left" w:pos="426"/>
          <w:tab w:val="left" w:pos="709"/>
        </w:tabs>
        <w:spacing w:before="156" w:beforeLines="50" w:after="156" w:afterLines="50" w:line="300" w:lineRule="exact"/>
        <w:ind w:firstLine="480" w:firstLineChars="200"/>
        <w:rPr>
          <w:rFonts w:ascii="仿宋" w:hAnsi="仿宋" w:eastAsia="仿宋"/>
          <w:snapToGrid w:val="0"/>
          <w:color w:val="000000"/>
          <w:sz w:val="24"/>
          <w:highlight w:val="yellow"/>
        </w:rPr>
      </w:pPr>
      <w:r>
        <w:rPr>
          <w:rFonts w:hint="eastAsia" w:ascii="仿宋" w:hAnsi="仿宋" w:eastAsia="仿宋"/>
          <w:snapToGrid w:val="0"/>
          <w:color w:val="000000"/>
          <w:sz w:val="24"/>
        </w:rPr>
        <w:t>2.投标人须提供卫生处理从业人员有效资格证。</w:t>
      </w:r>
    </w:p>
    <w:p w14:paraId="7B2A1D60">
      <w:pPr>
        <w:spacing w:before="156" w:beforeLines="50" w:after="156" w:afterLines="50" w:line="300" w:lineRule="exact"/>
        <w:ind w:firstLine="480" w:firstLineChars="200"/>
        <w:rPr>
          <w:rFonts w:ascii="仿宋" w:hAnsi="仿宋" w:eastAsia="仿宋"/>
          <w:color w:val="000000"/>
          <w:sz w:val="24"/>
        </w:rPr>
      </w:pPr>
      <w:r>
        <w:rPr>
          <w:rFonts w:hint="eastAsia" w:ascii="仿宋" w:hAnsi="仿宋" w:eastAsia="仿宋"/>
          <w:sz w:val="24"/>
        </w:rPr>
        <w:t>3.</w:t>
      </w:r>
      <w:r>
        <w:rPr>
          <w:rFonts w:hint="eastAsia" w:ascii="仿宋" w:hAnsi="仿宋" w:eastAsia="仿宋"/>
          <w:snapToGrid w:val="0"/>
          <w:color w:val="000000"/>
          <w:sz w:val="24"/>
        </w:rPr>
        <w:t xml:space="preserve"> 投标人登录“信用中国”（网址：</w:t>
      </w:r>
      <w:r>
        <w:rPr>
          <w:rFonts w:ascii="仿宋" w:hAnsi="仿宋" w:eastAsia="仿宋"/>
          <w:sz w:val="24"/>
        </w:rPr>
        <w:fldChar w:fldCharType="begin"/>
      </w:r>
      <w:r>
        <w:rPr>
          <w:rFonts w:ascii="仿宋" w:hAnsi="仿宋" w:eastAsia="仿宋"/>
          <w:sz w:val="24"/>
        </w:rPr>
        <w:instrText xml:space="preserve">HYPERLINK "https://www.creditchina.gov.cn）下载信用信息报告并提供，信用信息报告中无严重失信信息，否则其作无效投标处理。"</w:instrText>
      </w:r>
      <w:r>
        <w:rPr>
          <w:rFonts w:ascii="仿宋" w:hAnsi="仿宋" w:eastAsia="仿宋"/>
          <w:sz w:val="24"/>
        </w:rPr>
        <w:fldChar w:fldCharType="separate"/>
      </w:r>
      <w:r>
        <w:rPr>
          <w:rFonts w:hint="eastAsia" w:ascii="仿宋" w:hAnsi="仿宋" w:eastAsia="仿宋"/>
          <w:snapToGrid w:val="0"/>
          <w:color w:val="000000"/>
          <w:sz w:val="24"/>
        </w:rPr>
        <w:t>https://www.creditchina.gov.cn）下载信用信息报告并提供信用信息报告，信用信息报告中无严重失信信息，否则其作无效投标处理。</w:t>
      </w:r>
      <w:r>
        <w:rPr>
          <w:rFonts w:ascii="仿宋" w:hAnsi="仿宋" w:eastAsia="仿宋"/>
          <w:sz w:val="24"/>
        </w:rPr>
        <w:fldChar w:fldCharType="end"/>
      </w:r>
    </w:p>
    <w:p w14:paraId="55DA7924">
      <w:pPr>
        <w:pStyle w:val="54"/>
        <w:spacing w:before="156" w:beforeLines="50" w:after="156" w:afterLines="50" w:line="3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color w:val="000000"/>
          <w:sz w:val="24"/>
          <w:szCs w:val="24"/>
        </w:rPr>
        <w:t>与</w:t>
      </w:r>
      <w:r>
        <w:rPr>
          <w:rFonts w:hint="eastAsia" w:ascii="仿宋" w:hAnsi="仿宋" w:eastAsia="仿宋"/>
          <w:color w:val="000000"/>
          <w:sz w:val="24"/>
          <w:szCs w:val="24"/>
        </w:rPr>
        <w:t>投标</w:t>
      </w:r>
      <w:r>
        <w:rPr>
          <w:rFonts w:ascii="仿宋" w:hAnsi="仿宋" w:eastAsia="仿宋"/>
          <w:color w:val="000000"/>
          <w:sz w:val="24"/>
          <w:szCs w:val="24"/>
        </w:rPr>
        <w:t>人无诉讼纠纷。</w:t>
      </w:r>
    </w:p>
    <w:p w14:paraId="104D811E">
      <w:pPr>
        <w:spacing w:before="156" w:beforeLines="50" w:after="156" w:afterLines="50" w:line="300" w:lineRule="exact"/>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本招标项目不接受联合体投标。</w:t>
      </w:r>
    </w:p>
    <w:p w14:paraId="73122FC4">
      <w:pPr>
        <w:widowControl/>
        <w:tabs>
          <w:tab w:val="left" w:pos="510"/>
          <w:tab w:val="left" w:pos="900"/>
          <w:tab w:val="left" w:pos="993"/>
          <w:tab w:val="left" w:pos="1100"/>
          <w:tab w:val="left" w:pos="3807"/>
          <w:tab w:val="left" w:pos="7654"/>
        </w:tabs>
        <w:spacing w:line="530" w:lineRule="exact"/>
        <w:jc w:val="left"/>
        <w:rPr>
          <w:rFonts w:ascii="仿宋" w:hAnsi="仿宋" w:eastAsia="仿宋"/>
          <w:b/>
          <w:sz w:val="30"/>
          <w:szCs w:val="30"/>
        </w:rPr>
      </w:pPr>
      <w:r>
        <w:rPr>
          <w:rFonts w:hint="eastAsia" w:ascii="仿宋" w:hAnsi="仿宋" w:eastAsia="仿宋"/>
          <w:b/>
          <w:sz w:val="30"/>
          <w:szCs w:val="30"/>
        </w:rPr>
        <w:t>四、</w:t>
      </w:r>
      <w:r>
        <w:rPr>
          <w:rFonts w:ascii="仿宋" w:hAnsi="仿宋" w:eastAsia="仿宋"/>
          <w:b/>
          <w:sz w:val="30"/>
          <w:szCs w:val="30"/>
        </w:rPr>
        <w:t>评选办法</w:t>
      </w:r>
    </w:p>
    <w:p w14:paraId="64FFAE8B">
      <w:pPr>
        <w:spacing w:before="156" w:beforeLines="50" w:after="156" w:afterLines="50" w:line="360" w:lineRule="auto"/>
        <w:ind w:firstLine="480" w:firstLineChars="200"/>
        <w:rPr>
          <w:rFonts w:hint="eastAsia" w:ascii="仿宋" w:hAnsi="仿宋" w:eastAsia="仿宋"/>
          <w:b/>
          <w:sz w:val="30"/>
          <w:szCs w:val="30"/>
        </w:rPr>
      </w:pPr>
      <w:r>
        <w:rPr>
          <w:rFonts w:ascii="仿宋" w:hAnsi="仿宋" w:eastAsia="仿宋"/>
          <w:color w:val="000000"/>
          <w:kern w:val="0"/>
          <w:sz w:val="24"/>
        </w:rPr>
        <w:t>评选委员会将对通过资格及实质响应性审查的各合格参比人，</w:t>
      </w:r>
      <w:r>
        <w:rPr>
          <w:rFonts w:hint="eastAsia" w:ascii="仿宋" w:hAnsi="仿宋" w:eastAsia="仿宋"/>
          <w:color w:val="000000"/>
          <w:kern w:val="0"/>
          <w:sz w:val="24"/>
        </w:rPr>
        <w:t>经技术部分和商务部分评选后选择综合总分最高者作为中选单位，本案采用综合评分法，技术部分(满分30分)和商务部分(满分70分)占比3：7 ； 具体评分细则详见下表：</w:t>
      </w:r>
    </w:p>
    <w:p w14:paraId="60E82D92">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（一）技术评分(F1)：满分3</w:t>
      </w:r>
      <w:r>
        <w:rPr>
          <w:rFonts w:ascii="仿宋" w:hAnsi="仿宋" w:eastAsia="仿宋"/>
          <w:sz w:val="24"/>
        </w:rPr>
        <w:t>0分</w:t>
      </w:r>
    </w:p>
    <w:tbl>
      <w:tblPr>
        <w:tblStyle w:val="45"/>
        <w:tblW w:w="4999" w:type="pct"/>
        <w:tblInd w:w="0" w:type="dxa"/>
        <w:tblLayout w:type="autofit"/>
        <w:tblCellMar>
          <w:top w:w="0" w:type="dxa"/>
          <w:left w:w="108" w:type="dxa"/>
          <w:bottom w:w="0" w:type="dxa"/>
          <w:right w:w="108" w:type="dxa"/>
        </w:tblCellMar>
      </w:tblPr>
      <w:tblGrid>
        <w:gridCol w:w="790"/>
        <w:gridCol w:w="1663"/>
        <w:gridCol w:w="5885"/>
        <w:gridCol w:w="1440"/>
      </w:tblGrid>
      <w:tr w14:paraId="410439F9">
        <w:tblPrEx>
          <w:tblCellMar>
            <w:top w:w="0" w:type="dxa"/>
            <w:left w:w="108" w:type="dxa"/>
            <w:bottom w:w="0" w:type="dxa"/>
            <w:right w:w="108" w:type="dxa"/>
          </w:tblCellMar>
        </w:tblPrEx>
        <w:trPr>
          <w:trHeight w:val="312" w:hRule="atLeast"/>
        </w:trPr>
        <w:tc>
          <w:tcPr>
            <w:tcW w:w="404" w:type="pct"/>
            <w:tcBorders>
              <w:top w:val="single" w:color="000000" w:sz="8" w:space="0"/>
              <w:left w:val="single" w:color="000000" w:sz="8" w:space="0"/>
              <w:bottom w:val="nil"/>
              <w:right w:val="single" w:color="000000" w:sz="8" w:space="0"/>
            </w:tcBorders>
            <w:shd w:val="clear" w:color="auto" w:fill="auto"/>
            <w:noWrap w:val="0"/>
            <w:vAlign w:val="center"/>
          </w:tcPr>
          <w:p w14:paraId="33743F02">
            <w:pPr>
              <w:widowControl/>
              <w:jc w:val="center"/>
              <w:textAlignment w:val="center"/>
              <w:rPr>
                <w:rFonts w:ascii="仿宋" w:hAnsi="仿宋" w:eastAsia="仿宋"/>
                <w:color w:val="000000"/>
                <w:sz w:val="24"/>
              </w:rPr>
            </w:pPr>
            <w:r>
              <w:rPr>
                <w:rFonts w:hint="eastAsia" w:ascii="仿宋" w:hAnsi="仿宋" w:eastAsia="仿宋"/>
                <w:color w:val="000000"/>
                <w:sz w:val="24"/>
              </w:rPr>
              <w:t>序号</w:t>
            </w:r>
          </w:p>
        </w:tc>
        <w:tc>
          <w:tcPr>
            <w:tcW w:w="850" w:type="pct"/>
            <w:tcBorders>
              <w:top w:val="single" w:color="000000" w:sz="8" w:space="0"/>
              <w:left w:val="nil"/>
              <w:bottom w:val="nil"/>
              <w:right w:val="single" w:color="000000" w:sz="8" w:space="0"/>
            </w:tcBorders>
            <w:shd w:val="clear" w:color="auto" w:fill="auto"/>
            <w:noWrap w:val="0"/>
            <w:vAlign w:val="center"/>
          </w:tcPr>
          <w:p w14:paraId="52116779">
            <w:pPr>
              <w:widowControl/>
              <w:jc w:val="center"/>
              <w:textAlignment w:val="center"/>
              <w:rPr>
                <w:rFonts w:ascii="仿宋" w:hAnsi="仿宋" w:eastAsia="仿宋"/>
                <w:color w:val="000000"/>
                <w:sz w:val="24"/>
              </w:rPr>
            </w:pPr>
            <w:r>
              <w:rPr>
                <w:rFonts w:hint="eastAsia" w:ascii="仿宋" w:hAnsi="仿宋" w:eastAsia="仿宋"/>
                <w:color w:val="000000"/>
                <w:sz w:val="24"/>
              </w:rPr>
              <w:t>评标项目</w:t>
            </w:r>
          </w:p>
        </w:tc>
        <w:tc>
          <w:tcPr>
            <w:tcW w:w="3008" w:type="pct"/>
            <w:tcBorders>
              <w:top w:val="single" w:color="000000" w:sz="8" w:space="0"/>
              <w:left w:val="nil"/>
              <w:bottom w:val="nil"/>
              <w:right w:val="single" w:color="000000" w:sz="8" w:space="0"/>
            </w:tcBorders>
            <w:shd w:val="clear" w:color="auto" w:fill="auto"/>
            <w:noWrap w:val="0"/>
            <w:vAlign w:val="center"/>
          </w:tcPr>
          <w:p w14:paraId="655FC2DC">
            <w:pPr>
              <w:widowControl/>
              <w:textAlignment w:val="center"/>
              <w:rPr>
                <w:rFonts w:ascii="仿宋" w:hAnsi="仿宋" w:eastAsia="仿宋"/>
                <w:color w:val="000000"/>
                <w:sz w:val="24"/>
              </w:rPr>
            </w:pPr>
            <w:r>
              <w:rPr>
                <w:rFonts w:hint="eastAsia" w:ascii="仿宋" w:hAnsi="仿宋" w:eastAsia="仿宋"/>
                <w:color w:val="000000"/>
                <w:sz w:val="24"/>
              </w:rPr>
              <w:t>评标方法描述</w:t>
            </w:r>
          </w:p>
        </w:tc>
        <w:tc>
          <w:tcPr>
            <w:tcW w:w="736" w:type="pct"/>
            <w:tcBorders>
              <w:top w:val="single" w:color="000000" w:sz="8" w:space="0"/>
              <w:left w:val="nil"/>
              <w:bottom w:val="nil"/>
              <w:right w:val="single" w:color="000000" w:sz="8" w:space="0"/>
            </w:tcBorders>
            <w:shd w:val="clear" w:color="auto" w:fill="auto"/>
            <w:noWrap w:val="0"/>
            <w:vAlign w:val="center"/>
          </w:tcPr>
          <w:p w14:paraId="013C7AB4">
            <w:pPr>
              <w:widowControl/>
              <w:jc w:val="center"/>
              <w:textAlignment w:val="center"/>
              <w:rPr>
                <w:rFonts w:ascii="仿宋" w:hAnsi="仿宋" w:eastAsia="仿宋"/>
                <w:color w:val="000000"/>
                <w:sz w:val="24"/>
              </w:rPr>
            </w:pPr>
            <w:r>
              <w:rPr>
                <w:rFonts w:hint="eastAsia" w:ascii="仿宋" w:hAnsi="仿宋" w:eastAsia="仿宋"/>
                <w:color w:val="000000"/>
                <w:sz w:val="24"/>
              </w:rPr>
              <w:t>满分分值</w:t>
            </w:r>
          </w:p>
        </w:tc>
      </w:tr>
      <w:tr w14:paraId="32E57A91">
        <w:tblPrEx>
          <w:tblCellMar>
            <w:top w:w="0" w:type="dxa"/>
            <w:left w:w="108" w:type="dxa"/>
            <w:bottom w:w="0" w:type="dxa"/>
            <w:right w:w="108" w:type="dxa"/>
          </w:tblCellMar>
        </w:tblPrEx>
        <w:trPr>
          <w:trHeight w:val="2184"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6B5B6">
            <w:pPr>
              <w:widowControl/>
              <w:jc w:val="center"/>
              <w:textAlignment w:val="center"/>
              <w:rPr>
                <w:rFonts w:ascii="仿宋" w:hAnsi="仿宋" w:eastAsia="仿宋"/>
                <w:color w:val="000000"/>
                <w:sz w:val="24"/>
              </w:rPr>
            </w:pPr>
            <w:r>
              <w:rPr>
                <w:rFonts w:hint="eastAsia" w:ascii="仿宋" w:hAnsi="仿宋" w:eastAsia="仿宋"/>
                <w:color w:val="000000"/>
                <w:sz w:val="24"/>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05D25">
            <w:pPr>
              <w:widowControl/>
              <w:jc w:val="center"/>
              <w:textAlignment w:val="center"/>
              <w:rPr>
                <w:rFonts w:ascii="仿宋" w:hAnsi="仿宋" w:eastAsia="仿宋"/>
                <w:color w:val="000000"/>
                <w:sz w:val="24"/>
              </w:rPr>
            </w:pPr>
            <w:r>
              <w:rPr>
                <w:rFonts w:hint="eastAsia" w:ascii="仿宋" w:hAnsi="仿宋" w:eastAsia="仿宋"/>
                <w:color w:val="000000"/>
                <w:sz w:val="24"/>
              </w:rPr>
              <w:t>技术方案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42D9C">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控制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CF51F">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0DF3EA61">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BD472">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EBDB6">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C44F19">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的病媒生物监测技术服务方案的完整性、安全性、针对性、可行性等由评委进行评分。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F077E">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3CAFB50">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D3AFF">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D4B16">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95B6F">
            <w:pPr>
              <w:widowControl/>
              <w:jc w:val="center"/>
              <w:textAlignment w:val="center"/>
              <w:rPr>
                <w:rFonts w:ascii="仿宋" w:hAnsi="仿宋" w:eastAsia="仿宋"/>
                <w:color w:val="000000"/>
                <w:sz w:val="24"/>
              </w:rPr>
            </w:pPr>
            <w:r>
              <w:rPr>
                <w:rFonts w:hint="eastAsia" w:ascii="仿宋" w:hAnsi="仿宋" w:eastAsia="仿宋"/>
                <w:color w:val="000000"/>
                <w:sz w:val="24"/>
              </w:rPr>
              <w:t>根据各投标人针对本项目提供的应急预备方案（包括但不限于自然灾害、停水、停电、疫情爆发等），由评委进行评分</w:t>
            </w:r>
            <w:r>
              <w:rPr>
                <w:rStyle w:val="91"/>
                <w:rFonts w:ascii="仿宋" w:hAnsi="仿宋" w:eastAsia="仿宋"/>
              </w:rPr>
              <w:t>:</w:t>
            </w:r>
            <w:r>
              <w:rPr>
                <w:rStyle w:val="87"/>
                <w:rFonts w:hint="default" w:ascii="仿宋" w:hAnsi="仿宋" w:eastAsia="仿宋"/>
              </w:rPr>
              <w:t>方案详细完整合理、可行性高的得3分；实施方案较完整、具备一定可行性的得2分；实施方案一般，可行性较弱的得1分；未提供的不得分。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1702A">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0CD01B29">
        <w:tblPrEx>
          <w:tblCellMar>
            <w:top w:w="0" w:type="dxa"/>
            <w:left w:w="108" w:type="dxa"/>
            <w:bottom w:w="0" w:type="dxa"/>
            <w:right w:w="108" w:type="dxa"/>
          </w:tblCellMar>
        </w:tblPrEx>
        <w:trPr>
          <w:trHeight w:val="2184"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D2897">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54320">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88911">
            <w:pPr>
              <w:widowControl/>
              <w:jc w:val="center"/>
              <w:textAlignment w:val="center"/>
              <w:rPr>
                <w:rFonts w:ascii="仿宋" w:hAnsi="仿宋" w:eastAsia="仿宋"/>
                <w:color w:val="000000"/>
                <w:sz w:val="24"/>
              </w:rPr>
            </w:pPr>
            <w:r>
              <w:rPr>
                <w:rFonts w:hint="eastAsia" w:ascii="仿宋" w:hAnsi="仿宋" w:eastAsia="仿宋"/>
                <w:color w:val="000000"/>
                <w:sz w:val="24"/>
              </w:rPr>
              <w:t>根据投标人提供的药品管理方案（包括但不限于药品使用培训、药品保存等），由评委进行评分</w:t>
            </w:r>
            <w:r>
              <w:rPr>
                <w:rStyle w:val="91"/>
                <w:rFonts w:ascii="仿宋" w:hAnsi="仿宋" w:eastAsia="仿宋"/>
              </w:rPr>
              <w:t>:</w:t>
            </w:r>
            <w:r>
              <w:rPr>
                <w:rStyle w:val="87"/>
                <w:rFonts w:hint="default" w:ascii="仿宋" w:hAnsi="仿宋" w:eastAsia="仿宋"/>
              </w:rPr>
              <w:t>方案详细完整合理、可行性高的得</w:t>
            </w:r>
            <w:r>
              <w:rPr>
                <w:rStyle w:val="91"/>
                <w:rFonts w:ascii="仿宋" w:hAnsi="仿宋" w:eastAsia="仿宋"/>
              </w:rPr>
              <w:t>3</w:t>
            </w:r>
            <w:r>
              <w:rPr>
                <w:rStyle w:val="87"/>
                <w:rFonts w:hint="default" w:ascii="仿宋" w:hAnsi="仿宋" w:eastAsia="仿宋"/>
              </w:rPr>
              <w:t>分；实施方案较完整、具备一定可行性的得</w:t>
            </w:r>
            <w:r>
              <w:rPr>
                <w:rStyle w:val="91"/>
                <w:rFonts w:ascii="仿宋" w:hAnsi="仿宋" w:eastAsia="仿宋"/>
              </w:rPr>
              <w:t>2</w:t>
            </w:r>
            <w:r>
              <w:rPr>
                <w:rStyle w:val="87"/>
                <w:rFonts w:hint="default" w:ascii="仿宋" w:hAnsi="仿宋" w:eastAsia="仿宋"/>
              </w:rPr>
              <w:t>分；实施方案一般，可行性较弱的得</w:t>
            </w:r>
            <w:r>
              <w:rPr>
                <w:rStyle w:val="91"/>
                <w:rFonts w:ascii="仿宋" w:hAnsi="仿宋" w:eastAsia="仿宋"/>
              </w:rPr>
              <w:t>1</w:t>
            </w:r>
            <w:r>
              <w:rPr>
                <w:rStyle w:val="87"/>
                <w:rFonts w:hint="default" w:ascii="仿宋" w:hAnsi="仿宋" w:eastAsia="仿宋"/>
              </w:rPr>
              <w:t>分；未提供的不得分。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76312">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3658A19C">
        <w:tblPrEx>
          <w:tblCellMar>
            <w:top w:w="0" w:type="dxa"/>
            <w:left w:w="108" w:type="dxa"/>
            <w:bottom w:w="0" w:type="dxa"/>
            <w:right w:w="108" w:type="dxa"/>
          </w:tblCellMar>
        </w:tblPrEx>
        <w:trPr>
          <w:trHeight w:val="3432"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F4BA9">
            <w:pPr>
              <w:widowControl/>
              <w:jc w:val="center"/>
              <w:textAlignment w:val="center"/>
              <w:rPr>
                <w:rFonts w:ascii="仿宋" w:hAnsi="仿宋" w:eastAsia="仿宋"/>
                <w:color w:val="000000"/>
                <w:sz w:val="24"/>
              </w:rPr>
            </w:pPr>
            <w:r>
              <w:rPr>
                <w:rFonts w:hint="eastAsia" w:ascii="仿宋" w:hAnsi="仿宋" w:eastAsia="仿宋"/>
                <w:color w:val="000000"/>
                <w:sz w:val="24"/>
              </w:rPr>
              <w:t>2</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25BD8">
            <w:pPr>
              <w:widowControl/>
              <w:jc w:val="center"/>
              <w:textAlignment w:val="center"/>
              <w:rPr>
                <w:rFonts w:ascii="仿宋" w:hAnsi="仿宋" w:eastAsia="仿宋"/>
                <w:color w:val="000000"/>
                <w:sz w:val="24"/>
              </w:rPr>
            </w:pPr>
            <w:r>
              <w:rPr>
                <w:rFonts w:hint="eastAsia" w:ascii="仿宋" w:hAnsi="仿宋" w:eastAsia="仿宋"/>
                <w:color w:val="000000"/>
                <w:sz w:val="24"/>
              </w:rPr>
              <w:t>人员配置情况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FA251">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技术人员具有人社部门认定的机构颁发的有害生物防制员证书的得0.5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C6591">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5B344F51">
        <w:tblPrEx>
          <w:tblCellMar>
            <w:top w:w="0" w:type="dxa"/>
            <w:left w:w="108" w:type="dxa"/>
            <w:bottom w:w="0" w:type="dxa"/>
            <w:right w:w="108" w:type="dxa"/>
          </w:tblCellMar>
        </w:tblPrEx>
        <w:trPr>
          <w:trHeight w:val="343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60A6B">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FA43C">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66C4E">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项目负责人具有人社部门认定的机构颁发的有害生物防制员证书技师等级的得1分，需职业技能登记证书复印件，证书需在https://zscx.osta.org.cn/h5/“职业技能等级证书查询全国统一查询入口”可查询并附截图。同时提供投标截止时间前六个月（不含投标截止时间的当月）中任一月份依法在投标人本单位缴纳社保的证明材料，未提供的或提供不全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4D52E">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5D343ADA">
        <w:tblPrEx>
          <w:tblCellMar>
            <w:top w:w="0" w:type="dxa"/>
            <w:left w:w="108" w:type="dxa"/>
            <w:bottom w:w="0" w:type="dxa"/>
            <w:right w:w="108" w:type="dxa"/>
          </w:tblCellMar>
        </w:tblPrEx>
        <w:trPr>
          <w:trHeight w:val="156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485C3">
            <w:pPr>
              <w:widowControl/>
              <w:jc w:val="center"/>
              <w:textAlignment w:val="center"/>
              <w:rPr>
                <w:rFonts w:ascii="仿宋" w:hAnsi="仿宋" w:eastAsia="仿宋"/>
                <w:color w:val="000000"/>
                <w:sz w:val="24"/>
              </w:rPr>
            </w:pPr>
            <w:r>
              <w:rPr>
                <w:rFonts w:hint="eastAsia" w:ascii="仿宋" w:hAnsi="仿宋" w:eastAsia="仿宋"/>
                <w:color w:val="000000"/>
                <w:sz w:val="24"/>
              </w:rPr>
              <w:t>3</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AFA3C">
            <w:pPr>
              <w:widowControl/>
              <w:jc w:val="center"/>
              <w:textAlignment w:val="center"/>
              <w:rPr>
                <w:rFonts w:ascii="仿宋" w:hAnsi="仿宋" w:eastAsia="仿宋"/>
                <w:color w:val="000000"/>
                <w:sz w:val="24"/>
              </w:rPr>
            </w:pPr>
            <w:r>
              <w:rPr>
                <w:rFonts w:hint="eastAsia" w:ascii="仿宋" w:hAnsi="仿宋" w:eastAsia="仿宋"/>
                <w:color w:val="000000"/>
                <w:sz w:val="24"/>
              </w:rPr>
              <w:t>设备配置情况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B137">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根据投标人投入作业工程车或面包车进行打分，每提供1辆得0.5分；满分1.5分。须提供车辆前后图片、有效期内行驶证、车辆登记证及供应商自行购置的发票。</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BEED">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7A426DEA">
        <w:tblPrEx>
          <w:tblCellMar>
            <w:top w:w="0" w:type="dxa"/>
            <w:left w:w="108" w:type="dxa"/>
            <w:bottom w:w="0" w:type="dxa"/>
            <w:right w:w="108" w:type="dxa"/>
          </w:tblCellMar>
        </w:tblPrEx>
        <w:trPr>
          <w:trHeight w:val="1248"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28FE0">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D31AD">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20D33">
            <w:pPr>
              <w:widowControl/>
              <w:jc w:val="center"/>
              <w:textAlignment w:val="center"/>
              <w:rPr>
                <w:rFonts w:ascii="仿宋" w:hAnsi="仿宋" w:eastAsia="仿宋"/>
                <w:color w:val="000000"/>
                <w:sz w:val="24"/>
              </w:rPr>
            </w:pPr>
            <w:r>
              <w:rPr>
                <w:rFonts w:hint="eastAsia" w:ascii="仿宋" w:hAnsi="仿宋" w:eastAsia="仿宋"/>
                <w:color w:val="000000"/>
                <w:sz w:val="24"/>
              </w:rPr>
              <w:t>根据投标人投入本项目的病媒生物控制或监测设备数量进行打分，每提供1台得0.5分；满分1.5分。须提供设备图片及供应商自行购置的发票。</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E3EC">
            <w:pPr>
              <w:jc w:val="center"/>
              <w:rPr>
                <w:rFonts w:ascii="仿宋" w:hAnsi="仿宋" w:eastAsia="仿宋"/>
                <w:color w:val="000000"/>
                <w:sz w:val="24"/>
              </w:rPr>
            </w:pPr>
          </w:p>
        </w:tc>
      </w:tr>
      <w:tr w14:paraId="43D9E907">
        <w:tblPrEx>
          <w:tblCellMar>
            <w:top w:w="0" w:type="dxa"/>
            <w:left w:w="108" w:type="dxa"/>
            <w:bottom w:w="0" w:type="dxa"/>
            <w:right w:w="108" w:type="dxa"/>
          </w:tblCellMar>
        </w:tblPrEx>
        <w:trPr>
          <w:trHeight w:val="2496"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4B21F">
            <w:pPr>
              <w:widowControl/>
              <w:jc w:val="center"/>
              <w:textAlignment w:val="center"/>
              <w:rPr>
                <w:rFonts w:ascii="仿宋" w:hAnsi="仿宋" w:eastAsia="仿宋"/>
                <w:color w:val="000000"/>
                <w:sz w:val="24"/>
              </w:rPr>
            </w:pPr>
            <w:r>
              <w:rPr>
                <w:rFonts w:hint="eastAsia" w:ascii="仿宋" w:hAnsi="仿宋" w:eastAsia="仿宋"/>
                <w:color w:val="000000"/>
                <w:sz w:val="24"/>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3E066">
            <w:pPr>
              <w:widowControl/>
              <w:jc w:val="center"/>
              <w:textAlignment w:val="center"/>
              <w:rPr>
                <w:rFonts w:ascii="仿宋" w:hAnsi="仿宋" w:eastAsia="仿宋"/>
                <w:color w:val="000000"/>
                <w:sz w:val="24"/>
              </w:rPr>
            </w:pPr>
            <w:r>
              <w:rPr>
                <w:rFonts w:hint="eastAsia" w:ascii="仿宋" w:hAnsi="仿宋" w:eastAsia="仿宋"/>
                <w:color w:val="000000"/>
                <w:sz w:val="24"/>
              </w:rPr>
              <w:t>业绩情况</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E0D6C0">
            <w:pPr>
              <w:widowControl/>
              <w:jc w:val="center"/>
              <w:textAlignment w:val="center"/>
              <w:rPr>
                <w:rFonts w:ascii="仿宋" w:hAnsi="仿宋" w:eastAsia="仿宋"/>
                <w:color w:val="000000"/>
                <w:sz w:val="24"/>
              </w:rPr>
            </w:pPr>
            <w:r>
              <w:rPr>
                <w:rFonts w:hint="eastAsia" w:ascii="仿宋" w:hAnsi="仿宋" w:eastAsia="仿宋"/>
                <w:color w:val="000000"/>
                <w:sz w:val="24"/>
              </w:rPr>
              <w:t>根据供应商近三年（以合同签订日期为准）在漳州古雷经济开发区正在管理或已完成服务与本项目类似项目业绩情况进行评分：每提供一份完整的业绩证明材料的得0.5分；满分3分。注：合同文本复印件以及双方业务开展的发票，未同时提供以上各项证明材料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DAA6">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4D834C25">
        <w:tblPrEx>
          <w:tblCellMar>
            <w:top w:w="0" w:type="dxa"/>
            <w:left w:w="108" w:type="dxa"/>
            <w:bottom w:w="0" w:type="dxa"/>
            <w:right w:w="108" w:type="dxa"/>
          </w:tblCellMar>
        </w:tblPrEx>
        <w:trPr>
          <w:trHeight w:val="2808"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D6632">
            <w:pPr>
              <w:widowControl/>
              <w:jc w:val="center"/>
              <w:textAlignment w:val="center"/>
              <w:rPr>
                <w:rFonts w:ascii="仿宋" w:hAnsi="仿宋" w:eastAsia="仿宋"/>
                <w:color w:val="000000"/>
                <w:sz w:val="24"/>
              </w:rPr>
            </w:pPr>
            <w:r>
              <w:rPr>
                <w:rFonts w:hint="eastAsia" w:ascii="仿宋" w:hAnsi="仿宋" w:eastAsia="仿宋"/>
                <w:color w:val="000000"/>
                <w:sz w:val="24"/>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F30D">
            <w:pPr>
              <w:widowControl/>
              <w:jc w:val="center"/>
              <w:textAlignment w:val="center"/>
              <w:rPr>
                <w:rFonts w:ascii="仿宋" w:hAnsi="仿宋" w:eastAsia="仿宋"/>
                <w:color w:val="000000"/>
                <w:sz w:val="24"/>
              </w:rPr>
            </w:pPr>
            <w:r>
              <w:rPr>
                <w:rFonts w:hint="eastAsia" w:ascii="仿宋" w:hAnsi="仿宋" w:eastAsia="仿宋"/>
                <w:color w:val="000000"/>
                <w:sz w:val="24"/>
              </w:rPr>
              <w:t>综合实力</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92B20">
            <w:pPr>
              <w:widowControl/>
              <w:jc w:val="center"/>
              <w:textAlignment w:val="center"/>
              <w:rPr>
                <w:rFonts w:ascii="仿宋" w:hAnsi="仿宋" w:eastAsia="仿宋"/>
                <w:color w:val="000000"/>
                <w:sz w:val="24"/>
              </w:rPr>
            </w:pPr>
            <w:r>
              <w:rPr>
                <w:rFonts w:hint="eastAsia" w:ascii="仿宋" w:hAnsi="仿宋" w:eastAsia="仿宋"/>
                <w:color w:val="000000"/>
                <w:sz w:val="24"/>
              </w:rPr>
              <w:t>根据投标人获得卫生有害生物防制机构颁发的有害生物防制服务能力情况进行评分：获得有害生物防制服务能力A级或以上的得2分；获得有害生物防制服务能力B级的得1分；获得有害生物防制服务能力C级的得0.5分；（须提供有效期内的有害生物防制服务能力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359C8">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r w14:paraId="581BEF8F">
        <w:tblPrEx>
          <w:tblCellMar>
            <w:top w:w="0" w:type="dxa"/>
            <w:left w:w="108" w:type="dxa"/>
            <w:bottom w:w="0" w:type="dxa"/>
            <w:right w:w="108" w:type="dxa"/>
          </w:tblCellMar>
        </w:tblPrEx>
        <w:trPr>
          <w:trHeight w:val="1872"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56E13">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F448">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F0EDF">
            <w:pPr>
              <w:widowControl/>
              <w:jc w:val="center"/>
              <w:textAlignment w:val="center"/>
              <w:rPr>
                <w:rFonts w:ascii="仿宋" w:hAnsi="仿宋" w:eastAsia="仿宋"/>
                <w:color w:val="000000"/>
                <w:sz w:val="24"/>
              </w:rPr>
            </w:pPr>
            <w:r>
              <w:rPr>
                <w:rFonts w:hint="eastAsia" w:ascii="仿宋" w:hAnsi="仿宋" w:eastAsia="仿宋"/>
                <w:color w:val="000000"/>
                <w:sz w:val="24"/>
              </w:rPr>
              <w:t>投标人具有有效的质量管理体系认证证书、环境管理体系认证证书、职业健康安全管理体系认证证书的，每提供一项有效的认证证书的得</w:t>
            </w:r>
            <w:r>
              <w:rPr>
                <w:rStyle w:val="91"/>
                <w:rFonts w:ascii="仿宋" w:hAnsi="仿宋" w:eastAsia="仿宋"/>
              </w:rPr>
              <w:t>1</w:t>
            </w:r>
            <w:r>
              <w:rPr>
                <w:rStyle w:val="87"/>
                <w:rFonts w:hint="default" w:ascii="仿宋" w:hAnsi="仿宋" w:eastAsia="仿宋"/>
              </w:rPr>
              <w:t>分；满分</w:t>
            </w:r>
            <w:r>
              <w:rPr>
                <w:rStyle w:val="91"/>
                <w:rFonts w:ascii="仿宋" w:hAnsi="仿宋" w:eastAsia="仿宋"/>
              </w:rPr>
              <w:t>3</w:t>
            </w:r>
            <w:r>
              <w:rPr>
                <w:rStyle w:val="87"/>
                <w:rFonts w:hint="default" w:ascii="仿宋" w:hAnsi="仿宋" w:eastAsia="仿宋"/>
              </w:rPr>
              <w:t>分（须提供有效期内的体系证书复印件并加盖投标人公章）未提供的不得分。。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54AC5">
            <w:pPr>
              <w:widowControl/>
              <w:jc w:val="center"/>
              <w:textAlignment w:val="center"/>
              <w:rPr>
                <w:rFonts w:ascii="仿宋" w:hAnsi="仿宋" w:eastAsia="仿宋"/>
                <w:color w:val="000000"/>
                <w:sz w:val="24"/>
              </w:rPr>
            </w:pPr>
            <w:r>
              <w:rPr>
                <w:rFonts w:hint="eastAsia" w:ascii="仿宋" w:hAnsi="仿宋" w:eastAsia="仿宋"/>
                <w:color w:val="000000"/>
                <w:sz w:val="24"/>
              </w:rPr>
              <w:t>3</w:t>
            </w:r>
          </w:p>
        </w:tc>
      </w:tr>
      <w:tr w14:paraId="7AC41643">
        <w:tblPrEx>
          <w:tblCellMar>
            <w:top w:w="0" w:type="dxa"/>
            <w:left w:w="108" w:type="dxa"/>
            <w:bottom w:w="0" w:type="dxa"/>
            <w:right w:w="108" w:type="dxa"/>
          </w:tblCellMar>
        </w:tblPrEx>
        <w:trPr>
          <w:trHeight w:val="1560"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954EC">
            <w:pPr>
              <w:jc w:val="center"/>
              <w:rPr>
                <w:rFonts w:ascii="仿宋" w:hAnsi="仿宋" w:eastAsia="仿宋"/>
                <w:color w:val="000000"/>
                <w:sz w:val="24"/>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5500">
            <w:pPr>
              <w:jc w:val="center"/>
              <w:rPr>
                <w:rFonts w:ascii="仿宋" w:hAnsi="仿宋" w:eastAsia="仿宋"/>
                <w:color w:val="000000"/>
                <w:sz w:val="24"/>
              </w:rPr>
            </w:pP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48F66">
            <w:pPr>
              <w:widowControl/>
              <w:jc w:val="center"/>
              <w:textAlignment w:val="center"/>
              <w:rPr>
                <w:rFonts w:ascii="仿宋" w:hAnsi="仿宋" w:eastAsia="仿宋"/>
                <w:color w:val="000000"/>
                <w:sz w:val="24"/>
              </w:rPr>
            </w:pPr>
            <w:r>
              <w:rPr>
                <w:rFonts w:hint="eastAsia" w:ascii="仿宋" w:hAnsi="仿宋" w:eastAsia="仿宋"/>
                <w:color w:val="000000"/>
                <w:sz w:val="24"/>
              </w:rPr>
              <w:t>投标人具备厦门关区颁发的进出境动植物检疫除害处理单位核准证书得2分；（须提供有效期内的进出境动植物检疫除害处理单位核准证书复印件并加盖投标人公章）未提供的不得分。</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88F3">
            <w:pPr>
              <w:widowControl/>
              <w:jc w:val="center"/>
              <w:textAlignment w:val="center"/>
              <w:rPr>
                <w:rFonts w:ascii="仿宋" w:hAnsi="仿宋" w:eastAsia="仿宋"/>
                <w:color w:val="000000"/>
                <w:sz w:val="24"/>
              </w:rPr>
            </w:pPr>
            <w:r>
              <w:rPr>
                <w:rFonts w:hint="eastAsia" w:ascii="仿宋" w:hAnsi="仿宋" w:eastAsia="仿宋"/>
                <w:color w:val="000000"/>
                <w:sz w:val="24"/>
              </w:rPr>
              <w:t>2</w:t>
            </w:r>
          </w:p>
        </w:tc>
      </w:tr>
    </w:tbl>
    <w:p w14:paraId="596EDBF1">
      <w:pPr>
        <w:tabs>
          <w:tab w:val="left" w:pos="-1080"/>
          <w:tab w:val="left" w:pos="180"/>
          <w:tab w:val="left" w:pos="1080"/>
        </w:tabs>
        <w:spacing w:line="360" w:lineRule="auto"/>
        <w:rPr>
          <w:rFonts w:hint="eastAsia" w:ascii="仿宋" w:hAnsi="仿宋" w:eastAsia="仿宋"/>
          <w:sz w:val="24"/>
        </w:rPr>
      </w:pPr>
    </w:p>
    <w:p w14:paraId="125B0CEB">
      <w:pPr>
        <w:tabs>
          <w:tab w:val="left" w:pos="-1080"/>
          <w:tab w:val="left" w:pos="180"/>
          <w:tab w:val="left" w:pos="1080"/>
        </w:tabs>
        <w:spacing w:line="360" w:lineRule="auto"/>
        <w:rPr>
          <w:rFonts w:ascii="仿宋" w:hAnsi="仿宋" w:eastAsia="仿宋"/>
          <w:sz w:val="24"/>
        </w:rPr>
      </w:pPr>
      <w:r>
        <w:rPr>
          <w:rFonts w:hint="eastAsia" w:ascii="仿宋" w:hAnsi="仿宋" w:eastAsia="仿宋"/>
          <w:sz w:val="24"/>
        </w:rPr>
        <w:t>（二）商务评分(F2)：满分70分</w:t>
      </w:r>
    </w:p>
    <w:p w14:paraId="05364A3E">
      <w:pPr>
        <w:pStyle w:val="24"/>
        <w:spacing w:line="360" w:lineRule="auto"/>
        <w:rPr>
          <w:rFonts w:ascii="仿宋" w:hAnsi="仿宋" w:eastAsia="仿宋" w:cs="宋体"/>
          <w:sz w:val="24"/>
          <w:szCs w:val="24"/>
          <w:lang w:eastAsia="zh-CN"/>
        </w:rPr>
      </w:pPr>
      <w:r>
        <w:rPr>
          <w:rFonts w:ascii="仿宋" w:hAnsi="仿宋" w:eastAsia="仿宋" w:cs="宋体"/>
          <w:sz w:val="24"/>
          <w:szCs w:val="24"/>
          <w:lang w:eastAsia="zh-CN"/>
        </w:rPr>
        <w:t>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1.1</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评标委员会对各有效标的投标报价进行审核确定评标价，并将所有投标人的评标价去掉一个最高值后的算术平均数定为评标基准价（如参与评标价平均值计算的投标人少于</w:t>
      </w:r>
      <w:r>
        <w:rPr>
          <w:rFonts w:hint="eastAsia" w:ascii="仿宋" w:hAnsi="仿宋" w:eastAsia="仿宋" w:cs="宋体"/>
          <w:sz w:val="24"/>
          <w:szCs w:val="24"/>
          <w:lang w:eastAsia="zh-CN"/>
        </w:rPr>
        <w:t>4</w:t>
      </w:r>
      <w:r>
        <w:rPr>
          <w:rFonts w:ascii="仿宋" w:hAnsi="仿宋" w:eastAsia="仿宋" w:cs="宋体"/>
          <w:sz w:val="24"/>
          <w:szCs w:val="24"/>
          <w:lang w:eastAsia="zh-CN"/>
        </w:rPr>
        <w:t>家时，不再去掉最高和最低值，直接计算其算术平均数为评标基准价）</w:t>
      </w:r>
      <w:r>
        <w:rPr>
          <w:rFonts w:hint="eastAsia" w:ascii="仿宋" w:hAnsi="仿宋" w:eastAsia="仿宋" w:cs="宋体"/>
          <w:sz w:val="24"/>
          <w:szCs w:val="24"/>
          <w:lang w:eastAsia="zh-CN"/>
        </w:rPr>
        <w:t>。</w:t>
      </w:r>
      <w:r>
        <w:rPr>
          <w:rFonts w:ascii="仿宋" w:hAnsi="仿宋" w:eastAsia="仿宋" w:cs="宋体"/>
          <w:sz w:val="24"/>
          <w:szCs w:val="24"/>
          <w:lang w:eastAsia="zh-CN"/>
        </w:rPr>
        <w:br w:type="textWrapping"/>
      </w:r>
      <w:r>
        <w:rPr>
          <w:rFonts w:ascii="仿宋" w:hAnsi="仿宋" w:eastAsia="仿宋" w:cs="宋体"/>
          <w:sz w:val="24"/>
          <w:szCs w:val="24"/>
          <w:lang w:eastAsia="zh-CN"/>
        </w:rPr>
        <w:t>1.2</w:t>
      </w:r>
      <w:r>
        <w:rPr>
          <w:rFonts w:hint="eastAsia" w:ascii="仿宋" w:hAnsi="仿宋" w:eastAsia="仿宋" w:cs="宋体"/>
          <w:sz w:val="24"/>
          <w:szCs w:val="24"/>
          <w:lang w:eastAsia="zh-CN"/>
        </w:rPr>
        <w:t xml:space="preserve"> </w:t>
      </w:r>
      <w:r>
        <w:rPr>
          <w:rFonts w:ascii="仿宋" w:hAnsi="仿宋" w:eastAsia="仿宋" w:cs="宋体"/>
          <w:sz w:val="24"/>
          <w:szCs w:val="24"/>
          <w:lang w:eastAsia="zh-CN"/>
        </w:rPr>
        <w:t>有效报价</w:t>
      </w:r>
      <w:r>
        <w:rPr>
          <w:rFonts w:hint="eastAsia" w:ascii="仿宋" w:hAnsi="仿宋" w:eastAsia="仿宋" w:cs="宋体"/>
          <w:sz w:val="24"/>
          <w:szCs w:val="24"/>
          <w:lang w:eastAsia="zh-CN"/>
        </w:rPr>
        <w:t>&gt;</w:t>
      </w:r>
      <w:r>
        <w:rPr>
          <w:rFonts w:ascii="仿宋" w:hAnsi="仿宋" w:eastAsia="仿宋" w:cs="宋体"/>
          <w:sz w:val="24"/>
          <w:szCs w:val="24"/>
          <w:lang w:eastAsia="zh-CN"/>
        </w:rPr>
        <w:t>=5家时，去掉1个最高价</w:t>
      </w:r>
      <w:r>
        <w:rPr>
          <w:rFonts w:hint="eastAsia" w:ascii="仿宋" w:hAnsi="仿宋" w:eastAsia="仿宋" w:cs="宋体"/>
          <w:sz w:val="24"/>
          <w:szCs w:val="24"/>
          <w:lang w:eastAsia="zh-CN"/>
        </w:rPr>
        <w:t>后</w:t>
      </w:r>
      <w:r>
        <w:rPr>
          <w:rFonts w:ascii="仿宋" w:hAnsi="仿宋" w:eastAsia="仿宋" w:cs="宋体"/>
          <w:sz w:val="24"/>
          <w:szCs w:val="24"/>
          <w:lang w:eastAsia="zh-CN"/>
        </w:rPr>
        <w:t>，再计算其</w:t>
      </w:r>
      <w:r>
        <w:rPr>
          <w:rFonts w:hint="eastAsia" w:ascii="仿宋" w:hAnsi="仿宋" w:eastAsia="仿宋" w:cs="宋体"/>
          <w:sz w:val="24"/>
          <w:szCs w:val="24"/>
          <w:lang w:eastAsia="zh-CN"/>
        </w:rPr>
        <w:t>投标报价平均值作为评标基准价。</w:t>
      </w:r>
    </w:p>
    <w:p w14:paraId="6D8E9F7D">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.3 有效报价</w:t>
      </w:r>
      <w:r>
        <w:rPr>
          <w:rFonts w:hint="eastAsia" w:ascii="仿宋" w:hAnsi="仿宋" w:eastAsia="仿宋" w:cs="宋体"/>
          <w:sz w:val="24"/>
          <w:szCs w:val="24"/>
          <w:lang w:eastAsia="zh-CN"/>
        </w:rPr>
        <w:t>&lt;</w:t>
      </w:r>
      <w:r>
        <w:rPr>
          <w:rFonts w:ascii="仿宋" w:hAnsi="仿宋" w:eastAsia="仿宋" w:cs="宋体"/>
          <w:sz w:val="24"/>
          <w:szCs w:val="24"/>
          <w:lang w:eastAsia="zh-CN"/>
        </w:rPr>
        <w:t>5家时，评审基准价计算统一采用</w:t>
      </w:r>
      <w:r>
        <w:rPr>
          <w:rFonts w:hint="eastAsia" w:ascii="仿宋" w:hAnsi="仿宋" w:eastAsia="仿宋" w:cs="宋体"/>
          <w:sz w:val="24"/>
          <w:szCs w:val="24"/>
          <w:lang w:eastAsia="zh-CN"/>
        </w:rPr>
        <w:t>投标报价平均值作为评标基准价。</w:t>
      </w:r>
    </w:p>
    <w:p w14:paraId="3D0C52D8">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1.4 评审基准价计算统一采用投标报价平均值作为评标基准价，即满足采购文件要求评审价格的加权平均报价作为评审基准价，其价格分为满分。其他投标响应供应商</w:t>
      </w:r>
    </w:p>
    <w:p w14:paraId="472AC3BC">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价格分按下列公式计算：投标报价得分=70-（|Ai-评标基准价|÷评标基准价）×100×Q。</w:t>
      </w:r>
    </w:p>
    <w:p w14:paraId="3E5CA82C">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其中，Ai 为通过初步评审的各合格投标人有效报价评标价；</w:t>
      </w:r>
    </w:p>
    <w:p w14:paraId="317C7F0A">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Q为折价分，即有效报价评标价每偏离本项目评标基准价1%所扣的分数：</w:t>
      </w:r>
    </w:p>
    <w:p w14:paraId="4B7DB56E">
      <w:pPr>
        <w:pStyle w:val="24"/>
        <w:spacing w:line="36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当合格投标人的有效报价评标价≤评标基准价时，Q的取值为0.50；</w:t>
      </w:r>
    </w:p>
    <w:p w14:paraId="41248229">
      <w:pPr>
        <w:pStyle w:val="24"/>
        <w:spacing w:line="360" w:lineRule="auto"/>
        <w:rPr>
          <w:rFonts w:ascii="仿宋" w:hAnsi="仿宋" w:eastAsia="仿宋" w:cs="宋体"/>
          <w:sz w:val="24"/>
          <w:szCs w:val="24"/>
          <w:lang w:eastAsia="zh-CN"/>
        </w:rPr>
      </w:pPr>
      <w:r>
        <w:rPr>
          <w:rFonts w:hint="eastAsia" w:ascii="仿宋" w:hAnsi="仿宋" w:eastAsia="仿宋" w:cs="宋体"/>
          <w:sz w:val="24"/>
          <w:szCs w:val="24"/>
          <w:lang w:eastAsia="zh-CN"/>
        </w:rPr>
        <w:t>当合格投标人的有效报价评标价&gt;评标基准价时，Q的取值为1。</w:t>
      </w:r>
    </w:p>
    <w:p w14:paraId="476D6FDA">
      <w:pPr>
        <w:pStyle w:val="24"/>
        <w:spacing w:line="360" w:lineRule="auto"/>
        <w:ind w:left="480" w:hanging="480" w:hangingChars="200"/>
        <w:rPr>
          <w:rFonts w:ascii="仿宋" w:hAnsi="仿宋" w:eastAsia="仿宋" w:cs="宋体"/>
          <w:sz w:val="24"/>
          <w:szCs w:val="24"/>
          <w:lang w:eastAsia="zh-CN"/>
        </w:rPr>
      </w:pPr>
      <w:r>
        <w:rPr>
          <w:rFonts w:hint="eastAsia" w:ascii="仿宋" w:hAnsi="仿宋" w:eastAsia="仿宋" w:cs="宋体"/>
          <w:sz w:val="24"/>
          <w:szCs w:val="24"/>
          <w:lang w:eastAsia="zh-CN"/>
        </w:rPr>
        <w:t>1</w:t>
      </w:r>
      <w:r>
        <w:rPr>
          <w:rFonts w:ascii="仿宋" w:hAnsi="仿宋" w:eastAsia="仿宋" w:cs="宋体"/>
          <w:sz w:val="24"/>
          <w:szCs w:val="24"/>
          <w:lang w:eastAsia="zh-CN"/>
        </w:rPr>
        <w:t>.</w:t>
      </w:r>
      <w:r>
        <w:rPr>
          <w:rFonts w:hint="eastAsia" w:ascii="仿宋" w:hAnsi="仿宋" w:eastAsia="仿宋" w:cs="宋体"/>
          <w:sz w:val="24"/>
          <w:szCs w:val="24"/>
          <w:lang w:eastAsia="zh-CN"/>
        </w:rPr>
        <w:t xml:space="preserve">5 </w:t>
      </w:r>
      <w:r>
        <w:rPr>
          <w:rFonts w:ascii="仿宋" w:hAnsi="仿宋" w:eastAsia="仿宋" w:cs="宋体"/>
          <w:sz w:val="24"/>
          <w:szCs w:val="24"/>
          <w:lang w:eastAsia="zh-CN"/>
        </w:rPr>
        <w:t>投标人评标价=评标基准价；</w:t>
      </w:r>
      <w:r>
        <w:rPr>
          <w:rFonts w:ascii="仿宋" w:hAnsi="仿宋" w:eastAsia="仿宋" w:cs="宋体"/>
          <w:sz w:val="24"/>
          <w:szCs w:val="24"/>
          <w:lang w:eastAsia="zh-CN"/>
        </w:rPr>
        <w:br w:type="textWrapping"/>
      </w:r>
      <w:r>
        <w:rPr>
          <w:rFonts w:ascii="仿宋" w:hAnsi="仿宋" w:eastAsia="仿宋" w:cs="宋体"/>
          <w:sz w:val="24"/>
          <w:szCs w:val="24"/>
          <w:lang w:eastAsia="zh-CN"/>
        </w:rPr>
        <w:t>评标价得分=70</w:t>
      </w:r>
    </w:p>
    <w:p w14:paraId="3802B449">
      <w:pPr>
        <w:pStyle w:val="24"/>
        <w:numPr>
          <w:ilvl w:val="0"/>
          <w:numId w:val="0"/>
        </w:numPr>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（三）综合得分= F1 + F2。</w:t>
      </w:r>
    </w:p>
    <w:p w14:paraId="3A429AB8">
      <w:pPr>
        <w:pStyle w:val="24"/>
        <w:numPr>
          <w:ilvl w:val="0"/>
          <w:numId w:val="0"/>
        </w:numPr>
        <w:spacing w:line="360" w:lineRule="auto"/>
        <w:rPr>
          <w:rFonts w:ascii="仿宋" w:hAnsi="仿宋" w:eastAsia="仿宋" w:cs="宋体"/>
          <w:b/>
          <w:bCs/>
          <w:sz w:val="24"/>
          <w:szCs w:val="24"/>
          <w:lang w:eastAsia="zh-CN"/>
        </w:rPr>
      </w:pPr>
      <w:r>
        <w:rPr>
          <w:rFonts w:hint="eastAsia" w:ascii="仿宋" w:hAnsi="仿宋" w:eastAsia="仿宋" w:cs="宋体"/>
          <w:b/>
          <w:bCs/>
          <w:sz w:val="24"/>
          <w:szCs w:val="24"/>
          <w:lang w:eastAsia="zh-CN"/>
        </w:rPr>
        <w:t>备注：</w:t>
      </w:r>
    </w:p>
    <w:p w14:paraId="7DAC10F6">
      <w:pPr>
        <w:pStyle w:val="24"/>
        <w:spacing w:line="360" w:lineRule="auto"/>
        <w:rPr>
          <w:rFonts w:ascii="仿宋" w:hAnsi="仿宋" w:eastAsia="仿宋" w:cs="宋体"/>
          <w:bCs/>
          <w:sz w:val="24"/>
          <w:szCs w:val="24"/>
          <w:lang w:eastAsia="zh-CN"/>
        </w:rPr>
      </w:pPr>
      <w:r>
        <w:rPr>
          <w:rFonts w:hint="eastAsia" w:ascii="仿宋" w:hAnsi="仿宋" w:eastAsia="仿宋" w:cs="宋体"/>
          <w:bCs/>
          <w:sz w:val="24"/>
          <w:szCs w:val="24"/>
          <w:lang w:eastAsia="zh-CN"/>
        </w:rPr>
        <w:t>1、技术商务评分中涉及排名情况的评分由评标委员会根据各投标人投标文件的响应情况进行综合评议得出排名。</w:t>
      </w:r>
    </w:p>
    <w:p w14:paraId="288EE5BE">
      <w:pPr>
        <w:tabs>
          <w:tab w:val="left" w:pos="1272"/>
        </w:tabs>
        <w:spacing w:line="355" w:lineRule="exact"/>
        <w:ind w:left="9"/>
        <w:outlineLvl w:val="0"/>
        <w:rPr>
          <w:rFonts w:ascii="仿宋" w:hAnsi="仿宋" w:eastAsia="仿宋"/>
          <w:b/>
          <w:sz w:val="24"/>
        </w:rPr>
      </w:pPr>
      <w:bookmarkStart w:id="2" w:name="_Toc6969"/>
      <w:r>
        <w:rPr>
          <w:rFonts w:hint="eastAsia" w:ascii="仿宋" w:hAnsi="仿宋" w:eastAsia="仿宋"/>
          <w:b/>
          <w:sz w:val="24"/>
        </w:rPr>
        <w:t>五、</w:t>
      </w:r>
      <w:r>
        <w:rPr>
          <w:rFonts w:ascii="仿宋" w:hAnsi="仿宋" w:eastAsia="仿宋"/>
          <w:b/>
          <w:sz w:val="24"/>
        </w:rPr>
        <w:t>评</w:t>
      </w:r>
      <w:r>
        <w:rPr>
          <w:rFonts w:hint="eastAsia" w:ascii="仿宋" w:hAnsi="仿宋" w:eastAsia="仿宋"/>
          <w:b/>
          <w:sz w:val="24"/>
        </w:rPr>
        <w:t>标</w:t>
      </w:r>
      <w:r>
        <w:rPr>
          <w:rFonts w:ascii="仿宋" w:hAnsi="仿宋" w:eastAsia="仿宋"/>
          <w:b/>
          <w:sz w:val="24"/>
        </w:rPr>
        <w:t>规则</w:t>
      </w:r>
      <w:bookmarkEnd w:id="2"/>
    </w:p>
    <w:p w14:paraId="05127A02">
      <w:pPr>
        <w:spacing w:before="156" w:beforeLines="50" w:after="156" w:afterLines="50"/>
        <w:rPr>
          <w:rFonts w:ascii="仿宋" w:hAnsi="仿宋" w:eastAsia="仿宋"/>
          <w:b/>
          <w:w w:val="95"/>
          <w:sz w:val="24"/>
        </w:rPr>
      </w:pPr>
      <w:r>
        <w:rPr>
          <w:rFonts w:hint="eastAsia" w:ascii="仿宋" w:hAnsi="仿宋" w:eastAsia="仿宋"/>
          <w:b/>
          <w:w w:val="95"/>
          <w:sz w:val="24"/>
        </w:rPr>
        <w:t>（一）</w:t>
      </w:r>
      <w:r>
        <w:rPr>
          <w:rFonts w:ascii="仿宋" w:hAnsi="仿宋" w:eastAsia="仿宋"/>
          <w:b/>
          <w:w w:val="95"/>
          <w:sz w:val="24"/>
        </w:rPr>
        <w:t>规则</w:t>
      </w:r>
    </w:p>
    <w:p w14:paraId="0EBEBDEB">
      <w:pPr>
        <w:pStyle w:val="19"/>
        <w:spacing w:before="156" w:beforeLines="50" w:after="156" w:afterLines="50"/>
        <w:ind w:left="233" w:leftChars="9" w:right="121" w:hanging="213" w:hangingChars="8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人在评</w:t>
      </w:r>
      <w:r>
        <w:rPr>
          <w:rFonts w:hint="eastAsia" w:ascii="仿宋" w:hAnsi="仿宋" w:eastAsia="仿宋"/>
          <w:lang w:eastAsia="zh-CN"/>
        </w:rPr>
        <w:t>标</w:t>
      </w:r>
      <w:r>
        <w:rPr>
          <w:rFonts w:ascii="仿宋" w:hAnsi="仿宋" w:eastAsia="仿宋"/>
          <w:lang w:eastAsia="zh-CN"/>
        </w:rPr>
        <w:t>时，将优先对技术</w:t>
      </w:r>
      <w:r>
        <w:rPr>
          <w:rFonts w:hint="eastAsia" w:ascii="仿宋" w:hAnsi="仿宋" w:eastAsia="仿宋"/>
          <w:lang w:eastAsia="zh-CN"/>
        </w:rPr>
        <w:t>投标</w:t>
      </w:r>
      <w:r>
        <w:rPr>
          <w:rFonts w:ascii="仿宋" w:hAnsi="仿宋" w:eastAsia="仿宋"/>
          <w:lang w:eastAsia="zh-CN"/>
        </w:rPr>
        <w:t>文件进行</w:t>
      </w:r>
      <w:r>
        <w:rPr>
          <w:rFonts w:hint="eastAsia" w:ascii="仿宋" w:hAnsi="仿宋" w:eastAsia="仿宋"/>
          <w:lang w:eastAsia="zh-CN"/>
        </w:rPr>
        <w:t>评标</w:t>
      </w:r>
      <w:r>
        <w:rPr>
          <w:rFonts w:ascii="仿宋" w:hAnsi="仿宋" w:eastAsia="仿宋"/>
          <w:lang w:eastAsia="zh-CN"/>
        </w:rPr>
        <w:t>，技术</w:t>
      </w:r>
      <w:r>
        <w:rPr>
          <w:rFonts w:hint="eastAsia" w:ascii="仿宋" w:hAnsi="仿宋" w:eastAsia="仿宋"/>
          <w:lang w:eastAsia="zh-CN"/>
        </w:rPr>
        <w:t>投标</w:t>
      </w:r>
      <w:r>
        <w:rPr>
          <w:rFonts w:ascii="仿宋" w:hAnsi="仿宋" w:eastAsia="仿宋"/>
          <w:lang w:eastAsia="zh-CN"/>
        </w:rPr>
        <w:t>文件符合业主要求方可进行下一轮商务报价</w:t>
      </w:r>
      <w:r>
        <w:rPr>
          <w:rFonts w:hint="eastAsia" w:ascii="仿宋" w:hAnsi="仿宋" w:eastAsia="仿宋"/>
          <w:lang w:eastAsia="zh-CN"/>
        </w:rPr>
        <w:t>评标</w:t>
      </w:r>
      <w:r>
        <w:rPr>
          <w:rFonts w:ascii="仿宋" w:hAnsi="仿宋" w:eastAsia="仿宋"/>
          <w:lang w:eastAsia="zh-CN"/>
        </w:rPr>
        <w:t>。</w:t>
      </w:r>
    </w:p>
    <w:p w14:paraId="5287AC62">
      <w:pPr>
        <w:pStyle w:val="19"/>
        <w:spacing w:before="156" w:beforeLines="50" w:after="156" w:afterLines="50"/>
        <w:ind w:left="233" w:leftChars="9" w:right="121" w:hanging="213" w:hangingChars="8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人串选、相互勾结故意压低标价以排挤竞争对手的公平竞争的，其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7EEC138D">
      <w:pPr>
        <w:pStyle w:val="19"/>
        <w:spacing w:before="156" w:beforeLines="50" w:after="156" w:afterLines="50"/>
        <w:ind w:left="233" w:leftChars="9" w:right="121" w:hanging="213" w:hangingChars="8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替补候选人的设定与使用：在合同签订前，</w:t>
      </w:r>
      <w:r>
        <w:rPr>
          <w:rFonts w:hint="eastAsia" w:ascii="仿宋" w:hAnsi="仿宋" w:eastAsia="仿宋"/>
          <w:lang w:eastAsia="zh-CN"/>
        </w:rPr>
        <w:t>采购</w:t>
      </w:r>
      <w:r>
        <w:rPr>
          <w:rFonts w:ascii="仿宋" w:hAnsi="仿宋" w:eastAsia="仿宋"/>
          <w:lang w:eastAsia="zh-CN"/>
        </w:rPr>
        <w:t>单位发现</w:t>
      </w:r>
      <w:r>
        <w:rPr>
          <w:rFonts w:hint="eastAsia" w:ascii="仿宋" w:hAnsi="仿宋" w:eastAsia="仿宋"/>
          <w:lang w:eastAsia="zh-CN"/>
        </w:rPr>
        <w:t>投标</w:t>
      </w:r>
      <w:r>
        <w:rPr>
          <w:rFonts w:ascii="仿宋" w:hAnsi="仿宋" w:eastAsia="仿宋"/>
          <w:lang w:eastAsia="zh-CN"/>
        </w:rPr>
        <w:t>人的</w:t>
      </w:r>
      <w:r>
        <w:rPr>
          <w:rFonts w:hint="eastAsia" w:ascii="仿宋" w:hAnsi="仿宋" w:eastAsia="仿宋"/>
          <w:lang w:eastAsia="zh-CN"/>
        </w:rPr>
        <w:t>投标</w:t>
      </w:r>
      <w:r>
        <w:rPr>
          <w:rFonts w:ascii="仿宋" w:hAnsi="仿宋" w:eastAsia="仿宋"/>
          <w:lang w:eastAsia="zh-CN"/>
        </w:rPr>
        <w:t>报价或供货范围有缺漏、实际应标产品或服务存在重大偏差、或</w:t>
      </w:r>
      <w:r>
        <w:rPr>
          <w:rFonts w:hint="eastAsia" w:ascii="仿宋" w:hAnsi="仿宋" w:eastAsia="仿宋"/>
          <w:lang w:eastAsia="zh-CN"/>
        </w:rPr>
        <w:t>投标</w:t>
      </w:r>
      <w:r>
        <w:rPr>
          <w:rFonts w:ascii="仿宋" w:hAnsi="仿宋" w:eastAsia="仿宋"/>
          <w:lang w:eastAsia="zh-CN"/>
        </w:rPr>
        <w:t>材料存在欺诈行为时、或</w:t>
      </w:r>
      <w:r>
        <w:rPr>
          <w:rFonts w:hint="eastAsia" w:ascii="仿宋" w:hAnsi="仿宋" w:eastAsia="仿宋"/>
          <w:lang w:eastAsia="zh-CN"/>
        </w:rPr>
        <w:t>投标</w:t>
      </w:r>
      <w:r>
        <w:rPr>
          <w:rFonts w:ascii="仿宋" w:hAnsi="仿宋" w:eastAsia="仿宋"/>
          <w:lang w:eastAsia="zh-CN"/>
        </w:rPr>
        <w:t>人因不可抗力或自身原因不能履行合同的，将有理由取消</w:t>
      </w:r>
      <w:r>
        <w:rPr>
          <w:rFonts w:hint="eastAsia" w:ascii="仿宋" w:hAnsi="仿宋" w:eastAsia="仿宋"/>
          <w:lang w:eastAsia="zh-CN"/>
        </w:rPr>
        <w:t>中标</w:t>
      </w:r>
      <w:r>
        <w:rPr>
          <w:rFonts w:ascii="仿宋" w:hAnsi="仿宋" w:eastAsia="仿宋"/>
          <w:lang w:eastAsia="zh-CN"/>
        </w:rPr>
        <w:t>人资格，保留依法追究的权利； 并将依法确定排名第二名的</w:t>
      </w:r>
      <w:r>
        <w:rPr>
          <w:rFonts w:hint="eastAsia" w:ascii="仿宋" w:hAnsi="仿宋" w:eastAsia="仿宋"/>
          <w:lang w:eastAsia="zh-CN"/>
        </w:rPr>
        <w:t>中标</w:t>
      </w:r>
      <w:r>
        <w:rPr>
          <w:rFonts w:ascii="仿宋" w:hAnsi="仿宋" w:eastAsia="仿宋"/>
          <w:lang w:eastAsia="zh-CN"/>
        </w:rPr>
        <w:t>候选人为本项目的</w:t>
      </w:r>
      <w:r>
        <w:rPr>
          <w:rFonts w:hint="eastAsia" w:ascii="仿宋" w:hAnsi="仿宋" w:eastAsia="仿宋"/>
          <w:lang w:eastAsia="zh-CN"/>
        </w:rPr>
        <w:t>中标</w:t>
      </w:r>
      <w:r>
        <w:rPr>
          <w:rFonts w:ascii="仿宋" w:hAnsi="仿宋" w:eastAsia="仿宋"/>
          <w:lang w:eastAsia="zh-CN"/>
        </w:rPr>
        <w:t>人。</w:t>
      </w:r>
    </w:p>
    <w:p w14:paraId="3D2F224B">
      <w:pPr>
        <w:spacing w:before="156" w:beforeLines="50" w:after="156" w:afterLines="50"/>
        <w:rPr>
          <w:rFonts w:ascii="仿宋" w:hAnsi="仿宋" w:eastAsia="仿宋"/>
          <w:b/>
          <w:w w:val="95"/>
          <w:sz w:val="24"/>
        </w:rPr>
      </w:pPr>
      <w:r>
        <w:rPr>
          <w:rFonts w:hint="eastAsia" w:ascii="仿宋" w:hAnsi="仿宋" w:eastAsia="仿宋"/>
          <w:b/>
          <w:w w:val="95"/>
          <w:sz w:val="24"/>
        </w:rPr>
        <w:t>（二）</w:t>
      </w:r>
      <w:r>
        <w:rPr>
          <w:rFonts w:ascii="仿宋" w:hAnsi="仿宋" w:eastAsia="仿宋"/>
          <w:b/>
          <w:w w:val="95"/>
          <w:sz w:val="24"/>
        </w:rPr>
        <w:t>资格审查</w:t>
      </w:r>
    </w:p>
    <w:p w14:paraId="1DE47A5F">
      <w:pPr>
        <w:pStyle w:val="19"/>
        <w:spacing w:before="156" w:beforeLines="50" w:after="156" w:afterLines="50"/>
        <w:ind w:right="121" w:firstLine="480" w:firstLineChars="200"/>
        <w:jc w:val="both"/>
        <w:rPr>
          <w:rFonts w:ascii="仿宋" w:hAnsi="仿宋" w:eastAsia="仿宋"/>
          <w:lang w:eastAsia="zh-CN"/>
        </w:rPr>
      </w:pPr>
      <w:r>
        <w:rPr>
          <w:rFonts w:ascii="仿宋" w:hAnsi="仿宋" w:eastAsia="仿宋"/>
          <w:lang w:eastAsia="zh-CN"/>
        </w:rPr>
        <w:t>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委员会将按照第二章</w:t>
      </w:r>
      <w:r>
        <w:rPr>
          <w:rFonts w:hint="eastAsia" w:ascii="仿宋" w:hAnsi="仿宋" w:eastAsia="仿宋"/>
          <w:lang w:eastAsia="zh-CN"/>
        </w:rPr>
        <w:t>投标</w:t>
      </w:r>
      <w:r>
        <w:rPr>
          <w:rFonts w:ascii="仿宋" w:hAnsi="仿宋" w:eastAsia="仿宋"/>
          <w:lang w:eastAsia="zh-CN"/>
        </w:rPr>
        <w:t>须知第</w:t>
      </w:r>
      <w:r>
        <w:rPr>
          <w:rFonts w:hint="eastAsia" w:ascii="仿宋" w:hAnsi="仿宋" w:eastAsia="仿宋"/>
          <w:lang w:eastAsia="zh-CN"/>
        </w:rPr>
        <w:t>七</w:t>
      </w:r>
      <w:r>
        <w:rPr>
          <w:rFonts w:ascii="仿宋" w:hAnsi="仿宋" w:eastAsia="仿宋"/>
          <w:lang w:eastAsia="zh-CN"/>
        </w:rPr>
        <w:t>点“</w:t>
      </w:r>
      <w:r>
        <w:rPr>
          <w:rFonts w:hint="eastAsia" w:ascii="仿宋" w:hAnsi="仿宋" w:eastAsia="仿宋"/>
          <w:lang w:eastAsia="zh-CN"/>
        </w:rPr>
        <w:t>投标</w:t>
      </w:r>
      <w:r>
        <w:rPr>
          <w:rFonts w:ascii="仿宋" w:hAnsi="仿宋" w:eastAsia="仿宋"/>
          <w:lang w:eastAsia="zh-CN"/>
        </w:rPr>
        <w:t>人资格”的要求对</w:t>
      </w:r>
      <w:r>
        <w:rPr>
          <w:rFonts w:hint="eastAsia" w:ascii="仿宋" w:hAnsi="仿宋" w:eastAsia="仿宋"/>
          <w:lang w:eastAsia="zh-CN"/>
        </w:rPr>
        <w:t>投标</w:t>
      </w:r>
      <w:r>
        <w:rPr>
          <w:rFonts w:ascii="仿宋" w:hAnsi="仿宋" w:eastAsia="仿宋"/>
          <w:lang w:eastAsia="zh-CN"/>
        </w:rPr>
        <w:t>人进行资格审查，以确定是否为符合</w:t>
      </w:r>
      <w:r>
        <w:rPr>
          <w:rFonts w:hint="eastAsia" w:ascii="仿宋" w:hAnsi="仿宋" w:eastAsia="仿宋"/>
          <w:lang w:eastAsia="zh-CN"/>
        </w:rPr>
        <w:t>投标</w:t>
      </w:r>
      <w:r>
        <w:rPr>
          <w:rFonts w:ascii="仿宋" w:hAnsi="仿宋" w:eastAsia="仿宋"/>
          <w:lang w:eastAsia="zh-CN"/>
        </w:rPr>
        <w:t>文件规定要求的合格</w:t>
      </w:r>
      <w:r>
        <w:rPr>
          <w:rFonts w:hint="eastAsia" w:ascii="仿宋" w:hAnsi="仿宋" w:eastAsia="仿宋"/>
          <w:lang w:eastAsia="zh-CN"/>
        </w:rPr>
        <w:t>投标</w:t>
      </w:r>
      <w:r>
        <w:rPr>
          <w:rFonts w:ascii="仿宋" w:hAnsi="仿宋" w:eastAsia="仿宋"/>
          <w:lang w:eastAsia="zh-CN"/>
        </w:rPr>
        <w:t>人，同时，</w:t>
      </w:r>
      <w:r>
        <w:rPr>
          <w:rFonts w:hint="eastAsia" w:ascii="仿宋" w:hAnsi="仿宋" w:eastAsia="仿宋"/>
          <w:lang w:eastAsia="zh-CN"/>
        </w:rPr>
        <w:t>评标</w:t>
      </w:r>
      <w:r>
        <w:rPr>
          <w:rFonts w:ascii="仿宋" w:hAnsi="仿宋" w:eastAsia="仿宋"/>
          <w:lang w:eastAsia="zh-CN"/>
        </w:rPr>
        <w:t>委员会将依据</w:t>
      </w:r>
      <w:r>
        <w:rPr>
          <w:rFonts w:hint="eastAsia" w:ascii="仿宋" w:hAnsi="仿宋" w:eastAsia="仿宋"/>
          <w:lang w:eastAsia="zh-CN"/>
        </w:rPr>
        <w:t>投标</w:t>
      </w:r>
      <w:r>
        <w:rPr>
          <w:rFonts w:ascii="仿宋" w:hAnsi="仿宋" w:eastAsia="仿宋"/>
          <w:lang w:eastAsia="zh-CN"/>
        </w:rPr>
        <w:t>人提供的资格证明文件审查</w:t>
      </w:r>
      <w:r>
        <w:rPr>
          <w:rFonts w:hint="eastAsia" w:ascii="仿宋" w:hAnsi="仿宋" w:eastAsia="仿宋"/>
          <w:lang w:eastAsia="zh-CN"/>
        </w:rPr>
        <w:t>投标</w:t>
      </w:r>
      <w:r>
        <w:rPr>
          <w:rFonts w:ascii="仿宋" w:hAnsi="仿宋" w:eastAsia="仿宋"/>
          <w:lang w:eastAsia="zh-CN"/>
        </w:rPr>
        <w:t>人的法人资格、营业范围、财务，以确定</w:t>
      </w:r>
      <w:r>
        <w:rPr>
          <w:rFonts w:hint="eastAsia" w:ascii="仿宋" w:hAnsi="仿宋" w:eastAsia="仿宋"/>
          <w:lang w:eastAsia="zh-CN"/>
        </w:rPr>
        <w:t>投标</w:t>
      </w:r>
      <w:r>
        <w:rPr>
          <w:rFonts w:ascii="仿宋" w:hAnsi="仿宋" w:eastAsia="仿宋"/>
          <w:lang w:eastAsia="zh-CN"/>
        </w:rPr>
        <w:t>人是否有资格履行合同。经上述资格审查合格的</w:t>
      </w:r>
      <w:r>
        <w:rPr>
          <w:rFonts w:hint="eastAsia" w:ascii="仿宋" w:hAnsi="仿宋" w:eastAsia="仿宋"/>
          <w:lang w:eastAsia="zh-CN"/>
        </w:rPr>
        <w:t>投标</w:t>
      </w:r>
      <w:r>
        <w:rPr>
          <w:rFonts w:ascii="仿宋" w:hAnsi="仿宋" w:eastAsia="仿宋"/>
          <w:lang w:eastAsia="zh-CN"/>
        </w:rPr>
        <w:t>人进入下一程序的评审，经上述资格审查不合格的</w:t>
      </w:r>
      <w:r>
        <w:rPr>
          <w:rFonts w:hint="eastAsia" w:ascii="仿宋" w:hAnsi="仿宋" w:eastAsia="仿宋"/>
          <w:lang w:eastAsia="zh-CN"/>
        </w:rPr>
        <w:t>投标</w:t>
      </w:r>
      <w:r>
        <w:rPr>
          <w:rFonts w:ascii="仿宋" w:hAnsi="仿宋" w:eastAsia="仿宋"/>
          <w:lang w:eastAsia="zh-CN"/>
        </w:rPr>
        <w:t>文件，其</w:t>
      </w:r>
      <w:r>
        <w:rPr>
          <w:rFonts w:hint="eastAsia" w:ascii="仿宋" w:hAnsi="仿宋" w:eastAsia="仿宋"/>
          <w:lang w:eastAsia="zh-CN"/>
        </w:rPr>
        <w:t>投标</w:t>
      </w:r>
      <w:r>
        <w:rPr>
          <w:rFonts w:ascii="仿宋" w:hAnsi="仿宋" w:eastAsia="仿宋"/>
          <w:lang w:eastAsia="zh-CN"/>
        </w:rPr>
        <w:t>资格将被</w:t>
      </w:r>
      <w:r>
        <w:rPr>
          <w:rFonts w:hint="eastAsia" w:ascii="仿宋" w:hAnsi="仿宋" w:eastAsia="仿宋"/>
          <w:lang w:eastAsia="zh-CN"/>
        </w:rPr>
        <w:t>评标</w:t>
      </w:r>
      <w:r>
        <w:rPr>
          <w:rFonts w:ascii="仿宋" w:hAnsi="仿宋" w:eastAsia="仿宋"/>
          <w:lang w:eastAsia="zh-CN"/>
        </w:rPr>
        <w:t>委员会予以否决。</w:t>
      </w:r>
    </w:p>
    <w:p w14:paraId="7482F2C6">
      <w:pPr>
        <w:spacing w:before="156" w:beforeLines="50" w:after="156" w:afterLines="50"/>
        <w:rPr>
          <w:rFonts w:ascii="仿宋" w:hAnsi="仿宋" w:eastAsia="仿宋"/>
          <w:b/>
          <w:w w:val="95"/>
          <w:sz w:val="24"/>
        </w:rPr>
      </w:pPr>
      <w:r>
        <w:rPr>
          <w:rFonts w:hint="eastAsia" w:ascii="仿宋" w:hAnsi="仿宋" w:eastAsia="仿宋"/>
          <w:b/>
          <w:w w:val="95"/>
          <w:sz w:val="24"/>
        </w:rPr>
        <w:t>（三）评标</w:t>
      </w:r>
      <w:r>
        <w:rPr>
          <w:rFonts w:ascii="仿宋" w:hAnsi="仿宋" w:eastAsia="仿宋"/>
          <w:b/>
          <w:w w:val="95"/>
          <w:sz w:val="24"/>
        </w:rPr>
        <w:t>办法</w:t>
      </w:r>
    </w:p>
    <w:p w14:paraId="708B8BD0">
      <w:pPr>
        <w:pStyle w:val="54"/>
        <w:spacing w:before="156" w:beforeLines="50" w:after="156" w:afterLines="50" w:line="240" w:lineRule="auto"/>
        <w:ind w:left="238" w:leftChars="9" w:hanging="218" w:hangingChars="91"/>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z w:val="24"/>
          <w:szCs w:val="24"/>
        </w:rPr>
        <w:t>本项目设置最高控制价</w:t>
      </w:r>
      <w:r>
        <w:rPr>
          <w:rFonts w:hint="eastAsia" w:ascii="仿宋" w:hAnsi="仿宋" w:eastAsia="仿宋"/>
          <w:sz w:val="24"/>
          <w:szCs w:val="24"/>
        </w:rPr>
        <w:t>人民币36万</w:t>
      </w:r>
      <w:r>
        <w:rPr>
          <w:rFonts w:ascii="仿宋" w:hAnsi="仿宋" w:eastAsia="仿宋"/>
          <w:sz w:val="24"/>
          <w:szCs w:val="24"/>
        </w:rPr>
        <w:t>元</w:t>
      </w:r>
      <w:r>
        <w:rPr>
          <w:rFonts w:hint="eastAsia" w:ascii="仿宋" w:hAnsi="仿宋" w:eastAsia="仿宋"/>
          <w:sz w:val="24"/>
          <w:szCs w:val="24"/>
        </w:rPr>
        <w:t>/年</w:t>
      </w:r>
      <w:r>
        <w:rPr>
          <w:rFonts w:ascii="仿宋" w:hAnsi="仿宋" w:eastAsia="仿宋"/>
          <w:sz w:val="24"/>
          <w:szCs w:val="24"/>
        </w:rPr>
        <w:t>（含税）。</w:t>
      </w:r>
    </w:p>
    <w:p w14:paraId="52DD6F3D">
      <w:pPr>
        <w:pStyle w:val="54"/>
        <w:spacing w:before="156" w:beforeLines="50" w:after="156" w:afterLines="50" w:line="240" w:lineRule="auto"/>
        <w:ind w:left="238" w:leftChars="9" w:hanging="218" w:hangingChars="91"/>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采购</w:t>
      </w:r>
      <w:r>
        <w:rPr>
          <w:rFonts w:ascii="仿宋" w:hAnsi="仿宋" w:eastAsia="仿宋"/>
          <w:sz w:val="24"/>
          <w:szCs w:val="24"/>
        </w:rPr>
        <w:t>人在</w:t>
      </w:r>
      <w:r>
        <w:rPr>
          <w:rFonts w:hint="eastAsia" w:ascii="仿宋" w:hAnsi="仿宋" w:eastAsia="仿宋"/>
          <w:sz w:val="24"/>
          <w:szCs w:val="24"/>
        </w:rPr>
        <w:t>评标</w:t>
      </w:r>
      <w:r>
        <w:rPr>
          <w:rFonts w:ascii="仿宋" w:hAnsi="仿宋" w:eastAsia="仿宋"/>
          <w:sz w:val="24"/>
          <w:szCs w:val="24"/>
        </w:rPr>
        <w:t>时，将先对技术</w:t>
      </w:r>
      <w:r>
        <w:rPr>
          <w:rFonts w:hint="eastAsia" w:ascii="仿宋" w:hAnsi="仿宋" w:eastAsia="仿宋"/>
          <w:sz w:val="24"/>
          <w:szCs w:val="24"/>
        </w:rPr>
        <w:t>投标</w:t>
      </w:r>
      <w:r>
        <w:rPr>
          <w:rFonts w:ascii="仿宋" w:hAnsi="仿宋" w:eastAsia="仿宋"/>
          <w:sz w:val="24"/>
          <w:szCs w:val="24"/>
        </w:rPr>
        <w:t>文件进行</w:t>
      </w:r>
      <w:r>
        <w:rPr>
          <w:rFonts w:hint="eastAsia" w:ascii="仿宋" w:hAnsi="仿宋" w:eastAsia="仿宋"/>
          <w:sz w:val="24"/>
          <w:szCs w:val="24"/>
        </w:rPr>
        <w:t>评标</w:t>
      </w:r>
      <w:r>
        <w:rPr>
          <w:rFonts w:ascii="仿宋" w:hAnsi="仿宋" w:eastAsia="仿宋"/>
          <w:sz w:val="24"/>
          <w:szCs w:val="24"/>
        </w:rPr>
        <w:t>，技术</w:t>
      </w:r>
      <w:r>
        <w:rPr>
          <w:rFonts w:hint="eastAsia" w:ascii="仿宋" w:hAnsi="仿宋" w:eastAsia="仿宋"/>
          <w:sz w:val="24"/>
          <w:szCs w:val="24"/>
        </w:rPr>
        <w:t>投标</w:t>
      </w:r>
      <w:r>
        <w:rPr>
          <w:rFonts w:ascii="仿宋" w:hAnsi="仿宋" w:eastAsia="仿宋"/>
          <w:sz w:val="24"/>
          <w:szCs w:val="24"/>
        </w:rPr>
        <w:t>文件符合业主要求方可进行下轮商务报价</w:t>
      </w:r>
      <w:r>
        <w:rPr>
          <w:rFonts w:hint="eastAsia" w:ascii="仿宋" w:hAnsi="仿宋" w:eastAsia="仿宋"/>
          <w:sz w:val="24"/>
          <w:szCs w:val="24"/>
        </w:rPr>
        <w:t>评标</w:t>
      </w:r>
      <w:r>
        <w:rPr>
          <w:rFonts w:ascii="仿宋" w:hAnsi="仿宋" w:eastAsia="仿宋"/>
          <w:sz w:val="24"/>
          <w:szCs w:val="24"/>
        </w:rPr>
        <w:t>。本项目采用</w:t>
      </w:r>
      <w:r>
        <w:rPr>
          <w:rFonts w:hint="eastAsia" w:ascii="仿宋" w:hAnsi="仿宋" w:eastAsia="仿宋"/>
          <w:sz w:val="24"/>
          <w:szCs w:val="24"/>
        </w:rPr>
        <w:t>综合评标</w:t>
      </w:r>
      <w:r>
        <w:rPr>
          <w:rFonts w:ascii="仿宋" w:hAnsi="仿宋" w:eastAsia="仿宋"/>
          <w:sz w:val="24"/>
          <w:szCs w:val="24"/>
        </w:rPr>
        <w:t>的办法</w:t>
      </w:r>
      <w:r>
        <w:rPr>
          <w:rFonts w:hint="eastAsia" w:ascii="仿宋" w:hAnsi="仿宋" w:eastAsia="仿宋"/>
          <w:sz w:val="24"/>
          <w:szCs w:val="24"/>
        </w:rPr>
        <w:t>，经测算综合评分最高者</w:t>
      </w:r>
      <w:r>
        <w:rPr>
          <w:rFonts w:ascii="仿宋" w:hAnsi="仿宋" w:eastAsia="仿宋"/>
          <w:sz w:val="24"/>
          <w:szCs w:val="24"/>
        </w:rPr>
        <w:t>者作为</w:t>
      </w:r>
      <w:r>
        <w:rPr>
          <w:rFonts w:hint="eastAsia" w:ascii="仿宋" w:hAnsi="仿宋" w:eastAsia="仿宋"/>
          <w:sz w:val="24"/>
          <w:szCs w:val="24"/>
        </w:rPr>
        <w:t>中标</w:t>
      </w:r>
      <w:r>
        <w:rPr>
          <w:rFonts w:ascii="仿宋" w:hAnsi="仿宋" w:eastAsia="仿宋"/>
          <w:sz w:val="24"/>
          <w:szCs w:val="24"/>
        </w:rPr>
        <w:t>单位。</w:t>
      </w:r>
    </w:p>
    <w:p w14:paraId="025A895A">
      <w:pPr>
        <w:spacing w:before="156" w:beforeLines="50" w:after="156" w:afterLines="50"/>
        <w:rPr>
          <w:rFonts w:hint="eastAsia" w:ascii="仿宋" w:hAnsi="仿宋" w:eastAsia="仿宋"/>
          <w:b/>
          <w:w w:val="95"/>
          <w:sz w:val="24"/>
        </w:rPr>
      </w:pPr>
      <w:r>
        <w:rPr>
          <w:rFonts w:hint="eastAsia" w:ascii="仿宋" w:hAnsi="仿宋" w:eastAsia="仿宋"/>
          <w:b/>
          <w:w w:val="95"/>
          <w:sz w:val="24"/>
        </w:rPr>
        <w:t>（四）</w:t>
      </w:r>
      <w:r>
        <w:rPr>
          <w:rFonts w:ascii="仿宋" w:hAnsi="仿宋" w:eastAsia="仿宋"/>
          <w:b/>
          <w:w w:val="95"/>
          <w:sz w:val="24"/>
        </w:rPr>
        <w:t>以下情况作废选处理</w:t>
      </w:r>
    </w:p>
    <w:p w14:paraId="5C55ECD5">
      <w:pPr>
        <w:spacing w:before="156" w:beforeLines="50" w:after="156" w:afterLines="50"/>
        <w:rPr>
          <w:rFonts w:ascii="仿宋" w:hAnsi="仿宋" w:eastAsia="仿宋"/>
          <w:sz w:val="24"/>
        </w:rPr>
      </w:pPr>
      <w:r>
        <w:rPr>
          <w:rFonts w:ascii="仿宋" w:hAnsi="仿宋" w:eastAsia="仿宋"/>
          <w:sz w:val="24"/>
        </w:rPr>
        <w:t>1.</w:t>
      </w:r>
      <w:r>
        <w:rPr>
          <w:rFonts w:hint="eastAsia" w:ascii="仿宋" w:hAnsi="仿宋" w:eastAsia="仿宋"/>
          <w:sz w:val="24"/>
        </w:rPr>
        <w:t xml:space="preserve"> </w:t>
      </w:r>
      <w:r>
        <w:rPr>
          <w:rFonts w:ascii="仿宋" w:hAnsi="仿宋" w:eastAsia="仿宋"/>
          <w:sz w:val="24"/>
        </w:rPr>
        <w:t>对</w:t>
      </w:r>
      <w:r>
        <w:rPr>
          <w:rFonts w:hint="eastAsia" w:ascii="仿宋" w:hAnsi="仿宋" w:eastAsia="仿宋"/>
          <w:sz w:val="24"/>
        </w:rPr>
        <w:t>投标</w:t>
      </w:r>
      <w:r>
        <w:rPr>
          <w:rFonts w:ascii="仿宋" w:hAnsi="仿宋" w:eastAsia="仿宋"/>
          <w:sz w:val="24"/>
        </w:rPr>
        <w:t>文件提出的实质性要求和条件，</w:t>
      </w:r>
      <w:r>
        <w:rPr>
          <w:rFonts w:hint="eastAsia" w:ascii="仿宋" w:hAnsi="仿宋" w:eastAsia="仿宋"/>
          <w:sz w:val="24"/>
        </w:rPr>
        <w:t>投标</w:t>
      </w:r>
      <w:r>
        <w:rPr>
          <w:rFonts w:ascii="仿宋" w:hAnsi="仿宋" w:eastAsia="仿宋"/>
          <w:sz w:val="24"/>
        </w:rPr>
        <w:t>文件未能在实质上响应的。</w:t>
      </w:r>
    </w:p>
    <w:p w14:paraId="7B62CDFD">
      <w:pPr>
        <w:pStyle w:val="19"/>
        <w:spacing w:before="156" w:beforeLines="50" w:after="156" w:afterLines="50"/>
        <w:ind w:right="121"/>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投标</w:t>
      </w:r>
      <w:r>
        <w:rPr>
          <w:rFonts w:ascii="仿宋" w:hAnsi="仿宋" w:eastAsia="仿宋"/>
          <w:lang w:eastAsia="zh-CN"/>
        </w:rPr>
        <w:t>文件存在重大偏差的。</w:t>
      </w:r>
    </w:p>
    <w:p w14:paraId="78C412BA">
      <w:pPr>
        <w:pStyle w:val="19"/>
        <w:spacing w:before="156" w:beforeLines="50" w:after="156" w:afterLines="50"/>
        <w:ind w:right="121"/>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w:t>
      </w:r>
      <w:r>
        <w:rPr>
          <w:rFonts w:ascii="仿宋" w:hAnsi="仿宋" w:eastAsia="仿宋"/>
          <w:lang w:eastAsia="zh-CN"/>
        </w:rPr>
        <w:t>违反规定影响开选</w:t>
      </w:r>
      <w:r>
        <w:rPr>
          <w:rFonts w:hint="eastAsia" w:ascii="仿宋" w:hAnsi="仿宋" w:eastAsia="仿宋"/>
          <w:lang w:eastAsia="zh-CN"/>
        </w:rPr>
        <w:t>评标</w:t>
      </w:r>
      <w:r>
        <w:rPr>
          <w:rFonts w:ascii="仿宋" w:hAnsi="仿宋" w:eastAsia="仿宋"/>
          <w:lang w:eastAsia="zh-CN"/>
        </w:rPr>
        <w:t>工作或采取其他方式对</w:t>
      </w:r>
      <w:r>
        <w:rPr>
          <w:rFonts w:hint="eastAsia" w:ascii="仿宋" w:hAnsi="仿宋" w:eastAsia="仿宋"/>
          <w:lang w:eastAsia="zh-CN"/>
        </w:rPr>
        <w:t>采购</w:t>
      </w:r>
      <w:r>
        <w:rPr>
          <w:rFonts w:ascii="仿宋" w:hAnsi="仿宋" w:eastAsia="仿宋"/>
          <w:lang w:eastAsia="zh-CN"/>
        </w:rPr>
        <w:t>人施加影响的。</w:t>
      </w:r>
    </w:p>
    <w:p w14:paraId="2D66A32B">
      <w:pPr>
        <w:pStyle w:val="19"/>
        <w:spacing w:before="156" w:beforeLines="50" w:after="156" w:afterLines="50"/>
        <w:ind w:right="121"/>
        <w:jc w:val="both"/>
        <w:rPr>
          <w:rFonts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投标</w:t>
      </w:r>
      <w:r>
        <w:rPr>
          <w:rFonts w:ascii="仿宋" w:hAnsi="仿宋" w:eastAsia="仿宋"/>
          <w:lang w:eastAsia="zh-CN"/>
        </w:rPr>
        <w:t>人串标、相互勾结故意压低标价以排挤竞争对手的公平竞争的，其</w:t>
      </w:r>
      <w:r>
        <w:rPr>
          <w:rFonts w:hint="eastAsia" w:ascii="仿宋" w:hAnsi="仿宋" w:eastAsia="仿宋"/>
          <w:lang w:eastAsia="zh-CN"/>
        </w:rPr>
        <w:t>投标</w:t>
      </w:r>
      <w:r>
        <w:rPr>
          <w:rFonts w:ascii="仿宋" w:hAnsi="仿宋" w:eastAsia="仿宋"/>
          <w:lang w:eastAsia="zh-CN"/>
        </w:rPr>
        <w:t>无效。</w:t>
      </w:r>
    </w:p>
    <w:p w14:paraId="6549E930">
      <w:pPr>
        <w:spacing w:before="156" w:beforeLines="50" w:after="156" w:afterLines="50"/>
        <w:rPr>
          <w:rFonts w:ascii="仿宋" w:hAnsi="仿宋" w:eastAsia="仿宋"/>
          <w:b/>
          <w:w w:val="95"/>
          <w:sz w:val="24"/>
        </w:rPr>
      </w:pPr>
      <w:r>
        <w:rPr>
          <w:rFonts w:hint="eastAsia" w:ascii="仿宋" w:hAnsi="仿宋" w:eastAsia="仿宋"/>
          <w:b/>
          <w:w w:val="95"/>
          <w:sz w:val="24"/>
        </w:rPr>
        <w:t>（五）评标</w:t>
      </w:r>
    </w:p>
    <w:p w14:paraId="054AD48C">
      <w:pPr>
        <w:pStyle w:val="19"/>
        <w:spacing w:before="156" w:beforeLines="50" w:after="156" w:afterLines="50"/>
        <w:ind w:left="241" w:leftChars="-9" w:right="121" w:hanging="261" w:hangingChars="109"/>
        <w:jc w:val="both"/>
        <w:rPr>
          <w:rFonts w:ascii="仿宋" w:hAnsi="仿宋" w:eastAsia="仿宋"/>
          <w:lang w:eastAsia="zh-CN"/>
        </w:rPr>
      </w:pPr>
      <w:r>
        <w:rPr>
          <w:rFonts w:ascii="仿宋" w:hAnsi="仿宋" w:eastAsia="仿宋"/>
          <w:lang w:eastAsia="zh-CN"/>
        </w:rPr>
        <w:t>1.</w:t>
      </w:r>
      <w:r>
        <w:rPr>
          <w:rFonts w:hint="eastAsia" w:ascii="仿宋" w:hAnsi="仿宋" w:eastAsia="仿宋"/>
          <w:lang w:eastAsia="zh-CN"/>
        </w:rPr>
        <w:t xml:space="preserve"> 采购</w:t>
      </w:r>
      <w:r>
        <w:rPr>
          <w:rFonts w:ascii="仿宋" w:hAnsi="仿宋" w:eastAsia="仿宋"/>
          <w:lang w:eastAsia="zh-CN"/>
        </w:rPr>
        <w:t>人将在</w:t>
      </w:r>
      <w:r>
        <w:rPr>
          <w:rFonts w:hint="eastAsia" w:ascii="仿宋" w:hAnsi="仿宋" w:eastAsia="仿宋"/>
          <w:lang w:eastAsia="zh-CN"/>
        </w:rPr>
        <w:t>投标</w:t>
      </w:r>
      <w:r>
        <w:rPr>
          <w:rFonts w:ascii="仿宋" w:hAnsi="仿宋" w:eastAsia="仿宋"/>
          <w:lang w:eastAsia="zh-CN"/>
        </w:rPr>
        <w:t>文件截止日期后另行择日组织</w:t>
      </w:r>
      <w:r>
        <w:rPr>
          <w:rFonts w:hint="eastAsia" w:ascii="仿宋" w:hAnsi="仿宋" w:eastAsia="仿宋"/>
          <w:lang w:eastAsia="zh-CN"/>
        </w:rPr>
        <w:t>投标</w:t>
      </w:r>
      <w:r>
        <w:rPr>
          <w:rFonts w:ascii="仿宋" w:hAnsi="仿宋" w:eastAsia="仿宋"/>
          <w:lang w:eastAsia="zh-CN"/>
        </w:rPr>
        <w:t>会，</w:t>
      </w:r>
      <w:r>
        <w:rPr>
          <w:rFonts w:hint="eastAsia" w:ascii="仿宋" w:hAnsi="仿宋" w:eastAsia="仿宋"/>
          <w:lang w:eastAsia="zh-CN"/>
        </w:rPr>
        <w:t>采购</w:t>
      </w:r>
      <w:r>
        <w:rPr>
          <w:rFonts w:ascii="仿宋" w:hAnsi="仿宋" w:eastAsia="仿宋"/>
          <w:lang w:eastAsia="zh-CN"/>
        </w:rPr>
        <w:t>人选定工作在</w:t>
      </w:r>
      <w:r>
        <w:rPr>
          <w:rFonts w:hint="eastAsia" w:ascii="仿宋" w:hAnsi="仿宋" w:eastAsia="仿宋"/>
          <w:lang w:eastAsia="zh-CN"/>
        </w:rPr>
        <w:t>采购</w:t>
      </w:r>
      <w:r>
        <w:rPr>
          <w:rFonts w:ascii="仿宋" w:hAnsi="仿宋" w:eastAsia="仿宋"/>
          <w:lang w:eastAsia="zh-CN"/>
        </w:rPr>
        <w:t>人有关部门监督下，由</w:t>
      </w:r>
      <w:r>
        <w:rPr>
          <w:rFonts w:hint="eastAsia" w:ascii="仿宋" w:hAnsi="仿宋" w:eastAsia="仿宋"/>
          <w:lang w:eastAsia="zh-CN"/>
        </w:rPr>
        <w:t>采购</w:t>
      </w:r>
      <w:r>
        <w:rPr>
          <w:rFonts w:ascii="仿宋" w:hAnsi="仿宋" w:eastAsia="仿宋"/>
          <w:lang w:eastAsia="zh-CN"/>
        </w:rPr>
        <w:t>人依法组建的</w:t>
      </w:r>
      <w:r>
        <w:rPr>
          <w:rFonts w:hint="eastAsia" w:ascii="仿宋" w:hAnsi="仿宋" w:eastAsia="仿宋"/>
          <w:lang w:eastAsia="zh-CN"/>
        </w:rPr>
        <w:t>评标</w:t>
      </w:r>
      <w:r>
        <w:rPr>
          <w:rFonts w:ascii="仿宋" w:hAnsi="仿宋" w:eastAsia="仿宋"/>
          <w:lang w:eastAsia="zh-CN"/>
        </w:rPr>
        <w:t>委员会负责。</w:t>
      </w:r>
    </w:p>
    <w:p w14:paraId="78CAF81C">
      <w:pPr>
        <w:pStyle w:val="19"/>
        <w:spacing w:before="156" w:beforeLines="50" w:after="156" w:afterLines="50"/>
        <w:ind w:left="241" w:leftChars="-9" w:right="121" w:hanging="261" w:hangingChars="109"/>
        <w:jc w:val="both"/>
        <w:rPr>
          <w:rFonts w:ascii="仿宋" w:hAnsi="仿宋" w:eastAsia="仿宋"/>
          <w:lang w:eastAsia="zh-CN"/>
        </w:rPr>
      </w:pPr>
      <w:r>
        <w:rPr>
          <w:rFonts w:ascii="仿宋" w:hAnsi="仿宋" w:eastAsia="仿宋"/>
          <w:lang w:eastAsia="zh-CN"/>
        </w:rPr>
        <w:t>2.</w:t>
      </w:r>
      <w:r>
        <w:rPr>
          <w:rFonts w:hint="eastAsia" w:ascii="仿宋" w:hAnsi="仿宋" w:eastAsia="仿宋"/>
          <w:lang w:eastAsia="zh-CN"/>
        </w:rPr>
        <w:t xml:space="preserve"> </w:t>
      </w:r>
      <w:r>
        <w:rPr>
          <w:rFonts w:ascii="仿宋" w:hAnsi="仿宋" w:eastAsia="仿宋"/>
          <w:lang w:eastAsia="zh-CN"/>
        </w:rPr>
        <w:t>在开选时没有启封和读出的</w:t>
      </w:r>
      <w:r>
        <w:rPr>
          <w:rFonts w:hint="eastAsia" w:ascii="仿宋" w:hAnsi="仿宋" w:eastAsia="仿宋"/>
          <w:lang w:eastAsia="zh-CN"/>
        </w:rPr>
        <w:t>投标</w:t>
      </w:r>
      <w:r>
        <w:rPr>
          <w:rFonts w:ascii="仿宋" w:hAnsi="仿宋" w:eastAsia="仿宋"/>
          <w:lang w:eastAsia="zh-CN"/>
        </w:rPr>
        <w:t>文件，在</w:t>
      </w:r>
      <w:r>
        <w:rPr>
          <w:rFonts w:hint="eastAsia" w:ascii="仿宋" w:hAnsi="仿宋" w:eastAsia="仿宋"/>
          <w:lang w:eastAsia="zh-CN"/>
        </w:rPr>
        <w:t>评标</w:t>
      </w:r>
      <w:r>
        <w:rPr>
          <w:rFonts w:ascii="仿宋" w:hAnsi="仿宋" w:eastAsia="仿宋"/>
          <w:lang w:eastAsia="zh-CN"/>
        </w:rPr>
        <w:t>时将不予考虑。</w:t>
      </w:r>
    </w:p>
    <w:p w14:paraId="378DCD69">
      <w:pPr>
        <w:pStyle w:val="19"/>
        <w:spacing w:before="156" w:beforeLines="50" w:after="156" w:afterLines="50"/>
        <w:ind w:left="241" w:leftChars="-9" w:right="121" w:hanging="261" w:hangingChars="109"/>
        <w:jc w:val="both"/>
        <w:rPr>
          <w:rFonts w:ascii="仿宋" w:hAnsi="仿宋" w:eastAsia="仿宋"/>
          <w:lang w:eastAsia="zh-CN"/>
        </w:rPr>
      </w:pPr>
      <w:r>
        <w:rPr>
          <w:rFonts w:ascii="仿宋" w:hAnsi="仿宋" w:eastAsia="仿宋"/>
          <w:lang w:eastAsia="zh-CN"/>
        </w:rPr>
        <w:t>3.</w:t>
      </w:r>
      <w:r>
        <w:rPr>
          <w:rFonts w:hint="eastAsia" w:ascii="仿宋" w:hAnsi="仿宋" w:eastAsia="仿宋"/>
          <w:lang w:eastAsia="zh-CN"/>
        </w:rPr>
        <w:t xml:space="preserve"> 采购</w:t>
      </w:r>
      <w:r>
        <w:rPr>
          <w:rFonts w:ascii="仿宋" w:hAnsi="仿宋" w:eastAsia="仿宋"/>
          <w:lang w:eastAsia="zh-CN"/>
        </w:rPr>
        <w:t>人将做开选记录。</w:t>
      </w:r>
    </w:p>
    <w:p w14:paraId="532F2AFA">
      <w:pPr>
        <w:pStyle w:val="19"/>
        <w:spacing w:before="156" w:beforeLines="50" w:after="156" w:afterLines="50"/>
        <w:ind w:left="241" w:leftChars="-9" w:right="121" w:hanging="261" w:hangingChars="109"/>
        <w:jc w:val="both"/>
        <w:rPr>
          <w:rFonts w:hint="eastAsia" w:ascii="仿宋" w:hAnsi="仿宋" w:eastAsia="仿宋"/>
          <w:lang w:eastAsia="zh-CN"/>
        </w:rPr>
      </w:pPr>
      <w:r>
        <w:rPr>
          <w:rFonts w:ascii="仿宋" w:hAnsi="仿宋" w:eastAsia="仿宋"/>
          <w:lang w:eastAsia="zh-CN"/>
        </w:rPr>
        <w:t>4.</w:t>
      </w:r>
      <w:r>
        <w:rPr>
          <w:rFonts w:hint="eastAsia" w:ascii="仿宋" w:hAnsi="仿宋" w:eastAsia="仿宋"/>
          <w:lang w:eastAsia="zh-CN"/>
        </w:rPr>
        <w:t xml:space="preserve"> </w:t>
      </w:r>
      <w:r>
        <w:rPr>
          <w:rFonts w:ascii="仿宋" w:hAnsi="仿宋" w:eastAsia="仿宋"/>
          <w:lang w:eastAsia="zh-CN"/>
        </w:rPr>
        <w:t>业主将根据</w:t>
      </w:r>
      <w:r>
        <w:rPr>
          <w:rFonts w:hint="eastAsia" w:ascii="仿宋" w:hAnsi="仿宋" w:eastAsia="仿宋"/>
          <w:lang w:eastAsia="zh-CN"/>
        </w:rPr>
        <w:t>评标</w:t>
      </w:r>
      <w:r>
        <w:rPr>
          <w:rFonts w:ascii="仿宋" w:hAnsi="仿宋" w:eastAsia="仿宋"/>
          <w:lang w:eastAsia="zh-CN"/>
        </w:rPr>
        <w:t>结果与</w:t>
      </w:r>
      <w:r>
        <w:rPr>
          <w:rFonts w:hint="eastAsia" w:ascii="仿宋" w:hAnsi="仿宋" w:eastAsia="仿宋"/>
          <w:lang w:eastAsia="zh-CN"/>
        </w:rPr>
        <w:t>中标</w:t>
      </w:r>
      <w:r>
        <w:rPr>
          <w:rFonts w:ascii="仿宋" w:hAnsi="仿宋" w:eastAsia="仿宋"/>
          <w:lang w:eastAsia="zh-CN"/>
        </w:rPr>
        <w:t>人签订合同。</w:t>
      </w:r>
    </w:p>
    <w:p w14:paraId="41BB1030">
      <w:pPr>
        <w:pStyle w:val="19"/>
        <w:spacing w:before="156" w:beforeLines="50" w:after="156" w:afterLines="50"/>
        <w:ind w:left="241" w:leftChars="-9" w:right="121" w:hanging="261" w:hangingChars="109"/>
        <w:jc w:val="both"/>
        <w:rPr>
          <w:rFonts w:hint="eastAsia" w:ascii="仿宋" w:hAnsi="仿宋" w:eastAsia="仿宋"/>
          <w:lang w:eastAsia="zh-CN"/>
        </w:rPr>
      </w:pPr>
    </w:p>
    <w:p w14:paraId="13128326">
      <w:pPr>
        <w:pStyle w:val="19"/>
        <w:spacing w:before="156" w:beforeLines="50" w:after="156" w:afterLines="50"/>
        <w:ind w:left="241" w:leftChars="-9" w:right="121" w:hanging="261" w:hangingChars="109"/>
        <w:jc w:val="both"/>
        <w:rPr>
          <w:rFonts w:hint="eastAsia" w:ascii="仿宋" w:hAnsi="仿宋" w:eastAsia="仿宋"/>
          <w:lang w:eastAsia="zh-CN"/>
        </w:rPr>
      </w:pPr>
    </w:p>
    <w:p w14:paraId="038FBDD6">
      <w:pPr>
        <w:pStyle w:val="19"/>
        <w:spacing w:before="156" w:beforeLines="50" w:after="156" w:afterLines="50"/>
        <w:ind w:left="241" w:leftChars="-9" w:right="121" w:hanging="261" w:hangingChars="109"/>
        <w:jc w:val="both"/>
        <w:rPr>
          <w:rFonts w:hint="eastAsia" w:ascii="仿宋" w:hAnsi="仿宋" w:eastAsia="仿宋"/>
          <w:lang w:eastAsia="zh-CN"/>
        </w:rPr>
      </w:pPr>
    </w:p>
    <w:p w14:paraId="795642D0">
      <w:pPr>
        <w:pStyle w:val="19"/>
        <w:spacing w:before="156" w:beforeLines="50" w:after="156" w:afterLines="50"/>
        <w:ind w:left="241" w:leftChars="-9" w:right="121" w:hanging="261" w:hangingChars="109"/>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翔鹭码头投资管理（漳州）有限公司</w:t>
      </w:r>
    </w:p>
    <w:p w14:paraId="0E927C94">
      <w:pPr>
        <w:pStyle w:val="19"/>
        <w:spacing w:before="156" w:beforeLines="50" w:after="156" w:afterLines="50"/>
        <w:ind w:left="285" w:leftChars="-9" w:right="121" w:hanging="305" w:hangingChars="109"/>
        <w:jc w:val="both"/>
        <w:rPr>
          <w:rFonts w:ascii="仿宋" w:hAnsi="仿宋" w:eastAsia="仿宋"/>
          <w:sz w:val="28"/>
          <w:szCs w:val="28"/>
          <w:lang w:eastAsia="zh-CN"/>
        </w:rPr>
      </w:pPr>
      <w:r>
        <w:rPr>
          <w:rFonts w:hint="eastAsia" w:ascii="仿宋" w:hAnsi="仿宋" w:eastAsia="仿宋"/>
          <w:sz w:val="28"/>
          <w:szCs w:val="28"/>
          <w:lang w:eastAsia="zh-CN"/>
        </w:rPr>
        <w:t xml:space="preserve">                               2025年6月19日</w:t>
      </w:r>
    </w:p>
    <w:p w14:paraId="71516531">
      <w:pPr>
        <w:widowControl/>
        <w:autoSpaceDE/>
        <w:autoSpaceDN/>
        <w:spacing w:afterLines="50" w:line="360" w:lineRule="auto"/>
        <w:jc w:val="center"/>
        <w:rPr>
          <w:rFonts w:ascii="Times New Roman" w:hAnsi="Times New Roman" w:cs="Times New Roman"/>
          <w:b/>
          <w:bCs/>
          <w:sz w:val="28"/>
          <w:szCs w:val="28"/>
          <w:lang w:eastAsia="zh-CN"/>
        </w:rPr>
      </w:pPr>
    </w:p>
    <w:p w14:paraId="7C18F034">
      <w:pPr>
        <w:widowControl/>
        <w:autoSpaceDE/>
        <w:autoSpaceDN/>
        <w:spacing w:afterLines="50" w:line="360" w:lineRule="auto"/>
        <w:jc w:val="center"/>
        <w:rPr>
          <w:rFonts w:ascii="Times New Roman" w:hAnsi="Times New Roman" w:cs="Times New Roman"/>
          <w:b/>
          <w:bCs/>
          <w:sz w:val="28"/>
          <w:szCs w:val="28"/>
          <w:lang w:eastAsia="zh-CN"/>
        </w:rPr>
      </w:pPr>
    </w:p>
    <w:p w14:paraId="6244C377">
      <w:pPr>
        <w:widowControl/>
        <w:autoSpaceDE/>
        <w:autoSpaceDN/>
        <w:spacing w:afterLines="50"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附件</w:t>
      </w:r>
      <w:r>
        <w:rPr>
          <w:rFonts w:hint="eastAsia" w:ascii="Times New Roman" w:hAnsi="Times New Roman" w:cs="Times New Roman"/>
          <w:b/>
          <w:bCs/>
          <w:sz w:val="28"/>
          <w:szCs w:val="28"/>
          <w:lang w:val="en-US" w:eastAsia="zh-CN"/>
        </w:rPr>
        <w:t>2</w:t>
      </w:r>
      <w:r>
        <w:rPr>
          <w:rFonts w:ascii="Times New Roman" w:hAnsi="Times New Roman" w:cs="Times New Roman"/>
          <w:b/>
          <w:bCs/>
          <w:sz w:val="28"/>
          <w:szCs w:val="28"/>
          <w:lang w:eastAsia="zh-CN"/>
        </w:rPr>
        <w:t>、安全环保协议书</w:t>
      </w:r>
    </w:p>
    <w:p w14:paraId="31587C38">
      <w:pPr>
        <w:widowControl/>
        <w:autoSpaceDE/>
        <w:autoSpaceDN/>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甲方（委托方）：翔鹭码头投资管理（漳州）有限公司                 </w:t>
      </w:r>
    </w:p>
    <w:p w14:paraId="50938541">
      <w:pPr>
        <w:widowControl/>
        <w:autoSpaceDE/>
        <w:autoSpaceDN/>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乙方（受托方）：                    </w:t>
      </w:r>
    </w:p>
    <w:p w14:paraId="0286F8BB">
      <w:pPr>
        <w:spacing w:beforeLines="50" w:line="360" w:lineRule="auto"/>
        <w:ind w:firstLine="315" w:firstLineChars="150"/>
        <w:rPr>
          <w:rFonts w:ascii="Times New Roman" w:hAnsi="Times New Roman" w:cs="Times New Roman"/>
          <w:sz w:val="21"/>
          <w:szCs w:val="21"/>
          <w:lang w:eastAsia="zh-CN"/>
        </w:rPr>
      </w:pPr>
      <w:r>
        <w:rPr>
          <w:rFonts w:ascii="Times New Roman" w:hAnsi="Times New Roman" w:cs="Times New Roman"/>
          <w:sz w:val="21"/>
          <w:szCs w:val="21"/>
          <w:lang w:eastAsia="zh-CN"/>
        </w:rPr>
        <w:t>甲乙双方就</w:t>
      </w:r>
      <w:r>
        <w:rPr>
          <w:rFonts w:ascii="Times New Roman" w:hAnsi="Times New Roman" w:cs="Times New Roman"/>
          <w:sz w:val="21"/>
          <w:szCs w:val="21"/>
          <w:u w:val="single"/>
          <w:lang w:eastAsia="zh-CN"/>
        </w:rPr>
        <w:t xml:space="preserve"> 口岸病媒生物的监测与控制、卫生处理服务</w:t>
      </w:r>
      <w:r>
        <w:rPr>
          <w:rFonts w:ascii="Times New Roman" w:hAnsi="Times New Roman" w:cs="Times New Roman"/>
          <w:sz w:val="21"/>
          <w:szCs w:val="21"/>
          <w:lang w:eastAsia="zh-CN"/>
        </w:rPr>
        <w:t>工程/项目签订了</w:t>
      </w:r>
      <w:r>
        <w:rPr>
          <w:rFonts w:ascii="Times New Roman" w:hAnsi="Times New Roman" w:cs="Times New Roman"/>
          <w:sz w:val="21"/>
          <w:szCs w:val="21"/>
          <w:u w:val="single"/>
          <w:lang w:eastAsia="zh-CN"/>
        </w:rPr>
        <w:t>技术服务合同</w:t>
      </w:r>
      <w:r>
        <w:rPr>
          <w:rFonts w:ascii="Times New Roman" w:hAnsi="Times New Roman" w:cs="Times New Roman"/>
          <w:sz w:val="21"/>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928490B">
      <w:pPr>
        <w:spacing w:beforeLines="50" w:line="360" w:lineRule="auto"/>
        <w:rPr>
          <w:rFonts w:ascii="Times New Roman" w:hAnsi="Times New Roman" w:cs="Times New Roman"/>
          <w:sz w:val="21"/>
          <w:szCs w:val="21"/>
          <w:lang w:eastAsia="zh-CN"/>
        </w:rPr>
      </w:pPr>
      <w:r>
        <w:rPr>
          <w:rFonts w:ascii="Times New Roman" w:hAnsi="Times New Roman" w:cs="Times New Roman"/>
          <w:b/>
          <w:sz w:val="21"/>
          <w:szCs w:val="21"/>
          <w:lang w:eastAsia="zh-CN"/>
        </w:rPr>
        <w:t>一、甲方的权利和义务：</w:t>
      </w:r>
    </w:p>
    <w:p w14:paraId="1E65EF82">
      <w:pPr>
        <w:pStyle w:val="70"/>
        <w:spacing w:line="360" w:lineRule="auto"/>
        <w:ind w:left="0" w:firstLine="0"/>
        <w:rPr>
          <w:rFonts w:ascii="Times New Roman" w:hAnsi="Times New Roman" w:cs="Times New Roman"/>
          <w:sz w:val="21"/>
          <w:szCs w:val="21"/>
          <w:lang w:eastAsia="zh-CN"/>
        </w:rPr>
      </w:pPr>
      <w:r>
        <w:rPr>
          <w:rFonts w:ascii="Times New Roman" w:hAnsi="Times New Roman" w:cs="Times New Roman"/>
          <w:sz w:val="21"/>
          <w:szCs w:val="21"/>
          <w:lang w:eastAsia="zh-CN"/>
        </w:rPr>
        <w:t>1、 甲方有权对乙方的资质进行审查，确认其符合且具备进厂条件，方可进厂施工。</w:t>
      </w:r>
    </w:p>
    <w:p w14:paraId="7DD91F0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 甲方有权要求乙方维护好甲方相关的安全环保设施、设备和器材。</w:t>
      </w:r>
    </w:p>
    <w:p w14:paraId="32FFC8DA">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4BA0004D">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5F0964EC">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 甲方有权对乙方不服从管理和严重违章者，驱除施工现场。</w:t>
      </w:r>
    </w:p>
    <w:p w14:paraId="0CCEA469">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 甲方负责对乙方进行厂级和部门级安全培训教育和考核，考核合格方可办理入厂手续。</w:t>
      </w:r>
    </w:p>
    <w:p w14:paraId="699455B0">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 甲方负责各装置的工艺处理、退料、置换、吹扫及盲板隔离工作，为本项目提供安全的施工条件。</w:t>
      </w:r>
    </w:p>
    <w:p w14:paraId="76566947">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 甲方应乙方要求，向乙方提供与乙方作业相关的甲方有毒有害、易燃易爆物品的数据。</w:t>
      </w:r>
    </w:p>
    <w:p w14:paraId="4AE6C257">
      <w:pPr>
        <w:tabs>
          <w:tab w:val="left" w:pos="360"/>
          <w:tab w:val="left" w:pos="840"/>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 甲方在开工前必须对乙方进行全面的安全技术及文明施工交底。</w:t>
      </w:r>
    </w:p>
    <w:p w14:paraId="5A6F25A0">
      <w:pPr>
        <w:spacing w:beforeLines="50"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二、乙方的权利和义务：</w:t>
      </w:r>
    </w:p>
    <w:p w14:paraId="74E5BF18">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0FA684B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 乙方有权对甲方安全管理工作提出合理化建议或改进措施。</w:t>
      </w:r>
    </w:p>
    <w:p w14:paraId="32F1D89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乙方对甲方管理人员违章指挥、强令冒险作业、有权拒绝执行。对打击和报复行为有权向上级和有关部门汇报。 </w:t>
      </w:r>
    </w:p>
    <w:p w14:paraId="7D500569">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4、乙方对危及生命安全和身体健康的施工作业条件和环境，有权提出整改建议或拒绝施工作业。</w:t>
      </w:r>
    </w:p>
    <w:p w14:paraId="017D8523">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5、乙方施工过程中在发生严重危及作业人员生命安全的不可抗拒紧急情况时，有权采取必要的避险措施，并立即向管理部门报告。</w:t>
      </w:r>
    </w:p>
    <w:p w14:paraId="6B0D01F5">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6、乙方有权要求甲方提供相关的安全资料。</w:t>
      </w:r>
    </w:p>
    <w:p w14:paraId="6416CAE6">
      <w:pPr>
        <w:spacing w:line="360" w:lineRule="auto"/>
        <w:rPr>
          <w:rFonts w:ascii="Times New Roman" w:hAnsi="Times New Roman" w:cs="Times New Roman"/>
          <w:b/>
          <w:sz w:val="21"/>
          <w:szCs w:val="21"/>
          <w:lang w:eastAsia="zh-CN"/>
        </w:rPr>
      </w:pPr>
      <w:r>
        <w:rPr>
          <w:rFonts w:ascii="Times New Roman" w:hAnsi="Times New Roman" w:cs="Times New Roman"/>
          <w:sz w:val="21"/>
          <w:szCs w:val="21"/>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14:paraId="75643BA4">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1047121">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14:paraId="60269734">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7A82613E">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11、乙方应按《中华人民共和国劳动法》等法律、法规、规定用工，严禁使用未成年工和有职业禁忌的人员进行施工作业。 </w:t>
      </w:r>
    </w:p>
    <w:p w14:paraId="3ACA9732">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14:paraId="2D6DEC2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13、 乙方需建立安全检查制度，指定专人负责现场安全监督检查工作，认真开展安全检查，发现作业过程中不安全行为、隐患、重大险情，应采取有效措施及时处理并报告甲方。</w:t>
      </w:r>
    </w:p>
    <w:p w14:paraId="667587B9">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14:paraId="73987D44">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14:paraId="37AD088C">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94CF9DC">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17、</w:t>
      </w:r>
      <w:r>
        <w:rPr>
          <w:rFonts w:ascii="Times New Roman" w:hAnsi="Times New Roman" w:cs="Times New Roman"/>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239565ED">
      <w:pPr>
        <w:spacing w:line="360" w:lineRule="auto"/>
        <w:rPr>
          <w:rFonts w:ascii="Times New Roman" w:hAnsi="Times New Roman" w:cs="Times New Roman"/>
          <w:bCs/>
          <w:sz w:val="21"/>
          <w:szCs w:val="21"/>
          <w:lang w:eastAsia="zh-CN"/>
        </w:rPr>
      </w:pPr>
      <w:r>
        <w:rPr>
          <w:rFonts w:ascii="Times New Roman" w:hAnsi="Times New Roman" w:cs="Times New Roman"/>
          <w:bCs/>
          <w:sz w:val="21"/>
          <w:szCs w:val="21"/>
          <w:lang w:eastAsia="zh-CN"/>
        </w:rPr>
        <w:t xml:space="preserve">18、 </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1"/>
          <w:szCs w:val="21"/>
          <w:lang w:eastAsia="zh-CN"/>
        </w:rPr>
        <w:t>GB 2894-2008）</w:t>
      </w:r>
      <w:r>
        <w:rPr>
          <w:rFonts w:ascii="Times New Roman" w:hAnsi="Times New Roman" w:cs="Times New Roman"/>
          <w:bCs/>
          <w:sz w:val="21"/>
          <w:szCs w:val="21"/>
          <w:lang w:eastAsia="zh-CN"/>
        </w:rPr>
        <w:t>的规定。</w:t>
      </w:r>
    </w:p>
    <w:p w14:paraId="384890AA">
      <w:pPr>
        <w:spacing w:line="360" w:lineRule="auto"/>
        <w:rPr>
          <w:rFonts w:ascii="Times New Roman" w:hAnsi="Times New Roman" w:cs="Times New Roman"/>
          <w:sz w:val="21"/>
          <w:szCs w:val="21"/>
          <w:lang w:eastAsia="zh-CN"/>
        </w:rPr>
      </w:pPr>
      <w:r>
        <w:rPr>
          <w:rFonts w:ascii="Times New Roman" w:hAnsi="Times New Roman" w:cs="Times New Roman"/>
          <w:bCs/>
          <w:sz w:val="21"/>
          <w:szCs w:val="21"/>
          <w:lang w:eastAsia="zh-CN"/>
        </w:rPr>
        <w:t>19、</w:t>
      </w:r>
      <w:r>
        <w:rPr>
          <w:rFonts w:ascii="Times New Roman" w:hAnsi="Times New Roman" w:cs="Times New Roman"/>
          <w:sz w:val="21"/>
          <w:szCs w:val="21"/>
          <w:lang w:eastAsia="zh-CN"/>
        </w:rPr>
        <w:t>乙方</w:t>
      </w:r>
      <w:r>
        <w:rPr>
          <w:rFonts w:ascii="Times New Roman" w:hAnsi="Times New Roman" w:cs="Times New Roman"/>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591BC16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20、 乙方施工产生的</w:t>
      </w:r>
      <w:r>
        <w:rPr>
          <w:rFonts w:ascii="Times New Roman" w:hAnsi="Times New Roman" w:cs="Times New Roman"/>
          <w:bCs/>
          <w:sz w:val="21"/>
          <w:szCs w:val="21"/>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1"/>
          <w:szCs w:val="21"/>
          <w:lang w:eastAsia="zh-CN"/>
        </w:rPr>
        <w:t>产生的废物应进行鉴别，一般固废和危险废物应妥善包装、分类堆放，并及时清理。不能任意排放和丢弃。不依法合规处置固体废物，在厂外随意丢弃的，直接解除合同，清除出厂。</w:t>
      </w:r>
    </w:p>
    <w:p w14:paraId="7A7FBD73">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0C63E9F4">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22、 </w:t>
      </w:r>
      <w:r>
        <w:rPr>
          <w:rFonts w:ascii="Times New Roman" w:hAnsi="Times New Roman" w:cs="Times New Roman"/>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71C7DD35">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三、违约责任及处理</w:t>
      </w:r>
    </w:p>
    <w:p w14:paraId="0677090F">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1、乙方不得转包、违法分包及挂靠等违法行为；未经福海创许可，不得将工程分包。</w:t>
      </w:r>
    </w:p>
    <w:p w14:paraId="7C830F5D">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2、发生安全事故时，甲乙双方均有抢险、救灾的义务，所发生的费用由责任方承担。</w:t>
      </w:r>
    </w:p>
    <w:p w14:paraId="5A213E89">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7F5CF62F">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4、甲方违约造成的事故，甲方承担全部责任，并按规定追究有关人员责任及上报。</w:t>
      </w:r>
    </w:p>
    <w:p w14:paraId="7F61765D">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0A9103A6">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1C8878E8">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1DCFD400">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四、 不可抗力：</w:t>
      </w:r>
    </w:p>
    <w:p w14:paraId="53E5AA04">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 xml:space="preserve">    由于不可抗力造成合同项目施工作业事故及产生的损失，甲乙双方各自承担相应的损失。</w:t>
      </w:r>
    </w:p>
    <w:p w14:paraId="4691BEBA">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五、本协议书经双方盖章后生效。</w:t>
      </w:r>
    </w:p>
    <w:p w14:paraId="1C3F1791">
      <w:pPr>
        <w:spacing w:line="360" w:lineRule="auto"/>
        <w:rPr>
          <w:rFonts w:ascii="Times New Roman" w:hAnsi="Times New Roman" w:cs="Times New Roman"/>
          <w:b/>
          <w:sz w:val="21"/>
          <w:szCs w:val="21"/>
          <w:lang w:eastAsia="zh-CN"/>
        </w:rPr>
      </w:pPr>
      <w:r>
        <w:rPr>
          <w:rFonts w:ascii="Times New Roman" w:hAnsi="Times New Roman" w:cs="Times New Roman"/>
          <w:b/>
          <w:sz w:val="21"/>
          <w:szCs w:val="21"/>
          <w:lang w:eastAsia="zh-CN"/>
        </w:rPr>
        <w:t>六、协议期限：</w:t>
      </w:r>
    </w:p>
    <w:p w14:paraId="50368BF4">
      <w:pPr>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本协议期限应与主合同期限一致。如果主合同因故需要变更期限，本合同应与主同变更至相同期限。</w:t>
      </w:r>
    </w:p>
    <w:p w14:paraId="1402E54F">
      <w:pPr>
        <w:spacing w:line="360" w:lineRule="auto"/>
        <w:ind w:firstLine="632" w:firstLineChars="300"/>
        <w:rPr>
          <w:rFonts w:ascii="Times New Roman" w:hAnsi="Times New Roman" w:cs="Times New Roman"/>
          <w:sz w:val="21"/>
          <w:szCs w:val="21"/>
          <w:lang w:eastAsia="zh-CN"/>
        </w:rPr>
      </w:pPr>
      <w:r>
        <w:rPr>
          <w:rFonts w:ascii="Times New Roman" w:hAnsi="Times New Roman" w:cs="Times New Roman"/>
          <w:b/>
          <w:bCs/>
          <w:color w:val="000000"/>
          <w:sz w:val="21"/>
          <w:szCs w:val="21"/>
          <w:lang w:eastAsia="zh-CN"/>
        </w:rPr>
        <w:t>以下无正文，为合同盖章页。</w:t>
      </w:r>
    </w:p>
    <w:p w14:paraId="61DA31AD">
      <w:pPr>
        <w:spacing w:line="360" w:lineRule="auto"/>
        <w:rPr>
          <w:rFonts w:ascii="Times New Roman" w:hAnsi="Times New Roman" w:cs="Times New Roman"/>
          <w:sz w:val="21"/>
          <w:szCs w:val="21"/>
          <w:lang w:eastAsia="zh-CN"/>
        </w:rPr>
      </w:pPr>
    </w:p>
    <w:p w14:paraId="24B24B21">
      <w:pPr>
        <w:spacing w:line="360" w:lineRule="auto"/>
        <w:rPr>
          <w:rFonts w:ascii="Times New Roman" w:hAnsi="Times New Roman" w:cs="Times New Roman"/>
          <w:sz w:val="21"/>
          <w:szCs w:val="21"/>
          <w:lang w:eastAsia="zh-CN"/>
        </w:rPr>
      </w:pPr>
    </w:p>
    <w:p w14:paraId="61374B0F">
      <w:pPr>
        <w:spacing w:line="360" w:lineRule="auto"/>
        <w:ind w:left="220" w:leftChars="100"/>
        <w:rPr>
          <w:rFonts w:ascii="Times New Roman" w:hAnsi="Times New Roman" w:cs="Times New Roman"/>
          <w:sz w:val="21"/>
          <w:szCs w:val="21"/>
          <w:lang w:eastAsia="zh-CN"/>
        </w:rPr>
      </w:pPr>
      <w:r>
        <w:rPr>
          <w:rFonts w:ascii="Times New Roman" w:hAnsi="Times New Roman" w:cs="Times New Roman"/>
          <w:sz w:val="21"/>
          <w:szCs w:val="21"/>
          <w:lang w:eastAsia="zh-CN"/>
        </w:rPr>
        <w:t xml:space="preserve">甲  方:翔鹭码头投资管理（漳州）有限公司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乙方：</w:t>
      </w:r>
    </w:p>
    <w:p w14:paraId="0C9955E4">
      <w:pPr>
        <w:pStyle w:val="54"/>
      </w:pPr>
    </w:p>
    <w:bookmarkEnd w:id="0"/>
    <w:p w14:paraId="462419D3">
      <w:pPr>
        <w:spacing w:line="276" w:lineRule="auto"/>
        <w:ind w:firstLine="220" w:firstLineChars="100"/>
        <w:rPr>
          <w:szCs w:val="21"/>
          <w:lang w:eastAsia="zh-CN"/>
        </w:rPr>
      </w:pPr>
      <w:r>
        <w:rPr>
          <w:rFonts w:hint="eastAsia"/>
          <w:szCs w:val="21"/>
          <w:lang w:eastAsia="zh-CN"/>
        </w:rPr>
        <w:t>法人代表: 连毅敏                         法人代表:</w:t>
      </w:r>
    </w:p>
    <w:p w14:paraId="5B4C577F">
      <w:pPr>
        <w:spacing w:line="276" w:lineRule="auto"/>
        <w:ind w:firstLine="464" w:firstLineChars="211"/>
        <w:rPr>
          <w:szCs w:val="21"/>
          <w:lang w:eastAsia="zh-CN"/>
        </w:rPr>
      </w:pPr>
    </w:p>
    <w:p w14:paraId="1FF40E98">
      <w:pPr>
        <w:spacing w:line="276" w:lineRule="auto"/>
        <w:ind w:firstLine="464" w:firstLineChars="211"/>
        <w:rPr>
          <w:szCs w:val="21"/>
          <w:lang w:eastAsia="zh-CN"/>
        </w:rPr>
      </w:pPr>
    </w:p>
    <w:p w14:paraId="2F96431B">
      <w:pPr>
        <w:spacing w:line="276" w:lineRule="auto"/>
        <w:ind w:firstLine="220" w:firstLineChars="100"/>
        <w:rPr>
          <w:rFonts w:ascii="Times New Roman" w:hAnsi="Times New Roman" w:cs="Times New Roman"/>
          <w:sz w:val="21"/>
          <w:szCs w:val="21"/>
          <w:lang w:eastAsia="zh-CN"/>
        </w:rPr>
      </w:pPr>
      <w:r>
        <w:rPr>
          <w:rFonts w:hint="eastAsia"/>
          <w:szCs w:val="21"/>
          <w:lang w:eastAsia="zh-CN"/>
        </w:rPr>
        <w:t>签定日期：</w:t>
      </w:r>
      <w:r>
        <w:rPr>
          <w:rFonts w:hint="eastAsia" w:ascii="Times New Roman" w:hAnsi="Times New Roman" w:cs="Times New Roman"/>
          <w:bCs/>
          <w:sz w:val="21"/>
          <w:szCs w:val="21"/>
          <w:lang w:val="en-US" w:eastAsia="zh-CN"/>
        </w:rPr>
        <w:t>2025年07月   日</w:t>
      </w: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签定日期：</w:t>
      </w:r>
      <w:r>
        <w:rPr>
          <w:rFonts w:hint="eastAsia" w:ascii="Times New Roman" w:hAnsi="Times New Roman" w:cs="Times New Roman"/>
          <w:bCs/>
          <w:sz w:val="21"/>
          <w:szCs w:val="21"/>
          <w:lang w:val="en-US" w:eastAsia="zh-CN"/>
        </w:rPr>
        <w:t>2025年07月   日</w:t>
      </w:r>
    </w:p>
    <w:p w14:paraId="46D802DC">
      <w:pPr>
        <w:pStyle w:val="54"/>
        <w:rPr>
          <w:rFonts w:ascii="Times New Roman" w:hAnsi="Times New Roman"/>
          <w:sz w:val="21"/>
          <w:szCs w:val="21"/>
        </w:rPr>
      </w:pPr>
    </w:p>
    <w:p w14:paraId="760096C3">
      <w:pPr>
        <w:pStyle w:val="54"/>
        <w:rPr>
          <w:rFonts w:ascii="Times New Roman" w:hAnsi="Times New Roman"/>
          <w:sz w:val="21"/>
          <w:szCs w:val="21"/>
        </w:rPr>
      </w:pPr>
    </w:p>
    <w:p w14:paraId="6E697395">
      <w:pPr>
        <w:pStyle w:val="54"/>
        <w:rPr>
          <w:rFonts w:ascii="Times New Roman" w:hAnsi="Times New Roman"/>
          <w:sz w:val="21"/>
          <w:szCs w:val="21"/>
        </w:rPr>
      </w:pPr>
    </w:p>
    <w:p w14:paraId="1EE3C774">
      <w:pPr>
        <w:pStyle w:val="54"/>
        <w:rPr>
          <w:rFonts w:ascii="Times New Roman" w:hAnsi="Times New Roman"/>
          <w:sz w:val="21"/>
          <w:szCs w:val="21"/>
        </w:rPr>
      </w:pPr>
    </w:p>
    <w:p w14:paraId="5142FE13">
      <w:pPr>
        <w:pStyle w:val="54"/>
        <w:rPr>
          <w:rFonts w:ascii="Times New Roman" w:hAnsi="Times New Roman"/>
          <w:sz w:val="21"/>
          <w:szCs w:val="21"/>
        </w:rPr>
      </w:pPr>
    </w:p>
    <w:p w14:paraId="60404C71">
      <w:pPr>
        <w:pStyle w:val="54"/>
        <w:rPr>
          <w:rFonts w:ascii="Times New Roman" w:hAnsi="Times New Roman"/>
          <w:sz w:val="21"/>
          <w:szCs w:val="21"/>
        </w:rPr>
      </w:pPr>
    </w:p>
    <w:p w14:paraId="14767CDE">
      <w:pPr>
        <w:pStyle w:val="54"/>
        <w:rPr>
          <w:rFonts w:ascii="Times New Roman" w:hAnsi="Times New Roman"/>
          <w:sz w:val="21"/>
          <w:szCs w:val="21"/>
        </w:rPr>
      </w:pPr>
    </w:p>
    <w:p w14:paraId="410143D2">
      <w:pPr>
        <w:pStyle w:val="54"/>
        <w:rPr>
          <w:rFonts w:ascii="Times New Roman" w:hAnsi="Times New Roman"/>
          <w:sz w:val="21"/>
          <w:szCs w:val="21"/>
        </w:rPr>
      </w:pPr>
    </w:p>
    <w:p w14:paraId="7B40FCBE">
      <w:pPr>
        <w:pStyle w:val="54"/>
        <w:rPr>
          <w:rFonts w:ascii="Times New Roman" w:hAnsi="Times New Roman"/>
          <w:sz w:val="21"/>
          <w:szCs w:val="21"/>
        </w:rPr>
      </w:pPr>
    </w:p>
    <w:p w14:paraId="0CA9518E">
      <w:pPr>
        <w:pStyle w:val="54"/>
        <w:rPr>
          <w:rFonts w:ascii="Times New Roman" w:hAnsi="Times New Roman"/>
          <w:sz w:val="21"/>
          <w:szCs w:val="21"/>
        </w:rPr>
      </w:pPr>
    </w:p>
    <w:p w14:paraId="7A234B97">
      <w:pPr>
        <w:pStyle w:val="54"/>
        <w:rPr>
          <w:rFonts w:ascii="Times New Roman" w:hAnsi="Times New Roman"/>
          <w:sz w:val="21"/>
          <w:szCs w:val="21"/>
        </w:rPr>
      </w:pPr>
    </w:p>
    <w:p w14:paraId="4B6D84A6">
      <w:pPr>
        <w:pStyle w:val="54"/>
        <w:rPr>
          <w:rFonts w:ascii="Times New Roman" w:hAnsi="Times New Roman"/>
          <w:sz w:val="21"/>
          <w:szCs w:val="21"/>
        </w:rPr>
      </w:pPr>
    </w:p>
    <w:p w14:paraId="4B7F6D0A">
      <w:pPr>
        <w:pStyle w:val="54"/>
        <w:rPr>
          <w:rFonts w:ascii="Times New Roman" w:hAnsi="Times New Roman"/>
          <w:sz w:val="21"/>
          <w:szCs w:val="21"/>
        </w:rPr>
      </w:pPr>
    </w:p>
    <w:p w14:paraId="0E38CC2D">
      <w:pPr>
        <w:pStyle w:val="54"/>
        <w:rPr>
          <w:rFonts w:ascii="Times New Roman" w:hAnsi="Times New Roman"/>
          <w:sz w:val="21"/>
          <w:szCs w:val="21"/>
        </w:rPr>
      </w:pPr>
    </w:p>
    <w:p w14:paraId="4697B544">
      <w:pPr>
        <w:pStyle w:val="54"/>
        <w:rPr>
          <w:rFonts w:ascii="Times New Roman" w:hAnsi="Times New Roman"/>
          <w:sz w:val="21"/>
          <w:szCs w:val="21"/>
        </w:rPr>
      </w:pPr>
    </w:p>
    <w:p w14:paraId="48BB2C7E">
      <w:pPr>
        <w:pStyle w:val="54"/>
        <w:rPr>
          <w:rFonts w:ascii="Times New Roman" w:hAnsi="Times New Roman"/>
          <w:sz w:val="21"/>
          <w:szCs w:val="21"/>
        </w:rPr>
      </w:pPr>
    </w:p>
    <w:p w14:paraId="56EF1FAC">
      <w:pPr>
        <w:pStyle w:val="54"/>
        <w:rPr>
          <w:rFonts w:ascii="Times New Roman" w:hAnsi="Times New Roman"/>
          <w:sz w:val="21"/>
          <w:szCs w:val="21"/>
        </w:rPr>
      </w:pPr>
    </w:p>
    <w:p w14:paraId="18E00475">
      <w:pPr>
        <w:pStyle w:val="54"/>
        <w:rPr>
          <w:rFonts w:ascii="Times New Roman" w:hAnsi="Times New Roman"/>
          <w:sz w:val="21"/>
          <w:szCs w:val="21"/>
        </w:rPr>
      </w:pPr>
    </w:p>
    <w:p w14:paraId="4327C3A0">
      <w:pPr>
        <w:pStyle w:val="54"/>
        <w:rPr>
          <w:rFonts w:ascii="Times New Roman" w:hAnsi="Times New Roman"/>
          <w:sz w:val="21"/>
          <w:szCs w:val="21"/>
        </w:rPr>
      </w:pPr>
    </w:p>
    <w:p w14:paraId="24DEB36E">
      <w:pPr>
        <w:pStyle w:val="54"/>
        <w:rPr>
          <w:rFonts w:ascii="Times New Roman" w:hAnsi="Times New Roman"/>
          <w:sz w:val="21"/>
          <w:szCs w:val="21"/>
        </w:rPr>
      </w:pPr>
    </w:p>
    <w:p w14:paraId="4EDE2FDF">
      <w:pPr>
        <w:pStyle w:val="54"/>
        <w:rPr>
          <w:rFonts w:ascii="Times New Roman" w:hAnsi="Times New Roman"/>
          <w:sz w:val="21"/>
          <w:szCs w:val="21"/>
        </w:rPr>
      </w:pPr>
    </w:p>
    <w:p w14:paraId="7C3537B1">
      <w:pPr>
        <w:pStyle w:val="54"/>
        <w:rPr>
          <w:rFonts w:ascii="Times New Roman" w:hAnsi="Times New Roman"/>
          <w:sz w:val="21"/>
          <w:szCs w:val="21"/>
        </w:rPr>
      </w:pPr>
    </w:p>
    <w:p w14:paraId="09541EC0">
      <w:pPr>
        <w:pStyle w:val="54"/>
        <w:rPr>
          <w:rFonts w:ascii="Times New Roman" w:hAnsi="Times New Roman"/>
          <w:sz w:val="21"/>
          <w:szCs w:val="21"/>
        </w:rPr>
      </w:pPr>
    </w:p>
    <w:p w14:paraId="7AB3F4C1">
      <w:pPr>
        <w:pStyle w:val="70"/>
        <w:ind w:left="0" w:firstLine="0"/>
        <w:jc w:val="center"/>
        <w:rPr>
          <w:b/>
          <w:bCs/>
          <w:sz w:val="32"/>
          <w:szCs w:val="36"/>
          <w:lang w:eastAsia="zh-CN"/>
        </w:rPr>
      </w:pPr>
      <w:r>
        <w:rPr>
          <w:rFonts w:hint="eastAsia"/>
          <w:b/>
          <w:bCs/>
          <w:sz w:val="32"/>
          <w:szCs w:val="36"/>
          <w:lang w:eastAsia="zh-CN"/>
        </w:rPr>
        <w:t>附件4、人员、车辆入厂安全管理协议</w:t>
      </w:r>
    </w:p>
    <w:p w14:paraId="5E81DC8A">
      <w:pPr>
        <w:pStyle w:val="70"/>
        <w:ind w:left="0" w:firstLine="0"/>
        <w:rPr>
          <w:rFonts w:ascii="Times New Roman" w:hAnsi="Times New Roman" w:cs="Times New Roman"/>
          <w:sz w:val="21"/>
          <w:szCs w:val="21"/>
          <w:lang w:eastAsia="zh-CN"/>
        </w:rPr>
      </w:pPr>
      <w:r>
        <w:rPr>
          <w:rFonts w:ascii="Times New Roman" w:hAnsi="Times New Roman" w:cs="Times New Roman"/>
          <w:sz w:val="21"/>
          <w:szCs w:val="21"/>
          <w:lang w:eastAsia="zh-CN"/>
        </w:rPr>
        <w:t xml:space="preserve">甲方（委托方）：翔鹭码头投资管理（漳州）有限公司                 </w:t>
      </w:r>
    </w:p>
    <w:p w14:paraId="5ACCE325">
      <w:pPr>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乙方（受托方）：</w:t>
      </w:r>
    </w:p>
    <w:p w14:paraId="6DF45231">
      <w:pPr>
        <w:spacing w:line="360" w:lineRule="auto"/>
        <w:ind w:left="-6" w:firstLine="224" w:firstLineChars="107"/>
        <w:rPr>
          <w:szCs w:val="21"/>
          <w:lang w:eastAsia="zh-CN"/>
        </w:rPr>
      </w:pPr>
      <w:r>
        <w:rPr>
          <w:rFonts w:ascii="Times New Roman" w:hAnsi="Times New Roman" w:cs="Times New Roman"/>
          <w:sz w:val="21"/>
          <w:szCs w:val="21"/>
          <w:lang w:eastAsia="zh-CN"/>
        </w:rPr>
        <w:t xml:space="preserve">   </w:t>
      </w:r>
      <w:r>
        <w:rPr>
          <w:rFonts w:hint="eastAsia"/>
          <w:szCs w:val="21"/>
          <w:lang w:eastAsia="zh-CN"/>
        </w:rPr>
        <w:t>为进一步明确甲乙双方在合同履行过程中的安全生产权利和义务及责任，经双方协商，双方自愿签订本协议，作为主合同的附件。</w:t>
      </w:r>
    </w:p>
    <w:p w14:paraId="3779F2C9">
      <w:pPr>
        <w:numPr>
          <w:ilvl w:val="0"/>
          <w:numId w:val="8"/>
        </w:numPr>
        <w:spacing w:line="360" w:lineRule="auto"/>
        <w:ind w:left="-526" w:leftChars="-239" w:firstLine="466" w:firstLineChars="211"/>
        <w:rPr>
          <w:b/>
          <w:bCs/>
          <w:szCs w:val="21"/>
          <w:lang w:eastAsia="zh-CN"/>
        </w:rPr>
      </w:pPr>
      <w:r>
        <w:rPr>
          <w:rFonts w:hint="eastAsia"/>
          <w:b/>
          <w:bCs/>
          <w:szCs w:val="21"/>
          <w:lang w:eastAsia="zh-CN"/>
        </w:rPr>
        <w:t>甲方的权利和义务</w:t>
      </w:r>
    </w:p>
    <w:p w14:paraId="25B2F038">
      <w:pPr>
        <w:numPr>
          <w:ilvl w:val="0"/>
          <w:numId w:val="9"/>
        </w:numPr>
        <w:spacing w:line="360" w:lineRule="auto"/>
        <w:ind w:left="-62" w:leftChars="-28"/>
        <w:rPr>
          <w:szCs w:val="21"/>
          <w:lang w:eastAsia="zh-CN"/>
        </w:rPr>
      </w:pPr>
      <w:r>
        <w:rPr>
          <w:rFonts w:hint="eastAsia"/>
          <w:szCs w:val="21"/>
          <w:lang w:eastAsia="zh-CN"/>
        </w:rPr>
        <w:t>甲方负责向乙方提供乙方需遵守的安全环保管理规定，并在入厂前向需要进入甲方厂区的人员进行安全告知。</w:t>
      </w:r>
    </w:p>
    <w:p w14:paraId="6980890C">
      <w:pPr>
        <w:numPr>
          <w:ilvl w:val="0"/>
          <w:numId w:val="9"/>
        </w:numPr>
        <w:spacing w:line="360" w:lineRule="auto"/>
        <w:ind w:left="-62" w:leftChars="-28"/>
        <w:rPr>
          <w:szCs w:val="21"/>
          <w:lang w:eastAsia="zh-CN"/>
        </w:rPr>
      </w:pPr>
      <w:r>
        <w:rPr>
          <w:rFonts w:hint="eastAsia"/>
          <w:szCs w:val="21"/>
          <w:lang w:eastAsia="zh-CN"/>
        </w:rPr>
        <w:t>甲方应为乙方指定甲方厂区内的安全行车路线。</w:t>
      </w:r>
    </w:p>
    <w:p w14:paraId="7E182641">
      <w:pPr>
        <w:numPr>
          <w:ilvl w:val="0"/>
          <w:numId w:val="9"/>
        </w:numPr>
        <w:spacing w:line="360" w:lineRule="auto"/>
        <w:ind w:left="-62" w:leftChars="-28"/>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14:paraId="07E7E06B">
      <w:pPr>
        <w:numPr>
          <w:ilvl w:val="0"/>
          <w:numId w:val="9"/>
        </w:numPr>
        <w:spacing w:line="360" w:lineRule="auto"/>
        <w:ind w:left="-62" w:leftChars="-28"/>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14:paraId="4286A0A2">
      <w:pPr>
        <w:numPr>
          <w:ilvl w:val="0"/>
          <w:numId w:val="9"/>
        </w:numPr>
        <w:spacing w:line="360" w:lineRule="auto"/>
        <w:ind w:left="-62" w:leftChars="-28"/>
        <w:rPr>
          <w:szCs w:val="21"/>
          <w:lang w:eastAsia="zh-CN"/>
        </w:rPr>
      </w:pPr>
      <w:r>
        <w:rPr>
          <w:rFonts w:hint="eastAsia"/>
          <w:szCs w:val="21"/>
          <w:lang w:eastAsia="zh-CN"/>
        </w:rPr>
        <w:t>甲方业务主管部门应全程委托专门人员引导乙方车辆和人员按指定的路线进入厂区、到达指定位置。</w:t>
      </w:r>
    </w:p>
    <w:p w14:paraId="7B38206B">
      <w:pPr>
        <w:numPr>
          <w:ilvl w:val="0"/>
          <w:numId w:val="8"/>
        </w:numPr>
        <w:spacing w:line="360" w:lineRule="auto"/>
        <w:ind w:left="-526" w:leftChars="-239" w:firstLine="466" w:firstLineChars="211"/>
        <w:rPr>
          <w:b/>
          <w:bCs/>
          <w:szCs w:val="21"/>
          <w:lang w:eastAsia="zh-CN"/>
        </w:rPr>
      </w:pPr>
      <w:r>
        <w:rPr>
          <w:rFonts w:hint="eastAsia"/>
          <w:b/>
          <w:bCs/>
          <w:szCs w:val="21"/>
          <w:lang w:eastAsia="zh-CN"/>
        </w:rPr>
        <w:t>乙方的权利和义务</w:t>
      </w:r>
    </w:p>
    <w:p w14:paraId="6DB25ECF">
      <w:pPr>
        <w:numPr>
          <w:ilvl w:val="0"/>
          <w:numId w:val="10"/>
        </w:numPr>
        <w:spacing w:line="360" w:lineRule="auto"/>
        <w:ind w:left="-62" w:leftChars="-28"/>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14:paraId="1C260BEC">
      <w:pPr>
        <w:numPr>
          <w:ilvl w:val="0"/>
          <w:numId w:val="10"/>
        </w:numPr>
        <w:spacing w:line="360" w:lineRule="auto"/>
        <w:ind w:left="-62" w:leftChars="-28"/>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14:paraId="44B8FB72">
      <w:pPr>
        <w:numPr>
          <w:ilvl w:val="0"/>
          <w:numId w:val="10"/>
        </w:numPr>
        <w:spacing w:line="360" w:lineRule="auto"/>
        <w:ind w:left="-62" w:leftChars="-28"/>
        <w:rPr>
          <w:szCs w:val="21"/>
          <w:lang w:eastAsia="zh-CN"/>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14:paraId="26A3B26B">
      <w:pPr>
        <w:numPr>
          <w:ilvl w:val="0"/>
          <w:numId w:val="10"/>
        </w:numPr>
        <w:spacing w:line="360" w:lineRule="auto"/>
        <w:ind w:left="-62" w:leftChars="-28"/>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5F576150">
      <w:pPr>
        <w:numPr>
          <w:ilvl w:val="0"/>
          <w:numId w:val="10"/>
        </w:numPr>
        <w:spacing w:line="360" w:lineRule="auto"/>
        <w:ind w:left="-62" w:leftChars="-28"/>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14:paraId="0C3F29C7">
      <w:pPr>
        <w:numPr>
          <w:ilvl w:val="0"/>
          <w:numId w:val="10"/>
        </w:numPr>
        <w:spacing w:line="360" w:lineRule="auto"/>
        <w:ind w:left="-62" w:leftChars="-28"/>
        <w:rPr>
          <w:szCs w:val="21"/>
          <w:lang w:eastAsia="zh-CN"/>
        </w:rPr>
      </w:pPr>
      <w:r>
        <w:rPr>
          <w:rFonts w:hint="eastAsia"/>
          <w:szCs w:val="21"/>
          <w:lang w:eastAsia="zh-CN"/>
        </w:rPr>
        <w:t>对于甲方在安全生产监管中发现的问题，乙方应按要求落实整改。</w:t>
      </w:r>
    </w:p>
    <w:p w14:paraId="62D868CD">
      <w:pPr>
        <w:numPr>
          <w:ilvl w:val="0"/>
          <w:numId w:val="8"/>
        </w:num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14:paraId="14E8D731">
      <w:pPr>
        <w:numPr>
          <w:ilvl w:val="0"/>
          <w:numId w:val="11"/>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发生安全事故时，甲乙双方均有抢险、救灾的义务，所发生的费用由责任方承担。</w:t>
      </w:r>
    </w:p>
    <w:p w14:paraId="7E2439C1">
      <w:pPr>
        <w:numPr>
          <w:ilvl w:val="0"/>
          <w:numId w:val="11"/>
        </w:numPr>
        <w:spacing w:line="550" w:lineRule="exact"/>
        <w:ind w:left="-62" w:leftChars="-28"/>
        <w:rPr>
          <w:rFonts w:asciiTheme="minorEastAsia" w:hAnsiTheme="minorEastAsia" w:eastAsia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3CF2D2E9">
      <w:pPr>
        <w:numPr>
          <w:ilvl w:val="0"/>
          <w:numId w:val="11"/>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甲方违约造成的事故，甲方承担全部责任，并按规定追究有关人员责任及上报。</w:t>
      </w:r>
    </w:p>
    <w:p w14:paraId="6628705C">
      <w:pPr>
        <w:numPr>
          <w:ilvl w:val="0"/>
          <w:numId w:val="11"/>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乙方在</w:t>
      </w:r>
      <w:r>
        <w:rPr>
          <w:rFonts w:hint="eastAsia" w:asciiTheme="minorEastAsia" w:hAnsiTheme="minorEastAsia"/>
          <w:szCs w:val="21"/>
          <w:lang w:eastAsia="zh-CN"/>
        </w:rPr>
        <w:t>厂区内</w:t>
      </w:r>
      <w:r>
        <w:rPr>
          <w:rFonts w:hint="eastAsia" w:asciiTheme="minorEastAsia" w:hAnsiTheme="minorEastAsia" w:eastAsiaTheme="minor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14:paraId="20B14DE7">
      <w:pPr>
        <w:numPr>
          <w:ilvl w:val="0"/>
          <w:numId w:val="11"/>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乙方违约造成的事故，乙方承担全部责任；由于乙方</w:t>
      </w:r>
      <w:r>
        <w:rPr>
          <w:rFonts w:hint="eastAsia" w:asciiTheme="minorEastAsia" w:hAnsiTheme="minorEastAsia"/>
          <w:szCs w:val="21"/>
          <w:lang w:eastAsia="zh-CN"/>
        </w:rPr>
        <w:t>的</w:t>
      </w:r>
      <w:r>
        <w:rPr>
          <w:rFonts w:hint="eastAsia" w:asciiTheme="minorEastAsia" w:hAnsiTheme="minorEastAsia" w:eastAsiaTheme="minorEastAsia"/>
          <w:szCs w:val="21"/>
          <w:lang w:eastAsia="zh-CN"/>
        </w:rPr>
        <w:t>服务质量及</w:t>
      </w:r>
      <w:r>
        <w:rPr>
          <w:rFonts w:hint="eastAsia" w:asciiTheme="minorEastAsia" w:hAnsiTheme="minorEastAsia"/>
          <w:szCs w:val="21"/>
          <w:lang w:eastAsia="zh-CN"/>
        </w:rPr>
        <w:t>货物</w:t>
      </w:r>
      <w:r>
        <w:rPr>
          <w:rFonts w:hint="eastAsia" w:asciiTheme="minorEastAsia" w:hAnsiTheme="minorEastAsia" w:eastAsiaTheme="minorEastAsia"/>
          <w:szCs w:val="21"/>
          <w:lang w:eastAsia="zh-CN"/>
        </w:rPr>
        <w:t>质量导致的事故，由乙方承担全部责任构成犯罪的，依法追究刑事责任。</w:t>
      </w:r>
    </w:p>
    <w:p w14:paraId="6513956E">
      <w:pPr>
        <w:numPr>
          <w:ilvl w:val="0"/>
          <w:numId w:val="11"/>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对乙方发生事故后弄虚作假、隐瞒不报、迟报或谎报，一经查出，按有关规定处罚</w:t>
      </w:r>
      <w:r>
        <w:rPr>
          <w:rFonts w:hint="eastAsia" w:asciiTheme="minorEastAsia" w:hAnsiTheme="minorEastAsia"/>
          <w:szCs w:val="21"/>
          <w:lang w:eastAsia="zh-CN"/>
        </w:rPr>
        <w:t>，</w:t>
      </w:r>
      <w:r>
        <w:rPr>
          <w:rFonts w:hint="eastAsia" w:asciiTheme="minorEastAsia" w:hAnsiTheme="minorEastAsia" w:eastAsiaTheme="minorEastAsia"/>
          <w:szCs w:val="21"/>
          <w:lang w:eastAsia="zh-CN"/>
        </w:rPr>
        <w:t>情节严重的，取消其进入甲方的市场资格。</w:t>
      </w:r>
    </w:p>
    <w:p w14:paraId="17A6924C">
      <w:pPr>
        <w:spacing w:line="550" w:lineRule="exact"/>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14:paraId="1A69E822">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hint="eastAsia" w:asciiTheme="minorEastAsia" w:hAnsiTheme="minorEastAsia"/>
          <w:szCs w:val="21"/>
          <w:lang w:eastAsia="zh-CN"/>
        </w:rPr>
        <w:t xml:space="preserve">  </w:t>
      </w:r>
      <w:r>
        <w:rPr>
          <w:rFonts w:hint="eastAsia" w:asciiTheme="minorEastAsia" w:hAnsiTheme="minorEastAsia" w:eastAsiaTheme="minorEastAsia"/>
          <w:szCs w:val="21"/>
          <w:lang w:eastAsia="zh-CN"/>
        </w:rPr>
        <w:t xml:space="preserve"> 由于不可抗力造成事故及产生的损失，甲乙双方各自承担相应的损失。</w:t>
      </w:r>
    </w:p>
    <w:p w14:paraId="0C8FB1EC">
      <w:pPr>
        <w:spacing w:line="36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14:paraId="08086121">
      <w:pPr>
        <w:spacing w:line="36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14:paraId="2AB86075">
      <w:pPr>
        <w:spacing w:line="550" w:lineRule="exact"/>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14:paraId="587AE9D1">
      <w:pPr>
        <w:spacing w:line="550" w:lineRule="exact"/>
        <w:ind w:firstLine="464" w:firstLineChars="21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14:paraId="0932B798">
      <w:pPr>
        <w:spacing w:line="360" w:lineRule="auto"/>
        <w:ind w:firstLine="464" w:firstLineChars="21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14:paraId="301D266F">
      <w:pPr>
        <w:spacing w:line="276" w:lineRule="auto"/>
        <w:ind w:firstLine="464" w:firstLineChars="211"/>
        <w:rPr>
          <w:szCs w:val="21"/>
          <w:lang w:eastAsia="zh-CN"/>
        </w:rPr>
      </w:pPr>
    </w:p>
    <w:p w14:paraId="0E781DA6">
      <w:pPr>
        <w:spacing w:line="360" w:lineRule="auto"/>
        <w:ind w:left="218" w:hanging="218" w:hangingChars="104"/>
        <w:rPr>
          <w:rFonts w:ascii="Times New Roman" w:hAnsi="Times New Roman" w:cs="Times New Roman"/>
          <w:sz w:val="21"/>
          <w:szCs w:val="21"/>
          <w:lang w:eastAsia="zh-CN"/>
        </w:rPr>
      </w:pPr>
      <w:r>
        <w:rPr>
          <w:rFonts w:ascii="Times New Roman" w:hAnsi="Times New Roman" w:cs="Times New Roman"/>
          <w:sz w:val="21"/>
          <w:szCs w:val="21"/>
          <w:lang w:eastAsia="zh-CN"/>
        </w:rPr>
        <w:t xml:space="preserve">甲  方:翔鹭码头投资管理（漳州）有限公司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乙方：</w:t>
      </w:r>
    </w:p>
    <w:p w14:paraId="2EF4D113">
      <w:pPr>
        <w:spacing w:line="276" w:lineRule="auto"/>
        <w:ind w:firstLine="464" w:firstLineChars="211"/>
        <w:rPr>
          <w:szCs w:val="21"/>
          <w:lang w:eastAsia="zh-CN"/>
        </w:rPr>
      </w:pPr>
    </w:p>
    <w:p w14:paraId="71FD614F">
      <w:pPr>
        <w:spacing w:line="276" w:lineRule="auto"/>
        <w:rPr>
          <w:szCs w:val="21"/>
          <w:lang w:eastAsia="zh-CN"/>
        </w:rPr>
      </w:pPr>
      <w:r>
        <w:rPr>
          <w:rFonts w:hint="eastAsia"/>
          <w:szCs w:val="21"/>
          <w:lang w:eastAsia="zh-CN"/>
        </w:rPr>
        <w:t>法人代表:                                法人代表:</w:t>
      </w:r>
    </w:p>
    <w:p w14:paraId="36DB6F6A">
      <w:pPr>
        <w:spacing w:line="276" w:lineRule="auto"/>
        <w:ind w:firstLine="464" w:firstLineChars="211"/>
        <w:rPr>
          <w:szCs w:val="21"/>
          <w:lang w:eastAsia="zh-CN"/>
        </w:rPr>
      </w:pPr>
    </w:p>
    <w:p w14:paraId="056DFF20">
      <w:pPr>
        <w:spacing w:line="276" w:lineRule="auto"/>
        <w:ind w:firstLine="464" w:firstLineChars="211"/>
        <w:rPr>
          <w:szCs w:val="21"/>
          <w:lang w:eastAsia="zh-CN"/>
        </w:rPr>
      </w:pPr>
    </w:p>
    <w:p w14:paraId="2896281D">
      <w:pPr>
        <w:spacing w:line="276" w:lineRule="auto"/>
        <w:rPr>
          <w:rFonts w:ascii="Times New Roman" w:hAnsi="Times New Roman" w:cs="Times New Roman"/>
          <w:sz w:val="21"/>
          <w:szCs w:val="21"/>
          <w:lang w:eastAsia="zh-CN"/>
        </w:rPr>
      </w:pPr>
      <w:r>
        <w:rPr>
          <w:rFonts w:hint="eastAsia"/>
          <w:szCs w:val="21"/>
          <w:lang w:eastAsia="zh-CN"/>
        </w:rPr>
        <w:t>签定日期：</w:t>
      </w:r>
      <w:r>
        <w:rPr>
          <w:rFonts w:hint="eastAsia" w:ascii="Times New Roman" w:hAnsi="Times New Roman" w:cs="Times New Roman"/>
          <w:bCs/>
          <w:sz w:val="21"/>
          <w:szCs w:val="21"/>
          <w:lang w:val="en-US" w:eastAsia="zh-CN"/>
        </w:rPr>
        <w:t>2025年07月  日</w:t>
      </w:r>
      <w:r>
        <w:rPr>
          <w:rFonts w:hint="eastAsia"/>
          <w:szCs w:val="21"/>
          <w:lang w:eastAsia="zh-CN"/>
        </w:rPr>
        <w:t xml:space="preserve">               </w:t>
      </w:r>
      <w:r>
        <w:rPr>
          <w:rFonts w:hint="eastAsia"/>
          <w:szCs w:val="21"/>
          <w:lang w:val="en-US" w:eastAsia="zh-CN"/>
        </w:rPr>
        <w:t xml:space="preserve">   </w:t>
      </w:r>
      <w:r>
        <w:rPr>
          <w:rFonts w:hint="eastAsia"/>
          <w:szCs w:val="21"/>
          <w:lang w:eastAsia="zh-CN"/>
        </w:rPr>
        <w:t xml:space="preserve"> 签定日期：</w:t>
      </w:r>
      <w:r>
        <w:rPr>
          <w:rFonts w:hint="eastAsia" w:ascii="Times New Roman" w:hAnsi="Times New Roman" w:cs="Times New Roman"/>
          <w:bCs/>
          <w:sz w:val="21"/>
          <w:szCs w:val="21"/>
          <w:lang w:val="en-US" w:eastAsia="zh-CN"/>
        </w:rPr>
        <w:t>2025年07月  日</w:t>
      </w:r>
    </w:p>
    <w:p w14:paraId="4D107122">
      <w:pPr>
        <w:pStyle w:val="54"/>
        <w:rPr>
          <w:rFonts w:ascii="Times New Roman" w:hAnsi="Times New Roman"/>
          <w:sz w:val="24"/>
          <w:szCs w:val="24"/>
        </w:rPr>
      </w:pPr>
    </w:p>
    <w:sectPr>
      <w:footerReference r:id="rId3" w:type="default"/>
      <w:pgSz w:w="11906" w:h="16838"/>
      <w:pgMar w:top="1198" w:right="1083" w:bottom="1120" w:left="1259"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CED7C">
    <w:pPr>
      <w:pStyle w:val="19"/>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3B6D4CCA">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2</w:t>
                </w:r>
                <w:r>
                  <w:rPr>
                    <w:rFonts w:hint="eastAsia"/>
                    <w:sz w:val="18"/>
                    <w:lang w:eastAsia="zh-CN"/>
                  </w:rPr>
                  <w:fldChar w:fldCharType="end"/>
                </w:r>
                <w:r>
                  <w:rPr>
                    <w:rFonts w:hint="eastAsia"/>
                    <w:sz w:val="18"/>
                    <w:lang w:eastAsia="zh-CN"/>
                  </w:rPr>
                  <w:t xml:space="preserve"> 页 共 </w:t>
                </w:r>
                <w:r>
                  <w:fldChar w:fldCharType="begin"/>
                </w:r>
                <w:r>
                  <w:instrText xml:space="preserve"> NUMPAGES  \* MERGEFORMAT </w:instrText>
                </w:r>
                <w:r>
                  <w:fldChar w:fldCharType="separate"/>
                </w:r>
                <w:r>
                  <w:rPr>
                    <w:sz w:val="18"/>
                    <w:lang w:eastAsia="zh-CN"/>
                  </w:rPr>
                  <w:t>14</w:t>
                </w:r>
                <w:r>
                  <w:rPr>
                    <w:sz w:val="18"/>
                    <w:lang w:eastAsia="zh-CN"/>
                  </w:rPr>
                  <w:fldChar w:fldCharType="end"/>
                </w:r>
                <w:r>
                  <w:rPr>
                    <w:rFonts w:hint="eastAsia"/>
                    <w:sz w:val="18"/>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79E7A"/>
    <w:multiLevelType w:val="singleLevel"/>
    <w:tmpl w:val="AE679E7A"/>
    <w:lvl w:ilvl="0" w:tentative="0">
      <w:start w:val="1"/>
      <w:numFmt w:val="decimal"/>
      <w:suff w:val="nothing"/>
      <w:lvlText w:val="%1、"/>
      <w:lvlJc w:val="left"/>
    </w:lvl>
  </w:abstractNum>
  <w:abstractNum w:abstractNumId="1">
    <w:nsid w:val="CEB101E9"/>
    <w:multiLevelType w:val="singleLevel"/>
    <w:tmpl w:val="CEB101E9"/>
    <w:lvl w:ilvl="0" w:tentative="0">
      <w:start w:val="1"/>
      <w:numFmt w:val="chineseCounting"/>
      <w:suff w:val="nothing"/>
      <w:lvlText w:val="%1、"/>
      <w:lvlJc w:val="left"/>
      <w:rPr>
        <w:rFonts w:hint="eastAsia"/>
      </w:rPr>
    </w:lvl>
  </w:abstractNum>
  <w:abstractNum w:abstractNumId="2">
    <w:nsid w:val="F43C8E24"/>
    <w:multiLevelType w:val="singleLevel"/>
    <w:tmpl w:val="F43C8E24"/>
    <w:lvl w:ilvl="0" w:tentative="0">
      <w:start w:val="1"/>
      <w:numFmt w:val="decimal"/>
      <w:suff w:val="nothing"/>
      <w:lvlText w:val="%1、"/>
      <w:lvlJc w:val="left"/>
    </w:lvl>
  </w:abstractNum>
  <w:abstractNum w:abstractNumId="3">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4">
    <w:nsid w:val="1B75080C"/>
    <w:multiLevelType w:val="multilevel"/>
    <w:tmpl w:val="1B75080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B86DC3C"/>
    <w:multiLevelType w:val="singleLevel"/>
    <w:tmpl w:val="2B86DC3C"/>
    <w:lvl w:ilvl="0" w:tentative="0">
      <w:start w:val="1"/>
      <w:numFmt w:val="decimal"/>
      <w:suff w:val="nothing"/>
      <w:lvlText w:val="%1、"/>
      <w:lvlJc w:val="left"/>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9452D77"/>
    <w:multiLevelType w:val="multilevel"/>
    <w:tmpl w:val="49452D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10"/>
  </w:num>
  <w:num w:numId="2">
    <w:abstractNumId w:val="3"/>
  </w:num>
  <w:num w:numId="3">
    <w:abstractNumId w:val="6"/>
  </w:num>
  <w:num w:numId="4">
    <w:abstractNumId w:val="7"/>
  </w:num>
  <w:num w:numId="5">
    <w:abstractNumId w:val="8"/>
  </w:num>
  <w:num w:numId="6">
    <w:abstractNumId w:val="9"/>
  </w:num>
  <w:num w:numId="7">
    <w:abstractNumId w:val="4"/>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GRiMDhjOGNhZjBhNTI5ZDMwZDM2MmFjMjhjYTI3OWYifQ=="/>
  </w:docVars>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4021"/>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6F70"/>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458B"/>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2527"/>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D6809"/>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0874"/>
    <w:rsid w:val="00971BD1"/>
    <w:rsid w:val="00974883"/>
    <w:rsid w:val="00975EAC"/>
    <w:rsid w:val="009873FF"/>
    <w:rsid w:val="009928C9"/>
    <w:rsid w:val="00992DC8"/>
    <w:rsid w:val="00995F84"/>
    <w:rsid w:val="0099730F"/>
    <w:rsid w:val="0099762D"/>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5448"/>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58B5"/>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2C09"/>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2154C9E"/>
    <w:rsid w:val="02B97AD2"/>
    <w:rsid w:val="03652BCA"/>
    <w:rsid w:val="0367315B"/>
    <w:rsid w:val="03DB0B4F"/>
    <w:rsid w:val="03DB6E75"/>
    <w:rsid w:val="03FC0ED3"/>
    <w:rsid w:val="04296F06"/>
    <w:rsid w:val="049428BB"/>
    <w:rsid w:val="054002CE"/>
    <w:rsid w:val="060C619A"/>
    <w:rsid w:val="061139E5"/>
    <w:rsid w:val="06172832"/>
    <w:rsid w:val="06F50B00"/>
    <w:rsid w:val="076E1278"/>
    <w:rsid w:val="07F12E2A"/>
    <w:rsid w:val="08D1141D"/>
    <w:rsid w:val="09114AE3"/>
    <w:rsid w:val="09821028"/>
    <w:rsid w:val="0B296DE2"/>
    <w:rsid w:val="0BFF60CF"/>
    <w:rsid w:val="0C4D6E47"/>
    <w:rsid w:val="0CD75DDF"/>
    <w:rsid w:val="0D0152E1"/>
    <w:rsid w:val="0E5F2B77"/>
    <w:rsid w:val="0ECC0803"/>
    <w:rsid w:val="0F5F2DF7"/>
    <w:rsid w:val="10294AA3"/>
    <w:rsid w:val="10E40CA0"/>
    <w:rsid w:val="136130D9"/>
    <w:rsid w:val="13986DBC"/>
    <w:rsid w:val="13CF0CE8"/>
    <w:rsid w:val="14385447"/>
    <w:rsid w:val="14741E3D"/>
    <w:rsid w:val="1652774F"/>
    <w:rsid w:val="17691C63"/>
    <w:rsid w:val="17EA37D6"/>
    <w:rsid w:val="18796374"/>
    <w:rsid w:val="18DD4F7E"/>
    <w:rsid w:val="195B58A2"/>
    <w:rsid w:val="19B17A41"/>
    <w:rsid w:val="1B7E7B59"/>
    <w:rsid w:val="1BDA6B7A"/>
    <w:rsid w:val="1C9C6B12"/>
    <w:rsid w:val="1CF00A03"/>
    <w:rsid w:val="1D0A124D"/>
    <w:rsid w:val="1E085A14"/>
    <w:rsid w:val="1E504417"/>
    <w:rsid w:val="1EF1739F"/>
    <w:rsid w:val="1FA42F25"/>
    <w:rsid w:val="1FAB5EF7"/>
    <w:rsid w:val="1FCD58EA"/>
    <w:rsid w:val="1FE1327B"/>
    <w:rsid w:val="1FF43DDB"/>
    <w:rsid w:val="206C5804"/>
    <w:rsid w:val="21933AA2"/>
    <w:rsid w:val="22E07C1C"/>
    <w:rsid w:val="246219EC"/>
    <w:rsid w:val="24CB4AA9"/>
    <w:rsid w:val="24DF1F9D"/>
    <w:rsid w:val="25BF356F"/>
    <w:rsid w:val="25DB0C2D"/>
    <w:rsid w:val="269469E7"/>
    <w:rsid w:val="27086DAF"/>
    <w:rsid w:val="28277887"/>
    <w:rsid w:val="289C2193"/>
    <w:rsid w:val="29FC3B14"/>
    <w:rsid w:val="2AC42C03"/>
    <w:rsid w:val="2B1012B4"/>
    <w:rsid w:val="2B11792E"/>
    <w:rsid w:val="2B684FB2"/>
    <w:rsid w:val="2BF64C39"/>
    <w:rsid w:val="2D085C2D"/>
    <w:rsid w:val="2EED603F"/>
    <w:rsid w:val="2F856F49"/>
    <w:rsid w:val="2FBE0961"/>
    <w:rsid w:val="2FF879D1"/>
    <w:rsid w:val="30BC10CE"/>
    <w:rsid w:val="310E5483"/>
    <w:rsid w:val="319643A2"/>
    <w:rsid w:val="319B3869"/>
    <w:rsid w:val="31C54755"/>
    <w:rsid w:val="3216608C"/>
    <w:rsid w:val="32202D37"/>
    <w:rsid w:val="32427997"/>
    <w:rsid w:val="324D5036"/>
    <w:rsid w:val="334F15B3"/>
    <w:rsid w:val="34CE14C6"/>
    <w:rsid w:val="34D84CEC"/>
    <w:rsid w:val="37356611"/>
    <w:rsid w:val="37A70A29"/>
    <w:rsid w:val="37AF5AB7"/>
    <w:rsid w:val="38A70432"/>
    <w:rsid w:val="39BB231C"/>
    <w:rsid w:val="3B1C3371"/>
    <w:rsid w:val="3CC23198"/>
    <w:rsid w:val="3CD470C8"/>
    <w:rsid w:val="3D7342BE"/>
    <w:rsid w:val="3DDF4815"/>
    <w:rsid w:val="3F78176A"/>
    <w:rsid w:val="3FE669E5"/>
    <w:rsid w:val="418A32BD"/>
    <w:rsid w:val="41B704D4"/>
    <w:rsid w:val="41EA2AAD"/>
    <w:rsid w:val="42001238"/>
    <w:rsid w:val="428B628D"/>
    <w:rsid w:val="44630A05"/>
    <w:rsid w:val="44AB6177"/>
    <w:rsid w:val="452C5643"/>
    <w:rsid w:val="45694E50"/>
    <w:rsid w:val="45A73A48"/>
    <w:rsid w:val="46290CD2"/>
    <w:rsid w:val="48EF0433"/>
    <w:rsid w:val="4A376920"/>
    <w:rsid w:val="4C6D0E78"/>
    <w:rsid w:val="4E881103"/>
    <w:rsid w:val="4F107C42"/>
    <w:rsid w:val="506B7DE6"/>
    <w:rsid w:val="50F63E28"/>
    <w:rsid w:val="51E80BD1"/>
    <w:rsid w:val="5221007F"/>
    <w:rsid w:val="52926B5A"/>
    <w:rsid w:val="5371271B"/>
    <w:rsid w:val="539602F6"/>
    <w:rsid w:val="54431D94"/>
    <w:rsid w:val="545C5E51"/>
    <w:rsid w:val="5486175B"/>
    <w:rsid w:val="56341428"/>
    <w:rsid w:val="57667D24"/>
    <w:rsid w:val="57CE5BC3"/>
    <w:rsid w:val="57D25E93"/>
    <w:rsid w:val="58164413"/>
    <w:rsid w:val="58D10988"/>
    <w:rsid w:val="5AE1516A"/>
    <w:rsid w:val="5B6A3A79"/>
    <w:rsid w:val="5B7C50AB"/>
    <w:rsid w:val="5BBE7DCA"/>
    <w:rsid w:val="5BF77F6C"/>
    <w:rsid w:val="5C1A5F7B"/>
    <w:rsid w:val="5EB4075D"/>
    <w:rsid w:val="61AE1D8D"/>
    <w:rsid w:val="623E36E1"/>
    <w:rsid w:val="63945B4E"/>
    <w:rsid w:val="63BD41A5"/>
    <w:rsid w:val="645771F8"/>
    <w:rsid w:val="64770716"/>
    <w:rsid w:val="64B0156D"/>
    <w:rsid w:val="64C97ABB"/>
    <w:rsid w:val="64FD4F7E"/>
    <w:rsid w:val="6565314B"/>
    <w:rsid w:val="66EF2EB3"/>
    <w:rsid w:val="67302A7F"/>
    <w:rsid w:val="6909160B"/>
    <w:rsid w:val="699505F2"/>
    <w:rsid w:val="6A54112D"/>
    <w:rsid w:val="6AA035AE"/>
    <w:rsid w:val="6B7344E6"/>
    <w:rsid w:val="6C751931"/>
    <w:rsid w:val="6DE735DE"/>
    <w:rsid w:val="6E0F2E14"/>
    <w:rsid w:val="6E4F186F"/>
    <w:rsid w:val="6E8E00E1"/>
    <w:rsid w:val="6F1E141D"/>
    <w:rsid w:val="6F5354F8"/>
    <w:rsid w:val="70347549"/>
    <w:rsid w:val="70E57AA5"/>
    <w:rsid w:val="71BC28D4"/>
    <w:rsid w:val="7277763E"/>
    <w:rsid w:val="73C7607E"/>
    <w:rsid w:val="73E31679"/>
    <w:rsid w:val="740A2BDE"/>
    <w:rsid w:val="74ED6F82"/>
    <w:rsid w:val="751839E0"/>
    <w:rsid w:val="759040EF"/>
    <w:rsid w:val="76274F93"/>
    <w:rsid w:val="76354A55"/>
    <w:rsid w:val="769D621B"/>
    <w:rsid w:val="77172300"/>
    <w:rsid w:val="77982409"/>
    <w:rsid w:val="78A80E8F"/>
    <w:rsid w:val="793F0439"/>
    <w:rsid w:val="79EB3F2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0"/>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0"/>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xdrichtextbox"/>
    <w:basedOn w:val="47"/>
    <w:qFormat/>
    <w:uiPriority w:val="0"/>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22D32-CF9A-4A95-B6A7-C9A7425FEA0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9265</Words>
  <Characters>9582</Characters>
  <Lines>77</Lines>
  <Paragraphs>21</Paragraphs>
  <TotalTime>1</TotalTime>
  <ScaleCrop>false</ScaleCrop>
  <LinksUpToDate>false</LinksUpToDate>
  <CharactersWithSpaces>10510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寒梅（钦）</cp:lastModifiedBy>
  <dcterms:modified xsi:type="dcterms:W3CDTF">2025-07-03T06:54:52Z</dcterms:modified>
  <dc:title>公开招标文件（货物服务类）</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2052-12.1.0.19770</vt:lpwstr>
  </property>
  <property fmtid="{D5CDD505-2E9C-101B-9397-08002B2CF9AE}" pid="6" name="ICV">
    <vt:lpwstr>25263C5DA96D4F86A76F607CBABD85C8</vt:lpwstr>
  </property>
  <property fmtid="{D5CDD505-2E9C-101B-9397-08002B2CF9AE}" pid="7" name="commondata">
    <vt:lpwstr>eyJoZGlkIjoiNjgwMDRiZmZlZjU1MTM0YjVmMTZmYTU4Nzg2OGQ1ZjMifQ==</vt:lpwstr>
  </property>
  <property fmtid="{D5CDD505-2E9C-101B-9397-08002B2CF9AE}" pid="8" name="KSOTemplateDocerSaveRecord">
    <vt:lpwstr>eyJoZGlkIjoiNTY1NGEwYmNkYmRjMWNmMjE0NWZlMjMzZjJmZDM4MjEiLCJ1c2VySWQiOiI5ODEyNzgwOTAifQ==</vt:lpwstr>
  </property>
</Properties>
</file>