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B04FF">
      <w:pPr>
        <w:spacing w:line="360" w:lineRule="auto"/>
        <w:ind w:firstLine="883" w:firstLineChars="200"/>
        <w:jc w:val="center"/>
        <w:rPr>
          <w:rFonts w:asciiTheme="minorEastAsia" w:hAnsiTheme="minorEastAsia" w:eastAsiaTheme="minorEastAsia" w:cstheme="minorBidi"/>
          <w:b/>
          <w:sz w:val="44"/>
          <w:szCs w:val="44"/>
        </w:rPr>
      </w:pPr>
      <w:r>
        <w:rPr>
          <w:rFonts w:hint="eastAsia" w:asciiTheme="minorEastAsia" w:hAnsiTheme="minorEastAsia" w:eastAsiaTheme="minorEastAsia" w:cstheme="minorBidi"/>
          <w:b/>
          <w:sz w:val="44"/>
          <w:szCs w:val="44"/>
        </w:rPr>
        <w:t>多旋翼无人机</w:t>
      </w:r>
      <w:r>
        <w:rPr>
          <w:rFonts w:hint="eastAsia" w:asciiTheme="minorEastAsia" w:hAnsiTheme="minorEastAsia" w:eastAsiaTheme="minorEastAsia" w:cstheme="minorBidi"/>
          <w:b/>
          <w:sz w:val="44"/>
          <w:szCs w:val="44"/>
          <w:lang w:val="en-US" w:eastAsia="zh-CN"/>
        </w:rPr>
        <w:t>采购技术要求</w:t>
      </w:r>
    </w:p>
    <w:p w14:paraId="660249A9">
      <w:pPr>
        <w:numPr>
          <w:ilvl w:val="0"/>
          <w:numId w:val="1"/>
        </w:num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采购项目内容</w:t>
      </w:r>
      <w:bookmarkStart w:id="0" w:name="_GoBack"/>
      <w:bookmarkEnd w:id="0"/>
    </w:p>
    <w:p w14:paraId="1221D7DB">
      <w:pPr>
        <w:spacing w:line="360" w:lineRule="auto"/>
        <w:ind w:firstLine="481"/>
        <w:rPr>
          <w:rFonts w:asciiTheme="minorEastAsia" w:hAnsiTheme="minorEastAsia" w:eastAsiaTheme="minorEastAsia" w:cstheme="minorBidi"/>
          <w:bCs/>
          <w:sz w:val="24"/>
        </w:rPr>
      </w:pPr>
      <w:r>
        <w:rPr>
          <w:rFonts w:hint="eastAsia" w:asciiTheme="minorEastAsia" w:hAnsiTheme="minorEastAsia" w:eastAsiaTheme="minorEastAsia" w:cstheme="minorBidi"/>
          <w:bCs/>
          <w:sz w:val="24"/>
        </w:rPr>
        <w:t>多旋翼无人机2台</w:t>
      </w:r>
    </w:p>
    <w:p w14:paraId="3C6C7668">
      <w:pPr>
        <w:spacing w:line="360" w:lineRule="auto"/>
        <w:ind w:firstLine="481"/>
        <w:rPr>
          <w:rFonts w:asciiTheme="minorEastAsia" w:hAnsiTheme="minorEastAsia" w:eastAsiaTheme="minorEastAsia" w:cstheme="minorBidi"/>
          <w:b/>
          <w:sz w:val="24"/>
        </w:rPr>
      </w:pPr>
      <w:r>
        <w:rPr>
          <w:rFonts w:hint="eastAsia" w:asciiTheme="minorEastAsia" w:hAnsiTheme="minorEastAsia" w:eastAsiaTheme="minorEastAsia" w:cstheme="minorBidi"/>
          <w:bCs/>
          <w:sz w:val="24"/>
        </w:rPr>
        <w:t>配套备用电池、充电器、易损坏备品备件、收纳箱</w:t>
      </w:r>
    </w:p>
    <w:p w14:paraId="521F0C9E">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二、资质要求</w:t>
      </w:r>
    </w:p>
    <w:p w14:paraId="424D6ED4">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1、具有无人机销售或生产资质的企业，须提供营业执照，并加盖公章； </w:t>
      </w:r>
    </w:p>
    <w:p w14:paraId="207498DB">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2、提供近3年无人机销售的业绩，须提供业绩合同复印件并加盖公章；</w:t>
      </w:r>
    </w:p>
    <w:p w14:paraId="62973675">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w:t>
      </w:r>
      <w:r>
        <w:rPr>
          <w:rFonts w:asciiTheme="minorEastAsia" w:hAnsiTheme="minorEastAsia" w:eastAsiaTheme="minorEastAsia" w:cstheme="minorBidi"/>
          <w:sz w:val="24"/>
        </w:rPr>
        <w:t>投标</w:t>
      </w:r>
      <w:r>
        <w:rPr>
          <w:rFonts w:hint="eastAsia" w:asciiTheme="minorEastAsia" w:hAnsiTheme="minorEastAsia" w:eastAsiaTheme="minorEastAsia" w:cstheme="minorBidi"/>
          <w:sz w:val="24"/>
        </w:rPr>
        <w:t>方</w:t>
      </w:r>
      <w:r>
        <w:rPr>
          <w:rFonts w:asciiTheme="minorEastAsia" w:hAnsiTheme="minorEastAsia" w:eastAsiaTheme="minorEastAsia" w:cstheme="minorBidi"/>
          <w:sz w:val="24"/>
        </w:rPr>
        <w:t>不存在被责令停产停业、暂扣或者吊销许可证、暂扣或者吊销执照：不存在进入清算程序，或者被宣告破产，或者其他丧失履约能力的情形</w:t>
      </w:r>
      <w:r>
        <w:rPr>
          <w:rFonts w:hint="eastAsia" w:asciiTheme="minorEastAsia" w:hAnsiTheme="minorEastAsia" w:eastAsiaTheme="minorEastAsia" w:cstheme="minorBidi"/>
          <w:sz w:val="24"/>
        </w:rPr>
        <w:t>。</w:t>
      </w:r>
    </w:p>
    <w:p w14:paraId="1D9DA4B6">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三、</w:t>
      </w:r>
      <w:r>
        <w:rPr>
          <w:rFonts w:hint="eastAsia" w:asciiTheme="minorEastAsia" w:hAnsiTheme="minorEastAsia" w:eastAsiaTheme="minorEastAsia" w:cstheme="minorBidi"/>
          <w:b/>
          <w:bCs/>
          <w:sz w:val="24"/>
        </w:rPr>
        <w:t>招标</w:t>
      </w:r>
      <w:r>
        <w:rPr>
          <w:rFonts w:hint="eastAsia" w:asciiTheme="minorEastAsia" w:hAnsiTheme="minorEastAsia" w:eastAsiaTheme="minorEastAsia" w:cstheme="minorBidi"/>
          <w:b/>
          <w:sz w:val="24"/>
        </w:rPr>
        <w:t>要求</w:t>
      </w:r>
    </w:p>
    <w:p w14:paraId="428B184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1、基本要求：</w:t>
      </w:r>
    </w:p>
    <w:p w14:paraId="6C2CE113">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1）投标文件中的技术参数需与供货产品一致，并出具产品合格证、出厂说明书等随机材料。</w:t>
      </w:r>
    </w:p>
    <w:p w14:paraId="44E40914">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color w:val="000000" w:themeColor="text1"/>
          <w:sz w:val="24"/>
          <w14:textFill>
            <w14:solidFill>
              <w14:schemeClr w14:val="tx1"/>
            </w14:solidFill>
          </w14:textFill>
        </w:rPr>
        <w:t>2）投标方提供的</w:t>
      </w:r>
      <w:r>
        <w:rPr>
          <w:rFonts w:hint="eastAsia" w:asciiTheme="minorEastAsia" w:hAnsiTheme="minorEastAsia" w:eastAsiaTheme="minorEastAsia" w:cstheme="minorBidi"/>
          <w:sz w:val="24"/>
        </w:rPr>
        <w:t>无人机应具有CNAS资质认证第三方检测机构出具的产品检测报告，报告需在有效期之内。</w:t>
      </w:r>
    </w:p>
    <w:p w14:paraId="191416FA">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3）产品交付给招标方之前，产品损毁、灭失等风险均由投标方自行承担。</w:t>
      </w:r>
    </w:p>
    <w:p w14:paraId="6022F95E">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Bidi"/>
          <w:sz w:val="24"/>
        </w:rPr>
        <w:t>4）</w:t>
      </w:r>
      <w:r>
        <w:rPr>
          <w:rFonts w:hint="eastAsia" w:cs="宋体" w:asciiTheme="minorEastAsia" w:hAnsiTheme="minorEastAsia" w:eastAsiaTheme="minorEastAsia"/>
          <w:color w:val="000000" w:themeColor="text1"/>
          <w:kern w:val="0"/>
          <w:sz w:val="24"/>
          <w14:textFill>
            <w14:solidFill>
              <w14:schemeClr w14:val="tx1"/>
            </w14:solidFill>
          </w14:textFill>
        </w:rPr>
        <w:t>投标方</w:t>
      </w:r>
      <w:r>
        <w:rPr>
          <w:rFonts w:cs="宋体" w:asciiTheme="minorEastAsia" w:hAnsiTheme="minorEastAsia" w:eastAsiaTheme="minorEastAsia"/>
          <w:color w:val="000000" w:themeColor="text1"/>
          <w:kern w:val="0"/>
          <w:sz w:val="24"/>
          <w14:textFill>
            <w14:solidFill>
              <w14:schemeClr w14:val="tx1"/>
            </w14:solidFill>
          </w14:textFill>
        </w:rPr>
        <w:t>技术人员须免费到现场提供安装调试、人员培训服务1次，</w:t>
      </w:r>
      <w:r>
        <w:rPr>
          <w:rFonts w:hint="eastAsia" w:cs="宋体" w:asciiTheme="minorEastAsia" w:hAnsiTheme="minorEastAsia" w:eastAsiaTheme="minorEastAsia"/>
          <w:color w:val="000000" w:themeColor="text1"/>
          <w:kern w:val="0"/>
          <w:sz w:val="24"/>
          <w14:textFill>
            <w14:solidFill>
              <w14:schemeClr w14:val="tx1"/>
            </w14:solidFill>
          </w14:textFill>
        </w:rPr>
        <w:t>投标方</w:t>
      </w:r>
      <w:r>
        <w:rPr>
          <w:rFonts w:cs="宋体" w:asciiTheme="minorEastAsia" w:hAnsiTheme="minorEastAsia" w:eastAsiaTheme="minorEastAsia"/>
          <w:color w:val="000000" w:themeColor="text1"/>
          <w:kern w:val="0"/>
          <w:sz w:val="24"/>
          <w14:textFill>
            <w14:solidFill>
              <w14:schemeClr w14:val="tx1"/>
            </w14:solidFill>
          </w14:textFill>
        </w:rPr>
        <w:t>人员差旅等一切费用自理。</w:t>
      </w:r>
    </w:p>
    <w:p w14:paraId="2039394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5）提供3人次CAAC无人机执照培训取证：投标方为招标方人员提供免费培训和取证，3人次可按招标方需求分批次进行培训和取证，招标方人员差旅食宿自理。</w:t>
      </w:r>
    </w:p>
    <w:p w14:paraId="3516E7F3">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6）投标方负责购买一年100万金额的无人机第三方责任险。</w:t>
      </w:r>
    </w:p>
    <w:p w14:paraId="01503483">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7）投标方须为</w:t>
      </w:r>
      <w:r>
        <w:rPr>
          <w:rFonts w:cs="宋体" w:asciiTheme="minorEastAsia" w:hAnsiTheme="minorEastAsia" w:eastAsiaTheme="minorEastAsia"/>
          <w:color w:val="000000" w:themeColor="text1"/>
          <w:kern w:val="0"/>
          <w:sz w:val="24"/>
          <w14:textFill>
            <w14:solidFill>
              <w14:schemeClr w14:val="tx1"/>
            </w14:solidFill>
          </w14:textFill>
        </w:rPr>
        <w:t>无人机</w:t>
      </w:r>
      <w:r>
        <w:rPr>
          <w:rFonts w:hint="eastAsia" w:cs="宋体" w:asciiTheme="minorEastAsia" w:hAnsiTheme="minorEastAsia" w:eastAsiaTheme="minorEastAsia"/>
          <w:color w:val="000000" w:themeColor="text1"/>
          <w:kern w:val="0"/>
          <w:sz w:val="24"/>
          <w14:textFill>
            <w14:solidFill>
              <w14:schemeClr w14:val="tx1"/>
            </w14:solidFill>
          </w14:textFill>
        </w:rPr>
        <w:t>购买</w:t>
      </w:r>
      <w:r>
        <w:rPr>
          <w:rFonts w:cs="宋体" w:asciiTheme="minorEastAsia" w:hAnsiTheme="minorEastAsia" w:eastAsiaTheme="minorEastAsia"/>
          <w:color w:val="000000" w:themeColor="text1"/>
          <w:kern w:val="0"/>
          <w:sz w:val="24"/>
          <w14:textFill>
            <w14:solidFill>
              <w14:schemeClr w14:val="tx1"/>
            </w14:solidFill>
          </w14:textFill>
        </w:rPr>
        <w:t>机损保险一年：本保险提供保障额度内不限次数的免费维修或免费置换服务，保额须大于无人机价格。</w:t>
      </w:r>
    </w:p>
    <w:p w14:paraId="17CC6304">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8）售后服务：</w:t>
      </w:r>
    </w:p>
    <w:p w14:paraId="5985AAD6">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（1）售后质保期：1年</w:t>
      </w:r>
    </w:p>
    <w:p w14:paraId="20FB4ECE">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（2）提供24小时的服务支持电话，在2个小时内进行回应，并且承包人须在收到招标人故障报告24小时内提供及时维护。</w:t>
      </w:r>
    </w:p>
    <w:p w14:paraId="4A4E077F">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（3）应急响应承诺：在接到无人机设备故障、事故或其他紧急情况的报告后，需立即启动应急响应机制，确保在最短时间内做出响应。</w:t>
      </w:r>
    </w:p>
    <w:p w14:paraId="0E4C9567">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2、技术参数要求（见六、附件）参照相关标准编制，表中参数内容未完全提及的技术要求，投标方应参照以下或相关标准执行。</w:t>
      </w:r>
    </w:p>
    <w:p w14:paraId="4E587237">
      <w:pPr>
        <w:spacing w:line="360" w:lineRule="auto"/>
        <w:ind w:firstLine="480" w:firstLineChars="200"/>
        <w:jc w:val="left"/>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（1）</w:t>
      </w:r>
      <w:r>
        <w:rPr>
          <w:rFonts w:hint="eastAsia" w:asciiTheme="minorEastAsia" w:hAnsiTheme="minorEastAsia" w:eastAsiaTheme="minorEastAsia" w:cstheme="minorBidi"/>
          <w:sz w:val="24"/>
        </w:rPr>
        <w:t>中华人民共和国国务院令（第761号）《无人驾驶航空器飞行管理暂行条例》</w:t>
      </w:r>
    </w:p>
    <w:p w14:paraId="489EB762">
      <w:pPr>
        <w:spacing w:line="360" w:lineRule="auto"/>
        <w:ind w:firstLine="480" w:firstLineChars="200"/>
        <w:jc w:val="left"/>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（2）GB 42590-2023《民用无人驾驶航空器系统安全要求》</w:t>
      </w:r>
    </w:p>
    <w:p w14:paraId="5D56DA89">
      <w:pPr>
        <w:spacing w:line="360" w:lineRule="auto"/>
        <w:ind w:firstLine="480" w:firstLineChars="200"/>
        <w:jc w:val="left"/>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（3）GB/T 35018-2018《民用无人驾驶航空器系统分类及分级》</w:t>
      </w:r>
    </w:p>
    <w:p w14:paraId="3285A679">
      <w:pPr>
        <w:spacing w:line="360" w:lineRule="auto"/>
        <w:ind w:firstLine="480" w:firstLineChars="200"/>
        <w:jc w:val="left"/>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（4）GB/T 38058-2019《民用多旋翼无人机系统试验方法》</w:t>
      </w:r>
    </w:p>
    <w:p w14:paraId="3369CC49">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四、</w:t>
      </w:r>
      <w:r>
        <w:rPr>
          <w:rFonts w:hint="eastAsia" w:asciiTheme="minorEastAsia" w:hAnsiTheme="minorEastAsia" w:eastAsiaTheme="minorEastAsia" w:cstheme="minorBidi"/>
          <w:b/>
          <w:bCs/>
          <w:sz w:val="24"/>
        </w:rPr>
        <w:t>招标</w:t>
      </w:r>
      <w:r>
        <w:rPr>
          <w:rFonts w:hint="eastAsia" w:asciiTheme="minorEastAsia" w:hAnsiTheme="minorEastAsia" w:eastAsiaTheme="minorEastAsia" w:cstheme="minorBidi"/>
          <w:b/>
          <w:sz w:val="24"/>
        </w:rPr>
        <w:t>控制价</w:t>
      </w:r>
    </w:p>
    <w:p w14:paraId="6B297F0D">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本项目控制总价</w:t>
      </w:r>
      <w:r>
        <w:rPr>
          <w:rFonts w:asciiTheme="minorEastAsia" w:hAnsiTheme="minorEastAsia" w:eastAsiaTheme="minorEastAsia" w:cstheme="minorBidi"/>
          <w:sz w:val="24"/>
        </w:rPr>
        <w:t>45.2</w:t>
      </w:r>
      <w:r>
        <w:rPr>
          <w:rFonts w:hint="eastAsia" w:asciiTheme="minorEastAsia" w:hAnsiTheme="minorEastAsia" w:eastAsiaTheme="minorEastAsia" w:cstheme="minorBidi"/>
          <w:sz w:val="24"/>
        </w:rPr>
        <w:t>万元（含税），需以腾龙芳(漳州)有限公司名义签订合约，投标方所填报的投标总价高于控制总价，视为未实质性响应招标文件要求，作无效标处理。</w:t>
      </w:r>
    </w:p>
    <w:p w14:paraId="5EF42653">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五、评标方法</w:t>
      </w:r>
    </w:p>
    <w:p w14:paraId="3B29F1AB">
      <w:pPr>
        <w:spacing w:line="360" w:lineRule="auto"/>
        <w:ind w:firstLine="480" w:firstLineChars="200"/>
        <w:rPr>
          <w:rFonts w:ascii="宋体" w:hAnsi="宋体"/>
          <w:sz w:val="24"/>
        </w:rPr>
      </w:pPr>
      <w:r>
        <w:rPr>
          <w:rFonts w:hint="eastAsia" w:ascii="宋体" w:hAnsi="宋体"/>
          <w:sz w:val="24"/>
        </w:rPr>
        <w:t>1、本次公开比选采用综合评分法，满分100分，其中技术分占20分、商务分占10 分，报价评分70分；</w:t>
      </w:r>
    </w:p>
    <w:p w14:paraId="31FA6070">
      <w:pPr>
        <w:spacing w:line="360" w:lineRule="auto"/>
        <w:ind w:firstLine="480" w:firstLineChars="200"/>
        <w:rPr>
          <w:rFonts w:ascii="宋体" w:hAnsi="宋体"/>
          <w:sz w:val="28"/>
          <w:szCs w:val="28"/>
        </w:rPr>
      </w:pPr>
      <w:r>
        <w:rPr>
          <w:rFonts w:hint="eastAsia" w:ascii="宋体" w:hAnsi="宋体"/>
          <w:sz w:val="24"/>
        </w:rPr>
        <w:t>2、投标方按照相同的标准递交投标文件。开标评审后，根据评分标准，综合得分排名第一的为中标方。</w:t>
      </w:r>
    </w:p>
    <w:p w14:paraId="7FA92E40">
      <w:pPr>
        <w:ind w:firstLine="480" w:firstLineChars="200"/>
        <w:rPr>
          <w:rFonts w:asciiTheme="minorEastAsia" w:hAnsiTheme="minorEastAsia"/>
          <w:sz w:val="24"/>
        </w:rPr>
      </w:pPr>
      <w:r>
        <w:rPr>
          <w:rFonts w:hint="eastAsia" w:asciiTheme="minorEastAsia" w:hAnsiTheme="minorEastAsia"/>
          <w:sz w:val="24"/>
        </w:rPr>
        <w:t>3、技术评分(满分20分)</w:t>
      </w:r>
    </w:p>
    <w:tbl>
      <w:tblPr>
        <w:tblStyle w:val="12"/>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8"/>
        <w:gridCol w:w="801"/>
        <w:gridCol w:w="5978"/>
      </w:tblGrid>
      <w:tr w14:paraId="7550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118" w:type="dxa"/>
            <w:vAlign w:val="center"/>
          </w:tcPr>
          <w:p w14:paraId="740B843C">
            <w:pPr>
              <w:spacing w:line="360" w:lineRule="auto"/>
              <w:jc w:val="center"/>
              <w:rPr>
                <w:rFonts w:asciiTheme="minorEastAsia" w:hAnsiTheme="minorEastAsia"/>
                <w:sz w:val="24"/>
              </w:rPr>
            </w:pPr>
            <w:r>
              <w:rPr>
                <w:rFonts w:hint="eastAsia" w:asciiTheme="minorEastAsia" w:hAnsiTheme="minorEastAsia"/>
                <w:sz w:val="24"/>
              </w:rPr>
              <w:t>评标项目</w:t>
            </w:r>
          </w:p>
        </w:tc>
        <w:tc>
          <w:tcPr>
            <w:tcW w:w="801" w:type="dxa"/>
            <w:vAlign w:val="center"/>
          </w:tcPr>
          <w:p w14:paraId="4B5DB8F2">
            <w:pPr>
              <w:spacing w:line="360" w:lineRule="auto"/>
              <w:jc w:val="center"/>
              <w:rPr>
                <w:rFonts w:asciiTheme="minorEastAsia" w:hAnsiTheme="minorEastAsia"/>
                <w:sz w:val="24"/>
              </w:rPr>
            </w:pPr>
            <w:r>
              <w:rPr>
                <w:rFonts w:hint="eastAsia" w:asciiTheme="minorEastAsia" w:hAnsiTheme="minorEastAsia"/>
                <w:sz w:val="24"/>
              </w:rPr>
              <w:t>评标分值</w:t>
            </w:r>
          </w:p>
        </w:tc>
        <w:tc>
          <w:tcPr>
            <w:tcW w:w="5978" w:type="dxa"/>
            <w:vAlign w:val="center"/>
          </w:tcPr>
          <w:p w14:paraId="60AA378D">
            <w:pPr>
              <w:spacing w:line="360" w:lineRule="auto"/>
              <w:jc w:val="center"/>
              <w:rPr>
                <w:rFonts w:asciiTheme="minorEastAsia" w:hAnsiTheme="minorEastAsia"/>
                <w:sz w:val="24"/>
              </w:rPr>
            </w:pPr>
            <w:r>
              <w:rPr>
                <w:rFonts w:hint="eastAsia" w:asciiTheme="minorEastAsia" w:hAnsiTheme="minorEastAsia"/>
                <w:sz w:val="24"/>
              </w:rPr>
              <w:t>评分标准</w:t>
            </w:r>
          </w:p>
        </w:tc>
      </w:tr>
      <w:tr w14:paraId="2DCD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118" w:type="dxa"/>
            <w:vAlign w:val="center"/>
          </w:tcPr>
          <w:p w14:paraId="503EF00B">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产品品牌、档次</w:t>
            </w:r>
          </w:p>
        </w:tc>
        <w:tc>
          <w:tcPr>
            <w:tcW w:w="801" w:type="dxa"/>
            <w:vAlign w:val="center"/>
          </w:tcPr>
          <w:p w14:paraId="5ACC1E40">
            <w:pPr>
              <w:spacing w:line="360" w:lineRule="auto"/>
              <w:jc w:val="center"/>
              <w:rPr>
                <w:rFonts w:asciiTheme="minorEastAsia" w:hAnsiTheme="minorEastAsia"/>
                <w:sz w:val="24"/>
              </w:rPr>
            </w:pPr>
            <w:r>
              <w:rPr>
                <w:rFonts w:hint="eastAsia" w:asciiTheme="minorEastAsia" w:hAnsiTheme="minorEastAsia"/>
                <w:szCs w:val="21"/>
              </w:rPr>
              <w:t>3</w:t>
            </w:r>
          </w:p>
        </w:tc>
        <w:tc>
          <w:tcPr>
            <w:tcW w:w="5978" w:type="dxa"/>
            <w:vAlign w:val="center"/>
          </w:tcPr>
          <w:p w14:paraId="67C9B33B">
            <w:pPr>
              <w:pStyle w:val="15"/>
              <w:spacing w:line="360" w:lineRule="auto"/>
              <w:ind w:firstLine="0" w:firstLineChars="0"/>
              <w:jc w:val="lef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投标人所投货物在业界的知名度、认可度、投放国内市场成熟情况及销售情况，由评委会在0～3分之间进行评审并评分；</w:t>
            </w:r>
          </w:p>
        </w:tc>
      </w:tr>
      <w:tr w14:paraId="5C11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118" w:type="dxa"/>
            <w:tcBorders>
              <w:bottom w:val="single" w:color="auto" w:sz="4" w:space="0"/>
            </w:tcBorders>
            <w:vAlign w:val="center"/>
          </w:tcPr>
          <w:p w14:paraId="2803A3BE">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技术性能及功能响应</w:t>
            </w:r>
          </w:p>
        </w:tc>
        <w:tc>
          <w:tcPr>
            <w:tcW w:w="801" w:type="dxa"/>
            <w:tcBorders>
              <w:bottom w:val="single" w:color="auto" w:sz="4" w:space="0"/>
            </w:tcBorders>
            <w:vAlign w:val="center"/>
          </w:tcPr>
          <w:p w14:paraId="4A7B5AD9">
            <w:pPr>
              <w:spacing w:line="360" w:lineRule="auto"/>
              <w:jc w:val="center"/>
              <w:rPr>
                <w:rFonts w:asciiTheme="minorEastAsia" w:hAnsiTheme="minorEastAsia"/>
                <w:sz w:val="24"/>
              </w:rPr>
            </w:pPr>
            <w:r>
              <w:rPr>
                <w:rFonts w:hint="eastAsia" w:asciiTheme="minorEastAsia" w:hAnsiTheme="minorEastAsia"/>
                <w:szCs w:val="21"/>
              </w:rPr>
              <w:t>8</w:t>
            </w:r>
          </w:p>
        </w:tc>
        <w:tc>
          <w:tcPr>
            <w:tcW w:w="5978" w:type="dxa"/>
            <w:tcBorders>
              <w:bottom w:val="single" w:color="auto" w:sz="4" w:space="0"/>
            </w:tcBorders>
            <w:vAlign w:val="center"/>
          </w:tcPr>
          <w:p w14:paraId="368304DE">
            <w:pPr>
              <w:spacing w:line="360" w:lineRule="auto"/>
              <w:jc w:val="left"/>
              <w:rPr>
                <w:rFonts w:asciiTheme="minorEastAsia" w:hAnsiTheme="minorEastAsia" w:eastAsiaTheme="minorEastAsia" w:cstheme="minorBidi"/>
                <w:sz w:val="24"/>
              </w:rPr>
            </w:pPr>
            <w:r>
              <w:rPr>
                <w:rFonts w:hint="eastAsia" w:asciiTheme="minorEastAsia" w:hAnsiTheme="minorEastAsia"/>
                <w:color w:val="000000" w:themeColor="text1"/>
                <w:szCs w:val="21"/>
                <w14:textFill>
                  <w14:solidFill>
                    <w14:schemeClr w14:val="tx1"/>
                  </w14:solidFill>
                </w14:textFill>
              </w:rPr>
              <w:t>对招标文件各项技术参数要求的逐项响应承诺等方面进行评议并按以下标准进行评分。若投标人所投产品全部满足招标文件各项技术性能和功能要求的得8分，正偏离一项加1分，最高加3分。负偏离一项扣一分，扣完为止。注:投标人应如实提供相关证明材料，并在《技术偏离表》中明确注明是否存在偏离。</w:t>
            </w:r>
          </w:p>
        </w:tc>
      </w:tr>
      <w:tr w14:paraId="5CA0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118" w:type="dxa"/>
            <w:tcBorders>
              <w:top w:val="single" w:color="auto" w:sz="4" w:space="0"/>
              <w:bottom w:val="single" w:color="auto" w:sz="4" w:space="0"/>
            </w:tcBorders>
            <w:vAlign w:val="center"/>
          </w:tcPr>
          <w:p w14:paraId="69133817">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产品辅件和备品备件的经济性、正规性和响应性</w:t>
            </w:r>
          </w:p>
        </w:tc>
        <w:tc>
          <w:tcPr>
            <w:tcW w:w="801" w:type="dxa"/>
            <w:tcBorders>
              <w:top w:val="single" w:color="auto" w:sz="4" w:space="0"/>
              <w:bottom w:val="single" w:color="auto" w:sz="4" w:space="0"/>
            </w:tcBorders>
            <w:vAlign w:val="center"/>
          </w:tcPr>
          <w:p w14:paraId="1680D5A6">
            <w:pPr>
              <w:spacing w:line="360" w:lineRule="auto"/>
              <w:jc w:val="center"/>
              <w:rPr>
                <w:rFonts w:asciiTheme="minorEastAsia" w:hAnsiTheme="minorEastAsia"/>
                <w:sz w:val="24"/>
              </w:rPr>
            </w:pPr>
            <w:r>
              <w:rPr>
                <w:rFonts w:hint="eastAsia" w:asciiTheme="minorEastAsia" w:hAnsiTheme="minorEastAsia"/>
                <w:szCs w:val="21"/>
              </w:rPr>
              <w:t>3</w:t>
            </w:r>
          </w:p>
        </w:tc>
        <w:tc>
          <w:tcPr>
            <w:tcW w:w="5978" w:type="dxa"/>
            <w:tcBorders>
              <w:top w:val="single" w:color="auto" w:sz="4" w:space="0"/>
              <w:bottom w:val="single" w:color="auto" w:sz="4" w:space="0"/>
            </w:tcBorders>
            <w:vAlign w:val="center"/>
          </w:tcPr>
          <w:p w14:paraId="7150C2FF">
            <w:pPr>
              <w:spacing w:line="500" w:lineRule="exac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根据投标人所投货物中所配置的辅件及备品备件的品牌、档次、价格及质量保障承诺等方面进行分析，由评委会在0～3之间进行评审并评分。</w:t>
            </w:r>
          </w:p>
        </w:tc>
      </w:tr>
      <w:tr w14:paraId="3502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118" w:type="dxa"/>
            <w:tcBorders>
              <w:top w:val="single" w:color="auto" w:sz="4" w:space="0"/>
              <w:bottom w:val="single" w:color="auto" w:sz="4" w:space="0"/>
            </w:tcBorders>
            <w:vAlign w:val="center"/>
          </w:tcPr>
          <w:p w14:paraId="18DD71F8">
            <w:pPr>
              <w:spacing w:line="360" w:lineRule="auto"/>
              <w:jc w:val="center"/>
              <w:rPr>
                <w:rFonts w:ascii="宋体" w:hAnsi="宋体"/>
                <w:b/>
                <w:bCs/>
                <w:sz w:val="24"/>
              </w:rPr>
            </w:pPr>
            <w:r>
              <w:rPr>
                <w:rFonts w:hint="eastAsia" w:asciiTheme="minorEastAsia" w:hAnsiTheme="minorEastAsia"/>
                <w:color w:val="000000" w:themeColor="text1"/>
                <w:szCs w:val="21"/>
                <w14:textFill>
                  <w14:solidFill>
                    <w14:schemeClr w14:val="tx1"/>
                  </w14:solidFill>
                </w14:textFill>
              </w:rPr>
              <w:t>项目实施计划</w:t>
            </w:r>
          </w:p>
        </w:tc>
        <w:tc>
          <w:tcPr>
            <w:tcW w:w="801" w:type="dxa"/>
            <w:tcBorders>
              <w:top w:val="single" w:color="auto" w:sz="4" w:space="0"/>
              <w:bottom w:val="single" w:color="auto" w:sz="4" w:space="0"/>
            </w:tcBorders>
            <w:vAlign w:val="center"/>
          </w:tcPr>
          <w:p w14:paraId="61CA0286">
            <w:pPr>
              <w:spacing w:line="360" w:lineRule="auto"/>
              <w:jc w:val="center"/>
              <w:rPr>
                <w:rFonts w:asciiTheme="minorEastAsia" w:hAnsiTheme="minorEastAsia"/>
                <w:sz w:val="24"/>
              </w:rPr>
            </w:pPr>
            <w:r>
              <w:rPr>
                <w:rFonts w:hint="eastAsia" w:asciiTheme="minorEastAsia" w:hAnsiTheme="minorEastAsia"/>
                <w:szCs w:val="21"/>
              </w:rPr>
              <w:t>4</w:t>
            </w:r>
          </w:p>
        </w:tc>
        <w:tc>
          <w:tcPr>
            <w:tcW w:w="5978" w:type="dxa"/>
            <w:tcBorders>
              <w:top w:val="single" w:color="auto" w:sz="4" w:space="0"/>
              <w:bottom w:val="single" w:color="auto" w:sz="4" w:space="0"/>
            </w:tcBorders>
            <w:vAlign w:val="center"/>
          </w:tcPr>
          <w:p w14:paraId="34182FD4">
            <w:pPr>
              <w:spacing w:line="500" w:lineRule="exac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投标人提供的项目实施方案是否科学、可行、合理，如何在中标后有效地组织安排，确保按时保质地完成采购、运输、技术培训、取证、试运行、验收等工作，以及其为此所采取的质量保障措施，由评委进行评议并在0～4分之间进行评分。未提供任何说明的，本项不得分。</w:t>
            </w:r>
          </w:p>
        </w:tc>
      </w:tr>
      <w:tr w14:paraId="69DC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118" w:type="dxa"/>
            <w:tcBorders>
              <w:top w:val="single" w:color="auto" w:sz="4" w:space="0"/>
            </w:tcBorders>
            <w:shd w:val="clear" w:color="auto" w:fill="auto"/>
            <w:vAlign w:val="center"/>
          </w:tcPr>
          <w:p w14:paraId="4CBDDB78">
            <w:pPr>
              <w:spacing w:line="360" w:lineRule="auto"/>
              <w:jc w:val="center"/>
              <w:rPr>
                <w:rFonts w:asciiTheme="minorEastAsia" w:hAnsiTheme="minorEastAsia"/>
                <w:szCs w:val="21"/>
              </w:rPr>
            </w:pPr>
            <w:r>
              <w:rPr>
                <w:rFonts w:hint="eastAsia" w:asciiTheme="minorEastAsia" w:hAnsiTheme="minorEastAsia"/>
                <w:szCs w:val="21"/>
              </w:rPr>
              <w:t>认证与检测报告</w:t>
            </w:r>
          </w:p>
        </w:tc>
        <w:tc>
          <w:tcPr>
            <w:tcW w:w="801" w:type="dxa"/>
            <w:tcBorders>
              <w:top w:val="single" w:color="auto" w:sz="4" w:space="0"/>
            </w:tcBorders>
            <w:shd w:val="clear" w:color="auto" w:fill="auto"/>
            <w:vAlign w:val="center"/>
          </w:tcPr>
          <w:p w14:paraId="358170A2">
            <w:pPr>
              <w:spacing w:line="360" w:lineRule="auto"/>
              <w:jc w:val="center"/>
              <w:rPr>
                <w:rFonts w:asciiTheme="minorEastAsia" w:hAnsiTheme="minorEastAsia"/>
                <w:szCs w:val="21"/>
              </w:rPr>
            </w:pPr>
            <w:r>
              <w:rPr>
                <w:rFonts w:hint="eastAsia" w:asciiTheme="minorEastAsia" w:hAnsiTheme="minorEastAsia"/>
                <w:szCs w:val="21"/>
              </w:rPr>
              <w:t>2</w:t>
            </w:r>
          </w:p>
        </w:tc>
        <w:tc>
          <w:tcPr>
            <w:tcW w:w="5978" w:type="dxa"/>
            <w:tcBorders>
              <w:top w:val="single" w:color="auto" w:sz="4" w:space="0"/>
            </w:tcBorders>
            <w:shd w:val="clear" w:color="auto" w:fill="auto"/>
            <w:vAlign w:val="center"/>
          </w:tcPr>
          <w:p w14:paraId="2B6C30F8">
            <w:pPr>
              <w:spacing w:line="360" w:lineRule="auto"/>
              <w:jc w:val="left"/>
              <w:rPr>
                <w:rFonts w:asciiTheme="minorEastAsia" w:hAnsiTheme="minorEastAsia"/>
                <w:szCs w:val="21"/>
              </w:rPr>
            </w:pPr>
            <w:r>
              <w:rPr>
                <w:rFonts w:hint="eastAsia" w:asciiTheme="minorEastAsia" w:hAnsiTheme="minorEastAsia"/>
                <w:szCs w:val="21"/>
              </w:rPr>
              <w:t>质量检测、性能测试报告等内容进行综合评定，由评委进行评议</w:t>
            </w:r>
            <w:r>
              <w:rPr>
                <w:rFonts w:hint="eastAsia" w:asciiTheme="minorEastAsia" w:hAnsiTheme="minorEastAsia"/>
                <w:color w:val="000000" w:themeColor="text1"/>
                <w:szCs w:val="21"/>
                <w14:textFill>
                  <w14:solidFill>
                    <w14:schemeClr w14:val="tx1"/>
                  </w14:solidFill>
                </w14:textFill>
              </w:rPr>
              <w:t>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bl>
    <w:p w14:paraId="04D8E2E1">
      <w:pPr>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商务评分(满分10分)</w:t>
      </w:r>
    </w:p>
    <w:tbl>
      <w:tblPr>
        <w:tblStyle w:val="1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01C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05" w:type="dxa"/>
            <w:vAlign w:val="center"/>
          </w:tcPr>
          <w:p w14:paraId="7EEDAD4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投标人的综合实力</w:t>
            </w:r>
          </w:p>
        </w:tc>
        <w:tc>
          <w:tcPr>
            <w:tcW w:w="814" w:type="dxa"/>
            <w:vAlign w:val="center"/>
          </w:tcPr>
          <w:p w14:paraId="6509D01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6000" w:type="dxa"/>
            <w:vAlign w:val="center"/>
          </w:tcPr>
          <w:p w14:paraId="5DDE6D98">
            <w:pPr>
              <w:pStyle w:val="15"/>
              <w:spacing w:line="360" w:lineRule="auto"/>
              <w:ind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根据投标人企业概况、企业优势、企业的专业性、企业技术力量、管理体系认证等方面情况，由评委进行评议并在0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3分之间进行评分。</w:t>
            </w:r>
          </w:p>
        </w:tc>
      </w:tr>
      <w:tr w14:paraId="7B16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105" w:type="dxa"/>
            <w:vAlign w:val="center"/>
          </w:tcPr>
          <w:p w14:paraId="31453B2D">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质保期</w:t>
            </w:r>
          </w:p>
        </w:tc>
        <w:tc>
          <w:tcPr>
            <w:tcW w:w="814" w:type="dxa"/>
            <w:vAlign w:val="center"/>
          </w:tcPr>
          <w:p w14:paraId="18E79DFE">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6000" w:type="dxa"/>
            <w:vAlign w:val="center"/>
          </w:tcPr>
          <w:p w14:paraId="1F12D347">
            <w:pPr>
              <w:pStyle w:val="15"/>
              <w:spacing w:line="360" w:lineRule="auto"/>
              <w:ind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根据投标人提供的售后服务方案中售后服务计划的完整性、可行性、保障性、实时性，详细说明服务机构、服务内容、服务方式、服务流程等内容横向比较，并在0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r w14:paraId="75D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05" w:type="dxa"/>
            <w:vAlign w:val="center"/>
          </w:tcPr>
          <w:p w14:paraId="0FF1A8D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类似项目业绩</w:t>
            </w:r>
          </w:p>
        </w:tc>
        <w:tc>
          <w:tcPr>
            <w:tcW w:w="814" w:type="dxa"/>
            <w:vAlign w:val="center"/>
          </w:tcPr>
          <w:p w14:paraId="08EEF6EB">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6000" w:type="dxa"/>
            <w:vAlign w:val="center"/>
          </w:tcPr>
          <w:p w14:paraId="030F3C07">
            <w:pPr>
              <w:pStyle w:val="15"/>
              <w:spacing w:line="360" w:lineRule="auto"/>
              <w:ind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提供同类销售业绩1家得1分；每增加一家业绩加1分，满分5分。</w:t>
            </w:r>
          </w:p>
        </w:tc>
      </w:tr>
    </w:tbl>
    <w:p w14:paraId="5CA29E68">
      <w:pPr>
        <w:spacing w:line="360" w:lineRule="auto"/>
        <w:ind w:firstLine="480" w:firstLineChars="200"/>
        <w:rPr>
          <w:rFonts w:asciiTheme="minorEastAsia" w:hAnsiTheme="minorEastAsia"/>
          <w:sz w:val="24"/>
        </w:rPr>
      </w:pPr>
      <w:r>
        <w:rPr>
          <w:rFonts w:hint="eastAsia" w:asciiTheme="minorEastAsia" w:hAnsiTheme="minorEastAsia"/>
          <w:sz w:val="24"/>
        </w:rPr>
        <w:t>5、报价评分（满分70分）</w:t>
      </w:r>
    </w:p>
    <w:tbl>
      <w:tblPr>
        <w:tblStyle w:val="1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1C7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2105" w:type="dxa"/>
            <w:vAlign w:val="center"/>
          </w:tcPr>
          <w:p w14:paraId="36700BF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w:t>
            </w:r>
          </w:p>
        </w:tc>
        <w:tc>
          <w:tcPr>
            <w:tcW w:w="814" w:type="dxa"/>
            <w:vAlign w:val="center"/>
          </w:tcPr>
          <w:p w14:paraId="30696968">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70</w:t>
            </w:r>
          </w:p>
        </w:tc>
        <w:tc>
          <w:tcPr>
            <w:tcW w:w="6000" w:type="dxa"/>
            <w:vAlign w:val="center"/>
          </w:tcPr>
          <w:p w14:paraId="265747FF">
            <w:pPr>
              <w:spacing w:line="360" w:lineRule="auto"/>
              <w:ind w:firstLine="420" w:firstLineChars="200"/>
              <w:rPr>
                <w:rFonts w:ascii="宋体" w:hAnsi="宋体" w:cs="宋体"/>
                <w:szCs w:val="21"/>
              </w:rPr>
            </w:pPr>
            <w:r>
              <w:rPr>
                <w:rFonts w:hint="eastAsia" w:ascii="宋体" w:hAnsi="宋体" w:cs="宋体"/>
                <w:szCs w:val="21"/>
              </w:rPr>
              <w:t>评分方法：P＝（1-（ An－AD）/AD×Q）×M；计算分数时四舍五入取小数点后两位。</w:t>
            </w:r>
          </w:p>
          <w:p w14:paraId="1454EF60">
            <w:pPr>
              <w:spacing w:line="360" w:lineRule="auto"/>
              <w:ind w:firstLine="420" w:firstLineChars="200"/>
              <w:rPr>
                <w:rFonts w:ascii="宋体" w:hAnsi="宋体" w:cs="宋体"/>
                <w:szCs w:val="21"/>
              </w:rPr>
            </w:pPr>
            <w:r>
              <w:rPr>
                <w:rFonts w:hint="eastAsia" w:ascii="宋体" w:hAnsi="宋体" w:cs="宋体"/>
                <w:szCs w:val="21"/>
              </w:rPr>
              <w:t>注：①P―投标评审价得分；An―各合格投标人的评标价格；AD―各合格投标报价中最低的评标价价格；</w:t>
            </w:r>
          </w:p>
          <w:p w14:paraId="1B192D7B">
            <w:pPr>
              <w:spacing w:line="360" w:lineRule="auto"/>
              <w:ind w:firstLine="420" w:firstLineChars="200"/>
              <w:rPr>
                <w:rFonts w:ascii="宋体" w:hAnsi="宋体" w:cs="宋体"/>
                <w:szCs w:val="21"/>
              </w:rPr>
            </w:pPr>
            <w:r>
              <w:rPr>
                <w:rFonts w:hint="eastAsia" w:ascii="宋体" w:hAnsi="宋体" w:cs="宋体"/>
                <w:szCs w:val="21"/>
              </w:rPr>
              <w:t>②Q为调整系数，Q=</w:t>
            </w:r>
            <w:r>
              <w:rPr>
                <w:rFonts w:ascii="宋体" w:hAnsi="宋体" w:cs="宋体"/>
                <w:szCs w:val="21"/>
              </w:rPr>
              <w:t>1</w:t>
            </w:r>
            <w:r>
              <w:rPr>
                <w:rFonts w:hint="eastAsia" w:ascii="宋体" w:hAnsi="宋体" w:cs="宋体"/>
                <w:szCs w:val="21"/>
              </w:rPr>
              <w:t>；</w:t>
            </w:r>
          </w:p>
          <w:p w14:paraId="093E6C45">
            <w:pPr>
              <w:spacing w:line="360" w:lineRule="auto"/>
              <w:ind w:firstLine="420" w:firstLineChars="200"/>
              <w:rPr>
                <w:rFonts w:ascii="宋体" w:hAnsi="宋体" w:cs="宋体"/>
                <w:sz w:val="24"/>
              </w:rPr>
            </w:pPr>
            <w:r>
              <w:rPr>
                <w:rFonts w:hint="eastAsia" w:ascii="宋体" w:hAnsi="宋体" w:cs="宋体"/>
                <w:szCs w:val="21"/>
              </w:rPr>
              <w:t>③M为报价得分满分值，M=</w:t>
            </w:r>
            <w:r>
              <w:rPr>
                <w:rFonts w:ascii="宋体" w:hAnsi="宋体" w:cs="宋体"/>
                <w:szCs w:val="21"/>
              </w:rPr>
              <w:t>7</w:t>
            </w:r>
            <w:r>
              <w:rPr>
                <w:rFonts w:hint="eastAsia" w:ascii="宋体" w:hAnsi="宋体" w:cs="宋体"/>
                <w:szCs w:val="21"/>
              </w:rPr>
              <w:t>0；</w:t>
            </w:r>
          </w:p>
        </w:tc>
      </w:tr>
    </w:tbl>
    <w:p w14:paraId="17303D79">
      <w:pPr>
        <w:spacing w:line="360" w:lineRule="auto"/>
        <w:rPr>
          <w:rFonts w:asciiTheme="minorEastAsia" w:hAnsiTheme="minorEastAsia" w:eastAsiaTheme="minorEastAsia" w:cstheme="minorBidi"/>
          <w:sz w:val="24"/>
        </w:rPr>
      </w:pPr>
      <w:r>
        <w:rPr>
          <w:rFonts w:hint="eastAsia" w:asciiTheme="minorEastAsia" w:hAnsiTheme="minorEastAsia" w:eastAsiaTheme="minorEastAsia" w:cstheme="minorBidi"/>
          <w:b/>
          <w:sz w:val="24"/>
        </w:rPr>
        <w:t>六、附件：</w:t>
      </w:r>
      <w:r>
        <w:rPr>
          <w:rFonts w:hint="eastAsia" w:asciiTheme="minorEastAsia" w:hAnsiTheme="minorEastAsia" w:eastAsiaTheme="minorEastAsia" w:cstheme="minorBidi"/>
          <w:b/>
          <w:bCs/>
          <w:sz w:val="24"/>
        </w:rPr>
        <w:t>轻型多旋翼无人机</w:t>
      </w:r>
      <w:r>
        <w:rPr>
          <w:rFonts w:asciiTheme="minorEastAsia" w:hAnsiTheme="minorEastAsia" w:eastAsiaTheme="minorEastAsia" w:cstheme="minorBidi"/>
          <w:b/>
          <w:bCs/>
          <w:sz w:val="24"/>
        </w:rPr>
        <w:t>技术参数表</w:t>
      </w:r>
    </w:p>
    <w:p w14:paraId="51138F34">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轻型多旋翼无人机系统包括飞行平台、FPV相机及云台高清、手持遥控器、气体检测仪、喊话器、照明等组成。技术参数中带*项为必须满足条件。</w:t>
      </w:r>
    </w:p>
    <w:tbl>
      <w:tblPr>
        <w:tblStyle w:val="13"/>
        <w:tblW w:w="90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6950"/>
        <w:gridCol w:w="816"/>
      </w:tblGrid>
      <w:tr w14:paraId="40BB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53" w:type="dxa"/>
            <w:vAlign w:val="center"/>
          </w:tcPr>
          <w:p w14:paraId="6F4C0594">
            <w:pPr>
              <w:jc w:val="center"/>
              <w:rPr>
                <w:rFonts w:asciiTheme="minorEastAsia" w:hAnsiTheme="minorEastAsia"/>
                <w:kern w:val="0"/>
                <w:sz w:val="24"/>
              </w:rPr>
            </w:pPr>
            <w:r>
              <w:rPr>
                <w:rFonts w:hint="eastAsia" w:asciiTheme="minorEastAsia" w:hAnsiTheme="minorEastAsia"/>
                <w:kern w:val="0"/>
                <w:sz w:val="24"/>
              </w:rPr>
              <w:t>项目</w:t>
            </w:r>
          </w:p>
        </w:tc>
        <w:tc>
          <w:tcPr>
            <w:tcW w:w="6950" w:type="dxa"/>
            <w:vAlign w:val="center"/>
          </w:tcPr>
          <w:p w14:paraId="7EDDD83A">
            <w:pPr>
              <w:jc w:val="center"/>
              <w:rPr>
                <w:rFonts w:asciiTheme="minorEastAsia" w:hAnsiTheme="minorEastAsia"/>
                <w:kern w:val="0"/>
                <w:sz w:val="24"/>
              </w:rPr>
            </w:pPr>
            <w:r>
              <w:rPr>
                <w:rFonts w:hint="eastAsia" w:asciiTheme="minorEastAsia" w:hAnsiTheme="minorEastAsia"/>
                <w:kern w:val="0"/>
                <w:sz w:val="24"/>
              </w:rPr>
              <w:t>要求参数</w:t>
            </w:r>
          </w:p>
        </w:tc>
        <w:tc>
          <w:tcPr>
            <w:tcW w:w="816" w:type="dxa"/>
            <w:vAlign w:val="center"/>
          </w:tcPr>
          <w:p w14:paraId="1F0CDF8B">
            <w:pPr>
              <w:jc w:val="center"/>
              <w:rPr>
                <w:rFonts w:asciiTheme="minorEastAsia" w:hAnsiTheme="minorEastAsia"/>
                <w:kern w:val="0"/>
                <w:sz w:val="24"/>
              </w:rPr>
            </w:pPr>
            <w:r>
              <w:rPr>
                <w:rFonts w:hint="eastAsia" w:asciiTheme="minorEastAsia" w:hAnsiTheme="minorEastAsia"/>
                <w:kern w:val="0"/>
                <w:sz w:val="24"/>
              </w:rPr>
              <w:t>数量</w:t>
            </w:r>
          </w:p>
        </w:tc>
      </w:tr>
      <w:tr w14:paraId="3E55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253" w:type="dxa"/>
            <w:vAlign w:val="center"/>
          </w:tcPr>
          <w:p w14:paraId="03354E35">
            <w:pPr>
              <w:jc w:val="center"/>
              <w:rPr>
                <w:rFonts w:asciiTheme="minorEastAsia" w:hAnsiTheme="minorEastAsia" w:eastAsiaTheme="minorEastAsia"/>
                <w:kern w:val="0"/>
                <w:sz w:val="24"/>
              </w:rPr>
            </w:pPr>
            <w:r>
              <w:rPr>
                <w:rFonts w:hint="eastAsia" w:ascii="仿宋" w:hAnsi="仿宋" w:eastAsia="仿宋" w:cs="仿宋"/>
                <w:szCs w:val="21"/>
              </w:rPr>
              <w:t>飞行平台技术要求</w:t>
            </w:r>
          </w:p>
        </w:tc>
        <w:tc>
          <w:tcPr>
            <w:tcW w:w="6950" w:type="dxa"/>
            <w:vAlign w:val="center"/>
          </w:tcPr>
          <w:p w14:paraId="6B099EBC">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材质：机身主体结构牢固，主体结构采用具有足够强度和刚度的材料，机身各部分所采用的材料应在投标书中注明。</w:t>
            </w:r>
          </w:p>
          <w:p w14:paraId="33458A4B">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起飞方式：垂直起飞</w:t>
            </w:r>
          </w:p>
          <w:p w14:paraId="4B85DB66">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降落方式：垂直降落</w:t>
            </w:r>
          </w:p>
          <w:p w14:paraId="3A4B7531">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动力源：电动机</w:t>
            </w:r>
          </w:p>
          <w:p w14:paraId="06213BA5">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动力能源：锂电池</w:t>
            </w:r>
          </w:p>
          <w:p w14:paraId="32493CE4">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控制方式：人工遥控</w:t>
            </w:r>
          </w:p>
          <w:p w14:paraId="7D765F17">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导航方式：卫星导航</w:t>
            </w:r>
          </w:p>
          <w:p w14:paraId="65C3078D">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感知与规避能力：Ⅰ类</w:t>
            </w:r>
          </w:p>
          <w:p w14:paraId="09A011DB">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最大设计使用高度：Ⅴ类</w:t>
            </w:r>
          </w:p>
          <w:p w14:paraId="08D6F9AE">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*最大起飞重量：0.25kg≤最大起飞重量≤7kg</w:t>
            </w:r>
          </w:p>
          <w:p w14:paraId="29229C62">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*空机重量：0.25kg＜空机重量≤3kg</w:t>
            </w:r>
          </w:p>
          <w:p w14:paraId="0E50089D">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*续航时间：0.5h＜续航时间≤2h</w:t>
            </w:r>
          </w:p>
          <w:p w14:paraId="012954B0">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控制距离：1km＜控制距离≤50km</w:t>
            </w:r>
          </w:p>
          <w:p w14:paraId="3AFEF505">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最大上升速度：≥5m/s </w:t>
            </w:r>
          </w:p>
          <w:p w14:paraId="171DDE78">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最大下降速度（垂直）：≥5m/s</w:t>
            </w:r>
          </w:p>
          <w:p w14:paraId="65787191">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最大水平飞行速度：≥20m/s</w:t>
            </w:r>
          </w:p>
          <w:p w14:paraId="1089D312">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最高工作海拔：≥5000m</w:t>
            </w:r>
          </w:p>
          <w:p w14:paraId="26047398">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*抗风等级：5级</w:t>
            </w:r>
          </w:p>
          <w:p w14:paraId="3DA5197C">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*防护等级：≥IP54</w:t>
            </w:r>
          </w:p>
          <w:p w14:paraId="22DE7B53">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悬停精度</w:t>
            </w:r>
            <w:r>
              <w:rPr>
                <w:rFonts w:hint="eastAsia" w:asciiTheme="minorEastAsia" w:hAnsiTheme="minorEastAsia" w:eastAsiaTheme="minorEastAsia"/>
                <w:sz w:val="18"/>
                <w:szCs w:val="18"/>
              </w:rPr>
              <w:t>：垂直±0.1m，水平±0.3m（视觉定位正常工作时）；垂直±0.5m，水平±1.5m（GNSS正常工作时）； 垂直±0.1m，水平±0.1m（RTK定位正常工作时）</w:t>
            </w:r>
          </w:p>
          <w:p w14:paraId="4206B27E">
            <w:pPr>
              <w:numPr>
                <w:ilvl w:val="0"/>
                <w:numId w:val="2"/>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sz w:val="18"/>
                <w:szCs w:val="18"/>
              </w:rPr>
              <w:t>*安全性能：</w:t>
            </w:r>
          </w:p>
          <w:p w14:paraId="1BE42C0F">
            <w:pPr>
              <w:numPr>
                <w:ilvl w:val="0"/>
                <w:numId w:val="3"/>
              </w:numPr>
              <w:spacing w:line="36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动力系统运行中应主动避障。</w:t>
            </w:r>
          </w:p>
          <w:p w14:paraId="1918845D">
            <w:pPr>
              <w:numPr>
                <w:ilvl w:val="0"/>
                <w:numId w:val="3"/>
              </w:numPr>
              <w:spacing w:line="36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遥控信号中断时可自动返回起飞点，中途信号重新连接后可以终止返航。</w:t>
            </w:r>
          </w:p>
          <w:p w14:paraId="0ECA596B">
            <w:pPr>
              <w:numPr>
                <w:ilvl w:val="0"/>
                <w:numId w:val="3"/>
              </w:numPr>
              <w:spacing w:line="36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具备应急降落伞功能，在断点等应急场景可自动开伞，或通过控制手动开伞。</w:t>
            </w:r>
          </w:p>
          <w:p w14:paraId="0535723B">
            <w:pPr>
              <w:numPr>
                <w:ilvl w:val="0"/>
                <w:numId w:val="3"/>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sz w:val="18"/>
                <w:szCs w:val="18"/>
              </w:rPr>
              <w:t>具备故障自动返航功能。</w:t>
            </w:r>
          </w:p>
        </w:tc>
        <w:tc>
          <w:tcPr>
            <w:tcW w:w="816" w:type="dxa"/>
            <w:vAlign w:val="center"/>
          </w:tcPr>
          <w:p w14:paraId="3ACB690F">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r w14:paraId="7A41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1253" w:type="dxa"/>
            <w:vAlign w:val="center"/>
          </w:tcPr>
          <w:p w14:paraId="488EC128">
            <w:pPr>
              <w:jc w:val="center"/>
              <w:rPr>
                <w:rFonts w:asciiTheme="minorEastAsia" w:hAnsiTheme="minorEastAsia" w:eastAsiaTheme="minorEastAsia"/>
                <w:kern w:val="0"/>
                <w:sz w:val="24"/>
              </w:rPr>
            </w:pPr>
            <w:r>
              <w:rPr>
                <w:rFonts w:hint="eastAsia" w:ascii="仿宋" w:hAnsi="仿宋" w:eastAsia="仿宋" w:cs="仿宋"/>
                <w:szCs w:val="21"/>
              </w:rPr>
              <w:t>FPV相机（第一视角相机）及高清云台技术要求</w:t>
            </w:r>
          </w:p>
        </w:tc>
        <w:tc>
          <w:tcPr>
            <w:tcW w:w="6950" w:type="dxa"/>
            <w:vAlign w:val="center"/>
          </w:tcPr>
          <w:p w14:paraId="46935FA6">
            <w:pPr>
              <w:numPr>
                <w:ilvl w:val="0"/>
                <w:numId w:val="4"/>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*防护等级：≥IP44</w:t>
            </w:r>
          </w:p>
          <w:p w14:paraId="595160D3">
            <w:pPr>
              <w:numPr>
                <w:ilvl w:val="0"/>
                <w:numId w:val="4"/>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工作温度：-20℃至50℃</w:t>
            </w:r>
          </w:p>
          <w:p w14:paraId="194FCB4F">
            <w:pPr>
              <w:numPr>
                <w:ilvl w:val="0"/>
                <w:numId w:val="4"/>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*变焦相机参数：</w:t>
            </w:r>
          </w:p>
          <w:p w14:paraId="22E9091A">
            <w:pPr>
              <w:numPr>
                <w:ilvl w:val="0"/>
                <w:numId w:val="5"/>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有效像素≥2000W</w:t>
            </w:r>
          </w:p>
          <w:p w14:paraId="11CB18DA">
            <w:pPr>
              <w:numPr>
                <w:ilvl w:val="0"/>
                <w:numId w:val="5"/>
              </w:numPr>
              <w:spacing w:line="360" w:lineRule="auto"/>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视频分辨率：4K/30fps</w:t>
            </w:r>
          </w:p>
          <w:p w14:paraId="4A80B711">
            <w:pPr>
              <w:numPr>
                <w:ilvl w:val="0"/>
                <w:numId w:val="5"/>
              </w:numPr>
              <w:spacing w:line="360" w:lineRule="auto"/>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最大变焦倍数：200倍</w:t>
            </w:r>
          </w:p>
          <w:p w14:paraId="4EBBBB2D">
            <w:pPr>
              <w:numPr>
                <w:ilvl w:val="0"/>
                <w:numId w:val="4"/>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*广角相机参数：</w:t>
            </w:r>
          </w:p>
          <w:p w14:paraId="2690930B">
            <w:pPr>
              <w:numPr>
                <w:ilvl w:val="0"/>
                <w:numId w:val="6"/>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有效像素≥1200W</w:t>
            </w:r>
          </w:p>
          <w:p w14:paraId="54D1CCE2">
            <w:pPr>
              <w:numPr>
                <w:ilvl w:val="0"/>
                <w:numId w:val="6"/>
              </w:numPr>
              <w:spacing w:line="360" w:lineRule="auto"/>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视频分辨率：1080P/30fps</w:t>
            </w:r>
          </w:p>
        </w:tc>
        <w:tc>
          <w:tcPr>
            <w:tcW w:w="816" w:type="dxa"/>
            <w:vAlign w:val="center"/>
          </w:tcPr>
          <w:p w14:paraId="788ABF65">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r w14:paraId="2D5C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1253" w:type="dxa"/>
            <w:vAlign w:val="center"/>
          </w:tcPr>
          <w:p w14:paraId="6362E0BE">
            <w:pPr>
              <w:jc w:val="center"/>
              <w:rPr>
                <w:rFonts w:asciiTheme="minorEastAsia" w:hAnsiTheme="minorEastAsia" w:eastAsiaTheme="minorEastAsia"/>
                <w:kern w:val="0"/>
                <w:sz w:val="24"/>
              </w:rPr>
            </w:pPr>
            <w:r>
              <w:rPr>
                <w:rFonts w:hint="eastAsia" w:ascii="仿宋" w:hAnsi="仿宋" w:eastAsia="仿宋" w:cs="仿宋"/>
                <w:szCs w:val="21"/>
              </w:rPr>
              <w:t>手持遥控器技术要求</w:t>
            </w:r>
          </w:p>
        </w:tc>
        <w:tc>
          <w:tcPr>
            <w:tcW w:w="6950" w:type="dxa"/>
            <w:vAlign w:val="center"/>
          </w:tcPr>
          <w:p w14:paraId="4A13D41C">
            <w:pPr>
              <w:numPr>
                <w:ilvl w:val="0"/>
                <w:numId w:val="7"/>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能够实现对机载云台俯仰角度、录像、拍照、变焦的实时控制。</w:t>
            </w:r>
          </w:p>
          <w:p w14:paraId="3B0AA1E2">
            <w:pPr>
              <w:numPr>
                <w:ilvl w:val="0"/>
                <w:numId w:val="7"/>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具备液晶显示屏,分辨率 1920×1200，亮度＞1000尼特，超高亮阳光下可视，续航时间：≥5h，最大控制距离≥3km，最大图传距离＞3km；具有多种紧急情况保护设计：失控返航、低电报警、低电返航并降落，具有一键自动起飞、一键自动降落、一键返航功能。</w:t>
            </w:r>
          </w:p>
          <w:p w14:paraId="5FB7E7B1">
            <w:pPr>
              <w:numPr>
                <w:ilvl w:val="0"/>
                <w:numId w:val="7"/>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工作频段：国家允许使用范围可调,与用户方其它现场无线设备不产生干扰。</w:t>
            </w:r>
          </w:p>
          <w:p w14:paraId="74501070">
            <w:pPr>
              <w:numPr>
                <w:ilvl w:val="0"/>
                <w:numId w:val="7"/>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具备实时接收和显示飞行平台采集的视频、图片以及飞行平台遥测数据(如：飞行轨迹、坐标、高度、速度、电量等信息),操作人员远离地面监控站时也能实时掌握飞行器空中状态。</w:t>
            </w:r>
          </w:p>
          <w:p w14:paraId="2D80DE55">
            <w:pPr>
              <w:numPr>
                <w:ilvl w:val="0"/>
                <w:numId w:val="7"/>
              </w:num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18"/>
                <w:szCs w:val="18"/>
              </w:rPr>
              <w:t>具备加密功能。</w:t>
            </w:r>
          </w:p>
          <w:p w14:paraId="12C83CB9">
            <w:pPr>
              <w:numPr>
                <w:ilvl w:val="0"/>
                <w:numId w:val="7"/>
              </w:num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18"/>
                <w:szCs w:val="18"/>
              </w:rPr>
              <w:t>手持遥控终端可无缝接入用户应急指挥系统，可将拍摄的视频、图像传到用户应急指挥中心。</w:t>
            </w:r>
          </w:p>
        </w:tc>
        <w:tc>
          <w:tcPr>
            <w:tcW w:w="816" w:type="dxa"/>
            <w:vAlign w:val="center"/>
          </w:tcPr>
          <w:p w14:paraId="61BF17F4">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r w14:paraId="1398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1253" w:type="dxa"/>
            <w:vAlign w:val="center"/>
          </w:tcPr>
          <w:p w14:paraId="32DFD230">
            <w:pPr>
              <w:jc w:val="center"/>
              <w:rPr>
                <w:rFonts w:asciiTheme="minorEastAsia" w:hAnsiTheme="minorEastAsia" w:eastAsiaTheme="minorEastAsia"/>
                <w:kern w:val="0"/>
                <w:sz w:val="24"/>
              </w:rPr>
            </w:pPr>
            <w:r>
              <w:rPr>
                <w:rFonts w:hint="eastAsia" w:ascii="仿宋" w:hAnsi="仿宋" w:eastAsia="仿宋" w:cs="仿宋"/>
                <w:szCs w:val="21"/>
              </w:rPr>
              <w:t>无人机气体检测仪技术要求</w:t>
            </w:r>
          </w:p>
        </w:tc>
        <w:tc>
          <w:tcPr>
            <w:tcW w:w="6950" w:type="dxa"/>
            <w:vAlign w:val="center"/>
          </w:tcPr>
          <w:p w14:paraId="655AB963">
            <w:pPr>
              <w:numPr>
                <w:ilvl w:val="0"/>
                <w:numId w:val="8"/>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*支持LEL可燃性气体、O2、CO、H2S等不同气体的实时检测，并能够实时传到手持遥控终端，并显示气体种类和测量值，可根据用户要求增配增加PM2.5、PM10、NH3等气体检测模块。</w:t>
            </w:r>
          </w:p>
          <w:p w14:paraId="65366E61">
            <w:pPr>
              <w:numPr>
                <w:ilvl w:val="0"/>
                <w:numId w:val="8"/>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所配检测设备测量精度均应满足以下要求：</w:t>
            </w:r>
          </w:p>
          <w:p w14:paraId="69548E19">
            <w:p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O2测量范围0</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kern w:val="0"/>
                <w:sz w:val="18"/>
                <w:szCs w:val="18"/>
              </w:rPr>
              <w:t>30%，解析度：0.1%；</w:t>
            </w:r>
          </w:p>
          <w:p w14:paraId="2E764C53">
            <w:p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LEL可燃性气体测量范围0-100%LEL，解析度：1%；</w:t>
            </w:r>
          </w:p>
          <w:p w14:paraId="55ADBAEA">
            <w:p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CO测量范围0-500ppm，解析度：1ppm；</w:t>
            </w:r>
          </w:p>
          <w:p w14:paraId="1B8C322C">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18"/>
                <w:szCs w:val="18"/>
              </w:rPr>
              <w:t>H2S测量范围0-100ppm，解析度：1ppm；</w:t>
            </w:r>
          </w:p>
        </w:tc>
        <w:tc>
          <w:tcPr>
            <w:tcW w:w="816" w:type="dxa"/>
            <w:vAlign w:val="center"/>
          </w:tcPr>
          <w:p w14:paraId="181D5FDB">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r w14:paraId="05FD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53" w:type="dxa"/>
            <w:vAlign w:val="center"/>
          </w:tcPr>
          <w:p w14:paraId="455E6827">
            <w:pPr>
              <w:jc w:val="center"/>
              <w:rPr>
                <w:rFonts w:asciiTheme="minorEastAsia" w:hAnsiTheme="minorEastAsia" w:eastAsiaTheme="minorEastAsia"/>
                <w:kern w:val="0"/>
                <w:sz w:val="24"/>
              </w:rPr>
            </w:pPr>
            <w:r>
              <w:rPr>
                <w:rFonts w:hint="eastAsia" w:ascii="仿宋" w:hAnsi="仿宋" w:eastAsia="仿宋" w:cs="仿宋"/>
                <w:szCs w:val="21"/>
              </w:rPr>
              <w:t>喊话器技术要求</w:t>
            </w:r>
          </w:p>
        </w:tc>
        <w:tc>
          <w:tcPr>
            <w:tcW w:w="6950" w:type="dxa"/>
            <w:vAlign w:val="center"/>
          </w:tcPr>
          <w:p w14:paraId="5760BA13">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18"/>
                <w:szCs w:val="18"/>
              </w:rPr>
              <w:t>声音传播距离≥300m</w:t>
            </w:r>
          </w:p>
        </w:tc>
        <w:tc>
          <w:tcPr>
            <w:tcW w:w="816" w:type="dxa"/>
            <w:vAlign w:val="center"/>
          </w:tcPr>
          <w:p w14:paraId="1E4BDBA6">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r w14:paraId="5450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53" w:type="dxa"/>
            <w:vAlign w:val="center"/>
          </w:tcPr>
          <w:p w14:paraId="501EF672">
            <w:pPr>
              <w:jc w:val="center"/>
              <w:rPr>
                <w:rFonts w:ascii="仿宋" w:hAnsi="仿宋" w:eastAsia="仿宋" w:cs="仿宋"/>
                <w:szCs w:val="21"/>
              </w:rPr>
            </w:pPr>
            <w:r>
              <w:rPr>
                <w:rFonts w:hint="eastAsia" w:ascii="仿宋" w:hAnsi="仿宋" w:eastAsia="仿宋" w:cs="仿宋"/>
                <w:szCs w:val="21"/>
              </w:rPr>
              <w:t>照明技术要求</w:t>
            </w:r>
          </w:p>
        </w:tc>
        <w:tc>
          <w:tcPr>
            <w:tcW w:w="6950" w:type="dxa"/>
            <w:vAlign w:val="center"/>
          </w:tcPr>
          <w:p w14:paraId="55715CF9">
            <w:p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照明光通量：≥20000Lm</w:t>
            </w:r>
          </w:p>
          <w:p w14:paraId="24257E23">
            <w:p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照明有效距离：150m</w:t>
            </w:r>
          </w:p>
        </w:tc>
        <w:tc>
          <w:tcPr>
            <w:tcW w:w="816" w:type="dxa"/>
            <w:vAlign w:val="center"/>
          </w:tcPr>
          <w:p w14:paraId="2D32EFF8">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r w14:paraId="59FD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53" w:type="dxa"/>
            <w:vAlign w:val="center"/>
          </w:tcPr>
          <w:p w14:paraId="219D8A30">
            <w:pPr>
              <w:jc w:val="center"/>
              <w:rPr>
                <w:rFonts w:ascii="仿宋" w:hAnsi="仿宋" w:eastAsia="仿宋" w:cs="仿宋"/>
                <w:szCs w:val="21"/>
              </w:rPr>
            </w:pPr>
            <w:r>
              <w:rPr>
                <w:rFonts w:hint="eastAsia" w:ascii="仿宋" w:hAnsi="仿宋" w:eastAsia="仿宋" w:cs="仿宋"/>
                <w:szCs w:val="21"/>
              </w:rPr>
              <w:t>其他配件</w:t>
            </w:r>
          </w:p>
        </w:tc>
        <w:tc>
          <w:tcPr>
            <w:tcW w:w="6950" w:type="dxa"/>
            <w:vAlign w:val="center"/>
          </w:tcPr>
          <w:p w14:paraId="50A75F35">
            <w:pPr>
              <w:numPr>
                <w:ilvl w:val="0"/>
                <w:numId w:val="9"/>
              </w:numPr>
              <w:spacing w:line="360" w:lineRule="auto"/>
              <w:jc w:val="left"/>
              <w:rPr>
                <w:rFonts w:ascii="仿宋" w:hAnsi="仿宋" w:eastAsia="仿宋" w:cs="仿宋"/>
                <w:szCs w:val="21"/>
              </w:rPr>
            </w:pPr>
            <w:r>
              <w:rPr>
                <w:rFonts w:hint="eastAsia" w:asciiTheme="minorEastAsia" w:hAnsiTheme="minorEastAsia" w:eastAsiaTheme="minorEastAsia"/>
                <w:kern w:val="0"/>
                <w:sz w:val="18"/>
                <w:szCs w:val="18"/>
              </w:rPr>
              <w:t>电池：2个一组，单电池容量：≥5000 mAh；重量：≤1.5kg；工作环境温度：-20℃ 至 50℃；</w:t>
            </w:r>
          </w:p>
          <w:p w14:paraId="476DC145">
            <w:pPr>
              <w:numPr>
                <w:ilvl w:val="0"/>
                <w:numId w:val="9"/>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充电器：充电功率：AC220V：1500W/AC120V：600W</w:t>
            </w:r>
          </w:p>
          <w:p w14:paraId="0820EA1F">
            <w:pPr>
              <w:numPr>
                <w:ilvl w:val="0"/>
                <w:numId w:val="9"/>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收纳箱：材质：高强度板材+航空铝</w:t>
            </w:r>
          </w:p>
          <w:p w14:paraId="6CDD5A86">
            <w:pPr>
              <w:numPr>
                <w:ilvl w:val="0"/>
                <w:numId w:val="9"/>
              </w:numPr>
              <w:spacing w:line="36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存储卡：512G</w:t>
            </w:r>
          </w:p>
        </w:tc>
        <w:tc>
          <w:tcPr>
            <w:tcW w:w="816" w:type="dxa"/>
            <w:vAlign w:val="center"/>
          </w:tcPr>
          <w:p w14:paraId="77795F76">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r>
    </w:tbl>
    <w:p w14:paraId="6EAA3EA9">
      <w:pPr>
        <w:spacing w:line="360" w:lineRule="auto"/>
        <w:rPr>
          <w:rFonts w:asciiTheme="minorEastAsia" w:hAnsiTheme="minorEastAsia" w:eastAsiaTheme="minorEastAsia" w:cstheme="minorBidi"/>
          <w:sz w:val="24"/>
        </w:rPr>
      </w:pPr>
    </w:p>
    <w:p w14:paraId="6550D3DE">
      <w:pPr>
        <w:pStyle w:val="2"/>
        <w:ind w:firstLine="480"/>
        <w:rPr>
          <w:rFonts w:asciiTheme="minorEastAsia" w:hAnsiTheme="minorEastAsia" w:eastAsiaTheme="minorEastAsia" w:cstheme="minorBidi"/>
          <w:sz w:val="24"/>
        </w:rPr>
      </w:pPr>
    </w:p>
    <w:p w14:paraId="54AF28A5">
      <w:pPr>
        <w:pStyle w:val="2"/>
        <w:ind w:firstLine="480"/>
        <w:rPr>
          <w:rFonts w:asciiTheme="minorEastAsia" w:hAnsiTheme="minorEastAsia" w:eastAsiaTheme="minorEastAsia" w:cstheme="minorBidi"/>
          <w:sz w:val="24"/>
        </w:rPr>
      </w:pPr>
    </w:p>
    <w:p w14:paraId="7453F53C">
      <w:pPr>
        <w:pStyle w:val="2"/>
        <w:ind w:firstLine="480"/>
        <w:rPr>
          <w:rFonts w:asciiTheme="minorEastAsia" w:hAnsiTheme="minorEastAsia" w:eastAsiaTheme="minorEastAsia" w:cstheme="minorBidi"/>
          <w:sz w:val="24"/>
        </w:rPr>
      </w:pPr>
    </w:p>
    <w:p w14:paraId="0208B62C">
      <w:pPr>
        <w:pStyle w:val="2"/>
        <w:ind w:firstLine="480"/>
        <w:rPr>
          <w:rFonts w:asciiTheme="minorEastAsia" w:hAnsiTheme="minorEastAsia" w:eastAsiaTheme="minorEastAsia" w:cstheme="minorBidi"/>
          <w:sz w:val="24"/>
        </w:rPr>
      </w:pPr>
    </w:p>
    <w:p w14:paraId="3ECB897A">
      <w:pPr>
        <w:pStyle w:val="2"/>
        <w:ind w:firstLine="480"/>
        <w:rPr>
          <w:rFonts w:asciiTheme="minorEastAsia" w:hAnsiTheme="minorEastAsia" w:eastAsiaTheme="minorEastAsia" w:cstheme="minorBidi"/>
          <w:sz w:val="24"/>
        </w:rPr>
      </w:pPr>
    </w:p>
    <w:p w14:paraId="0423A6EA">
      <w:pPr>
        <w:pStyle w:val="2"/>
        <w:ind w:firstLine="480"/>
        <w:rPr>
          <w:rFonts w:asciiTheme="minorEastAsia" w:hAnsiTheme="minorEastAsia" w:eastAsiaTheme="minorEastAsia" w:cstheme="minorBidi"/>
          <w:sz w:val="24"/>
        </w:rPr>
      </w:pPr>
    </w:p>
    <w:p w14:paraId="41DE371B">
      <w:pPr>
        <w:pStyle w:val="2"/>
        <w:ind w:firstLine="480"/>
        <w:rPr>
          <w:rFonts w:asciiTheme="minorEastAsia" w:hAnsiTheme="minorEastAsia" w:eastAsiaTheme="minorEastAsia" w:cstheme="minorBidi"/>
          <w:sz w:val="24"/>
        </w:rPr>
      </w:pPr>
    </w:p>
    <w:p w14:paraId="30A19A6A"/>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9806">
    <w:pPr>
      <w:pStyle w:val="11"/>
      <w:jc w:val="center"/>
    </w:pPr>
    <w:r>
      <w:rPr>
        <w:rFonts w:hint="eastAsia"/>
      </w:rPr>
      <w:drawing>
        <wp:inline distT="0" distB="0" distL="114300" distR="114300">
          <wp:extent cx="4286250" cy="609600"/>
          <wp:effectExtent l="0" t="0" r="0" b="0"/>
          <wp:docPr id="7" name="图片 7" descr="能化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能化logo"/>
                  <pic:cNvPicPr>
                    <a:picLocks noChangeAspect="1"/>
                  </pic:cNvPicPr>
                </pic:nvPicPr>
                <pic:blipFill>
                  <a:blip r:embed="rId1"/>
                  <a:stretch>
                    <a:fillRect/>
                  </a:stretch>
                </pic:blipFill>
                <pic:spPr>
                  <a:xfrm>
                    <a:off x="0" y="0"/>
                    <a:ext cx="4286250" cy="609600"/>
                  </a:xfrm>
                  <a:prstGeom prst="rect">
                    <a:avLst/>
                  </a:prstGeom>
                </pic:spPr>
              </pic:pic>
            </a:graphicData>
          </a:graphic>
        </wp:inline>
      </w:drawing>
    </w:r>
  </w:p>
  <w:p w14:paraId="2028C90A">
    <w:pPr>
      <w:pStyle w:val="1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E2DC8"/>
    <w:multiLevelType w:val="singleLevel"/>
    <w:tmpl w:val="938E2DC8"/>
    <w:lvl w:ilvl="0" w:tentative="0">
      <w:start w:val="1"/>
      <w:numFmt w:val="decimal"/>
      <w:suff w:val="nothing"/>
      <w:lvlText w:val="%1）"/>
      <w:lvlJc w:val="left"/>
    </w:lvl>
  </w:abstractNum>
  <w:abstractNum w:abstractNumId="1">
    <w:nsid w:val="948412CA"/>
    <w:multiLevelType w:val="singleLevel"/>
    <w:tmpl w:val="948412CA"/>
    <w:lvl w:ilvl="0" w:tentative="0">
      <w:start w:val="1"/>
      <w:numFmt w:val="decimal"/>
      <w:suff w:val="nothing"/>
      <w:lvlText w:val="%1、"/>
      <w:lvlJc w:val="left"/>
      <w:rPr>
        <w:rFonts w:hint="default"/>
        <w:sz w:val="18"/>
        <w:szCs w:val="18"/>
      </w:rPr>
    </w:lvl>
  </w:abstractNum>
  <w:abstractNum w:abstractNumId="2">
    <w:nsid w:val="A5CB6022"/>
    <w:multiLevelType w:val="singleLevel"/>
    <w:tmpl w:val="A5CB6022"/>
    <w:lvl w:ilvl="0" w:tentative="0">
      <w:start w:val="1"/>
      <w:numFmt w:val="decimal"/>
      <w:suff w:val="nothing"/>
      <w:lvlText w:val="%1、"/>
      <w:lvlJc w:val="left"/>
    </w:lvl>
  </w:abstractNum>
  <w:abstractNum w:abstractNumId="3">
    <w:nsid w:val="AAC48AAA"/>
    <w:multiLevelType w:val="singleLevel"/>
    <w:tmpl w:val="AAC48AAA"/>
    <w:lvl w:ilvl="0" w:tentative="0">
      <w:start w:val="1"/>
      <w:numFmt w:val="chineseCounting"/>
      <w:suff w:val="nothing"/>
      <w:lvlText w:val="%1、"/>
      <w:lvlJc w:val="left"/>
      <w:rPr>
        <w:rFonts w:hint="eastAsia"/>
      </w:rPr>
    </w:lvl>
  </w:abstractNum>
  <w:abstractNum w:abstractNumId="4">
    <w:nsid w:val="DF5A95E7"/>
    <w:multiLevelType w:val="singleLevel"/>
    <w:tmpl w:val="DF5A95E7"/>
    <w:lvl w:ilvl="0" w:tentative="0">
      <w:start w:val="1"/>
      <w:numFmt w:val="decimal"/>
      <w:suff w:val="nothing"/>
      <w:lvlText w:val="%1、"/>
      <w:lvlJc w:val="left"/>
    </w:lvl>
  </w:abstractNum>
  <w:abstractNum w:abstractNumId="5">
    <w:nsid w:val="1BD9236C"/>
    <w:multiLevelType w:val="singleLevel"/>
    <w:tmpl w:val="1BD9236C"/>
    <w:lvl w:ilvl="0" w:tentative="0">
      <w:start w:val="1"/>
      <w:numFmt w:val="decimal"/>
      <w:suff w:val="nothing"/>
      <w:lvlText w:val="%1）"/>
      <w:lvlJc w:val="left"/>
    </w:lvl>
  </w:abstractNum>
  <w:abstractNum w:abstractNumId="6">
    <w:nsid w:val="2A718365"/>
    <w:multiLevelType w:val="singleLevel"/>
    <w:tmpl w:val="2A718365"/>
    <w:lvl w:ilvl="0" w:tentative="0">
      <w:start w:val="1"/>
      <w:numFmt w:val="decimal"/>
      <w:suff w:val="nothing"/>
      <w:lvlText w:val="%1）"/>
      <w:lvlJc w:val="left"/>
    </w:lvl>
  </w:abstractNum>
  <w:abstractNum w:abstractNumId="7">
    <w:nsid w:val="38C34C30"/>
    <w:multiLevelType w:val="singleLevel"/>
    <w:tmpl w:val="38C34C30"/>
    <w:lvl w:ilvl="0" w:tentative="0">
      <w:start w:val="1"/>
      <w:numFmt w:val="decimal"/>
      <w:suff w:val="nothing"/>
      <w:lvlText w:val="%1、"/>
      <w:lvlJc w:val="left"/>
    </w:lvl>
  </w:abstractNum>
  <w:abstractNum w:abstractNumId="8">
    <w:nsid w:val="63E2FD23"/>
    <w:multiLevelType w:val="singleLevel"/>
    <w:tmpl w:val="63E2FD23"/>
    <w:lvl w:ilvl="0" w:tentative="0">
      <w:start w:val="1"/>
      <w:numFmt w:val="decimal"/>
      <w:suff w:val="nothing"/>
      <w:lvlText w:val="%1、"/>
      <w:lvlJc w:val="left"/>
    </w:lvl>
  </w:abstractNum>
  <w:num w:numId="1">
    <w:abstractNumId w:val="3"/>
  </w:num>
  <w:num w:numId="2">
    <w:abstractNumId w:val="8"/>
  </w:num>
  <w:num w:numId="3">
    <w:abstractNumId w:val="6"/>
  </w:num>
  <w:num w:numId="4">
    <w:abstractNumId w:val="2"/>
  </w:num>
  <w:num w:numId="5">
    <w:abstractNumId w:val="5"/>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86DD7"/>
    <w:rsid w:val="6AE8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sz w:val="28"/>
    </w:r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9"/>
    <w:next w:val="4"/>
    <w:unhideWhenUsed/>
    <w:qFormat/>
    <w:uiPriority w:val="99"/>
    <w:pPr>
      <w:spacing w:after="120"/>
      <w:ind w:left="420" w:leftChars="200"/>
    </w:pPr>
  </w:style>
  <w:style w:type="paragraph" w:customStyle="1" w:styleId="9">
    <w:name w:val="正文_2"/>
    <w:next w:val="7"/>
    <w:qFormat/>
    <w:uiPriority w:val="1"/>
    <w:pPr>
      <w:widowControl w:val="0"/>
      <w:autoSpaceDE w:val="0"/>
      <w:autoSpaceDN w:val="0"/>
    </w:pPr>
    <w:rPr>
      <w:rFonts w:ascii="宋体" w:hAnsi="宋体" w:eastAsia="宋体" w:cs="宋体"/>
      <w:sz w:val="22"/>
      <w:szCs w:val="22"/>
      <w:lang w:val="zh-CN" w:eastAsia="zh-CN" w:bidi="zh-CN"/>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2025-05-26T03:08:00Z</dcterms:created>
  <dc:creator>GM9</dc:creator>
  <cp:lastModifiedBy>GM9</cp:lastModifiedBy>
  <dcterms:modified xsi:type="dcterms:W3CDTF">2025-05-26T03:13:31Z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AB21AC0F7D5E4D4AA73A15101EDA07B6_11</vt:lpwstr>
  </property>
  <property fmtid="{D5CDD505-2E9C-101B-9397-08002B2CF9AE}" pid="4" name="KSOTemplateDocerSaveRecord">
    <vt:lpwstr>eyJoZGlkIjoiNGYwZDdhODNlMmM3NjQ3OGUyNjYwYTRmNmIzZTYzMjQifQ==</vt:lpwstr>
  </property>
</Properties>
</file>