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2"/>
        <w:rPr>
          <w:rFonts w:ascii="仿宋" w:hAnsi="仿宋" w:eastAsia="仿宋"/>
          <w:sz w:val="20"/>
          <w:lang w:eastAsia="zh-CN"/>
        </w:rPr>
      </w:pPr>
    </w:p>
    <w:p w14:paraId="4422970F">
      <w:pPr>
        <w:pStyle w:val="22"/>
        <w:rPr>
          <w:rFonts w:ascii="仿宋" w:hAnsi="仿宋" w:eastAsia="仿宋"/>
          <w:sz w:val="20"/>
        </w:rPr>
      </w:pPr>
    </w:p>
    <w:p w14:paraId="7E09FF86">
      <w:pPr>
        <w:pStyle w:val="22"/>
        <w:rPr>
          <w:rFonts w:ascii="仿宋" w:hAnsi="仿宋" w:eastAsia="仿宋"/>
          <w:sz w:val="20"/>
        </w:rPr>
      </w:pPr>
    </w:p>
    <w:p w14:paraId="609CB927">
      <w:pPr>
        <w:pStyle w:val="22"/>
        <w:rPr>
          <w:rFonts w:ascii="仿宋" w:hAnsi="仿宋" w:eastAsia="仿宋"/>
          <w:sz w:val="20"/>
        </w:rPr>
      </w:pPr>
    </w:p>
    <w:p w14:paraId="77780892">
      <w:pPr>
        <w:pStyle w:val="22"/>
        <w:rPr>
          <w:rFonts w:ascii="仿宋" w:hAnsi="仿宋" w:eastAsia="仿宋"/>
          <w:color w:val="000000" w:themeColor="text1"/>
          <w:sz w:val="20"/>
          <w14:textFill>
            <w14:solidFill>
              <w14:schemeClr w14:val="tx1"/>
            </w14:solidFill>
          </w14:textFill>
        </w:rPr>
      </w:pPr>
    </w:p>
    <w:p w14:paraId="52EDCF76">
      <w:pPr>
        <w:pStyle w:val="22"/>
        <w:spacing w:before="5"/>
        <w:rPr>
          <w:rFonts w:ascii="仿宋" w:hAnsi="仿宋" w:eastAsia="仿宋"/>
          <w:color w:val="000000" w:themeColor="text1"/>
          <w:sz w:val="20"/>
          <w:highlight w:val="none"/>
          <w14:textFill>
            <w14:solidFill>
              <w14:schemeClr w14:val="tx1"/>
            </w14:solidFill>
          </w14:textFill>
        </w:rPr>
      </w:pPr>
    </w:p>
    <w:p w14:paraId="083CB69D">
      <w:pPr>
        <w:pStyle w:val="22"/>
        <w:jc w:val="center"/>
        <w:rPr>
          <w:rFonts w:ascii="仿宋" w:hAnsi="仿宋" w:eastAsia="仿宋"/>
          <w:b/>
          <w:color w:val="000000" w:themeColor="text1"/>
          <w:sz w:val="52"/>
          <w:szCs w:val="22"/>
          <w:highlight w:val="none"/>
          <w:u w:val="single"/>
          <w:lang w:eastAsia="zh-CN"/>
          <w14:textFill>
            <w14:solidFill>
              <w14:schemeClr w14:val="tx1"/>
            </w14:solidFill>
          </w14:textFill>
        </w:rPr>
      </w:pPr>
      <w:r>
        <w:rPr>
          <w:rFonts w:hint="eastAsia" w:ascii="仿宋" w:hAnsi="仿宋" w:eastAsia="仿宋"/>
          <w:b/>
          <w:color w:val="000000" w:themeColor="text1"/>
          <w:sz w:val="52"/>
          <w:szCs w:val="22"/>
          <w:highlight w:val="none"/>
          <w:u w:val="single"/>
          <w:lang w:eastAsia="zh-CN"/>
          <w14:textFill>
            <w14:solidFill>
              <w14:schemeClr w14:val="tx1"/>
            </w14:solidFill>
          </w14:textFill>
        </w:rPr>
        <w:t>福建福海创石油化工有限公司</w:t>
      </w:r>
    </w:p>
    <w:p w14:paraId="6E6F6E6B">
      <w:pPr>
        <w:pStyle w:val="22"/>
        <w:jc w:val="center"/>
        <w:rPr>
          <w:rFonts w:ascii="仿宋" w:hAnsi="仿宋" w:eastAsia="仿宋"/>
          <w:b/>
          <w:color w:val="000000" w:themeColor="text1"/>
          <w:sz w:val="52"/>
          <w:szCs w:val="22"/>
          <w:highlight w:val="none"/>
          <w:u w:val="single"/>
          <w:lang w:eastAsia="zh-CN"/>
          <w14:textFill>
            <w14:solidFill>
              <w14:schemeClr w14:val="tx1"/>
            </w14:solidFill>
          </w14:textFill>
        </w:rPr>
      </w:pPr>
    </w:p>
    <w:p w14:paraId="43EC0059">
      <w:pPr>
        <w:pStyle w:val="22"/>
        <w:jc w:val="center"/>
        <w:rPr>
          <w:rFonts w:hint="eastAsia" w:ascii="仿宋" w:hAnsi="仿宋" w:eastAsia="仿宋"/>
          <w:b/>
          <w:color w:val="000000" w:themeColor="text1"/>
          <w:sz w:val="44"/>
          <w:szCs w:val="44"/>
          <w:highlight w:val="none"/>
          <w:u w:val="single"/>
          <w:lang w:eastAsia="zh-CN"/>
          <w14:textFill>
            <w14:solidFill>
              <w14:schemeClr w14:val="tx1"/>
            </w14:solidFill>
          </w14:textFill>
        </w:rPr>
      </w:pPr>
      <w:r>
        <w:rPr>
          <w:rFonts w:hint="eastAsia" w:ascii="仿宋" w:hAnsi="仿宋" w:eastAsia="仿宋"/>
          <w:b/>
          <w:color w:val="000000" w:themeColor="text1"/>
          <w:sz w:val="44"/>
          <w:szCs w:val="44"/>
          <w:highlight w:val="none"/>
          <w:u w:val="single"/>
          <w:lang w:eastAsia="zh-CN"/>
          <w14:textFill>
            <w14:solidFill>
              <w14:schemeClr w14:val="tx1"/>
            </w14:solidFill>
          </w14:textFill>
        </w:rPr>
        <w:t>海水冷却系统取水工程生态补偿增殖放流项目</w:t>
      </w:r>
    </w:p>
    <w:p w14:paraId="087D61DF">
      <w:pPr>
        <w:pStyle w:val="22"/>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p>
    <w:p w14:paraId="4FD62B60">
      <w:pPr>
        <w:pStyle w:val="22"/>
        <w:jc w:val="center"/>
        <w:rPr>
          <w:rFonts w:ascii="仿宋" w:hAnsi="仿宋" w:eastAsia="仿宋"/>
          <w:b/>
          <w:color w:val="000000" w:themeColor="text1"/>
          <w:sz w:val="72"/>
          <w:szCs w:val="72"/>
          <w:highlight w:val="none"/>
          <w:u w:val="single"/>
          <w:lang w:eastAsia="zh-CN"/>
          <w14:textFill>
            <w14:solidFill>
              <w14:schemeClr w14:val="tx1"/>
            </w14:solidFill>
          </w14:textFill>
        </w:rPr>
      </w:pPr>
      <w:r>
        <w:rPr>
          <w:rFonts w:hint="eastAsia" w:ascii="仿宋" w:hAnsi="仿宋" w:eastAsia="仿宋"/>
          <w:b/>
          <w:color w:val="000000" w:themeColor="text1"/>
          <w:sz w:val="72"/>
          <w:szCs w:val="72"/>
          <w:highlight w:val="none"/>
          <w:u w:val="single"/>
          <w:lang w:eastAsia="zh-CN"/>
          <w14:textFill>
            <w14:solidFill>
              <w14:schemeClr w14:val="tx1"/>
            </w14:solidFill>
          </w14:textFill>
        </w:rPr>
        <w:t>询比采购文件</w:t>
      </w:r>
    </w:p>
    <w:p w14:paraId="76C3B8BE">
      <w:pPr>
        <w:pStyle w:val="61"/>
        <w:jc w:val="center"/>
        <w:rPr>
          <w:rFonts w:hint="eastAsia" w:ascii="仿宋" w:hAnsi="仿宋" w:eastAsia="仿宋"/>
          <w:color w:val="000000" w:themeColor="text1"/>
          <w:sz w:val="28"/>
          <w:szCs w:val="28"/>
          <w:highlight w:val="none"/>
          <w14:textFill>
            <w14:solidFill>
              <w14:schemeClr w14:val="tx1"/>
            </w14:solidFill>
          </w14:textFill>
        </w:rPr>
      </w:pPr>
    </w:p>
    <w:p w14:paraId="664AE1EE">
      <w:pPr>
        <w:pStyle w:val="61"/>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（文件编号：PB251110000032）</w:t>
      </w:r>
    </w:p>
    <w:p w14:paraId="61CA626B">
      <w:pPr>
        <w:pStyle w:val="22"/>
        <w:rPr>
          <w:rFonts w:ascii="仿宋" w:hAnsi="仿宋" w:eastAsia="仿宋"/>
          <w:b/>
          <w:color w:val="000000" w:themeColor="text1"/>
          <w:sz w:val="94"/>
          <w:lang w:eastAsia="zh-CN"/>
          <w14:textFill>
            <w14:solidFill>
              <w14:schemeClr w14:val="tx1"/>
            </w14:solidFill>
          </w14:textFill>
        </w:rPr>
      </w:pPr>
    </w:p>
    <w:p w14:paraId="0EDD7F02">
      <w:pPr>
        <w:pStyle w:val="22"/>
        <w:rPr>
          <w:rFonts w:ascii="仿宋" w:hAnsi="仿宋" w:eastAsia="仿宋"/>
          <w:b/>
          <w:sz w:val="32"/>
          <w:szCs w:val="32"/>
          <w:lang w:eastAsia="zh-CN"/>
        </w:rPr>
      </w:pPr>
    </w:p>
    <w:p w14:paraId="625E23BA">
      <w:pPr>
        <w:pStyle w:val="22"/>
        <w:rPr>
          <w:rFonts w:ascii="仿宋" w:hAnsi="仿宋" w:eastAsia="仿宋"/>
          <w:b/>
          <w:sz w:val="32"/>
          <w:szCs w:val="32"/>
          <w:lang w:eastAsia="zh-CN"/>
        </w:rPr>
      </w:pPr>
    </w:p>
    <w:p w14:paraId="508D72A8">
      <w:pPr>
        <w:pStyle w:val="22"/>
        <w:rPr>
          <w:rFonts w:ascii="仿宋" w:hAnsi="仿宋" w:eastAsia="仿宋"/>
          <w:b/>
          <w:sz w:val="32"/>
          <w:szCs w:val="32"/>
          <w:lang w:eastAsia="zh-CN"/>
        </w:rPr>
      </w:pPr>
    </w:p>
    <w:p w14:paraId="5D7479EF">
      <w:pPr>
        <w:pStyle w:val="22"/>
        <w:rPr>
          <w:rFonts w:ascii="仿宋" w:hAnsi="仿宋" w:eastAsia="仿宋"/>
          <w:b/>
          <w:sz w:val="32"/>
          <w:szCs w:val="32"/>
          <w:lang w:eastAsia="zh-CN"/>
        </w:rPr>
      </w:pPr>
    </w:p>
    <w:p w14:paraId="5876BD09">
      <w:pPr>
        <w:pStyle w:val="22"/>
        <w:rPr>
          <w:rFonts w:ascii="仿宋" w:hAnsi="仿宋" w:eastAsia="仿宋"/>
          <w:b/>
          <w:sz w:val="32"/>
          <w:szCs w:val="32"/>
          <w:lang w:eastAsia="zh-CN"/>
        </w:rPr>
      </w:pPr>
    </w:p>
    <w:p w14:paraId="5E3EDBBB">
      <w:pPr>
        <w:pStyle w:val="61"/>
        <w:jc w:val="center"/>
        <w:rPr>
          <w:rFonts w:ascii="仿宋" w:hAnsi="仿宋" w:eastAsia="仿宋"/>
          <w:b/>
          <w:sz w:val="28"/>
          <w:szCs w:val="28"/>
        </w:rPr>
      </w:pPr>
    </w:p>
    <w:p w14:paraId="2C80907E">
      <w:pPr>
        <w:pStyle w:val="61"/>
        <w:jc w:val="center"/>
        <w:rPr>
          <w:rFonts w:ascii="仿宋" w:hAnsi="仿宋" w:eastAsia="仿宋"/>
          <w:b/>
          <w:sz w:val="28"/>
          <w:szCs w:val="28"/>
        </w:rPr>
      </w:pPr>
    </w:p>
    <w:p w14:paraId="5B33F967">
      <w:pPr>
        <w:pStyle w:val="61"/>
        <w:jc w:val="center"/>
        <w:rPr>
          <w:rFonts w:ascii="仿宋" w:hAnsi="仿宋" w:eastAsia="仿宋"/>
          <w:b/>
          <w:sz w:val="28"/>
          <w:szCs w:val="28"/>
        </w:rPr>
      </w:pPr>
    </w:p>
    <w:p w14:paraId="73F3D721">
      <w:pPr>
        <w:pStyle w:val="61"/>
        <w:jc w:val="center"/>
        <w:rPr>
          <w:rFonts w:ascii="仿宋" w:hAnsi="仿宋" w:eastAsia="仿宋"/>
          <w:b/>
          <w:sz w:val="28"/>
          <w:szCs w:val="28"/>
        </w:rPr>
      </w:pPr>
    </w:p>
    <w:p w14:paraId="6C9110B6">
      <w:pPr>
        <w:pStyle w:val="61"/>
        <w:jc w:val="center"/>
        <w:rPr>
          <w:rFonts w:ascii="仿宋" w:hAnsi="仿宋" w:eastAsia="仿宋"/>
          <w:b/>
          <w:sz w:val="28"/>
          <w:szCs w:val="28"/>
        </w:rPr>
      </w:pPr>
    </w:p>
    <w:p w14:paraId="143AFC8C">
      <w:pPr>
        <w:pStyle w:val="61"/>
        <w:jc w:val="center"/>
        <w:rPr>
          <w:rFonts w:ascii="仿宋" w:hAnsi="仿宋" w:eastAsia="仿宋"/>
          <w:b/>
          <w:sz w:val="28"/>
          <w:szCs w:val="28"/>
        </w:rPr>
      </w:pPr>
    </w:p>
    <w:p w14:paraId="35F74606">
      <w:pPr>
        <w:pStyle w:val="61"/>
        <w:jc w:val="center"/>
        <w:rPr>
          <w:rFonts w:ascii="仿宋" w:hAnsi="仿宋" w:eastAsia="仿宋"/>
          <w:b/>
          <w:sz w:val="28"/>
          <w:szCs w:val="28"/>
        </w:rPr>
      </w:pPr>
    </w:p>
    <w:p w14:paraId="6A4632BD">
      <w:pPr>
        <w:pStyle w:val="61"/>
        <w:jc w:val="center"/>
        <w:rPr>
          <w:rFonts w:ascii="仿宋" w:hAnsi="仿宋" w:eastAsia="仿宋"/>
          <w:b/>
          <w:sz w:val="28"/>
          <w:szCs w:val="28"/>
        </w:rPr>
      </w:pPr>
    </w:p>
    <w:p w14:paraId="22155F58">
      <w:pPr>
        <w:pStyle w:val="61"/>
        <w:jc w:val="center"/>
        <w:rPr>
          <w:rFonts w:ascii="仿宋" w:hAnsi="仿宋" w:eastAsia="仿宋"/>
          <w:b/>
          <w:sz w:val="28"/>
          <w:szCs w:val="28"/>
        </w:rPr>
      </w:pPr>
    </w:p>
    <w:p w14:paraId="28F76EEA">
      <w:pPr>
        <w:pStyle w:val="61"/>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ascii="仿宋" w:hAnsi="仿宋" w:eastAsia="仿宋"/>
          <w:b/>
          <w:color w:val="FF0000"/>
          <w:w w:val="95"/>
          <w:sz w:val="32"/>
          <w:lang w:eastAsia="zh-CN"/>
        </w:rPr>
        <w:sectPr>
          <w:footerReference r:id="rId3" w:type="default"/>
          <w:type w:val="continuous"/>
          <w:pgSz w:w="11910" w:h="16840"/>
          <w:pgMar w:top="1600" w:right="121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val="en-US" w:eastAsia="zh-CN"/>
        </w:rPr>
        <w:t xml:space="preserve">   2025</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11</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2"/>
        <w:rPr>
          <w:rFonts w:ascii="仿宋" w:hAnsi="仿宋" w:eastAsia="仿宋"/>
          <w:sz w:val="20"/>
          <w:lang w:eastAsia="zh-CN"/>
        </w:rPr>
      </w:pPr>
    </w:p>
    <w:p w14:paraId="2F106746">
      <w:pPr>
        <w:pStyle w:val="22"/>
        <w:rPr>
          <w:rFonts w:ascii="仿宋" w:hAnsi="仿宋" w:eastAsia="仿宋"/>
          <w:sz w:val="20"/>
          <w:lang w:eastAsia="zh-CN"/>
        </w:rPr>
      </w:pPr>
    </w:p>
    <w:p w14:paraId="2356BFA5">
      <w:pPr>
        <w:pStyle w:val="22"/>
        <w:spacing w:before="9"/>
        <w:rPr>
          <w:rFonts w:ascii="仿宋" w:hAnsi="仿宋" w:eastAsia="仿宋"/>
          <w:lang w:eastAsia="zh-CN"/>
        </w:rPr>
      </w:pPr>
    </w:p>
    <w:p w14:paraId="5202D942">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ascii="仿宋" w:hAnsi="仿宋" w:eastAsia="仿宋"/>
          <w:sz w:val="24"/>
          <w:szCs w:val="24"/>
          <w:lang w:eastAsia="zh-CN"/>
        </w:rPr>
      </w:pPr>
    </w:p>
    <w:p w14:paraId="09FB5C11">
      <w:pPr>
        <w:tabs>
          <w:tab w:val="left" w:pos="709"/>
        </w:tabs>
        <w:spacing w:line="360" w:lineRule="auto"/>
        <w:ind w:firstLine="480" w:firstLineChars="200"/>
        <w:rPr>
          <w:rFonts w:ascii="仿宋" w:hAnsi="仿宋" w:eastAsia="仿宋"/>
          <w:sz w:val="24"/>
          <w:szCs w:val="24"/>
          <w:lang w:eastAsia="zh-CN"/>
        </w:rPr>
      </w:pPr>
    </w:p>
    <w:p w14:paraId="0B07B865">
      <w:pPr>
        <w:tabs>
          <w:tab w:val="left" w:pos="709"/>
        </w:tabs>
        <w:spacing w:line="360" w:lineRule="auto"/>
        <w:ind w:firstLine="480" w:firstLineChars="200"/>
        <w:rPr>
          <w:rFonts w:ascii="仿宋" w:hAnsi="仿宋" w:eastAsia="仿宋"/>
          <w:sz w:val="24"/>
          <w:szCs w:val="24"/>
          <w:lang w:eastAsia="zh-CN"/>
        </w:rPr>
      </w:pPr>
    </w:p>
    <w:p w14:paraId="4239A15B">
      <w:pPr>
        <w:tabs>
          <w:tab w:val="left" w:pos="709"/>
        </w:tabs>
        <w:spacing w:line="360" w:lineRule="auto"/>
        <w:ind w:firstLine="480" w:firstLineChars="200"/>
        <w:rPr>
          <w:rFonts w:ascii="仿宋" w:hAnsi="仿宋" w:eastAsia="仿宋"/>
          <w:sz w:val="24"/>
          <w:szCs w:val="24"/>
          <w:lang w:eastAsia="zh-CN"/>
        </w:rPr>
      </w:pPr>
    </w:p>
    <w:p w14:paraId="37EFEF69">
      <w:pPr>
        <w:tabs>
          <w:tab w:val="left" w:pos="709"/>
        </w:tabs>
        <w:spacing w:line="360" w:lineRule="auto"/>
        <w:ind w:firstLine="480" w:firstLineChars="200"/>
        <w:rPr>
          <w:rFonts w:ascii="仿宋" w:hAnsi="仿宋" w:eastAsia="仿宋"/>
          <w:sz w:val="24"/>
          <w:szCs w:val="24"/>
          <w:lang w:eastAsia="zh-CN"/>
        </w:rPr>
      </w:pPr>
    </w:p>
    <w:p w14:paraId="0AC05056">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7"/>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61"/>
        <w:jc w:val="left"/>
        <w:rPr>
          <w:rFonts w:ascii="仿宋" w:hAnsi="仿宋" w:eastAsia="仿宋"/>
        </w:rPr>
      </w:pPr>
    </w:p>
    <w:p w14:paraId="12A4B0FE">
      <w:pPr>
        <w:pStyle w:val="2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福建福海创石油化工有限公司就“</w:t>
      </w:r>
      <w:r>
        <w:rPr>
          <w:rFonts w:hint="eastAsia" w:ascii="宋体" w:hAnsi="宋体" w:eastAsia="宋体" w:cs="宋体"/>
          <w:color w:val="auto"/>
          <w:sz w:val="24"/>
          <w:szCs w:val="24"/>
          <w:highlight w:val="none"/>
          <w:u w:val="single"/>
          <w:lang w:eastAsia="zh-CN"/>
        </w:rPr>
        <w:t>海水冷却系统取水工程</w:t>
      </w:r>
      <w:r>
        <w:rPr>
          <w:rFonts w:hint="eastAsia" w:cs="宋体"/>
          <w:color w:val="auto"/>
          <w:sz w:val="24"/>
          <w:szCs w:val="24"/>
          <w:highlight w:val="none"/>
          <w:u w:val="single"/>
          <w:lang w:val="en-US" w:eastAsia="zh-CN"/>
        </w:rPr>
        <w:t>2025年度</w:t>
      </w:r>
      <w:r>
        <w:rPr>
          <w:rFonts w:hint="eastAsia" w:ascii="宋体" w:hAnsi="宋体" w:eastAsia="宋体" w:cs="宋体"/>
          <w:color w:val="auto"/>
          <w:sz w:val="24"/>
          <w:szCs w:val="24"/>
          <w:highlight w:val="none"/>
          <w:u w:val="single"/>
          <w:lang w:eastAsia="zh-CN"/>
        </w:rPr>
        <w:t>生态补偿增殖放流项目（项目编号：PB251110000032）</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38B129AD">
      <w:pPr>
        <w:spacing w:line="400" w:lineRule="exact"/>
        <w:rPr>
          <w:b/>
          <w:bCs/>
          <w:color w:val="auto"/>
          <w:sz w:val="24"/>
          <w:szCs w:val="24"/>
          <w:highlight w:val="none"/>
          <w:lang w:eastAsia="zh-CN"/>
        </w:rPr>
      </w:pPr>
      <w:r>
        <w:rPr>
          <w:rFonts w:hint="eastAsia"/>
          <w:b/>
          <w:bCs/>
          <w:color w:val="auto"/>
          <w:sz w:val="24"/>
          <w:szCs w:val="24"/>
          <w:highlight w:val="none"/>
          <w:lang w:eastAsia="zh-CN"/>
        </w:rPr>
        <w:t>一、主要内容：</w:t>
      </w:r>
    </w:p>
    <w:p w14:paraId="4A185E24">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1. 项目名称：</w:t>
      </w:r>
      <w:r>
        <w:rPr>
          <w:rFonts w:hint="eastAsia" w:ascii="宋体" w:hAnsi="宋体" w:eastAsia="宋体" w:cs="宋体"/>
          <w:color w:val="auto"/>
          <w:sz w:val="24"/>
          <w:szCs w:val="24"/>
          <w:highlight w:val="none"/>
          <w:u w:val="single"/>
          <w:lang w:eastAsia="zh-CN"/>
        </w:rPr>
        <w:t>海水冷却系统取水工程</w:t>
      </w:r>
      <w:r>
        <w:rPr>
          <w:rFonts w:hint="eastAsia" w:cs="宋体"/>
          <w:color w:val="auto"/>
          <w:sz w:val="24"/>
          <w:szCs w:val="24"/>
          <w:highlight w:val="none"/>
          <w:u w:val="single"/>
          <w:lang w:val="en-US" w:eastAsia="zh-CN"/>
        </w:rPr>
        <w:t>2025年度</w:t>
      </w:r>
      <w:r>
        <w:rPr>
          <w:rFonts w:hint="eastAsia" w:ascii="宋体" w:hAnsi="宋体" w:eastAsia="宋体" w:cs="宋体"/>
          <w:color w:val="auto"/>
          <w:sz w:val="24"/>
          <w:szCs w:val="24"/>
          <w:highlight w:val="none"/>
          <w:u w:val="single"/>
          <w:lang w:eastAsia="zh-CN"/>
        </w:rPr>
        <w:t>生态补偿增殖放流项目</w:t>
      </w:r>
    </w:p>
    <w:p w14:paraId="3E343D52">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2. 增殖放流地点：浮头湾海域（含杏仔码头）</w:t>
      </w:r>
    </w:p>
    <w:p w14:paraId="20E9DE8C">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w:t>
      </w:r>
      <w:r>
        <w:rPr>
          <w:rFonts w:hint="eastAsia"/>
          <w:sz w:val="24"/>
          <w:szCs w:val="24"/>
          <w:lang w:eastAsia="zh-CN"/>
        </w:rPr>
        <w:t>增殖放流时间：2025年12月下旬。</w:t>
      </w:r>
    </w:p>
    <w:p w14:paraId="79AA4E68">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asciiTheme="majorEastAsia" w:hAnsiTheme="majorEastAsia" w:eastAsiaTheme="majorEastAsia"/>
          <w:bCs/>
          <w:color w:val="auto"/>
          <w:sz w:val="24"/>
          <w:szCs w:val="24"/>
          <w:highlight w:val="none"/>
          <w:lang w:val="en-US" w:eastAsia="zh-CN"/>
        </w:rPr>
      </w:pPr>
      <w:r>
        <w:rPr>
          <w:rFonts w:hint="eastAsia" w:asciiTheme="majorEastAsia" w:hAnsiTheme="majorEastAsia" w:eastAsiaTheme="majorEastAsia"/>
          <w:bCs/>
          <w:color w:val="auto"/>
          <w:sz w:val="24"/>
          <w:szCs w:val="24"/>
          <w:highlight w:val="none"/>
          <w:lang w:val="en-US" w:eastAsia="zh-CN"/>
        </w:rPr>
        <w:t>4.</w:t>
      </w:r>
      <w:r>
        <w:rPr>
          <w:sz w:val="24"/>
          <w:szCs w:val="24"/>
          <w:lang w:eastAsia="zh-CN"/>
        </w:rPr>
        <w:t>固定</w:t>
      </w:r>
      <w:r>
        <w:rPr>
          <w:rFonts w:hint="eastAsia"/>
          <w:sz w:val="24"/>
          <w:szCs w:val="24"/>
          <w:lang w:eastAsia="zh-CN"/>
        </w:rPr>
        <w:t>实施金额：</w:t>
      </w:r>
      <w:r>
        <w:rPr>
          <w:rFonts w:hint="eastAsia"/>
          <w:sz w:val="24"/>
          <w:szCs w:val="24"/>
          <w:lang w:val="en-US" w:eastAsia="zh-CN"/>
        </w:rPr>
        <w:t>人民币</w:t>
      </w:r>
      <w:r>
        <w:rPr>
          <w:rFonts w:hint="eastAsia" w:asciiTheme="majorEastAsia" w:hAnsiTheme="majorEastAsia" w:eastAsiaTheme="majorEastAsia"/>
          <w:bCs/>
          <w:color w:val="auto"/>
          <w:sz w:val="24"/>
          <w:szCs w:val="24"/>
          <w:highlight w:val="none"/>
          <w:lang w:eastAsia="zh-CN"/>
        </w:rPr>
        <w:t>194.9万元（</w:t>
      </w:r>
      <w:r>
        <w:rPr>
          <w:rFonts w:hint="eastAsia" w:asciiTheme="majorEastAsia" w:hAnsiTheme="majorEastAsia" w:eastAsiaTheme="majorEastAsia"/>
          <w:bCs/>
          <w:color w:val="auto"/>
          <w:sz w:val="24"/>
          <w:szCs w:val="24"/>
          <w:highlight w:val="none"/>
          <w:lang w:val="en-US" w:eastAsia="zh-CN"/>
        </w:rPr>
        <w:t>含税）</w:t>
      </w:r>
    </w:p>
    <w:p w14:paraId="1BEB05F3">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sz w:val="24"/>
          <w:szCs w:val="24"/>
          <w:lang w:val="en-US" w:eastAsia="zh-CN"/>
        </w:rPr>
      </w:pPr>
      <w:r>
        <w:rPr>
          <w:rFonts w:hint="eastAsia" w:asciiTheme="majorEastAsia" w:hAnsiTheme="majorEastAsia" w:eastAsiaTheme="majorEastAsia"/>
          <w:bCs/>
          <w:color w:val="auto"/>
          <w:sz w:val="24"/>
          <w:szCs w:val="24"/>
          <w:highlight w:val="none"/>
          <w:lang w:val="en-US" w:eastAsia="zh-CN"/>
        </w:rPr>
        <w:t>5.</w:t>
      </w:r>
      <w:r>
        <w:rPr>
          <w:rFonts w:hint="eastAsia"/>
          <w:sz w:val="24"/>
          <w:szCs w:val="24"/>
          <w:lang w:eastAsia="zh-CN"/>
        </w:rPr>
        <w:t>交货方式：放流现场专家验收。</w:t>
      </w:r>
    </w:p>
    <w:p w14:paraId="578B851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val="en-US" w:eastAsia="zh-CN"/>
        </w:rPr>
        <w:t>6</w:t>
      </w:r>
      <w:r>
        <w:rPr>
          <w:rFonts w:hint="eastAsia" w:asciiTheme="majorEastAsia" w:hAnsiTheme="majorEastAsia" w:eastAsiaTheme="majorEastAsia"/>
          <w:bCs/>
          <w:color w:val="auto"/>
          <w:sz w:val="24"/>
          <w:szCs w:val="24"/>
          <w:highlight w:val="none"/>
          <w:lang w:eastAsia="zh-CN"/>
        </w:rPr>
        <w:t>.增殖放流品种、数量及规格：</w:t>
      </w:r>
    </w:p>
    <w:p w14:paraId="6968F16C">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240" w:firstLineChars="100"/>
        <w:textAlignment w:val="auto"/>
        <w:rPr>
          <w:color w:val="auto"/>
          <w:highlight w:val="none"/>
          <w:lang w:eastAsia="zh-CN"/>
        </w:rPr>
      </w:pPr>
      <w:r>
        <w:rPr>
          <w:rFonts w:hint="eastAsia" w:asciiTheme="majorEastAsia" w:hAnsiTheme="majorEastAsia" w:eastAsiaTheme="majorEastAsia"/>
          <w:bCs/>
          <w:color w:val="auto"/>
          <w:sz w:val="24"/>
          <w:szCs w:val="24"/>
          <w:highlight w:val="none"/>
          <w:lang w:eastAsia="zh-CN"/>
        </w:rPr>
        <w:t>依古雷港经济开发区管委会农林水局批复的放流品种和投入金额,本案增殖放流项目渔业资源具体采购品种、投入金额、拟采购数量、苗体规格如下：</w:t>
      </w:r>
    </w:p>
    <w:p w14:paraId="675D24F4">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黄鳍鲷：投入金额</w:t>
      </w:r>
      <w:r>
        <w:rPr>
          <w:rFonts w:hint="eastAsia" w:asciiTheme="majorEastAsia" w:hAnsiTheme="majorEastAsia" w:eastAsiaTheme="majorEastAsia"/>
          <w:bCs/>
          <w:color w:val="auto"/>
          <w:sz w:val="24"/>
          <w:szCs w:val="24"/>
          <w:highlight w:val="none"/>
          <w:lang w:val="en-US" w:eastAsia="zh-CN"/>
        </w:rPr>
        <w:t xml:space="preserve"> RMB50</w:t>
      </w:r>
      <w:r>
        <w:rPr>
          <w:rFonts w:hint="eastAsia" w:asciiTheme="majorEastAsia" w:hAnsiTheme="majorEastAsia" w:eastAsiaTheme="majorEastAsia"/>
          <w:bCs/>
          <w:color w:val="auto"/>
          <w:sz w:val="24"/>
          <w:szCs w:val="24"/>
          <w:highlight w:val="none"/>
          <w:lang w:eastAsia="zh-CN"/>
        </w:rPr>
        <w:t>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数量1</w:t>
      </w:r>
      <w:r>
        <w:rPr>
          <w:rFonts w:hint="eastAsia" w:asciiTheme="majorEastAsia" w:hAnsiTheme="majorEastAsia" w:eastAsiaTheme="majorEastAsia"/>
          <w:bCs/>
          <w:color w:val="auto"/>
          <w:sz w:val="24"/>
          <w:szCs w:val="24"/>
          <w:highlight w:val="none"/>
          <w:lang w:val="en-US" w:eastAsia="zh-CN"/>
        </w:rPr>
        <w:t>0</w:t>
      </w:r>
      <w:r>
        <w:rPr>
          <w:rFonts w:hint="eastAsia" w:asciiTheme="majorEastAsia" w:hAnsiTheme="majorEastAsia" w:eastAsiaTheme="majorEastAsia"/>
          <w:bCs/>
          <w:color w:val="auto"/>
          <w:sz w:val="24"/>
          <w:szCs w:val="24"/>
          <w:highlight w:val="none"/>
          <w:lang w:eastAsia="zh-CN"/>
        </w:rPr>
        <w:t>0万尾，仔鱼5厘米及以上。</w:t>
      </w:r>
    </w:p>
    <w:p w14:paraId="5F2B9CCB">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val="en-US" w:eastAsia="zh-CN"/>
        </w:rPr>
        <w:t xml:space="preserve">黑  </w:t>
      </w:r>
      <w:r>
        <w:rPr>
          <w:rFonts w:hint="eastAsia" w:asciiTheme="majorEastAsia" w:hAnsiTheme="majorEastAsia" w:eastAsiaTheme="majorEastAsia"/>
          <w:bCs/>
          <w:color w:val="auto"/>
          <w:sz w:val="24"/>
          <w:szCs w:val="24"/>
          <w:highlight w:val="none"/>
          <w:lang w:eastAsia="zh-CN"/>
        </w:rPr>
        <w:t>鲷：投入金额</w:t>
      </w:r>
      <w:r>
        <w:rPr>
          <w:rFonts w:hint="eastAsia" w:asciiTheme="majorEastAsia" w:hAnsiTheme="majorEastAsia" w:eastAsiaTheme="majorEastAsia"/>
          <w:bCs/>
          <w:color w:val="auto"/>
          <w:sz w:val="24"/>
          <w:szCs w:val="24"/>
          <w:highlight w:val="none"/>
          <w:lang w:val="en-US" w:eastAsia="zh-CN"/>
        </w:rPr>
        <w:t xml:space="preserve"> RMB50</w:t>
      </w:r>
      <w:r>
        <w:rPr>
          <w:rFonts w:hint="eastAsia" w:asciiTheme="majorEastAsia" w:hAnsiTheme="majorEastAsia" w:eastAsiaTheme="majorEastAsia"/>
          <w:bCs/>
          <w:color w:val="auto"/>
          <w:sz w:val="24"/>
          <w:szCs w:val="24"/>
          <w:highlight w:val="none"/>
          <w:lang w:eastAsia="zh-CN"/>
        </w:rPr>
        <w:t>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数量1</w:t>
      </w:r>
      <w:r>
        <w:rPr>
          <w:rFonts w:hint="eastAsia" w:asciiTheme="majorEastAsia" w:hAnsiTheme="majorEastAsia" w:eastAsiaTheme="majorEastAsia"/>
          <w:bCs/>
          <w:color w:val="auto"/>
          <w:sz w:val="24"/>
          <w:szCs w:val="24"/>
          <w:highlight w:val="none"/>
          <w:lang w:val="en-US" w:eastAsia="zh-CN"/>
        </w:rPr>
        <w:t>5</w:t>
      </w:r>
      <w:r>
        <w:rPr>
          <w:rFonts w:hint="eastAsia" w:asciiTheme="majorEastAsia" w:hAnsiTheme="majorEastAsia" w:eastAsiaTheme="majorEastAsia"/>
          <w:bCs/>
          <w:color w:val="auto"/>
          <w:sz w:val="24"/>
          <w:szCs w:val="24"/>
          <w:highlight w:val="none"/>
          <w:lang w:eastAsia="zh-CN"/>
        </w:rPr>
        <w:t>0万尾，仔鱼5厘米及以上。</w:t>
      </w:r>
    </w:p>
    <w:p w14:paraId="7EF46B78">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240" w:firstLineChars="100"/>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（2）大黄鱼：投入金额</w:t>
      </w:r>
      <w:r>
        <w:rPr>
          <w:rFonts w:hint="eastAsia" w:asciiTheme="majorEastAsia" w:hAnsiTheme="majorEastAsia" w:eastAsiaTheme="majorEastAsia"/>
          <w:bCs/>
          <w:color w:val="auto"/>
          <w:sz w:val="24"/>
          <w:szCs w:val="24"/>
          <w:highlight w:val="none"/>
          <w:lang w:val="en-US" w:eastAsia="zh-CN"/>
        </w:rPr>
        <w:t xml:space="preserve"> RMB50</w:t>
      </w:r>
      <w:r>
        <w:rPr>
          <w:rFonts w:hint="eastAsia" w:asciiTheme="majorEastAsia" w:hAnsiTheme="majorEastAsia" w:eastAsiaTheme="majorEastAsia"/>
          <w:bCs/>
          <w:color w:val="auto"/>
          <w:sz w:val="24"/>
          <w:szCs w:val="24"/>
          <w:highlight w:val="none"/>
          <w:lang w:eastAsia="zh-CN"/>
        </w:rPr>
        <w:t>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w:t>
      </w:r>
      <w:r>
        <w:rPr>
          <w:rFonts w:hint="eastAsia" w:asciiTheme="majorEastAsia" w:hAnsiTheme="majorEastAsia" w:eastAsiaTheme="majorEastAsia"/>
          <w:bCs/>
          <w:color w:val="auto"/>
          <w:sz w:val="24"/>
          <w:szCs w:val="24"/>
          <w:highlight w:val="none"/>
          <w:lang w:val="en-US" w:eastAsia="zh-CN"/>
        </w:rPr>
        <w:t>100</w:t>
      </w:r>
      <w:r>
        <w:rPr>
          <w:rFonts w:hint="eastAsia" w:asciiTheme="majorEastAsia" w:hAnsiTheme="majorEastAsia" w:eastAsiaTheme="majorEastAsia"/>
          <w:bCs/>
          <w:color w:val="auto"/>
          <w:sz w:val="24"/>
          <w:szCs w:val="24"/>
          <w:highlight w:val="none"/>
          <w:lang w:eastAsia="zh-CN"/>
        </w:rPr>
        <w:t>万尾，仔鱼5厘米及以上。</w:t>
      </w:r>
    </w:p>
    <w:p w14:paraId="57976E05">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（3）日本对虾：投入金额</w:t>
      </w:r>
      <w:r>
        <w:rPr>
          <w:rFonts w:hint="eastAsia" w:asciiTheme="majorEastAsia" w:hAnsiTheme="majorEastAsia" w:eastAsiaTheme="majorEastAsia"/>
          <w:bCs/>
          <w:color w:val="auto"/>
          <w:sz w:val="24"/>
          <w:szCs w:val="24"/>
          <w:highlight w:val="none"/>
          <w:lang w:val="en-US" w:eastAsia="zh-CN"/>
        </w:rPr>
        <w:t xml:space="preserve"> RMB</w:t>
      </w:r>
      <w:r>
        <w:rPr>
          <w:rFonts w:hint="eastAsia" w:asciiTheme="majorEastAsia" w:hAnsiTheme="majorEastAsia" w:eastAsiaTheme="majorEastAsia"/>
          <w:bCs/>
          <w:color w:val="auto"/>
          <w:sz w:val="24"/>
          <w:szCs w:val="24"/>
          <w:highlight w:val="none"/>
          <w:lang w:eastAsia="zh-CN"/>
        </w:rPr>
        <w:t>44.9万元，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w:t>
      </w:r>
      <w:r>
        <w:rPr>
          <w:rFonts w:hint="eastAsia" w:asciiTheme="majorEastAsia" w:hAnsiTheme="majorEastAsia" w:eastAsiaTheme="majorEastAsia"/>
          <w:bCs/>
          <w:color w:val="auto"/>
          <w:sz w:val="24"/>
          <w:szCs w:val="24"/>
          <w:highlight w:val="none"/>
          <w:lang w:val="en-US" w:eastAsia="zh-CN"/>
        </w:rPr>
        <w:t>1</w:t>
      </w:r>
      <w:r>
        <w:rPr>
          <w:rFonts w:asciiTheme="majorEastAsia" w:hAnsiTheme="majorEastAsia" w:eastAsiaTheme="majorEastAsia"/>
          <w:bCs/>
          <w:color w:val="auto"/>
          <w:sz w:val="24"/>
          <w:szCs w:val="24"/>
          <w:highlight w:val="none"/>
          <w:lang w:eastAsia="zh-CN"/>
        </w:rPr>
        <w:t>5000</w:t>
      </w:r>
      <w:r>
        <w:rPr>
          <w:rFonts w:hint="eastAsia" w:asciiTheme="majorEastAsia" w:hAnsiTheme="majorEastAsia" w:eastAsiaTheme="majorEastAsia"/>
          <w:bCs/>
          <w:color w:val="auto"/>
          <w:sz w:val="24"/>
          <w:szCs w:val="24"/>
          <w:highlight w:val="none"/>
          <w:lang w:eastAsia="zh-CN"/>
        </w:rPr>
        <w:t>万尾，苗体0.8厘米及以上。</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textAlignment w:val="auto"/>
        <w:rPr>
          <w:rFonts w:hint="eastAsia" w:ascii="宋体" w:hAnsi="宋体" w:eastAsia="宋体" w:cs="宋体"/>
          <w:b/>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snapToGrid w:val="0"/>
          <w:color w:val="000000" w:themeColor="text1"/>
          <w:spacing w:val="8"/>
          <w:sz w:val="28"/>
          <w:szCs w:val="28"/>
          <w:lang w:eastAsia="zh-CN"/>
          <w14:textFill>
            <w14:solidFill>
              <w14:schemeClr w14:val="tx1"/>
            </w14:solidFill>
          </w14:textFill>
        </w:rPr>
        <w:t>二、参比人资格要求</w:t>
      </w:r>
    </w:p>
    <w:p w14:paraId="33D2ED5C">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2.1 参</w:t>
      </w:r>
      <w:r>
        <w:rPr>
          <w:rFonts w:hint="eastAsia"/>
          <w:color w:val="auto"/>
          <w:sz w:val="24"/>
          <w:szCs w:val="24"/>
          <w:highlight w:val="none"/>
          <w:lang w:val="en-US" w:eastAsia="zh-CN"/>
        </w:rPr>
        <w:t>比</w:t>
      </w:r>
      <w:r>
        <w:rPr>
          <w:rFonts w:hint="eastAsia"/>
          <w:color w:val="auto"/>
          <w:sz w:val="24"/>
          <w:szCs w:val="24"/>
          <w:highlight w:val="none"/>
          <w:lang w:eastAsia="zh-CN"/>
        </w:rPr>
        <w:t>人应为正式注册的合法组织、机构或公司，且近三年内无相关违约记录和法人代表未被列入失信被执行人。</w:t>
      </w:r>
    </w:p>
    <w:p w14:paraId="12FA17AF">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2.2 参</w:t>
      </w:r>
      <w:r>
        <w:rPr>
          <w:rFonts w:hint="eastAsia"/>
          <w:color w:val="auto"/>
          <w:sz w:val="24"/>
          <w:szCs w:val="24"/>
          <w:highlight w:val="none"/>
          <w:lang w:val="en-US" w:eastAsia="zh-CN"/>
        </w:rPr>
        <w:t>比</w:t>
      </w:r>
      <w:r>
        <w:rPr>
          <w:rFonts w:hint="eastAsia"/>
          <w:color w:val="auto"/>
          <w:sz w:val="24"/>
          <w:szCs w:val="24"/>
          <w:highlight w:val="none"/>
          <w:lang w:eastAsia="zh-CN"/>
        </w:rPr>
        <w:t>人应</w:t>
      </w:r>
      <w:r>
        <w:rPr>
          <w:rFonts w:hint="eastAsia"/>
          <w:color w:val="auto"/>
          <w:sz w:val="24"/>
          <w:szCs w:val="24"/>
          <w:highlight w:val="none"/>
          <w:lang w:val="en-US" w:eastAsia="zh-CN"/>
        </w:rPr>
        <w:t>持有</w:t>
      </w:r>
      <w:r>
        <w:rPr>
          <w:rFonts w:hint="eastAsia"/>
          <w:color w:val="auto"/>
          <w:sz w:val="24"/>
          <w:szCs w:val="24"/>
          <w:highlight w:val="none"/>
          <w:lang w:eastAsia="zh-CN"/>
        </w:rPr>
        <w:t>行政主管部门审批颁发的有效《水产苗种生产许可证》。</w:t>
      </w:r>
    </w:p>
    <w:p w14:paraId="325E5B6A">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3</w:t>
      </w:r>
      <w:r>
        <w:rPr>
          <w:rFonts w:hint="eastAsia"/>
          <w:color w:val="auto"/>
          <w:sz w:val="24"/>
          <w:szCs w:val="24"/>
          <w:highlight w:val="none"/>
          <w:lang w:val="en-US" w:eastAsia="zh-CN"/>
        </w:rPr>
        <w:t xml:space="preserve"> </w:t>
      </w:r>
      <w:r>
        <w:rPr>
          <w:rFonts w:hint="eastAsia"/>
          <w:color w:val="auto"/>
          <w:sz w:val="24"/>
          <w:szCs w:val="24"/>
          <w:highlight w:val="none"/>
          <w:lang w:eastAsia="zh-CN"/>
        </w:rPr>
        <w:t>参</w:t>
      </w:r>
      <w:r>
        <w:rPr>
          <w:rFonts w:hint="eastAsia"/>
          <w:color w:val="auto"/>
          <w:sz w:val="24"/>
          <w:szCs w:val="24"/>
          <w:highlight w:val="none"/>
          <w:lang w:val="en-US" w:eastAsia="zh-CN"/>
        </w:rPr>
        <w:t>比</w:t>
      </w:r>
      <w:r>
        <w:rPr>
          <w:rFonts w:hint="eastAsia"/>
          <w:color w:val="auto"/>
          <w:sz w:val="24"/>
          <w:szCs w:val="24"/>
          <w:highlight w:val="none"/>
          <w:lang w:eastAsia="zh-CN"/>
        </w:rPr>
        <w:t xml:space="preserve">人应提供海水育苗场地使用权属(租赁或自有)证明，生产设施设备（包括尾水治理设备）。 </w:t>
      </w:r>
    </w:p>
    <w:p w14:paraId="6A56804F">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 xml:space="preserve">2.4 </w:t>
      </w:r>
      <w:r>
        <w:rPr>
          <w:rFonts w:hint="eastAsia"/>
          <w:color w:val="auto"/>
          <w:sz w:val="24"/>
          <w:szCs w:val="24"/>
          <w:highlight w:val="none"/>
          <w:lang w:eastAsia="zh-CN"/>
        </w:rPr>
        <w:t>参</w:t>
      </w:r>
      <w:r>
        <w:rPr>
          <w:rFonts w:hint="eastAsia"/>
          <w:color w:val="auto"/>
          <w:sz w:val="24"/>
          <w:szCs w:val="24"/>
          <w:highlight w:val="none"/>
          <w:lang w:val="en-US" w:eastAsia="zh-CN"/>
        </w:rPr>
        <w:t>比</w:t>
      </w:r>
      <w:r>
        <w:rPr>
          <w:rFonts w:hint="eastAsia"/>
          <w:color w:val="auto"/>
          <w:sz w:val="24"/>
          <w:szCs w:val="24"/>
          <w:highlight w:val="none"/>
          <w:lang w:eastAsia="zh-CN"/>
        </w:rPr>
        <w:t xml:space="preserve">人应提供苗种生产亲本来源、生产过程“三项记录”等台账。 </w:t>
      </w:r>
    </w:p>
    <w:p w14:paraId="46800DBA">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5 参选人在近3年内（自本项目发布招标公告之日起向前推算，不含发布当日）至少有承揽过一次（含）以上的福建沿海海洋渔业资源增殖放流项目，（单项合同金额＞100万元）并履约完成验收（由区、县级（含）以上渔业行政主管部门组织）合格。</w:t>
      </w:r>
    </w:p>
    <w:p w14:paraId="49AA0CA2">
      <w:pPr>
        <w:spacing w:line="360" w:lineRule="auto"/>
        <w:ind w:left="439" w:hanging="439" w:hangingChars="183"/>
        <w:rPr>
          <w:rFonts w:asciiTheme="majorEastAsia" w:hAnsiTheme="major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 xml:space="preserve">6 </w:t>
      </w:r>
      <w:r>
        <w:rPr>
          <w:rFonts w:hint="eastAsia"/>
          <w:color w:val="auto"/>
          <w:sz w:val="24"/>
          <w:szCs w:val="24"/>
          <w:highlight w:val="none"/>
          <w:lang w:eastAsia="zh-CN"/>
        </w:rPr>
        <w:t>本项目</w:t>
      </w:r>
      <w:r>
        <w:rPr>
          <w:rFonts w:hint="eastAsia"/>
          <w:b/>
          <w:color w:val="auto"/>
          <w:sz w:val="24"/>
          <w:szCs w:val="24"/>
          <w:highlight w:val="none"/>
          <w:u w:val="single"/>
          <w:lang w:eastAsia="zh-CN"/>
        </w:rPr>
        <w:t>不接受</w:t>
      </w:r>
      <w:r>
        <w:rPr>
          <w:rFonts w:hint="eastAsia"/>
          <w:color w:val="auto"/>
          <w:sz w:val="24"/>
          <w:szCs w:val="24"/>
          <w:highlight w:val="none"/>
          <w:lang w:eastAsia="zh-CN"/>
        </w:rPr>
        <w:t>联合体投标。</w:t>
      </w:r>
    </w:p>
    <w:p w14:paraId="77CAD7A2">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textAlignment w:val="auto"/>
        <w:rPr>
          <w:rFonts w:hint="eastAsia" w:ascii="宋体" w:hAnsi="宋体" w:eastAsia="宋体" w:cs="宋体"/>
          <w:b/>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snapToGrid w:val="0"/>
          <w:color w:val="000000" w:themeColor="text1"/>
          <w:spacing w:val="8"/>
          <w:sz w:val="28"/>
          <w:szCs w:val="28"/>
          <w:lang w:eastAsia="zh-CN"/>
          <w14:textFill>
            <w14:solidFill>
              <w14:schemeClr w14:val="tx1"/>
            </w14:solidFill>
          </w14:textFill>
        </w:rPr>
        <w:t>三、获取采购文件</w:t>
      </w:r>
    </w:p>
    <w:p w14:paraId="2D998669">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凡有意愿参加的单位，请在 http://nhygcg.fjshgx.com/(福建能化阳光采购平台)上免费注册，即可下载电子采购文件；或在</w:t>
      </w:r>
      <w:r>
        <w:rPr>
          <w:rFonts w:hint="eastAsia"/>
          <w:color w:val="000000" w:themeColor="text1"/>
          <w:sz w:val="24"/>
          <w:szCs w:val="24"/>
          <w:lang w:eastAsia="zh-CN"/>
          <w14:textFill>
            <w14:solidFill>
              <w14:schemeClr w14:val="tx1"/>
            </w14:solidFill>
          </w14:textFill>
        </w:rPr>
        <w:fldChar w:fldCharType="begin"/>
      </w:r>
      <w:r>
        <w:rPr>
          <w:rFonts w:hint="eastAsia"/>
          <w:color w:val="000000" w:themeColor="text1"/>
          <w:sz w:val="24"/>
          <w:szCs w:val="24"/>
          <w:lang w:eastAsia="zh-CN"/>
          <w14:textFill>
            <w14:solidFill>
              <w14:schemeClr w14:val="tx1"/>
            </w14:solidFill>
          </w14:textFill>
        </w:rPr>
        <w:instrText xml:space="preserve"> HYPERLINK "http://www.fhcpec.com.cn/" </w:instrText>
      </w:r>
      <w:r>
        <w:rPr>
          <w:rFonts w:hint="eastAsia"/>
          <w:color w:val="000000" w:themeColor="text1"/>
          <w:sz w:val="24"/>
          <w:szCs w:val="24"/>
          <w:lang w:eastAsia="zh-CN"/>
          <w14:textFill>
            <w14:solidFill>
              <w14:schemeClr w14:val="tx1"/>
            </w14:solidFill>
          </w14:textFill>
        </w:rPr>
        <w:fldChar w:fldCharType="separate"/>
      </w:r>
      <w:r>
        <w:rPr>
          <w:rFonts w:hint="eastAsia"/>
          <w:color w:val="000000" w:themeColor="text1"/>
          <w:sz w:val="24"/>
          <w:szCs w:val="24"/>
          <w:lang w:eastAsia="zh-CN"/>
          <w14:textFill>
            <w14:solidFill>
              <w14:schemeClr w14:val="tx1"/>
            </w14:solidFill>
          </w14:textFill>
        </w:rPr>
        <w:t>http://www.fhcpec.com.cn/</w:t>
      </w:r>
      <w:r>
        <w:rPr>
          <w:rFonts w:hint="eastAsia"/>
          <w:color w:val="000000" w:themeColor="text1"/>
          <w:sz w:val="24"/>
          <w:szCs w:val="24"/>
          <w:lang w:eastAsia="zh-CN"/>
          <w14:textFill>
            <w14:solidFill>
              <w14:schemeClr w14:val="tx1"/>
            </w14:solidFill>
          </w14:textFill>
        </w:rPr>
        <w:fldChar w:fldCharType="end"/>
      </w:r>
      <w:r>
        <w:rPr>
          <w:rFonts w:hint="eastAsia"/>
          <w:color w:val="000000" w:themeColor="text1"/>
          <w:sz w:val="24"/>
          <w:szCs w:val="24"/>
          <w:lang w:eastAsia="zh-CN"/>
          <w14:textFill>
            <w14:solidFill>
              <w14:schemeClr w14:val="tx1"/>
            </w14:solidFill>
          </w14:textFill>
        </w:rPr>
        <w:t>自行下载。</w:t>
      </w:r>
    </w:p>
    <w:p w14:paraId="46E7BC6A">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本项目不收取文件下载费用。（特别声明：未进行登记报名的参比人，其递交的参比文件将被拒收。）</w:t>
      </w:r>
    </w:p>
    <w:p w14:paraId="3DBD73BB">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四、报名</w:t>
      </w:r>
      <w:r>
        <w:rPr>
          <w:rFonts w:hint="eastAsia"/>
          <w:color w:val="000000" w:themeColor="text1"/>
          <w:sz w:val="24"/>
          <w:szCs w:val="24"/>
          <w:lang w:val="en-US" w:eastAsia="zh-CN"/>
          <w14:textFill>
            <w14:solidFill>
              <w14:schemeClr w14:val="tx1"/>
            </w14:solidFill>
          </w14:textFill>
        </w:rPr>
        <w:t>时间</w:t>
      </w:r>
      <w:r>
        <w:rPr>
          <w:rFonts w:hint="eastAsia"/>
          <w:color w:val="000000" w:themeColor="text1"/>
          <w:sz w:val="24"/>
          <w:szCs w:val="24"/>
          <w:lang w:eastAsia="zh-CN"/>
          <w14:textFill>
            <w14:solidFill>
              <w14:schemeClr w14:val="tx1"/>
            </w14:solidFill>
          </w14:textFill>
        </w:rPr>
        <w:t>及报</w:t>
      </w:r>
      <w:r>
        <w:rPr>
          <w:rFonts w:hint="eastAsia"/>
          <w:color w:val="000000" w:themeColor="text1"/>
          <w:sz w:val="24"/>
          <w:szCs w:val="24"/>
          <w:lang w:val="en-US" w:eastAsia="zh-CN"/>
          <w14:textFill>
            <w14:solidFill>
              <w14:schemeClr w14:val="tx1"/>
            </w14:solidFill>
          </w14:textFill>
        </w:rPr>
        <w:t>名</w:t>
      </w:r>
      <w:r>
        <w:rPr>
          <w:rFonts w:hint="eastAsia"/>
          <w:color w:val="000000" w:themeColor="text1"/>
          <w:sz w:val="24"/>
          <w:szCs w:val="24"/>
          <w:lang w:eastAsia="zh-CN"/>
          <w14:textFill>
            <w14:solidFill>
              <w14:schemeClr w14:val="tx1"/>
            </w14:solidFill>
          </w14:textFill>
        </w:rPr>
        <w:t>方式</w:t>
      </w:r>
    </w:p>
    <w:p w14:paraId="12C0E926">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报名时间：自公告之日起</w:t>
      </w:r>
      <w:r>
        <w:rPr>
          <w:rFonts w:hint="eastAsia"/>
          <w:color w:val="000000" w:themeColor="text1"/>
          <w:sz w:val="24"/>
          <w:szCs w:val="24"/>
          <w:lang w:val="en-US" w:eastAsia="zh-CN"/>
          <w14:textFill>
            <w14:solidFill>
              <w14:schemeClr w14:val="tx1"/>
            </w14:solidFill>
          </w14:textFill>
        </w:rPr>
        <w:t>7天</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含当日）</w:t>
      </w:r>
      <w:r>
        <w:rPr>
          <w:rFonts w:hint="eastAsia"/>
          <w:color w:val="000000" w:themeColor="text1"/>
          <w:sz w:val="24"/>
          <w:szCs w:val="24"/>
          <w:lang w:eastAsia="zh-CN"/>
          <w14:textFill>
            <w14:solidFill>
              <w14:schemeClr w14:val="tx1"/>
            </w14:solidFill>
          </w14:textFill>
        </w:rPr>
        <w:t>，公</w:t>
      </w:r>
      <w:r>
        <w:rPr>
          <w:rFonts w:hint="eastAsia"/>
          <w:color w:val="000000" w:themeColor="text1"/>
          <w:sz w:val="24"/>
          <w:szCs w:val="24"/>
          <w:lang w:val="en-US" w:eastAsia="zh-CN"/>
          <w14:textFill>
            <w14:solidFill>
              <w14:schemeClr w14:val="tx1"/>
            </w14:solidFill>
          </w14:textFill>
        </w:rPr>
        <w:t>告</w:t>
      </w:r>
      <w:r>
        <w:rPr>
          <w:rFonts w:hint="eastAsia"/>
          <w:color w:val="000000" w:themeColor="text1"/>
          <w:sz w:val="24"/>
          <w:szCs w:val="24"/>
          <w:lang w:eastAsia="zh-CN"/>
          <w14:textFill>
            <w14:solidFill>
              <w14:schemeClr w14:val="tx1"/>
            </w14:solidFill>
          </w14:textFill>
        </w:rPr>
        <w:t>期间请有意向参选人联系采购人进行实地勘察及技术交流澄清。</w:t>
      </w:r>
    </w:p>
    <w:p w14:paraId="75CE3856">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报名方式：参比人在报名时间内将报名文件发送至邮箱huangmq@fjpec.com.cn，报名文件包含：</w:t>
      </w:r>
    </w:p>
    <w:p w14:paraId="74565831">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（1）法定代表人授权委托书（扫描件，格式详见“附件：法定代表人授权委托书”）；</w:t>
      </w:r>
    </w:p>
    <w:p w14:paraId="2F824D3B">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（2）营业执照（加盖单位公章的扫描件）；</w:t>
      </w:r>
    </w:p>
    <w:p w14:paraId="34D9ACF9">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（3）水产苗种生产许可证（加盖单位公章的扫描件）。</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000000" w:themeColor="text1"/>
          <w:spacing w:val="8"/>
          <w:sz w:val="24"/>
          <w:szCs w:val="24"/>
          <w:highlight w:val="none"/>
          <w14:textFill>
            <w14:solidFill>
              <w14:schemeClr w14:val="tx1"/>
            </w14:solidFill>
          </w14:textFill>
        </w:rPr>
      </w:pPr>
      <w:r>
        <w:rPr>
          <w:rFonts w:hint="eastAsia" w:ascii="宋体" w:hAnsi="宋体" w:eastAsia="宋体" w:cs="宋体"/>
          <w:b/>
          <w:snapToGrid w:val="0"/>
          <w:color w:val="000000" w:themeColor="text1"/>
          <w:spacing w:val="8"/>
          <w:sz w:val="24"/>
          <w:szCs w:val="24"/>
          <w:highlight w:val="none"/>
          <w14:textFill>
            <w14:solidFill>
              <w14:schemeClr w14:val="tx1"/>
            </w14:solidFill>
          </w14:textFill>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参比文件递交地点：漳州市漳浦县杜浔镇杜昌路9号，福海创办公楼三楼综合采购团队，黄梅钦0596-6311073。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参比文件递交截止时间（以送达时间为准）：自公告之日</w:t>
      </w:r>
      <w:r>
        <w:rPr>
          <w:rFonts w:hint="eastAsia" w:ascii="宋体" w:hAnsi="宋体" w:eastAsia="宋体" w:cs="宋体"/>
          <w:color w:val="000000" w:themeColor="text1"/>
          <w:sz w:val="24"/>
          <w:szCs w:val="24"/>
          <w:lang w:eastAsia="zh-CN"/>
          <w14:textFill>
            <w14:solidFill>
              <w14:schemeClr w14:val="tx1"/>
            </w14:solidFill>
          </w14:textFill>
        </w:rPr>
        <w:t>起</w:t>
      </w:r>
      <w:r>
        <w:rPr>
          <w:rFonts w:hint="eastAsia" w:cs="宋体"/>
          <w:color w:val="000000" w:themeColor="text1"/>
          <w:sz w:val="24"/>
          <w:szCs w:val="24"/>
          <w:lang w:val="en-US" w:eastAsia="zh-CN"/>
          <w14:textFill>
            <w14:solidFill>
              <w14:schemeClr w14:val="tx1"/>
            </w14:solidFill>
          </w14:textFill>
        </w:rPr>
        <w:t>7天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含当日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lang w:eastAsia="zh-CN"/>
          <w14:textFill>
            <w14:solidFill>
              <w14:schemeClr w14:val="tx1"/>
            </w14:solidFill>
          </w14:textFill>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六、发布公告的媒介：</w:t>
      </w:r>
      <w:r>
        <w:rPr>
          <w:rStyle w:val="59"/>
          <w:rFonts w:hint="eastAsia" w:ascii="宋体" w:hAnsi="宋体" w:eastAsia="宋体" w:cs="宋体"/>
          <w:sz w:val="24"/>
          <w:szCs w:val="24"/>
          <w:highlight w:val="none"/>
        </w:rPr>
        <w:t>http://nhygcg.fjshgx.com/</w:t>
      </w:r>
      <w:r>
        <w:rPr>
          <w:rFonts w:hint="eastAsia" w:ascii="宋体" w:hAnsi="宋体" w:eastAsia="宋体" w:cs="宋体"/>
          <w:sz w:val="24"/>
          <w:szCs w:val="24"/>
          <w:highlight w:val="none"/>
        </w:rPr>
        <w:t>(福建能化阳光采购平台)和</w:t>
      </w:r>
      <w:r>
        <w:rPr>
          <w:rStyle w:val="59"/>
          <w:rFonts w:hint="eastAsia" w:ascii="宋体" w:hAnsi="宋体" w:eastAsia="宋体" w:cs="宋体"/>
          <w:sz w:val="24"/>
          <w:szCs w:val="24"/>
          <w:highlight w:val="none"/>
        </w:rPr>
        <w:t xml:space="preserve">http://www.fhcpec.com.cn/ </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"http://www.fhcpec.com.cn/" </w:instrText>
      </w:r>
      <w:r>
        <w:rPr>
          <w:rFonts w:hint="eastAsia" w:ascii="宋体" w:hAnsi="宋体" w:eastAsia="宋体" w:cs="宋体"/>
          <w:sz w:val="24"/>
          <w:szCs w:val="24"/>
          <w:highlight w:val="none"/>
        </w:rPr>
        <w:fldChar w:fldCharType="separate"/>
      </w:r>
      <w:r>
        <w:rPr>
          <w:rStyle w:val="59"/>
          <w:rFonts w:hint="eastAsia" w:ascii="宋体" w:hAnsi="宋体" w:eastAsia="宋体" w:cs="宋体"/>
          <w:sz w:val="24"/>
          <w:szCs w:val="24"/>
          <w:highlight w:val="none"/>
        </w:rPr>
        <w:t>福建福海创石油化工有限公司</w:t>
      </w:r>
      <w:r>
        <w:rPr>
          <w:rStyle w:val="59"/>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9C6B82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lang w:eastAsia="zh-CN"/>
          <w14:textFill>
            <w14:solidFill>
              <w14:schemeClr w14:val="tx1"/>
            </w14:solidFill>
          </w14:textFill>
        </w:rPr>
        <w:t>、本项目采用</w:t>
      </w:r>
      <w:r>
        <w:rPr>
          <w:rFonts w:hint="eastAsia" w:cs="宋体"/>
          <w:color w:val="000000" w:themeColor="text1"/>
          <w:sz w:val="24"/>
          <w:szCs w:val="24"/>
          <w:lang w:val="en-US" w:eastAsia="zh-CN"/>
          <w14:textFill>
            <w14:solidFill>
              <w14:schemeClr w14:val="tx1"/>
            </w14:solidFill>
          </w14:textFill>
        </w:rPr>
        <w:t>综合评分</w:t>
      </w:r>
      <w:r>
        <w:rPr>
          <w:rFonts w:hint="eastAsia" w:ascii="宋体" w:hAnsi="宋体" w:eastAsia="宋体" w:cs="宋体"/>
          <w:color w:val="000000" w:themeColor="text1"/>
          <w:sz w:val="24"/>
          <w:szCs w:val="24"/>
          <w:lang w:eastAsia="zh-CN"/>
          <w14:textFill>
            <w14:solidFill>
              <w14:schemeClr w14:val="tx1"/>
            </w14:solidFill>
          </w14:textFill>
        </w:rPr>
        <w:t>法，将仅对通过资格审查、符合性检查和响应性确定的参比文件，进行下一程序的评价与比较。</w:t>
      </w:r>
    </w:p>
    <w:p w14:paraId="1B2E6C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评审委员会将对通过资格及符合性检查和响应性确定的各合格参比人进行综合分析、比较，在全部满足采购文件实质性要求前提下，经评审的有效参比人按</w:t>
      </w:r>
      <w:r>
        <w:rPr>
          <w:rFonts w:hint="eastAsia" w:ascii="宋体" w:hAnsi="宋体" w:eastAsia="宋体" w:cs="宋体"/>
          <w:color w:val="000000" w:themeColor="text1"/>
          <w:sz w:val="24"/>
          <w:szCs w:val="24"/>
          <w:lang w:val="en-US" w:eastAsia="zh-CN"/>
          <w14:textFill>
            <w14:solidFill>
              <w14:schemeClr w14:val="tx1"/>
            </w14:solidFill>
          </w14:textFill>
        </w:rPr>
        <w:t>综合得分</w:t>
      </w:r>
      <w:r>
        <w:rPr>
          <w:rFonts w:hint="eastAsia" w:ascii="宋体" w:hAnsi="宋体" w:eastAsia="宋体" w:cs="宋体"/>
          <w:color w:val="000000" w:themeColor="text1"/>
          <w:sz w:val="24"/>
          <w:szCs w:val="24"/>
          <w:lang w:eastAsia="zh-CN"/>
          <w14:textFill>
            <w14:solidFill>
              <w14:schemeClr w14:val="tx1"/>
            </w14:solidFill>
          </w14:textFill>
        </w:rPr>
        <w:t>从</w:t>
      </w:r>
      <w:r>
        <w:rPr>
          <w:rFonts w:hint="eastAsia" w:ascii="宋体" w:hAnsi="宋体" w:eastAsia="宋体" w:cs="宋体"/>
          <w:color w:val="000000" w:themeColor="text1"/>
          <w:sz w:val="24"/>
          <w:szCs w:val="24"/>
          <w:lang w:val="en-US" w:eastAsia="zh-CN"/>
          <w14:textFill>
            <w14:solidFill>
              <w14:schemeClr w14:val="tx1"/>
            </w14:solidFill>
          </w14:textFill>
        </w:rPr>
        <w:t>高</w:t>
      </w:r>
      <w:r>
        <w:rPr>
          <w:rFonts w:hint="eastAsia" w:ascii="宋体" w:hAnsi="宋体" w:eastAsia="宋体" w:cs="宋体"/>
          <w:color w:val="000000" w:themeColor="text1"/>
          <w:sz w:val="24"/>
          <w:szCs w:val="24"/>
          <w:lang w:eastAsia="zh-CN"/>
          <w14:textFill>
            <w14:solidFill>
              <w14:schemeClr w14:val="tx1"/>
            </w14:solidFill>
          </w14:textFill>
        </w:rPr>
        <w:t>到</w:t>
      </w:r>
      <w:r>
        <w:rPr>
          <w:rFonts w:hint="eastAsia" w:ascii="宋体" w:hAnsi="宋体" w:eastAsia="宋体" w:cs="宋体"/>
          <w:color w:val="000000" w:themeColor="text1"/>
          <w:sz w:val="24"/>
          <w:szCs w:val="24"/>
          <w:lang w:val="en-US" w:eastAsia="zh-CN"/>
          <w14:textFill>
            <w14:solidFill>
              <w14:schemeClr w14:val="tx1"/>
            </w14:solidFill>
          </w14:textFill>
        </w:rPr>
        <w:t>低</w:t>
      </w:r>
      <w:r>
        <w:rPr>
          <w:rFonts w:hint="eastAsia" w:ascii="宋体" w:hAnsi="宋体" w:eastAsia="宋体" w:cs="宋体"/>
          <w:color w:val="000000" w:themeColor="text1"/>
          <w:sz w:val="24"/>
          <w:szCs w:val="24"/>
          <w:lang w:eastAsia="zh-CN"/>
          <w14:textFill>
            <w14:solidFill>
              <w14:schemeClr w14:val="tx1"/>
            </w14:solidFill>
          </w14:textFill>
        </w:rPr>
        <w:t>进行排序，推荐</w:t>
      </w:r>
      <w:r>
        <w:rPr>
          <w:rFonts w:hint="eastAsia" w:cs="宋体"/>
          <w:color w:val="000000" w:themeColor="text1"/>
          <w:sz w:val="24"/>
          <w:szCs w:val="24"/>
          <w:lang w:val="en-US" w:eastAsia="zh-CN"/>
          <w14:textFill>
            <w14:solidFill>
              <w14:schemeClr w14:val="tx1"/>
            </w14:solidFill>
          </w14:textFill>
        </w:rPr>
        <w:t>综合得分</w:t>
      </w:r>
      <w:r>
        <w:rPr>
          <w:rFonts w:hint="eastAsia" w:ascii="宋体" w:hAnsi="宋体" w:eastAsia="宋体" w:cs="宋体"/>
          <w:color w:val="000000" w:themeColor="text1"/>
          <w:sz w:val="24"/>
          <w:szCs w:val="24"/>
          <w:lang w:val="en-US" w:eastAsia="zh-CN"/>
          <w14:textFill>
            <w14:solidFill>
              <w14:schemeClr w14:val="tx1"/>
            </w14:solidFill>
          </w14:textFill>
        </w:rPr>
        <w:t>最高者为</w:t>
      </w:r>
      <w:r>
        <w:rPr>
          <w:rFonts w:hint="eastAsia" w:cs="宋体"/>
          <w:color w:val="000000" w:themeColor="text1"/>
          <w:sz w:val="24"/>
          <w:szCs w:val="24"/>
          <w:lang w:val="en-US" w:eastAsia="zh-CN"/>
          <w14:textFill>
            <w14:solidFill>
              <w14:schemeClr w14:val="tx1"/>
            </w14:solidFill>
          </w14:textFill>
        </w:rPr>
        <w:t>第一</w:t>
      </w:r>
      <w:r>
        <w:rPr>
          <w:rFonts w:hint="eastAsia" w:ascii="宋体" w:hAnsi="宋体" w:eastAsia="宋体" w:cs="宋体"/>
          <w:color w:val="000000" w:themeColor="text1"/>
          <w:sz w:val="24"/>
          <w:szCs w:val="24"/>
          <w:lang w:eastAsia="zh-CN"/>
          <w14:textFill>
            <w14:solidFill>
              <w14:schemeClr w14:val="tx1"/>
            </w14:solidFill>
          </w14:textFill>
        </w:rPr>
        <w:t>中选候选人。</w:t>
      </w:r>
    </w:p>
    <w:p w14:paraId="2379CD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red"/>
          <w:lang w:val="en-US" w:eastAsia="zh-CN"/>
          <w14:textFill>
            <w14:solidFill>
              <w14:schemeClr w14:val="tx1"/>
            </w14:solidFill>
          </w14:textFill>
        </w:rPr>
      </w:pPr>
    </w:p>
    <w:p w14:paraId="188C1FF8">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cs="宋体"/>
          <w:sz w:val="24"/>
          <w:szCs w:val="24"/>
          <w:lang w:val="en-US" w:eastAsia="zh-CN"/>
        </w:rPr>
        <w:t>八</w:t>
      </w:r>
      <w:r>
        <w:rPr>
          <w:rFonts w:hint="eastAsia" w:ascii="宋体" w:hAnsi="宋体" w:eastAsia="宋体" w:cs="宋体"/>
          <w:sz w:val="24"/>
          <w:szCs w:val="24"/>
          <w:lang w:eastAsia="zh-CN"/>
        </w:rPr>
        <w:t>.本</w:t>
      </w:r>
      <w:r>
        <w:rPr>
          <w:rFonts w:hint="eastAsia" w:ascii="宋体" w:hAnsi="宋体" w:eastAsia="宋体" w:cs="宋体"/>
          <w:color w:val="000000"/>
          <w:sz w:val="24"/>
          <w:szCs w:val="24"/>
          <w:lang w:eastAsia="zh-CN"/>
        </w:rPr>
        <w:t>项目采用</w:t>
      </w:r>
      <w:r>
        <w:rPr>
          <w:rFonts w:hint="eastAsia" w:ascii="宋体" w:hAnsi="宋体" w:eastAsia="宋体" w:cs="宋体"/>
          <w:color w:val="000000"/>
          <w:sz w:val="24"/>
          <w:szCs w:val="24"/>
          <w:highlight w:val="none"/>
          <w:lang w:eastAsia="zh-CN"/>
        </w:rPr>
        <w:t>资格后审方式对参比人进行资</w:t>
      </w:r>
      <w:r>
        <w:rPr>
          <w:rFonts w:hint="eastAsia" w:ascii="宋体" w:hAnsi="宋体" w:eastAsia="宋体" w:cs="宋体"/>
          <w:color w:val="000000"/>
          <w:sz w:val="24"/>
          <w:szCs w:val="24"/>
          <w:lang w:eastAsia="zh-CN"/>
        </w:rPr>
        <w:t>格审查。</w:t>
      </w:r>
    </w:p>
    <w:p w14:paraId="319D813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cs="宋体"/>
          <w:b/>
          <w:sz w:val="24"/>
          <w:szCs w:val="24"/>
          <w:highlight w:val="none"/>
          <w:lang w:val="en-US" w:eastAsia="zh-CN"/>
        </w:rPr>
        <w:t>九</w:t>
      </w:r>
      <w:r>
        <w:rPr>
          <w:rFonts w:hint="eastAsia" w:ascii="宋体" w:hAnsi="宋体" w:eastAsia="宋体" w:cs="宋体"/>
          <w:b/>
          <w:sz w:val="24"/>
          <w:szCs w:val="24"/>
          <w:highlight w:val="none"/>
        </w:rPr>
        <w:t>、参比保证金：</w:t>
      </w:r>
    </w:p>
    <w:p w14:paraId="277ABDCC">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1.参比人应缴纳参比保证金，保证金</w:t>
      </w:r>
      <w:r>
        <w:rPr>
          <w:rFonts w:hint="eastAsia" w:ascii="宋体" w:hAnsi="宋体" w:eastAsia="宋体" w:cs="宋体"/>
          <w:color w:val="000000" w:themeColor="text1"/>
          <w:sz w:val="24"/>
          <w:szCs w:val="24"/>
          <w:lang w:eastAsia="zh-CN"/>
          <w14:textFill>
            <w14:solidFill>
              <w14:schemeClr w14:val="tx1"/>
            </w14:solidFill>
          </w14:textFill>
        </w:rPr>
        <w:t>金额</w:t>
      </w:r>
      <w:r>
        <w:rPr>
          <w:rFonts w:hint="eastAsia" w:cs="宋体"/>
          <w:color w:val="000000" w:themeColor="text1"/>
          <w:sz w:val="24"/>
          <w:szCs w:val="24"/>
          <w:highlight w:val="none"/>
          <w:lang w:val="en-US" w:eastAsia="zh-CN"/>
          <w14:textFill>
            <w14:solidFill>
              <w14:schemeClr w14:val="tx1"/>
            </w14:solidFill>
          </w14:textFill>
        </w:rPr>
        <w:t>38000</w:t>
      </w:r>
      <w:r>
        <w:rPr>
          <w:rFonts w:hint="eastAsia" w:ascii="宋体" w:hAnsi="宋体" w:eastAsia="宋体" w:cs="宋体"/>
          <w:color w:val="000000" w:themeColor="text1"/>
          <w:sz w:val="24"/>
          <w:szCs w:val="24"/>
          <w:lang w:eastAsia="zh-CN"/>
          <w14:textFill>
            <w14:solidFill>
              <w14:schemeClr w14:val="tx1"/>
            </w14:solidFill>
          </w14:textFill>
        </w:rPr>
        <w:t>元整</w:t>
      </w:r>
      <w:r>
        <w:rPr>
          <w:rFonts w:hint="eastAsia" w:ascii="宋体" w:hAnsi="宋体" w:eastAsia="宋体" w:cs="宋体"/>
          <w:sz w:val="24"/>
          <w:szCs w:val="24"/>
          <w:lang w:eastAsia="zh-CN"/>
        </w:rPr>
        <w:t>，参比人应以电汇或银行转账的形式在递交截止时间前从参比人基本</w:t>
      </w:r>
      <w:r>
        <w:rPr>
          <w:rFonts w:hint="eastAsia" w:ascii="宋体" w:hAnsi="宋体" w:eastAsia="宋体" w:cs="宋体"/>
          <w:color w:val="000000" w:themeColor="text1"/>
          <w:sz w:val="24"/>
          <w:szCs w:val="24"/>
          <w:lang w:eastAsia="zh-CN"/>
          <w14:textFill>
            <w14:solidFill>
              <w14:schemeClr w14:val="tx1"/>
            </w14:solidFill>
          </w14:textFill>
        </w:rPr>
        <w:t>账户转入采购人的账户，采购人账户信息如下：</w:t>
      </w:r>
    </w:p>
    <w:p w14:paraId="083734DC">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 xml:space="preserve">    开户名称：</w:t>
      </w:r>
      <w:r>
        <w:rPr>
          <w:rFonts w:hint="eastAsia" w:ascii="宋体" w:hAnsi="宋体" w:eastAsia="宋体" w:cs="宋体"/>
          <w:sz w:val="24"/>
          <w:szCs w:val="24"/>
          <w:lang w:eastAsia="zh-CN"/>
        </w:rPr>
        <w:t>福建福海创石油化工有限公司</w:t>
      </w:r>
    </w:p>
    <w:p w14:paraId="7BEDB2A7">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开户银行：</w:t>
      </w:r>
      <w:r>
        <w:rPr>
          <w:rFonts w:hint="eastAsia" w:ascii="宋体" w:hAnsi="宋体" w:eastAsia="宋体" w:cs="宋体"/>
          <w:sz w:val="24"/>
          <w:szCs w:val="24"/>
          <w:lang w:eastAsia="zh-CN"/>
        </w:rPr>
        <w:t>中国银行股份有限公司漳州古雷经济开发区支行</w:t>
      </w:r>
    </w:p>
    <w:p w14:paraId="701D2B4B">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    帐  号：</w:t>
      </w:r>
      <w:r>
        <w:rPr>
          <w:rFonts w:hint="eastAsia" w:ascii="宋体" w:hAnsi="宋体" w:eastAsia="宋体" w:cs="宋体"/>
          <w:sz w:val="24"/>
          <w:szCs w:val="24"/>
          <w:lang w:eastAsia="zh-CN"/>
        </w:rPr>
        <w:t>4065 7481 6628</w:t>
      </w:r>
    </w:p>
    <w:p w14:paraId="3E154BDA">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u w:val="single"/>
          <w:lang w:eastAsia="zh-CN"/>
        </w:rPr>
        <w:t>注明用途：</w:t>
      </w:r>
      <w:r>
        <w:rPr>
          <w:rFonts w:hint="eastAsia"/>
          <w:color w:val="000000" w:themeColor="text1"/>
          <w:u w:val="single"/>
          <w:lang w:eastAsia="zh-CN"/>
          <w14:textFill>
            <w14:solidFill>
              <w14:schemeClr w14:val="tx1"/>
            </w14:solidFill>
          </w14:textFill>
        </w:rPr>
        <w:t>生态补偿增殖放流参选</w:t>
      </w:r>
      <w:r>
        <w:rPr>
          <w:color w:val="000000" w:themeColor="text1"/>
          <w:u w:val="single"/>
          <w:lang w:eastAsia="zh-CN"/>
          <w14:textFill>
            <w14:solidFill>
              <w14:schemeClr w14:val="tx1"/>
            </w14:solidFill>
          </w14:textFill>
        </w:rPr>
        <w:t>保证金</w:t>
      </w:r>
    </w:p>
    <w:p w14:paraId="334ED93B">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参比有效期为参比文件接收截止期后 90 个</w:t>
      </w:r>
      <w:r>
        <w:rPr>
          <w:rFonts w:hint="eastAsia" w:ascii="宋体" w:hAnsi="宋体" w:eastAsia="宋体" w:cs="宋体"/>
          <w:sz w:val="24"/>
          <w:szCs w:val="24"/>
          <w:lang w:eastAsia="zh-CN"/>
        </w:rPr>
        <w:t>日历天，参比保证金有效期与参比有效期一致。</w:t>
      </w:r>
    </w:p>
    <w:p w14:paraId="1B5AEAA8">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2.对于未能按要求提交保证金的参比文件，采购人将视为不符合参比要求而予以拒绝；</w:t>
      </w:r>
    </w:p>
    <w:p w14:paraId="6EEC0C8E">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3.询比结束后将原账户无息退还参比选保证金，最迟不超过本项目规定的参比有效期满后的20天。</w:t>
      </w:r>
    </w:p>
    <w:p w14:paraId="7C3062D1">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4.如有下列情况发生，将被没收参比保证金：</w:t>
      </w:r>
    </w:p>
    <w:p w14:paraId="073A0509">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（1）参比人在参比有效期内撤回参比文件；</w:t>
      </w:r>
    </w:p>
    <w:p w14:paraId="774B928F">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（2）参比人未按中选通知书规定的时间内签定合同。</w:t>
      </w:r>
    </w:p>
    <w:p w14:paraId="365CFD09">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default" w:ascii="宋体" w:hAnsi="宋体" w:eastAsia="宋体" w:cs="宋体"/>
          <w:b w:val="0"/>
          <w:bCs w:val="0"/>
          <w:snapToGrid w:val="0"/>
          <w:spacing w:val="8"/>
          <w:sz w:val="24"/>
          <w:szCs w:val="24"/>
          <w:highlight w:val="none"/>
          <w:lang w:val="en-US" w:eastAsia="zh-CN" w:bidi="ar-SA"/>
        </w:rPr>
      </w:pPr>
      <w:r>
        <w:rPr>
          <w:rFonts w:hint="eastAsia" w:ascii="宋体" w:hAnsi="宋体" w:eastAsia="宋体" w:cs="宋体"/>
          <w:b/>
          <w:bCs/>
          <w:snapToGrid w:val="0"/>
          <w:spacing w:val="8"/>
          <w:sz w:val="24"/>
          <w:szCs w:val="24"/>
          <w:highlight w:val="none"/>
          <w:lang w:val="en-US" w:eastAsia="zh-CN" w:bidi="ar-SA"/>
        </w:rPr>
        <w:t>十、</w:t>
      </w:r>
      <w:r>
        <w:rPr>
          <w:rFonts w:hint="eastAsia" w:ascii="宋体" w:hAnsi="宋体" w:eastAsia="宋体" w:cs="宋体"/>
          <w:b/>
          <w:bCs/>
          <w:snapToGrid w:val="0"/>
          <w:spacing w:val="8"/>
          <w:sz w:val="24"/>
          <w:szCs w:val="24"/>
          <w:highlight w:val="none"/>
          <w:lang w:val="en-US" w:eastAsia="en-US" w:bidi="ar-SA"/>
        </w:rPr>
        <w:t>付款方式：</w:t>
      </w:r>
      <w:r>
        <w:rPr>
          <w:rFonts w:hint="eastAsia" w:ascii="宋体" w:hAnsi="宋体" w:eastAsia="宋体" w:cs="宋体"/>
          <w:b w:val="0"/>
          <w:bCs w:val="0"/>
          <w:snapToGrid w:val="0"/>
          <w:spacing w:val="8"/>
          <w:sz w:val="24"/>
          <w:szCs w:val="24"/>
          <w:highlight w:val="none"/>
          <w:lang w:val="en-US" w:eastAsia="en-US" w:bidi="ar-SA"/>
        </w:rPr>
        <w:t>经漳州市海洋渔业主管部门验收合格并取得验收报告后，甲方收到乙方提供的验收报告及全额发票60日内支付相应款项。</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sz w:val="24"/>
          <w:szCs w:val="24"/>
          <w:highlight w:val="none"/>
        </w:rPr>
      </w:pPr>
      <w:r>
        <w:rPr>
          <w:rFonts w:hint="eastAsia" w:cs="宋体"/>
          <w:b/>
          <w:bCs/>
          <w:snapToGrid w:val="0"/>
          <w:spacing w:val="8"/>
          <w:sz w:val="24"/>
          <w:szCs w:val="24"/>
          <w:highlight w:val="none"/>
          <w:lang w:val="en-US" w:eastAsia="zh-CN"/>
        </w:rPr>
        <w:t>十一</w:t>
      </w:r>
      <w:r>
        <w:rPr>
          <w:rFonts w:hint="eastAsia" w:ascii="宋体" w:hAnsi="宋体" w:eastAsia="宋体" w:cs="宋体"/>
          <w:b/>
          <w:bCs/>
          <w:snapToGrid w:val="0"/>
          <w:spacing w:val="8"/>
          <w:sz w:val="24"/>
          <w:szCs w:val="24"/>
          <w:highlight w:val="none"/>
        </w:rPr>
        <w:t>、联系方式</w:t>
      </w:r>
      <w:r>
        <w:rPr>
          <w:rFonts w:hint="eastAsia" w:ascii="宋体" w:hAnsi="宋体" w:eastAsia="宋体" w:cs="宋体"/>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商务联系人：黄梅钦 电话：0596-6311073 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"mailto:huangmq@fjpec.com.cn" </w:instrText>
      </w:r>
      <w:r>
        <w:rPr>
          <w:rFonts w:hint="eastAsia" w:ascii="宋体" w:hAnsi="宋体" w:eastAsia="宋体" w:cs="宋体"/>
          <w:sz w:val="24"/>
          <w:szCs w:val="24"/>
          <w:highlight w:val="none"/>
        </w:rPr>
        <w:fldChar w:fldCharType="separate"/>
      </w:r>
      <w:r>
        <w:rPr>
          <w:rStyle w:val="59"/>
          <w:rFonts w:hint="eastAsia" w:ascii="宋体" w:hAnsi="宋体" w:eastAsia="宋体" w:cs="宋体"/>
          <w:color w:val="auto"/>
          <w:sz w:val="24"/>
          <w:szCs w:val="24"/>
          <w:highlight w:val="none"/>
        </w:rPr>
        <w:t>huangmq@fjpec.com.cn</w:t>
      </w:r>
      <w:r>
        <w:rPr>
          <w:rStyle w:val="59"/>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现场技术联</w:t>
      </w:r>
      <w:r>
        <w:rPr>
          <w:rFonts w:hint="eastAsia" w:ascii="宋体" w:hAnsi="宋体" w:eastAsia="宋体" w:cs="宋体"/>
          <w:color w:val="auto"/>
          <w:sz w:val="24"/>
          <w:szCs w:val="24"/>
          <w:highlight w:val="none"/>
        </w:rPr>
        <w:t>系人：</w:t>
      </w:r>
      <w:r>
        <w:rPr>
          <w:rFonts w:hint="eastAsia" w:ascii="宋体" w:hAnsi="宋体" w:eastAsia="宋体" w:cs="宋体"/>
          <w:sz w:val="24"/>
          <w:szCs w:val="24"/>
          <w:highlight w:val="none"/>
          <w:lang w:val="en-US" w:eastAsia="zh-CN"/>
        </w:rPr>
        <w:t>陈海伟</w:t>
      </w:r>
      <w:r>
        <w:rPr>
          <w:rFonts w:hint="eastAsia" w:cs="宋体"/>
          <w:sz w:val="24"/>
          <w:szCs w:val="24"/>
          <w:highlight w:val="none"/>
          <w:lang w:val="en-US" w:eastAsia="zh-CN"/>
        </w:rPr>
        <w:t xml:space="preserve"> 电话：</w:t>
      </w:r>
      <w:r>
        <w:rPr>
          <w:rFonts w:hint="eastAsia" w:ascii="宋体" w:hAnsi="宋体" w:eastAsia="宋体" w:cs="宋体"/>
          <w:sz w:val="24"/>
          <w:szCs w:val="24"/>
          <w:highlight w:val="none"/>
          <w:lang w:val="en-US" w:eastAsia="zh-CN"/>
        </w:rPr>
        <w:t xml:space="preserve">13616007156 </w:t>
      </w:r>
      <w:r>
        <w:rPr>
          <w:rFonts w:hint="eastAsia" w:ascii="宋体" w:hAnsi="宋体" w:eastAsia="宋体" w:cs="宋体"/>
          <w:sz w:val="24"/>
          <w:szCs w:val="24"/>
          <w:highlight w:val="none"/>
          <w:lang w:eastAsia="zh-CN"/>
        </w:rPr>
        <w:t>邮箱：</w:t>
      </w:r>
      <w:r>
        <w:rPr>
          <w:rFonts w:hint="eastAsia" w:ascii="宋体" w:hAnsi="宋体" w:eastAsia="宋体" w:cs="宋体"/>
          <w:sz w:val="24"/>
          <w:szCs w:val="24"/>
          <w:highlight w:val="none"/>
          <w:lang w:val="en-US" w:eastAsia="zh-CN"/>
        </w:rPr>
        <w:t>hwc</w:t>
      </w:r>
      <w:r>
        <w:rPr>
          <w:rFonts w:hint="eastAsia" w:ascii="宋体" w:hAnsi="宋体" w:eastAsia="宋体" w:cs="宋体"/>
          <w:sz w:val="24"/>
          <w:szCs w:val="24"/>
          <w:highlight w:val="none"/>
          <w:lang w:eastAsia="zh-CN"/>
        </w:rPr>
        <w:t xml:space="preserve">hen@fhcpec.com.cn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编：363216</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 xml:space="preserve">                                 </w:t>
      </w:r>
      <w:r>
        <w:rPr>
          <w:rFonts w:hint="eastAsia" w:ascii="宋体" w:hAnsi="宋体" w:eastAsia="宋体" w:cs="宋体"/>
          <w:color w:val="auto"/>
          <w:sz w:val="24"/>
          <w:szCs w:val="24"/>
          <w:highlight w:val="none"/>
          <w:lang w:eastAsia="zh-CN"/>
        </w:rPr>
        <w:t xml:space="preserve">     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14:paraId="69E56261">
      <w:pPr>
        <w:pStyle w:val="77"/>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w:t>
      </w:r>
    </w:p>
    <w:p w14:paraId="11935637">
      <w:pPr>
        <w:pStyle w:val="77"/>
        <w:numPr>
          <w:ilvl w:val="255"/>
          <w:numId w:val="0"/>
        </w:numPr>
        <w:tabs>
          <w:tab w:val="left" w:pos="1272"/>
        </w:tabs>
        <w:ind w:left="9" w:firstLine="1516" w:firstLineChars="500"/>
        <w:rPr>
          <w:rFonts w:hint="eastAsia" w:ascii="仿宋" w:hAnsi="仿宋" w:eastAsia="仿宋"/>
          <w:b/>
          <w:spacing w:val="-1"/>
          <w:w w:val="95"/>
          <w:sz w:val="32"/>
          <w:szCs w:val="32"/>
          <w:lang w:eastAsia="zh-CN"/>
        </w:rPr>
      </w:pPr>
    </w:p>
    <w:p w14:paraId="36FE9700">
      <w:pPr>
        <w:pStyle w:val="77"/>
        <w:numPr>
          <w:ilvl w:val="255"/>
          <w:numId w:val="0"/>
        </w:numPr>
        <w:tabs>
          <w:tab w:val="left" w:pos="1272"/>
        </w:tabs>
        <w:ind w:left="9" w:firstLine="1516" w:firstLineChars="500"/>
        <w:jc w:val="center"/>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ascii="仿宋" w:hAnsi="仿宋" w:eastAsia="仿宋"/>
          <w:b/>
          <w:w w:val="95"/>
          <w:sz w:val="28"/>
          <w:lang w:eastAsia="zh-CN"/>
        </w:rPr>
      </w:pPr>
      <w:r>
        <w:rPr>
          <w:rFonts w:hint="eastAsia" w:ascii="仿宋" w:hAnsi="仿宋" w:eastAsia="仿宋"/>
          <w:b/>
          <w:w w:val="95"/>
          <w:sz w:val="28"/>
          <w:lang w:eastAsia="zh-CN"/>
        </w:rPr>
        <w:t xml:space="preserve">    </w:t>
      </w:r>
    </w:p>
    <w:p w14:paraId="2295D77B">
      <w:pPr>
        <w:rPr>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52"/>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采购</w:t>
            </w:r>
            <w:r>
              <w:rPr>
                <w:rFonts w:hint="eastAsia" w:asciiTheme="minorEastAsia" w:hAnsiTheme="minorEastAsia" w:eastAsiaTheme="minorEastAsia" w:cstheme="minorEastAsia"/>
                <w:color w:val="000000"/>
                <w:sz w:val="21"/>
                <w:szCs w:val="21"/>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名称：福建福海创石油化工有限公司</w:t>
            </w:r>
          </w:p>
          <w:p w14:paraId="5C2235C8">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sz w:val="21"/>
                <w:szCs w:val="21"/>
                <w:lang w:eastAsia="zh-CN"/>
              </w:rPr>
              <w:t>海水冷却系统取水工程</w:t>
            </w:r>
            <w:r>
              <w:rPr>
                <w:rFonts w:hint="eastAsia" w:asciiTheme="minorEastAsia" w:hAnsiTheme="minorEastAsia" w:eastAsiaTheme="minorEastAsia" w:cstheme="minorEastAsia"/>
                <w:sz w:val="21"/>
                <w:szCs w:val="21"/>
                <w:lang w:val="en-US" w:eastAsia="zh-CN"/>
              </w:rPr>
              <w:t>2025年度</w:t>
            </w:r>
            <w:r>
              <w:rPr>
                <w:rFonts w:hint="eastAsia" w:asciiTheme="minorEastAsia" w:hAnsiTheme="minorEastAsia" w:eastAsiaTheme="minorEastAsia" w:cstheme="minorEastAsia"/>
                <w:sz w:val="21"/>
                <w:szCs w:val="21"/>
                <w:lang w:eastAsia="zh-CN"/>
              </w:rPr>
              <w:t>生态补偿增殖放流项目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采购</w:t>
            </w:r>
            <w:r>
              <w:rPr>
                <w:rFonts w:hint="eastAsia" w:asciiTheme="minorEastAsia" w:hAnsiTheme="minorEastAsia" w:eastAsiaTheme="minorEastAsia" w:cstheme="minorEastAsia"/>
                <w:color w:val="000000"/>
                <w:sz w:val="21"/>
                <w:szCs w:val="21"/>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2C9C9A01">
            <w:pPr>
              <w:snapToGrid w:val="0"/>
              <w:spacing w:line="264" w:lineRule="auto"/>
              <w:rPr>
                <w:rFonts w:asciiTheme="minorEastAsia" w:hAnsiTheme="minorEastAsia" w:eastAsiaTheme="minorEastAsia" w:cstheme="minorEastAsia"/>
                <w:b/>
                <w:color w:val="FF0000"/>
                <w:sz w:val="21"/>
                <w:szCs w:val="21"/>
                <w:lang w:eastAsia="zh-CN"/>
              </w:rPr>
            </w:pPr>
            <w:r>
              <w:rPr>
                <w:rFonts w:hint="eastAsia" w:asciiTheme="minorEastAsia" w:hAnsiTheme="minorEastAsia" w:eastAsiaTheme="minorEastAsia" w:cstheme="minorEastAsia"/>
                <w:color w:val="000000"/>
                <w:sz w:val="21"/>
                <w:szCs w:val="21"/>
                <w:lang w:val="en-US" w:eastAsia="zh-CN"/>
              </w:rPr>
              <w:t>采购总金额和种放流品种的分配金额项为固定值，放流数量以询比采购文件拟采购数量（单价）为参考，以实际中选数量（价格）为最终放流数量，即：在固定总金额和固定各品种分配金额项下，这4种放流品种的具体数量，且不能严重偏离市场价格。以虚假信息获得增殖放流苗种供应资格，参与增殖放流苗种采购恶意参加的,将被取消参比资格。</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194.90万元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参比</w:t>
            </w:r>
            <w:r>
              <w:rPr>
                <w:rFonts w:hint="eastAsia" w:asciiTheme="minorEastAsia" w:hAnsiTheme="minorEastAsia" w:eastAsiaTheme="minorEastAsia" w:cstheme="minorEastAsia"/>
                <w:color w:val="auto"/>
                <w:sz w:val="21"/>
                <w:szCs w:val="21"/>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21"/>
                <w:szCs w:val="21"/>
              </w:rPr>
              <w:t>人民币</w:t>
            </w:r>
            <w:r>
              <w:rPr>
                <w:rFonts w:hint="eastAsia" w:asciiTheme="minorEastAsia" w:hAnsiTheme="minorEastAsia" w:eastAsiaTheme="minorEastAsia" w:cstheme="minorEastAsia"/>
                <w:color w:val="auto"/>
                <w:sz w:val="21"/>
                <w:szCs w:val="21"/>
                <w:lang w:val="en-US" w:eastAsia="zh-CN"/>
              </w:rPr>
              <w:t>38000</w:t>
            </w:r>
            <w:r>
              <w:rPr>
                <w:rFonts w:hint="eastAsia" w:asciiTheme="minorEastAsia" w:hAnsiTheme="minorEastAsia" w:eastAsiaTheme="minorEastAsia" w:cstheme="minorEastAsia"/>
                <w:color w:val="auto"/>
                <w:sz w:val="21"/>
                <w:szCs w:val="21"/>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sz w:val="21"/>
                <w:szCs w:val="21"/>
                <w:lang w:val="en-US" w:eastAsia="zh-CN"/>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color w:val="auto"/>
                <w:kern w:val="2"/>
                <w:sz w:val="21"/>
                <w:szCs w:val="21"/>
                <w:lang w:eastAsia="zh-CN"/>
              </w:rPr>
              <w:t>参比</w:t>
            </w:r>
            <w:r>
              <w:rPr>
                <w:rFonts w:hint="eastAsia" w:asciiTheme="minorEastAsia" w:hAnsiTheme="minorEastAsia" w:eastAsiaTheme="minorEastAsia" w:cstheme="minorEastAsia"/>
                <w:color w:val="auto"/>
                <w:kern w:val="2"/>
                <w:sz w:val="21"/>
                <w:szCs w:val="21"/>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lang w:val="en-US" w:eastAsia="zh-CN"/>
              </w:rPr>
              <w:t>综合评分</w:t>
            </w:r>
            <w:r>
              <w:rPr>
                <w:rFonts w:hint="eastAsia" w:asciiTheme="minorEastAsia" w:hAnsiTheme="minorEastAsia" w:eastAsiaTheme="minorEastAsia" w:cstheme="minorEastAsia"/>
                <w:b/>
                <w:color w:val="auto"/>
                <w:sz w:val="21"/>
                <w:szCs w:val="21"/>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中选供应商</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lang w:val="en-US" w:eastAsia="zh-CN"/>
              </w:rPr>
              <w:t>黄梅钦</w:t>
            </w:r>
            <w:r>
              <w:rPr>
                <w:rFonts w:hint="eastAsia" w:asciiTheme="minorEastAsia" w:hAnsiTheme="minorEastAsia" w:eastAsiaTheme="minorEastAsia" w:cstheme="minorEastAsia"/>
                <w:color w:val="auto"/>
                <w:sz w:val="21"/>
                <w:szCs w:val="21"/>
                <w:lang w:eastAsia="zh-CN"/>
              </w:rPr>
              <w:t>，联系电话：</w:t>
            </w:r>
            <w:r>
              <w:rPr>
                <w:rFonts w:hint="eastAsia" w:asciiTheme="minorEastAsia" w:hAnsiTheme="minorEastAsia" w:eastAsiaTheme="minorEastAsia" w:cstheme="minorEastAsia"/>
                <w:color w:val="auto"/>
                <w:sz w:val="21"/>
                <w:szCs w:val="21"/>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递交</w:t>
            </w:r>
            <w:r>
              <w:rPr>
                <w:rFonts w:hint="eastAsia" w:asciiTheme="minorEastAsia" w:hAnsiTheme="minorEastAsia" w:eastAsiaTheme="minorEastAsia" w:cstheme="minorEastAsia"/>
                <w:color w:val="auto"/>
                <w:sz w:val="21"/>
                <w:szCs w:val="21"/>
              </w:rPr>
              <w:t>截止</w:t>
            </w:r>
          </w:p>
          <w:p w14:paraId="54B35DA2">
            <w:pPr>
              <w:snapToGrid w:val="0"/>
              <w:spacing w:line="264"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参比</w:t>
            </w:r>
            <w:r>
              <w:rPr>
                <w:rFonts w:hint="eastAsia" w:asciiTheme="minorEastAsia" w:hAnsiTheme="minorEastAsia" w:eastAsiaTheme="minorEastAsia" w:cstheme="minorEastAsia"/>
                <w:color w:val="auto"/>
                <w:sz w:val="21"/>
                <w:szCs w:val="21"/>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递交截止日期后</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FF0000"/>
                <w:kern w:val="2"/>
                <w:sz w:val="21"/>
                <w:szCs w:val="21"/>
                <w:lang w:eastAsia="zh-CN"/>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B39058B">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答疑及现场踏勘联系人:</w:t>
            </w:r>
            <w:r>
              <w:rPr>
                <w:rFonts w:hint="eastAsia" w:asciiTheme="minorEastAsia" w:hAnsiTheme="minorEastAsia" w:eastAsiaTheme="minorEastAsia" w:cstheme="minorEastAsia"/>
                <w:color w:val="auto"/>
                <w:sz w:val="21"/>
                <w:szCs w:val="21"/>
                <w:lang w:val="en-US" w:eastAsia="zh-CN"/>
              </w:rPr>
              <w:t>陈海伟13616007156 hwc</w:t>
            </w:r>
            <w:r>
              <w:rPr>
                <w:rFonts w:hint="eastAsia" w:asciiTheme="minorEastAsia" w:hAnsiTheme="minorEastAsia" w:eastAsiaTheme="minorEastAsia" w:cstheme="minorEastAsia"/>
                <w:color w:val="auto"/>
                <w:sz w:val="21"/>
                <w:szCs w:val="21"/>
                <w:lang w:eastAsia="zh-CN"/>
              </w:rPr>
              <w:t xml:space="preserve">hen@fhcpec.com.cn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1、本项目</w:t>
            </w:r>
            <w:r>
              <w:rPr>
                <w:rFonts w:hint="eastAsia" w:asciiTheme="minorEastAsia" w:hAnsiTheme="minorEastAsia" w:eastAsiaTheme="minorEastAsia" w:cstheme="minorEastAsia"/>
                <w:color w:val="000000"/>
                <w:sz w:val="21"/>
                <w:szCs w:val="21"/>
                <w:lang w:val="en-US" w:eastAsia="zh-CN"/>
              </w:rPr>
              <w:t>不</w:t>
            </w:r>
            <w:r>
              <w:rPr>
                <w:rFonts w:hint="eastAsia" w:asciiTheme="minorEastAsia" w:hAnsiTheme="minorEastAsia" w:eastAsiaTheme="minorEastAsia" w:cstheme="minorEastAsia"/>
                <w:color w:val="000000"/>
                <w:sz w:val="21"/>
                <w:szCs w:val="21"/>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lang w:eastAsia="zh-CN"/>
              </w:rPr>
              <w:t>、采购文件的最终解释权归采购人。</w:t>
            </w:r>
          </w:p>
        </w:tc>
      </w:tr>
    </w:tbl>
    <w:p w14:paraId="425FBD3A">
      <w:pPr>
        <w:spacing w:before="15" w:line="360" w:lineRule="auto"/>
        <w:rPr>
          <w:rFonts w:ascii="仿宋" w:hAnsi="仿宋" w:eastAsia="仿宋"/>
          <w:b/>
          <w:sz w:val="28"/>
          <w:lang w:eastAsia="zh-CN"/>
        </w:rPr>
      </w:pPr>
    </w:p>
    <w:p w14:paraId="0E4BEAFA">
      <w:pPr>
        <w:pStyle w:val="22"/>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p>
    <w:p w14:paraId="6DEB406B">
      <w:pPr>
        <w:pStyle w:val="22"/>
        <w:spacing w:line="360" w:lineRule="auto"/>
        <w:ind w:right="121"/>
        <w:jc w:val="both"/>
        <w:rPr>
          <w:rFonts w:ascii="仿宋" w:hAnsi="仿宋" w:eastAsia="仿宋"/>
          <w:b/>
          <w:w w:val="95"/>
          <w:sz w:val="28"/>
          <w:lang w:eastAsia="zh-CN"/>
        </w:rPr>
      </w:pPr>
      <w:r>
        <w:rPr>
          <w:rFonts w:ascii="仿宋" w:hAnsi="仿宋" w:eastAsia="仿宋"/>
          <w:b/>
          <w:w w:val="95"/>
          <w:sz w:val="28"/>
          <w:lang w:eastAsia="zh-CN"/>
        </w:rPr>
        <w:t>二、定义和解释</w:t>
      </w:r>
    </w:p>
    <w:p w14:paraId="75134DB7">
      <w:pPr>
        <w:pStyle w:val="22"/>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2"/>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1E39BD36">
      <w:pPr>
        <w:pStyle w:val="22"/>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2"/>
        <w:spacing w:line="360" w:lineRule="auto"/>
        <w:ind w:right="121" w:firstLine="5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b/>
          <w:bCs/>
          <w:color w:val="auto"/>
          <w:sz w:val="28"/>
          <w:szCs w:val="28"/>
          <w:lang w:eastAsia="zh-CN"/>
        </w:rPr>
        <w:t>询比</w:t>
      </w:r>
      <w:r>
        <w:rPr>
          <w:rFonts w:hint="eastAsia" w:ascii="仿宋" w:hAnsi="仿宋" w:eastAsia="仿宋"/>
          <w:b/>
          <w:bCs/>
          <w:color w:val="auto"/>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2"/>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2"/>
        <w:spacing w:line="360" w:lineRule="auto"/>
        <w:ind w:right="121"/>
        <w:jc w:val="both"/>
        <w:rPr>
          <w:rFonts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22"/>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38000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14:textFill>
            <w14:solidFill>
              <w14:schemeClr w14:val="tx1"/>
            </w14:solidFill>
          </w14:textFill>
        </w:rPr>
        <w:t>账户</w:t>
      </w:r>
      <w:r>
        <w:rPr>
          <w:rFonts w:hint="eastAsia" w:ascii="仿宋" w:hAnsi="仿宋" w:eastAsia="仿宋"/>
          <w:color w:val="000000" w:themeColor="text1"/>
          <w:sz w:val="28"/>
          <w:szCs w:val="28"/>
          <w:lang w:eastAsia="zh-CN"/>
          <w14:textFill>
            <w14:solidFill>
              <w14:schemeClr w14:val="tx1"/>
            </w14:solidFill>
          </w14:textFill>
        </w:rPr>
        <w:t>转入采购人的账户，采购人账户信息如下：</w:t>
      </w:r>
    </w:p>
    <w:p w14:paraId="0591F494">
      <w:pPr>
        <w:pStyle w:val="22"/>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B6091FB">
      <w:pPr>
        <w:pStyle w:val="22"/>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52CD1736">
      <w:pPr>
        <w:pStyle w:val="22"/>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22"/>
        <w:spacing w:line="360" w:lineRule="auto"/>
        <w:ind w:right="121"/>
        <w:jc w:val="both"/>
        <w:rPr>
          <w:rFonts w:ascii="仿宋" w:hAnsi="仿宋" w:eastAsia="仿宋"/>
          <w:sz w:val="28"/>
          <w:szCs w:val="28"/>
          <w:highlight w:val="none"/>
          <w:u w:val="single"/>
          <w:lang w:eastAsia="zh-CN"/>
        </w:rPr>
      </w:pPr>
      <w:r>
        <w:rPr>
          <w:rFonts w:hint="eastAsia" w:ascii="仿宋" w:hAnsi="仿宋" w:eastAsia="仿宋"/>
          <w:sz w:val="28"/>
          <w:szCs w:val="28"/>
          <w:lang w:eastAsia="zh-CN"/>
        </w:rPr>
        <w:t>注明用途：</w:t>
      </w:r>
      <w:r>
        <w:rPr>
          <w:rFonts w:hint="eastAsia" w:ascii="仿宋" w:hAnsi="仿宋" w:eastAsia="仿宋" w:cs="宋体"/>
          <w:sz w:val="28"/>
          <w:szCs w:val="28"/>
          <w:highlight w:val="none"/>
          <w:u w:val="single"/>
          <w:lang w:eastAsia="zh-CN"/>
        </w:rPr>
        <w:t>生态补偿增殖放流参选保证金</w:t>
      </w:r>
    </w:p>
    <w:p w14:paraId="21EF8849">
      <w:pPr>
        <w:pStyle w:val="22"/>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highlight w:val="none"/>
          <w:lang w:eastAsia="zh-CN"/>
        </w:rPr>
        <w:t>参比有效期为参比文件接收截止期后 90 个日</w:t>
      </w:r>
      <w:r>
        <w:rPr>
          <w:rFonts w:hint="eastAsia" w:ascii="仿宋" w:hAnsi="仿宋" w:eastAsia="仿宋"/>
          <w:sz w:val="28"/>
          <w:szCs w:val="28"/>
          <w:lang w:eastAsia="zh-CN"/>
        </w:rPr>
        <w:t>历天，参比保证金有效期与参比有效期一致。</w:t>
      </w:r>
    </w:p>
    <w:p w14:paraId="7D4C0D0A">
      <w:pPr>
        <w:pStyle w:val="22"/>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2"/>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22"/>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762126C">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7"/>
        <w:spacing w:before="0" w:line="360" w:lineRule="auto"/>
        <w:ind w:left="0" w:firstLine="572" w:firstLineChars="200"/>
        <w:rPr>
          <w:rFonts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61"/>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1.技术文件（需加盖公章及骑缝章）</w:t>
      </w:r>
    </w:p>
    <w:p w14:paraId="31EF7B0D">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22"/>
        <w:spacing w:line="360" w:lineRule="auto"/>
        <w:ind w:firstLine="562" w:firstLineChars="200"/>
        <w:rPr>
          <w:rFonts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61"/>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2. 商务文件（需每页加盖公章）</w:t>
      </w:r>
    </w:p>
    <w:p w14:paraId="6A772CAB">
      <w:pPr>
        <w:pStyle w:val="22"/>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22"/>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none"/>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ascii="仿宋" w:hAnsi="仿宋" w:eastAsia="仿宋"/>
          <w:lang w:eastAsia="zh-CN"/>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100" w:line="355" w:lineRule="exact"/>
        <w:ind w:left="363"/>
        <w:jc w:val="center"/>
        <w:textAlignment w:val="auto"/>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ascii="仿宋" w:hAnsi="仿宋" w:eastAsia="仿宋" w:cs="宋体"/>
          <w:b/>
          <w:bCs/>
          <w:sz w:val="28"/>
          <w:szCs w:val="28"/>
          <w:lang w:val="en-US" w:eastAsia="zh-CN" w:bidi="ar-SA"/>
        </w:rPr>
      </w:pPr>
      <w:r>
        <w:rPr>
          <w:rFonts w:ascii="仿宋" w:hAnsi="仿宋" w:eastAsia="仿宋" w:cs="宋体"/>
          <w:b/>
          <w:bCs/>
          <w:sz w:val="28"/>
          <w:szCs w:val="28"/>
          <w:lang w:val="en-US" w:eastAsia="zh-CN" w:bidi="ar-SA"/>
        </w:rPr>
        <w:t>一、</w:t>
      </w:r>
      <w:r>
        <w:rPr>
          <w:rFonts w:hint="eastAsia" w:ascii="仿宋" w:hAnsi="仿宋" w:eastAsia="仿宋" w:cs="宋体"/>
          <w:b/>
          <w:bCs/>
          <w:sz w:val="28"/>
          <w:szCs w:val="28"/>
          <w:lang w:val="en-US" w:eastAsia="zh-CN" w:bidi="ar-SA"/>
        </w:rPr>
        <w:t>本项目采用综合评分法，评审规则：</w:t>
      </w:r>
    </w:p>
    <w:p w14:paraId="6382A1E9">
      <w:pPr>
        <w:pStyle w:val="22"/>
        <w:spacing w:before="120" w:beforeLines="50" w:line="360" w:lineRule="auto"/>
        <w:ind w:right="119"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1.1 能够满足本项目采购文件的实质性要求，经资审合格，且商务、技术满足采购人要求的前提下，</w:t>
      </w:r>
      <w:r>
        <w:rPr>
          <w:rFonts w:hint="eastAsia" w:ascii="仿宋" w:hAnsi="仿宋" w:eastAsia="仿宋" w:cs="宋体"/>
          <w:sz w:val="24"/>
          <w:szCs w:val="24"/>
          <w:highlight w:val="yellow"/>
          <w:lang w:val="en-US" w:eastAsia="zh-CN" w:bidi="ar-SA"/>
        </w:rPr>
        <w:t>最终有效报价综合得分最高者作为第一中选候选人。 </w:t>
      </w:r>
    </w:p>
    <w:p w14:paraId="258A44DB">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1.2 </w:t>
      </w:r>
      <w:r>
        <w:rPr>
          <w:rFonts w:ascii="仿宋" w:hAnsi="仿宋" w:eastAsia="仿宋" w:cs="宋体"/>
          <w:sz w:val="24"/>
          <w:szCs w:val="24"/>
          <w:lang w:val="en-US" w:eastAsia="zh-CN" w:bidi="ar-SA"/>
        </w:rPr>
        <w:t>替补候选人的设定与使用</w:t>
      </w:r>
      <w:r>
        <w:rPr>
          <w:rFonts w:hint="eastAsia" w:ascii="仿宋" w:hAnsi="仿宋" w:eastAsia="仿宋" w:cs="宋体"/>
          <w:sz w:val="24"/>
          <w:szCs w:val="24"/>
          <w:lang w:val="en-US" w:eastAsia="zh-CN" w:bidi="ar-SA"/>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s="宋体"/>
          <w:sz w:val="24"/>
          <w:szCs w:val="24"/>
          <w:lang w:val="en-US" w:eastAsia="zh-CN" w:bidi="ar-SA"/>
        </w:rPr>
        <w:t>保留依法追究的权利</w:t>
      </w:r>
      <w:r>
        <w:rPr>
          <w:rFonts w:hint="eastAsia" w:ascii="仿宋" w:hAnsi="仿宋" w:eastAsia="仿宋" w:cs="宋体"/>
          <w:sz w:val="24"/>
          <w:szCs w:val="24"/>
          <w:lang w:val="en-US" w:eastAsia="zh-CN" w:bidi="ar-SA"/>
        </w:rPr>
        <w:t>。采购人可以</w:t>
      </w:r>
      <w:r>
        <w:rPr>
          <w:rFonts w:ascii="仿宋" w:hAnsi="仿宋" w:eastAsia="仿宋" w:cs="宋体"/>
          <w:sz w:val="24"/>
          <w:szCs w:val="24"/>
          <w:lang w:val="en-US" w:eastAsia="zh-CN" w:bidi="ar-SA"/>
        </w:rPr>
        <w:t>确定排名第二名的中选候选人为本项目的中选人。</w:t>
      </w:r>
    </w:p>
    <w:p w14:paraId="7A923602">
      <w:pPr>
        <w:spacing w:before="60" w:beforeLines="25" w:line="580" w:lineRule="exact"/>
        <w:rPr>
          <w:rFonts w:ascii="仿宋" w:hAnsi="仿宋" w:eastAsia="仿宋" w:cs="宋体"/>
          <w:b/>
          <w:bCs/>
          <w:sz w:val="28"/>
          <w:szCs w:val="28"/>
          <w:lang w:val="en-US" w:eastAsia="zh-CN" w:bidi="ar-SA"/>
        </w:rPr>
      </w:pPr>
      <w:r>
        <w:rPr>
          <w:rFonts w:ascii="仿宋" w:hAnsi="仿宋" w:eastAsia="仿宋" w:cs="宋体"/>
          <w:b/>
          <w:bCs/>
          <w:sz w:val="28"/>
          <w:szCs w:val="28"/>
          <w:lang w:val="en-US" w:eastAsia="zh-CN" w:bidi="ar-SA"/>
        </w:rPr>
        <w:t>二、资格审查</w:t>
      </w:r>
    </w:p>
    <w:p w14:paraId="14C800EE">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由</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人组建的评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委员会将按照</w:t>
      </w:r>
      <w:r>
        <w:rPr>
          <w:rFonts w:hint="eastAsia" w:ascii="仿宋" w:hAnsi="仿宋" w:eastAsia="仿宋" w:cs="宋体"/>
          <w:sz w:val="24"/>
          <w:szCs w:val="24"/>
          <w:lang w:val="en-US" w:eastAsia="zh-CN" w:bidi="ar-SA"/>
        </w:rPr>
        <w:t>前述的</w:t>
      </w:r>
      <w:r>
        <w:rPr>
          <w:rFonts w:ascii="仿宋" w:hAnsi="仿宋" w:eastAsia="仿宋" w:cs="宋体"/>
          <w:sz w:val="24"/>
          <w:szCs w:val="24"/>
          <w:lang w:val="en-US" w:eastAsia="zh-CN" w:bidi="ar-SA"/>
        </w:rPr>
        <w:t>“参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人资格”的要求对参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人进行资格审查，以确定是否为符合</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文件规定要求的合格参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w:t>
      </w:r>
      <w:r>
        <w:rPr>
          <w:rFonts w:hint="eastAsia" w:ascii="仿宋" w:hAnsi="仿宋" w:eastAsia="仿宋" w:cs="宋体"/>
          <w:sz w:val="24"/>
          <w:szCs w:val="24"/>
          <w:lang w:val="en-US" w:eastAsia="zh-CN" w:bidi="ar-SA"/>
        </w:rPr>
        <w:t>。</w:t>
      </w:r>
      <w:r>
        <w:rPr>
          <w:rFonts w:ascii="仿宋" w:hAnsi="仿宋" w:eastAsia="仿宋" w:cs="宋体"/>
          <w:sz w:val="24"/>
          <w:szCs w:val="24"/>
          <w:lang w:val="en-US" w:eastAsia="zh-CN" w:bidi="ar-SA"/>
        </w:rPr>
        <w:t>同时，评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委员会将依据参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人提供的资格证明文件审查参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人的法人资格、营业范围、财务，以确定参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人是否有资格履行合同。经上述资格审查合格的参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人进入下一程序的评审，经上述资格审查不合格的</w:t>
      </w:r>
      <w:r>
        <w:rPr>
          <w:rFonts w:hint="eastAsia" w:ascii="仿宋" w:hAnsi="仿宋" w:eastAsia="仿宋" w:cs="宋体"/>
          <w:sz w:val="24"/>
          <w:szCs w:val="24"/>
          <w:lang w:val="en-US" w:eastAsia="zh-CN" w:bidi="ar-SA"/>
        </w:rPr>
        <w:t>参比</w:t>
      </w:r>
      <w:r>
        <w:rPr>
          <w:rFonts w:ascii="仿宋" w:hAnsi="仿宋" w:eastAsia="仿宋" w:cs="宋体"/>
          <w:sz w:val="24"/>
          <w:szCs w:val="24"/>
          <w:lang w:val="en-US" w:eastAsia="zh-CN" w:bidi="ar-SA"/>
        </w:rPr>
        <w:t>文件，其参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资格将被评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委员会予以否决。</w:t>
      </w:r>
    </w:p>
    <w:p w14:paraId="22273F68">
      <w:pPr>
        <w:spacing w:before="60" w:beforeLines="25" w:line="580" w:lineRule="exact"/>
        <w:rPr>
          <w:rFonts w:ascii="仿宋" w:hAnsi="仿宋" w:eastAsia="仿宋" w:cs="宋体"/>
          <w:b/>
          <w:bCs/>
          <w:sz w:val="28"/>
          <w:szCs w:val="28"/>
          <w:lang w:val="en-US" w:eastAsia="zh-CN" w:bidi="ar-SA"/>
        </w:rPr>
      </w:pPr>
      <w:r>
        <w:rPr>
          <w:rFonts w:ascii="仿宋" w:hAnsi="仿宋" w:eastAsia="仿宋" w:cs="宋体"/>
          <w:b/>
          <w:bCs/>
          <w:sz w:val="28"/>
          <w:szCs w:val="28"/>
          <w:lang w:val="en-US" w:eastAsia="zh-CN" w:bidi="ar-SA"/>
        </w:rPr>
        <w:t>三、评</w:t>
      </w:r>
      <w:r>
        <w:rPr>
          <w:rFonts w:hint="eastAsia" w:ascii="仿宋" w:hAnsi="仿宋" w:eastAsia="仿宋" w:cs="宋体"/>
          <w:b/>
          <w:bCs/>
          <w:sz w:val="28"/>
          <w:szCs w:val="28"/>
          <w:lang w:val="en-US" w:eastAsia="zh-CN" w:bidi="ar-SA"/>
        </w:rPr>
        <w:t>审</w:t>
      </w:r>
      <w:r>
        <w:rPr>
          <w:rFonts w:ascii="仿宋" w:hAnsi="仿宋" w:eastAsia="仿宋" w:cs="宋体"/>
          <w:b/>
          <w:bCs/>
          <w:sz w:val="28"/>
          <w:szCs w:val="28"/>
          <w:lang w:val="en-US" w:eastAsia="zh-CN" w:bidi="ar-SA"/>
        </w:rPr>
        <w:t>办法</w:t>
      </w:r>
    </w:p>
    <w:p w14:paraId="26717965">
      <w:pPr>
        <w:spacing w:line="360" w:lineRule="auto"/>
        <w:ind w:firstLine="442" w:firstLineChars="200"/>
        <w:rPr>
          <w:rFonts w:ascii="仿宋" w:hAnsi="仿宋" w:eastAsia="仿宋" w:cs="宋体"/>
          <w:sz w:val="24"/>
          <w:szCs w:val="24"/>
          <w:lang w:val="en-US" w:eastAsia="zh-CN" w:bidi="ar-SA"/>
        </w:rPr>
      </w:pPr>
      <w:r>
        <w:rPr>
          <w:rFonts w:hint="eastAsia"/>
          <w:b/>
          <w:color w:val="000000" w:themeColor="text1"/>
          <w:lang w:eastAsia="zh-CN"/>
          <w14:textFill>
            <w14:solidFill>
              <w14:schemeClr w14:val="tx1"/>
            </w14:solidFill>
          </w14:textFill>
        </w:rPr>
        <w:t>本项目实施金额</w:t>
      </w:r>
      <w:r>
        <w:rPr>
          <w:rFonts w:hint="eastAsia"/>
          <w:b/>
          <w:color w:val="000000" w:themeColor="text1"/>
          <w:lang w:val="en-US" w:eastAsia="zh-CN"/>
          <w14:textFill>
            <w14:solidFill>
              <w14:schemeClr w14:val="tx1"/>
            </w14:solidFill>
          </w14:textFill>
        </w:rPr>
        <w:t>194.90</w:t>
      </w:r>
      <w:r>
        <w:rPr>
          <w:rFonts w:hint="eastAsia"/>
          <w:b/>
          <w:color w:val="000000" w:themeColor="text1"/>
          <w:lang w:eastAsia="zh-CN"/>
          <w14:textFill>
            <w14:solidFill>
              <w14:schemeClr w14:val="tx1"/>
            </w14:solidFill>
          </w14:textFill>
        </w:rPr>
        <w:t>万元整（含税包干总价）</w:t>
      </w:r>
      <w:r>
        <w:rPr>
          <w:rFonts w:hint="eastAsia"/>
          <w:color w:val="000000" w:themeColor="text1"/>
          <w:lang w:eastAsia="zh-CN"/>
          <w14:textFill>
            <w14:solidFill>
              <w14:schemeClr w14:val="tx1"/>
            </w14:solidFill>
          </w14:textFill>
        </w:rPr>
        <w:t>。</w:t>
      </w:r>
      <w:r>
        <w:rPr>
          <w:rFonts w:hint="eastAsia" w:ascii="仿宋" w:hAnsi="仿宋" w:eastAsia="仿宋" w:cs="宋体"/>
          <w:sz w:val="24"/>
          <w:szCs w:val="24"/>
          <w:lang w:val="en-US" w:eastAsia="zh-CN" w:bidi="ar-SA"/>
        </w:rPr>
        <w:t>参比人所填报的各项放流数量低于本项目相应项最低放流数量，其参比将被评审小组予以否决。</w:t>
      </w:r>
    </w:p>
    <w:p w14:paraId="4F925EAE">
      <w:pPr>
        <w:snapToGrid w:val="0"/>
        <w:spacing w:line="460" w:lineRule="exact"/>
        <w:ind w:firstLine="720" w:firstLineChars="300"/>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本项目评比</w:t>
      </w:r>
      <w:r>
        <w:rPr>
          <w:rFonts w:hint="eastAsia" w:ascii="仿宋" w:hAnsi="仿宋" w:eastAsia="仿宋" w:cs="宋体"/>
          <w:b/>
          <w:bCs/>
          <w:sz w:val="24"/>
          <w:szCs w:val="24"/>
          <w:lang w:val="en-US" w:eastAsia="zh-CN" w:bidi="ar-SA"/>
        </w:rPr>
        <w:t>采用综合评分法</w:t>
      </w:r>
      <w:r>
        <w:rPr>
          <w:rFonts w:hint="eastAsia" w:ascii="仿宋" w:hAnsi="仿宋" w:eastAsia="仿宋" w:cs="宋体"/>
          <w:sz w:val="24"/>
          <w:szCs w:val="24"/>
          <w:lang w:val="en-US" w:eastAsia="zh-CN" w:bidi="ar-SA"/>
        </w:rPr>
        <w:t>，将仅对通过资格审查、符合性检查和响应性确定的参比文件，进行下一程序的评价与比较。</w:t>
      </w:r>
    </w:p>
    <w:p w14:paraId="3B9FF31C">
      <w:pPr>
        <w:snapToGrid w:val="0"/>
        <w:spacing w:line="460" w:lineRule="exact"/>
        <w:ind w:firstLine="480" w:firstLineChars="20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评审委员会将对通过资格及符合性检查和响应性确定的各合格参比人进行综合分析、比较，在全部满足采购文件实质性要求前提下，经评审的有效参比人按评比综合得分从高到低进行排序，综合得分最高的参比人作为中选候选人。</w:t>
      </w:r>
    </w:p>
    <w:p w14:paraId="2EF2CFBA">
      <w:pPr>
        <w:pStyle w:val="215"/>
        <w:snapToGrid w:val="0"/>
        <w:spacing w:line="500" w:lineRule="exact"/>
        <w:ind w:left="440" w:leftChars="200" w:firstLine="241" w:firstLineChars="100"/>
        <w:rPr>
          <w:rFonts w:hint="eastAsia" w:ascii="仿宋" w:hAnsi="仿宋" w:eastAsia="仿宋" w:cs="宋体"/>
          <w:b w:val="0"/>
          <w:kern w:val="0"/>
          <w:sz w:val="24"/>
          <w:szCs w:val="24"/>
          <w:highlight w:val="none"/>
          <w:lang w:val="en-US" w:eastAsia="zh-CN" w:bidi="ar-SA"/>
        </w:rPr>
      </w:pPr>
      <w:r>
        <w:rPr>
          <w:rFonts w:hint="eastAsia" w:ascii="仿宋" w:hAnsi="仿宋" w:eastAsia="仿宋" w:cs="宋体"/>
          <w:b/>
          <w:bCs/>
          <w:kern w:val="0"/>
          <w:sz w:val="24"/>
          <w:szCs w:val="24"/>
          <w:highlight w:val="yellow"/>
          <w:lang w:val="en-US" w:eastAsia="zh-CN" w:bidi="ar-SA"/>
        </w:rPr>
        <w:t>本项目参比报价为参比放流数量</w:t>
      </w:r>
      <w:r>
        <w:rPr>
          <w:rFonts w:hint="eastAsia" w:ascii="仿宋" w:hAnsi="仿宋" w:eastAsia="仿宋" w:cs="宋体"/>
          <w:b w:val="0"/>
          <w:kern w:val="0"/>
          <w:sz w:val="24"/>
          <w:szCs w:val="24"/>
          <w:lang w:val="en-US" w:eastAsia="zh-CN" w:bidi="ar-SA"/>
        </w:rPr>
        <w:t>，</w:t>
      </w:r>
      <w:r>
        <w:rPr>
          <w:rFonts w:hint="eastAsia" w:ascii="仿宋" w:hAnsi="仿宋" w:eastAsia="仿宋" w:cs="宋体"/>
          <w:b w:val="0"/>
          <w:kern w:val="0"/>
          <w:sz w:val="24"/>
          <w:szCs w:val="24"/>
          <w:highlight w:val="none"/>
          <w:lang w:val="en-US" w:eastAsia="zh-CN" w:bidi="ar-SA"/>
        </w:rPr>
        <w:t>且要求参比人拟放流的品种数量应满足下列数量要求，即1、黄鳍鲷（仔鱼5厘米及以上）≥100万尾；2、黑鲷（仔鱼5厘米及以上）≥150万尾；3、大黄鱼（仔鱼5厘米及以上）≥100万尾；4、长毛对虾（苗体0.8厘米及以上）≥15000万尾。低于上述标准则视为无效报价。</w:t>
      </w:r>
    </w:p>
    <w:p w14:paraId="37003DC9">
      <w:pPr>
        <w:pStyle w:val="215"/>
        <w:snapToGrid w:val="0"/>
        <w:spacing w:line="500" w:lineRule="exact"/>
        <w:ind w:left="440" w:leftChars="200" w:firstLine="0"/>
        <w:rPr>
          <w:rFonts w:hint="eastAsia" w:ascii="仿宋" w:hAnsi="仿宋" w:eastAsia="仿宋" w:cs="宋体"/>
          <w:b w:val="0"/>
          <w:kern w:val="0"/>
          <w:sz w:val="24"/>
          <w:szCs w:val="24"/>
          <w:lang w:val="en-US" w:eastAsia="zh-CN" w:bidi="ar-SA"/>
        </w:rPr>
      </w:pPr>
      <w:r>
        <w:rPr>
          <w:rFonts w:hint="eastAsia" w:ascii="仿宋" w:hAnsi="仿宋" w:eastAsia="仿宋" w:cs="宋体"/>
          <w:b w:val="0"/>
          <w:kern w:val="0"/>
          <w:sz w:val="24"/>
          <w:szCs w:val="24"/>
          <w:lang w:val="en-US" w:eastAsia="zh-CN" w:bidi="ar-SA"/>
        </w:rPr>
        <w:t>注：1、按最终得分从高到低依次进行排序，得分最高者为本项目中选候选人。若出现得分相同的情况，则按其中业绩数量、单项合同金额顺序排次。</w:t>
      </w:r>
    </w:p>
    <w:p w14:paraId="19B32E6B">
      <w:pPr>
        <w:pStyle w:val="215"/>
        <w:snapToGrid w:val="0"/>
        <w:spacing w:line="500" w:lineRule="exact"/>
        <w:ind w:left="0" w:leftChars="0" w:firstLine="723" w:firstLineChars="300"/>
        <w:rPr>
          <w:rFonts w:hint="eastAsia" w:ascii="仿宋" w:hAnsi="仿宋" w:eastAsia="仿宋" w:cs="宋体"/>
          <w:b/>
          <w:bCs/>
          <w:kern w:val="0"/>
          <w:sz w:val="24"/>
          <w:szCs w:val="24"/>
          <w:lang w:val="en-US" w:eastAsia="zh-CN" w:bidi="ar-SA"/>
        </w:rPr>
      </w:pPr>
    </w:p>
    <w:p w14:paraId="28816272">
      <w:pPr>
        <w:pStyle w:val="215"/>
        <w:snapToGrid w:val="0"/>
        <w:spacing w:line="500" w:lineRule="exact"/>
        <w:ind w:left="0" w:leftChars="0" w:firstLine="0" w:firstLineChars="0"/>
        <w:rPr>
          <w:rFonts w:hint="default" w:ascii="仿宋" w:hAnsi="仿宋" w:eastAsia="仿宋" w:cs="宋体"/>
          <w:b/>
          <w:bCs/>
          <w:kern w:val="0"/>
          <w:sz w:val="24"/>
          <w:szCs w:val="24"/>
          <w:highlight w:val="yellow"/>
          <w:lang w:val="en-US" w:eastAsia="zh-CN" w:bidi="ar-SA"/>
        </w:rPr>
      </w:pPr>
      <w:r>
        <w:rPr>
          <w:rFonts w:hint="eastAsia" w:ascii="仿宋" w:hAnsi="仿宋" w:eastAsia="仿宋" w:cs="宋体"/>
          <w:b/>
          <w:bCs/>
          <w:kern w:val="0"/>
          <w:sz w:val="24"/>
          <w:szCs w:val="24"/>
          <w:highlight w:val="yellow"/>
          <w:lang w:val="en-US" w:eastAsia="zh-CN" w:bidi="ar-SA"/>
        </w:rPr>
        <w:t>评分细则，如下：</w:t>
      </w:r>
    </w:p>
    <w:p w14:paraId="6FB855E5">
      <w:pPr>
        <w:pStyle w:val="22"/>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 评标基准价</w:t>
      </w:r>
    </w:p>
    <w:p w14:paraId="2EFD9B1B">
      <w:pPr>
        <w:pStyle w:val="22"/>
        <w:numPr>
          <w:ilvl w:val="1"/>
          <w:numId w:val="9"/>
        </w:numPr>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评标委员会对各有效标的参比报价(放流数量）进行审核确定评标价，各项评审基准价计算统一采用各项所有有效参比报价平均值作为评标基准价；各项总分值之和为满分100分。</w:t>
      </w:r>
    </w:p>
    <w:p w14:paraId="0CA5B74D">
      <w:pPr>
        <w:pStyle w:val="22"/>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1.2 有效参比人响应报价得分按下列公式计算：</w:t>
      </w:r>
    </w:p>
    <w:p w14:paraId="74A78660">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参比报价得分(PFn)=各分项总分值-（|Fi-评标基准价|÷评标基准价）×各分项总分值×Q。</w:t>
      </w:r>
    </w:p>
    <w:p w14:paraId="2B494ED8">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其中，Fi 为通过初步评审的各合格参比人有效报价；</w:t>
      </w:r>
    </w:p>
    <w:p w14:paraId="3D4CE127">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Q为折价分，即有效报价评标价每偏离本项目评标基准价1%所扣的分数：</w:t>
      </w:r>
    </w:p>
    <w:p w14:paraId="55210773">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当合格参比人的有效报价评标价≤评标基准价时，Q的取值为1；</w:t>
      </w:r>
    </w:p>
    <w:p w14:paraId="7BDC6E4E">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当合格参比人的有效报价评标价&gt;评标基准价时，Q的取值为0.5。</w:t>
      </w:r>
    </w:p>
    <w:p w14:paraId="4BF56DFC">
      <w:pPr>
        <w:pStyle w:val="22"/>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1.3 综合得分(PF)= PF1+PF2+PF3+PF4。</w:t>
      </w:r>
    </w:p>
    <w:p w14:paraId="5DB21A36">
      <w:pPr>
        <w:pStyle w:val="22"/>
        <w:spacing w:line="336" w:lineRule="auto"/>
        <w:ind w:right="121"/>
        <w:jc w:val="both"/>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1.4 以下为各分项得分计算公式：</w:t>
      </w:r>
    </w:p>
    <w:p w14:paraId="71C8059E">
      <w:pPr>
        <w:numPr>
          <w:ilvl w:val="0"/>
          <w:numId w:val="0"/>
        </w:numPr>
        <w:tabs>
          <w:tab w:val="left" w:pos="-1680"/>
          <w:tab w:val="left" w:pos="-200"/>
        </w:tabs>
        <w:autoSpaceDE w:val="0"/>
        <w:autoSpaceDN w:val="0"/>
        <w:adjustRightInd w:val="0"/>
        <w:snapToGrid w:val="0"/>
        <w:spacing w:line="460" w:lineRule="exact"/>
        <w:ind w:left="0" w:leftChars="0"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序号1 报价评分PF1（满分26分） </w:t>
      </w:r>
    </w:p>
    <w:p w14:paraId="0697FE45">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计算公式：参比报价得分(PF1)=26-（|Ai-评标基准价|÷评标基准价）×26×Q      </w:t>
      </w:r>
    </w:p>
    <w:p w14:paraId="3294328F">
      <w:pPr>
        <w:tabs>
          <w:tab w:val="left" w:pos="-1680"/>
          <w:tab w:val="left" w:pos="-200"/>
        </w:tabs>
        <w:snapToGrid w:val="0"/>
        <w:spacing w:line="460" w:lineRule="exact"/>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序号2 报价评分PF2（满分26分）：</w:t>
      </w:r>
    </w:p>
    <w:p w14:paraId="239F4A62">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计算公式：参比报价得分(PF2)=26-（|Ai-评标基准价|÷评标基准价）×26×Q</w:t>
      </w:r>
    </w:p>
    <w:p w14:paraId="420B9811">
      <w:pPr>
        <w:tabs>
          <w:tab w:val="left" w:pos="-1680"/>
          <w:tab w:val="left" w:pos="-200"/>
        </w:tabs>
        <w:snapToGrid w:val="0"/>
        <w:spacing w:line="460" w:lineRule="exact"/>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序号3 报价评分PF3（满分26分）：</w:t>
      </w:r>
    </w:p>
    <w:p w14:paraId="4E4E1D8A">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计算公式：参比报价得分(PF3)=26-（|Ai-评标基准价|÷评标基准价）×26×Q</w:t>
      </w:r>
    </w:p>
    <w:p w14:paraId="429CE514">
      <w:pPr>
        <w:tabs>
          <w:tab w:val="left" w:pos="-1680"/>
          <w:tab w:val="left" w:pos="-200"/>
        </w:tabs>
        <w:snapToGrid w:val="0"/>
        <w:spacing w:line="460" w:lineRule="exact"/>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序号4 报价评分PF4（满分22分）：</w:t>
      </w:r>
    </w:p>
    <w:p w14:paraId="43B137D2">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计算公式：参比报价得分(PF4)=22-（|Ai-评标基准价|÷评标基准价）×22×Q</w:t>
      </w:r>
    </w:p>
    <w:p w14:paraId="247C3D1C">
      <w:pPr>
        <w:tabs>
          <w:tab w:val="left" w:pos="-1680"/>
          <w:tab w:val="left" w:pos="-200"/>
        </w:tabs>
        <w:snapToGrid w:val="0"/>
        <w:spacing w:line="460" w:lineRule="exact"/>
        <w:ind w:left="0" w:leftChars="0" w:firstLine="420" w:firstLineChars="200"/>
        <w:rPr>
          <w:rFonts w:hint="default" w:ascii="仿宋" w:hAnsi="仿宋" w:eastAsia="宋体" w:cs="仿宋"/>
          <w:color w:val="auto"/>
          <w:kern w:val="0"/>
          <w:sz w:val="21"/>
          <w:szCs w:val="21"/>
          <w:highlight w:val="yellow"/>
          <w:lang w:val="en-US" w:eastAsia="zh-CN" w:bidi="ar-SA"/>
        </w:rPr>
      </w:pPr>
      <w:r>
        <w:rPr>
          <w:rFonts w:hint="eastAsia" w:ascii="仿宋" w:hAnsi="仿宋" w:eastAsia="仿宋" w:cs="仿宋"/>
          <w:color w:val="auto"/>
          <w:kern w:val="0"/>
          <w:sz w:val="21"/>
          <w:szCs w:val="21"/>
          <w:highlight w:val="yellow"/>
          <w:lang w:val="en-US" w:eastAsia="zh-CN" w:bidi="ar-SA"/>
        </w:rPr>
        <w:t xml:space="preserve">1.5 </w:t>
      </w:r>
      <w:r>
        <w:rPr>
          <w:rFonts w:hint="eastAsia" w:ascii="宋体" w:hAnsi="宋体" w:eastAsia="宋体" w:cs="宋体"/>
          <w:i w:val="0"/>
          <w:iCs w:val="0"/>
          <w:caps w:val="0"/>
          <w:color w:val="auto"/>
          <w:spacing w:val="0"/>
          <w:sz w:val="21"/>
          <w:szCs w:val="21"/>
          <w:highlight w:val="yellow"/>
          <w:shd w:val="clear" w:fill="FFFFFF"/>
        </w:rPr>
        <w:t>上述计算结果保留2位小数</w:t>
      </w:r>
      <w:r>
        <w:rPr>
          <w:rFonts w:hint="eastAsia" w:cs="宋体"/>
          <w:i w:val="0"/>
          <w:iCs w:val="0"/>
          <w:caps w:val="0"/>
          <w:color w:val="auto"/>
          <w:spacing w:val="0"/>
          <w:sz w:val="21"/>
          <w:szCs w:val="21"/>
          <w:highlight w:val="yellow"/>
          <w:shd w:val="clear" w:fill="FFFFFF"/>
          <w:lang w:val="en-US" w:eastAsia="zh-CN"/>
        </w:rPr>
        <w:t>。</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1933"/>
        <w:gridCol w:w="1217"/>
        <w:gridCol w:w="1807"/>
        <w:gridCol w:w="1266"/>
        <w:gridCol w:w="1367"/>
      </w:tblGrid>
      <w:tr w14:paraId="7D4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5C711D8B">
            <w:pPr>
              <w:widowControl/>
              <w:spacing w:line="240" w:lineRule="auto"/>
              <w:ind w:firstLine="0" w:firstLineChars="0"/>
              <w:jc w:val="center"/>
              <w:rPr>
                <w:rFonts w:hint="default" w:eastAsia="宋体" w:cs="宋体"/>
                <w:color w:val="000000"/>
                <w:kern w:val="0"/>
                <w:sz w:val="32"/>
                <w:szCs w:val="32"/>
                <w:lang w:val="en-US" w:eastAsia="zh-CN"/>
              </w:rPr>
            </w:pPr>
            <w:r>
              <w:rPr>
                <w:rFonts w:hint="eastAsia"/>
                <w:b/>
                <w:bCs/>
                <w:color w:val="auto"/>
                <w:sz w:val="24"/>
                <w:szCs w:val="24"/>
                <w:highlight w:val="none"/>
                <w:u w:val="single"/>
                <w:lang w:eastAsia="zh-CN"/>
              </w:rPr>
              <w:t>海水冷却系统取水工程</w:t>
            </w:r>
            <w:r>
              <w:rPr>
                <w:rFonts w:hint="eastAsia"/>
                <w:b/>
                <w:bCs/>
                <w:color w:val="auto"/>
                <w:sz w:val="24"/>
                <w:szCs w:val="24"/>
                <w:highlight w:val="none"/>
                <w:u w:val="single"/>
                <w:lang w:val="en-US" w:eastAsia="zh-CN"/>
              </w:rPr>
              <w:t>2025年度</w:t>
            </w:r>
            <w:r>
              <w:rPr>
                <w:rFonts w:hint="eastAsia"/>
                <w:b/>
                <w:bCs/>
                <w:color w:val="auto"/>
                <w:sz w:val="24"/>
                <w:szCs w:val="24"/>
                <w:highlight w:val="none"/>
                <w:u w:val="single"/>
                <w:lang w:eastAsia="zh-CN"/>
              </w:rPr>
              <w:t>生态补偿增殖放流项目</w:t>
            </w:r>
            <w:r>
              <w:rPr>
                <w:rFonts w:hint="eastAsia"/>
                <w:b/>
                <w:bCs/>
                <w:color w:val="auto"/>
                <w:sz w:val="24"/>
                <w:szCs w:val="24"/>
                <w:highlight w:val="none"/>
                <w:u w:val="single"/>
                <w:lang w:val="en-US" w:eastAsia="zh-CN"/>
              </w:rPr>
              <w:t xml:space="preserve"> </w:t>
            </w:r>
          </w:p>
        </w:tc>
      </w:tr>
      <w:tr w14:paraId="5F71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78E1272E">
            <w:pPr>
              <w:widowControl/>
              <w:jc w:val="center"/>
              <w:rPr>
                <w:rFonts w:hint="default" w:eastAsia="宋体" w:cs="宋体"/>
                <w:color w:val="000000"/>
                <w:kern w:val="0"/>
                <w:sz w:val="21"/>
                <w:szCs w:val="21"/>
                <w:lang w:val="en-US" w:eastAsia="zh-CN"/>
              </w:rPr>
            </w:pPr>
            <w:r>
              <w:rPr>
                <w:rFonts w:hint="eastAsia"/>
                <w:b/>
                <w:bCs/>
                <w:color w:val="auto"/>
                <w:sz w:val="24"/>
                <w:szCs w:val="24"/>
                <w:highlight w:val="none"/>
              </w:rPr>
              <w:t>序号</w:t>
            </w:r>
          </w:p>
        </w:tc>
        <w:tc>
          <w:tcPr>
            <w:tcW w:w="1484" w:type="dxa"/>
            <w:shd w:val="clear" w:color="auto" w:fill="auto"/>
            <w:vAlign w:val="center"/>
          </w:tcPr>
          <w:p w14:paraId="17CC92DC">
            <w:pPr>
              <w:widowControl/>
              <w:jc w:val="center"/>
              <w:rPr>
                <w:rFonts w:cs="宋体"/>
                <w:kern w:val="0"/>
                <w:sz w:val="21"/>
                <w:szCs w:val="21"/>
              </w:rPr>
            </w:pPr>
            <w:r>
              <w:rPr>
                <w:rFonts w:hint="eastAsia"/>
                <w:b/>
                <w:bCs/>
                <w:color w:val="auto"/>
                <w:sz w:val="24"/>
                <w:szCs w:val="24"/>
                <w:highlight w:val="none"/>
              </w:rPr>
              <w:t>品种</w:t>
            </w:r>
          </w:p>
        </w:tc>
        <w:tc>
          <w:tcPr>
            <w:tcW w:w="1933" w:type="dxa"/>
            <w:shd w:val="clear" w:color="auto" w:fill="auto"/>
            <w:vAlign w:val="center"/>
          </w:tcPr>
          <w:p w14:paraId="4DDD1C7F">
            <w:pPr>
              <w:widowControl/>
              <w:jc w:val="center"/>
              <w:rPr>
                <w:rFonts w:hint="default" w:eastAsia="宋体" w:cs="宋体"/>
                <w:kern w:val="0"/>
                <w:sz w:val="21"/>
                <w:szCs w:val="21"/>
                <w:lang w:val="en-US" w:eastAsia="zh-CN"/>
              </w:rPr>
            </w:pPr>
            <w:r>
              <w:rPr>
                <w:rFonts w:hint="eastAsia"/>
                <w:b/>
                <w:bCs/>
                <w:color w:val="auto"/>
                <w:sz w:val="24"/>
                <w:szCs w:val="24"/>
                <w:highlight w:val="none"/>
              </w:rPr>
              <w:t>规格</w:t>
            </w:r>
          </w:p>
        </w:tc>
        <w:tc>
          <w:tcPr>
            <w:tcW w:w="1217" w:type="dxa"/>
            <w:shd w:val="clear" w:color="auto" w:fill="auto"/>
            <w:vAlign w:val="center"/>
          </w:tcPr>
          <w:p w14:paraId="5F4AE2F1">
            <w:pPr>
              <w:widowControl/>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投入金额（万元）</w:t>
            </w:r>
          </w:p>
        </w:tc>
        <w:tc>
          <w:tcPr>
            <w:tcW w:w="1807" w:type="dxa"/>
            <w:shd w:val="clear" w:color="auto" w:fill="auto"/>
            <w:vAlign w:val="center"/>
          </w:tcPr>
          <w:p w14:paraId="00B3BA6A">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放流数量Fi（万尾）</w:t>
            </w:r>
          </w:p>
        </w:tc>
        <w:tc>
          <w:tcPr>
            <w:tcW w:w="1266" w:type="dxa"/>
            <w:shd w:val="clear" w:color="auto" w:fill="auto"/>
            <w:vAlign w:val="center"/>
          </w:tcPr>
          <w:p w14:paraId="5D8F8DCA">
            <w:pPr>
              <w:widowControl/>
              <w:jc w:val="center"/>
              <w:rPr>
                <w:rFonts w:hint="default" w:eastAsia="宋体"/>
                <w:b/>
                <w:bCs/>
                <w:color w:val="auto"/>
                <w:sz w:val="24"/>
                <w:szCs w:val="24"/>
                <w:highlight w:val="none"/>
                <w:lang w:val="en-US" w:eastAsia="zh-CN"/>
              </w:rPr>
            </w:pPr>
            <w:bookmarkStart w:id="2" w:name="_GoBack"/>
            <w:bookmarkEnd w:id="2"/>
            <w:r>
              <w:rPr>
                <w:rFonts w:hint="eastAsia"/>
                <w:b/>
                <w:bCs/>
                <w:color w:val="auto"/>
                <w:sz w:val="24"/>
                <w:szCs w:val="24"/>
                <w:highlight w:val="none"/>
                <w:lang w:val="en-US" w:eastAsia="zh-CN"/>
              </w:rPr>
              <w:t>单项分值</w:t>
            </w:r>
          </w:p>
        </w:tc>
        <w:tc>
          <w:tcPr>
            <w:tcW w:w="1367" w:type="dxa"/>
            <w:shd w:val="clear" w:color="auto" w:fill="auto"/>
            <w:vAlign w:val="center"/>
          </w:tcPr>
          <w:p w14:paraId="08AACFE2">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报价要求</w:t>
            </w:r>
          </w:p>
          <w:p w14:paraId="771EEF90">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w:t>
            </w:r>
          </w:p>
          <w:p w14:paraId="50F0605A">
            <w:pPr>
              <w:widowControl/>
              <w:jc w:val="center"/>
              <w:rPr>
                <w:rFonts w:hint="default" w:eastAsia="宋体"/>
                <w:b/>
                <w:bCs/>
                <w:color w:val="auto"/>
                <w:sz w:val="24"/>
                <w:szCs w:val="24"/>
                <w:highlight w:val="none"/>
                <w:lang w:val="en-US" w:eastAsia="zh-CN"/>
              </w:rPr>
            </w:pPr>
            <w:r>
              <w:rPr>
                <w:rFonts w:hint="eastAsia"/>
                <w:b/>
                <w:bCs/>
                <w:color w:val="auto"/>
                <w:spacing w:val="-2"/>
                <w:sz w:val="24"/>
                <w:szCs w:val="24"/>
                <w:highlight w:val="none"/>
                <w:lang w:val="en-US" w:eastAsia="zh-CN"/>
              </w:rPr>
              <w:t>（万尾）</w:t>
            </w:r>
          </w:p>
        </w:tc>
      </w:tr>
      <w:tr w14:paraId="5B3F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001A59C0">
            <w:pPr>
              <w:widowControl/>
              <w:jc w:val="center"/>
              <w:rPr>
                <w:rFonts w:hint="eastAsia" w:cs="宋体"/>
                <w:kern w:val="0"/>
                <w:sz w:val="21"/>
                <w:szCs w:val="21"/>
                <w:lang w:val="en-US" w:eastAsia="zh-CN"/>
              </w:rPr>
            </w:pPr>
            <w:r>
              <w:rPr>
                <w:rFonts w:hint="eastAsia"/>
                <w:color w:val="auto"/>
                <w:spacing w:val="-2"/>
                <w:sz w:val="21"/>
                <w:highlight w:val="none"/>
              </w:rPr>
              <w:t>1</w:t>
            </w:r>
          </w:p>
        </w:tc>
        <w:tc>
          <w:tcPr>
            <w:tcW w:w="1484" w:type="dxa"/>
            <w:shd w:val="clear" w:color="auto" w:fill="auto"/>
            <w:vAlign w:val="center"/>
          </w:tcPr>
          <w:p w14:paraId="7B17B09D">
            <w:pPr>
              <w:widowControl/>
              <w:jc w:val="center"/>
              <w:rPr>
                <w:rFonts w:hint="eastAsia" w:cs="宋体"/>
                <w:kern w:val="0"/>
                <w:sz w:val="21"/>
                <w:szCs w:val="21"/>
              </w:rPr>
            </w:pPr>
            <w:r>
              <w:rPr>
                <w:rFonts w:hint="eastAsia"/>
                <w:color w:val="auto"/>
                <w:spacing w:val="-2"/>
                <w:sz w:val="21"/>
                <w:highlight w:val="none"/>
              </w:rPr>
              <w:t>黄鳍鲷</w:t>
            </w:r>
          </w:p>
        </w:tc>
        <w:tc>
          <w:tcPr>
            <w:tcW w:w="1933" w:type="dxa"/>
            <w:shd w:val="clear" w:color="auto" w:fill="auto"/>
            <w:vAlign w:val="center"/>
          </w:tcPr>
          <w:p w14:paraId="2F2413E3">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2B243537">
            <w:pPr>
              <w:widowControl/>
              <w:jc w:val="center"/>
              <w:rPr>
                <w:rFonts w:hint="default" w:eastAsia="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50.00</w:t>
            </w:r>
          </w:p>
        </w:tc>
        <w:tc>
          <w:tcPr>
            <w:tcW w:w="1807" w:type="dxa"/>
            <w:shd w:val="clear" w:color="auto" w:fill="auto"/>
            <w:vAlign w:val="center"/>
          </w:tcPr>
          <w:p w14:paraId="269C4C6A">
            <w:pPr>
              <w:widowControl/>
              <w:jc w:val="center"/>
              <w:rPr>
                <w:rFonts w:hint="default" w:ascii="宋体" w:hAnsi="宋体" w:eastAsia="宋体" w:cs="宋体"/>
                <w:color w:val="auto"/>
                <w:spacing w:val="-2"/>
                <w:sz w:val="21"/>
                <w:highlight w:val="none"/>
                <w:lang w:val="en-US" w:eastAsia="zh-CN"/>
              </w:rPr>
            </w:pPr>
          </w:p>
        </w:tc>
        <w:tc>
          <w:tcPr>
            <w:tcW w:w="1266" w:type="dxa"/>
            <w:shd w:val="clear" w:color="auto" w:fill="auto"/>
            <w:vAlign w:val="center"/>
          </w:tcPr>
          <w:p w14:paraId="2721F97C">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26</w:t>
            </w:r>
          </w:p>
        </w:tc>
        <w:tc>
          <w:tcPr>
            <w:tcW w:w="1367" w:type="dxa"/>
            <w:shd w:val="clear" w:color="auto" w:fill="auto"/>
            <w:vAlign w:val="center"/>
          </w:tcPr>
          <w:p w14:paraId="3744257D">
            <w:pPr>
              <w:widowControl/>
              <w:jc w:val="center"/>
              <w:rPr>
                <w:rFonts w:hint="eastAsia"/>
                <w:color w:val="auto"/>
                <w:spacing w:val="-2"/>
                <w:sz w:val="21"/>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74A7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1B585498">
            <w:pPr>
              <w:widowControl/>
              <w:jc w:val="center"/>
              <w:rPr>
                <w:rFonts w:hint="eastAsia" w:cs="宋体"/>
                <w:kern w:val="0"/>
                <w:sz w:val="21"/>
                <w:szCs w:val="21"/>
              </w:rPr>
            </w:pPr>
            <w:r>
              <w:rPr>
                <w:rFonts w:hint="eastAsia"/>
                <w:color w:val="auto"/>
                <w:spacing w:val="-2"/>
                <w:sz w:val="21"/>
                <w:highlight w:val="none"/>
              </w:rPr>
              <w:t>2</w:t>
            </w:r>
          </w:p>
        </w:tc>
        <w:tc>
          <w:tcPr>
            <w:tcW w:w="1484" w:type="dxa"/>
            <w:shd w:val="clear" w:color="auto" w:fill="auto"/>
            <w:vAlign w:val="center"/>
          </w:tcPr>
          <w:p w14:paraId="1E8AE598">
            <w:pPr>
              <w:widowControl/>
              <w:jc w:val="center"/>
              <w:rPr>
                <w:rFonts w:hint="eastAsia" w:cs="宋体"/>
                <w:kern w:val="0"/>
                <w:sz w:val="21"/>
                <w:szCs w:val="21"/>
              </w:rPr>
            </w:pPr>
            <w:r>
              <w:rPr>
                <w:rFonts w:hint="eastAsia"/>
                <w:color w:val="auto"/>
                <w:spacing w:val="-2"/>
                <w:sz w:val="21"/>
                <w:highlight w:val="none"/>
                <w:lang w:val="en-US" w:eastAsia="zh-CN"/>
              </w:rPr>
              <w:t xml:space="preserve">黑  </w:t>
            </w:r>
            <w:r>
              <w:rPr>
                <w:rFonts w:hint="eastAsia"/>
                <w:color w:val="auto"/>
                <w:spacing w:val="-2"/>
                <w:sz w:val="21"/>
                <w:highlight w:val="none"/>
              </w:rPr>
              <w:t>鲷</w:t>
            </w:r>
          </w:p>
        </w:tc>
        <w:tc>
          <w:tcPr>
            <w:tcW w:w="1933" w:type="dxa"/>
            <w:shd w:val="clear" w:color="auto" w:fill="auto"/>
            <w:vAlign w:val="center"/>
          </w:tcPr>
          <w:p w14:paraId="75C84E66">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48EBC161">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807" w:type="dxa"/>
            <w:shd w:val="clear" w:color="auto" w:fill="auto"/>
            <w:vAlign w:val="center"/>
          </w:tcPr>
          <w:p w14:paraId="396BB5F2">
            <w:pPr>
              <w:widowControl/>
              <w:jc w:val="center"/>
              <w:rPr>
                <w:rFonts w:hint="default" w:ascii="宋体" w:hAnsi="宋体" w:eastAsia="宋体" w:cs="宋体"/>
                <w:color w:val="auto"/>
                <w:spacing w:val="-2"/>
                <w:sz w:val="21"/>
                <w:highlight w:val="none"/>
                <w:lang w:val="en-US" w:eastAsia="zh-CN"/>
              </w:rPr>
            </w:pPr>
          </w:p>
        </w:tc>
        <w:tc>
          <w:tcPr>
            <w:tcW w:w="1266" w:type="dxa"/>
            <w:shd w:val="clear" w:color="auto" w:fill="auto"/>
            <w:vAlign w:val="center"/>
          </w:tcPr>
          <w:p w14:paraId="3EE7B496">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26</w:t>
            </w:r>
          </w:p>
        </w:tc>
        <w:tc>
          <w:tcPr>
            <w:tcW w:w="1367" w:type="dxa"/>
            <w:shd w:val="clear" w:color="auto" w:fill="auto"/>
            <w:vAlign w:val="center"/>
          </w:tcPr>
          <w:p w14:paraId="0823FD9F">
            <w:pPr>
              <w:widowControl/>
              <w:jc w:val="center"/>
              <w:rPr>
                <w:rFonts w:hint="eastAsia"/>
                <w:color w:val="auto"/>
                <w:spacing w:val="-2"/>
                <w:sz w:val="21"/>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w:t>
            </w:r>
          </w:p>
        </w:tc>
      </w:tr>
      <w:tr w14:paraId="1B0B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545D35F4">
            <w:pPr>
              <w:widowControl/>
              <w:jc w:val="center"/>
              <w:rPr>
                <w:rFonts w:hint="eastAsia" w:cs="宋体"/>
                <w:kern w:val="0"/>
                <w:sz w:val="21"/>
                <w:szCs w:val="21"/>
              </w:rPr>
            </w:pPr>
            <w:r>
              <w:rPr>
                <w:rFonts w:hint="eastAsia"/>
                <w:color w:val="auto"/>
                <w:spacing w:val="-2"/>
                <w:sz w:val="21"/>
                <w:highlight w:val="none"/>
                <w:lang w:val="en-US" w:eastAsia="zh-CN"/>
              </w:rPr>
              <w:t>3</w:t>
            </w:r>
          </w:p>
        </w:tc>
        <w:tc>
          <w:tcPr>
            <w:tcW w:w="1484" w:type="dxa"/>
            <w:shd w:val="clear" w:color="auto" w:fill="auto"/>
            <w:vAlign w:val="center"/>
          </w:tcPr>
          <w:p w14:paraId="4DFA8235">
            <w:pPr>
              <w:widowControl/>
              <w:jc w:val="center"/>
              <w:rPr>
                <w:rFonts w:hint="eastAsia" w:cs="宋体"/>
                <w:kern w:val="0"/>
                <w:sz w:val="21"/>
                <w:szCs w:val="21"/>
              </w:rPr>
            </w:pPr>
            <w:r>
              <w:rPr>
                <w:rFonts w:hint="eastAsia"/>
                <w:color w:val="auto"/>
                <w:spacing w:val="-2"/>
                <w:sz w:val="21"/>
                <w:highlight w:val="none"/>
              </w:rPr>
              <w:t>大黄鱼</w:t>
            </w:r>
          </w:p>
        </w:tc>
        <w:tc>
          <w:tcPr>
            <w:tcW w:w="1933" w:type="dxa"/>
            <w:shd w:val="clear" w:color="auto" w:fill="auto"/>
            <w:vAlign w:val="center"/>
          </w:tcPr>
          <w:p w14:paraId="7D7C34B7">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1E05C981">
            <w:pPr>
              <w:widowControl/>
              <w:jc w:val="center"/>
              <w:rPr>
                <w:rFonts w:hint="eastAsia"/>
                <w:color w:val="auto"/>
                <w:spacing w:val="-2"/>
                <w:sz w:val="21"/>
                <w:highlight w:val="none"/>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807" w:type="dxa"/>
            <w:shd w:val="clear" w:color="auto" w:fill="auto"/>
            <w:vAlign w:val="center"/>
          </w:tcPr>
          <w:p w14:paraId="392070FA">
            <w:pPr>
              <w:widowControl/>
              <w:jc w:val="center"/>
              <w:rPr>
                <w:rFonts w:hint="default" w:ascii="宋体" w:hAnsi="宋体" w:eastAsia="宋体" w:cs="宋体"/>
                <w:color w:val="auto"/>
                <w:spacing w:val="-2"/>
                <w:sz w:val="21"/>
                <w:highlight w:val="none"/>
                <w:lang w:val="en-US"/>
              </w:rPr>
            </w:pPr>
          </w:p>
        </w:tc>
        <w:tc>
          <w:tcPr>
            <w:tcW w:w="1266" w:type="dxa"/>
            <w:shd w:val="clear" w:color="auto" w:fill="auto"/>
            <w:vAlign w:val="center"/>
          </w:tcPr>
          <w:p w14:paraId="1EC0BF06">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26</w:t>
            </w:r>
          </w:p>
        </w:tc>
        <w:tc>
          <w:tcPr>
            <w:tcW w:w="1367" w:type="dxa"/>
            <w:shd w:val="clear" w:color="auto" w:fill="auto"/>
            <w:vAlign w:val="center"/>
          </w:tcPr>
          <w:p w14:paraId="0CA41CDC">
            <w:pPr>
              <w:widowControl/>
              <w:jc w:val="center"/>
              <w:rPr>
                <w:color w:val="auto"/>
                <w:spacing w:val="-2"/>
                <w:sz w:val="21"/>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32EB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0308D4B5">
            <w:pPr>
              <w:widowControl/>
              <w:jc w:val="center"/>
              <w:rPr>
                <w:rFonts w:hint="eastAsia" w:eastAsia="宋体" w:cs="宋体"/>
                <w:kern w:val="0"/>
                <w:sz w:val="21"/>
                <w:szCs w:val="21"/>
                <w:lang w:eastAsia="zh-CN"/>
              </w:rPr>
            </w:pPr>
            <w:r>
              <w:rPr>
                <w:rFonts w:hint="eastAsia"/>
                <w:b w:val="0"/>
                <w:bCs w:val="0"/>
                <w:color w:val="auto"/>
                <w:sz w:val="24"/>
                <w:szCs w:val="24"/>
                <w:highlight w:val="none"/>
                <w:lang w:val="en-US" w:eastAsia="zh-CN"/>
              </w:rPr>
              <w:t>4</w:t>
            </w:r>
          </w:p>
        </w:tc>
        <w:tc>
          <w:tcPr>
            <w:tcW w:w="1484" w:type="dxa"/>
            <w:shd w:val="clear" w:color="auto" w:fill="auto"/>
            <w:vAlign w:val="center"/>
          </w:tcPr>
          <w:p w14:paraId="6D528D8D">
            <w:pPr>
              <w:widowControl/>
              <w:jc w:val="center"/>
              <w:rPr>
                <w:rFonts w:hint="eastAsia" w:cs="宋体"/>
                <w:kern w:val="0"/>
                <w:sz w:val="21"/>
                <w:szCs w:val="21"/>
              </w:rPr>
            </w:pPr>
            <w:r>
              <w:rPr>
                <w:rFonts w:hint="eastAsia"/>
                <w:color w:val="auto"/>
                <w:spacing w:val="-2"/>
                <w:sz w:val="21"/>
                <w:highlight w:val="none"/>
              </w:rPr>
              <w:t>日本对虾</w:t>
            </w:r>
          </w:p>
        </w:tc>
        <w:tc>
          <w:tcPr>
            <w:tcW w:w="1933" w:type="dxa"/>
            <w:shd w:val="clear" w:color="auto" w:fill="auto"/>
            <w:vAlign w:val="center"/>
          </w:tcPr>
          <w:p w14:paraId="36DB139D">
            <w:pPr>
              <w:widowControl/>
              <w:jc w:val="center"/>
              <w:rPr>
                <w:rFonts w:cs="宋体"/>
                <w:color w:val="000000"/>
                <w:kern w:val="0"/>
                <w:sz w:val="21"/>
                <w:szCs w:val="21"/>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217" w:type="dxa"/>
            <w:shd w:val="clear" w:color="auto" w:fill="auto"/>
            <w:vAlign w:val="center"/>
          </w:tcPr>
          <w:p w14:paraId="52E1A956">
            <w:pPr>
              <w:widowControl/>
              <w:jc w:val="center"/>
              <w:rPr>
                <w:rFonts w:hint="default"/>
                <w:color w:val="auto"/>
                <w:spacing w:val="-2"/>
                <w:sz w:val="21"/>
                <w:highlight w:val="none"/>
                <w:lang w:val="en-US"/>
              </w:rPr>
            </w:pPr>
            <w:r>
              <w:rPr>
                <w:rFonts w:hint="eastAsia" w:cs="宋体"/>
                <w:color w:val="auto"/>
                <w:spacing w:val="-2"/>
                <w:sz w:val="21"/>
                <w:highlight w:val="none"/>
                <w:lang w:val="en-US" w:eastAsia="zh-CN"/>
              </w:rPr>
              <w:t>44.90</w:t>
            </w:r>
          </w:p>
        </w:tc>
        <w:tc>
          <w:tcPr>
            <w:tcW w:w="1807" w:type="dxa"/>
            <w:shd w:val="clear" w:color="auto" w:fill="auto"/>
            <w:vAlign w:val="center"/>
          </w:tcPr>
          <w:p w14:paraId="69BC6508">
            <w:pPr>
              <w:widowControl/>
              <w:jc w:val="center"/>
              <w:rPr>
                <w:rFonts w:hint="default" w:ascii="宋体" w:hAnsi="宋体" w:eastAsia="宋体" w:cs="宋体"/>
                <w:b w:val="0"/>
                <w:bCs w:val="0"/>
                <w:color w:val="auto"/>
                <w:spacing w:val="-2"/>
                <w:sz w:val="21"/>
                <w:highlight w:val="none"/>
                <w:lang w:val="en-US" w:eastAsia="zh-CN"/>
              </w:rPr>
            </w:pPr>
          </w:p>
        </w:tc>
        <w:tc>
          <w:tcPr>
            <w:tcW w:w="1266" w:type="dxa"/>
            <w:shd w:val="clear" w:color="auto" w:fill="auto"/>
            <w:vAlign w:val="center"/>
          </w:tcPr>
          <w:p w14:paraId="6B6929FB">
            <w:pPr>
              <w:widowControl/>
              <w:jc w:val="center"/>
              <w:rPr>
                <w:rFonts w:hint="default" w:eastAsia="宋体"/>
                <w:b w:val="0"/>
                <w:bCs w:val="0"/>
                <w:color w:val="auto"/>
                <w:sz w:val="24"/>
                <w:szCs w:val="24"/>
                <w:highlight w:val="none"/>
                <w:lang w:val="en-US" w:eastAsia="zh-CN"/>
              </w:rPr>
            </w:pPr>
            <w:r>
              <w:rPr>
                <w:rFonts w:hint="eastAsia"/>
                <w:color w:val="auto"/>
                <w:spacing w:val="-2"/>
                <w:sz w:val="21"/>
                <w:highlight w:val="none"/>
                <w:lang w:val="en-US" w:eastAsia="zh-CN"/>
              </w:rPr>
              <w:t>22</w:t>
            </w:r>
          </w:p>
        </w:tc>
        <w:tc>
          <w:tcPr>
            <w:tcW w:w="1367" w:type="dxa"/>
            <w:shd w:val="clear" w:color="auto" w:fill="auto"/>
            <w:vAlign w:val="center"/>
          </w:tcPr>
          <w:p w14:paraId="588B19D5">
            <w:pPr>
              <w:widowControl/>
              <w:jc w:val="center"/>
              <w:rPr>
                <w:rFonts w:hint="eastAsia"/>
                <w:b/>
                <w:bCs/>
                <w:color w:val="auto"/>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5000</w:t>
            </w:r>
          </w:p>
        </w:tc>
      </w:tr>
      <w:tr w14:paraId="0D8C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589B65A5">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合计</w:t>
            </w:r>
          </w:p>
        </w:tc>
        <w:tc>
          <w:tcPr>
            <w:tcW w:w="7707" w:type="dxa"/>
            <w:gridSpan w:val="5"/>
            <w:shd w:val="clear" w:color="auto" w:fill="auto"/>
            <w:vAlign w:val="center"/>
          </w:tcPr>
          <w:p w14:paraId="444718EF">
            <w:pPr>
              <w:widowControl/>
              <w:jc w:val="center"/>
              <w:rPr>
                <w:rFonts w:hint="eastAsia"/>
                <w:b/>
                <w:bCs/>
                <w:color w:val="auto"/>
                <w:sz w:val="24"/>
                <w:szCs w:val="24"/>
                <w:highlight w:val="none"/>
              </w:rPr>
            </w:pPr>
            <w:r>
              <w:rPr>
                <w:rFonts w:hint="eastAsia"/>
                <w:b/>
                <w:bCs/>
                <w:color w:val="auto"/>
                <w:sz w:val="24"/>
                <w:szCs w:val="24"/>
                <w:highlight w:val="none"/>
                <w:lang w:val="en-US" w:eastAsia="zh-CN"/>
              </w:rPr>
              <w:t>总  分</w:t>
            </w:r>
          </w:p>
        </w:tc>
        <w:tc>
          <w:tcPr>
            <w:tcW w:w="1367" w:type="dxa"/>
            <w:shd w:val="clear" w:color="auto" w:fill="auto"/>
            <w:vAlign w:val="center"/>
          </w:tcPr>
          <w:p w14:paraId="029D523E">
            <w:pPr>
              <w:widowControl/>
              <w:jc w:val="center"/>
              <w:rPr>
                <w:rFonts w:hint="eastAsia"/>
                <w:b/>
                <w:bCs/>
                <w:color w:val="auto"/>
                <w:sz w:val="24"/>
                <w:szCs w:val="24"/>
                <w:highlight w:val="none"/>
              </w:rPr>
            </w:pPr>
          </w:p>
        </w:tc>
      </w:tr>
      <w:tr w14:paraId="04C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3C8DBC1B">
            <w:pPr>
              <w:widowControl/>
              <w:numPr>
                <w:ilvl w:val="0"/>
                <w:numId w:val="0"/>
              </w:numPr>
              <w:spacing w:line="240" w:lineRule="auto"/>
              <w:rPr>
                <w:rFonts w:hint="default"/>
                <w:snapToGrid w:val="0"/>
                <w:sz w:val="21"/>
                <w:szCs w:val="21"/>
                <w:lang w:val="en-US" w:eastAsia="zh-CN"/>
              </w:rPr>
            </w:pPr>
            <w:r>
              <w:rPr>
                <w:rFonts w:hint="eastAsia" w:cs="宋体"/>
                <w:snapToGrid w:val="0"/>
                <w:sz w:val="21"/>
                <w:szCs w:val="21"/>
                <w:lang w:val="en-US" w:eastAsia="zh-CN"/>
              </w:rPr>
              <w:t>备注</w:t>
            </w:r>
            <w:r>
              <w:rPr>
                <w:rFonts w:hint="eastAsia" w:hAnsi="宋体" w:cs="宋体"/>
                <w:snapToGrid w:val="0"/>
                <w:sz w:val="21"/>
                <w:szCs w:val="21"/>
                <w:lang w:val="en-US" w:eastAsia="zh-CN"/>
              </w:rPr>
              <w:t>：</w:t>
            </w:r>
            <w:r>
              <w:rPr>
                <w:rFonts w:hint="eastAsia" w:cs="宋体"/>
                <w:snapToGrid w:val="0"/>
                <w:sz w:val="21"/>
                <w:szCs w:val="21"/>
                <w:lang w:val="en-US" w:eastAsia="zh-CN"/>
              </w:rPr>
              <w:t>1、放流时间：</w:t>
            </w:r>
            <w:r>
              <w:rPr>
                <w:rFonts w:hint="eastAsia"/>
                <w:color w:val="auto"/>
                <w:spacing w:val="-2"/>
                <w:sz w:val="21"/>
                <w:highlight w:val="none"/>
                <w:lang w:val="en-US" w:eastAsia="zh-CN"/>
              </w:rPr>
              <w:t>2025年12月下旬；2、</w:t>
            </w:r>
            <w:r>
              <w:rPr>
                <w:rFonts w:hint="eastAsia"/>
                <w:color w:val="auto"/>
                <w:spacing w:val="-2"/>
                <w:sz w:val="21"/>
                <w:highlight w:val="none"/>
                <w:lang w:eastAsia="zh-CN"/>
              </w:rPr>
              <w:t>各批次可合并，但不许拆分。</w:t>
            </w:r>
          </w:p>
        </w:tc>
      </w:tr>
    </w:tbl>
    <w:p w14:paraId="18549C61">
      <w:pPr>
        <w:snapToGrid w:val="0"/>
        <w:spacing w:line="460" w:lineRule="exact"/>
        <w:ind w:firstLine="480" w:firstLineChars="200"/>
        <w:rPr>
          <w:rFonts w:hint="eastAsia" w:ascii="仿宋" w:hAnsi="仿宋" w:eastAsia="仿宋" w:cs="宋体"/>
          <w:sz w:val="24"/>
          <w:szCs w:val="24"/>
          <w:lang w:val="en-US" w:eastAsia="zh-CN" w:bidi="ar-SA"/>
        </w:rPr>
      </w:pPr>
    </w:p>
    <w:p w14:paraId="6BBFFF23">
      <w:pPr>
        <w:snapToGrid w:val="0"/>
        <w:spacing w:line="460" w:lineRule="exact"/>
        <w:ind w:firstLine="480" w:firstLineChars="200"/>
        <w:rPr>
          <w:rFonts w:hint="eastAsia" w:ascii="仿宋" w:hAnsi="仿宋" w:eastAsia="仿宋" w:cs="宋体"/>
          <w:sz w:val="24"/>
          <w:szCs w:val="24"/>
          <w:lang w:val="en-US" w:eastAsia="zh-CN" w:bidi="ar-SA"/>
        </w:rPr>
      </w:pPr>
    </w:p>
    <w:p w14:paraId="3F1BDE4B">
      <w:pPr>
        <w:spacing w:before="15" w:line="336" w:lineRule="auto"/>
        <w:ind w:firstLine="480" w:firstLineChars="200"/>
        <w:rPr>
          <w:rFonts w:ascii="仿宋" w:hAnsi="仿宋" w:eastAsia="仿宋" w:cs="宋体"/>
          <w:sz w:val="24"/>
          <w:szCs w:val="24"/>
          <w:lang w:val="en-US" w:eastAsia="zh-CN" w:bidi="ar-SA"/>
        </w:rPr>
      </w:pPr>
      <w:r>
        <w:rPr>
          <w:rFonts w:ascii="仿宋" w:hAnsi="仿宋" w:eastAsia="仿宋" w:cs="宋体"/>
          <w:sz w:val="24"/>
          <w:szCs w:val="24"/>
          <w:lang w:val="en-US" w:eastAsia="zh-CN" w:bidi="ar-SA"/>
        </w:rPr>
        <w:t>四、以下情况作废选处理</w:t>
      </w:r>
    </w:p>
    <w:p w14:paraId="5240DC94">
      <w:pPr>
        <w:pStyle w:val="22"/>
        <w:spacing w:line="336"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1.对</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文件提出的实质性要求和条件，参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文件未能在实质上响应的。</w:t>
      </w:r>
    </w:p>
    <w:p w14:paraId="7DEF4604">
      <w:pPr>
        <w:pStyle w:val="22"/>
        <w:spacing w:line="336"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2.参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文件存在重大偏差的。</w:t>
      </w:r>
    </w:p>
    <w:p w14:paraId="645E3ABE">
      <w:pPr>
        <w:pStyle w:val="22"/>
        <w:spacing w:line="336"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3</w:t>
      </w:r>
      <w:r>
        <w:rPr>
          <w:rFonts w:ascii="仿宋" w:hAnsi="仿宋" w:eastAsia="仿宋" w:cs="宋体"/>
          <w:sz w:val="24"/>
          <w:szCs w:val="24"/>
          <w:lang w:val="en-US" w:eastAsia="zh-CN" w:bidi="ar-SA"/>
        </w:rPr>
        <w:t>.违反规定影响开</w:t>
      </w:r>
      <w:r>
        <w:rPr>
          <w:rFonts w:hint="eastAsia" w:ascii="仿宋" w:hAnsi="仿宋" w:eastAsia="仿宋" w:cs="宋体"/>
          <w:sz w:val="24"/>
          <w:szCs w:val="24"/>
          <w:lang w:val="en-US" w:eastAsia="zh-CN" w:bidi="ar-SA"/>
        </w:rPr>
        <w:t>评</w:t>
      </w:r>
      <w:r>
        <w:rPr>
          <w:rFonts w:ascii="仿宋" w:hAnsi="仿宋" w:eastAsia="仿宋" w:cs="宋体"/>
          <w:sz w:val="24"/>
          <w:szCs w:val="24"/>
          <w:lang w:val="en-US" w:eastAsia="zh-CN" w:bidi="ar-SA"/>
        </w:rPr>
        <w:t>审工作或采取其他方式对</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人施加影响的。</w:t>
      </w:r>
    </w:p>
    <w:p w14:paraId="77C6A635">
      <w:pPr>
        <w:pStyle w:val="22"/>
        <w:spacing w:line="336"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4</w:t>
      </w:r>
      <w:r>
        <w:rPr>
          <w:rFonts w:ascii="仿宋" w:hAnsi="仿宋" w:eastAsia="仿宋" w:cs="宋体"/>
          <w:sz w:val="24"/>
          <w:szCs w:val="24"/>
          <w:lang w:val="en-US" w:eastAsia="zh-CN" w:bidi="ar-SA"/>
        </w:rPr>
        <w:t>.参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人串标、相互勾结故意压低标价以排挤竞争对手的公平竞争的，其参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无效。</w:t>
      </w:r>
    </w:p>
    <w:p w14:paraId="47F97E1B">
      <w:pPr>
        <w:spacing w:before="15" w:line="336" w:lineRule="auto"/>
        <w:ind w:firstLine="480" w:firstLineChars="200"/>
        <w:rPr>
          <w:rFonts w:ascii="仿宋" w:hAnsi="仿宋" w:eastAsia="仿宋" w:cs="宋体"/>
          <w:sz w:val="24"/>
          <w:szCs w:val="24"/>
          <w:lang w:val="en-US" w:eastAsia="zh-CN" w:bidi="ar-SA"/>
        </w:rPr>
      </w:pPr>
      <w:r>
        <w:rPr>
          <w:rFonts w:ascii="仿宋" w:hAnsi="仿宋" w:eastAsia="仿宋" w:cs="宋体"/>
          <w:sz w:val="24"/>
          <w:szCs w:val="24"/>
          <w:lang w:val="en-US" w:eastAsia="zh-CN" w:bidi="ar-SA"/>
        </w:rPr>
        <w:t>五、评</w:t>
      </w:r>
      <w:r>
        <w:rPr>
          <w:rFonts w:hint="eastAsia" w:ascii="仿宋" w:hAnsi="仿宋" w:eastAsia="仿宋" w:cs="宋体"/>
          <w:sz w:val="24"/>
          <w:szCs w:val="24"/>
          <w:lang w:val="en-US" w:eastAsia="zh-CN" w:bidi="ar-SA"/>
        </w:rPr>
        <w:t>比</w:t>
      </w:r>
    </w:p>
    <w:p w14:paraId="4702F986">
      <w:pPr>
        <w:pStyle w:val="22"/>
        <w:spacing w:line="336"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1.</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人将在参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文件截止日期后另行择日组织</w:t>
      </w:r>
      <w:r>
        <w:rPr>
          <w:rFonts w:hint="eastAsia" w:ascii="仿宋" w:hAnsi="仿宋" w:eastAsia="仿宋" w:cs="宋体"/>
          <w:sz w:val="24"/>
          <w:szCs w:val="24"/>
          <w:lang w:val="en-US" w:eastAsia="zh-CN" w:bidi="ar-SA"/>
        </w:rPr>
        <w:t>评审</w:t>
      </w:r>
      <w:r>
        <w:rPr>
          <w:rFonts w:ascii="仿宋" w:hAnsi="仿宋" w:eastAsia="仿宋" w:cs="宋体"/>
          <w:sz w:val="24"/>
          <w:szCs w:val="24"/>
          <w:lang w:val="en-US" w:eastAsia="zh-CN" w:bidi="ar-SA"/>
        </w:rPr>
        <w:t>会，参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人选定工作在</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人有关部门监督下，由</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人依法组建的评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委员会负责。</w:t>
      </w:r>
    </w:p>
    <w:p w14:paraId="7D69F370">
      <w:pPr>
        <w:pStyle w:val="22"/>
        <w:spacing w:line="336" w:lineRule="auto"/>
        <w:ind w:right="121" w:firstLine="480" w:firstLineChars="200"/>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2.在开审时没有启封和读出的参比文件，在评审时将不予考虑。</w:t>
      </w:r>
    </w:p>
    <w:p w14:paraId="3B7B18D3">
      <w:pPr>
        <w:pStyle w:val="22"/>
        <w:spacing w:line="336" w:lineRule="auto"/>
        <w:ind w:right="121" w:firstLine="480" w:firstLineChars="200"/>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3.采购人将做开选记录。</w:t>
      </w:r>
    </w:p>
    <w:p w14:paraId="4E40EE67">
      <w:pPr>
        <w:pStyle w:val="22"/>
        <w:spacing w:line="336" w:lineRule="auto"/>
        <w:ind w:right="121" w:firstLine="480" w:firstLineChars="200"/>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4.采购人将根据评审结果与中选人签订合同。</w:t>
      </w:r>
    </w:p>
    <w:p w14:paraId="1DB6F3DF">
      <w:pPr>
        <w:spacing w:before="60" w:beforeLines="25" w:line="580" w:lineRule="exact"/>
        <w:rPr>
          <w:rFonts w:ascii="仿宋" w:hAnsi="仿宋" w:eastAsia="仿宋" w:cs="宋体"/>
          <w:b/>
          <w:bCs/>
          <w:sz w:val="28"/>
          <w:szCs w:val="28"/>
          <w:lang w:val="en-US" w:eastAsia="zh-CN" w:bidi="ar-SA"/>
        </w:rPr>
      </w:pPr>
      <w:r>
        <w:rPr>
          <w:rFonts w:hint="eastAsia" w:ascii="仿宋" w:hAnsi="仿宋" w:eastAsia="仿宋" w:cs="宋体"/>
          <w:b/>
          <w:bCs/>
          <w:sz w:val="28"/>
          <w:szCs w:val="28"/>
          <w:lang w:val="en-US" w:eastAsia="zh-CN" w:bidi="ar-SA"/>
        </w:rPr>
        <w:t>三</w:t>
      </w:r>
      <w:r>
        <w:rPr>
          <w:rFonts w:ascii="仿宋" w:hAnsi="仿宋" w:eastAsia="仿宋" w:cs="宋体"/>
          <w:b/>
          <w:bCs/>
          <w:sz w:val="28"/>
          <w:szCs w:val="28"/>
          <w:lang w:val="en-US" w:eastAsia="zh-CN" w:bidi="ar-SA"/>
        </w:rPr>
        <w:t>、评</w:t>
      </w:r>
      <w:r>
        <w:rPr>
          <w:rFonts w:hint="eastAsia" w:ascii="仿宋" w:hAnsi="仿宋" w:eastAsia="仿宋" w:cs="宋体"/>
          <w:b/>
          <w:bCs/>
          <w:sz w:val="28"/>
          <w:szCs w:val="28"/>
          <w:lang w:val="en-US" w:eastAsia="zh-CN" w:bidi="ar-SA"/>
        </w:rPr>
        <w:t>审</w:t>
      </w:r>
    </w:p>
    <w:p w14:paraId="17D09A03">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1.</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人将在参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w:t>
      </w:r>
      <w:r>
        <w:rPr>
          <w:rFonts w:hint="eastAsia" w:ascii="仿宋" w:hAnsi="仿宋" w:eastAsia="仿宋" w:cs="宋体"/>
          <w:sz w:val="24"/>
          <w:szCs w:val="24"/>
          <w:lang w:val="en-US" w:eastAsia="zh-CN" w:bidi="ar-SA"/>
        </w:rPr>
        <w:t>递交</w:t>
      </w:r>
      <w:r>
        <w:rPr>
          <w:rFonts w:ascii="仿宋" w:hAnsi="仿宋" w:eastAsia="仿宋" w:cs="宋体"/>
          <w:sz w:val="24"/>
          <w:szCs w:val="24"/>
          <w:lang w:val="en-US" w:eastAsia="zh-CN" w:bidi="ar-SA"/>
        </w:rPr>
        <w:t>截止日期后择日组织</w:t>
      </w:r>
      <w:r>
        <w:rPr>
          <w:rFonts w:hint="eastAsia" w:ascii="仿宋" w:hAnsi="仿宋" w:eastAsia="仿宋" w:cs="宋体"/>
          <w:sz w:val="24"/>
          <w:szCs w:val="24"/>
          <w:lang w:val="en-US" w:eastAsia="zh-CN" w:bidi="ar-SA"/>
        </w:rPr>
        <w:t>评审</w:t>
      </w:r>
      <w:r>
        <w:rPr>
          <w:rFonts w:ascii="仿宋" w:hAnsi="仿宋" w:eastAsia="仿宋" w:cs="宋体"/>
          <w:sz w:val="24"/>
          <w:szCs w:val="24"/>
          <w:lang w:val="en-US" w:eastAsia="zh-CN" w:bidi="ar-SA"/>
        </w:rPr>
        <w:t>会，</w:t>
      </w:r>
      <w:r>
        <w:rPr>
          <w:rFonts w:hint="eastAsia" w:ascii="仿宋" w:hAnsi="仿宋" w:eastAsia="仿宋" w:cs="宋体"/>
          <w:sz w:val="24"/>
          <w:szCs w:val="24"/>
          <w:lang w:val="en-US" w:eastAsia="zh-CN" w:bidi="ar-SA"/>
        </w:rPr>
        <w:t>中选人的</w:t>
      </w:r>
      <w:r>
        <w:rPr>
          <w:rFonts w:ascii="仿宋" w:hAnsi="仿宋" w:eastAsia="仿宋" w:cs="宋体"/>
          <w:sz w:val="24"/>
          <w:szCs w:val="24"/>
          <w:lang w:val="en-US" w:eastAsia="zh-CN" w:bidi="ar-SA"/>
        </w:rPr>
        <w:t>选定工作在</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人有关部门监督下，由</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人依法组建的评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委员会负责。</w:t>
      </w:r>
    </w:p>
    <w:p w14:paraId="6EE8832C">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2.在开</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时没有启封和读出的参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文件，在评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时将不予考虑。</w:t>
      </w:r>
    </w:p>
    <w:p w14:paraId="7EC7FF5C">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3.</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人将做开选记录。</w:t>
      </w:r>
    </w:p>
    <w:p w14:paraId="133D54CB">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4.采购人将根据评审结果与中选人签订合同。</w:t>
      </w:r>
    </w:p>
    <w:p w14:paraId="32C4BFC0">
      <w:pPr>
        <w:spacing w:before="15" w:line="360" w:lineRule="auto"/>
        <w:ind w:firstLine="480" w:firstLineChars="200"/>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四</w:t>
      </w:r>
      <w:r>
        <w:rPr>
          <w:rFonts w:ascii="仿宋" w:hAnsi="仿宋" w:eastAsia="仿宋" w:cs="宋体"/>
          <w:sz w:val="24"/>
          <w:szCs w:val="24"/>
          <w:lang w:val="en-US" w:eastAsia="zh-CN" w:bidi="ar-SA"/>
        </w:rPr>
        <w:t>、以下情况作废选处理</w:t>
      </w:r>
    </w:p>
    <w:p w14:paraId="5D7CFC2B">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1.实质性响应要求的内容未按规定由参比人签名或加盖公章的；</w:t>
      </w:r>
    </w:p>
    <w:p w14:paraId="502199CD">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2.未按照采购文件要求提交参比保证金的；</w:t>
      </w:r>
    </w:p>
    <w:p w14:paraId="1865633E">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3.参比人不符合采购文件规定的资格条件；</w:t>
      </w:r>
    </w:p>
    <w:p w14:paraId="6080FF22">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4.</w:t>
      </w:r>
      <w:r>
        <w:rPr>
          <w:rFonts w:ascii="仿宋" w:hAnsi="仿宋" w:eastAsia="仿宋" w:cs="宋体"/>
          <w:sz w:val="24"/>
          <w:szCs w:val="24"/>
          <w:lang w:val="en-US" w:eastAsia="zh-CN" w:bidi="ar-SA"/>
        </w:rPr>
        <w:t>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文件存在重大偏差的</w:t>
      </w:r>
      <w:r>
        <w:rPr>
          <w:rFonts w:hint="eastAsia" w:ascii="仿宋" w:hAnsi="仿宋" w:eastAsia="仿宋" w:cs="宋体"/>
          <w:sz w:val="24"/>
          <w:szCs w:val="24"/>
          <w:lang w:val="en-US" w:eastAsia="zh-CN" w:bidi="ar-SA"/>
        </w:rPr>
        <w:t>，不能满足完成本项目采购的相关要求，不能响应比选文件实质性要求的；</w:t>
      </w:r>
    </w:p>
    <w:p w14:paraId="1BFA6664">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5.违反规定影响开评审工作或采取其他方式对采购人施加影响的。</w:t>
      </w:r>
    </w:p>
    <w:p w14:paraId="0CB9A82F">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6.参比人串标、相互勾结故意压低标价以排挤竞争对手的公平竞争的，其参比无效。 </w:t>
      </w:r>
    </w:p>
    <w:p w14:paraId="41871B7E">
      <w:pPr>
        <w:rPr>
          <w:rFonts w:ascii="仿宋" w:hAnsi="仿宋" w:eastAsia="仿宋"/>
          <w:lang w:eastAsia="zh-CN"/>
        </w:rPr>
      </w:pPr>
    </w:p>
    <w:p w14:paraId="077FADFC">
      <w:pPr>
        <w:rPr>
          <w:rFonts w:ascii="仿宋" w:hAnsi="仿宋" w:eastAsia="仿宋"/>
          <w:sz w:val="24"/>
          <w:szCs w:val="24"/>
          <w:lang w:eastAsia="zh-CN"/>
        </w:rPr>
      </w:pPr>
    </w:p>
    <w:p w14:paraId="43A8A0C6">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55"/>
          <w:rFonts w:hint="eastAsia" w:ascii="仿宋" w:hAnsi="仿宋" w:eastAsia="仿宋"/>
          <w:color w:val="FF0000"/>
          <w:sz w:val="24"/>
          <w:szCs w:val="24"/>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ascii="仿宋" w:hAnsi="仿宋" w:eastAsia="仿宋"/>
          <w:sz w:val="24"/>
          <w:szCs w:val="24"/>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2"/>
        <w:spacing w:line="360" w:lineRule="auto"/>
        <w:ind w:right="121"/>
        <w:jc w:val="both"/>
        <w:rPr>
          <w:rFonts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22"/>
        <w:spacing w:line="360" w:lineRule="auto"/>
        <w:ind w:right="121"/>
        <w:jc w:val="both"/>
        <w:rPr>
          <w:rFonts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2650" w:firstLineChars="1100"/>
        <w:jc w:val="both"/>
        <w:rPr>
          <w:rFonts w:ascii="仿宋" w:hAnsi="仿宋" w:eastAsia="仿宋"/>
          <w:sz w:val="24"/>
          <w:szCs w:val="24"/>
          <w:lang w:eastAsia="zh-CN"/>
        </w:rPr>
      </w:pPr>
    </w:p>
    <w:p w14:paraId="2293B6D6">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22"/>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1933"/>
        <w:gridCol w:w="1217"/>
        <w:gridCol w:w="1366"/>
        <w:gridCol w:w="1367"/>
        <w:gridCol w:w="1707"/>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4AE5CE72">
            <w:pPr>
              <w:widowControl/>
              <w:spacing w:line="240" w:lineRule="auto"/>
              <w:ind w:firstLine="0" w:firstLineChars="0"/>
              <w:jc w:val="center"/>
              <w:rPr>
                <w:rFonts w:hint="default" w:eastAsia="宋体" w:cs="宋体"/>
                <w:color w:val="000000"/>
                <w:kern w:val="0"/>
                <w:sz w:val="32"/>
                <w:szCs w:val="32"/>
                <w:lang w:val="en-US" w:eastAsia="zh-CN"/>
              </w:rPr>
            </w:pPr>
            <w:r>
              <w:rPr>
                <w:rFonts w:hint="eastAsia" w:cs="宋体"/>
                <w:color w:val="000000"/>
                <w:kern w:val="0"/>
                <w:sz w:val="32"/>
                <w:szCs w:val="32"/>
              </w:rPr>
              <w:t xml:space="preserve"> </w:t>
            </w:r>
            <w:r>
              <w:rPr>
                <w:rFonts w:hint="eastAsia"/>
                <w:b/>
                <w:bCs/>
                <w:color w:val="auto"/>
                <w:sz w:val="24"/>
                <w:szCs w:val="24"/>
                <w:highlight w:val="none"/>
                <w:lang w:eastAsia="zh-CN"/>
              </w:rPr>
              <w:t>增殖放流清单</w:t>
            </w:r>
          </w:p>
        </w:tc>
      </w:tr>
      <w:tr w14:paraId="497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6C748F21">
            <w:pPr>
              <w:widowControl/>
              <w:rPr>
                <w:rFonts w:hint="default" w:eastAsia="宋体" w:cs="宋体"/>
                <w:color w:val="000000"/>
                <w:kern w:val="0"/>
                <w:sz w:val="21"/>
                <w:szCs w:val="21"/>
                <w:lang w:val="en-US" w:eastAsia="zh-CN"/>
              </w:rPr>
            </w:pPr>
            <w:r>
              <w:rPr>
                <w:rFonts w:hint="eastAsia"/>
                <w:b/>
                <w:bCs/>
                <w:color w:val="auto"/>
                <w:sz w:val="24"/>
                <w:szCs w:val="24"/>
                <w:highlight w:val="none"/>
              </w:rPr>
              <w:t>序号</w:t>
            </w:r>
          </w:p>
        </w:tc>
        <w:tc>
          <w:tcPr>
            <w:tcW w:w="1484" w:type="dxa"/>
            <w:shd w:val="clear" w:color="auto" w:fill="auto"/>
            <w:vAlign w:val="center"/>
          </w:tcPr>
          <w:p w14:paraId="1C03C4EF">
            <w:pPr>
              <w:widowControl/>
              <w:jc w:val="center"/>
              <w:rPr>
                <w:rFonts w:cs="宋体"/>
                <w:kern w:val="0"/>
                <w:sz w:val="21"/>
                <w:szCs w:val="21"/>
              </w:rPr>
            </w:pPr>
            <w:r>
              <w:rPr>
                <w:rFonts w:hint="eastAsia"/>
                <w:b/>
                <w:bCs/>
                <w:color w:val="auto"/>
                <w:sz w:val="24"/>
                <w:szCs w:val="24"/>
                <w:highlight w:val="none"/>
              </w:rPr>
              <w:t>品种</w:t>
            </w:r>
          </w:p>
        </w:tc>
        <w:tc>
          <w:tcPr>
            <w:tcW w:w="1933" w:type="dxa"/>
            <w:shd w:val="clear" w:color="auto" w:fill="auto"/>
            <w:vAlign w:val="center"/>
          </w:tcPr>
          <w:p w14:paraId="530063BF">
            <w:pPr>
              <w:widowControl/>
              <w:jc w:val="center"/>
              <w:rPr>
                <w:rFonts w:hint="default" w:eastAsia="宋体" w:cs="宋体"/>
                <w:kern w:val="0"/>
                <w:sz w:val="21"/>
                <w:szCs w:val="21"/>
                <w:lang w:val="en-US" w:eastAsia="zh-CN"/>
              </w:rPr>
            </w:pPr>
            <w:r>
              <w:rPr>
                <w:rFonts w:hint="eastAsia"/>
                <w:b/>
                <w:bCs/>
                <w:color w:val="auto"/>
                <w:sz w:val="24"/>
                <w:szCs w:val="24"/>
                <w:highlight w:val="none"/>
              </w:rPr>
              <w:t>规格</w:t>
            </w:r>
          </w:p>
        </w:tc>
        <w:tc>
          <w:tcPr>
            <w:tcW w:w="1217" w:type="dxa"/>
            <w:shd w:val="clear" w:color="auto" w:fill="auto"/>
            <w:vAlign w:val="center"/>
          </w:tcPr>
          <w:p w14:paraId="0CBEE304">
            <w:pPr>
              <w:widowControl/>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数量</w:t>
            </w:r>
          </w:p>
          <w:p w14:paraId="705A019C">
            <w:pPr>
              <w:widowControl/>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（万尾）</w:t>
            </w:r>
          </w:p>
        </w:tc>
        <w:tc>
          <w:tcPr>
            <w:tcW w:w="1366" w:type="dxa"/>
            <w:shd w:val="clear" w:color="auto" w:fill="auto"/>
            <w:vAlign w:val="center"/>
          </w:tcPr>
          <w:p w14:paraId="203DB455">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投入金额（万元）</w:t>
            </w:r>
          </w:p>
        </w:tc>
        <w:tc>
          <w:tcPr>
            <w:tcW w:w="1367" w:type="dxa"/>
            <w:shd w:val="clear" w:color="auto" w:fill="auto"/>
            <w:vAlign w:val="center"/>
          </w:tcPr>
          <w:p w14:paraId="306BAC0F">
            <w:pPr>
              <w:widowControl/>
              <w:jc w:val="center"/>
              <w:rPr>
                <w:rFonts w:hint="eastAsia"/>
                <w:b/>
                <w:bCs/>
                <w:color w:val="auto"/>
                <w:sz w:val="24"/>
                <w:szCs w:val="24"/>
                <w:highlight w:val="none"/>
              </w:rPr>
            </w:pPr>
            <w:r>
              <w:rPr>
                <w:rFonts w:hint="eastAsia"/>
                <w:b/>
                <w:bCs/>
                <w:color w:val="auto"/>
                <w:sz w:val="24"/>
                <w:szCs w:val="24"/>
                <w:highlight w:val="none"/>
              </w:rPr>
              <w:t>放流时间</w:t>
            </w:r>
          </w:p>
        </w:tc>
        <w:tc>
          <w:tcPr>
            <w:tcW w:w="1707" w:type="dxa"/>
            <w:shd w:val="clear" w:color="auto" w:fill="auto"/>
            <w:vAlign w:val="center"/>
          </w:tcPr>
          <w:p w14:paraId="11691BEB">
            <w:pPr>
              <w:widowControl/>
              <w:jc w:val="center"/>
              <w:rPr>
                <w:rFonts w:hint="eastAsia"/>
                <w:b/>
                <w:bCs/>
                <w:color w:val="auto"/>
                <w:sz w:val="24"/>
                <w:szCs w:val="24"/>
                <w:highlight w:val="none"/>
              </w:rPr>
            </w:pPr>
            <w:r>
              <w:rPr>
                <w:rFonts w:hint="eastAsia"/>
                <w:b/>
                <w:bCs/>
                <w:color w:val="auto"/>
                <w:sz w:val="24"/>
                <w:szCs w:val="24"/>
                <w:highlight w:val="none"/>
              </w:rPr>
              <w:t>备注</w:t>
            </w:r>
          </w:p>
        </w:tc>
      </w:tr>
      <w:tr w14:paraId="194F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4F04A427">
            <w:pPr>
              <w:widowControl/>
              <w:jc w:val="center"/>
              <w:rPr>
                <w:rFonts w:hint="eastAsia" w:cs="宋体"/>
                <w:kern w:val="0"/>
                <w:sz w:val="21"/>
                <w:szCs w:val="21"/>
                <w:lang w:val="en-US" w:eastAsia="zh-CN"/>
              </w:rPr>
            </w:pPr>
            <w:r>
              <w:rPr>
                <w:rFonts w:hint="eastAsia"/>
                <w:color w:val="auto"/>
                <w:spacing w:val="-2"/>
                <w:sz w:val="21"/>
                <w:highlight w:val="none"/>
              </w:rPr>
              <w:t>1</w:t>
            </w:r>
          </w:p>
        </w:tc>
        <w:tc>
          <w:tcPr>
            <w:tcW w:w="1484" w:type="dxa"/>
            <w:shd w:val="clear" w:color="auto" w:fill="auto"/>
            <w:vAlign w:val="center"/>
          </w:tcPr>
          <w:p w14:paraId="4487C6E2">
            <w:pPr>
              <w:widowControl/>
              <w:jc w:val="center"/>
              <w:rPr>
                <w:rFonts w:hint="eastAsia" w:cs="宋体"/>
                <w:kern w:val="0"/>
                <w:sz w:val="21"/>
                <w:szCs w:val="21"/>
              </w:rPr>
            </w:pPr>
            <w:r>
              <w:rPr>
                <w:rFonts w:hint="eastAsia"/>
                <w:color w:val="auto"/>
                <w:spacing w:val="-2"/>
                <w:sz w:val="21"/>
                <w:highlight w:val="none"/>
              </w:rPr>
              <w:t>黄鳍鲷</w:t>
            </w:r>
          </w:p>
        </w:tc>
        <w:tc>
          <w:tcPr>
            <w:tcW w:w="1933" w:type="dxa"/>
            <w:shd w:val="clear" w:color="auto" w:fill="auto"/>
            <w:vAlign w:val="center"/>
          </w:tcPr>
          <w:p w14:paraId="5CDBD7DE">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1D397FC9">
            <w:pPr>
              <w:widowControl/>
              <w:jc w:val="center"/>
              <w:rPr>
                <w:rFonts w:hint="default" w:eastAsia="宋体"/>
                <w:color w:val="auto"/>
                <w:spacing w:val="-2"/>
                <w:sz w:val="21"/>
                <w:highlight w:val="none"/>
                <w:lang w:val="en-US" w:eastAsia="zh-CN"/>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100</w:t>
            </w:r>
          </w:p>
        </w:tc>
        <w:tc>
          <w:tcPr>
            <w:tcW w:w="1366" w:type="dxa"/>
            <w:shd w:val="clear" w:color="auto" w:fill="auto"/>
            <w:vAlign w:val="center"/>
          </w:tcPr>
          <w:p w14:paraId="7BF2DF14">
            <w:pPr>
              <w:widowControl/>
              <w:jc w:val="center"/>
              <w:rPr>
                <w:rFonts w:hint="default" w:ascii="宋体" w:hAnsi="宋体" w:eastAsia="宋体" w:cs="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50.00</w:t>
            </w:r>
          </w:p>
        </w:tc>
        <w:tc>
          <w:tcPr>
            <w:tcW w:w="1367" w:type="dxa"/>
            <w:vMerge w:val="restart"/>
            <w:shd w:val="clear" w:color="auto" w:fill="auto"/>
            <w:vAlign w:val="center"/>
          </w:tcPr>
          <w:p w14:paraId="0F2F85B9">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2025年12月下旬</w:t>
            </w:r>
          </w:p>
        </w:tc>
        <w:tc>
          <w:tcPr>
            <w:tcW w:w="1707" w:type="dxa"/>
            <w:vMerge w:val="restart"/>
            <w:shd w:val="clear" w:color="auto" w:fill="auto"/>
            <w:vAlign w:val="center"/>
          </w:tcPr>
          <w:p w14:paraId="1034445C">
            <w:pPr>
              <w:widowControl/>
              <w:jc w:val="center"/>
              <w:rPr>
                <w:rFonts w:hint="eastAsia"/>
                <w:color w:val="auto"/>
                <w:spacing w:val="-2"/>
                <w:sz w:val="21"/>
                <w:highlight w:val="none"/>
              </w:rPr>
            </w:pPr>
            <w:r>
              <w:rPr>
                <w:rFonts w:hint="eastAsia"/>
                <w:color w:val="auto"/>
                <w:spacing w:val="-2"/>
                <w:sz w:val="21"/>
                <w:highlight w:val="none"/>
                <w:lang w:eastAsia="zh-CN"/>
              </w:rPr>
              <w:t>各批次可合并，但不许拆分</w:t>
            </w:r>
          </w:p>
        </w:tc>
      </w:tr>
      <w:tr w14:paraId="59CC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4404D393">
            <w:pPr>
              <w:widowControl/>
              <w:jc w:val="center"/>
              <w:rPr>
                <w:rFonts w:hint="eastAsia" w:cs="宋体"/>
                <w:kern w:val="0"/>
                <w:sz w:val="21"/>
                <w:szCs w:val="21"/>
              </w:rPr>
            </w:pPr>
            <w:r>
              <w:rPr>
                <w:rFonts w:hint="eastAsia"/>
                <w:color w:val="auto"/>
                <w:spacing w:val="-2"/>
                <w:sz w:val="21"/>
                <w:highlight w:val="none"/>
              </w:rPr>
              <w:t>2</w:t>
            </w:r>
          </w:p>
        </w:tc>
        <w:tc>
          <w:tcPr>
            <w:tcW w:w="1484" w:type="dxa"/>
            <w:shd w:val="clear" w:color="auto" w:fill="auto"/>
            <w:vAlign w:val="center"/>
          </w:tcPr>
          <w:p w14:paraId="2D75815C">
            <w:pPr>
              <w:widowControl/>
              <w:jc w:val="center"/>
              <w:rPr>
                <w:rFonts w:hint="eastAsia" w:cs="宋体"/>
                <w:kern w:val="0"/>
                <w:sz w:val="21"/>
                <w:szCs w:val="21"/>
              </w:rPr>
            </w:pPr>
            <w:r>
              <w:rPr>
                <w:rFonts w:hint="eastAsia"/>
                <w:color w:val="auto"/>
                <w:spacing w:val="-2"/>
                <w:sz w:val="21"/>
                <w:highlight w:val="none"/>
                <w:lang w:val="en-US" w:eastAsia="zh-CN"/>
              </w:rPr>
              <w:t>黑</w:t>
            </w:r>
            <w:r>
              <w:rPr>
                <w:rFonts w:hint="eastAsia"/>
                <w:color w:val="auto"/>
                <w:spacing w:val="-2"/>
                <w:sz w:val="21"/>
                <w:highlight w:val="none"/>
              </w:rPr>
              <w:t>鲷</w:t>
            </w:r>
          </w:p>
        </w:tc>
        <w:tc>
          <w:tcPr>
            <w:tcW w:w="1933" w:type="dxa"/>
            <w:shd w:val="clear" w:color="auto" w:fill="auto"/>
            <w:vAlign w:val="center"/>
          </w:tcPr>
          <w:p w14:paraId="2F33B8FE">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391CCDC7">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50</w:t>
            </w:r>
          </w:p>
        </w:tc>
        <w:tc>
          <w:tcPr>
            <w:tcW w:w="1366" w:type="dxa"/>
            <w:shd w:val="clear" w:color="auto" w:fill="auto"/>
            <w:vAlign w:val="center"/>
          </w:tcPr>
          <w:p w14:paraId="491BFA71">
            <w:pPr>
              <w:widowControl/>
              <w:jc w:val="center"/>
              <w:rPr>
                <w:rFonts w:hint="default" w:ascii="宋体" w:hAnsi="宋体" w:eastAsia="宋体" w:cs="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367" w:type="dxa"/>
            <w:vMerge w:val="continue"/>
            <w:shd w:val="clear" w:color="auto" w:fill="auto"/>
            <w:vAlign w:val="center"/>
          </w:tcPr>
          <w:p w14:paraId="4EF42DC1">
            <w:pPr>
              <w:widowControl/>
              <w:jc w:val="center"/>
              <w:rPr>
                <w:rFonts w:hint="eastAsia"/>
                <w:color w:val="auto"/>
                <w:spacing w:val="-2"/>
                <w:sz w:val="21"/>
                <w:highlight w:val="none"/>
              </w:rPr>
            </w:pPr>
          </w:p>
        </w:tc>
        <w:tc>
          <w:tcPr>
            <w:tcW w:w="1707" w:type="dxa"/>
            <w:vMerge w:val="continue"/>
            <w:shd w:val="clear" w:color="auto" w:fill="auto"/>
            <w:vAlign w:val="center"/>
          </w:tcPr>
          <w:p w14:paraId="774596D7">
            <w:pPr>
              <w:widowControl/>
              <w:jc w:val="center"/>
              <w:rPr>
                <w:rFonts w:hint="eastAsia"/>
                <w:color w:val="auto"/>
                <w:spacing w:val="-2"/>
                <w:sz w:val="21"/>
                <w:highlight w:val="none"/>
              </w:rPr>
            </w:pPr>
          </w:p>
        </w:tc>
      </w:tr>
      <w:tr w14:paraId="250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3DCDB938">
            <w:pPr>
              <w:widowControl/>
              <w:jc w:val="center"/>
              <w:rPr>
                <w:rFonts w:hint="eastAsia" w:cs="宋体"/>
                <w:kern w:val="0"/>
                <w:sz w:val="21"/>
                <w:szCs w:val="21"/>
              </w:rPr>
            </w:pPr>
            <w:r>
              <w:rPr>
                <w:rFonts w:hint="eastAsia"/>
                <w:color w:val="auto"/>
                <w:spacing w:val="-2"/>
                <w:sz w:val="21"/>
                <w:highlight w:val="none"/>
                <w:lang w:val="en-US" w:eastAsia="zh-CN"/>
              </w:rPr>
              <w:t>3</w:t>
            </w:r>
          </w:p>
        </w:tc>
        <w:tc>
          <w:tcPr>
            <w:tcW w:w="1484" w:type="dxa"/>
            <w:shd w:val="clear" w:color="auto" w:fill="auto"/>
            <w:vAlign w:val="center"/>
          </w:tcPr>
          <w:p w14:paraId="5AFE8678">
            <w:pPr>
              <w:widowControl/>
              <w:jc w:val="center"/>
              <w:rPr>
                <w:rFonts w:hint="eastAsia" w:cs="宋体"/>
                <w:kern w:val="0"/>
                <w:sz w:val="21"/>
                <w:szCs w:val="21"/>
              </w:rPr>
            </w:pPr>
            <w:r>
              <w:rPr>
                <w:rFonts w:hint="eastAsia"/>
                <w:color w:val="auto"/>
                <w:spacing w:val="-2"/>
                <w:sz w:val="21"/>
                <w:highlight w:val="none"/>
              </w:rPr>
              <w:t>大黄鱼</w:t>
            </w:r>
          </w:p>
        </w:tc>
        <w:tc>
          <w:tcPr>
            <w:tcW w:w="1933" w:type="dxa"/>
            <w:shd w:val="clear" w:color="auto" w:fill="auto"/>
            <w:vAlign w:val="center"/>
          </w:tcPr>
          <w:p w14:paraId="2340D4D1">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52C1CAB1">
            <w:pPr>
              <w:widowControl/>
              <w:jc w:val="center"/>
              <w:rPr>
                <w:rFonts w:hint="eastAsia"/>
                <w:color w:val="auto"/>
                <w:spacing w:val="-2"/>
                <w:sz w:val="21"/>
                <w:highlight w:val="none"/>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100</w:t>
            </w:r>
          </w:p>
        </w:tc>
        <w:tc>
          <w:tcPr>
            <w:tcW w:w="1366" w:type="dxa"/>
            <w:shd w:val="clear" w:color="auto" w:fill="auto"/>
            <w:vAlign w:val="center"/>
          </w:tcPr>
          <w:p w14:paraId="1274AAF6">
            <w:pPr>
              <w:widowControl/>
              <w:jc w:val="center"/>
              <w:rPr>
                <w:rFonts w:hint="default" w:ascii="宋体" w:hAnsi="宋体" w:eastAsia="宋体" w:cs="宋体"/>
                <w:color w:val="auto"/>
                <w:spacing w:val="-2"/>
                <w:sz w:val="21"/>
                <w:highlight w:val="none"/>
                <w:lang w:val="en-US"/>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367" w:type="dxa"/>
            <w:vMerge w:val="continue"/>
            <w:shd w:val="clear" w:color="auto" w:fill="auto"/>
            <w:vAlign w:val="center"/>
          </w:tcPr>
          <w:p w14:paraId="2C9F3786">
            <w:pPr>
              <w:widowControl/>
              <w:jc w:val="center"/>
              <w:rPr>
                <w:color w:val="auto"/>
                <w:spacing w:val="-2"/>
                <w:sz w:val="21"/>
                <w:highlight w:val="none"/>
              </w:rPr>
            </w:pPr>
          </w:p>
        </w:tc>
        <w:tc>
          <w:tcPr>
            <w:tcW w:w="1707" w:type="dxa"/>
            <w:vMerge w:val="continue"/>
            <w:shd w:val="clear" w:color="auto" w:fill="auto"/>
            <w:vAlign w:val="center"/>
          </w:tcPr>
          <w:p w14:paraId="4FAAC255">
            <w:pPr>
              <w:widowControl/>
              <w:jc w:val="center"/>
              <w:rPr>
                <w:color w:val="auto"/>
                <w:spacing w:val="-2"/>
                <w:sz w:val="21"/>
                <w:highlight w:val="none"/>
              </w:rPr>
            </w:pPr>
          </w:p>
        </w:tc>
      </w:tr>
      <w:tr w14:paraId="3F29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328FC15">
            <w:pPr>
              <w:widowControl/>
              <w:rPr>
                <w:rFonts w:hint="eastAsia" w:eastAsia="宋体" w:cs="宋体"/>
                <w:kern w:val="0"/>
                <w:sz w:val="21"/>
                <w:szCs w:val="21"/>
                <w:lang w:eastAsia="zh-CN"/>
              </w:rPr>
            </w:pPr>
            <w:r>
              <w:rPr>
                <w:rFonts w:hint="eastAsia"/>
                <w:b/>
                <w:bCs/>
                <w:color w:val="auto"/>
                <w:sz w:val="24"/>
                <w:szCs w:val="24"/>
                <w:highlight w:val="none"/>
                <w:lang w:val="en-US" w:eastAsia="zh-CN"/>
              </w:rPr>
              <w:t>4</w:t>
            </w:r>
          </w:p>
        </w:tc>
        <w:tc>
          <w:tcPr>
            <w:tcW w:w="1484" w:type="dxa"/>
            <w:shd w:val="clear" w:color="auto" w:fill="auto"/>
            <w:vAlign w:val="center"/>
          </w:tcPr>
          <w:p w14:paraId="46F88CEB">
            <w:pPr>
              <w:widowControl/>
              <w:jc w:val="center"/>
              <w:rPr>
                <w:rFonts w:hint="eastAsia" w:cs="宋体"/>
                <w:kern w:val="0"/>
                <w:sz w:val="21"/>
                <w:szCs w:val="21"/>
              </w:rPr>
            </w:pPr>
            <w:r>
              <w:rPr>
                <w:rFonts w:hint="eastAsia"/>
                <w:color w:val="auto"/>
                <w:spacing w:val="-2"/>
                <w:sz w:val="21"/>
                <w:highlight w:val="none"/>
              </w:rPr>
              <w:t>日本对虾</w:t>
            </w:r>
          </w:p>
        </w:tc>
        <w:tc>
          <w:tcPr>
            <w:tcW w:w="1933" w:type="dxa"/>
            <w:shd w:val="clear" w:color="auto" w:fill="auto"/>
            <w:vAlign w:val="center"/>
          </w:tcPr>
          <w:p w14:paraId="6C531B38">
            <w:pPr>
              <w:widowControl/>
              <w:jc w:val="center"/>
              <w:rPr>
                <w:rFonts w:cs="宋体"/>
                <w:color w:val="000000"/>
                <w:kern w:val="0"/>
                <w:sz w:val="21"/>
                <w:szCs w:val="21"/>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217" w:type="dxa"/>
            <w:shd w:val="clear" w:color="auto" w:fill="auto"/>
            <w:vAlign w:val="center"/>
          </w:tcPr>
          <w:p w14:paraId="0C5B4FC0">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5000</w:t>
            </w:r>
          </w:p>
        </w:tc>
        <w:tc>
          <w:tcPr>
            <w:tcW w:w="1366" w:type="dxa"/>
            <w:shd w:val="clear" w:color="auto" w:fill="auto"/>
            <w:vAlign w:val="center"/>
          </w:tcPr>
          <w:p w14:paraId="0130915F">
            <w:pPr>
              <w:widowControl/>
              <w:jc w:val="center"/>
              <w:rPr>
                <w:rFonts w:hint="default" w:ascii="宋体" w:hAnsi="宋体" w:eastAsia="宋体" w:cs="宋体"/>
                <w:color w:val="auto"/>
                <w:spacing w:val="-2"/>
                <w:sz w:val="21"/>
                <w:highlight w:val="none"/>
                <w:lang w:val="en-US" w:eastAsia="zh-CN"/>
              </w:rPr>
            </w:pPr>
            <w:r>
              <w:rPr>
                <w:rFonts w:hint="eastAsia" w:cs="宋体"/>
                <w:color w:val="auto"/>
                <w:spacing w:val="-2"/>
                <w:sz w:val="21"/>
                <w:highlight w:val="none"/>
                <w:lang w:val="en-US" w:eastAsia="zh-CN"/>
              </w:rPr>
              <w:t>44.90</w:t>
            </w:r>
          </w:p>
        </w:tc>
        <w:tc>
          <w:tcPr>
            <w:tcW w:w="1367" w:type="dxa"/>
            <w:vMerge w:val="continue"/>
            <w:shd w:val="clear" w:color="auto" w:fill="auto"/>
            <w:vAlign w:val="center"/>
          </w:tcPr>
          <w:p w14:paraId="175E867D">
            <w:pPr>
              <w:widowControl/>
              <w:jc w:val="center"/>
              <w:rPr>
                <w:rFonts w:hint="eastAsia"/>
                <w:b/>
                <w:bCs/>
                <w:color w:val="auto"/>
                <w:sz w:val="24"/>
                <w:szCs w:val="24"/>
                <w:highlight w:val="none"/>
              </w:rPr>
            </w:pPr>
          </w:p>
        </w:tc>
        <w:tc>
          <w:tcPr>
            <w:tcW w:w="1707" w:type="dxa"/>
            <w:vMerge w:val="continue"/>
            <w:shd w:val="clear" w:color="auto" w:fill="auto"/>
            <w:vAlign w:val="center"/>
          </w:tcPr>
          <w:p w14:paraId="2B6B82CB">
            <w:pPr>
              <w:widowControl/>
              <w:jc w:val="center"/>
              <w:rPr>
                <w:rFonts w:hint="eastAsia"/>
                <w:b/>
                <w:bCs/>
                <w:color w:val="auto"/>
                <w:sz w:val="24"/>
                <w:szCs w:val="24"/>
                <w:highlight w:val="none"/>
              </w:rPr>
            </w:pP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62CF3235">
            <w:pPr>
              <w:widowControl/>
              <w:numPr>
                <w:ilvl w:val="0"/>
                <w:numId w:val="0"/>
              </w:numPr>
              <w:spacing w:line="240" w:lineRule="auto"/>
              <w:rPr>
                <w:rFonts w:hint="default"/>
                <w:snapToGrid w:val="0"/>
                <w:sz w:val="21"/>
                <w:szCs w:val="21"/>
                <w:lang w:val="en-US" w:eastAsia="zh-CN"/>
              </w:rPr>
            </w:pPr>
            <w:r>
              <w:rPr>
                <w:rFonts w:hint="eastAsia" w:cs="宋体"/>
                <w:snapToGrid w:val="0"/>
                <w:sz w:val="21"/>
                <w:szCs w:val="21"/>
                <w:lang w:val="en-US" w:eastAsia="zh-CN"/>
              </w:rPr>
              <w:t>备注</w:t>
            </w:r>
            <w:r>
              <w:rPr>
                <w:rFonts w:hint="eastAsia" w:hAnsi="宋体" w:cs="宋体"/>
                <w:snapToGrid w:val="0"/>
                <w:sz w:val="21"/>
                <w:szCs w:val="21"/>
                <w:lang w:val="en-US" w:eastAsia="zh-CN"/>
              </w:rPr>
              <w:t>：</w:t>
            </w:r>
            <w:r>
              <w:rPr>
                <w:rFonts w:hint="eastAsia" w:cs="宋体"/>
                <w:snapToGrid w:val="0"/>
                <w:sz w:val="21"/>
                <w:szCs w:val="21"/>
                <w:lang w:val="en-US" w:eastAsia="zh-CN"/>
              </w:rPr>
              <w:t>低于上述标准则视为无效报价。</w:t>
            </w:r>
          </w:p>
        </w:tc>
      </w:tr>
    </w:tbl>
    <w:p w14:paraId="286AE196">
      <w:pPr>
        <w:pStyle w:val="12"/>
      </w:pPr>
    </w:p>
    <w:p w14:paraId="2E900B5F">
      <w:pPr>
        <w:pStyle w:val="12"/>
      </w:pPr>
    </w:p>
    <w:p w14:paraId="7DBC6D9F">
      <w:pPr>
        <w:pStyle w:val="12"/>
      </w:pPr>
    </w:p>
    <w:p w14:paraId="2B934334">
      <w:pPr>
        <w:pStyle w:val="12"/>
      </w:pPr>
    </w:p>
    <w:p w14:paraId="3E7A01E8">
      <w:pPr>
        <w:pStyle w:val="12"/>
      </w:pPr>
    </w:p>
    <w:p w14:paraId="3E4219D4">
      <w:pPr>
        <w:numPr>
          <w:ilvl w:val="0"/>
          <w:numId w:val="10"/>
        </w:numPr>
        <w:spacing w:line="360" w:lineRule="auto"/>
        <w:rPr>
          <w:rFonts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rPr>
          <w:color w:val="auto"/>
          <w:sz w:val="24"/>
          <w:szCs w:val="24"/>
        </w:rPr>
      </w:pPr>
      <w:r>
        <w:rPr>
          <w:rFonts w:hint="eastAsia"/>
          <w:color w:val="auto"/>
          <w:sz w:val="24"/>
          <w:szCs w:val="24"/>
        </w:rPr>
        <w:t>详见附件1</w:t>
      </w:r>
      <w:r>
        <w:rPr>
          <w:rFonts w:hint="eastAsia"/>
          <w:color w:val="auto"/>
          <w:sz w:val="24"/>
          <w:szCs w:val="24"/>
          <w:lang w:val="en-US" w:eastAsia="zh-CN"/>
        </w:rPr>
        <w:t>《</w:t>
      </w:r>
      <w:r>
        <w:rPr>
          <w:rFonts w:hint="eastAsia"/>
          <w:color w:val="auto"/>
          <w:sz w:val="24"/>
          <w:szCs w:val="24"/>
        </w:rPr>
        <w:t>海水冷却系统取水工程2025年度生态补偿增殖放流发包说明</w:t>
      </w:r>
      <w:r>
        <w:rPr>
          <w:rFonts w:hint="eastAsia" w:ascii="宋体" w:hAnsi="宋体" w:eastAsia="宋体" w:cs="宋体"/>
          <w:color w:val="auto"/>
          <w:sz w:val="24"/>
          <w:szCs w:val="24"/>
          <w:lang w:val="en-US" w:eastAsia="zh-CN" w:bidi="ar-SA"/>
        </w:rPr>
        <w:t>》</w:t>
      </w:r>
    </w:p>
    <w:p w14:paraId="7028DF1B">
      <w:pPr>
        <w:spacing w:line="360" w:lineRule="auto"/>
        <w:ind w:firstLine="3292" w:firstLineChars="911"/>
        <w:rPr>
          <w:rFonts w:ascii="仿宋" w:hAnsi="仿宋" w:eastAsia="仿宋" w:cs="Times New Roman"/>
          <w:b/>
          <w:sz w:val="36"/>
          <w:szCs w:val="36"/>
          <w:lang w:eastAsia="zh-CN"/>
        </w:rPr>
      </w:pPr>
    </w:p>
    <w:p w14:paraId="6B04056B">
      <w:pPr>
        <w:pStyle w:val="11"/>
        <w:rPr>
          <w:rFonts w:ascii="仿宋" w:hAnsi="仿宋" w:eastAsia="仿宋"/>
          <w:b/>
          <w:sz w:val="36"/>
          <w:szCs w:val="36"/>
        </w:rPr>
      </w:pPr>
    </w:p>
    <w:p w14:paraId="1450C865">
      <w:pPr>
        <w:pStyle w:val="11"/>
        <w:rPr>
          <w:rFonts w:ascii="仿宋" w:hAnsi="仿宋" w:eastAsia="仿宋"/>
          <w:b/>
          <w:sz w:val="36"/>
          <w:szCs w:val="36"/>
        </w:rPr>
      </w:pPr>
    </w:p>
    <w:p w14:paraId="02B0FD48">
      <w:pPr>
        <w:pStyle w:val="12"/>
        <w:rPr>
          <w:rFonts w:ascii="仿宋" w:hAnsi="仿宋" w:eastAsia="仿宋"/>
          <w:b/>
          <w:sz w:val="36"/>
          <w:szCs w:val="36"/>
        </w:rPr>
      </w:pPr>
    </w:p>
    <w:p w14:paraId="69FF1A0C">
      <w:pPr>
        <w:pStyle w:val="12"/>
        <w:rPr>
          <w:rFonts w:ascii="仿宋" w:hAnsi="仿宋" w:eastAsia="仿宋"/>
          <w:b/>
          <w:sz w:val="36"/>
          <w:szCs w:val="36"/>
        </w:rPr>
      </w:pPr>
    </w:p>
    <w:p w14:paraId="533C8484">
      <w:pPr>
        <w:pStyle w:val="12"/>
        <w:rPr>
          <w:rFonts w:ascii="仿宋" w:hAnsi="仿宋" w:eastAsia="仿宋"/>
          <w:b/>
          <w:sz w:val="36"/>
          <w:szCs w:val="36"/>
        </w:rPr>
      </w:pPr>
    </w:p>
    <w:p w14:paraId="27BE3F10">
      <w:pPr>
        <w:pStyle w:val="12"/>
        <w:rPr>
          <w:rFonts w:ascii="仿宋" w:hAnsi="仿宋" w:eastAsia="仿宋"/>
          <w:b/>
          <w:sz w:val="36"/>
          <w:szCs w:val="36"/>
        </w:rPr>
      </w:pPr>
    </w:p>
    <w:p w14:paraId="47326BAD">
      <w:pPr>
        <w:pStyle w:val="12"/>
        <w:rPr>
          <w:rFonts w:ascii="仿宋" w:hAnsi="仿宋" w:eastAsia="仿宋"/>
          <w:b/>
          <w:sz w:val="36"/>
          <w:szCs w:val="36"/>
        </w:rPr>
      </w:pPr>
    </w:p>
    <w:p w14:paraId="4B9AB811">
      <w:pPr>
        <w:pStyle w:val="12"/>
        <w:rPr>
          <w:rFonts w:ascii="仿宋" w:hAnsi="仿宋" w:eastAsia="仿宋"/>
          <w:b/>
          <w:sz w:val="36"/>
          <w:szCs w:val="36"/>
        </w:rPr>
      </w:pPr>
    </w:p>
    <w:p w14:paraId="041BD6C1">
      <w:pPr>
        <w:pStyle w:val="12"/>
        <w:rPr>
          <w:rFonts w:ascii="仿宋" w:hAnsi="仿宋" w:eastAsia="仿宋"/>
          <w:b/>
          <w:sz w:val="36"/>
          <w:szCs w:val="36"/>
        </w:rPr>
      </w:pPr>
    </w:p>
    <w:p w14:paraId="2C684640">
      <w:pPr>
        <w:pStyle w:val="12"/>
        <w:rPr>
          <w:rFonts w:ascii="仿宋" w:hAnsi="仿宋" w:eastAsia="仿宋"/>
          <w:b/>
          <w:sz w:val="36"/>
          <w:szCs w:val="36"/>
        </w:rPr>
      </w:pPr>
    </w:p>
    <w:p w14:paraId="6D29F815">
      <w:pPr>
        <w:pStyle w:val="12"/>
        <w:rPr>
          <w:rFonts w:ascii="仿宋" w:hAnsi="仿宋" w:eastAsia="仿宋"/>
          <w:b/>
          <w:sz w:val="36"/>
          <w:szCs w:val="36"/>
        </w:rPr>
      </w:pPr>
    </w:p>
    <w:p w14:paraId="121A32B9">
      <w:pPr>
        <w:pStyle w:val="12"/>
        <w:rPr>
          <w:rFonts w:ascii="仿宋" w:hAnsi="仿宋" w:eastAsia="仿宋"/>
          <w:b/>
          <w:sz w:val="36"/>
          <w:szCs w:val="36"/>
        </w:rPr>
      </w:pPr>
    </w:p>
    <w:p w14:paraId="4E48B684">
      <w:pPr>
        <w:pStyle w:val="12"/>
        <w:rPr>
          <w:rFonts w:ascii="仿宋" w:hAnsi="仿宋" w:eastAsia="仿宋"/>
          <w:b/>
          <w:sz w:val="36"/>
          <w:szCs w:val="36"/>
        </w:rPr>
      </w:pPr>
    </w:p>
    <w:p w14:paraId="28866464">
      <w:pPr>
        <w:pStyle w:val="11"/>
        <w:numPr>
          <w:ilvl w:val="0"/>
          <w:numId w:val="11"/>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74066DFF">
      <w:pPr>
        <w:pStyle w:val="12"/>
        <w:rPr>
          <w:rFonts w:hint="eastAsia" w:ascii="仿宋" w:hAnsi="仿宋" w:eastAsia="仿宋"/>
          <w:b/>
          <w:sz w:val="36"/>
          <w:szCs w:val="36"/>
        </w:rPr>
      </w:pPr>
    </w:p>
    <w:p w14:paraId="446AE7FB">
      <w:pPr>
        <w:pStyle w:val="12"/>
        <w:rPr>
          <w:rFonts w:hint="eastAsia" w:ascii="仿宋" w:hAnsi="仿宋" w:eastAsia="仿宋"/>
          <w:b/>
          <w:sz w:val="36"/>
          <w:szCs w:val="36"/>
        </w:rPr>
      </w:pPr>
    </w:p>
    <w:p w14:paraId="2DB31276">
      <w:pPr>
        <w:pStyle w:val="12"/>
        <w:rPr>
          <w:rFonts w:hint="eastAsia" w:ascii="仿宋" w:hAnsi="仿宋" w:eastAsia="仿宋"/>
          <w:b/>
          <w:sz w:val="36"/>
          <w:szCs w:val="36"/>
        </w:rPr>
      </w:pPr>
    </w:p>
    <w:p w14:paraId="6CDA0D2C">
      <w:pPr>
        <w:jc w:val="center"/>
        <w:rPr>
          <w:b/>
          <w:color w:val="auto"/>
          <w:sz w:val="44"/>
          <w:szCs w:val="44"/>
          <w:highlight w:val="none"/>
          <w:lang w:eastAsia="zh-CN"/>
        </w:rPr>
      </w:pPr>
      <w:bookmarkStart w:id="1" w:name="_Toc177186409"/>
      <w:r>
        <w:rPr>
          <w:rFonts w:hint="eastAsia"/>
          <w:b/>
          <w:bCs/>
          <w:color w:val="auto"/>
          <w:sz w:val="52"/>
          <w:szCs w:val="52"/>
          <w:highlight w:val="none"/>
          <w:lang w:val="en-US" w:eastAsia="zh-CN"/>
        </w:rPr>
        <w:t>福建福海创石油化工</w:t>
      </w:r>
      <w:r>
        <w:rPr>
          <w:rFonts w:hint="eastAsia"/>
          <w:b/>
          <w:bCs/>
          <w:color w:val="auto"/>
          <w:sz w:val="52"/>
          <w:szCs w:val="52"/>
          <w:highlight w:val="none"/>
          <w:lang w:eastAsia="zh-CN"/>
        </w:rPr>
        <w:t>有限公司</w:t>
      </w:r>
    </w:p>
    <w:p w14:paraId="0DCF246B">
      <w:pPr>
        <w:ind w:firstLine="883"/>
        <w:jc w:val="center"/>
        <w:rPr>
          <w:b/>
          <w:color w:val="auto"/>
          <w:sz w:val="44"/>
          <w:szCs w:val="44"/>
          <w:highlight w:val="none"/>
          <w:lang w:eastAsia="zh-CN"/>
        </w:rPr>
      </w:pPr>
    </w:p>
    <w:p w14:paraId="72123A32">
      <w:pPr>
        <w:pStyle w:val="61"/>
        <w:rPr>
          <w:color w:val="auto"/>
          <w:highlight w:val="none"/>
        </w:rPr>
      </w:pPr>
    </w:p>
    <w:p w14:paraId="5898C757">
      <w:pPr>
        <w:spacing w:line="480" w:lineRule="exact"/>
        <w:jc w:val="center"/>
        <w:rPr>
          <w:b/>
          <w:color w:val="auto"/>
          <w:sz w:val="44"/>
          <w:szCs w:val="44"/>
          <w:highlight w:val="none"/>
          <w:lang w:eastAsia="zh-CN"/>
        </w:rPr>
      </w:pPr>
      <w:r>
        <w:rPr>
          <w:rFonts w:hint="eastAsia"/>
          <w:b/>
          <w:color w:val="auto"/>
          <w:sz w:val="44"/>
          <w:szCs w:val="44"/>
          <w:highlight w:val="none"/>
          <w:lang w:eastAsia="zh-CN"/>
        </w:rPr>
        <w:t>海水冷却系统取水工程生态补偿增殖放流</w:t>
      </w:r>
    </w:p>
    <w:p w14:paraId="00F74722">
      <w:pPr>
        <w:spacing w:line="480" w:lineRule="exact"/>
        <w:jc w:val="center"/>
        <w:rPr>
          <w:b/>
          <w:color w:val="auto"/>
          <w:sz w:val="44"/>
          <w:szCs w:val="44"/>
          <w:highlight w:val="none"/>
          <w:lang w:eastAsia="zh-CN"/>
        </w:rPr>
      </w:pPr>
      <w:r>
        <w:rPr>
          <w:rFonts w:hint="eastAsia"/>
          <w:b/>
          <w:color w:val="auto"/>
          <w:sz w:val="44"/>
          <w:szCs w:val="44"/>
          <w:highlight w:val="none"/>
          <w:lang w:eastAsia="zh-CN"/>
        </w:rPr>
        <w:t>采购合同</w:t>
      </w:r>
    </w:p>
    <w:p w14:paraId="757818EB">
      <w:pPr>
        <w:spacing w:line="480" w:lineRule="exact"/>
        <w:ind w:firstLine="883"/>
        <w:jc w:val="center"/>
        <w:rPr>
          <w:b/>
          <w:color w:val="auto"/>
          <w:sz w:val="44"/>
          <w:szCs w:val="44"/>
          <w:highlight w:val="none"/>
          <w:lang w:eastAsia="zh-CN"/>
        </w:rPr>
      </w:pPr>
    </w:p>
    <w:p w14:paraId="152B9607">
      <w:pPr>
        <w:jc w:val="center"/>
        <w:rPr>
          <w:color w:val="auto"/>
          <w:sz w:val="32"/>
          <w:szCs w:val="32"/>
          <w:highlight w:val="none"/>
          <w:lang w:eastAsia="zh-CN"/>
        </w:rPr>
      </w:pPr>
      <w:r>
        <w:rPr>
          <w:rFonts w:hint="eastAsia"/>
          <w:color w:val="auto"/>
          <w:sz w:val="32"/>
          <w:szCs w:val="32"/>
          <w:highlight w:val="none"/>
          <w:lang w:eastAsia="zh-CN"/>
        </w:rPr>
        <w:t>(合同编号：                  )</w:t>
      </w:r>
    </w:p>
    <w:p w14:paraId="0905D435">
      <w:pPr>
        <w:ind w:firstLine="602"/>
        <w:rPr>
          <w:b/>
          <w:color w:val="auto"/>
          <w:sz w:val="30"/>
          <w:highlight w:val="none"/>
          <w:lang w:eastAsia="zh-CN"/>
        </w:rPr>
      </w:pPr>
    </w:p>
    <w:p w14:paraId="7A5E9B42">
      <w:pPr>
        <w:pStyle w:val="61"/>
        <w:rPr>
          <w:color w:val="auto"/>
          <w:highlight w:val="none"/>
        </w:rPr>
      </w:pPr>
    </w:p>
    <w:p w14:paraId="72C59BD7">
      <w:pPr>
        <w:ind w:firstLine="602"/>
        <w:rPr>
          <w:b/>
          <w:color w:val="auto"/>
          <w:sz w:val="30"/>
          <w:highlight w:val="none"/>
          <w:lang w:eastAsia="zh-CN"/>
        </w:rPr>
      </w:pPr>
    </w:p>
    <w:p w14:paraId="5383B38D">
      <w:pPr>
        <w:pStyle w:val="61"/>
        <w:rPr>
          <w:color w:val="auto"/>
          <w:highlight w:val="none"/>
        </w:rPr>
      </w:pPr>
    </w:p>
    <w:p w14:paraId="512431A5">
      <w:pPr>
        <w:ind w:firstLine="602"/>
        <w:rPr>
          <w:b/>
          <w:color w:val="auto"/>
          <w:sz w:val="30"/>
          <w:highlight w:val="none"/>
          <w:lang w:eastAsia="zh-CN"/>
        </w:rPr>
      </w:pPr>
    </w:p>
    <w:p w14:paraId="472B6789">
      <w:pPr>
        <w:ind w:firstLine="602"/>
        <w:rPr>
          <w:b/>
          <w:color w:val="auto"/>
          <w:sz w:val="30"/>
          <w:highlight w:val="none"/>
          <w:lang w:eastAsia="zh-CN"/>
        </w:rPr>
      </w:pPr>
    </w:p>
    <w:p w14:paraId="199C8F60">
      <w:pPr>
        <w:ind w:firstLine="602"/>
        <w:rPr>
          <w:b/>
          <w:color w:val="auto"/>
          <w:sz w:val="30"/>
          <w:highlight w:val="none"/>
          <w:lang w:eastAsia="zh-CN"/>
        </w:rPr>
      </w:pPr>
    </w:p>
    <w:p w14:paraId="63E4D9D9">
      <w:pPr>
        <w:ind w:firstLine="602"/>
        <w:rPr>
          <w:b/>
          <w:color w:val="auto"/>
          <w:sz w:val="30"/>
          <w:highlight w:val="none"/>
          <w:lang w:eastAsia="zh-CN"/>
        </w:rPr>
      </w:pPr>
    </w:p>
    <w:p w14:paraId="41E46685">
      <w:pPr>
        <w:ind w:firstLine="960" w:firstLineChars="300"/>
        <w:rPr>
          <w:color w:val="auto"/>
          <w:sz w:val="32"/>
          <w:szCs w:val="32"/>
          <w:highlight w:val="none"/>
          <w:lang w:eastAsia="zh-CN"/>
        </w:rPr>
      </w:pPr>
      <w:r>
        <w:rPr>
          <w:rFonts w:hint="eastAsia"/>
          <w:color w:val="auto"/>
          <w:sz w:val="32"/>
          <w:szCs w:val="32"/>
          <w:highlight w:val="none"/>
          <w:lang w:eastAsia="zh-CN"/>
        </w:rPr>
        <w:t>甲方：</w:t>
      </w:r>
      <w:r>
        <w:rPr>
          <w:rFonts w:hint="eastAsia"/>
          <w:color w:val="auto"/>
          <w:sz w:val="32"/>
          <w:szCs w:val="32"/>
          <w:highlight w:val="none"/>
          <w:lang w:val="en-US" w:eastAsia="zh-CN"/>
        </w:rPr>
        <w:t>福建福海创石油化工</w:t>
      </w:r>
      <w:r>
        <w:rPr>
          <w:rFonts w:hint="eastAsia"/>
          <w:color w:val="auto"/>
          <w:sz w:val="32"/>
          <w:szCs w:val="32"/>
          <w:highlight w:val="none"/>
          <w:lang w:eastAsia="zh-CN"/>
        </w:rPr>
        <w:t>有限公司</w:t>
      </w:r>
    </w:p>
    <w:p w14:paraId="0D9FF963">
      <w:pPr>
        <w:ind w:firstLine="960" w:firstLineChars="300"/>
        <w:rPr>
          <w:color w:val="auto"/>
          <w:sz w:val="32"/>
          <w:szCs w:val="32"/>
          <w:highlight w:val="none"/>
          <w:lang w:eastAsia="zh-CN"/>
        </w:rPr>
      </w:pPr>
      <w:r>
        <w:rPr>
          <w:rFonts w:hint="eastAsia"/>
          <w:color w:val="auto"/>
          <w:sz w:val="32"/>
          <w:szCs w:val="32"/>
          <w:highlight w:val="none"/>
          <w:lang w:eastAsia="zh-CN"/>
        </w:rPr>
        <w:t>乙方：</w:t>
      </w:r>
    </w:p>
    <w:p w14:paraId="40F0E28C">
      <w:pPr>
        <w:ind w:firstLine="960" w:firstLineChars="300"/>
        <w:rPr>
          <w:color w:val="auto"/>
          <w:sz w:val="32"/>
          <w:szCs w:val="32"/>
          <w:highlight w:val="none"/>
          <w:lang w:eastAsia="zh-CN"/>
        </w:rPr>
      </w:pPr>
      <w:r>
        <w:rPr>
          <w:color w:val="auto"/>
          <w:sz w:val="32"/>
          <w:szCs w:val="32"/>
          <w:highlight w:val="none"/>
          <w:lang w:eastAsia="zh-CN"/>
        </w:rPr>
        <w:t xml:space="preserve"> </w:t>
      </w:r>
    </w:p>
    <w:p w14:paraId="3785754D">
      <w:pPr>
        <w:ind w:firstLine="800" w:firstLineChars="250"/>
        <w:rPr>
          <w:color w:val="auto"/>
          <w:sz w:val="32"/>
          <w:szCs w:val="32"/>
          <w:highlight w:val="none"/>
          <w:lang w:eastAsia="zh-CN"/>
        </w:rPr>
      </w:pPr>
    </w:p>
    <w:p w14:paraId="74FF0C02">
      <w:pPr>
        <w:tabs>
          <w:tab w:val="right" w:pos="9638"/>
        </w:tabs>
        <w:ind w:firstLine="320" w:firstLineChars="100"/>
        <w:jc w:val="center"/>
        <w:rPr>
          <w:color w:val="auto"/>
          <w:sz w:val="32"/>
          <w:szCs w:val="32"/>
          <w:highlight w:val="none"/>
          <w:lang w:eastAsia="zh-CN"/>
        </w:rPr>
      </w:pPr>
      <w:r>
        <w:rPr>
          <w:rFonts w:hint="eastAsia"/>
          <w:color w:val="auto"/>
          <w:sz w:val="32"/>
          <w:szCs w:val="32"/>
          <w:highlight w:val="none"/>
          <w:lang w:eastAsia="zh-CN"/>
        </w:rPr>
        <w:t>日  期: 202</w:t>
      </w:r>
      <w:r>
        <w:rPr>
          <w:rFonts w:hint="eastAsia"/>
          <w:color w:val="auto"/>
          <w:sz w:val="32"/>
          <w:szCs w:val="32"/>
          <w:highlight w:val="none"/>
          <w:lang w:val="en-US" w:eastAsia="zh-CN"/>
        </w:rPr>
        <w:t>5</w:t>
      </w:r>
      <w:r>
        <w:rPr>
          <w:rFonts w:hint="eastAsia"/>
          <w:color w:val="auto"/>
          <w:sz w:val="32"/>
          <w:szCs w:val="32"/>
          <w:highlight w:val="none"/>
          <w:lang w:eastAsia="zh-CN"/>
        </w:rPr>
        <w:t xml:space="preserve"> 年  月  日</w:t>
      </w:r>
    </w:p>
    <w:p w14:paraId="0869CC5E">
      <w:pPr>
        <w:spacing w:line="360" w:lineRule="auto"/>
        <w:ind w:firstLine="480" w:firstLineChars="200"/>
        <w:rPr>
          <w:color w:val="auto"/>
          <w:sz w:val="24"/>
          <w:highlight w:val="none"/>
          <w:lang w:eastAsia="zh-CN"/>
        </w:rPr>
      </w:pPr>
      <w:r>
        <w:rPr>
          <w:rFonts w:hint="eastAsia"/>
          <w:color w:val="auto"/>
          <w:sz w:val="24"/>
          <w:highlight w:val="none"/>
          <w:lang w:eastAsia="zh-CN"/>
        </w:rPr>
        <w:t>根据甲方采购项目需求，经双方友好协商，就甲方向乙方采购本合同第1条所列产品相关事宜，依据《中华人民共和国民法典》及其他相关法律法规规定，双方签订如下协议：</w:t>
      </w:r>
    </w:p>
    <w:p w14:paraId="6B8DC7E2">
      <w:pPr>
        <w:spacing w:line="360" w:lineRule="auto"/>
        <w:ind w:firstLine="480"/>
        <w:rPr>
          <w:b/>
          <w:bCs/>
          <w:color w:val="auto"/>
          <w:sz w:val="24"/>
          <w:highlight w:val="none"/>
        </w:rPr>
      </w:pPr>
      <w:r>
        <w:rPr>
          <w:rFonts w:hint="eastAsia"/>
          <w:b/>
          <w:bCs/>
          <w:color w:val="auto"/>
          <w:sz w:val="24"/>
          <w:highlight w:val="none"/>
          <w:lang w:val="en-US" w:eastAsia="zh-CN"/>
        </w:rPr>
        <w:t xml:space="preserve">第一条 </w:t>
      </w:r>
      <w:r>
        <w:rPr>
          <w:rFonts w:hint="eastAsia"/>
          <w:b/>
          <w:bCs/>
          <w:color w:val="auto"/>
          <w:sz w:val="24"/>
          <w:highlight w:val="none"/>
        </w:rPr>
        <w:t>合同标的和合同价格</w:t>
      </w:r>
    </w:p>
    <w:tbl>
      <w:tblPr>
        <w:tblStyle w:val="52"/>
        <w:tblW w:w="8938" w:type="dxa"/>
        <w:tblInd w:w="210" w:type="dxa"/>
        <w:tblLayout w:type="fixed"/>
        <w:tblCellMar>
          <w:top w:w="0" w:type="dxa"/>
          <w:left w:w="108" w:type="dxa"/>
          <w:bottom w:w="0" w:type="dxa"/>
          <w:right w:w="108" w:type="dxa"/>
        </w:tblCellMar>
      </w:tblPr>
      <w:tblGrid>
        <w:gridCol w:w="775"/>
        <w:gridCol w:w="1445"/>
        <w:gridCol w:w="2121"/>
        <w:gridCol w:w="1407"/>
        <w:gridCol w:w="1980"/>
        <w:gridCol w:w="1210"/>
      </w:tblGrid>
      <w:tr w14:paraId="14D2AB2A">
        <w:tblPrEx>
          <w:tblCellMar>
            <w:top w:w="0" w:type="dxa"/>
            <w:left w:w="108" w:type="dxa"/>
            <w:bottom w:w="0" w:type="dxa"/>
            <w:right w:w="108" w:type="dxa"/>
          </w:tblCellMar>
        </w:tblPrEx>
        <w:trPr>
          <w:trHeight w:val="645" w:hRule="atLeast"/>
        </w:trPr>
        <w:tc>
          <w:tcPr>
            <w:tcW w:w="8938" w:type="dxa"/>
            <w:gridSpan w:val="6"/>
            <w:tcBorders>
              <w:top w:val="nil"/>
              <w:left w:val="nil"/>
              <w:bottom w:val="single" w:color="auto" w:sz="4" w:space="0"/>
              <w:right w:val="nil"/>
            </w:tcBorders>
            <w:vAlign w:val="center"/>
          </w:tcPr>
          <w:p w14:paraId="7EC6BF0E">
            <w:pPr>
              <w:widowControl/>
              <w:ind w:firstLine="482"/>
              <w:jc w:val="center"/>
              <w:rPr>
                <w:b/>
                <w:bCs/>
                <w:color w:val="auto"/>
                <w:sz w:val="24"/>
                <w:szCs w:val="24"/>
                <w:highlight w:val="none"/>
                <w:lang w:eastAsia="zh-CN"/>
              </w:rPr>
            </w:pPr>
            <w:r>
              <w:rPr>
                <w:rFonts w:hint="eastAsia"/>
                <w:b/>
                <w:bCs/>
                <w:color w:val="auto"/>
                <w:sz w:val="24"/>
                <w:szCs w:val="24"/>
                <w:highlight w:val="none"/>
                <w:lang w:eastAsia="zh-CN"/>
              </w:rPr>
              <w:t>增殖放流采购价格清单</w:t>
            </w:r>
          </w:p>
        </w:tc>
      </w:tr>
      <w:tr w14:paraId="228756F1">
        <w:tblPrEx>
          <w:tblCellMar>
            <w:top w:w="0" w:type="dxa"/>
            <w:left w:w="108" w:type="dxa"/>
            <w:bottom w:w="0" w:type="dxa"/>
            <w:right w:w="108" w:type="dxa"/>
          </w:tblCellMar>
        </w:tblPrEx>
        <w:trPr>
          <w:trHeight w:val="450" w:hRule="atLeast"/>
        </w:trPr>
        <w:tc>
          <w:tcPr>
            <w:tcW w:w="775" w:type="dxa"/>
            <w:tcBorders>
              <w:top w:val="nil"/>
              <w:left w:val="single" w:color="auto" w:sz="4" w:space="0"/>
              <w:bottom w:val="single" w:color="auto" w:sz="4" w:space="0"/>
              <w:right w:val="single" w:color="auto" w:sz="4" w:space="0"/>
            </w:tcBorders>
            <w:vAlign w:val="center"/>
          </w:tcPr>
          <w:p w14:paraId="6C1E5D72">
            <w:pPr>
              <w:widowControl/>
              <w:rPr>
                <w:b/>
                <w:bCs/>
                <w:color w:val="auto"/>
                <w:sz w:val="24"/>
                <w:szCs w:val="24"/>
                <w:highlight w:val="none"/>
              </w:rPr>
            </w:pPr>
            <w:r>
              <w:rPr>
                <w:rFonts w:hint="eastAsia"/>
                <w:b/>
                <w:bCs/>
                <w:color w:val="auto"/>
                <w:sz w:val="24"/>
                <w:szCs w:val="24"/>
                <w:highlight w:val="none"/>
              </w:rPr>
              <w:t>序号</w:t>
            </w:r>
          </w:p>
        </w:tc>
        <w:tc>
          <w:tcPr>
            <w:tcW w:w="1445" w:type="dxa"/>
            <w:tcBorders>
              <w:top w:val="nil"/>
              <w:left w:val="nil"/>
              <w:bottom w:val="single" w:color="auto" w:sz="4" w:space="0"/>
              <w:right w:val="single" w:color="auto" w:sz="4" w:space="0"/>
            </w:tcBorders>
            <w:vAlign w:val="center"/>
          </w:tcPr>
          <w:p w14:paraId="0F962585">
            <w:pPr>
              <w:widowControl/>
              <w:jc w:val="center"/>
              <w:rPr>
                <w:b/>
                <w:bCs/>
                <w:color w:val="auto"/>
                <w:sz w:val="24"/>
                <w:szCs w:val="24"/>
                <w:highlight w:val="none"/>
              </w:rPr>
            </w:pPr>
            <w:r>
              <w:rPr>
                <w:rFonts w:hint="eastAsia"/>
                <w:b/>
                <w:bCs/>
                <w:color w:val="auto"/>
                <w:sz w:val="24"/>
                <w:szCs w:val="24"/>
                <w:highlight w:val="none"/>
              </w:rPr>
              <w:t>品种</w:t>
            </w:r>
          </w:p>
        </w:tc>
        <w:tc>
          <w:tcPr>
            <w:tcW w:w="2121" w:type="dxa"/>
            <w:tcBorders>
              <w:top w:val="nil"/>
              <w:left w:val="nil"/>
              <w:bottom w:val="single" w:color="auto" w:sz="4" w:space="0"/>
              <w:right w:val="single" w:color="auto" w:sz="4" w:space="0"/>
            </w:tcBorders>
            <w:vAlign w:val="center"/>
          </w:tcPr>
          <w:p w14:paraId="76A84A05">
            <w:pPr>
              <w:widowControl/>
              <w:jc w:val="center"/>
              <w:rPr>
                <w:b/>
                <w:bCs/>
                <w:color w:val="auto"/>
                <w:sz w:val="24"/>
                <w:szCs w:val="24"/>
                <w:highlight w:val="none"/>
              </w:rPr>
            </w:pPr>
            <w:r>
              <w:rPr>
                <w:rFonts w:hint="eastAsia"/>
                <w:b/>
                <w:bCs/>
                <w:color w:val="auto"/>
                <w:sz w:val="24"/>
                <w:szCs w:val="24"/>
                <w:highlight w:val="none"/>
              </w:rPr>
              <w:t>规格</w:t>
            </w:r>
          </w:p>
        </w:tc>
        <w:tc>
          <w:tcPr>
            <w:tcW w:w="1407" w:type="dxa"/>
            <w:tcBorders>
              <w:top w:val="nil"/>
              <w:left w:val="nil"/>
              <w:bottom w:val="single" w:color="auto" w:sz="4" w:space="0"/>
              <w:right w:val="single" w:color="auto" w:sz="4" w:space="0"/>
            </w:tcBorders>
            <w:vAlign w:val="center"/>
          </w:tcPr>
          <w:p w14:paraId="5ABEBE63">
            <w:pPr>
              <w:widowControl/>
              <w:jc w:val="center"/>
              <w:rPr>
                <w:rFonts w:hint="eastAsia"/>
                <w:b/>
                <w:bCs/>
                <w:color w:val="auto"/>
                <w:sz w:val="24"/>
                <w:szCs w:val="24"/>
                <w:highlight w:val="none"/>
              </w:rPr>
            </w:pPr>
            <w:r>
              <w:rPr>
                <w:rFonts w:hint="eastAsia"/>
                <w:b/>
                <w:bCs/>
                <w:color w:val="auto"/>
                <w:sz w:val="24"/>
                <w:szCs w:val="24"/>
                <w:highlight w:val="none"/>
              </w:rPr>
              <w:t>数量</w:t>
            </w:r>
          </w:p>
          <w:p w14:paraId="47B31FCB">
            <w:pPr>
              <w:widowControl/>
              <w:jc w:val="center"/>
              <w:rPr>
                <w:b/>
                <w:bCs/>
                <w:color w:val="auto"/>
                <w:sz w:val="24"/>
                <w:szCs w:val="24"/>
                <w:highlight w:val="none"/>
                <w:lang w:eastAsia="zh-CN"/>
              </w:rPr>
            </w:pPr>
            <w:r>
              <w:rPr>
                <w:rFonts w:hint="eastAsia"/>
                <w:b w:val="0"/>
                <w:bCs w:val="0"/>
                <w:color w:val="auto"/>
                <w:sz w:val="24"/>
                <w:szCs w:val="24"/>
                <w:highlight w:val="none"/>
                <w:lang w:eastAsia="zh-CN"/>
              </w:rPr>
              <w:t>（</w:t>
            </w:r>
            <w:r>
              <w:rPr>
                <w:b w:val="0"/>
                <w:bCs w:val="0"/>
                <w:color w:val="auto"/>
                <w:spacing w:val="-2"/>
                <w:sz w:val="21"/>
                <w:highlight w:val="none"/>
              </w:rPr>
              <w:t>万尾</w:t>
            </w:r>
            <w:r>
              <w:rPr>
                <w:rFonts w:hint="eastAsia"/>
                <w:b w:val="0"/>
                <w:bCs w:val="0"/>
                <w:color w:val="auto"/>
                <w:spacing w:val="-2"/>
                <w:sz w:val="21"/>
                <w:highlight w:val="none"/>
                <w:lang w:eastAsia="zh-CN"/>
              </w:rPr>
              <w:t>）</w:t>
            </w:r>
          </w:p>
        </w:tc>
        <w:tc>
          <w:tcPr>
            <w:tcW w:w="1980" w:type="dxa"/>
            <w:tcBorders>
              <w:top w:val="nil"/>
              <w:left w:val="nil"/>
              <w:bottom w:val="single" w:color="auto" w:sz="4" w:space="0"/>
              <w:right w:val="single" w:color="auto" w:sz="4" w:space="0"/>
            </w:tcBorders>
            <w:vAlign w:val="center"/>
          </w:tcPr>
          <w:p w14:paraId="323FE3B6">
            <w:pPr>
              <w:widowControl/>
              <w:jc w:val="center"/>
              <w:rPr>
                <w:b/>
                <w:bCs/>
                <w:color w:val="auto"/>
                <w:sz w:val="24"/>
                <w:szCs w:val="24"/>
                <w:highlight w:val="none"/>
              </w:rPr>
            </w:pPr>
            <w:r>
              <w:rPr>
                <w:rFonts w:hint="eastAsia"/>
                <w:b/>
                <w:bCs/>
                <w:color w:val="auto"/>
                <w:sz w:val="24"/>
                <w:szCs w:val="24"/>
                <w:highlight w:val="none"/>
              </w:rPr>
              <w:t>放流时间</w:t>
            </w:r>
          </w:p>
        </w:tc>
        <w:tc>
          <w:tcPr>
            <w:tcW w:w="1210" w:type="dxa"/>
            <w:tcBorders>
              <w:top w:val="nil"/>
              <w:left w:val="nil"/>
              <w:bottom w:val="single" w:color="auto" w:sz="4" w:space="0"/>
              <w:right w:val="single" w:color="auto" w:sz="4" w:space="0"/>
            </w:tcBorders>
            <w:vAlign w:val="center"/>
          </w:tcPr>
          <w:p w14:paraId="03FB25D9">
            <w:pPr>
              <w:widowControl/>
              <w:jc w:val="center"/>
              <w:rPr>
                <w:b/>
                <w:bCs/>
                <w:color w:val="auto"/>
                <w:sz w:val="24"/>
                <w:szCs w:val="24"/>
                <w:highlight w:val="none"/>
              </w:rPr>
            </w:pPr>
            <w:r>
              <w:rPr>
                <w:rFonts w:hint="eastAsia"/>
                <w:b/>
                <w:bCs/>
                <w:color w:val="auto"/>
                <w:sz w:val="24"/>
                <w:szCs w:val="24"/>
                <w:highlight w:val="none"/>
              </w:rPr>
              <w:t>备注</w:t>
            </w:r>
          </w:p>
        </w:tc>
      </w:tr>
      <w:tr w14:paraId="12BDACCC">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518444B">
            <w:pPr>
              <w:widowControl/>
              <w:jc w:val="center"/>
              <w:rPr>
                <w:rFonts w:hint="eastAsia"/>
                <w:color w:val="auto"/>
                <w:spacing w:val="-2"/>
                <w:sz w:val="21"/>
                <w:highlight w:val="none"/>
              </w:rPr>
            </w:pPr>
            <w:r>
              <w:rPr>
                <w:rFonts w:hint="eastAsia"/>
                <w:color w:val="auto"/>
                <w:spacing w:val="-2"/>
                <w:sz w:val="21"/>
                <w:highlight w:val="none"/>
              </w:rPr>
              <w:t>1</w:t>
            </w:r>
          </w:p>
        </w:tc>
        <w:tc>
          <w:tcPr>
            <w:tcW w:w="1445" w:type="dxa"/>
            <w:tcBorders>
              <w:top w:val="nil"/>
              <w:left w:val="nil"/>
              <w:bottom w:val="single" w:color="auto" w:sz="4" w:space="0"/>
              <w:right w:val="single" w:color="auto" w:sz="4" w:space="0"/>
            </w:tcBorders>
            <w:vAlign w:val="center"/>
          </w:tcPr>
          <w:p w14:paraId="3619F0D8">
            <w:pPr>
              <w:widowControl/>
              <w:jc w:val="center"/>
              <w:rPr>
                <w:rFonts w:hint="eastAsia"/>
                <w:color w:val="auto"/>
                <w:spacing w:val="-2"/>
                <w:sz w:val="21"/>
                <w:highlight w:val="none"/>
              </w:rPr>
            </w:pPr>
            <w:r>
              <w:rPr>
                <w:rFonts w:hint="eastAsia"/>
                <w:color w:val="auto"/>
                <w:spacing w:val="-2"/>
                <w:sz w:val="21"/>
                <w:highlight w:val="none"/>
              </w:rPr>
              <w:t>黄鳍鲷</w:t>
            </w:r>
          </w:p>
        </w:tc>
        <w:tc>
          <w:tcPr>
            <w:tcW w:w="2121" w:type="dxa"/>
            <w:tcBorders>
              <w:top w:val="nil"/>
              <w:left w:val="nil"/>
              <w:bottom w:val="single" w:color="auto" w:sz="4" w:space="0"/>
              <w:right w:val="single" w:color="auto" w:sz="4" w:space="0"/>
            </w:tcBorders>
            <w:vAlign w:val="center"/>
          </w:tcPr>
          <w:p w14:paraId="507E86D2">
            <w:pPr>
              <w:widowControl/>
              <w:jc w:val="center"/>
              <w:rPr>
                <w:rFonts w:hint="eastAsia"/>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3C4FB90F">
            <w:pPr>
              <w:widowControl/>
              <w:jc w:val="center"/>
              <w:rPr>
                <w:rFonts w:hint="eastAsia"/>
                <w:color w:val="auto"/>
                <w:spacing w:val="-2"/>
                <w:sz w:val="21"/>
                <w:highlight w:val="none"/>
              </w:rPr>
            </w:pPr>
          </w:p>
        </w:tc>
        <w:tc>
          <w:tcPr>
            <w:tcW w:w="1980" w:type="dxa"/>
            <w:vMerge w:val="restart"/>
            <w:tcBorders>
              <w:top w:val="nil"/>
              <w:left w:val="nil"/>
              <w:right w:val="single" w:color="auto" w:sz="4" w:space="0"/>
            </w:tcBorders>
            <w:vAlign w:val="center"/>
          </w:tcPr>
          <w:p w14:paraId="60045DFA">
            <w:pPr>
              <w:widowControl/>
              <w:jc w:val="center"/>
              <w:rPr>
                <w:rFonts w:hint="eastAsia"/>
                <w:color w:val="auto"/>
                <w:spacing w:val="-2"/>
                <w:sz w:val="21"/>
                <w:highlight w:val="none"/>
              </w:rPr>
            </w:pPr>
            <w:r>
              <w:rPr>
                <w:rFonts w:hint="eastAsia"/>
                <w:color w:val="auto"/>
                <w:spacing w:val="-2"/>
                <w:sz w:val="21"/>
                <w:highlight w:val="none"/>
              </w:rPr>
              <w:t>202</w:t>
            </w:r>
            <w:r>
              <w:rPr>
                <w:rFonts w:hint="eastAsia"/>
                <w:color w:val="auto"/>
                <w:spacing w:val="-2"/>
                <w:sz w:val="21"/>
                <w:highlight w:val="none"/>
                <w:lang w:val="en-US" w:eastAsia="zh-CN"/>
              </w:rPr>
              <w:t>5年12</w:t>
            </w:r>
            <w:r>
              <w:rPr>
                <w:rFonts w:hint="eastAsia"/>
                <w:color w:val="auto"/>
                <w:spacing w:val="-2"/>
                <w:sz w:val="21"/>
                <w:highlight w:val="none"/>
              </w:rPr>
              <w:t>月</w:t>
            </w:r>
            <w:r>
              <w:rPr>
                <w:rFonts w:hint="eastAsia"/>
                <w:color w:val="auto"/>
                <w:spacing w:val="-2"/>
                <w:sz w:val="21"/>
                <w:highlight w:val="none"/>
                <w:lang w:val="en-US" w:eastAsia="zh-CN"/>
              </w:rPr>
              <w:t>下</w:t>
            </w:r>
            <w:r>
              <w:rPr>
                <w:rFonts w:hint="eastAsia" w:ascii="宋体" w:hAnsi="宋体" w:eastAsia="宋体" w:cs="宋体"/>
                <w:color w:val="auto"/>
                <w:spacing w:val="-2"/>
                <w:sz w:val="21"/>
                <w:highlight w:val="none"/>
                <w:lang w:eastAsia="zh-CN"/>
              </w:rPr>
              <w:t>旬</w:t>
            </w:r>
          </w:p>
        </w:tc>
        <w:tc>
          <w:tcPr>
            <w:tcW w:w="1210" w:type="dxa"/>
            <w:vMerge w:val="restart"/>
            <w:tcBorders>
              <w:top w:val="nil"/>
              <w:left w:val="nil"/>
              <w:bottom w:val="single" w:color="auto" w:sz="4" w:space="0"/>
              <w:right w:val="single" w:color="auto" w:sz="4" w:space="0"/>
            </w:tcBorders>
            <w:vAlign w:val="center"/>
          </w:tcPr>
          <w:p w14:paraId="19935666">
            <w:pPr>
              <w:widowControl/>
              <w:jc w:val="center"/>
              <w:rPr>
                <w:rFonts w:hint="eastAsia"/>
                <w:color w:val="auto"/>
                <w:spacing w:val="-2"/>
                <w:sz w:val="21"/>
                <w:highlight w:val="none"/>
                <w:lang w:eastAsia="zh-CN"/>
              </w:rPr>
            </w:pPr>
            <w:r>
              <w:rPr>
                <w:rFonts w:hint="eastAsia"/>
                <w:color w:val="auto"/>
                <w:spacing w:val="-2"/>
                <w:sz w:val="21"/>
                <w:highlight w:val="none"/>
                <w:lang w:eastAsia="zh-CN"/>
              </w:rPr>
              <w:t>各批次可合并，但不许拆分</w:t>
            </w:r>
          </w:p>
        </w:tc>
      </w:tr>
      <w:tr w14:paraId="462071C1">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E7FE663">
            <w:pPr>
              <w:widowControl/>
              <w:jc w:val="center"/>
              <w:rPr>
                <w:rFonts w:hint="eastAsia"/>
                <w:color w:val="auto"/>
                <w:spacing w:val="-2"/>
                <w:sz w:val="21"/>
                <w:highlight w:val="none"/>
              </w:rPr>
            </w:pPr>
            <w:r>
              <w:rPr>
                <w:rFonts w:hint="eastAsia"/>
                <w:color w:val="auto"/>
                <w:spacing w:val="-2"/>
                <w:sz w:val="21"/>
                <w:highlight w:val="none"/>
              </w:rPr>
              <w:t>2</w:t>
            </w:r>
          </w:p>
        </w:tc>
        <w:tc>
          <w:tcPr>
            <w:tcW w:w="1445" w:type="dxa"/>
            <w:tcBorders>
              <w:top w:val="nil"/>
              <w:left w:val="nil"/>
              <w:bottom w:val="single" w:color="auto" w:sz="4" w:space="0"/>
              <w:right w:val="single" w:color="auto" w:sz="4" w:space="0"/>
            </w:tcBorders>
            <w:vAlign w:val="center"/>
          </w:tcPr>
          <w:p w14:paraId="6B36D231">
            <w:pPr>
              <w:widowControl/>
              <w:jc w:val="center"/>
              <w:rPr>
                <w:color w:val="auto"/>
                <w:spacing w:val="-2"/>
                <w:sz w:val="21"/>
                <w:highlight w:val="none"/>
              </w:rPr>
            </w:pPr>
            <w:r>
              <w:rPr>
                <w:rFonts w:hint="eastAsia"/>
                <w:color w:val="auto"/>
                <w:spacing w:val="-2"/>
                <w:sz w:val="21"/>
                <w:highlight w:val="none"/>
                <w:lang w:val="en-US" w:eastAsia="zh-CN"/>
              </w:rPr>
              <w:t xml:space="preserve">黑  </w:t>
            </w:r>
            <w:r>
              <w:rPr>
                <w:rFonts w:hint="eastAsia"/>
                <w:color w:val="auto"/>
                <w:spacing w:val="-2"/>
                <w:sz w:val="21"/>
                <w:highlight w:val="none"/>
              </w:rPr>
              <w:t>鲷</w:t>
            </w:r>
          </w:p>
        </w:tc>
        <w:tc>
          <w:tcPr>
            <w:tcW w:w="2121" w:type="dxa"/>
            <w:tcBorders>
              <w:top w:val="nil"/>
              <w:left w:val="nil"/>
              <w:bottom w:val="single" w:color="auto" w:sz="4" w:space="0"/>
              <w:right w:val="single" w:color="auto" w:sz="4" w:space="0"/>
            </w:tcBorders>
            <w:vAlign w:val="center"/>
          </w:tcPr>
          <w:p w14:paraId="48FEB14A">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6D057FBC">
            <w:pPr>
              <w:widowControl/>
              <w:jc w:val="center"/>
              <w:rPr>
                <w:color w:val="auto"/>
                <w:spacing w:val="-2"/>
                <w:sz w:val="21"/>
                <w:highlight w:val="none"/>
              </w:rPr>
            </w:pPr>
          </w:p>
        </w:tc>
        <w:tc>
          <w:tcPr>
            <w:tcW w:w="1980" w:type="dxa"/>
            <w:vMerge w:val="continue"/>
            <w:tcBorders>
              <w:left w:val="nil"/>
              <w:right w:val="single" w:color="auto" w:sz="4" w:space="0"/>
            </w:tcBorders>
            <w:vAlign w:val="center"/>
          </w:tcPr>
          <w:p w14:paraId="17D10BE1">
            <w:pPr>
              <w:widowControl/>
              <w:jc w:val="center"/>
              <w:rPr>
                <w:color w:val="auto"/>
                <w:spacing w:val="-2"/>
                <w:sz w:val="21"/>
                <w:highlight w:val="none"/>
              </w:rPr>
            </w:pPr>
          </w:p>
        </w:tc>
        <w:tc>
          <w:tcPr>
            <w:tcW w:w="1210" w:type="dxa"/>
            <w:vMerge w:val="continue"/>
            <w:tcBorders>
              <w:top w:val="nil"/>
              <w:left w:val="nil"/>
              <w:bottom w:val="single" w:color="auto" w:sz="4" w:space="0"/>
              <w:right w:val="single" w:color="auto" w:sz="4" w:space="0"/>
            </w:tcBorders>
            <w:vAlign w:val="center"/>
          </w:tcPr>
          <w:p w14:paraId="3E3750F3">
            <w:pPr>
              <w:widowControl/>
              <w:jc w:val="center"/>
              <w:rPr>
                <w:color w:val="auto"/>
                <w:spacing w:val="-2"/>
                <w:sz w:val="21"/>
                <w:highlight w:val="none"/>
              </w:rPr>
            </w:pPr>
          </w:p>
        </w:tc>
      </w:tr>
      <w:tr w14:paraId="549AC6EA">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41BCCC6">
            <w:pPr>
              <w:widowControl/>
              <w:jc w:val="center"/>
              <w:rPr>
                <w:rFonts w:hint="eastAsia" w:eastAsia="宋体"/>
                <w:color w:val="auto"/>
                <w:spacing w:val="-2"/>
                <w:sz w:val="21"/>
                <w:highlight w:val="none"/>
                <w:lang w:val="en-US" w:eastAsia="zh-CN"/>
              </w:rPr>
            </w:pPr>
            <w:r>
              <w:rPr>
                <w:rFonts w:hint="eastAsia"/>
                <w:color w:val="auto"/>
                <w:spacing w:val="-2"/>
                <w:sz w:val="21"/>
                <w:highlight w:val="none"/>
                <w:lang w:val="en-US" w:eastAsia="zh-CN"/>
              </w:rPr>
              <w:t>3</w:t>
            </w:r>
          </w:p>
        </w:tc>
        <w:tc>
          <w:tcPr>
            <w:tcW w:w="1445" w:type="dxa"/>
            <w:tcBorders>
              <w:top w:val="nil"/>
              <w:left w:val="nil"/>
              <w:bottom w:val="single" w:color="auto" w:sz="4" w:space="0"/>
              <w:right w:val="single" w:color="auto" w:sz="4" w:space="0"/>
            </w:tcBorders>
            <w:vAlign w:val="center"/>
          </w:tcPr>
          <w:p w14:paraId="4AA2AB55">
            <w:pPr>
              <w:widowControl/>
              <w:jc w:val="center"/>
              <w:rPr>
                <w:color w:val="auto"/>
                <w:spacing w:val="-2"/>
                <w:sz w:val="21"/>
                <w:highlight w:val="none"/>
              </w:rPr>
            </w:pPr>
            <w:r>
              <w:rPr>
                <w:rFonts w:hint="eastAsia"/>
                <w:color w:val="auto"/>
                <w:spacing w:val="-2"/>
                <w:sz w:val="21"/>
                <w:highlight w:val="none"/>
              </w:rPr>
              <w:t>大黄鱼</w:t>
            </w:r>
          </w:p>
        </w:tc>
        <w:tc>
          <w:tcPr>
            <w:tcW w:w="2121" w:type="dxa"/>
            <w:tcBorders>
              <w:top w:val="nil"/>
              <w:left w:val="nil"/>
              <w:bottom w:val="single" w:color="auto" w:sz="4" w:space="0"/>
              <w:right w:val="single" w:color="auto" w:sz="4" w:space="0"/>
            </w:tcBorders>
            <w:vAlign w:val="center"/>
          </w:tcPr>
          <w:p w14:paraId="02355972">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188C2B56">
            <w:pPr>
              <w:widowControl/>
              <w:jc w:val="center"/>
              <w:rPr>
                <w:color w:val="auto"/>
                <w:spacing w:val="-2"/>
                <w:sz w:val="21"/>
                <w:highlight w:val="none"/>
              </w:rPr>
            </w:pPr>
          </w:p>
        </w:tc>
        <w:tc>
          <w:tcPr>
            <w:tcW w:w="1980" w:type="dxa"/>
            <w:vMerge w:val="continue"/>
            <w:tcBorders>
              <w:left w:val="nil"/>
              <w:bottom w:val="single" w:color="auto" w:sz="4" w:space="0"/>
              <w:right w:val="single" w:color="auto" w:sz="4" w:space="0"/>
            </w:tcBorders>
            <w:vAlign w:val="center"/>
          </w:tcPr>
          <w:p w14:paraId="6446A73F">
            <w:pPr>
              <w:widowControl/>
              <w:jc w:val="center"/>
              <w:rPr>
                <w:color w:val="auto"/>
                <w:spacing w:val="-2"/>
                <w:sz w:val="21"/>
                <w:highlight w:val="none"/>
              </w:rPr>
            </w:pPr>
          </w:p>
        </w:tc>
        <w:tc>
          <w:tcPr>
            <w:tcW w:w="1210" w:type="dxa"/>
            <w:vMerge w:val="continue"/>
            <w:tcBorders>
              <w:top w:val="nil"/>
              <w:left w:val="nil"/>
              <w:bottom w:val="single" w:color="auto" w:sz="4" w:space="0"/>
              <w:right w:val="single" w:color="auto" w:sz="4" w:space="0"/>
            </w:tcBorders>
            <w:vAlign w:val="center"/>
          </w:tcPr>
          <w:p w14:paraId="1C008BFA">
            <w:pPr>
              <w:widowControl/>
              <w:rPr>
                <w:color w:val="auto"/>
                <w:highlight w:val="none"/>
              </w:rPr>
            </w:pPr>
          </w:p>
        </w:tc>
      </w:tr>
      <w:tr w14:paraId="55E66DF5">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1488DB48">
            <w:pPr>
              <w:widowControl/>
              <w:jc w:val="center"/>
              <w:rPr>
                <w:rFonts w:hint="default"/>
                <w:color w:val="auto"/>
                <w:spacing w:val="-2"/>
                <w:sz w:val="21"/>
                <w:highlight w:val="none"/>
                <w:lang w:val="en-US" w:eastAsia="zh-CN"/>
              </w:rPr>
            </w:pPr>
            <w:r>
              <w:rPr>
                <w:rFonts w:hint="eastAsia"/>
                <w:color w:val="auto"/>
                <w:spacing w:val="-2"/>
                <w:sz w:val="21"/>
                <w:highlight w:val="none"/>
                <w:lang w:val="en-US" w:eastAsia="zh-CN"/>
              </w:rPr>
              <w:t>4</w:t>
            </w:r>
          </w:p>
        </w:tc>
        <w:tc>
          <w:tcPr>
            <w:tcW w:w="1445" w:type="dxa"/>
            <w:tcBorders>
              <w:top w:val="nil"/>
              <w:left w:val="nil"/>
              <w:bottom w:val="single" w:color="auto" w:sz="4" w:space="0"/>
              <w:right w:val="single" w:color="auto" w:sz="4" w:space="0"/>
            </w:tcBorders>
            <w:vAlign w:val="center"/>
          </w:tcPr>
          <w:p w14:paraId="7C8C9647">
            <w:pPr>
              <w:widowControl/>
              <w:jc w:val="center"/>
              <w:rPr>
                <w:rFonts w:hint="eastAsia"/>
                <w:color w:val="auto"/>
                <w:spacing w:val="-2"/>
                <w:sz w:val="21"/>
                <w:highlight w:val="none"/>
              </w:rPr>
            </w:pPr>
            <w:r>
              <w:rPr>
                <w:rFonts w:hint="eastAsia"/>
                <w:color w:val="auto"/>
                <w:spacing w:val="-2"/>
                <w:sz w:val="21"/>
                <w:highlight w:val="none"/>
              </w:rPr>
              <w:t>日本对虾</w:t>
            </w:r>
          </w:p>
        </w:tc>
        <w:tc>
          <w:tcPr>
            <w:tcW w:w="2121" w:type="dxa"/>
            <w:tcBorders>
              <w:top w:val="nil"/>
              <w:left w:val="nil"/>
              <w:bottom w:val="single" w:color="auto" w:sz="4" w:space="0"/>
              <w:right w:val="single" w:color="auto" w:sz="4" w:space="0"/>
            </w:tcBorders>
            <w:vAlign w:val="center"/>
          </w:tcPr>
          <w:p w14:paraId="3102D938">
            <w:pPr>
              <w:widowControl/>
              <w:jc w:val="center"/>
              <w:rPr>
                <w:color w:val="auto"/>
                <w:spacing w:val="-2"/>
                <w:sz w:val="21"/>
                <w:highlight w:val="none"/>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407" w:type="dxa"/>
            <w:tcBorders>
              <w:top w:val="nil"/>
              <w:left w:val="nil"/>
              <w:bottom w:val="single" w:color="auto" w:sz="4" w:space="0"/>
              <w:right w:val="single" w:color="auto" w:sz="4" w:space="0"/>
            </w:tcBorders>
            <w:vAlign w:val="center"/>
          </w:tcPr>
          <w:p w14:paraId="65B1603B">
            <w:pPr>
              <w:widowControl/>
              <w:jc w:val="center"/>
              <w:rPr>
                <w:color w:val="auto"/>
                <w:spacing w:val="-2"/>
                <w:sz w:val="21"/>
                <w:highlight w:val="none"/>
              </w:rPr>
            </w:pPr>
          </w:p>
        </w:tc>
        <w:tc>
          <w:tcPr>
            <w:tcW w:w="1980" w:type="dxa"/>
            <w:tcBorders>
              <w:left w:val="nil"/>
              <w:bottom w:val="single" w:color="auto" w:sz="4" w:space="0"/>
              <w:right w:val="single" w:color="auto" w:sz="4" w:space="0"/>
            </w:tcBorders>
            <w:vAlign w:val="center"/>
          </w:tcPr>
          <w:p w14:paraId="03E9D45D">
            <w:pPr>
              <w:widowControl/>
              <w:jc w:val="center"/>
              <w:rPr>
                <w:color w:val="auto"/>
                <w:spacing w:val="-2"/>
                <w:sz w:val="21"/>
                <w:highlight w:val="none"/>
              </w:rPr>
            </w:pPr>
          </w:p>
        </w:tc>
        <w:tc>
          <w:tcPr>
            <w:tcW w:w="1210" w:type="dxa"/>
            <w:tcBorders>
              <w:top w:val="nil"/>
              <w:left w:val="nil"/>
              <w:bottom w:val="single" w:color="auto" w:sz="4" w:space="0"/>
              <w:right w:val="single" w:color="auto" w:sz="4" w:space="0"/>
            </w:tcBorders>
            <w:vAlign w:val="center"/>
          </w:tcPr>
          <w:p w14:paraId="4F76C85A">
            <w:pPr>
              <w:widowControl/>
              <w:rPr>
                <w:color w:val="auto"/>
                <w:highlight w:val="none"/>
              </w:rPr>
            </w:pPr>
          </w:p>
        </w:tc>
      </w:tr>
      <w:tr w14:paraId="26F9C960">
        <w:tblPrEx>
          <w:tblCellMar>
            <w:top w:w="0" w:type="dxa"/>
            <w:left w:w="108" w:type="dxa"/>
            <w:bottom w:w="0" w:type="dxa"/>
            <w:right w:w="108" w:type="dxa"/>
          </w:tblCellMar>
        </w:tblPrEx>
        <w:trPr>
          <w:trHeight w:val="420" w:hRule="atLeast"/>
        </w:trPr>
        <w:tc>
          <w:tcPr>
            <w:tcW w:w="8938" w:type="dxa"/>
            <w:gridSpan w:val="6"/>
            <w:tcBorders>
              <w:top w:val="single" w:color="auto" w:sz="4" w:space="0"/>
              <w:left w:val="single" w:color="auto" w:sz="4" w:space="0"/>
              <w:bottom w:val="single" w:color="auto" w:sz="4" w:space="0"/>
              <w:right w:val="single" w:color="000000" w:sz="4" w:space="0"/>
            </w:tcBorders>
            <w:vAlign w:val="center"/>
          </w:tcPr>
          <w:p w14:paraId="3CE7182F">
            <w:pPr>
              <w:widowControl/>
              <w:ind w:right="720"/>
              <w:jc w:val="right"/>
              <w:rPr>
                <w:color w:val="auto"/>
                <w:sz w:val="24"/>
                <w:szCs w:val="24"/>
                <w:highlight w:val="none"/>
              </w:rPr>
            </w:pPr>
            <w:r>
              <w:rPr>
                <w:rFonts w:hint="eastAsia"/>
                <w:bCs/>
                <w:color w:val="auto"/>
                <w:sz w:val="24"/>
                <w:szCs w:val="24"/>
                <w:highlight w:val="none"/>
              </w:rPr>
              <w:t>合计：</w:t>
            </w:r>
            <w:r>
              <w:rPr>
                <w:bCs/>
                <w:color w:val="auto"/>
                <w:sz w:val="24"/>
                <w:szCs w:val="24"/>
                <w:highlight w:val="none"/>
              </w:rPr>
              <w:t xml:space="preserve"> </w:t>
            </w:r>
            <w:r>
              <w:rPr>
                <w:rFonts w:hint="eastAsia"/>
                <w:bCs/>
                <w:color w:val="auto"/>
                <w:sz w:val="24"/>
                <w:szCs w:val="24"/>
                <w:highlight w:val="none"/>
              </w:rPr>
              <w:t>1</w:t>
            </w:r>
            <w:r>
              <w:rPr>
                <w:bCs/>
                <w:color w:val="auto"/>
                <w:sz w:val="24"/>
                <w:szCs w:val="24"/>
                <w:highlight w:val="none"/>
              </w:rPr>
              <w:t>,</w:t>
            </w:r>
            <w:r>
              <w:rPr>
                <w:rFonts w:hint="eastAsia"/>
                <w:bCs/>
                <w:color w:val="auto"/>
                <w:sz w:val="24"/>
                <w:szCs w:val="24"/>
                <w:highlight w:val="none"/>
              </w:rPr>
              <w:t>949</w:t>
            </w:r>
            <w:r>
              <w:rPr>
                <w:bCs/>
                <w:color w:val="auto"/>
                <w:sz w:val="24"/>
                <w:szCs w:val="24"/>
                <w:highlight w:val="none"/>
              </w:rPr>
              <w:t>,</w:t>
            </w:r>
            <w:r>
              <w:rPr>
                <w:rFonts w:hint="eastAsia"/>
                <w:bCs/>
                <w:color w:val="auto"/>
                <w:sz w:val="24"/>
                <w:szCs w:val="24"/>
                <w:highlight w:val="none"/>
              </w:rPr>
              <w:t>0</w:t>
            </w:r>
            <w:r>
              <w:rPr>
                <w:bCs/>
                <w:color w:val="auto"/>
                <w:sz w:val="24"/>
                <w:szCs w:val="24"/>
                <w:highlight w:val="none"/>
              </w:rPr>
              <w:t>00.00元</w:t>
            </w:r>
            <w:r>
              <w:rPr>
                <w:rFonts w:hint="eastAsia"/>
                <w:bCs/>
                <w:color w:val="auto"/>
                <w:sz w:val="24"/>
                <w:szCs w:val="24"/>
                <w:highlight w:val="none"/>
              </w:rPr>
              <w:t>（含</w:t>
            </w:r>
            <w:r>
              <w:rPr>
                <w:rFonts w:hint="eastAsia"/>
                <w:bCs/>
                <w:color w:val="auto"/>
                <w:sz w:val="24"/>
                <w:szCs w:val="24"/>
                <w:highlight w:val="none"/>
                <w:lang w:eastAsia="zh-CN"/>
              </w:rPr>
              <w:t xml:space="preserve">   </w:t>
            </w:r>
            <w:r>
              <w:rPr>
                <w:rFonts w:hint="eastAsia"/>
                <w:bCs/>
                <w:color w:val="auto"/>
                <w:sz w:val="24"/>
                <w:szCs w:val="24"/>
                <w:highlight w:val="none"/>
              </w:rPr>
              <w:t>%税）</w:t>
            </w:r>
          </w:p>
        </w:tc>
      </w:tr>
    </w:tbl>
    <w:p w14:paraId="45FC973F">
      <w:pPr>
        <w:spacing w:line="360" w:lineRule="auto"/>
        <w:ind w:firstLine="360" w:firstLineChars="150"/>
        <w:rPr>
          <w:color w:val="auto"/>
          <w:sz w:val="24"/>
          <w:highlight w:val="none"/>
          <w:lang w:eastAsia="zh-CN"/>
        </w:rPr>
      </w:pPr>
      <w:r>
        <w:rPr>
          <w:rFonts w:hint="eastAsia"/>
          <w:color w:val="auto"/>
          <w:sz w:val="24"/>
          <w:highlight w:val="none"/>
          <w:lang w:eastAsia="zh-CN"/>
        </w:rPr>
        <w:t>本合同为固定总价合同，未税金额为：</w:t>
      </w:r>
      <w:r>
        <w:rPr>
          <w:rFonts w:hint="eastAsia"/>
          <w:color w:val="auto"/>
          <w:sz w:val="24"/>
          <w:highlight w:val="none"/>
          <w:u w:val="single"/>
          <w:lang w:eastAsia="zh-CN"/>
        </w:rPr>
        <w:t xml:space="preserve"> </w:t>
      </w:r>
      <w:r>
        <w:rPr>
          <w:rFonts w:hint="eastAsia"/>
          <w:bCs/>
          <w:color w:val="auto"/>
          <w:sz w:val="24"/>
          <w:szCs w:val="24"/>
          <w:highlight w:val="none"/>
          <w:u w:val="single"/>
          <w:lang w:eastAsia="zh-CN"/>
        </w:rPr>
        <w:t>1</w:t>
      </w:r>
      <w:r>
        <w:rPr>
          <w:bCs/>
          <w:color w:val="auto"/>
          <w:sz w:val="24"/>
          <w:szCs w:val="24"/>
          <w:highlight w:val="none"/>
          <w:u w:val="single"/>
          <w:lang w:eastAsia="zh-CN"/>
        </w:rPr>
        <w:t>,</w:t>
      </w:r>
      <w:r>
        <w:rPr>
          <w:rFonts w:hint="eastAsia"/>
          <w:bCs/>
          <w:color w:val="auto"/>
          <w:sz w:val="24"/>
          <w:szCs w:val="24"/>
          <w:highlight w:val="none"/>
          <w:u w:val="single"/>
          <w:lang w:eastAsia="zh-CN"/>
        </w:rPr>
        <w:t>949</w:t>
      </w:r>
      <w:r>
        <w:rPr>
          <w:bCs/>
          <w:color w:val="auto"/>
          <w:sz w:val="24"/>
          <w:szCs w:val="24"/>
          <w:highlight w:val="none"/>
          <w:u w:val="single"/>
          <w:lang w:eastAsia="zh-CN"/>
        </w:rPr>
        <w:t>,</w:t>
      </w:r>
      <w:r>
        <w:rPr>
          <w:rFonts w:hint="eastAsia"/>
          <w:bCs/>
          <w:color w:val="auto"/>
          <w:sz w:val="24"/>
          <w:szCs w:val="24"/>
          <w:highlight w:val="none"/>
          <w:u w:val="single"/>
          <w:lang w:eastAsia="zh-CN"/>
        </w:rPr>
        <w:t>0</w:t>
      </w:r>
      <w:r>
        <w:rPr>
          <w:bCs/>
          <w:color w:val="auto"/>
          <w:sz w:val="24"/>
          <w:szCs w:val="24"/>
          <w:highlight w:val="none"/>
          <w:u w:val="single"/>
          <w:lang w:eastAsia="zh-CN"/>
        </w:rPr>
        <w:t>00.00</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w:t>
      </w:r>
      <w:r>
        <w:rPr>
          <w:color w:val="auto"/>
          <w:sz w:val="24"/>
          <w:highlight w:val="none"/>
          <w:lang w:eastAsia="zh-CN"/>
        </w:rPr>
        <w:t>税金为</w:t>
      </w:r>
      <w:r>
        <w:rPr>
          <w:rFonts w:hint="eastAsia"/>
          <w:color w:val="auto"/>
          <w:sz w:val="24"/>
          <w:highlight w:val="none"/>
          <w:u w:val="single"/>
          <w:lang w:eastAsia="zh-CN"/>
        </w:rPr>
        <w:t xml:space="preserve">   </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。合同约定服务包含苗种培育、放流苗种、专用工具、检验、放流人工费、项目验收（含验收过程一切有关的费用，如专家费、会务费、差旅等）、运输、运输保险、发票税收等与本项目相关的所有费用。</w:t>
      </w:r>
    </w:p>
    <w:p w14:paraId="2C7AE038">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第二条 </w:t>
      </w:r>
      <w:r>
        <w:rPr>
          <w:rFonts w:hint="eastAsia"/>
          <w:b/>
          <w:bCs/>
          <w:color w:val="auto"/>
          <w:sz w:val="24"/>
          <w:highlight w:val="none"/>
          <w:lang w:eastAsia="zh-CN"/>
        </w:rPr>
        <w:t>交货：</w:t>
      </w:r>
    </w:p>
    <w:p w14:paraId="0E095286">
      <w:pPr>
        <w:spacing w:line="360" w:lineRule="auto"/>
        <w:ind w:firstLine="480" w:firstLineChars="200"/>
        <w:rPr>
          <w:color w:val="auto"/>
          <w:sz w:val="24"/>
          <w:highlight w:val="none"/>
          <w:lang w:eastAsia="zh-CN"/>
        </w:rPr>
      </w:pPr>
      <w:r>
        <w:rPr>
          <w:rFonts w:hint="eastAsia"/>
          <w:color w:val="auto"/>
          <w:sz w:val="24"/>
          <w:highlight w:val="none"/>
          <w:lang w:eastAsia="zh-CN"/>
        </w:rPr>
        <w:t>2.1</w:t>
      </w:r>
      <w:r>
        <w:rPr>
          <w:rFonts w:hint="eastAsia"/>
          <w:color w:val="auto"/>
          <w:sz w:val="24"/>
          <w:highlight w:val="none"/>
          <w:lang w:val="en-US" w:eastAsia="zh-CN"/>
        </w:rPr>
        <w:t xml:space="preserve"> </w:t>
      </w:r>
      <w:r>
        <w:rPr>
          <w:rFonts w:hint="eastAsia"/>
          <w:color w:val="auto"/>
          <w:sz w:val="24"/>
          <w:highlight w:val="none"/>
          <w:lang w:eastAsia="zh-CN"/>
        </w:rPr>
        <w:t>交货方式：</w:t>
      </w:r>
      <w:r>
        <w:rPr>
          <w:rFonts w:hint="eastAsia"/>
          <w:color w:val="auto"/>
          <w:sz w:val="24"/>
          <w:highlight w:val="none"/>
          <w:u w:val="single"/>
          <w:lang w:eastAsia="zh-CN"/>
        </w:rPr>
        <w:t xml:space="preserve">  汽运或船运     </w:t>
      </w:r>
    </w:p>
    <w:p w14:paraId="0446B47B">
      <w:pPr>
        <w:spacing w:line="360" w:lineRule="auto"/>
        <w:ind w:firstLine="480" w:firstLineChars="200"/>
        <w:rPr>
          <w:rFonts w:hint="default"/>
          <w:color w:val="auto"/>
          <w:sz w:val="24"/>
          <w:highlight w:val="none"/>
          <w:lang w:val="en-US" w:eastAsia="zh-CN"/>
        </w:rPr>
      </w:pPr>
      <w:r>
        <w:rPr>
          <w:rFonts w:hint="eastAsia"/>
          <w:color w:val="auto"/>
          <w:sz w:val="24"/>
          <w:highlight w:val="none"/>
          <w:lang w:eastAsia="zh-CN"/>
        </w:rPr>
        <w:t>2.2</w:t>
      </w:r>
      <w:r>
        <w:rPr>
          <w:rFonts w:hint="eastAsia"/>
          <w:color w:val="auto"/>
          <w:sz w:val="24"/>
          <w:highlight w:val="none"/>
          <w:lang w:val="en-US" w:eastAsia="zh-CN"/>
        </w:rPr>
        <w:t xml:space="preserve"> 交货</w:t>
      </w:r>
      <w:r>
        <w:rPr>
          <w:rFonts w:hint="eastAsia"/>
          <w:color w:val="auto"/>
          <w:sz w:val="24"/>
          <w:highlight w:val="none"/>
          <w:lang w:eastAsia="zh-CN"/>
        </w:rPr>
        <w:t>地点：</w:t>
      </w:r>
      <w:r>
        <w:rPr>
          <w:rFonts w:hint="eastAsia"/>
          <w:sz w:val="24"/>
          <w:lang w:eastAsia="zh-CN"/>
        </w:rPr>
        <w:t>运送到</w:t>
      </w:r>
      <w:r>
        <w:rPr>
          <w:rFonts w:hint="eastAsia"/>
          <w:sz w:val="24"/>
          <w:u w:val="single"/>
          <w:lang w:eastAsia="zh-CN"/>
        </w:rPr>
        <w:t xml:space="preserve"> 甲方所在地</w:t>
      </w:r>
      <w:r>
        <w:rPr>
          <w:rFonts w:hint="eastAsia"/>
          <w:color w:val="auto"/>
          <w:sz w:val="24"/>
          <w:highlight w:val="none"/>
          <w:u w:val="single"/>
          <w:lang w:val="en-US" w:eastAsia="zh-CN"/>
        </w:rPr>
        <w:t>浮头湾海域（含杏仔码头）周边</w:t>
      </w:r>
      <w:r>
        <w:rPr>
          <w:rFonts w:hint="eastAsia"/>
          <w:color w:val="auto"/>
          <w:sz w:val="24"/>
          <w:highlight w:val="none"/>
          <w:lang w:eastAsia="zh-CN"/>
        </w:rPr>
        <w:t>（以甲方提供的送货清单和地址明细为准），甲方现场联系人</w:t>
      </w:r>
      <w:r>
        <w:rPr>
          <w:rFonts w:hint="eastAsia"/>
          <w:color w:val="auto"/>
          <w:sz w:val="24"/>
          <w:highlight w:val="none"/>
          <w:u w:val="single"/>
          <w:lang w:eastAsia="zh-CN"/>
        </w:rPr>
        <w:t>：</w:t>
      </w:r>
      <w:r>
        <w:rPr>
          <w:rFonts w:hint="eastAsia"/>
          <w:color w:val="auto"/>
          <w:sz w:val="24"/>
          <w:highlight w:val="none"/>
          <w:u w:val="single"/>
          <w:lang w:val="en-US" w:eastAsia="zh-CN"/>
        </w:rPr>
        <w:t>陈海伟</w:t>
      </w:r>
      <w:r>
        <w:rPr>
          <w:color w:val="auto"/>
          <w:sz w:val="24"/>
          <w:highlight w:val="none"/>
          <w:u w:val="single"/>
          <w:lang w:eastAsia="zh-CN"/>
        </w:rPr>
        <w:t xml:space="preserve"> </w:t>
      </w:r>
      <w:r>
        <w:rPr>
          <w:rFonts w:hint="eastAsia"/>
          <w:color w:val="auto"/>
          <w:sz w:val="24"/>
          <w:highlight w:val="none"/>
          <w:u w:val="single"/>
          <w:lang w:val="en-US" w:eastAsia="zh-CN"/>
        </w:rPr>
        <w:t>13616007156</w:t>
      </w:r>
      <w:r>
        <w:rPr>
          <w:rFonts w:hint="eastAsia"/>
          <w:color w:val="auto"/>
          <w:sz w:val="24"/>
          <w:highlight w:val="none"/>
          <w:lang w:val="en-US" w:eastAsia="zh-CN"/>
        </w:rPr>
        <w:t>。</w:t>
      </w:r>
    </w:p>
    <w:p w14:paraId="17D0F084">
      <w:pPr>
        <w:spacing w:line="360" w:lineRule="auto"/>
        <w:ind w:firstLine="480" w:firstLineChars="200"/>
        <w:rPr>
          <w:color w:val="auto"/>
          <w:sz w:val="24"/>
          <w:highlight w:val="none"/>
          <w:lang w:eastAsia="zh-CN"/>
        </w:rPr>
      </w:pPr>
      <w:r>
        <w:rPr>
          <w:rFonts w:hint="eastAsia"/>
          <w:color w:val="auto"/>
          <w:sz w:val="24"/>
          <w:highlight w:val="none"/>
          <w:lang w:eastAsia="zh-CN"/>
        </w:rPr>
        <w:t>2.3</w:t>
      </w:r>
      <w:r>
        <w:rPr>
          <w:rFonts w:hint="eastAsia"/>
          <w:color w:val="auto"/>
          <w:sz w:val="24"/>
          <w:highlight w:val="none"/>
          <w:lang w:val="en-US" w:eastAsia="zh-CN"/>
        </w:rPr>
        <w:t xml:space="preserve"> </w:t>
      </w:r>
      <w:r>
        <w:rPr>
          <w:rFonts w:hint="eastAsia"/>
          <w:color w:val="auto"/>
          <w:sz w:val="24"/>
          <w:highlight w:val="none"/>
          <w:lang w:eastAsia="zh-CN"/>
        </w:rPr>
        <w:t>交货时间：</w:t>
      </w:r>
      <w:r>
        <w:rPr>
          <w:rFonts w:hint="eastAsia"/>
          <w:color w:val="auto"/>
          <w:sz w:val="24"/>
          <w:highlight w:val="none"/>
          <w:u w:val="single"/>
          <w:lang w:eastAsia="zh-CN"/>
        </w:rPr>
        <w:t>放流时间计划</w:t>
      </w:r>
      <w:r>
        <w:rPr>
          <w:rFonts w:hint="eastAsia"/>
          <w:color w:val="auto"/>
          <w:sz w:val="24"/>
          <w:highlight w:val="none"/>
          <w:u w:val="single"/>
          <w:lang w:val="en-US" w:eastAsia="zh-CN"/>
        </w:rPr>
        <w:t>2025年12</w:t>
      </w:r>
      <w:r>
        <w:rPr>
          <w:rFonts w:hint="eastAsia"/>
          <w:color w:val="auto"/>
          <w:sz w:val="24"/>
          <w:highlight w:val="none"/>
          <w:u w:val="single"/>
          <w:lang w:eastAsia="zh-CN"/>
        </w:rPr>
        <w:t>月份</w:t>
      </w:r>
      <w:r>
        <w:rPr>
          <w:rFonts w:hint="eastAsia"/>
          <w:color w:val="auto"/>
          <w:sz w:val="24"/>
          <w:highlight w:val="none"/>
          <w:u w:val="single"/>
          <w:lang w:val="en-US" w:eastAsia="zh-CN"/>
        </w:rPr>
        <w:t>下旬</w:t>
      </w:r>
      <w:r>
        <w:rPr>
          <w:rFonts w:hint="eastAsia"/>
          <w:color w:val="auto"/>
          <w:sz w:val="24"/>
          <w:highlight w:val="none"/>
          <w:u w:val="single"/>
          <w:lang w:eastAsia="zh-CN"/>
        </w:rPr>
        <w:t xml:space="preserve">完成，具体以甲方的通知为准。 </w:t>
      </w:r>
    </w:p>
    <w:p w14:paraId="24E28DB0">
      <w:pPr>
        <w:spacing w:line="360" w:lineRule="auto"/>
        <w:ind w:firstLine="480" w:firstLineChars="200"/>
        <w:rPr>
          <w:color w:val="auto"/>
          <w:sz w:val="24"/>
          <w:highlight w:val="none"/>
          <w:lang w:eastAsia="zh-CN"/>
        </w:rPr>
      </w:pPr>
      <w:r>
        <w:rPr>
          <w:rFonts w:hint="eastAsia"/>
          <w:color w:val="auto"/>
          <w:sz w:val="24"/>
          <w:highlight w:val="none"/>
          <w:lang w:eastAsia="zh-CN"/>
        </w:rPr>
        <w:t>2.4</w:t>
      </w:r>
      <w:r>
        <w:rPr>
          <w:rFonts w:hint="eastAsia"/>
          <w:color w:val="auto"/>
          <w:sz w:val="24"/>
          <w:highlight w:val="none"/>
          <w:lang w:val="en-US" w:eastAsia="zh-CN"/>
        </w:rPr>
        <w:t xml:space="preserve"> </w:t>
      </w:r>
      <w:r>
        <w:rPr>
          <w:rFonts w:hint="eastAsia"/>
          <w:color w:val="auto"/>
          <w:sz w:val="24"/>
          <w:highlight w:val="none"/>
          <w:lang w:eastAsia="zh-CN"/>
        </w:rPr>
        <w:t>乙方应提供相应的增殖放流工具，负责增殖放流鱼苗的包装、运输和投放，并承担运输过程中发生的一切费用。在产品交付给甲方之前，相关的毁损、灭失等风险均由乙方自行承担。</w:t>
      </w:r>
    </w:p>
    <w:p w14:paraId="3F3FE00F">
      <w:pPr>
        <w:spacing w:line="360" w:lineRule="auto"/>
        <w:ind w:firstLine="480" w:firstLineChars="200"/>
        <w:rPr>
          <w:color w:val="auto"/>
          <w:sz w:val="24"/>
          <w:highlight w:val="none"/>
          <w:lang w:eastAsia="zh-CN"/>
        </w:rPr>
      </w:pPr>
      <w:r>
        <w:rPr>
          <w:rFonts w:hint="eastAsia"/>
          <w:color w:val="auto"/>
          <w:sz w:val="24"/>
          <w:highlight w:val="none"/>
          <w:lang w:eastAsia="zh-CN"/>
        </w:rPr>
        <w:t>2.5增殖放流所产生的交通费、运输费、人工费、住宿费、验收费等均由乙方承担。</w:t>
      </w:r>
    </w:p>
    <w:p w14:paraId="38694C49">
      <w:pPr>
        <w:spacing w:line="360" w:lineRule="auto"/>
        <w:ind w:firstLine="480" w:firstLineChars="200"/>
        <w:rPr>
          <w:color w:val="auto"/>
          <w:sz w:val="24"/>
          <w:highlight w:val="none"/>
          <w:lang w:eastAsia="zh-CN"/>
        </w:rPr>
      </w:pPr>
      <w:r>
        <w:rPr>
          <w:rFonts w:hint="eastAsia"/>
          <w:color w:val="auto"/>
          <w:sz w:val="24"/>
          <w:highlight w:val="none"/>
          <w:lang w:eastAsia="zh-CN"/>
        </w:rPr>
        <w:t>2.6 乙方负责做好由渔业行政主管部门组织的过程监督和放流现场验收工作，并取得增殖放流项目现场验收合格报告。</w:t>
      </w:r>
    </w:p>
    <w:p w14:paraId="72DB0FA7">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第三条 </w:t>
      </w:r>
      <w:r>
        <w:rPr>
          <w:rFonts w:hint="eastAsia"/>
          <w:b/>
          <w:bCs/>
          <w:color w:val="auto"/>
          <w:sz w:val="24"/>
          <w:highlight w:val="none"/>
          <w:lang w:eastAsia="zh-CN"/>
        </w:rPr>
        <w:t>付款方式与条件</w:t>
      </w:r>
    </w:p>
    <w:p w14:paraId="4A1A6B22">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3.1 签订合同后，待增殖放流工作完成，并经渔业行政主管部门组织验收合格并取得验收报告后，甲方收到乙方提供的验收报告及合同全额发票60日内支付相应款项，乙方提供账户并确认该账户合法，甲方将款项按本合同约定汇入该账户。</w:t>
      </w:r>
    </w:p>
    <w:p w14:paraId="2C697B4C">
      <w:pPr>
        <w:pStyle w:val="32"/>
        <w:spacing w:line="360" w:lineRule="auto"/>
        <w:rPr>
          <w:rFonts w:ascii="Times New Roman" w:hAnsi="Times New Roman" w:cs="Times New Roman"/>
          <w:b/>
          <w:bCs/>
          <w:color w:val="auto"/>
          <w:sz w:val="24"/>
          <w:szCs w:val="22"/>
          <w:highlight w:val="none"/>
          <w:lang w:eastAsia="zh-CN"/>
        </w:rPr>
      </w:pPr>
      <w:r>
        <w:rPr>
          <w:rFonts w:ascii="Times New Roman" w:hAnsi="Times New Roman" w:cs="Times New Roman"/>
          <w:b/>
          <w:bCs/>
          <w:color w:val="auto"/>
          <w:sz w:val="24"/>
          <w:szCs w:val="22"/>
          <w:highlight w:val="none"/>
          <w:lang w:eastAsia="zh-CN"/>
        </w:rPr>
        <w:t>第四条 履约保证</w:t>
      </w:r>
    </w:p>
    <w:p w14:paraId="60EAE9F2">
      <w:pPr>
        <w:pStyle w:val="32"/>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4.1 合同签订后，乙方的参选保证金</w:t>
      </w:r>
      <w:r>
        <w:rPr>
          <w:rFonts w:hint="eastAsia" w:ascii="Times New Roman" w:hAnsi="Times New Roman" w:cs="Times New Roman"/>
          <w:b/>
          <w:bCs/>
          <w:color w:val="auto"/>
          <w:sz w:val="24"/>
          <w:highlight w:val="none"/>
          <w:u w:val="single"/>
          <w:lang w:eastAsia="zh-CN"/>
        </w:rPr>
        <w:t>人民币</w:t>
      </w:r>
      <w:r>
        <w:rPr>
          <w:rFonts w:hint="eastAsia" w:ascii="Times New Roman" w:hAnsi="Times New Roman" w:cs="Times New Roman"/>
          <w:b/>
          <w:bCs/>
          <w:color w:val="auto"/>
          <w:sz w:val="24"/>
          <w:highlight w:val="none"/>
          <w:u w:val="single"/>
          <w:lang w:val="en-US" w:eastAsia="zh-CN"/>
        </w:rPr>
        <w:t>380</w:t>
      </w:r>
      <w:r>
        <w:rPr>
          <w:rFonts w:hint="eastAsia" w:ascii="Times New Roman" w:hAnsi="Times New Roman" w:cs="Times New Roman"/>
          <w:b/>
          <w:bCs/>
          <w:color w:val="auto"/>
          <w:sz w:val="24"/>
          <w:highlight w:val="none"/>
          <w:u w:val="single"/>
          <w:lang w:eastAsia="zh-CN"/>
        </w:rPr>
        <w:t>00</w:t>
      </w:r>
      <w:r>
        <w:rPr>
          <w:rFonts w:ascii="Times New Roman" w:hAnsi="Times New Roman" w:cs="Times New Roman"/>
          <w:b/>
          <w:bCs/>
          <w:color w:val="auto"/>
          <w:sz w:val="24"/>
          <w:highlight w:val="none"/>
          <w:u w:val="single"/>
          <w:lang w:eastAsia="zh-CN"/>
        </w:rPr>
        <w:t>元</w:t>
      </w:r>
      <w:r>
        <w:rPr>
          <w:rFonts w:ascii="Times New Roman" w:hAnsi="Times New Roman" w:cs="Times New Roman"/>
          <w:color w:val="auto"/>
          <w:sz w:val="24"/>
          <w:highlight w:val="none"/>
          <w:lang w:eastAsia="zh-CN"/>
        </w:rPr>
        <w:t>将直接转为本合同的履约保证金，若乙方违约或发生本合同约定的其他事由的，甲方有权从履约保证金中优先扣除乙方违约金及其他应付款项；由此造成履约保证金不足的，乙方应在5日内补足，逾期每日按照应缴金额的千分之一支付违约金。</w:t>
      </w:r>
    </w:p>
    <w:p w14:paraId="7AEA30A1">
      <w:pPr>
        <w:pStyle w:val="32"/>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4.2 该履约保证金在乙方全面履行完毕本合同义务后30天内无息退还。但履约保证金退还后发现任何应由乙方承担责任的行为或事件，乙方仍应承担责任。</w:t>
      </w:r>
    </w:p>
    <w:p w14:paraId="2B23FF96">
      <w:pPr>
        <w:tabs>
          <w:tab w:val="left" w:pos="381"/>
        </w:tabs>
        <w:spacing w:line="360" w:lineRule="auto"/>
        <w:rPr>
          <w:b/>
          <w:bCs/>
          <w:color w:val="auto"/>
          <w:sz w:val="24"/>
          <w:highlight w:val="none"/>
          <w:lang w:eastAsia="zh-CN"/>
        </w:rPr>
      </w:pPr>
      <w:r>
        <w:rPr>
          <w:rFonts w:hint="eastAsia"/>
          <w:b/>
          <w:bCs/>
          <w:color w:val="auto"/>
          <w:sz w:val="24"/>
          <w:highlight w:val="none"/>
          <w:lang w:val="en-US" w:eastAsia="zh-CN"/>
        </w:rPr>
        <w:t xml:space="preserve">第五条 </w:t>
      </w:r>
      <w:r>
        <w:rPr>
          <w:rFonts w:hint="eastAsia"/>
          <w:b/>
          <w:bCs/>
          <w:color w:val="auto"/>
          <w:sz w:val="24"/>
          <w:highlight w:val="none"/>
          <w:lang w:eastAsia="zh-CN"/>
        </w:rPr>
        <w:t>质量要求和技术标准</w:t>
      </w:r>
    </w:p>
    <w:p w14:paraId="67C9D699">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.1乙方提供的增殖放流的品种必须经有资质的检验单位检测合格。</w:t>
      </w:r>
    </w:p>
    <w:p w14:paraId="423E2139">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.2乙方应提供相应的增殖放流工具，负责增殖放流鱼苗的包装、运输和投放。</w:t>
      </w:r>
    </w:p>
    <w:p w14:paraId="3D5A8EA3">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3除合同另有规定外，乙方提供的全部苗种均应按甲方要求的标准采取保护措施进行包装。该包装应适应于远距离运输、防潮、防震、防锈和防野蛮装卸，以确保苗种安全无损运抵指定地点。由于包装不善所引起的苗种损失均由乙方承担。</w:t>
      </w:r>
    </w:p>
    <w:p w14:paraId="7D20CDBF">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.4乙方不按本合同约定交付产品所产生的任何费用由乙方自己承担。</w:t>
      </w:r>
    </w:p>
    <w:p w14:paraId="5A03E68C">
      <w:pPr>
        <w:spacing w:line="360" w:lineRule="auto"/>
        <w:ind w:firstLine="480" w:firstLineChars="20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.5鱼苗须经有资质的检验单位检测合格，并提供</w:t>
      </w:r>
      <w:r>
        <w:rPr>
          <w:rFonts w:hint="eastAsia"/>
          <w:color w:val="auto"/>
          <w:sz w:val="24"/>
          <w:highlight w:val="none"/>
          <w:lang w:val="en-US" w:eastAsia="zh-CN"/>
        </w:rPr>
        <w:t>参比</w:t>
      </w:r>
      <w:r>
        <w:rPr>
          <w:rFonts w:hint="eastAsia"/>
          <w:color w:val="auto"/>
          <w:sz w:val="24"/>
          <w:highlight w:val="none"/>
          <w:lang w:eastAsia="zh-CN"/>
        </w:rPr>
        <w:t>截止时间前一个月内放流品种禁用渔药检验合格报告。</w:t>
      </w:r>
    </w:p>
    <w:p w14:paraId="3A7C036A">
      <w:pPr>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.6乙方应提供的技术资料（其费用应包括在参比报价内）：苗种检测、检验合格报告（采购人组织开展）、其他相关技术资料。</w:t>
      </w:r>
    </w:p>
    <w:p w14:paraId="22146E66">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.7甲方实行中标价格备案制度，甲方在开标后将中标情况上报上级渔业主管部门，上级渔业主管部门视情况开展督查检查或专项验收，乙方应予以配合。</w:t>
      </w:r>
    </w:p>
    <w:p w14:paraId="3F8B2EFA">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.8、乙方应认真遵守《漳州市海洋与渔业局关于印发&lt;漳州市水生生物增殖放流指导意见&gt;的通知》（漳海渔〔2020〕27号）的有关规定，否则，乙方将承担相应的责任。</w:t>
      </w:r>
    </w:p>
    <w:p w14:paraId="0CC75A25">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.7 其他要求见附件发包要求。</w:t>
      </w:r>
    </w:p>
    <w:p w14:paraId="68C12DD5">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第六条 </w:t>
      </w:r>
      <w:r>
        <w:rPr>
          <w:rFonts w:hint="eastAsia"/>
          <w:b/>
          <w:bCs/>
          <w:color w:val="auto"/>
          <w:sz w:val="24"/>
          <w:highlight w:val="none"/>
          <w:lang w:eastAsia="zh-CN"/>
        </w:rPr>
        <w:t>验收</w:t>
      </w:r>
    </w:p>
    <w:p w14:paraId="15DE1D34">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.1货物的货到验收包括：型号、规格、数量、质量、及货物包装是否完好。</w:t>
      </w:r>
    </w:p>
    <w:p w14:paraId="44D9A73D">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.2乙方对增殖放流苗种验收不合格的应予以更换，承担一切与之有关的费用，并按第7条承担违约责任。</w:t>
      </w:r>
    </w:p>
    <w:p w14:paraId="5F8732E8">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.3乙方应将所提供苗种的清单、检测合格报告等交付给甲方；乙方不能完整交付货物及本款规定的单证和工具的，视为未按合同约定交货，乙方负责补齐，因此导致逾期交付的，由乙方承担相关的违约责任。</w:t>
      </w:r>
    </w:p>
    <w:p w14:paraId="13C3B3B7">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.4乙方负责做好由渔业行政主管部门组织的过程监督和放流现场验收工作，并取得增殖放流项目现场验收合格报告。</w:t>
      </w:r>
    </w:p>
    <w:p w14:paraId="59B7E80F">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第七条 </w:t>
      </w:r>
      <w:r>
        <w:rPr>
          <w:rFonts w:hint="eastAsia"/>
          <w:b/>
          <w:bCs/>
          <w:color w:val="auto"/>
          <w:sz w:val="24"/>
          <w:highlight w:val="none"/>
          <w:lang w:eastAsia="zh-CN"/>
        </w:rPr>
        <w:t>质量保证</w:t>
      </w:r>
    </w:p>
    <w:p w14:paraId="55E74012">
      <w:pPr>
        <w:spacing w:line="360" w:lineRule="auto"/>
        <w:ind w:firstLine="480" w:firstLineChars="200"/>
        <w:rPr>
          <w:color w:val="auto"/>
          <w:sz w:val="24"/>
          <w:highlight w:val="none"/>
          <w:lang w:eastAsia="zh-CN"/>
        </w:rPr>
      </w:pPr>
      <w:r>
        <w:rPr>
          <w:rFonts w:hint="eastAsia"/>
          <w:color w:val="auto"/>
          <w:sz w:val="24"/>
          <w:highlight w:val="none"/>
          <w:lang w:eastAsia="zh-CN"/>
        </w:rPr>
        <w:t>增殖放流的品种必须经有资质的检验单位检测合格。</w:t>
      </w:r>
    </w:p>
    <w:p w14:paraId="742C59E3">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第八条 </w:t>
      </w:r>
      <w:r>
        <w:rPr>
          <w:rFonts w:hint="eastAsia"/>
          <w:b/>
          <w:bCs/>
          <w:color w:val="auto"/>
          <w:sz w:val="24"/>
          <w:highlight w:val="none"/>
          <w:lang w:eastAsia="zh-CN"/>
        </w:rPr>
        <w:t>违约责任</w:t>
      </w:r>
    </w:p>
    <w:p w14:paraId="22B3917F">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.1乙方逾期交货的，每日按照该批次实施金额的</w:t>
      </w:r>
      <w:r>
        <w:rPr>
          <w:rFonts w:hint="eastAsia"/>
          <w:color w:val="auto"/>
          <w:sz w:val="24"/>
          <w:highlight w:val="none"/>
          <w:u w:val="single"/>
          <w:lang w:eastAsia="zh-CN"/>
        </w:rPr>
        <w:t xml:space="preserve"> 5 </w:t>
      </w:r>
      <w:r>
        <w:rPr>
          <w:rFonts w:hint="eastAsia"/>
          <w:color w:val="auto"/>
          <w:sz w:val="24"/>
          <w:highlight w:val="none"/>
          <w:lang w:eastAsia="zh-CN"/>
        </w:rPr>
        <w:t>%向甲方支付违约金，逾期超过</w:t>
      </w:r>
      <w:r>
        <w:rPr>
          <w:rFonts w:hint="eastAsia"/>
          <w:color w:val="auto"/>
          <w:sz w:val="24"/>
          <w:highlight w:val="none"/>
          <w:u w:val="single"/>
          <w:lang w:eastAsia="zh-CN"/>
        </w:rPr>
        <w:t xml:space="preserve"> 7  </w:t>
      </w:r>
      <w:r>
        <w:rPr>
          <w:rFonts w:hint="eastAsia"/>
          <w:color w:val="auto"/>
          <w:sz w:val="24"/>
          <w:highlight w:val="none"/>
          <w:lang w:eastAsia="zh-CN"/>
        </w:rPr>
        <w:t>日的，甲方还有权解除合同，并要求乙方一次性支付合同总额</w:t>
      </w:r>
      <w:r>
        <w:rPr>
          <w:rFonts w:hint="eastAsia"/>
          <w:color w:val="auto"/>
          <w:sz w:val="24"/>
          <w:highlight w:val="none"/>
          <w:u w:val="single"/>
          <w:lang w:eastAsia="zh-CN"/>
        </w:rPr>
        <w:t xml:space="preserve"> 20  </w:t>
      </w:r>
      <w:r>
        <w:rPr>
          <w:rFonts w:hint="eastAsia"/>
          <w:color w:val="auto"/>
          <w:sz w:val="24"/>
          <w:highlight w:val="none"/>
          <w:lang w:eastAsia="zh-CN"/>
        </w:rPr>
        <w:t>%的违约金。乙方部分交货、交货不合格的，均按照逾期交货处理。</w:t>
      </w:r>
    </w:p>
    <w:p w14:paraId="4A4170E4">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.2 乙方交付的产品经甲方验收不合格的，每次应向甲方支付违约金人民币</w:t>
      </w:r>
      <w:r>
        <w:rPr>
          <w:rFonts w:hint="eastAsia"/>
          <w:color w:val="auto"/>
          <w:sz w:val="24"/>
          <w:highlight w:val="none"/>
          <w:u w:val="single"/>
          <w:lang w:eastAsia="zh-CN"/>
        </w:rPr>
        <w:t xml:space="preserve"> 10000 </w:t>
      </w:r>
      <w:r>
        <w:rPr>
          <w:rFonts w:hint="eastAsia"/>
          <w:color w:val="auto"/>
          <w:sz w:val="24"/>
          <w:highlight w:val="none"/>
          <w:lang w:eastAsia="zh-CN"/>
        </w:rPr>
        <w:t>元，并应根据甲方要求进行更换或采取其他补救措施。累计</w:t>
      </w:r>
      <w:r>
        <w:rPr>
          <w:rFonts w:hint="eastAsia"/>
          <w:color w:val="auto"/>
          <w:sz w:val="24"/>
          <w:highlight w:val="none"/>
          <w:u w:val="single"/>
          <w:lang w:eastAsia="zh-CN"/>
        </w:rPr>
        <w:t xml:space="preserve"> 2 </w:t>
      </w:r>
      <w:r>
        <w:rPr>
          <w:rFonts w:hint="eastAsia"/>
          <w:color w:val="auto"/>
          <w:sz w:val="24"/>
          <w:highlight w:val="none"/>
          <w:lang w:eastAsia="zh-CN"/>
        </w:rPr>
        <w:t>次验收不合格的，甲方还有权解除合同、乙方应向甲方支付合同总额20%的违约金。如违约金不足以弥补给甲方造成的损失的，甲方有权向乙方追偿。</w:t>
      </w:r>
    </w:p>
    <w:p w14:paraId="38B1DC4B">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3甲方在放流前，组织相关人员核查放流苗种的数量和质量，并现场抽样进行苗种质量安全检验，以确保放流苗种的质量。乙方接到甲方通知后要及时做好相关的准备工作，不得以任何理由拖延或拒绝。乙方拖延或拒绝的，甲方有权解除合同，没收履约保证金。</w:t>
      </w:r>
    </w:p>
    <w:p w14:paraId="2F157B47">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.4甲方若发现苗种育苗场没有或者明显育苗条件不足、数量明显不够的，甲方有权解除合同，没收履约保证金，并报政府采购监督管理部门列入失信黑名单。</w:t>
      </w:r>
    </w:p>
    <w:p w14:paraId="4D981D8F">
      <w:pPr>
        <w:spacing w:line="360" w:lineRule="auto"/>
        <w:ind w:firstLine="480" w:firstLineChars="20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.5 甲方无故逾期付款的，按照全国银行间同业拆借中心公布的贷款市场报价利率支付利息。</w:t>
      </w:r>
    </w:p>
    <w:p w14:paraId="714E24C8">
      <w:pPr>
        <w:spacing w:line="360" w:lineRule="auto"/>
        <w:ind w:firstLine="360" w:firstLineChars="15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w:t>
      </w:r>
      <w:r>
        <w:rPr>
          <w:color w:val="auto"/>
          <w:sz w:val="24"/>
          <w:highlight w:val="none"/>
          <w:lang w:eastAsia="zh-CN"/>
        </w:rPr>
        <w:t>6</w:t>
      </w:r>
      <w:r>
        <w:rPr>
          <w:rFonts w:hint="eastAsia"/>
          <w:color w:val="auto"/>
          <w:sz w:val="24"/>
          <w:highlight w:val="none"/>
          <w:lang w:eastAsia="zh-CN"/>
        </w:rPr>
        <w:t xml:space="preserve"> 一方的违约行为给对方造成的损失超过本合同约定的违约金数额的，超出部分，违约方应予以赔偿。</w:t>
      </w:r>
    </w:p>
    <w:p w14:paraId="7F8F81C4">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第九条 </w:t>
      </w:r>
      <w:r>
        <w:rPr>
          <w:rFonts w:hint="eastAsia"/>
          <w:b/>
          <w:bCs/>
          <w:color w:val="auto"/>
          <w:sz w:val="24"/>
          <w:highlight w:val="none"/>
          <w:lang w:eastAsia="zh-CN"/>
        </w:rPr>
        <w:t>法律的适用及争议解决方式</w:t>
      </w:r>
    </w:p>
    <w:p w14:paraId="72964A80">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.1、本合同的效力、解释及履行均适用中华人民共和国法律。</w:t>
      </w:r>
    </w:p>
    <w:p w14:paraId="5D593EDF">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.2、因本合同履行过程中引起的任何争议，双方应及时友好协商解决。协商不成的，向甲方所在地的人民法院提起诉讼。</w:t>
      </w:r>
    </w:p>
    <w:p w14:paraId="69F36090">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第十条 </w:t>
      </w:r>
      <w:r>
        <w:rPr>
          <w:rFonts w:hint="eastAsia"/>
          <w:b/>
          <w:bCs/>
          <w:color w:val="auto"/>
          <w:sz w:val="24"/>
          <w:highlight w:val="none"/>
          <w:lang w:eastAsia="zh-CN"/>
        </w:rPr>
        <w:t xml:space="preserve">合同变更与解除： </w:t>
      </w:r>
    </w:p>
    <w:p w14:paraId="07F7EA18">
      <w:pPr>
        <w:spacing w:line="360" w:lineRule="auto"/>
        <w:ind w:firstLine="360" w:firstLineChars="150"/>
        <w:rPr>
          <w:color w:val="auto"/>
          <w:sz w:val="24"/>
          <w:highlight w:val="none"/>
          <w:lang w:eastAsia="zh-CN"/>
        </w:rPr>
      </w:pPr>
      <w:r>
        <w:rPr>
          <w:rFonts w:hint="eastAsia"/>
          <w:color w:val="auto"/>
          <w:sz w:val="24"/>
          <w:highlight w:val="none"/>
          <w:lang w:eastAsia="zh-CN"/>
        </w:rPr>
        <w:t>除本合同另有约定或法律规定外，非经双方协商一致，任何一方均不得擅自变更或解除合同。合同变更或解除须采取书面形式。</w:t>
      </w:r>
    </w:p>
    <w:p w14:paraId="14444B93">
      <w:pPr>
        <w:spacing w:line="360" w:lineRule="auto"/>
        <w:ind w:firstLine="480"/>
        <w:rPr>
          <w:color w:val="auto"/>
          <w:sz w:val="24"/>
          <w:highlight w:val="none"/>
          <w:lang w:eastAsia="zh-CN"/>
        </w:rPr>
      </w:pPr>
      <w:r>
        <w:rPr>
          <w:rFonts w:hint="eastAsia"/>
          <w:b/>
          <w:bCs/>
          <w:color w:val="auto"/>
          <w:sz w:val="24"/>
          <w:highlight w:val="none"/>
          <w:lang w:val="en-US" w:eastAsia="zh-CN"/>
        </w:rPr>
        <w:t>第十一条</w:t>
      </w:r>
      <w:r>
        <w:rPr>
          <w:rFonts w:hint="eastAsia"/>
          <w:color w:val="auto"/>
          <w:sz w:val="24"/>
          <w:highlight w:val="none"/>
          <w:lang w:val="en-US" w:eastAsia="zh-CN"/>
        </w:rPr>
        <w:t xml:space="preserve"> </w:t>
      </w:r>
      <w:r>
        <w:rPr>
          <w:rFonts w:hint="eastAsia"/>
          <w:color w:val="auto"/>
          <w:sz w:val="24"/>
          <w:highlight w:val="none"/>
          <w:lang w:eastAsia="zh-CN"/>
        </w:rPr>
        <w:t>本合同一式</w:t>
      </w:r>
      <w:r>
        <w:rPr>
          <w:rFonts w:hint="eastAsia"/>
          <w:color w:val="auto"/>
          <w:sz w:val="24"/>
          <w:highlight w:val="none"/>
          <w:lang w:val="en-US" w:eastAsia="zh-CN"/>
        </w:rPr>
        <w:t>陆</w:t>
      </w:r>
      <w:r>
        <w:rPr>
          <w:rFonts w:hint="eastAsia"/>
          <w:color w:val="auto"/>
          <w:sz w:val="24"/>
          <w:highlight w:val="none"/>
          <w:lang w:eastAsia="zh-CN"/>
        </w:rPr>
        <w:t>份，经双方盖章后生效，甲方执</w:t>
      </w:r>
      <w:r>
        <w:rPr>
          <w:rFonts w:hint="eastAsia"/>
          <w:color w:val="auto"/>
          <w:sz w:val="24"/>
          <w:highlight w:val="none"/>
          <w:lang w:val="en-US" w:eastAsia="zh-CN"/>
        </w:rPr>
        <w:t>肆</w:t>
      </w:r>
      <w:r>
        <w:rPr>
          <w:rFonts w:hint="eastAsia"/>
          <w:color w:val="auto"/>
          <w:sz w:val="24"/>
          <w:highlight w:val="none"/>
          <w:lang w:eastAsia="zh-CN"/>
        </w:rPr>
        <w:t>份、乙方执贰份，具有同等效力。</w:t>
      </w:r>
    </w:p>
    <w:p w14:paraId="43ED52BC">
      <w:pPr>
        <w:ind w:firstLine="360" w:firstLineChars="150"/>
        <w:rPr>
          <w:color w:val="auto"/>
          <w:sz w:val="24"/>
          <w:highlight w:val="none"/>
          <w:lang w:eastAsia="zh-CN"/>
        </w:rPr>
      </w:pPr>
    </w:p>
    <w:p w14:paraId="34BE3791">
      <w:pPr>
        <w:ind w:firstLine="360" w:firstLineChars="150"/>
        <w:rPr>
          <w:color w:val="auto"/>
          <w:sz w:val="24"/>
          <w:highlight w:val="none"/>
          <w:lang w:eastAsia="zh-CN"/>
        </w:rPr>
      </w:pPr>
      <w:r>
        <w:rPr>
          <w:rFonts w:hint="eastAsia"/>
          <w:color w:val="auto"/>
          <w:sz w:val="24"/>
          <w:highlight w:val="none"/>
          <w:lang w:eastAsia="zh-CN"/>
        </w:rPr>
        <w:t>附件1、202</w:t>
      </w:r>
      <w:r>
        <w:rPr>
          <w:rFonts w:hint="eastAsia"/>
          <w:color w:val="auto"/>
          <w:sz w:val="24"/>
          <w:highlight w:val="none"/>
          <w:lang w:val="en-US" w:eastAsia="zh-CN"/>
        </w:rPr>
        <w:t>5</w:t>
      </w:r>
      <w:r>
        <w:rPr>
          <w:rFonts w:hint="eastAsia"/>
          <w:color w:val="auto"/>
          <w:sz w:val="24"/>
          <w:highlight w:val="none"/>
          <w:lang w:eastAsia="zh-CN"/>
        </w:rPr>
        <w:t>年度生态补偿增殖放流发包说明</w:t>
      </w:r>
    </w:p>
    <w:p w14:paraId="50D66434">
      <w:pPr>
        <w:ind w:firstLine="360" w:firstLineChars="150"/>
        <w:rPr>
          <w:rFonts w:hint="eastAsia"/>
          <w:color w:val="auto"/>
          <w:sz w:val="24"/>
          <w:highlight w:val="none"/>
          <w:lang w:eastAsia="zh-CN"/>
        </w:rPr>
      </w:pPr>
      <w:r>
        <w:rPr>
          <w:rFonts w:hint="eastAsia"/>
          <w:color w:val="auto"/>
          <w:sz w:val="24"/>
          <w:highlight w:val="none"/>
          <w:lang w:eastAsia="zh-CN"/>
        </w:rPr>
        <w:t>附件2、安全环保协议书</w:t>
      </w:r>
    </w:p>
    <w:p w14:paraId="4430C916">
      <w:pPr>
        <w:ind w:firstLine="360" w:firstLineChars="150"/>
        <w:rPr>
          <w:rFonts w:hint="eastAsia"/>
          <w:color w:val="auto"/>
          <w:sz w:val="24"/>
          <w:highlight w:val="none"/>
          <w:lang w:eastAsia="zh-CN"/>
        </w:rPr>
      </w:pPr>
      <w:r>
        <w:rPr>
          <w:rFonts w:hint="eastAsia"/>
          <w:color w:val="auto"/>
          <w:sz w:val="24"/>
          <w:highlight w:val="none"/>
          <w:lang w:eastAsia="zh-CN"/>
        </w:rPr>
        <w:t>附件3、人员、车辆入厂安全管理协议</w:t>
      </w:r>
    </w:p>
    <w:p w14:paraId="6B77065F">
      <w:pPr>
        <w:pStyle w:val="51"/>
        <w:ind w:left="0" w:leftChars="0" w:firstLine="360" w:firstLineChars="150"/>
        <w:rPr>
          <w:rFonts w:hint="eastAsia"/>
          <w:color w:val="auto"/>
          <w:sz w:val="24"/>
          <w:highlight w:val="none"/>
          <w:lang w:eastAsia="zh-CN"/>
        </w:rPr>
      </w:pPr>
    </w:p>
    <w:p w14:paraId="3B467F08">
      <w:pPr>
        <w:pStyle w:val="51"/>
        <w:ind w:left="0" w:leftChars="0" w:firstLine="360" w:firstLineChars="150"/>
        <w:rPr>
          <w:rFonts w:hint="eastAsia"/>
          <w:color w:val="auto"/>
          <w:sz w:val="24"/>
          <w:highlight w:val="none"/>
          <w:lang w:eastAsia="zh-CN"/>
        </w:rPr>
      </w:pPr>
    </w:p>
    <w:p w14:paraId="79D79DB9">
      <w:pPr>
        <w:spacing w:line="360" w:lineRule="auto"/>
        <w:ind w:firstLine="480"/>
        <w:rPr>
          <w:color w:val="auto"/>
          <w:sz w:val="24"/>
          <w:highlight w:val="none"/>
          <w:lang w:eastAsia="zh-CN"/>
        </w:rPr>
      </w:pPr>
    </w:p>
    <w:tbl>
      <w:tblPr>
        <w:tblStyle w:val="52"/>
        <w:tblW w:w="9780" w:type="dxa"/>
        <w:jc w:val="center"/>
        <w:tblLayout w:type="fixed"/>
        <w:tblCellMar>
          <w:top w:w="0" w:type="dxa"/>
          <w:left w:w="108" w:type="dxa"/>
          <w:bottom w:w="0" w:type="dxa"/>
          <w:right w:w="108" w:type="dxa"/>
        </w:tblCellMar>
      </w:tblPr>
      <w:tblGrid>
        <w:gridCol w:w="5862"/>
        <w:gridCol w:w="3918"/>
      </w:tblGrid>
      <w:tr w14:paraId="0DC23D31">
        <w:tblPrEx>
          <w:tblCellMar>
            <w:top w:w="0" w:type="dxa"/>
            <w:left w:w="108" w:type="dxa"/>
            <w:bottom w:w="0" w:type="dxa"/>
            <w:right w:w="108" w:type="dxa"/>
          </w:tblCellMar>
        </w:tblPrEx>
        <w:trPr>
          <w:jc w:val="center"/>
        </w:trPr>
        <w:tc>
          <w:tcPr>
            <w:tcW w:w="5862" w:type="dxa"/>
            <w:vAlign w:val="center"/>
          </w:tcPr>
          <w:p w14:paraId="42B0E6A1">
            <w:pPr>
              <w:spacing w:line="360" w:lineRule="auto"/>
              <w:rPr>
                <w:color w:val="auto"/>
                <w:sz w:val="24"/>
                <w:highlight w:val="none"/>
                <w:lang w:eastAsia="zh-CN"/>
              </w:rPr>
            </w:pPr>
            <w:r>
              <w:rPr>
                <w:rFonts w:hint="eastAsia"/>
                <w:color w:val="auto"/>
                <w:sz w:val="24"/>
                <w:highlight w:val="none"/>
                <w:lang w:eastAsia="zh-CN"/>
              </w:rPr>
              <w:t>甲方：</w:t>
            </w:r>
            <w:r>
              <w:rPr>
                <w:rFonts w:hint="eastAsia"/>
                <w:color w:val="auto"/>
                <w:sz w:val="24"/>
                <w:highlight w:val="none"/>
                <w:lang w:val="en-US" w:eastAsia="zh-CN"/>
              </w:rPr>
              <w:t>福建福海创石油化工</w:t>
            </w:r>
            <w:r>
              <w:rPr>
                <w:rFonts w:hint="eastAsia"/>
                <w:color w:val="auto"/>
                <w:sz w:val="24"/>
                <w:highlight w:val="none"/>
                <w:lang w:eastAsia="zh-CN"/>
              </w:rPr>
              <w:t>有限公司</w:t>
            </w:r>
          </w:p>
        </w:tc>
        <w:tc>
          <w:tcPr>
            <w:tcW w:w="3918" w:type="dxa"/>
            <w:vAlign w:val="center"/>
          </w:tcPr>
          <w:p w14:paraId="534C48B6">
            <w:pPr>
              <w:spacing w:line="360" w:lineRule="auto"/>
              <w:rPr>
                <w:color w:val="auto"/>
                <w:sz w:val="24"/>
                <w:highlight w:val="none"/>
              </w:rPr>
            </w:pPr>
            <w:r>
              <w:rPr>
                <w:rFonts w:hint="eastAsia"/>
                <w:color w:val="auto"/>
                <w:sz w:val="24"/>
                <w:highlight w:val="none"/>
              </w:rPr>
              <w:t>乙方：</w:t>
            </w:r>
          </w:p>
        </w:tc>
      </w:tr>
      <w:tr w14:paraId="7EF11882">
        <w:tblPrEx>
          <w:tblCellMar>
            <w:top w:w="0" w:type="dxa"/>
            <w:left w:w="108" w:type="dxa"/>
            <w:bottom w:w="0" w:type="dxa"/>
            <w:right w:w="108" w:type="dxa"/>
          </w:tblCellMar>
        </w:tblPrEx>
        <w:trPr>
          <w:jc w:val="center"/>
        </w:trPr>
        <w:tc>
          <w:tcPr>
            <w:tcW w:w="5862" w:type="dxa"/>
            <w:vAlign w:val="center"/>
          </w:tcPr>
          <w:p w14:paraId="04CD0906">
            <w:pPr>
              <w:spacing w:line="360" w:lineRule="auto"/>
              <w:rPr>
                <w:color w:val="auto"/>
                <w:sz w:val="24"/>
                <w:highlight w:val="none"/>
                <w:lang w:eastAsia="zh-CN"/>
              </w:rPr>
            </w:pPr>
            <w:r>
              <w:rPr>
                <w:rFonts w:hint="eastAsia"/>
                <w:color w:val="auto"/>
                <w:sz w:val="24"/>
                <w:highlight w:val="none"/>
                <w:lang w:eastAsia="zh-CN"/>
              </w:rPr>
              <w:t>联系地址：福建省漳州市漳州古雷经济开发区腾龙路86号</w:t>
            </w:r>
          </w:p>
        </w:tc>
        <w:tc>
          <w:tcPr>
            <w:tcW w:w="3918" w:type="dxa"/>
            <w:vAlign w:val="center"/>
          </w:tcPr>
          <w:p w14:paraId="5EC6F57B">
            <w:pPr>
              <w:spacing w:line="360" w:lineRule="auto"/>
              <w:rPr>
                <w:color w:val="auto"/>
                <w:sz w:val="24"/>
                <w:highlight w:val="none"/>
              </w:rPr>
            </w:pPr>
            <w:r>
              <w:rPr>
                <w:rFonts w:hint="eastAsia"/>
                <w:color w:val="auto"/>
                <w:sz w:val="24"/>
                <w:highlight w:val="none"/>
              </w:rPr>
              <w:t>联系地址：</w:t>
            </w:r>
          </w:p>
        </w:tc>
      </w:tr>
      <w:tr w14:paraId="7C3AE641">
        <w:tblPrEx>
          <w:tblCellMar>
            <w:top w:w="0" w:type="dxa"/>
            <w:left w:w="108" w:type="dxa"/>
            <w:bottom w:w="0" w:type="dxa"/>
            <w:right w:w="108" w:type="dxa"/>
          </w:tblCellMar>
        </w:tblPrEx>
        <w:trPr>
          <w:jc w:val="center"/>
        </w:trPr>
        <w:tc>
          <w:tcPr>
            <w:tcW w:w="5862" w:type="dxa"/>
            <w:vAlign w:val="center"/>
          </w:tcPr>
          <w:p w14:paraId="3EB86628">
            <w:pPr>
              <w:spacing w:line="360" w:lineRule="auto"/>
              <w:rPr>
                <w:color w:val="auto"/>
                <w:sz w:val="24"/>
                <w:highlight w:val="none"/>
              </w:rPr>
            </w:pPr>
            <w:r>
              <w:rPr>
                <w:rFonts w:hint="eastAsia"/>
                <w:color w:val="auto"/>
                <w:sz w:val="24"/>
                <w:highlight w:val="none"/>
              </w:rPr>
              <w:t>邮编：</w:t>
            </w:r>
          </w:p>
        </w:tc>
        <w:tc>
          <w:tcPr>
            <w:tcW w:w="3918" w:type="dxa"/>
            <w:vAlign w:val="center"/>
          </w:tcPr>
          <w:p w14:paraId="2CDE9BB2">
            <w:pPr>
              <w:spacing w:line="360" w:lineRule="auto"/>
              <w:rPr>
                <w:color w:val="auto"/>
                <w:sz w:val="24"/>
                <w:highlight w:val="none"/>
              </w:rPr>
            </w:pPr>
            <w:r>
              <w:rPr>
                <w:rFonts w:hint="eastAsia"/>
                <w:color w:val="auto"/>
                <w:sz w:val="24"/>
                <w:highlight w:val="none"/>
              </w:rPr>
              <w:t>邮编：</w:t>
            </w:r>
          </w:p>
        </w:tc>
      </w:tr>
      <w:tr w14:paraId="3F8DBA60">
        <w:tblPrEx>
          <w:tblCellMar>
            <w:top w:w="0" w:type="dxa"/>
            <w:left w:w="108" w:type="dxa"/>
            <w:bottom w:w="0" w:type="dxa"/>
            <w:right w:w="108" w:type="dxa"/>
          </w:tblCellMar>
        </w:tblPrEx>
        <w:trPr>
          <w:jc w:val="center"/>
        </w:trPr>
        <w:tc>
          <w:tcPr>
            <w:tcW w:w="5862" w:type="dxa"/>
            <w:vAlign w:val="center"/>
          </w:tcPr>
          <w:p w14:paraId="0AD08979">
            <w:pPr>
              <w:spacing w:line="360" w:lineRule="auto"/>
              <w:rPr>
                <w:color w:val="auto"/>
                <w:sz w:val="24"/>
                <w:highlight w:val="none"/>
              </w:rPr>
            </w:pPr>
            <w:r>
              <w:rPr>
                <w:rFonts w:hint="eastAsia"/>
                <w:color w:val="auto"/>
                <w:sz w:val="24"/>
                <w:highlight w:val="none"/>
              </w:rPr>
              <w:t>传真：</w:t>
            </w:r>
          </w:p>
        </w:tc>
        <w:tc>
          <w:tcPr>
            <w:tcW w:w="3918" w:type="dxa"/>
            <w:vAlign w:val="center"/>
          </w:tcPr>
          <w:p w14:paraId="3CBDBE1D">
            <w:pPr>
              <w:spacing w:line="360" w:lineRule="auto"/>
              <w:rPr>
                <w:color w:val="auto"/>
                <w:sz w:val="24"/>
                <w:highlight w:val="none"/>
              </w:rPr>
            </w:pPr>
            <w:r>
              <w:rPr>
                <w:rFonts w:hint="eastAsia"/>
                <w:color w:val="auto"/>
                <w:sz w:val="24"/>
                <w:highlight w:val="none"/>
              </w:rPr>
              <w:t>传真：</w:t>
            </w:r>
          </w:p>
        </w:tc>
      </w:tr>
      <w:tr w14:paraId="4EC468D5">
        <w:tblPrEx>
          <w:tblCellMar>
            <w:top w:w="0" w:type="dxa"/>
            <w:left w:w="108" w:type="dxa"/>
            <w:bottom w:w="0" w:type="dxa"/>
            <w:right w:w="108" w:type="dxa"/>
          </w:tblCellMar>
        </w:tblPrEx>
        <w:trPr>
          <w:jc w:val="center"/>
        </w:trPr>
        <w:tc>
          <w:tcPr>
            <w:tcW w:w="5862" w:type="dxa"/>
            <w:vAlign w:val="center"/>
          </w:tcPr>
          <w:p w14:paraId="72B65544">
            <w:pPr>
              <w:spacing w:line="360" w:lineRule="auto"/>
              <w:rPr>
                <w:color w:val="auto"/>
                <w:sz w:val="24"/>
                <w:highlight w:val="none"/>
              </w:rPr>
            </w:pPr>
            <w:r>
              <w:rPr>
                <w:rFonts w:hint="eastAsia"/>
                <w:color w:val="auto"/>
                <w:sz w:val="24"/>
                <w:highlight w:val="none"/>
              </w:rPr>
              <w:t>电子邮箱：</w:t>
            </w:r>
          </w:p>
        </w:tc>
        <w:tc>
          <w:tcPr>
            <w:tcW w:w="3918" w:type="dxa"/>
            <w:vAlign w:val="center"/>
          </w:tcPr>
          <w:p w14:paraId="51B95803">
            <w:pPr>
              <w:spacing w:line="360" w:lineRule="auto"/>
              <w:rPr>
                <w:color w:val="auto"/>
                <w:sz w:val="24"/>
                <w:highlight w:val="none"/>
              </w:rPr>
            </w:pPr>
            <w:r>
              <w:rPr>
                <w:rFonts w:hint="eastAsia"/>
                <w:color w:val="auto"/>
                <w:sz w:val="24"/>
                <w:highlight w:val="none"/>
              </w:rPr>
              <w:t>电子邮箱：</w:t>
            </w:r>
          </w:p>
        </w:tc>
      </w:tr>
      <w:tr w14:paraId="5DD262D2">
        <w:tblPrEx>
          <w:tblCellMar>
            <w:top w:w="0" w:type="dxa"/>
            <w:left w:w="108" w:type="dxa"/>
            <w:bottom w:w="0" w:type="dxa"/>
            <w:right w:w="108" w:type="dxa"/>
          </w:tblCellMar>
        </w:tblPrEx>
        <w:trPr>
          <w:jc w:val="center"/>
        </w:trPr>
        <w:tc>
          <w:tcPr>
            <w:tcW w:w="5862" w:type="dxa"/>
            <w:vAlign w:val="center"/>
          </w:tcPr>
          <w:p w14:paraId="14F5C488">
            <w:pPr>
              <w:spacing w:line="360" w:lineRule="auto"/>
              <w:rPr>
                <w:color w:val="auto"/>
                <w:sz w:val="24"/>
                <w:highlight w:val="none"/>
              </w:rPr>
            </w:pPr>
            <w:r>
              <w:rPr>
                <w:rFonts w:hint="eastAsia"/>
                <w:color w:val="auto"/>
                <w:sz w:val="24"/>
                <w:highlight w:val="none"/>
              </w:rPr>
              <w:t>委托代理人：</w:t>
            </w:r>
          </w:p>
        </w:tc>
        <w:tc>
          <w:tcPr>
            <w:tcW w:w="3918" w:type="dxa"/>
            <w:vAlign w:val="center"/>
          </w:tcPr>
          <w:p w14:paraId="4BB39758">
            <w:pPr>
              <w:spacing w:line="360" w:lineRule="auto"/>
              <w:rPr>
                <w:color w:val="auto"/>
                <w:sz w:val="24"/>
                <w:highlight w:val="none"/>
              </w:rPr>
            </w:pPr>
            <w:r>
              <w:rPr>
                <w:rFonts w:hint="eastAsia"/>
                <w:color w:val="auto"/>
                <w:sz w:val="24"/>
                <w:highlight w:val="none"/>
              </w:rPr>
              <w:t>委托代理人：</w:t>
            </w:r>
          </w:p>
        </w:tc>
      </w:tr>
      <w:tr w14:paraId="27FBB8A5">
        <w:tblPrEx>
          <w:tblCellMar>
            <w:top w:w="0" w:type="dxa"/>
            <w:left w:w="108" w:type="dxa"/>
            <w:bottom w:w="0" w:type="dxa"/>
            <w:right w:w="108" w:type="dxa"/>
          </w:tblCellMar>
        </w:tblPrEx>
        <w:trPr>
          <w:jc w:val="center"/>
        </w:trPr>
        <w:tc>
          <w:tcPr>
            <w:tcW w:w="5862" w:type="dxa"/>
            <w:vAlign w:val="center"/>
          </w:tcPr>
          <w:p w14:paraId="40AD5EA6">
            <w:pPr>
              <w:spacing w:line="360" w:lineRule="auto"/>
              <w:rPr>
                <w:color w:val="auto"/>
                <w:sz w:val="24"/>
                <w:highlight w:val="none"/>
              </w:rPr>
            </w:pPr>
            <w:r>
              <w:rPr>
                <w:rFonts w:hint="eastAsia"/>
                <w:color w:val="auto"/>
                <w:sz w:val="24"/>
                <w:highlight w:val="none"/>
              </w:rPr>
              <w:t>电话：</w:t>
            </w:r>
          </w:p>
        </w:tc>
        <w:tc>
          <w:tcPr>
            <w:tcW w:w="3918" w:type="dxa"/>
            <w:vAlign w:val="center"/>
          </w:tcPr>
          <w:p w14:paraId="040CBAB7">
            <w:pPr>
              <w:spacing w:line="360" w:lineRule="auto"/>
              <w:rPr>
                <w:color w:val="auto"/>
                <w:sz w:val="24"/>
                <w:highlight w:val="none"/>
              </w:rPr>
            </w:pPr>
            <w:r>
              <w:rPr>
                <w:rFonts w:hint="eastAsia"/>
                <w:color w:val="auto"/>
                <w:sz w:val="24"/>
                <w:highlight w:val="none"/>
              </w:rPr>
              <w:t>电话：</w:t>
            </w:r>
          </w:p>
        </w:tc>
      </w:tr>
      <w:tr w14:paraId="106B21F1">
        <w:tblPrEx>
          <w:tblCellMar>
            <w:top w:w="0" w:type="dxa"/>
            <w:left w:w="108" w:type="dxa"/>
            <w:bottom w:w="0" w:type="dxa"/>
            <w:right w:w="108" w:type="dxa"/>
          </w:tblCellMar>
        </w:tblPrEx>
        <w:trPr>
          <w:jc w:val="center"/>
        </w:trPr>
        <w:tc>
          <w:tcPr>
            <w:tcW w:w="5862" w:type="dxa"/>
            <w:vAlign w:val="center"/>
          </w:tcPr>
          <w:p w14:paraId="4D9AE43B">
            <w:pPr>
              <w:spacing w:line="360" w:lineRule="auto"/>
              <w:rPr>
                <w:color w:val="auto"/>
                <w:sz w:val="24"/>
                <w:highlight w:val="none"/>
                <w:lang w:eastAsia="zh-CN"/>
              </w:rPr>
            </w:pPr>
            <w:r>
              <w:rPr>
                <w:rFonts w:hint="eastAsia"/>
                <w:color w:val="auto"/>
                <w:sz w:val="24"/>
                <w:highlight w:val="none"/>
                <w:lang w:eastAsia="zh-CN"/>
              </w:rPr>
              <w:t>开户银行：中国银行漳州分行</w:t>
            </w:r>
          </w:p>
        </w:tc>
        <w:tc>
          <w:tcPr>
            <w:tcW w:w="3918" w:type="dxa"/>
            <w:vAlign w:val="center"/>
          </w:tcPr>
          <w:p w14:paraId="64D3F07E">
            <w:pPr>
              <w:spacing w:line="360" w:lineRule="auto"/>
              <w:rPr>
                <w:color w:val="auto"/>
                <w:sz w:val="24"/>
                <w:highlight w:val="none"/>
              </w:rPr>
            </w:pPr>
            <w:r>
              <w:rPr>
                <w:rFonts w:hint="eastAsia"/>
                <w:color w:val="auto"/>
                <w:sz w:val="24"/>
                <w:highlight w:val="none"/>
              </w:rPr>
              <w:t>开户银行：</w:t>
            </w:r>
          </w:p>
        </w:tc>
      </w:tr>
      <w:tr w14:paraId="00D07894">
        <w:tblPrEx>
          <w:tblCellMar>
            <w:top w:w="0" w:type="dxa"/>
            <w:left w:w="108" w:type="dxa"/>
            <w:bottom w:w="0" w:type="dxa"/>
            <w:right w:w="108" w:type="dxa"/>
          </w:tblCellMar>
        </w:tblPrEx>
        <w:trPr>
          <w:jc w:val="center"/>
        </w:trPr>
        <w:tc>
          <w:tcPr>
            <w:tcW w:w="5862" w:type="dxa"/>
            <w:vAlign w:val="center"/>
          </w:tcPr>
          <w:p w14:paraId="317A9E96">
            <w:pPr>
              <w:spacing w:line="360" w:lineRule="auto"/>
              <w:rPr>
                <w:color w:val="auto"/>
                <w:sz w:val="24"/>
                <w:highlight w:val="none"/>
              </w:rPr>
            </w:pPr>
            <w:r>
              <w:rPr>
                <w:rFonts w:hint="eastAsia"/>
                <w:color w:val="auto"/>
                <w:sz w:val="24"/>
                <w:highlight w:val="none"/>
              </w:rPr>
              <w:t>账号：</w:t>
            </w:r>
            <w:r>
              <w:rPr>
                <w:color w:val="auto"/>
                <w:sz w:val="24"/>
                <w:highlight w:val="none"/>
              </w:rPr>
              <w:t>416958369985</w:t>
            </w:r>
          </w:p>
        </w:tc>
        <w:tc>
          <w:tcPr>
            <w:tcW w:w="3918" w:type="dxa"/>
            <w:vAlign w:val="center"/>
          </w:tcPr>
          <w:p w14:paraId="3207BDC8">
            <w:pPr>
              <w:spacing w:line="360" w:lineRule="auto"/>
              <w:rPr>
                <w:color w:val="auto"/>
                <w:sz w:val="24"/>
                <w:highlight w:val="none"/>
              </w:rPr>
            </w:pPr>
            <w:r>
              <w:rPr>
                <w:rFonts w:hint="eastAsia"/>
                <w:color w:val="auto"/>
                <w:sz w:val="24"/>
                <w:highlight w:val="none"/>
              </w:rPr>
              <w:t>账号：</w:t>
            </w:r>
          </w:p>
        </w:tc>
      </w:tr>
      <w:bookmarkEnd w:id="1"/>
    </w:tbl>
    <w:p w14:paraId="6E99DEE6">
      <w:pPr>
        <w:pStyle w:val="61"/>
        <w:rPr>
          <w:rFonts w:ascii="Times New Roman" w:hAnsi="Times New Roman"/>
          <w:bCs/>
          <w:color w:val="auto"/>
          <w:sz w:val="24"/>
          <w:szCs w:val="24"/>
          <w:highlight w:val="none"/>
        </w:rPr>
      </w:pPr>
    </w:p>
    <w:p w14:paraId="01A33CA3">
      <w:pPr>
        <w:rPr>
          <w:rFonts w:ascii="Times New Roman" w:hAnsi="Times New Roman"/>
          <w:bCs/>
          <w:color w:val="auto"/>
          <w:sz w:val="24"/>
          <w:szCs w:val="24"/>
          <w:highlight w:val="none"/>
        </w:rPr>
      </w:pPr>
    </w:p>
    <w:p w14:paraId="3B5F8ED4">
      <w:pPr>
        <w:pStyle w:val="51"/>
        <w:ind w:left="440" w:firstLine="480"/>
        <w:rPr>
          <w:rFonts w:ascii="Times New Roman" w:hAnsi="Times New Roman"/>
          <w:bCs/>
          <w:color w:val="auto"/>
          <w:sz w:val="24"/>
          <w:szCs w:val="24"/>
          <w:highlight w:val="none"/>
        </w:rPr>
      </w:pPr>
    </w:p>
    <w:p w14:paraId="2F54F4E6">
      <w:pPr>
        <w:pStyle w:val="51"/>
        <w:ind w:left="440" w:firstLine="480"/>
        <w:rPr>
          <w:rFonts w:ascii="Times New Roman" w:hAnsi="Times New Roman"/>
          <w:bCs/>
          <w:color w:val="auto"/>
          <w:sz w:val="24"/>
          <w:szCs w:val="24"/>
          <w:highlight w:val="none"/>
        </w:rPr>
      </w:pPr>
    </w:p>
    <w:p w14:paraId="4C6C8959">
      <w:pPr>
        <w:pStyle w:val="51"/>
        <w:ind w:left="440" w:firstLine="480"/>
        <w:rPr>
          <w:rFonts w:ascii="Times New Roman" w:hAnsi="Times New Roman"/>
          <w:bCs/>
          <w:color w:val="auto"/>
          <w:sz w:val="24"/>
          <w:szCs w:val="24"/>
          <w:highlight w:val="none"/>
        </w:rPr>
      </w:pPr>
    </w:p>
    <w:p w14:paraId="72F74B17">
      <w:pPr>
        <w:pStyle w:val="51"/>
        <w:ind w:left="440" w:firstLine="480"/>
        <w:rPr>
          <w:rFonts w:ascii="Times New Roman" w:hAnsi="Times New Roman"/>
          <w:bCs/>
          <w:color w:val="auto"/>
          <w:sz w:val="24"/>
          <w:szCs w:val="24"/>
          <w:highlight w:val="none"/>
        </w:rPr>
      </w:pPr>
    </w:p>
    <w:p w14:paraId="72BBCE59">
      <w:pPr>
        <w:rPr>
          <w:color w:val="auto"/>
          <w:highlight w:val="none"/>
          <w:lang w:eastAsia="zh-CN"/>
        </w:rPr>
      </w:pPr>
    </w:p>
    <w:p w14:paraId="4FE8A1CF">
      <w:pPr>
        <w:pStyle w:val="32"/>
        <w:spacing w:line="360" w:lineRule="auto"/>
        <w:rPr>
          <w:rFonts w:ascii="Times New Roman" w:hAnsi="Times New Roman" w:cs="Times New Roman"/>
          <w:color w:val="auto"/>
          <w:sz w:val="24"/>
          <w:szCs w:val="24"/>
          <w:highlight w:val="none"/>
          <w:lang w:eastAsia="zh-CN"/>
        </w:rPr>
      </w:pPr>
    </w:p>
    <w:p w14:paraId="4C92E71A">
      <w:pPr>
        <w:pStyle w:val="32"/>
        <w:spacing w:line="360" w:lineRule="auto"/>
        <w:rPr>
          <w:rFonts w:ascii="Times New Roman" w:hAnsi="Times New Roman" w:cs="Times New Roman"/>
          <w:color w:val="auto"/>
          <w:sz w:val="24"/>
          <w:szCs w:val="24"/>
          <w:highlight w:val="none"/>
          <w:lang w:eastAsia="zh-CN"/>
        </w:rPr>
      </w:pPr>
    </w:p>
    <w:p w14:paraId="55C40D79">
      <w:pPr>
        <w:pStyle w:val="11"/>
        <w:rPr>
          <w:rFonts w:ascii="仿宋" w:hAnsi="仿宋" w:eastAsia="仿宋"/>
          <w:b/>
          <w:sz w:val="36"/>
          <w:szCs w:val="36"/>
          <w:highlight w:val="yellow"/>
        </w:rPr>
      </w:pPr>
    </w:p>
    <w:p w14:paraId="5420D197">
      <w:pPr>
        <w:rPr>
          <w:rFonts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7396998E">
      <w:pPr>
        <w:pStyle w:val="11"/>
        <w:numPr>
          <w:ilvl w:val="0"/>
          <w:numId w:val="11"/>
        </w:numPr>
        <w:ind w:firstLine="0"/>
        <w:jc w:val="center"/>
        <w:rPr>
          <w:rFonts w:ascii="仿宋" w:hAnsi="仿宋" w:eastAsia="仿宋"/>
          <w:b/>
          <w:sz w:val="36"/>
          <w:szCs w:val="36"/>
        </w:rPr>
      </w:pPr>
      <w:r>
        <w:rPr>
          <w:rFonts w:hint="eastAsia" w:ascii="仿宋" w:hAnsi="仿宋" w:eastAsia="仿宋"/>
          <w:b/>
          <w:sz w:val="36"/>
          <w:szCs w:val="36"/>
        </w:rPr>
        <w:t>参比文件格式</w:t>
      </w:r>
    </w:p>
    <w:p w14:paraId="738DD84A">
      <w:pPr>
        <w:pStyle w:val="11"/>
        <w:ind w:firstLine="0"/>
        <w:jc w:val="both"/>
        <w:rPr>
          <w:rFonts w:ascii="仿宋" w:hAnsi="仿宋" w:eastAsia="仿宋"/>
          <w:b/>
          <w:sz w:val="36"/>
          <w:szCs w:val="36"/>
        </w:rPr>
      </w:pPr>
    </w:p>
    <w:p w14:paraId="23AF8AE4">
      <w:pPr>
        <w:spacing w:line="480" w:lineRule="exact"/>
        <w:rPr>
          <w:rFonts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参比文件编写说明：（线下递交形式）</w:t>
      </w:r>
    </w:p>
    <w:p w14:paraId="207017FC">
      <w:pPr>
        <w:spacing w:line="480" w:lineRule="exact"/>
        <w:rPr>
          <w:rFonts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2.参比人应按规定，向采购人递交参比文件，正本</w:t>
      </w:r>
      <w:r>
        <w:rPr>
          <w:rFonts w:hint="eastAsia" w:ascii="仿宋" w:hAnsi="仿宋" w:eastAsia="仿宋" w:cs="Times New Roman"/>
          <w:bCs w:val="0"/>
          <w:color w:val="auto"/>
          <w:lang w:val="en-US" w:eastAsia="zh-CN"/>
        </w:rPr>
        <w:t>1</w:t>
      </w:r>
      <w:r>
        <w:rPr>
          <w:rFonts w:hint="eastAsia" w:ascii="仿宋" w:hAnsi="仿宋" w:eastAsia="仿宋" w:cs="Times New Roman"/>
          <w:bCs w:val="0"/>
          <w:color w:val="auto"/>
          <w:lang w:eastAsia="zh-CN"/>
        </w:rPr>
        <w:t>份、副本</w:t>
      </w:r>
      <w:r>
        <w:rPr>
          <w:rFonts w:hint="eastAsia" w:ascii="仿宋" w:hAnsi="仿宋" w:eastAsia="仿宋" w:cs="Times New Roman"/>
          <w:bCs w:val="0"/>
          <w:color w:val="auto"/>
          <w:highlight w:val="yellow"/>
          <w:lang w:val="en-US" w:eastAsia="zh-CN"/>
        </w:rPr>
        <w:t>1</w:t>
      </w:r>
      <w:r>
        <w:rPr>
          <w:rFonts w:hint="eastAsia" w:ascii="仿宋" w:hAnsi="仿宋" w:eastAsia="仿宋" w:cs="Times New Roman"/>
          <w:bCs w:val="0"/>
          <w:color w:val="auto"/>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4.提交参比文件时提供两个包装，商务文件（报价单）一个包装、技术文件一个包装</w:t>
      </w:r>
      <w:r>
        <w:rPr>
          <w:rFonts w:ascii="仿宋" w:hAnsi="仿宋" w:eastAsia="仿宋" w:cs="Times New Roman"/>
          <w:bCs w:val="0"/>
          <w:color w:val="auto"/>
          <w:lang w:eastAsia="zh-CN"/>
        </w:rPr>
        <w:t>,</w:t>
      </w:r>
      <w:r>
        <w:rPr>
          <w:rFonts w:hint="eastAsia" w:ascii="仿宋" w:hAnsi="仿宋" w:eastAsia="仿宋" w:cs="Times New Roman"/>
          <w:bCs w:val="0"/>
          <w:color w:val="auto"/>
          <w:lang w:eastAsia="zh-CN"/>
        </w:rPr>
        <w:t>封口处均需加盖骑缝章。商务文件和技术文件盖章扫描P</w:t>
      </w:r>
      <w:r>
        <w:rPr>
          <w:rFonts w:ascii="仿宋" w:hAnsi="仿宋" w:eastAsia="仿宋" w:cs="Times New Roman"/>
          <w:bCs w:val="0"/>
          <w:color w:val="auto"/>
          <w:lang w:eastAsia="zh-CN"/>
        </w:rPr>
        <w:t>DF版本（需有相应页码）</w:t>
      </w:r>
      <w:r>
        <w:rPr>
          <w:rFonts w:hint="eastAsia" w:ascii="仿宋" w:hAnsi="仿宋" w:eastAsia="仿宋" w:cs="Times New Roman"/>
          <w:bCs w:val="0"/>
          <w:color w:val="auto"/>
          <w:lang w:eastAsia="zh-CN"/>
        </w:rPr>
        <w:t>电子拷贝一份（随商务文件包装）。</w:t>
      </w:r>
    </w:p>
    <w:p w14:paraId="06841BBB">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5.凡因参比文件不按规定填写，或填写不清晰、不完整、或密封不合要求而引起的一切后果，由参比人自行负责。</w:t>
      </w:r>
    </w:p>
    <w:p w14:paraId="1528808B">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6.在外层包封上应写明参比人的名称与地址、邮政编码，以便参审出现逾期送达时能原封退回。具体样式如下：</w:t>
      </w:r>
    </w:p>
    <w:p w14:paraId="4DD82365">
      <w:pPr>
        <w:rPr>
          <w:rFonts w:ascii="仿宋" w:hAnsi="仿宋" w:eastAsia="仿宋"/>
          <w:sz w:val="28"/>
          <w:szCs w:val="28"/>
          <w:lang w:eastAsia="zh-CN"/>
        </w:rPr>
      </w:pPr>
      <w:r>
        <w:rPr>
          <w:rFonts w:ascii="仿宋" w:hAnsi="仿宋" w:eastAsia="仿宋"/>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sz w:val="28"/>
          <w:szCs w:val="28"/>
          <w:lang w:eastAsia="zh-CN"/>
        </w:rPr>
      </w:pPr>
    </w:p>
    <w:p w14:paraId="3C64D4BF">
      <w:pPr>
        <w:rPr>
          <w:rFonts w:ascii="仿宋" w:hAnsi="仿宋" w:eastAsia="仿宋"/>
          <w:sz w:val="28"/>
          <w:szCs w:val="28"/>
          <w:lang w:eastAsia="zh-CN"/>
        </w:rPr>
      </w:pPr>
    </w:p>
    <w:p w14:paraId="03427BA8">
      <w:pPr>
        <w:rPr>
          <w:rFonts w:ascii="仿宋" w:hAnsi="仿宋" w:eastAsia="仿宋"/>
          <w:sz w:val="28"/>
          <w:szCs w:val="28"/>
          <w:lang w:eastAsia="zh-CN"/>
        </w:rPr>
      </w:pPr>
    </w:p>
    <w:p w14:paraId="288E8E76">
      <w:pPr>
        <w:pStyle w:val="79"/>
        <w:spacing w:beforeLines="0" w:afterLines="0" w:line="240" w:lineRule="auto"/>
        <w:ind w:firstLine="0" w:firstLineChars="0"/>
        <w:rPr>
          <w:rFonts w:ascii="仿宋" w:hAnsi="仿宋" w:eastAsia="仿宋" w:cs="Times New Roman"/>
          <w:bCs w:val="0"/>
          <w:color w:val="C00000"/>
          <w:lang w:eastAsia="zh-CN"/>
        </w:rPr>
      </w:pPr>
    </w:p>
    <w:p w14:paraId="7FFC01B5">
      <w:pPr>
        <w:pStyle w:val="11"/>
        <w:jc w:val="both"/>
        <w:rPr>
          <w:rFonts w:ascii="仿宋" w:hAnsi="仿宋" w:eastAsia="仿宋"/>
          <w:b/>
          <w:sz w:val="36"/>
          <w:szCs w:val="36"/>
        </w:rPr>
      </w:pPr>
    </w:p>
    <w:p w14:paraId="01DA807B">
      <w:pPr>
        <w:rPr>
          <w:rFonts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32"/>
        <w:spacing w:line="615" w:lineRule="exact"/>
        <w:jc w:val="center"/>
        <w:rPr>
          <w:rFonts w:ascii="仿宋" w:hAnsi="仿宋" w:eastAsia="仿宋" w:cs="方正小标宋简体"/>
          <w:b/>
          <w:sz w:val="44"/>
          <w:szCs w:val="44"/>
          <w:lang w:eastAsia="zh-CN"/>
        </w:rPr>
      </w:pPr>
    </w:p>
    <w:p w14:paraId="5B5FBAD7">
      <w:pPr>
        <w:pStyle w:val="32"/>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58AD216">
      <w:pPr>
        <w:spacing w:line="1000" w:lineRule="exact"/>
        <w:jc w:val="center"/>
        <w:rPr>
          <w:rFonts w:hint="eastAsia" w:ascii="仿宋" w:hAnsi="仿宋" w:eastAsia="仿宋"/>
          <w:b/>
          <w:sz w:val="44"/>
          <w:szCs w:val="44"/>
          <w:lang w:eastAsia="zh-CN"/>
        </w:rPr>
      </w:pPr>
      <w:r>
        <w:rPr>
          <w:rFonts w:hint="eastAsia" w:ascii="仿宋" w:hAnsi="仿宋" w:eastAsia="仿宋"/>
          <w:b/>
          <w:sz w:val="36"/>
          <w:szCs w:val="36"/>
          <w:lang w:eastAsia="zh-CN"/>
        </w:rPr>
        <w:t>海水冷却系统取水工程</w:t>
      </w:r>
      <w:r>
        <w:rPr>
          <w:rFonts w:hint="eastAsia" w:ascii="仿宋" w:hAnsi="仿宋" w:eastAsia="仿宋"/>
          <w:b/>
          <w:sz w:val="36"/>
          <w:szCs w:val="36"/>
          <w:lang w:val="en-US" w:eastAsia="zh-CN"/>
        </w:rPr>
        <w:t>2025年度</w:t>
      </w:r>
      <w:r>
        <w:rPr>
          <w:rFonts w:hint="eastAsia" w:ascii="仿宋" w:hAnsi="仿宋" w:eastAsia="仿宋"/>
          <w:b/>
          <w:sz w:val="36"/>
          <w:szCs w:val="36"/>
          <w:lang w:eastAsia="zh-CN"/>
        </w:rPr>
        <w:t>生态补偿增殖放流项目</w:t>
      </w:r>
    </w:p>
    <w:p w14:paraId="5EAD88C3">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61"/>
        <w:rPr>
          <w:rFonts w:ascii="仿宋" w:hAnsi="仿宋" w:eastAsia="仿宋"/>
        </w:rPr>
      </w:pPr>
    </w:p>
    <w:p w14:paraId="25195E7F">
      <w:pPr>
        <w:pStyle w:val="32"/>
        <w:rPr>
          <w:rFonts w:ascii="仿宋" w:hAnsi="仿宋" w:eastAsia="仿宋"/>
          <w:lang w:eastAsia="zh-CN"/>
        </w:rPr>
      </w:pPr>
    </w:p>
    <w:p w14:paraId="594B06C7">
      <w:pPr>
        <w:pStyle w:val="32"/>
        <w:rPr>
          <w:rFonts w:ascii="仿宋" w:hAnsi="仿宋" w:eastAsia="仿宋"/>
          <w:lang w:eastAsia="zh-CN"/>
        </w:rPr>
      </w:pPr>
    </w:p>
    <w:p w14:paraId="2E4FD590">
      <w:pPr>
        <w:pStyle w:val="32"/>
        <w:rPr>
          <w:rFonts w:ascii="仿宋" w:hAnsi="仿宋" w:eastAsia="仿宋"/>
          <w:lang w:eastAsia="zh-CN"/>
        </w:rPr>
      </w:pPr>
    </w:p>
    <w:p w14:paraId="47C0C3EA">
      <w:pPr>
        <w:pStyle w:val="32"/>
        <w:rPr>
          <w:rFonts w:ascii="仿宋" w:hAnsi="仿宋" w:eastAsia="仿宋"/>
          <w:lang w:eastAsia="zh-CN"/>
        </w:rPr>
      </w:pPr>
    </w:p>
    <w:p w14:paraId="4928B03D">
      <w:pPr>
        <w:pStyle w:val="32"/>
        <w:rPr>
          <w:rFonts w:ascii="仿宋" w:hAnsi="仿宋" w:eastAsia="仿宋"/>
          <w:lang w:eastAsia="zh-CN"/>
        </w:rPr>
      </w:pPr>
    </w:p>
    <w:p w14:paraId="38FDF1E5">
      <w:pPr>
        <w:pStyle w:val="32"/>
        <w:rPr>
          <w:rFonts w:ascii="仿宋" w:hAnsi="仿宋" w:eastAsia="仿宋"/>
          <w:b/>
          <w:bCs/>
          <w:sz w:val="32"/>
          <w:szCs w:val="32"/>
          <w:lang w:eastAsia="zh-CN"/>
        </w:rPr>
      </w:pPr>
    </w:p>
    <w:p w14:paraId="0135C0F3">
      <w:pPr>
        <w:pStyle w:val="32"/>
        <w:rPr>
          <w:rFonts w:ascii="仿宋" w:hAnsi="仿宋" w:eastAsia="仿宋"/>
          <w:b/>
          <w:bCs/>
          <w:sz w:val="32"/>
          <w:szCs w:val="32"/>
          <w:lang w:eastAsia="zh-CN"/>
        </w:rPr>
      </w:pPr>
    </w:p>
    <w:p w14:paraId="0637ED31">
      <w:pPr>
        <w:pStyle w:val="32"/>
        <w:rPr>
          <w:rFonts w:ascii="仿宋" w:hAnsi="仿宋" w:eastAsia="仿宋"/>
          <w:b/>
          <w:bCs/>
          <w:sz w:val="32"/>
          <w:szCs w:val="32"/>
          <w:lang w:eastAsia="zh-CN"/>
        </w:rPr>
      </w:pPr>
    </w:p>
    <w:p w14:paraId="2A932C26">
      <w:pPr>
        <w:pStyle w:val="32"/>
        <w:rPr>
          <w:rFonts w:ascii="仿宋" w:hAnsi="仿宋" w:eastAsia="仿宋"/>
          <w:b/>
          <w:bCs/>
          <w:sz w:val="32"/>
          <w:szCs w:val="36"/>
          <w:lang w:eastAsia="zh-CN"/>
        </w:rPr>
      </w:pPr>
    </w:p>
    <w:p w14:paraId="6B116761">
      <w:pPr>
        <w:pStyle w:val="32"/>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32"/>
        <w:jc w:val="center"/>
        <w:rPr>
          <w:rFonts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5</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11</w:t>
      </w:r>
      <w:r>
        <w:rPr>
          <w:rFonts w:ascii="仿宋" w:hAnsi="仿宋" w:eastAsia="仿宋"/>
          <w:b/>
          <w:bCs/>
          <w:color w:val="FF0000"/>
          <w:w w:val="95"/>
          <w:sz w:val="32"/>
          <w:lang w:eastAsia="zh-CN"/>
        </w:rPr>
        <w:t>月</w:t>
      </w:r>
    </w:p>
    <w:p w14:paraId="4C89DBF0">
      <w:pPr>
        <w:pStyle w:val="11"/>
        <w:jc w:val="both"/>
        <w:rPr>
          <w:rFonts w:ascii="仿宋" w:hAnsi="仿宋" w:eastAsia="仿宋"/>
          <w:b/>
          <w:sz w:val="36"/>
          <w:szCs w:val="36"/>
        </w:rPr>
      </w:pPr>
    </w:p>
    <w:p w14:paraId="5FC76199">
      <w:pPr>
        <w:spacing w:line="360" w:lineRule="auto"/>
        <w:ind w:firstLine="3292" w:firstLineChars="911"/>
        <w:rPr>
          <w:rFonts w:ascii="仿宋" w:hAnsi="仿宋" w:eastAsia="仿宋" w:cs="Times New Roman"/>
          <w:b/>
          <w:sz w:val="36"/>
          <w:szCs w:val="36"/>
          <w:lang w:eastAsia="zh-CN"/>
        </w:rPr>
      </w:pPr>
    </w:p>
    <w:p w14:paraId="7EF81B7F">
      <w:pPr>
        <w:pStyle w:val="2"/>
        <w:rPr>
          <w:rFonts w:ascii="仿宋" w:hAnsi="仿宋" w:eastAsia="仿宋" w:cs="Times New Roman"/>
          <w:sz w:val="36"/>
          <w:szCs w:val="36"/>
          <w:lang w:eastAsia="zh-CN"/>
        </w:rPr>
      </w:pPr>
    </w:p>
    <w:p w14:paraId="0F43CD14">
      <w:pPr>
        <w:rPr>
          <w:rFonts w:ascii="仿宋" w:hAnsi="仿宋" w:eastAsia="仿宋" w:cs="Times New Roman"/>
          <w:b/>
          <w:sz w:val="36"/>
          <w:szCs w:val="36"/>
          <w:lang w:eastAsia="zh-CN"/>
        </w:rPr>
      </w:pPr>
    </w:p>
    <w:p w14:paraId="371F2825">
      <w:pPr>
        <w:pStyle w:val="2"/>
        <w:rPr>
          <w:rFonts w:ascii="仿宋" w:hAnsi="仿宋" w:eastAsia="仿宋" w:cs="Times New Roman"/>
          <w:sz w:val="36"/>
          <w:szCs w:val="36"/>
          <w:lang w:eastAsia="zh-CN"/>
        </w:rPr>
      </w:pPr>
    </w:p>
    <w:p w14:paraId="4153EFE7">
      <w:pPr>
        <w:rPr>
          <w:rFonts w:ascii="仿宋" w:hAnsi="仿宋" w:eastAsia="仿宋" w:cs="Times New Roman"/>
          <w:b/>
          <w:sz w:val="36"/>
          <w:szCs w:val="36"/>
          <w:lang w:eastAsia="zh-CN"/>
        </w:rPr>
      </w:pPr>
    </w:p>
    <w:p w14:paraId="4C27504D">
      <w:pPr>
        <w:pStyle w:val="2"/>
        <w:rPr>
          <w:lang w:eastAsia="zh-CN"/>
        </w:rPr>
      </w:pPr>
    </w:p>
    <w:p w14:paraId="1B407C95">
      <w:pPr>
        <w:pStyle w:val="2"/>
        <w:rPr>
          <w:lang w:eastAsia="zh-CN"/>
        </w:rPr>
      </w:pPr>
    </w:p>
    <w:p w14:paraId="13F8151B">
      <w:pPr>
        <w:spacing w:line="360" w:lineRule="auto"/>
        <w:ind w:firstLine="3292" w:firstLineChars="911"/>
        <w:rPr>
          <w:rFonts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2F4E7065">
      <w:pPr>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6F3AA66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sz w:val="28"/>
          <w:szCs w:val="28"/>
          <w:u w:val="single"/>
          <w:lang w:eastAsia="zh-CN"/>
        </w:rPr>
        <w:t>海水冷却系统取水工程</w:t>
      </w:r>
      <w:r>
        <w:rPr>
          <w:rFonts w:hint="eastAsia" w:ascii="仿宋" w:hAnsi="仿宋" w:eastAsia="仿宋"/>
          <w:sz w:val="28"/>
          <w:szCs w:val="28"/>
          <w:u w:val="single"/>
          <w:lang w:val="en-US" w:eastAsia="zh-CN"/>
        </w:rPr>
        <w:t>2025年度</w:t>
      </w:r>
      <w:r>
        <w:rPr>
          <w:rFonts w:hint="eastAsia" w:ascii="仿宋" w:hAnsi="仿宋" w:eastAsia="仿宋"/>
          <w:sz w:val="28"/>
          <w:szCs w:val="28"/>
          <w:u w:val="single"/>
          <w:lang w:eastAsia="zh-CN"/>
        </w:rPr>
        <w:t>生态补偿增殖放流项目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的全部内容后，我公</w:t>
      </w:r>
      <w:r>
        <w:rPr>
          <w:rFonts w:hint="eastAsia" w:ascii="仿宋" w:hAnsi="仿宋" w:eastAsia="仿宋"/>
          <w:color w:val="000000" w:themeColor="text1"/>
          <w:sz w:val="28"/>
          <w:szCs w:val="28"/>
          <w:lang w:eastAsia="zh-CN"/>
          <w14:textFill>
            <w14:solidFill>
              <w14:schemeClr w14:val="tx1"/>
            </w14:solidFill>
          </w14:textFill>
        </w:rPr>
        <w:t>司已阅知并完全同意，承诺此次报价真实、有效。同时承诺，中选后认真履行义务，提供符合要求的产品及相应服务。现将本公司有关报价及说明如下附表：</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2087"/>
        <w:gridCol w:w="1235"/>
        <w:gridCol w:w="1635"/>
        <w:gridCol w:w="1266"/>
        <w:gridCol w:w="1367"/>
      </w:tblGrid>
      <w:tr w14:paraId="5D56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40A4D98F">
            <w:pPr>
              <w:widowControl/>
              <w:spacing w:line="240" w:lineRule="auto"/>
              <w:ind w:firstLine="0" w:firstLineChars="0"/>
              <w:jc w:val="center"/>
              <w:rPr>
                <w:rFonts w:hint="default" w:eastAsia="宋体" w:cs="宋体"/>
                <w:color w:val="000000"/>
                <w:kern w:val="0"/>
                <w:sz w:val="32"/>
                <w:szCs w:val="32"/>
                <w:lang w:val="en-US" w:eastAsia="zh-CN"/>
              </w:rPr>
            </w:pPr>
            <w:r>
              <w:rPr>
                <w:rFonts w:hint="eastAsia" w:cs="宋体"/>
                <w:color w:val="000000"/>
                <w:kern w:val="0"/>
                <w:sz w:val="32"/>
                <w:szCs w:val="32"/>
              </w:rPr>
              <w:t xml:space="preserve"> </w:t>
            </w:r>
            <w:r>
              <w:rPr>
                <w:rFonts w:hint="eastAsia" w:ascii="仿宋" w:hAnsi="仿宋" w:eastAsia="仿宋"/>
                <w:sz w:val="28"/>
                <w:szCs w:val="28"/>
                <w:u w:val="single"/>
                <w:lang w:eastAsia="zh-CN"/>
              </w:rPr>
              <w:t>海水冷却系统取水工程</w:t>
            </w:r>
            <w:r>
              <w:rPr>
                <w:rFonts w:hint="eastAsia" w:ascii="仿宋" w:hAnsi="仿宋" w:eastAsia="仿宋"/>
                <w:sz w:val="28"/>
                <w:szCs w:val="28"/>
                <w:u w:val="single"/>
                <w:lang w:val="en-US" w:eastAsia="zh-CN"/>
              </w:rPr>
              <w:t>2025年度</w:t>
            </w:r>
            <w:r>
              <w:rPr>
                <w:rFonts w:hint="eastAsia" w:ascii="仿宋" w:hAnsi="仿宋" w:eastAsia="仿宋"/>
                <w:sz w:val="28"/>
                <w:szCs w:val="28"/>
                <w:u w:val="single"/>
                <w:lang w:eastAsia="zh-CN"/>
              </w:rPr>
              <w:t>生态补偿增殖放流项目</w:t>
            </w:r>
            <w:r>
              <w:rPr>
                <w:rFonts w:hint="eastAsia" w:ascii="仿宋" w:hAnsi="仿宋" w:eastAsia="仿宋"/>
                <w:sz w:val="28"/>
                <w:szCs w:val="28"/>
                <w:u w:val="none"/>
                <w:lang w:val="en-US" w:eastAsia="zh-CN"/>
              </w:rPr>
              <w:t>报价单</w:t>
            </w:r>
          </w:p>
        </w:tc>
      </w:tr>
      <w:tr w14:paraId="7F54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18F2849C">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rPr>
              <w:t>序号</w:t>
            </w:r>
          </w:p>
        </w:tc>
        <w:tc>
          <w:tcPr>
            <w:tcW w:w="1484" w:type="dxa"/>
            <w:shd w:val="clear" w:color="auto" w:fill="auto"/>
            <w:vAlign w:val="center"/>
          </w:tcPr>
          <w:p w14:paraId="59FE154D">
            <w:pPr>
              <w:widowControl/>
              <w:jc w:val="center"/>
              <w:rPr>
                <w:rFonts w:hint="eastAsia"/>
                <w:b/>
                <w:bCs/>
                <w:color w:val="auto"/>
                <w:spacing w:val="-2"/>
                <w:sz w:val="24"/>
                <w:szCs w:val="24"/>
                <w:highlight w:val="none"/>
              </w:rPr>
            </w:pPr>
            <w:r>
              <w:rPr>
                <w:rFonts w:hint="eastAsia"/>
                <w:b/>
                <w:bCs/>
                <w:color w:val="auto"/>
                <w:spacing w:val="-2"/>
                <w:sz w:val="24"/>
                <w:szCs w:val="24"/>
                <w:highlight w:val="none"/>
              </w:rPr>
              <w:t>品种</w:t>
            </w:r>
          </w:p>
        </w:tc>
        <w:tc>
          <w:tcPr>
            <w:tcW w:w="2087" w:type="dxa"/>
            <w:shd w:val="clear" w:color="auto" w:fill="auto"/>
            <w:vAlign w:val="center"/>
          </w:tcPr>
          <w:p w14:paraId="6E7A4D26">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rPr>
              <w:t>规格</w:t>
            </w:r>
          </w:p>
        </w:tc>
        <w:tc>
          <w:tcPr>
            <w:tcW w:w="1235" w:type="dxa"/>
            <w:shd w:val="clear" w:color="auto" w:fill="auto"/>
            <w:vAlign w:val="center"/>
          </w:tcPr>
          <w:p w14:paraId="71F47F2A">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投入金额（万元）</w:t>
            </w:r>
          </w:p>
        </w:tc>
        <w:tc>
          <w:tcPr>
            <w:tcW w:w="1635" w:type="dxa"/>
            <w:shd w:val="clear" w:color="auto" w:fill="auto"/>
            <w:vAlign w:val="center"/>
          </w:tcPr>
          <w:p w14:paraId="0563205F">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放流数量Fi（万尾）</w:t>
            </w:r>
          </w:p>
        </w:tc>
        <w:tc>
          <w:tcPr>
            <w:tcW w:w="1266" w:type="dxa"/>
            <w:shd w:val="clear" w:color="auto" w:fill="auto"/>
            <w:vAlign w:val="center"/>
          </w:tcPr>
          <w:p w14:paraId="64714814">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单项分值</w:t>
            </w:r>
          </w:p>
        </w:tc>
        <w:tc>
          <w:tcPr>
            <w:tcW w:w="1367" w:type="dxa"/>
            <w:shd w:val="clear" w:color="auto" w:fill="auto"/>
            <w:vAlign w:val="center"/>
          </w:tcPr>
          <w:p w14:paraId="2E27FB77">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报价要求</w:t>
            </w:r>
          </w:p>
          <w:p w14:paraId="6B1020BB">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w:t>
            </w:r>
          </w:p>
          <w:p w14:paraId="0FFDD21A">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（万尾）</w:t>
            </w:r>
          </w:p>
        </w:tc>
      </w:tr>
      <w:tr w14:paraId="3EC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12BDE40">
            <w:pPr>
              <w:widowControl/>
              <w:jc w:val="center"/>
              <w:rPr>
                <w:rFonts w:hint="eastAsia" w:cs="宋体"/>
                <w:kern w:val="0"/>
                <w:sz w:val="24"/>
                <w:szCs w:val="24"/>
                <w:lang w:val="en-US" w:eastAsia="zh-CN"/>
              </w:rPr>
            </w:pPr>
            <w:r>
              <w:rPr>
                <w:rFonts w:hint="eastAsia"/>
                <w:color w:val="auto"/>
                <w:spacing w:val="-2"/>
                <w:sz w:val="24"/>
                <w:szCs w:val="24"/>
                <w:highlight w:val="none"/>
              </w:rPr>
              <w:t>1</w:t>
            </w:r>
          </w:p>
        </w:tc>
        <w:tc>
          <w:tcPr>
            <w:tcW w:w="1484" w:type="dxa"/>
            <w:shd w:val="clear" w:color="auto" w:fill="auto"/>
            <w:vAlign w:val="center"/>
          </w:tcPr>
          <w:p w14:paraId="56311567">
            <w:pPr>
              <w:widowControl/>
              <w:jc w:val="center"/>
              <w:rPr>
                <w:rFonts w:hint="eastAsia" w:cs="宋体"/>
                <w:kern w:val="0"/>
                <w:sz w:val="24"/>
                <w:szCs w:val="24"/>
              </w:rPr>
            </w:pPr>
            <w:r>
              <w:rPr>
                <w:rFonts w:hint="eastAsia"/>
                <w:color w:val="auto"/>
                <w:spacing w:val="-2"/>
                <w:sz w:val="24"/>
                <w:szCs w:val="24"/>
                <w:highlight w:val="none"/>
              </w:rPr>
              <w:t>黄鳍鲷</w:t>
            </w:r>
          </w:p>
        </w:tc>
        <w:tc>
          <w:tcPr>
            <w:tcW w:w="2087" w:type="dxa"/>
            <w:shd w:val="clear" w:color="auto" w:fill="auto"/>
            <w:vAlign w:val="center"/>
          </w:tcPr>
          <w:p w14:paraId="47ED1F41">
            <w:pPr>
              <w:widowControl/>
              <w:jc w:val="center"/>
              <w:rPr>
                <w:rFonts w:cs="宋体"/>
                <w:color w:val="000000"/>
                <w:kern w:val="0"/>
                <w:sz w:val="24"/>
                <w:szCs w:val="24"/>
              </w:rPr>
            </w:pPr>
            <w:r>
              <w:rPr>
                <w:rFonts w:hint="eastAsia"/>
                <w:color w:val="auto"/>
                <w:spacing w:val="-2"/>
                <w:sz w:val="24"/>
                <w:szCs w:val="24"/>
                <w:highlight w:val="none"/>
              </w:rPr>
              <w:t>不小于5CM仔鱼</w:t>
            </w:r>
          </w:p>
        </w:tc>
        <w:tc>
          <w:tcPr>
            <w:tcW w:w="1235" w:type="dxa"/>
            <w:shd w:val="clear" w:color="auto" w:fill="auto"/>
            <w:vAlign w:val="center"/>
          </w:tcPr>
          <w:p w14:paraId="1E832E3D">
            <w:pPr>
              <w:widowControl/>
              <w:jc w:val="center"/>
              <w:rPr>
                <w:rFonts w:hint="default" w:eastAsia="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50.00</w:t>
            </w:r>
          </w:p>
        </w:tc>
        <w:tc>
          <w:tcPr>
            <w:tcW w:w="1635" w:type="dxa"/>
            <w:shd w:val="clear" w:color="auto" w:fill="auto"/>
            <w:vAlign w:val="center"/>
          </w:tcPr>
          <w:p w14:paraId="5B7D86F2">
            <w:pPr>
              <w:widowControl/>
              <w:jc w:val="center"/>
              <w:rPr>
                <w:rFonts w:hint="default" w:ascii="宋体" w:hAnsi="宋体" w:eastAsia="宋体" w:cs="宋体"/>
                <w:color w:val="auto"/>
                <w:spacing w:val="-2"/>
                <w:sz w:val="24"/>
                <w:szCs w:val="24"/>
                <w:highlight w:val="none"/>
                <w:lang w:val="en-US" w:eastAsia="zh-CN"/>
              </w:rPr>
            </w:pPr>
          </w:p>
        </w:tc>
        <w:tc>
          <w:tcPr>
            <w:tcW w:w="1266" w:type="dxa"/>
            <w:shd w:val="clear" w:color="auto" w:fill="auto"/>
            <w:vAlign w:val="center"/>
          </w:tcPr>
          <w:p w14:paraId="073AD77F">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471A4B52">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6267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20485E50">
            <w:pPr>
              <w:widowControl/>
              <w:jc w:val="center"/>
              <w:rPr>
                <w:rFonts w:hint="eastAsia" w:cs="宋体"/>
                <w:kern w:val="0"/>
                <w:sz w:val="24"/>
                <w:szCs w:val="24"/>
              </w:rPr>
            </w:pPr>
            <w:r>
              <w:rPr>
                <w:rFonts w:hint="eastAsia"/>
                <w:color w:val="auto"/>
                <w:spacing w:val="-2"/>
                <w:sz w:val="24"/>
                <w:szCs w:val="24"/>
                <w:highlight w:val="none"/>
              </w:rPr>
              <w:t>2</w:t>
            </w:r>
          </w:p>
        </w:tc>
        <w:tc>
          <w:tcPr>
            <w:tcW w:w="1484" w:type="dxa"/>
            <w:shd w:val="clear" w:color="auto" w:fill="auto"/>
            <w:vAlign w:val="center"/>
          </w:tcPr>
          <w:p w14:paraId="674EDF7A">
            <w:pPr>
              <w:widowControl/>
              <w:jc w:val="center"/>
              <w:rPr>
                <w:rFonts w:hint="eastAsia" w:cs="宋体"/>
                <w:kern w:val="0"/>
                <w:sz w:val="24"/>
                <w:szCs w:val="24"/>
              </w:rPr>
            </w:pPr>
            <w:r>
              <w:rPr>
                <w:rFonts w:hint="eastAsia"/>
                <w:color w:val="auto"/>
                <w:spacing w:val="-2"/>
                <w:sz w:val="24"/>
                <w:szCs w:val="24"/>
                <w:highlight w:val="none"/>
                <w:lang w:val="en-US" w:eastAsia="zh-CN"/>
              </w:rPr>
              <w:t xml:space="preserve">黑  </w:t>
            </w:r>
            <w:r>
              <w:rPr>
                <w:rFonts w:hint="eastAsia"/>
                <w:color w:val="auto"/>
                <w:spacing w:val="-2"/>
                <w:sz w:val="24"/>
                <w:szCs w:val="24"/>
                <w:highlight w:val="none"/>
              </w:rPr>
              <w:t>鲷</w:t>
            </w:r>
          </w:p>
        </w:tc>
        <w:tc>
          <w:tcPr>
            <w:tcW w:w="2087" w:type="dxa"/>
            <w:shd w:val="clear" w:color="auto" w:fill="auto"/>
            <w:vAlign w:val="center"/>
          </w:tcPr>
          <w:p w14:paraId="1A070337">
            <w:pPr>
              <w:widowControl/>
              <w:jc w:val="center"/>
              <w:rPr>
                <w:rFonts w:cs="宋体"/>
                <w:color w:val="000000"/>
                <w:kern w:val="0"/>
                <w:sz w:val="24"/>
                <w:szCs w:val="24"/>
              </w:rPr>
            </w:pPr>
            <w:r>
              <w:rPr>
                <w:rFonts w:hint="eastAsia"/>
                <w:color w:val="auto"/>
                <w:spacing w:val="-2"/>
                <w:sz w:val="24"/>
                <w:szCs w:val="24"/>
                <w:highlight w:val="none"/>
              </w:rPr>
              <w:t>不小于5CM仔鱼</w:t>
            </w:r>
          </w:p>
        </w:tc>
        <w:tc>
          <w:tcPr>
            <w:tcW w:w="1235" w:type="dxa"/>
            <w:shd w:val="clear" w:color="auto" w:fill="auto"/>
            <w:vAlign w:val="center"/>
          </w:tcPr>
          <w:p w14:paraId="47508A6C">
            <w:pPr>
              <w:widowControl/>
              <w:jc w:val="center"/>
              <w:rPr>
                <w:rFonts w:hint="default"/>
                <w:color w:val="auto"/>
                <w:spacing w:val="-2"/>
                <w:sz w:val="24"/>
                <w:szCs w:val="24"/>
                <w:highlight w:val="none"/>
                <w:lang w:val="en-US"/>
              </w:rPr>
            </w:pPr>
            <w:r>
              <w:rPr>
                <w:rFonts w:hint="eastAsia" w:ascii="宋体" w:hAnsi="宋体" w:eastAsia="宋体" w:cs="宋体"/>
                <w:color w:val="auto"/>
                <w:spacing w:val="-2"/>
                <w:sz w:val="24"/>
                <w:szCs w:val="24"/>
                <w:highlight w:val="none"/>
                <w:lang w:val="en-US" w:eastAsia="zh-CN"/>
              </w:rPr>
              <w:t>50</w:t>
            </w:r>
            <w:r>
              <w:rPr>
                <w:rFonts w:hint="eastAsia" w:cs="宋体"/>
                <w:color w:val="auto"/>
                <w:spacing w:val="-2"/>
                <w:sz w:val="24"/>
                <w:szCs w:val="24"/>
                <w:highlight w:val="none"/>
                <w:lang w:val="en-US" w:eastAsia="zh-CN"/>
              </w:rPr>
              <w:t>.00</w:t>
            </w:r>
          </w:p>
        </w:tc>
        <w:tc>
          <w:tcPr>
            <w:tcW w:w="1635" w:type="dxa"/>
            <w:shd w:val="clear" w:color="auto" w:fill="auto"/>
            <w:vAlign w:val="center"/>
          </w:tcPr>
          <w:p w14:paraId="7FBF9DB4">
            <w:pPr>
              <w:widowControl/>
              <w:jc w:val="center"/>
              <w:rPr>
                <w:rFonts w:hint="default" w:ascii="宋体" w:hAnsi="宋体" w:eastAsia="宋体" w:cs="宋体"/>
                <w:color w:val="auto"/>
                <w:spacing w:val="-2"/>
                <w:sz w:val="24"/>
                <w:szCs w:val="24"/>
                <w:highlight w:val="none"/>
                <w:lang w:val="en-US" w:eastAsia="zh-CN"/>
              </w:rPr>
            </w:pPr>
          </w:p>
        </w:tc>
        <w:tc>
          <w:tcPr>
            <w:tcW w:w="1266" w:type="dxa"/>
            <w:shd w:val="clear" w:color="auto" w:fill="auto"/>
            <w:vAlign w:val="center"/>
          </w:tcPr>
          <w:p w14:paraId="3D5AC731">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75CF96FA">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w:t>
            </w:r>
          </w:p>
        </w:tc>
      </w:tr>
      <w:tr w14:paraId="173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675767B1">
            <w:pPr>
              <w:widowControl/>
              <w:jc w:val="center"/>
              <w:rPr>
                <w:rFonts w:hint="eastAsia" w:cs="宋体"/>
                <w:kern w:val="0"/>
                <w:sz w:val="24"/>
                <w:szCs w:val="24"/>
              </w:rPr>
            </w:pPr>
            <w:r>
              <w:rPr>
                <w:rFonts w:hint="eastAsia"/>
                <w:color w:val="auto"/>
                <w:spacing w:val="-2"/>
                <w:sz w:val="24"/>
                <w:szCs w:val="24"/>
                <w:highlight w:val="none"/>
                <w:lang w:val="en-US" w:eastAsia="zh-CN"/>
              </w:rPr>
              <w:t>3</w:t>
            </w:r>
          </w:p>
        </w:tc>
        <w:tc>
          <w:tcPr>
            <w:tcW w:w="1484" w:type="dxa"/>
            <w:shd w:val="clear" w:color="auto" w:fill="auto"/>
            <w:vAlign w:val="center"/>
          </w:tcPr>
          <w:p w14:paraId="4F654E59">
            <w:pPr>
              <w:widowControl/>
              <w:jc w:val="center"/>
              <w:rPr>
                <w:rFonts w:hint="eastAsia" w:cs="宋体"/>
                <w:kern w:val="0"/>
                <w:sz w:val="24"/>
                <w:szCs w:val="24"/>
              </w:rPr>
            </w:pPr>
            <w:r>
              <w:rPr>
                <w:rFonts w:hint="eastAsia"/>
                <w:color w:val="auto"/>
                <w:spacing w:val="-2"/>
                <w:sz w:val="24"/>
                <w:szCs w:val="24"/>
                <w:highlight w:val="none"/>
              </w:rPr>
              <w:t>大黄鱼</w:t>
            </w:r>
          </w:p>
        </w:tc>
        <w:tc>
          <w:tcPr>
            <w:tcW w:w="2087" w:type="dxa"/>
            <w:shd w:val="clear" w:color="auto" w:fill="auto"/>
            <w:vAlign w:val="center"/>
          </w:tcPr>
          <w:p w14:paraId="09C8FC42">
            <w:pPr>
              <w:widowControl/>
              <w:jc w:val="center"/>
              <w:rPr>
                <w:rFonts w:cs="宋体"/>
                <w:color w:val="000000"/>
                <w:kern w:val="0"/>
                <w:sz w:val="24"/>
                <w:szCs w:val="24"/>
              </w:rPr>
            </w:pPr>
            <w:r>
              <w:rPr>
                <w:rFonts w:hint="eastAsia"/>
                <w:color w:val="auto"/>
                <w:spacing w:val="-2"/>
                <w:sz w:val="24"/>
                <w:szCs w:val="24"/>
                <w:highlight w:val="none"/>
              </w:rPr>
              <w:t>不小于5CM仔鱼</w:t>
            </w:r>
          </w:p>
        </w:tc>
        <w:tc>
          <w:tcPr>
            <w:tcW w:w="1235" w:type="dxa"/>
            <w:shd w:val="clear" w:color="auto" w:fill="auto"/>
            <w:vAlign w:val="center"/>
          </w:tcPr>
          <w:p w14:paraId="75649446">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lang w:val="en-US" w:eastAsia="zh-CN"/>
              </w:rPr>
              <w:t>50</w:t>
            </w:r>
            <w:r>
              <w:rPr>
                <w:rFonts w:hint="eastAsia" w:cs="宋体"/>
                <w:color w:val="auto"/>
                <w:spacing w:val="-2"/>
                <w:sz w:val="24"/>
                <w:szCs w:val="24"/>
                <w:highlight w:val="none"/>
                <w:lang w:val="en-US" w:eastAsia="zh-CN"/>
              </w:rPr>
              <w:t>.00</w:t>
            </w:r>
          </w:p>
        </w:tc>
        <w:tc>
          <w:tcPr>
            <w:tcW w:w="1635" w:type="dxa"/>
            <w:shd w:val="clear" w:color="auto" w:fill="auto"/>
            <w:vAlign w:val="center"/>
          </w:tcPr>
          <w:p w14:paraId="4B69EF14">
            <w:pPr>
              <w:widowControl/>
              <w:jc w:val="center"/>
              <w:rPr>
                <w:rFonts w:hint="default" w:ascii="宋体" w:hAnsi="宋体" w:eastAsia="宋体" w:cs="宋体"/>
                <w:color w:val="auto"/>
                <w:spacing w:val="-2"/>
                <w:sz w:val="24"/>
                <w:szCs w:val="24"/>
                <w:highlight w:val="none"/>
                <w:lang w:val="en-US"/>
              </w:rPr>
            </w:pPr>
          </w:p>
        </w:tc>
        <w:tc>
          <w:tcPr>
            <w:tcW w:w="1266" w:type="dxa"/>
            <w:shd w:val="clear" w:color="auto" w:fill="auto"/>
            <w:vAlign w:val="center"/>
          </w:tcPr>
          <w:p w14:paraId="63646172">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37FD8994">
            <w:pPr>
              <w:widowControl/>
              <w:jc w:val="center"/>
              <w:rPr>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146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0C0F6C7">
            <w:pPr>
              <w:widowControl/>
              <w:jc w:val="center"/>
              <w:rPr>
                <w:rFonts w:hint="eastAsia" w:eastAsia="宋体" w:cs="宋体"/>
                <w:kern w:val="0"/>
                <w:sz w:val="24"/>
                <w:szCs w:val="24"/>
                <w:lang w:eastAsia="zh-CN"/>
              </w:rPr>
            </w:pPr>
            <w:r>
              <w:rPr>
                <w:rFonts w:hint="eastAsia"/>
                <w:b w:val="0"/>
                <w:bCs w:val="0"/>
                <w:color w:val="auto"/>
                <w:sz w:val="24"/>
                <w:szCs w:val="24"/>
                <w:highlight w:val="none"/>
                <w:lang w:val="en-US" w:eastAsia="zh-CN"/>
              </w:rPr>
              <w:t>4</w:t>
            </w:r>
          </w:p>
        </w:tc>
        <w:tc>
          <w:tcPr>
            <w:tcW w:w="1484" w:type="dxa"/>
            <w:shd w:val="clear" w:color="auto" w:fill="auto"/>
            <w:vAlign w:val="center"/>
          </w:tcPr>
          <w:p w14:paraId="61F3A04A">
            <w:pPr>
              <w:widowControl/>
              <w:jc w:val="center"/>
              <w:rPr>
                <w:rFonts w:hint="eastAsia" w:cs="宋体"/>
                <w:kern w:val="0"/>
                <w:sz w:val="24"/>
                <w:szCs w:val="24"/>
              </w:rPr>
            </w:pPr>
            <w:r>
              <w:rPr>
                <w:rFonts w:hint="eastAsia"/>
                <w:color w:val="auto"/>
                <w:spacing w:val="-2"/>
                <w:sz w:val="24"/>
                <w:szCs w:val="24"/>
                <w:highlight w:val="none"/>
              </w:rPr>
              <w:t>日本对虾</w:t>
            </w:r>
          </w:p>
        </w:tc>
        <w:tc>
          <w:tcPr>
            <w:tcW w:w="2087" w:type="dxa"/>
            <w:shd w:val="clear" w:color="auto" w:fill="auto"/>
            <w:vAlign w:val="center"/>
          </w:tcPr>
          <w:p w14:paraId="4718549F">
            <w:pPr>
              <w:widowControl/>
              <w:jc w:val="center"/>
              <w:rPr>
                <w:rFonts w:cs="宋体"/>
                <w:color w:val="000000"/>
                <w:kern w:val="0"/>
                <w:sz w:val="24"/>
                <w:szCs w:val="24"/>
              </w:rPr>
            </w:pPr>
            <w:r>
              <w:rPr>
                <w:color w:val="auto"/>
                <w:spacing w:val="-2"/>
                <w:sz w:val="24"/>
                <w:szCs w:val="24"/>
                <w:highlight w:val="none"/>
              </w:rPr>
              <w:t>不小于0.8CM</w:t>
            </w:r>
            <w:r>
              <w:rPr>
                <w:rFonts w:hint="eastAsia"/>
                <w:color w:val="auto"/>
                <w:spacing w:val="-2"/>
                <w:sz w:val="24"/>
                <w:szCs w:val="24"/>
                <w:highlight w:val="none"/>
                <w:lang w:val="en-US" w:eastAsia="zh-CN"/>
              </w:rPr>
              <w:t>苗</w:t>
            </w:r>
            <w:r>
              <w:rPr>
                <w:rFonts w:hint="eastAsia"/>
                <w:color w:val="auto"/>
                <w:spacing w:val="-2"/>
                <w:sz w:val="24"/>
                <w:szCs w:val="24"/>
                <w:highlight w:val="none"/>
              </w:rPr>
              <w:t>体</w:t>
            </w:r>
          </w:p>
        </w:tc>
        <w:tc>
          <w:tcPr>
            <w:tcW w:w="1235" w:type="dxa"/>
            <w:shd w:val="clear" w:color="auto" w:fill="auto"/>
            <w:vAlign w:val="center"/>
          </w:tcPr>
          <w:p w14:paraId="414C6577">
            <w:pPr>
              <w:widowControl/>
              <w:jc w:val="center"/>
              <w:rPr>
                <w:rFonts w:hint="default"/>
                <w:color w:val="auto"/>
                <w:spacing w:val="-2"/>
                <w:sz w:val="24"/>
                <w:szCs w:val="24"/>
                <w:highlight w:val="none"/>
                <w:lang w:val="en-US"/>
              </w:rPr>
            </w:pPr>
            <w:r>
              <w:rPr>
                <w:rFonts w:hint="eastAsia" w:cs="宋体"/>
                <w:color w:val="auto"/>
                <w:spacing w:val="-2"/>
                <w:sz w:val="24"/>
                <w:szCs w:val="24"/>
                <w:highlight w:val="none"/>
                <w:lang w:val="en-US" w:eastAsia="zh-CN"/>
              </w:rPr>
              <w:t>44.90</w:t>
            </w:r>
          </w:p>
        </w:tc>
        <w:tc>
          <w:tcPr>
            <w:tcW w:w="1635" w:type="dxa"/>
            <w:shd w:val="clear" w:color="auto" w:fill="auto"/>
            <w:vAlign w:val="center"/>
          </w:tcPr>
          <w:p w14:paraId="09EE6E33">
            <w:pPr>
              <w:widowControl/>
              <w:jc w:val="center"/>
              <w:rPr>
                <w:rFonts w:hint="default" w:ascii="宋体" w:hAnsi="宋体" w:eastAsia="宋体" w:cs="宋体"/>
                <w:b w:val="0"/>
                <w:bCs w:val="0"/>
                <w:color w:val="auto"/>
                <w:spacing w:val="-2"/>
                <w:sz w:val="24"/>
                <w:szCs w:val="24"/>
                <w:highlight w:val="none"/>
                <w:lang w:val="en-US" w:eastAsia="zh-CN"/>
              </w:rPr>
            </w:pPr>
          </w:p>
        </w:tc>
        <w:tc>
          <w:tcPr>
            <w:tcW w:w="1266" w:type="dxa"/>
            <w:shd w:val="clear" w:color="auto" w:fill="auto"/>
            <w:vAlign w:val="center"/>
          </w:tcPr>
          <w:p w14:paraId="332B0859">
            <w:pPr>
              <w:widowControl/>
              <w:jc w:val="center"/>
              <w:rPr>
                <w:rFonts w:hint="default" w:eastAsia="宋体"/>
                <w:b w:val="0"/>
                <w:bCs w:val="0"/>
                <w:color w:val="auto"/>
                <w:sz w:val="24"/>
                <w:szCs w:val="24"/>
                <w:highlight w:val="none"/>
                <w:lang w:val="en-US" w:eastAsia="zh-CN"/>
              </w:rPr>
            </w:pPr>
            <w:r>
              <w:rPr>
                <w:rFonts w:hint="eastAsia"/>
                <w:color w:val="auto"/>
                <w:spacing w:val="-2"/>
                <w:sz w:val="24"/>
                <w:szCs w:val="24"/>
                <w:highlight w:val="none"/>
                <w:lang w:val="en-US" w:eastAsia="zh-CN"/>
              </w:rPr>
              <w:t>22</w:t>
            </w:r>
          </w:p>
        </w:tc>
        <w:tc>
          <w:tcPr>
            <w:tcW w:w="1367" w:type="dxa"/>
            <w:shd w:val="clear" w:color="auto" w:fill="auto"/>
            <w:vAlign w:val="center"/>
          </w:tcPr>
          <w:p w14:paraId="024629BD">
            <w:pPr>
              <w:widowControl/>
              <w:jc w:val="center"/>
              <w:rPr>
                <w:rFonts w:hint="eastAsia"/>
                <w:b/>
                <w:bCs/>
                <w:color w:val="auto"/>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5000</w:t>
            </w:r>
          </w:p>
        </w:tc>
      </w:tr>
      <w:tr w14:paraId="7C3A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14C40DF1">
            <w:pPr>
              <w:widowControl/>
              <w:numPr>
                <w:ilvl w:val="0"/>
                <w:numId w:val="0"/>
              </w:numPr>
              <w:spacing w:line="240" w:lineRule="auto"/>
              <w:rPr>
                <w:rFonts w:hint="default"/>
                <w:snapToGrid w:val="0"/>
                <w:sz w:val="24"/>
                <w:szCs w:val="24"/>
                <w:lang w:val="en-US" w:eastAsia="zh-CN"/>
              </w:rPr>
            </w:pPr>
            <w:r>
              <w:rPr>
                <w:rFonts w:hint="eastAsia" w:cs="宋体"/>
                <w:snapToGrid w:val="0"/>
                <w:sz w:val="24"/>
                <w:szCs w:val="24"/>
                <w:lang w:val="en-US" w:eastAsia="zh-CN"/>
              </w:rPr>
              <w:t>备注</w:t>
            </w:r>
            <w:r>
              <w:rPr>
                <w:rFonts w:hint="eastAsia" w:hAnsi="宋体" w:cs="宋体"/>
                <w:snapToGrid w:val="0"/>
                <w:sz w:val="24"/>
                <w:szCs w:val="24"/>
                <w:lang w:val="en-US" w:eastAsia="zh-CN"/>
              </w:rPr>
              <w:t>：</w:t>
            </w:r>
            <w:r>
              <w:rPr>
                <w:rFonts w:hint="eastAsia" w:cs="宋体"/>
                <w:snapToGrid w:val="0"/>
                <w:sz w:val="24"/>
                <w:szCs w:val="24"/>
                <w:lang w:val="en-US" w:eastAsia="zh-CN"/>
              </w:rPr>
              <w:t>1、放流时间：</w:t>
            </w:r>
            <w:r>
              <w:rPr>
                <w:rFonts w:hint="eastAsia"/>
                <w:color w:val="auto"/>
                <w:spacing w:val="-2"/>
                <w:sz w:val="24"/>
                <w:szCs w:val="24"/>
                <w:highlight w:val="none"/>
                <w:lang w:val="en-US" w:eastAsia="zh-CN"/>
              </w:rPr>
              <w:t>2025年12月下旬；2、</w:t>
            </w:r>
            <w:r>
              <w:rPr>
                <w:rFonts w:hint="eastAsia"/>
                <w:color w:val="auto"/>
                <w:spacing w:val="-2"/>
                <w:sz w:val="24"/>
                <w:szCs w:val="24"/>
                <w:highlight w:val="none"/>
                <w:lang w:eastAsia="zh-CN"/>
              </w:rPr>
              <w:t>各批次可合并，但不许拆分。</w:t>
            </w:r>
          </w:p>
        </w:tc>
      </w:tr>
    </w:tbl>
    <w:p w14:paraId="2894962F">
      <w:pPr>
        <w:pStyle w:val="61"/>
        <w:rPr>
          <w:rFonts w:hint="eastAsia"/>
          <w:lang w:eastAsia="zh-CN"/>
        </w:rPr>
      </w:pPr>
    </w:p>
    <w:p w14:paraId="4D2C3826">
      <w:pPr>
        <w:pStyle w:val="61"/>
        <w:rPr>
          <w:rFonts w:hint="eastAsia"/>
          <w:lang w:eastAsia="zh-CN"/>
        </w:rPr>
      </w:pPr>
    </w:p>
    <w:p w14:paraId="68E62C8C">
      <w:pPr>
        <w:spacing w:line="580" w:lineRule="exact"/>
        <w:rPr>
          <w:rFonts w:hint="eastAsia" w:ascii="仿宋" w:hAnsi="仿宋" w:eastAsia="仿宋"/>
          <w:color w:val="000000" w:themeColor="text1"/>
          <w:sz w:val="24"/>
          <w:szCs w:val="24"/>
          <w:lang w:eastAsia="zh-CN"/>
          <w14:textFill>
            <w14:solidFill>
              <w14:schemeClr w14:val="tx1"/>
            </w14:solidFill>
          </w14:textFill>
        </w:rPr>
      </w:pPr>
    </w:p>
    <w:p w14:paraId="198328D1">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2C623753">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参比</w:t>
      </w:r>
      <w:r>
        <w:rPr>
          <w:rFonts w:hint="eastAsia" w:ascii="仿宋" w:hAnsi="仿宋" w:eastAsia="仿宋"/>
          <w:color w:val="000000" w:themeColor="text1"/>
          <w:sz w:val="28"/>
          <w:szCs w:val="28"/>
          <w:lang w:eastAsia="zh-CN"/>
          <w14:textFill>
            <w14:solidFill>
              <w14:schemeClr w14:val="tx1"/>
            </w14:solidFill>
          </w14:textFill>
        </w:rPr>
        <w:t>人名称：___（盖参比人单位公章）</w:t>
      </w:r>
    </w:p>
    <w:p w14:paraId="096758A9">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4375637A">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参比</w:t>
      </w:r>
      <w:r>
        <w:rPr>
          <w:rFonts w:hint="eastAsia" w:ascii="仿宋" w:hAnsi="仿宋" w:eastAsia="仿宋"/>
          <w:color w:val="000000" w:themeColor="text1"/>
          <w:sz w:val="28"/>
          <w:szCs w:val="28"/>
          <w:lang w:eastAsia="zh-CN"/>
          <w14:textFill>
            <w14:solidFill>
              <w14:schemeClr w14:val="tx1"/>
            </w14:solidFill>
          </w14:textFill>
        </w:rPr>
        <w:t>人代表签字：_________      职务：_______ 日期：_________</w:t>
      </w:r>
    </w:p>
    <w:p w14:paraId="5B9DFBC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p>
    <w:p w14:paraId="5AF2F31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p>
    <w:p w14:paraId="51239CD7">
      <w:pPr>
        <w:pStyle w:val="61"/>
        <w:rPr>
          <w:rFonts w:ascii="仿宋" w:hAnsi="仿宋" w:eastAsia="仿宋" w:cs="宋体"/>
          <w:color w:val="000000" w:themeColor="text1"/>
          <w:sz w:val="28"/>
          <w:szCs w:val="28"/>
          <w14:textFill>
            <w14:solidFill>
              <w14:schemeClr w14:val="tx1"/>
            </w14:solidFill>
          </w14:textFill>
        </w:rPr>
      </w:pPr>
    </w:p>
    <w:p w14:paraId="5E44C895">
      <w:pPr>
        <w:pStyle w:val="61"/>
        <w:rPr>
          <w:rFonts w:ascii="仿宋" w:hAnsi="仿宋" w:eastAsia="仿宋" w:cs="宋体"/>
          <w:color w:val="000000" w:themeColor="text1"/>
          <w:sz w:val="28"/>
          <w:szCs w:val="28"/>
          <w14:textFill>
            <w14:solidFill>
              <w14:schemeClr w14:val="tx1"/>
            </w14:solidFill>
          </w14:textFill>
        </w:rPr>
      </w:pPr>
    </w:p>
    <w:p w14:paraId="3BC7C864">
      <w:pPr>
        <w:widowControl/>
        <w:autoSpaceDE/>
        <w:autoSpaceDN/>
        <w:rPr>
          <w:b/>
          <w:bCs/>
          <w:lang w:eastAsia="zh-CN"/>
        </w:rPr>
      </w:pPr>
    </w:p>
    <w:p w14:paraId="7A5F8A3A">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5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74ADFAAE">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4D902644">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4F1BE849">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06FC88C4">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45D08406">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7F4190E7">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sz w:val="24"/>
              </w:rPr>
            </w:pPr>
            <w:r>
              <w:rPr>
                <w:rFonts w:hint="eastAsia" w:ascii="仿宋" w:hAnsi="仿宋" w:eastAsia="仿宋"/>
                <w:sz w:val="24"/>
              </w:rPr>
              <w:t>7</w:t>
            </w:r>
          </w:p>
        </w:tc>
        <w:tc>
          <w:tcPr>
            <w:tcW w:w="6023" w:type="dxa"/>
          </w:tcPr>
          <w:p w14:paraId="48766069">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ascii="仿宋" w:hAnsi="仿宋" w:eastAsia="仿宋"/>
                <w:sz w:val="24"/>
                <w:lang w:eastAsia="zh-CN"/>
              </w:rPr>
            </w:pPr>
          </w:p>
        </w:tc>
      </w:tr>
    </w:tbl>
    <w:p w14:paraId="2FB3E508">
      <w:pPr>
        <w:spacing w:line="500" w:lineRule="exact"/>
        <w:jc w:val="center"/>
        <w:rPr>
          <w:rFonts w:ascii="仿宋" w:hAnsi="仿宋" w:eastAsia="仿宋"/>
          <w:b/>
          <w:bCs/>
          <w:sz w:val="24"/>
        </w:rPr>
      </w:pPr>
    </w:p>
    <w:p w14:paraId="23663FC5">
      <w:pPr>
        <w:pStyle w:val="61"/>
        <w:rPr>
          <w:rFonts w:ascii="仿宋" w:hAnsi="仿宋" w:eastAsia="仿宋"/>
          <w:b/>
          <w:bCs/>
          <w:sz w:val="36"/>
          <w:szCs w:val="36"/>
        </w:rPr>
      </w:pPr>
    </w:p>
    <w:p w14:paraId="24A93692">
      <w:pPr>
        <w:pStyle w:val="61"/>
        <w:rPr>
          <w:rFonts w:ascii="仿宋" w:hAnsi="仿宋" w:eastAsia="仿宋"/>
          <w:b/>
          <w:bCs/>
          <w:sz w:val="36"/>
          <w:szCs w:val="36"/>
        </w:rPr>
      </w:pPr>
    </w:p>
    <w:p w14:paraId="0A9F35E4">
      <w:pPr>
        <w:pStyle w:val="61"/>
        <w:rPr>
          <w:rFonts w:ascii="仿宋" w:hAnsi="仿宋" w:eastAsia="仿宋"/>
          <w:b/>
          <w:bCs/>
          <w:sz w:val="36"/>
          <w:szCs w:val="36"/>
        </w:rPr>
      </w:pPr>
    </w:p>
    <w:p w14:paraId="18E31DCF">
      <w:pPr>
        <w:spacing w:line="500" w:lineRule="exact"/>
        <w:rPr>
          <w:rFonts w:ascii="仿宋" w:hAnsi="仿宋" w:eastAsia="仿宋"/>
          <w:b/>
          <w:bCs/>
          <w:sz w:val="36"/>
          <w:szCs w:val="36"/>
          <w:lang w:eastAsia="zh-CN"/>
        </w:rPr>
      </w:pPr>
    </w:p>
    <w:p w14:paraId="5BFB4798">
      <w:pPr>
        <w:pStyle w:val="61"/>
        <w:rPr>
          <w:rFonts w:ascii="仿宋" w:hAnsi="仿宋" w:eastAsia="仿宋"/>
          <w:b/>
          <w:bCs/>
          <w:sz w:val="36"/>
          <w:szCs w:val="36"/>
        </w:rPr>
      </w:pPr>
    </w:p>
    <w:p w14:paraId="51F6714D">
      <w:pPr>
        <w:pStyle w:val="61"/>
        <w:rPr>
          <w:rFonts w:ascii="仿宋" w:hAnsi="仿宋" w:eastAsia="仿宋"/>
          <w:b/>
          <w:bCs/>
          <w:sz w:val="36"/>
          <w:szCs w:val="36"/>
        </w:rPr>
      </w:pPr>
    </w:p>
    <w:p w14:paraId="76658411">
      <w:pPr>
        <w:pStyle w:val="61"/>
        <w:rPr>
          <w:rFonts w:ascii="仿宋" w:hAnsi="仿宋" w:eastAsia="仿宋"/>
        </w:rPr>
      </w:pPr>
    </w:p>
    <w:p w14:paraId="2F886C00">
      <w:pPr>
        <w:pStyle w:val="61"/>
        <w:rPr>
          <w:rFonts w:ascii="仿宋" w:hAnsi="仿宋" w:eastAsia="仿宋"/>
        </w:rPr>
      </w:pPr>
    </w:p>
    <w:p w14:paraId="1FA3FE2A">
      <w:pPr>
        <w:pStyle w:val="61"/>
        <w:rPr>
          <w:rFonts w:ascii="仿宋" w:hAnsi="仿宋" w:eastAsia="仿宋"/>
        </w:rPr>
      </w:pPr>
    </w:p>
    <w:p w14:paraId="715A53A4">
      <w:pPr>
        <w:pStyle w:val="61"/>
        <w:rPr>
          <w:rFonts w:ascii="仿宋" w:hAnsi="仿宋" w:eastAsia="仿宋"/>
        </w:rPr>
      </w:pPr>
    </w:p>
    <w:p w14:paraId="3147B83C">
      <w:pPr>
        <w:pStyle w:val="61"/>
        <w:rPr>
          <w:rFonts w:ascii="仿宋" w:hAnsi="仿宋" w:eastAsia="仿宋"/>
        </w:rPr>
      </w:pPr>
    </w:p>
    <w:p w14:paraId="2773A0CD">
      <w:pPr>
        <w:pStyle w:val="61"/>
        <w:rPr>
          <w:rFonts w:ascii="仿宋" w:hAnsi="仿宋" w:eastAsia="仿宋"/>
        </w:rPr>
      </w:pPr>
    </w:p>
    <w:p w14:paraId="19ECAB7F">
      <w:pPr>
        <w:pStyle w:val="61"/>
        <w:rPr>
          <w:rFonts w:ascii="仿宋" w:hAnsi="仿宋" w:eastAsia="仿宋"/>
        </w:rPr>
      </w:pPr>
    </w:p>
    <w:p w14:paraId="277BE481">
      <w:pPr>
        <w:pStyle w:val="61"/>
        <w:rPr>
          <w:rFonts w:ascii="仿宋" w:hAnsi="仿宋" w:eastAsia="仿宋"/>
        </w:rPr>
      </w:pPr>
    </w:p>
    <w:p w14:paraId="56F9F9A3">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D23836F">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8"/>
          <w:szCs w:val="28"/>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8"/>
          <w:szCs w:val="28"/>
          <w:lang w:eastAsia="zh-CN"/>
        </w:rPr>
        <w:t>递交下述文件，并对此负责。</w:t>
      </w:r>
    </w:p>
    <w:p w14:paraId="76760094">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（1）参比文件</w:t>
      </w:r>
    </w:p>
    <w:p w14:paraId="28012401">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（2）法定代表人授权委托书</w:t>
      </w:r>
    </w:p>
    <w:p w14:paraId="4ECF061D">
      <w:pPr>
        <w:spacing w:line="500" w:lineRule="exact"/>
        <w:ind w:firstLine="560" w:firstLineChars="200"/>
        <w:rPr>
          <w:rFonts w:ascii="仿宋" w:hAnsi="仿宋" w:eastAsia="仿宋"/>
          <w:sz w:val="28"/>
          <w:szCs w:val="28"/>
          <w:highlight w:val="yellow"/>
          <w:lang w:eastAsia="zh-CN"/>
        </w:rPr>
      </w:pPr>
      <w:r>
        <w:rPr>
          <w:rFonts w:hint="eastAsia" w:ascii="仿宋" w:hAnsi="仿宋" w:eastAsia="仿宋"/>
          <w:sz w:val="28"/>
          <w:szCs w:val="28"/>
          <w:highlight w:val="yellow"/>
          <w:lang w:eastAsia="zh-CN"/>
        </w:rPr>
        <w:t>（3）参比报价单</w:t>
      </w:r>
    </w:p>
    <w:p w14:paraId="336C0A42">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highlight w:val="yellow"/>
          <w:lang w:eastAsia="zh-CN"/>
        </w:rPr>
        <w:t xml:space="preserve"> 据此参比书，我</w:t>
      </w:r>
      <w:r>
        <w:rPr>
          <w:rFonts w:hint="eastAsia" w:ascii="仿宋" w:hAnsi="仿宋" w:eastAsia="仿宋"/>
          <w:sz w:val="28"/>
          <w:szCs w:val="28"/>
          <w:lang w:eastAsia="zh-CN"/>
        </w:rPr>
        <w:t>公司及签字代表宣布同意如下：</w:t>
      </w:r>
    </w:p>
    <w:p w14:paraId="52D25A92">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1、所递交的文件真实合法有效，且不存在任何虚假陈述或记载。</w:t>
      </w:r>
    </w:p>
    <w:p w14:paraId="6AE96FA6">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2、我方将履行比选文件规定的每一项要求：如中标，将严格按照合同约定履行各项义务。</w:t>
      </w:r>
    </w:p>
    <w:p w14:paraId="186D20A1">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sz w:val="28"/>
          <w:szCs w:val="28"/>
          <w:lang w:eastAsia="zh-CN"/>
        </w:rPr>
      </w:pPr>
    </w:p>
    <w:p w14:paraId="0D499B5F">
      <w:pPr>
        <w:spacing w:line="500" w:lineRule="exact"/>
        <w:ind w:firstLine="560" w:firstLineChars="200"/>
        <w:rPr>
          <w:rFonts w:ascii="仿宋" w:hAnsi="仿宋" w:eastAsia="仿宋"/>
          <w:sz w:val="28"/>
          <w:szCs w:val="28"/>
          <w:lang w:eastAsia="zh-CN"/>
        </w:rPr>
      </w:pPr>
    </w:p>
    <w:p w14:paraId="5BDA43EE">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被授权代表姓名：</w:t>
      </w:r>
    </w:p>
    <w:p w14:paraId="5F6CF90B">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职          务：</w:t>
      </w:r>
    </w:p>
    <w:p w14:paraId="729B174D">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联系方式及邮箱：</w:t>
      </w:r>
    </w:p>
    <w:p w14:paraId="42D9CBED">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被授权代表签字：</w:t>
      </w:r>
    </w:p>
    <w:p w14:paraId="38710CC1">
      <w:pPr>
        <w:pStyle w:val="61"/>
        <w:rPr>
          <w:rFonts w:ascii="仿宋" w:hAnsi="仿宋" w:eastAsia="仿宋"/>
          <w:sz w:val="28"/>
          <w:szCs w:val="28"/>
        </w:rPr>
      </w:pPr>
    </w:p>
    <w:p w14:paraId="640310CB">
      <w:pPr>
        <w:pStyle w:val="61"/>
        <w:jc w:val="center"/>
        <w:rPr>
          <w:rFonts w:ascii="仿宋" w:hAnsi="仿宋" w:eastAsia="仿宋"/>
          <w:kern w:val="2"/>
          <w:sz w:val="28"/>
          <w:szCs w:val="28"/>
        </w:rPr>
      </w:pPr>
      <w:r>
        <w:rPr>
          <w:rFonts w:hint="eastAsia" w:ascii="仿宋" w:hAnsi="仿宋" w:eastAsia="仿宋"/>
          <w:kern w:val="2"/>
          <w:sz w:val="28"/>
          <w:szCs w:val="28"/>
        </w:rPr>
        <w:t xml:space="preserve">                     </w:t>
      </w:r>
      <w:r>
        <w:rPr>
          <w:rFonts w:ascii="仿宋" w:hAnsi="仿宋" w:eastAsia="仿宋"/>
          <w:kern w:val="2"/>
          <w:sz w:val="28"/>
          <w:szCs w:val="28"/>
        </w:rPr>
        <w:t xml:space="preserve">                </w:t>
      </w:r>
      <w:r>
        <w:rPr>
          <w:rFonts w:hint="eastAsia" w:ascii="仿宋" w:hAnsi="仿宋" w:eastAsia="仿宋"/>
          <w:kern w:val="2"/>
          <w:sz w:val="28"/>
          <w:szCs w:val="28"/>
        </w:rPr>
        <w:t>参  比  人：</w:t>
      </w:r>
      <w:r>
        <w:rPr>
          <w:rFonts w:hint="eastAsia" w:ascii="仿宋" w:hAnsi="仿宋" w:eastAsia="仿宋"/>
          <w:color w:val="00B050"/>
          <w:kern w:val="2"/>
          <w:sz w:val="28"/>
          <w:szCs w:val="28"/>
        </w:rPr>
        <w:t>（单位名称）</w:t>
      </w:r>
    </w:p>
    <w:p w14:paraId="64A81CED">
      <w:pPr>
        <w:pStyle w:val="61"/>
        <w:ind w:firstLine="420"/>
        <w:jc w:val="center"/>
        <w:rPr>
          <w:rFonts w:ascii="仿宋" w:hAnsi="仿宋" w:eastAsia="仿宋"/>
          <w:kern w:val="2"/>
          <w:sz w:val="28"/>
          <w:szCs w:val="28"/>
        </w:rPr>
      </w:pPr>
      <w:r>
        <w:rPr>
          <w:rFonts w:hint="eastAsia" w:ascii="仿宋" w:hAnsi="仿宋" w:eastAsia="仿宋"/>
          <w:kern w:val="2"/>
          <w:sz w:val="28"/>
          <w:szCs w:val="28"/>
        </w:rPr>
        <w:t xml:space="preserve">      </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rPr>
        <w:t xml:space="preserve"> 法定代表人：</w:t>
      </w:r>
    </w:p>
    <w:p w14:paraId="206AA07E">
      <w:pPr>
        <w:pStyle w:val="61"/>
        <w:jc w:val="center"/>
        <w:rPr>
          <w:rFonts w:ascii="仿宋" w:hAnsi="仿宋" w:eastAsia="仿宋"/>
        </w:rPr>
      </w:pPr>
    </w:p>
    <w:p w14:paraId="359BC6EF">
      <w:pPr>
        <w:pStyle w:val="61"/>
        <w:jc w:val="center"/>
        <w:rPr>
          <w:rFonts w:ascii="仿宋" w:hAnsi="仿宋" w:eastAsia="仿宋"/>
        </w:rPr>
      </w:pPr>
    </w:p>
    <w:p w14:paraId="342B8B67">
      <w:pPr>
        <w:pStyle w:val="61"/>
        <w:jc w:val="center"/>
        <w:rPr>
          <w:rFonts w:ascii="仿宋" w:hAnsi="仿宋" w:eastAsia="仿宋"/>
        </w:rPr>
      </w:pPr>
    </w:p>
    <w:p w14:paraId="058FBA53">
      <w:pPr>
        <w:pStyle w:val="61"/>
        <w:jc w:val="center"/>
        <w:rPr>
          <w:rFonts w:ascii="仿宋" w:hAnsi="仿宋" w:eastAsia="仿宋"/>
        </w:rPr>
      </w:pPr>
    </w:p>
    <w:p w14:paraId="75EBB5B3">
      <w:pPr>
        <w:spacing w:line="500" w:lineRule="exact"/>
        <w:jc w:val="both"/>
        <w:rPr>
          <w:rFonts w:ascii="仿宋" w:hAnsi="仿宋" w:eastAsia="仿宋"/>
          <w:b/>
          <w:bCs/>
          <w:sz w:val="36"/>
          <w:szCs w:val="36"/>
          <w:lang w:eastAsia="zh-CN"/>
        </w:rPr>
      </w:pPr>
    </w:p>
    <w:p w14:paraId="6EA6930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61"/>
        <w:jc w:val="center"/>
        <w:rPr>
          <w:rFonts w:ascii="仿宋" w:hAnsi="仿宋" w:eastAsia="仿宋"/>
        </w:rPr>
      </w:pPr>
    </w:p>
    <w:p w14:paraId="0CAFBFE6">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8"/>
          <w:szCs w:val="28"/>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8"/>
          <w:szCs w:val="28"/>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8"/>
          <w:szCs w:val="28"/>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8"/>
          <w:szCs w:val="28"/>
          <w:lang w:eastAsia="zh-CN"/>
        </w:rPr>
        <w:t>为本公司的合法代理人，就贵司</w:t>
      </w:r>
      <w:r>
        <w:rPr>
          <w:rFonts w:hint="eastAsia" w:ascii="仿宋" w:hAnsi="仿宋" w:eastAsia="仿宋"/>
          <w:b/>
          <w:bCs/>
          <w:sz w:val="28"/>
          <w:szCs w:val="28"/>
          <w:u w:val="single"/>
          <w:lang w:eastAsia="zh-CN"/>
        </w:rPr>
        <w:t>海水冷却系统取水工程</w:t>
      </w:r>
      <w:r>
        <w:rPr>
          <w:rFonts w:hint="eastAsia" w:ascii="仿宋" w:hAnsi="仿宋" w:eastAsia="仿宋"/>
          <w:b/>
          <w:bCs/>
          <w:sz w:val="28"/>
          <w:szCs w:val="28"/>
          <w:u w:val="single"/>
          <w:lang w:val="en-US" w:eastAsia="zh-CN"/>
        </w:rPr>
        <w:t>2025年度</w:t>
      </w:r>
      <w:r>
        <w:rPr>
          <w:rFonts w:hint="eastAsia" w:ascii="仿宋" w:hAnsi="仿宋" w:eastAsia="仿宋"/>
          <w:b/>
          <w:bCs/>
          <w:sz w:val="28"/>
          <w:szCs w:val="28"/>
          <w:u w:val="single"/>
          <w:lang w:eastAsia="zh-CN"/>
        </w:rPr>
        <w:t>生态补偿增殖放流项目</w:t>
      </w:r>
      <w:r>
        <w:rPr>
          <w:rFonts w:hint="eastAsia" w:ascii="仿宋" w:hAnsi="仿宋" w:eastAsia="仿宋"/>
          <w:sz w:val="28"/>
          <w:szCs w:val="28"/>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8"/>
          <w:szCs w:val="28"/>
          <w:lang w:eastAsia="zh-CN"/>
        </w:rPr>
        <w:t>生效，本授权书有效期至此项目报价，以及合同履行完毕时止。</w:t>
      </w:r>
    </w:p>
    <w:p w14:paraId="305C540E">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特此声明。</w:t>
      </w:r>
    </w:p>
    <w:p w14:paraId="61117CB1">
      <w:pPr>
        <w:pStyle w:val="61"/>
        <w:rPr>
          <w:rFonts w:ascii="仿宋" w:hAnsi="仿宋" w:eastAsia="仿宋"/>
          <w:sz w:val="28"/>
          <w:szCs w:val="28"/>
        </w:rPr>
      </w:pPr>
    </w:p>
    <w:p w14:paraId="76E989CF">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法人代表人（签字）：</w:t>
      </w:r>
    </w:p>
    <w:p w14:paraId="7858BF89">
      <w:pPr>
        <w:spacing w:line="500" w:lineRule="exact"/>
        <w:rPr>
          <w:rFonts w:ascii="仿宋" w:hAnsi="仿宋" w:eastAsia="仿宋"/>
          <w:sz w:val="28"/>
          <w:szCs w:val="28"/>
          <w:lang w:eastAsia="zh-CN"/>
        </w:rPr>
      </w:pPr>
    </w:p>
    <w:p w14:paraId="7FB8D5FD">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被授权代表人（签字）：</w:t>
      </w:r>
    </w:p>
    <w:p w14:paraId="70F6486A">
      <w:pPr>
        <w:spacing w:line="500" w:lineRule="exact"/>
        <w:rPr>
          <w:rFonts w:ascii="仿宋" w:hAnsi="仿宋" w:eastAsia="仿宋"/>
          <w:sz w:val="28"/>
          <w:szCs w:val="28"/>
          <w:lang w:eastAsia="zh-CN"/>
        </w:rPr>
      </w:pPr>
    </w:p>
    <w:p w14:paraId="3344EDF0">
      <w:pPr>
        <w:pStyle w:val="61"/>
        <w:rPr>
          <w:rFonts w:ascii="仿宋" w:hAnsi="仿宋" w:eastAsia="仿宋"/>
          <w:sz w:val="28"/>
          <w:szCs w:val="28"/>
        </w:rPr>
      </w:pPr>
    </w:p>
    <w:p w14:paraId="7668EB86">
      <w:pPr>
        <w:pStyle w:val="61"/>
        <w:rPr>
          <w:rFonts w:ascii="仿宋" w:hAnsi="仿宋" w:eastAsia="仿宋"/>
          <w:sz w:val="28"/>
          <w:szCs w:val="28"/>
        </w:rPr>
      </w:pPr>
    </w:p>
    <w:p w14:paraId="32205DA1">
      <w:pPr>
        <w:pStyle w:val="61"/>
        <w:jc w:val="center"/>
        <w:rPr>
          <w:rFonts w:ascii="仿宋" w:hAnsi="仿宋" w:eastAsia="仿宋"/>
          <w:color w:val="4E6127"/>
          <w:sz w:val="28"/>
          <w:szCs w:val="28"/>
        </w:rPr>
      </w:pPr>
      <w:r>
        <w:rPr>
          <w:rFonts w:hint="eastAsia" w:ascii="仿宋" w:hAnsi="仿宋" w:eastAsia="仿宋"/>
          <w:sz w:val="28"/>
          <w:szCs w:val="28"/>
        </w:rPr>
        <w:t xml:space="preserve">              单位名称：</w:t>
      </w:r>
      <w:r>
        <w:rPr>
          <w:rFonts w:hint="eastAsia" w:ascii="仿宋" w:hAnsi="仿宋" w:eastAsia="仿宋"/>
          <w:color w:val="00B050"/>
          <w:kern w:val="2"/>
          <w:sz w:val="28"/>
          <w:szCs w:val="28"/>
        </w:rPr>
        <w:t>（公章）</w:t>
      </w:r>
    </w:p>
    <w:p w14:paraId="1EB4BD56">
      <w:pPr>
        <w:pStyle w:val="61"/>
        <w:jc w:val="center"/>
        <w:rPr>
          <w:rFonts w:ascii="仿宋" w:hAnsi="仿宋" w:eastAsia="仿宋"/>
          <w:color w:val="4E6127"/>
        </w:rPr>
      </w:pPr>
    </w:p>
    <w:p w14:paraId="16D04989">
      <w:pPr>
        <w:pStyle w:val="61"/>
        <w:jc w:val="center"/>
        <w:rPr>
          <w:rFonts w:ascii="仿宋" w:hAnsi="仿宋" w:eastAsia="仿宋"/>
          <w:color w:val="4E6127"/>
        </w:rPr>
      </w:pPr>
    </w:p>
    <w:p w14:paraId="4FA1D693">
      <w:pPr>
        <w:pStyle w:val="61"/>
        <w:jc w:val="center"/>
        <w:rPr>
          <w:rFonts w:ascii="仿宋" w:hAnsi="仿宋" w:eastAsia="仿宋"/>
          <w:color w:val="4E6127"/>
        </w:rPr>
      </w:pPr>
    </w:p>
    <w:p w14:paraId="0EB19C06">
      <w:pPr>
        <w:pStyle w:val="61"/>
        <w:jc w:val="center"/>
        <w:rPr>
          <w:rFonts w:ascii="仿宋" w:hAnsi="仿宋" w:eastAsia="仿宋"/>
          <w:color w:val="4E6127"/>
        </w:rPr>
      </w:pPr>
    </w:p>
    <w:p w14:paraId="4EBB44C1">
      <w:pPr>
        <w:pStyle w:val="61"/>
        <w:jc w:val="center"/>
        <w:rPr>
          <w:rFonts w:ascii="仿宋" w:hAnsi="仿宋" w:eastAsia="仿宋"/>
          <w:color w:val="4E6127"/>
        </w:rPr>
      </w:pPr>
    </w:p>
    <w:p w14:paraId="01499142">
      <w:pPr>
        <w:pStyle w:val="61"/>
        <w:jc w:val="center"/>
        <w:rPr>
          <w:rFonts w:ascii="仿宋" w:hAnsi="仿宋" w:eastAsia="仿宋"/>
          <w:color w:val="4E6127"/>
        </w:rPr>
      </w:pPr>
    </w:p>
    <w:p w14:paraId="7E564F17">
      <w:pPr>
        <w:pStyle w:val="61"/>
        <w:jc w:val="center"/>
        <w:rPr>
          <w:rFonts w:ascii="仿宋" w:hAnsi="仿宋" w:eastAsia="仿宋"/>
          <w:color w:val="4E6127"/>
        </w:rPr>
      </w:pPr>
    </w:p>
    <w:p w14:paraId="50251573">
      <w:pPr>
        <w:pStyle w:val="61"/>
        <w:jc w:val="center"/>
        <w:rPr>
          <w:rFonts w:ascii="仿宋" w:hAnsi="仿宋" w:eastAsia="仿宋"/>
          <w:color w:val="4E6127"/>
        </w:rPr>
      </w:pPr>
    </w:p>
    <w:p w14:paraId="39B4B7F7">
      <w:pPr>
        <w:pStyle w:val="61"/>
        <w:jc w:val="center"/>
        <w:rPr>
          <w:rFonts w:ascii="仿宋" w:hAnsi="仿宋" w:eastAsia="仿宋"/>
          <w:color w:val="4E6127"/>
        </w:rPr>
      </w:pPr>
    </w:p>
    <w:p w14:paraId="65025ABE">
      <w:pPr>
        <w:pStyle w:val="61"/>
        <w:jc w:val="center"/>
        <w:rPr>
          <w:rFonts w:ascii="仿宋" w:hAnsi="仿宋" w:eastAsia="仿宋"/>
          <w:color w:val="4E6127"/>
        </w:rPr>
      </w:pPr>
    </w:p>
    <w:p w14:paraId="266006F6">
      <w:pPr>
        <w:pStyle w:val="61"/>
        <w:jc w:val="center"/>
        <w:rPr>
          <w:rFonts w:ascii="仿宋" w:hAnsi="仿宋" w:eastAsia="仿宋"/>
        </w:rPr>
      </w:pPr>
    </w:p>
    <w:p w14:paraId="4CF7E056">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ascii="仿宋" w:hAnsi="仿宋" w:eastAsia="仿宋"/>
          <w:b/>
          <w:bCs/>
          <w:color w:val="4E6127"/>
          <w:sz w:val="36"/>
          <w:szCs w:val="36"/>
          <w:lang w:eastAsia="zh-CN"/>
        </w:rPr>
      </w:pPr>
    </w:p>
    <w:p w14:paraId="5459C198">
      <w:pPr>
        <w:spacing w:line="500" w:lineRule="exact"/>
        <w:jc w:val="center"/>
        <w:rPr>
          <w:rFonts w:ascii="仿宋" w:hAnsi="仿宋" w:eastAsia="仿宋"/>
          <w:b/>
          <w:bCs/>
          <w:color w:val="4E6127"/>
          <w:sz w:val="36"/>
          <w:szCs w:val="36"/>
          <w:lang w:eastAsia="zh-CN"/>
        </w:rPr>
      </w:pPr>
    </w:p>
    <w:p w14:paraId="1264C075">
      <w:pPr>
        <w:spacing w:line="500" w:lineRule="exact"/>
        <w:jc w:val="center"/>
        <w:rPr>
          <w:rFonts w:ascii="仿宋" w:hAnsi="仿宋" w:eastAsia="仿宋"/>
          <w:b/>
          <w:bCs/>
          <w:color w:val="4E6127"/>
          <w:sz w:val="36"/>
          <w:szCs w:val="36"/>
          <w:lang w:eastAsia="zh-CN"/>
        </w:rPr>
      </w:pPr>
    </w:p>
    <w:p w14:paraId="3E3812FC">
      <w:pPr>
        <w:spacing w:line="500" w:lineRule="exact"/>
        <w:jc w:val="center"/>
        <w:rPr>
          <w:rFonts w:ascii="仿宋" w:hAnsi="仿宋" w:eastAsia="仿宋"/>
          <w:b/>
          <w:bCs/>
          <w:color w:val="4E6127"/>
          <w:sz w:val="36"/>
          <w:szCs w:val="36"/>
          <w:lang w:eastAsia="zh-CN"/>
        </w:rPr>
      </w:pPr>
    </w:p>
    <w:p w14:paraId="083D1628">
      <w:pPr>
        <w:spacing w:line="500" w:lineRule="exact"/>
        <w:jc w:val="center"/>
        <w:rPr>
          <w:rFonts w:ascii="仿宋" w:hAnsi="仿宋" w:eastAsia="仿宋"/>
          <w:b/>
          <w:bCs/>
          <w:color w:val="4E6127"/>
          <w:sz w:val="36"/>
          <w:szCs w:val="36"/>
          <w:lang w:eastAsia="zh-CN"/>
        </w:rPr>
      </w:pPr>
    </w:p>
    <w:p w14:paraId="2A87B062">
      <w:pPr>
        <w:pStyle w:val="61"/>
        <w:rPr>
          <w:rFonts w:ascii="仿宋" w:hAnsi="仿宋" w:eastAsia="仿宋"/>
          <w:b/>
          <w:bCs/>
          <w:color w:val="4E6127"/>
          <w:sz w:val="36"/>
          <w:szCs w:val="36"/>
        </w:rPr>
      </w:pPr>
    </w:p>
    <w:p w14:paraId="32866DC1">
      <w:pPr>
        <w:pStyle w:val="61"/>
        <w:rPr>
          <w:rFonts w:ascii="仿宋" w:hAnsi="仿宋" w:eastAsia="仿宋"/>
          <w:b/>
          <w:bCs/>
          <w:color w:val="4E6127"/>
          <w:sz w:val="36"/>
          <w:szCs w:val="36"/>
        </w:rPr>
      </w:pPr>
    </w:p>
    <w:p w14:paraId="6A2D49E5">
      <w:pPr>
        <w:pStyle w:val="61"/>
        <w:rPr>
          <w:rFonts w:ascii="仿宋" w:hAnsi="仿宋" w:eastAsia="仿宋"/>
          <w:b/>
          <w:bCs/>
          <w:color w:val="4E6127"/>
          <w:sz w:val="36"/>
          <w:szCs w:val="36"/>
        </w:rPr>
      </w:pPr>
    </w:p>
    <w:p w14:paraId="6678CCA7">
      <w:pPr>
        <w:pStyle w:val="61"/>
        <w:rPr>
          <w:rFonts w:ascii="仿宋" w:hAnsi="仿宋" w:eastAsia="仿宋"/>
          <w:b/>
          <w:bCs/>
          <w:color w:val="4E6127"/>
          <w:sz w:val="36"/>
          <w:szCs w:val="36"/>
        </w:rPr>
      </w:pPr>
    </w:p>
    <w:p w14:paraId="4350032D">
      <w:pPr>
        <w:pStyle w:val="79"/>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ascii="仿宋" w:hAnsi="仿宋" w:eastAsia="仿宋"/>
          <w:b/>
          <w:bCs/>
          <w:color w:val="4E6127"/>
          <w:sz w:val="36"/>
          <w:szCs w:val="36"/>
          <w:lang w:eastAsia="zh-CN"/>
        </w:rPr>
      </w:pPr>
    </w:p>
    <w:p w14:paraId="02869938">
      <w:pPr>
        <w:spacing w:line="500" w:lineRule="exact"/>
        <w:jc w:val="center"/>
        <w:rPr>
          <w:rFonts w:ascii="仿宋" w:hAnsi="仿宋" w:eastAsia="仿宋"/>
          <w:b/>
          <w:bCs/>
          <w:sz w:val="36"/>
          <w:szCs w:val="36"/>
          <w:lang w:eastAsia="zh-CN"/>
        </w:rPr>
      </w:pPr>
    </w:p>
    <w:p w14:paraId="00B09C57">
      <w:pPr>
        <w:spacing w:line="500" w:lineRule="exact"/>
        <w:jc w:val="center"/>
        <w:rPr>
          <w:rFonts w:ascii="仿宋" w:hAnsi="仿宋" w:eastAsia="仿宋"/>
          <w:b/>
          <w:bCs/>
          <w:sz w:val="36"/>
          <w:szCs w:val="36"/>
          <w:lang w:eastAsia="zh-CN"/>
        </w:rPr>
      </w:pPr>
    </w:p>
    <w:p w14:paraId="126A626B">
      <w:pPr>
        <w:spacing w:line="500" w:lineRule="exact"/>
        <w:jc w:val="center"/>
        <w:rPr>
          <w:rFonts w:ascii="仿宋" w:hAnsi="仿宋" w:eastAsia="仿宋"/>
          <w:b/>
          <w:bCs/>
          <w:sz w:val="36"/>
          <w:szCs w:val="36"/>
          <w:lang w:eastAsia="zh-CN"/>
        </w:rPr>
      </w:pPr>
    </w:p>
    <w:p w14:paraId="164E5ED0">
      <w:pPr>
        <w:spacing w:line="500" w:lineRule="exact"/>
        <w:jc w:val="center"/>
        <w:rPr>
          <w:rFonts w:ascii="仿宋" w:hAnsi="仿宋" w:eastAsia="仿宋"/>
          <w:b/>
          <w:bCs/>
          <w:sz w:val="36"/>
          <w:szCs w:val="36"/>
          <w:lang w:eastAsia="zh-CN"/>
        </w:rPr>
      </w:pPr>
    </w:p>
    <w:p w14:paraId="5797FDE6">
      <w:pPr>
        <w:spacing w:line="500" w:lineRule="exact"/>
        <w:jc w:val="center"/>
        <w:rPr>
          <w:rFonts w:ascii="仿宋" w:hAnsi="仿宋" w:eastAsia="仿宋"/>
          <w:b/>
          <w:bCs/>
          <w:sz w:val="36"/>
          <w:szCs w:val="36"/>
          <w:lang w:eastAsia="zh-CN"/>
        </w:rPr>
      </w:pPr>
    </w:p>
    <w:p w14:paraId="7CF4569F">
      <w:pPr>
        <w:spacing w:line="500" w:lineRule="exact"/>
        <w:jc w:val="center"/>
        <w:rPr>
          <w:rFonts w:ascii="仿宋" w:hAnsi="仿宋" w:eastAsia="仿宋"/>
          <w:b/>
          <w:bCs/>
          <w:sz w:val="36"/>
          <w:szCs w:val="36"/>
          <w:lang w:eastAsia="zh-CN"/>
        </w:rPr>
      </w:pPr>
    </w:p>
    <w:p w14:paraId="44ABFDA9">
      <w:pPr>
        <w:spacing w:line="500" w:lineRule="exact"/>
        <w:jc w:val="center"/>
        <w:rPr>
          <w:rFonts w:ascii="仿宋" w:hAnsi="仿宋" w:eastAsia="仿宋"/>
          <w:b/>
          <w:bCs/>
          <w:sz w:val="36"/>
          <w:szCs w:val="36"/>
          <w:lang w:eastAsia="zh-CN"/>
        </w:rPr>
      </w:pPr>
    </w:p>
    <w:p w14:paraId="152F0574">
      <w:pPr>
        <w:spacing w:line="500" w:lineRule="exact"/>
        <w:jc w:val="center"/>
        <w:rPr>
          <w:rFonts w:ascii="仿宋" w:hAnsi="仿宋" w:eastAsia="仿宋"/>
          <w:b/>
          <w:bCs/>
          <w:sz w:val="36"/>
          <w:szCs w:val="36"/>
          <w:lang w:eastAsia="zh-CN"/>
        </w:rPr>
      </w:pPr>
    </w:p>
    <w:p w14:paraId="47F0EA70">
      <w:pPr>
        <w:spacing w:line="500" w:lineRule="exact"/>
        <w:jc w:val="center"/>
        <w:rPr>
          <w:rFonts w:ascii="仿宋" w:hAnsi="仿宋" w:eastAsia="仿宋"/>
          <w:b/>
          <w:bCs/>
          <w:sz w:val="36"/>
          <w:szCs w:val="36"/>
          <w:lang w:eastAsia="zh-CN"/>
        </w:rPr>
      </w:pPr>
    </w:p>
    <w:p w14:paraId="005EA67B">
      <w:pPr>
        <w:spacing w:line="500" w:lineRule="exact"/>
        <w:rPr>
          <w:rFonts w:ascii="仿宋" w:hAnsi="仿宋" w:eastAsia="仿宋"/>
          <w:b/>
          <w:bCs/>
          <w:sz w:val="36"/>
          <w:szCs w:val="36"/>
          <w:lang w:eastAsia="zh-CN"/>
        </w:rPr>
      </w:pPr>
    </w:p>
    <w:p w14:paraId="4A255D5A">
      <w:pPr>
        <w:spacing w:line="500" w:lineRule="exact"/>
        <w:jc w:val="center"/>
        <w:rPr>
          <w:rFonts w:ascii="仿宋" w:hAnsi="仿宋" w:eastAsia="仿宋"/>
          <w:b/>
          <w:bCs/>
          <w:sz w:val="36"/>
          <w:szCs w:val="36"/>
          <w:lang w:eastAsia="zh-CN"/>
        </w:rPr>
      </w:pPr>
    </w:p>
    <w:p w14:paraId="167B2708">
      <w:pPr>
        <w:spacing w:line="500" w:lineRule="exact"/>
        <w:jc w:val="center"/>
        <w:rPr>
          <w:rFonts w:ascii="仿宋" w:hAnsi="仿宋" w:eastAsia="仿宋"/>
          <w:b/>
          <w:bCs/>
          <w:sz w:val="36"/>
          <w:szCs w:val="36"/>
          <w:lang w:eastAsia="zh-CN"/>
        </w:rPr>
      </w:pPr>
    </w:p>
    <w:p w14:paraId="0D951DE6">
      <w:pPr>
        <w:pStyle w:val="61"/>
        <w:rPr>
          <w:rFonts w:ascii="仿宋" w:hAnsi="仿宋" w:eastAsia="仿宋"/>
          <w:b/>
          <w:bCs/>
          <w:sz w:val="36"/>
          <w:szCs w:val="36"/>
        </w:rPr>
      </w:pPr>
    </w:p>
    <w:p w14:paraId="2CA8B8AD">
      <w:pPr>
        <w:pStyle w:val="61"/>
        <w:rPr>
          <w:rFonts w:ascii="仿宋" w:hAnsi="仿宋" w:eastAsia="仿宋"/>
          <w:b/>
          <w:bCs/>
          <w:sz w:val="36"/>
          <w:szCs w:val="36"/>
        </w:rPr>
      </w:pPr>
    </w:p>
    <w:p w14:paraId="5FC1A08F">
      <w:pPr>
        <w:pStyle w:val="61"/>
        <w:rPr>
          <w:rFonts w:ascii="仿宋" w:hAnsi="仿宋" w:eastAsia="仿宋"/>
          <w:b/>
          <w:bCs/>
          <w:sz w:val="36"/>
          <w:szCs w:val="36"/>
        </w:rPr>
      </w:pPr>
    </w:p>
    <w:p w14:paraId="22397461">
      <w:pPr>
        <w:pStyle w:val="79"/>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9"/>
        <w:spacing w:beforeLines="0" w:afterLines="0" w:line="240" w:lineRule="auto"/>
        <w:ind w:firstLine="0" w:firstLineChars="0"/>
        <w:jc w:val="center"/>
        <w:rPr>
          <w:rFonts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61"/>
        <w:jc w:val="center"/>
        <w:rPr>
          <w:rFonts w:ascii="仿宋" w:hAnsi="仿宋" w:eastAsia="仿宋"/>
          <w:color w:val="FF0000"/>
        </w:rPr>
      </w:pPr>
    </w:p>
    <w:p w14:paraId="07F4B49D">
      <w:pPr>
        <w:pStyle w:val="61"/>
        <w:jc w:val="center"/>
        <w:rPr>
          <w:rFonts w:ascii="仿宋" w:hAnsi="仿宋" w:eastAsia="仿宋"/>
        </w:rPr>
      </w:pPr>
    </w:p>
    <w:p w14:paraId="51C1A69A">
      <w:pPr>
        <w:pStyle w:val="61"/>
        <w:jc w:val="center"/>
        <w:rPr>
          <w:rFonts w:ascii="仿宋" w:hAnsi="仿宋" w:eastAsia="仿宋"/>
        </w:rPr>
      </w:pPr>
    </w:p>
    <w:p w14:paraId="0D214B4C">
      <w:pPr>
        <w:pStyle w:val="61"/>
        <w:jc w:val="center"/>
        <w:rPr>
          <w:rFonts w:ascii="仿宋" w:hAnsi="仿宋" w:eastAsia="仿宋"/>
        </w:rPr>
      </w:pPr>
    </w:p>
    <w:p w14:paraId="515264EC">
      <w:pPr>
        <w:pStyle w:val="61"/>
        <w:jc w:val="center"/>
        <w:rPr>
          <w:rFonts w:ascii="仿宋" w:hAnsi="仿宋" w:eastAsia="仿宋"/>
        </w:rPr>
      </w:pPr>
    </w:p>
    <w:p w14:paraId="60F6820E">
      <w:pPr>
        <w:pStyle w:val="61"/>
        <w:jc w:val="center"/>
        <w:rPr>
          <w:rFonts w:ascii="仿宋" w:hAnsi="仿宋" w:eastAsia="仿宋"/>
        </w:rPr>
      </w:pPr>
    </w:p>
    <w:p w14:paraId="6BE8487F">
      <w:pPr>
        <w:pStyle w:val="61"/>
        <w:jc w:val="center"/>
        <w:rPr>
          <w:rFonts w:ascii="仿宋" w:hAnsi="仿宋" w:eastAsia="仿宋"/>
        </w:rPr>
      </w:pPr>
    </w:p>
    <w:p w14:paraId="4932222D">
      <w:pPr>
        <w:pStyle w:val="61"/>
        <w:jc w:val="center"/>
        <w:rPr>
          <w:rFonts w:ascii="仿宋" w:hAnsi="仿宋" w:eastAsia="仿宋"/>
        </w:rPr>
      </w:pPr>
    </w:p>
    <w:p w14:paraId="235603DF">
      <w:pPr>
        <w:pStyle w:val="61"/>
        <w:jc w:val="center"/>
        <w:rPr>
          <w:rFonts w:ascii="仿宋" w:hAnsi="仿宋" w:eastAsia="仿宋"/>
        </w:rPr>
      </w:pPr>
    </w:p>
    <w:p w14:paraId="35DF4E97">
      <w:pPr>
        <w:pStyle w:val="61"/>
        <w:jc w:val="center"/>
        <w:rPr>
          <w:rFonts w:ascii="仿宋" w:hAnsi="仿宋" w:eastAsia="仿宋"/>
        </w:rPr>
      </w:pPr>
    </w:p>
    <w:p w14:paraId="52D6C2C2">
      <w:pPr>
        <w:pStyle w:val="61"/>
        <w:jc w:val="center"/>
        <w:rPr>
          <w:rFonts w:ascii="仿宋" w:hAnsi="仿宋" w:eastAsia="仿宋"/>
        </w:rPr>
      </w:pPr>
    </w:p>
    <w:p w14:paraId="13FA6665">
      <w:pPr>
        <w:pStyle w:val="61"/>
        <w:jc w:val="center"/>
        <w:rPr>
          <w:rFonts w:ascii="仿宋" w:hAnsi="仿宋" w:eastAsia="仿宋"/>
        </w:rPr>
      </w:pPr>
    </w:p>
    <w:p w14:paraId="0836E2F9">
      <w:pPr>
        <w:pStyle w:val="61"/>
        <w:jc w:val="center"/>
        <w:rPr>
          <w:rFonts w:ascii="仿宋" w:hAnsi="仿宋" w:eastAsia="仿宋"/>
        </w:rPr>
      </w:pPr>
    </w:p>
    <w:p w14:paraId="3CAE195D">
      <w:pPr>
        <w:pStyle w:val="61"/>
        <w:jc w:val="center"/>
        <w:rPr>
          <w:rFonts w:ascii="仿宋" w:hAnsi="仿宋" w:eastAsia="仿宋"/>
        </w:rPr>
      </w:pPr>
    </w:p>
    <w:p w14:paraId="7E0FD362">
      <w:pPr>
        <w:pStyle w:val="61"/>
        <w:jc w:val="center"/>
        <w:rPr>
          <w:rFonts w:ascii="仿宋" w:hAnsi="仿宋" w:eastAsia="仿宋"/>
        </w:rPr>
      </w:pPr>
    </w:p>
    <w:p w14:paraId="402D4532">
      <w:pPr>
        <w:pStyle w:val="61"/>
        <w:jc w:val="center"/>
        <w:rPr>
          <w:rFonts w:ascii="仿宋" w:hAnsi="仿宋" w:eastAsia="仿宋"/>
        </w:rPr>
      </w:pPr>
    </w:p>
    <w:p w14:paraId="23C46CE7">
      <w:pPr>
        <w:pStyle w:val="61"/>
        <w:jc w:val="center"/>
        <w:rPr>
          <w:rFonts w:ascii="仿宋" w:hAnsi="仿宋" w:eastAsia="仿宋"/>
        </w:rPr>
      </w:pPr>
    </w:p>
    <w:p w14:paraId="4192964F">
      <w:pPr>
        <w:pStyle w:val="61"/>
        <w:jc w:val="center"/>
        <w:rPr>
          <w:rFonts w:ascii="仿宋" w:hAnsi="仿宋" w:eastAsia="仿宋"/>
        </w:rPr>
      </w:pPr>
    </w:p>
    <w:p w14:paraId="2F9D3DFA">
      <w:pPr>
        <w:pStyle w:val="61"/>
        <w:jc w:val="center"/>
        <w:rPr>
          <w:rFonts w:ascii="仿宋" w:hAnsi="仿宋" w:eastAsia="仿宋"/>
          <w:color w:val="0000FF"/>
        </w:rPr>
      </w:pPr>
    </w:p>
    <w:p w14:paraId="3E5F5B2A">
      <w:pPr>
        <w:spacing w:line="500" w:lineRule="exact"/>
        <w:jc w:val="center"/>
        <w:rPr>
          <w:rFonts w:ascii="仿宋" w:hAnsi="仿宋" w:eastAsia="仿宋"/>
          <w:b/>
          <w:bCs/>
          <w:sz w:val="36"/>
          <w:szCs w:val="36"/>
          <w:lang w:eastAsia="zh-CN"/>
        </w:rPr>
      </w:pPr>
    </w:p>
    <w:p w14:paraId="6B392EB3">
      <w:pPr>
        <w:spacing w:line="500" w:lineRule="exact"/>
        <w:jc w:val="center"/>
        <w:rPr>
          <w:rFonts w:ascii="仿宋" w:hAnsi="仿宋" w:eastAsia="仿宋"/>
          <w:b/>
          <w:bCs/>
          <w:sz w:val="36"/>
          <w:szCs w:val="36"/>
          <w:lang w:eastAsia="zh-CN"/>
        </w:rPr>
      </w:pPr>
    </w:p>
    <w:p w14:paraId="0BC17E12">
      <w:pPr>
        <w:pStyle w:val="61"/>
      </w:pPr>
    </w:p>
    <w:p w14:paraId="14EE2753">
      <w:pPr>
        <w:spacing w:line="500" w:lineRule="exact"/>
        <w:jc w:val="center"/>
        <w:rPr>
          <w:rFonts w:ascii="仿宋" w:hAnsi="仿宋" w:eastAsia="仿宋"/>
        </w:rPr>
      </w:pPr>
      <w:r>
        <w:rPr>
          <w:rFonts w:hint="eastAsia" w:ascii="仿宋" w:hAnsi="仿宋" w:eastAsia="仿宋"/>
          <w:b/>
          <w:bCs/>
          <w:sz w:val="36"/>
          <w:szCs w:val="36"/>
          <w:lang w:eastAsia="zh-CN"/>
        </w:rPr>
        <w:t>营业执照复印件</w:t>
      </w:r>
    </w:p>
    <w:p w14:paraId="0F675B4B">
      <w:pPr>
        <w:pStyle w:val="61"/>
        <w:jc w:val="center"/>
        <w:rPr>
          <w:rFonts w:ascii="仿宋" w:hAnsi="仿宋" w:eastAsia="仿宋"/>
        </w:rPr>
      </w:pPr>
    </w:p>
    <w:p w14:paraId="0B26124F">
      <w:pPr>
        <w:pStyle w:val="61"/>
        <w:jc w:val="center"/>
        <w:rPr>
          <w:rFonts w:ascii="仿宋" w:hAnsi="仿宋" w:eastAsia="仿宋"/>
        </w:rPr>
      </w:pPr>
    </w:p>
    <w:p w14:paraId="4E990DCE">
      <w:pPr>
        <w:pStyle w:val="61"/>
        <w:jc w:val="center"/>
        <w:rPr>
          <w:rFonts w:ascii="仿宋" w:hAnsi="仿宋" w:eastAsia="仿宋"/>
        </w:rPr>
      </w:pPr>
    </w:p>
    <w:p w14:paraId="60B37F03">
      <w:pPr>
        <w:pStyle w:val="61"/>
        <w:jc w:val="center"/>
        <w:rPr>
          <w:rFonts w:ascii="仿宋" w:hAnsi="仿宋" w:eastAsia="仿宋"/>
        </w:rPr>
      </w:pPr>
    </w:p>
    <w:p w14:paraId="611C747F">
      <w:pPr>
        <w:pStyle w:val="61"/>
        <w:jc w:val="center"/>
        <w:rPr>
          <w:rFonts w:ascii="仿宋" w:hAnsi="仿宋" w:eastAsia="仿宋"/>
        </w:rPr>
      </w:pPr>
    </w:p>
    <w:p w14:paraId="1BAE273F">
      <w:pPr>
        <w:pStyle w:val="61"/>
        <w:jc w:val="center"/>
        <w:rPr>
          <w:rFonts w:ascii="仿宋" w:hAnsi="仿宋" w:eastAsia="仿宋"/>
        </w:rPr>
      </w:pPr>
    </w:p>
    <w:p w14:paraId="03246013">
      <w:pPr>
        <w:pStyle w:val="61"/>
        <w:jc w:val="center"/>
        <w:rPr>
          <w:rFonts w:ascii="仿宋" w:hAnsi="仿宋" w:eastAsia="仿宋"/>
        </w:rPr>
      </w:pPr>
    </w:p>
    <w:p w14:paraId="2586779F">
      <w:pPr>
        <w:pStyle w:val="61"/>
        <w:jc w:val="center"/>
        <w:rPr>
          <w:rFonts w:ascii="仿宋" w:hAnsi="仿宋" w:eastAsia="仿宋"/>
        </w:rPr>
      </w:pPr>
    </w:p>
    <w:p w14:paraId="32A7C384">
      <w:pPr>
        <w:pStyle w:val="61"/>
        <w:jc w:val="center"/>
        <w:rPr>
          <w:rFonts w:ascii="仿宋" w:hAnsi="仿宋" w:eastAsia="仿宋"/>
        </w:rPr>
      </w:pPr>
    </w:p>
    <w:p w14:paraId="690464A2">
      <w:pPr>
        <w:pStyle w:val="61"/>
        <w:rPr>
          <w:rFonts w:ascii="仿宋" w:hAnsi="仿宋" w:eastAsia="仿宋"/>
        </w:rPr>
      </w:pPr>
    </w:p>
    <w:p w14:paraId="68959834">
      <w:pPr>
        <w:pStyle w:val="61"/>
        <w:rPr>
          <w:rFonts w:ascii="仿宋" w:hAnsi="仿宋" w:eastAsia="仿宋"/>
        </w:rPr>
      </w:pPr>
    </w:p>
    <w:p w14:paraId="4DFCFEAC">
      <w:pPr>
        <w:pStyle w:val="61"/>
        <w:rPr>
          <w:rFonts w:ascii="仿宋" w:hAnsi="仿宋" w:eastAsia="仿宋"/>
        </w:rPr>
      </w:pPr>
    </w:p>
    <w:p w14:paraId="7DC2E904">
      <w:pPr>
        <w:pStyle w:val="61"/>
        <w:rPr>
          <w:rFonts w:ascii="仿宋" w:hAnsi="仿宋" w:eastAsia="仿宋"/>
        </w:rPr>
      </w:pPr>
    </w:p>
    <w:p w14:paraId="39724B2B">
      <w:pPr>
        <w:pStyle w:val="61"/>
        <w:rPr>
          <w:rFonts w:ascii="仿宋" w:hAnsi="仿宋" w:eastAsia="仿宋"/>
        </w:rPr>
      </w:pPr>
    </w:p>
    <w:p w14:paraId="70BA8F41">
      <w:pPr>
        <w:pStyle w:val="61"/>
        <w:rPr>
          <w:rFonts w:ascii="仿宋" w:hAnsi="仿宋" w:eastAsia="仿宋"/>
        </w:rPr>
      </w:pPr>
    </w:p>
    <w:p w14:paraId="40169A43">
      <w:pPr>
        <w:pStyle w:val="61"/>
        <w:rPr>
          <w:rFonts w:ascii="仿宋" w:hAnsi="仿宋" w:eastAsia="仿宋"/>
        </w:rPr>
      </w:pPr>
    </w:p>
    <w:p w14:paraId="3E28DAAD">
      <w:pPr>
        <w:pStyle w:val="61"/>
        <w:rPr>
          <w:rFonts w:ascii="仿宋" w:hAnsi="仿宋" w:eastAsia="仿宋"/>
        </w:rPr>
      </w:pPr>
    </w:p>
    <w:p w14:paraId="4059ECA0">
      <w:pPr>
        <w:pStyle w:val="61"/>
        <w:rPr>
          <w:rFonts w:ascii="仿宋" w:hAnsi="仿宋" w:eastAsia="仿宋"/>
        </w:rPr>
      </w:pPr>
    </w:p>
    <w:p w14:paraId="54D77E6E">
      <w:pPr>
        <w:pStyle w:val="61"/>
        <w:rPr>
          <w:rFonts w:ascii="仿宋" w:hAnsi="仿宋" w:eastAsia="仿宋"/>
          <w:b/>
          <w:bCs/>
          <w:kern w:val="2"/>
          <w:sz w:val="36"/>
          <w:szCs w:val="36"/>
        </w:rPr>
      </w:pPr>
    </w:p>
    <w:p w14:paraId="4D7E0E14">
      <w:pPr>
        <w:pStyle w:val="22"/>
        <w:jc w:val="center"/>
        <w:rPr>
          <w:b/>
          <w:sz w:val="32"/>
          <w:szCs w:val="32"/>
          <w:lang w:eastAsia="zh-CN"/>
        </w:rPr>
      </w:pPr>
    </w:p>
    <w:p w14:paraId="77EF0581">
      <w:pPr>
        <w:pStyle w:val="22"/>
        <w:rPr>
          <w:rFonts w:ascii="仿宋" w:hAnsi="仿宋" w:eastAsia="仿宋"/>
          <w:b/>
          <w:bCs/>
          <w:lang w:eastAsia="zh-CN"/>
        </w:rPr>
      </w:pPr>
    </w:p>
    <w:p w14:paraId="27B329D0">
      <w:pPr>
        <w:pStyle w:val="22"/>
        <w:rPr>
          <w:rFonts w:ascii="仿宋" w:hAnsi="仿宋" w:eastAsia="仿宋"/>
          <w:b/>
          <w:bCs/>
          <w:lang w:eastAsia="zh-CN"/>
        </w:rPr>
      </w:pPr>
    </w:p>
    <w:p w14:paraId="00F7D88D">
      <w:pPr>
        <w:pStyle w:val="61"/>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海水冷却系统取水工程</w:t>
      </w:r>
      <w:r>
        <w:rPr>
          <w:rFonts w:hint="eastAsia" w:ascii="仿宋" w:hAnsi="仿宋" w:eastAsia="仿宋"/>
          <w:sz w:val="28"/>
          <w:szCs w:val="28"/>
          <w:u w:val="single"/>
          <w:lang w:val="en-US" w:eastAsia="zh-CN"/>
        </w:rPr>
        <w:t>2025年度</w:t>
      </w:r>
      <w:r>
        <w:rPr>
          <w:rFonts w:hint="eastAsia" w:ascii="仿宋" w:hAnsi="仿宋" w:eastAsia="仿宋"/>
          <w:sz w:val="28"/>
          <w:szCs w:val="28"/>
          <w:u w:val="single"/>
          <w:lang w:eastAsia="zh-CN"/>
        </w:rPr>
        <w:t xml:space="preserve">生态补偿增殖放流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w:t>
      </w:r>
      <w:r>
        <w:rPr>
          <w:rFonts w:hint="eastAsia" w:ascii="仿宋" w:hAnsi="仿宋" w:eastAsia="仿宋"/>
          <w:b/>
          <w:bCs/>
          <w:sz w:val="28"/>
          <w:szCs w:val="28"/>
          <w:highlight w:val="yellow"/>
          <w:lang w:val="en-US" w:eastAsia="zh-CN"/>
        </w:rPr>
        <w:t>为</w:t>
      </w:r>
      <w:r>
        <w:rPr>
          <w:rStyle w:val="55"/>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bookmarkEnd w:id="0"/>
    <w:p w14:paraId="239366B4">
      <w:pPr>
        <w:spacing w:line="360" w:lineRule="auto"/>
        <w:jc w:val="center"/>
        <w:rPr>
          <w:rFonts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7"/>
          <w:jc w:val="center"/>
        </w:pPr>
      </w:p>
      <w:p w14:paraId="0A72A009">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7"/>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7"/>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7"/>
          <w:jc w:val="center"/>
        </w:pPr>
      </w:p>
    </w:sdtContent>
  </w:sdt>
  <w:p w14:paraId="3B30D5C8">
    <w:pPr>
      <w:pStyle w:val="2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2"/>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7"/>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50"/>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40"/>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42"/>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6"/>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7"/>
      <w:lvlText w:val="第%2节"/>
      <w:lvlJc w:val="left"/>
      <w:pPr>
        <w:tabs>
          <w:tab w:val="left" w:pos="992"/>
        </w:tabs>
        <w:ind w:left="0" w:firstLine="0"/>
      </w:pPr>
      <w:rPr>
        <w:rFonts w:hint="eastAsia" w:ascii="宋体" w:eastAsia="宋体"/>
        <w:b/>
        <w:i w:val="0"/>
        <w:sz w:val="30"/>
        <w:szCs w:val="30"/>
      </w:rPr>
    </w:lvl>
    <w:lvl w:ilvl="2" w:tentative="0">
      <w:start w:val="1"/>
      <w:numFmt w:val="decimal"/>
      <w:pStyle w:val="188"/>
      <w:lvlText w:val="%3"/>
      <w:lvlJc w:val="left"/>
      <w:pPr>
        <w:tabs>
          <w:tab w:val="left" w:pos="567"/>
        </w:tabs>
        <w:ind w:left="0" w:firstLine="0"/>
      </w:pPr>
      <w:rPr>
        <w:rFonts w:hint="eastAsia" w:ascii="宋体" w:eastAsia="宋体"/>
        <w:b/>
        <w:i w:val="0"/>
        <w:sz w:val="24"/>
        <w:szCs w:val="24"/>
      </w:rPr>
    </w:lvl>
    <w:lvl w:ilvl="3" w:tentative="0">
      <w:start w:val="1"/>
      <w:numFmt w:val="decimal"/>
      <w:pStyle w:val="189"/>
      <w:lvlText w:val="%3.%4"/>
      <w:lvlJc w:val="left"/>
      <w:pPr>
        <w:tabs>
          <w:tab w:val="left" w:pos="737"/>
        </w:tabs>
        <w:ind w:left="0" w:firstLine="284"/>
      </w:pPr>
      <w:rPr>
        <w:rFonts w:hint="eastAsia" w:ascii="宋体" w:eastAsia="宋体"/>
        <w:b/>
        <w:i w:val="0"/>
        <w:sz w:val="24"/>
        <w:szCs w:val="24"/>
      </w:rPr>
    </w:lvl>
    <w:lvl w:ilvl="4" w:tentative="0">
      <w:start w:val="1"/>
      <w:numFmt w:val="decimal"/>
      <w:pStyle w:val="190"/>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1"/>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7"/>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0629166"/>
    <w:multiLevelType w:val="multilevel"/>
    <w:tmpl w:val="7062916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766DD018"/>
    <w:multiLevelType w:val="singleLevel"/>
    <w:tmpl w:val="766DD018"/>
    <w:lvl w:ilvl="0" w:tentative="0">
      <w:start w:val="1"/>
      <w:numFmt w:val="decimal"/>
      <w:suff w:val="nothing"/>
      <w:lvlText w:val="（%1）"/>
      <w:lvlJc w:val="left"/>
    </w:lvl>
  </w:abstractNum>
  <w:num w:numId="1">
    <w:abstractNumId w:val="7"/>
  </w:num>
  <w:num w:numId="2">
    <w:abstractNumId w:val="2"/>
  </w:num>
  <w:num w:numId="3">
    <w:abstractNumId w:val="3"/>
  </w:num>
  <w:num w:numId="4">
    <w:abstractNumId w:val="4"/>
  </w:num>
  <w:num w:numId="5">
    <w:abstractNumId w:val="6"/>
  </w:num>
  <w:num w:numId="6">
    <w:abstractNumId w:val="8"/>
  </w:num>
  <w:num w:numId="7">
    <w:abstractNumId w:val="10"/>
  </w:num>
  <w:num w:numId="8">
    <w:abstractNumId w:val="0"/>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367315B"/>
    <w:rsid w:val="039019C5"/>
    <w:rsid w:val="03E60428"/>
    <w:rsid w:val="03F31506"/>
    <w:rsid w:val="05751FE2"/>
    <w:rsid w:val="057528B0"/>
    <w:rsid w:val="05ED3CF3"/>
    <w:rsid w:val="05FF197E"/>
    <w:rsid w:val="061139E5"/>
    <w:rsid w:val="06636B8D"/>
    <w:rsid w:val="06970067"/>
    <w:rsid w:val="06F50B00"/>
    <w:rsid w:val="06F772FB"/>
    <w:rsid w:val="072D673C"/>
    <w:rsid w:val="076E1278"/>
    <w:rsid w:val="07DF5017"/>
    <w:rsid w:val="087E5540"/>
    <w:rsid w:val="08D1141D"/>
    <w:rsid w:val="094F4A96"/>
    <w:rsid w:val="097917CA"/>
    <w:rsid w:val="09DF4195"/>
    <w:rsid w:val="0A3A27EF"/>
    <w:rsid w:val="0B296DE2"/>
    <w:rsid w:val="0D2A5AB7"/>
    <w:rsid w:val="0DAE7DA4"/>
    <w:rsid w:val="0EBB70C4"/>
    <w:rsid w:val="0F974836"/>
    <w:rsid w:val="0FC52672"/>
    <w:rsid w:val="10294AA3"/>
    <w:rsid w:val="103F7CB7"/>
    <w:rsid w:val="10E40CA0"/>
    <w:rsid w:val="11C732A5"/>
    <w:rsid w:val="136130D9"/>
    <w:rsid w:val="13A56D72"/>
    <w:rsid w:val="14185F29"/>
    <w:rsid w:val="14C5232E"/>
    <w:rsid w:val="15367D4F"/>
    <w:rsid w:val="153C139F"/>
    <w:rsid w:val="168461FE"/>
    <w:rsid w:val="1860228C"/>
    <w:rsid w:val="18DD4F7E"/>
    <w:rsid w:val="195B58A2"/>
    <w:rsid w:val="19DC3FCF"/>
    <w:rsid w:val="1A1D12E8"/>
    <w:rsid w:val="1B316012"/>
    <w:rsid w:val="1C2F4299"/>
    <w:rsid w:val="1E085A14"/>
    <w:rsid w:val="1F010B23"/>
    <w:rsid w:val="1F1158D5"/>
    <w:rsid w:val="1F6A2B6C"/>
    <w:rsid w:val="1FF43DDB"/>
    <w:rsid w:val="20D50BF7"/>
    <w:rsid w:val="21933AA2"/>
    <w:rsid w:val="2236163B"/>
    <w:rsid w:val="22EE775E"/>
    <w:rsid w:val="22FD5AA5"/>
    <w:rsid w:val="2533755C"/>
    <w:rsid w:val="25BF356F"/>
    <w:rsid w:val="25DB0C2D"/>
    <w:rsid w:val="26711E5F"/>
    <w:rsid w:val="269469E7"/>
    <w:rsid w:val="26AE398C"/>
    <w:rsid w:val="26C85874"/>
    <w:rsid w:val="28EF38E5"/>
    <w:rsid w:val="29810EE0"/>
    <w:rsid w:val="29C0782D"/>
    <w:rsid w:val="29FC3B14"/>
    <w:rsid w:val="2B11792E"/>
    <w:rsid w:val="2B591CE7"/>
    <w:rsid w:val="2BFC66E0"/>
    <w:rsid w:val="2CDC646A"/>
    <w:rsid w:val="2D946557"/>
    <w:rsid w:val="2DBE1EBE"/>
    <w:rsid w:val="2EE567B9"/>
    <w:rsid w:val="2EFA65C8"/>
    <w:rsid w:val="2F0A1F67"/>
    <w:rsid w:val="2FED17A8"/>
    <w:rsid w:val="305E2CD3"/>
    <w:rsid w:val="31C54755"/>
    <w:rsid w:val="3216608C"/>
    <w:rsid w:val="32233DA1"/>
    <w:rsid w:val="326D0948"/>
    <w:rsid w:val="32C928A1"/>
    <w:rsid w:val="337A6C9E"/>
    <w:rsid w:val="33C20AD9"/>
    <w:rsid w:val="346836AD"/>
    <w:rsid w:val="34CE14C6"/>
    <w:rsid w:val="34D84CEC"/>
    <w:rsid w:val="361F0C57"/>
    <w:rsid w:val="36EC56C3"/>
    <w:rsid w:val="37AF5AB7"/>
    <w:rsid w:val="37C6307B"/>
    <w:rsid w:val="39CE7565"/>
    <w:rsid w:val="3A82275E"/>
    <w:rsid w:val="3B1C3371"/>
    <w:rsid w:val="3BFB0D78"/>
    <w:rsid w:val="3CC23198"/>
    <w:rsid w:val="3CC60243"/>
    <w:rsid w:val="3CD404DE"/>
    <w:rsid w:val="3CE7750F"/>
    <w:rsid w:val="3DDF4815"/>
    <w:rsid w:val="3DE418E4"/>
    <w:rsid w:val="3EE6168C"/>
    <w:rsid w:val="3FE669E5"/>
    <w:rsid w:val="40772E51"/>
    <w:rsid w:val="40DA4C1A"/>
    <w:rsid w:val="4157169F"/>
    <w:rsid w:val="417E204F"/>
    <w:rsid w:val="431D3DAA"/>
    <w:rsid w:val="432B3440"/>
    <w:rsid w:val="438C2802"/>
    <w:rsid w:val="449B0822"/>
    <w:rsid w:val="45337E9A"/>
    <w:rsid w:val="45702119"/>
    <w:rsid w:val="45E22CF5"/>
    <w:rsid w:val="46A616B2"/>
    <w:rsid w:val="478B2DD0"/>
    <w:rsid w:val="47E40B80"/>
    <w:rsid w:val="48C7608A"/>
    <w:rsid w:val="49762AE7"/>
    <w:rsid w:val="49E459A4"/>
    <w:rsid w:val="4D0A412A"/>
    <w:rsid w:val="4DC35387"/>
    <w:rsid w:val="4E1458CD"/>
    <w:rsid w:val="4E293FE6"/>
    <w:rsid w:val="4FC4296F"/>
    <w:rsid w:val="505B5DD7"/>
    <w:rsid w:val="50F63E28"/>
    <w:rsid w:val="519C64C0"/>
    <w:rsid w:val="5221007F"/>
    <w:rsid w:val="523934E2"/>
    <w:rsid w:val="52926B5A"/>
    <w:rsid w:val="529C11E0"/>
    <w:rsid w:val="53D0583A"/>
    <w:rsid w:val="545C5E51"/>
    <w:rsid w:val="5486175B"/>
    <w:rsid w:val="57213322"/>
    <w:rsid w:val="572A730E"/>
    <w:rsid w:val="57667D24"/>
    <w:rsid w:val="57CE5BC3"/>
    <w:rsid w:val="57F531C7"/>
    <w:rsid w:val="5AE1516A"/>
    <w:rsid w:val="5B6A3A79"/>
    <w:rsid w:val="5B9934B9"/>
    <w:rsid w:val="5BC82695"/>
    <w:rsid w:val="5C1A5F7B"/>
    <w:rsid w:val="5C5B380F"/>
    <w:rsid w:val="5C867ADA"/>
    <w:rsid w:val="5CE95FB4"/>
    <w:rsid w:val="5D0E453B"/>
    <w:rsid w:val="5E4B69E1"/>
    <w:rsid w:val="5FD4579D"/>
    <w:rsid w:val="5FDF4359"/>
    <w:rsid w:val="62A712E9"/>
    <w:rsid w:val="633C3480"/>
    <w:rsid w:val="63407F05"/>
    <w:rsid w:val="637E1A80"/>
    <w:rsid w:val="645771F8"/>
    <w:rsid w:val="64A137DB"/>
    <w:rsid w:val="65072E52"/>
    <w:rsid w:val="658E3951"/>
    <w:rsid w:val="66F20EC4"/>
    <w:rsid w:val="670E71C7"/>
    <w:rsid w:val="67580AC9"/>
    <w:rsid w:val="681770D1"/>
    <w:rsid w:val="68B1337C"/>
    <w:rsid w:val="69531E62"/>
    <w:rsid w:val="6A2C1F19"/>
    <w:rsid w:val="6A54112D"/>
    <w:rsid w:val="6A7C5719"/>
    <w:rsid w:val="6AA035AE"/>
    <w:rsid w:val="6CD607DE"/>
    <w:rsid w:val="6DB0266F"/>
    <w:rsid w:val="6E0A58BB"/>
    <w:rsid w:val="6E0F2E14"/>
    <w:rsid w:val="6F1E141D"/>
    <w:rsid w:val="6F3109DA"/>
    <w:rsid w:val="6F5354F8"/>
    <w:rsid w:val="6F8561D3"/>
    <w:rsid w:val="6FE03A94"/>
    <w:rsid w:val="6FFB3A44"/>
    <w:rsid w:val="70401AF2"/>
    <w:rsid w:val="70A616C8"/>
    <w:rsid w:val="70C90151"/>
    <w:rsid w:val="71C4397A"/>
    <w:rsid w:val="725974A3"/>
    <w:rsid w:val="72A76461"/>
    <w:rsid w:val="72B017B9"/>
    <w:rsid w:val="736312B3"/>
    <w:rsid w:val="740A2BDE"/>
    <w:rsid w:val="743C4F1E"/>
    <w:rsid w:val="74C45BA9"/>
    <w:rsid w:val="751839E0"/>
    <w:rsid w:val="75E02E70"/>
    <w:rsid w:val="76274F93"/>
    <w:rsid w:val="767201E1"/>
    <w:rsid w:val="76A76BF7"/>
    <w:rsid w:val="780276A7"/>
    <w:rsid w:val="780A11FC"/>
    <w:rsid w:val="79EB3F2F"/>
    <w:rsid w:val="7A026144"/>
    <w:rsid w:val="7AFA7350"/>
    <w:rsid w:val="7B11789E"/>
    <w:rsid w:val="7B316477"/>
    <w:rsid w:val="7B592205"/>
    <w:rsid w:val="7BAC0C40"/>
    <w:rsid w:val="7BCE642F"/>
    <w:rsid w:val="7DC94A0A"/>
    <w:rsid w:val="7DD93F05"/>
    <w:rsid w:val="7DE03C8A"/>
    <w:rsid w:val="7E3B6E60"/>
    <w:rsid w:val="7EBD5653"/>
    <w:rsid w:val="7ED72300"/>
    <w:rsid w:val="7F7C0C7E"/>
    <w:rsid w:val="7FD01C3D"/>
    <w:rsid w:val="7FEC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62"/>
    <w:qFormat/>
    <w:uiPriority w:val="0"/>
    <w:pPr>
      <w:ind w:left="538"/>
      <w:outlineLvl w:val="0"/>
    </w:pPr>
    <w:rPr>
      <w:b/>
      <w:bCs/>
      <w:sz w:val="28"/>
      <w:szCs w:val="28"/>
    </w:rPr>
  </w:style>
  <w:style w:type="paragraph" w:styleId="3">
    <w:name w:val="heading 2"/>
    <w:basedOn w:val="4"/>
    <w:next w:val="5"/>
    <w:link w:val="63"/>
    <w:qFormat/>
    <w:uiPriority w:val="0"/>
    <w:pPr>
      <w:ind w:left="629"/>
      <w:outlineLvl w:val="1"/>
    </w:pPr>
    <w:rPr>
      <w:sz w:val="24"/>
      <w:szCs w:val="24"/>
    </w:rPr>
  </w:style>
  <w:style w:type="paragraph" w:styleId="6">
    <w:name w:val="heading 3"/>
    <w:basedOn w:val="1"/>
    <w:next w:val="1"/>
    <w:link w:val="64"/>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5"/>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6"/>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7"/>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9"/>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3">
    <w:name w:val="heading 8"/>
    <w:basedOn w:val="1"/>
    <w:next w:val="11"/>
    <w:link w:val="70"/>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4">
    <w:name w:val="heading 9"/>
    <w:basedOn w:val="1"/>
    <w:next w:val="11"/>
    <w:link w:val="71"/>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customStyle="1" w:styleId="5">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styleId="11">
    <w:name w:val="Normal Indent"/>
    <w:basedOn w:val="1"/>
    <w:next w:val="12"/>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header"/>
    <w:basedOn w:val="1"/>
    <w:link w:val="7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7">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8">
    <w:name w:val="Document Map"/>
    <w:basedOn w:val="1"/>
    <w:link w:val="101"/>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9">
    <w:name w:val="annotation text"/>
    <w:basedOn w:val="1"/>
    <w:link w:val="88"/>
    <w:qFormat/>
    <w:uiPriority w:val="0"/>
    <w:pPr>
      <w:autoSpaceDE/>
      <w:autoSpaceDN/>
    </w:pPr>
    <w:rPr>
      <w:rFonts w:ascii="Times New Roman" w:hAnsi="Times New Roman" w:cs="Times New Roman"/>
      <w:kern w:val="2"/>
      <w:sz w:val="21"/>
      <w:szCs w:val="20"/>
      <w:lang w:eastAsia="zh-CN"/>
    </w:rPr>
  </w:style>
  <w:style w:type="paragraph" w:styleId="20">
    <w:name w:val="Body Text 3"/>
    <w:basedOn w:val="1"/>
    <w:link w:val="97"/>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1">
    <w:name w:val="Closing"/>
    <w:basedOn w:val="1"/>
    <w:link w:val="82"/>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2">
    <w:name w:val="Body Text"/>
    <w:basedOn w:val="1"/>
    <w:link w:val="72"/>
    <w:qFormat/>
    <w:uiPriority w:val="1"/>
    <w:rPr>
      <w:sz w:val="24"/>
      <w:szCs w:val="24"/>
    </w:rPr>
  </w:style>
  <w:style w:type="paragraph" w:styleId="23">
    <w:name w:val="Body Text Indent"/>
    <w:basedOn w:val="1"/>
    <w:next w:val="24"/>
    <w:link w:val="96"/>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4">
    <w:name w:val="样式 标题 3 + (中文) 黑体 小四 非加粗 段前: 7.8 磅 段后: 0 磅 行距: 固定值 20 磅"/>
    <w:basedOn w:val="25"/>
    <w:qFormat/>
    <w:uiPriority w:val="0"/>
    <w:pPr>
      <w:spacing w:line="400" w:lineRule="exact"/>
    </w:pPr>
    <w:rPr>
      <w:rFonts w:eastAsia="黑体" w:cs="宋体"/>
      <w:sz w:val="24"/>
      <w:szCs w:val="20"/>
    </w:rPr>
  </w:style>
  <w:style w:type="paragraph" w:customStyle="1" w:styleId="25">
    <w:name w:val="标题 3_0"/>
    <w:basedOn w:val="26"/>
    <w:next w:val="26"/>
    <w:unhideWhenUsed/>
    <w:qFormat/>
    <w:uiPriority w:val="9"/>
    <w:pPr>
      <w:spacing w:line="310" w:lineRule="exact"/>
      <w:ind w:left="3243"/>
      <w:outlineLvl w:val="2"/>
    </w:pPr>
    <w:rPr>
      <w:i/>
      <w:sz w:val="25"/>
      <w:szCs w:val="25"/>
    </w:rPr>
  </w:style>
  <w:style w:type="paragraph" w:customStyle="1" w:styleId="26">
    <w:name w:val="正文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首行缩进 2_0"/>
    <w:basedOn w:val="28"/>
    <w:next w:val="24"/>
    <w:unhideWhenUsed/>
    <w:qFormat/>
    <w:uiPriority w:val="99"/>
    <w:pPr>
      <w:ind w:firstLine="420" w:firstLineChars="200"/>
    </w:pPr>
  </w:style>
  <w:style w:type="paragraph" w:customStyle="1" w:styleId="28">
    <w:name w:val="正文文本缩进_0"/>
    <w:basedOn w:val="26"/>
    <w:next w:val="24"/>
    <w:unhideWhenUsed/>
    <w:qFormat/>
    <w:uiPriority w:val="99"/>
    <w:pPr>
      <w:spacing w:after="120"/>
      <w:ind w:left="420" w:leftChars="200"/>
    </w:pPr>
  </w:style>
  <w:style w:type="paragraph" w:styleId="29">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30">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32">
    <w:name w:val="Plain Text"/>
    <w:basedOn w:val="1"/>
    <w:link w:val="73"/>
    <w:qFormat/>
    <w:uiPriority w:val="0"/>
    <w:rPr>
      <w:rFonts w:hAnsi="Courier New" w:cs="Courier New"/>
      <w:szCs w:val="21"/>
    </w:rPr>
  </w:style>
  <w:style w:type="paragraph" w:styleId="33">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4">
    <w:name w:val="Date"/>
    <w:basedOn w:val="1"/>
    <w:next w:val="1"/>
    <w:link w:val="102"/>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5">
    <w:name w:val="Body Text Indent 2"/>
    <w:basedOn w:val="1"/>
    <w:link w:val="91"/>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6">
    <w:name w:val="Balloon Text"/>
    <w:basedOn w:val="1"/>
    <w:link w:val="89"/>
    <w:qFormat/>
    <w:uiPriority w:val="0"/>
    <w:pPr>
      <w:autoSpaceDE/>
      <w:autoSpaceDN/>
      <w:jc w:val="both"/>
    </w:pPr>
    <w:rPr>
      <w:rFonts w:ascii="Times New Roman" w:hAnsi="Times New Roman" w:cs="Times New Roman"/>
      <w:kern w:val="2"/>
      <w:sz w:val="18"/>
      <w:szCs w:val="18"/>
      <w:lang w:eastAsia="zh-CN"/>
    </w:rPr>
  </w:style>
  <w:style w:type="paragraph" w:styleId="37">
    <w:name w:val="footer"/>
    <w:basedOn w:val="1"/>
    <w:link w:val="74"/>
    <w:qFormat/>
    <w:uiPriority w:val="99"/>
    <w:pPr>
      <w:tabs>
        <w:tab w:val="center" w:pos="4153"/>
        <w:tab w:val="right" w:pos="8306"/>
      </w:tabs>
      <w:snapToGrid w:val="0"/>
    </w:pPr>
    <w:rPr>
      <w:sz w:val="18"/>
      <w:szCs w:val="18"/>
    </w:rPr>
  </w:style>
  <w:style w:type="paragraph" w:styleId="38">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9">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40">
    <w:name w:val="Body Text Indent 3"/>
    <w:basedOn w:val="1"/>
    <w:link w:val="90"/>
    <w:qFormat/>
    <w:uiPriority w:val="0"/>
    <w:pPr>
      <w:autoSpaceDE/>
      <w:autoSpaceDN/>
      <w:ind w:firstLine="560"/>
      <w:jc w:val="both"/>
    </w:pPr>
    <w:rPr>
      <w:rFonts w:ascii="Times New Roman" w:hAnsi="Times New Roman" w:cs="Times New Roman"/>
      <w:kern w:val="2"/>
      <w:sz w:val="28"/>
      <w:szCs w:val="20"/>
      <w:lang w:eastAsia="zh-CN"/>
    </w:rPr>
  </w:style>
  <w:style w:type="paragraph" w:styleId="41">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2">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3">
    <w:name w:val="Body Text 2"/>
    <w:basedOn w:val="1"/>
    <w:link w:val="103"/>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4">
    <w:name w:val="Message Header"/>
    <w:basedOn w:val="1"/>
    <w:link w:val="109"/>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5">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6">
    <w:name w:val="Normal (Web)"/>
    <w:basedOn w:val="1"/>
    <w:link w:val="83"/>
    <w:unhideWhenUsed/>
    <w:qFormat/>
    <w:uiPriority w:val="99"/>
    <w:pPr>
      <w:widowControl/>
      <w:autoSpaceDE/>
      <w:autoSpaceDN/>
      <w:spacing w:before="100" w:beforeAutospacing="1" w:after="100" w:afterAutospacing="1"/>
    </w:pPr>
    <w:rPr>
      <w:sz w:val="24"/>
      <w:szCs w:val="24"/>
      <w:lang w:eastAsia="zh-CN"/>
    </w:rPr>
  </w:style>
  <w:style w:type="paragraph" w:styleId="47">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8">
    <w:name w:val="Title"/>
    <w:basedOn w:val="1"/>
    <w:link w:val="95"/>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9">
    <w:name w:val="annotation subject"/>
    <w:basedOn w:val="19"/>
    <w:next w:val="19"/>
    <w:link w:val="105"/>
    <w:qFormat/>
    <w:uiPriority w:val="0"/>
    <w:pPr>
      <w:widowControl/>
    </w:pPr>
    <w:rPr>
      <w:b/>
      <w:bCs/>
      <w:sz w:val="24"/>
      <w:szCs w:val="24"/>
    </w:rPr>
  </w:style>
  <w:style w:type="paragraph" w:styleId="50">
    <w:name w:val="Body Text First Indent"/>
    <w:basedOn w:val="22"/>
    <w:link w:val="104"/>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51">
    <w:name w:val="Body Text First Indent 2"/>
    <w:basedOn w:val="23"/>
    <w:qFormat/>
    <w:uiPriority w:val="0"/>
    <w:pPr>
      <w:tabs>
        <w:tab w:val="left" w:pos="0"/>
        <w:tab w:val="left" w:pos="993"/>
        <w:tab w:val="left" w:pos="1134"/>
      </w:tabs>
      <w:ind w:firstLine="420" w:firstLineChars="200"/>
    </w:p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qFormat/>
    <w:uiPriority w:val="0"/>
    <w:rPr>
      <w:color w:val="800080"/>
      <w:u w:val="single"/>
    </w:rPr>
  </w:style>
  <w:style w:type="character" w:styleId="58">
    <w:name w:val="Emphasis"/>
    <w:basedOn w:val="54"/>
    <w:qFormat/>
    <w:uiPriority w:val="0"/>
  </w:style>
  <w:style w:type="character" w:styleId="59">
    <w:name w:val="Hyperlink"/>
    <w:basedOn w:val="54"/>
    <w:qFormat/>
    <w:uiPriority w:val="0"/>
    <w:rPr>
      <w:color w:val="0000FF" w:themeColor="hyperlink"/>
      <w:u w:val="single"/>
      <w14:textFill>
        <w14:solidFill>
          <w14:schemeClr w14:val="hlink"/>
        </w14:solidFill>
      </w14:textFill>
    </w:rPr>
  </w:style>
  <w:style w:type="character" w:styleId="60">
    <w:name w:val="annotation reference"/>
    <w:basedOn w:val="54"/>
    <w:qFormat/>
    <w:uiPriority w:val="0"/>
    <w:rPr>
      <w:sz w:val="21"/>
      <w:szCs w:val="21"/>
    </w:rPr>
  </w:style>
  <w:style w:type="paragraph" w:customStyle="1" w:styleId="6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2">
    <w:name w:val="标题 1 Char"/>
    <w:basedOn w:val="54"/>
    <w:link w:val="2"/>
    <w:qFormat/>
    <w:uiPriority w:val="0"/>
    <w:rPr>
      <w:rFonts w:ascii="宋体" w:hAnsi="宋体" w:cs="宋体"/>
      <w:b/>
      <w:bCs/>
      <w:sz w:val="28"/>
      <w:szCs w:val="28"/>
      <w:lang w:eastAsia="en-US"/>
    </w:rPr>
  </w:style>
  <w:style w:type="character" w:customStyle="1" w:styleId="63">
    <w:name w:val="标题 2 Char"/>
    <w:basedOn w:val="54"/>
    <w:link w:val="3"/>
    <w:qFormat/>
    <w:uiPriority w:val="0"/>
    <w:rPr>
      <w:rFonts w:ascii="宋体" w:hAnsi="宋体" w:cs="宋体"/>
      <w:b/>
      <w:bCs/>
      <w:sz w:val="24"/>
      <w:szCs w:val="24"/>
      <w:lang w:eastAsia="en-US"/>
    </w:rPr>
  </w:style>
  <w:style w:type="character" w:customStyle="1" w:styleId="64">
    <w:name w:val="标题 3 Char"/>
    <w:basedOn w:val="54"/>
    <w:link w:val="6"/>
    <w:qFormat/>
    <w:uiPriority w:val="0"/>
    <w:rPr>
      <w:b/>
      <w:bCs/>
      <w:kern w:val="2"/>
      <w:sz w:val="32"/>
      <w:szCs w:val="32"/>
    </w:rPr>
  </w:style>
  <w:style w:type="character" w:customStyle="1" w:styleId="65">
    <w:name w:val="标题 4 Char"/>
    <w:basedOn w:val="54"/>
    <w:link w:val="7"/>
    <w:qFormat/>
    <w:uiPriority w:val="0"/>
    <w:rPr>
      <w:b/>
      <w:kern w:val="2"/>
      <w:sz w:val="24"/>
      <w:szCs w:val="24"/>
    </w:rPr>
  </w:style>
  <w:style w:type="character" w:customStyle="1" w:styleId="66">
    <w:name w:val="标题 5 Char"/>
    <w:basedOn w:val="54"/>
    <w:link w:val="8"/>
    <w:qFormat/>
    <w:uiPriority w:val="0"/>
    <w:rPr>
      <w:b/>
      <w:bCs/>
      <w:kern w:val="2"/>
      <w:sz w:val="28"/>
      <w:szCs w:val="28"/>
    </w:rPr>
  </w:style>
  <w:style w:type="character" w:customStyle="1" w:styleId="67">
    <w:name w:val="标题 6 Char"/>
    <w:basedOn w:val="54"/>
    <w:link w:val="9"/>
    <w:qFormat/>
    <w:uiPriority w:val="0"/>
    <w:rPr>
      <w:b/>
      <w:sz w:val="24"/>
    </w:rPr>
  </w:style>
  <w:style w:type="character" w:customStyle="1" w:styleId="68">
    <w:name w:val="正文缩进 Char"/>
    <w:basedOn w:val="54"/>
    <w:link w:val="11"/>
    <w:qFormat/>
    <w:uiPriority w:val="0"/>
    <w:rPr>
      <w:sz w:val="24"/>
    </w:rPr>
  </w:style>
  <w:style w:type="character" w:customStyle="1" w:styleId="69">
    <w:name w:val="标题 7 Char"/>
    <w:basedOn w:val="54"/>
    <w:link w:val="10"/>
    <w:qFormat/>
    <w:uiPriority w:val="0"/>
    <w:rPr>
      <w:b/>
      <w:kern w:val="2"/>
      <w:sz w:val="24"/>
    </w:rPr>
  </w:style>
  <w:style w:type="character" w:customStyle="1" w:styleId="70">
    <w:name w:val="标题 8 Char"/>
    <w:basedOn w:val="54"/>
    <w:link w:val="13"/>
    <w:qFormat/>
    <w:uiPriority w:val="0"/>
    <w:rPr>
      <w:rFonts w:ascii="Arial" w:hAnsi="Arial" w:eastAsia="黑体"/>
      <w:kern w:val="2"/>
      <w:sz w:val="24"/>
    </w:rPr>
  </w:style>
  <w:style w:type="character" w:customStyle="1" w:styleId="71">
    <w:name w:val="标题 9 Char"/>
    <w:basedOn w:val="54"/>
    <w:link w:val="14"/>
    <w:qFormat/>
    <w:uiPriority w:val="0"/>
    <w:rPr>
      <w:rFonts w:ascii="Arial" w:hAnsi="Arial" w:eastAsia="黑体"/>
      <w:kern w:val="2"/>
      <w:sz w:val="21"/>
    </w:rPr>
  </w:style>
  <w:style w:type="character" w:customStyle="1" w:styleId="72">
    <w:name w:val="正文文本 Char1"/>
    <w:basedOn w:val="54"/>
    <w:link w:val="22"/>
    <w:qFormat/>
    <w:uiPriority w:val="0"/>
    <w:rPr>
      <w:rFonts w:ascii="宋体" w:hAnsi="宋体" w:cs="宋体"/>
      <w:sz w:val="24"/>
      <w:szCs w:val="24"/>
      <w:lang w:eastAsia="en-US"/>
    </w:rPr>
  </w:style>
  <w:style w:type="character" w:customStyle="1" w:styleId="73">
    <w:name w:val="纯文本 Char"/>
    <w:basedOn w:val="54"/>
    <w:link w:val="32"/>
    <w:qFormat/>
    <w:uiPriority w:val="99"/>
    <w:rPr>
      <w:rFonts w:ascii="宋体" w:hAnsi="Courier New" w:cs="Courier New"/>
      <w:sz w:val="22"/>
      <w:szCs w:val="21"/>
      <w:lang w:eastAsia="en-US"/>
    </w:rPr>
  </w:style>
  <w:style w:type="character" w:customStyle="1" w:styleId="74">
    <w:name w:val="页脚 Char"/>
    <w:basedOn w:val="54"/>
    <w:link w:val="37"/>
    <w:qFormat/>
    <w:uiPriority w:val="99"/>
    <w:rPr>
      <w:rFonts w:ascii="宋体" w:hAnsi="宋体" w:cs="宋体"/>
      <w:sz w:val="18"/>
      <w:szCs w:val="18"/>
      <w:lang w:eastAsia="en-US"/>
    </w:rPr>
  </w:style>
  <w:style w:type="character" w:customStyle="1" w:styleId="75">
    <w:name w:val="页眉 Char"/>
    <w:basedOn w:val="54"/>
    <w:link w:val="12"/>
    <w:qFormat/>
    <w:uiPriority w:val="0"/>
    <w:rPr>
      <w:rFonts w:ascii="宋体" w:hAnsi="宋体" w:cs="宋体"/>
      <w:sz w:val="18"/>
      <w:szCs w:val="22"/>
      <w:lang w:eastAsia="en-US"/>
    </w:rPr>
  </w:style>
  <w:style w:type="table" w:customStyle="1" w:styleId="76">
    <w:name w:val="Table Normal"/>
    <w:unhideWhenUsed/>
    <w:qFormat/>
    <w:uiPriority w:val="2"/>
    <w:tblPr>
      <w:tblCellMar>
        <w:top w:w="0" w:type="dxa"/>
        <w:left w:w="0" w:type="dxa"/>
        <w:bottom w:w="0" w:type="dxa"/>
        <w:right w:w="0" w:type="dxa"/>
      </w:tblCellMar>
    </w:tblPr>
  </w:style>
  <w:style w:type="paragraph" w:customStyle="1" w:styleId="77">
    <w:name w:val="列出段落1"/>
    <w:basedOn w:val="1"/>
    <w:link w:val="210"/>
    <w:qFormat/>
    <w:uiPriority w:val="34"/>
    <w:pPr>
      <w:spacing w:before="206"/>
      <w:ind w:left="959" w:hanging="361"/>
    </w:pPr>
  </w:style>
  <w:style w:type="paragraph" w:customStyle="1" w:styleId="78">
    <w:name w:val="Table Paragraph"/>
    <w:basedOn w:val="1"/>
    <w:qFormat/>
    <w:uiPriority w:val="1"/>
  </w:style>
  <w:style w:type="paragraph" w:customStyle="1" w:styleId="7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2">
    <w:name w:val="结束语 Char"/>
    <w:basedOn w:val="54"/>
    <w:link w:val="21"/>
    <w:qFormat/>
    <w:uiPriority w:val="0"/>
    <w:rPr>
      <w:b/>
      <w:kern w:val="2"/>
      <w:sz w:val="21"/>
    </w:rPr>
  </w:style>
  <w:style w:type="character" w:customStyle="1" w:styleId="83">
    <w:name w:val="普通(网站) Char"/>
    <w:basedOn w:val="54"/>
    <w:link w:val="46"/>
    <w:qFormat/>
    <w:locked/>
    <w:uiPriority w:val="0"/>
    <w:rPr>
      <w:rFonts w:ascii="宋体" w:hAnsi="宋体" w:cs="宋体"/>
      <w:sz w:val="24"/>
      <w:szCs w:val="24"/>
    </w:rPr>
  </w:style>
  <w:style w:type="character" w:customStyle="1" w:styleId="84">
    <w:name w:val="xdrichtextbox2"/>
    <w:basedOn w:val="54"/>
    <w:qFormat/>
    <w:uiPriority w:val="0"/>
    <w:rPr>
      <w:color w:val="0000FF"/>
      <w:sz w:val="18"/>
      <w:szCs w:val="18"/>
      <w:u w:val="none"/>
      <w:bdr w:val="single" w:color="DCDCDC" w:sz="8" w:space="0"/>
      <w:shd w:val="clear" w:color="auto" w:fill="FFFFFF"/>
    </w:rPr>
  </w:style>
  <w:style w:type="character" w:customStyle="1" w:styleId="85">
    <w:name w:val="apple-converted-space"/>
    <w:basedOn w:val="54"/>
    <w:qFormat/>
    <w:uiPriority w:val="0"/>
  </w:style>
  <w:style w:type="character" w:customStyle="1" w:styleId="86">
    <w:name w:val="无间隔 Char"/>
    <w:basedOn w:val="54"/>
    <w:link w:val="87"/>
    <w:qFormat/>
    <w:uiPriority w:val="0"/>
    <w:rPr>
      <w:rFonts w:ascii="Calibri" w:hAnsi="Calibri"/>
      <w:sz w:val="22"/>
      <w:szCs w:val="22"/>
    </w:rPr>
  </w:style>
  <w:style w:type="paragraph" w:customStyle="1" w:styleId="87">
    <w:name w:val="无间隔1"/>
    <w:link w:val="86"/>
    <w:qFormat/>
    <w:uiPriority w:val="0"/>
    <w:rPr>
      <w:rFonts w:ascii="Calibri" w:hAnsi="Calibri" w:eastAsia="宋体" w:cs="Times New Roman"/>
      <w:sz w:val="22"/>
      <w:szCs w:val="22"/>
      <w:lang w:val="en-US" w:eastAsia="zh-CN" w:bidi="ar-SA"/>
    </w:rPr>
  </w:style>
  <w:style w:type="character" w:customStyle="1" w:styleId="88">
    <w:name w:val="批注文字 Char"/>
    <w:basedOn w:val="54"/>
    <w:link w:val="19"/>
    <w:qFormat/>
    <w:uiPriority w:val="0"/>
    <w:rPr>
      <w:kern w:val="2"/>
      <w:sz w:val="21"/>
    </w:rPr>
  </w:style>
  <w:style w:type="character" w:customStyle="1" w:styleId="89">
    <w:name w:val="批注框文本 Char"/>
    <w:basedOn w:val="54"/>
    <w:link w:val="36"/>
    <w:qFormat/>
    <w:uiPriority w:val="0"/>
    <w:rPr>
      <w:kern w:val="2"/>
      <w:sz w:val="18"/>
      <w:szCs w:val="18"/>
    </w:rPr>
  </w:style>
  <w:style w:type="character" w:customStyle="1" w:styleId="90">
    <w:name w:val="正文文本缩进 3 Char"/>
    <w:basedOn w:val="54"/>
    <w:link w:val="40"/>
    <w:qFormat/>
    <w:uiPriority w:val="0"/>
    <w:rPr>
      <w:kern w:val="2"/>
      <w:sz w:val="28"/>
    </w:rPr>
  </w:style>
  <w:style w:type="character" w:customStyle="1" w:styleId="91">
    <w:name w:val="正文文本缩进 2 Char"/>
    <w:basedOn w:val="54"/>
    <w:link w:val="35"/>
    <w:qFormat/>
    <w:uiPriority w:val="0"/>
    <w:rPr>
      <w:rFonts w:ascii="宋体" w:hAnsi="宋体"/>
      <w:iCs/>
      <w:kern w:val="2"/>
      <w:sz w:val="24"/>
      <w:szCs w:val="24"/>
    </w:rPr>
  </w:style>
  <w:style w:type="character" w:customStyle="1" w:styleId="92">
    <w:name w:val="正文文本 Char"/>
    <w:basedOn w:val="54"/>
    <w:qFormat/>
    <w:uiPriority w:val="0"/>
    <w:rPr>
      <w:rFonts w:eastAsia="宋体"/>
      <w:sz w:val="24"/>
      <w:szCs w:val="24"/>
      <w:lang w:val="en-US" w:eastAsia="zh-CN" w:bidi="ar-SA"/>
    </w:rPr>
  </w:style>
  <w:style w:type="character" w:customStyle="1" w:styleId="93">
    <w:name w:val="en1"/>
    <w:basedOn w:val="54"/>
    <w:qFormat/>
    <w:uiPriority w:val="0"/>
    <w:rPr>
      <w:b/>
      <w:bCs/>
      <w:color w:val="154C7F"/>
      <w:sz w:val="24"/>
      <w:szCs w:val="24"/>
    </w:rPr>
  </w:style>
  <w:style w:type="character" w:customStyle="1" w:styleId="94">
    <w:name w:val="font01"/>
    <w:basedOn w:val="54"/>
    <w:qFormat/>
    <w:uiPriority w:val="0"/>
    <w:rPr>
      <w:rFonts w:hint="eastAsia" w:ascii="宋体" w:hAnsi="宋体" w:eastAsia="宋体" w:cs="宋体"/>
      <w:color w:val="000000"/>
      <w:sz w:val="20"/>
      <w:szCs w:val="20"/>
      <w:u w:val="none"/>
    </w:rPr>
  </w:style>
  <w:style w:type="character" w:customStyle="1" w:styleId="95">
    <w:name w:val="标题 Char"/>
    <w:basedOn w:val="54"/>
    <w:link w:val="48"/>
    <w:qFormat/>
    <w:uiPriority w:val="0"/>
    <w:rPr>
      <w:rFonts w:ascii="Arial" w:hAnsi="Arial" w:cs="Arial"/>
      <w:b/>
      <w:bCs/>
      <w:sz w:val="44"/>
      <w:szCs w:val="32"/>
    </w:rPr>
  </w:style>
  <w:style w:type="character" w:customStyle="1" w:styleId="96">
    <w:name w:val="正文文本缩进 Char"/>
    <w:basedOn w:val="54"/>
    <w:link w:val="23"/>
    <w:qFormat/>
    <w:uiPriority w:val="0"/>
    <w:rPr>
      <w:i/>
      <w:iCs/>
      <w:kern w:val="2"/>
      <w:sz w:val="21"/>
    </w:rPr>
  </w:style>
  <w:style w:type="character" w:customStyle="1" w:styleId="97">
    <w:name w:val="正文文本 3 Char"/>
    <w:basedOn w:val="54"/>
    <w:link w:val="20"/>
    <w:qFormat/>
    <w:uiPriority w:val="0"/>
    <w:rPr>
      <w:color w:val="0000FF"/>
      <w:kern w:val="2"/>
      <w:sz w:val="24"/>
      <w:szCs w:val="24"/>
    </w:rPr>
  </w:style>
  <w:style w:type="character" w:customStyle="1" w:styleId="98">
    <w:name w:val="font11"/>
    <w:basedOn w:val="54"/>
    <w:qFormat/>
    <w:uiPriority w:val="0"/>
    <w:rPr>
      <w:rFonts w:hint="default" w:ascii="Times New Roman" w:hAnsi="Times New Roman" w:cs="Times New Roman"/>
      <w:color w:val="000000"/>
      <w:sz w:val="20"/>
      <w:szCs w:val="20"/>
      <w:u w:val="none"/>
    </w:rPr>
  </w:style>
  <w:style w:type="character" w:customStyle="1" w:styleId="99">
    <w:name w:val="glossaryitem"/>
    <w:basedOn w:val="54"/>
    <w:qFormat/>
    <w:uiPriority w:val="0"/>
    <w:rPr>
      <w:u w:val="none"/>
    </w:rPr>
  </w:style>
  <w:style w:type="character" w:customStyle="1" w:styleId="100">
    <w:name w:val="HTML 预设格式 Char"/>
    <w:basedOn w:val="54"/>
    <w:link w:val="45"/>
    <w:qFormat/>
    <w:uiPriority w:val="0"/>
    <w:rPr>
      <w:rFonts w:ascii="Arial Unicode MS" w:hAnsi="Arial Unicode MS" w:eastAsia="Courier New" w:cs="Courier New"/>
    </w:rPr>
  </w:style>
  <w:style w:type="character" w:customStyle="1" w:styleId="101">
    <w:name w:val="文档结构图 Char"/>
    <w:basedOn w:val="54"/>
    <w:link w:val="18"/>
    <w:qFormat/>
    <w:uiPriority w:val="0"/>
    <w:rPr>
      <w:rFonts w:ascii="宋体"/>
      <w:sz w:val="28"/>
      <w:shd w:val="clear" w:color="auto" w:fill="000080"/>
    </w:rPr>
  </w:style>
  <w:style w:type="character" w:customStyle="1" w:styleId="102">
    <w:name w:val="日期 Char"/>
    <w:basedOn w:val="54"/>
    <w:link w:val="34"/>
    <w:qFormat/>
    <w:uiPriority w:val="0"/>
    <w:rPr>
      <w:kern w:val="2"/>
      <w:sz w:val="21"/>
      <w:szCs w:val="24"/>
    </w:rPr>
  </w:style>
  <w:style w:type="character" w:customStyle="1" w:styleId="103">
    <w:name w:val="正文文本 2 Char"/>
    <w:basedOn w:val="54"/>
    <w:link w:val="43"/>
    <w:qFormat/>
    <w:uiPriority w:val="0"/>
    <w:rPr>
      <w:kern w:val="2"/>
      <w:sz w:val="21"/>
      <w:szCs w:val="24"/>
    </w:rPr>
  </w:style>
  <w:style w:type="character" w:customStyle="1" w:styleId="104">
    <w:name w:val="正文首行缩进 Char"/>
    <w:basedOn w:val="92"/>
    <w:link w:val="50"/>
    <w:qFormat/>
    <w:uiPriority w:val="0"/>
    <w:rPr>
      <w:rFonts w:eastAsia="宋体"/>
      <w:sz w:val="21"/>
      <w:szCs w:val="21"/>
      <w:lang w:val="en-US" w:eastAsia="zh-CN" w:bidi="ar-SA"/>
    </w:rPr>
  </w:style>
  <w:style w:type="character" w:customStyle="1" w:styleId="105">
    <w:name w:val="批注主题 Char"/>
    <w:basedOn w:val="88"/>
    <w:link w:val="49"/>
    <w:qFormat/>
    <w:uiPriority w:val="0"/>
    <w:rPr>
      <w:b/>
      <w:bCs/>
      <w:kern w:val="2"/>
      <w:sz w:val="24"/>
      <w:szCs w:val="24"/>
    </w:rPr>
  </w:style>
  <w:style w:type="paragraph" w:customStyle="1" w:styleId="106">
    <w:name w:val="标题3(小3号)"/>
    <w:basedOn w:val="6"/>
    <w:next w:val="107"/>
    <w:qFormat/>
    <w:uiPriority w:val="0"/>
    <w:pPr>
      <w:widowControl/>
      <w:spacing w:before="0" w:after="0" w:line="420" w:lineRule="exact"/>
    </w:pPr>
    <w:rPr>
      <w:b w:val="0"/>
      <w:bCs w:val="0"/>
      <w:color w:val="000000"/>
      <w:kern w:val="0"/>
      <w:sz w:val="30"/>
      <w:szCs w:val="21"/>
    </w:rPr>
  </w:style>
  <w:style w:type="paragraph" w:customStyle="1" w:styleId="107">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8">
    <w:name w:val="正文首行缩进 Char1"/>
    <w:basedOn w:val="72"/>
    <w:qFormat/>
    <w:uiPriority w:val="0"/>
    <w:rPr>
      <w:rFonts w:ascii="宋体" w:hAnsi="宋体" w:cs="宋体"/>
      <w:sz w:val="24"/>
      <w:szCs w:val="24"/>
      <w:lang w:eastAsia="en-US"/>
    </w:rPr>
  </w:style>
  <w:style w:type="character" w:customStyle="1" w:styleId="109">
    <w:name w:val="信息标题 Char"/>
    <w:basedOn w:val="54"/>
    <w:link w:val="44"/>
    <w:qFormat/>
    <w:uiPriority w:val="0"/>
    <w:rPr>
      <w:rFonts w:ascii="Arial" w:hAnsi="Arial" w:cs="Arial"/>
      <w:kern w:val="2"/>
      <w:sz w:val="24"/>
      <w:szCs w:val="24"/>
      <w:shd w:val="pct20" w:color="auto" w:fill="auto"/>
    </w:rPr>
  </w:style>
  <w:style w:type="character" w:customStyle="1" w:styleId="110">
    <w:name w:val="正文文本 3 Char1"/>
    <w:basedOn w:val="54"/>
    <w:qFormat/>
    <w:uiPriority w:val="0"/>
    <w:rPr>
      <w:rFonts w:ascii="宋体" w:hAnsi="宋体" w:cs="宋体"/>
      <w:sz w:val="16"/>
      <w:szCs w:val="16"/>
      <w:lang w:eastAsia="en-US"/>
    </w:rPr>
  </w:style>
  <w:style w:type="paragraph" w:customStyle="1" w:styleId="111">
    <w:name w:val="封面页眉"/>
    <w:basedOn w:val="1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2">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3">
    <w:name w:val="正文文本缩进 2 Char1"/>
    <w:basedOn w:val="54"/>
    <w:qFormat/>
    <w:uiPriority w:val="0"/>
    <w:rPr>
      <w:rFonts w:ascii="宋体" w:hAnsi="宋体" w:cs="宋体"/>
      <w:sz w:val="22"/>
      <w:szCs w:val="22"/>
      <w:lang w:eastAsia="en-US"/>
    </w:rPr>
  </w:style>
  <w:style w:type="character" w:customStyle="1" w:styleId="114">
    <w:name w:val="批注文字 Char1"/>
    <w:basedOn w:val="54"/>
    <w:qFormat/>
    <w:uiPriority w:val="0"/>
    <w:rPr>
      <w:rFonts w:ascii="宋体" w:hAnsi="宋体" w:cs="宋体"/>
      <w:sz w:val="22"/>
      <w:szCs w:val="22"/>
      <w:lang w:eastAsia="en-US"/>
    </w:rPr>
  </w:style>
  <w:style w:type="paragraph" w:customStyle="1" w:styleId="115">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6">
    <w:name w:val="标题3"/>
    <w:basedOn w:val="6"/>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7">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8">
    <w:name w:val="文档结构图 Char1"/>
    <w:basedOn w:val="54"/>
    <w:qFormat/>
    <w:uiPriority w:val="0"/>
    <w:rPr>
      <w:rFonts w:ascii="宋体" w:hAnsi="宋体" w:cs="宋体"/>
      <w:sz w:val="18"/>
      <w:szCs w:val="18"/>
      <w:lang w:eastAsia="en-US"/>
    </w:rPr>
  </w:style>
  <w:style w:type="character" w:customStyle="1" w:styleId="119">
    <w:name w:val="日期 Char1"/>
    <w:basedOn w:val="54"/>
    <w:qFormat/>
    <w:uiPriority w:val="0"/>
    <w:rPr>
      <w:rFonts w:ascii="宋体" w:hAnsi="宋体" w:cs="宋体"/>
      <w:sz w:val="22"/>
      <w:szCs w:val="22"/>
      <w:lang w:eastAsia="en-US"/>
    </w:rPr>
  </w:style>
  <w:style w:type="paragraph" w:customStyle="1" w:styleId="120">
    <w:name w:val="标题3(3号)"/>
    <w:basedOn w:val="6"/>
    <w:next w:val="121"/>
    <w:qFormat/>
    <w:uiPriority w:val="0"/>
    <w:pPr>
      <w:widowControl/>
      <w:spacing w:before="0" w:after="0" w:line="420" w:lineRule="exact"/>
    </w:pPr>
    <w:rPr>
      <w:b w:val="0"/>
      <w:bCs w:val="0"/>
      <w:color w:val="000000"/>
      <w:kern w:val="0"/>
      <w:szCs w:val="21"/>
    </w:rPr>
  </w:style>
  <w:style w:type="paragraph" w:customStyle="1" w:styleId="121">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2">
    <w:name w:val="封面页脚"/>
    <w:basedOn w:val="37"/>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3">
    <w:name w:val="HTML 预设格式 Char1"/>
    <w:basedOn w:val="54"/>
    <w:qFormat/>
    <w:uiPriority w:val="0"/>
    <w:rPr>
      <w:rFonts w:ascii="Courier New" w:hAnsi="Courier New" w:cs="Courier New"/>
      <w:lang w:eastAsia="en-US"/>
    </w:rPr>
  </w:style>
  <w:style w:type="character" w:customStyle="1" w:styleId="124">
    <w:name w:val="正文文本缩进 Char1"/>
    <w:basedOn w:val="54"/>
    <w:qFormat/>
    <w:uiPriority w:val="0"/>
    <w:rPr>
      <w:rFonts w:ascii="宋体" w:hAnsi="宋体" w:cs="宋体"/>
      <w:sz w:val="22"/>
      <w:szCs w:val="22"/>
      <w:lang w:eastAsia="en-US"/>
    </w:rPr>
  </w:style>
  <w:style w:type="paragraph" w:customStyle="1" w:styleId="125">
    <w:name w:val="标题2(小3号)"/>
    <w:basedOn w:val="3"/>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6">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7">
    <w:name w:val="标题1(2号)"/>
    <w:basedOn w:val="2"/>
    <w:next w:val="121"/>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8">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9">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0">
    <w:name w:val="正文5号字"/>
    <w:qFormat/>
    <w:uiPriority w:val="0"/>
    <w:pPr>
      <w:jc w:val="both"/>
    </w:pPr>
    <w:rPr>
      <w:rFonts w:ascii="Times New Roman" w:hAnsi="Times New Roman" w:eastAsia="宋体" w:cs="Times New Roman"/>
      <w:sz w:val="21"/>
      <w:lang w:val="en-US" w:eastAsia="zh-CN" w:bidi="ar-SA"/>
    </w:rPr>
  </w:style>
  <w:style w:type="character" w:customStyle="1" w:styleId="131">
    <w:name w:val="正文文本 2 Char1"/>
    <w:basedOn w:val="54"/>
    <w:qFormat/>
    <w:uiPriority w:val="0"/>
    <w:rPr>
      <w:rFonts w:ascii="宋体" w:hAnsi="宋体" w:cs="宋体"/>
      <w:sz w:val="22"/>
      <w:szCs w:val="22"/>
      <w:lang w:eastAsia="en-US"/>
    </w:rPr>
  </w:style>
  <w:style w:type="character" w:customStyle="1" w:styleId="132">
    <w:name w:val="标题 Char1"/>
    <w:basedOn w:val="54"/>
    <w:qFormat/>
    <w:uiPriority w:val="0"/>
    <w:rPr>
      <w:rFonts w:asciiTheme="majorHAnsi" w:hAnsiTheme="majorHAnsi" w:cstheme="majorBidi"/>
      <w:b/>
      <w:bCs/>
      <w:sz w:val="32"/>
      <w:szCs w:val="32"/>
      <w:lang w:eastAsia="en-US"/>
    </w:rPr>
  </w:style>
  <w:style w:type="character" w:customStyle="1" w:styleId="133">
    <w:name w:val="正文文本缩进 3 Char1"/>
    <w:basedOn w:val="54"/>
    <w:qFormat/>
    <w:uiPriority w:val="0"/>
    <w:rPr>
      <w:rFonts w:ascii="宋体" w:hAnsi="宋体" w:cs="宋体"/>
      <w:sz w:val="16"/>
      <w:szCs w:val="16"/>
      <w:lang w:eastAsia="en-US"/>
    </w:rPr>
  </w:style>
  <w:style w:type="paragraph" w:customStyle="1" w:styleId="134">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6">
    <w:name w:val="批注框文本 Char1"/>
    <w:basedOn w:val="54"/>
    <w:qFormat/>
    <w:uiPriority w:val="0"/>
    <w:rPr>
      <w:rFonts w:ascii="宋体" w:hAnsi="宋体" w:cs="宋体"/>
      <w:sz w:val="18"/>
      <w:szCs w:val="18"/>
      <w:lang w:eastAsia="en-US"/>
    </w:rPr>
  </w:style>
  <w:style w:type="character" w:customStyle="1" w:styleId="137">
    <w:name w:val="批注主题 Char1"/>
    <w:basedOn w:val="114"/>
    <w:qFormat/>
    <w:uiPriority w:val="0"/>
    <w:rPr>
      <w:rFonts w:ascii="宋体" w:hAnsi="宋体" w:cs="宋体"/>
      <w:b/>
      <w:bCs/>
      <w:sz w:val="22"/>
      <w:szCs w:val="22"/>
      <w:lang w:eastAsia="en-US"/>
    </w:rPr>
  </w:style>
  <w:style w:type="paragraph" w:customStyle="1" w:styleId="138">
    <w:name w:val="封底页脚"/>
    <w:basedOn w:val="37"/>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9">
    <w:name w:val="标题3(4号)"/>
    <w:basedOn w:val="6"/>
    <w:next w:val="126"/>
    <w:qFormat/>
    <w:uiPriority w:val="0"/>
    <w:pPr>
      <w:widowControl/>
      <w:spacing w:before="0" w:after="0" w:line="420" w:lineRule="exact"/>
    </w:pPr>
    <w:rPr>
      <w:b w:val="0"/>
      <w:bCs w:val="0"/>
      <w:color w:val="000000"/>
      <w:kern w:val="0"/>
      <w:sz w:val="28"/>
      <w:szCs w:val="21"/>
    </w:rPr>
  </w:style>
  <w:style w:type="paragraph" w:customStyle="1" w:styleId="140">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41">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3">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4">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消息标题标签"/>
    <w:basedOn w:val="44"/>
    <w:next w:val="44"/>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6">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7">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9">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50">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2">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3">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封底页眉"/>
    <w:basedOn w:val="1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5">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6">
    <w:name w:val="标题3(小4号)"/>
    <w:basedOn w:val="6"/>
    <w:next w:val="157"/>
    <w:qFormat/>
    <w:uiPriority w:val="0"/>
    <w:pPr>
      <w:widowControl/>
      <w:spacing w:before="0" w:after="0" w:line="420" w:lineRule="exact"/>
    </w:pPr>
    <w:rPr>
      <w:b w:val="0"/>
      <w:bCs w:val="0"/>
      <w:color w:val="000000"/>
      <w:kern w:val="0"/>
      <w:sz w:val="24"/>
      <w:szCs w:val="21"/>
    </w:rPr>
  </w:style>
  <w:style w:type="paragraph" w:customStyle="1" w:styleId="157">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8">
    <w:name w:val="标题3(5号)"/>
    <w:basedOn w:val="6"/>
    <w:next w:val="130"/>
    <w:qFormat/>
    <w:uiPriority w:val="0"/>
    <w:pPr>
      <w:widowControl/>
      <w:spacing w:before="0" w:after="0" w:line="420" w:lineRule="exact"/>
    </w:pPr>
    <w:rPr>
      <w:b w:val="0"/>
      <w:bCs w:val="0"/>
      <w:color w:val="000000"/>
      <w:kern w:val="0"/>
      <w:sz w:val="21"/>
      <w:szCs w:val="21"/>
    </w:rPr>
  </w:style>
  <w:style w:type="paragraph" w:customStyle="1" w:styleId="159">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0">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61">
    <w:name w:val="标题2(小2号)"/>
    <w:basedOn w:val="3"/>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2">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3">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4">
    <w:name w:val="页眉（隶书）"/>
    <w:basedOn w:val="1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5">
    <w:name w:val="标题1(4号)"/>
    <w:basedOn w:val="2"/>
    <w:next w:val="130"/>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6">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7">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标题2(4号)"/>
    <w:basedOn w:val="3"/>
    <w:next w:val="157"/>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9">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71">
    <w:name w:val="p0"/>
    <w:basedOn w:val="1"/>
    <w:qFormat/>
    <w:uiPriority w:val="0"/>
    <w:pPr>
      <w:widowControl/>
      <w:autoSpaceDE/>
      <w:autoSpaceDN/>
    </w:pPr>
    <w:rPr>
      <w:sz w:val="24"/>
      <w:szCs w:val="24"/>
      <w:lang w:eastAsia="zh-CN"/>
    </w:rPr>
  </w:style>
  <w:style w:type="paragraph" w:customStyle="1" w:styleId="172">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3">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4">
    <w:name w:val="标题1(3号)"/>
    <w:basedOn w:val="2"/>
    <w:next w:val="126"/>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5">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7">
    <w:name w:val="标题1(小3号)"/>
    <w:basedOn w:val="2"/>
    <w:next w:val="157"/>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8">
    <w:name w:val="标题1(小2号)"/>
    <w:basedOn w:val="2"/>
    <w:next w:val="10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9">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80">
    <w:name w:val="ml"/>
    <w:basedOn w:val="1"/>
    <w:qFormat/>
    <w:uiPriority w:val="0"/>
    <w:pPr>
      <w:autoSpaceDE/>
      <w:autoSpaceDN/>
      <w:jc w:val="both"/>
    </w:pPr>
    <w:rPr>
      <w:rFonts w:cs="Times New Roman"/>
      <w:b/>
      <w:bCs/>
      <w:kern w:val="2"/>
      <w:sz w:val="28"/>
      <w:szCs w:val="20"/>
      <w:lang w:eastAsia="zh-CN"/>
    </w:rPr>
  </w:style>
  <w:style w:type="paragraph" w:customStyle="1" w:styleId="181">
    <w:name w:val="标题2(3号)"/>
    <w:basedOn w:val="3"/>
    <w:next w:val="10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2">
    <w:name w:val="标题2(小4号)"/>
    <w:basedOn w:val="3"/>
    <w:next w:val="130"/>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3">
    <w:name w:val="标题4"/>
    <w:basedOn w:val="7"/>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4">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5">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6">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7">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8">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9">
    <w:name w:val="大纲4"/>
    <w:basedOn w:val="188"/>
    <w:qFormat/>
    <w:uiPriority w:val="0"/>
    <w:pPr>
      <w:numPr>
        <w:ilvl w:val="3"/>
      </w:numPr>
      <w:outlineLvl w:val="3"/>
    </w:pPr>
  </w:style>
  <w:style w:type="paragraph" w:customStyle="1" w:styleId="190">
    <w:name w:val="大纲5"/>
    <w:basedOn w:val="189"/>
    <w:qFormat/>
    <w:uiPriority w:val="0"/>
    <w:pPr>
      <w:numPr>
        <w:ilvl w:val="4"/>
      </w:numPr>
      <w:tabs>
        <w:tab w:val="left" w:pos="360"/>
      </w:tabs>
      <w:outlineLvl w:val="4"/>
    </w:pPr>
    <w:rPr>
      <w:b w:val="0"/>
      <w:szCs w:val="36"/>
    </w:rPr>
  </w:style>
  <w:style w:type="paragraph" w:customStyle="1" w:styleId="191">
    <w:name w:val="大纲6"/>
    <w:basedOn w:val="190"/>
    <w:qFormat/>
    <w:uiPriority w:val="0"/>
    <w:pPr>
      <w:numPr>
        <w:ilvl w:val="5"/>
      </w:numPr>
      <w:outlineLvl w:val="5"/>
    </w:pPr>
    <w:rPr>
      <w:rFonts w:ascii="宋体"/>
      <w:szCs w:val="24"/>
    </w:rPr>
  </w:style>
  <w:style w:type="paragraph" w:customStyle="1" w:styleId="192">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5">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7">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8">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9">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5">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7">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8">
    <w:name w:val="hover11"/>
    <w:basedOn w:val="54"/>
    <w:qFormat/>
    <w:uiPriority w:val="0"/>
  </w:style>
  <w:style w:type="character" w:customStyle="1" w:styleId="209">
    <w:name w:val="xdrichtextbox3"/>
    <w:basedOn w:val="54"/>
    <w:qFormat/>
    <w:uiPriority w:val="0"/>
    <w:rPr>
      <w:color w:val="auto"/>
      <w:u w:val="none"/>
      <w:bdr w:val="single" w:color="DCDCDC" w:sz="8" w:space="0"/>
      <w:shd w:val="clear" w:color="auto" w:fill="FFFFFF"/>
    </w:rPr>
  </w:style>
  <w:style w:type="character" w:customStyle="1" w:styleId="210">
    <w:name w:val="列出段落 Char"/>
    <w:link w:val="77"/>
    <w:qFormat/>
    <w:uiPriority w:val="34"/>
    <w:rPr>
      <w:rFonts w:ascii="宋体" w:hAnsi="宋体" w:cs="宋体"/>
      <w:sz w:val="22"/>
      <w:szCs w:val="22"/>
      <w:lang w:eastAsia="en-US"/>
    </w:rPr>
  </w:style>
  <w:style w:type="paragraph" w:styleId="211">
    <w:name w:val="List Paragraph"/>
    <w:basedOn w:val="1"/>
    <w:qFormat/>
    <w:uiPriority w:val="34"/>
    <w:pPr>
      <w:spacing w:before="206"/>
      <w:ind w:left="959" w:hanging="361"/>
    </w:pPr>
  </w:style>
  <w:style w:type="character" w:customStyle="1" w:styleId="212">
    <w:name w:val="纯文本 Char1"/>
    <w:qFormat/>
    <w:uiPriority w:val="0"/>
    <w:rPr>
      <w:rFonts w:ascii="宋体" w:hAnsi="Courier New" w:eastAsia="宋体" w:cs="Courier New"/>
      <w:kern w:val="0"/>
      <w:sz w:val="22"/>
      <w:szCs w:val="21"/>
      <w:lang w:eastAsia="en-US"/>
    </w:rPr>
  </w:style>
  <w:style w:type="character" w:customStyle="1" w:styleId="213">
    <w:name w:val="qowt-font2"/>
    <w:basedOn w:val="54"/>
    <w:qFormat/>
    <w:uiPriority w:val="0"/>
  </w:style>
  <w:style w:type="paragraph" w:customStyle="1" w:styleId="214">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5">
    <w:name w:val="正文缩进1"/>
    <w:basedOn w:val="1"/>
    <w:qFormat/>
    <w:uiPriority w:val="0"/>
    <w:pPr>
      <w:autoSpaceDE w:val="0"/>
      <w:autoSpaceDN w:val="0"/>
      <w:ind w:firstLine="420"/>
      <w:jc w:val="left"/>
    </w:pPr>
    <w:rPr>
      <w:rFonts w:ascii="Times New Roman" w:hAnsi="Times New Roman" w:eastAsia="宋体" w:cs="Times New Roman"/>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5866</Words>
  <Characters>6457</Characters>
  <Lines>77</Lines>
  <Paragraphs>21</Paragraphs>
  <TotalTime>9</TotalTime>
  <ScaleCrop>false</ScaleCrop>
  <LinksUpToDate>false</LinksUpToDate>
  <CharactersWithSpaces>6778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2025-11-17T09:21:35Z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2052-12.1.0.23542</vt:lpwstr>
  </property>
  <property fmtid="{D5CDD505-2E9C-101B-9397-08002B2CF9AE}" pid="6" name="ICV">
    <vt:lpwstr>23FE0C648DF342F99A37AFCBFBABA458_13</vt:lpwstr>
  </property>
  <property fmtid="{D5CDD505-2E9C-101B-9397-08002B2CF9AE}" pid="7" name="KSOTemplateDocerSaveRecord">
    <vt:lpwstr>eyJoZGlkIjoiNTY1NGEwYmNkYmRjMWNmMjE0NWZlMjMzZjJmZDM4MjEiLCJ1c2VySWQiOiI5ODEyNzgwOTAifQ==</vt:lpwstr>
  </property>
</Properties>
</file>