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5"/>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3104B905">
      <w:pPr>
        <w:pStyle w:val="5"/>
        <w:jc w:val="center"/>
        <w:rPr>
          <w:rFonts w:hint="eastAsia" w:cs="宋体"/>
          <w:b/>
          <w:color w:val="FF0000"/>
          <w:sz w:val="48"/>
          <w:szCs w:val="48"/>
          <w:u w:val="single"/>
          <w:lang w:eastAsia="zh-CN"/>
        </w:rPr>
      </w:pPr>
      <w:r>
        <w:rPr>
          <w:rFonts w:hint="eastAsia" w:cs="宋体"/>
          <w:b/>
          <w:color w:val="FF0000"/>
          <w:sz w:val="48"/>
          <w:szCs w:val="48"/>
          <w:u w:val="single"/>
          <w:lang w:eastAsia="zh-CN"/>
        </w:rPr>
        <w:t>消防综合楼新增电梯采购项目</w:t>
      </w:r>
    </w:p>
    <w:p w14:paraId="157BEC94">
      <w:pPr>
        <w:pStyle w:val="5"/>
        <w:jc w:val="center"/>
        <w:rPr>
          <w:rFonts w:hint="eastAsia" w:ascii="宋体" w:hAnsi="宋体" w:eastAsia="宋体" w:cs="宋体"/>
          <w:b/>
          <w:color w:val="FF0000"/>
          <w:sz w:val="72"/>
          <w:szCs w:val="72"/>
          <w:u w:val="single"/>
          <w:lang w:eastAsia="zh-CN"/>
        </w:rPr>
      </w:pPr>
      <w:r>
        <w:rPr>
          <w:rFonts w:hint="eastAsia" w:ascii="宋体" w:hAnsi="宋体" w:eastAsia="宋体" w:cs="宋体"/>
          <w:b/>
          <w:color w:val="FF0000"/>
          <w:sz w:val="48"/>
          <w:szCs w:val="48"/>
          <w:u w:val="single"/>
          <w:lang w:eastAsia="zh-CN"/>
        </w:rPr>
        <w:t>询比文件</w:t>
      </w:r>
    </w:p>
    <w:p w14:paraId="3E0186C7">
      <w:pPr>
        <w:pStyle w:val="17"/>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QGD-3122-251011-0427</w:t>
      </w:r>
      <w:r>
        <w:rPr>
          <w:rFonts w:hint="eastAsia" w:ascii="宋体" w:hAnsi="宋体" w:eastAsia="宋体" w:cs="宋体"/>
          <w:sz w:val="28"/>
          <w:szCs w:val="28"/>
        </w:rPr>
        <w:t xml:space="preserve"> ）</w:t>
      </w:r>
    </w:p>
    <w:p w14:paraId="17FE584D">
      <w:pPr>
        <w:pStyle w:val="5"/>
        <w:rPr>
          <w:rFonts w:hint="eastAsia" w:ascii="宋体" w:hAnsi="宋体" w:eastAsia="宋体" w:cs="宋体"/>
          <w:b/>
          <w:sz w:val="94"/>
          <w:lang w:eastAsia="zh-CN"/>
        </w:rPr>
      </w:pPr>
    </w:p>
    <w:p w14:paraId="5A26101B">
      <w:pPr>
        <w:pStyle w:val="5"/>
        <w:rPr>
          <w:rFonts w:hint="eastAsia" w:ascii="宋体" w:hAnsi="宋体" w:eastAsia="宋体" w:cs="宋体"/>
          <w:b/>
          <w:sz w:val="94"/>
          <w:lang w:eastAsia="zh-CN"/>
        </w:rPr>
      </w:pPr>
    </w:p>
    <w:p w14:paraId="4D364419">
      <w:pPr>
        <w:pStyle w:val="5"/>
        <w:rPr>
          <w:rFonts w:hint="eastAsia" w:ascii="宋体" w:hAnsi="宋体" w:eastAsia="宋体" w:cs="宋体"/>
          <w:b/>
          <w:sz w:val="32"/>
          <w:szCs w:val="32"/>
          <w:lang w:eastAsia="zh-CN"/>
        </w:rPr>
      </w:pPr>
    </w:p>
    <w:p w14:paraId="004F3CCF">
      <w:pPr>
        <w:pStyle w:val="5"/>
        <w:rPr>
          <w:rFonts w:hint="eastAsia" w:ascii="宋体" w:hAnsi="宋体" w:eastAsia="宋体" w:cs="宋体"/>
          <w:b/>
          <w:sz w:val="32"/>
          <w:szCs w:val="32"/>
          <w:lang w:eastAsia="zh-CN"/>
        </w:rPr>
      </w:pPr>
    </w:p>
    <w:p w14:paraId="28C5BEAD">
      <w:pPr>
        <w:pStyle w:val="5"/>
        <w:rPr>
          <w:rFonts w:hint="eastAsia" w:ascii="宋体" w:hAnsi="宋体" w:eastAsia="宋体" w:cs="宋体"/>
          <w:b/>
          <w:sz w:val="32"/>
          <w:szCs w:val="32"/>
          <w:lang w:eastAsia="zh-CN"/>
        </w:rPr>
      </w:pPr>
    </w:p>
    <w:p w14:paraId="398573E0">
      <w:pPr>
        <w:pStyle w:val="5"/>
        <w:rPr>
          <w:rFonts w:hint="eastAsia" w:ascii="宋体" w:hAnsi="宋体" w:eastAsia="宋体" w:cs="宋体"/>
          <w:b/>
          <w:sz w:val="32"/>
          <w:szCs w:val="32"/>
          <w:lang w:eastAsia="zh-CN"/>
        </w:rPr>
      </w:pPr>
    </w:p>
    <w:p w14:paraId="7262C469">
      <w:pPr>
        <w:pStyle w:val="5"/>
        <w:rPr>
          <w:rFonts w:hint="eastAsia" w:ascii="宋体" w:hAnsi="宋体" w:eastAsia="宋体" w:cs="宋体"/>
          <w:b/>
          <w:sz w:val="32"/>
          <w:szCs w:val="32"/>
          <w:lang w:eastAsia="zh-CN"/>
        </w:rPr>
      </w:pPr>
    </w:p>
    <w:p w14:paraId="3CF6428C">
      <w:pPr>
        <w:pStyle w:val="17"/>
        <w:jc w:val="center"/>
        <w:rPr>
          <w:rFonts w:hint="eastAsia" w:ascii="宋体" w:hAnsi="宋体" w:eastAsia="宋体" w:cs="宋体"/>
          <w:b/>
          <w:sz w:val="28"/>
          <w:szCs w:val="28"/>
        </w:rPr>
      </w:pPr>
    </w:p>
    <w:p w14:paraId="05F33D11">
      <w:pPr>
        <w:pStyle w:val="17"/>
        <w:jc w:val="center"/>
        <w:rPr>
          <w:rFonts w:hint="eastAsia" w:ascii="宋体" w:hAnsi="宋体" w:eastAsia="宋体" w:cs="宋体"/>
          <w:b/>
          <w:sz w:val="28"/>
          <w:szCs w:val="28"/>
        </w:rPr>
      </w:pPr>
    </w:p>
    <w:p w14:paraId="21DB5A8A">
      <w:pPr>
        <w:pStyle w:val="17"/>
        <w:jc w:val="center"/>
        <w:rPr>
          <w:rFonts w:hint="eastAsia" w:ascii="宋体" w:hAnsi="宋体" w:eastAsia="宋体" w:cs="宋体"/>
          <w:b/>
          <w:sz w:val="28"/>
          <w:szCs w:val="28"/>
        </w:rPr>
      </w:pPr>
    </w:p>
    <w:p w14:paraId="31D8A99D">
      <w:pPr>
        <w:pStyle w:val="17"/>
        <w:jc w:val="center"/>
        <w:rPr>
          <w:rFonts w:hint="eastAsia" w:ascii="宋体" w:hAnsi="宋体" w:eastAsia="宋体" w:cs="宋体"/>
          <w:b/>
          <w:sz w:val="28"/>
          <w:szCs w:val="28"/>
        </w:rPr>
      </w:pPr>
    </w:p>
    <w:p w14:paraId="1150F103">
      <w:pPr>
        <w:pStyle w:val="17"/>
        <w:jc w:val="center"/>
        <w:rPr>
          <w:rFonts w:hint="eastAsia" w:ascii="宋体" w:hAnsi="宋体" w:eastAsia="宋体" w:cs="宋体"/>
          <w:b/>
          <w:sz w:val="28"/>
          <w:szCs w:val="28"/>
        </w:rPr>
      </w:pPr>
    </w:p>
    <w:p w14:paraId="46E218A1">
      <w:pPr>
        <w:pStyle w:val="17"/>
        <w:jc w:val="center"/>
        <w:rPr>
          <w:rFonts w:hint="eastAsia" w:ascii="宋体" w:hAnsi="宋体" w:eastAsia="宋体" w:cs="宋体"/>
          <w:b/>
          <w:sz w:val="28"/>
          <w:szCs w:val="28"/>
        </w:rPr>
      </w:pPr>
    </w:p>
    <w:p w14:paraId="3E1905F6">
      <w:pPr>
        <w:pStyle w:val="17"/>
        <w:jc w:val="center"/>
        <w:rPr>
          <w:rFonts w:hint="eastAsia" w:ascii="宋体" w:hAnsi="宋体" w:eastAsia="宋体" w:cs="宋体"/>
          <w:b/>
          <w:sz w:val="28"/>
          <w:szCs w:val="28"/>
        </w:rPr>
      </w:pPr>
    </w:p>
    <w:p w14:paraId="05A40631">
      <w:pPr>
        <w:pStyle w:val="17"/>
        <w:jc w:val="center"/>
        <w:rPr>
          <w:rFonts w:hint="eastAsia" w:ascii="宋体" w:hAnsi="宋体" w:eastAsia="宋体" w:cs="宋体"/>
          <w:b/>
          <w:sz w:val="28"/>
          <w:szCs w:val="28"/>
        </w:rPr>
      </w:pPr>
    </w:p>
    <w:p w14:paraId="521732B7">
      <w:pPr>
        <w:pStyle w:val="17"/>
        <w:jc w:val="center"/>
        <w:rPr>
          <w:rFonts w:hint="eastAsia" w:ascii="宋体" w:hAnsi="宋体" w:eastAsia="宋体" w:cs="宋体"/>
          <w:b/>
          <w:sz w:val="28"/>
          <w:szCs w:val="28"/>
        </w:rPr>
      </w:pPr>
    </w:p>
    <w:p w14:paraId="0D167314">
      <w:pPr>
        <w:pStyle w:val="17"/>
        <w:jc w:val="center"/>
        <w:rPr>
          <w:rFonts w:hint="eastAsia" w:ascii="宋体" w:hAnsi="宋体" w:eastAsia="宋体" w:cs="宋体"/>
          <w:b/>
          <w:sz w:val="28"/>
          <w:szCs w:val="28"/>
        </w:rPr>
      </w:pPr>
    </w:p>
    <w:p w14:paraId="03DB5B84">
      <w:pPr>
        <w:pStyle w:val="17"/>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1E6EA664">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二〇二五年</w:t>
      </w:r>
      <w:r>
        <w:rPr>
          <w:rFonts w:hint="eastAsia" w:cs="宋体"/>
          <w:b/>
          <w:color w:val="FF0000"/>
          <w:w w:val="95"/>
          <w:sz w:val="32"/>
          <w:lang w:val="en-US" w:eastAsia="zh-CN"/>
        </w:rPr>
        <w:t>十</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5"/>
        <w:rPr>
          <w:rFonts w:hint="eastAsia" w:ascii="宋体" w:hAnsi="宋体" w:eastAsia="宋体" w:cs="宋体"/>
          <w:sz w:val="20"/>
          <w:lang w:eastAsia="zh-CN"/>
        </w:rPr>
      </w:pPr>
    </w:p>
    <w:p w14:paraId="1BDB9FBE">
      <w:pPr>
        <w:pStyle w:val="5"/>
        <w:rPr>
          <w:rFonts w:hint="eastAsia" w:ascii="宋体" w:hAnsi="宋体" w:eastAsia="宋体" w:cs="宋体"/>
          <w:sz w:val="20"/>
          <w:lang w:eastAsia="zh-CN"/>
        </w:rPr>
      </w:pPr>
    </w:p>
    <w:p w14:paraId="7AB87184">
      <w:pPr>
        <w:pStyle w:val="5"/>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03B3D53F">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18"/>
        <w:numPr>
          <w:ilvl w:val="0"/>
          <w:numId w:val="1"/>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17"/>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62FD827A">
      <w:pPr>
        <w:jc w:val="center"/>
        <w:rPr>
          <w:rFonts w:hint="eastAsia" w:cs="宋体"/>
          <w:b/>
          <w:bCs/>
          <w:color w:val="FF0000"/>
          <w:sz w:val="32"/>
          <w:shd w:val="pct10" w:color="auto" w:fill="FFFFFF"/>
          <w:lang w:eastAsia="zh-CN"/>
        </w:rPr>
      </w:pPr>
      <w:r>
        <w:rPr>
          <w:rFonts w:hint="eastAsia" w:cs="宋体"/>
          <w:b/>
          <w:bCs/>
          <w:color w:val="FF0000"/>
          <w:sz w:val="32"/>
          <w:shd w:val="pct10" w:color="auto" w:fill="FFFFFF"/>
          <w:lang w:eastAsia="zh-CN"/>
        </w:rPr>
        <w:t>消防综合楼新增电梯采购项目</w:t>
      </w:r>
    </w:p>
    <w:p w14:paraId="01AC7060">
      <w:pPr>
        <w:jc w:val="center"/>
        <w:rPr>
          <w:rFonts w:hint="eastAsia" w:ascii="宋体" w:hAnsi="宋体" w:eastAsia="宋体" w:cs="宋体"/>
          <w:b/>
          <w:bCs/>
          <w:sz w:val="32"/>
          <w:lang w:eastAsia="zh-CN"/>
        </w:rPr>
      </w:pPr>
      <w:r>
        <w:rPr>
          <w:rFonts w:hint="eastAsia" w:ascii="宋体" w:hAnsi="宋体" w:eastAsia="宋体" w:cs="宋体"/>
          <w:b/>
          <w:bCs/>
          <w:sz w:val="32"/>
          <w:lang w:eastAsia="zh-CN"/>
        </w:rPr>
        <w:t>询比公告</w:t>
      </w:r>
    </w:p>
    <w:p w14:paraId="6E3F3F23">
      <w:pPr>
        <w:pStyle w:val="5"/>
        <w:rPr>
          <w:rFonts w:hint="eastAsia" w:ascii="宋体" w:hAnsi="宋体" w:eastAsia="宋体" w:cs="宋体"/>
          <w:b/>
          <w:sz w:val="28"/>
          <w:lang w:eastAsia="zh-CN"/>
        </w:rPr>
      </w:pPr>
    </w:p>
    <w:p w14:paraId="0F0D0DF4">
      <w:pPr>
        <w:pStyle w:val="5"/>
        <w:spacing w:before="26"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cs="宋体"/>
          <w:color w:val="FF0000"/>
          <w:sz w:val="28"/>
          <w:szCs w:val="28"/>
          <w:u w:val="single"/>
          <w:lang w:eastAsia="zh-CN"/>
        </w:rPr>
        <w:t>消防综合楼新增电梯采购项目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QGD-3122-251011-0427</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”进行国内公开询比采购，欢迎国内符合条件的供应商积极参加。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14D16DF6">
      <w:pPr>
        <w:ind w:firstLine="280" w:firstLineChars="100"/>
        <w:jc w:val="both"/>
        <w:rPr>
          <w:rFonts w:hint="eastAsia"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消防综合楼新增电梯采购项目</w:t>
      </w:r>
    </w:p>
    <w:p w14:paraId="01D0E00B">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2.询比项目说明：</w:t>
      </w:r>
    </w:p>
    <w:p w14:paraId="01D25386">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cs="宋体"/>
          <w:sz w:val="28"/>
          <w:szCs w:val="28"/>
          <w:lang w:val="en-US" w:eastAsia="zh-CN"/>
        </w:rPr>
        <w:t xml:space="preserve">乘客电梯  </w:t>
      </w:r>
      <w:r>
        <w:rPr>
          <w:rFonts w:hint="eastAsia" w:ascii="宋体" w:hAnsi="宋体" w:eastAsia="宋体" w:cs="宋体"/>
          <w:sz w:val="28"/>
          <w:szCs w:val="28"/>
          <w:lang w:val="en-US" w:eastAsia="zh-CN"/>
        </w:rPr>
        <w:t xml:space="preserve">  数量:</w:t>
      </w:r>
      <w:r>
        <w:rPr>
          <w:rFonts w:hint="eastAsia" w:cs="宋体"/>
          <w:sz w:val="28"/>
          <w:szCs w:val="28"/>
          <w:lang w:val="en-US" w:eastAsia="zh-CN"/>
        </w:rPr>
        <w:t>1台</w:t>
      </w:r>
      <w:r>
        <w:rPr>
          <w:rFonts w:hint="eastAsia" w:ascii="宋体" w:hAnsi="宋体" w:eastAsia="宋体" w:cs="宋体"/>
          <w:sz w:val="28"/>
          <w:szCs w:val="28"/>
          <w:lang w:val="en-US" w:eastAsia="zh-CN"/>
        </w:rPr>
        <w:t>， 规格型号</w:t>
      </w:r>
      <w:r>
        <w:rPr>
          <w:rFonts w:hint="eastAsia" w:cs="宋体"/>
          <w:sz w:val="28"/>
          <w:szCs w:val="28"/>
          <w:lang w:val="en-US" w:eastAsia="zh-CN"/>
        </w:rPr>
        <w:t>：</w:t>
      </w:r>
      <w:r>
        <w:rPr>
          <w:rFonts w:hint="eastAsia" w:ascii="宋体" w:hAnsi="宋体" w:eastAsia="宋体" w:cs="宋体"/>
          <w:sz w:val="28"/>
          <w:szCs w:val="28"/>
          <w:lang w:val="en-US" w:eastAsia="zh-CN"/>
        </w:rPr>
        <w:t>≥600kg\＞1.0m/s\曳引式\18m\4层4站4门</w:t>
      </w:r>
    </w:p>
    <w:p w14:paraId="523EDA27">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（2）询比控制价：</w:t>
      </w:r>
      <w:r>
        <w:rPr>
          <w:rFonts w:hint="eastAsia" w:cs="宋体"/>
          <w:sz w:val="28"/>
          <w:szCs w:val="28"/>
          <w:lang w:val="en-US" w:eastAsia="zh-CN"/>
        </w:rPr>
        <w:t>62</w:t>
      </w:r>
      <w:r>
        <w:rPr>
          <w:rFonts w:hint="eastAsia" w:ascii="宋体" w:hAnsi="宋体" w:eastAsia="宋体" w:cs="宋体"/>
          <w:sz w:val="28"/>
          <w:szCs w:val="28"/>
          <w:lang w:val="en-US" w:eastAsia="zh-CN"/>
        </w:rPr>
        <w:t>万元（13%含税总价）</w:t>
      </w:r>
    </w:p>
    <w:p w14:paraId="1A7176D0">
      <w:pPr>
        <w:tabs>
          <w:tab w:val="left" w:pos="709"/>
        </w:tabs>
        <w:spacing w:line="360" w:lineRule="auto"/>
        <w:ind w:firstLine="280" w:firstLineChars="1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3.参选须派专业人员进行现场勘察，以确保方案可行性；并提供施工图设计方案（含外观图、设备选型等）、施工组织计划、设备清单（含设备参数）以及报价明细表；</w:t>
      </w:r>
    </w:p>
    <w:p w14:paraId="79B806CD">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4</w:t>
      </w:r>
      <w:r>
        <w:rPr>
          <w:rFonts w:hint="eastAsia" w:ascii="宋体" w:hAnsi="宋体" w:eastAsia="宋体" w:cs="宋体"/>
          <w:color w:val="000000" w:themeColor="text1"/>
          <w:sz w:val="28"/>
          <w:szCs w:val="28"/>
          <w:lang w:val="en-US" w:eastAsia="zh-CN" w:bidi="ar-SA"/>
          <w14:textFill>
            <w14:solidFill>
              <w14:schemeClr w14:val="tx1"/>
            </w14:solidFill>
          </w14:textFill>
        </w:rPr>
        <w:t>.交货期：合同签订后≤150天</w:t>
      </w:r>
    </w:p>
    <w:p w14:paraId="6520554A">
      <w:pPr>
        <w:tabs>
          <w:tab w:val="left" w:pos="709"/>
        </w:tabs>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二、参比人资格要求</w:t>
      </w:r>
    </w:p>
    <w:p w14:paraId="4E7FF68F">
      <w:pPr>
        <w:tabs>
          <w:tab w:val="left" w:pos="709"/>
        </w:tabs>
        <w:spacing w:line="360" w:lineRule="auto"/>
        <w:ind w:firstLine="560" w:firstLineChars="200"/>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具备有效期内的独立企业法人营业执照，具备建筑工程 施工总承包资质或钢结构工程专业承包资质；具有有效期内的安全生产许 可证，须提供复印件并加盖公章；</w:t>
      </w:r>
    </w:p>
    <w:p w14:paraId="63AF1AA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12A54255">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所投电梯的安装单位须具有中华人民共和国特种设备生 产许可证，许可项目为电梯安装(电梯A 级),须提供复印件并加盖公章；</w:t>
      </w:r>
    </w:p>
    <w:p w14:paraId="06803A9E">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cs="宋体"/>
          <w:snapToGrid/>
          <w:color w:val="000000" w:themeColor="text1"/>
          <w:kern w:val="0"/>
          <w:sz w:val="28"/>
          <w:szCs w:val="28"/>
          <w:lang w:val="en-US" w:eastAsia="zh-CN" w:bidi="ar-SA"/>
          <w14:textFill>
            <w14:solidFill>
              <w14:schemeClr w14:val="tx1"/>
            </w14:solidFill>
          </w14:textFill>
        </w:rPr>
        <w:t>4.</w:t>
      </w:r>
      <w:r>
        <w:rPr>
          <w:rFonts w:hint="eastAsia" w:ascii="宋体" w:hAnsi="宋体" w:eastAsia="宋体" w:cs="宋体"/>
          <w:color w:val="000000" w:themeColor="text1"/>
          <w:sz w:val="28"/>
          <w:szCs w:val="28"/>
          <w:lang w:val="en-US" w:eastAsia="zh-CN" w:bidi="ar-SA"/>
          <w14:textFill>
            <w14:solidFill>
              <w14:schemeClr w14:val="tx1"/>
            </w14:solidFill>
          </w14:textFill>
        </w:rPr>
        <w:t>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选择的电梯种类，其制造厂家须具有特种设备生产许可 证，包含设备类型(乘客电梯)、许可项目(制造/安装),且在有效期内，须提供复印件并加盖公章；</w:t>
      </w:r>
    </w:p>
    <w:p w14:paraId="386DF946">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5</w:t>
      </w:r>
      <w:r>
        <w:rPr>
          <w:rFonts w:hint="eastAsia" w:ascii="宋体" w:hAnsi="宋体" w:eastAsia="宋体" w:cs="宋体"/>
          <w:color w:val="000000" w:themeColor="text1"/>
          <w:sz w:val="28"/>
          <w:szCs w:val="28"/>
          <w:lang w:val="en-US" w:eastAsia="zh-CN" w:bidi="ar-SA"/>
          <w14:textFill>
            <w14:solidFill>
              <w14:schemeClr w14:val="tx1"/>
            </w14:solidFill>
          </w14:textFill>
        </w:rPr>
        <w:t>.参选单位必须有类似项目业绩:</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提供近三年类似既有建筑加装电梯项目业绩，需提供合同、竣工验收报告或使用登记复印件等证明材料并加盖公章；</w:t>
      </w:r>
    </w:p>
    <w:p w14:paraId="22C6D188">
      <w:pPr>
        <w:tabs>
          <w:tab w:val="left" w:pos="709"/>
        </w:tabs>
        <w:spacing w:line="360" w:lineRule="auto"/>
        <w:ind w:firstLine="560" w:firstLineChars="200"/>
        <w:rPr>
          <w:rFonts w:hint="eastAsia" w:cs="宋体"/>
          <w:color w:val="000000" w:themeColor="text1"/>
          <w:sz w:val="28"/>
          <w:szCs w:val="28"/>
          <w:lang w:val="en-US" w:eastAsia="zh-CN" w:bidi="ar-SA"/>
          <w14:textFill>
            <w14:solidFill>
              <w14:schemeClr w14:val="tx1"/>
            </w14:solidFill>
          </w14:textFill>
        </w:rPr>
      </w:pPr>
      <w:r>
        <w:rPr>
          <w:rFonts w:hint="eastAsia" w:cs="宋体"/>
          <w:snapToGrid/>
          <w:color w:val="000000" w:themeColor="text1"/>
          <w:kern w:val="0"/>
          <w:sz w:val="28"/>
          <w:szCs w:val="28"/>
          <w:lang w:val="en-US" w:eastAsia="zh-CN" w:bidi="ar-SA"/>
          <w14:textFill>
            <w14:solidFill>
              <w14:schemeClr w14:val="tx1"/>
            </w14:solidFill>
          </w14:textFill>
        </w:rPr>
        <w:t>6.</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项目负责人须具备有效的二级注册建造师或以上资质，且是</w:t>
      </w:r>
      <w:r>
        <w:rPr>
          <w:rFonts w:hint="eastAsia" w:ascii="宋体" w:hAnsi="宋体" w:eastAsia="宋体" w:cs="宋体"/>
          <w:color w:val="000000" w:themeColor="text1"/>
          <w:sz w:val="28"/>
          <w:szCs w:val="28"/>
          <w:lang w:val="en-US" w:eastAsia="zh-CN" w:bidi="ar-SA"/>
          <w14:textFill>
            <w14:solidFill>
              <w14:schemeClr w14:val="tx1"/>
            </w14:solidFill>
          </w14:textFill>
        </w:rPr>
        <w:t>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正式员工，并提供社保交纳证明文件并加盖公章；</w:t>
      </w:r>
    </w:p>
    <w:p w14:paraId="2FAF836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7</w:t>
      </w:r>
      <w:r>
        <w:rPr>
          <w:rFonts w:hint="eastAsia" w:ascii="宋体" w:hAnsi="宋体" w:eastAsia="宋体" w:cs="宋体"/>
          <w:color w:val="000000" w:themeColor="text1"/>
          <w:sz w:val="28"/>
          <w:szCs w:val="28"/>
          <w:lang w:val="en-US" w:eastAsia="zh-CN" w:bidi="ar-SA"/>
          <w14:textFill>
            <w14:solidFill>
              <w14:schemeClr w14:val="tx1"/>
            </w14:solidFill>
          </w14:textFill>
        </w:rPr>
        <w:t>.本采购项目不接受联合体参选。</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p>
    <w:p w14:paraId="46066AE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1.报名时间：公示之日起至2025年</w:t>
      </w:r>
      <w:r>
        <w:rPr>
          <w:rFonts w:hint="eastAsia"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14</w:t>
      </w:r>
      <w:r>
        <w:rPr>
          <w:rFonts w:hint="eastAsia" w:ascii="宋体" w:hAnsi="宋体" w:eastAsia="宋体" w:cs="宋体"/>
          <w:color w:val="000000" w:themeColor="text1"/>
          <w:sz w:val="28"/>
          <w:szCs w:val="28"/>
          <w:lang w:eastAsia="zh-CN"/>
          <w14:textFill>
            <w14:solidFill>
              <w14:schemeClr w14:val="tx1"/>
            </w14:solidFill>
          </w14:textFill>
        </w:rPr>
        <w:t>日</w:t>
      </w:r>
      <w:r>
        <w:rPr>
          <w:rFonts w:hint="eastAsia" w:cs="宋体"/>
          <w:color w:val="000000" w:themeColor="text1"/>
          <w:sz w:val="28"/>
          <w:szCs w:val="28"/>
          <w:lang w:eastAsia="zh-CN"/>
          <w14:textFill>
            <w14:solidFill>
              <w14:schemeClr w14:val="tx1"/>
            </w14:solidFill>
          </w14:textFill>
        </w:rPr>
        <w:t>（</w:t>
      </w:r>
      <w:r>
        <w:rPr>
          <w:rFonts w:hint="eastAsia" w:cs="宋体"/>
          <w:color w:val="000000" w:themeColor="text1"/>
          <w:sz w:val="28"/>
          <w:szCs w:val="28"/>
          <w:lang w:val="en-US" w:eastAsia="zh-CN"/>
          <w14:textFill>
            <w14:solidFill>
              <w14:schemeClr w14:val="tx1"/>
            </w14:solidFill>
          </w14:textFill>
        </w:rPr>
        <w:t>上午11:00</w:t>
      </w:r>
      <w:r>
        <w:rPr>
          <w:rFonts w:hint="eastAsia" w:cs="宋体"/>
          <w:color w:val="000000" w:themeColor="text1"/>
          <w:sz w:val="28"/>
          <w:szCs w:val="28"/>
          <w:lang w:eastAsia="zh-CN"/>
          <w14:textFill>
            <w14:solidFill>
              <w14:schemeClr w14:val="tx1"/>
            </w14:solidFill>
          </w14:textFill>
        </w:rPr>
        <w:t>）</w:t>
      </w:r>
    </w:p>
    <w:p w14:paraId="1963A81C">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2.报名方式：参比人在报名时间内将报名文件发送至邮箱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eastAsia="zh-CN"/>
          <w14:textFill>
            <w14:solidFill>
              <w14:schemeClr w14:val="tx1"/>
            </w14:solidFill>
          </w14:textFill>
        </w:rPr>
        <w:t>，注明参比项目名称、参比人名称、商务联系人及联系方式（邮件内容上填写即可）报名文件包含：</w:t>
      </w:r>
    </w:p>
    <w:p w14:paraId="79982FBA">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（1）法定代表人身份证复印件（正反面）（加盖单位公章的扫描件）；</w:t>
      </w:r>
    </w:p>
    <w:p w14:paraId="3DDF3BC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（2）营业执照（加盖单位公章的扫描件）；</w:t>
      </w:r>
    </w:p>
    <w:p w14:paraId="66374A7C">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（3）资质文件及相关业绩(业绩</w:t>
      </w:r>
      <w:r>
        <w:rPr>
          <w:rFonts w:hint="eastAsia" w:ascii="宋体" w:hAnsi="宋体" w:eastAsia="宋体" w:cs="宋体"/>
          <w:color w:val="111111"/>
          <w:sz w:val="28"/>
          <w:szCs w:val="28"/>
          <w:shd w:val="clear" w:color="auto" w:fill="FFFFFF"/>
          <w:lang w:eastAsia="zh-CN"/>
        </w:rPr>
        <w:t>要提供相应合同扫描件）</w:t>
      </w:r>
      <w:r>
        <w:rPr>
          <w:rFonts w:hint="eastAsia" w:ascii="宋体" w:hAnsi="宋体" w:eastAsia="宋体" w:cs="宋体"/>
          <w:color w:val="000000" w:themeColor="text1"/>
          <w:sz w:val="28"/>
          <w:szCs w:val="28"/>
          <w:lang w:eastAsia="zh-CN"/>
          <w14:textFill>
            <w14:solidFill>
              <w14:schemeClr w14:val="tx1"/>
            </w14:solidFill>
          </w14:textFill>
        </w:rPr>
        <w:t>。</w:t>
      </w:r>
    </w:p>
    <w:p w14:paraId="0AF55F96">
      <w:pPr>
        <w:tabs>
          <w:tab w:val="left" w:pos="709"/>
        </w:tabs>
        <w:spacing w:line="360" w:lineRule="auto"/>
        <w:ind w:left="559" w:leftChars="254" w:firstLine="0" w:firstLineChars="0"/>
        <w:rPr>
          <w:rFonts w:hint="eastAsia" w:ascii="宋体" w:hAnsi="宋体" w:eastAsia="宋体" w:cs="宋体"/>
          <w:color w:val="000000" w:themeColor="text1"/>
          <w:sz w:val="28"/>
          <w:szCs w:val="28"/>
          <w:highlight w:val="yellow"/>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3.获取参比文件：本项目参比文件请有意向参比人自行下载，不收取费用。</w:t>
      </w:r>
      <w:r>
        <w:rPr>
          <w:rFonts w:hint="eastAsia" w:ascii="仿宋" w:hAnsi="仿宋" w:eastAsia="仿宋" w:cs="仿宋"/>
          <w:b/>
          <w:bCs/>
          <w:color w:val="000000" w:themeColor="text1"/>
          <w:sz w:val="28"/>
          <w:szCs w:val="28"/>
          <w:highlight w:val="yellow"/>
          <w:lang w:val="en-US" w:eastAsia="zh-CN"/>
          <w14:textFill>
            <w14:solidFill>
              <w14:schemeClr w14:val="tx1"/>
            </w14:solidFill>
          </w14:textFill>
        </w:rPr>
        <w:t>（特别声明：参选单位需要在福建能化阳光采购平台进行注册，http://nhygcg.fjshgx.com/  （福建能化阳光采购平台））</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58C459D">
      <w:pPr>
        <w:tabs>
          <w:tab w:val="left" w:pos="709"/>
        </w:tabs>
        <w:spacing w:line="360" w:lineRule="auto"/>
        <w:ind w:firstLine="560" w:firstLineChars="200"/>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参比文件递交地点：线下递交。漳州市漳浦县杜浔镇杜昌路9号福海创办公楼三楼综合采购团队。收件人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2210B7AE">
      <w:pPr>
        <w:pStyle w:val="5"/>
        <w:spacing w:line="360" w:lineRule="auto"/>
        <w:ind w:right="121" w:firstLine="281" w:firstLineChars="100"/>
        <w:jc w:val="both"/>
        <w:rPr>
          <w:rFonts w:hint="eastAsia" w:ascii="仿宋" w:hAnsi="仿宋" w:eastAsia="仿宋" w:cs="仿宋"/>
          <w:b/>
          <w:bCs/>
          <w:sz w:val="28"/>
          <w:szCs w:val="28"/>
          <w:lang w:eastAsia="zh-CN"/>
        </w:rPr>
      </w:pPr>
      <w:r>
        <w:rPr>
          <w:rFonts w:hint="eastAsia" w:ascii="仿宋" w:hAnsi="仿宋" w:eastAsia="仿宋" w:cs="仿宋"/>
          <w:b/>
          <w:bCs/>
          <w:color w:val="000000" w:themeColor="text1"/>
          <w:sz w:val="28"/>
          <w:szCs w:val="28"/>
          <w:lang w:eastAsia="zh-CN"/>
          <w14:textFill>
            <w14:solidFill>
              <w14:schemeClr w14:val="tx1"/>
            </w14:solidFill>
          </w14:textFill>
        </w:rPr>
        <w:t>2. 递交截止时间：参选文件递交截止时间（以送达时间为准），</w:t>
      </w:r>
      <w:r>
        <w:rPr>
          <w:rFonts w:hint="eastAsia" w:ascii="仿宋" w:hAnsi="仿宋" w:eastAsia="仿宋" w:cs="仿宋"/>
          <w:b/>
          <w:bCs/>
          <w:sz w:val="28"/>
          <w:szCs w:val="28"/>
          <w:lang w:eastAsia="zh-CN"/>
        </w:rPr>
        <w:t>有意向参选人请于公示期间进行</w:t>
      </w:r>
      <w:r>
        <w:rPr>
          <w:rFonts w:hint="eastAsia" w:ascii="仿宋" w:hAnsi="仿宋" w:eastAsia="仿宋" w:cs="仿宋"/>
          <w:b/>
          <w:bCs/>
          <w:sz w:val="28"/>
          <w:szCs w:val="28"/>
          <w:lang w:val="en-US" w:eastAsia="zh-CN"/>
        </w:rPr>
        <w:t>报名，并请报名截止日后两个工作日内，</w:t>
      </w:r>
      <w:r>
        <w:rPr>
          <w:rFonts w:hint="eastAsia" w:ascii="仿宋" w:hAnsi="仿宋" w:eastAsia="仿宋" w:cs="仿宋"/>
          <w:b/>
          <w:bCs/>
          <w:sz w:val="28"/>
          <w:szCs w:val="28"/>
          <w:lang w:eastAsia="zh-CN"/>
        </w:rPr>
        <w:t>将参选文件纸质原件密封送达比选人指定地点。</w:t>
      </w:r>
    </w:p>
    <w:p w14:paraId="3BD33B96">
      <w:pPr>
        <w:pStyle w:val="5"/>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bookmarkStart w:id="1" w:name="_GoBack"/>
      <w:bookmarkEnd w:id="1"/>
    </w:p>
    <w:p w14:paraId="10C4E6CA">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12000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0A46E9EE">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消防综合楼新增电梯采购项目</w:t>
      </w:r>
      <w:r>
        <w:rPr>
          <w:rFonts w:hint="eastAsia" w:ascii="宋体" w:hAnsi="宋体" w:eastAsia="宋体" w:cs="宋体"/>
          <w:sz w:val="28"/>
          <w:szCs w:val="28"/>
          <w:lang w:eastAsia="zh-CN"/>
        </w:rPr>
        <w:t xml:space="preserve">    </w:t>
      </w:r>
    </w:p>
    <w:p w14:paraId="7ECBE6C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617CAFC0">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72FB97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（2）参比单位未能按接到中标通知书后规定的时间内签定合同。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联系地址：漳州市漳浦县杜浔镇杜昌路9号</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7881395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福建福海创石油化工有限公司 </w:t>
      </w:r>
    </w:p>
    <w:p w14:paraId="69E516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p w14:paraId="2BC13BB9">
      <w:pPr>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p w14:paraId="07327C6D">
      <w:pPr>
        <w:pStyle w:val="17"/>
        <w:rPr>
          <w:rFonts w:hint="eastAsia" w:ascii="宋体" w:hAnsi="宋体" w:eastAsia="宋体" w:cs="宋体"/>
          <w:lang w:eastAsia="zh-CN"/>
        </w:rPr>
      </w:pPr>
    </w:p>
    <w:p w14:paraId="094DD9E1">
      <w:pPr>
        <w:pStyle w:val="17"/>
        <w:rPr>
          <w:rFonts w:hint="eastAsia" w:ascii="宋体" w:hAnsi="宋体" w:eastAsia="宋体" w:cs="宋体"/>
          <w:lang w:eastAsia="zh-CN"/>
        </w:rPr>
      </w:pPr>
    </w:p>
    <w:p w14:paraId="7BBCA29D">
      <w:pPr>
        <w:pStyle w:val="17"/>
        <w:rPr>
          <w:rFonts w:hint="eastAsia" w:ascii="宋体" w:hAnsi="宋体" w:eastAsia="宋体" w:cs="宋体"/>
          <w:lang w:eastAsia="zh-CN"/>
        </w:rPr>
      </w:pPr>
    </w:p>
    <w:p w14:paraId="17E6BE08">
      <w:pPr>
        <w:pStyle w:val="17"/>
        <w:rPr>
          <w:rFonts w:hint="eastAsia" w:ascii="宋体" w:hAnsi="宋体" w:eastAsia="宋体" w:cs="宋体"/>
          <w:lang w:eastAsia="zh-CN"/>
        </w:rPr>
      </w:pPr>
    </w:p>
    <w:p w14:paraId="3E4273B9">
      <w:pPr>
        <w:pStyle w:val="17"/>
        <w:rPr>
          <w:rFonts w:hint="eastAsia" w:ascii="宋体" w:hAnsi="宋体" w:eastAsia="宋体" w:cs="宋体"/>
          <w:lang w:eastAsia="zh-CN"/>
        </w:rPr>
      </w:pPr>
    </w:p>
    <w:p w14:paraId="7290ACC7">
      <w:pPr>
        <w:pStyle w:val="17"/>
        <w:rPr>
          <w:rFonts w:hint="eastAsia" w:ascii="宋体" w:hAnsi="宋体" w:eastAsia="宋体" w:cs="宋体"/>
          <w:lang w:eastAsia="zh-CN"/>
        </w:rPr>
      </w:pPr>
    </w:p>
    <w:p w14:paraId="1E424472">
      <w:pPr>
        <w:pStyle w:val="17"/>
        <w:rPr>
          <w:rFonts w:hint="eastAsia" w:ascii="宋体" w:hAnsi="宋体" w:eastAsia="宋体" w:cs="宋体"/>
          <w:lang w:eastAsia="zh-CN"/>
        </w:rPr>
      </w:pPr>
    </w:p>
    <w:p w14:paraId="68EFB4C1">
      <w:pPr>
        <w:jc w:val="center"/>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附件、法定代表人授权书</w:t>
      </w:r>
    </w:p>
    <w:p w14:paraId="69C07C57">
      <w:pPr>
        <w:jc w:val="center"/>
        <w:outlineLvl w:val="0"/>
        <w:rPr>
          <w:rFonts w:hint="eastAsia" w:ascii="宋体" w:hAnsi="宋体" w:eastAsia="宋体" w:cs="宋体"/>
          <w:lang w:eastAsia="zh-CN"/>
        </w:rPr>
      </w:pPr>
    </w:p>
    <w:p w14:paraId="4CD6E1FD">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FF0000"/>
          <w:kern w:val="0"/>
          <w:sz w:val="28"/>
          <w:szCs w:val="28"/>
          <w:u w:val="single"/>
          <w:lang w:val="en-US" w:eastAsia="zh-CN" w:bidi="ar-SA"/>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ascii="宋体" w:hAnsi="宋体" w:eastAsia="宋体" w:cs="宋体"/>
          <w:snapToGrid/>
          <w:color w:val="FF0000"/>
          <w:kern w:val="0"/>
          <w:sz w:val="28"/>
          <w:szCs w:val="28"/>
          <w:u w:val="single"/>
          <w:lang w:val="en-US" w:eastAsia="zh-CN" w:bidi="ar-SA"/>
        </w:rPr>
        <w:t>消防综合楼加装电梯工程项目</w:t>
      </w:r>
    </w:p>
    <w:p w14:paraId="0CB5338A">
      <w:pPr>
        <w:spacing w:line="360" w:lineRule="auto"/>
        <w:rPr>
          <w:rFonts w:hint="eastAsia" w:ascii="宋体" w:hAnsi="宋体" w:eastAsia="宋体" w:cs="宋体"/>
          <w:sz w:val="28"/>
          <w:szCs w:val="28"/>
          <w:lang w:eastAsia="zh-CN"/>
        </w:rPr>
      </w:pP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QGD-3122-251011-0427</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448BC7FA">
      <w:pPr>
        <w:pStyle w:val="17"/>
        <w:rPr>
          <w:rFonts w:hint="eastAsia" w:ascii="宋体" w:hAnsi="宋体" w:eastAsia="宋体" w:cs="宋体"/>
        </w:rPr>
        <w:sectPr>
          <w:pgSz w:w="11910" w:h="16840"/>
          <w:pgMar w:top="1500" w:right="1020" w:bottom="740" w:left="1300" w:header="0" w:footer="551" w:gutter="0"/>
          <w:cols w:space="720" w:num="1"/>
        </w:sectPr>
      </w:pPr>
    </w:p>
    <w:p w14:paraId="7553D1B1">
      <w:pPr>
        <w:pStyle w:val="2"/>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429A396">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1.项目名称：</w:t>
      </w:r>
      <w:r>
        <w:rPr>
          <w:rFonts w:hint="eastAsia" w:cs="宋体"/>
          <w:sz w:val="28"/>
          <w:szCs w:val="28"/>
          <w:lang w:eastAsia="zh-CN"/>
        </w:rPr>
        <w:t>消防综合楼新增电梯采购项目</w:t>
      </w:r>
      <w:r>
        <w:rPr>
          <w:rFonts w:hint="eastAsia" w:ascii="宋体" w:hAnsi="宋体" w:eastAsia="宋体" w:cs="宋体"/>
          <w:sz w:val="28"/>
          <w:szCs w:val="28"/>
          <w:lang w:eastAsia="zh-CN"/>
        </w:rPr>
        <w:t xml:space="preserve">   </w:t>
      </w:r>
    </w:p>
    <w:p w14:paraId="61064285">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2.项目地点：福建福海创石油化工有限公司</w:t>
      </w:r>
      <w:r>
        <w:rPr>
          <w:rFonts w:hint="eastAsia" w:cs="宋体"/>
          <w:sz w:val="28"/>
          <w:szCs w:val="28"/>
          <w:lang w:val="en-US" w:eastAsia="zh-CN"/>
        </w:rPr>
        <w:t>PX</w:t>
      </w:r>
      <w:r>
        <w:rPr>
          <w:rFonts w:hint="eastAsia" w:ascii="宋体" w:hAnsi="宋体" w:eastAsia="宋体" w:cs="宋体"/>
          <w:sz w:val="28"/>
          <w:szCs w:val="28"/>
          <w:lang w:eastAsia="zh-CN"/>
        </w:rPr>
        <w:t>厂区</w:t>
      </w:r>
    </w:p>
    <w:p w14:paraId="54E04BD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7A4EC901">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技术联系人：</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"javascript:showV3XMemberCard('-950476765374690656',window)" \o "邵云中" </w:instrText>
      </w:r>
      <w:r>
        <w:rPr>
          <w:rFonts w:hint="eastAsia" w:ascii="宋体" w:hAnsi="宋体" w:eastAsia="宋体" w:cs="宋体"/>
          <w:sz w:val="28"/>
          <w:szCs w:val="28"/>
          <w:lang w:eastAsia="zh-CN"/>
        </w:rPr>
        <w:fldChar w:fldCharType="separate"/>
      </w:r>
      <w:r>
        <w:rPr>
          <w:rFonts w:hint="default" w:ascii="宋体" w:hAnsi="宋体" w:eastAsia="宋体" w:cs="宋体"/>
          <w:sz w:val="28"/>
          <w:szCs w:val="28"/>
          <w:lang w:eastAsia="zh-CN"/>
        </w:rPr>
        <w:t>邵云中</w:t>
      </w:r>
      <w:r>
        <w:rPr>
          <w:rFonts w:hint="default"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19959614087, yzshao@fhcpec.com.cn</w:t>
      </w:r>
    </w:p>
    <w:p w14:paraId="38F98E3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cs="宋体"/>
          <w:sz w:val="28"/>
          <w:szCs w:val="28"/>
          <w:lang w:val="en-US" w:eastAsia="zh-CN"/>
        </w:rPr>
        <w:t>，</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 xml:space="preserve">    3.采购文件的修改书将构成采购文件的一部分，对参比人具有约束作用。</w:t>
      </w:r>
      <w:r>
        <w:rPr>
          <w:rFonts w:hint="eastAsia" w:ascii="宋体" w:hAnsi="宋体" w:eastAsia="宋体" w:cs="宋体"/>
          <w:b/>
          <w:w w:val="95"/>
          <w:sz w:val="28"/>
          <w:lang w:eastAsia="zh-CN"/>
        </w:rPr>
        <w:t>六、参比人资格</w:t>
      </w:r>
    </w:p>
    <w:p w14:paraId="7F37DC13">
      <w:pPr>
        <w:tabs>
          <w:tab w:val="left" w:pos="709"/>
        </w:tabs>
        <w:spacing w:line="360" w:lineRule="auto"/>
        <w:ind w:firstLine="560" w:firstLineChars="200"/>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具备有效期内的独立企业法人营业执照，具备建筑工程 施工总承包资质或钢结构工程专业承包资质；具有有效期内的安全生产许 可证，须提供复印件并加盖公章；</w:t>
      </w:r>
    </w:p>
    <w:p w14:paraId="0688921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6DC9BAF7">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所投电梯的安装单位须具有中华人民共和国特种设备生 产许可证，许可项目为电梯安装(电梯A 级),须提供复印件并加盖公章；</w:t>
      </w:r>
    </w:p>
    <w:p w14:paraId="7293B948">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cs="宋体"/>
          <w:snapToGrid/>
          <w:color w:val="000000" w:themeColor="text1"/>
          <w:kern w:val="0"/>
          <w:sz w:val="28"/>
          <w:szCs w:val="28"/>
          <w:lang w:val="en-US" w:eastAsia="zh-CN" w:bidi="ar-SA"/>
          <w14:textFill>
            <w14:solidFill>
              <w14:schemeClr w14:val="tx1"/>
            </w14:solidFill>
          </w14:textFill>
        </w:rPr>
        <w:t>4.</w:t>
      </w:r>
      <w:r>
        <w:rPr>
          <w:rFonts w:hint="eastAsia" w:ascii="宋体" w:hAnsi="宋体" w:eastAsia="宋体" w:cs="宋体"/>
          <w:color w:val="000000" w:themeColor="text1"/>
          <w:sz w:val="28"/>
          <w:szCs w:val="28"/>
          <w:lang w:val="en-US" w:eastAsia="zh-CN" w:bidi="ar-SA"/>
          <w14:textFill>
            <w14:solidFill>
              <w14:schemeClr w14:val="tx1"/>
            </w14:solidFill>
          </w14:textFill>
        </w:rPr>
        <w:t>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选择的电梯种类，其制造厂家须具有特种设备生产许可 证，包含设备类型(乘客电梯)、许可项目(制造/安装),且在有效期内，须提供复印件并加盖公章；</w:t>
      </w:r>
    </w:p>
    <w:p w14:paraId="755BABB4">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5</w:t>
      </w:r>
      <w:r>
        <w:rPr>
          <w:rFonts w:hint="eastAsia" w:ascii="宋体" w:hAnsi="宋体" w:eastAsia="宋体" w:cs="宋体"/>
          <w:color w:val="000000" w:themeColor="text1"/>
          <w:sz w:val="28"/>
          <w:szCs w:val="28"/>
          <w:lang w:val="en-US" w:eastAsia="zh-CN" w:bidi="ar-SA"/>
          <w14:textFill>
            <w14:solidFill>
              <w14:schemeClr w14:val="tx1"/>
            </w14:solidFill>
          </w14:textFill>
        </w:rPr>
        <w:t>.参选单位必须有类似项目业绩:</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提供近三年类似既有建筑加装电梯项目业绩，需提供合同、竣 工验收报告或使用登记复印件等证明材料并加盖公章；</w:t>
      </w:r>
    </w:p>
    <w:p w14:paraId="7EC48266">
      <w:pPr>
        <w:tabs>
          <w:tab w:val="left" w:pos="709"/>
        </w:tabs>
        <w:spacing w:line="360" w:lineRule="auto"/>
        <w:ind w:firstLine="560" w:firstLineChars="200"/>
        <w:rPr>
          <w:rFonts w:hint="eastAsia" w:cs="宋体"/>
          <w:color w:val="000000" w:themeColor="text1"/>
          <w:sz w:val="28"/>
          <w:szCs w:val="28"/>
          <w:lang w:val="en-US" w:eastAsia="zh-CN" w:bidi="ar-SA"/>
          <w14:textFill>
            <w14:solidFill>
              <w14:schemeClr w14:val="tx1"/>
            </w14:solidFill>
          </w14:textFill>
        </w:rPr>
      </w:pPr>
      <w:r>
        <w:rPr>
          <w:rFonts w:hint="eastAsia" w:cs="宋体"/>
          <w:snapToGrid/>
          <w:color w:val="000000" w:themeColor="text1"/>
          <w:kern w:val="0"/>
          <w:sz w:val="28"/>
          <w:szCs w:val="28"/>
          <w:lang w:val="en-US" w:eastAsia="zh-CN" w:bidi="ar-SA"/>
          <w14:textFill>
            <w14:solidFill>
              <w14:schemeClr w14:val="tx1"/>
            </w14:solidFill>
          </w14:textFill>
        </w:rPr>
        <w:t>6.</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项目负责人须具备有效的二级注册建造师或以上资质，且是</w:t>
      </w:r>
      <w:r>
        <w:rPr>
          <w:rFonts w:hint="eastAsia" w:ascii="宋体" w:hAnsi="宋体" w:eastAsia="宋体" w:cs="宋体"/>
          <w:color w:val="000000" w:themeColor="text1"/>
          <w:sz w:val="28"/>
          <w:szCs w:val="28"/>
          <w:lang w:val="en-US" w:eastAsia="zh-CN" w:bidi="ar-SA"/>
          <w14:textFill>
            <w14:solidFill>
              <w14:schemeClr w14:val="tx1"/>
            </w14:solidFill>
          </w14:textFill>
        </w:rPr>
        <w:t>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正式员工，并提供社保交纳证明文件并加盖公章；</w:t>
      </w:r>
    </w:p>
    <w:p w14:paraId="415EC21C">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7</w:t>
      </w:r>
      <w:r>
        <w:rPr>
          <w:rFonts w:hint="eastAsia" w:ascii="宋体" w:hAnsi="宋体" w:eastAsia="宋体" w:cs="宋体"/>
          <w:color w:val="000000" w:themeColor="text1"/>
          <w:sz w:val="28"/>
          <w:szCs w:val="28"/>
          <w:lang w:val="en-US" w:eastAsia="zh-CN" w:bidi="ar-SA"/>
          <w14:textFill>
            <w14:solidFill>
              <w14:schemeClr w14:val="tx1"/>
            </w14:solidFill>
          </w14:textFill>
        </w:rPr>
        <w:t>.本采购项目不接受联合体参选。</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12000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32B96822">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消防综合楼新增电梯采购项目</w:t>
      </w:r>
      <w:r>
        <w:rPr>
          <w:rFonts w:hint="eastAsia" w:ascii="宋体" w:hAnsi="宋体" w:eastAsia="宋体" w:cs="宋体"/>
          <w:sz w:val="28"/>
          <w:szCs w:val="28"/>
          <w:lang w:eastAsia="zh-CN"/>
        </w:rPr>
        <w:t xml:space="preserve">    </w:t>
      </w:r>
    </w:p>
    <w:p w14:paraId="0736B531">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5F5AB7E4">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6692C7D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w:t>
      </w:r>
      <w:r>
        <w:rPr>
          <w:rFonts w:hint="eastAsia" w:cs="宋体"/>
          <w:sz w:val="28"/>
          <w:szCs w:val="28"/>
          <w:lang w:val="en-US" w:eastAsia="zh-CN"/>
        </w:rPr>
        <w:t>选</w:t>
      </w:r>
      <w:r>
        <w:rPr>
          <w:rFonts w:hint="eastAsia" w:ascii="宋体" w:hAnsi="宋体" w:eastAsia="宋体" w:cs="宋体"/>
          <w:sz w:val="28"/>
          <w:szCs w:val="28"/>
          <w:lang w:eastAsia="zh-CN"/>
        </w:rPr>
        <w:t>通知书后规定的时间内签定合同。</w:t>
      </w:r>
    </w:p>
    <w:p w14:paraId="344760D5">
      <w:pPr>
        <w:spacing w:before="15" w:line="360" w:lineRule="auto"/>
        <w:rPr>
          <w:rFonts w:hint="eastAsia" w:ascii="宋体" w:hAnsi="宋体" w:eastAsia="宋体" w:cs="宋体"/>
          <w:b/>
          <w:w w:val="95"/>
          <w:sz w:val="28"/>
          <w:lang w:eastAsia="zh-CN"/>
        </w:rPr>
      </w:pPr>
    </w:p>
    <w:p w14:paraId="30858CA5">
      <w:pPr>
        <w:spacing w:before="15" w:line="360" w:lineRule="auto"/>
        <w:rPr>
          <w:rFonts w:hint="eastAsia" w:ascii="宋体" w:hAnsi="宋体" w:eastAsia="宋体" w:cs="宋体"/>
          <w:b/>
          <w:w w:val="95"/>
          <w:sz w:val="28"/>
          <w:lang w:eastAsia="zh-CN"/>
        </w:rPr>
      </w:pPr>
    </w:p>
    <w:p w14:paraId="493E0C00">
      <w:pPr>
        <w:spacing w:before="15" w:line="360" w:lineRule="auto"/>
        <w:rPr>
          <w:rFonts w:hint="eastAsia" w:ascii="宋体" w:hAnsi="宋体" w:eastAsia="宋体" w:cs="宋体"/>
          <w:b/>
          <w:w w:val="95"/>
          <w:sz w:val="28"/>
          <w:lang w:eastAsia="zh-CN"/>
        </w:rPr>
      </w:pP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6B8BAF82">
      <w:pPr>
        <w:pStyle w:val="5"/>
        <w:spacing w:line="360" w:lineRule="auto"/>
        <w:ind w:right="121"/>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w:t>
      </w:r>
      <w:r>
        <w:rPr>
          <w:rFonts w:hint="eastAsia" w:ascii="宋体" w:hAnsi="宋体" w:eastAsia="宋体" w:cs="宋体"/>
          <w:b/>
          <w:bCs/>
          <w:sz w:val="28"/>
          <w:szCs w:val="28"/>
          <w:lang w:val="en-US" w:eastAsia="zh-CN"/>
        </w:rPr>
        <w:t xml:space="preserve">   1. 参比文件递交地点：线下递交</w:t>
      </w:r>
      <w:r>
        <w:rPr>
          <w:rFonts w:hint="eastAsia" w:ascii="宋体" w:hAnsi="宋体" w:eastAsia="宋体" w:cs="宋体"/>
          <w:b/>
          <w:bCs/>
          <w:sz w:val="28"/>
          <w:szCs w:val="28"/>
          <w:lang w:eastAsia="zh-CN"/>
        </w:rPr>
        <w:t>。漳州市漳浦县杜浔镇杜昌路9号福海创办公楼三楼综合采购团队。收件人：沈学荣</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 xml:space="preserve">18159613129  </w:t>
      </w:r>
    </w:p>
    <w:p w14:paraId="4AEF446E">
      <w:pPr>
        <w:pStyle w:val="5"/>
        <w:spacing w:line="360" w:lineRule="auto"/>
        <w:ind w:right="121"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2. 递交截止时间：参选文件递交截止时间（以送达时间为准），有意向参选人请于公示期间进行</w:t>
      </w:r>
      <w:r>
        <w:rPr>
          <w:rFonts w:hint="eastAsia" w:ascii="宋体" w:hAnsi="宋体" w:eastAsia="宋体" w:cs="宋体"/>
          <w:b/>
          <w:bCs/>
          <w:sz w:val="28"/>
          <w:szCs w:val="28"/>
          <w:lang w:val="en-US" w:eastAsia="zh-CN"/>
        </w:rPr>
        <w:t>报名，并请在</w:t>
      </w:r>
      <w:r>
        <w:rPr>
          <w:rFonts w:hint="eastAsia" w:ascii="宋体" w:hAnsi="宋体" w:eastAsia="宋体" w:cs="宋体"/>
          <w:b/>
          <w:bCs/>
          <w:sz w:val="28"/>
          <w:szCs w:val="28"/>
          <w:lang w:eastAsia="zh-CN"/>
        </w:rPr>
        <w:t>公示之日起</w:t>
      </w:r>
      <w:r>
        <w:rPr>
          <w:rFonts w:hint="eastAsia" w:ascii="宋体" w:hAnsi="宋体" w:eastAsia="宋体" w:cs="宋体"/>
          <w:b/>
          <w:bCs/>
          <w:sz w:val="28"/>
          <w:szCs w:val="28"/>
          <w:lang w:val="en-US" w:eastAsia="zh-CN"/>
        </w:rPr>
        <w:t>12</w:t>
      </w:r>
      <w:r>
        <w:rPr>
          <w:rFonts w:hint="eastAsia" w:ascii="宋体" w:hAnsi="宋体" w:eastAsia="宋体" w:cs="宋体"/>
          <w:b/>
          <w:bCs/>
          <w:sz w:val="28"/>
          <w:szCs w:val="28"/>
          <w:lang w:eastAsia="zh-CN"/>
        </w:rPr>
        <w:t>天</w:t>
      </w:r>
      <w:r>
        <w:rPr>
          <w:rFonts w:hint="eastAsia" w:ascii="宋体" w:hAnsi="宋体" w:eastAsia="宋体" w:cs="宋体"/>
          <w:b/>
          <w:bCs/>
          <w:sz w:val="28"/>
          <w:szCs w:val="28"/>
          <w:lang w:val="en-US" w:eastAsia="zh-CN"/>
        </w:rPr>
        <w:t>内，</w:t>
      </w:r>
      <w:r>
        <w:rPr>
          <w:rFonts w:hint="eastAsia" w:ascii="宋体" w:hAnsi="宋体" w:eastAsia="宋体" w:cs="宋体"/>
          <w:b/>
          <w:bCs/>
          <w:sz w:val="28"/>
          <w:szCs w:val="28"/>
          <w:lang w:eastAsia="zh-CN"/>
        </w:rPr>
        <w:t>将参选文件纸质原件密封送达比选人指定地点。</w:t>
      </w:r>
    </w:p>
    <w:p w14:paraId="7BA848B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67667CAF">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2"/>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18"/>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0D95AB16">
      <w:pPr>
        <w:pStyle w:val="17"/>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3E958D45">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5"/>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5"/>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17"/>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07D0AD1F">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CF0C70C">
      <w:pPr>
        <w:pStyle w:val="2"/>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23203E77">
      <w:pPr>
        <w:spacing w:before="15" w:line="360" w:lineRule="auto"/>
        <w:ind w:firstLine="429" w:firstLineChars="15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一、规则</w:t>
      </w:r>
    </w:p>
    <w:p w14:paraId="2A88492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1.采购人在评审时，将优先对技术参比文件进行评审，技术参比文件符合业主要求方可进行下一轮商务报价评审。</w:t>
      </w:r>
    </w:p>
    <w:p w14:paraId="6F0E84D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2.参比人串选、相互勾结故意压低标价以排挤竞争对手的公平竞争的，其参比无效。</w:t>
      </w:r>
    </w:p>
    <w:p w14:paraId="3BE70EE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替补候选人的设定与使用：在合同签订前，采购单位发现参比人的参比报价或供货范围有缺漏、实际应标产品或服务存在重大偏差、或参比材料存在欺诈行为时、或参比人因不可抗力或自身原因不能履行合同的，将有理由取消中选人资格，保留依法追究的权利； 并将依法确定排名第二名的中选候选人为本项目的中选人。</w:t>
      </w:r>
    </w:p>
    <w:p w14:paraId="6216A61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6FBF85E0">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0C95DC09">
      <w:pPr>
        <w:pStyle w:val="5"/>
        <w:spacing w:line="360" w:lineRule="auto"/>
        <w:ind w:right="121"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三、评审办法</w:t>
      </w:r>
    </w:p>
    <w:p w14:paraId="44805DE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本项目采用综合评分法评审，规则：</w:t>
      </w:r>
    </w:p>
    <w:p w14:paraId="7921D240">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1、本次公开比选采用综合评分法，满分100分，其中技术分占20 分、商务分占10分、报价分占70分；</w:t>
      </w:r>
    </w:p>
    <w:p w14:paraId="29B85D2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2、投标方按照相同的标准递交投标文件。开标评审后，根据评分标 准，综合得分排名第一的为中标方。</w:t>
      </w:r>
    </w:p>
    <w:p w14:paraId="1E52848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1.3 具体评分方法和标准详见下附表</w:t>
      </w:r>
    </w:p>
    <w:p w14:paraId="3BFA1C15">
      <w:pPr>
        <w:pStyle w:val="5"/>
        <w:spacing w:line="360" w:lineRule="auto"/>
        <w:ind w:right="121" w:firstLine="560" w:firstLineChars="200"/>
        <w:jc w:val="both"/>
        <w:rPr>
          <w:rFonts w:hint="eastAsia" w:ascii="宋体" w:hAnsi="宋体" w:eastAsia="宋体" w:cs="宋体"/>
          <w:sz w:val="28"/>
          <w:szCs w:val="28"/>
          <w:lang w:eastAsia="zh-CN"/>
        </w:rPr>
      </w:pPr>
    </w:p>
    <w:tbl>
      <w:tblPr>
        <w:tblStyle w:val="22"/>
        <w:tblW w:w="97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3"/>
        <w:gridCol w:w="1398"/>
        <w:gridCol w:w="5628"/>
      </w:tblGrid>
      <w:tr w14:paraId="59935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803" w:type="dxa"/>
            <w:vAlign w:val="top"/>
          </w:tcPr>
          <w:p w14:paraId="233B217B">
            <w:pPr>
              <w:pStyle w:val="23"/>
              <w:spacing w:before="187" w:line="220" w:lineRule="auto"/>
              <w:ind w:left="335"/>
            </w:pPr>
            <w:r>
              <w:rPr>
                <w:spacing w:val="13"/>
              </w:rPr>
              <w:t>评标项目</w:t>
            </w:r>
          </w:p>
        </w:tc>
        <w:tc>
          <w:tcPr>
            <w:tcW w:w="1398" w:type="dxa"/>
            <w:vAlign w:val="top"/>
          </w:tcPr>
          <w:p w14:paraId="7D1F250D">
            <w:pPr>
              <w:pStyle w:val="23"/>
              <w:spacing w:before="186" w:line="219" w:lineRule="auto"/>
              <w:ind w:left="132"/>
            </w:pPr>
            <w:r>
              <w:rPr>
                <w:spacing w:val="2"/>
              </w:rPr>
              <w:t>评标分值</w:t>
            </w:r>
          </w:p>
        </w:tc>
        <w:tc>
          <w:tcPr>
            <w:tcW w:w="5628" w:type="dxa"/>
            <w:vAlign w:val="top"/>
          </w:tcPr>
          <w:p w14:paraId="70B87B26">
            <w:pPr>
              <w:pStyle w:val="23"/>
              <w:spacing w:before="187" w:line="220" w:lineRule="auto"/>
              <w:ind w:left="2244"/>
            </w:pPr>
            <w:r>
              <w:rPr>
                <w:spacing w:val="3"/>
              </w:rPr>
              <w:t>评分标准</w:t>
            </w:r>
          </w:p>
        </w:tc>
      </w:tr>
      <w:tr w14:paraId="2C5E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7" w:hRule="atLeast"/>
        </w:trPr>
        <w:tc>
          <w:tcPr>
            <w:tcW w:w="1803" w:type="dxa"/>
            <w:vAlign w:val="top"/>
          </w:tcPr>
          <w:p w14:paraId="098201D1">
            <w:pPr>
              <w:spacing w:line="353" w:lineRule="auto"/>
              <w:rPr>
                <w:rFonts w:ascii="Arial"/>
                <w:sz w:val="21"/>
              </w:rPr>
            </w:pPr>
          </w:p>
          <w:p w14:paraId="3B705301">
            <w:pPr>
              <w:spacing w:line="353" w:lineRule="auto"/>
              <w:rPr>
                <w:rFonts w:ascii="Arial"/>
                <w:sz w:val="21"/>
              </w:rPr>
            </w:pPr>
          </w:p>
          <w:p w14:paraId="7DAEDD51">
            <w:pPr>
              <w:pStyle w:val="23"/>
              <w:spacing w:before="91" w:line="411" w:lineRule="auto"/>
              <w:ind w:left="754" w:right="107" w:hanging="630"/>
            </w:pPr>
            <w:r>
              <w:rPr>
                <w:spacing w:val="3"/>
              </w:rPr>
              <w:t>设备品牌/档</w:t>
            </w:r>
            <w:r>
              <w:rPr>
                <w:spacing w:val="1"/>
              </w:rPr>
              <w:t xml:space="preserve"> </w:t>
            </w:r>
            <w:r>
              <w:t>次</w:t>
            </w:r>
          </w:p>
        </w:tc>
        <w:tc>
          <w:tcPr>
            <w:tcW w:w="1398" w:type="dxa"/>
            <w:vAlign w:val="top"/>
          </w:tcPr>
          <w:p w14:paraId="4BAF9F03">
            <w:pPr>
              <w:spacing w:line="260" w:lineRule="auto"/>
              <w:rPr>
                <w:rFonts w:ascii="Arial"/>
                <w:sz w:val="21"/>
              </w:rPr>
            </w:pPr>
          </w:p>
          <w:p w14:paraId="7224C049">
            <w:pPr>
              <w:spacing w:line="260" w:lineRule="auto"/>
              <w:rPr>
                <w:rFonts w:ascii="Arial"/>
                <w:sz w:val="21"/>
              </w:rPr>
            </w:pPr>
          </w:p>
          <w:p w14:paraId="6064E6FE">
            <w:pPr>
              <w:spacing w:line="261" w:lineRule="auto"/>
              <w:rPr>
                <w:rFonts w:ascii="Arial"/>
                <w:sz w:val="21"/>
              </w:rPr>
            </w:pPr>
          </w:p>
          <w:p w14:paraId="4954AE9C">
            <w:pPr>
              <w:spacing w:line="261" w:lineRule="auto"/>
              <w:rPr>
                <w:rFonts w:ascii="Arial"/>
                <w:sz w:val="21"/>
              </w:rPr>
            </w:pPr>
          </w:p>
          <w:p w14:paraId="760EB46B">
            <w:pPr>
              <w:pStyle w:val="23"/>
              <w:spacing w:before="91"/>
              <w:ind w:left="621"/>
            </w:pPr>
            <w:r>
              <w:t>6</w:t>
            </w:r>
          </w:p>
        </w:tc>
        <w:tc>
          <w:tcPr>
            <w:tcW w:w="5628" w:type="dxa"/>
            <w:vAlign w:val="top"/>
          </w:tcPr>
          <w:p w14:paraId="532A0EE7">
            <w:pPr>
              <w:pStyle w:val="23"/>
              <w:spacing w:before="174" w:line="305" w:lineRule="auto"/>
              <w:ind w:left="124" w:right="136" w:firstLine="20"/>
              <w:jc w:val="both"/>
            </w:pPr>
            <w:r>
              <w:t>根据</w:t>
            </w:r>
            <w:r>
              <w:rPr>
                <w:rFonts w:hint="eastAsia"/>
                <w:spacing w:val="3"/>
                <w:sz w:val="29"/>
                <w:szCs w:val="29"/>
                <w:lang w:val="en-US" w:eastAsia="zh-CN"/>
              </w:rPr>
              <w:t>参选单位</w:t>
            </w:r>
            <w:r>
              <w:t>所投设备在业界的知名度、认可</w:t>
            </w:r>
            <w:r>
              <w:rPr>
                <w:spacing w:val="11"/>
              </w:rPr>
              <w:t xml:space="preserve"> </w:t>
            </w:r>
            <w:r>
              <w:rPr>
                <w:spacing w:val="1"/>
              </w:rPr>
              <w:t>度、投放国内市场成熟情况及销售情况；电</w:t>
            </w:r>
            <w:r>
              <w:rPr>
                <w:spacing w:val="16"/>
              </w:rPr>
              <w:t xml:space="preserve"> </w:t>
            </w:r>
            <w:r>
              <w:rPr>
                <w:spacing w:val="1"/>
              </w:rPr>
              <w:t>梯制造商产品的认证情况；实验室等级；产</w:t>
            </w:r>
            <w:r>
              <w:rPr>
                <w:spacing w:val="17"/>
              </w:rPr>
              <w:t xml:space="preserve"> </w:t>
            </w:r>
            <w:r>
              <w:rPr>
                <w:spacing w:val="1"/>
              </w:rPr>
              <w:t>品第三者人身伤亡险及第三者财产责任险保</w:t>
            </w:r>
            <w:r>
              <w:rPr>
                <w:spacing w:val="9"/>
              </w:rPr>
              <w:t xml:space="preserve"> </w:t>
            </w:r>
            <w:r>
              <w:t>额等，在0～6分之间进行评分。</w:t>
            </w:r>
          </w:p>
        </w:tc>
      </w:tr>
      <w:tr w14:paraId="0097C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7" w:hRule="atLeast"/>
        </w:trPr>
        <w:tc>
          <w:tcPr>
            <w:tcW w:w="1803" w:type="dxa"/>
            <w:vAlign w:val="top"/>
          </w:tcPr>
          <w:p w14:paraId="2C179051">
            <w:pPr>
              <w:spacing w:line="254" w:lineRule="auto"/>
              <w:rPr>
                <w:rFonts w:ascii="Arial"/>
                <w:sz w:val="21"/>
              </w:rPr>
            </w:pPr>
          </w:p>
          <w:p w14:paraId="640E562D">
            <w:pPr>
              <w:spacing w:line="254" w:lineRule="auto"/>
              <w:rPr>
                <w:rFonts w:ascii="Arial"/>
                <w:sz w:val="21"/>
              </w:rPr>
            </w:pPr>
          </w:p>
          <w:p w14:paraId="21E9DEC5">
            <w:pPr>
              <w:spacing w:line="255" w:lineRule="auto"/>
              <w:rPr>
                <w:rFonts w:ascii="Arial"/>
                <w:sz w:val="21"/>
              </w:rPr>
            </w:pPr>
          </w:p>
          <w:p w14:paraId="7AFDD69A">
            <w:pPr>
              <w:spacing w:line="255" w:lineRule="auto"/>
              <w:rPr>
                <w:rFonts w:ascii="Arial"/>
                <w:sz w:val="21"/>
              </w:rPr>
            </w:pPr>
          </w:p>
          <w:p w14:paraId="35DDDA5D">
            <w:pPr>
              <w:pStyle w:val="23"/>
              <w:spacing w:before="91" w:line="219" w:lineRule="auto"/>
              <w:ind w:left="335"/>
            </w:pPr>
            <w:r>
              <w:rPr>
                <w:spacing w:val="3"/>
              </w:rPr>
              <w:t>服务方案</w:t>
            </w:r>
          </w:p>
        </w:tc>
        <w:tc>
          <w:tcPr>
            <w:tcW w:w="1398" w:type="dxa"/>
            <w:vAlign w:val="top"/>
          </w:tcPr>
          <w:p w14:paraId="47D5947D">
            <w:pPr>
              <w:spacing w:line="261" w:lineRule="auto"/>
              <w:rPr>
                <w:rFonts w:ascii="Arial"/>
                <w:sz w:val="21"/>
              </w:rPr>
            </w:pPr>
          </w:p>
          <w:p w14:paraId="15B83155">
            <w:pPr>
              <w:spacing w:line="261" w:lineRule="auto"/>
              <w:rPr>
                <w:rFonts w:ascii="Arial"/>
                <w:sz w:val="21"/>
              </w:rPr>
            </w:pPr>
          </w:p>
          <w:p w14:paraId="291600F9">
            <w:pPr>
              <w:spacing w:line="262" w:lineRule="auto"/>
              <w:rPr>
                <w:rFonts w:ascii="Arial"/>
                <w:sz w:val="21"/>
              </w:rPr>
            </w:pPr>
          </w:p>
          <w:p w14:paraId="2C441FAC">
            <w:pPr>
              <w:spacing w:line="262" w:lineRule="auto"/>
              <w:rPr>
                <w:rFonts w:ascii="Arial"/>
                <w:sz w:val="21"/>
              </w:rPr>
            </w:pPr>
          </w:p>
          <w:p w14:paraId="4C15D4B7">
            <w:pPr>
              <w:pStyle w:val="23"/>
              <w:spacing w:before="91" w:line="241" w:lineRule="auto"/>
              <w:ind w:left="621"/>
            </w:pPr>
            <w:r>
              <w:t>4</w:t>
            </w:r>
          </w:p>
        </w:tc>
        <w:tc>
          <w:tcPr>
            <w:tcW w:w="5628" w:type="dxa"/>
            <w:vAlign w:val="top"/>
          </w:tcPr>
          <w:p w14:paraId="6E18E283">
            <w:pPr>
              <w:pStyle w:val="23"/>
              <w:spacing w:before="183" w:line="219" w:lineRule="auto"/>
              <w:jc w:val="right"/>
            </w:pPr>
            <w:r>
              <w:rPr>
                <w:spacing w:val="4"/>
              </w:rPr>
              <w:t>提供设计施工方案(含设计内容、工程分项、</w:t>
            </w:r>
          </w:p>
          <w:p w14:paraId="3F2B88C7">
            <w:pPr>
              <w:pStyle w:val="23"/>
              <w:spacing w:before="299" w:line="409" w:lineRule="auto"/>
              <w:ind w:left="213" w:right="163" w:hanging="69"/>
            </w:pPr>
            <w:r>
              <w:rPr>
                <w:spacing w:val="-1"/>
              </w:rPr>
              <w:t>施工组织计划、设备和材料选型、设备和材</w:t>
            </w:r>
            <w:r>
              <w:rPr>
                <w:spacing w:val="8"/>
              </w:rPr>
              <w:t xml:space="preserve"> </w:t>
            </w:r>
            <w:r>
              <w:rPr>
                <w:spacing w:val="6"/>
              </w:rPr>
              <w:t>料技术参数等),设计内容含外观图；在0~</w:t>
            </w:r>
          </w:p>
          <w:p w14:paraId="00D88532">
            <w:pPr>
              <w:pStyle w:val="23"/>
              <w:spacing w:line="220" w:lineRule="auto"/>
              <w:ind w:left="104"/>
            </w:pPr>
            <w:r>
              <w:rPr>
                <w:spacing w:val="-1"/>
              </w:rPr>
              <w:t>5分之间进行评分。</w:t>
            </w:r>
          </w:p>
        </w:tc>
      </w:tr>
      <w:tr w14:paraId="52AA5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2" w:hRule="atLeast"/>
        </w:trPr>
        <w:tc>
          <w:tcPr>
            <w:tcW w:w="1803" w:type="dxa"/>
            <w:vAlign w:val="top"/>
          </w:tcPr>
          <w:p w14:paraId="394BE3EC">
            <w:pPr>
              <w:spacing w:line="256" w:lineRule="auto"/>
              <w:rPr>
                <w:rFonts w:ascii="Arial"/>
                <w:sz w:val="21"/>
              </w:rPr>
            </w:pPr>
          </w:p>
          <w:p w14:paraId="411821E9">
            <w:pPr>
              <w:spacing w:line="256" w:lineRule="auto"/>
              <w:rPr>
                <w:rFonts w:ascii="Arial"/>
                <w:sz w:val="21"/>
              </w:rPr>
            </w:pPr>
          </w:p>
          <w:p w14:paraId="3627D34A">
            <w:pPr>
              <w:spacing w:line="256" w:lineRule="auto"/>
              <w:rPr>
                <w:rFonts w:ascii="Arial"/>
                <w:sz w:val="21"/>
              </w:rPr>
            </w:pPr>
          </w:p>
          <w:p w14:paraId="59A52758">
            <w:pPr>
              <w:spacing w:line="256" w:lineRule="auto"/>
              <w:rPr>
                <w:rFonts w:ascii="Arial"/>
                <w:sz w:val="21"/>
              </w:rPr>
            </w:pPr>
          </w:p>
          <w:p w14:paraId="435A2A12">
            <w:pPr>
              <w:spacing w:line="257" w:lineRule="auto"/>
              <w:rPr>
                <w:rFonts w:ascii="Arial"/>
                <w:sz w:val="21"/>
              </w:rPr>
            </w:pPr>
          </w:p>
          <w:p w14:paraId="3E940337">
            <w:pPr>
              <w:pStyle w:val="23"/>
              <w:spacing w:before="91" w:line="221" w:lineRule="auto"/>
              <w:ind w:left="194"/>
            </w:pPr>
            <w:r>
              <w:rPr>
                <w:spacing w:val="2"/>
              </w:rPr>
              <w:t>性能及功能</w:t>
            </w:r>
          </w:p>
        </w:tc>
        <w:tc>
          <w:tcPr>
            <w:tcW w:w="1398" w:type="dxa"/>
            <w:vAlign w:val="top"/>
          </w:tcPr>
          <w:p w14:paraId="3CC8BCA6">
            <w:pPr>
              <w:spacing w:line="261" w:lineRule="auto"/>
              <w:rPr>
                <w:rFonts w:ascii="Arial"/>
                <w:sz w:val="21"/>
              </w:rPr>
            </w:pPr>
          </w:p>
          <w:p w14:paraId="095D0716">
            <w:pPr>
              <w:spacing w:line="261" w:lineRule="auto"/>
              <w:rPr>
                <w:rFonts w:ascii="Arial"/>
                <w:sz w:val="21"/>
              </w:rPr>
            </w:pPr>
          </w:p>
          <w:p w14:paraId="21E64E45">
            <w:pPr>
              <w:spacing w:line="261" w:lineRule="auto"/>
              <w:rPr>
                <w:rFonts w:ascii="Arial"/>
                <w:sz w:val="21"/>
              </w:rPr>
            </w:pPr>
          </w:p>
          <w:p w14:paraId="35F2FF7D">
            <w:pPr>
              <w:spacing w:line="261" w:lineRule="auto"/>
              <w:rPr>
                <w:rFonts w:ascii="Arial"/>
                <w:sz w:val="21"/>
              </w:rPr>
            </w:pPr>
          </w:p>
          <w:p w14:paraId="30BCF92F">
            <w:pPr>
              <w:spacing w:line="262" w:lineRule="auto"/>
              <w:rPr>
                <w:rFonts w:ascii="Arial"/>
                <w:sz w:val="21"/>
              </w:rPr>
            </w:pPr>
          </w:p>
          <w:p w14:paraId="1E844593">
            <w:pPr>
              <w:pStyle w:val="23"/>
              <w:spacing w:before="91"/>
              <w:ind w:left="551"/>
            </w:pPr>
            <w:r>
              <w:rPr>
                <w:spacing w:val="-8"/>
              </w:rPr>
              <w:t>10</w:t>
            </w:r>
          </w:p>
        </w:tc>
        <w:tc>
          <w:tcPr>
            <w:tcW w:w="5628" w:type="dxa"/>
            <w:vAlign w:val="top"/>
          </w:tcPr>
          <w:p w14:paraId="2BCC6948">
            <w:pPr>
              <w:pStyle w:val="23"/>
              <w:spacing w:before="190" w:line="309" w:lineRule="auto"/>
              <w:ind w:left="114" w:right="133" w:firstLine="30"/>
              <w:jc w:val="both"/>
            </w:pPr>
            <w:r>
              <w:rPr>
                <w:spacing w:val="1"/>
              </w:rPr>
              <w:t>产品主要系统的性能参数在业界的层次，如</w:t>
            </w:r>
            <w:r>
              <w:t xml:space="preserve"> </w:t>
            </w:r>
            <w:r>
              <w:rPr>
                <w:spacing w:val="2"/>
              </w:rPr>
              <w:t>曳引系统的马达功率、曳引机节能认证；控</w:t>
            </w:r>
            <w:r>
              <w:rPr>
                <w:spacing w:val="3"/>
              </w:rPr>
              <w:t xml:space="preserve"> </w:t>
            </w:r>
            <w:r>
              <w:rPr>
                <w:spacing w:val="2"/>
              </w:rPr>
              <w:t>制系统的能耗及磨损、变频节能功能以及运 载能力；安全系统防坠落、防轿厢冲顶、双</w:t>
            </w:r>
            <w:r>
              <w:rPr>
                <w:spacing w:val="7"/>
              </w:rPr>
              <w:t xml:space="preserve"> </w:t>
            </w:r>
            <w:r>
              <w:rPr>
                <w:spacing w:val="5"/>
              </w:rPr>
              <w:t>安全钳、双限速器等安全设置；在0～10分</w:t>
            </w:r>
            <w:r>
              <w:rPr>
                <w:spacing w:val="10"/>
              </w:rPr>
              <w:t xml:space="preserve"> </w:t>
            </w:r>
            <w:r>
              <w:t>之间进行评分。</w:t>
            </w:r>
          </w:p>
        </w:tc>
      </w:tr>
    </w:tbl>
    <w:p w14:paraId="00E39CFB">
      <w:pPr>
        <w:spacing w:before="91" w:line="219" w:lineRule="auto"/>
        <w:ind w:left="665"/>
        <w:rPr>
          <w:rFonts w:ascii="宋体" w:hAnsi="宋体" w:eastAsia="宋体" w:cs="宋体"/>
          <w:sz w:val="28"/>
          <w:szCs w:val="28"/>
        </w:rPr>
      </w:pPr>
      <w:r>
        <w:rPr>
          <w:rFonts w:ascii="宋体" w:hAnsi="宋体" w:eastAsia="宋体" w:cs="宋体"/>
          <w:spacing w:val="23"/>
          <w:sz w:val="28"/>
          <w:szCs w:val="28"/>
        </w:rPr>
        <w:t>4、商务评分(满分10分)</w:t>
      </w:r>
    </w:p>
    <w:tbl>
      <w:tblPr>
        <w:tblStyle w:val="22"/>
        <w:tblW w:w="8670"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1408"/>
        <w:gridCol w:w="5339"/>
      </w:tblGrid>
      <w:tr w14:paraId="0A06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23" w:type="dxa"/>
            <w:vAlign w:val="top"/>
          </w:tcPr>
          <w:p w14:paraId="34655B6B">
            <w:pPr>
              <w:pStyle w:val="23"/>
              <w:spacing w:before="177" w:line="220" w:lineRule="auto"/>
              <w:ind w:left="374"/>
              <w:rPr>
                <w:sz w:val="29"/>
                <w:szCs w:val="29"/>
              </w:rPr>
            </w:pPr>
            <w:r>
              <w:rPr>
                <w:spacing w:val="13"/>
                <w:sz w:val="29"/>
                <w:szCs w:val="29"/>
              </w:rPr>
              <w:t>评标项目</w:t>
            </w:r>
          </w:p>
        </w:tc>
        <w:tc>
          <w:tcPr>
            <w:tcW w:w="1408" w:type="dxa"/>
            <w:vAlign w:val="top"/>
          </w:tcPr>
          <w:p w14:paraId="5494C8C9">
            <w:pPr>
              <w:pStyle w:val="23"/>
              <w:spacing w:before="177" w:line="219" w:lineRule="auto"/>
              <w:ind w:left="111"/>
              <w:rPr>
                <w:sz w:val="29"/>
                <w:szCs w:val="29"/>
              </w:rPr>
            </w:pPr>
            <w:r>
              <w:rPr>
                <w:spacing w:val="2"/>
                <w:sz w:val="29"/>
                <w:szCs w:val="29"/>
              </w:rPr>
              <w:t>评标分值</w:t>
            </w:r>
          </w:p>
        </w:tc>
        <w:tc>
          <w:tcPr>
            <w:tcW w:w="5339" w:type="dxa"/>
            <w:vAlign w:val="top"/>
          </w:tcPr>
          <w:p w14:paraId="1871C21F">
            <w:pPr>
              <w:pStyle w:val="23"/>
              <w:spacing w:before="177" w:line="220" w:lineRule="auto"/>
              <w:ind w:left="2084"/>
              <w:rPr>
                <w:sz w:val="29"/>
                <w:szCs w:val="29"/>
              </w:rPr>
            </w:pPr>
            <w:r>
              <w:rPr>
                <w:spacing w:val="3"/>
                <w:sz w:val="29"/>
                <w:szCs w:val="29"/>
              </w:rPr>
              <w:t>评分标准</w:t>
            </w:r>
          </w:p>
        </w:tc>
      </w:tr>
      <w:tr w14:paraId="7F1FD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923" w:type="dxa"/>
            <w:vAlign w:val="top"/>
          </w:tcPr>
          <w:p w14:paraId="22800626">
            <w:pPr>
              <w:spacing w:line="267" w:lineRule="auto"/>
              <w:rPr>
                <w:rFonts w:ascii="Arial"/>
                <w:sz w:val="21"/>
              </w:rPr>
            </w:pPr>
          </w:p>
          <w:p w14:paraId="1726348A">
            <w:pPr>
              <w:pStyle w:val="23"/>
              <w:spacing w:before="94" w:line="219" w:lineRule="auto"/>
              <w:ind w:left="224"/>
              <w:rPr>
                <w:sz w:val="29"/>
                <w:szCs w:val="29"/>
              </w:rPr>
            </w:pPr>
            <w:r>
              <w:rPr>
                <w:spacing w:val="6"/>
                <w:sz w:val="29"/>
                <w:szCs w:val="29"/>
              </w:rPr>
              <w:t>服务商资质</w:t>
            </w:r>
          </w:p>
        </w:tc>
        <w:tc>
          <w:tcPr>
            <w:tcW w:w="1408" w:type="dxa"/>
            <w:vAlign w:val="top"/>
          </w:tcPr>
          <w:p w14:paraId="5DB8618E">
            <w:pPr>
              <w:spacing w:line="295" w:lineRule="auto"/>
              <w:rPr>
                <w:rFonts w:ascii="Arial"/>
                <w:sz w:val="21"/>
              </w:rPr>
            </w:pPr>
          </w:p>
          <w:p w14:paraId="5C1F4D16">
            <w:pPr>
              <w:pStyle w:val="23"/>
              <w:spacing w:before="95" w:line="241" w:lineRule="auto"/>
              <w:ind w:left="621"/>
              <w:rPr>
                <w:sz w:val="29"/>
                <w:szCs w:val="29"/>
              </w:rPr>
            </w:pPr>
            <w:r>
              <w:rPr>
                <w:sz w:val="29"/>
                <w:szCs w:val="29"/>
              </w:rPr>
              <w:t>2</w:t>
            </w:r>
          </w:p>
        </w:tc>
        <w:tc>
          <w:tcPr>
            <w:tcW w:w="5339" w:type="dxa"/>
            <w:vAlign w:val="top"/>
          </w:tcPr>
          <w:p w14:paraId="7E80D744">
            <w:pPr>
              <w:pStyle w:val="23"/>
              <w:spacing w:before="164" w:line="262" w:lineRule="auto"/>
              <w:ind w:left="123" w:right="43" w:hanging="70"/>
              <w:rPr>
                <w:sz w:val="29"/>
                <w:szCs w:val="29"/>
              </w:rPr>
            </w:pPr>
            <w:r>
              <w:rPr>
                <w:sz w:val="29"/>
                <w:szCs w:val="29"/>
              </w:rPr>
              <w:t>参照“三、资质要求”项目，在0～2分之</w:t>
            </w:r>
            <w:r>
              <w:rPr>
                <w:spacing w:val="10"/>
                <w:sz w:val="29"/>
                <w:szCs w:val="29"/>
              </w:rPr>
              <w:t xml:space="preserve"> </w:t>
            </w:r>
            <w:r>
              <w:rPr>
                <w:spacing w:val="24"/>
                <w:sz w:val="29"/>
                <w:szCs w:val="29"/>
              </w:rPr>
              <w:t>间进行评分；</w:t>
            </w:r>
          </w:p>
        </w:tc>
      </w:tr>
      <w:tr w14:paraId="1E48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6" w:hRule="atLeast"/>
        </w:trPr>
        <w:tc>
          <w:tcPr>
            <w:tcW w:w="1923" w:type="dxa"/>
            <w:vAlign w:val="top"/>
          </w:tcPr>
          <w:p w14:paraId="4EC65B4B">
            <w:pPr>
              <w:spacing w:line="253" w:lineRule="auto"/>
              <w:rPr>
                <w:rFonts w:ascii="Arial"/>
                <w:sz w:val="21"/>
              </w:rPr>
            </w:pPr>
          </w:p>
          <w:p w14:paraId="157C6432">
            <w:pPr>
              <w:spacing w:line="254" w:lineRule="auto"/>
              <w:rPr>
                <w:rFonts w:ascii="Arial"/>
                <w:sz w:val="21"/>
              </w:rPr>
            </w:pPr>
          </w:p>
          <w:p w14:paraId="02DAF8BA">
            <w:pPr>
              <w:spacing w:line="254" w:lineRule="auto"/>
              <w:rPr>
                <w:rFonts w:ascii="Arial"/>
                <w:sz w:val="21"/>
              </w:rPr>
            </w:pPr>
          </w:p>
          <w:p w14:paraId="3457EA79">
            <w:pPr>
              <w:spacing w:line="254" w:lineRule="auto"/>
              <w:rPr>
                <w:rFonts w:ascii="Arial"/>
                <w:sz w:val="21"/>
              </w:rPr>
            </w:pPr>
          </w:p>
          <w:p w14:paraId="56BBBC45">
            <w:pPr>
              <w:pStyle w:val="23"/>
              <w:spacing w:before="94" w:line="220" w:lineRule="auto"/>
              <w:ind w:left="374"/>
              <w:rPr>
                <w:sz w:val="29"/>
                <w:szCs w:val="29"/>
              </w:rPr>
            </w:pPr>
            <w:r>
              <w:rPr>
                <w:spacing w:val="2"/>
                <w:sz w:val="29"/>
                <w:szCs w:val="29"/>
              </w:rPr>
              <w:t>项目业绩</w:t>
            </w:r>
          </w:p>
        </w:tc>
        <w:tc>
          <w:tcPr>
            <w:tcW w:w="1408" w:type="dxa"/>
            <w:vAlign w:val="top"/>
          </w:tcPr>
          <w:p w14:paraId="679A1FB1">
            <w:pPr>
              <w:spacing w:line="260" w:lineRule="auto"/>
              <w:rPr>
                <w:rFonts w:ascii="Arial"/>
                <w:sz w:val="21"/>
              </w:rPr>
            </w:pPr>
          </w:p>
          <w:p w14:paraId="258F95E6">
            <w:pPr>
              <w:spacing w:line="260" w:lineRule="auto"/>
              <w:rPr>
                <w:rFonts w:ascii="Arial"/>
                <w:sz w:val="21"/>
              </w:rPr>
            </w:pPr>
          </w:p>
          <w:p w14:paraId="76966A8F">
            <w:pPr>
              <w:spacing w:line="261" w:lineRule="auto"/>
              <w:rPr>
                <w:rFonts w:ascii="Arial"/>
                <w:sz w:val="21"/>
              </w:rPr>
            </w:pPr>
          </w:p>
          <w:p w14:paraId="5D2DCF7A">
            <w:pPr>
              <w:spacing w:line="261" w:lineRule="auto"/>
              <w:rPr>
                <w:rFonts w:ascii="Arial"/>
                <w:sz w:val="21"/>
              </w:rPr>
            </w:pPr>
          </w:p>
          <w:p w14:paraId="470D4A05">
            <w:pPr>
              <w:pStyle w:val="23"/>
              <w:spacing w:before="94"/>
              <w:ind w:left="621"/>
              <w:rPr>
                <w:sz w:val="29"/>
                <w:szCs w:val="29"/>
              </w:rPr>
            </w:pPr>
            <w:r>
              <w:rPr>
                <w:sz w:val="29"/>
                <w:szCs w:val="29"/>
              </w:rPr>
              <w:t>3</w:t>
            </w:r>
          </w:p>
        </w:tc>
        <w:tc>
          <w:tcPr>
            <w:tcW w:w="5339" w:type="dxa"/>
            <w:vAlign w:val="top"/>
          </w:tcPr>
          <w:p w14:paraId="2783F753">
            <w:pPr>
              <w:pStyle w:val="23"/>
              <w:spacing w:before="164" w:line="316" w:lineRule="auto"/>
              <w:ind w:left="53" w:right="41"/>
              <w:jc w:val="both"/>
              <w:rPr>
                <w:sz w:val="29"/>
                <w:szCs w:val="29"/>
              </w:rPr>
            </w:pPr>
            <w:r>
              <w:rPr>
                <w:sz w:val="29"/>
                <w:szCs w:val="29"/>
              </w:rPr>
              <w:t>提供近三年类似既有建筑加装电梯项目业</w:t>
            </w:r>
            <w:r>
              <w:rPr>
                <w:spacing w:val="9"/>
                <w:sz w:val="29"/>
                <w:szCs w:val="29"/>
              </w:rPr>
              <w:t xml:space="preserve"> </w:t>
            </w:r>
            <w:r>
              <w:rPr>
                <w:sz w:val="29"/>
                <w:szCs w:val="29"/>
              </w:rPr>
              <w:t>绩，在0～3分之间进行评分。业绩中具备</w:t>
            </w:r>
            <w:r>
              <w:rPr>
                <w:spacing w:val="12"/>
                <w:sz w:val="29"/>
                <w:szCs w:val="29"/>
              </w:rPr>
              <w:t xml:space="preserve"> </w:t>
            </w:r>
            <w:r>
              <w:rPr>
                <w:spacing w:val="4"/>
                <w:sz w:val="29"/>
                <w:szCs w:val="29"/>
              </w:rPr>
              <w:t>本项目类似</w:t>
            </w:r>
            <w:r>
              <w:rPr>
                <w:sz w:val="29"/>
                <w:szCs w:val="29"/>
              </w:rPr>
              <w:t>EPC</w:t>
            </w:r>
            <w:r>
              <w:rPr>
                <w:spacing w:val="4"/>
                <w:sz w:val="29"/>
                <w:szCs w:val="29"/>
              </w:rPr>
              <w:t>经验案例的更优。</w:t>
            </w:r>
          </w:p>
          <w:p w14:paraId="4F9C0923">
            <w:pPr>
              <w:pStyle w:val="23"/>
              <w:spacing w:line="268" w:lineRule="auto"/>
              <w:ind w:left="53"/>
              <w:jc w:val="both"/>
              <w:rPr>
                <w:sz w:val="29"/>
                <w:szCs w:val="29"/>
              </w:rPr>
            </w:pPr>
            <w:r>
              <w:rPr>
                <w:spacing w:val="-4"/>
                <w:sz w:val="29"/>
                <w:szCs w:val="29"/>
              </w:rPr>
              <w:t>需提供完整销售合同，业绩合同复印件加</w:t>
            </w:r>
            <w:r>
              <w:rPr>
                <w:spacing w:val="5"/>
                <w:sz w:val="29"/>
                <w:szCs w:val="29"/>
              </w:rPr>
              <w:t xml:space="preserve"> </w:t>
            </w:r>
            <w:r>
              <w:rPr>
                <w:spacing w:val="3"/>
                <w:sz w:val="29"/>
                <w:szCs w:val="29"/>
              </w:rPr>
              <w:t>盖</w:t>
            </w:r>
            <w:r>
              <w:rPr>
                <w:rFonts w:hint="eastAsia"/>
                <w:spacing w:val="3"/>
                <w:sz w:val="29"/>
                <w:szCs w:val="29"/>
                <w:lang w:val="en-US" w:eastAsia="zh-CN"/>
              </w:rPr>
              <w:t>参选单位</w:t>
            </w:r>
            <w:r>
              <w:rPr>
                <w:spacing w:val="3"/>
                <w:sz w:val="29"/>
                <w:szCs w:val="29"/>
              </w:rPr>
              <w:t>公章并全部装订在投标文件中；</w:t>
            </w:r>
          </w:p>
        </w:tc>
      </w:tr>
      <w:tr w14:paraId="50077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2" w:hRule="atLeast"/>
        </w:trPr>
        <w:tc>
          <w:tcPr>
            <w:tcW w:w="1923" w:type="dxa"/>
            <w:vAlign w:val="top"/>
          </w:tcPr>
          <w:p w14:paraId="7CB6AFE1">
            <w:pPr>
              <w:spacing w:line="462" w:lineRule="auto"/>
              <w:rPr>
                <w:rFonts w:ascii="Arial"/>
                <w:sz w:val="21"/>
              </w:rPr>
            </w:pPr>
          </w:p>
          <w:p w14:paraId="1B382E8B">
            <w:pPr>
              <w:pStyle w:val="23"/>
              <w:spacing w:before="94" w:line="307" w:lineRule="auto"/>
              <w:ind w:left="804" w:right="76" w:hanging="719"/>
              <w:rPr>
                <w:sz w:val="29"/>
                <w:szCs w:val="29"/>
              </w:rPr>
            </w:pPr>
            <w:r>
              <w:rPr>
                <w:spacing w:val="1"/>
                <w:sz w:val="29"/>
                <w:szCs w:val="29"/>
              </w:rPr>
              <w:t>质保及售后服</w:t>
            </w:r>
            <w:r>
              <w:rPr>
                <w:spacing w:val="4"/>
                <w:sz w:val="29"/>
                <w:szCs w:val="29"/>
              </w:rPr>
              <w:t xml:space="preserve"> </w:t>
            </w:r>
            <w:r>
              <w:rPr>
                <w:sz w:val="29"/>
                <w:szCs w:val="29"/>
              </w:rPr>
              <w:t>务</w:t>
            </w:r>
          </w:p>
        </w:tc>
        <w:tc>
          <w:tcPr>
            <w:tcW w:w="1408" w:type="dxa"/>
            <w:vAlign w:val="top"/>
          </w:tcPr>
          <w:p w14:paraId="23DAE366">
            <w:pPr>
              <w:spacing w:line="334" w:lineRule="auto"/>
              <w:rPr>
                <w:rFonts w:ascii="Arial"/>
                <w:sz w:val="21"/>
              </w:rPr>
            </w:pPr>
          </w:p>
          <w:p w14:paraId="6FB9EDA2">
            <w:pPr>
              <w:spacing w:line="334" w:lineRule="auto"/>
              <w:rPr>
                <w:rFonts w:ascii="Arial"/>
                <w:sz w:val="21"/>
              </w:rPr>
            </w:pPr>
          </w:p>
          <w:p w14:paraId="6674165F">
            <w:pPr>
              <w:pStyle w:val="23"/>
              <w:spacing w:before="95"/>
              <w:ind w:left="621"/>
              <w:rPr>
                <w:sz w:val="29"/>
                <w:szCs w:val="29"/>
              </w:rPr>
            </w:pPr>
            <w:r>
              <w:rPr>
                <w:sz w:val="29"/>
                <w:szCs w:val="29"/>
              </w:rPr>
              <w:t>5</w:t>
            </w:r>
          </w:p>
        </w:tc>
        <w:tc>
          <w:tcPr>
            <w:tcW w:w="5339" w:type="dxa"/>
            <w:vAlign w:val="top"/>
          </w:tcPr>
          <w:p w14:paraId="689F919E">
            <w:pPr>
              <w:pStyle w:val="23"/>
              <w:spacing w:before="299" w:line="306" w:lineRule="auto"/>
              <w:ind w:left="53" w:right="41"/>
              <w:jc w:val="both"/>
              <w:rPr>
                <w:sz w:val="29"/>
                <w:szCs w:val="29"/>
              </w:rPr>
            </w:pPr>
            <w:r>
              <w:rPr>
                <w:sz w:val="29"/>
                <w:szCs w:val="29"/>
              </w:rPr>
              <w:t>从整体、关键设备、易损件的质保期服务</w:t>
            </w:r>
            <w:r>
              <w:rPr>
                <w:spacing w:val="12"/>
                <w:sz w:val="29"/>
                <w:szCs w:val="29"/>
              </w:rPr>
              <w:t xml:space="preserve"> </w:t>
            </w:r>
            <w:r>
              <w:rPr>
                <w:sz w:val="29"/>
                <w:szCs w:val="29"/>
              </w:rPr>
              <w:t>周期，售后服务的及时性和便捷性等方面</w:t>
            </w:r>
            <w:r>
              <w:rPr>
                <w:spacing w:val="11"/>
                <w:sz w:val="29"/>
                <w:szCs w:val="29"/>
              </w:rPr>
              <w:t xml:space="preserve"> </w:t>
            </w:r>
            <w:r>
              <w:rPr>
                <w:spacing w:val="3"/>
                <w:sz w:val="29"/>
                <w:szCs w:val="29"/>
              </w:rPr>
              <w:t>情况，在0～5分之间进行评分。</w:t>
            </w:r>
          </w:p>
        </w:tc>
      </w:tr>
    </w:tbl>
    <w:p w14:paraId="257399E1">
      <w:pPr>
        <w:spacing w:before="173" w:line="218" w:lineRule="auto"/>
        <w:ind w:left="675"/>
        <w:rPr>
          <w:rFonts w:ascii="宋体" w:hAnsi="宋体" w:eastAsia="宋体" w:cs="宋体"/>
          <w:sz w:val="27"/>
          <w:szCs w:val="27"/>
        </w:rPr>
      </w:pPr>
      <w:r>
        <w:rPr>
          <w:rFonts w:ascii="宋体" w:hAnsi="宋体" w:eastAsia="宋体" w:cs="宋体"/>
          <w:spacing w:val="17"/>
          <w:sz w:val="27"/>
          <w:szCs w:val="27"/>
        </w:rPr>
        <w:t>5、报价评分(满分70分)</w:t>
      </w:r>
    </w:p>
    <w:p w14:paraId="5D40C215">
      <w:pPr>
        <w:spacing w:line="127" w:lineRule="exact"/>
      </w:pPr>
    </w:p>
    <w:tbl>
      <w:tblPr>
        <w:tblStyle w:val="22"/>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2"/>
        <w:gridCol w:w="1323"/>
        <w:gridCol w:w="5454"/>
      </w:tblGrid>
      <w:tr w14:paraId="7F287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7" w:hRule="atLeast"/>
        </w:trPr>
        <w:tc>
          <w:tcPr>
            <w:tcW w:w="2082" w:type="dxa"/>
            <w:vAlign w:val="center"/>
          </w:tcPr>
          <w:p w14:paraId="24A2BEFE">
            <w:pPr>
              <w:spacing w:line="462" w:lineRule="auto"/>
              <w:jc w:val="center"/>
              <w:rPr>
                <w:rFonts w:ascii="Arial"/>
                <w:sz w:val="21"/>
              </w:rPr>
            </w:pPr>
            <w:r>
              <w:rPr>
                <w:rFonts w:hint="eastAsia" w:ascii="宋体" w:hAnsi="宋体" w:eastAsia="宋体" w:cs="宋体"/>
                <w:spacing w:val="1"/>
                <w:sz w:val="29"/>
                <w:szCs w:val="29"/>
                <w:lang w:val="en-US" w:eastAsia="en-US" w:bidi="ar-SA"/>
              </w:rPr>
              <w:t>报价</w:t>
            </w:r>
          </w:p>
        </w:tc>
        <w:tc>
          <w:tcPr>
            <w:tcW w:w="1323" w:type="dxa"/>
            <w:vAlign w:val="center"/>
          </w:tcPr>
          <w:p w14:paraId="19B91DD7">
            <w:pPr>
              <w:spacing w:line="462" w:lineRule="auto"/>
              <w:jc w:val="center"/>
              <w:rPr>
                <w:rFonts w:ascii="宋体" w:hAnsi="宋体" w:eastAsia="宋体" w:cs="宋体"/>
                <w:sz w:val="29"/>
                <w:szCs w:val="29"/>
                <w:lang w:val="en-US" w:eastAsia="en-US" w:bidi="ar-SA"/>
              </w:rPr>
            </w:pPr>
            <w:r>
              <w:rPr>
                <w:rFonts w:hint="eastAsia" w:ascii="宋体" w:hAnsi="宋体" w:eastAsia="宋体" w:cs="宋体"/>
                <w:sz w:val="29"/>
                <w:szCs w:val="29"/>
                <w:lang w:val="en-US" w:eastAsia="en-US" w:bidi="ar-SA"/>
              </w:rPr>
              <w:t>70</w:t>
            </w:r>
          </w:p>
        </w:tc>
        <w:tc>
          <w:tcPr>
            <w:tcW w:w="5454" w:type="dxa"/>
            <w:vAlign w:val="center"/>
          </w:tcPr>
          <w:p w14:paraId="4DE21003">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P＝（1-（ An－AD）/AD×Q）×M；</w:t>
            </w:r>
          </w:p>
          <w:p w14:paraId="110D808F">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式中：P</w:t>
            </w:r>
            <w:r>
              <w:rPr>
                <w:rFonts w:hint="eastAsia" w:ascii="宋体" w:hAnsi="宋体" w:eastAsia="宋体" w:cs="宋体"/>
                <w:sz w:val="29"/>
                <w:szCs w:val="29"/>
                <w:lang w:val="en-US" w:eastAsia="zh-CN" w:bidi="ar-SA"/>
              </w:rPr>
              <w:t>为报</w:t>
            </w:r>
            <w:r>
              <w:rPr>
                <w:rFonts w:hint="eastAsia" w:ascii="宋体" w:hAnsi="宋体" w:eastAsia="宋体" w:cs="宋体"/>
                <w:sz w:val="29"/>
                <w:szCs w:val="29"/>
                <w:lang w:val="en-US" w:eastAsia="en-US" w:bidi="ar-SA"/>
              </w:rPr>
              <w:t>价得分；</w:t>
            </w:r>
          </w:p>
          <w:p w14:paraId="11A04360">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An各合格</w:t>
            </w:r>
            <w:r>
              <w:rPr>
                <w:rFonts w:hint="eastAsia" w:ascii="宋体" w:hAnsi="宋体" w:eastAsia="宋体" w:cs="宋体"/>
                <w:sz w:val="29"/>
                <w:szCs w:val="29"/>
                <w:lang w:val="en-US" w:eastAsia="zh-CN" w:bidi="ar-SA"/>
              </w:rPr>
              <w:t>参比</w:t>
            </w:r>
            <w:r>
              <w:rPr>
                <w:rFonts w:hint="eastAsia" w:ascii="宋体" w:hAnsi="宋体" w:eastAsia="宋体" w:cs="宋体"/>
                <w:sz w:val="29"/>
                <w:szCs w:val="29"/>
                <w:lang w:val="en-US" w:eastAsia="en-US" w:bidi="ar-SA"/>
              </w:rPr>
              <w:t>人的</w:t>
            </w:r>
            <w:r>
              <w:rPr>
                <w:rFonts w:hint="eastAsia" w:ascii="宋体" w:hAnsi="宋体" w:eastAsia="宋体" w:cs="宋体"/>
                <w:sz w:val="29"/>
                <w:szCs w:val="29"/>
                <w:lang w:val="en-US" w:eastAsia="zh-CN" w:bidi="ar-SA"/>
              </w:rPr>
              <w:t>报价</w:t>
            </w:r>
            <w:r>
              <w:rPr>
                <w:rFonts w:hint="eastAsia" w:ascii="宋体" w:hAnsi="宋体" w:eastAsia="宋体" w:cs="宋体"/>
                <w:sz w:val="29"/>
                <w:szCs w:val="29"/>
                <w:lang w:val="en-US" w:eastAsia="en-US" w:bidi="ar-SA"/>
              </w:rPr>
              <w:t>；</w:t>
            </w:r>
          </w:p>
          <w:p w14:paraId="54455789">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AD</w:t>
            </w:r>
            <w:r>
              <w:rPr>
                <w:rFonts w:hint="eastAsia" w:ascii="宋体" w:hAnsi="宋体" w:eastAsia="宋体" w:cs="宋体"/>
                <w:sz w:val="29"/>
                <w:szCs w:val="29"/>
                <w:lang w:val="en-US" w:eastAsia="zh-CN" w:bidi="ar-SA"/>
              </w:rPr>
              <w:t>为评审基准价，</w:t>
            </w:r>
            <w:r>
              <w:rPr>
                <w:rFonts w:hint="eastAsia" w:ascii="宋体" w:hAnsi="宋体" w:eastAsia="宋体" w:cs="宋体"/>
                <w:sz w:val="29"/>
                <w:szCs w:val="29"/>
                <w:lang w:val="en-US" w:eastAsia="en-US" w:bidi="ar-SA"/>
              </w:rPr>
              <w:t>合格</w:t>
            </w:r>
            <w:r>
              <w:rPr>
                <w:rFonts w:hint="eastAsia" w:ascii="宋体" w:hAnsi="宋体" w:eastAsia="宋体" w:cs="宋体"/>
                <w:sz w:val="29"/>
                <w:szCs w:val="29"/>
                <w:lang w:val="en-US" w:eastAsia="zh-CN" w:bidi="ar-SA"/>
              </w:rPr>
              <w:t>参比人中</w:t>
            </w:r>
            <w:r>
              <w:rPr>
                <w:rFonts w:hint="eastAsia" w:ascii="宋体" w:hAnsi="宋体" w:eastAsia="宋体" w:cs="宋体"/>
                <w:sz w:val="29"/>
                <w:szCs w:val="29"/>
                <w:lang w:val="en-US" w:eastAsia="en-US" w:bidi="ar-SA"/>
              </w:rPr>
              <w:t>报价中最低</w:t>
            </w:r>
            <w:r>
              <w:rPr>
                <w:rFonts w:hint="eastAsia" w:ascii="宋体" w:hAnsi="宋体" w:eastAsia="宋体" w:cs="宋体"/>
                <w:sz w:val="29"/>
                <w:szCs w:val="29"/>
                <w:lang w:val="en-US" w:eastAsia="zh-CN" w:bidi="ar-SA"/>
              </w:rPr>
              <w:t>的</w:t>
            </w:r>
            <w:r>
              <w:rPr>
                <w:rFonts w:hint="eastAsia" w:ascii="宋体" w:hAnsi="宋体" w:eastAsia="宋体" w:cs="宋体"/>
                <w:sz w:val="29"/>
                <w:szCs w:val="29"/>
                <w:lang w:val="en-US" w:eastAsia="en-US" w:bidi="ar-SA"/>
              </w:rPr>
              <w:t>价格；</w:t>
            </w:r>
          </w:p>
          <w:p w14:paraId="22349F12">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Q为调整系数，Q=1；</w:t>
            </w:r>
          </w:p>
          <w:p w14:paraId="7FD93578">
            <w:pPr>
              <w:spacing w:line="462" w:lineRule="auto"/>
              <w:jc w:val="left"/>
              <w:rPr>
                <w:rFonts w:hint="eastAsia" w:ascii="宋体" w:hAnsi="宋体" w:eastAsia="宋体" w:cs="宋体"/>
                <w:sz w:val="29"/>
                <w:szCs w:val="29"/>
                <w:lang w:val="en-US" w:eastAsia="zh-CN" w:bidi="ar-SA"/>
              </w:rPr>
            </w:pPr>
            <w:r>
              <w:rPr>
                <w:rFonts w:hint="eastAsia" w:ascii="宋体" w:hAnsi="宋体" w:eastAsia="宋体" w:cs="宋体"/>
                <w:sz w:val="29"/>
                <w:szCs w:val="29"/>
                <w:lang w:val="en-US" w:eastAsia="en-US" w:bidi="ar-SA"/>
              </w:rPr>
              <w:t>M为报价得分满分值，M=70。</w:t>
            </w:r>
          </w:p>
        </w:tc>
      </w:tr>
    </w:tbl>
    <w:p w14:paraId="08A2EFE1">
      <w:pPr>
        <w:pStyle w:val="5"/>
        <w:numPr>
          <w:ilvl w:val="0"/>
          <w:numId w:val="0"/>
        </w:numPr>
        <w:spacing w:line="360" w:lineRule="auto"/>
        <w:ind w:right="121" w:rightChars="0"/>
        <w:jc w:val="both"/>
        <w:rPr>
          <w:rFonts w:hint="eastAsia" w:cs="宋体"/>
          <w:sz w:val="28"/>
          <w:szCs w:val="28"/>
          <w:lang w:val="en-US" w:eastAsia="zh-CN"/>
        </w:rPr>
      </w:pPr>
    </w:p>
    <w:p w14:paraId="0BA5F4D7">
      <w:pPr>
        <w:pStyle w:val="5"/>
        <w:numPr>
          <w:ilvl w:val="0"/>
          <w:numId w:val="0"/>
        </w:numPr>
        <w:spacing w:line="360" w:lineRule="auto"/>
        <w:ind w:right="121" w:rightChars="0"/>
        <w:jc w:val="both"/>
        <w:rPr>
          <w:rFonts w:hint="eastAsia" w:ascii="宋体" w:hAnsi="宋体" w:eastAsia="宋体" w:cs="宋体"/>
          <w:sz w:val="28"/>
          <w:szCs w:val="28"/>
          <w:lang w:eastAsia="zh-CN"/>
        </w:rPr>
      </w:pPr>
      <w:r>
        <w:rPr>
          <w:rFonts w:hint="eastAsia" w:cs="宋体"/>
          <w:sz w:val="28"/>
          <w:szCs w:val="28"/>
          <w:lang w:val="en-US" w:eastAsia="zh-CN"/>
        </w:rPr>
        <w:t>2.</w:t>
      </w:r>
      <w:r>
        <w:rPr>
          <w:rFonts w:hint="eastAsia" w:ascii="宋体" w:hAnsi="宋体" w:eastAsia="宋体" w:cs="宋体"/>
          <w:sz w:val="28"/>
          <w:szCs w:val="28"/>
          <w:lang w:eastAsia="zh-CN"/>
        </w:rPr>
        <w:t>报价评分：</w:t>
      </w:r>
    </w:p>
    <w:p w14:paraId="3EE7A62B">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P＝（1-（ An－AD）/AD×Q）×M；</w:t>
      </w:r>
    </w:p>
    <w:p w14:paraId="34059E75">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式中：P</w:t>
      </w:r>
      <w:r>
        <w:rPr>
          <w:rFonts w:hint="eastAsia" w:ascii="宋体" w:hAnsi="宋体" w:eastAsia="宋体" w:cs="宋体"/>
          <w:sz w:val="29"/>
          <w:szCs w:val="29"/>
          <w:lang w:val="en-US" w:eastAsia="zh-CN" w:bidi="ar-SA"/>
        </w:rPr>
        <w:t>为报</w:t>
      </w:r>
      <w:r>
        <w:rPr>
          <w:rFonts w:hint="eastAsia" w:ascii="宋体" w:hAnsi="宋体" w:eastAsia="宋体" w:cs="宋体"/>
          <w:sz w:val="29"/>
          <w:szCs w:val="29"/>
          <w:lang w:val="en-US" w:eastAsia="en-US" w:bidi="ar-SA"/>
        </w:rPr>
        <w:t>价得分；</w:t>
      </w:r>
    </w:p>
    <w:p w14:paraId="12CF61A4">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An各合格</w:t>
      </w:r>
      <w:r>
        <w:rPr>
          <w:rFonts w:hint="eastAsia" w:ascii="宋体" w:hAnsi="宋体" w:eastAsia="宋体" w:cs="宋体"/>
          <w:sz w:val="29"/>
          <w:szCs w:val="29"/>
          <w:lang w:val="en-US" w:eastAsia="zh-CN" w:bidi="ar-SA"/>
        </w:rPr>
        <w:t>参比</w:t>
      </w:r>
      <w:r>
        <w:rPr>
          <w:rFonts w:hint="eastAsia" w:ascii="宋体" w:hAnsi="宋体" w:eastAsia="宋体" w:cs="宋体"/>
          <w:sz w:val="29"/>
          <w:szCs w:val="29"/>
          <w:lang w:val="en-US" w:eastAsia="en-US" w:bidi="ar-SA"/>
        </w:rPr>
        <w:t>人的</w:t>
      </w:r>
      <w:r>
        <w:rPr>
          <w:rFonts w:hint="eastAsia" w:ascii="宋体" w:hAnsi="宋体" w:eastAsia="宋体" w:cs="宋体"/>
          <w:sz w:val="29"/>
          <w:szCs w:val="29"/>
          <w:lang w:val="en-US" w:eastAsia="zh-CN" w:bidi="ar-SA"/>
        </w:rPr>
        <w:t>报价</w:t>
      </w:r>
      <w:r>
        <w:rPr>
          <w:rFonts w:hint="eastAsia" w:ascii="宋体" w:hAnsi="宋体" w:eastAsia="宋体" w:cs="宋体"/>
          <w:sz w:val="29"/>
          <w:szCs w:val="29"/>
          <w:lang w:val="en-US" w:eastAsia="en-US" w:bidi="ar-SA"/>
        </w:rPr>
        <w:t>；</w:t>
      </w:r>
    </w:p>
    <w:p w14:paraId="1A6D03DD">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AD</w:t>
      </w:r>
      <w:r>
        <w:rPr>
          <w:rFonts w:hint="eastAsia" w:ascii="宋体" w:hAnsi="宋体" w:eastAsia="宋体" w:cs="宋体"/>
          <w:sz w:val="29"/>
          <w:szCs w:val="29"/>
          <w:lang w:val="en-US" w:eastAsia="zh-CN" w:bidi="ar-SA"/>
        </w:rPr>
        <w:t>为评审基准价，</w:t>
      </w:r>
      <w:r>
        <w:rPr>
          <w:rFonts w:hint="eastAsia" w:ascii="宋体" w:hAnsi="宋体" w:eastAsia="宋体" w:cs="宋体"/>
          <w:sz w:val="29"/>
          <w:szCs w:val="29"/>
          <w:lang w:val="en-US" w:eastAsia="en-US" w:bidi="ar-SA"/>
        </w:rPr>
        <w:t>合格</w:t>
      </w:r>
      <w:r>
        <w:rPr>
          <w:rFonts w:hint="eastAsia" w:ascii="宋体" w:hAnsi="宋体" w:eastAsia="宋体" w:cs="宋体"/>
          <w:sz w:val="29"/>
          <w:szCs w:val="29"/>
          <w:lang w:val="en-US" w:eastAsia="zh-CN" w:bidi="ar-SA"/>
        </w:rPr>
        <w:t>参比人中</w:t>
      </w:r>
      <w:r>
        <w:rPr>
          <w:rFonts w:hint="eastAsia" w:ascii="宋体" w:hAnsi="宋体" w:eastAsia="宋体" w:cs="宋体"/>
          <w:sz w:val="29"/>
          <w:szCs w:val="29"/>
          <w:lang w:val="en-US" w:eastAsia="en-US" w:bidi="ar-SA"/>
        </w:rPr>
        <w:t>报价中最低</w:t>
      </w:r>
      <w:r>
        <w:rPr>
          <w:rFonts w:hint="eastAsia" w:ascii="宋体" w:hAnsi="宋体" w:eastAsia="宋体" w:cs="宋体"/>
          <w:sz w:val="29"/>
          <w:szCs w:val="29"/>
          <w:lang w:val="en-US" w:eastAsia="zh-CN" w:bidi="ar-SA"/>
        </w:rPr>
        <w:t>的</w:t>
      </w:r>
      <w:r>
        <w:rPr>
          <w:rFonts w:hint="eastAsia" w:ascii="宋体" w:hAnsi="宋体" w:eastAsia="宋体" w:cs="宋体"/>
          <w:sz w:val="29"/>
          <w:szCs w:val="29"/>
          <w:lang w:val="en-US" w:eastAsia="en-US" w:bidi="ar-SA"/>
        </w:rPr>
        <w:t>价格；</w:t>
      </w:r>
    </w:p>
    <w:p w14:paraId="3DBDFE3F">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Q为调整系数，Q=1；</w:t>
      </w:r>
    </w:p>
    <w:p w14:paraId="0EEE5487">
      <w:pPr>
        <w:pStyle w:val="5"/>
        <w:spacing w:line="360" w:lineRule="auto"/>
        <w:ind w:right="121" w:firstLine="580" w:firstLineChars="200"/>
        <w:jc w:val="both"/>
        <w:rPr>
          <w:rFonts w:hint="eastAsia" w:ascii="宋体" w:hAnsi="宋体" w:eastAsia="宋体" w:cs="宋体"/>
          <w:sz w:val="28"/>
          <w:szCs w:val="28"/>
          <w:lang w:eastAsia="zh-CN"/>
        </w:rPr>
      </w:pPr>
      <w:r>
        <w:rPr>
          <w:rFonts w:hint="eastAsia" w:ascii="宋体" w:hAnsi="宋体" w:eastAsia="宋体" w:cs="宋体"/>
          <w:sz w:val="29"/>
          <w:szCs w:val="29"/>
          <w:lang w:val="en-US" w:eastAsia="en-US" w:bidi="ar-SA"/>
        </w:rPr>
        <w:t>M为报价得分满分值，M=70。</w:t>
      </w:r>
      <w:r>
        <w:rPr>
          <w:rFonts w:hint="eastAsia" w:ascii="宋体" w:hAnsi="宋体" w:eastAsia="宋体" w:cs="宋体"/>
          <w:sz w:val="28"/>
          <w:szCs w:val="28"/>
          <w:lang w:eastAsia="zh-CN"/>
        </w:rPr>
        <w:t>本项目设置最高控制价</w:t>
      </w:r>
      <w:r>
        <w:rPr>
          <w:rFonts w:hint="eastAsia" w:cs="宋体"/>
          <w:sz w:val="28"/>
          <w:szCs w:val="28"/>
          <w:lang w:val="en-US" w:eastAsia="zh-CN"/>
        </w:rPr>
        <w:t>62</w:t>
      </w:r>
      <w:r>
        <w:rPr>
          <w:rFonts w:hint="eastAsia" w:ascii="宋体" w:hAnsi="宋体" w:eastAsia="宋体" w:cs="宋体"/>
          <w:sz w:val="28"/>
          <w:szCs w:val="28"/>
          <w:lang w:eastAsia="zh-CN"/>
        </w:rPr>
        <w:t>万元整（含税包干总价）。参选人所填报的报价高于本项目最高限价的</w:t>
      </w:r>
      <w:r>
        <w:rPr>
          <w:rFonts w:hint="eastAsia" w:cs="宋体"/>
          <w:sz w:val="28"/>
          <w:szCs w:val="28"/>
          <w:lang w:val="en-US" w:eastAsia="zh-CN"/>
        </w:rPr>
        <w:t>为废选</w:t>
      </w:r>
      <w:r>
        <w:rPr>
          <w:rFonts w:hint="eastAsia" w:ascii="宋体" w:hAnsi="宋体" w:eastAsia="宋体" w:cs="宋体"/>
          <w:sz w:val="28"/>
          <w:szCs w:val="28"/>
          <w:lang w:eastAsia="zh-CN"/>
        </w:rPr>
        <w:t>。</w:t>
      </w:r>
    </w:p>
    <w:p w14:paraId="326E0937">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22D6815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68395DD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3D8FDA1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478B696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4560A55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3EEF9FC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2E1153E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6BAB51A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17AD455F">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4.采购人将根据评审结果与中标人签订合同。</w:t>
      </w:r>
    </w:p>
    <w:p w14:paraId="12219DD2">
      <w:pPr>
        <w:rPr>
          <w:rFonts w:hint="eastAsia" w:ascii="宋体" w:hAnsi="宋体" w:eastAsia="宋体" w:cs="宋体"/>
          <w:lang w:eastAsia="zh-CN"/>
        </w:rPr>
      </w:pPr>
    </w:p>
    <w:p w14:paraId="1697503B">
      <w:pPr>
        <w:pStyle w:val="5"/>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1.采购人将把合同授予中标人；在授予前，仍需进行资格审查。</w:t>
      </w:r>
    </w:p>
    <w:p w14:paraId="62F9A6D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2.中标人确定后，采购将通知中标人，并将中标结果公示在采购人官网。</w:t>
      </w:r>
    </w:p>
    <w:p w14:paraId="6569D35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3.中标通知对采购人和参比人具有法律效力。</w:t>
      </w:r>
      <w:r>
        <w:rPr>
          <w:rFonts w:hint="eastAsia" w:ascii="宋体" w:hAnsi="宋体" w:eastAsia="宋体" w:cs="宋体"/>
          <w:color w:val="FF0000"/>
          <w:sz w:val="28"/>
          <w:szCs w:val="28"/>
          <w:lang w:eastAsia="zh-CN"/>
        </w:rPr>
        <w:t>福建福海创石油化工有限公司指定由其权属子公司“</w:t>
      </w:r>
      <w:r>
        <w:rPr>
          <w:rFonts w:hint="eastAsia" w:ascii="宋体" w:hAnsi="宋体" w:eastAsia="宋体" w:cs="宋体"/>
          <w:color w:val="FF0000"/>
          <w:sz w:val="28"/>
          <w:szCs w:val="28"/>
          <w:lang w:val="en-US" w:eastAsia="zh-CN"/>
        </w:rPr>
        <w:t>腾龙芳烃</w:t>
      </w:r>
      <w:r>
        <w:rPr>
          <w:rFonts w:hint="eastAsia" w:ascii="宋体" w:hAnsi="宋体" w:eastAsia="宋体" w:cs="宋体"/>
          <w:color w:val="FF0000"/>
          <w:sz w:val="28"/>
          <w:szCs w:val="28"/>
          <w:lang w:eastAsia="zh-CN"/>
        </w:rPr>
        <w:t>（漳州）有限公司”作为本合同执行主体，将于中选结果公示流程结束之日起</w:t>
      </w:r>
      <w:r>
        <w:rPr>
          <w:rFonts w:hint="eastAsia" w:ascii="宋体" w:hAnsi="宋体" w:eastAsia="宋体" w:cs="宋体"/>
          <w:color w:val="FF0000"/>
          <w:sz w:val="28"/>
          <w:szCs w:val="28"/>
          <w:lang w:val="en-US" w:eastAsia="zh-CN"/>
        </w:rPr>
        <w:t>3</w:t>
      </w:r>
      <w:r>
        <w:rPr>
          <w:rFonts w:hint="eastAsia" w:ascii="宋体" w:hAnsi="宋体" w:eastAsia="宋体" w:cs="宋体"/>
          <w:color w:val="FF0000"/>
          <w:sz w:val="28"/>
          <w:szCs w:val="28"/>
          <w:lang w:eastAsia="zh-CN"/>
        </w:rPr>
        <w:t>0日内与中选人完成合同签订事宜。</w:t>
      </w:r>
      <w:r>
        <w:rPr>
          <w:rFonts w:hint="eastAsia" w:ascii="宋体" w:hAnsi="宋体" w:eastAsia="宋体" w:cs="宋体"/>
          <w:sz w:val="28"/>
          <w:szCs w:val="28"/>
          <w:lang w:eastAsia="zh-CN"/>
        </w:rPr>
        <w:t>若因中标单位原因未在规定的时间和地点与采购人签署合同，采购人有权单方取消中标单位的资格。同时，由此给采购人造成的损失，采购人有权追究中标单位的全部责任。</w:t>
      </w:r>
    </w:p>
    <w:p w14:paraId="20E1464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中标人签署合同后必须履行合同要求。若因中标单位原因未在规定的时间内完成合同内容等相关工作，则采购人有权单方面取消中标单位的资格。并取消参比人三年内在采购人的业务中的参比资格，由此给采购人造成的损失，采购人有权追究中选方的全部责任。</w:t>
      </w:r>
    </w:p>
    <w:p w14:paraId="6B0E5F9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 采购人、参比人认为有必要进行补充，可另行商定解决。</w:t>
      </w:r>
    </w:p>
    <w:p w14:paraId="06E60D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74324E9D">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第六章  中标后相关履约要求</w:t>
      </w:r>
    </w:p>
    <w:p w14:paraId="09B0E2B4">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1.中标单位要服从采购人的管理规定，不得影响采购人的生产运行，如有违反，取消中标单位的继续履行合同的资格，同时，由此给采购人造成的损失，采购人有权追究中标单位的全部责任。</w:t>
      </w:r>
    </w:p>
    <w:p w14:paraId="77BEFDD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2.中标单位必须严格执行采购合同（详见附件一）的规定。</w:t>
      </w:r>
    </w:p>
    <w:p w14:paraId="2F16A0B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3.中标单位需遵守采购人的各项管理规章制度。如违反相关条例者则按福建福海创石油化工有限公司相应条款进行处罚。</w:t>
      </w:r>
    </w:p>
    <w:p w14:paraId="2410984F">
      <w:pPr>
        <w:pStyle w:val="5"/>
        <w:spacing w:before="26" w:line="321" w:lineRule="auto"/>
        <w:ind w:left="118" w:right="106" w:firstLine="480"/>
        <w:jc w:val="both"/>
        <w:rPr>
          <w:rFonts w:hint="eastAsia" w:ascii="宋体" w:hAnsi="宋体" w:eastAsia="宋体" w:cs="宋体"/>
          <w:lang w:eastAsia="zh-CN"/>
        </w:rPr>
      </w:pPr>
    </w:p>
    <w:p w14:paraId="7D1039C7">
      <w:pPr>
        <w:pStyle w:val="2"/>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2"/>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2"/>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2"/>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2"/>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2"/>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2"/>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2"/>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2"/>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2"/>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2"/>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2"/>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2"/>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2"/>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2"/>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2"/>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2"/>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2"/>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2"/>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2"/>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2"/>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2"/>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2"/>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17"/>
        <w:rPr>
          <w:rFonts w:hint="eastAsia" w:ascii="宋体" w:hAnsi="宋体" w:eastAsia="宋体" w:cs="宋体"/>
        </w:rPr>
      </w:pPr>
    </w:p>
    <w:p w14:paraId="25979C4D">
      <w:pPr>
        <w:pStyle w:val="17"/>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1.参比人的参比文件无论其是否中标，均不退回。</w:t>
      </w:r>
    </w:p>
    <w:p w14:paraId="7DE7B10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5"/>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0" w:name="_Toc251742852"/>
    </w:p>
    <w:p w14:paraId="37E58E22">
      <w:pPr>
        <w:pStyle w:val="5"/>
        <w:rPr>
          <w:b/>
          <w:sz w:val="44"/>
          <w:szCs w:val="44"/>
          <w:lang w:eastAsia="zh-CN"/>
        </w:rPr>
      </w:pPr>
      <w:r>
        <w:rPr>
          <w:rFonts w:hint="eastAsia" w:ascii="宋体" w:hAnsi="宋体" w:eastAsia="宋体" w:cs="宋体"/>
          <w:b/>
          <w:bCs/>
          <w:lang w:eastAsia="zh-CN"/>
        </w:rPr>
        <w:t>附件一、合同文本</w:t>
      </w:r>
    </w:p>
    <w:p w14:paraId="6ED00C2C">
      <w:pPr>
        <w:spacing w:line="360" w:lineRule="auto"/>
        <w:ind w:left="883" w:hanging="1044" w:hangingChars="200"/>
        <w:jc w:val="center"/>
        <w:rPr>
          <w:b/>
          <w:sz w:val="44"/>
          <w:szCs w:val="44"/>
          <w:lang w:eastAsia="zh-CN"/>
        </w:rPr>
      </w:pPr>
      <w:r>
        <w:rPr>
          <w:rFonts w:hint="eastAsia" w:cs="宋体"/>
          <w:b/>
          <w:sz w:val="52"/>
          <w:szCs w:val="52"/>
          <w:lang w:eastAsia="zh-CN"/>
        </w:rPr>
        <w:t>消防综合楼新增电梯采购项目</w:t>
      </w:r>
    </w:p>
    <w:p w14:paraId="5B149643">
      <w:pPr>
        <w:spacing w:line="360" w:lineRule="auto"/>
        <w:ind w:left="883" w:hanging="883" w:hangingChars="200"/>
        <w:jc w:val="center"/>
        <w:rPr>
          <w:b/>
          <w:sz w:val="44"/>
          <w:szCs w:val="44"/>
          <w:lang w:eastAsia="zh-CN"/>
        </w:rPr>
      </w:pPr>
    </w:p>
    <w:p w14:paraId="6517CCF8">
      <w:pPr>
        <w:spacing w:line="360" w:lineRule="auto"/>
        <w:ind w:left="883" w:hanging="883" w:hangingChars="200"/>
        <w:jc w:val="center"/>
        <w:rPr>
          <w:b/>
          <w:sz w:val="44"/>
          <w:szCs w:val="44"/>
          <w:lang w:eastAsia="zh-CN"/>
        </w:rPr>
      </w:pPr>
    </w:p>
    <w:p w14:paraId="2B536BBE">
      <w:pPr>
        <w:spacing w:line="360" w:lineRule="auto"/>
        <w:ind w:left="1446" w:hanging="1446" w:hangingChars="200"/>
        <w:jc w:val="center"/>
        <w:rPr>
          <w:b/>
          <w:sz w:val="72"/>
          <w:szCs w:val="72"/>
          <w:lang w:eastAsia="zh-CN"/>
        </w:rPr>
      </w:pPr>
      <w:r>
        <w:rPr>
          <w:rFonts w:hint="eastAsia"/>
          <w:b/>
          <w:sz w:val="72"/>
          <w:szCs w:val="72"/>
          <w:lang w:eastAsia="zh-CN"/>
        </w:rPr>
        <w:t>合</w:t>
      </w:r>
    </w:p>
    <w:p w14:paraId="4C8C40DA">
      <w:pPr>
        <w:spacing w:line="360" w:lineRule="auto"/>
        <w:ind w:left="1446" w:hanging="1446" w:hangingChars="200"/>
        <w:jc w:val="center"/>
        <w:rPr>
          <w:b/>
          <w:sz w:val="72"/>
          <w:szCs w:val="72"/>
          <w:lang w:eastAsia="zh-CN"/>
        </w:rPr>
      </w:pPr>
    </w:p>
    <w:p w14:paraId="5ED3C91A">
      <w:pPr>
        <w:spacing w:line="360" w:lineRule="auto"/>
        <w:ind w:left="1446" w:hanging="1446" w:hangingChars="200"/>
        <w:jc w:val="center"/>
        <w:rPr>
          <w:b/>
          <w:sz w:val="72"/>
          <w:szCs w:val="72"/>
          <w:lang w:eastAsia="zh-CN"/>
        </w:rPr>
      </w:pPr>
      <w:r>
        <w:rPr>
          <w:rFonts w:hint="eastAsia"/>
          <w:b/>
          <w:sz w:val="72"/>
          <w:szCs w:val="72"/>
          <w:lang w:eastAsia="zh-CN"/>
        </w:rPr>
        <w:t>同</w:t>
      </w:r>
    </w:p>
    <w:p w14:paraId="74646EA1">
      <w:pPr>
        <w:spacing w:line="360" w:lineRule="auto"/>
        <w:ind w:left="1446" w:hanging="1446" w:hangingChars="200"/>
        <w:jc w:val="center"/>
        <w:rPr>
          <w:b/>
          <w:sz w:val="72"/>
          <w:szCs w:val="72"/>
          <w:lang w:eastAsia="zh-CN"/>
        </w:rPr>
      </w:pPr>
    </w:p>
    <w:p w14:paraId="2173C174">
      <w:pPr>
        <w:spacing w:line="360" w:lineRule="auto"/>
        <w:ind w:left="1446" w:hanging="1446" w:hangingChars="200"/>
        <w:jc w:val="center"/>
        <w:rPr>
          <w:b/>
          <w:sz w:val="72"/>
          <w:szCs w:val="72"/>
          <w:lang w:eastAsia="zh-CN"/>
        </w:rPr>
      </w:pPr>
      <w:r>
        <w:rPr>
          <w:rFonts w:hint="eastAsia"/>
          <w:b/>
          <w:sz w:val="72"/>
          <w:szCs w:val="72"/>
          <w:lang w:eastAsia="zh-CN"/>
        </w:rPr>
        <w:t>书</w:t>
      </w:r>
    </w:p>
    <w:p w14:paraId="0EA0DB4F">
      <w:pPr>
        <w:spacing w:line="360" w:lineRule="auto"/>
        <w:ind w:left="883" w:hanging="883" w:hangingChars="200"/>
        <w:jc w:val="center"/>
        <w:rPr>
          <w:b/>
          <w:sz w:val="44"/>
          <w:szCs w:val="44"/>
          <w:lang w:eastAsia="zh-CN"/>
        </w:rPr>
      </w:pPr>
    </w:p>
    <w:p w14:paraId="0EC0DB2B">
      <w:pPr>
        <w:spacing w:line="360" w:lineRule="auto"/>
        <w:ind w:left="883" w:hanging="883" w:hangingChars="200"/>
        <w:jc w:val="center"/>
        <w:rPr>
          <w:b/>
          <w:sz w:val="44"/>
          <w:szCs w:val="44"/>
          <w:lang w:eastAsia="zh-CN"/>
        </w:rPr>
      </w:pPr>
    </w:p>
    <w:p w14:paraId="208BF43E">
      <w:pPr>
        <w:spacing w:line="360" w:lineRule="auto"/>
        <w:ind w:firstLine="1606" w:firstLineChars="500"/>
        <w:jc w:val="both"/>
        <w:rPr>
          <w:b/>
          <w:sz w:val="32"/>
          <w:szCs w:val="32"/>
          <w:lang w:eastAsia="zh-CN"/>
        </w:rPr>
      </w:pPr>
      <w:r>
        <w:rPr>
          <w:rFonts w:hint="eastAsia"/>
          <w:b/>
          <w:sz w:val="32"/>
          <w:szCs w:val="32"/>
          <w:lang w:eastAsia="zh-CN"/>
        </w:rPr>
        <w:t>合同编号</w:t>
      </w:r>
    </w:p>
    <w:p w14:paraId="202F097A">
      <w:pPr>
        <w:spacing w:line="360" w:lineRule="auto"/>
        <w:ind w:left="883" w:hanging="883" w:hangingChars="200"/>
        <w:jc w:val="center"/>
        <w:rPr>
          <w:b/>
          <w:sz w:val="44"/>
          <w:szCs w:val="44"/>
          <w:lang w:eastAsia="zh-CN"/>
        </w:rPr>
      </w:pPr>
    </w:p>
    <w:p w14:paraId="78E93F42">
      <w:pPr>
        <w:spacing w:line="360" w:lineRule="auto"/>
        <w:ind w:left="643" w:hanging="643" w:hangingChars="200"/>
        <w:rPr>
          <w:rFonts w:hint="default"/>
          <w:b/>
          <w:sz w:val="32"/>
          <w:szCs w:val="32"/>
          <w:lang w:val="en-US" w:eastAsia="zh-CN"/>
        </w:rPr>
      </w:pPr>
      <w:r>
        <w:rPr>
          <w:rFonts w:hint="eastAsia"/>
          <w:b/>
          <w:sz w:val="32"/>
          <w:szCs w:val="32"/>
          <w:lang w:eastAsia="zh-CN"/>
        </w:rPr>
        <w:t xml:space="preserve">          甲方：</w:t>
      </w:r>
      <w:r>
        <w:rPr>
          <w:rFonts w:hint="eastAsia"/>
          <w:b/>
          <w:sz w:val="32"/>
          <w:szCs w:val="32"/>
          <w:lang w:val="en-US" w:eastAsia="zh-CN"/>
        </w:rPr>
        <w:t>福建福海创石油化工有限公司</w:t>
      </w:r>
    </w:p>
    <w:p w14:paraId="6DCD95B3">
      <w:pPr>
        <w:spacing w:line="360" w:lineRule="auto"/>
        <w:ind w:firstLine="1606" w:firstLineChars="500"/>
        <w:jc w:val="both"/>
        <w:rPr>
          <w:rFonts w:hint="eastAsia"/>
          <w:b/>
          <w:sz w:val="32"/>
          <w:szCs w:val="32"/>
          <w:lang w:eastAsia="zh-CN"/>
        </w:rPr>
      </w:pPr>
      <w:r>
        <w:rPr>
          <w:rFonts w:hint="eastAsia"/>
          <w:b/>
          <w:sz w:val="32"/>
          <w:szCs w:val="32"/>
          <w:lang w:eastAsia="zh-CN"/>
        </w:rPr>
        <w:t>乙方：</w:t>
      </w:r>
    </w:p>
    <w:p w14:paraId="399B98F5">
      <w:pPr>
        <w:spacing w:line="360" w:lineRule="auto"/>
        <w:ind w:firstLine="1928" w:firstLineChars="600"/>
        <w:jc w:val="both"/>
        <w:rPr>
          <w:rFonts w:hint="default"/>
          <w:b/>
          <w:sz w:val="32"/>
          <w:szCs w:val="32"/>
          <w:lang w:val="en-US" w:eastAsia="zh-CN"/>
        </w:rPr>
      </w:pPr>
      <w:r>
        <w:rPr>
          <w:rFonts w:hint="eastAsia"/>
          <w:b/>
          <w:sz w:val="32"/>
          <w:szCs w:val="32"/>
          <w:lang w:val="en-US" w:eastAsia="zh-CN"/>
        </w:rPr>
        <w:t>签订日期：2025</w:t>
      </w:r>
      <w:r>
        <w:rPr>
          <w:rFonts w:hint="eastAsia"/>
          <w:b/>
          <w:sz w:val="32"/>
          <w:szCs w:val="32"/>
          <w:lang w:eastAsia="zh-CN"/>
        </w:rPr>
        <w:t>年</w:t>
      </w:r>
      <w:r>
        <w:rPr>
          <w:rFonts w:hint="eastAsia"/>
          <w:b/>
          <w:sz w:val="32"/>
          <w:szCs w:val="32"/>
          <w:lang w:val="en-US" w:eastAsia="zh-CN"/>
        </w:rPr>
        <w:t xml:space="preserve">  </w:t>
      </w:r>
      <w:r>
        <w:rPr>
          <w:rFonts w:hint="eastAsia"/>
          <w:b/>
          <w:sz w:val="32"/>
          <w:szCs w:val="32"/>
          <w:lang w:eastAsia="zh-CN"/>
        </w:rPr>
        <w:t>月</w:t>
      </w:r>
      <w:r>
        <w:rPr>
          <w:rFonts w:hint="eastAsia"/>
          <w:b/>
          <w:sz w:val="32"/>
          <w:szCs w:val="32"/>
          <w:lang w:val="en-US" w:eastAsia="zh-CN"/>
        </w:rPr>
        <w:t xml:space="preserve">  日</w:t>
      </w:r>
    </w:p>
    <w:p w14:paraId="448AED4F">
      <w:pPr>
        <w:snapToGrid w:val="0"/>
        <w:spacing w:line="360" w:lineRule="auto"/>
        <w:rPr>
          <w:szCs w:val="21"/>
          <w:lang w:eastAsia="zh-CN"/>
        </w:rPr>
      </w:pPr>
    </w:p>
    <w:p w14:paraId="0CD613CC">
      <w:pPr>
        <w:snapToGrid w:val="0"/>
        <w:spacing w:line="360" w:lineRule="auto"/>
        <w:jc w:val="center"/>
        <w:rPr>
          <w:rFonts w:hint="eastAsia"/>
          <w:b/>
          <w:szCs w:val="21"/>
          <w:lang w:eastAsia="zh-CN"/>
        </w:rPr>
      </w:pPr>
    </w:p>
    <w:p w14:paraId="740A1CFF">
      <w:pPr>
        <w:snapToGrid w:val="0"/>
        <w:spacing w:line="360" w:lineRule="auto"/>
        <w:jc w:val="center"/>
        <w:rPr>
          <w:rFonts w:hint="eastAsia"/>
          <w:b/>
          <w:szCs w:val="21"/>
          <w:lang w:eastAsia="zh-CN"/>
        </w:rPr>
      </w:pPr>
    </w:p>
    <w:p w14:paraId="4642AB81">
      <w:pPr>
        <w:snapToGrid w:val="0"/>
        <w:spacing w:line="360" w:lineRule="auto"/>
        <w:jc w:val="center"/>
        <w:rPr>
          <w:rFonts w:hint="eastAsia"/>
          <w:b/>
          <w:szCs w:val="21"/>
          <w:lang w:eastAsia="zh-CN"/>
        </w:rPr>
      </w:pPr>
    </w:p>
    <w:p w14:paraId="0E868464">
      <w:pPr>
        <w:snapToGrid w:val="0"/>
        <w:spacing w:line="360" w:lineRule="auto"/>
        <w:jc w:val="center"/>
        <w:rPr>
          <w:rFonts w:hint="eastAsia"/>
          <w:b/>
          <w:szCs w:val="21"/>
          <w:lang w:eastAsia="zh-CN"/>
        </w:rPr>
      </w:pPr>
    </w:p>
    <w:p w14:paraId="01B8C39D">
      <w:pPr>
        <w:snapToGrid w:val="0"/>
        <w:spacing w:line="360" w:lineRule="auto"/>
        <w:jc w:val="center"/>
        <w:rPr>
          <w:rFonts w:hint="eastAsia"/>
          <w:b/>
          <w:szCs w:val="21"/>
          <w:lang w:eastAsia="zh-CN"/>
        </w:rPr>
      </w:pPr>
    </w:p>
    <w:p w14:paraId="0EA82260">
      <w:pPr>
        <w:snapToGrid w:val="0"/>
        <w:spacing w:line="360" w:lineRule="auto"/>
        <w:jc w:val="center"/>
        <w:rPr>
          <w:rFonts w:hint="eastAsia"/>
          <w:b/>
          <w:szCs w:val="21"/>
          <w:lang w:eastAsia="zh-CN"/>
        </w:rPr>
      </w:pPr>
    </w:p>
    <w:p w14:paraId="7DA9CEDE">
      <w:pPr>
        <w:snapToGrid w:val="0"/>
        <w:spacing w:line="360" w:lineRule="auto"/>
        <w:jc w:val="center"/>
        <w:rPr>
          <w:rFonts w:hint="eastAsia" w:asciiTheme="minorEastAsia" w:hAnsiTheme="minorEastAsia" w:eastAsiaTheme="minorEastAsia" w:cstheme="minorEastAsia"/>
          <w:b/>
          <w:bCs w:val="0"/>
          <w:color w:val="222222"/>
          <w:szCs w:val="21"/>
          <w:lang w:eastAsia="zh-CN"/>
        </w:rPr>
      </w:pPr>
      <w:r>
        <w:rPr>
          <w:rFonts w:hint="eastAsia" w:asciiTheme="minorEastAsia" w:hAnsiTheme="minorEastAsia" w:eastAsiaTheme="minorEastAsia" w:cstheme="minorEastAsia"/>
          <w:color w:val="222222"/>
          <w:szCs w:val="21"/>
          <w:lang w:eastAsia="zh-CN"/>
        </w:rPr>
        <w:t xml:space="preserve"> </w:t>
      </w:r>
      <w:r>
        <w:rPr>
          <w:rFonts w:hint="eastAsia" w:asciiTheme="minorEastAsia" w:hAnsiTheme="minorEastAsia" w:eastAsiaTheme="minorEastAsia" w:cstheme="minorEastAsia"/>
          <w:b/>
          <w:bCs w:val="0"/>
          <w:sz w:val="28"/>
          <w:szCs w:val="28"/>
          <w:lang w:eastAsia="zh-CN"/>
        </w:rPr>
        <w:t>总则</w:t>
      </w:r>
    </w:p>
    <w:p w14:paraId="689CF594">
      <w:pPr>
        <w:snapToGrid w:val="0"/>
        <w:spacing w:line="360" w:lineRule="auto"/>
        <w:ind w:firstLine="440" w:firstLine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Cs w:val="21"/>
          <w:lang w:eastAsia="zh-CN"/>
        </w:rPr>
        <w:t xml:space="preserve"> </w:t>
      </w:r>
      <w:r>
        <w:rPr>
          <w:rFonts w:hint="eastAsia" w:asciiTheme="minorEastAsia" w:hAnsiTheme="minorEastAsia" w:eastAsiaTheme="minorEastAsia" w:cstheme="minorEastAsia"/>
          <w:color w:val="222222"/>
          <w:sz w:val="24"/>
          <w:szCs w:val="24"/>
          <w:lang w:eastAsia="zh-CN"/>
        </w:rPr>
        <w:t>甲方委托乙方承担</w:t>
      </w:r>
      <w:r>
        <w:rPr>
          <w:rFonts w:hint="eastAsia" w:asciiTheme="minorEastAsia" w:hAnsiTheme="minorEastAsia" w:eastAsiaTheme="minorEastAsia" w:cstheme="minorEastAsia"/>
          <w:color w:val="222222"/>
          <w:sz w:val="24"/>
          <w:szCs w:val="24"/>
          <w:u w:val="single"/>
          <w:lang w:eastAsia="zh-CN"/>
        </w:rPr>
        <w:t xml:space="preserve"> </w:t>
      </w:r>
      <w:r>
        <w:rPr>
          <w:rFonts w:hint="eastAsia" w:asciiTheme="minorEastAsia" w:hAnsiTheme="minorEastAsia" w:eastAsiaTheme="minorEastAsia" w:cstheme="minorEastAsia"/>
          <w:color w:val="222222"/>
          <w:sz w:val="24"/>
          <w:szCs w:val="24"/>
          <w:u w:val="single"/>
          <w:lang w:val="en-US" w:eastAsia="zh-CN"/>
        </w:rPr>
        <w:t xml:space="preserve">      </w:t>
      </w:r>
      <w:r>
        <w:rPr>
          <w:rFonts w:hint="eastAsia" w:asciiTheme="minorEastAsia" w:hAnsiTheme="minorEastAsia" w:eastAsiaTheme="minorEastAsia" w:cstheme="minorEastAsia"/>
          <w:color w:val="222222"/>
          <w:sz w:val="24"/>
          <w:szCs w:val="24"/>
          <w:u w:val="single"/>
          <w:lang w:eastAsia="zh-CN"/>
        </w:rPr>
        <w:t xml:space="preserve"> </w:t>
      </w:r>
      <w:r>
        <w:rPr>
          <w:rFonts w:hint="eastAsia" w:asciiTheme="minorEastAsia" w:hAnsiTheme="minorEastAsia" w:eastAsiaTheme="minorEastAsia" w:cstheme="minorEastAsia"/>
          <w:sz w:val="24"/>
          <w:szCs w:val="24"/>
          <w:lang w:val="en-US" w:eastAsia="zh-CN"/>
        </w:rPr>
        <w:t xml:space="preserve"> EPC 总承包</w:t>
      </w:r>
      <w:r>
        <w:rPr>
          <w:rFonts w:hint="eastAsia" w:asciiTheme="minorEastAsia" w:hAnsiTheme="minorEastAsia" w:eastAsiaTheme="minorEastAsia" w:cstheme="minorEastAsia"/>
          <w:color w:val="222222"/>
          <w:sz w:val="24"/>
          <w:szCs w:val="24"/>
          <w:lang w:val="en-US" w:eastAsia="zh-CN"/>
        </w:rPr>
        <w:t>等的</w:t>
      </w:r>
      <w:r>
        <w:rPr>
          <w:rFonts w:hint="eastAsia" w:asciiTheme="minorEastAsia" w:hAnsiTheme="minorEastAsia" w:eastAsiaTheme="minorEastAsia" w:cstheme="minorEastAsia"/>
          <w:color w:val="222222"/>
          <w:sz w:val="24"/>
          <w:szCs w:val="24"/>
          <w:lang w:eastAsia="zh-CN"/>
        </w:rPr>
        <w:t xml:space="preserve">工作。乙方接受甲方的委托，双方根据《中华人民共和国民法典》的规定，经过协商，达成一致意见，签订本合同。 </w:t>
      </w:r>
    </w:p>
    <w:p w14:paraId="2B794354">
      <w:pPr>
        <w:widowControl/>
        <w:spacing w:line="360" w:lineRule="auto"/>
        <w:ind w:firstLine="42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434C830D">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工程概况</w:t>
      </w:r>
    </w:p>
    <w:p w14:paraId="0064144C">
      <w:pPr>
        <w:tabs>
          <w:tab w:val="left" w:pos="420"/>
        </w:tabs>
        <w:spacing w:line="360" w:lineRule="auto"/>
        <w:ind w:left="820" w:leftChars="100" w:hanging="600" w:hangingChars="250"/>
        <w:rPr>
          <w:rFonts w:hint="eastAsia" w:asciiTheme="minorEastAsia" w:hAnsiTheme="minorEastAsia" w:eastAsiaTheme="minorEastAsia" w:cstheme="minorEastAsia"/>
          <w:color w:val="222222"/>
          <w:sz w:val="24"/>
          <w:szCs w:val="24"/>
          <w:lang w:val="en-US" w:eastAsia="zh-CN"/>
        </w:rPr>
      </w:pPr>
      <w:r>
        <w:rPr>
          <w:rFonts w:hint="eastAsia" w:asciiTheme="minorEastAsia" w:hAnsiTheme="minorEastAsia" w:eastAsiaTheme="minorEastAsia" w:cstheme="minorEastAsia"/>
          <w:color w:val="222222"/>
          <w:sz w:val="24"/>
          <w:szCs w:val="24"/>
          <w:lang w:eastAsia="zh-CN"/>
        </w:rPr>
        <w:t>1、</w:t>
      </w:r>
      <w:r>
        <w:rPr>
          <w:rFonts w:hint="eastAsia" w:asciiTheme="minorEastAsia" w:hAnsiTheme="minorEastAsia" w:eastAsiaTheme="minorEastAsia" w:cstheme="minorEastAsia"/>
          <w:color w:val="222222"/>
          <w:sz w:val="24"/>
          <w:szCs w:val="24"/>
          <w:lang w:val="en-US" w:eastAsia="zh-CN"/>
        </w:rPr>
        <w:t>项目</w:t>
      </w:r>
      <w:r>
        <w:rPr>
          <w:rFonts w:hint="eastAsia" w:asciiTheme="minorEastAsia" w:hAnsiTheme="minorEastAsia" w:eastAsiaTheme="minorEastAsia" w:cstheme="minorEastAsia"/>
          <w:color w:val="222222"/>
          <w:sz w:val="24"/>
          <w:szCs w:val="24"/>
          <w:lang w:eastAsia="zh-CN"/>
        </w:rPr>
        <w:t>名称：</w:t>
      </w:r>
      <w:r>
        <w:rPr>
          <w:rFonts w:hint="eastAsia" w:asciiTheme="minorEastAsia" w:hAnsiTheme="minorEastAsia" w:eastAsiaTheme="minorEastAsia" w:cstheme="minorEastAsia"/>
          <w:color w:val="222222"/>
          <w:sz w:val="24"/>
          <w:szCs w:val="24"/>
          <w:u w:val="single"/>
          <w:lang w:eastAsia="zh-CN"/>
        </w:rPr>
        <w:t xml:space="preserve"> </w:t>
      </w:r>
      <w:r>
        <w:rPr>
          <w:rFonts w:hint="eastAsia" w:asciiTheme="minorEastAsia" w:hAnsiTheme="minorEastAsia" w:eastAsiaTheme="minorEastAsia" w:cstheme="minorEastAsia"/>
          <w:color w:val="222222"/>
          <w:sz w:val="24"/>
          <w:szCs w:val="24"/>
          <w:u w:val="single"/>
          <w:lang w:val="en-US" w:eastAsia="zh-CN"/>
        </w:rPr>
        <w:t xml:space="preserve">               </w:t>
      </w:r>
    </w:p>
    <w:p w14:paraId="4257A1EA">
      <w:pPr>
        <w:tabs>
          <w:tab w:val="left" w:pos="420"/>
        </w:tabs>
        <w:spacing w:line="360" w:lineRule="auto"/>
        <w:ind w:left="820" w:leftChars="100" w:hanging="600" w:hangingChars="2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2、</w:t>
      </w:r>
      <w:r>
        <w:rPr>
          <w:rFonts w:hint="eastAsia" w:asciiTheme="minorEastAsia" w:hAnsiTheme="minorEastAsia" w:eastAsiaTheme="minorEastAsia" w:cstheme="minorEastAsia"/>
          <w:color w:val="222222"/>
          <w:sz w:val="24"/>
          <w:szCs w:val="24"/>
          <w:lang w:val="en-US" w:eastAsia="zh-CN"/>
        </w:rPr>
        <w:t>项目</w:t>
      </w:r>
      <w:r>
        <w:rPr>
          <w:rFonts w:hint="eastAsia" w:asciiTheme="minorEastAsia" w:hAnsiTheme="minorEastAsia" w:eastAsiaTheme="minorEastAsia" w:cstheme="minorEastAsia"/>
          <w:color w:val="222222"/>
          <w:sz w:val="24"/>
          <w:szCs w:val="24"/>
          <w:lang w:eastAsia="zh-CN"/>
        </w:rPr>
        <w:t>地点：</w:t>
      </w:r>
      <w:r>
        <w:rPr>
          <w:rFonts w:hint="eastAsia" w:asciiTheme="minorEastAsia" w:hAnsiTheme="minorEastAsia" w:eastAsiaTheme="minorEastAsia" w:cstheme="minorEastAsia"/>
          <w:sz w:val="24"/>
          <w:szCs w:val="24"/>
          <w:lang w:eastAsia="zh-CN"/>
        </w:rPr>
        <w:t>福建福海创石油化工有限公司</w:t>
      </w:r>
      <w:r>
        <w:rPr>
          <w:rFonts w:hint="eastAsia" w:asciiTheme="minorEastAsia" w:hAnsiTheme="minorEastAsia" w:eastAsiaTheme="minorEastAsia" w:cstheme="minorEastAsia"/>
          <w:sz w:val="24"/>
          <w:szCs w:val="24"/>
          <w:lang w:val="en-US" w:eastAsia="zh-CN"/>
        </w:rPr>
        <w:t>PX厂区</w:t>
      </w:r>
    </w:p>
    <w:p w14:paraId="6589568D">
      <w:pPr>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222222"/>
          <w:sz w:val="24"/>
          <w:szCs w:val="24"/>
          <w:lang w:eastAsia="zh-CN"/>
        </w:rPr>
        <w:t>3、</w:t>
      </w:r>
      <w:r>
        <w:rPr>
          <w:rFonts w:hint="eastAsia" w:asciiTheme="minorEastAsia" w:hAnsiTheme="minorEastAsia" w:eastAsiaTheme="minorEastAsia" w:cstheme="minorEastAsia"/>
          <w:sz w:val="24"/>
          <w:szCs w:val="24"/>
          <w:lang w:val="en-US" w:eastAsia="zh-CN"/>
        </w:rPr>
        <w:t>承包范围：本项目采用 EPC 总承包方式，乙方负责施工图设计、项目报批报建、设备及材料采购、连廊改造、土建施工(地下污水、雨水管线移 位)、钢结构施工、设备安装施工、电力配套等全部工程，</w:t>
      </w:r>
    </w:p>
    <w:p w14:paraId="2E3B84FD">
      <w:pPr>
        <w:tabs>
          <w:tab w:val="left" w:pos="480"/>
          <w:tab w:val="left" w:pos="567"/>
        </w:tabs>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3.1施工地点：福建福海创石油化工有限公司</w:t>
      </w:r>
      <w:r>
        <w:rPr>
          <w:rFonts w:hint="eastAsia" w:asciiTheme="minorEastAsia" w:hAnsiTheme="minorEastAsia" w:eastAsiaTheme="minorEastAsia" w:cstheme="minorEastAsia"/>
          <w:sz w:val="24"/>
          <w:szCs w:val="24"/>
          <w:lang w:val="en-US" w:eastAsia="zh-CN"/>
        </w:rPr>
        <w:t>PX厂区</w:t>
      </w:r>
      <w:r>
        <w:rPr>
          <w:rFonts w:hint="eastAsia" w:asciiTheme="minorEastAsia" w:hAnsiTheme="minorEastAsia" w:eastAsiaTheme="minorEastAsia" w:cstheme="minorEastAsia"/>
          <w:sz w:val="24"/>
          <w:szCs w:val="24"/>
          <w:lang w:eastAsia="zh-CN"/>
        </w:rPr>
        <w:t xml:space="preserve"> </w:t>
      </w:r>
    </w:p>
    <w:p w14:paraId="019B2D5F">
      <w:pPr>
        <w:tabs>
          <w:tab w:val="left" w:pos="480"/>
          <w:tab w:val="left" w:pos="567"/>
        </w:tabs>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3.2施工要求：详见附件《消防综合楼新增电梯项目</w:t>
      </w:r>
      <w:r>
        <w:rPr>
          <w:rFonts w:hint="eastAsia" w:asciiTheme="minorEastAsia" w:hAnsiTheme="minorEastAsia" w:eastAsiaTheme="minorEastAsia" w:cstheme="minorEastAsia"/>
          <w:sz w:val="24"/>
          <w:szCs w:val="24"/>
          <w:lang w:val="en-US" w:eastAsia="zh-CN"/>
        </w:rPr>
        <w:t>发包</w:t>
      </w:r>
      <w:r>
        <w:rPr>
          <w:rFonts w:hint="eastAsia" w:asciiTheme="minorEastAsia" w:hAnsiTheme="minorEastAsia" w:eastAsiaTheme="minorEastAsia" w:cstheme="minorEastAsia"/>
          <w:sz w:val="24"/>
          <w:szCs w:val="24"/>
          <w:lang w:eastAsia="zh-CN"/>
        </w:rPr>
        <w:t>说明》</w:t>
      </w:r>
    </w:p>
    <w:p w14:paraId="4557C13A">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合同工期</w:t>
      </w:r>
    </w:p>
    <w:p w14:paraId="3EFE13DD">
      <w:pPr>
        <w:rPr>
          <w:rFonts w:hint="eastAsia" w:asciiTheme="minorEastAsia" w:hAnsiTheme="minorEastAsia" w:eastAsiaTheme="minorEastAsia" w:cstheme="minorEastAsia"/>
          <w:color w:val="222222"/>
          <w:sz w:val="24"/>
          <w:szCs w:val="24"/>
          <w:highlight w:val="none"/>
          <w:lang w:eastAsia="zh-CN"/>
        </w:rPr>
      </w:pPr>
      <w:r>
        <w:rPr>
          <w:rFonts w:hint="eastAsia" w:asciiTheme="minorEastAsia" w:hAnsiTheme="minorEastAsia" w:eastAsiaTheme="minorEastAsia" w:cstheme="minorEastAsia"/>
          <w:color w:val="222222"/>
          <w:sz w:val="24"/>
          <w:szCs w:val="24"/>
          <w:highlight w:val="none"/>
          <w:lang w:val="en-US" w:eastAsia="zh-CN"/>
        </w:rPr>
        <w:t>合同签订后</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222222"/>
          <w:sz w:val="24"/>
          <w:szCs w:val="24"/>
          <w:highlight w:val="none"/>
          <w:lang w:val="en-US" w:eastAsia="zh-CN"/>
        </w:rPr>
        <w:t>150天。</w:t>
      </w:r>
    </w:p>
    <w:p w14:paraId="257220D7">
      <w:pPr>
        <w:numPr>
          <w:ilvl w:val="0"/>
          <w:numId w:val="3"/>
        </w:numPr>
        <w:tabs>
          <w:tab w:val="left" w:pos="36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合同价款</w:t>
      </w:r>
    </w:p>
    <w:p w14:paraId="7E2BB888">
      <w:pPr>
        <w:numPr>
          <w:ilvl w:val="0"/>
          <w:numId w:val="4"/>
        </w:numPr>
        <w:spacing w:line="288" w:lineRule="auto"/>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本合同总价金额（含税包干总价）：人民币</w:t>
      </w:r>
      <w:r>
        <w:rPr>
          <w:rFonts w:hint="eastAsia" w:asciiTheme="minorEastAsia" w:hAnsiTheme="minorEastAsia" w:eastAsiaTheme="minorEastAsia" w:cstheme="minorEastAsia"/>
          <w:b/>
          <w:color w:val="222222"/>
          <w:sz w:val="24"/>
          <w:szCs w:val="24"/>
          <w:u w:val="single"/>
          <w:lang w:val="en-US" w:eastAsia="zh-CN"/>
        </w:rPr>
        <w:t xml:space="preserve">     </w:t>
      </w:r>
      <w:r>
        <w:rPr>
          <w:rFonts w:hint="eastAsia" w:asciiTheme="minorEastAsia" w:hAnsiTheme="minorEastAsia" w:eastAsiaTheme="minorEastAsia" w:cstheme="minorEastAsia"/>
          <w:b/>
          <w:color w:val="222222"/>
          <w:sz w:val="24"/>
          <w:szCs w:val="24"/>
          <w:u w:val="single"/>
          <w:lang w:eastAsia="zh-CN"/>
        </w:rPr>
        <w:t>元</w:t>
      </w:r>
      <w:r>
        <w:rPr>
          <w:rFonts w:hint="eastAsia" w:asciiTheme="minorEastAsia" w:hAnsiTheme="minorEastAsia" w:eastAsiaTheme="minorEastAsia" w:cstheme="minorEastAsia"/>
          <w:b/>
          <w:bCs/>
          <w:color w:val="222222"/>
          <w:sz w:val="24"/>
          <w:szCs w:val="24"/>
          <w:u w:val="single"/>
          <w:lang w:eastAsia="zh-CN"/>
        </w:rPr>
        <w:t>整</w:t>
      </w:r>
      <w:r>
        <w:rPr>
          <w:rFonts w:hint="eastAsia" w:asciiTheme="minorEastAsia" w:hAnsiTheme="minorEastAsia" w:eastAsiaTheme="minorEastAsia" w:cstheme="minorEastAsia"/>
          <w:color w:val="222222"/>
          <w:sz w:val="24"/>
          <w:szCs w:val="24"/>
          <w:u w:val="single"/>
          <w:lang w:eastAsia="zh-CN"/>
        </w:rPr>
        <w:t>（即￥</w:t>
      </w:r>
      <w:r>
        <w:rPr>
          <w:rFonts w:hint="eastAsia" w:asciiTheme="minorEastAsia" w:hAnsiTheme="minorEastAsia" w:eastAsiaTheme="minorEastAsia" w:cstheme="minorEastAsia"/>
          <w:color w:val="222222"/>
          <w:sz w:val="24"/>
          <w:szCs w:val="24"/>
          <w:u w:val="single"/>
          <w:lang w:val="en-US" w:eastAsia="zh-CN"/>
        </w:rPr>
        <w:t xml:space="preserve">     </w:t>
      </w:r>
      <w:r>
        <w:rPr>
          <w:rFonts w:hint="eastAsia" w:asciiTheme="minorEastAsia" w:hAnsiTheme="minorEastAsia" w:eastAsiaTheme="minorEastAsia" w:cstheme="minorEastAsia"/>
          <w:color w:val="222222"/>
          <w:sz w:val="24"/>
          <w:szCs w:val="24"/>
          <w:u w:val="single"/>
          <w:lang w:eastAsia="zh-CN"/>
        </w:rPr>
        <w:t>元），</w:t>
      </w:r>
      <w:r>
        <w:rPr>
          <w:rFonts w:hint="eastAsia" w:asciiTheme="minorEastAsia" w:hAnsiTheme="minorEastAsia" w:eastAsiaTheme="minorEastAsia" w:cstheme="minorEastAsia"/>
          <w:color w:val="222222"/>
          <w:sz w:val="24"/>
          <w:szCs w:val="24"/>
          <w:lang w:eastAsia="zh-CN"/>
        </w:rPr>
        <w:t>若有尾差，以最终实际开票金额为准。</w:t>
      </w:r>
    </w:p>
    <w:p w14:paraId="596A3E2A">
      <w:pPr>
        <w:numPr>
          <w:ilvl w:val="0"/>
          <w:numId w:val="4"/>
        </w:numPr>
        <w:spacing w:line="288" w:lineRule="auto"/>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本工</w:t>
      </w:r>
      <w:r>
        <w:rPr>
          <w:rFonts w:hint="eastAsia" w:asciiTheme="minorEastAsia" w:hAnsiTheme="minorEastAsia" w:eastAsiaTheme="minorEastAsia" w:cstheme="minorEastAsia"/>
          <w:color w:val="222222"/>
          <w:sz w:val="24"/>
          <w:szCs w:val="24"/>
          <w:highlight w:val="none"/>
          <w:lang w:eastAsia="zh-CN"/>
        </w:rPr>
        <w:t>程开具</w:t>
      </w:r>
      <w:r>
        <w:rPr>
          <w:rFonts w:hint="eastAsia" w:asciiTheme="minorEastAsia" w:hAnsiTheme="minorEastAsia" w:eastAsiaTheme="minorEastAsia" w:cstheme="minorEastAsia"/>
          <w:color w:val="222222"/>
          <w:sz w:val="24"/>
          <w:szCs w:val="24"/>
          <w:highlight w:val="none"/>
          <w:u w:val="single"/>
          <w:lang w:eastAsia="zh-CN"/>
        </w:rPr>
        <w:t xml:space="preserve"> 13%的增值税发票</w:t>
      </w:r>
      <w:r>
        <w:rPr>
          <w:rFonts w:hint="eastAsia" w:asciiTheme="minorEastAsia" w:hAnsiTheme="minorEastAsia" w:eastAsiaTheme="minorEastAsia" w:cstheme="minorEastAsia"/>
          <w:color w:val="222222"/>
          <w:sz w:val="24"/>
          <w:szCs w:val="24"/>
          <w:highlight w:val="none"/>
          <w:lang w:eastAsia="zh-CN"/>
        </w:rPr>
        <w:t>。合同</w:t>
      </w:r>
      <w:r>
        <w:rPr>
          <w:rFonts w:hint="eastAsia" w:asciiTheme="minorEastAsia" w:hAnsiTheme="minorEastAsia" w:eastAsiaTheme="minorEastAsia" w:cstheme="minorEastAsia"/>
          <w:color w:val="222222"/>
          <w:sz w:val="24"/>
          <w:szCs w:val="24"/>
          <w:lang w:eastAsia="zh-CN"/>
        </w:rPr>
        <w:t>总价已包含</w:t>
      </w:r>
      <w:r>
        <w:rPr>
          <w:rFonts w:hint="eastAsia" w:asciiTheme="minorEastAsia" w:hAnsiTheme="minorEastAsia" w:eastAsiaTheme="minorEastAsia" w:cstheme="minorEastAsia"/>
          <w:color w:val="222222"/>
          <w:sz w:val="24"/>
          <w:szCs w:val="24"/>
          <w:lang w:val="en-US" w:eastAsia="zh-CN"/>
        </w:rPr>
        <w:t>设备、安装费、</w:t>
      </w:r>
      <w:r>
        <w:rPr>
          <w:rFonts w:hint="eastAsia" w:asciiTheme="minorEastAsia" w:hAnsiTheme="minorEastAsia" w:eastAsiaTheme="minorEastAsia" w:cstheme="minorEastAsia"/>
          <w:color w:val="222222"/>
          <w:sz w:val="24"/>
          <w:szCs w:val="24"/>
          <w:lang w:eastAsia="zh-CN"/>
        </w:rPr>
        <w:t>税费、保险、保固等所有费用；合同总价包含所有工程风险。除非双方另外约定外，否则甲方不再另行支付任何费用。</w:t>
      </w:r>
    </w:p>
    <w:p w14:paraId="24545D1F">
      <w:pPr>
        <w:numPr>
          <w:ilvl w:val="0"/>
          <w:numId w:val="4"/>
        </w:numPr>
        <w:spacing w:line="288" w:lineRule="auto"/>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b/>
          <w:color w:val="222222"/>
          <w:sz w:val="24"/>
          <w:szCs w:val="24"/>
          <w:lang w:eastAsia="zh-CN"/>
        </w:rPr>
        <w:t>凡涉及本合同工程质量、标准、施工方式、价款的变更均应由有甲方书面授权的人员签证完成并加盖甲方公章始得生效，否则对甲方无约束力。当甲方由于情况调整需要将上述的工程范围中的局部或部分内容取消不做时，上述对应的工程价款甲方相应扣回，乙方不得有任何异议，工程合同的造价相应调整。</w:t>
      </w:r>
    </w:p>
    <w:p w14:paraId="40EC964B">
      <w:pPr>
        <w:numPr>
          <w:ilvl w:val="0"/>
          <w:numId w:val="4"/>
        </w:numPr>
        <w:spacing w:line="288" w:lineRule="auto"/>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与合同有关的通知、批准、证明、证书、指示、要求、请求、同意、意见、确定和决定等，均应采用书面形式。</w:t>
      </w:r>
    </w:p>
    <w:p w14:paraId="7C4AA662">
      <w:pPr>
        <w:numPr>
          <w:ilvl w:val="0"/>
          <w:numId w:val="4"/>
        </w:numPr>
        <w:spacing w:line="288" w:lineRule="auto"/>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工程量的确认及变更均需经甲方书面授权的人员签证。</w:t>
      </w:r>
    </w:p>
    <w:p w14:paraId="4764813B">
      <w:pPr>
        <w:numPr>
          <w:ilvl w:val="0"/>
          <w:numId w:val="3"/>
        </w:numPr>
        <w:tabs>
          <w:tab w:val="left" w:pos="360"/>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工程款结算方式及期限</w:t>
      </w:r>
    </w:p>
    <w:p w14:paraId="1570D599">
      <w:pPr>
        <w:spacing w:line="288" w:lineRule="auto"/>
        <w:ind w:left="669" w:leftChars="145" w:hanging="350" w:hangingChars="14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1、项目完工经甲方验收合格,且完成结算并收到结算款全额发票后60日内支付结算总额的9</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eastAsia="zh-CN"/>
        </w:rPr>
        <w:t>%即人民币￥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元整）；尾款</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%即为人民币￥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元整）作质保金，质保期为验收合格之时起</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lang w:eastAsia="zh-CN"/>
        </w:rPr>
        <w:t>个月，质保期满无质量问题一次性汇至乙方指定账户。</w:t>
      </w:r>
    </w:p>
    <w:p w14:paraId="23DEA30B">
      <w:pPr>
        <w:spacing w:line="288" w:lineRule="auto"/>
        <w:ind w:left="663" w:leftChars="143" w:hanging="348" w:hangingChars="145"/>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2、上述款项支付前，乙方需提供等额的增值税专用发票给甲方，甲方收到发票原件后60日内支付相应款项，乙方未提供发票原件前，甲方有权拒绝付款。乙方提供账户并确认该账户合法，甲方将款项按本合同约定汇入该账户，若因乙方指定的收款账户被冻结等原因无法使用的，甲方不承担任何责任。</w:t>
      </w:r>
    </w:p>
    <w:p w14:paraId="3719881A">
      <w:pPr>
        <w:spacing w:line="288" w:lineRule="auto"/>
        <w:ind w:left="315"/>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 xml:space="preserve">     </w:t>
      </w:r>
      <w:r>
        <w:rPr>
          <w:rFonts w:hint="eastAsia" w:asciiTheme="minorEastAsia" w:hAnsiTheme="minorEastAsia" w:eastAsiaTheme="minorEastAsia" w:cstheme="minorEastAsia"/>
          <w:color w:val="222222"/>
          <w:sz w:val="24"/>
          <w:szCs w:val="24"/>
          <w:highlight w:val="yellow"/>
          <w:lang w:eastAsia="zh-CN"/>
        </w:rPr>
        <w:t xml:space="preserve"> 乙方收款账户信息：</w:t>
      </w:r>
    </w:p>
    <w:p w14:paraId="7C0E6E5C">
      <w:pPr>
        <w:spacing w:line="288" w:lineRule="auto"/>
        <w:ind w:left="315" w:firstLine="720" w:firstLineChars="3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收款人：</w:t>
      </w:r>
      <w:r>
        <w:rPr>
          <w:rFonts w:hint="eastAsia" w:asciiTheme="minorEastAsia" w:hAnsiTheme="minorEastAsia" w:eastAsiaTheme="minorEastAsia" w:cstheme="minorEastAsia"/>
          <w:color w:val="222222"/>
          <w:sz w:val="24"/>
          <w:szCs w:val="24"/>
          <w:lang w:val="en-US" w:eastAsia="zh-CN"/>
        </w:rPr>
        <w:t xml:space="preserve"> </w:t>
      </w:r>
      <w:r>
        <w:rPr>
          <w:rFonts w:hint="eastAsia" w:asciiTheme="minorEastAsia" w:hAnsiTheme="minorEastAsia" w:eastAsiaTheme="minorEastAsia" w:cstheme="minorEastAsia"/>
          <w:color w:val="222222"/>
          <w:sz w:val="24"/>
          <w:szCs w:val="24"/>
          <w:lang w:eastAsia="zh-CN"/>
        </w:rPr>
        <w:t xml:space="preserve">                   </w:t>
      </w:r>
    </w:p>
    <w:p w14:paraId="29EFA627">
      <w:pPr>
        <w:spacing w:line="288" w:lineRule="auto"/>
        <w:ind w:left="315" w:firstLine="720" w:firstLineChars="3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开户行：</w:t>
      </w:r>
      <w:r>
        <w:rPr>
          <w:rFonts w:hint="eastAsia" w:asciiTheme="minorEastAsia" w:hAnsiTheme="minorEastAsia" w:eastAsiaTheme="minorEastAsia" w:cstheme="minorEastAsia"/>
          <w:color w:val="222222"/>
          <w:sz w:val="24"/>
          <w:szCs w:val="24"/>
          <w:lang w:val="en-US" w:eastAsia="zh-CN"/>
        </w:rPr>
        <w:t xml:space="preserve"> </w:t>
      </w:r>
      <w:r>
        <w:rPr>
          <w:rFonts w:hint="eastAsia" w:asciiTheme="minorEastAsia" w:hAnsiTheme="minorEastAsia" w:eastAsiaTheme="minorEastAsia" w:cstheme="minorEastAsia"/>
          <w:color w:val="222222"/>
          <w:sz w:val="24"/>
          <w:szCs w:val="24"/>
          <w:lang w:eastAsia="zh-CN"/>
        </w:rPr>
        <w:t xml:space="preserve">   </w:t>
      </w:r>
    </w:p>
    <w:p w14:paraId="15DA7EA2">
      <w:pPr>
        <w:spacing w:line="288" w:lineRule="auto"/>
        <w:ind w:left="315" w:firstLine="720" w:firstLineChars="300"/>
        <w:rPr>
          <w:rFonts w:hint="eastAsia" w:asciiTheme="minorEastAsia" w:hAnsiTheme="minorEastAsia" w:eastAsiaTheme="minorEastAsia" w:cstheme="minorEastAsia"/>
          <w:color w:val="222222"/>
          <w:sz w:val="24"/>
          <w:szCs w:val="24"/>
          <w:lang w:val="en-US"/>
        </w:rPr>
      </w:pPr>
      <w:r>
        <w:rPr>
          <w:rFonts w:hint="eastAsia" w:asciiTheme="minorEastAsia" w:hAnsiTheme="minorEastAsia" w:eastAsiaTheme="minorEastAsia" w:cstheme="minorEastAsia"/>
          <w:color w:val="222222"/>
          <w:sz w:val="24"/>
          <w:szCs w:val="24"/>
        </w:rPr>
        <w:t>账</w:t>
      </w:r>
      <w:r>
        <w:rPr>
          <w:rFonts w:hint="eastAsia" w:asciiTheme="minorEastAsia" w:hAnsiTheme="minorEastAsia" w:eastAsiaTheme="minorEastAsia" w:cstheme="minorEastAsia"/>
          <w:color w:val="222222"/>
          <w:sz w:val="24"/>
          <w:szCs w:val="24"/>
          <w:lang w:eastAsia="zh-CN"/>
        </w:rPr>
        <w:t xml:space="preserve">  </w:t>
      </w:r>
      <w:r>
        <w:rPr>
          <w:rFonts w:hint="eastAsia" w:asciiTheme="minorEastAsia" w:hAnsiTheme="minorEastAsia" w:eastAsiaTheme="minorEastAsia" w:cstheme="minorEastAsia"/>
          <w:color w:val="222222"/>
          <w:sz w:val="24"/>
          <w:szCs w:val="24"/>
        </w:rPr>
        <w:t>号：</w:t>
      </w:r>
      <w:r>
        <w:rPr>
          <w:rFonts w:hint="eastAsia" w:asciiTheme="minorEastAsia" w:hAnsiTheme="minorEastAsia" w:eastAsiaTheme="minorEastAsia" w:cstheme="minorEastAsia"/>
          <w:color w:val="222222"/>
          <w:sz w:val="24"/>
          <w:szCs w:val="24"/>
          <w:lang w:val="en-US" w:eastAsia="zh-CN"/>
        </w:rPr>
        <w:t xml:space="preserve"> </w:t>
      </w:r>
    </w:p>
    <w:p w14:paraId="4B770013">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施工要求</w:t>
      </w:r>
    </w:p>
    <w:p w14:paraId="2B9D3F15">
      <w:pPr>
        <w:tabs>
          <w:tab w:val="left" w:pos="420"/>
        </w:tabs>
        <w:spacing w:line="288" w:lineRule="auto"/>
        <w:ind w:left="810" w:leftChars="150" w:hanging="480" w:hanging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1、乙方必须严格依照相关行业标准施工。</w:t>
      </w:r>
    </w:p>
    <w:p w14:paraId="2F778FDF">
      <w:pPr>
        <w:spacing w:line="288" w:lineRule="auto"/>
        <w:ind w:left="810" w:leftChars="150" w:hanging="480" w:hanging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2、乙方选用的材料应符合现行国家标准的规定。</w:t>
      </w:r>
    </w:p>
    <w:p w14:paraId="294580F8">
      <w:pPr>
        <w:tabs>
          <w:tab w:val="left" w:pos="420"/>
        </w:tabs>
        <w:spacing w:line="288" w:lineRule="auto"/>
        <w:ind w:left="812" w:leftChars="150" w:hanging="482" w:hangingChars="200"/>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b/>
          <w:color w:val="222222"/>
          <w:sz w:val="24"/>
          <w:szCs w:val="24"/>
          <w:lang w:eastAsia="zh-CN"/>
        </w:rPr>
        <w:t>3、施工中需用到的所有材料，由乙方自行解决，且需符合甲方的质量要求。</w:t>
      </w:r>
    </w:p>
    <w:p w14:paraId="507BB958">
      <w:pPr>
        <w:tabs>
          <w:tab w:val="left" w:pos="420"/>
        </w:tabs>
        <w:spacing w:line="288" w:lineRule="auto"/>
        <w:ind w:left="810" w:leftChars="150" w:hanging="480" w:hanging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4、乙方于施工前应提供所用材料的质量合格证。</w:t>
      </w:r>
    </w:p>
    <w:p w14:paraId="03B33D5C">
      <w:pPr>
        <w:tabs>
          <w:tab w:val="left" w:pos="420"/>
        </w:tabs>
        <w:spacing w:line="288" w:lineRule="auto"/>
        <w:ind w:left="778" w:leftChars="150" w:hanging="448" w:hangingChars="187"/>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5、乙方应将执行本合约之组织及各级负责人名单，以书面报请甲方备查，未经甲方同意不得随意变更。</w:t>
      </w:r>
    </w:p>
    <w:p w14:paraId="6FB3ACF3">
      <w:pPr>
        <w:tabs>
          <w:tab w:val="left" w:pos="420"/>
        </w:tabs>
        <w:spacing w:line="288" w:lineRule="auto"/>
        <w:ind w:left="810" w:leftChars="150" w:hanging="480" w:hanging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6、乙方之工地负责人视为乙方之当然代表。</w:t>
      </w:r>
    </w:p>
    <w:p w14:paraId="4530FE9E">
      <w:pPr>
        <w:tabs>
          <w:tab w:val="left" w:pos="420"/>
        </w:tabs>
        <w:spacing w:line="288" w:lineRule="auto"/>
        <w:ind w:left="810" w:leftChars="150" w:hanging="480" w:hanging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7、乙方对于甲方认为有机密性之工程，无论任何文件，地点，时效等均应严格保密，不得泄露，否则应赔偿因此给甲方造成的损失。</w:t>
      </w:r>
    </w:p>
    <w:p w14:paraId="5476065A">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8、施工期间，乙方应注意安全，对于工地工人及附近人畜及公私财产之安全卫生，必须慎重防范，如因疏忽以致发生任何意外损失，均由乙方承担。</w:t>
      </w:r>
    </w:p>
    <w:p w14:paraId="195CFDFC">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9、乙方应确实遵守政府有关劳工安全卫生法规之规定，对劳工实施安全卫生教育，提供必需之安全卫生设施，尽保护劳工之责任，为劳工投保法定工伤保险，此费用已包括在总价内。如出现工伤等意外事故，由乙方负全部责任。</w:t>
      </w:r>
    </w:p>
    <w:p w14:paraId="07E74FC2">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10、乙方进入甲方厂区，必须遵守甲方的相关规定。乙方施工期间应维护甲方环境卫生，及时清运土头垃圾，否则甲方有权每次扣款</w:t>
      </w:r>
      <w:r>
        <w:rPr>
          <w:rFonts w:hint="eastAsia" w:asciiTheme="minorEastAsia" w:hAnsiTheme="minorEastAsia" w:eastAsiaTheme="minorEastAsia" w:cstheme="minorEastAsia"/>
          <w:color w:val="222222"/>
          <w:sz w:val="24"/>
          <w:szCs w:val="24"/>
          <w:u w:val="single"/>
          <w:lang w:eastAsia="zh-CN"/>
        </w:rPr>
        <w:t xml:space="preserve"> 1000 </w:t>
      </w:r>
      <w:r>
        <w:rPr>
          <w:rFonts w:hint="eastAsia" w:asciiTheme="minorEastAsia" w:hAnsiTheme="minorEastAsia" w:eastAsiaTheme="minorEastAsia" w:cstheme="minorEastAsia"/>
          <w:color w:val="222222"/>
          <w:sz w:val="24"/>
          <w:szCs w:val="24"/>
          <w:lang w:eastAsia="zh-CN"/>
        </w:rPr>
        <w:t>元。</w:t>
      </w:r>
    </w:p>
    <w:p w14:paraId="16F7E5F5">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11、施工过程中应厉行节约，甲方提供使用的水、气、汽、风等，乙方要做到即用即开，用毕立即关闭，严禁浪费。如有违反，扣款</w:t>
      </w:r>
      <w:r>
        <w:rPr>
          <w:rFonts w:hint="eastAsia" w:asciiTheme="minorEastAsia" w:hAnsiTheme="minorEastAsia" w:eastAsiaTheme="minorEastAsia" w:cstheme="minorEastAsia"/>
          <w:color w:val="222222"/>
          <w:sz w:val="24"/>
          <w:szCs w:val="24"/>
          <w:u w:val="single"/>
          <w:lang w:eastAsia="zh-CN"/>
        </w:rPr>
        <w:t xml:space="preserve"> 1000 </w:t>
      </w:r>
      <w:r>
        <w:rPr>
          <w:rFonts w:hint="eastAsia" w:asciiTheme="minorEastAsia" w:hAnsiTheme="minorEastAsia" w:eastAsiaTheme="minorEastAsia" w:cstheme="minorEastAsia"/>
          <w:color w:val="222222"/>
          <w:sz w:val="24"/>
          <w:szCs w:val="24"/>
          <w:lang w:eastAsia="zh-CN"/>
        </w:rPr>
        <w:t>元/次。</w:t>
      </w:r>
    </w:p>
    <w:p w14:paraId="7C0BA9A1">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12、严禁乙方将本工程转包或分包，否则由此而引起的一切纠纷由乙方负责。</w:t>
      </w:r>
    </w:p>
    <w:p w14:paraId="2572BF37">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13、施工过程中，需要改动的施工，乙方需全力配合，听从甲方工程人员的安排。</w:t>
      </w:r>
    </w:p>
    <w:p w14:paraId="1DCB6BAF">
      <w:pPr>
        <w:spacing w:line="288" w:lineRule="auto"/>
        <w:ind w:left="691" w:leftChars="150" w:hanging="361" w:hangingChars="150"/>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b/>
          <w:color w:val="222222"/>
          <w:sz w:val="24"/>
          <w:szCs w:val="24"/>
          <w:lang w:eastAsia="zh-CN"/>
        </w:rPr>
        <w:t>14、乙方在施工中不得损坏相关设备或设施，如果损坏应该负责修复或承担修复费用；造成甲方生产及其它损失的，乙方应对全部损失承担赔偿责任。</w:t>
      </w:r>
    </w:p>
    <w:p w14:paraId="7A2E7FE8">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15、乙方必须遵守甲方各项管理规定，甲方有权对工厂内发生的违反甲方公司规章制度的行为进行处罚。</w:t>
      </w:r>
    </w:p>
    <w:p w14:paraId="21AB570E">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16、</w:t>
      </w:r>
      <w:r>
        <w:rPr>
          <w:rFonts w:hint="eastAsia" w:asciiTheme="minorEastAsia" w:hAnsiTheme="minorEastAsia" w:eastAsiaTheme="minorEastAsia" w:cstheme="minorEastAsia"/>
          <w:sz w:val="24"/>
          <w:szCs w:val="24"/>
          <w:lang w:eastAsia="zh-CN"/>
        </w:rPr>
        <w:t>为</w:t>
      </w:r>
      <w:r>
        <w:rPr>
          <w:rFonts w:hint="eastAsia" w:asciiTheme="minorEastAsia" w:hAnsiTheme="minorEastAsia" w:eastAsiaTheme="minorEastAsia" w:cstheme="minorEastAsia"/>
          <w:color w:val="222222"/>
          <w:sz w:val="24"/>
          <w:szCs w:val="24"/>
          <w:lang w:eastAsia="zh-CN"/>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506E9221">
      <w:pPr>
        <w:numPr>
          <w:ilvl w:val="0"/>
          <w:numId w:val="2"/>
        </w:numPr>
        <w:spacing w:line="30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原材料的提供办法及规格、数量、质量</w:t>
      </w:r>
    </w:p>
    <w:p w14:paraId="04C87EB4">
      <w:pPr>
        <w:spacing w:line="288" w:lineRule="auto"/>
        <w:ind w:left="297" w:leftChars="135" w:firstLine="484" w:firstLineChars="202"/>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乙方提供材料，应接受甲方检验；乙方隐瞒原材料的缺陷或者使用不符合合同、国家、行业标准的材料影响工程质量时，甲方有权要求乙方更换、返工、扣罚工程款，因此造成甲方损失的，乙方应承担赔偿责任。</w:t>
      </w:r>
    </w:p>
    <w:p w14:paraId="11D8288C">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验收标准和方法</w:t>
      </w:r>
    </w:p>
    <w:p w14:paraId="2BCE9103">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1、以行业标准及甲方要求作为验收依据。</w:t>
      </w:r>
    </w:p>
    <w:p w14:paraId="686D9F25">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2、乙方在自检合格后向甲方提交书面验收申请，甲方应在</w:t>
      </w:r>
      <w:r>
        <w:rPr>
          <w:rFonts w:hint="eastAsia" w:asciiTheme="minorEastAsia" w:hAnsiTheme="minorEastAsia" w:eastAsiaTheme="minorEastAsia" w:cstheme="minorEastAsia"/>
          <w:color w:val="222222"/>
          <w:sz w:val="24"/>
          <w:szCs w:val="24"/>
          <w:u w:val="single"/>
          <w:lang w:eastAsia="zh-CN"/>
        </w:rPr>
        <w:t xml:space="preserve"> 10 </w:t>
      </w:r>
      <w:r>
        <w:rPr>
          <w:rFonts w:hint="eastAsia" w:asciiTheme="minorEastAsia" w:hAnsiTheme="minorEastAsia" w:eastAsiaTheme="minorEastAsia" w:cstheme="minorEastAsia"/>
          <w:color w:val="222222"/>
          <w:sz w:val="24"/>
          <w:szCs w:val="24"/>
          <w:lang w:eastAsia="zh-CN"/>
        </w:rPr>
        <w:t>日内对乙方所完成的工作进行验收。验收前乙方应当向甲方提交必需的技术资料和有关质量证明。</w:t>
      </w:r>
    </w:p>
    <w:p w14:paraId="20095074">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3、隐蔽工程必须在甲方检查验收合格签章后，方可进行下一道工序。</w:t>
      </w:r>
    </w:p>
    <w:p w14:paraId="017B9F7D">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保修期及保修责任</w:t>
      </w:r>
    </w:p>
    <w:p w14:paraId="3B4BB7A6">
      <w:pPr>
        <w:numPr>
          <w:ilvl w:val="0"/>
          <w:numId w:val="5"/>
        </w:numPr>
        <w:spacing w:line="30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承包人应按法律、行政法规或国家关于工程质量保修的相关规定，对交付发包人使用的工程在质量保修期内承担质量保修责任及维修保养责任。</w:t>
      </w:r>
    </w:p>
    <w:p w14:paraId="4C9248CF">
      <w:pPr>
        <w:numPr>
          <w:ilvl w:val="0"/>
          <w:numId w:val="5"/>
        </w:numPr>
        <w:spacing w:line="30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z w:val="24"/>
          <w:szCs w:val="24"/>
          <w:lang w:eastAsia="zh-CN"/>
        </w:rPr>
        <w:t>本工程保</w:t>
      </w:r>
      <w:r>
        <w:rPr>
          <w:rFonts w:hint="eastAsia" w:asciiTheme="minorEastAsia" w:hAnsiTheme="minorEastAsia" w:eastAsiaTheme="minorEastAsia" w:cstheme="minorEastAsia"/>
          <w:sz w:val="24"/>
          <w:szCs w:val="24"/>
          <w:highlight w:val="none"/>
          <w:lang w:eastAsia="zh-CN"/>
        </w:rPr>
        <w:t>修期为</w:t>
      </w:r>
      <w:r>
        <w:rPr>
          <w:rFonts w:hint="eastAsia" w:asciiTheme="minorEastAsia" w:hAnsiTheme="minorEastAsia" w:eastAsiaTheme="minorEastAsia" w:cstheme="minorEastAsia"/>
          <w:b/>
          <w:sz w:val="24"/>
          <w:szCs w:val="24"/>
          <w:highlight w:val="none"/>
          <w:u w:val="single"/>
          <w:lang w:eastAsia="zh-CN"/>
        </w:rPr>
        <w:t xml:space="preserve"> </w:t>
      </w:r>
      <w:r>
        <w:rPr>
          <w:rFonts w:hint="eastAsia" w:asciiTheme="minorEastAsia" w:hAnsiTheme="minorEastAsia" w:eastAsiaTheme="minorEastAsia" w:cstheme="minorEastAsia"/>
          <w:b/>
          <w:sz w:val="24"/>
          <w:szCs w:val="24"/>
          <w:highlight w:val="none"/>
          <w:u w:val="single"/>
          <w:lang w:val="en-US" w:eastAsia="zh-CN"/>
        </w:rPr>
        <w:t>24</w:t>
      </w:r>
      <w:r>
        <w:rPr>
          <w:rFonts w:hint="eastAsia" w:asciiTheme="minorEastAsia" w:hAnsiTheme="minorEastAsia" w:eastAsiaTheme="minorEastAsia" w:cstheme="minorEastAsia"/>
          <w:b/>
          <w:sz w:val="24"/>
          <w:szCs w:val="24"/>
          <w:highlight w:val="none"/>
          <w:u w:val="single"/>
          <w:lang w:eastAsia="zh-CN"/>
        </w:rPr>
        <w:t xml:space="preserve">个月 </w:t>
      </w:r>
      <w:r>
        <w:rPr>
          <w:rFonts w:hint="eastAsia" w:asciiTheme="minorEastAsia" w:hAnsiTheme="minorEastAsia" w:eastAsiaTheme="minorEastAsia" w:cstheme="minorEastAsia"/>
          <w:sz w:val="24"/>
          <w:szCs w:val="24"/>
          <w:highlight w:val="none"/>
          <w:lang w:eastAsia="zh-CN"/>
        </w:rPr>
        <w:t>，自工</w:t>
      </w:r>
      <w:r>
        <w:rPr>
          <w:rFonts w:hint="eastAsia" w:asciiTheme="minorEastAsia" w:hAnsiTheme="minorEastAsia" w:eastAsiaTheme="minorEastAsia" w:cstheme="minorEastAsia"/>
          <w:sz w:val="24"/>
          <w:szCs w:val="24"/>
          <w:lang w:eastAsia="zh-CN"/>
        </w:rPr>
        <w:t>程完工并通过甲方及有关部门验收合格之日起计。保修期内，如发现质量问题，乙方应在甲方指定期限内修复，其一切工料费用均由乙方负责。如</w:t>
      </w:r>
      <w:r>
        <w:rPr>
          <w:rFonts w:hint="eastAsia" w:asciiTheme="minorEastAsia" w:hAnsiTheme="minorEastAsia" w:eastAsiaTheme="minorEastAsia" w:cstheme="minorEastAsia"/>
          <w:b/>
          <w:sz w:val="24"/>
          <w:szCs w:val="24"/>
          <w:lang w:eastAsia="zh-CN"/>
        </w:rPr>
        <w:t>乙方未在甲方要求的时间内修复，甲方有权自行修复或请第三方进行修复，所发生的一切费用由乙方承担，且质保期待修复合格后相应顺延。</w:t>
      </w:r>
    </w:p>
    <w:p w14:paraId="0467BBED">
      <w:pPr>
        <w:numPr>
          <w:ilvl w:val="0"/>
          <w:numId w:val="5"/>
        </w:numPr>
        <w:spacing w:line="30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乙方指定负责本工程的维护人员及其联系方式如下，如有变更，乙方应提前</w:t>
      </w:r>
      <w:r>
        <w:rPr>
          <w:rFonts w:hint="eastAsia" w:asciiTheme="minorEastAsia" w:hAnsiTheme="minorEastAsia" w:eastAsiaTheme="minorEastAsia" w:cstheme="minorEastAsia"/>
          <w:sz w:val="24"/>
          <w:szCs w:val="24"/>
          <w:u w:val="single"/>
          <w:lang w:eastAsia="zh-CN"/>
        </w:rPr>
        <w:t xml:space="preserve"> 3 </w:t>
      </w:r>
      <w:r>
        <w:rPr>
          <w:rFonts w:hint="eastAsia" w:asciiTheme="minorEastAsia" w:hAnsiTheme="minorEastAsia" w:eastAsiaTheme="minorEastAsia" w:cstheme="minorEastAsia"/>
          <w:sz w:val="24"/>
          <w:szCs w:val="24"/>
          <w:lang w:eastAsia="zh-CN"/>
        </w:rPr>
        <w:t>日书面通知甲方，否则甲方有权委托第三方修复，所发生的费用从保固费中扣除。</w:t>
      </w:r>
    </w:p>
    <w:p w14:paraId="71DFA0FA">
      <w:pPr>
        <w:tabs>
          <w:tab w:val="left" w:pos="851"/>
        </w:tabs>
        <w:spacing w:line="300" w:lineRule="auto"/>
        <w:ind w:left="360" w:firstLine="499" w:firstLineChars="20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乙方联系人：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none"/>
          <w:lang w:val="en-US" w:eastAsia="zh-CN"/>
        </w:rPr>
        <w:t>联系方式：</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w:t>
      </w:r>
    </w:p>
    <w:p w14:paraId="08BB5FA9">
      <w:pPr>
        <w:spacing w:line="300" w:lineRule="auto"/>
        <w:ind w:left="36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5281FD71">
      <w:pPr>
        <w:numPr>
          <w:ilvl w:val="0"/>
          <w:numId w:val="5"/>
        </w:num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sz w:val="24"/>
          <w:szCs w:val="24"/>
          <w:lang w:eastAsia="zh-CN"/>
        </w:rPr>
        <w:t>在保修期外，如甲方就本工程有关问题委托乙方修复，乙方应按成本计费。</w:t>
      </w:r>
    </w:p>
    <w:p w14:paraId="502B463B">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乙方的违约责任</w:t>
      </w:r>
    </w:p>
    <w:p w14:paraId="27EB416F">
      <w:pPr>
        <w:spacing w:line="288" w:lineRule="auto"/>
        <w:ind w:left="690" w:leftChars="150" w:hanging="360" w:hangingChars="150"/>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color w:val="222222"/>
          <w:sz w:val="24"/>
          <w:szCs w:val="24"/>
          <w:lang w:eastAsia="zh-CN"/>
        </w:rPr>
        <w:t>1、未按合同规定的质量完成工作，乙方应当负责返工，</w:t>
      </w:r>
      <w:r>
        <w:rPr>
          <w:rFonts w:hint="eastAsia" w:asciiTheme="minorEastAsia" w:hAnsiTheme="minorEastAsia" w:eastAsiaTheme="minorEastAsia" w:cstheme="minorEastAsia"/>
          <w:b/>
          <w:color w:val="222222"/>
          <w:sz w:val="24"/>
          <w:szCs w:val="24"/>
          <w:lang w:eastAsia="zh-CN"/>
        </w:rPr>
        <w:t>如果返工后的交付时间超过合同约定的日期，应当承担逾期交付责任，并承担因此给甲方造成的损失。</w:t>
      </w:r>
    </w:p>
    <w:p w14:paraId="61FF0589">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2、</w:t>
      </w:r>
      <w:r>
        <w:rPr>
          <w:rFonts w:hint="eastAsia" w:asciiTheme="minorEastAsia" w:hAnsiTheme="minorEastAsia" w:eastAsiaTheme="minorEastAsia" w:cstheme="minorEastAsia"/>
          <w:b/>
          <w:color w:val="222222"/>
          <w:sz w:val="24"/>
          <w:szCs w:val="24"/>
          <w:lang w:eastAsia="zh-CN"/>
        </w:rPr>
        <w:t>完成的工作量少于合同约定，乙方应当照数补齐施工，因此超过合同约定的交付时间的，应当承担逾期交付责任，并承担因此给甲方造成的损失。</w:t>
      </w:r>
    </w:p>
    <w:p w14:paraId="73876889">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3、在工程现场，乙方进场的及甲方提供的材料设备的保管责任由乙方承担。</w:t>
      </w:r>
    </w:p>
    <w:p w14:paraId="0117DA31">
      <w:pPr>
        <w:spacing w:line="288" w:lineRule="auto"/>
        <w:ind w:left="690" w:leftChars="150" w:hanging="360" w:hangingChars="150"/>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color w:val="222222"/>
          <w:sz w:val="24"/>
          <w:szCs w:val="24"/>
          <w:lang w:eastAsia="zh-CN"/>
        </w:rPr>
        <w:t>4、</w:t>
      </w:r>
      <w:r>
        <w:rPr>
          <w:rFonts w:hint="eastAsia" w:asciiTheme="minorEastAsia" w:hAnsiTheme="minorEastAsia" w:eastAsiaTheme="minorEastAsia" w:cstheme="minorEastAsia"/>
          <w:b/>
          <w:color w:val="222222"/>
          <w:sz w:val="24"/>
          <w:szCs w:val="24"/>
          <w:lang w:eastAsia="zh-CN"/>
        </w:rPr>
        <w:t>逾期完工的 (包括因返修、更换、补交等造成的逾期)，应当向甲方偿付违约金，每逾期一天，按合同总金额的</w:t>
      </w:r>
      <w:r>
        <w:rPr>
          <w:rFonts w:hint="eastAsia" w:asciiTheme="minorEastAsia" w:hAnsiTheme="minorEastAsia" w:eastAsiaTheme="minorEastAsia" w:cstheme="minorEastAsia"/>
          <w:b/>
          <w:color w:val="222222"/>
          <w:sz w:val="24"/>
          <w:szCs w:val="24"/>
          <w:u w:val="single"/>
          <w:lang w:eastAsia="zh-CN"/>
        </w:rPr>
        <w:t xml:space="preserve"> 1 </w:t>
      </w:r>
      <w:r>
        <w:rPr>
          <w:rFonts w:hint="eastAsia" w:asciiTheme="minorEastAsia" w:hAnsiTheme="minorEastAsia" w:eastAsiaTheme="minorEastAsia" w:cstheme="minorEastAsia"/>
          <w:b/>
          <w:color w:val="222222"/>
          <w:sz w:val="24"/>
          <w:szCs w:val="24"/>
          <w:lang w:eastAsia="zh-CN"/>
        </w:rPr>
        <w:t>‰偿付违约金。逾期超过</w:t>
      </w:r>
      <w:r>
        <w:rPr>
          <w:rFonts w:hint="eastAsia" w:asciiTheme="minorEastAsia" w:hAnsiTheme="minorEastAsia" w:eastAsiaTheme="minorEastAsia" w:cstheme="minorEastAsia"/>
          <w:b/>
          <w:color w:val="222222"/>
          <w:sz w:val="24"/>
          <w:szCs w:val="24"/>
          <w:u w:val="single"/>
          <w:lang w:eastAsia="zh-CN"/>
        </w:rPr>
        <w:t xml:space="preserve"> 20 </w:t>
      </w:r>
      <w:r>
        <w:rPr>
          <w:rFonts w:hint="eastAsia" w:asciiTheme="minorEastAsia" w:hAnsiTheme="minorEastAsia" w:eastAsiaTheme="minorEastAsia" w:cstheme="minorEastAsia"/>
          <w:b/>
          <w:color w:val="222222"/>
          <w:sz w:val="24"/>
          <w:szCs w:val="24"/>
          <w:lang w:eastAsia="zh-CN"/>
        </w:rPr>
        <w:t>日，甲方有权单方解除合同，乙方须按合同总价款的</w:t>
      </w:r>
      <w:r>
        <w:rPr>
          <w:rFonts w:hint="eastAsia" w:asciiTheme="minorEastAsia" w:hAnsiTheme="minorEastAsia" w:eastAsiaTheme="minorEastAsia" w:cstheme="minorEastAsia"/>
          <w:b/>
          <w:color w:val="222222"/>
          <w:sz w:val="24"/>
          <w:szCs w:val="24"/>
          <w:u w:val="single"/>
          <w:lang w:eastAsia="zh-CN"/>
        </w:rPr>
        <w:t xml:space="preserve"> 10 </w:t>
      </w:r>
      <w:r>
        <w:rPr>
          <w:rFonts w:hint="eastAsia" w:asciiTheme="minorEastAsia" w:hAnsiTheme="minorEastAsia" w:eastAsiaTheme="minorEastAsia" w:cstheme="minorEastAsia"/>
          <w:b/>
          <w:color w:val="222222"/>
          <w:sz w:val="24"/>
          <w:szCs w:val="24"/>
          <w:lang w:eastAsia="zh-CN"/>
        </w:rPr>
        <w:t>％向甲方支付违约金。违约金不足以弥补甲方损失的，甲方有权追偿。</w:t>
      </w:r>
    </w:p>
    <w:p w14:paraId="3D8DDB7D">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5、擅自调换经甲方验收合格的材料，乙方应按甲方要求重作并赔偿甲方因此造成的损失。超过合同约定的交付期限的，应承担逾期交付的责任。</w:t>
      </w:r>
    </w:p>
    <w:p w14:paraId="0092A11A">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甲方的违约责任</w:t>
      </w:r>
    </w:p>
    <w:p w14:paraId="7504CEC8">
      <w:pPr>
        <w:spacing w:line="288" w:lineRule="auto"/>
        <w:ind w:left="691" w:leftChars="150" w:hanging="361" w:hangingChars="150"/>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b/>
          <w:color w:val="222222"/>
          <w:sz w:val="24"/>
          <w:szCs w:val="24"/>
          <w:lang w:eastAsia="zh-CN"/>
        </w:rPr>
        <w:t>1、超过合同规定日期付款，应当按全国银行间同业拆借中心公布的贷款市场报价利率向乙方支付利息，但利息总额最高不超过合同总价的</w:t>
      </w:r>
      <w:r>
        <w:rPr>
          <w:rFonts w:hint="eastAsia" w:asciiTheme="minorEastAsia" w:hAnsiTheme="minorEastAsia" w:eastAsiaTheme="minorEastAsia" w:cstheme="minorEastAsia"/>
          <w:b/>
          <w:color w:val="222222"/>
          <w:sz w:val="24"/>
          <w:szCs w:val="24"/>
          <w:u w:val="single"/>
          <w:lang w:eastAsia="zh-CN"/>
        </w:rPr>
        <w:t xml:space="preserve"> 10 </w:t>
      </w:r>
      <w:r>
        <w:rPr>
          <w:rFonts w:hint="eastAsia" w:asciiTheme="minorEastAsia" w:hAnsiTheme="minorEastAsia" w:eastAsiaTheme="minorEastAsia" w:cstheme="minorEastAsia"/>
          <w:b/>
          <w:color w:val="222222"/>
          <w:sz w:val="24"/>
          <w:szCs w:val="24"/>
          <w:lang w:eastAsia="zh-CN"/>
        </w:rPr>
        <w:t>％。</w:t>
      </w:r>
    </w:p>
    <w:p w14:paraId="0313ACC9">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廉洁条款</w:t>
      </w:r>
    </w:p>
    <w:p w14:paraId="1EC9D77F">
      <w:pPr>
        <w:spacing w:line="300" w:lineRule="auto"/>
        <w:ind w:firstLine="36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rFonts w:hint="eastAsia" w:asciiTheme="minorEastAsia" w:hAnsiTheme="minorEastAsia" w:eastAsiaTheme="minorEastAsia" w:cstheme="minorEastAsia"/>
          <w:sz w:val="24"/>
          <w:szCs w:val="24"/>
          <w:lang w:val="en-US" w:eastAsia="zh-CN"/>
        </w:rPr>
        <w:t xml:space="preserve"> 2</w:t>
      </w:r>
      <w:r>
        <w:rPr>
          <w:rFonts w:hint="eastAsia" w:asciiTheme="minorEastAsia" w:hAnsiTheme="minorEastAsia" w:eastAsiaTheme="minorEastAsia" w:cstheme="minorEastAsia"/>
          <w:sz w:val="24"/>
          <w:szCs w:val="24"/>
          <w:lang w:eastAsia="zh-CN"/>
        </w:rPr>
        <w:t>0％的违约金，因解除相关合同给甲方造成损失的，由乙方承担赔偿责任；同时，乙方如有其它违约，仍须承担违约责任。</w:t>
      </w:r>
    </w:p>
    <w:p w14:paraId="6703052D">
      <w:pPr>
        <w:numPr>
          <w:ilvl w:val="0"/>
          <w:numId w:val="2"/>
        </w:numPr>
        <w:spacing w:line="30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合同的解除</w:t>
      </w:r>
    </w:p>
    <w:p w14:paraId="32EA5087">
      <w:pPr>
        <w:numPr>
          <w:ilvl w:val="0"/>
          <w:numId w:val="6"/>
        </w:numPr>
        <w:spacing w:line="30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乙方有下列情形之一者，甲方有权解除合同：</w:t>
      </w:r>
    </w:p>
    <w:p w14:paraId="0B908237">
      <w:pPr>
        <w:tabs>
          <w:tab w:val="left" w:pos="-1240"/>
        </w:tabs>
        <w:spacing w:line="300" w:lineRule="auto"/>
        <w:ind w:left="-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（1）乙方逾约定开工日期</w:t>
      </w:r>
      <w:r>
        <w:rPr>
          <w:rFonts w:hint="eastAsia" w:asciiTheme="minorEastAsia" w:hAnsiTheme="minorEastAsia" w:eastAsiaTheme="minorEastAsia" w:cstheme="minorEastAsia"/>
          <w:sz w:val="24"/>
          <w:szCs w:val="24"/>
          <w:u w:val="single"/>
          <w:lang w:eastAsia="zh-CN"/>
        </w:rPr>
        <w:t xml:space="preserve"> 20 </w:t>
      </w:r>
      <w:r>
        <w:rPr>
          <w:rFonts w:hint="eastAsia" w:asciiTheme="minorEastAsia" w:hAnsiTheme="minorEastAsia" w:eastAsiaTheme="minorEastAsia" w:cstheme="minorEastAsia"/>
          <w:sz w:val="24"/>
          <w:szCs w:val="24"/>
          <w:lang w:eastAsia="zh-CN"/>
        </w:rPr>
        <w:t>天，或逾期完工超过</w:t>
      </w:r>
      <w:r>
        <w:rPr>
          <w:rFonts w:hint="eastAsia" w:asciiTheme="minorEastAsia" w:hAnsiTheme="minorEastAsia" w:eastAsiaTheme="minorEastAsia" w:cstheme="minorEastAsia"/>
          <w:sz w:val="24"/>
          <w:szCs w:val="24"/>
          <w:u w:val="single"/>
          <w:lang w:eastAsia="zh-CN"/>
        </w:rPr>
        <w:t xml:space="preserve"> 20 </w:t>
      </w:r>
      <w:r>
        <w:rPr>
          <w:rFonts w:hint="eastAsia" w:asciiTheme="minorEastAsia" w:hAnsiTheme="minorEastAsia" w:eastAsiaTheme="minorEastAsia" w:cstheme="minorEastAsia"/>
          <w:sz w:val="24"/>
          <w:szCs w:val="24"/>
          <w:lang w:eastAsia="zh-CN"/>
        </w:rPr>
        <w:t>天，或甲方认为不能按规定期限完工的。</w:t>
      </w:r>
    </w:p>
    <w:p w14:paraId="2A8FC08A">
      <w:pPr>
        <w:tabs>
          <w:tab w:val="left" w:pos="-1240"/>
        </w:tabs>
        <w:spacing w:line="300" w:lineRule="auto"/>
        <w:ind w:left="-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（2）乙方违反合同约定义务或发生变故不能履行合同的。</w:t>
      </w:r>
    </w:p>
    <w:p w14:paraId="7FFC8596">
      <w:pPr>
        <w:tabs>
          <w:tab w:val="left" w:pos="-1240"/>
        </w:tabs>
        <w:spacing w:line="300" w:lineRule="auto"/>
        <w:ind w:left="-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（3）乙方偷工减料的。</w:t>
      </w:r>
    </w:p>
    <w:p w14:paraId="30B1D00A">
      <w:pPr>
        <w:tabs>
          <w:tab w:val="left" w:pos="-1240"/>
        </w:tabs>
        <w:spacing w:line="300" w:lineRule="auto"/>
        <w:ind w:left="-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（4）乙方的施工材料不符合约定标准，经纠正后仍达不到标准的。</w:t>
      </w:r>
    </w:p>
    <w:p w14:paraId="35116B1E">
      <w:pPr>
        <w:tabs>
          <w:tab w:val="left" w:pos="-1240"/>
        </w:tabs>
        <w:spacing w:line="300" w:lineRule="auto"/>
        <w:ind w:left="-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（5）乙方无正当理由，自停工达</w:t>
      </w:r>
      <w:r>
        <w:rPr>
          <w:rFonts w:hint="eastAsia" w:asciiTheme="minorEastAsia" w:hAnsiTheme="minorEastAsia" w:eastAsiaTheme="minorEastAsia" w:cstheme="minorEastAsia"/>
          <w:sz w:val="24"/>
          <w:szCs w:val="24"/>
          <w:u w:val="single"/>
          <w:lang w:eastAsia="zh-CN"/>
        </w:rPr>
        <w:t xml:space="preserve"> 72 </w:t>
      </w:r>
      <w:r>
        <w:rPr>
          <w:rFonts w:hint="eastAsia" w:asciiTheme="minorEastAsia" w:hAnsiTheme="minorEastAsia" w:eastAsiaTheme="minorEastAsia" w:cstheme="minorEastAsia"/>
          <w:sz w:val="24"/>
          <w:szCs w:val="24"/>
          <w:lang w:eastAsia="zh-CN"/>
        </w:rPr>
        <w:t>小时以上的。</w:t>
      </w:r>
    </w:p>
    <w:p w14:paraId="625B01F7">
      <w:pPr>
        <w:numPr>
          <w:ilvl w:val="0"/>
          <w:numId w:val="6"/>
        </w:numPr>
        <w:spacing w:line="30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因上述原因导致合同解除的，乙方应按合同总价</w:t>
      </w:r>
      <w:r>
        <w:rPr>
          <w:rFonts w:hint="eastAsia" w:asciiTheme="minorEastAsia" w:hAnsiTheme="minorEastAsia" w:eastAsiaTheme="minorEastAsia" w:cstheme="minorEastAsia"/>
          <w:b/>
          <w:sz w:val="24"/>
          <w:szCs w:val="24"/>
          <w:u w:val="single"/>
          <w:lang w:eastAsia="zh-CN"/>
        </w:rPr>
        <w:t xml:space="preserve"> 10 </w:t>
      </w:r>
      <w:r>
        <w:rPr>
          <w:rFonts w:hint="eastAsia" w:asciiTheme="minorEastAsia" w:hAnsiTheme="minorEastAsia" w:eastAsiaTheme="minorEastAsia" w:cstheme="minorEastAsia"/>
          <w:b/>
          <w:sz w:val="24"/>
          <w:szCs w:val="24"/>
          <w:lang w:eastAsia="zh-CN"/>
        </w:rPr>
        <w:t>%向甲方支付违约金，违约金不足以弥补甲方损失的，甲方有权追偿。</w:t>
      </w:r>
      <w:r>
        <w:rPr>
          <w:rFonts w:hint="eastAsia" w:asciiTheme="minorEastAsia" w:hAnsiTheme="minorEastAsia" w:eastAsiaTheme="minorEastAsia" w:cstheme="minorEastAsia"/>
          <w:sz w:val="24"/>
          <w:szCs w:val="24"/>
          <w:lang w:eastAsia="zh-CN"/>
        </w:rPr>
        <w:t>。</w:t>
      </w:r>
    </w:p>
    <w:p w14:paraId="35BCCB27">
      <w:pPr>
        <w:numPr>
          <w:ilvl w:val="0"/>
          <w:numId w:val="6"/>
        </w:numPr>
        <w:spacing w:line="30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解除合同时，乙方应返还甲方提供的一切资料，并应继续承担保密义务。</w:t>
      </w:r>
    </w:p>
    <w:p w14:paraId="1FB2F218">
      <w:pPr>
        <w:numPr>
          <w:ilvl w:val="0"/>
          <w:numId w:val="2"/>
        </w:num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争议解决</w:t>
      </w:r>
    </w:p>
    <w:p w14:paraId="505EC2A0">
      <w:pPr>
        <w:spacing w:line="300" w:lineRule="auto"/>
        <w:ind w:firstLine="36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本合同发生纠纷时，当事人双方应协商解决；协商不成的，双方均应向</w:t>
      </w:r>
      <w:r>
        <w:rPr>
          <w:rFonts w:hint="eastAsia" w:asciiTheme="minorEastAsia" w:hAnsiTheme="minorEastAsia" w:eastAsiaTheme="minorEastAsia" w:cstheme="minorEastAsia"/>
          <w:sz w:val="24"/>
          <w:szCs w:val="24"/>
          <w:u w:val="single"/>
          <w:lang w:eastAsia="zh-CN"/>
        </w:rPr>
        <w:t>甲</w:t>
      </w:r>
      <w:r>
        <w:rPr>
          <w:rFonts w:hint="eastAsia" w:asciiTheme="minorEastAsia" w:hAnsiTheme="minorEastAsia" w:eastAsiaTheme="minorEastAsia" w:cstheme="minorEastAsia"/>
          <w:sz w:val="24"/>
          <w:szCs w:val="24"/>
          <w:lang w:eastAsia="zh-CN"/>
        </w:rPr>
        <w:t>方所在地人民法院提起诉讼。</w:t>
      </w:r>
    </w:p>
    <w:p w14:paraId="3EB8B105">
      <w:pPr>
        <w:numPr>
          <w:ilvl w:val="0"/>
          <w:numId w:val="2"/>
        </w:num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附则</w:t>
      </w:r>
    </w:p>
    <w:p w14:paraId="709D06B6">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1、</w:t>
      </w:r>
      <w:r>
        <w:rPr>
          <w:rFonts w:hint="eastAsia" w:asciiTheme="minorEastAsia" w:hAnsiTheme="minorEastAsia" w:eastAsiaTheme="minorEastAsia" w:cstheme="minorEastAsia"/>
          <w:sz w:val="24"/>
          <w:szCs w:val="24"/>
          <w:lang w:eastAsia="zh-CN"/>
        </w:rPr>
        <w:t>本合同如有未尽事宜，经双方友好协商，另签补充协议。经双方签字确认的补充协议等书面材料均为本合同的组成部分，与本合同具同等法律效力，内容如有冲突，以时间在后的为准。</w:t>
      </w:r>
    </w:p>
    <w:p w14:paraId="77D058B5">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2、</w:t>
      </w:r>
      <w:r>
        <w:rPr>
          <w:rFonts w:hint="eastAsia" w:asciiTheme="minorEastAsia" w:hAnsiTheme="minorEastAsia" w:eastAsiaTheme="minorEastAsia" w:cstheme="minorEastAsia"/>
          <w:sz w:val="24"/>
          <w:szCs w:val="24"/>
          <w:lang w:eastAsia="zh-CN"/>
        </w:rPr>
        <w:t>本合同经双方加盖公章后立即生效。</w:t>
      </w:r>
    </w:p>
    <w:p w14:paraId="5B7B2FAC">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3、</w:t>
      </w:r>
      <w:r>
        <w:rPr>
          <w:rFonts w:hint="eastAsia" w:asciiTheme="minorEastAsia" w:hAnsiTheme="minorEastAsia" w:eastAsiaTheme="minorEastAsia" w:cstheme="minorEastAsia"/>
          <w:sz w:val="24"/>
          <w:szCs w:val="24"/>
          <w:lang w:eastAsia="zh-CN"/>
        </w:rPr>
        <w:t>本合同项下的任何权利义务，未经一方书面同意，任何一方均不得转让。</w:t>
      </w:r>
    </w:p>
    <w:p w14:paraId="2ECAC809">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4、</w:t>
      </w:r>
      <w:r>
        <w:rPr>
          <w:rFonts w:hint="eastAsia" w:asciiTheme="minorEastAsia" w:hAnsiTheme="minorEastAsia" w:eastAsiaTheme="minorEastAsia" w:cstheme="minorEastAsia"/>
          <w:sz w:val="24"/>
          <w:szCs w:val="24"/>
          <w:lang w:eastAsia="zh-CN"/>
        </w:rPr>
        <w:t>合同一式伍份，甲方执肆份，乙方执壹份，具有同等法律效力。</w:t>
      </w:r>
    </w:p>
    <w:p w14:paraId="07BC63FC">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p>
    <w:tbl>
      <w:tblPr>
        <w:tblStyle w:val="12"/>
        <w:tblpPr w:leftFromText="180" w:rightFromText="180" w:vertAnchor="text" w:horzAnchor="page" w:tblpX="1212" w:tblpY="226"/>
        <w:tblOverlap w:val="never"/>
        <w:tblW w:w="9199" w:type="dxa"/>
        <w:tblInd w:w="0" w:type="dxa"/>
        <w:tblLayout w:type="fixed"/>
        <w:tblCellMar>
          <w:top w:w="0" w:type="dxa"/>
          <w:left w:w="108" w:type="dxa"/>
          <w:bottom w:w="0" w:type="dxa"/>
          <w:right w:w="108" w:type="dxa"/>
        </w:tblCellMar>
      </w:tblPr>
      <w:tblGrid>
        <w:gridCol w:w="4507"/>
        <w:gridCol w:w="4692"/>
      </w:tblGrid>
      <w:tr w14:paraId="4657823C">
        <w:tblPrEx>
          <w:tblCellMar>
            <w:top w:w="0" w:type="dxa"/>
            <w:left w:w="108" w:type="dxa"/>
            <w:bottom w:w="0" w:type="dxa"/>
            <w:right w:w="108" w:type="dxa"/>
          </w:tblCellMar>
        </w:tblPrEx>
        <w:trPr>
          <w:trHeight w:val="718" w:hRule="atLeast"/>
        </w:trPr>
        <w:tc>
          <w:tcPr>
            <w:tcW w:w="4507" w:type="dxa"/>
            <w:vAlign w:val="center"/>
          </w:tcPr>
          <w:p w14:paraId="62BDE373">
            <w:pPr>
              <w:numPr>
                <w:ilvl w:val="0"/>
                <w:numId w:val="0"/>
              </w:numPr>
              <w:spacing w:line="300" w:lineRule="auto"/>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甲方：腾龙芳烃（漳州）有限公司</w:t>
            </w:r>
          </w:p>
        </w:tc>
        <w:tc>
          <w:tcPr>
            <w:tcW w:w="4692" w:type="dxa"/>
            <w:vAlign w:val="center"/>
          </w:tcPr>
          <w:p w14:paraId="1CD3C9E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w:t>
            </w:r>
          </w:p>
        </w:tc>
      </w:tr>
      <w:tr w14:paraId="786ABA62">
        <w:tblPrEx>
          <w:tblCellMar>
            <w:top w:w="0" w:type="dxa"/>
            <w:left w:w="108" w:type="dxa"/>
            <w:bottom w:w="0" w:type="dxa"/>
            <w:right w:w="108" w:type="dxa"/>
          </w:tblCellMar>
        </w:tblPrEx>
        <w:trPr>
          <w:trHeight w:val="463" w:hRule="atLeast"/>
        </w:trPr>
        <w:tc>
          <w:tcPr>
            <w:tcW w:w="4507" w:type="dxa"/>
            <w:vAlign w:val="center"/>
          </w:tcPr>
          <w:p w14:paraId="1386B268">
            <w:pPr>
              <w:numPr>
                <w:ilvl w:val="0"/>
                <w:numId w:val="0"/>
              </w:numPr>
              <w:spacing w:line="300" w:lineRule="auto"/>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w:t>
            </w:r>
          </w:p>
        </w:tc>
        <w:tc>
          <w:tcPr>
            <w:tcW w:w="4692" w:type="dxa"/>
            <w:vAlign w:val="center"/>
          </w:tcPr>
          <w:p w14:paraId="3482BF00">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w:t>
            </w:r>
          </w:p>
        </w:tc>
      </w:tr>
      <w:tr w14:paraId="590540BA">
        <w:tblPrEx>
          <w:tblCellMar>
            <w:top w:w="0" w:type="dxa"/>
            <w:left w:w="108" w:type="dxa"/>
            <w:bottom w:w="0" w:type="dxa"/>
            <w:right w:w="108" w:type="dxa"/>
          </w:tblCellMar>
        </w:tblPrEx>
        <w:trPr>
          <w:trHeight w:val="470" w:hRule="atLeast"/>
        </w:trPr>
        <w:tc>
          <w:tcPr>
            <w:tcW w:w="4507" w:type="dxa"/>
            <w:vAlign w:val="center"/>
          </w:tcPr>
          <w:p w14:paraId="00B53F89">
            <w:pPr>
              <w:numPr>
                <w:ilvl w:val="0"/>
                <w:numId w:val="0"/>
              </w:numPr>
              <w:spacing w:line="300" w:lineRule="auto"/>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w:t>
            </w:r>
          </w:p>
        </w:tc>
        <w:tc>
          <w:tcPr>
            <w:tcW w:w="4692" w:type="dxa"/>
            <w:vAlign w:val="center"/>
          </w:tcPr>
          <w:p w14:paraId="74CF5A3F">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  </w:t>
            </w:r>
          </w:p>
        </w:tc>
      </w:tr>
      <w:tr w14:paraId="0DBC830B">
        <w:tblPrEx>
          <w:tblCellMar>
            <w:top w:w="0" w:type="dxa"/>
            <w:left w:w="108" w:type="dxa"/>
            <w:bottom w:w="0" w:type="dxa"/>
            <w:right w:w="108" w:type="dxa"/>
          </w:tblCellMar>
        </w:tblPrEx>
        <w:trPr>
          <w:trHeight w:val="470" w:hRule="atLeast"/>
        </w:trPr>
        <w:tc>
          <w:tcPr>
            <w:tcW w:w="4507" w:type="dxa"/>
            <w:vAlign w:val="center"/>
          </w:tcPr>
          <w:p w14:paraId="799F4879">
            <w:pPr>
              <w:numPr>
                <w:ilvl w:val="0"/>
                <w:numId w:val="0"/>
              </w:numPr>
              <w:spacing w:line="300" w:lineRule="auto"/>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托代表人：</w:t>
            </w:r>
          </w:p>
        </w:tc>
        <w:tc>
          <w:tcPr>
            <w:tcW w:w="4692" w:type="dxa"/>
            <w:vAlign w:val="center"/>
          </w:tcPr>
          <w:p w14:paraId="5C37D421">
            <w:pPr>
              <w:keepNext w:val="0"/>
              <w:keepLines w:val="0"/>
              <w:numPr>
                <w:ilvl w:val="0"/>
                <w:numId w:val="0"/>
              </w:numPr>
              <w:suppressLineNumbers w:val="0"/>
              <w:spacing w:before="0" w:beforeAutospacing="0" w:after="0" w:afterAutospacing="0" w:line="300" w:lineRule="auto"/>
              <w:ind w:left="0" w:leftChars="0" w:right="0" w:rightChars="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委托代表人：     </w:t>
            </w:r>
          </w:p>
        </w:tc>
      </w:tr>
      <w:tr w14:paraId="33A10B4C">
        <w:tblPrEx>
          <w:tblCellMar>
            <w:top w:w="0" w:type="dxa"/>
            <w:left w:w="108" w:type="dxa"/>
            <w:bottom w:w="0" w:type="dxa"/>
            <w:right w:w="108" w:type="dxa"/>
          </w:tblCellMar>
        </w:tblPrEx>
        <w:trPr>
          <w:trHeight w:val="470" w:hRule="atLeast"/>
        </w:trPr>
        <w:tc>
          <w:tcPr>
            <w:tcW w:w="4507" w:type="dxa"/>
            <w:vAlign w:val="center"/>
          </w:tcPr>
          <w:p w14:paraId="60A6E04F">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     话：</w:t>
            </w:r>
          </w:p>
        </w:tc>
        <w:tc>
          <w:tcPr>
            <w:tcW w:w="4692" w:type="dxa"/>
            <w:vAlign w:val="center"/>
          </w:tcPr>
          <w:p w14:paraId="3BCCFD80">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     话：</w:t>
            </w:r>
          </w:p>
        </w:tc>
      </w:tr>
      <w:tr w14:paraId="37C153DB">
        <w:tblPrEx>
          <w:tblCellMar>
            <w:top w:w="0" w:type="dxa"/>
            <w:left w:w="108" w:type="dxa"/>
            <w:bottom w:w="0" w:type="dxa"/>
            <w:right w:w="108" w:type="dxa"/>
          </w:tblCellMar>
        </w:tblPrEx>
        <w:trPr>
          <w:trHeight w:val="470" w:hRule="atLeast"/>
        </w:trPr>
        <w:tc>
          <w:tcPr>
            <w:tcW w:w="4507" w:type="dxa"/>
            <w:vAlign w:val="center"/>
          </w:tcPr>
          <w:p w14:paraId="4BB91C26">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纳税人识别号: </w:t>
            </w:r>
          </w:p>
        </w:tc>
        <w:tc>
          <w:tcPr>
            <w:tcW w:w="4692" w:type="dxa"/>
            <w:vAlign w:val="center"/>
          </w:tcPr>
          <w:p w14:paraId="6CCAA5BD">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纳税人识别号:</w:t>
            </w:r>
          </w:p>
        </w:tc>
      </w:tr>
      <w:tr w14:paraId="59BAADFD">
        <w:tblPrEx>
          <w:tblCellMar>
            <w:top w:w="0" w:type="dxa"/>
            <w:left w:w="108" w:type="dxa"/>
            <w:bottom w:w="0" w:type="dxa"/>
            <w:right w:w="108" w:type="dxa"/>
          </w:tblCellMar>
        </w:tblPrEx>
        <w:trPr>
          <w:trHeight w:val="440" w:hRule="atLeast"/>
        </w:trPr>
        <w:tc>
          <w:tcPr>
            <w:tcW w:w="4507" w:type="dxa"/>
            <w:vAlign w:val="center"/>
          </w:tcPr>
          <w:p w14:paraId="7C35131E">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开户银行：</w:t>
            </w:r>
          </w:p>
        </w:tc>
        <w:tc>
          <w:tcPr>
            <w:tcW w:w="4692" w:type="dxa"/>
            <w:vAlign w:val="center"/>
          </w:tcPr>
          <w:p w14:paraId="7444FAC9">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开户银行：</w:t>
            </w:r>
          </w:p>
        </w:tc>
      </w:tr>
      <w:tr w14:paraId="13A3C52A">
        <w:tblPrEx>
          <w:tblCellMar>
            <w:top w:w="0" w:type="dxa"/>
            <w:left w:w="108" w:type="dxa"/>
            <w:bottom w:w="0" w:type="dxa"/>
            <w:right w:w="108" w:type="dxa"/>
          </w:tblCellMar>
        </w:tblPrEx>
        <w:trPr>
          <w:trHeight w:val="470" w:hRule="atLeast"/>
        </w:trPr>
        <w:tc>
          <w:tcPr>
            <w:tcW w:w="4507" w:type="dxa"/>
            <w:vAlign w:val="center"/>
          </w:tcPr>
          <w:p w14:paraId="27763272">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帐     号：</w:t>
            </w:r>
          </w:p>
        </w:tc>
        <w:tc>
          <w:tcPr>
            <w:tcW w:w="4692" w:type="dxa"/>
            <w:vAlign w:val="center"/>
          </w:tcPr>
          <w:p w14:paraId="364B2026">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帐    号：</w:t>
            </w:r>
          </w:p>
        </w:tc>
      </w:tr>
      <w:tr w14:paraId="68402360">
        <w:tblPrEx>
          <w:tblCellMar>
            <w:top w:w="0" w:type="dxa"/>
            <w:left w:w="108" w:type="dxa"/>
            <w:bottom w:w="0" w:type="dxa"/>
            <w:right w:w="108" w:type="dxa"/>
          </w:tblCellMar>
        </w:tblPrEx>
        <w:trPr>
          <w:trHeight w:val="470" w:hRule="atLeast"/>
        </w:trPr>
        <w:tc>
          <w:tcPr>
            <w:tcW w:w="4507" w:type="dxa"/>
            <w:vAlign w:val="center"/>
          </w:tcPr>
          <w:p w14:paraId="752203D9">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邮政编码：</w:t>
            </w:r>
          </w:p>
        </w:tc>
        <w:tc>
          <w:tcPr>
            <w:tcW w:w="4692" w:type="dxa"/>
            <w:vAlign w:val="center"/>
          </w:tcPr>
          <w:p w14:paraId="3FEB8D68">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邮政编码：</w:t>
            </w:r>
          </w:p>
        </w:tc>
      </w:tr>
    </w:tbl>
    <w:p w14:paraId="51AFD3F8">
      <w:pPr>
        <w:pStyle w:val="17"/>
        <w:rPr>
          <w:rFonts w:hint="eastAsia" w:asciiTheme="minorEastAsia" w:hAnsiTheme="minorEastAsia" w:eastAsiaTheme="minorEastAsia" w:cstheme="minorEastAsia"/>
          <w:b/>
          <w:sz w:val="24"/>
          <w:szCs w:val="24"/>
          <w:lang w:val="en-US" w:eastAsia="zh-CN" w:bidi="ar-SA"/>
        </w:rPr>
      </w:pPr>
    </w:p>
    <w:p w14:paraId="1909887E">
      <w:pPr>
        <w:pStyle w:val="17"/>
        <w:rPr>
          <w:rFonts w:hint="eastAsia" w:ascii="宋体" w:hAnsi="宋体" w:eastAsia="宋体" w:cs="宋体"/>
          <w:b/>
          <w:sz w:val="30"/>
          <w:szCs w:val="30"/>
          <w:lang w:val="en-US" w:eastAsia="zh-CN" w:bidi="ar-SA"/>
        </w:rPr>
      </w:pPr>
    </w:p>
    <w:p w14:paraId="0DCA01EB">
      <w:pPr>
        <w:pStyle w:val="17"/>
        <w:rPr>
          <w:rFonts w:hint="eastAsia" w:ascii="宋体" w:hAnsi="宋体" w:eastAsia="宋体" w:cs="宋体"/>
          <w:b/>
          <w:sz w:val="30"/>
          <w:szCs w:val="30"/>
          <w:lang w:val="en-US" w:eastAsia="zh-CN" w:bidi="ar-SA"/>
        </w:rPr>
      </w:pPr>
    </w:p>
    <w:p w14:paraId="339EB8BF">
      <w:pPr>
        <w:pStyle w:val="17"/>
        <w:rPr>
          <w:rFonts w:hint="eastAsia" w:ascii="宋体" w:hAnsi="宋体" w:eastAsia="宋体" w:cs="宋体"/>
          <w:b/>
          <w:sz w:val="30"/>
          <w:szCs w:val="30"/>
          <w:lang w:val="en-US" w:eastAsia="zh-CN" w:bidi="ar-SA"/>
        </w:rPr>
      </w:pPr>
    </w:p>
    <w:p w14:paraId="553737B3">
      <w:pPr>
        <w:pStyle w:val="17"/>
        <w:rPr>
          <w:rFonts w:hint="eastAsia" w:ascii="宋体" w:hAnsi="宋体" w:eastAsia="宋体" w:cs="宋体"/>
          <w:b/>
          <w:sz w:val="30"/>
          <w:szCs w:val="30"/>
          <w:lang w:val="en-US" w:eastAsia="zh-CN" w:bidi="ar-SA"/>
        </w:rPr>
      </w:pPr>
    </w:p>
    <w:p w14:paraId="25D11435">
      <w:pPr>
        <w:pStyle w:val="17"/>
        <w:rPr>
          <w:rFonts w:hint="eastAsia" w:ascii="宋体" w:hAnsi="宋体" w:eastAsia="宋体" w:cs="宋体"/>
          <w:b/>
          <w:sz w:val="30"/>
          <w:szCs w:val="30"/>
          <w:lang w:val="en-US" w:eastAsia="zh-CN" w:bidi="ar-SA"/>
        </w:rPr>
      </w:pPr>
    </w:p>
    <w:p w14:paraId="1ED6B1FB">
      <w:pPr>
        <w:pStyle w:val="17"/>
        <w:rPr>
          <w:rFonts w:hint="eastAsia" w:ascii="宋体" w:hAnsi="宋体" w:eastAsia="宋体" w:cs="宋体"/>
          <w:b/>
          <w:sz w:val="30"/>
          <w:szCs w:val="30"/>
          <w:lang w:val="en-US" w:eastAsia="zh-CN" w:bidi="ar-SA"/>
        </w:rPr>
      </w:pPr>
    </w:p>
    <w:p w14:paraId="61F08E7F">
      <w:pPr>
        <w:pStyle w:val="17"/>
        <w:rPr>
          <w:rFonts w:hint="eastAsia" w:ascii="宋体" w:hAnsi="宋体" w:eastAsia="宋体" w:cs="宋体"/>
          <w:b/>
          <w:sz w:val="30"/>
          <w:szCs w:val="30"/>
          <w:lang w:val="en-US" w:eastAsia="zh-CN" w:bidi="ar-SA"/>
        </w:rPr>
      </w:pPr>
    </w:p>
    <w:p w14:paraId="398E422D">
      <w:pPr>
        <w:pStyle w:val="17"/>
        <w:rPr>
          <w:rFonts w:hint="eastAsia" w:ascii="宋体" w:hAnsi="宋体" w:eastAsia="宋体" w:cs="宋体"/>
          <w:b/>
          <w:sz w:val="30"/>
          <w:szCs w:val="30"/>
          <w:lang w:val="en-US" w:eastAsia="zh-CN" w:bidi="ar-SA"/>
        </w:rPr>
      </w:pPr>
    </w:p>
    <w:p w14:paraId="6057C81F">
      <w:pPr>
        <w:pStyle w:val="17"/>
        <w:rPr>
          <w:rFonts w:hint="eastAsia" w:ascii="宋体" w:hAnsi="宋体" w:eastAsia="宋体" w:cs="宋体"/>
          <w:b/>
          <w:sz w:val="30"/>
          <w:szCs w:val="30"/>
          <w:lang w:val="en-US" w:eastAsia="zh-CN" w:bidi="ar-SA"/>
        </w:rPr>
      </w:pPr>
    </w:p>
    <w:p w14:paraId="3BBCE951">
      <w:pPr>
        <w:pStyle w:val="17"/>
        <w:rPr>
          <w:rFonts w:hint="eastAsia" w:ascii="宋体" w:hAnsi="宋体" w:eastAsia="宋体" w:cs="宋体"/>
          <w:b/>
          <w:sz w:val="30"/>
          <w:szCs w:val="30"/>
          <w:lang w:val="en-US" w:eastAsia="zh-CN" w:bidi="ar-SA"/>
        </w:rPr>
      </w:pPr>
    </w:p>
    <w:p w14:paraId="4DC48D6B">
      <w:pPr>
        <w:pStyle w:val="17"/>
        <w:rPr>
          <w:rFonts w:hint="eastAsia" w:ascii="宋体" w:hAnsi="宋体" w:eastAsia="宋体" w:cs="宋体"/>
          <w:b/>
          <w:sz w:val="30"/>
          <w:szCs w:val="30"/>
          <w:lang w:val="en-US" w:eastAsia="zh-CN" w:bidi="ar-SA"/>
        </w:rPr>
      </w:pPr>
    </w:p>
    <w:p w14:paraId="5D4000AB">
      <w:pPr>
        <w:pStyle w:val="17"/>
        <w:rPr>
          <w:rFonts w:hint="eastAsia" w:ascii="宋体" w:hAnsi="宋体" w:eastAsia="宋体" w:cs="宋体"/>
          <w:b/>
          <w:sz w:val="30"/>
          <w:szCs w:val="30"/>
          <w:lang w:val="en-US" w:eastAsia="zh-CN" w:bidi="ar-SA"/>
        </w:rPr>
      </w:pPr>
    </w:p>
    <w:p w14:paraId="7E7FD523">
      <w:pPr>
        <w:pStyle w:val="17"/>
        <w:rPr>
          <w:rFonts w:hint="eastAsia" w:ascii="宋体" w:hAnsi="宋体" w:eastAsia="宋体" w:cs="宋体"/>
          <w:b/>
          <w:sz w:val="30"/>
          <w:szCs w:val="30"/>
          <w:lang w:val="en-US" w:eastAsia="zh-CN" w:bidi="ar-SA"/>
        </w:rPr>
      </w:pPr>
    </w:p>
    <w:p w14:paraId="6714FA77">
      <w:pPr>
        <w:pStyle w:val="17"/>
        <w:rPr>
          <w:rFonts w:hint="eastAsia" w:ascii="宋体" w:hAnsi="宋体" w:eastAsia="宋体" w:cs="宋体"/>
          <w:b/>
          <w:sz w:val="30"/>
          <w:szCs w:val="30"/>
          <w:lang w:val="en-US" w:eastAsia="zh-CN" w:bidi="ar-SA"/>
        </w:rPr>
      </w:pPr>
    </w:p>
    <w:p w14:paraId="037A5C84">
      <w:pPr>
        <w:pStyle w:val="17"/>
        <w:rPr>
          <w:rFonts w:hint="eastAsia" w:ascii="宋体" w:hAnsi="宋体" w:eastAsia="宋体" w:cs="宋体"/>
          <w:b/>
          <w:sz w:val="30"/>
          <w:szCs w:val="30"/>
          <w:lang w:val="en-US" w:eastAsia="zh-CN" w:bidi="ar-SA"/>
        </w:rPr>
      </w:pPr>
    </w:p>
    <w:p w14:paraId="7061F972">
      <w:pPr>
        <w:pStyle w:val="17"/>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7"/>
        <w:jc w:val="center"/>
        <w:rPr>
          <w:rFonts w:hint="eastAsia" w:ascii="宋体" w:hAnsi="宋体" w:eastAsia="宋体" w:cs="宋体"/>
          <w:b/>
          <w:sz w:val="52"/>
          <w:szCs w:val="52"/>
          <w:lang w:eastAsia="zh-CN"/>
        </w:rPr>
      </w:pPr>
    </w:p>
    <w:p w14:paraId="2CBD0752">
      <w:pPr>
        <w:pStyle w:val="7"/>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5B59DECF">
      <w:pPr>
        <w:spacing w:line="1000" w:lineRule="exact"/>
        <w:jc w:val="center"/>
        <w:rPr>
          <w:rFonts w:hint="eastAsia" w:ascii="宋体" w:hAnsi="宋体" w:eastAsia="宋体" w:cs="宋体"/>
          <w:b/>
          <w:sz w:val="44"/>
          <w:szCs w:val="44"/>
          <w:lang w:eastAsia="zh-CN"/>
        </w:rPr>
      </w:pPr>
      <w:r>
        <w:rPr>
          <w:rFonts w:hint="eastAsia" w:cs="宋体"/>
          <w:b/>
          <w:color w:val="FF0000"/>
          <w:sz w:val="44"/>
          <w:szCs w:val="44"/>
          <w:lang w:eastAsia="zh-CN"/>
        </w:rPr>
        <w:t>消防综合楼新增电梯采购项目</w:t>
      </w:r>
      <w:r>
        <w:rPr>
          <w:rFonts w:hint="eastAsia" w:ascii="宋体" w:hAnsi="宋体" w:eastAsia="宋体" w:cs="宋体"/>
          <w:b/>
          <w:sz w:val="44"/>
          <w:szCs w:val="44"/>
          <w:lang w:eastAsia="zh-CN"/>
        </w:rPr>
        <w:t>参比文件</w:t>
      </w:r>
    </w:p>
    <w:p w14:paraId="799DB0BF">
      <w:pPr>
        <w:pStyle w:val="17"/>
        <w:rPr>
          <w:rFonts w:hint="eastAsia" w:ascii="宋体" w:hAnsi="宋体" w:eastAsia="宋体" w:cs="宋体"/>
        </w:rPr>
      </w:pPr>
    </w:p>
    <w:p w14:paraId="66430289">
      <w:pPr>
        <w:pStyle w:val="7"/>
        <w:rPr>
          <w:rFonts w:hint="eastAsia" w:ascii="宋体" w:hAnsi="宋体" w:eastAsia="宋体" w:cs="宋体"/>
          <w:lang w:eastAsia="zh-CN"/>
        </w:rPr>
      </w:pPr>
    </w:p>
    <w:p w14:paraId="303A44C3">
      <w:pPr>
        <w:pStyle w:val="7"/>
        <w:rPr>
          <w:rFonts w:hint="eastAsia" w:ascii="宋体" w:hAnsi="宋体" w:eastAsia="宋体" w:cs="宋体"/>
          <w:lang w:eastAsia="zh-CN"/>
        </w:rPr>
      </w:pPr>
    </w:p>
    <w:p w14:paraId="559558BB">
      <w:pPr>
        <w:pStyle w:val="7"/>
        <w:rPr>
          <w:rFonts w:hint="eastAsia" w:ascii="宋体" w:hAnsi="宋体" w:eastAsia="宋体" w:cs="宋体"/>
          <w:lang w:eastAsia="zh-CN"/>
        </w:rPr>
      </w:pPr>
    </w:p>
    <w:p w14:paraId="35D9A259">
      <w:pPr>
        <w:pStyle w:val="7"/>
        <w:rPr>
          <w:rFonts w:hint="eastAsia" w:ascii="宋体" w:hAnsi="宋体" w:eastAsia="宋体" w:cs="宋体"/>
          <w:lang w:eastAsia="zh-CN"/>
        </w:rPr>
      </w:pPr>
    </w:p>
    <w:p w14:paraId="0CC5A5D1">
      <w:pPr>
        <w:pStyle w:val="7"/>
        <w:rPr>
          <w:rFonts w:hint="eastAsia" w:ascii="宋体" w:hAnsi="宋体" w:eastAsia="宋体" w:cs="宋体"/>
          <w:lang w:eastAsia="zh-CN"/>
        </w:rPr>
      </w:pPr>
    </w:p>
    <w:p w14:paraId="5C6052BA">
      <w:pPr>
        <w:pStyle w:val="7"/>
        <w:rPr>
          <w:rFonts w:hint="eastAsia" w:ascii="宋体" w:hAnsi="宋体" w:eastAsia="宋体" w:cs="宋体"/>
          <w:b/>
          <w:bCs/>
          <w:sz w:val="32"/>
          <w:szCs w:val="32"/>
          <w:lang w:eastAsia="zh-CN"/>
        </w:rPr>
      </w:pPr>
    </w:p>
    <w:p w14:paraId="59C232A5">
      <w:pPr>
        <w:pStyle w:val="7"/>
        <w:rPr>
          <w:rFonts w:hint="eastAsia" w:ascii="宋体" w:hAnsi="宋体" w:eastAsia="宋体" w:cs="宋体"/>
          <w:b/>
          <w:bCs/>
          <w:sz w:val="32"/>
          <w:szCs w:val="32"/>
          <w:lang w:eastAsia="zh-CN"/>
        </w:rPr>
      </w:pPr>
    </w:p>
    <w:p w14:paraId="402D501D">
      <w:pPr>
        <w:pStyle w:val="7"/>
        <w:rPr>
          <w:rFonts w:hint="eastAsia" w:ascii="宋体" w:hAnsi="宋体" w:eastAsia="宋体" w:cs="宋体"/>
          <w:b/>
          <w:bCs/>
          <w:sz w:val="32"/>
          <w:szCs w:val="32"/>
          <w:lang w:eastAsia="zh-CN"/>
        </w:rPr>
      </w:pPr>
    </w:p>
    <w:p w14:paraId="1224C0F5">
      <w:pPr>
        <w:pStyle w:val="7"/>
        <w:rPr>
          <w:rFonts w:hint="eastAsia" w:ascii="宋体" w:hAnsi="宋体" w:eastAsia="宋体" w:cs="宋体"/>
          <w:b/>
          <w:bCs/>
          <w:sz w:val="32"/>
          <w:szCs w:val="36"/>
          <w:lang w:eastAsia="zh-CN"/>
        </w:rPr>
      </w:pPr>
    </w:p>
    <w:p w14:paraId="179B654D">
      <w:pPr>
        <w:pStyle w:val="7"/>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7"/>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2025年 月</w:t>
      </w:r>
    </w:p>
    <w:p w14:paraId="26B5AD43">
      <w:pPr>
        <w:rPr>
          <w:rFonts w:hint="eastAsia" w:ascii="宋体" w:hAnsi="宋体" w:eastAsia="宋体" w:cs="宋体"/>
          <w:lang w:eastAsia="zh-CN"/>
        </w:rPr>
      </w:pPr>
    </w:p>
    <w:p w14:paraId="066019F2">
      <w:pPr>
        <w:pStyle w:val="17"/>
        <w:rPr>
          <w:rFonts w:hint="eastAsia" w:ascii="宋体" w:hAnsi="宋体" w:eastAsia="宋体" w:cs="宋体"/>
        </w:rPr>
      </w:pPr>
    </w:p>
    <w:p w14:paraId="1B40AA16">
      <w:pPr>
        <w:pStyle w:val="17"/>
        <w:rPr>
          <w:rFonts w:hint="eastAsia" w:ascii="宋体" w:hAnsi="宋体" w:eastAsia="宋体" w:cs="宋体"/>
        </w:rPr>
      </w:pPr>
    </w:p>
    <w:p w14:paraId="62CE8FE6">
      <w:pPr>
        <w:pStyle w:val="17"/>
        <w:rPr>
          <w:rFonts w:hint="eastAsia" w:ascii="宋体" w:hAnsi="宋体" w:eastAsia="宋体" w:cs="宋体"/>
        </w:rPr>
      </w:pPr>
    </w:p>
    <w:p w14:paraId="72182172">
      <w:pPr>
        <w:pStyle w:val="17"/>
        <w:rPr>
          <w:rFonts w:hint="eastAsia" w:ascii="宋体" w:hAnsi="宋体" w:eastAsia="宋体" w:cs="宋体"/>
        </w:rPr>
      </w:pPr>
    </w:p>
    <w:p w14:paraId="4AA21FD5">
      <w:pPr>
        <w:pStyle w:val="17"/>
        <w:rPr>
          <w:rFonts w:hint="eastAsia" w:ascii="宋体" w:hAnsi="宋体" w:eastAsia="宋体" w:cs="宋体"/>
        </w:rPr>
      </w:pPr>
    </w:p>
    <w:p w14:paraId="4068E097">
      <w:pPr>
        <w:pStyle w:val="17"/>
        <w:rPr>
          <w:rFonts w:hint="eastAsia" w:ascii="宋体" w:hAnsi="宋体" w:eastAsia="宋体" w:cs="宋体"/>
        </w:rPr>
      </w:pPr>
    </w:p>
    <w:p w14:paraId="46D2DC26">
      <w:pPr>
        <w:pStyle w:val="17"/>
        <w:rPr>
          <w:rFonts w:hint="eastAsia" w:ascii="宋体" w:hAnsi="宋体" w:eastAsia="宋体" w:cs="宋体"/>
        </w:rPr>
      </w:pPr>
    </w:p>
    <w:p w14:paraId="0517CDBC">
      <w:pPr>
        <w:pStyle w:val="17"/>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19"/>
        <w:spacing w:beforeLines="0" w:afterLines="0" w:line="240" w:lineRule="auto"/>
        <w:ind w:firstLine="0" w:firstLineChars="0"/>
        <w:rPr>
          <w:rFonts w:hint="eastAsia" w:ascii="宋体" w:hAnsi="宋体" w:eastAsia="宋体" w:cs="宋体"/>
          <w:bCs w:val="0"/>
          <w:color w:val="C00000"/>
          <w:lang w:eastAsia="zh-CN"/>
        </w:rPr>
      </w:pPr>
    </w:p>
    <w:p w14:paraId="003EA591">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19"/>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17"/>
        <w:rPr>
          <w:rFonts w:hint="eastAsia" w:ascii="宋体" w:hAnsi="宋体" w:eastAsia="宋体" w:cs="宋体"/>
          <w:sz w:val="28"/>
          <w:szCs w:val="28"/>
        </w:rPr>
      </w:pPr>
    </w:p>
    <w:p w14:paraId="01650629">
      <w:pPr>
        <w:pStyle w:val="17"/>
        <w:rPr>
          <w:rFonts w:hint="eastAsia" w:ascii="宋体" w:hAnsi="宋体" w:eastAsia="宋体" w:cs="宋体"/>
        </w:rPr>
      </w:pPr>
    </w:p>
    <w:p w14:paraId="2239D7F9">
      <w:pPr>
        <w:pStyle w:val="17"/>
        <w:rPr>
          <w:rFonts w:hint="eastAsia" w:ascii="宋体" w:hAnsi="宋体" w:eastAsia="宋体" w:cs="宋体"/>
        </w:rPr>
      </w:pPr>
    </w:p>
    <w:p w14:paraId="511814B1">
      <w:pPr>
        <w:pStyle w:val="17"/>
        <w:rPr>
          <w:rFonts w:hint="eastAsia" w:ascii="宋体" w:hAnsi="宋体" w:eastAsia="宋体" w:cs="宋体"/>
        </w:rPr>
      </w:pPr>
    </w:p>
    <w:p w14:paraId="585CAA79">
      <w:pPr>
        <w:pStyle w:val="17"/>
        <w:rPr>
          <w:rFonts w:hint="eastAsia" w:ascii="宋体" w:hAnsi="宋体" w:eastAsia="宋体" w:cs="宋体"/>
        </w:rPr>
      </w:pPr>
    </w:p>
    <w:p w14:paraId="215395B8">
      <w:pPr>
        <w:pStyle w:val="17"/>
        <w:rPr>
          <w:rFonts w:hint="eastAsia" w:ascii="宋体" w:hAnsi="宋体" w:eastAsia="宋体" w:cs="宋体"/>
        </w:rPr>
      </w:pPr>
    </w:p>
    <w:p w14:paraId="2041CC29">
      <w:pPr>
        <w:pStyle w:val="17"/>
        <w:rPr>
          <w:rFonts w:hint="eastAsia" w:ascii="宋体" w:hAnsi="宋体" w:eastAsia="宋体" w:cs="宋体"/>
        </w:rPr>
      </w:pPr>
    </w:p>
    <w:p w14:paraId="41673E0F">
      <w:pPr>
        <w:pStyle w:val="17"/>
        <w:rPr>
          <w:rFonts w:hint="eastAsia" w:ascii="宋体" w:hAnsi="宋体" w:eastAsia="宋体" w:cs="宋体"/>
        </w:rPr>
      </w:pPr>
    </w:p>
    <w:p w14:paraId="0D0C2EF0">
      <w:pPr>
        <w:pStyle w:val="17"/>
        <w:rPr>
          <w:rFonts w:hint="eastAsia" w:ascii="宋体" w:hAnsi="宋体" w:eastAsia="宋体" w:cs="宋体"/>
        </w:rPr>
      </w:pPr>
    </w:p>
    <w:p w14:paraId="57229CB8">
      <w:pPr>
        <w:pStyle w:val="17"/>
        <w:rPr>
          <w:rFonts w:hint="eastAsia" w:ascii="宋体" w:hAnsi="宋体" w:eastAsia="宋体" w:cs="宋体"/>
        </w:rPr>
      </w:pPr>
    </w:p>
    <w:p w14:paraId="79C1207A">
      <w:pPr>
        <w:pStyle w:val="17"/>
        <w:rPr>
          <w:rFonts w:hint="eastAsia" w:ascii="宋体" w:hAnsi="宋体" w:eastAsia="宋体" w:cs="宋体"/>
        </w:rPr>
      </w:pPr>
    </w:p>
    <w:p w14:paraId="3A2E7E07">
      <w:pPr>
        <w:pStyle w:val="17"/>
        <w:rPr>
          <w:rFonts w:hint="eastAsia" w:ascii="宋体" w:hAnsi="宋体" w:eastAsia="宋体" w:cs="宋体"/>
        </w:rPr>
      </w:pPr>
    </w:p>
    <w:p w14:paraId="7F3387D6">
      <w:pPr>
        <w:pStyle w:val="17"/>
        <w:rPr>
          <w:rFonts w:hint="eastAsia" w:ascii="宋体" w:hAnsi="宋体" w:eastAsia="宋体" w:cs="宋体"/>
        </w:rPr>
      </w:pPr>
    </w:p>
    <w:p w14:paraId="771D921A">
      <w:pPr>
        <w:pStyle w:val="17"/>
        <w:rPr>
          <w:rFonts w:hint="eastAsia" w:ascii="宋体" w:hAnsi="宋体" w:eastAsia="宋体" w:cs="宋体"/>
        </w:rPr>
      </w:pPr>
    </w:p>
    <w:p w14:paraId="505778A1">
      <w:pPr>
        <w:pStyle w:val="17"/>
        <w:rPr>
          <w:rFonts w:hint="eastAsia" w:ascii="宋体" w:hAnsi="宋体" w:eastAsia="宋体" w:cs="宋体"/>
        </w:rPr>
      </w:pPr>
    </w:p>
    <w:p w14:paraId="049FFE20">
      <w:pPr>
        <w:pStyle w:val="17"/>
        <w:rPr>
          <w:rFonts w:hint="eastAsia" w:ascii="宋体" w:hAnsi="宋体" w:eastAsia="宋体" w:cs="宋体"/>
        </w:rPr>
      </w:pPr>
    </w:p>
    <w:p w14:paraId="5401509C">
      <w:pPr>
        <w:pStyle w:val="17"/>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17"/>
        <w:rPr>
          <w:rFonts w:hint="eastAsia" w:ascii="宋体" w:hAnsi="宋体" w:eastAsia="宋体" w:cs="宋体"/>
          <w:b/>
          <w:bCs/>
          <w:sz w:val="36"/>
          <w:szCs w:val="36"/>
        </w:rPr>
      </w:pPr>
    </w:p>
    <w:p w14:paraId="340BCC72">
      <w:pPr>
        <w:pStyle w:val="17"/>
        <w:rPr>
          <w:rFonts w:hint="eastAsia" w:ascii="宋体" w:hAnsi="宋体" w:eastAsia="宋体" w:cs="宋体"/>
          <w:b/>
          <w:bCs/>
          <w:sz w:val="36"/>
          <w:szCs w:val="36"/>
        </w:rPr>
      </w:pPr>
    </w:p>
    <w:p w14:paraId="355D38E7">
      <w:pPr>
        <w:pStyle w:val="17"/>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17"/>
        <w:rPr>
          <w:rFonts w:hint="eastAsia" w:ascii="宋体" w:hAnsi="宋体" w:eastAsia="宋体" w:cs="宋体"/>
          <w:b/>
          <w:bCs/>
          <w:sz w:val="36"/>
          <w:szCs w:val="36"/>
        </w:rPr>
      </w:pPr>
    </w:p>
    <w:p w14:paraId="24D79123">
      <w:pPr>
        <w:pStyle w:val="17"/>
        <w:rPr>
          <w:rFonts w:hint="eastAsia" w:ascii="宋体" w:hAnsi="宋体" w:eastAsia="宋体" w:cs="宋体"/>
          <w:b/>
          <w:bCs/>
          <w:sz w:val="36"/>
          <w:szCs w:val="36"/>
        </w:rPr>
      </w:pPr>
    </w:p>
    <w:p w14:paraId="024EFB28">
      <w:pPr>
        <w:pStyle w:val="17"/>
        <w:rPr>
          <w:rFonts w:hint="eastAsia" w:ascii="宋体" w:hAnsi="宋体" w:eastAsia="宋体" w:cs="宋体"/>
        </w:rPr>
      </w:pPr>
    </w:p>
    <w:p w14:paraId="2C65D7B7">
      <w:pPr>
        <w:pStyle w:val="17"/>
        <w:rPr>
          <w:rFonts w:hint="eastAsia" w:ascii="宋体" w:hAnsi="宋体" w:eastAsia="宋体" w:cs="宋体"/>
        </w:rPr>
      </w:pPr>
    </w:p>
    <w:p w14:paraId="4385FD1F">
      <w:pPr>
        <w:pStyle w:val="17"/>
        <w:rPr>
          <w:rFonts w:hint="eastAsia" w:ascii="宋体" w:hAnsi="宋体" w:eastAsia="宋体" w:cs="宋体"/>
        </w:rPr>
      </w:pPr>
    </w:p>
    <w:p w14:paraId="7E986680">
      <w:pPr>
        <w:pStyle w:val="17"/>
        <w:rPr>
          <w:rFonts w:hint="eastAsia" w:ascii="宋体" w:hAnsi="宋体" w:eastAsia="宋体" w:cs="宋体"/>
        </w:rPr>
      </w:pPr>
    </w:p>
    <w:p w14:paraId="5802E1F4">
      <w:pPr>
        <w:pStyle w:val="17"/>
        <w:rPr>
          <w:rFonts w:hint="eastAsia" w:ascii="宋体" w:hAnsi="宋体" w:eastAsia="宋体" w:cs="宋体"/>
        </w:rPr>
      </w:pPr>
    </w:p>
    <w:p w14:paraId="5ECF2963">
      <w:pPr>
        <w:pStyle w:val="17"/>
        <w:rPr>
          <w:rFonts w:hint="eastAsia" w:ascii="宋体" w:hAnsi="宋体" w:eastAsia="宋体" w:cs="宋体"/>
        </w:rPr>
      </w:pPr>
    </w:p>
    <w:p w14:paraId="4AF283DE">
      <w:pPr>
        <w:pStyle w:val="17"/>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2、我方将履行比选文件规定的每一项要求：如中标，将严格按照合同约定履行各项义务。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3、我公司报价有效期为采购文件收取时间截止期后30个工作日，如中标，有效期将延长至合同执行完毕。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17"/>
        <w:rPr>
          <w:rFonts w:hint="eastAsia" w:ascii="宋体" w:hAnsi="宋体" w:eastAsia="宋体" w:cs="宋体"/>
        </w:rPr>
      </w:pPr>
    </w:p>
    <w:p w14:paraId="057638D8">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17"/>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17"/>
        <w:jc w:val="center"/>
        <w:rPr>
          <w:rFonts w:hint="eastAsia" w:ascii="宋体" w:hAnsi="宋体" w:eastAsia="宋体" w:cs="宋体"/>
        </w:rPr>
      </w:pPr>
    </w:p>
    <w:p w14:paraId="67147497">
      <w:pPr>
        <w:pStyle w:val="17"/>
        <w:jc w:val="center"/>
        <w:rPr>
          <w:rFonts w:hint="eastAsia" w:ascii="宋体" w:hAnsi="宋体" w:eastAsia="宋体" w:cs="宋体"/>
        </w:rPr>
      </w:pPr>
    </w:p>
    <w:p w14:paraId="131EF3F0">
      <w:pPr>
        <w:pStyle w:val="17"/>
        <w:jc w:val="center"/>
        <w:rPr>
          <w:rFonts w:hint="eastAsia" w:ascii="宋体" w:hAnsi="宋体" w:eastAsia="宋体" w:cs="宋体"/>
        </w:rPr>
      </w:pPr>
    </w:p>
    <w:p w14:paraId="18C044F7">
      <w:pPr>
        <w:pStyle w:val="17"/>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17"/>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2025年</w:t>
      </w:r>
      <w:r>
        <w:rPr>
          <w:rFonts w:hint="eastAsia" w:cs="宋体"/>
          <w:color w:val="00B050"/>
          <w:sz w:val="28"/>
          <w:szCs w:val="28"/>
          <w:u w:val="single"/>
          <w:lang w:val="en-US" w:eastAsia="zh-CN"/>
        </w:rPr>
        <w:t xml:space="preserve">  </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17"/>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17"/>
        <w:rPr>
          <w:rFonts w:hint="eastAsia" w:ascii="宋体" w:hAnsi="宋体" w:eastAsia="宋体" w:cs="宋体"/>
        </w:rPr>
      </w:pPr>
    </w:p>
    <w:p w14:paraId="659FA83A">
      <w:pPr>
        <w:pStyle w:val="17"/>
        <w:rPr>
          <w:rFonts w:hint="eastAsia" w:ascii="宋体" w:hAnsi="宋体" w:eastAsia="宋体" w:cs="宋体"/>
        </w:rPr>
      </w:pPr>
    </w:p>
    <w:p w14:paraId="7837B619">
      <w:pPr>
        <w:pStyle w:val="17"/>
        <w:rPr>
          <w:rFonts w:hint="eastAsia" w:ascii="宋体" w:hAnsi="宋体" w:eastAsia="宋体" w:cs="宋体"/>
        </w:rPr>
      </w:pPr>
    </w:p>
    <w:p w14:paraId="6CBC2A0F">
      <w:pPr>
        <w:pStyle w:val="17"/>
        <w:rPr>
          <w:rFonts w:hint="eastAsia" w:ascii="宋体" w:hAnsi="宋体" w:eastAsia="宋体" w:cs="宋体"/>
        </w:rPr>
      </w:pPr>
    </w:p>
    <w:p w14:paraId="35D7CB36">
      <w:pPr>
        <w:pStyle w:val="17"/>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17"/>
        <w:jc w:val="center"/>
        <w:rPr>
          <w:rFonts w:hint="eastAsia" w:ascii="宋体" w:hAnsi="宋体" w:eastAsia="宋体" w:cs="宋体"/>
          <w:color w:val="4E6127"/>
        </w:rPr>
      </w:pPr>
    </w:p>
    <w:p w14:paraId="50039A4A">
      <w:pPr>
        <w:pStyle w:val="17"/>
        <w:jc w:val="center"/>
        <w:rPr>
          <w:rFonts w:hint="eastAsia" w:ascii="宋体" w:hAnsi="宋体" w:eastAsia="宋体" w:cs="宋体"/>
        </w:rPr>
      </w:pPr>
    </w:p>
    <w:p w14:paraId="0920C7A9">
      <w:pPr>
        <w:pStyle w:val="17"/>
        <w:jc w:val="center"/>
        <w:rPr>
          <w:rFonts w:hint="eastAsia" w:ascii="宋体" w:hAnsi="宋体" w:eastAsia="宋体" w:cs="宋体"/>
        </w:rPr>
      </w:pPr>
    </w:p>
    <w:p w14:paraId="2F4A945B">
      <w:pPr>
        <w:pStyle w:val="17"/>
        <w:jc w:val="center"/>
        <w:rPr>
          <w:rFonts w:hint="eastAsia" w:ascii="宋体" w:hAnsi="宋体" w:eastAsia="宋体" w:cs="宋体"/>
        </w:rPr>
      </w:pPr>
    </w:p>
    <w:p w14:paraId="6ADFABA8">
      <w:pPr>
        <w:pStyle w:val="17"/>
        <w:jc w:val="center"/>
        <w:rPr>
          <w:rFonts w:hint="eastAsia" w:ascii="宋体" w:hAnsi="宋体" w:eastAsia="宋体" w:cs="宋体"/>
        </w:rPr>
      </w:pPr>
    </w:p>
    <w:p w14:paraId="0F2FF226">
      <w:pPr>
        <w:pStyle w:val="17"/>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17"/>
        <w:rPr>
          <w:rFonts w:hint="eastAsia" w:ascii="宋体" w:hAnsi="宋体" w:eastAsia="宋体" w:cs="宋体"/>
          <w:b/>
          <w:bCs/>
          <w:color w:val="4E6127"/>
          <w:sz w:val="36"/>
          <w:szCs w:val="36"/>
        </w:rPr>
      </w:pPr>
    </w:p>
    <w:p w14:paraId="31480A80">
      <w:pPr>
        <w:pStyle w:val="17"/>
        <w:rPr>
          <w:rFonts w:hint="eastAsia" w:ascii="宋体" w:hAnsi="宋体" w:eastAsia="宋体" w:cs="宋体"/>
          <w:b/>
          <w:bCs/>
          <w:color w:val="4E6127"/>
          <w:sz w:val="36"/>
          <w:szCs w:val="36"/>
        </w:rPr>
      </w:pPr>
    </w:p>
    <w:p w14:paraId="37F55F60">
      <w:pPr>
        <w:pStyle w:val="17"/>
        <w:rPr>
          <w:rFonts w:hint="eastAsia" w:ascii="宋体" w:hAnsi="宋体" w:eastAsia="宋体" w:cs="宋体"/>
          <w:b/>
          <w:bCs/>
          <w:color w:val="4E6127"/>
          <w:sz w:val="36"/>
          <w:szCs w:val="36"/>
        </w:rPr>
      </w:pPr>
    </w:p>
    <w:p w14:paraId="1D5DC6B2">
      <w:pPr>
        <w:pStyle w:val="17"/>
        <w:rPr>
          <w:rFonts w:hint="eastAsia" w:ascii="宋体" w:hAnsi="宋体" w:eastAsia="宋体" w:cs="宋体"/>
          <w:b/>
          <w:bCs/>
          <w:color w:val="4E6127"/>
          <w:sz w:val="36"/>
          <w:szCs w:val="36"/>
        </w:rPr>
      </w:pPr>
    </w:p>
    <w:p w14:paraId="478E67EC">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17"/>
        <w:rPr>
          <w:rFonts w:hint="eastAsia" w:ascii="宋体" w:hAnsi="宋体" w:eastAsia="宋体" w:cs="宋体"/>
          <w:b/>
          <w:bCs/>
          <w:sz w:val="36"/>
          <w:szCs w:val="36"/>
        </w:rPr>
      </w:pPr>
    </w:p>
    <w:p w14:paraId="56FE4AB3">
      <w:pPr>
        <w:pStyle w:val="17"/>
        <w:rPr>
          <w:rFonts w:hint="eastAsia" w:ascii="宋体" w:hAnsi="宋体" w:eastAsia="宋体" w:cs="宋体"/>
          <w:b/>
          <w:bCs/>
          <w:sz w:val="36"/>
          <w:szCs w:val="36"/>
        </w:rPr>
      </w:pPr>
    </w:p>
    <w:p w14:paraId="4082A934">
      <w:pPr>
        <w:pStyle w:val="17"/>
        <w:rPr>
          <w:rFonts w:hint="eastAsia" w:ascii="宋体" w:hAnsi="宋体" w:eastAsia="宋体" w:cs="宋体"/>
          <w:b/>
          <w:bCs/>
          <w:sz w:val="36"/>
          <w:szCs w:val="36"/>
        </w:rPr>
      </w:pPr>
    </w:p>
    <w:p w14:paraId="52FE9EB3">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19"/>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17"/>
        <w:jc w:val="center"/>
        <w:rPr>
          <w:rFonts w:hint="eastAsia" w:ascii="宋体" w:hAnsi="宋体" w:eastAsia="宋体" w:cs="宋体"/>
          <w:color w:val="FF0000"/>
        </w:rPr>
      </w:pPr>
    </w:p>
    <w:p w14:paraId="5387328F">
      <w:pPr>
        <w:pStyle w:val="17"/>
        <w:jc w:val="center"/>
        <w:rPr>
          <w:rFonts w:hint="eastAsia" w:ascii="宋体" w:hAnsi="宋体" w:eastAsia="宋体" w:cs="宋体"/>
        </w:rPr>
      </w:pPr>
    </w:p>
    <w:p w14:paraId="0102840C">
      <w:pPr>
        <w:pStyle w:val="17"/>
        <w:jc w:val="center"/>
        <w:rPr>
          <w:rFonts w:hint="eastAsia" w:ascii="宋体" w:hAnsi="宋体" w:eastAsia="宋体" w:cs="宋体"/>
        </w:rPr>
      </w:pPr>
    </w:p>
    <w:p w14:paraId="634EE69A">
      <w:pPr>
        <w:pStyle w:val="17"/>
        <w:jc w:val="center"/>
        <w:rPr>
          <w:rFonts w:hint="eastAsia" w:ascii="宋体" w:hAnsi="宋体" w:eastAsia="宋体" w:cs="宋体"/>
        </w:rPr>
      </w:pPr>
    </w:p>
    <w:p w14:paraId="149B8867">
      <w:pPr>
        <w:pStyle w:val="17"/>
        <w:jc w:val="center"/>
        <w:rPr>
          <w:rFonts w:hint="eastAsia" w:ascii="宋体" w:hAnsi="宋体" w:eastAsia="宋体" w:cs="宋体"/>
        </w:rPr>
      </w:pPr>
    </w:p>
    <w:p w14:paraId="77B291E9">
      <w:pPr>
        <w:pStyle w:val="17"/>
        <w:jc w:val="center"/>
        <w:rPr>
          <w:rFonts w:hint="eastAsia" w:ascii="宋体" w:hAnsi="宋体" w:eastAsia="宋体" w:cs="宋体"/>
        </w:rPr>
      </w:pPr>
    </w:p>
    <w:p w14:paraId="179A504F">
      <w:pPr>
        <w:pStyle w:val="17"/>
        <w:jc w:val="center"/>
        <w:rPr>
          <w:rFonts w:hint="eastAsia" w:ascii="宋体" w:hAnsi="宋体" w:eastAsia="宋体" w:cs="宋体"/>
        </w:rPr>
      </w:pPr>
    </w:p>
    <w:p w14:paraId="5CAFDA94">
      <w:pPr>
        <w:pStyle w:val="17"/>
        <w:jc w:val="center"/>
        <w:rPr>
          <w:rFonts w:hint="eastAsia" w:ascii="宋体" w:hAnsi="宋体" w:eastAsia="宋体" w:cs="宋体"/>
        </w:rPr>
      </w:pPr>
    </w:p>
    <w:p w14:paraId="4451840C">
      <w:pPr>
        <w:pStyle w:val="17"/>
        <w:jc w:val="center"/>
        <w:rPr>
          <w:rFonts w:hint="eastAsia" w:ascii="宋体" w:hAnsi="宋体" w:eastAsia="宋体" w:cs="宋体"/>
        </w:rPr>
      </w:pPr>
    </w:p>
    <w:p w14:paraId="0A5770F0">
      <w:pPr>
        <w:pStyle w:val="17"/>
        <w:jc w:val="center"/>
        <w:rPr>
          <w:rFonts w:hint="eastAsia" w:ascii="宋体" w:hAnsi="宋体" w:eastAsia="宋体" w:cs="宋体"/>
        </w:rPr>
      </w:pPr>
    </w:p>
    <w:p w14:paraId="55630743">
      <w:pPr>
        <w:pStyle w:val="17"/>
        <w:jc w:val="center"/>
        <w:rPr>
          <w:rFonts w:hint="eastAsia" w:ascii="宋体" w:hAnsi="宋体" w:eastAsia="宋体" w:cs="宋体"/>
        </w:rPr>
      </w:pPr>
    </w:p>
    <w:p w14:paraId="25F80610">
      <w:pPr>
        <w:pStyle w:val="17"/>
        <w:jc w:val="center"/>
        <w:rPr>
          <w:rFonts w:hint="eastAsia" w:ascii="宋体" w:hAnsi="宋体" w:eastAsia="宋体" w:cs="宋体"/>
        </w:rPr>
      </w:pPr>
    </w:p>
    <w:p w14:paraId="39C69273">
      <w:pPr>
        <w:pStyle w:val="17"/>
        <w:jc w:val="center"/>
        <w:rPr>
          <w:rFonts w:hint="eastAsia" w:ascii="宋体" w:hAnsi="宋体" w:eastAsia="宋体" w:cs="宋体"/>
        </w:rPr>
      </w:pPr>
    </w:p>
    <w:p w14:paraId="0B695781">
      <w:pPr>
        <w:pStyle w:val="17"/>
        <w:jc w:val="center"/>
        <w:rPr>
          <w:rFonts w:hint="eastAsia" w:ascii="宋体" w:hAnsi="宋体" w:eastAsia="宋体" w:cs="宋体"/>
        </w:rPr>
      </w:pPr>
    </w:p>
    <w:p w14:paraId="0A309931">
      <w:pPr>
        <w:pStyle w:val="17"/>
        <w:jc w:val="center"/>
        <w:rPr>
          <w:rFonts w:hint="eastAsia" w:ascii="宋体" w:hAnsi="宋体" w:eastAsia="宋体" w:cs="宋体"/>
        </w:rPr>
      </w:pPr>
    </w:p>
    <w:p w14:paraId="2FC1F9AB">
      <w:pPr>
        <w:pStyle w:val="17"/>
        <w:jc w:val="center"/>
        <w:rPr>
          <w:rFonts w:hint="eastAsia" w:ascii="宋体" w:hAnsi="宋体" w:eastAsia="宋体" w:cs="宋体"/>
        </w:rPr>
      </w:pPr>
    </w:p>
    <w:p w14:paraId="0CAAE5D0">
      <w:pPr>
        <w:pStyle w:val="17"/>
        <w:jc w:val="center"/>
        <w:rPr>
          <w:rFonts w:hint="eastAsia" w:ascii="宋体" w:hAnsi="宋体" w:eastAsia="宋体" w:cs="宋体"/>
        </w:rPr>
      </w:pPr>
    </w:p>
    <w:p w14:paraId="53B1DA61">
      <w:pPr>
        <w:pStyle w:val="17"/>
        <w:jc w:val="center"/>
        <w:rPr>
          <w:rFonts w:hint="eastAsia" w:ascii="宋体" w:hAnsi="宋体" w:eastAsia="宋体" w:cs="宋体"/>
        </w:rPr>
      </w:pPr>
    </w:p>
    <w:p w14:paraId="44B736F7">
      <w:pPr>
        <w:pStyle w:val="17"/>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17"/>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17"/>
        <w:jc w:val="center"/>
        <w:rPr>
          <w:rFonts w:hint="eastAsia" w:ascii="宋体" w:hAnsi="宋体" w:eastAsia="宋体" w:cs="宋体"/>
        </w:rPr>
      </w:pPr>
    </w:p>
    <w:p w14:paraId="134BD03B">
      <w:pPr>
        <w:pStyle w:val="17"/>
        <w:jc w:val="center"/>
        <w:rPr>
          <w:rFonts w:hint="eastAsia" w:ascii="宋体" w:hAnsi="宋体" w:eastAsia="宋体" w:cs="宋体"/>
        </w:rPr>
      </w:pPr>
    </w:p>
    <w:p w14:paraId="4DC9CA0A">
      <w:pPr>
        <w:pStyle w:val="17"/>
        <w:jc w:val="center"/>
        <w:rPr>
          <w:rFonts w:hint="eastAsia" w:ascii="宋体" w:hAnsi="宋体" w:eastAsia="宋体" w:cs="宋体"/>
        </w:rPr>
      </w:pPr>
    </w:p>
    <w:p w14:paraId="58BD69EE">
      <w:pPr>
        <w:pStyle w:val="17"/>
        <w:jc w:val="center"/>
        <w:rPr>
          <w:rFonts w:hint="eastAsia" w:ascii="宋体" w:hAnsi="宋体" w:eastAsia="宋体" w:cs="宋体"/>
        </w:rPr>
      </w:pPr>
    </w:p>
    <w:p w14:paraId="0407A769">
      <w:pPr>
        <w:pStyle w:val="17"/>
        <w:jc w:val="center"/>
        <w:rPr>
          <w:rFonts w:hint="eastAsia" w:ascii="宋体" w:hAnsi="宋体" w:eastAsia="宋体" w:cs="宋体"/>
        </w:rPr>
      </w:pPr>
    </w:p>
    <w:p w14:paraId="00DCFCF0">
      <w:pPr>
        <w:pStyle w:val="17"/>
        <w:jc w:val="center"/>
        <w:rPr>
          <w:rFonts w:hint="eastAsia" w:ascii="宋体" w:hAnsi="宋体" w:eastAsia="宋体" w:cs="宋体"/>
        </w:rPr>
      </w:pPr>
    </w:p>
    <w:p w14:paraId="0DAF1E17">
      <w:pPr>
        <w:pStyle w:val="17"/>
        <w:jc w:val="center"/>
        <w:rPr>
          <w:rFonts w:hint="eastAsia" w:ascii="宋体" w:hAnsi="宋体" w:eastAsia="宋体" w:cs="宋体"/>
        </w:rPr>
      </w:pPr>
    </w:p>
    <w:p w14:paraId="0FED7F89">
      <w:pPr>
        <w:pStyle w:val="17"/>
        <w:jc w:val="center"/>
        <w:rPr>
          <w:rFonts w:hint="eastAsia" w:ascii="宋体" w:hAnsi="宋体" w:eastAsia="宋体" w:cs="宋体"/>
        </w:rPr>
      </w:pPr>
    </w:p>
    <w:p w14:paraId="3B51FA27">
      <w:pPr>
        <w:pStyle w:val="17"/>
        <w:jc w:val="center"/>
        <w:rPr>
          <w:rFonts w:hint="eastAsia" w:ascii="宋体" w:hAnsi="宋体" w:eastAsia="宋体" w:cs="宋体"/>
        </w:rPr>
      </w:pPr>
    </w:p>
    <w:p w14:paraId="41E2E596">
      <w:pPr>
        <w:pStyle w:val="17"/>
        <w:jc w:val="center"/>
        <w:rPr>
          <w:rFonts w:hint="eastAsia" w:ascii="宋体" w:hAnsi="宋体" w:eastAsia="宋体" w:cs="宋体"/>
        </w:rPr>
      </w:pPr>
    </w:p>
    <w:p w14:paraId="63C39446">
      <w:pPr>
        <w:pStyle w:val="17"/>
        <w:jc w:val="center"/>
        <w:rPr>
          <w:rFonts w:hint="eastAsia" w:ascii="宋体" w:hAnsi="宋体" w:eastAsia="宋体" w:cs="宋体"/>
        </w:rPr>
      </w:pPr>
    </w:p>
    <w:p w14:paraId="7AEC7268">
      <w:pPr>
        <w:pStyle w:val="17"/>
        <w:rPr>
          <w:rFonts w:hint="eastAsia" w:ascii="宋体" w:hAnsi="宋体" w:eastAsia="宋体" w:cs="宋体"/>
        </w:rPr>
      </w:pPr>
    </w:p>
    <w:p w14:paraId="4957E307">
      <w:pPr>
        <w:pStyle w:val="17"/>
        <w:rPr>
          <w:rFonts w:hint="eastAsia" w:ascii="宋体" w:hAnsi="宋体" w:eastAsia="宋体" w:cs="宋体"/>
        </w:rPr>
      </w:pPr>
    </w:p>
    <w:p w14:paraId="3FB37B22">
      <w:pPr>
        <w:pStyle w:val="17"/>
        <w:rPr>
          <w:rFonts w:hint="eastAsia" w:ascii="宋体" w:hAnsi="宋体" w:eastAsia="宋体" w:cs="宋体"/>
        </w:rPr>
      </w:pPr>
    </w:p>
    <w:p w14:paraId="11323277">
      <w:pPr>
        <w:pStyle w:val="17"/>
        <w:rPr>
          <w:rFonts w:hint="eastAsia" w:ascii="宋体" w:hAnsi="宋体" w:eastAsia="宋体" w:cs="宋体"/>
        </w:rPr>
      </w:pPr>
    </w:p>
    <w:p w14:paraId="5DB04789">
      <w:pPr>
        <w:pStyle w:val="17"/>
        <w:rPr>
          <w:rFonts w:hint="eastAsia" w:ascii="宋体" w:hAnsi="宋体" w:eastAsia="宋体" w:cs="宋体"/>
        </w:rPr>
      </w:pPr>
    </w:p>
    <w:p w14:paraId="69A8C2B9">
      <w:pPr>
        <w:pStyle w:val="17"/>
        <w:rPr>
          <w:rFonts w:hint="eastAsia" w:ascii="宋体" w:hAnsi="宋体" w:eastAsia="宋体" w:cs="宋体"/>
        </w:rPr>
      </w:pPr>
    </w:p>
    <w:p w14:paraId="75CE5622">
      <w:pPr>
        <w:pStyle w:val="17"/>
        <w:rPr>
          <w:rFonts w:hint="eastAsia" w:ascii="宋体" w:hAnsi="宋体" w:eastAsia="宋体" w:cs="宋体"/>
        </w:rPr>
      </w:pPr>
    </w:p>
    <w:p w14:paraId="273A2B27">
      <w:pPr>
        <w:pStyle w:val="17"/>
        <w:rPr>
          <w:rFonts w:hint="eastAsia" w:ascii="宋体" w:hAnsi="宋体" w:eastAsia="宋体" w:cs="宋体"/>
        </w:rPr>
      </w:pPr>
    </w:p>
    <w:p w14:paraId="25045C9A">
      <w:pPr>
        <w:pStyle w:val="17"/>
        <w:rPr>
          <w:rFonts w:hint="eastAsia" w:ascii="宋体" w:hAnsi="宋体" w:eastAsia="宋体" w:cs="宋体"/>
        </w:rPr>
      </w:pPr>
    </w:p>
    <w:p w14:paraId="00F92A37">
      <w:pPr>
        <w:pStyle w:val="17"/>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640D648B">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416D9A13">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200E3D5">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val="en-US" w:eastAsia="zh-CN"/>
        </w:rPr>
        <w:t xml:space="preserve"> </w:t>
      </w:r>
      <w:r>
        <w:rPr>
          <w:rFonts w:hint="eastAsia" w:ascii="Times New Roman" w:hAnsi="ˎ̥" w:cs="宋体"/>
          <w:sz w:val="28"/>
          <w:szCs w:val="28"/>
          <w:u w:val="single"/>
          <w:lang w:val="en-US" w:eastAsia="zh-CN"/>
        </w:rPr>
        <w:t>消防综合楼新增电梯采购项目</w:t>
      </w:r>
      <w:r>
        <w:rPr>
          <w:rFonts w:hint="eastAsia" w:ascii="Times New Roman" w:hAnsi="ˎ̥" w:eastAsia="宋体" w:cs="宋体"/>
          <w:sz w:val="28"/>
          <w:szCs w:val="28"/>
          <w:u w:val="single"/>
          <w:lang w:val="en-US" w:eastAsia="zh-CN"/>
        </w:rPr>
        <w:t xml:space="preserve"> </w:t>
      </w:r>
      <w:r>
        <w:rPr>
          <w:rFonts w:hint="eastAsia" w:ascii="Times New Roman" w:hAnsi="ˎ̥" w:eastAsia="宋体" w:cs="宋体"/>
          <w:sz w:val="28"/>
          <w:szCs w:val="28"/>
          <w:lang w:eastAsia="zh-CN"/>
        </w:rPr>
        <w:t>询</w:t>
      </w:r>
      <w:r>
        <w:rPr>
          <w:rFonts w:hint="eastAsia" w:ascii="Times New Roman" w:hAnsi="ˎ̥"/>
          <w:sz w:val="28"/>
          <w:szCs w:val="28"/>
          <w:lang w:eastAsia="zh-CN"/>
        </w:rPr>
        <w:t>比</w:t>
      </w:r>
      <w:r>
        <w:rPr>
          <w:rFonts w:hint="eastAsia" w:ascii="Times New Roman" w:hAnsi="ˎ̥"/>
          <w:color w:val="000000" w:themeColor="text1"/>
          <w:sz w:val="28"/>
          <w:szCs w:val="28"/>
          <w:lang w:eastAsia="zh-CN"/>
          <w14:textFill>
            <w14:solidFill>
              <w14:schemeClr w14:val="tx1"/>
            </w14:solidFill>
          </w14:textFill>
        </w:rPr>
        <w:t>文件</w:t>
      </w:r>
      <w:r>
        <w:rPr>
          <w:rFonts w:hint="eastAsia" w:ascii="Times New Roman" w:hAnsi="ˎ̥"/>
          <w:sz w:val="28"/>
          <w:szCs w:val="28"/>
          <w:lang w:eastAsia="zh-CN"/>
        </w:rPr>
        <w:t>的全部内容后，我方愿以以下报价，严格按照自主询比文件的要求，交付本项目并维修其中的任何缺陷。</w:t>
      </w:r>
    </w:p>
    <w:p w14:paraId="1E8AF8A3">
      <w:pPr>
        <w:widowControl/>
        <w:autoSpaceDE/>
        <w:autoSpaceDN/>
        <w:jc w:val="center"/>
        <w:rPr>
          <w:b/>
          <w:bCs/>
          <w:sz w:val="24"/>
          <w:szCs w:val="24"/>
          <w:lang w:eastAsia="zh-CN"/>
        </w:rPr>
      </w:pPr>
      <w:r>
        <w:rPr>
          <w:rFonts w:hint="eastAsia" w:cs="宋体"/>
          <w:b/>
          <w:bCs/>
          <w:sz w:val="28"/>
          <w:szCs w:val="28"/>
          <w:lang w:val="en-US" w:eastAsia="zh-CN"/>
        </w:rPr>
        <w:t>消防综合楼新增电梯采购项目</w:t>
      </w:r>
      <w:r>
        <w:rPr>
          <w:rFonts w:hint="eastAsia"/>
          <w:b/>
          <w:bCs/>
          <w:sz w:val="28"/>
          <w:szCs w:val="28"/>
          <w:lang w:eastAsia="zh-CN"/>
        </w:rPr>
        <w:t>价格清单</w:t>
      </w:r>
    </w:p>
    <w:tbl>
      <w:tblPr>
        <w:tblStyle w:val="12"/>
        <w:tblpPr w:leftFromText="180" w:rightFromText="180" w:vertAnchor="text" w:horzAnchor="page" w:tblpXSpec="center" w:tblpY="287"/>
        <w:tblOverlap w:val="never"/>
        <w:tblW w:w="9256" w:type="dxa"/>
        <w:tblInd w:w="128" w:type="dxa"/>
        <w:tblLayout w:type="fixed"/>
        <w:tblCellMar>
          <w:top w:w="15" w:type="dxa"/>
          <w:left w:w="15" w:type="dxa"/>
          <w:bottom w:w="15" w:type="dxa"/>
          <w:right w:w="15" w:type="dxa"/>
        </w:tblCellMar>
      </w:tblPr>
      <w:tblGrid>
        <w:gridCol w:w="1085"/>
        <w:gridCol w:w="1151"/>
        <w:gridCol w:w="1485"/>
        <w:gridCol w:w="2010"/>
        <w:gridCol w:w="585"/>
        <w:gridCol w:w="510"/>
        <w:gridCol w:w="1215"/>
        <w:gridCol w:w="1215"/>
      </w:tblGrid>
      <w:tr w14:paraId="77A84EDC">
        <w:tblPrEx>
          <w:tblCellMar>
            <w:top w:w="15" w:type="dxa"/>
            <w:left w:w="15" w:type="dxa"/>
            <w:bottom w:w="15" w:type="dxa"/>
            <w:right w:w="15" w:type="dxa"/>
          </w:tblCellMar>
        </w:tblPrEx>
        <w:trPr>
          <w:trHeight w:val="876"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24BA">
            <w:pPr>
              <w:widowControl/>
              <w:jc w:val="center"/>
              <w:textAlignment w:val="center"/>
              <w:rPr>
                <w:color w:val="000000"/>
                <w:sz w:val="24"/>
                <w:szCs w:val="24"/>
              </w:rPr>
            </w:pPr>
            <w:r>
              <w:rPr>
                <w:rFonts w:hint="eastAsia"/>
                <w:color w:val="000000"/>
                <w:sz w:val="24"/>
                <w:szCs w:val="24"/>
                <w:lang w:bidi="ar"/>
              </w:rPr>
              <w:t>请购单号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5474">
            <w:pPr>
              <w:widowControl/>
              <w:jc w:val="center"/>
              <w:textAlignment w:val="center"/>
              <w:rPr>
                <w:color w:val="000000"/>
                <w:sz w:val="24"/>
                <w:szCs w:val="24"/>
              </w:rPr>
            </w:pPr>
            <w:r>
              <w:rPr>
                <w:rFonts w:hint="eastAsia"/>
                <w:color w:val="000000"/>
                <w:sz w:val="24"/>
                <w:szCs w:val="24"/>
                <w:lang w:bidi="ar"/>
              </w:rPr>
              <w:t>存货编码</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2BA">
            <w:pPr>
              <w:widowControl/>
              <w:jc w:val="center"/>
              <w:textAlignment w:val="center"/>
              <w:rPr>
                <w:color w:val="000000"/>
                <w:sz w:val="24"/>
                <w:szCs w:val="24"/>
              </w:rPr>
            </w:pPr>
            <w:r>
              <w:rPr>
                <w:rFonts w:hint="eastAsia"/>
                <w:color w:val="000000"/>
                <w:sz w:val="24"/>
                <w:szCs w:val="24"/>
                <w:lang w:bidi="ar"/>
              </w:rPr>
              <w:t>存货名称</w:t>
            </w:r>
          </w:p>
        </w:tc>
        <w:tc>
          <w:tcPr>
            <w:tcW w:w="2010" w:type="dxa"/>
            <w:tcBorders>
              <w:top w:val="single" w:color="000000" w:sz="4" w:space="0"/>
              <w:left w:val="single" w:color="000000" w:sz="4" w:space="0"/>
              <w:bottom w:val="single" w:color="000000" w:sz="4" w:space="0"/>
              <w:right w:val="single" w:color="auto" w:sz="4" w:space="0"/>
            </w:tcBorders>
            <w:shd w:val="clear" w:color="auto" w:fill="auto"/>
            <w:vAlign w:val="center"/>
          </w:tcPr>
          <w:p w14:paraId="4D80D771">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23A">
            <w:pPr>
              <w:widowControl/>
              <w:jc w:val="center"/>
              <w:textAlignment w:val="center"/>
              <w:rPr>
                <w:color w:val="000000"/>
                <w:sz w:val="24"/>
                <w:szCs w:val="24"/>
              </w:rPr>
            </w:pPr>
            <w:r>
              <w:rPr>
                <w:rFonts w:hint="eastAsia"/>
                <w:color w:val="000000"/>
                <w:sz w:val="24"/>
                <w:szCs w:val="24"/>
                <w:lang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B1BE">
            <w:pPr>
              <w:widowControl/>
              <w:jc w:val="center"/>
              <w:textAlignment w:val="center"/>
              <w:rPr>
                <w:color w:val="000000"/>
                <w:sz w:val="24"/>
                <w:szCs w:val="24"/>
              </w:rPr>
            </w:pPr>
            <w:r>
              <w:rPr>
                <w:rFonts w:hint="eastAsia"/>
                <w:color w:val="000000"/>
                <w:sz w:val="24"/>
                <w:szCs w:val="24"/>
                <w:lang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452">
            <w:pPr>
              <w:widowControl/>
              <w:jc w:val="center"/>
              <w:textAlignment w:val="center"/>
              <w:rPr>
                <w:color w:val="000000"/>
                <w:sz w:val="24"/>
                <w:szCs w:val="24"/>
              </w:rPr>
            </w:pPr>
            <w:r>
              <w:rPr>
                <w:rFonts w:hint="eastAsia"/>
                <w:color w:val="000000"/>
                <w:sz w:val="24"/>
                <w:szCs w:val="24"/>
                <w:lang w:bidi="ar"/>
              </w:rPr>
              <w:t>含税单价</w:t>
            </w:r>
            <w:r>
              <w:rPr>
                <w:rFonts w:hint="eastAsia"/>
                <w:color w:val="000000"/>
                <w:sz w:val="24"/>
                <w:szCs w:val="24"/>
                <w:lang w:eastAsia="zh-CN" w:bidi="ar"/>
              </w:rPr>
              <w:t>元/台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6FAD">
            <w:pPr>
              <w:widowControl/>
              <w:jc w:val="center"/>
              <w:textAlignment w:val="center"/>
              <w:rPr>
                <w:color w:val="000000"/>
                <w:sz w:val="24"/>
                <w:szCs w:val="24"/>
              </w:rPr>
            </w:pPr>
            <w:r>
              <w:rPr>
                <w:rFonts w:hint="eastAsia"/>
                <w:color w:val="000000"/>
                <w:sz w:val="24"/>
                <w:szCs w:val="24"/>
                <w:lang w:bidi="ar"/>
              </w:rPr>
              <w:t>含税总价</w:t>
            </w:r>
            <w:r>
              <w:rPr>
                <w:rFonts w:hint="eastAsia"/>
                <w:color w:val="000000"/>
                <w:sz w:val="24"/>
                <w:szCs w:val="24"/>
                <w:lang w:eastAsia="zh-CN" w:bidi="ar"/>
              </w:rPr>
              <w:t>（元）</w:t>
            </w:r>
          </w:p>
        </w:tc>
      </w:tr>
      <w:tr w14:paraId="60CB63FD">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9A0A">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br w:type="textWrapping"/>
            </w:r>
            <w:r>
              <w:rPr>
                <w:rFonts w:hint="eastAsia" w:cs="宋体"/>
                <w:color w:val="000000"/>
                <w:sz w:val="24"/>
                <w:szCs w:val="24"/>
                <w:lang w:eastAsia="zh-CN" w:bidi="ar"/>
              </w:rPr>
              <w:t>QGD-3122-251011-0427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2FEB">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fldChar w:fldCharType="begin"/>
            </w:r>
            <w:r>
              <w:rPr>
                <w:rFonts w:hint="eastAsia" w:ascii="宋体" w:hAnsi="宋体" w:eastAsia="宋体" w:cs="宋体"/>
                <w:color w:val="000000"/>
                <w:sz w:val="24"/>
                <w:szCs w:val="24"/>
                <w:lang w:eastAsia="zh-CN" w:bidi="ar"/>
              </w:rPr>
              <w:instrText xml:space="preserve"> HYPERLINK "https://erp.fjnhjt.com/mdf-node/busiobj/pc.product.Product?id=2356683954684166184" </w:instrText>
            </w:r>
            <w:r>
              <w:rPr>
                <w:rFonts w:hint="eastAsia" w:ascii="宋体" w:hAnsi="宋体" w:eastAsia="宋体" w:cs="宋体"/>
                <w:color w:val="000000"/>
                <w:sz w:val="24"/>
                <w:szCs w:val="24"/>
                <w:lang w:eastAsia="zh-CN" w:bidi="ar"/>
              </w:rPr>
              <w:fldChar w:fldCharType="separate"/>
            </w:r>
            <w:r>
              <w:rPr>
                <w:rFonts w:hint="eastAsia" w:ascii="宋体" w:hAnsi="宋体" w:eastAsia="宋体" w:cs="宋体"/>
                <w:color w:val="000000"/>
                <w:sz w:val="24"/>
                <w:szCs w:val="24"/>
                <w:lang w:eastAsia="zh-CN" w:bidi="ar"/>
              </w:rPr>
              <w:t>10268184</w:t>
            </w:r>
            <w:r>
              <w:rPr>
                <w:rFonts w:hint="eastAsia" w:ascii="宋体" w:hAnsi="宋体" w:eastAsia="宋体" w:cs="宋体"/>
                <w:color w:val="000000"/>
                <w:sz w:val="24"/>
                <w:szCs w:val="24"/>
                <w:lang w:eastAsia="zh-CN" w:bidi="ar"/>
              </w:rPr>
              <w:fldChar w:fldCharType="end"/>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9E2">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fldChar w:fldCharType="begin"/>
            </w:r>
            <w:r>
              <w:rPr>
                <w:rFonts w:hint="eastAsia" w:ascii="宋体" w:hAnsi="宋体" w:eastAsia="宋体" w:cs="宋体"/>
                <w:color w:val="000000"/>
                <w:sz w:val="24"/>
                <w:szCs w:val="24"/>
                <w:lang w:eastAsia="zh-CN" w:bidi="ar"/>
              </w:rPr>
              <w:instrText xml:space="preserve"> HYPERLINK "https://erp.fjnhjt.com/mdf-node/busiobj/pc.product.Product?id=2356683954684166184" </w:instrText>
            </w:r>
            <w:r>
              <w:rPr>
                <w:rFonts w:hint="eastAsia" w:ascii="宋体" w:hAnsi="宋体" w:eastAsia="宋体" w:cs="宋体"/>
                <w:color w:val="000000"/>
                <w:sz w:val="24"/>
                <w:szCs w:val="24"/>
                <w:lang w:eastAsia="zh-CN" w:bidi="ar"/>
              </w:rPr>
              <w:fldChar w:fldCharType="separate"/>
            </w:r>
            <w:r>
              <w:rPr>
                <w:rFonts w:hint="eastAsia" w:ascii="宋体" w:hAnsi="宋体" w:eastAsia="宋体" w:cs="宋体"/>
                <w:color w:val="000000"/>
                <w:sz w:val="24"/>
                <w:szCs w:val="24"/>
                <w:lang w:eastAsia="zh-CN" w:bidi="ar"/>
              </w:rPr>
              <w:t>乘客电梯</w:t>
            </w:r>
            <w:r>
              <w:rPr>
                <w:rFonts w:hint="eastAsia" w:ascii="宋体" w:hAnsi="宋体" w:eastAsia="宋体" w:cs="宋体"/>
                <w:color w:val="000000"/>
                <w:sz w:val="24"/>
                <w:szCs w:val="24"/>
                <w:lang w:eastAsia="zh-CN" w:bidi="ar"/>
              </w:rPr>
              <w:fldChar w:fldCharType="end"/>
            </w:r>
          </w:p>
        </w:tc>
        <w:tc>
          <w:tcPr>
            <w:tcW w:w="2010" w:type="dxa"/>
            <w:tcBorders>
              <w:top w:val="single" w:color="000000" w:sz="4" w:space="0"/>
              <w:left w:val="single" w:color="000000" w:sz="4" w:space="0"/>
              <w:bottom w:val="single" w:color="000000" w:sz="4" w:space="0"/>
              <w:right w:val="single" w:color="auto" w:sz="4" w:space="0"/>
            </w:tcBorders>
            <w:shd w:val="clear" w:color="auto" w:fill="auto"/>
            <w:vAlign w:val="center"/>
          </w:tcPr>
          <w:p w14:paraId="5C4430C8">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≥600kg\＞1.0m/s\曳引式\18m\4层4站4门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1F61">
            <w:pPr>
              <w:widowControl/>
              <w:jc w:val="center"/>
              <w:textAlignment w:val="center"/>
              <w:rPr>
                <w:rFonts w:hint="default" w:ascii="宋体" w:hAnsi="宋体" w:eastAsia="宋体" w:cs="宋体"/>
                <w:color w:val="000000"/>
                <w:sz w:val="24"/>
                <w:szCs w:val="24"/>
                <w:lang w:val="en-US" w:eastAsia="zh-CN" w:bidi="ar"/>
              </w:rPr>
            </w:pPr>
            <w:r>
              <w:rPr>
                <w:rFonts w:hint="eastAsia" w:cs="宋体"/>
                <w:color w:val="000000"/>
                <w:sz w:val="24"/>
                <w:szCs w:val="24"/>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34E">
            <w:pPr>
              <w:widowControl/>
              <w:jc w:val="center"/>
              <w:textAlignment w:val="center"/>
              <w:rPr>
                <w:rFonts w:hint="default" w:ascii="宋体" w:hAnsi="宋体" w:eastAsia="宋体" w:cs="宋体"/>
                <w:color w:val="000000"/>
                <w:sz w:val="24"/>
                <w:szCs w:val="24"/>
                <w:lang w:val="en-US" w:eastAsia="zh-CN" w:bidi="ar"/>
              </w:rPr>
            </w:pPr>
            <w:r>
              <w:rPr>
                <w:rFonts w:hint="eastAsia" w:cs="宋体"/>
                <w:color w:val="000000"/>
                <w:sz w:val="24"/>
                <w:szCs w:val="24"/>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4AE7">
            <w:pPr>
              <w:jc w:val="center"/>
              <w:rPr>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357">
            <w:pPr>
              <w:jc w:val="center"/>
              <w:rPr>
                <w:color w:val="000000"/>
                <w:sz w:val="24"/>
                <w:szCs w:val="24"/>
              </w:rPr>
            </w:pPr>
          </w:p>
        </w:tc>
      </w:tr>
      <w:tr w14:paraId="2FF492BE">
        <w:tblPrEx>
          <w:tblCellMar>
            <w:top w:w="15" w:type="dxa"/>
            <w:left w:w="15" w:type="dxa"/>
            <w:bottom w:w="15" w:type="dxa"/>
            <w:right w:w="15" w:type="dxa"/>
          </w:tblCellMar>
        </w:tblPrEx>
        <w:trPr>
          <w:trHeight w:val="117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69B5">
            <w:pPr>
              <w:jc w:val="center"/>
              <w:rPr>
                <w:rFonts w:asciiTheme="minorEastAsia" w:hAnsiTheme="minorEastAsia" w:eastAsiaTheme="minorEastAsia"/>
                <w:color w:val="000000"/>
                <w:sz w:val="24"/>
                <w:szCs w:val="24"/>
              </w:rPr>
            </w:pPr>
            <w:r>
              <w:rPr>
                <w:color w:val="000000"/>
                <w:sz w:val="24"/>
                <w:szCs w:val="24"/>
              </w:rPr>
              <w:t>合</w:t>
            </w:r>
            <w:r>
              <w:rPr>
                <w:rFonts w:hint="eastAsia"/>
                <w:color w:val="000000"/>
                <w:sz w:val="24"/>
                <w:szCs w:val="24"/>
              </w:rPr>
              <w:t xml:space="preserve">  </w:t>
            </w:r>
            <w:r>
              <w:rPr>
                <w:color w:val="000000"/>
                <w:sz w:val="24"/>
                <w:szCs w:val="24"/>
              </w:rPr>
              <w:t>计</w:t>
            </w:r>
          </w:p>
        </w:tc>
        <w:tc>
          <w:tcPr>
            <w:tcW w:w="69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460C16">
            <w:pPr>
              <w:rPr>
                <w:rFonts w:asciiTheme="minorEastAsia" w:hAnsiTheme="minorEastAsia" w:eastAsiaTheme="minorEastAsia"/>
                <w:color w:val="000000"/>
                <w:sz w:val="18"/>
                <w:szCs w:val="18"/>
              </w:rPr>
            </w:pPr>
            <w:r>
              <w:rPr>
                <w:rFonts w:hint="eastAsia"/>
                <w:b/>
                <w:color w:val="000000"/>
                <w:szCs w:val="21"/>
              </w:rPr>
              <w:t>（大写）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3E9">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（小写）</w:t>
            </w:r>
          </w:p>
        </w:tc>
      </w:tr>
    </w:tbl>
    <w:tbl>
      <w:tblPr>
        <w:tblStyle w:val="12"/>
        <w:tblW w:w="9499" w:type="dxa"/>
        <w:tblInd w:w="-318" w:type="dxa"/>
        <w:tblLayout w:type="autofit"/>
        <w:tblCellMar>
          <w:top w:w="0" w:type="dxa"/>
          <w:left w:w="108" w:type="dxa"/>
          <w:bottom w:w="0" w:type="dxa"/>
          <w:right w:w="108" w:type="dxa"/>
        </w:tblCellMar>
      </w:tblPr>
      <w:tblGrid>
        <w:gridCol w:w="9499"/>
      </w:tblGrid>
      <w:tr w14:paraId="3AD5E2FE">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30A5FBDD">
            <w:pPr>
              <w:spacing w:line="500" w:lineRule="exact"/>
              <w:rPr>
                <w:b/>
                <w:bCs/>
                <w:sz w:val="24"/>
                <w:lang w:eastAsia="zh-CN"/>
              </w:rPr>
            </w:pPr>
            <w:r>
              <w:rPr>
                <w:rFonts w:hint="eastAsia"/>
                <w:b/>
                <w:bCs/>
                <w:sz w:val="24"/>
                <w:lang w:eastAsia="zh-CN"/>
              </w:rPr>
              <w:t>价格说明：</w:t>
            </w:r>
          </w:p>
          <w:p w14:paraId="3420733D">
            <w:pPr>
              <w:pStyle w:val="9"/>
              <w:shd w:val="clear" w:color="auto" w:fill="FFFFFF"/>
              <w:spacing w:before="0" w:beforeAutospacing="0" w:after="0" w:afterAutospacing="0" w:line="432" w:lineRule="atLeast"/>
              <w:rPr>
                <w:b/>
                <w:bCs/>
              </w:rPr>
            </w:pPr>
            <w:r>
              <w:rPr>
                <w:rFonts w:hint="eastAsia"/>
                <w:b/>
                <w:bCs/>
              </w:rPr>
              <w:t>A、报价单不需随附“</w:t>
            </w:r>
            <w:r>
              <w:rPr>
                <w:rFonts w:hint="eastAsia" w:cs="宋体"/>
                <w:b/>
                <w:bCs/>
                <w:sz w:val="24"/>
                <w:szCs w:val="24"/>
                <w:lang w:val="en-US" w:eastAsia="zh-CN"/>
              </w:rPr>
              <w:t>消防综合楼新增电梯采购项目</w:t>
            </w:r>
            <w:r>
              <w:rPr>
                <w:rFonts w:hint="eastAsia"/>
                <w:b/>
                <w:bCs/>
              </w:rPr>
              <w:t>”技术协议：</w:t>
            </w:r>
          </w:p>
          <w:p w14:paraId="5D4F71A7">
            <w:pPr>
              <w:pStyle w:val="9"/>
              <w:spacing w:before="0" w:beforeAutospacing="0" w:after="0" w:afterAutospacing="0" w:line="432" w:lineRule="atLeast"/>
              <w:rPr>
                <w:rFonts w:ascii="Arial" w:hAnsi="Arial" w:cs="Arial"/>
                <w:color w:val="111111"/>
              </w:rPr>
            </w:pPr>
            <w:r>
              <w:rPr>
                <w:rFonts w:ascii="Arial" w:hAnsi="Arial" w:cs="Arial"/>
                <w:color w:val="111111"/>
              </w:rPr>
              <w:t>1</w:t>
            </w:r>
            <w:r>
              <w:rPr>
                <w:rFonts w:hint="eastAsia" w:ascii="Arial" w:hAnsi="Arial" w:cs="Arial"/>
                <w:color w:val="111111"/>
              </w:rPr>
              <w:t>..</w:t>
            </w:r>
            <w:r>
              <w:rPr>
                <w:rFonts w:ascii="Arial" w:hAnsi="Arial" w:cs="Arial"/>
                <w:color w:val="111111"/>
              </w:rPr>
              <w:t>具体事宜</w:t>
            </w:r>
            <w:r>
              <w:rPr>
                <w:rFonts w:hint="eastAsia" w:ascii="Arial" w:hAnsi="Arial" w:cs="Arial"/>
                <w:color w:val="111111"/>
              </w:rPr>
              <w:t>以</w:t>
            </w:r>
            <w:r>
              <w:rPr>
                <w:rFonts w:ascii="Arial" w:hAnsi="Arial" w:cs="Arial"/>
                <w:color w:val="111111"/>
              </w:rPr>
              <w:t>请购规格型号</w:t>
            </w:r>
            <w:r>
              <w:rPr>
                <w:rFonts w:hint="eastAsia" w:ascii="Arial" w:hAnsi="Arial" w:cs="Arial"/>
                <w:color w:val="111111"/>
              </w:rPr>
              <w:t>和双方签订的</w:t>
            </w:r>
            <w:r>
              <w:rPr>
                <w:rFonts w:ascii="Arial" w:hAnsi="Arial" w:cs="Arial"/>
                <w:color w:val="111111"/>
              </w:rPr>
              <w:t>技术协议</w:t>
            </w:r>
            <w:r>
              <w:rPr>
                <w:rFonts w:hint="eastAsia" w:ascii="Arial" w:hAnsi="Arial" w:cs="Arial"/>
                <w:color w:val="111111"/>
              </w:rPr>
              <w:t>为准</w:t>
            </w:r>
            <w:r>
              <w:rPr>
                <w:rFonts w:ascii="Arial" w:hAnsi="Arial" w:cs="Arial"/>
                <w:color w:val="111111"/>
              </w:rPr>
              <w:t>。</w:t>
            </w:r>
          </w:p>
          <w:p w14:paraId="11A5C690">
            <w:pPr>
              <w:numPr>
                <w:ilvl w:val="255"/>
                <w:numId w:val="0"/>
              </w:numPr>
              <w:spacing w:line="500" w:lineRule="exact"/>
              <w:rPr>
                <w:b/>
                <w:bCs/>
                <w:sz w:val="24"/>
                <w:lang w:eastAsia="zh-CN"/>
              </w:rPr>
            </w:pPr>
            <w:r>
              <w:rPr>
                <w:rFonts w:hint="eastAsia"/>
                <w:b/>
                <w:bCs/>
                <w:sz w:val="24"/>
                <w:lang w:eastAsia="zh-CN"/>
              </w:rPr>
              <w:t>B、</w:t>
            </w:r>
            <w:r>
              <w:rPr>
                <w:rFonts w:hint="eastAsia"/>
                <w:b/>
                <w:bCs/>
                <w:sz w:val="24"/>
                <w:shd w:val="clear" w:color="FFFFFF" w:fill="D9D9D9"/>
                <w:lang w:eastAsia="zh-CN"/>
              </w:rPr>
              <w:t>含</w:t>
            </w:r>
            <w:r>
              <w:rPr>
                <w:rFonts w:hint="eastAsia"/>
                <w:b/>
                <w:bCs/>
                <w:sz w:val="24"/>
                <w:u w:val="single"/>
                <w:shd w:val="clear" w:color="FFFFFF" w:fill="D9D9D9"/>
                <w:lang w:eastAsia="zh-CN"/>
              </w:rPr>
              <w:t xml:space="preserve"> 13% </w:t>
            </w:r>
            <w:r>
              <w:rPr>
                <w:rFonts w:hint="eastAsia"/>
                <w:b/>
                <w:bCs/>
                <w:sz w:val="24"/>
                <w:lang w:eastAsia="zh-CN"/>
              </w:rPr>
              <w:t>增值税送到厂价；</w:t>
            </w:r>
          </w:p>
          <w:p w14:paraId="606EFF24">
            <w:pPr>
              <w:numPr>
                <w:ilvl w:val="255"/>
                <w:numId w:val="0"/>
              </w:numPr>
              <w:spacing w:line="500" w:lineRule="exact"/>
              <w:rPr>
                <w:b/>
                <w:bCs/>
                <w:sz w:val="24"/>
                <w:lang w:eastAsia="zh-CN"/>
              </w:rPr>
            </w:pPr>
            <w:r>
              <w:rPr>
                <w:rFonts w:hint="eastAsia"/>
                <w:b/>
                <w:bCs/>
                <w:sz w:val="24"/>
                <w:lang w:eastAsia="zh-CN"/>
              </w:rPr>
              <w:t>C、付款方式：全部货款均以现汇方式支付，无预付货到验收合格后付90%,留10%质保金（质保期以货到验收合格后12个月或货到现场18个月，以先到为准）</w:t>
            </w:r>
            <w:r>
              <w:rPr>
                <w:b/>
                <w:bCs/>
                <w:sz w:val="24"/>
                <w:lang w:eastAsia="zh-CN"/>
              </w:rPr>
              <w:t>。</w:t>
            </w:r>
          </w:p>
          <w:p w14:paraId="7641FFB9">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14:paraId="1C126CD0">
            <w:pPr>
              <w:spacing w:line="360" w:lineRule="exact"/>
              <w:rPr>
                <w:sz w:val="24"/>
                <w:lang w:eastAsia="zh-CN"/>
              </w:rPr>
            </w:pPr>
            <w:r>
              <w:rPr>
                <w:rFonts w:hint="eastAsia"/>
                <w:sz w:val="24"/>
                <w:lang w:eastAsia="zh-CN"/>
              </w:rPr>
              <w:t>四、其它约定以双方签订合同为准。</w:t>
            </w:r>
          </w:p>
        </w:tc>
      </w:tr>
    </w:tbl>
    <w:p w14:paraId="64CDF45F">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0AC8095E">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3386B2D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14:paraId="1AC5C37F">
      <w:pPr>
        <w:pStyle w:val="17"/>
        <w:spacing w:line="360" w:lineRule="auto"/>
        <w:jc w:val="both"/>
        <w:rPr>
          <w:rFonts w:hint="eastAsia" w:ascii="宋体" w:hAnsi="宋体" w:eastAsia="宋体" w:cs="宋体"/>
          <w:b/>
          <w:sz w:val="36"/>
          <w:szCs w:val="36"/>
        </w:rPr>
      </w:pPr>
    </w:p>
    <w:p w14:paraId="18B614E5">
      <w:pPr>
        <w:pStyle w:val="17"/>
        <w:spacing w:line="360" w:lineRule="auto"/>
        <w:jc w:val="center"/>
        <w:rPr>
          <w:rFonts w:hint="eastAsia" w:ascii="宋体" w:hAnsi="宋体" w:eastAsia="宋体" w:cs="宋体"/>
          <w:b/>
          <w:sz w:val="36"/>
          <w:szCs w:val="36"/>
        </w:rPr>
      </w:pPr>
    </w:p>
    <w:p w14:paraId="581C3140">
      <w:pPr>
        <w:pStyle w:val="17"/>
        <w:spacing w:line="360" w:lineRule="auto"/>
        <w:jc w:val="center"/>
        <w:rPr>
          <w:rFonts w:hint="eastAsia" w:ascii="宋体" w:hAnsi="宋体" w:eastAsia="宋体" w:cs="宋体"/>
          <w:b/>
          <w:sz w:val="36"/>
          <w:szCs w:val="36"/>
        </w:rPr>
      </w:pPr>
    </w:p>
    <w:p w14:paraId="376D4BF9">
      <w:pPr>
        <w:pStyle w:val="17"/>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17"/>
        <w:spacing w:line="360" w:lineRule="auto"/>
        <w:rPr>
          <w:rFonts w:hint="eastAsia" w:ascii="宋体" w:hAnsi="宋体" w:eastAsia="宋体" w:cs="宋体"/>
          <w:sz w:val="28"/>
          <w:szCs w:val="28"/>
        </w:rPr>
      </w:pPr>
    </w:p>
    <w:bookmarkEnd w:id="0"/>
    <w:p w14:paraId="3C4920E1">
      <w:pPr>
        <w:spacing w:line="360" w:lineRule="auto"/>
        <w:jc w:val="center"/>
        <w:rPr>
          <w:rFonts w:hint="eastAsia" w:ascii="宋体" w:hAnsi="宋体" w:eastAsia="宋体" w:cs="宋体"/>
          <w:sz w:val="28"/>
          <w:szCs w:val="28"/>
          <w:lang w:eastAsia="zh-CN"/>
        </w:rPr>
      </w:pPr>
    </w:p>
    <w:p w14:paraId="799CE77F">
      <w:pPr>
        <w:rPr>
          <w:rFonts w:hint="eastAsia" w:ascii="宋体" w:hAnsi="宋体" w:eastAsia="宋体" w:cs="宋体"/>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10A6C"/>
    <w:multiLevelType w:val="multilevel"/>
    <w:tmpl w:val="03410A6C"/>
    <w:lvl w:ilvl="0" w:tentative="0">
      <w:start w:val="1"/>
      <w:numFmt w:val="decimal"/>
      <w:lvlText w:val="%1、"/>
      <w:lvlJc w:val="left"/>
      <w:pPr>
        <w:ind w:left="786"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9B96D4E"/>
    <w:rsid w:val="0B5B09C6"/>
    <w:rsid w:val="0CDE6C33"/>
    <w:rsid w:val="11E212CD"/>
    <w:rsid w:val="145F4C75"/>
    <w:rsid w:val="17C66BB7"/>
    <w:rsid w:val="1A276E25"/>
    <w:rsid w:val="1CD13EE0"/>
    <w:rsid w:val="1DC41D06"/>
    <w:rsid w:val="1ECF2269"/>
    <w:rsid w:val="249471B2"/>
    <w:rsid w:val="2B9065EA"/>
    <w:rsid w:val="2C3614AA"/>
    <w:rsid w:val="2C566E48"/>
    <w:rsid w:val="2D144DDE"/>
    <w:rsid w:val="2E092DE3"/>
    <w:rsid w:val="33601136"/>
    <w:rsid w:val="34921CE4"/>
    <w:rsid w:val="38E7731C"/>
    <w:rsid w:val="3C7C46F6"/>
    <w:rsid w:val="3CBB5B89"/>
    <w:rsid w:val="40A14897"/>
    <w:rsid w:val="47EC1567"/>
    <w:rsid w:val="4D50309A"/>
    <w:rsid w:val="54764C99"/>
    <w:rsid w:val="57F06B97"/>
    <w:rsid w:val="57F45C8F"/>
    <w:rsid w:val="583047FD"/>
    <w:rsid w:val="58671C4C"/>
    <w:rsid w:val="5B047D71"/>
    <w:rsid w:val="62144A7E"/>
    <w:rsid w:val="62F917B9"/>
    <w:rsid w:val="66BA60F9"/>
    <w:rsid w:val="672B3381"/>
    <w:rsid w:val="6F8B3F58"/>
    <w:rsid w:val="71D65F0B"/>
    <w:rsid w:val="7BB4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qFormat/>
    <w:uiPriority w:val="0"/>
    <w:pPr>
      <w:ind w:left="629"/>
      <w:outlineLvl w:val="1"/>
    </w:pPr>
    <w:rPr>
      <w:b/>
      <w:bCs/>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rPr>
      <w:sz w:val="24"/>
      <w:szCs w:val="24"/>
    </w:rPr>
  </w:style>
  <w:style w:type="paragraph" w:styleId="6">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7">
    <w:name w:val="Plain Text"/>
    <w:basedOn w:val="1"/>
    <w:qFormat/>
    <w:uiPriority w:val="99"/>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0">
    <w:name w:val="Title"/>
    <w:basedOn w:val="1"/>
    <w:qFormat/>
    <w:uiPriority w:val="0"/>
    <w:pPr>
      <w:jc w:val="center"/>
    </w:pPr>
    <w:rPr>
      <w:sz w:val="32"/>
    </w:rPr>
  </w:style>
  <w:style w:type="paragraph" w:styleId="11">
    <w:name w:val="Body Text First Indent 2"/>
    <w:basedOn w:val="6"/>
    <w:next w:val="1"/>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026E5" w:themeColor="hyperlink"/>
      <w:u w:val="single"/>
      <w14:textFill>
        <w14:solidFill>
          <w14:schemeClr w14:val="hlink"/>
        </w14:solidFill>
      </w14:textFill>
    </w:rPr>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List Paragraph"/>
    <w:basedOn w:val="1"/>
    <w:qFormat/>
    <w:uiPriority w:val="34"/>
    <w:pPr>
      <w:spacing w:before="206"/>
      <w:ind w:left="959" w:hanging="361"/>
    </w:pPr>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0">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1">
    <w:name w:val="Table Paragraph"/>
    <w:basedOn w:val="1"/>
    <w:qFormat/>
    <w:uiPriority w:val="1"/>
    <w:pPr>
      <w:jc w:val="both"/>
    </w:pPr>
    <w:rPr>
      <w:rFonts w:ascii="Calibri" w:hAnsi="Calibri" w:eastAsia="宋体"/>
      <w:sz w:val="21"/>
      <w:lang w:eastAsia="zh-CN"/>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7913</Words>
  <Characters>8359</Characters>
  <Lines>0</Lines>
  <Paragraphs>0</Paragraphs>
  <TotalTime>12</TotalTime>
  <ScaleCrop>false</ScaleCrop>
  <LinksUpToDate>false</LinksUpToDate>
  <CharactersWithSpaces>8861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沈学荣</cp:lastModifiedBy>
  <dcterms:modified xsi:type="dcterms:W3CDTF">2025-11-04T08:34:44Z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9982E558A79B4A12A7D7CEAE9095EAB7_11</vt:lpwstr>
  </property>
  <property fmtid="{D5CDD505-2E9C-101B-9397-08002B2CF9AE}" pid="4" name="KSOTemplateDocerSaveRecord">
    <vt:lpwstr>eyJoZGlkIjoiNGYwZDdhODNlMmM3NjQ3OGUyNjYwYTRmNmIzZTYzMjQiLCJ1c2VySWQiOiIxNTY4NzkzMDYxIn0=</vt:lpwstr>
  </property>
</Properties>
</file>