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0"/>
        <w:rPr>
          <w:rFonts w:ascii="仿宋" w:hAnsi="仿宋" w:eastAsia="仿宋"/>
          <w:color w:val="auto"/>
          <w:sz w:val="20"/>
          <w:highlight w:val="none"/>
          <w:lang w:eastAsia="zh-CN"/>
        </w:rPr>
      </w:pPr>
    </w:p>
    <w:p w14:paraId="4422970F">
      <w:pPr>
        <w:pStyle w:val="20"/>
        <w:rPr>
          <w:rFonts w:ascii="仿宋" w:hAnsi="仿宋" w:eastAsia="仿宋"/>
          <w:color w:val="auto"/>
          <w:sz w:val="20"/>
          <w:highlight w:val="none"/>
        </w:rPr>
      </w:pPr>
    </w:p>
    <w:p w14:paraId="7E09FF86">
      <w:pPr>
        <w:pStyle w:val="20"/>
        <w:rPr>
          <w:rFonts w:ascii="仿宋" w:hAnsi="仿宋" w:eastAsia="仿宋"/>
          <w:color w:val="auto"/>
          <w:sz w:val="20"/>
          <w:highlight w:val="none"/>
        </w:rPr>
      </w:pPr>
    </w:p>
    <w:p w14:paraId="609CB927">
      <w:pPr>
        <w:pStyle w:val="20"/>
        <w:rPr>
          <w:rFonts w:ascii="仿宋" w:hAnsi="仿宋" w:eastAsia="仿宋"/>
          <w:color w:val="auto"/>
          <w:sz w:val="20"/>
          <w:highlight w:val="none"/>
        </w:rPr>
      </w:pPr>
    </w:p>
    <w:p w14:paraId="77780892">
      <w:pPr>
        <w:pStyle w:val="20"/>
        <w:rPr>
          <w:rFonts w:ascii="仿宋" w:hAnsi="仿宋" w:eastAsia="仿宋"/>
          <w:color w:val="auto"/>
          <w:sz w:val="20"/>
          <w:highlight w:val="none"/>
        </w:rPr>
      </w:pPr>
    </w:p>
    <w:p w14:paraId="52EDCF76">
      <w:pPr>
        <w:pStyle w:val="20"/>
        <w:spacing w:before="5"/>
        <w:rPr>
          <w:rFonts w:ascii="仿宋" w:hAnsi="仿宋" w:eastAsia="仿宋"/>
          <w:color w:val="auto"/>
          <w:sz w:val="20"/>
          <w:highlight w:val="none"/>
        </w:rPr>
      </w:pPr>
    </w:p>
    <w:p w14:paraId="083CB69D">
      <w:pPr>
        <w:pStyle w:val="20"/>
        <w:jc w:val="center"/>
        <w:rPr>
          <w:rFonts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6E6F6E6B">
      <w:pPr>
        <w:pStyle w:val="20"/>
        <w:jc w:val="center"/>
        <w:rPr>
          <w:rFonts w:ascii="仿宋" w:hAnsi="仿宋" w:eastAsia="仿宋"/>
          <w:b/>
          <w:color w:val="auto"/>
          <w:sz w:val="52"/>
          <w:szCs w:val="22"/>
          <w:highlight w:val="none"/>
          <w:u w:val="single"/>
          <w:lang w:eastAsia="zh-CN"/>
        </w:rPr>
      </w:pPr>
    </w:p>
    <w:p w14:paraId="43EC0059">
      <w:pPr>
        <w:pStyle w:val="20"/>
        <w:jc w:val="center"/>
        <w:rPr>
          <w:rFonts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2026-2027年度消防设施维保及年度检测项目</w:t>
      </w:r>
    </w:p>
    <w:p w14:paraId="4FD62B60">
      <w:pPr>
        <w:pStyle w:val="20"/>
        <w:jc w:val="center"/>
        <w:rPr>
          <w:rFonts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询比采购文件</w:t>
      </w:r>
    </w:p>
    <w:p w14:paraId="76C3B8BE">
      <w:pPr>
        <w:pStyle w:val="54"/>
        <w:jc w:val="center"/>
        <w:rPr>
          <w:rFonts w:hint="eastAsia" w:ascii="仿宋" w:hAnsi="仿宋" w:eastAsia="仿宋"/>
          <w:color w:val="auto"/>
          <w:sz w:val="28"/>
          <w:szCs w:val="28"/>
          <w:highlight w:val="none"/>
        </w:rPr>
      </w:pPr>
    </w:p>
    <w:p w14:paraId="664AE1EE">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（文件编号：PB251024000004）</w:t>
      </w:r>
    </w:p>
    <w:p w14:paraId="61CA626B">
      <w:pPr>
        <w:pStyle w:val="20"/>
        <w:rPr>
          <w:rFonts w:ascii="仿宋" w:hAnsi="仿宋" w:eastAsia="仿宋"/>
          <w:b/>
          <w:color w:val="auto"/>
          <w:sz w:val="94"/>
          <w:highlight w:val="none"/>
          <w:lang w:eastAsia="zh-CN"/>
        </w:rPr>
      </w:pPr>
    </w:p>
    <w:p w14:paraId="0EDD7F02">
      <w:pPr>
        <w:pStyle w:val="20"/>
        <w:rPr>
          <w:rFonts w:ascii="仿宋" w:hAnsi="仿宋" w:eastAsia="仿宋"/>
          <w:b/>
          <w:color w:val="auto"/>
          <w:sz w:val="32"/>
          <w:szCs w:val="32"/>
          <w:highlight w:val="none"/>
          <w:lang w:eastAsia="zh-CN"/>
        </w:rPr>
      </w:pPr>
    </w:p>
    <w:p w14:paraId="625E23BA">
      <w:pPr>
        <w:pStyle w:val="20"/>
        <w:rPr>
          <w:rFonts w:ascii="仿宋" w:hAnsi="仿宋" w:eastAsia="仿宋"/>
          <w:b/>
          <w:color w:val="auto"/>
          <w:sz w:val="32"/>
          <w:szCs w:val="32"/>
          <w:highlight w:val="none"/>
          <w:lang w:eastAsia="zh-CN"/>
        </w:rPr>
      </w:pPr>
    </w:p>
    <w:p w14:paraId="508D72A8">
      <w:pPr>
        <w:pStyle w:val="20"/>
        <w:rPr>
          <w:rFonts w:ascii="仿宋" w:hAnsi="仿宋" w:eastAsia="仿宋"/>
          <w:b/>
          <w:color w:val="auto"/>
          <w:sz w:val="32"/>
          <w:szCs w:val="32"/>
          <w:highlight w:val="none"/>
          <w:lang w:eastAsia="zh-CN"/>
        </w:rPr>
      </w:pPr>
    </w:p>
    <w:p w14:paraId="5D7479EF">
      <w:pPr>
        <w:pStyle w:val="20"/>
        <w:rPr>
          <w:rFonts w:ascii="仿宋" w:hAnsi="仿宋" w:eastAsia="仿宋"/>
          <w:b/>
          <w:color w:val="auto"/>
          <w:sz w:val="32"/>
          <w:szCs w:val="32"/>
          <w:highlight w:val="none"/>
          <w:lang w:eastAsia="zh-CN"/>
        </w:rPr>
      </w:pPr>
    </w:p>
    <w:p w14:paraId="5876BD09">
      <w:pPr>
        <w:pStyle w:val="20"/>
        <w:rPr>
          <w:rFonts w:ascii="仿宋" w:hAnsi="仿宋" w:eastAsia="仿宋"/>
          <w:b/>
          <w:color w:val="auto"/>
          <w:sz w:val="32"/>
          <w:szCs w:val="32"/>
          <w:highlight w:val="none"/>
          <w:lang w:eastAsia="zh-CN"/>
        </w:rPr>
      </w:pPr>
    </w:p>
    <w:p w14:paraId="5E3EDBBB">
      <w:pPr>
        <w:pStyle w:val="54"/>
        <w:jc w:val="center"/>
        <w:rPr>
          <w:rFonts w:ascii="仿宋" w:hAnsi="仿宋" w:eastAsia="仿宋"/>
          <w:b/>
          <w:color w:val="auto"/>
          <w:sz w:val="28"/>
          <w:szCs w:val="28"/>
          <w:highlight w:val="none"/>
        </w:rPr>
      </w:pPr>
    </w:p>
    <w:p w14:paraId="2C80907E">
      <w:pPr>
        <w:pStyle w:val="54"/>
        <w:jc w:val="center"/>
        <w:rPr>
          <w:rFonts w:ascii="仿宋" w:hAnsi="仿宋" w:eastAsia="仿宋"/>
          <w:b/>
          <w:color w:val="auto"/>
          <w:sz w:val="28"/>
          <w:szCs w:val="28"/>
          <w:highlight w:val="none"/>
        </w:rPr>
      </w:pPr>
    </w:p>
    <w:p w14:paraId="5B33F967">
      <w:pPr>
        <w:pStyle w:val="54"/>
        <w:jc w:val="center"/>
        <w:rPr>
          <w:rFonts w:ascii="仿宋" w:hAnsi="仿宋" w:eastAsia="仿宋"/>
          <w:b/>
          <w:color w:val="auto"/>
          <w:sz w:val="28"/>
          <w:szCs w:val="28"/>
          <w:highlight w:val="none"/>
        </w:rPr>
      </w:pPr>
    </w:p>
    <w:p w14:paraId="73F3D721">
      <w:pPr>
        <w:pStyle w:val="54"/>
        <w:jc w:val="center"/>
        <w:rPr>
          <w:rFonts w:ascii="仿宋" w:hAnsi="仿宋" w:eastAsia="仿宋"/>
          <w:b/>
          <w:color w:val="auto"/>
          <w:sz w:val="28"/>
          <w:szCs w:val="28"/>
          <w:highlight w:val="none"/>
        </w:rPr>
      </w:pPr>
    </w:p>
    <w:p w14:paraId="6C9110B6">
      <w:pPr>
        <w:pStyle w:val="54"/>
        <w:jc w:val="center"/>
        <w:rPr>
          <w:rFonts w:ascii="仿宋" w:hAnsi="仿宋" w:eastAsia="仿宋"/>
          <w:b/>
          <w:color w:val="auto"/>
          <w:sz w:val="28"/>
          <w:szCs w:val="28"/>
          <w:highlight w:val="none"/>
        </w:rPr>
      </w:pPr>
    </w:p>
    <w:p w14:paraId="143AFC8C">
      <w:pPr>
        <w:pStyle w:val="54"/>
        <w:jc w:val="center"/>
        <w:rPr>
          <w:rFonts w:ascii="仿宋" w:hAnsi="仿宋" w:eastAsia="仿宋"/>
          <w:b/>
          <w:color w:val="auto"/>
          <w:sz w:val="28"/>
          <w:szCs w:val="28"/>
          <w:highlight w:val="none"/>
        </w:rPr>
      </w:pPr>
    </w:p>
    <w:p w14:paraId="35F74606">
      <w:pPr>
        <w:pStyle w:val="54"/>
        <w:jc w:val="center"/>
        <w:rPr>
          <w:rFonts w:ascii="仿宋" w:hAnsi="仿宋" w:eastAsia="仿宋"/>
          <w:b/>
          <w:color w:val="auto"/>
          <w:sz w:val="28"/>
          <w:szCs w:val="28"/>
          <w:highlight w:val="none"/>
        </w:rPr>
      </w:pPr>
    </w:p>
    <w:p w14:paraId="6A4632BD">
      <w:pPr>
        <w:pStyle w:val="54"/>
        <w:jc w:val="center"/>
        <w:rPr>
          <w:rFonts w:ascii="仿宋" w:hAnsi="仿宋" w:eastAsia="仿宋"/>
          <w:b/>
          <w:color w:val="auto"/>
          <w:sz w:val="28"/>
          <w:szCs w:val="28"/>
          <w:highlight w:val="none"/>
        </w:rPr>
      </w:pPr>
    </w:p>
    <w:p w14:paraId="22155F58">
      <w:pPr>
        <w:pStyle w:val="54"/>
        <w:jc w:val="center"/>
        <w:rPr>
          <w:rFonts w:ascii="仿宋" w:hAnsi="仿宋" w:eastAsia="仿宋"/>
          <w:b/>
          <w:color w:val="auto"/>
          <w:sz w:val="28"/>
          <w:szCs w:val="28"/>
          <w:highlight w:val="none"/>
        </w:rPr>
      </w:pPr>
    </w:p>
    <w:p w14:paraId="28F76EEA">
      <w:pPr>
        <w:pStyle w:val="54"/>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w:t>
      </w:r>
      <w:r>
        <w:rPr>
          <w:rFonts w:hint="eastAsia" w:ascii="仿宋" w:hAnsi="仿宋" w:eastAsia="仿宋"/>
          <w:b/>
          <w:color w:val="auto"/>
          <w:w w:val="95"/>
          <w:sz w:val="32"/>
          <w:highlight w:val="none"/>
          <w:lang w:val="en-US" w:eastAsia="zh-CN"/>
        </w:rPr>
        <w:t>2025</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11</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20"/>
        <w:rPr>
          <w:rFonts w:ascii="仿宋" w:hAnsi="仿宋" w:eastAsia="仿宋"/>
          <w:color w:val="auto"/>
          <w:sz w:val="20"/>
          <w:highlight w:val="none"/>
          <w:lang w:eastAsia="zh-CN"/>
        </w:rPr>
      </w:pPr>
    </w:p>
    <w:p w14:paraId="2F106746">
      <w:pPr>
        <w:pStyle w:val="20"/>
        <w:rPr>
          <w:rFonts w:ascii="仿宋" w:hAnsi="仿宋" w:eastAsia="仿宋"/>
          <w:color w:val="auto"/>
          <w:sz w:val="20"/>
          <w:highlight w:val="none"/>
          <w:lang w:eastAsia="zh-CN"/>
        </w:rPr>
      </w:pPr>
    </w:p>
    <w:p w14:paraId="2356BFA5">
      <w:pPr>
        <w:pStyle w:val="20"/>
        <w:spacing w:before="9"/>
        <w:rPr>
          <w:rFonts w:ascii="仿宋" w:hAnsi="仿宋" w:eastAsia="仿宋"/>
          <w:color w:val="auto"/>
          <w:highlight w:val="none"/>
          <w:lang w:eastAsia="zh-CN"/>
        </w:rPr>
      </w:pPr>
    </w:p>
    <w:p w14:paraId="5202D942">
      <w:pPr>
        <w:tabs>
          <w:tab w:val="left" w:pos="709"/>
        </w:tabs>
        <w:spacing w:line="360" w:lineRule="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5B862628">
      <w:pPr>
        <w:spacing w:line="408" w:lineRule="auto"/>
        <w:rPr>
          <w:rFonts w:ascii="仿宋" w:hAnsi="仿宋" w:eastAsia="仿宋"/>
          <w:color w:val="auto"/>
          <w:sz w:val="28"/>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ascii="仿宋" w:hAnsi="仿宋" w:eastAsia="仿宋"/>
          <w:color w:val="auto"/>
          <w:highlight w:val="none"/>
        </w:rPr>
      </w:pPr>
    </w:p>
    <w:p w14:paraId="300B62CE">
      <w:pPr>
        <w:pStyle w:val="20"/>
        <w:jc w:val="center"/>
        <w:rPr>
          <w:rFonts w:ascii="仿宋" w:hAnsi="仿宋" w:eastAsia="仿宋"/>
          <w:b/>
          <w:color w:val="auto"/>
          <w:sz w:val="52"/>
          <w:szCs w:val="22"/>
          <w:highlight w:val="none"/>
          <w:u w:val="single"/>
          <w:lang w:eastAsia="zh-CN"/>
        </w:rPr>
      </w:pPr>
      <w:r>
        <w:rPr>
          <w:rFonts w:hint="eastAsia" w:ascii="宋体" w:hAnsi="宋体" w:eastAsia="宋体" w:cs="宋体"/>
          <w:color w:val="auto"/>
          <w:sz w:val="24"/>
          <w:szCs w:val="24"/>
          <w:highlight w:val="none"/>
          <w:lang w:eastAsia="zh-CN"/>
        </w:rPr>
        <w:t xml:space="preserve">    福建福海创石油化工有限公司就“</w:t>
      </w:r>
      <w:r>
        <w:rPr>
          <w:rFonts w:hint="eastAsia" w:ascii="宋体" w:hAnsi="宋体" w:eastAsia="宋体" w:cs="宋体"/>
          <w:color w:val="auto"/>
          <w:sz w:val="24"/>
          <w:szCs w:val="24"/>
          <w:highlight w:val="none"/>
          <w:u w:val="single"/>
          <w:lang w:eastAsia="zh-CN"/>
        </w:rPr>
        <w:t>2026-2027年度消防设施维保及年度检测项目</w:t>
      </w:r>
    </w:p>
    <w:p w14:paraId="12A4B0FE">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（项目编号：PB251024000004）</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0EA26E0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bidi="ar-SA"/>
        </w:rPr>
        <w:t>项目</w:t>
      </w:r>
      <w:r>
        <w:rPr>
          <w:rFonts w:hint="eastAsia" w:cs="宋体"/>
          <w:color w:val="auto"/>
          <w:sz w:val="24"/>
          <w:szCs w:val="24"/>
          <w:highlight w:val="none"/>
          <w:lang w:val="en-US" w:eastAsia="zh-CN" w:bidi="ar-SA"/>
        </w:rPr>
        <w:t>名称</w:t>
      </w:r>
      <w:r>
        <w:rPr>
          <w:rFonts w:hint="eastAsia" w:ascii="宋体" w:hAnsi="宋体" w:eastAsia="宋体" w:cs="宋体"/>
          <w:color w:val="auto"/>
          <w:sz w:val="24"/>
          <w:szCs w:val="24"/>
          <w:highlight w:val="none"/>
          <w:lang w:val="en-US" w:eastAsia="zh-CN" w:bidi="ar-SA"/>
        </w:rPr>
        <w:t>：2026～2027年度消防设施维保及检测服务项目</w:t>
      </w:r>
      <w:r>
        <w:rPr>
          <w:rFonts w:hint="eastAsia" w:cs="宋体"/>
          <w:color w:val="auto"/>
          <w:sz w:val="24"/>
          <w:szCs w:val="24"/>
          <w:highlight w:val="none"/>
          <w:lang w:val="en-US" w:eastAsia="zh-CN" w:bidi="ar-SA"/>
        </w:rPr>
        <w:t>；</w:t>
      </w:r>
    </w:p>
    <w:p w14:paraId="7C13F7DD">
      <w:pPr>
        <w:keepNext w:val="0"/>
        <w:keepLines w:val="0"/>
        <w:pageBreakBefore w:val="0"/>
        <w:widowControl w:val="0"/>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bidi="ar-SA"/>
        </w:rPr>
        <w:t>内容：按照《社会消防技术服务管理规定》及福建消防技术服务信息平台相关要求开展消防设施维护保养及检测提供技术服务。本次招标包含福建福海创石油化工有限公司、腾龙芳烃（漳州）有限公司、翔鹭码头投资管理（漳州）有限公司及福建省福化古蕾化学有限公司，各公司涵盖项目</w:t>
      </w:r>
      <w:r>
        <w:rPr>
          <w:rFonts w:hint="eastAsia" w:cs="宋体"/>
          <w:color w:val="auto"/>
          <w:sz w:val="24"/>
          <w:szCs w:val="24"/>
          <w:highlight w:val="none"/>
          <w:lang w:val="en-US" w:eastAsia="zh-CN" w:bidi="ar-SA"/>
        </w:rPr>
        <w:t>及</w:t>
      </w:r>
      <w:r>
        <w:rPr>
          <w:rFonts w:hint="eastAsia" w:ascii="宋体" w:hAnsi="宋体" w:eastAsia="宋体" w:cs="宋体"/>
          <w:color w:val="auto"/>
          <w:sz w:val="24"/>
          <w:szCs w:val="24"/>
          <w:highlight w:val="none"/>
          <w:lang w:val="en-US" w:eastAsia="zh-CN" w:bidi="ar-SA"/>
        </w:rPr>
        <w:t>要求</w:t>
      </w:r>
      <w:r>
        <w:rPr>
          <w:rFonts w:hint="eastAsia" w:cs="宋体"/>
          <w:color w:val="auto"/>
          <w:sz w:val="24"/>
          <w:szCs w:val="24"/>
          <w:highlight w:val="none"/>
          <w:lang w:val="en-US" w:eastAsia="zh-CN" w:bidi="ar-SA"/>
        </w:rPr>
        <w:t>详</w:t>
      </w:r>
      <w:r>
        <w:rPr>
          <w:rFonts w:hint="eastAsia" w:ascii="宋体" w:hAnsi="宋体" w:eastAsia="宋体" w:cs="宋体"/>
          <w:color w:val="auto"/>
          <w:sz w:val="24"/>
          <w:szCs w:val="24"/>
          <w:highlight w:val="none"/>
          <w:lang w:val="en-US" w:eastAsia="zh-CN" w:bidi="ar-SA"/>
        </w:rPr>
        <w:t>见附件《消防设施维保及检测发包方案》。</w:t>
      </w:r>
    </w:p>
    <w:p w14:paraId="55E68131">
      <w:pPr>
        <w:widowControl/>
        <w:spacing w:line="360" w:lineRule="auto"/>
        <w:ind w:left="837" w:leftChars="218" w:hanging="357" w:hangingChars="149"/>
        <w:rPr>
          <w:rFonts w:hint="eastAsia" w:ascii="宋体" w:hAnsi="宋体" w:eastAsia="宋体" w:cs="宋体"/>
          <w:i w:val="0"/>
          <w:iCs w:val="0"/>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cs="宋体"/>
          <w:color w:val="auto"/>
          <w:sz w:val="24"/>
          <w:szCs w:val="24"/>
          <w:highlight w:val="none"/>
          <w:lang w:val="en-US" w:eastAsia="zh-CN"/>
        </w:rPr>
        <w:t xml:space="preserve"> 项目</w:t>
      </w:r>
      <w:r>
        <w:rPr>
          <w:rFonts w:hint="eastAsia" w:cs="宋体"/>
          <w:b/>
          <w:bCs/>
          <w:color w:val="auto"/>
          <w:sz w:val="24"/>
          <w:szCs w:val="24"/>
          <w:highlight w:val="none"/>
          <w:lang w:val="en-US" w:eastAsia="zh-CN"/>
        </w:rPr>
        <w:t>两年</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lang w:eastAsia="zh-CN"/>
        </w:rPr>
        <w:t>控制</w:t>
      </w:r>
      <w:r>
        <w:rPr>
          <w:rFonts w:hint="eastAsia" w:cs="宋体"/>
          <w:b/>
          <w:bCs/>
          <w:color w:val="auto"/>
          <w:sz w:val="24"/>
          <w:szCs w:val="24"/>
          <w:highlight w:val="none"/>
          <w:lang w:val="en-US" w:eastAsia="zh-CN"/>
        </w:rPr>
        <w:t>总价</w:t>
      </w:r>
      <w:r>
        <w:rPr>
          <w:rFonts w:hint="eastAsia" w:cs="宋体"/>
          <w:color w:val="auto"/>
          <w:sz w:val="24"/>
          <w:szCs w:val="24"/>
          <w:highlight w:val="none"/>
          <w:lang w:val="en-US" w:eastAsia="zh-CN"/>
        </w:rPr>
        <w:t>：182万元（含税）；需以福建福海创石油化工有限公司、腾龙芳烃（漳州）有限公司、翔鹭码头投资管理（漳州）有限公司、福建省福化古蕾化学有限公司四家公司分别报价，这4家公司</w:t>
      </w:r>
      <w:r>
        <w:rPr>
          <w:rFonts w:hint="eastAsia" w:cs="宋体"/>
          <w:b/>
          <w:bCs/>
          <w:color w:val="auto"/>
          <w:sz w:val="24"/>
          <w:szCs w:val="24"/>
          <w:highlight w:val="none"/>
          <w:lang w:val="en-US" w:eastAsia="zh-CN"/>
        </w:rPr>
        <w:t>两年</w:t>
      </w:r>
      <w:r>
        <w:rPr>
          <w:rFonts w:hint="eastAsia" w:cs="宋体"/>
          <w:color w:val="auto"/>
          <w:sz w:val="24"/>
          <w:szCs w:val="24"/>
          <w:highlight w:val="none"/>
          <w:lang w:val="en-US" w:eastAsia="zh-CN"/>
        </w:rPr>
        <w:t>控制</w:t>
      </w:r>
      <w:r>
        <w:rPr>
          <w:rFonts w:hint="eastAsia" w:cs="宋体"/>
          <w:b/>
          <w:bCs/>
          <w:color w:val="auto"/>
          <w:sz w:val="24"/>
          <w:szCs w:val="24"/>
          <w:highlight w:val="none"/>
          <w:lang w:val="en-US" w:eastAsia="zh-CN"/>
        </w:rPr>
        <w:t>总价</w:t>
      </w:r>
      <w:r>
        <w:rPr>
          <w:rFonts w:hint="eastAsia" w:cs="宋体"/>
          <w:color w:val="auto"/>
          <w:sz w:val="24"/>
          <w:szCs w:val="24"/>
          <w:highlight w:val="none"/>
          <w:lang w:val="en-US" w:eastAsia="zh-CN"/>
        </w:rPr>
        <w:t>分别为福海创132万元、腾龙芳烃24万元、翔鹭码头12万元、古蕾化学14万元。参比人所填报的参比价高于各项控制总价，视为未实质性响应参比文件要求，作无效标处理。</w:t>
      </w:r>
    </w:p>
    <w:p w14:paraId="14D02E2F">
      <w:pPr>
        <w:widowControl/>
        <w:spacing w:line="360" w:lineRule="auto"/>
        <w:ind w:firstLine="480" w:firstLineChars="200"/>
        <w:rPr>
          <w:rFonts w:hint="eastAsia" w:ascii="宋体" w:hAnsi="宋体" w:eastAsia="宋体" w:cs="宋体"/>
          <w:b w:val="0"/>
          <w:bCs w:val="0"/>
          <w:i/>
          <w:iCs/>
          <w:color w:val="auto"/>
          <w:sz w:val="24"/>
          <w:szCs w:val="24"/>
          <w:highlight w:val="none"/>
          <w:lang w:eastAsia="zh-CN"/>
        </w:rPr>
      </w:pPr>
      <w:r>
        <w:rPr>
          <w:rFonts w:hint="eastAsia" w:ascii="宋体" w:hAnsi="宋体" w:eastAsia="宋体" w:cs="宋体"/>
          <w:b w:val="0"/>
          <w:bCs w:val="0"/>
          <w:i w:val="0"/>
          <w:iCs w:val="0"/>
          <w:caps w:val="0"/>
          <w:color w:val="auto"/>
          <w:spacing w:val="0"/>
          <w:sz w:val="24"/>
          <w:szCs w:val="24"/>
          <w:highlight w:val="none"/>
          <w:shd w:val="clear" w:fill="F9FBFF"/>
          <w:lang w:val="en-US" w:eastAsia="zh-CN"/>
        </w:rPr>
        <w:t>4</w:t>
      </w:r>
      <w:r>
        <w:rPr>
          <w:rFonts w:hint="eastAsia" w:cs="宋体"/>
          <w:b w:val="0"/>
          <w:bCs w:val="0"/>
          <w:i w:val="0"/>
          <w:iCs w:val="0"/>
          <w:caps w:val="0"/>
          <w:color w:val="auto"/>
          <w:spacing w:val="0"/>
          <w:sz w:val="24"/>
          <w:szCs w:val="24"/>
          <w:highlight w:val="none"/>
          <w:shd w:val="clear" w:fill="F9FBFF"/>
          <w:lang w:val="en-US" w:eastAsia="zh-CN"/>
        </w:rPr>
        <w:t xml:space="preserve">. </w:t>
      </w:r>
      <w:r>
        <w:rPr>
          <w:rFonts w:hint="eastAsia" w:ascii="宋体" w:hAnsi="宋体" w:eastAsia="宋体" w:cs="宋体"/>
          <w:b w:val="0"/>
          <w:bCs w:val="0"/>
          <w:i w:val="0"/>
          <w:iCs w:val="0"/>
          <w:caps w:val="0"/>
          <w:color w:val="auto"/>
          <w:spacing w:val="0"/>
          <w:sz w:val="24"/>
          <w:szCs w:val="24"/>
          <w:highlight w:val="none"/>
          <w:shd w:val="clear" w:fill="F9FBFF"/>
        </w:rPr>
        <w:t>合同</w:t>
      </w:r>
      <w:r>
        <w:rPr>
          <w:rFonts w:hint="eastAsia" w:ascii="宋体" w:hAnsi="宋体" w:eastAsia="宋体" w:cs="宋体"/>
          <w:b w:val="0"/>
          <w:bCs w:val="0"/>
          <w:i w:val="0"/>
          <w:iCs w:val="0"/>
          <w:caps w:val="0"/>
          <w:color w:val="auto"/>
          <w:spacing w:val="0"/>
          <w:sz w:val="24"/>
          <w:szCs w:val="24"/>
          <w:highlight w:val="none"/>
          <w:shd w:val="clear" w:fill="F9FBFF"/>
          <w:lang w:val="en-US" w:eastAsia="zh-CN"/>
        </w:rPr>
        <w:t>期限：</w:t>
      </w:r>
      <w:r>
        <w:rPr>
          <w:rFonts w:hint="eastAsia" w:cs="宋体"/>
          <w:b w:val="0"/>
          <w:bCs w:val="0"/>
          <w:i w:val="0"/>
          <w:iCs w:val="0"/>
          <w:caps w:val="0"/>
          <w:color w:val="auto"/>
          <w:spacing w:val="0"/>
          <w:sz w:val="24"/>
          <w:szCs w:val="24"/>
          <w:highlight w:val="none"/>
          <w:shd w:val="clear" w:fill="F9FBFF"/>
          <w:lang w:val="en-US" w:eastAsia="zh-CN"/>
        </w:rPr>
        <w:t>自2026年1月1日至2027年12月31日止</w:t>
      </w:r>
      <w:r>
        <w:rPr>
          <w:rFonts w:hint="eastAsia" w:ascii="宋体" w:hAnsi="宋体" w:eastAsia="宋体" w:cs="宋体"/>
          <w:b w:val="0"/>
          <w:bCs w:val="0"/>
          <w:i w:val="0"/>
          <w:iCs w:val="0"/>
          <w:caps w:val="0"/>
          <w:color w:val="auto"/>
          <w:spacing w:val="0"/>
          <w:sz w:val="24"/>
          <w:szCs w:val="24"/>
          <w:highlight w:val="none"/>
          <w:shd w:val="clear" w:fill="F9FBFF"/>
          <w:lang w:val="en-US" w:eastAsia="zh-CN"/>
        </w:rPr>
        <w:t>。</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二、参比人资格要求</w:t>
      </w:r>
    </w:p>
    <w:p w14:paraId="43AB14BF">
      <w:pPr>
        <w:keepNext w:val="0"/>
        <w:keepLines w:val="0"/>
        <w:pageBreakBefore w:val="0"/>
        <w:widowControl w:val="0"/>
        <w:kinsoku/>
        <w:wordWrap/>
        <w:overflowPunct/>
        <w:topLinePunct w:val="0"/>
        <w:autoSpaceDE w:val="0"/>
        <w:autoSpaceDN w:val="0"/>
        <w:bidi w:val="0"/>
        <w:adjustRightInd/>
        <w:snapToGrid/>
        <w:spacing w:line="360" w:lineRule="auto"/>
        <w:ind w:left="845" w:leftChars="225" w:hanging="350" w:hangingChars="14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参比人必须具备在中华人民共和国境内注册、具有独立承担民事责任能力的企业法人；</w:t>
      </w:r>
    </w:p>
    <w:p w14:paraId="7A97E46D">
      <w:pPr>
        <w:pStyle w:val="73"/>
        <w:spacing w:line="360" w:lineRule="auto"/>
        <w:ind w:left="845" w:leftChars="225" w:hanging="350" w:hangingChars="146"/>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bidi="ar-SA"/>
        </w:rPr>
        <w:t>.</w:t>
      </w:r>
      <w:r>
        <w:rPr>
          <w:rFonts w:hint="eastAsia" w:hAnsi="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eastAsia="zh-CN"/>
        </w:rPr>
        <w:t>参比人</w:t>
      </w:r>
      <w:r>
        <w:rPr>
          <w:rFonts w:hint="eastAsia" w:ascii="宋体" w:hAnsi="宋体" w:eastAsia="宋体" w:cs="宋体"/>
          <w:color w:val="auto"/>
          <w:sz w:val="24"/>
          <w:szCs w:val="24"/>
          <w:highlight w:val="none"/>
          <w:lang w:val="en-US" w:eastAsia="zh-CN" w:bidi="ar-SA"/>
        </w:rPr>
        <w:t>具有营业执照、税务登记证、组织机构代码证，或按照“三证合一”登记制度登记，执照有效；营业执照经营范围必须</w:t>
      </w:r>
      <w:r>
        <w:rPr>
          <w:rFonts w:hint="eastAsia" w:hAnsi="宋体" w:cs="宋体"/>
          <w:color w:val="auto"/>
          <w:sz w:val="24"/>
          <w:szCs w:val="24"/>
          <w:highlight w:val="none"/>
          <w:lang w:val="en-US" w:eastAsia="zh-CN" w:bidi="ar-SA"/>
        </w:rPr>
        <w:t>具有</w:t>
      </w:r>
      <w:r>
        <w:rPr>
          <w:rFonts w:hint="eastAsia" w:hAnsi="宋体" w:cs="宋体"/>
          <w:b/>
          <w:bCs/>
          <w:color w:val="auto"/>
          <w:sz w:val="24"/>
          <w:szCs w:val="24"/>
          <w:highlight w:val="none"/>
          <w:lang w:val="en-US" w:eastAsia="zh-CN" w:bidi="ar-SA"/>
        </w:rPr>
        <w:t>消防技术服务</w:t>
      </w:r>
      <w:r>
        <w:rPr>
          <w:rFonts w:hint="eastAsia" w:ascii="宋体" w:hAnsi="宋体" w:eastAsia="宋体" w:cs="宋体"/>
          <w:color w:val="auto"/>
          <w:sz w:val="24"/>
          <w:szCs w:val="24"/>
          <w:highlight w:val="none"/>
          <w:lang w:val="en-US" w:eastAsia="zh-CN" w:bidi="ar-SA"/>
        </w:rPr>
        <w:t>，所有材料复印件需加盖公章；</w:t>
      </w:r>
    </w:p>
    <w:p w14:paraId="3023338B">
      <w:pPr>
        <w:pStyle w:val="73"/>
        <w:spacing w:line="360" w:lineRule="auto"/>
        <w:ind w:left="845" w:leftChars="225" w:hanging="350" w:hangingChars="146"/>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参比人</w:t>
      </w:r>
      <w:r>
        <w:rPr>
          <w:rFonts w:hint="eastAsia" w:ascii="宋体" w:hAnsi="宋体" w:eastAsia="宋体" w:cs="宋体"/>
          <w:color w:val="auto"/>
          <w:sz w:val="24"/>
          <w:szCs w:val="24"/>
          <w:highlight w:val="none"/>
          <w:lang w:val="en-US" w:eastAsia="zh-CN" w:bidi="ar-SA"/>
        </w:rPr>
        <w:t>在福建消防的“福建消防技术服务信息平台”维护保养检测机构评定为“三星及以上”的服务机构；</w:t>
      </w:r>
    </w:p>
    <w:p w14:paraId="6A8358DA">
      <w:pPr>
        <w:pStyle w:val="73"/>
        <w:spacing w:line="360" w:lineRule="auto"/>
        <w:ind w:left="845" w:leftChars="225" w:hanging="350" w:hangingChars="146"/>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 xml:space="preserve">4. </w:t>
      </w:r>
      <w:r>
        <w:rPr>
          <w:rFonts w:hint="eastAsia" w:ascii="宋体" w:hAnsi="宋体" w:eastAsia="宋体" w:cs="宋体"/>
          <w:color w:val="auto"/>
          <w:sz w:val="24"/>
          <w:szCs w:val="24"/>
          <w:highlight w:val="none"/>
          <w:lang w:eastAsia="zh-CN"/>
        </w:rPr>
        <w:t>参比人</w:t>
      </w:r>
      <w:r>
        <w:rPr>
          <w:rFonts w:hint="eastAsia" w:ascii="宋体" w:hAnsi="宋体" w:eastAsia="宋体" w:cs="宋体"/>
          <w:color w:val="auto"/>
          <w:sz w:val="24"/>
          <w:szCs w:val="24"/>
          <w:highlight w:val="none"/>
          <w:lang w:val="en-US" w:eastAsia="zh-CN" w:bidi="ar-SA"/>
        </w:rPr>
        <w:t>的技术负责人应具有一级注册消防工程师资格证书，并提供相应至少一年本公司的社保交纳证明文件并加盖公章；</w:t>
      </w:r>
    </w:p>
    <w:p w14:paraId="052ECE51">
      <w:pPr>
        <w:pStyle w:val="73"/>
        <w:spacing w:line="360" w:lineRule="auto"/>
        <w:ind w:left="845" w:leftChars="225" w:hanging="350" w:hangingChars="146"/>
        <w:rPr>
          <w:rFonts w:hint="eastAsia" w:ascii="宋体" w:hAnsi="宋体" w:eastAsia="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 xml:space="preserve">5. </w:t>
      </w:r>
      <w:r>
        <w:rPr>
          <w:rFonts w:hint="eastAsia" w:ascii="宋体" w:hAnsi="宋体" w:eastAsia="宋体" w:cs="宋体"/>
          <w:color w:val="auto"/>
          <w:sz w:val="24"/>
          <w:szCs w:val="24"/>
          <w:highlight w:val="none"/>
          <w:lang w:eastAsia="zh-CN"/>
        </w:rPr>
        <w:t>参比人</w:t>
      </w:r>
      <w:r>
        <w:rPr>
          <w:rFonts w:hint="eastAsia" w:ascii="宋体" w:hAnsi="宋体" w:eastAsia="宋体" w:cs="宋体"/>
          <w:color w:val="auto"/>
          <w:sz w:val="24"/>
          <w:szCs w:val="24"/>
          <w:highlight w:val="none"/>
          <w:lang w:val="en-US" w:eastAsia="zh-CN" w:bidi="ar-SA"/>
        </w:rPr>
        <w:t>的现场维保检测人员须全部具有中级消防设施操作员资格证书（职业方向为消防设施检测维修保养），其中至少有两名同时持有电工证，并提供本公司的社保交纳证明文件并加盖公章；</w:t>
      </w:r>
    </w:p>
    <w:p w14:paraId="7DD2A4E7">
      <w:pPr>
        <w:pStyle w:val="73"/>
        <w:spacing w:line="360" w:lineRule="auto"/>
        <w:ind w:left="845" w:leftChars="225" w:hanging="350" w:hangingChars="146"/>
        <w:rPr>
          <w:rFonts w:hint="eastAsia" w:ascii="宋体" w:hAnsi="宋体" w:eastAsia="宋体" w:cs="宋体"/>
          <w:color w:val="auto"/>
          <w:sz w:val="24"/>
          <w:szCs w:val="24"/>
          <w:highlight w:val="none"/>
          <w:shd w:val="clear" w:color="auto" w:fill="FFFFFF"/>
        </w:rPr>
      </w:pPr>
      <w:r>
        <w:rPr>
          <w:rFonts w:hint="eastAsia" w:hAnsi="宋体" w:cs="宋体"/>
          <w:color w:val="auto"/>
          <w:sz w:val="24"/>
          <w:szCs w:val="24"/>
          <w:highlight w:val="none"/>
          <w:lang w:val="en-US" w:eastAsia="zh-CN" w:bidi="ar-SA"/>
        </w:rPr>
        <w:t xml:space="preserve">6. </w:t>
      </w:r>
      <w:r>
        <w:rPr>
          <w:rFonts w:hint="eastAsia" w:ascii="宋体" w:hAnsi="宋体" w:eastAsia="宋体" w:cs="宋体"/>
          <w:color w:val="auto"/>
          <w:sz w:val="24"/>
          <w:szCs w:val="24"/>
          <w:highlight w:val="none"/>
          <w:lang w:eastAsia="zh-CN"/>
        </w:rPr>
        <w:t>参比人</w:t>
      </w:r>
      <w:r>
        <w:rPr>
          <w:rFonts w:hint="eastAsia" w:ascii="宋体" w:hAnsi="宋体" w:eastAsia="宋体" w:cs="宋体"/>
          <w:color w:val="auto"/>
          <w:sz w:val="24"/>
          <w:szCs w:val="24"/>
          <w:highlight w:val="none"/>
          <w:lang w:val="en-US" w:eastAsia="zh-CN" w:bidi="ar-SA"/>
        </w:rPr>
        <w:t>提供近三年的维保检测业绩，至少一家石油化工行业项目的消防维保及检测业绩，需提供业绩合同复印件</w:t>
      </w:r>
      <w:r>
        <w:rPr>
          <w:rFonts w:hint="eastAsia" w:hAnsi="宋体" w:cs="宋体"/>
          <w:color w:val="auto"/>
          <w:sz w:val="24"/>
          <w:szCs w:val="24"/>
          <w:highlight w:val="none"/>
          <w:lang w:val="en-US" w:eastAsia="zh-CN" w:bidi="ar-SA"/>
        </w:rPr>
        <w:t>及</w:t>
      </w:r>
      <w:r>
        <w:rPr>
          <w:rFonts w:hint="eastAsia" w:hAnsi="宋体" w:cs="宋体"/>
          <w:b/>
          <w:bCs/>
          <w:color w:val="auto"/>
          <w:sz w:val="24"/>
          <w:szCs w:val="24"/>
          <w:highlight w:val="none"/>
          <w:lang w:val="en-US" w:eastAsia="zh-CN" w:bidi="ar-SA"/>
        </w:rPr>
        <w:t>发票</w:t>
      </w:r>
      <w:r>
        <w:rPr>
          <w:rFonts w:hint="eastAsia" w:hAnsi="宋体" w:cs="宋体"/>
          <w:color w:val="auto"/>
          <w:sz w:val="24"/>
          <w:szCs w:val="24"/>
          <w:highlight w:val="none"/>
          <w:lang w:val="en-US" w:eastAsia="zh-CN" w:bidi="ar-SA"/>
        </w:rPr>
        <w:t>并</w:t>
      </w:r>
      <w:r>
        <w:rPr>
          <w:rFonts w:hint="eastAsia" w:ascii="宋体" w:hAnsi="宋体" w:eastAsia="宋体" w:cs="宋体"/>
          <w:color w:val="auto"/>
          <w:sz w:val="24"/>
          <w:szCs w:val="24"/>
          <w:highlight w:val="none"/>
          <w:lang w:val="en-US" w:eastAsia="zh-CN" w:bidi="ar-SA"/>
        </w:rPr>
        <w:t>加盖公章。</w:t>
      </w:r>
    </w:p>
    <w:p w14:paraId="7B61552E">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left="772" w:leftChars="227" w:hanging="273" w:hangingChars="11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单位负责人为同一人或者存在控股、管理关系的不同单位，不得同时参加本项目</w:t>
      </w:r>
      <w:r>
        <w:rPr>
          <w:rFonts w:hint="eastAsia" w:cs="宋体"/>
          <w:color w:val="auto"/>
          <w:sz w:val="24"/>
          <w:szCs w:val="24"/>
          <w:highlight w:val="none"/>
          <w:lang w:eastAsia="zh-CN"/>
        </w:rPr>
        <w:t>。</w:t>
      </w:r>
    </w:p>
    <w:p w14:paraId="600DBF65">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left="772" w:leftChars="227" w:hanging="273" w:hangingChars="11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参比人没有失信黑名单记录（以最高院失信被执行人系统发布信息为准）</w:t>
      </w:r>
      <w:r>
        <w:rPr>
          <w:rFonts w:hint="eastAsia" w:cs="宋体"/>
          <w:color w:val="auto"/>
          <w:sz w:val="24"/>
          <w:szCs w:val="24"/>
          <w:highlight w:val="none"/>
          <w:lang w:eastAsia="zh-CN"/>
        </w:rPr>
        <w:t>。</w:t>
      </w:r>
    </w:p>
    <w:p w14:paraId="0A745EEF">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left="772" w:leftChars="227" w:hanging="273" w:hangingChars="11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参比人与采购人无诉讼纠纷；</w:t>
      </w:r>
    </w:p>
    <w:p w14:paraId="2D6AB71D">
      <w:pPr>
        <w:keepNext w:val="0"/>
        <w:keepLines w:val="0"/>
        <w:pageBreakBefore w:val="0"/>
        <w:widowControl w:val="0"/>
        <w:numPr>
          <w:ilvl w:val="0"/>
          <w:numId w:val="7"/>
        </w:numPr>
        <w:kinsoku/>
        <w:wordWrap/>
        <w:overflowPunct/>
        <w:topLinePunct w:val="0"/>
        <w:autoSpaceDE w:val="0"/>
        <w:autoSpaceDN w:val="0"/>
        <w:bidi w:val="0"/>
        <w:adjustRightInd/>
        <w:snapToGrid/>
        <w:spacing w:line="360" w:lineRule="auto"/>
        <w:ind w:left="772" w:leftChars="227" w:hanging="273" w:hangingChars="11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本项目不接受联合体参比</w:t>
      </w:r>
      <w:r>
        <w:rPr>
          <w:rFonts w:hint="eastAsia" w:cs="宋体"/>
          <w:color w:val="auto"/>
          <w:sz w:val="24"/>
          <w:szCs w:val="24"/>
          <w:highlight w:val="none"/>
          <w:lang w:eastAsia="zh-CN"/>
        </w:rPr>
        <w:t>。</w:t>
      </w:r>
    </w:p>
    <w:p w14:paraId="77CAD7A2">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三、获取采购文件</w:t>
      </w:r>
    </w:p>
    <w:p w14:paraId="2D99866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凡有意愿参加的单位，请在 http://nhygcg.fjshgx.com/(福建能化阳光采购平台)上免费注册，即可下载电子采购文件；或在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"http://www.fhcpec.com.cn/"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http://www.fhcpec.com.cn/</w:t>
      </w:r>
      <w:r>
        <w:rPr>
          <w:rStyle w:val="52"/>
          <w:rFonts w:hint="eastAsia" w:ascii="宋体" w:hAnsi="宋体" w:eastAsia="宋体" w:cs="宋体"/>
          <w:color w:val="auto"/>
          <w:sz w:val="24"/>
          <w:szCs w:val="24"/>
          <w:highlight w:val="none"/>
        </w:rPr>
        <w:fldChar w:fldCharType="end"/>
      </w:r>
      <w:r>
        <w:rPr>
          <w:rStyle w:val="52"/>
          <w:rFonts w:hint="eastAsia" w:ascii="宋体" w:hAnsi="宋体" w:eastAsia="宋体" w:cs="宋体"/>
          <w:color w:val="auto"/>
          <w:sz w:val="24"/>
          <w:szCs w:val="24"/>
          <w:highlight w:val="none"/>
        </w:rPr>
        <w:t>自行下载。</w:t>
      </w:r>
    </w:p>
    <w:p w14:paraId="46E7BC6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 本项目不收取文件下载费用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（特别声明：未进行登记报名的参比人，其递交的参比文件将被拒收。）</w:t>
      </w:r>
    </w:p>
    <w:p w14:paraId="3DBD73B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四、报名</w:t>
      </w:r>
      <w:r>
        <w:rPr>
          <w:rFonts w:hint="eastAsia" w:ascii="宋体" w:hAnsi="宋体" w:eastAsia="宋体" w:cs="宋体"/>
          <w:b/>
          <w:snapToGrid w:val="0"/>
          <w:color w:val="auto"/>
          <w:spacing w:val="8"/>
          <w:sz w:val="24"/>
          <w:szCs w:val="24"/>
          <w:highlight w:val="none"/>
          <w:lang w:val="en-US" w:eastAsia="zh-CN"/>
        </w:rPr>
        <w:t>时间</w:t>
      </w:r>
      <w:r>
        <w:rPr>
          <w:rFonts w:hint="eastAsia" w:ascii="宋体" w:hAnsi="宋体" w:eastAsia="宋体" w:cs="宋体"/>
          <w:b/>
          <w:snapToGrid w:val="0"/>
          <w:color w:val="auto"/>
          <w:spacing w:val="8"/>
          <w:sz w:val="24"/>
          <w:szCs w:val="24"/>
          <w:highlight w:val="none"/>
        </w:rPr>
        <w:t>及报</w:t>
      </w:r>
      <w:r>
        <w:rPr>
          <w:rFonts w:hint="eastAsia" w:ascii="宋体" w:hAnsi="宋体" w:eastAsia="宋体" w:cs="宋体"/>
          <w:b/>
          <w:snapToGrid w:val="0"/>
          <w:color w:val="auto"/>
          <w:spacing w:val="8"/>
          <w:sz w:val="24"/>
          <w:szCs w:val="24"/>
          <w:highlight w:val="none"/>
          <w:lang w:val="en-US" w:eastAsia="zh-CN"/>
        </w:rPr>
        <w:t>名</w:t>
      </w:r>
      <w:r>
        <w:rPr>
          <w:rFonts w:hint="eastAsia" w:ascii="宋体" w:hAnsi="宋体" w:eastAsia="宋体" w:cs="宋体"/>
          <w:b/>
          <w:snapToGrid w:val="0"/>
          <w:color w:val="auto"/>
          <w:spacing w:val="8"/>
          <w:sz w:val="24"/>
          <w:szCs w:val="24"/>
          <w:highlight w:val="none"/>
        </w:rPr>
        <w:t>方式</w:t>
      </w:r>
    </w:p>
    <w:p w14:paraId="12C0E92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报名时间：自公告之日</w:t>
      </w:r>
      <w:r>
        <w:rPr>
          <w:rFonts w:hint="eastAsia" w:ascii="宋体" w:hAnsi="宋体" w:eastAsia="宋体" w:cs="宋体"/>
          <w:color w:val="auto"/>
          <w:sz w:val="24"/>
          <w:szCs w:val="24"/>
          <w:highlight w:val="none"/>
          <w:lang w:eastAsia="zh-CN"/>
        </w:rPr>
        <w:t>起</w:t>
      </w:r>
      <w:r>
        <w:rPr>
          <w:rFonts w:hint="eastAsia" w:cs="宋体"/>
          <w:color w:val="auto"/>
          <w:sz w:val="24"/>
          <w:szCs w:val="24"/>
          <w:highlight w:val="none"/>
          <w:lang w:val="en-US" w:eastAsia="zh-CN"/>
        </w:rPr>
        <w:t>10天</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含当日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（即截止至2025年11月28日）</w:t>
      </w:r>
      <w:r>
        <w:rPr>
          <w:rFonts w:hint="eastAsia" w:ascii="宋体" w:hAnsi="宋体" w:eastAsia="宋体" w:cs="宋体"/>
          <w:color w:val="auto"/>
          <w:sz w:val="24"/>
          <w:szCs w:val="24"/>
          <w:highlight w:val="none"/>
        </w:rPr>
        <w:t>，公</w:t>
      </w:r>
      <w:r>
        <w:rPr>
          <w:rFonts w:hint="eastAsia" w:cs="宋体"/>
          <w:color w:val="auto"/>
          <w:sz w:val="24"/>
          <w:szCs w:val="24"/>
          <w:highlight w:val="none"/>
          <w:lang w:val="en-US" w:eastAsia="zh-CN"/>
        </w:rPr>
        <w:t>告</w:t>
      </w:r>
      <w:r>
        <w:rPr>
          <w:rFonts w:hint="eastAsia" w:ascii="宋体" w:hAnsi="宋体" w:eastAsia="宋体" w:cs="宋体"/>
          <w:color w:val="auto"/>
          <w:sz w:val="24"/>
          <w:szCs w:val="24"/>
          <w:highlight w:val="none"/>
        </w:rPr>
        <w:t>期间请有意向参选人联系采购人进行实地勘察及技术交流澄清。</w:t>
      </w:r>
    </w:p>
    <w:p w14:paraId="75CE385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报名方式：参比人在报名时间内将报名文件发送至邮箱huangmq@fjpec.com.cn，报名文件包含：</w:t>
      </w:r>
    </w:p>
    <w:p w14:paraId="4DB95DE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（1）法定代表人身份证复印件（正反面）（加盖单位公章的扫描件）；</w:t>
      </w:r>
    </w:p>
    <w:p w14:paraId="653EEE7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（2）营业执照（加盖单位公章的扫描件）。</w:t>
      </w:r>
    </w:p>
    <w:p w14:paraId="7E4D844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3）法人授权书（法人签字及盖章）</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参比文件递交地点：漳州市漳浦县杜浔镇杜昌路9号，福海创办公楼三楼综合采购团队，黄梅钦0596-6311073。</w:t>
      </w:r>
    </w:p>
    <w:p w14:paraId="4D967E60">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参比文件递交截止时间（以送达时间为准）：自公告之日</w:t>
      </w:r>
      <w:r>
        <w:rPr>
          <w:rFonts w:hint="eastAsia" w:ascii="宋体" w:hAnsi="宋体" w:eastAsia="宋体" w:cs="宋体"/>
          <w:color w:val="auto"/>
          <w:sz w:val="24"/>
          <w:szCs w:val="24"/>
          <w:highlight w:val="none"/>
          <w:lang w:eastAsia="zh-CN"/>
        </w:rPr>
        <w:t>起</w:t>
      </w:r>
      <w:r>
        <w:rPr>
          <w:rFonts w:hint="eastAsia" w:cs="宋体"/>
          <w:color w:val="auto"/>
          <w:sz w:val="24"/>
          <w:szCs w:val="24"/>
          <w:highlight w:val="none"/>
          <w:lang w:val="en-US" w:eastAsia="zh-CN"/>
        </w:rPr>
        <w:t>12天</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含当日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（即截止至2025年11月30日）</w:t>
      </w:r>
      <w:r>
        <w:rPr>
          <w:rFonts w:hint="eastAsia" w:ascii="宋体" w:hAnsi="宋体" w:eastAsia="宋体" w:cs="宋体"/>
          <w:color w:val="auto"/>
          <w:sz w:val="24"/>
          <w:szCs w:val="24"/>
          <w:highlight w:val="none"/>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六、发布公告的媒介：</w:t>
      </w:r>
      <w:r>
        <w:rPr>
          <w:rStyle w:val="52"/>
          <w:rFonts w:hint="eastAsia" w:ascii="宋体" w:hAnsi="宋体" w:eastAsia="宋体" w:cs="宋体"/>
          <w:color w:val="auto"/>
          <w:sz w:val="24"/>
          <w:szCs w:val="24"/>
          <w:highlight w:val="none"/>
        </w:rPr>
        <w:t>http://nhygcg.fjshgx.com/</w:t>
      </w:r>
      <w:r>
        <w:rPr>
          <w:rFonts w:hint="eastAsia" w:ascii="宋体" w:hAnsi="宋体" w:eastAsia="宋体" w:cs="宋体"/>
          <w:color w:val="auto"/>
          <w:sz w:val="24"/>
          <w:szCs w:val="24"/>
          <w:highlight w:val="none"/>
        </w:rPr>
        <w:t>(福建能化阳光采购平台)和</w:t>
      </w:r>
      <w:r>
        <w:rPr>
          <w:rStyle w:val="52"/>
          <w:rFonts w:hint="eastAsia" w:ascii="宋体" w:hAnsi="宋体" w:eastAsia="宋体" w:cs="宋体"/>
          <w:color w:val="auto"/>
          <w:sz w:val="24"/>
          <w:szCs w:val="24"/>
          <w:highlight w:val="none"/>
        </w:rPr>
        <w:t xml:space="preserve">http://www.fhcpec.com.cn/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"http://www.fhcpec.com.cn/"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福建福海创石油化工有限公司</w:t>
      </w:r>
      <w:r>
        <w:rPr>
          <w:rStyle w:val="52"/>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5C4CA9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、本项目采用综合评分办法，经技术评选和商务评选后选择综合总分最高者作为中选单位，技术部分</w:t>
      </w:r>
      <w:r>
        <w:rPr>
          <w:rFonts w:hint="eastAsia" w:cs="宋体"/>
          <w:color w:val="auto"/>
          <w:sz w:val="24"/>
          <w:szCs w:val="24"/>
          <w:highlight w:val="none"/>
          <w:lang w:eastAsia="zh-CN"/>
        </w:rPr>
        <w:t>、</w:t>
      </w:r>
      <w:r>
        <w:rPr>
          <w:rFonts w:hint="eastAsia" w:cs="宋体"/>
          <w:color w:val="auto"/>
          <w:sz w:val="24"/>
          <w:szCs w:val="24"/>
          <w:highlight w:val="none"/>
          <w:lang w:val="en-US" w:eastAsia="zh-CN"/>
        </w:rPr>
        <w:t>商务部分、</w:t>
      </w:r>
      <w:r>
        <w:rPr>
          <w:rFonts w:hint="eastAsia" w:ascii="宋体" w:hAnsi="宋体" w:eastAsia="宋体" w:cs="宋体"/>
          <w:color w:val="auto"/>
          <w:sz w:val="24"/>
          <w:szCs w:val="24"/>
          <w:highlight w:val="none"/>
          <w:lang w:val="en-US" w:eastAsia="zh-CN"/>
        </w:rPr>
        <w:t>价格部分</w:t>
      </w:r>
      <w:r>
        <w:rPr>
          <w:rFonts w:hint="eastAsia" w:ascii="宋体" w:hAnsi="宋体" w:eastAsia="宋体" w:cs="宋体"/>
          <w:color w:val="auto"/>
          <w:sz w:val="24"/>
          <w:szCs w:val="24"/>
          <w:highlight w:val="none"/>
        </w:rPr>
        <w:t>占比</w:t>
      </w:r>
      <w:r>
        <w:rPr>
          <w:rFonts w:hint="eastAsia" w:ascii="宋体" w:hAnsi="宋体" w:eastAsia="宋体" w:cs="宋体"/>
          <w:color w:val="auto"/>
          <w:sz w:val="24"/>
          <w:szCs w:val="24"/>
          <w:highlight w:val="none"/>
          <w:lang w:val="en-US" w:eastAsia="zh-CN"/>
        </w:rPr>
        <w:t>为</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0</w:t>
      </w:r>
    </w:p>
    <w:p w14:paraId="188C1FF8">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.本项目采用资格后审方式对参比人进行资格审查。</w:t>
      </w:r>
    </w:p>
    <w:p w14:paraId="319D813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cs="宋体"/>
          <w:b/>
          <w:color w:val="auto"/>
          <w:sz w:val="24"/>
          <w:szCs w:val="24"/>
          <w:highlight w:val="none"/>
          <w:lang w:val="en-US" w:eastAsia="zh-CN"/>
        </w:rPr>
        <w:t>九</w:t>
      </w:r>
      <w:r>
        <w:rPr>
          <w:rFonts w:hint="eastAsia" w:ascii="宋体" w:hAnsi="宋体" w:eastAsia="宋体" w:cs="宋体"/>
          <w:b/>
          <w:color w:val="auto"/>
          <w:sz w:val="24"/>
          <w:szCs w:val="24"/>
          <w:highlight w:val="none"/>
        </w:rPr>
        <w:t>、参比保证金：</w:t>
      </w:r>
    </w:p>
    <w:p w14:paraId="277ABDCC">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1.参比人应缴纳参比保证金，保证金金额</w:t>
      </w:r>
      <w:r>
        <w:rPr>
          <w:rFonts w:hint="eastAsia" w:cs="宋体"/>
          <w:color w:val="auto"/>
          <w:sz w:val="24"/>
          <w:szCs w:val="24"/>
          <w:highlight w:val="none"/>
          <w:lang w:val="en-US" w:eastAsia="zh-CN"/>
        </w:rPr>
        <w:t>36400</w:t>
      </w:r>
      <w:r>
        <w:rPr>
          <w:rFonts w:hint="eastAsia" w:ascii="宋体" w:hAnsi="宋体" w:eastAsia="宋体" w:cs="宋体"/>
          <w:color w:val="auto"/>
          <w:sz w:val="24"/>
          <w:szCs w:val="24"/>
          <w:highlight w:val="none"/>
          <w:lang w:eastAsia="zh-CN"/>
        </w:rPr>
        <w:t>元整，参比人应以电汇或银行转账的形式在递交截止时间前从参比人基本账户转入采购人的账户，采购人账户信息如下：</w:t>
      </w:r>
    </w:p>
    <w:p w14:paraId="083734DC">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开户名称：福建福海创石油化工有限公司</w:t>
      </w:r>
    </w:p>
    <w:p w14:paraId="7BEDB2A7">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开户银行：中国银行股份有限公司漳州古雷经济开发区支行</w:t>
      </w:r>
    </w:p>
    <w:p w14:paraId="701D2B4B">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帐  号：4065 7481 6628</w:t>
      </w:r>
    </w:p>
    <w:p w14:paraId="3E154BDA">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注明用途：2026-2027年度消防设施维保及年度检测项目参比保证金</w:t>
      </w:r>
    </w:p>
    <w:p w14:paraId="334ED93B">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参比有效期为参比文件接收截止期后 90 个日历天，参比保证金有效期与参比有效期一致。</w:t>
      </w:r>
    </w:p>
    <w:p w14:paraId="1B5AEAA8">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2.对于未能按要求提交保证金的参比文件，采购人将视为不符合参比要求而予以拒绝；</w:t>
      </w:r>
    </w:p>
    <w:p w14:paraId="6EEC0C8E">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3.询比结束后将原账户无息退还参比选保证金，最迟不超过本项目规定的参比有效期满后的20天。</w:t>
      </w:r>
    </w:p>
    <w:p w14:paraId="7C3062D1">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4.如有下列情况发生，将被没收参比保证金：</w:t>
      </w:r>
    </w:p>
    <w:p w14:paraId="073A0509">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（1）参比人在参比有效期内撤回参比文件；</w:t>
      </w:r>
    </w:p>
    <w:p w14:paraId="774B928F">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（2）参比人未按中选通知书规定的时间内签定合同。</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color w:val="auto"/>
          <w:sz w:val="24"/>
          <w:szCs w:val="24"/>
          <w:highlight w:val="none"/>
        </w:rPr>
      </w:pPr>
      <w:r>
        <w:rPr>
          <w:rFonts w:hint="eastAsia" w:cs="宋体"/>
          <w:b/>
          <w:bCs/>
          <w:snapToGrid w:val="0"/>
          <w:color w:val="auto"/>
          <w:spacing w:val="8"/>
          <w:sz w:val="24"/>
          <w:szCs w:val="24"/>
          <w:highlight w:val="none"/>
          <w:lang w:val="en-US" w:eastAsia="zh-CN"/>
        </w:rPr>
        <w:t>十</w:t>
      </w:r>
      <w:r>
        <w:rPr>
          <w:rFonts w:hint="eastAsia" w:ascii="宋体" w:hAnsi="宋体" w:eastAsia="宋体" w:cs="宋体"/>
          <w:b/>
          <w:bCs/>
          <w:snapToGrid w:val="0"/>
          <w:color w:val="auto"/>
          <w:spacing w:val="8"/>
          <w:sz w:val="24"/>
          <w:szCs w:val="24"/>
          <w:highlight w:val="none"/>
        </w:rPr>
        <w:t>、联系方式</w:t>
      </w:r>
      <w:r>
        <w:rPr>
          <w:rFonts w:hint="eastAsia" w:ascii="宋体" w:hAnsi="宋体" w:eastAsia="宋体" w:cs="宋体"/>
          <w:color w:val="auto"/>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商务联系人：黄梅钦 电话：0596-6311073 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"mailto:huangmq@fjpec.com.cn"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huangmq@fjpec.com.cn</w:t>
      </w:r>
      <w:r>
        <w:rPr>
          <w:rStyle w:val="52"/>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现场技术联系人：</w:t>
      </w:r>
      <w:r>
        <w:rPr>
          <w:rFonts w:hint="eastAsia" w:asciiTheme="minorEastAsia" w:hAnsiTheme="minorEastAsia" w:eastAsiaTheme="minorEastAsia" w:cstheme="minorEastAsia"/>
          <w:color w:val="auto"/>
          <w:sz w:val="24"/>
          <w:szCs w:val="24"/>
          <w:highlight w:val="none"/>
          <w:lang w:val="en-US" w:eastAsia="zh-CN"/>
        </w:rPr>
        <w:t>陈云</w:t>
      </w:r>
      <w:r>
        <w:rPr>
          <w:rFonts w:hint="eastAsia" w:ascii="宋体" w:hAnsi="宋体" w:eastAsia="宋体" w:cs="宋体"/>
          <w:color w:val="auto"/>
          <w:sz w:val="24"/>
          <w:szCs w:val="24"/>
          <w:highlight w:val="none"/>
        </w:rPr>
        <w:t xml:space="preserve"> 电话：15880528027 邮箱：</w:t>
      </w:r>
      <w:r>
        <w:rPr>
          <w:rStyle w:val="52"/>
          <w:rFonts w:hint="eastAsia" w:ascii="宋体" w:hAnsi="宋体" w:eastAsia="宋体" w:cs="宋体"/>
          <w:color w:val="auto"/>
          <w:sz w:val="24"/>
          <w:szCs w:val="24"/>
          <w:highlight w:val="none"/>
        </w:rPr>
        <w:t xml:space="preserve">ychen@fhcpec.com.cn </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编：363216</w:t>
      </w: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 </w:t>
      </w: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日</w:t>
      </w:r>
    </w:p>
    <w:p w14:paraId="36FE9700">
      <w:pPr>
        <w:pStyle w:val="70"/>
        <w:numPr>
          <w:ilvl w:val="255"/>
          <w:numId w:val="0"/>
        </w:numPr>
        <w:tabs>
          <w:tab w:val="left" w:pos="1272"/>
        </w:tabs>
        <w:ind w:left="9" w:firstLine="1516" w:firstLineChars="500"/>
        <w:rPr>
          <w:rFonts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 xml:space="preserve">          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5"/>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2026～2027年度消防设施维保及检测服务项目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6048F750">
            <w:pPr>
              <w:keepNext w:val="0"/>
              <w:keepLines w:val="0"/>
              <w:pageBreakBefore w:val="0"/>
              <w:widowControl w:val="0"/>
              <w:kinsoku/>
              <w:wordWrap/>
              <w:overflowPunct/>
              <w:topLinePunct w:val="0"/>
              <w:autoSpaceDE w:val="0"/>
              <w:autoSpaceDN w:val="0"/>
              <w:bidi w:val="0"/>
              <w:adjustRightInd/>
              <w:snapToGrid/>
              <w:spacing w:line="360" w:lineRule="auto"/>
              <w:ind w:left="10" w:leftChars="0" w:hanging="10" w:hangingChars="5"/>
              <w:textAlignment w:val="auto"/>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SA"/>
              </w:rPr>
              <w:t>按照《社会消防技术服务管理规定》及福建消防技术服务信息平台相关要求开展消防设施维护保养及检测提供技术服务。本次招标包含福建福海创石油化工有限公司、腾龙芳烃（漳州）有限公司、翔鹭码头投资管理（漳州）有限公司及福建省福化古蕾化学有限公司，各公司涵盖项目各公司涵盖项目及要求详见附件《消防设施维保及检测发包方案》。</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182万元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36400</w:t>
            </w:r>
            <w:r>
              <w:rPr>
                <w:rFonts w:hint="eastAsia" w:asciiTheme="minorEastAsia" w:hAnsiTheme="minorEastAsia" w:eastAsiaTheme="minorEastAsia" w:cstheme="minorEastAsia"/>
                <w:color w:val="auto"/>
                <w:sz w:val="21"/>
                <w:szCs w:val="21"/>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36400</w:t>
            </w:r>
            <w:r>
              <w:rPr>
                <w:rFonts w:hint="eastAsia" w:asciiTheme="minorEastAsia" w:hAnsiTheme="minorEastAsia" w:eastAsiaTheme="minorEastAsia" w:cstheme="minorEastAsia"/>
                <w:color w:val="auto"/>
                <w:sz w:val="21"/>
                <w:szCs w:val="21"/>
                <w:highlight w:val="none"/>
                <w:lang w:eastAsia="zh-CN"/>
              </w:rPr>
              <w:t>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30</w:t>
            </w:r>
            <w:bookmarkStart w:id="3" w:name="_GoBack"/>
            <w:bookmarkEnd w:id="3"/>
            <w:r>
              <w:rPr>
                <w:rFonts w:hint="eastAsia" w:asciiTheme="minorEastAsia" w:hAnsiTheme="minorEastAsia" w:eastAsiaTheme="minorEastAsia" w:cstheme="minorEastAsia"/>
                <w:color w:val="auto"/>
                <w:sz w:val="21"/>
                <w:szCs w:val="21"/>
                <w:highlight w:val="none"/>
              </w:rPr>
              <w:t>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4B39058B">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eastAsiaTheme="minorEastAsia" w:cstheme="minorEastAsia"/>
                <w:color w:val="auto"/>
                <w:sz w:val="21"/>
                <w:szCs w:val="21"/>
                <w:highlight w:val="none"/>
                <w:lang w:val="en-US" w:eastAsia="zh-CN"/>
              </w:rPr>
              <w:t>陈云</w:t>
            </w:r>
            <w:r>
              <w:rPr>
                <w:rFonts w:hint="eastAsia" w:asciiTheme="minorEastAsia" w:hAnsiTheme="minorEastAsia" w:eastAsiaTheme="minorEastAsia" w:cstheme="minorEastAsia"/>
                <w:color w:val="auto"/>
                <w:sz w:val="21"/>
                <w:szCs w:val="21"/>
                <w:highlight w:val="none"/>
                <w:lang w:eastAsia="zh-CN"/>
              </w:rPr>
              <w:t xml:space="preserve">15880528027 邮箱：ychen@fhcpec.com.cn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425FBD3A">
      <w:pPr>
        <w:spacing w:before="15" w:line="360" w:lineRule="auto"/>
        <w:rPr>
          <w:rFonts w:ascii="仿宋" w:hAnsi="仿宋" w:eastAsia="仿宋"/>
          <w:b/>
          <w:color w:val="auto"/>
          <w:sz w:val="28"/>
          <w:highlight w:val="none"/>
          <w:lang w:eastAsia="zh-CN"/>
        </w:rPr>
      </w:pPr>
    </w:p>
    <w:p w14:paraId="6DEB406B">
      <w:pPr>
        <w:pStyle w:val="20"/>
        <w:spacing w:line="360" w:lineRule="auto"/>
        <w:ind w:right="121"/>
        <w:jc w:val="both"/>
        <w:rPr>
          <w:rFonts w:ascii="仿宋" w:hAnsi="仿宋" w:eastAsia="仿宋"/>
          <w:b/>
          <w:color w:val="auto"/>
          <w:w w:val="95"/>
          <w:sz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二、定义和解释</w:t>
      </w:r>
    </w:p>
    <w:p w14:paraId="75134DB7">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人”系指向采购人报名并接受邀请，领取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文件，且已经提交或准备提交本次</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文件的法人。</w:t>
      </w:r>
    </w:p>
    <w:p w14:paraId="182978F6">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人代表”系指全权代表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人参加本次询比活动并签署</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文件的人，如果</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人代表不是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三、</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文件组成</w:t>
      </w:r>
    </w:p>
    <w:p w14:paraId="77E08AAE">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文件包括下列内容：</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公告、</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文件除</w:t>
      </w:r>
      <w:r>
        <w:rPr>
          <w:rFonts w:hint="eastAsia" w:ascii="仿宋" w:hAnsi="仿宋" w:eastAsia="仿宋"/>
          <w:color w:val="auto"/>
          <w:sz w:val="28"/>
          <w:szCs w:val="28"/>
          <w:highlight w:val="none"/>
          <w:lang w:eastAsia="zh-CN"/>
        </w:rPr>
        <w:t xml:space="preserve">上述 </w:t>
      </w:r>
      <w:r>
        <w:rPr>
          <w:rFonts w:ascii="仿宋" w:hAnsi="仿宋" w:eastAsia="仿宋"/>
          <w:color w:val="auto"/>
          <w:sz w:val="28"/>
          <w:szCs w:val="28"/>
          <w:highlight w:val="none"/>
          <w:lang w:eastAsia="zh-CN"/>
        </w:rPr>
        <w:t>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中内容外，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人在询比期间发出的书面文件和其他修改或补充函件，均是</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人应认真阅读、并充分理解</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文件的全部内容（包括所有的补充、修改内容、重要事项、格式、条款和技术规范、参数及要求等）。</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人没有按照</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文件要求提交全部资料，或者没有对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文件在各方面都做出实质性响应是</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人的风险，有可能导致其参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被拒绝，或被认定为无效</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或被确定为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无效。</w:t>
      </w:r>
    </w:p>
    <w:p w14:paraId="24E31348">
      <w:pPr>
        <w:spacing w:before="15"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四、</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文件的澄清</w:t>
      </w:r>
    </w:p>
    <w:p w14:paraId="366780E2">
      <w:pPr>
        <w:pStyle w:val="20"/>
        <w:spacing w:line="360" w:lineRule="auto"/>
        <w:ind w:right="121" w:firstLine="5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人获取</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文件后，应仔细检查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文件的所有内容，如有残缺等问题应在获得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 3 日内向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人提出。</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人若对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文件有任何疑问，应在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截止时间前 5 日，按</w:t>
      </w:r>
      <w:r>
        <w:rPr>
          <w:rFonts w:ascii="仿宋" w:hAnsi="仿宋" w:eastAsia="仿宋"/>
          <w:b/>
          <w:bCs/>
          <w:color w:val="auto"/>
          <w:sz w:val="28"/>
          <w:szCs w:val="28"/>
          <w:highlight w:val="none"/>
          <w:lang w:eastAsia="zh-CN"/>
        </w:rPr>
        <w:t>询比</w:t>
      </w:r>
      <w:r>
        <w:rPr>
          <w:rFonts w:hint="eastAsia" w:ascii="仿宋" w:hAnsi="仿宋" w:eastAsia="仿宋"/>
          <w:b/>
          <w:bCs/>
          <w:color w:val="auto"/>
          <w:sz w:val="28"/>
          <w:szCs w:val="28"/>
          <w:highlight w:val="none"/>
          <w:lang w:eastAsia="zh-CN"/>
        </w:rPr>
        <w:t>公告</w:t>
      </w:r>
      <w:r>
        <w:rPr>
          <w:rFonts w:ascii="仿宋" w:hAnsi="仿宋" w:eastAsia="仿宋"/>
          <w:color w:val="auto"/>
          <w:sz w:val="28"/>
          <w:szCs w:val="28"/>
          <w:highlight w:val="none"/>
          <w:lang w:eastAsia="zh-CN"/>
        </w:rPr>
        <w:t>的</w:t>
      </w:r>
      <w:r>
        <w:rPr>
          <w:rFonts w:hint="eastAsia" w:ascii="仿宋" w:hAnsi="仿宋" w:eastAsia="仿宋"/>
          <w:color w:val="auto"/>
          <w:sz w:val="28"/>
          <w:szCs w:val="28"/>
          <w:highlight w:val="none"/>
          <w:lang w:eastAsia="zh-CN"/>
        </w:rPr>
        <w:t>联系方式</w:t>
      </w:r>
      <w:r>
        <w:rPr>
          <w:rFonts w:ascii="仿宋" w:hAnsi="仿宋" w:eastAsia="仿宋"/>
          <w:color w:val="auto"/>
          <w:sz w:val="28"/>
          <w:szCs w:val="28"/>
          <w:highlight w:val="none"/>
          <w:lang w:eastAsia="zh-CN"/>
        </w:rPr>
        <w:t>以书面形式（包括书面、传真、电子邮件下同）通知到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人将视情况确定采用适当方式予以澄清或以书面形式予以答复，澄清文件作为</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文件的组成部分，具有约束作用。</w:t>
      </w:r>
    </w:p>
    <w:p w14:paraId="3BC81BC5">
      <w:pPr>
        <w:spacing w:before="15"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r>
        <w:rPr>
          <w:rFonts w:ascii="仿宋" w:hAnsi="仿宋" w:eastAsia="仿宋"/>
          <w:b/>
          <w:color w:val="auto"/>
          <w:w w:val="95"/>
          <w:sz w:val="28"/>
          <w:highlight w:val="none"/>
          <w:lang w:eastAsia="zh-CN"/>
        </w:rPr>
        <w:t>五、</w:t>
      </w:r>
      <w:r>
        <w:rPr>
          <w:rFonts w:hint="eastAsia" w:ascii="仿宋" w:hAnsi="仿宋" w:eastAsia="仿宋"/>
          <w:b/>
          <w:color w:val="auto"/>
          <w:w w:val="95"/>
          <w:sz w:val="28"/>
          <w:highlight w:val="none"/>
          <w:lang w:eastAsia="zh-CN"/>
        </w:rPr>
        <w:t>采购</w:t>
      </w:r>
      <w:r>
        <w:rPr>
          <w:rFonts w:ascii="仿宋" w:hAnsi="仿宋" w:eastAsia="仿宋"/>
          <w:b/>
          <w:color w:val="auto"/>
          <w:w w:val="95"/>
          <w:sz w:val="28"/>
          <w:highlight w:val="none"/>
          <w:lang w:eastAsia="zh-CN"/>
        </w:rPr>
        <w:t>文件的修改、补充</w:t>
      </w:r>
    </w:p>
    <w:p w14:paraId="06DE1ADA">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highlight w:val="none"/>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1.在</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截止日期前，</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人可主动地或依据参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人要求澄清的问题而修改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文件，并以书面形式</w:t>
      </w:r>
      <w:r>
        <w:rPr>
          <w:rFonts w:hint="eastAsia" w:ascii="仿宋" w:hAnsi="仿宋" w:eastAsia="仿宋"/>
          <w:color w:val="auto"/>
          <w:sz w:val="28"/>
          <w:szCs w:val="28"/>
          <w:highlight w:val="none"/>
          <w:lang w:eastAsia="zh-CN"/>
        </w:rPr>
        <w:t>或挂网形式</w:t>
      </w:r>
      <w:r>
        <w:rPr>
          <w:rFonts w:ascii="仿宋" w:hAnsi="仿宋" w:eastAsia="仿宋"/>
          <w:color w:val="auto"/>
          <w:sz w:val="28"/>
          <w:szCs w:val="28"/>
          <w:highlight w:val="none"/>
          <w:lang w:eastAsia="zh-CN"/>
        </w:rPr>
        <w:t>通知所有报名参加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项目的每一参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人，对方在收到该通知后应立即以书面形式予以确认；</w:t>
      </w:r>
      <w:r>
        <w:rPr>
          <w:rFonts w:hint="eastAsia" w:ascii="仿宋" w:hAnsi="仿宋" w:eastAsia="仿宋"/>
          <w:color w:val="auto"/>
          <w:sz w:val="28"/>
          <w:szCs w:val="28"/>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2.为使参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人在准备参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文件时有合理的时间考虑</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人可酌情推迟参比截止时间和开评时间，并以书面形式通知已获得</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文件的每一参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w:t>
      </w:r>
    </w:p>
    <w:p w14:paraId="7C57CF10">
      <w:pPr>
        <w:pStyle w:val="20"/>
        <w:spacing w:line="360" w:lineRule="auto"/>
        <w:ind w:right="121"/>
        <w:jc w:val="both"/>
        <w:rPr>
          <w:rFonts w:ascii="仿宋" w:hAnsi="仿宋" w:eastAsia="仿宋"/>
          <w:b/>
          <w:color w:val="auto"/>
          <w:w w:val="95"/>
          <w:sz w:val="28"/>
          <w:highlight w:val="none"/>
          <w:lang w:eastAsia="zh-CN"/>
        </w:rPr>
      </w:pP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3.</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文件的修改书将构成</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文件的一部分，对参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人具有约束作用。</w:t>
      </w:r>
      <w:r>
        <w:rPr>
          <w:rFonts w:hint="eastAsia" w:ascii="仿宋" w:hAnsi="仿宋" w:eastAsia="仿宋"/>
          <w:b/>
          <w:color w:val="auto"/>
          <w:w w:val="95"/>
          <w:sz w:val="28"/>
          <w:highlight w:val="none"/>
          <w:lang w:eastAsia="zh-CN"/>
        </w:rPr>
        <w:t xml:space="preserve"> </w:t>
      </w:r>
    </w:p>
    <w:p w14:paraId="4FAF9EB5">
      <w:pPr>
        <w:tabs>
          <w:tab w:val="left" w:pos="709"/>
        </w:tabs>
        <w:spacing w:line="360" w:lineRule="auto"/>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六、参比保证金</w:t>
      </w:r>
    </w:p>
    <w:p w14:paraId="1F687660">
      <w:pPr>
        <w:pStyle w:val="20"/>
        <w:spacing w:line="360" w:lineRule="auto"/>
        <w:ind w:right="121" w:firstLine="280" w:firstLineChars="1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1.参比人应缴纳参比保证金，保证金金额</w:t>
      </w:r>
      <w:r>
        <w:rPr>
          <w:rFonts w:hint="eastAsia" w:ascii="仿宋" w:hAnsi="仿宋" w:eastAsia="仿宋"/>
          <w:color w:val="auto"/>
          <w:sz w:val="28"/>
          <w:szCs w:val="28"/>
          <w:highlight w:val="none"/>
          <w:lang w:val="en-US" w:eastAsia="zh-CN"/>
        </w:rPr>
        <w:t>36400</w:t>
      </w:r>
      <w:r>
        <w:rPr>
          <w:rFonts w:hint="eastAsia" w:ascii="仿宋" w:hAnsi="仿宋" w:eastAsia="仿宋"/>
          <w:color w:val="auto"/>
          <w:sz w:val="28"/>
          <w:szCs w:val="28"/>
          <w:highlight w:val="none"/>
          <w:lang w:eastAsia="zh-CN"/>
        </w:rPr>
        <w:t>元整，参比人应以电汇或银行转账的形式在</w:t>
      </w:r>
      <w:r>
        <w:rPr>
          <w:rFonts w:hint="eastAsia" w:ascii="仿宋" w:hAnsi="仿宋" w:eastAsia="仿宋"/>
          <w:b/>
          <w:bCs/>
          <w:color w:val="auto"/>
          <w:sz w:val="28"/>
          <w:szCs w:val="28"/>
          <w:highlight w:val="none"/>
          <w:lang w:eastAsia="zh-CN"/>
        </w:rPr>
        <w:t>递交截止时间前</w:t>
      </w:r>
      <w:r>
        <w:rPr>
          <w:rFonts w:hint="eastAsia" w:ascii="仿宋" w:hAnsi="仿宋" w:eastAsia="仿宋"/>
          <w:color w:val="auto"/>
          <w:sz w:val="28"/>
          <w:szCs w:val="28"/>
          <w:highlight w:val="none"/>
          <w:lang w:eastAsia="zh-CN"/>
        </w:rPr>
        <w:t>从参比人</w:t>
      </w:r>
      <w:r>
        <w:rPr>
          <w:rFonts w:hint="eastAsia" w:ascii="仿宋" w:hAnsi="仿宋" w:eastAsia="仿宋"/>
          <w:b/>
          <w:bCs/>
          <w:color w:val="auto"/>
          <w:sz w:val="28"/>
          <w:szCs w:val="28"/>
          <w:highlight w:val="none"/>
          <w:lang w:eastAsia="zh-CN"/>
        </w:rPr>
        <w:t>基本账户</w:t>
      </w:r>
      <w:r>
        <w:rPr>
          <w:rFonts w:hint="eastAsia" w:ascii="仿宋" w:hAnsi="仿宋" w:eastAsia="仿宋"/>
          <w:color w:val="auto"/>
          <w:sz w:val="28"/>
          <w:szCs w:val="28"/>
          <w:highlight w:val="none"/>
          <w:lang w:eastAsia="zh-CN"/>
        </w:rPr>
        <w:t>转入采购人的账户，采购人账户信息如下：</w:t>
      </w:r>
    </w:p>
    <w:p w14:paraId="0591F494">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开户名称：福建福海创石油化工有限公司</w:t>
      </w:r>
    </w:p>
    <w:p w14:paraId="4B6091FB">
      <w:pPr>
        <w:pStyle w:val="20"/>
        <w:spacing w:line="360" w:lineRule="auto"/>
        <w:ind w:right="121" w:firstLine="48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开户银行：中国银行股份有限公司漳州古雷经济开发区支行</w:t>
      </w:r>
    </w:p>
    <w:p w14:paraId="52CD1736">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帐</w:t>
      </w:r>
      <w:r>
        <w:rPr>
          <w:rFonts w:hint="eastAsia"/>
          <w:color w:val="auto"/>
          <w:sz w:val="28"/>
          <w:szCs w:val="28"/>
          <w:highlight w:val="none"/>
          <w:lang w:eastAsia="zh-CN"/>
        </w:rPr>
        <w:t>  </w:t>
      </w:r>
      <w:r>
        <w:rPr>
          <w:rFonts w:hint="eastAsia" w:ascii="仿宋" w:hAnsi="仿宋" w:eastAsia="仿宋"/>
          <w:color w:val="auto"/>
          <w:sz w:val="28"/>
          <w:szCs w:val="28"/>
          <w:highlight w:val="none"/>
          <w:lang w:eastAsia="zh-CN"/>
        </w:rPr>
        <w:t>号：</w:t>
      </w:r>
      <w:r>
        <w:rPr>
          <w:rFonts w:ascii="仿宋" w:hAnsi="仿宋" w:eastAsia="仿宋"/>
          <w:color w:val="auto"/>
          <w:sz w:val="28"/>
          <w:szCs w:val="28"/>
          <w:highlight w:val="none"/>
          <w:lang w:eastAsia="zh-CN"/>
        </w:rPr>
        <w:t>4065</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7481</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6628</w:t>
      </w:r>
    </w:p>
    <w:p w14:paraId="210041F8">
      <w:pPr>
        <w:pStyle w:val="20"/>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注明用途：</w:t>
      </w:r>
      <w:r>
        <w:rPr>
          <w:rFonts w:hint="eastAsia" w:ascii="仿宋" w:hAnsi="仿宋" w:eastAsia="仿宋" w:cs="宋体"/>
          <w:color w:val="auto"/>
          <w:sz w:val="28"/>
          <w:szCs w:val="28"/>
          <w:highlight w:val="none"/>
          <w:u w:val="single"/>
          <w:lang w:eastAsia="zh-CN"/>
        </w:rPr>
        <w:t>2026-2027年度消防设施维保及年度检测项目</w:t>
      </w:r>
      <w:r>
        <w:rPr>
          <w:rFonts w:hint="eastAsia" w:ascii="仿宋" w:hAnsi="仿宋" w:eastAsia="仿宋" w:cs="宋体"/>
          <w:color w:val="auto"/>
          <w:sz w:val="28"/>
          <w:szCs w:val="28"/>
          <w:highlight w:val="none"/>
          <w:lang w:eastAsia="zh-CN"/>
        </w:rPr>
        <w:t>参比保</w:t>
      </w:r>
      <w:r>
        <w:rPr>
          <w:rFonts w:hint="eastAsia" w:ascii="仿宋" w:hAnsi="仿宋" w:eastAsia="仿宋"/>
          <w:color w:val="auto"/>
          <w:sz w:val="28"/>
          <w:szCs w:val="28"/>
          <w:highlight w:val="none"/>
          <w:lang w:eastAsia="zh-CN"/>
        </w:rPr>
        <w:t>证金</w:t>
      </w:r>
    </w:p>
    <w:p w14:paraId="21EF8849">
      <w:pPr>
        <w:pStyle w:val="20"/>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参比有效期为参比文件接收截止期后 90 个日历天，参比保证金有效期与参比有效期一致。</w:t>
      </w:r>
    </w:p>
    <w:p w14:paraId="7D4C0D0A">
      <w:pPr>
        <w:pStyle w:val="20"/>
        <w:spacing w:line="360" w:lineRule="auto"/>
        <w:ind w:right="121" w:firstLine="48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560" w:firstLineChars="200"/>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2.对于未能按要求提交保证金的参比文件，采购人将视为不符合参比要求而予以拒绝；</w:t>
      </w:r>
    </w:p>
    <w:p w14:paraId="5180058F">
      <w:pPr>
        <w:pStyle w:val="20"/>
        <w:spacing w:line="360" w:lineRule="auto"/>
        <w:ind w:right="121" w:firstLine="478" w:firstLineChars="17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3.询比结束后将原账户无息退还参比选保证金，最迟不超过本项目规定的参比有效期满后的20天。</w:t>
      </w:r>
    </w:p>
    <w:p w14:paraId="3762126C">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4.如有下列情况发生，将被没收参比保证金：</w:t>
      </w:r>
    </w:p>
    <w:p w14:paraId="48697A0C">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（1）参比人在参比有效期内撤回参比文件；</w:t>
      </w:r>
    </w:p>
    <w:p w14:paraId="117BFCC6">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（2）参比人未按中选通知书规定的时间内签定合同。</w:t>
      </w:r>
    </w:p>
    <w:p w14:paraId="5C9CE64F">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0A3C4F40">
      <w:pPr>
        <w:spacing w:line="321" w:lineRule="auto"/>
        <w:jc w:val="both"/>
        <w:rPr>
          <w:rFonts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30"/>
          <w:szCs w:val="30"/>
          <w:highlight w:val="none"/>
          <w:lang w:eastAsia="zh-CN"/>
        </w:rPr>
        <w:t>一、</w:t>
      </w: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文件的组成：</w:t>
      </w:r>
    </w:p>
    <w:p w14:paraId="7D6E2182">
      <w:pPr>
        <w:pStyle w:val="70"/>
        <w:spacing w:before="0" w:line="360" w:lineRule="auto"/>
        <w:ind w:left="0" w:firstLine="572" w:firstLineChars="200"/>
        <w:rPr>
          <w:rFonts w:ascii="仿宋" w:hAnsi="仿宋" w:eastAsia="仿宋"/>
          <w:b/>
          <w:color w:val="auto"/>
          <w:sz w:val="28"/>
          <w:szCs w:val="28"/>
          <w:highlight w:val="none"/>
          <w:lang w:eastAsia="zh-CN"/>
        </w:rPr>
      </w:pPr>
      <w:r>
        <w:rPr>
          <w:rFonts w:ascii="仿宋" w:hAnsi="仿宋" w:eastAsia="仿宋"/>
          <w:b/>
          <w:color w:val="auto"/>
          <w:w w:val="95"/>
          <w:sz w:val="30"/>
          <w:szCs w:val="30"/>
          <w:highlight w:val="none"/>
          <w:lang w:eastAsia="zh-CN"/>
        </w:rPr>
        <w:t>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文件</w:t>
      </w:r>
      <w:r>
        <w:rPr>
          <w:rFonts w:hint="eastAsia" w:ascii="仿宋" w:hAnsi="仿宋" w:eastAsia="仿宋"/>
          <w:b/>
          <w:color w:val="auto"/>
          <w:w w:val="95"/>
          <w:sz w:val="30"/>
          <w:szCs w:val="30"/>
          <w:highlight w:val="none"/>
          <w:lang w:eastAsia="zh-CN"/>
        </w:rPr>
        <w:t>由商务文件和技术文件组成，分别根据要求按范本编制</w:t>
      </w:r>
      <w:r>
        <w:rPr>
          <w:rFonts w:ascii="仿宋" w:hAnsi="仿宋" w:eastAsia="仿宋"/>
          <w:b/>
          <w:color w:val="auto"/>
          <w:w w:val="95"/>
          <w:sz w:val="30"/>
          <w:szCs w:val="30"/>
          <w:highlight w:val="none"/>
          <w:lang w:eastAsia="zh-CN"/>
        </w:rPr>
        <w:t>并加盖单位公章</w:t>
      </w:r>
      <w:r>
        <w:rPr>
          <w:rFonts w:hint="eastAsia" w:ascii="仿宋" w:hAnsi="仿宋" w:eastAsia="仿宋"/>
          <w:b/>
          <w:color w:val="auto"/>
          <w:w w:val="95"/>
          <w:sz w:val="30"/>
          <w:szCs w:val="30"/>
          <w:highlight w:val="none"/>
          <w:lang w:eastAsia="zh-CN"/>
        </w:rPr>
        <w:t>。</w:t>
      </w:r>
    </w:p>
    <w:p w14:paraId="05087EA7">
      <w:pPr>
        <w:pStyle w:val="54"/>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1.技术文件（需加盖公章及骑缝章）</w:t>
      </w:r>
    </w:p>
    <w:p w14:paraId="31EF7B0D">
      <w:pPr>
        <w:pStyle w:val="20"/>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①</w:t>
      </w:r>
      <w:r>
        <w:rPr>
          <w:rFonts w:hint="eastAsia" w:ascii="仿宋" w:hAnsi="仿宋" w:eastAsia="仿宋"/>
          <w:color w:val="auto"/>
          <w:sz w:val="28"/>
          <w:szCs w:val="28"/>
          <w:highlight w:val="none"/>
          <w:lang w:eastAsia="zh-CN"/>
        </w:rPr>
        <w:t>法定代表人授权委托书；</w:t>
      </w:r>
    </w:p>
    <w:p w14:paraId="4B5065E8">
      <w:pPr>
        <w:pStyle w:val="20"/>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②营业执照</w:t>
      </w:r>
      <w:r>
        <w:rPr>
          <w:rFonts w:hint="eastAsia" w:ascii="仿宋" w:hAnsi="仿宋" w:eastAsia="仿宋"/>
          <w:color w:val="auto"/>
          <w:sz w:val="28"/>
          <w:szCs w:val="28"/>
          <w:highlight w:val="none"/>
          <w:lang w:eastAsia="zh-CN"/>
        </w:rPr>
        <w:t>；</w:t>
      </w:r>
    </w:p>
    <w:p w14:paraId="66625A5C">
      <w:pPr>
        <w:pStyle w:val="20"/>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3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③</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保证金回执单；</w:t>
      </w:r>
    </w:p>
    <w:p w14:paraId="66315688">
      <w:pPr>
        <w:pStyle w:val="20"/>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4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④</w:t>
      </w:r>
      <w:r>
        <w:rPr>
          <w:rFonts w:ascii="仿宋" w:hAnsi="仿宋" w:eastAsia="仿宋"/>
          <w:color w:val="auto"/>
          <w:sz w:val="28"/>
          <w:szCs w:val="28"/>
          <w:highlight w:val="none"/>
          <w:lang w:eastAsia="zh-CN"/>
        </w:rPr>
        <w:fldChar w:fldCharType="end"/>
      </w:r>
      <w:r>
        <w:rPr>
          <w:rFonts w:hint="eastAsia" w:ascii="仿宋" w:hAnsi="仿宋" w:eastAsia="仿宋"/>
          <w:color w:val="auto"/>
          <w:sz w:val="28"/>
          <w:szCs w:val="28"/>
          <w:highlight w:val="none"/>
          <w:lang w:eastAsia="zh-CN"/>
        </w:rPr>
        <w:t>公司资质、企业概况、业绩的证明、其他需说明问题；</w:t>
      </w:r>
    </w:p>
    <w:p w14:paraId="0DD19AD1">
      <w:pPr>
        <w:pStyle w:val="20"/>
        <w:spacing w:line="360" w:lineRule="auto"/>
        <w:ind w:firstLine="560" w:firstLineChars="200"/>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fldChar w:fldCharType="begin"/>
      </w:r>
      <w:r>
        <w:rPr>
          <w:rFonts w:ascii="仿宋" w:hAnsi="仿宋" w:eastAsia="仿宋"/>
          <w:color w:val="auto"/>
          <w:sz w:val="28"/>
          <w:szCs w:val="28"/>
          <w:highlight w:val="none"/>
          <w:lang w:eastAsia="zh-CN"/>
        </w:rPr>
        <w:instrText xml:space="preserve"> </w:instrText>
      </w:r>
      <w:r>
        <w:rPr>
          <w:rFonts w:hint="eastAsia" w:ascii="仿宋" w:hAnsi="仿宋" w:eastAsia="仿宋"/>
          <w:color w:val="auto"/>
          <w:sz w:val="28"/>
          <w:szCs w:val="28"/>
          <w:highlight w:val="none"/>
          <w:lang w:eastAsia="zh-CN"/>
        </w:rPr>
        <w:instrText xml:space="preserve">= 5 \* GB3</w:instrText>
      </w:r>
      <w:r>
        <w:rPr>
          <w:rFonts w:ascii="仿宋" w:hAnsi="仿宋" w:eastAsia="仿宋"/>
          <w:color w:val="auto"/>
          <w:sz w:val="28"/>
          <w:szCs w:val="28"/>
          <w:highlight w:val="none"/>
          <w:lang w:eastAsia="zh-CN"/>
        </w:rPr>
        <w:instrText xml:space="preserve"> </w:instrText>
      </w:r>
      <w:r>
        <w:rPr>
          <w:rFonts w:ascii="仿宋" w:hAnsi="仿宋" w:eastAsia="仿宋"/>
          <w:color w:val="auto"/>
          <w:sz w:val="28"/>
          <w:szCs w:val="28"/>
          <w:highlight w:val="none"/>
          <w:lang w:eastAsia="zh-CN"/>
        </w:rPr>
        <w:fldChar w:fldCharType="separate"/>
      </w:r>
      <w:r>
        <w:rPr>
          <w:rFonts w:hint="eastAsia" w:ascii="仿宋" w:hAnsi="仿宋" w:eastAsia="仿宋"/>
          <w:color w:val="auto"/>
          <w:sz w:val="28"/>
          <w:szCs w:val="28"/>
          <w:highlight w:val="none"/>
          <w:lang w:eastAsia="zh-CN"/>
        </w:rPr>
        <w:t>⑤</w:t>
      </w:r>
      <w:r>
        <w:rPr>
          <w:rFonts w:ascii="仿宋" w:hAnsi="仿宋" w:eastAsia="仿宋"/>
          <w:color w:val="auto"/>
          <w:sz w:val="28"/>
          <w:szCs w:val="28"/>
          <w:highlight w:val="none"/>
          <w:lang w:eastAsia="zh-CN"/>
        </w:rPr>
        <w:fldChar w:fldCharType="end"/>
      </w:r>
      <w:r>
        <w:rPr>
          <w:rFonts w:ascii="仿宋" w:hAnsi="仿宋" w:eastAsia="仿宋"/>
          <w:color w:val="auto"/>
          <w:sz w:val="28"/>
          <w:szCs w:val="28"/>
          <w:highlight w:val="none"/>
          <w:lang w:eastAsia="zh-CN"/>
        </w:rPr>
        <w:t>交货期、付款方式等；</w:t>
      </w:r>
    </w:p>
    <w:p w14:paraId="3D2CFD9F">
      <w:pPr>
        <w:pStyle w:val="20"/>
        <w:spacing w:line="360" w:lineRule="auto"/>
        <w:ind w:firstLine="562" w:firstLineChars="200"/>
        <w:rPr>
          <w:rFonts w:ascii="仿宋" w:hAnsi="仿宋" w:eastAsia="仿宋"/>
          <w:color w:val="auto"/>
          <w:sz w:val="28"/>
          <w:szCs w:val="28"/>
          <w:highlight w:val="none"/>
          <w:lang w:eastAsia="zh-CN"/>
        </w:rPr>
      </w:pPr>
      <w:r>
        <w:rPr>
          <w:rFonts w:hint="eastAsia" w:ascii="仿宋" w:hAnsi="仿宋" w:eastAsia="仿宋"/>
          <w:b/>
          <w:color w:val="auto"/>
          <w:sz w:val="28"/>
          <w:szCs w:val="28"/>
          <w:highlight w:val="none"/>
          <w:lang w:eastAsia="zh-CN"/>
        </w:rPr>
        <w:t>参比人在编制技术文件时应考虑第四章评审办法及规则中的要求。</w:t>
      </w:r>
    </w:p>
    <w:p w14:paraId="020A915C">
      <w:pPr>
        <w:pStyle w:val="54"/>
        <w:spacing w:line="360" w:lineRule="auto"/>
        <w:ind w:firstLine="560" w:firstLineChars="200"/>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2. 商务文件（需每页加盖公章）</w:t>
      </w:r>
    </w:p>
    <w:p w14:paraId="6A772CAB">
      <w:pPr>
        <w:pStyle w:val="2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①</w:t>
      </w:r>
      <w:r>
        <w:rPr>
          <w:rFonts w:ascii="仿宋" w:hAnsi="仿宋" w:eastAsia="仿宋"/>
          <w:color w:val="auto"/>
          <w:sz w:val="28"/>
          <w:szCs w:val="28"/>
          <w:highlight w:val="none"/>
          <w:lang w:eastAsia="zh-CN"/>
        </w:rPr>
        <w:t>提供</w:t>
      </w:r>
      <w:r>
        <w:rPr>
          <w:rFonts w:hint="eastAsia" w:ascii="仿宋" w:hAnsi="仿宋" w:eastAsia="仿宋"/>
          <w:color w:val="auto"/>
          <w:sz w:val="28"/>
          <w:szCs w:val="28"/>
          <w:highlight w:val="none"/>
          <w:lang w:eastAsia="zh-CN"/>
        </w:rPr>
        <w:t>参比</w:t>
      </w:r>
      <w:r>
        <w:rPr>
          <w:rFonts w:ascii="仿宋" w:hAnsi="仿宋" w:eastAsia="仿宋"/>
          <w:color w:val="auto"/>
          <w:sz w:val="28"/>
          <w:szCs w:val="28"/>
          <w:highlight w:val="none"/>
          <w:lang w:eastAsia="zh-CN"/>
        </w:rPr>
        <w:t>报价表(详见附件)</w:t>
      </w:r>
    </w:p>
    <w:p w14:paraId="78F98971">
      <w:pPr>
        <w:pStyle w:val="2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②承诺函</w:t>
      </w:r>
    </w:p>
    <w:p w14:paraId="181AA56C">
      <w:pPr>
        <w:spacing w:before="15" w:line="360" w:lineRule="auto"/>
        <w:ind w:firstLine="572" w:firstLineChars="200"/>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二、参</w:t>
      </w:r>
      <w:r>
        <w:rPr>
          <w:rFonts w:hint="eastAsia" w:ascii="仿宋" w:hAnsi="仿宋" w:eastAsia="仿宋"/>
          <w:b/>
          <w:color w:val="auto"/>
          <w:w w:val="95"/>
          <w:sz w:val="30"/>
          <w:szCs w:val="30"/>
          <w:highlight w:val="none"/>
          <w:lang w:eastAsia="zh-CN"/>
        </w:rPr>
        <w:t>比文件</w:t>
      </w:r>
      <w:r>
        <w:rPr>
          <w:rFonts w:ascii="仿宋" w:hAnsi="仿宋" w:eastAsia="仿宋"/>
          <w:b/>
          <w:color w:val="auto"/>
          <w:w w:val="95"/>
          <w:sz w:val="30"/>
          <w:szCs w:val="30"/>
          <w:highlight w:val="none"/>
          <w:lang w:eastAsia="zh-CN"/>
        </w:rPr>
        <w:t>格式内容</w:t>
      </w:r>
    </w:p>
    <w:p w14:paraId="5148CCF7">
      <w:pPr>
        <w:pStyle w:val="20"/>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人应按附件二格式内容要求进行编制。</w:t>
      </w:r>
    </w:p>
    <w:p w14:paraId="70EC0A6D">
      <w:pPr>
        <w:spacing w:before="15" w:line="360" w:lineRule="auto"/>
        <w:ind w:firstLine="572" w:firstLineChars="200"/>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三、参</w:t>
      </w:r>
      <w:r>
        <w:rPr>
          <w:rFonts w:hint="eastAsia" w:ascii="仿宋" w:hAnsi="仿宋" w:eastAsia="仿宋"/>
          <w:b/>
          <w:color w:val="auto"/>
          <w:w w:val="95"/>
          <w:sz w:val="30"/>
          <w:szCs w:val="30"/>
          <w:highlight w:val="none"/>
          <w:lang w:eastAsia="zh-CN"/>
        </w:rPr>
        <w:t>比</w:t>
      </w:r>
      <w:r>
        <w:rPr>
          <w:rFonts w:ascii="仿宋" w:hAnsi="仿宋" w:eastAsia="仿宋"/>
          <w:b/>
          <w:color w:val="auto"/>
          <w:w w:val="95"/>
          <w:sz w:val="30"/>
          <w:szCs w:val="30"/>
          <w:highlight w:val="none"/>
          <w:lang w:eastAsia="zh-CN"/>
        </w:rPr>
        <w:t>报价</w:t>
      </w:r>
    </w:p>
    <w:p w14:paraId="2A58EA9D">
      <w:pPr>
        <w:pStyle w:val="20"/>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人须按要求进行报价，对参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报价负责。参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报价应加盖参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人印章，字迹清晰，否则视为无效。</w:t>
      </w:r>
    </w:p>
    <w:p w14:paraId="302D5BFB">
      <w:pPr>
        <w:spacing w:before="15" w:line="360" w:lineRule="auto"/>
        <w:ind w:firstLine="534" w:firstLineChars="200"/>
        <w:rPr>
          <w:rFonts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四、特别说明</w:t>
      </w:r>
    </w:p>
    <w:p w14:paraId="572E88F2">
      <w:pPr>
        <w:pStyle w:val="20"/>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1.参</w:t>
      </w:r>
      <w:r>
        <w:rPr>
          <w:rFonts w:hint="eastAsia" w:ascii="仿宋" w:hAnsi="仿宋" w:eastAsia="仿宋"/>
          <w:color w:val="auto"/>
          <w:sz w:val="28"/>
          <w:szCs w:val="28"/>
          <w:highlight w:val="none"/>
          <w:lang w:eastAsia="zh-CN"/>
        </w:rPr>
        <w:t>比</w:t>
      </w:r>
      <w:r>
        <w:rPr>
          <w:rFonts w:ascii="仿宋" w:hAnsi="仿宋" w:eastAsia="仿宋"/>
          <w:color w:val="auto"/>
          <w:sz w:val="28"/>
          <w:szCs w:val="28"/>
          <w:highlight w:val="none"/>
          <w:lang w:eastAsia="zh-CN"/>
        </w:rPr>
        <w:t>人应承担所有与准备和参加</w:t>
      </w:r>
      <w:r>
        <w:rPr>
          <w:rFonts w:hint="eastAsia" w:ascii="仿宋" w:hAnsi="仿宋" w:eastAsia="仿宋"/>
          <w:color w:val="auto"/>
          <w:sz w:val="28"/>
          <w:szCs w:val="28"/>
          <w:highlight w:val="none"/>
          <w:lang w:eastAsia="zh-CN"/>
        </w:rPr>
        <w:t>询比</w:t>
      </w:r>
      <w:r>
        <w:rPr>
          <w:rFonts w:ascii="仿宋" w:hAnsi="仿宋" w:eastAsia="仿宋"/>
          <w:color w:val="auto"/>
          <w:sz w:val="28"/>
          <w:szCs w:val="28"/>
          <w:highlight w:val="none"/>
          <w:lang w:eastAsia="zh-CN"/>
        </w:rPr>
        <w:t>有关的费用。不论比选的结果如何，</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机构和</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人均无义务和责任承担这些费用。</w:t>
      </w:r>
    </w:p>
    <w:p w14:paraId="2F4880CF">
      <w:pPr>
        <w:pStyle w:val="20"/>
        <w:spacing w:line="360" w:lineRule="auto"/>
        <w:ind w:right="121" w:firstLine="560" w:firstLineChars="200"/>
        <w:jc w:val="both"/>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t>2.参</w:t>
      </w:r>
      <w:r>
        <w:rPr>
          <w:rFonts w:hint="eastAsia" w:ascii="仿宋" w:hAnsi="仿宋" w:eastAsia="仿宋"/>
          <w:color w:val="auto"/>
          <w:sz w:val="28"/>
          <w:szCs w:val="28"/>
          <w:highlight w:val="none"/>
          <w:lang w:eastAsia="zh-CN"/>
        </w:rPr>
        <w:t>比人</w:t>
      </w:r>
      <w:r>
        <w:rPr>
          <w:rFonts w:ascii="仿宋" w:hAnsi="仿宋" w:eastAsia="仿宋"/>
          <w:color w:val="auto"/>
          <w:sz w:val="28"/>
          <w:szCs w:val="28"/>
          <w:highlight w:val="none"/>
          <w:lang w:eastAsia="zh-CN"/>
        </w:rPr>
        <w:t>收到</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文件后，如有疑问需要澄清，请以书面形式在规定时间内报</w:t>
      </w:r>
      <w:r>
        <w:rPr>
          <w:rFonts w:hint="eastAsia" w:ascii="仿宋" w:hAnsi="仿宋" w:eastAsia="仿宋"/>
          <w:color w:val="auto"/>
          <w:sz w:val="28"/>
          <w:szCs w:val="28"/>
          <w:highlight w:val="none"/>
          <w:lang w:eastAsia="zh-CN"/>
        </w:rPr>
        <w:t>采购</w:t>
      </w:r>
      <w:r>
        <w:rPr>
          <w:rFonts w:ascii="仿宋" w:hAnsi="仿宋" w:eastAsia="仿宋"/>
          <w:color w:val="auto"/>
          <w:sz w:val="28"/>
          <w:szCs w:val="28"/>
          <w:highlight w:val="none"/>
          <w:lang w:eastAsia="zh-CN"/>
        </w:rPr>
        <w:t>人汇总。</w:t>
      </w:r>
    </w:p>
    <w:p w14:paraId="0B825753">
      <w:pPr>
        <w:spacing w:line="360" w:lineRule="auto"/>
        <w:jc w:val="both"/>
        <w:rPr>
          <w:rFonts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after="0" w:afterLines="10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44805DE6">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b/>
          <w:color w:val="auto"/>
          <w:w w:val="95"/>
          <w:sz w:val="24"/>
          <w:szCs w:val="24"/>
          <w:highlight w:val="none"/>
          <w:lang w:eastAsia="zh-CN"/>
        </w:rPr>
        <w:t>一、</w:t>
      </w:r>
      <w:r>
        <w:rPr>
          <w:rFonts w:hint="eastAsia" w:ascii="仿宋" w:hAnsi="仿宋" w:eastAsia="仿宋"/>
          <w:b/>
          <w:color w:val="auto"/>
          <w:w w:val="95"/>
          <w:sz w:val="24"/>
          <w:szCs w:val="24"/>
          <w:highlight w:val="none"/>
          <w:lang w:eastAsia="zh-CN"/>
        </w:rPr>
        <w:t>本项目采用综合评分法评审，规则：</w:t>
      </w:r>
    </w:p>
    <w:p w14:paraId="0B9F2051">
      <w:pPr>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1.2 </w:t>
      </w:r>
      <w:r>
        <w:rPr>
          <w:rFonts w:ascii="仿宋" w:hAnsi="仿宋" w:eastAsia="仿宋"/>
          <w:color w:val="auto"/>
          <w:sz w:val="24"/>
          <w:szCs w:val="24"/>
          <w:highlight w:val="none"/>
          <w:lang w:eastAsia="zh-CN"/>
        </w:rPr>
        <w:t>替补候选人的设定与使用</w:t>
      </w:r>
      <w:r>
        <w:rPr>
          <w:rFonts w:hint="eastAsia" w:ascii="仿宋" w:hAnsi="仿宋" w:eastAsia="仿宋"/>
          <w:color w:val="auto"/>
          <w:sz w:val="24"/>
          <w:szCs w:val="24"/>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4"/>
          <w:szCs w:val="24"/>
          <w:highlight w:val="none"/>
          <w:lang w:eastAsia="zh-CN"/>
        </w:rPr>
        <w:t>保留依法追究的权利</w:t>
      </w:r>
      <w:r>
        <w:rPr>
          <w:rFonts w:hint="eastAsia" w:ascii="仿宋" w:hAnsi="仿宋" w:eastAsia="仿宋"/>
          <w:color w:val="auto"/>
          <w:sz w:val="24"/>
          <w:szCs w:val="24"/>
          <w:highlight w:val="none"/>
          <w:lang w:eastAsia="zh-CN"/>
        </w:rPr>
        <w:t>。采购人可以</w:t>
      </w:r>
      <w:r>
        <w:rPr>
          <w:rFonts w:ascii="仿宋" w:hAnsi="仿宋" w:eastAsia="仿宋"/>
          <w:color w:val="auto"/>
          <w:sz w:val="24"/>
          <w:szCs w:val="24"/>
          <w:highlight w:val="none"/>
          <w:lang w:eastAsia="zh-CN"/>
        </w:rPr>
        <w:t>确定排名第二名的中选候选人为本项目的中选人。</w:t>
      </w:r>
    </w:p>
    <w:p w14:paraId="7470FADA">
      <w:pPr>
        <w:pStyle w:val="20"/>
        <w:spacing w:line="360" w:lineRule="auto"/>
        <w:ind w:right="121"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1.3 </w:t>
      </w: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报价部分评分办法和标准如下：</w:t>
      </w:r>
    </w:p>
    <w:p w14:paraId="2A976E0C">
      <w:pPr>
        <w:snapToGrid w:val="0"/>
        <w:spacing w:line="360" w:lineRule="auto"/>
        <w:ind w:firstLine="480" w:firstLineChars="200"/>
        <w:contextualSpacing/>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（一）本次公开比选采用综合评分法，满分100分，其中技术分占20分，商务分占10分，报价分占70分；</w:t>
      </w:r>
    </w:p>
    <w:p w14:paraId="23D283F9">
      <w:pPr>
        <w:snapToGrid w:val="0"/>
        <w:spacing w:line="360" w:lineRule="auto"/>
        <w:ind w:firstLine="480" w:firstLineChars="200"/>
        <w:contextualSpacing/>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（二）参比人按照相同的标准递交参比文件。开选评审后，根据评分标准，综合得分排名第一的为中选人</w:t>
      </w:r>
      <w:bookmarkStart w:id="0" w:name="_Toc141689014"/>
      <w:r>
        <w:rPr>
          <w:rFonts w:hint="eastAsia" w:ascii="仿宋" w:hAnsi="仿宋" w:eastAsia="仿宋" w:cs="仿宋"/>
          <w:color w:val="auto"/>
          <w:sz w:val="24"/>
          <w:szCs w:val="24"/>
          <w:highlight w:val="none"/>
          <w:lang w:val="en-US" w:eastAsia="zh-CN" w:bidi="ar-SA"/>
        </w:rPr>
        <w:t>；</w:t>
      </w:r>
    </w:p>
    <w:p w14:paraId="48C8C8AC">
      <w:pPr>
        <w:spacing w:line="360" w:lineRule="auto"/>
        <w:ind w:firstLine="48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（三）技术评分（满分20分）</w:t>
      </w:r>
      <w:bookmarkEnd w:id="0"/>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417"/>
        <w:gridCol w:w="6439"/>
      </w:tblGrid>
      <w:tr w14:paraId="6048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1451" w:type="dxa"/>
            <w:tcBorders>
              <w:top w:val="single" w:color="auto" w:sz="4" w:space="0"/>
              <w:left w:val="single" w:color="auto" w:sz="4" w:space="0"/>
              <w:bottom w:val="single" w:color="auto" w:sz="4" w:space="0"/>
              <w:right w:val="single" w:color="auto" w:sz="4" w:space="0"/>
            </w:tcBorders>
            <w:vAlign w:val="center"/>
          </w:tcPr>
          <w:p w14:paraId="5A9F24C1">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评选项目</w:t>
            </w:r>
          </w:p>
        </w:tc>
        <w:tc>
          <w:tcPr>
            <w:tcW w:w="1417" w:type="dxa"/>
            <w:tcBorders>
              <w:top w:val="single" w:color="auto" w:sz="4" w:space="0"/>
              <w:left w:val="single" w:color="auto" w:sz="4" w:space="0"/>
              <w:bottom w:val="single" w:color="auto" w:sz="4" w:space="0"/>
              <w:right w:val="single" w:color="auto" w:sz="4" w:space="0"/>
            </w:tcBorders>
            <w:vAlign w:val="center"/>
          </w:tcPr>
          <w:p w14:paraId="2651E15F">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评选分值</w:t>
            </w:r>
          </w:p>
        </w:tc>
        <w:tc>
          <w:tcPr>
            <w:tcW w:w="6439" w:type="dxa"/>
            <w:tcBorders>
              <w:top w:val="single" w:color="auto" w:sz="4" w:space="0"/>
              <w:left w:val="single" w:color="auto" w:sz="4" w:space="0"/>
              <w:bottom w:val="single" w:color="auto" w:sz="4" w:space="0"/>
              <w:right w:val="single" w:color="auto" w:sz="4" w:space="0"/>
            </w:tcBorders>
            <w:vAlign w:val="center"/>
          </w:tcPr>
          <w:p w14:paraId="2E3FCA83">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评选方法描述</w:t>
            </w:r>
          </w:p>
        </w:tc>
      </w:tr>
      <w:tr w14:paraId="2FB1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14:paraId="62AC2170">
            <w:pPr>
              <w:widowControl/>
              <w:snapToGrid w:val="0"/>
              <w:spacing w:line="36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人员配置</w:t>
            </w:r>
          </w:p>
        </w:tc>
        <w:tc>
          <w:tcPr>
            <w:tcW w:w="1417" w:type="dxa"/>
            <w:tcBorders>
              <w:top w:val="single" w:color="auto" w:sz="4" w:space="0"/>
              <w:left w:val="single" w:color="auto" w:sz="4" w:space="0"/>
              <w:bottom w:val="single" w:color="auto" w:sz="4" w:space="0"/>
              <w:right w:val="single" w:color="auto" w:sz="4" w:space="0"/>
            </w:tcBorders>
            <w:vAlign w:val="center"/>
          </w:tcPr>
          <w:p w14:paraId="008BB470">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13</w:t>
            </w:r>
          </w:p>
        </w:tc>
        <w:tc>
          <w:tcPr>
            <w:tcW w:w="6439" w:type="dxa"/>
            <w:tcBorders>
              <w:top w:val="single" w:color="auto" w:sz="4" w:space="0"/>
              <w:left w:val="single" w:color="auto" w:sz="4" w:space="0"/>
              <w:bottom w:val="single" w:color="auto" w:sz="4" w:space="0"/>
              <w:right w:val="single" w:color="auto" w:sz="4" w:space="0"/>
            </w:tcBorders>
            <w:vAlign w:val="center"/>
          </w:tcPr>
          <w:p w14:paraId="09667439">
            <w:pPr>
              <w:widowControl/>
              <w:snapToGrid w:val="0"/>
              <w:spacing w:line="42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1、配置现场人员应均持有中级消防设施操作员（职业方向为消防设施检测维修保养），其中至少有两名同时持有电工证，满足要求得5分。</w:t>
            </w:r>
          </w:p>
          <w:p w14:paraId="0A95CBA3">
            <w:pPr>
              <w:widowControl/>
              <w:spacing w:line="420" w:lineRule="exac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2、在第1条基础上，同时持有一级注册消防工程师资格证，每人加2分，同时持有电工证或其他与作业有关的证书每人加1分，满分13分。需提供证书复印件加盖参比人公章并全部装订在参比文件中）。</w:t>
            </w:r>
          </w:p>
        </w:tc>
      </w:tr>
      <w:tr w14:paraId="21B8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14:paraId="5CF70DBA">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维保方案</w:t>
            </w:r>
          </w:p>
        </w:tc>
        <w:tc>
          <w:tcPr>
            <w:tcW w:w="1417" w:type="dxa"/>
            <w:tcBorders>
              <w:top w:val="single" w:color="auto" w:sz="4" w:space="0"/>
              <w:left w:val="single" w:color="auto" w:sz="4" w:space="0"/>
              <w:bottom w:val="single" w:color="auto" w:sz="4" w:space="0"/>
              <w:right w:val="single" w:color="auto" w:sz="4" w:space="0"/>
            </w:tcBorders>
            <w:vAlign w:val="center"/>
          </w:tcPr>
          <w:p w14:paraId="0CD68080">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w:t>
            </w:r>
          </w:p>
        </w:tc>
        <w:tc>
          <w:tcPr>
            <w:tcW w:w="6439" w:type="dxa"/>
            <w:tcBorders>
              <w:top w:val="single" w:color="auto" w:sz="4" w:space="0"/>
              <w:left w:val="single" w:color="auto" w:sz="4" w:space="0"/>
              <w:bottom w:val="single" w:color="auto" w:sz="4" w:space="0"/>
              <w:right w:val="single" w:color="auto" w:sz="4" w:space="0"/>
            </w:tcBorders>
            <w:vAlign w:val="center"/>
          </w:tcPr>
          <w:p w14:paraId="1C0C5F81">
            <w:pPr>
              <w:widowControl/>
              <w:snapToGrid w:val="0"/>
              <w:spacing w:line="42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维保方案有服务标准、服务流程、服务目标、安全措施、服务质量保障、技术支持力量、支持方式、人员及装备配置、响应速度、应急预案等方面评价：1、方案完善，得7分；2、方案较完善，得5分；3、方案一般，得3分；4、无方案，得0分。</w:t>
            </w:r>
          </w:p>
        </w:tc>
      </w:tr>
    </w:tbl>
    <w:p w14:paraId="6DCAF353">
      <w:pPr>
        <w:spacing w:line="360" w:lineRule="auto"/>
        <w:ind w:firstLine="480" w:firstLineChars="200"/>
        <w:rPr>
          <w:rFonts w:hint="eastAsia" w:ascii="仿宋" w:hAnsi="仿宋" w:eastAsia="仿宋" w:cs="仿宋"/>
          <w:color w:val="auto"/>
          <w:sz w:val="24"/>
          <w:szCs w:val="24"/>
          <w:highlight w:val="none"/>
          <w:lang w:val="en-US" w:eastAsia="zh-CN" w:bidi="ar-SA"/>
        </w:rPr>
      </w:pPr>
      <w:bookmarkStart w:id="1" w:name="_Toc141689016"/>
    </w:p>
    <w:p w14:paraId="443A3629">
      <w:pPr>
        <w:spacing w:line="360" w:lineRule="auto"/>
        <w:ind w:firstLine="480" w:firstLineChars="200"/>
        <w:rPr>
          <w:rFonts w:hint="eastAsia" w:ascii="仿宋" w:hAnsi="仿宋" w:eastAsia="仿宋" w:cs="仿宋"/>
          <w:color w:val="auto"/>
          <w:sz w:val="24"/>
          <w:szCs w:val="24"/>
          <w:highlight w:val="none"/>
          <w:lang w:val="en-US" w:eastAsia="zh-CN" w:bidi="ar-SA"/>
        </w:rPr>
      </w:pPr>
    </w:p>
    <w:p w14:paraId="59C756B5">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（四）商务评分（满分10分）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417"/>
        <w:gridCol w:w="6439"/>
      </w:tblGrid>
      <w:tr w14:paraId="6E4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jc w:val="center"/>
        </w:trPr>
        <w:tc>
          <w:tcPr>
            <w:tcW w:w="1451" w:type="dxa"/>
            <w:tcBorders>
              <w:top w:val="single" w:color="auto" w:sz="4" w:space="0"/>
              <w:left w:val="single" w:color="auto" w:sz="4" w:space="0"/>
              <w:bottom w:val="single" w:color="auto" w:sz="4" w:space="0"/>
              <w:right w:val="single" w:color="auto" w:sz="4" w:space="0"/>
            </w:tcBorders>
            <w:vAlign w:val="center"/>
          </w:tcPr>
          <w:p w14:paraId="184C67F6">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评选项目</w:t>
            </w:r>
          </w:p>
        </w:tc>
        <w:tc>
          <w:tcPr>
            <w:tcW w:w="1417" w:type="dxa"/>
            <w:tcBorders>
              <w:top w:val="single" w:color="auto" w:sz="4" w:space="0"/>
              <w:left w:val="single" w:color="auto" w:sz="4" w:space="0"/>
              <w:bottom w:val="single" w:color="auto" w:sz="4" w:space="0"/>
              <w:right w:val="single" w:color="auto" w:sz="4" w:space="0"/>
            </w:tcBorders>
            <w:vAlign w:val="center"/>
          </w:tcPr>
          <w:p w14:paraId="463D0655">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评选分值</w:t>
            </w:r>
          </w:p>
        </w:tc>
        <w:tc>
          <w:tcPr>
            <w:tcW w:w="6439" w:type="dxa"/>
            <w:tcBorders>
              <w:top w:val="single" w:color="auto" w:sz="4" w:space="0"/>
              <w:left w:val="single" w:color="auto" w:sz="4" w:space="0"/>
              <w:bottom w:val="single" w:color="auto" w:sz="4" w:space="0"/>
              <w:right w:val="single" w:color="auto" w:sz="4" w:space="0"/>
            </w:tcBorders>
            <w:vAlign w:val="center"/>
          </w:tcPr>
          <w:p w14:paraId="2E28CD09">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评选方法描述</w:t>
            </w:r>
          </w:p>
        </w:tc>
      </w:tr>
      <w:tr w14:paraId="5AF8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451" w:type="dxa"/>
            <w:tcBorders>
              <w:top w:val="single" w:color="auto" w:sz="4" w:space="0"/>
              <w:left w:val="single" w:color="auto" w:sz="4" w:space="0"/>
              <w:right w:val="single" w:color="auto" w:sz="4" w:space="0"/>
            </w:tcBorders>
            <w:vAlign w:val="center"/>
          </w:tcPr>
          <w:p w14:paraId="5AE2C334">
            <w:pPr>
              <w:widowControl/>
              <w:snapToGrid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参比人资质</w:t>
            </w:r>
          </w:p>
        </w:tc>
        <w:tc>
          <w:tcPr>
            <w:tcW w:w="1417" w:type="dxa"/>
            <w:tcBorders>
              <w:top w:val="single" w:color="auto" w:sz="4" w:space="0"/>
              <w:left w:val="single" w:color="auto" w:sz="4" w:space="0"/>
              <w:right w:val="single" w:color="auto" w:sz="4" w:space="0"/>
            </w:tcBorders>
            <w:vAlign w:val="center"/>
          </w:tcPr>
          <w:p w14:paraId="486799B3">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w:t>
            </w:r>
          </w:p>
        </w:tc>
        <w:tc>
          <w:tcPr>
            <w:tcW w:w="6439" w:type="dxa"/>
            <w:tcBorders>
              <w:top w:val="single" w:color="auto" w:sz="4" w:space="0"/>
              <w:left w:val="single" w:color="auto" w:sz="4" w:space="0"/>
              <w:bottom w:val="single" w:color="auto" w:sz="4" w:space="0"/>
              <w:right w:val="single" w:color="auto" w:sz="4" w:space="0"/>
            </w:tcBorders>
            <w:vAlign w:val="center"/>
          </w:tcPr>
          <w:p w14:paraId="70C7B499">
            <w:pPr>
              <w:widowControl/>
              <w:snapToGrid w:val="0"/>
              <w:spacing w:line="42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1、营业执照经营范围必须包含</w:t>
            </w:r>
            <w:r>
              <w:rPr>
                <w:rFonts w:hint="eastAsia" w:ascii="仿宋" w:hAnsi="仿宋" w:eastAsia="仿宋" w:cs="仿宋"/>
                <w:b/>
                <w:bCs/>
                <w:color w:val="auto"/>
                <w:sz w:val="24"/>
                <w:szCs w:val="24"/>
                <w:highlight w:val="none"/>
                <w:lang w:val="en-US" w:eastAsia="zh-CN" w:bidi="ar-SA"/>
              </w:rPr>
              <w:t>消防技术服务</w:t>
            </w:r>
            <w:r>
              <w:rPr>
                <w:rFonts w:hint="eastAsia" w:ascii="仿宋" w:hAnsi="仿宋" w:eastAsia="仿宋" w:cs="仿宋"/>
                <w:color w:val="auto"/>
                <w:sz w:val="24"/>
                <w:szCs w:val="24"/>
                <w:highlight w:val="none"/>
                <w:lang w:val="en-US" w:eastAsia="zh-CN" w:bidi="ar-SA"/>
              </w:rPr>
              <w:t>，所有材料复印件需加盖公章；</w:t>
            </w:r>
          </w:p>
          <w:p w14:paraId="386847D2">
            <w:pPr>
              <w:widowControl/>
              <w:snapToGrid w:val="0"/>
              <w:spacing w:line="42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2、在福建消防的“福建消防技术服务信息平台”维护保养检测机构评定为“三星及以上”的服务机构；</w:t>
            </w:r>
          </w:p>
          <w:p w14:paraId="498052E0">
            <w:pPr>
              <w:widowControl/>
              <w:snapToGrid w:val="0"/>
              <w:spacing w:line="42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3、技术负责人应具有一级注册消防工程师资格，并提供相应至少一年本公司的社保交纳证明文件并加盖公章。</w:t>
            </w:r>
          </w:p>
        </w:tc>
      </w:tr>
      <w:tr w14:paraId="16EE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451" w:type="dxa"/>
            <w:tcBorders>
              <w:left w:val="single" w:color="auto" w:sz="4" w:space="0"/>
              <w:bottom w:val="single" w:color="auto" w:sz="4" w:space="0"/>
              <w:right w:val="single" w:color="auto" w:sz="4" w:space="0"/>
            </w:tcBorders>
            <w:vAlign w:val="center"/>
          </w:tcPr>
          <w:p w14:paraId="7C5D6A95">
            <w:pPr>
              <w:widowControl/>
              <w:snapToGrid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参比人综合实力</w:t>
            </w:r>
          </w:p>
        </w:tc>
        <w:tc>
          <w:tcPr>
            <w:tcW w:w="1417" w:type="dxa"/>
            <w:tcBorders>
              <w:left w:val="single" w:color="auto" w:sz="4" w:space="0"/>
              <w:bottom w:val="single" w:color="auto" w:sz="4" w:space="0"/>
              <w:right w:val="single" w:color="auto" w:sz="4" w:space="0"/>
            </w:tcBorders>
            <w:vAlign w:val="center"/>
          </w:tcPr>
          <w:p w14:paraId="26CED429">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6439" w:type="dxa"/>
            <w:tcBorders>
              <w:top w:val="single" w:color="auto" w:sz="4" w:space="0"/>
              <w:left w:val="single" w:color="auto" w:sz="4" w:space="0"/>
              <w:bottom w:val="single" w:color="auto" w:sz="4" w:space="0"/>
              <w:right w:val="single" w:color="auto" w:sz="4" w:space="0"/>
            </w:tcBorders>
            <w:vAlign w:val="center"/>
          </w:tcPr>
          <w:p w14:paraId="67ADF073">
            <w:pPr>
              <w:widowControl/>
              <w:snapToGrid w:val="0"/>
              <w:spacing w:line="42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根据参比人企业概况、企业优势、企业的专业性、企业技术力量、管理体系认证等方面情况，由评委进行评议并在0～3 分之间进行评分。</w:t>
            </w:r>
          </w:p>
        </w:tc>
      </w:tr>
      <w:tr w14:paraId="6477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451" w:type="dxa"/>
            <w:tcBorders>
              <w:top w:val="single" w:color="auto" w:sz="4" w:space="0"/>
              <w:left w:val="single" w:color="auto" w:sz="4" w:space="0"/>
              <w:bottom w:val="single" w:color="auto" w:sz="4" w:space="0"/>
              <w:right w:val="single" w:color="auto" w:sz="4" w:space="0"/>
            </w:tcBorders>
            <w:vAlign w:val="center"/>
          </w:tcPr>
          <w:p w14:paraId="40E0A3E1">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项目业绩</w:t>
            </w:r>
          </w:p>
        </w:tc>
        <w:tc>
          <w:tcPr>
            <w:tcW w:w="1417" w:type="dxa"/>
            <w:tcBorders>
              <w:top w:val="single" w:color="auto" w:sz="4" w:space="0"/>
              <w:left w:val="single" w:color="auto" w:sz="4" w:space="0"/>
              <w:bottom w:val="single" w:color="auto" w:sz="4" w:space="0"/>
              <w:right w:val="single" w:color="auto" w:sz="4" w:space="0"/>
            </w:tcBorders>
            <w:vAlign w:val="center"/>
          </w:tcPr>
          <w:p w14:paraId="04FBBC71">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w:t>
            </w:r>
          </w:p>
        </w:tc>
        <w:tc>
          <w:tcPr>
            <w:tcW w:w="6439" w:type="dxa"/>
            <w:tcBorders>
              <w:top w:val="single" w:color="auto" w:sz="4" w:space="0"/>
              <w:left w:val="single" w:color="auto" w:sz="4" w:space="0"/>
              <w:bottom w:val="single" w:color="auto" w:sz="4" w:space="0"/>
              <w:right w:val="single" w:color="auto" w:sz="4" w:space="0"/>
            </w:tcBorders>
            <w:vAlign w:val="center"/>
          </w:tcPr>
          <w:p w14:paraId="4878FC63">
            <w:pPr>
              <w:widowControl/>
              <w:snapToGrid w:val="0"/>
              <w:spacing w:line="420" w:lineRule="exact"/>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具有石化企业消防设施维保检测项目业绩：至少有一家100万及以上的石化维保检测业绩，满足要求得2分。每增加一家100万及以上石化企业业绩加1分，满分5分。需提供完整石油石化企业消防设施维修保养合同及</w:t>
            </w:r>
            <w:r>
              <w:rPr>
                <w:rFonts w:hint="eastAsia" w:ascii="仿宋" w:hAnsi="仿宋" w:eastAsia="仿宋" w:cs="仿宋"/>
                <w:b/>
                <w:bCs/>
                <w:color w:val="auto"/>
                <w:sz w:val="24"/>
                <w:szCs w:val="24"/>
                <w:highlight w:val="none"/>
                <w:lang w:val="en-US" w:eastAsia="zh-CN" w:bidi="ar-SA"/>
              </w:rPr>
              <w:t>发票</w:t>
            </w:r>
            <w:r>
              <w:rPr>
                <w:rFonts w:hint="eastAsia" w:ascii="仿宋" w:hAnsi="仿宋" w:eastAsia="仿宋" w:cs="仿宋"/>
                <w:color w:val="auto"/>
                <w:sz w:val="24"/>
                <w:szCs w:val="24"/>
                <w:highlight w:val="none"/>
                <w:lang w:val="en-US" w:eastAsia="zh-CN" w:bidi="ar-SA"/>
              </w:rPr>
              <w:t>，业绩合同复印件加盖参比人公章并全部装订在参比文件中）。</w:t>
            </w:r>
          </w:p>
        </w:tc>
      </w:tr>
    </w:tbl>
    <w:p w14:paraId="4F7D05A4">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（五）报价评分（满分70分）</w:t>
      </w:r>
      <w:bookmarkEnd w:id="1"/>
    </w:p>
    <w:tbl>
      <w:tblPr>
        <w:tblStyle w:val="45"/>
        <w:tblW w:w="9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417"/>
        <w:gridCol w:w="6630"/>
      </w:tblGrid>
      <w:tr w14:paraId="7391E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418" w:type="dxa"/>
            <w:tcBorders>
              <w:top w:val="single" w:color="000000" w:sz="4" w:space="0"/>
              <w:left w:val="single" w:color="000000" w:sz="4" w:space="0"/>
              <w:right w:val="single" w:color="000000" w:sz="4" w:space="0"/>
            </w:tcBorders>
            <w:vAlign w:val="center"/>
          </w:tcPr>
          <w:p w14:paraId="0A4E51C1">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评分项目</w:t>
            </w:r>
          </w:p>
        </w:tc>
        <w:tc>
          <w:tcPr>
            <w:tcW w:w="1417" w:type="dxa"/>
            <w:tcBorders>
              <w:top w:val="single" w:color="000000" w:sz="4" w:space="0"/>
              <w:left w:val="single" w:color="000000" w:sz="4" w:space="0"/>
              <w:bottom w:val="single" w:color="000000" w:sz="4" w:space="0"/>
              <w:right w:val="single" w:color="000000" w:sz="4" w:space="0"/>
            </w:tcBorders>
            <w:vAlign w:val="center"/>
          </w:tcPr>
          <w:p w14:paraId="79A2FF2C">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评分分值</w:t>
            </w:r>
          </w:p>
        </w:tc>
        <w:tc>
          <w:tcPr>
            <w:tcW w:w="6630" w:type="dxa"/>
            <w:tcBorders>
              <w:top w:val="single" w:color="000000" w:sz="4" w:space="0"/>
              <w:left w:val="single" w:color="000000" w:sz="4" w:space="0"/>
              <w:right w:val="single" w:color="000000" w:sz="4" w:space="0"/>
            </w:tcBorders>
            <w:vAlign w:val="center"/>
          </w:tcPr>
          <w:p w14:paraId="7D2445AC">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评分方法描述</w:t>
            </w:r>
          </w:p>
        </w:tc>
      </w:tr>
      <w:tr w14:paraId="6ADE2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 w:hRule="atLeast"/>
        </w:trPr>
        <w:tc>
          <w:tcPr>
            <w:tcW w:w="1418" w:type="dxa"/>
            <w:tcBorders>
              <w:left w:val="single" w:color="000000" w:sz="4" w:space="0"/>
              <w:bottom w:val="single" w:color="000000" w:sz="4" w:space="0"/>
              <w:right w:val="single" w:color="000000" w:sz="4" w:space="0"/>
            </w:tcBorders>
            <w:vAlign w:val="center"/>
          </w:tcPr>
          <w:p w14:paraId="3E4E3E33">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报价部分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5AB509C3">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70</w:t>
            </w:r>
          </w:p>
        </w:tc>
        <w:tc>
          <w:tcPr>
            <w:tcW w:w="6630" w:type="dxa"/>
            <w:tcBorders>
              <w:left w:val="single" w:color="000000" w:sz="4" w:space="0"/>
              <w:bottom w:val="single" w:color="000000" w:sz="4" w:space="0"/>
              <w:right w:val="single" w:color="000000" w:sz="4" w:space="0"/>
            </w:tcBorders>
            <w:vAlign w:val="center"/>
          </w:tcPr>
          <w:p w14:paraId="7FA93B31">
            <w:pPr>
              <w:pStyle w:val="20"/>
              <w:spacing w:line="336" w:lineRule="auto"/>
              <w:ind w:left="346" w:leftChars="44" w:right="121" w:hanging="249" w:hangingChars="10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 评选基准价</w:t>
            </w:r>
          </w:p>
          <w:p w14:paraId="523F337B">
            <w:pPr>
              <w:pStyle w:val="20"/>
              <w:numPr>
                <w:ilvl w:val="1"/>
                <w:numId w:val="9"/>
              </w:numPr>
              <w:spacing w:line="336" w:lineRule="auto"/>
              <w:ind w:left="584" w:leftChars="44" w:right="121" w:hanging="487" w:hangingChars="20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选委员会对各有效标的参比报价进行审核确定评选价，并将所有参比人的评选价去掉一个最高值后的算术平均数定为评选基准价（如参与评选价平均值计算的参比人少于4家时，不再去掉最高和最低值，直接计算其算术平均数为评选基准价）。</w:t>
            </w:r>
          </w:p>
          <w:p w14:paraId="7176E848">
            <w:pPr>
              <w:pStyle w:val="20"/>
              <w:numPr>
                <w:ilvl w:val="1"/>
                <w:numId w:val="9"/>
              </w:numPr>
              <w:spacing w:line="336" w:lineRule="auto"/>
              <w:ind w:left="584" w:leftChars="44" w:right="121" w:hanging="487" w:hangingChars="20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有效报价&gt;=5家时，去掉1个最高价后，再计算其参比报价平均值作为评选基准价。</w:t>
            </w:r>
          </w:p>
          <w:p w14:paraId="270A1337">
            <w:pPr>
              <w:pStyle w:val="20"/>
              <w:spacing w:line="336" w:lineRule="auto"/>
              <w:ind w:left="346" w:leftChars="44" w:right="121" w:hanging="249" w:hangingChars="10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有效报价&lt;5家时，评审基准价计算统一采用参比报价平均值作为评选基准价。</w:t>
            </w:r>
          </w:p>
          <w:p w14:paraId="13154342">
            <w:pPr>
              <w:pStyle w:val="20"/>
              <w:spacing w:line="336" w:lineRule="auto"/>
              <w:ind w:left="346" w:leftChars="44" w:right="121" w:hanging="249" w:hangingChars="10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 评审基准价计算统一采用参比报价平均值作为评选基准价，即满足采购文件要求评审价格的平均报价作为评审基准价，其价格分为满分。其他参比响应供应商价格分按下列公式计算：参比报价得分=70-（|Ai-评选基准价|÷评选基准价）×100×Q。</w:t>
            </w:r>
          </w:p>
          <w:p w14:paraId="5B3AB1BC">
            <w:pPr>
              <w:pStyle w:val="20"/>
              <w:spacing w:line="336" w:lineRule="auto"/>
              <w:ind w:left="346" w:leftChars="44" w:right="121" w:hanging="249" w:hangingChars="10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其中，Ai 为通过初步评审的各合格参比人有效报价评选价；</w:t>
            </w:r>
          </w:p>
          <w:p w14:paraId="0288D08D">
            <w:pPr>
              <w:pStyle w:val="20"/>
              <w:spacing w:line="336" w:lineRule="auto"/>
              <w:ind w:left="515" w:leftChars="234" w:right="121" w:firstLine="232" w:firstLineChars="9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Q为折价分，即有效报价评选价每偏离本项目评选基准价1%所扣的分数：</w:t>
            </w:r>
          </w:p>
          <w:p w14:paraId="44D3ECD7">
            <w:pPr>
              <w:pStyle w:val="20"/>
              <w:spacing w:line="336" w:lineRule="auto"/>
              <w:ind w:left="515" w:leftChars="227" w:right="121" w:hanging="16" w:hangingChars="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当合格参比人的有效报价评选价≤评选基准价时，Q的取值为0.50；</w:t>
            </w:r>
          </w:p>
          <w:p w14:paraId="47BF2E74">
            <w:pPr>
              <w:pStyle w:val="20"/>
              <w:spacing w:line="336" w:lineRule="auto"/>
              <w:ind w:right="121"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当合格参比人的有效报价评选价&gt;评选基准价时，Q的取值为1。</w:t>
            </w:r>
          </w:p>
          <w:p w14:paraId="1B8D75B1">
            <w:pPr>
              <w:pStyle w:val="20"/>
              <w:spacing w:line="336" w:lineRule="auto"/>
              <w:ind w:left="689" w:leftChars="95" w:right="121" w:hanging="480" w:hanging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1.5 参比人评选价=评选基准价；</w:t>
            </w:r>
            <w:r>
              <w:rPr>
                <w:rFonts w:hint="eastAsia" w:ascii="仿宋" w:hAnsi="仿宋" w:eastAsia="仿宋" w:cs="仿宋"/>
                <w:color w:val="auto"/>
                <w:sz w:val="24"/>
                <w:szCs w:val="24"/>
                <w:highlight w:val="none"/>
                <w:lang w:eastAsia="zh-CN"/>
              </w:rPr>
              <w:br w:type="textWrapping"/>
            </w:r>
            <w:r>
              <w:rPr>
                <w:rFonts w:hint="eastAsia" w:ascii="仿宋" w:hAnsi="仿宋" w:eastAsia="仿宋" w:cs="仿宋"/>
                <w:color w:val="auto"/>
                <w:sz w:val="24"/>
                <w:szCs w:val="24"/>
                <w:highlight w:val="none"/>
                <w:lang w:eastAsia="zh-CN"/>
              </w:rPr>
              <w:t>评选价得分=70</w:t>
            </w:r>
          </w:p>
        </w:tc>
      </w:tr>
    </w:tbl>
    <w:p w14:paraId="49093D03">
      <w:pPr>
        <w:spacing w:before="15" w:line="360" w:lineRule="auto"/>
        <w:ind w:firstLine="458" w:firstLineChars="200"/>
        <w:rPr>
          <w:rFonts w:ascii="仿宋" w:hAnsi="仿宋" w:eastAsia="仿宋"/>
          <w:b/>
          <w:color w:val="auto"/>
          <w:w w:val="95"/>
          <w:sz w:val="24"/>
          <w:szCs w:val="24"/>
          <w:highlight w:val="none"/>
          <w:lang w:eastAsia="zh-CN"/>
        </w:rPr>
      </w:pPr>
    </w:p>
    <w:p w14:paraId="42F510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二、资格审查</w:t>
      </w:r>
    </w:p>
    <w:p w14:paraId="4E99405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委员会将按照</w:t>
      </w:r>
      <w:r>
        <w:rPr>
          <w:rFonts w:hint="eastAsia" w:ascii="仿宋" w:hAnsi="仿宋" w:eastAsia="仿宋"/>
          <w:color w:val="auto"/>
          <w:sz w:val="24"/>
          <w:szCs w:val="24"/>
          <w:highlight w:val="none"/>
          <w:lang w:eastAsia="zh-CN"/>
        </w:rPr>
        <w:t>前述的</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人资格”的要求对参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人进行资格审查，以确定是否为符合</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文件规定要求的合格参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人提供的资格证明文件审查参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人的法人资格、营业范围、财务，以确定参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人是否有资格履行合同。经上述资格审查合格的参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人进入下一程序的评审，经上述资格审查不合格的</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资格将被评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委员会予以否决。</w:t>
      </w:r>
    </w:p>
    <w:p w14:paraId="6846AE5C">
      <w:pPr>
        <w:pStyle w:val="20"/>
        <w:spacing w:line="360" w:lineRule="auto"/>
        <w:ind w:right="121" w:firstLine="458" w:firstLineChars="200"/>
        <w:jc w:val="both"/>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三</w:t>
      </w:r>
      <w:r>
        <w:rPr>
          <w:rFonts w:ascii="仿宋" w:hAnsi="仿宋" w:eastAsia="仿宋"/>
          <w:b/>
          <w:color w:val="auto"/>
          <w:w w:val="95"/>
          <w:sz w:val="24"/>
          <w:szCs w:val="24"/>
          <w:highlight w:val="none"/>
          <w:lang w:eastAsia="zh-CN"/>
        </w:rPr>
        <w:t>、评</w:t>
      </w:r>
      <w:r>
        <w:rPr>
          <w:rFonts w:hint="eastAsia" w:ascii="仿宋" w:hAnsi="仿宋" w:eastAsia="仿宋"/>
          <w:b/>
          <w:color w:val="auto"/>
          <w:w w:val="95"/>
          <w:sz w:val="24"/>
          <w:szCs w:val="24"/>
          <w:highlight w:val="none"/>
          <w:lang w:eastAsia="zh-CN"/>
        </w:rPr>
        <w:t>审</w:t>
      </w:r>
    </w:p>
    <w:p w14:paraId="7A9BEE50">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人将在参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递交</w:t>
      </w:r>
      <w:r>
        <w:rPr>
          <w:rFonts w:ascii="仿宋" w:hAnsi="仿宋" w:eastAsia="仿宋"/>
          <w:color w:val="auto"/>
          <w:sz w:val="24"/>
          <w:szCs w:val="24"/>
          <w:highlight w:val="none"/>
          <w:lang w:eastAsia="zh-CN"/>
        </w:rPr>
        <w:t>截止日期后择日组织</w:t>
      </w:r>
      <w:r>
        <w:rPr>
          <w:rFonts w:hint="eastAsia" w:ascii="仿宋" w:hAnsi="仿宋" w:eastAsia="仿宋"/>
          <w:color w:val="auto"/>
          <w:sz w:val="24"/>
          <w:szCs w:val="24"/>
          <w:highlight w:val="none"/>
          <w:lang w:eastAsia="zh-CN"/>
        </w:rPr>
        <w:t>评审</w:t>
      </w:r>
      <w:r>
        <w:rPr>
          <w:rFonts w:ascii="仿宋" w:hAnsi="仿宋" w:eastAsia="仿宋"/>
          <w:color w:val="auto"/>
          <w:sz w:val="24"/>
          <w:szCs w:val="24"/>
          <w:highlight w:val="none"/>
          <w:lang w:eastAsia="zh-CN"/>
        </w:rPr>
        <w:t>会，</w:t>
      </w:r>
      <w:r>
        <w:rPr>
          <w:rFonts w:hint="eastAsia" w:ascii="仿宋" w:hAnsi="仿宋" w:eastAsia="仿宋"/>
          <w:color w:val="auto"/>
          <w:sz w:val="24"/>
          <w:szCs w:val="24"/>
          <w:highlight w:val="none"/>
          <w:lang w:eastAsia="zh-CN"/>
        </w:rPr>
        <w:t>中选人的</w:t>
      </w:r>
      <w:r>
        <w:rPr>
          <w:rFonts w:ascii="仿宋" w:hAnsi="仿宋" w:eastAsia="仿宋"/>
          <w:color w:val="auto"/>
          <w:sz w:val="24"/>
          <w:szCs w:val="24"/>
          <w:highlight w:val="none"/>
          <w:lang w:eastAsia="zh-CN"/>
        </w:rPr>
        <w:t>选定工作在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人有关部门监督下，由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人依法组建的评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委员会负责。</w:t>
      </w:r>
    </w:p>
    <w:p w14:paraId="4B126CAC">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2.在开</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时没有启封和读出的参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文件，在评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时将不予考虑。</w:t>
      </w:r>
    </w:p>
    <w:p w14:paraId="1CDFD4D5">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人将做开选记录。</w:t>
      </w:r>
    </w:p>
    <w:p w14:paraId="51F4BAC2">
      <w:pPr>
        <w:pStyle w:val="20"/>
        <w:spacing w:line="360" w:lineRule="auto"/>
        <w:ind w:right="121" w:firstLine="480" w:firstLineChars="200"/>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4.采购人将根据评审结果与中选人签订合同。</w:t>
      </w:r>
    </w:p>
    <w:p w14:paraId="34AD73FA">
      <w:pPr>
        <w:spacing w:before="15" w:line="360" w:lineRule="auto"/>
        <w:ind w:firstLine="458" w:firstLineChars="200"/>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四</w:t>
      </w:r>
      <w:r>
        <w:rPr>
          <w:rFonts w:ascii="仿宋" w:hAnsi="仿宋" w:eastAsia="仿宋"/>
          <w:b/>
          <w:color w:val="auto"/>
          <w:w w:val="95"/>
          <w:sz w:val="24"/>
          <w:szCs w:val="24"/>
          <w:highlight w:val="none"/>
          <w:lang w:eastAsia="zh-CN"/>
        </w:rPr>
        <w:t>、以下情况作废选处理</w:t>
      </w:r>
    </w:p>
    <w:p w14:paraId="7D470CF1">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1.实质性响应要求的内容未按规定由参比人签名或加盖公章的；</w:t>
      </w:r>
    </w:p>
    <w:p w14:paraId="29C87290">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2.未按照采购文件要求提交参比保证金的；</w:t>
      </w:r>
    </w:p>
    <w:p w14:paraId="09DFBF47">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3.参比人不符合采购文件规定的资格条件；</w:t>
      </w:r>
    </w:p>
    <w:p w14:paraId="67B9CCC6">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4.</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文件存在重大偏差的</w:t>
      </w:r>
      <w:r>
        <w:rPr>
          <w:rFonts w:hint="eastAsia" w:ascii="仿宋" w:hAnsi="仿宋" w:eastAsia="仿宋"/>
          <w:color w:val="auto"/>
          <w:sz w:val="24"/>
          <w:szCs w:val="24"/>
          <w:highlight w:val="none"/>
          <w:lang w:eastAsia="zh-CN"/>
        </w:rPr>
        <w:t>，不能满足完成本项目采购的相关要求，不能响应比选文件实质性要求的；</w:t>
      </w:r>
    </w:p>
    <w:p w14:paraId="5DF1BACB">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5.违反规定影响开评审工作或采取其他方式对采购人施加影响的。</w:t>
      </w:r>
    </w:p>
    <w:p w14:paraId="1D97E90C">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6.参比人串标、相互勾结故意压低标价以排挤竞争对手的公平竞争的，其参比无效。 </w:t>
      </w:r>
    </w:p>
    <w:p w14:paraId="67D42907">
      <w:pPr>
        <w:rPr>
          <w:rFonts w:ascii="仿宋" w:hAnsi="仿宋" w:eastAsia="仿宋"/>
          <w:color w:val="auto"/>
          <w:sz w:val="24"/>
          <w:szCs w:val="24"/>
          <w:highlight w:val="none"/>
          <w:lang w:eastAsia="zh-CN"/>
        </w:rPr>
      </w:pPr>
    </w:p>
    <w:p w14:paraId="4B4AFEF4">
      <w:pPr>
        <w:spacing w:before="15" w:line="360" w:lineRule="auto"/>
        <w:jc w:val="center"/>
        <w:rPr>
          <w:rFonts w:ascii="仿宋" w:hAnsi="仿宋" w:eastAsia="仿宋"/>
          <w:b/>
          <w:color w:val="auto"/>
          <w:w w:val="95"/>
          <w:sz w:val="30"/>
          <w:szCs w:val="30"/>
          <w:highlight w:val="none"/>
          <w:lang w:eastAsia="zh-CN"/>
        </w:r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8"/>
          <w:rFonts w:hint="eastAsia" w:ascii="仿宋" w:hAnsi="仿宋" w:eastAsia="仿宋"/>
          <w:color w:val="auto"/>
          <w:sz w:val="24"/>
          <w:szCs w:val="24"/>
          <w:highlight w:val="none"/>
          <w:lang w:eastAsia="zh-CN"/>
        </w:rPr>
        <w:t>福建福海创石油化工有限公司</w:t>
      </w:r>
      <w:r>
        <w:rPr>
          <w:rStyle w:val="48"/>
          <w:rFonts w:hint="eastAsia" w:ascii="仿宋" w:hAnsi="仿宋" w:eastAsia="仿宋"/>
          <w:i/>
          <w:iCs/>
          <w:color w:val="auto"/>
          <w:sz w:val="24"/>
          <w:szCs w:val="24"/>
          <w:highlight w:val="none"/>
          <w:lang w:eastAsia="zh-CN"/>
        </w:rPr>
        <w:t>指定由</w:t>
      </w:r>
      <w:r>
        <w:rPr>
          <w:rStyle w:val="48"/>
          <w:rFonts w:ascii="仿宋" w:hAnsi="仿宋" w:eastAsia="仿宋"/>
          <w:i/>
          <w:iCs/>
          <w:color w:val="auto"/>
          <w:sz w:val="24"/>
          <w:szCs w:val="24"/>
          <w:highlight w:val="none"/>
          <w:lang w:eastAsia="zh-CN"/>
        </w:rPr>
        <w:t>其</w:t>
      </w:r>
      <w:r>
        <w:rPr>
          <w:rStyle w:val="48"/>
          <w:rFonts w:hint="eastAsia" w:ascii="仿宋" w:hAnsi="仿宋" w:eastAsia="仿宋"/>
          <w:i/>
          <w:iCs/>
          <w:color w:val="auto"/>
          <w:sz w:val="24"/>
          <w:szCs w:val="24"/>
          <w:highlight w:val="none"/>
          <w:lang w:val="en-US" w:eastAsia="zh-CN"/>
        </w:rPr>
        <w:t>及其</w:t>
      </w:r>
      <w:r>
        <w:rPr>
          <w:rStyle w:val="48"/>
          <w:rFonts w:hint="eastAsia" w:ascii="仿宋" w:hAnsi="仿宋" w:eastAsia="仿宋"/>
          <w:i/>
          <w:iCs/>
          <w:color w:val="auto"/>
          <w:sz w:val="24"/>
          <w:szCs w:val="24"/>
          <w:highlight w:val="none"/>
          <w:lang w:eastAsia="zh-CN"/>
        </w:rPr>
        <w:t>权属子公司“</w:t>
      </w:r>
      <w:r>
        <w:rPr>
          <w:rStyle w:val="48"/>
          <w:rFonts w:hint="eastAsia" w:ascii="仿宋" w:hAnsi="仿宋" w:eastAsia="仿宋"/>
          <w:i/>
          <w:iCs/>
          <w:color w:val="auto"/>
          <w:sz w:val="24"/>
          <w:szCs w:val="24"/>
          <w:highlight w:val="none"/>
          <w:lang w:val="en-US" w:eastAsia="zh-CN"/>
        </w:rPr>
        <w:t>腾龙芳烃</w:t>
      </w:r>
      <w:r>
        <w:rPr>
          <w:rStyle w:val="48"/>
          <w:rFonts w:hint="eastAsia" w:ascii="仿宋" w:hAnsi="仿宋" w:eastAsia="仿宋"/>
          <w:i/>
          <w:iCs/>
          <w:color w:val="auto"/>
          <w:sz w:val="24"/>
          <w:szCs w:val="24"/>
          <w:highlight w:val="none"/>
          <w:lang w:eastAsia="zh-CN"/>
        </w:rPr>
        <w:t>（漳州）有限公司”、“</w:t>
      </w:r>
      <w:r>
        <w:rPr>
          <w:rStyle w:val="48"/>
          <w:rFonts w:hint="eastAsia" w:ascii="仿宋" w:hAnsi="仿宋" w:eastAsia="仿宋" w:cs="Times New Roman"/>
          <w:i/>
          <w:iCs/>
          <w:color w:val="auto"/>
          <w:sz w:val="24"/>
          <w:szCs w:val="24"/>
          <w:highlight w:val="none"/>
          <w:lang w:val="en-US" w:eastAsia="zh-CN"/>
        </w:rPr>
        <w:t>翔鹭码头投资管理（漳州）有限公司</w:t>
      </w:r>
      <w:r>
        <w:rPr>
          <w:rStyle w:val="48"/>
          <w:rFonts w:hint="default" w:ascii="仿宋" w:hAnsi="仿宋" w:eastAsia="仿宋" w:cs="Times New Roman"/>
          <w:i/>
          <w:iCs/>
          <w:color w:val="auto"/>
          <w:sz w:val="24"/>
          <w:szCs w:val="24"/>
          <w:highlight w:val="none"/>
          <w:lang w:val="en-US" w:eastAsia="zh-CN"/>
        </w:rPr>
        <w:t>”</w:t>
      </w:r>
      <w:r>
        <w:rPr>
          <w:rStyle w:val="48"/>
          <w:rFonts w:hint="eastAsia" w:ascii="仿宋" w:hAnsi="仿宋" w:eastAsia="仿宋" w:cs="Times New Roman"/>
          <w:i/>
          <w:iCs/>
          <w:color w:val="auto"/>
          <w:sz w:val="24"/>
          <w:szCs w:val="24"/>
          <w:highlight w:val="none"/>
          <w:lang w:val="en-US" w:eastAsia="zh-CN"/>
        </w:rPr>
        <w:t>、“</w:t>
      </w:r>
      <w:r>
        <w:rPr>
          <w:rStyle w:val="48"/>
          <w:rFonts w:hint="eastAsia" w:ascii="仿宋" w:hAnsi="仿宋" w:eastAsia="仿宋"/>
          <w:i/>
          <w:iCs/>
          <w:color w:val="auto"/>
          <w:sz w:val="24"/>
          <w:szCs w:val="24"/>
          <w:highlight w:val="none"/>
          <w:lang w:val="en-US" w:eastAsia="zh-CN"/>
        </w:rPr>
        <w:t>福建省福化古蕾化学有限公司</w:t>
      </w:r>
      <w:r>
        <w:rPr>
          <w:rStyle w:val="48"/>
          <w:rFonts w:hint="default" w:ascii="仿宋" w:hAnsi="仿宋" w:eastAsia="仿宋"/>
          <w:i/>
          <w:iCs/>
          <w:color w:val="auto"/>
          <w:sz w:val="24"/>
          <w:szCs w:val="24"/>
          <w:highlight w:val="none"/>
          <w:lang w:val="en-US" w:eastAsia="zh-CN"/>
        </w:rPr>
        <w:t>”</w:t>
      </w:r>
      <w:r>
        <w:rPr>
          <w:rStyle w:val="48"/>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2509533D">
      <w:pPr>
        <w:pStyle w:val="20"/>
        <w:spacing w:line="360" w:lineRule="auto"/>
        <w:ind w:left="215"/>
        <w:rPr>
          <w:rFonts w:ascii="仿宋" w:hAnsi="仿宋" w:eastAsia="仿宋"/>
          <w:color w:val="auto"/>
          <w:highlight w:val="none"/>
          <w:lang w:eastAsia="zh-CN"/>
        </w:rPr>
      </w:pPr>
      <w:r>
        <w:rPr>
          <w:rFonts w:ascii="仿宋" w:hAnsi="仿宋" w:eastAsia="仿宋"/>
          <w:color w:val="auto"/>
          <w:highlight w:val="none"/>
          <w:lang w:eastAsia="zh-CN"/>
        </w:rPr>
        <w:br w:type="page"/>
      </w:r>
      <w:bookmarkStart w:id="2" w:name="_Toc251742852"/>
    </w:p>
    <w:p w14:paraId="71CB217A">
      <w:pPr>
        <w:spacing w:line="360" w:lineRule="auto"/>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第八章  采购内容及要求</w:t>
      </w:r>
    </w:p>
    <w:p w14:paraId="18D028C1">
      <w:pPr>
        <w:spacing w:line="360" w:lineRule="auto"/>
        <w:rPr>
          <w:rFonts w:hint="eastAsia"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一、</w:t>
      </w:r>
      <w:r>
        <w:rPr>
          <w:rFonts w:hint="eastAsia" w:ascii="仿宋" w:hAnsi="仿宋" w:eastAsia="仿宋"/>
          <w:b/>
          <w:color w:val="auto"/>
          <w:w w:val="95"/>
          <w:sz w:val="30"/>
          <w:szCs w:val="30"/>
          <w:highlight w:val="none"/>
          <w:lang w:eastAsia="zh-CN"/>
        </w:rPr>
        <w:t>采购内容一览表</w:t>
      </w:r>
    </w:p>
    <w:tbl>
      <w:tblPr>
        <w:tblStyle w:val="45"/>
        <w:tblpPr w:leftFromText="180" w:rightFromText="180" w:vertAnchor="text" w:horzAnchor="page" w:tblpX="1209" w:tblpY="639"/>
        <w:tblOverlap w:val="neve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9"/>
        <w:gridCol w:w="4155"/>
        <w:gridCol w:w="2063"/>
      </w:tblGrid>
      <w:tr w14:paraId="6A2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3"/>
            <w:shd w:val="clear" w:color="auto" w:fill="auto"/>
            <w:noWrap/>
            <w:vAlign w:val="center"/>
          </w:tcPr>
          <w:p w14:paraId="4AE5CE72">
            <w:pPr>
              <w:widowControl/>
              <w:spacing w:line="240" w:lineRule="auto"/>
              <w:ind w:firstLine="0" w:firstLineChars="0"/>
              <w:jc w:val="center"/>
              <w:rPr>
                <w:rFonts w:cs="宋体"/>
                <w:color w:val="auto"/>
                <w:kern w:val="0"/>
                <w:sz w:val="32"/>
                <w:szCs w:val="32"/>
                <w:highlight w:val="none"/>
              </w:rPr>
            </w:pPr>
            <w:r>
              <w:rPr>
                <w:rFonts w:hint="eastAsia" w:cs="宋体"/>
                <w:color w:val="auto"/>
                <w:kern w:val="0"/>
                <w:sz w:val="32"/>
                <w:szCs w:val="32"/>
                <w:highlight w:val="none"/>
              </w:rPr>
              <w:t xml:space="preserve"> 2026-2027年度消防设施维保及年度检测</w:t>
            </w:r>
            <w:r>
              <w:rPr>
                <w:rFonts w:hint="eastAsia" w:cs="宋体"/>
                <w:color w:val="auto"/>
                <w:kern w:val="0"/>
                <w:sz w:val="32"/>
                <w:szCs w:val="32"/>
                <w:highlight w:val="none"/>
                <w:lang w:val="en-US" w:eastAsia="zh-CN"/>
              </w:rPr>
              <w:t>项目</w:t>
            </w:r>
            <w:r>
              <w:rPr>
                <w:rFonts w:hint="eastAsia" w:cs="宋体"/>
                <w:color w:val="auto"/>
                <w:kern w:val="0"/>
                <w:sz w:val="32"/>
                <w:szCs w:val="32"/>
                <w:highlight w:val="none"/>
              </w:rPr>
              <w:t>表</w:t>
            </w:r>
          </w:p>
        </w:tc>
      </w:tr>
      <w:tr w14:paraId="258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699" w:type="dxa"/>
            <w:shd w:val="clear" w:color="auto" w:fill="auto"/>
            <w:noWrap/>
            <w:vAlign w:val="center"/>
          </w:tcPr>
          <w:p w14:paraId="6C748F21">
            <w:pPr>
              <w:widowControl/>
              <w:spacing w:line="240" w:lineRule="auto"/>
              <w:ind w:firstLine="0" w:firstLineChars="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所属公司</w:t>
            </w:r>
          </w:p>
        </w:tc>
        <w:tc>
          <w:tcPr>
            <w:tcW w:w="4155" w:type="dxa"/>
            <w:shd w:val="clear" w:color="auto" w:fill="auto"/>
            <w:vAlign w:val="center"/>
          </w:tcPr>
          <w:p w14:paraId="1C03C4EF">
            <w:pPr>
              <w:widowControl/>
              <w:spacing w:line="240" w:lineRule="auto"/>
              <w:ind w:firstLine="0" w:firstLineChars="0"/>
              <w:jc w:val="center"/>
              <w:rPr>
                <w:rFonts w:cs="宋体"/>
                <w:color w:val="auto"/>
                <w:kern w:val="0"/>
                <w:sz w:val="21"/>
                <w:szCs w:val="21"/>
                <w:highlight w:val="none"/>
              </w:rPr>
            </w:pPr>
            <w:r>
              <w:rPr>
                <w:rFonts w:hint="eastAsia" w:cs="宋体"/>
                <w:color w:val="auto"/>
                <w:kern w:val="0"/>
                <w:sz w:val="21"/>
                <w:szCs w:val="21"/>
                <w:highlight w:val="none"/>
              </w:rPr>
              <w:t>项目名称</w:t>
            </w:r>
          </w:p>
        </w:tc>
        <w:tc>
          <w:tcPr>
            <w:tcW w:w="2063" w:type="dxa"/>
            <w:shd w:val="clear" w:color="auto" w:fill="auto"/>
            <w:vAlign w:val="center"/>
          </w:tcPr>
          <w:p w14:paraId="530063BF">
            <w:pPr>
              <w:widowControl/>
              <w:spacing w:line="240" w:lineRule="auto"/>
              <w:ind w:firstLine="0" w:firstLineChars="0"/>
              <w:jc w:val="center"/>
              <w:rPr>
                <w:rFonts w:hint="default" w:eastAsia="宋体" w:cs="宋体"/>
                <w:color w:val="auto"/>
                <w:kern w:val="0"/>
                <w:sz w:val="21"/>
                <w:szCs w:val="21"/>
                <w:highlight w:val="none"/>
                <w:lang w:val="en-US" w:eastAsia="zh-CN"/>
              </w:rPr>
            </w:pPr>
            <w:r>
              <w:rPr>
                <w:rFonts w:hint="eastAsia" w:cs="宋体"/>
                <w:color w:val="auto"/>
                <w:kern w:val="0"/>
                <w:sz w:val="21"/>
                <w:szCs w:val="21"/>
                <w:highlight w:val="none"/>
                <w:lang w:val="en-US" w:eastAsia="zh-CN"/>
              </w:rPr>
              <w:t>备注</w:t>
            </w:r>
          </w:p>
        </w:tc>
      </w:tr>
      <w:tr w14:paraId="07B4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9" w:type="dxa"/>
            <w:shd w:val="clear" w:color="auto" w:fill="auto"/>
            <w:vAlign w:val="center"/>
          </w:tcPr>
          <w:p w14:paraId="4F04A427">
            <w:pPr>
              <w:widowControl/>
              <w:spacing w:line="240" w:lineRule="auto"/>
              <w:ind w:firstLine="0" w:firstLineChars="0"/>
              <w:jc w:val="left"/>
              <w:rPr>
                <w:rFonts w:hint="eastAsia" w:cs="宋体"/>
                <w:color w:val="auto"/>
                <w:kern w:val="0"/>
                <w:sz w:val="21"/>
                <w:szCs w:val="21"/>
                <w:highlight w:val="none"/>
                <w:lang w:val="en-US" w:eastAsia="zh-CN"/>
              </w:rPr>
            </w:pPr>
            <w:r>
              <w:rPr>
                <w:rFonts w:hint="eastAsia" w:cs="宋体"/>
                <w:color w:val="auto"/>
                <w:kern w:val="0"/>
                <w:sz w:val="21"/>
                <w:szCs w:val="21"/>
                <w:highlight w:val="none"/>
              </w:rPr>
              <w:t>福建福海创石油化工有限公司</w:t>
            </w:r>
          </w:p>
        </w:tc>
        <w:tc>
          <w:tcPr>
            <w:tcW w:w="4155" w:type="dxa"/>
            <w:shd w:val="clear" w:color="auto" w:fill="auto"/>
            <w:vAlign w:val="center"/>
          </w:tcPr>
          <w:p w14:paraId="4487C6E2">
            <w:pPr>
              <w:widowControl/>
              <w:spacing w:line="240" w:lineRule="auto"/>
              <w:ind w:firstLine="0" w:firstLineChars="0"/>
              <w:jc w:val="center"/>
              <w:rPr>
                <w:rFonts w:hint="eastAsia" w:cs="宋体"/>
                <w:color w:val="auto"/>
                <w:kern w:val="0"/>
                <w:sz w:val="21"/>
                <w:szCs w:val="21"/>
                <w:highlight w:val="none"/>
              </w:rPr>
            </w:pPr>
            <w:r>
              <w:rPr>
                <w:rFonts w:hint="eastAsia" w:cs="宋体"/>
                <w:color w:val="auto"/>
                <w:kern w:val="0"/>
                <w:sz w:val="21"/>
                <w:szCs w:val="21"/>
                <w:highlight w:val="none"/>
              </w:rPr>
              <w:t>2026-2027年度消防设施维保及年度检测</w:t>
            </w:r>
          </w:p>
        </w:tc>
        <w:tc>
          <w:tcPr>
            <w:tcW w:w="2063" w:type="dxa"/>
            <w:shd w:val="clear" w:color="auto" w:fill="auto"/>
            <w:vAlign w:val="center"/>
          </w:tcPr>
          <w:p w14:paraId="5CDBD7DE">
            <w:pPr>
              <w:widowControl/>
              <w:spacing w:line="240" w:lineRule="auto"/>
              <w:ind w:firstLine="0" w:firstLineChars="0"/>
              <w:rPr>
                <w:rFonts w:cs="宋体"/>
                <w:color w:val="auto"/>
                <w:kern w:val="0"/>
                <w:sz w:val="21"/>
                <w:szCs w:val="21"/>
                <w:highlight w:val="none"/>
              </w:rPr>
            </w:pPr>
          </w:p>
        </w:tc>
      </w:tr>
      <w:tr w14:paraId="3240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99" w:type="dxa"/>
            <w:shd w:val="clear" w:color="auto" w:fill="auto"/>
            <w:vAlign w:val="center"/>
          </w:tcPr>
          <w:p w14:paraId="4404D393">
            <w:pPr>
              <w:widowControl/>
              <w:spacing w:line="240" w:lineRule="auto"/>
              <w:ind w:firstLine="0" w:firstLineChars="0"/>
              <w:jc w:val="left"/>
              <w:rPr>
                <w:rFonts w:hint="eastAsia" w:cs="宋体"/>
                <w:color w:val="auto"/>
                <w:kern w:val="0"/>
                <w:sz w:val="21"/>
                <w:szCs w:val="21"/>
                <w:highlight w:val="none"/>
              </w:rPr>
            </w:pPr>
            <w:r>
              <w:rPr>
                <w:rFonts w:hint="eastAsia" w:cs="宋体"/>
                <w:color w:val="auto"/>
                <w:kern w:val="0"/>
                <w:sz w:val="21"/>
                <w:szCs w:val="21"/>
                <w:highlight w:val="none"/>
              </w:rPr>
              <w:t>腾龙芳烃（漳州）有限公司</w:t>
            </w:r>
          </w:p>
        </w:tc>
        <w:tc>
          <w:tcPr>
            <w:tcW w:w="4155" w:type="dxa"/>
            <w:shd w:val="clear" w:color="auto" w:fill="auto"/>
            <w:vAlign w:val="center"/>
          </w:tcPr>
          <w:p w14:paraId="2D75815C">
            <w:pPr>
              <w:widowControl/>
              <w:spacing w:line="240" w:lineRule="auto"/>
              <w:ind w:firstLine="0" w:firstLineChars="0"/>
              <w:jc w:val="center"/>
              <w:rPr>
                <w:rFonts w:hint="eastAsia" w:cs="宋体"/>
                <w:color w:val="auto"/>
                <w:kern w:val="0"/>
                <w:sz w:val="21"/>
                <w:szCs w:val="21"/>
                <w:highlight w:val="none"/>
              </w:rPr>
            </w:pPr>
            <w:r>
              <w:rPr>
                <w:rFonts w:hint="eastAsia" w:cs="宋体"/>
                <w:color w:val="auto"/>
                <w:kern w:val="0"/>
                <w:sz w:val="21"/>
                <w:szCs w:val="21"/>
                <w:highlight w:val="none"/>
              </w:rPr>
              <w:t>2026-2027年度消防设施维保及年度检测</w:t>
            </w:r>
          </w:p>
        </w:tc>
        <w:tc>
          <w:tcPr>
            <w:tcW w:w="2063" w:type="dxa"/>
            <w:shd w:val="clear" w:color="auto" w:fill="auto"/>
            <w:vAlign w:val="center"/>
          </w:tcPr>
          <w:p w14:paraId="2F33B8FE">
            <w:pPr>
              <w:widowControl/>
              <w:spacing w:line="240" w:lineRule="auto"/>
              <w:ind w:firstLine="0" w:firstLineChars="0"/>
              <w:rPr>
                <w:rFonts w:cs="宋体"/>
                <w:color w:val="auto"/>
                <w:kern w:val="0"/>
                <w:sz w:val="21"/>
                <w:szCs w:val="21"/>
                <w:highlight w:val="none"/>
              </w:rPr>
            </w:pPr>
          </w:p>
        </w:tc>
      </w:tr>
      <w:tr w14:paraId="5DFB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9" w:type="dxa"/>
            <w:shd w:val="clear" w:color="auto" w:fill="auto"/>
            <w:vAlign w:val="center"/>
          </w:tcPr>
          <w:p w14:paraId="3DCDB938">
            <w:pPr>
              <w:widowControl/>
              <w:spacing w:line="240" w:lineRule="auto"/>
              <w:ind w:firstLine="0" w:firstLineChars="0"/>
              <w:jc w:val="left"/>
              <w:rPr>
                <w:rFonts w:hint="eastAsia" w:cs="宋体"/>
                <w:color w:val="auto"/>
                <w:kern w:val="0"/>
                <w:sz w:val="21"/>
                <w:szCs w:val="21"/>
                <w:highlight w:val="none"/>
              </w:rPr>
            </w:pPr>
            <w:r>
              <w:rPr>
                <w:rFonts w:hint="eastAsia" w:cs="宋体"/>
                <w:color w:val="auto"/>
                <w:kern w:val="0"/>
                <w:sz w:val="21"/>
                <w:szCs w:val="21"/>
                <w:highlight w:val="none"/>
              </w:rPr>
              <w:t>翔鹭码头投资管理（漳州）有限公司</w:t>
            </w:r>
          </w:p>
        </w:tc>
        <w:tc>
          <w:tcPr>
            <w:tcW w:w="4155" w:type="dxa"/>
            <w:shd w:val="clear" w:color="auto" w:fill="auto"/>
            <w:vAlign w:val="center"/>
          </w:tcPr>
          <w:p w14:paraId="5AFE8678">
            <w:pPr>
              <w:widowControl/>
              <w:spacing w:line="240" w:lineRule="auto"/>
              <w:ind w:firstLine="0" w:firstLineChars="0"/>
              <w:jc w:val="center"/>
              <w:rPr>
                <w:rFonts w:hint="eastAsia" w:cs="宋体"/>
                <w:color w:val="auto"/>
                <w:kern w:val="0"/>
                <w:sz w:val="21"/>
                <w:szCs w:val="21"/>
                <w:highlight w:val="none"/>
              </w:rPr>
            </w:pPr>
            <w:r>
              <w:rPr>
                <w:rFonts w:hint="eastAsia" w:cs="宋体"/>
                <w:color w:val="auto"/>
                <w:kern w:val="0"/>
                <w:sz w:val="21"/>
                <w:szCs w:val="21"/>
                <w:highlight w:val="none"/>
              </w:rPr>
              <w:t>2026-2027年度消防设施维保及年度检测</w:t>
            </w:r>
          </w:p>
        </w:tc>
        <w:tc>
          <w:tcPr>
            <w:tcW w:w="2063" w:type="dxa"/>
            <w:shd w:val="clear" w:color="auto" w:fill="auto"/>
            <w:vAlign w:val="center"/>
          </w:tcPr>
          <w:p w14:paraId="2340D4D1">
            <w:pPr>
              <w:widowControl/>
              <w:spacing w:line="240" w:lineRule="auto"/>
              <w:ind w:firstLine="0" w:firstLineChars="0"/>
              <w:rPr>
                <w:rFonts w:cs="宋体"/>
                <w:color w:val="auto"/>
                <w:kern w:val="0"/>
                <w:sz w:val="21"/>
                <w:szCs w:val="21"/>
                <w:highlight w:val="none"/>
              </w:rPr>
            </w:pPr>
          </w:p>
        </w:tc>
      </w:tr>
      <w:tr w14:paraId="162B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99" w:type="dxa"/>
            <w:shd w:val="clear" w:color="auto" w:fill="auto"/>
            <w:vAlign w:val="center"/>
          </w:tcPr>
          <w:p w14:paraId="1328FC15">
            <w:pPr>
              <w:widowControl/>
              <w:spacing w:line="240" w:lineRule="auto"/>
              <w:ind w:firstLine="0" w:firstLineChars="0"/>
              <w:jc w:val="left"/>
              <w:rPr>
                <w:rFonts w:hint="eastAsia" w:cs="宋体"/>
                <w:color w:val="auto"/>
                <w:kern w:val="0"/>
                <w:sz w:val="21"/>
                <w:szCs w:val="21"/>
                <w:highlight w:val="none"/>
              </w:rPr>
            </w:pPr>
            <w:r>
              <w:rPr>
                <w:rFonts w:hint="eastAsia" w:cs="宋体"/>
                <w:color w:val="auto"/>
                <w:kern w:val="0"/>
                <w:sz w:val="21"/>
                <w:szCs w:val="21"/>
                <w:highlight w:val="none"/>
              </w:rPr>
              <w:t>福建省福化古蕾化学有限公司</w:t>
            </w:r>
          </w:p>
        </w:tc>
        <w:tc>
          <w:tcPr>
            <w:tcW w:w="4155" w:type="dxa"/>
            <w:shd w:val="clear" w:color="auto" w:fill="auto"/>
            <w:vAlign w:val="center"/>
          </w:tcPr>
          <w:p w14:paraId="46F88CEB">
            <w:pPr>
              <w:widowControl/>
              <w:spacing w:line="240" w:lineRule="auto"/>
              <w:ind w:firstLine="0" w:firstLineChars="0"/>
              <w:jc w:val="center"/>
              <w:rPr>
                <w:rFonts w:hint="eastAsia" w:cs="宋体"/>
                <w:color w:val="auto"/>
                <w:kern w:val="0"/>
                <w:sz w:val="21"/>
                <w:szCs w:val="21"/>
                <w:highlight w:val="none"/>
              </w:rPr>
            </w:pPr>
            <w:r>
              <w:rPr>
                <w:rFonts w:hint="eastAsia" w:cs="宋体"/>
                <w:color w:val="auto"/>
                <w:kern w:val="0"/>
                <w:sz w:val="21"/>
                <w:szCs w:val="21"/>
                <w:highlight w:val="none"/>
              </w:rPr>
              <w:t>2026-2027年度消防设施维保及年度检测</w:t>
            </w:r>
          </w:p>
        </w:tc>
        <w:tc>
          <w:tcPr>
            <w:tcW w:w="2063" w:type="dxa"/>
            <w:shd w:val="clear" w:color="auto" w:fill="auto"/>
            <w:vAlign w:val="center"/>
          </w:tcPr>
          <w:p w14:paraId="6C531B38">
            <w:pPr>
              <w:widowControl/>
              <w:spacing w:line="240" w:lineRule="auto"/>
              <w:ind w:firstLine="0" w:firstLineChars="0"/>
              <w:rPr>
                <w:rFonts w:cs="宋体"/>
                <w:color w:val="auto"/>
                <w:kern w:val="0"/>
                <w:sz w:val="21"/>
                <w:szCs w:val="21"/>
                <w:highlight w:val="none"/>
              </w:rPr>
            </w:pPr>
          </w:p>
        </w:tc>
      </w:tr>
      <w:tr w14:paraId="385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7" w:type="dxa"/>
            <w:gridSpan w:val="3"/>
            <w:shd w:val="clear" w:color="auto" w:fill="auto"/>
            <w:vAlign w:val="center"/>
          </w:tcPr>
          <w:p w14:paraId="62CF3235">
            <w:pPr>
              <w:widowControl/>
              <w:numPr>
                <w:ilvl w:val="0"/>
                <w:numId w:val="0"/>
              </w:numPr>
              <w:spacing w:line="240" w:lineRule="auto"/>
              <w:rPr>
                <w:rFonts w:hint="default"/>
                <w:snapToGrid w:val="0"/>
                <w:color w:val="auto"/>
                <w:sz w:val="21"/>
                <w:szCs w:val="21"/>
                <w:highlight w:val="none"/>
                <w:lang w:val="en-US" w:eastAsia="zh-CN"/>
              </w:rPr>
            </w:pPr>
            <w:r>
              <w:rPr>
                <w:rFonts w:hint="eastAsia" w:cs="宋体"/>
                <w:snapToGrid w:val="0"/>
                <w:color w:val="auto"/>
                <w:sz w:val="21"/>
                <w:szCs w:val="21"/>
                <w:highlight w:val="none"/>
                <w:lang w:val="en-US" w:eastAsia="zh-CN"/>
              </w:rPr>
              <w:t>备注</w:t>
            </w:r>
            <w:r>
              <w:rPr>
                <w:rFonts w:hint="eastAsia" w:hAnsi="宋体" w:cs="宋体"/>
                <w:snapToGrid w:val="0"/>
                <w:color w:val="auto"/>
                <w:sz w:val="21"/>
                <w:szCs w:val="21"/>
                <w:highlight w:val="none"/>
                <w:lang w:val="en-US" w:eastAsia="zh-CN"/>
              </w:rPr>
              <w:t>：结算</w:t>
            </w:r>
            <w:r>
              <w:rPr>
                <w:rFonts w:hint="eastAsia" w:cs="宋体"/>
                <w:snapToGrid w:val="0"/>
                <w:color w:val="auto"/>
                <w:sz w:val="21"/>
                <w:szCs w:val="21"/>
                <w:highlight w:val="none"/>
                <w:lang w:val="en-US" w:eastAsia="zh-CN"/>
              </w:rPr>
              <w:t>及付款</w:t>
            </w:r>
            <w:r>
              <w:rPr>
                <w:rFonts w:hint="eastAsia" w:hAnsi="宋体" w:cs="宋体"/>
                <w:snapToGrid w:val="0"/>
                <w:color w:val="auto"/>
                <w:sz w:val="21"/>
                <w:szCs w:val="21"/>
                <w:highlight w:val="none"/>
                <w:lang w:val="en-US" w:eastAsia="zh-CN"/>
              </w:rPr>
              <w:t>方式：</w:t>
            </w:r>
            <w:r>
              <w:rPr>
                <w:rFonts w:hint="eastAsia"/>
                <w:color w:val="auto"/>
                <w:sz w:val="24"/>
                <w:szCs w:val="24"/>
                <w:highlight w:val="none"/>
                <w:lang w:eastAsia="zh-CN"/>
              </w:rPr>
              <w:t>采取按季度支付形式，每季度结算合同总价的1/8。</w:t>
            </w:r>
          </w:p>
        </w:tc>
      </w:tr>
    </w:tbl>
    <w:p w14:paraId="1DE39DE8">
      <w:pPr>
        <w:pStyle w:val="10"/>
        <w:rPr>
          <w:color w:val="auto"/>
          <w:highlight w:val="none"/>
        </w:rPr>
      </w:pPr>
    </w:p>
    <w:p w14:paraId="3E4219D4">
      <w:pPr>
        <w:numPr>
          <w:ilvl w:val="0"/>
          <w:numId w:val="10"/>
        </w:numPr>
        <w:spacing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color w:val="auto"/>
          <w:highlight w:val="none"/>
        </w:rPr>
      </w:pPr>
      <w:r>
        <w:rPr>
          <w:rFonts w:hint="eastAsia"/>
          <w:color w:val="auto"/>
          <w:highlight w:val="none"/>
        </w:rPr>
        <w:t xml:space="preserve">        详见附件1</w:t>
      </w:r>
      <w:r>
        <w:rPr>
          <w:rFonts w:hint="eastAsia" w:ascii="宋体" w:hAnsi="宋体" w:eastAsia="宋体" w:cs="宋体"/>
          <w:color w:val="auto"/>
          <w:sz w:val="24"/>
          <w:szCs w:val="24"/>
          <w:highlight w:val="none"/>
          <w:lang w:val="en-US" w:eastAsia="zh-CN" w:bidi="ar-SA"/>
        </w:rPr>
        <w:t>《消防设施维保及检测发包方案》</w:t>
      </w:r>
    </w:p>
    <w:p w14:paraId="7028DF1B">
      <w:pPr>
        <w:spacing w:line="360" w:lineRule="auto"/>
        <w:ind w:firstLine="3292" w:firstLineChars="911"/>
        <w:rPr>
          <w:rFonts w:ascii="仿宋" w:hAnsi="仿宋" w:eastAsia="仿宋" w:cs="Times New Roman"/>
          <w:b/>
          <w:color w:val="auto"/>
          <w:sz w:val="36"/>
          <w:szCs w:val="36"/>
          <w:highlight w:val="none"/>
          <w:lang w:eastAsia="zh-CN"/>
        </w:rPr>
      </w:pPr>
    </w:p>
    <w:p w14:paraId="6B04056B">
      <w:pPr>
        <w:pStyle w:val="9"/>
        <w:rPr>
          <w:rFonts w:ascii="仿宋" w:hAnsi="仿宋" w:eastAsia="仿宋"/>
          <w:b/>
          <w:color w:val="auto"/>
          <w:sz w:val="36"/>
          <w:szCs w:val="36"/>
          <w:highlight w:val="none"/>
        </w:rPr>
      </w:pPr>
    </w:p>
    <w:p w14:paraId="1450C865">
      <w:pPr>
        <w:pStyle w:val="9"/>
        <w:rPr>
          <w:rFonts w:ascii="仿宋" w:hAnsi="仿宋" w:eastAsia="仿宋"/>
          <w:b/>
          <w:color w:val="auto"/>
          <w:sz w:val="36"/>
          <w:szCs w:val="36"/>
          <w:highlight w:val="none"/>
        </w:rPr>
      </w:pPr>
    </w:p>
    <w:p w14:paraId="02B0FD48">
      <w:pPr>
        <w:pStyle w:val="10"/>
        <w:rPr>
          <w:rFonts w:ascii="仿宋" w:hAnsi="仿宋" w:eastAsia="仿宋"/>
          <w:b/>
          <w:color w:val="auto"/>
          <w:sz w:val="36"/>
          <w:szCs w:val="36"/>
          <w:highlight w:val="none"/>
        </w:rPr>
      </w:pPr>
    </w:p>
    <w:p w14:paraId="69FF1A0C">
      <w:pPr>
        <w:pStyle w:val="10"/>
        <w:rPr>
          <w:rFonts w:ascii="仿宋" w:hAnsi="仿宋" w:eastAsia="仿宋"/>
          <w:b/>
          <w:color w:val="auto"/>
          <w:sz w:val="36"/>
          <w:szCs w:val="36"/>
          <w:highlight w:val="none"/>
        </w:rPr>
      </w:pPr>
    </w:p>
    <w:p w14:paraId="533C8484">
      <w:pPr>
        <w:pStyle w:val="10"/>
        <w:rPr>
          <w:rFonts w:ascii="仿宋" w:hAnsi="仿宋" w:eastAsia="仿宋"/>
          <w:b/>
          <w:color w:val="auto"/>
          <w:sz w:val="36"/>
          <w:szCs w:val="36"/>
          <w:highlight w:val="none"/>
        </w:rPr>
      </w:pPr>
    </w:p>
    <w:p w14:paraId="27BE3F10">
      <w:pPr>
        <w:pStyle w:val="10"/>
        <w:rPr>
          <w:rFonts w:ascii="仿宋" w:hAnsi="仿宋" w:eastAsia="仿宋"/>
          <w:b/>
          <w:color w:val="auto"/>
          <w:sz w:val="36"/>
          <w:szCs w:val="36"/>
          <w:highlight w:val="none"/>
        </w:rPr>
      </w:pPr>
    </w:p>
    <w:p w14:paraId="47326BAD">
      <w:pPr>
        <w:pStyle w:val="10"/>
        <w:rPr>
          <w:rFonts w:ascii="仿宋" w:hAnsi="仿宋" w:eastAsia="仿宋"/>
          <w:b/>
          <w:color w:val="auto"/>
          <w:sz w:val="36"/>
          <w:szCs w:val="36"/>
          <w:highlight w:val="none"/>
        </w:rPr>
      </w:pPr>
    </w:p>
    <w:p w14:paraId="4B9AB811">
      <w:pPr>
        <w:pStyle w:val="10"/>
        <w:rPr>
          <w:rFonts w:ascii="仿宋" w:hAnsi="仿宋" w:eastAsia="仿宋"/>
          <w:b/>
          <w:color w:val="auto"/>
          <w:sz w:val="36"/>
          <w:szCs w:val="36"/>
          <w:highlight w:val="none"/>
        </w:rPr>
      </w:pPr>
    </w:p>
    <w:p w14:paraId="041BD6C1">
      <w:pPr>
        <w:pStyle w:val="10"/>
        <w:rPr>
          <w:rFonts w:ascii="仿宋" w:hAnsi="仿宋" w:eastAsia="仿宋"/>
          <w:b/>
          <w:color w:val="auto"/>
          <w:sz w:val="36"/>
          <w:szCs w:val="36"/>
          <w:highlight w:val="none"/>
        </w:rPr>
      </w:pPr>
    </w:p>
    <w:p w14:paraId="2C684640">
      <w:pPr>
        <w:pStyle w:val="10"/>
        <w:rPr>
          <w:rFonts w:ascii="仿宋" w:hAnsi="仿宋" w:eastAsia="仿宋"/>
          <w:b/>
          <w:color w:val="auto"/>
          <w:sz w:val="36"/>
          <w:szCs w:val="36"/>
          <w:highlight w:val="none"/>
        </w:rPr>
      </w:pPr>
    </w:p>
    <w:p w14:paraId="6D29F815">
      <w:pPr>
        <w:pStyle w:val="10"/>
        <w:rPr>
          <w:rFonts w:ascii="仿宋" w:hAnsi="仿宋" w:eastAsia="仿宋"/>
          <w:b/>
          <w:color w:val="auto"/>
          <w:sz w:val="36"/>
          <w:szCs w:val="36"/>
          <w:highlight w:val="none"/>
        </w:rPr>
      </w:pPr>
    </w:p>
    <w:p w14:paraId="121A32B9">
      <w:pPr>
        <w:pStyle w:val="10"/>
        <w:rPr>
          <w:rFonts w:ascii="仿宋" w:hAnsi="仿宋" w:eastAsia="仿宋"/>
          <w:b/>
          <w:color w:val="auto"/>
          <w:sz w:val="36"/>
          <w:szCs w:val="36"/>
          <w:highlight w:val="none"/>
        </w:rPr>
      </w:pPr>
    </w:p>
    <w:p w14:paraId="4E48B684">
      <w:pPr>
        <w:pStyle w:val="10"/>
        <w:rPr>
          <w:rFonts w:ascii="仿宋" w:hAnsi="仿宋" w:eastAsia="仿宋"/>
          <w:b/>
          <w:color w:val="auto"/>
          <w:sz w:val="36"/>
          <w:szCs w:val="36"/>
          <w:highlight w:val="none"/>
        </w:rPr>
      </w:pPr>
    </w:p>
    <w:p w14:paraId="27FDBE20">
      <w:pPr>
        <w:pStyle w:val="10"/>
        <w:rPr>
          <w:rFonts w:ascii="仿宋" w:hAnsi="仿宋" w:eastAsia="仿宋"/>
          <w:b/>
          <w:color w:val="auto"/>
          <w:sz w:val="36"/>
          <w:szCs w:val="36"/>
          <w:highlight w:val="none"/>
        </w:rPr>
      </w:pPr>
    </w:p>
    <w:p w14:paraId="7A247B2B">
      <w:pPr>
        <w:pStyle w:val="9"/>
        <w:rPr>
          <w:rFonts w:ascii="仿宋" w:hAnsi="仿宋" w:eastAsia="仿宋"/>
          <w:b/>
          <w:color w:val="auto"/>
          <w:sz w:val="36"/>
          <w:szCs w:val="36"/>
          <w:highlight w:val="none"/>
        </w:rPr>
      </w:pPr>
    </w:p>
    <w:p w14:paraId="28866464">
      <w:pPr>
        <w:pStyle w:val="9"/>
        <w:numPr>
          <w:ilvl w:val="0"/>
          <w:numId w:val="11"/>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 xml:space="preserve"> 合同主要条款</w:t>
      </w:r>
    </w:p>
    <w:p w14:paraId="73F94CE8">
      <w:pPr>
        <w:jc w:val="both"/>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合同范本详见附件2</w:t>
      </w:r>
    </w:p>
    <w:p w14:paraId="46C61F01">
      <w:pPr>
        <w:jc w:val="both"/>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w:t>
      </w:r>
      <w:r>
        <w:rPr>
          <w:rFonts w:hint="eastAsia" w:ascii="仿宋" w:hAnsi="仿宋" w:eastAsia="仿宋" w:cs="Times New Roman"/>
          <w:b/>
          <w:color w:val="auto"/>
          <w:sz w:val="36"/>
          <w:szCs w:val="36"/>
          <w:highlight w:val="none"/>
          <w:lang w:val="en-US" w:eastAsia="zh-CN"/>
        </w:rPr>
        <w:t>2026-2027年度消防设施维保及年度检测合同</w:t>
      </w:r>
      <w:r>
        <w:rPr>
          <w:rFonts w:hint="eastAsia" w:ascii="仿宋" w:hAnsi="仿宋" w:eastAsia="仿宋" w:cs="Times New Roman"/>
          <w:b/>
          <w:color w:val="auto"/>
          <w:sz w:val="36"/>
          <w:szCs w:val="36"/>
          <w:highlight w:val="none"/>
          <w:lang w:eastAsia="zh-CN"/>
        </w:rPr>
        <w:t>》</w:t>
      </w:r>
    </w:p>
    <w:p w14:paraId="39A03890">
      <w:pPr>
        <w:pStyle w:val="9"/>
        <w:rPr>
          <w:rFonts w:ascii="仿宋" w:hAnsi="仿宋" w:eastAsia="仿宋"/>
          <w:b/>
          <w:color w:val="auto"/>
          <w:sz w:val="36"/>
          <w:szCs w:val="36"/>
          <w:highlight w:val="none"/>
        </w:rPr>
      </w:pPr>
    </w:p>
    <w:p w14:paraId="52A6C5ED">
      <w:pPr>
        <w:pStyle w:val="9"/>
        <w:rPr>
          <w:rFonts w:ascii="仿宋" w:hAnsi="仿宋" w:eastAsia="仿宋"/>
          <w:b/>
          <w:color w:val="auto"/>
          <w:sz w:val="36"/>
          <w:szCs w:val="36"/>
          <w:highlight w:val="none"/>
        </w:rPr>
      </w:pPr>
    </w:p>
    <w:p w14:paraId="6303F83A">
      <w:pPr>
        <w:pStyle w:val="9"/>
        <w:rPr>
          <w:rFonts w:ascii="仿宋" w:hAnsi="仿宋" w:eastAsia="仿宋"/>
          <w:b/>
          <w:color w:val="auto"/>
          <w:sz w:val="36"/>
          <w:szCs w:val="36"/>
          <w:highlight w:val="none"/>
        </w:rPr>
      </w:pPr>
    </w:p>
    <w:p w14:paraId="2A56AED3">
      <w:pPr>
        <w:pStyle w:val="9"/>
        <w:rPr>
          <w:rFonts w:ascii="仿宋" w:hAnsi="仿宋" w:eastAsia="仿宋"/>
          <w:b/>
          <w:color w:val="auto"/>
          <w:sz w:val="36"/>
          <w:szCs w:val="36"/>
          <w:highlight w:val="none"/>
        </w:rPr>
      </w:pPr>
    </w:p>
    <w:p w14:paraId="5A7DA1C1">
      <w:pPr>
        <w:pStyle w:val="9"/>
        <w:rPr>
          <w:rFonts w:ascii="仿宋" w:hAnsi="仿宋" w:eastAsia="仿宋"/>
          <w:b/>
          <w:color w:val="auto"/>
          <w:sz w:val="36"/>
          <w:szCs w:val="36"/>
          <w:highlight w:val="none"/>
        </w:rPr>
      </w:pPr>
    </w:p>
    <w:p w14:paraId="20B33F6F">
      <w:pPr>
        <w:pStyle w:val="9"/>
        <w:rPr>
          <w:rFonts w:ascii="仿宋" w:hAnsi="仿宋" w:eastAsia="仿宋"/>
          <w:b/>
          <w:color w:val="auto"/>
          <w:sz w:val="36"/>
          <w:szCs w:val="36"/>
          <w:highlight w:val="none"/>
        </w:rPr>
      </w:pPr>
    </w:p>
    <w:p w14:paraId="17954265">
      <w:pPr>
        <w:pStyle w:val="9"/>
        <w:rPr>
          <w:rFonts w:ascii="仿宋" w:hAnsi="仿宋" w:eastAsia="仿宋"/>
          <w:b/>
          <w:color w:val="auto"/>
          <w:sz w:val="36"/>
          <w:szCs w:val="36"/>
          <w:highlight w:val="none"/>
        </w:rPr>
      </w:pPr>
    </w:p>
    <w:p w14:paraId="5420D197">
      <w:pPr>
        <w:rPr>
          <w:rFonts w:ascii="仿宋" w:hAnsi="仿宋" w:eastAsia="仿宋" w:cs="Times New Roman"/>
          <w:b/>
          <w:color w:val="auto"/>
          <w:sz w:val="36"/>
          <w:szCs w:val="36"/>
          <w:highlight w:val="none"/>
          <w:lang w:eastAsia="zh-CN"/>
        </w:rPr>
      </w:pPr>
      <w:r>
        <w:rPr>
          <w:rFonts w:ascii="仿宋" w:hAnsi="仿宋" w:eastAsia="仿宋" w:cs="Times New Roman"/>
          <w:b/>
          <w:color w:val="auto"/>
          <w:sz w:val="36"/>
          <w:szCs w:val="36"/>
          <w:highlight w:val="none"/>
          <w:lang w:eastAsia="zh-CN"/>
        </w:rPr>
        <w:br w:type="page"/>
      </w:r>
    </w:p>
    <w:p w14:paraId="0A1570D7">
      <w:pPr>
        <w:pStyle w:val="9"/>
        <w:rPr>
          <w:color w:val="auto"/>
          <w:highlight w:val="none"/>
        </w:rPr>
      </w:pPr>
    </w:p>
    <w:p w14:paraId="7396998E">
      <w:pPr>
        <w:pStyle w:val="9"/>
        <w:numPr>
          <w:ilvl w:val="0"/>
          <w:numId w:val="11"/>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B2DC8F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电子拷贝一份（随商务文件包装）。</w:t>
      </w:r>
    </w:p>
    <w:p w14:paraId="06841BB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2"/>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2026-2027年度消防设施维保及年度检测项目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4"/>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eastAsia="zh-CN"/>
        </w:rPr>
        <w:t>5</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11</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1B407C95">
      <w:pPr>
        <w:pStyle w:val="2"/>
        <w:rPr>
          <w:color w:val="auto"/>
          <w:highlight w:val="none"/>
          <w:lang w:eastAsia="zh-CN"/>
        </w:rPr>
      </w:pPr>
    </w:p>
    <w:p w14:paraId="13F8151B">
      <w:pPr>
        <w:spacing w:line="360" w:lineRule="auto"/>
        <w:ind w:firstLine="3292" w:firstLineChars="911"/>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2F4E7065">
      <w:pPr>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6F3AA662">
      <w:pPr>
        <w:spacing w:line="580" w:lineRule="exact"/>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在充分研究贵司</w:t>
      </w:r>
      <w:r>
        <w:rPr>
          <w:rFonts w:hint="eastAsia" w:ascii="仿宋" w:hAnsi="仿宋" w:eastAsia="仿宋"/>
          <w:color w:val="auto"/>
          <w:sz w:val="24"/>
          <w:szCs w:val="24"/>
          <w:highlight w:val="none"/>
          <w:u w:val="single"/>
          <w:lang w:eastAsia="zh-CN"/>
        </w:rPr>
        <w:t>2026-2027年度消防设施维保及年度检测项目</w:t>
      </w:r>
      <w:r>
        <w:rPr>
          <w:rFonts w:hint="eastAsia" w:ascii="仿宋" w:hAnsi="仿宋" w:eastAsia="仿宋"/>
          <w:color w:val="auto"/>
          <w:sz w:val="24"/>
          <w:szCs w:val="24"/>
          <w:highlight w:val="none"/>
          <w:lang w:eastAsia="zh-CN"/>
        </w:rPr>
        <w:t>采购文件的全部内容后，我公司已阅知并完全同意，承诺此次报价真实、有效。同时承诺，中选后认真履行义务，提供符合要求的产品及相应服务。现将本公司有关报价及说明如下附表：</w:t>
      </w:r>
    </w:p>
    <w:tbl>
      <w:tblPr>
        <w:tblStyle w:val="45"/>
        <w:tblpPr w:leftFromText="180" w:rightFromText="180" w:vertAnchor="text" w:horzAnchor="page" w:tblpX="1209" w:tblpY="639"/>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045"/>
        <w:gridCol w:w="930"/>
        <w:gridCol w:w="1485"/>
        <w:gridCol w:w="1079"/>
        <w:gridCol w:w="1441"/>
        <w:gridCol w:w="660"/>
      </w:tblGrid>
      <w:tr w14:paraId="6EE3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55" w:type="dxa"/>
            <w:gridSpan w:val="7"/>
            <w:shd w:val="clear" w:color="auto" w:fill="auto"/>
            <w:noWrap/>
            <w:vAlign w:val="center"/>
          </w:tcPr>
          <w:p w14:paraId="1E902268">
            <w:pPr>
              <w:widowControl/>
              <w:spacing w:line="240" w:lineRule="auto"/>
              <w:ind w:firstLine="0" w:firstLineChars="0"/>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2026-2027年度消防设施维保及年度检测报价表</w:t>
            </w:r>
          </w:p>
        </w:tc>
      </w:tr>
      <w:tr w14:paraId="62CC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15" w:type="dxa"/>
            <w:shd w:val="clear" w:color="auto" w:fill="auto"/>
            <w:noWrap/>
            <w:vAlign w:val="center"/>
          </w:tcPr>
          <w:p w14:paraId="0EFA36A3">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项目名称</w:t>
            </w:r>
          </w:p>
        </w:tc>
        <w:tc>
          <w:tcPr>
            <w:tcW w:w="3045" w:type="dxa"/>
            <w:shd w:val="clear" w:color="auto" w:fill="auto"/>
            <w:noWrap/>
            <w:vAlign w:val="center"/>
          </w:tcPr>
          <w:p w14:paraId="26804CAE">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所属公司</w:t>
            </w:r>
          </w:p>
        </w:tc>
        <w:tc>
          <w:tcPr>
            <w:tcW w:w="930" w:type="dxa"/>
            <w:shd w:val="clear" w:color="auto" w:fill="auto"/>
            <w:vAlign w:val="center"/>
          </w:tcPr>
          <w:p w14:paraId="092AE9C8">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合同期（年）</w:t>
            </w:r>
          </w:p>
        </w:tc>
        <w:tc>
          <w:tcPr>
            <w:tcW w:w="1485" w:type="dxa"/>
            <w:shd w:val="clear" w:color="auto" w:fill="auto"/>
            <w:vAlign w:val="center"/>
          </w:tcPr>
          <w:p w14:paraId="6DF45D16">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报价</w:t>
            </w:r>
          </w:p>
          <w:p w14:paraId="7633B02C">
            <w:pPr>
              <w:widowControl/>
              <w:spacing w:line="240" w:lineRule="auto"/>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（万元/年）</w:t>
            </w:r>
          </w:p>
        </w:tc>
        <w:tc>
          <w:tcPr>
            <w:tcW w:w="1079" w:type="dxa"/>
            <w:shd w:val="clear" w:color="auto" w:fill="auto"/>
            <w:vAlign w:val="center"/>
          </w:tcPr>
          <w:p w14:paraId="1FCEA9D1">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2年合计</w:t>
            </w:r>
          </w:p>
          <w:p w14:paraId="42250F74">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（万元）</w:t>
            </w:r>
          </w:p>
        </w:tc>
        <w:tc>
          <w:tcPr>
            <w:tcW w:w="1441" w:type="dxa"/>
            <w:shd w:val="clear" w:color="auto" w:fill="auto"/>
            <w:vAlign w:val="center"/>
          </w:tcPr>
          <w:p w14:paraId="792DD8E7">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2年最高</w:t>
            </w:r>
          </w:p>
          <w:p w14:paraId="186E369B">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控制价格</w:t>
            </w:r>
          </w:p>
          <w:p w14:paraId="5EEE8D25">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(万元）</w:t>
            </w:r>
          </w:p>
        </w:tc>
        <w:tc>
          <w:tcPr>
            <w:tcW w:w="660" w:type="dxa"/>
            <w:shd w:val="clear" w:color="auto" w:fill="auto"/>
            <w:vAlign w:val="center"/>
          </w:tcPr>
          <w:p w14:paraId="188E0B5D">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备注</w:t>
            </w:r>
          </w:p>
        </w:tc>
      </w:tr>
      <w:tr w14:paraId="5490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5" w:type="dxa"/>
            <w:vMerge w:val="restart"/>
            <w:shd w:val="clear" w:color="auto" w:fill="auto"/>
            <w:vAlign w:val="center"/>
          </w:tcPr>
          <w:p w14:paraId="5D48781F">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2026-2027年度消防设施维保及年度检测</w:t>
            </w:r>
          </w:p>
        </w:tc>
        <w:tc>
          <w:tcPr>
            <w:tcW w:w="3045" w:type="dxa"/>
            <w:shd w:val="clear" w:color="auto" w:fill="auto"/>
            <w:vAlign w:val="center"/>
          </w:tcPr>
          <w:p w14:paraId="1834EE90">
            <w:pPr>
              <w:widowControl/>
              <w:spacing w:line="240" w:lineRule="auto"/>
              <w:ind w:firstLine="0" w:firstLineChars="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福建福海创石油化工有限公司</w:t>
            </w:r>
          </w:p>
        </w:tc>
        <w:tc>
          <w:tcPr>
            <w:tcW w:w="930" w:type="dxa"/>
            <w:shd w:val="clear" w:color="auto" w:fill="auto"/>
            <w:vAlign w:val="center"/>
          </w:tcPr>
          <w:p w14:paraId="3AAA5D37">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485" w:type="dxa"/>
            <w:shd w:val="clear" w:color="auto" w:fill="auto"/>
            <w:vAlign w:val="center"/>
          </w:tcPr>
          <w:p w14:paraId="2E649466">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p>
        </w:tc>
        <w:tc>
          <w:tcPr>
            <w:tcW w:w="1079" w:type="dxa"/>
            <w:shd w:val="clear" w:color="auto" w:fill="auto"/>
            <w:vAlign w:val="center"/>
          </w:tcPr>
          <w:p w14:paraId="09C59F66">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1441" w:type="dxa"/>
            <w:shd w:val="clear" w:color="auto" w:fill="auto"/>
            <w:vAlign w:val="center"/>
          </w:tcPr>
          <w:p w14:paraId="726DA72C">
            <w:pPr>
              <w:widowControl/>
              <w:spacing w:line="240" w:lineRule="auto"/>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132.00</w:t>
            </w:r>
          </w:p>
        </w:tc>
        <w:tc>
          <w:tcPr>
            <w:tcW w:w="660" w:type="dxa"/>
            <w:shd w:val="clear" w:color="auto" w:fill="auto"/>
            <w:vAlign w:val="center"/>
          </w:tcPr>
          <w:p w14:paraId="7D284F8D">
            <w:pPr>
              <w:widowControl/>
              <w:spacing w:line="240" w:lineRule="auto"/>
              <w:ind w:firstLine="0" w:firstLineChars="0"/>
              <w:rPr>
                <w:rFonts w:hint="eastAsia" w:ascii="仿宋" w:hAnsi="仿宋" w:eastAsia="仿宋" w:cs="仿宋"/>
                <w:color w:val="auto"/>
                <w:kern w:val="0"/>
                <w:sz w:val="21"/>
                <w:szCs w:val="21"/>
                <w:highlight w:val="none"/>
              </w:rPr>
            </w:pPr>
          </w:p>
        </w:tc>
      </w:tr>
      <w:tr w14:paraId="1DE1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15" w:type="dxa"/>
            <w:vMerge w:val="continue"/>
            <w:shd w:val="clear" w:color="auto" w:fill="auto"/>
            <w:vAlign w:val="center"/>
          </w:tcPr>
          <w:p w14:paraId="332F00B0">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3045" w:type="dxa"/>
            <w:shd w:val="clear" w:color="auto" w:fill="auto"/>
            <w:vAlign w:val="center"/>
          </w:tcPr>
          <w:p w14:paraId="18E94D6E">
            <w:pPr>
              <w:widowControl/>
              <w:spacing w:line="240" w:lineRule="auto"/>
              <w:ind w:firstLine="0" w:firstLineChars="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腾龙芳烃（漳州）有限公司</w:t>
            </w:r>
          </w:p>
        </w:tc>
        <w:tc>
          <w:tcPr>
            <w:tcW w:w="930" w:type="dxa"/>
            <w:shd w:val="clear" w:color="auto" w:fill="auto"/>
            <w:vAlign w:val="center"/>
          </w:tcPr>
          <w:p w14:paraId="00CDCEE3">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485" w:type="dxa"/>
            <w:shd w:val="clear" w:color="auto" w:fill="auto"/>
            <w:vAlign w:val="center"/>
          </w:tcPr>
          <w:p w14:paraId="0C469E48">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p>
        </w:tc>
        <w:tc>
          <w:tcPr>
            <w:tcW w:w="1079" w:type="dxa"/>
            <w:shd w:val="clear" w:color="auto" w:fill="auto"/>
            <w:vAlign w:val="center"/>
          </w:tcPr>
          <w:p w14:paraId="16F042CB">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1441" w:type="dxa"/>
            <w:shd w:val="clear" w:color="auto" w:fill="auto"/>
            <w:vAlign w:val="center"/>
          </w:tcPr>
          <w:p w14:paraId="6A0DB529">
            <w:pPr>
              <w:widowControl/>
              <w:spacing w:line="240" w:lineRule="auto"/>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24.00</w:t>
            </w:r>
          </w:p>
        </w:tc>
        <w:tc>
          <w:tcPr>
            <w:tcW w:w="660" w:type="dxa"/>
            <w:shd w:val="clear" w:color="auto" w:fill="auto"/>
            <w:vAlign w:val="center"/>
          </w:tcPr>
          <w:p w14:paraId="45EC17EC">
            <w:pPr>
              <w:widowControl/>
              <w:spacing w:line="240" w:lineRule="auto"/>
              <w:ind w:firstLine="0" w:firstLineChars="0"/>
              <w:rPr>
                <w:rFonts w:hint="eastAsia" w:ascii="仿宋" w:hAnsi="仿宋" w:eastAsia="仿宋" w:cs="仿宋"/>
                <w:color w:val="auto"/>
                <w:kern w:val="0"/>
                <w:sz w:val="21"/>
                <w:szCs w:val="21"/>
                <w:highlight w:val="none"/>
              </w:rPr>
            </w:pPr>
          </w:p>
        </w:tc>
      </w:tr>
      <w:tr w14:paraId="5E60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5" w:type="dxa"/>
            <w:vMerge w:val="continue"/>
            <w:shd w:val="clear" w:color="auto" w:fill="auto"/>
            <w:vAlign w:val="center"/>
          </w:tcPr>
          <w:p w14:paraId="26F3559D">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3045" w:type="dxa"/>
            <w:shd w:val="clear" w:color="auto" w:fill="auto"/>
            <w:vAlign w:val="center"/>
          </w:tcPr>
          <w:p w14:paraId="30416DDB">
            <w:pPr>
              <w:widowControl/>
              <w:spacing w:line="240" w:lineRule="auto"/>
              <w:ind w:firstLine="0" w:firstLineChars="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翔鹭码头投资管理（漳州）有限公司</w:t>
            </w:r>
          </w:p>
        </w:tc>
        <w:tc>
          <w:tcPr>
            <w:tcW w:w="930" w:type="dxa"/>
            <w:shd w:val="clear" w:color="auto" w:fill="auto"/>
            <w:vAlign w:val="center"/>
          </w:tcPr>
          <w:p w14:paraId="4C7B32F1">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485" w:type="dxa"/>
            <w:shd w:val="clear" w:color="auto" w:fill="auto"/>
            <w:vAlign w:val="center"/>
          </w:tcPr>
          <w:p w14:paraId="059EBE8C">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p>
        </w:tc>
        <w:tc>
          <w:tcPr>
            <w:tcW w:w="1079" w:type="dxa"/>
            <w:shd w:val="clear" w:color="auto" w:fill="auto"/>
            <w:vAlign w:val="center"/>
          </w:tcPr>
          <w:p w14:paraId="61EC1DE8">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1441" w:type="dxa"/>
            <w:shd w:val="clear" w:color="auto" w:fill="auto"/>
            <w:vAlign w:val="center"/>
          </w:tcPr>
          <w:p w14:paraId="7634B326">
            <w:pPr>
              <w:widowControl/>
              <w:spacing w:line="240" w:lineRule="auto"/>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12.00</w:t>
            </w:r>
          </w:p>
        </w:tc>
        <w:tc>
          <w:tcPr>
            <w:tcW w:w="660" w:type="dxa"/>
            <w:shd w:val="clear" w:color="auto" w:fill="auto"/>
            <w:vAlign w:val="center"/>
          </w:tcPr>
          <w:p w14:paraId="35C91DA1">
            <w:pPr>
              <w:widowControl/>
              <w:spacing w:line="240" w:lineRule="auto"/>
              <w:ind w:firstLine="0" w:firstLineChars="0"/>
              <w:rPr>
                <w:rFonts w:hint="eastAsia" w:ascii="仿宋" w:hAnsi="仿宋" w:eastAsia="仿宋" w:cs="仿宋"/>
                <w:color w:val="auto"/>
                <w:kern w:val="0"/>
                <w:sz w:val="21"/>
                <w:szCs w:val="21"/>
                <w:highlight w:val="none"/>
              </w:rPr>
            </w:pPr>
          </w:p>
        </w:tc>
      </w:tr>
      <w:tr w14:paraId="008C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5" w:type="dxa"/>
            <w:vMerge w:val="continue"/>
            <w:shd w:val="clear" w:color="auto" w:fill="auto"/>
            <w:vAlign w:val="center"/>
          </w:tcPr>
          <w:p w14:paraId="6A568743">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3045" w:type="dxa"/>
            <w:shd w:val="clear" w:color="auto" w:fill="auto"/>
            <w:vAlign w:val="center"/>
          </w:tcPr>
          <w:p w14:paraId="1939532F">
            <w:pPr>
              <w:widowControl/>
              <w:spacing w:line="240" w:lineRule="auto"/>
              <w:ind w:firstLine="0" w:firstLineChars="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福建省福化古蕾化学有限公司</w:t>
            </w:r>
          </w:p>
        </w:tc>
        <w:tc>
          <w:tcPr>
            <w:tcW w:w="930" w:type="dxa"/>
            <w:shd w:val="clear" w:color="auto" w:fill="auto"/>
            <w:vAlign w:val="center"/>
          </w:tcPr>
          <w:p w14:paraId="0E11441E">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485" w:type="dxa"/>
            <w:shd w:val="clear" w:color="auto" w:fill="auto"/>
            <w:vAlign w:val="center"/>
          </w:tcPr>
          <w:p w14:paraId="310D3CF2">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p>
        </w:tc>
        <w:tc>
          <w:tcPr>
            <w:tcW w:w="1079" w:type="dxa"/>
            <w:shd w:val="clear" w:color="auto" w:fill="auto"/>
            <w:vAlign w:val="center"/>
          </w:tcPr>
          <w:p w14:paraId="05B4A4B6">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1441" w:type="dxa"/>
            <w:shd w:val="clear" w:color="auto" w:fill="auto"/>
            <w:vAlign w:val="center"/>
          </w:tcPr>
          <w:p w14:paraId="18F822A0">
            <w:pPr>
              <w:widowControl/>
              <w:spacing w:line="240" w:lineRule="auto"/>
              <w:ind w:firstLine="0" w:firstLine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14.00</w:t>
            </w:r>
          </w:p>
        </w:tc>
        <w:tc>
          <w:tcPr>
            <w:tcW w:w="660" w:type="dxa"/>
            <w:shd w:val="clear" w:color="auto" w:fill="auto"/>
            <w:vAlign w:val="center"/>
          </w:tcPr>
          <w:p w14:paraId="4B37C883">
            <w:pPr>
              <w:widowControl/>
              <w:spacing w:line="240" w:lineRule="auto"/>
              <w:ind w:firstLine="0" w:firstLineChars="0"/>
              <w:rPr>
                <w:rFonts w:hint="eastAsia" w:ascii="仿宋" w:hAnsi="仿宋" w:eastAsia="仿宋" w:cs="仿宋"/>
                <w:color w:val="auto"/>
                <w:kern w:val="0"/>
                <w:sz w:val="21"/>
                <w:szCs w:val="21"/>
                <w:highlight w:val="none"/>
              </w:rPr>
            </w:pPr>
          </w:p>
        </w:tc>
      </w:tr>
      <w:tr w14:paraId="69BE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75" w:type="dxa"/>
            <w:gridSpan w:val="4"/>
            <w:shd w:val="clear" w:color="auto" w:fill="auto"/>
            <w:vAlign w:val="center"/>
          </w:tcPr>
          <w:p w14:paraId="408E7DA8">
            <w:pPr>
              <w:widowControl/>
              <w:spacing w:line="240" w:lineRule="auto"/>
              <w:ind w:firstLine="0" w:firstLineChars="0"/>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总合计总额（万元）</w:t>
            </w:r>
          </w:p>
        </w:tc>
        <w:tc>
          <w:tcPr>
            <w:tcW w:w="1079" w:type="dxa"/>
            <w:shd w:val="clear" w:color="auto" w:fill="auto"/>
            <w:vAlign w:val="center"/>
          </w:tcPr>
          <w:p w14:paraId="73CAFEF8">
            <w:pPr>
              <w:widowControl/>
              <w:spacing w:line="240" w:lineRule="auto"/>
              <w:ind w:firstLine="0" w:firstLineChars="0"/>
              <w:jc w:val="center"/>
              <w:rPr>
                <w:rFonts w:hint="eastAsia" w:ascii="仿宋" w:hAnsi="仿宋" w:eastAsia="仿宋" w:cs="仿宋"/>
                <w:color w:val="auto"/>
                <w:kern w:val="0"/>
                <w:sz w:val="21"/>
                <w:szCs w:val="21"/>
                <w:highlight w:val="none"/>
              </w:rPr>
            </w:pPr>
          </w:p>
        </w:tc>
        <w:tc>
          <w:tcPr>
            <w:tcW w:w="1441" w:type="dxa"/>
            <w:shd w:val="clear" w:color="auto" w:fill="auto"/>
            <w:vAlign w:val="center"/>
          </w:tcPr>
          <w:p w14:paraId="2FC5F578">
            <w:pPr>
              <w:widowControl/>
              <w:spacing w:line="240" w:lineRule="auto"/>
              <w:ind w:firstLine="0" w:firstLineChars="0"/>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   182.00</w:t>
            </w:r>
          </w:p>
        </w:tc>
        <w:tc>
          <w:tcPr>
            <w:tcW w:w="660" w:type="dxa"/>
            <w:shd w:val="clear" w:color="auto" w:fill="auto"/>
            <w:vAlign w:val="center"/>
          </w:tcPr>
          <w:p w14:paraId="474D2B54">
            <w:pPr>
              <w:widowControl/>
              <w:spacing w:line="240" w:lineRule="auto"/>
              <w:ind w:firstLine="0" w:firstLineChars="0"/>
              <w:rPr>
                <w:rFonts w:hint="eastAsia" w:ascii="仿宋" w:hAnsi="仿宋" w:eastAsia="仿宋" w:cs="仿宋"/>
                <w:color w:val="auto"/>
                <w:kern w:val="0"/>
                <w:sz w:val="21"/>
                <w:szCs w:val="21"/>
                <w:highlight w:val="none"/>
              </w:rPr>
            </w:pPr>
          </w:p>
        </w:tc>
      </w:tr>
      <w:tr w14:paraId="7FEA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55" w:type="dxa"/>
            <w:gridSpan w:val="7"/>
            <w:shd w:val="clear" w:color="auto" w:fill="auto"/>
            <w:vAlign w:val="center"/>
          </w:tcPr>
          <w:p w14:paraId="1E8CD587">
            <w:pPr>
              <w:widowControl/>
              <w:numPr>
                <w:ilvl w:val="0"/>
                <w:numId w:val="0"/>
              </w:numPr>
              <w:spacing w:line="240" w:lineRule="auto"/>
              <w:rPr>
                <w:rFonts w:hint="eastAsia" w:ascii="仿宋" w:hAnsi="仿宋" w:eastAsia="仿宋" w:cs="仿宋"/>
                <w:color w:val="auto"/>
                <w:sz w:val="24"/>
                <w:szCs w:val="24"/>
                <w:highlight w:val="none"/>
                <w:lang w:eastAsia="zh-CN"/>
              </w:rPr>
            </w:pPr>
            <w:r>
              <w:rPr>
                <w:rFonts w:hint="eastAsia" w:ascii="仿宋" w:hAnsi="仿宋" w:eastAsia="仿宋" w:cs="仿宋"/>
                <w:snapToGrid w:val="0"/>
                <w:color w:val="auto"/>
                <w:sz w:val="24"/>
                <w:szCs w:val="24"/>
                <w:highlight w:val="none"/>
                <w:lang w:val="en-US" w:eastAsia="zh-CN"/>
              </w:rPr>
              <w:t>备注：</w:t>
            </w:r>
            <w:r>
              <w:rPr>
                <w:rFonts w:hint="eastAsia" w:ascii="仿宋" w:hAnsi="仿宋" w:eastAsia="仿宋" w:cs="仿宋"/>
                <w:color w:val="auto"/>
                <w:sz w:val="24"/>
                <w:szCs w:val="24"/>
                <w:highlight w:val="none"/>
                <w:lang w:val="en-US" w:eastAsia="zh-CN"/>
              </w:rPr>
              <w:t>1、结算及付款方式：</w:t>
            </w:r>
            <w:r>
              <w:rPr>
                <w:rFonts w:hint="eastAsia" w:ascii="仿宋" w:hAnsi="仿宋" w:eastAsia="仿宋" w:cs="仿宋"/>
                <w:color w:val="auto"/>
                <w:sz w:val="24"/>
                <w:szCs w:val="24"/>
                <w:highlight w:val="none"/>
                <w:lang w:eastAsia="zh-CN"/>
              </w:rPr>
              <w:t>采取按季度支付形式，每季度结算合同总价的1/8。</w:t>
            </w:r>
          </w:p>
          <w:p w14:paraId="1F142EAA">
            <w:pPr>
              <w:widowControl/>
              <w:numPr>
                <w:ilvl w:val="0"/>
                <w:numId w:val="12"/>
              </w:numPr>
              <w:spacing w:line="24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参比</w:t>
            </w:r>
            <w:r>
              <w:rPr>
                <w:rFonts w:hint="eastAsia" w:ascii="仿宋" w:hAnsi="仿宋" w:eastAsia="仿宋" w:cs="仿宋"/>
                <w:color w:val="auto"/>
                <w:sz w:val="24"/>
                <w:szCs w:val="24"/>
                <w:highlight w:val="none"/>
                <w:lang w:eastAsia="zh-CN"/>
              </w:rPr>
              <w:t>人所填报的</w:t>
            </w:r>
            <w:r>
              <w:rPr>
                <w:rFonts w:hint="eastAsia" w:ascii="仿宋" w:hAnsi="仿宋" w:eastAsia="仿宋" w:cs="仿宋"/>
                <w:color w:val="auto"/>
                <w:sz w:val="24"/>
                <w:szCs w:val="24"/>
                <w:highlight w:val="none"/>
                <w:lang w:val="en-US" w:eastAsia="zh-CN"/>
              </w:rPr>
              <w:t>参比</w:t>
            </w:r>
            <w:r>
              <w:rPr>
                <w:rFonts w:hint="eastAsia" w:ascii="仿宋" w:hAnsi="仿宋" w:eastAsia="仿宋" w:cs="仿宋"/>
                <w:color w:val="auto"/>
                <w:sz w:val="24"/>
                <w:szCs w:val="24"/>
                <w:highlight w:val="none"/>
                <w:lang w:eastAsia="zh-CN"/>
              </w:rPr>
              <w:t>价高于</w:t>
            </w:r>
            <w:r>
              <w:rPr>
                <w:rFonts w:hint="eastAsia" w:ascii="仿宋" w:hAnsi="仿宋" w:eastAsia="仿宋" w:cs="仿宋"/>
                <w:color w:val="auto"/>
                <w:sz w:val="24"/>
                <w:szCs w:val="24"/>
                <w:highlight w:val="none"/>
                <w:lang w:val="en-US" w:eastAsia="zh-CN"/>
              </w:rPr>
              <w:t>各项</w:t>
            </w:r>
            <w:r>
              <w:rPr>
                <w:rFonts w:hint="eastAsia" w:ascii="仿宋" w:hAnsi="仿宋" w:eastAsia="仿宋" w:cs="仿宋"/>
                <w:color w:val="auto"/>
                <w:sz w:val="24"/>
                <w:szCs w:val="24"/>
                <w:highlight w:val="none"/>
                <w:lang w:eastAsia="zh-CN"/>
              </w:rPr>
              <w:t>控制价</w:t>
            </w:r>
            <w:r>
              <w:rPr>
                <w:rFonts w:hint="eastAsia" w:ascii="仿宋" w:hAnsi="仿宋" w:eastAsia="仿宋" w:cs="仿宋"/>
                <w:color w:val="auto"/>
                <w:sz w:val="24"/>
                <w:szCs w:val="24"/>
                <w:highlight w:val="none"/>
                <w:lang w:val="en-US" w:eastAsia="zh-CN"/>
              </w:rPr>
              <w:t>格</w:t>
            </w:r>
            <w:r>
              <w:rPr>
                <w:rFonts w:hint="eastAsia" w:ascii="仿宋" w:hAnsi="仿宋" w:eastAsia="仿宋" w:cs="仿宋"/>
                <w:color w:val="auto"/>
                <w:sz w:val="24"/>
                <w:szCs w:val="24"/>
                <w:highlight w:val="none"/>
                <w:lang w:eastAsia="zh-CN"/>
              </w:rPr>
              <w:t>，视为未实质性响应</w:t>
            </w:r>
            <w:r>
              <w:rPr>
                <w:rFonts w:hint="eastAsia" w:ascii="仿宋" w:hAnsi="仿宋" w:eastAsia="仿宋" w:cs="仿宋"/>
                <w:color w:val="auto"/>
                <w:sz w:val="24"/>
                <w:szCs w:val="24"/>
                <w:highlight w:val="none"/>
                <w:lang w:val="en-US" w:eastAsia="zh-CN"/>
              </w:rPr>
              <w:t>参比</w:t>
            </w:r>
            <w:r>
              <w:rPr>
                <w:rFonts w:hint="eastAsia" w:ascii="仿宋" w:hAnsi="仿宋" w:eastAsia="仿宋" w:cs="仿宋"/>
                <w:color w:val="auto"/>
                <w:sz w:val="24"/>
                <w:szCs w:val="24"/>
                <w:highlight w:val="none"/>
                <w:lang w:eastAsia="zh-CN"/>
              </w:rPr>
              <w:t>文件要求，</w:t>
            </w:r>
          </w:p>
          <w:p w14:paraId="34287AB8">
            <w:pPr>
              <w:widowControl/>
              <w:numPr>
                <w:ilvl w:val="0"/>
                <w:numId w:val="0"/>
              </w:numPr>
              <w:spacing w:line="240" w:lineRule="auto"/>
              <w:ind w:left="0" w:leftChars="0" w:firstLine="1080" w:firstLineChars="45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eastAsia="zh-CN"/>
              </w:rPr>
              <w:t>作无效标处理。</w:t>
            </w:r>
          </w:p>
        </w:tc>
      </w:tr>
    </w:tbl>
    <w:p w14:paraId="50F8F1F7">
      <w:pPr>
        <w:pStyle w:val="54"/>
        <w:rPr>
          <w:rFonts w:hint="eastAsia"/>
          <w:color w:val="auto"/>
          <w:highlight w:val="none"/>
          <w:lang w:eastAsia="zh-CN"/>
        </w:rPr>
      </w:pPr>
    </w:p>
    <w:p w14:paraId="68E62C8C">
      <w:pPr>
        <w:spacing w:line="580" w:lineRule="exact"/>
        <w:rPr>
          <w:rFonts w:hint="eastAsia" w:ascii="仿宋" w:hAnsi="仿宋" w:eastAsia="仿宋"/>
          <w:color w:val="auto"/>
          <w:sz w:val="24"/>
          <w:szCs w:val="24"/>
          <w:highlight w:val="none"/>
          <w:lang w:eastAsia="zh-CN"/>
        </w:rPr>
      </w:pPr>
    </w:p>
    <w:p w14:paraId="198328D1">
      <w:pPr>
        <w:spacing w:line="580" w:lineRule="exact"/>
        <w:rPr>
          <w:rFonts w:hint="eastAsia" w:ascii="仿宋" w:hAnsi="仿宋" w:eastAsia="仿宋"/>
          <w:color w:val="auto"/>
          <w:sz w:val="28"/>
          <w:szCs w:val="28"/>
          <w:highlight w:val="none"/>
          <w:lang w:eastAsia="zh-CN"/>
        </w:rPr>
      </w:pPr>
    </w:p>
    <w:p w14:paraId="2C623753">
      <w:pPr>
        <w:spacing w:line="58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参比</w:t>
      </w:r>
      <w:r>
        <w:rPr>
          <w:rFonts w:hint="eastAsia" w:ascii="仿宋" w:hAnsi="仿宋" w:eastAsia="仿宋"/>
          <w:color w:val="auto"/>
          <w:sz w:val="28"/>
          <w:szCs w:val="28"/>
          <w:highlight w:val="none"/>
          <w:lang w:eastAsia="zh-CN"/>
        </w:rPr>
        <w:t>人名称：___（盖参比人单位公章）</w:t>
      </w:r>
    </w:p>
    <w:p w14:paraId="096758A9">
      <w:pPr>
        <w:spacing w:line="580" w:lineRule="exact"/>
        <w:rPr>
          <w:rFonts w:hint="eastAsia" w:ascii="仿宋" w:hAnsi="仿宋" w:eastAsia="仿宋"/>
          <w:color w:val="auto"/>
          <w:sz w:val="28"/>
          <w:szCs w:val="28"/>
          <w:highlight w:val="none"/>
          <w:lang w:eastAsia="zh-CN"/>
        </w:rPr>
      </w:pPr>
    </w:p>
    <w:p w14:paraId="4375637A">
      <w:pPr>
        <w:spacing w:line="580" w:lineRule="exac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参比</w:t>
      </w:r>
      <w:r>
        <w:rPr>
          <w:rFonts w:hint="eastAsia" w:ascii="仿宋" w:hAnsi="仿宋" w:eastAsia="仿宋"/>
          <w:color w:val="auto"/>
          <w:sz w:val="28"/>
          <w:szCs w:val="28"/>
          <w:highlight w:val="none"/>
          <w:lang w:eastAsia="zh-CN"/>
        </w:rPr>
        <w:t>人代表签字：_________      职务：_______ 日期：_________</w:t>
      </w:r>
    </w:p>
    <w:p w14:paraId="5B9DFBC9">
      <w:pPr>
        <w:spacing w:line="580" w:lineRule="exact"/>
        <w:ind w:firstLine="560" w:firstLineChars="200"/>
        <w:rPr>
          <w:rFonts w:hint="eastAsia" w:ascii="仿宋" w:hAnsi="仿宋" w:eastAsia="仿宋"/>
          <w:color w:val="auto"/>
          <w:sz w:val="28"/>
          <w:szCs w:val="28"/>
          <w:highlight w:val="none"/>
          <w:lang w:eastAsia="zh-CN"/>
        </w:rPr>
      </w:pPr>
    </w:p>
    <w:p w14:paraId="5AF2F31A">
      <w:pPr>
        <w:spacing w:line="580" w:lineRule="exact"/>
        <w:ind w:firstLine="560" w:firstLineChars="200"/>
        <w:rPr>
          <w:rFonts w:hint="eastAsia" w:ascii="仿宋" w:hAnsi="仿宋" w:eastAsia="仿宋"/>
          <w:color w:val="auto"/>
          <w:sz w:val="28"/>
          <w:szCs w:val="28"/>
          <w:highlight w:val="none"/>
          <w:lang w:eastAsia="zh-CN"/>
        </w:rPr>
      </w:pPr>
    </w:p>
    <w:p w14:paraId="51239CD7">
      <w:pPr>
        <w:pStyle w:val="54"/>
        <w:rPr>
          <w:rFonts w:ascii="仿宋" w:hAnsi="仿宋" w:eastAsia="仿宋" w:cs="宋体"/>
          <w:color w:val="auto"/>
          <w:sz w:val="28"/>
          <w:szCs w:val="28"/>
          <w:highlight w:val="none"/>
        </w:rPr>
      </w:pPr>
    </w:p>
    <w:p w14:paraId="5E44C895">
      <w:pPr>
        <w:pStyle w:val="54"/>
        <w:rPr>
          <w:rFonts w:ascii="仿宋" w:hAnsi="仿宋" w:eastAsia="仿宋" w:cs="宋体"/>
          <w:color w:val="auto"/>
          <w:sz w:val="28"/>
          <w:szCs w:val="28"/>
          <w:highlight w:val="none"/>
        </w:rPr>
      </w:pPr>
    </w:p>
    <w:p w14:paraId="3BC7C864">
      <w:pPr>
        <w:widowControl/>
        <w:autoSpaceDE/>
        <w:autoSpaceDN/>
        <w:rPr>
          <w:b/>
          <w:bCs/>
          <w:color w:val="auto"/>
          <w:highlight w:val="none"/>
          <w:lang w:eastAsia="zh-CN"/>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2FB3E508">
      <w:pPr>
        <w:spacing w:line="500" w:lineRule="exact"/>
        <w:jc w:val="center"/>
        <w:rPr>
          <w:rFonts w:ascii="仿宋" w:hAnsi="仿宋" w:eastAsia="仿宋"/>
          <w:b/>
          <w:bCs/>
          <w:color w:val="auto"/>
          <w:sz w:val="24"/>
          <w:highlight w:val="none"/>
        </w:rPr>
      </w:pPr>
    </w:p>
    <w:p w14:paraId="23663FC5">
      <w:pPr>
        <w:pStyle w:val="54"/>
        <w:rPr>
          <w:rFonts w:ascii="仿宋" w:hAnsi="仿宋" w:eastAsia="仿宋"/>
          <w:b/>
          <w:bCs/>
          <w:color w:val="auto"/>
          <w:sz w:val="36"/>
          <w:szCs w:val="36"/>
          <w:highlight w:val="none"/>
        </w:rPr>
      </w:pPr>
    </w:p>
    <w:p w14:paraId="24A93692">
      <w:pPr>
        <w:pStyle w:val="54"/>
        <w:rPr>
          <w:rFonts w:ascii="仿宋" w:hAnsi="仿宋" w:eastAsia="仿宋"/>
          <w:b/>
          <w:bCs/>
          <w:color w:val="auto"/>
          <w:sz w:val="36"/>
          <w:szCs w:val="36"/>
          <w:highlight w:val="none"/>
        </w:rPr>
      </w:pPr>
    </w:p>
    <w:p w14:paraId="0A9F35E4">
      <w:pPr>
        <w:pStyle w:val="54"/>
        <w:rPr>
          <w:rFonts w:ascii="仿宋" w:hAnsi="仿宋" w:eastAsia="仿宋"/>
          <w:b/>
          <w:bCs/>
          <w:color w:val="auto"/>
          <w:sz w:val="36"/>
          <w:szCs w:val="36"/>
          <w:highlight w:val="none"/>
        </w:rPr>
      </w:pPr>
    </w:p>
    <w:p w14:paraId="18E31DCF">
      <w:pPr>
        <w:spacing w:line="500" w:lineRule="exact"/>
        <w:rPr>
          <w:rFonts w:ascii="仿宋" w:hAnsi="仿宋" w:eastAsia="仿宋"/>
          <w:b/>
          <w:bCs/>
          <w:color w:val="auto"/>
          <w:sz w:val="36"/>
          <w:szCs w:val="36"/>
          <w:highlight w:val="none"/>
          <w:lang w:eastAsia="zh-CN"/>
        </w:rPr>
      </w:pPr>
    </w:p>
    <w:p w14:paraId="5BFB4798">
      <w:pPr>
        <w:pStyle w:val="54"/>
        <w:rPr>
          <w:rFonts w:ascii="仿宋" w:hAnsi="仿宋" w:eastAsia="仿宋"/>
          <w:b/>
          <w:bCs/>
          <w:color w:val="auto"/>
          <w:sz w:val="36"/>
          <w:szCs w:val="36"/>
          <w:highlight w:val="none"/>
        </w:rPr>
      </w:pPr>
    </w:p>
    <w:p w14:paraId="51F6714D">
      <w:pPr>
        <w:pStyle w:val="54"/>
        <w:rPr>
          <w:rFonts w:ascii="仿宋" w:hAnsi="仿宋" w:eastAsia="仿宋"/>
          <w:b/>
          <w:bCs/>
          <w:color w:val="auto"/>
          <w:sz w:val="36"/>
          <w:szCs w:val="36"/>
          <w:highlight w:val="none"/>
        </w:rPr>
      </w:pPr>
    </w:p>
    <w:p w14:paraId="76658411">
      <w:pPr>
        <w:pStyle w:val="54"/>
        <w:rPr>
          <w:rFonts w:ascii="仿宋" w:hAnsi="仿宋" w:eastAsia="仿宋"/>
          <w:color w:val="auto"/>
          <w:highlight w:val="none"/>
        </w:rPr>
      </w:pPr>
    </w:p>
    <w:p w14:paraId="2F886C00">
      <w:pPr>
        <w:pStyle w:val="54"/>
        <w:rPr>
          <w:rFonts w:ascii="仿宋" w:hAnsi="仿宋" w:eastAsia="仿宋"/>
          <w:color w:val="auto"/>
          <w:highlight w:val="none"/>
        </w:rPr>
      </w:pPr>
    </w:p>
    <w:p w14:paraId="1FA3FE2A">
      <w:pPr>
        <w:pStyle w:val="54"/>
        <w:rPr>
          <w:rFonts w:ascii="仿宋" w:hAnsi="仿宋" w:eastAsia="仿宋"/>
          <w:color w:val="auto"/>
          <w:highlight w:val="none"/>
        </w:rPr>
      </w:pPr>
    </w:p>
    <w:p w14:paraId="715A53A4">
      <w:pPr>
        <w:pStyle w:val="54"/>
        <w:rPr>
          <w:rFonts w:ascii="仿宋" w:hAnsi="仿宋" w:eastAsia="仿宋"/>
          <w:color w:val="auto"/>
          <w:highlight w:val="none"/>
        </w:rPr>
      </w:pPr>
    </w:p>
    <w:p w14:paraId="3147B83C">
      <w:pPr>
        <w:pStyle w:val="54"/>
        <w:rPr>
          <w:rFonts w:ascii="仿宋" w:hAnsi="仿宋" w:eastAsia="仿宋"/>
          <w:color w:val="auto"/>
          <w:highlight w:val="none"/>
        </w:rPr>
      </w:pPr>
    </w:p>
    <w:p w14:paraId="2773A0CD">
      <w:pPr>
        <w:pStyle w:val="54"/>
        <w:rPr>
          <w:rFonts w:ascii="仿宋" w:hAnsi="仿宋" w:eastAsia="仿宋"/>
          <w:color w:val="auto"/>
          <w:highlight w:val="none"/>
        </w:rPr>
      </w:pPr>
    </w:p>
    <w:p w14:paraId="19ECAB7F">
      <w:pPr>
        <w:pStyle w:val="54"/>
        <w:rPr>
          <w:rFonts w:ascii="仿宋" w:hAnsi="仿宋" w:eastAsia="仿宋"/>
          <w:color w:val="auto"/>
          <w:highlight w:val="none"/>
        </w:rPr>
      </w:pPr>
    </w:p>
    <w:p w14:paraId="277BE481">
      <w:pPr>
        <w:pStyle w:val="54"/>
        <w:rPr>
          <w:rFonts w:ascii="仿宋" w:hAnsi="仿宋" w:eastAsia="仿宋"/>
          <w:color w:val="auto"/>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4"/>
        <w:rPr>
          <w:rFonts w:ascii="仿宋" w:hAnsi="仿宋" w:eastAsia="仿宋"/>
          <w:color w:val="auto"/>
          <w:sz w:val="28"/>
          <w:szCs w:val="28"/>
          <w:highlight w:val="none"/>
        </w:rPr>
      </w:pPr>
    </w:p>
    <w:p w14:paraId="640310CB">
      <w:pPr>
        <w:pStyle w:val="54"/>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4"/>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4"/>
        <w:jc w:val="center"/>
        <w:rPr>
          <w:rFonts w:ascii="仿宋" w:hAnsi="仿宋" w:eastAsia="仿宋"/>
          <w:color w:val="auto"/>
          <w:highlight w:val="none"/>
        </w:rPr>
      </w:pPr>
    </w:p>
    <w:p w14:paraId="359BC6EF">
      <w:pPr>
        <w:pStyle w:val="54"/>
        <w:jc w:val="center"/>
        <w:rPr>
          <w:rFonts w:ascii="仿宋" w:hAnsi="仿宋" w:eastAsia="仿宋"/>
          <w:color w:val="auto"/>
          <w:highlight w:val="none"/>
        </w:rPr>
      </w:pPr>
    </w:p>
    <w:p w14:paraId="342B8B67">
      <w:pPr>
        <w:pStyle w:val="54"/>
        <w:jc w:val="center"/>
        <w:rPr>
          <w:rFonts w:ascii="仿宋" w:hAnsi="仿宋" w:eastAsia="仿宋"/>
          <w:color w:val="auto"/>
          <w:highlight w:val="none"/>
        </w:rPr>
      </w:pPr>
    </w:p>
    <w:p w14:paraId="058FBA53">
      <w:pPr>
        <w:pStyle w:val="54"/>
        <w:jc w:val="center"/>
        <w:rPr>
          <w:rFonts w:ascii="仿宋" w:hAnsi="仿宋" w:eastAsia="仿宋"/>
          <w:color w:val="auto"/>
          <w:highlight w:val="none"/>
        </w:rPr>
      </w:pPr>
    </w:p>
    <w:p w14:paraId="75EBB5B3">
      <w:pPr>
        <w:spacing w:line="500" w:lineRule="exact"/>
        <w:jc w:val="both"/>
        <w:rPr>
          <w:rFonts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4"/>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b/>
          <w:bCs/>
          <w:color w:val="auto"/>
          <w:sz w:val="28"/>
          <w:szCs w:val="28"/>
          <w:highlight w:val="none"/>
          <w:u w:val="single"/>
          <w:lang w:eastAsia="zh-CN"/>
        </w:rPr>
        <w:t>2026-2027年度消防设施维保及年度检测项目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25</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4"/>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4"/>
        <w:rPr>
          <w:rFonts w:ascii="仿宋" w:hAnsi="仿宋" w:eastAsia="仿宋"/>
          <w:color w:val="auto"/>
          <w:sz w:val="28"/>
          <w:szCs w:val="28"/>
          <w:highlight w:val="none"/>
        </w:rPr>
      </w:pPr>
    </w:p>
    <w:p w14:paraId="7668EB86">
      <w:pPr>
        <w:pStyle w:val="54"/>
        <w:rPr>
          <w:rFonts w:ascii="仿宋" w:hAnsi="仿宋" w:eastAsia="仿宋"/>
          <w:color w:val="auto"/>
          <w:sz w:val="28"/>
          <w:szCs w:val="28"/>
          <w:highlight w:val="none"/>
        </w:rPr>
      </w:pPr>
    </w:p>
    <w:p w14:paraId="32205DA1">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4"/>
        <w:jc w:val="center"/>
        <w:rPr>
          <w:rFonts w:ascii="仿宋" w:hAnsi="仿宋" w:eastAsia="仿宋"/>
          <w:color w:val="auto"/>
          <w:highlight w:val="none"/>
        </w:rPr>
      </w:pPr>
    </w:p>
    <w:p w14:paraId="16D04989">
      <w:pPr>
        <w:pStyle w:val="54"/>
        <w:jc w:val="center"/>
        <w:rPr>
          <w:rFonts w:ascii="仿宋" w:hAnsi="仿宋" w:eastAsia="仿宋"/>
          <w:color w:val="auto"/>
          <w:highlight w:val="none"/>
        </w:rPr>
      </w:pPr>
    </w:p>
    <w:p w14:paraId="4FA1D693">
      <w:pPr>
        <w:pStyle w:val="54"/>
        <w:jc w:val="center"/>
        <w:rPr>
          <w:rFonts w:ascii="仿宋" w:hAnsi="仿宋" w:eastAsia="仿宋"/>
          <w:color w:val="auto"/>
          <w:highlight w:val="none"/>
        </w:rPr>
      </w:pPr>
    </w:p>
    <w:p w14:paraId="0EB19C06">
      <w:pPr>
        <w:pStyle w:val="54"/>
        <w:jc w:val="center"/>
        <w:rPr>
          <w:rFonts w:ascii="仿宋" w:hAnsi="仿宋" w:eastAsia="仿宋"/>
          <w:color w:val="auto"/>
          <w:highlight w:val="none"/>
        </w:rPr>
      </w:pPr>
    </w:p>
    <w:p w14:paraId="4EBB44C1">
      <w:pPr>
        <w:pStyle w:val="54"/>
        <w:jc w:val="center"/>
        <w:rPr>
          <w:rFonts w:ascii="仿宋" w:hAnsi="仿宋" w:eastAsia="仿宋"/>
          <w:color w:val="auto"/>
          <w:highlight w:val="none"/>
        </w:rPr>
      </w:pPr>
    </w:p>
    <w:p w14:paraId="01499142">
      <w:pPr>
        <w:pStyle w:val="54"/>
        <w:jc w:val="center"/>
        <w:rPr>
          <w:rFonts w:ascii="仿宋" w:hAnsi="仿宋" w:eastAsia="仿宋"/>
          <w:color w:val="auto"/>
          <w:highlight w:val="none"/>
        </w:rPr>
      </w:pPr>
    </w:p>
    <w:p w14:paraId="7E564F17">
      <w:pPr>
        <w:pStyle w:val="54"/>
        <w:jc w:val="center"/>
        <w:rPr>
          <w:rFonts w:ascii="仿宋" w:hAnsi="仿宋" w:eastAsia="仿宋"/>
          <w:color w:val="auto"/>
          <w:highlight w:val="none"/>
        </w:rPr>
      </w:pPr>
    </w:p>
    <w:p w14:paraId="50251573">
      <w:pPr>
        <w:pStyle w:val="54"/>
        <w:jc w:val="center"/>
        <w:rPr>
          <w:rFonts w:ascii="仿宋" w:hAnsi="仿宋" w:eastAsia="仿宋"/>
          <w:color w:val="auto"/>
          <w:highlight w:val="none"/>
        </w:rPr>
      </w:pPr>
    </w:p>
    <w:p w14:paraId="39B4B7F7">
      <w:pPr>
        <w:pStyle w:val="54"/>
        <w:jc w:val="center"/>
        <w:rPr>
          <w:rFonts w:ascii="仿宋" w:hAnsi="仿宋" w:eastAsia="仿宋"/>
          <w:color w:val="auto"/>
          <w:highlight w:val="none"/>
        </w:rPr>
      </w:pPr>
    </w:p>
    <w:p w14:paraId="65025ABE">
      <w:pPr>
        <w:pStyle w:val="54"/>
        <w:jc w:val="center"/>
        <w:rPr>
          <w:rFonts w:ascii="仿宋" w:hAnsi="仿宋" w:eastAsia="仿宋"/>
          <w:color w:val="auto"/>
          <w:highlight w:val="none"/>
        </w:rPr>
      </w:pPr>
    </w:p>
    <w:p w14:paraId="266006F6">
      <w:pPr>
        <w:pStyle w:val="54"/>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4"/>
        <w:rPr>
          <w:rFonts w:ascii="仿宋" w:hAnsi="仿宋" w:eastAsia="仿宋"/>
          <w:b/>
          <w:bCs/>
          <w:color w:val="auto"/>
          <w:sz w:val="36"/>
          <w:szCs w:val="36"/>
          <w:highlight w:val="none"/>
        </w:rPr>
      </w:pPr>
    </w:p>
    <w:p w14:paraId="32866DC1">
      <w:pPr>
        <w:pStyle w:val="54"/>
        <w:rPr>
          <w:rFonts w:ascii="仿宋" w:hAnsi="仿宋" w:eastAsia="仿宋"/>
          <w:b/>
          <w:bCs/>
          <w:color w:val="auto"/>
          <w:sz w:val="36"/>
          <w:szCs w:val="36"/>
          <w:highlight w:val="none"/>
        </w:rPr>
      </w:pPr>
    </w:p>
    <w:p w14:paraId="6A2D49E5">
      <w:pPr>
        <w:pStyle w:val="54"/>
        <w:rPr>
          <w:rFonts w:ascii="仿宋" w:hAnsi="仿宋" w:eastAsia="仿宋"/>
          <w:b/>
          <w:bCs/>
          <w:color w:val="auto"/>
          <w:sz w:val="36"/>
          <w:szCs w:val="36"/>
          <w:highlight w:val="none"/>
        </w:rPr>
      </w:pPr>
    </w:p>
    <w:p w14:paraId="6678CCA7">
      <w:pPr>
        <w:pStyle w:val="54"/>
        <w:rPr>
          <w:rFonts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4"/>
        <w:rPr>
          <w:rFonts w:ascii="仿宋" w:hAnsi="仿宋" w:eastAsia="仿宋"/>
          <w:b/>
          <w:bCs/>
          <w:color w:val="auto"/>
          <w:sz w:val="36"/>
          <w:szCs w:val="36"/>
          <w:highlight w:val="none"/>
        </w:rPr>
      </w:pPr>
    </w:p>
    <w:p w14:paraId="2CA8B8AD">
      <w:pPr>
        <w:pStyle w:val="54"/>
        <w:rPr>
          <w:rFonts w:ascii="仿宋" w:hAnsi="仿宋" w:eastAsia="仿宋"/>
          <w:b/>
          <w:bCs/>
          <w:color w:val="auto"/>
          <w:sz w:val="36"/>
          <w:szCs w:val="36"/>
          <w:highlight w:val="none"/>
        </w:rPr>
      </w:pPr>
    </w:p>
    <w:p w14:paraId="5FC1A08F">
      <w:pPr>
        <w:pStyle w:val="54"/>
        <w:rPr>
          <w:rFonts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4"/>
        <w:jc w:val="center"/>
        <w:rPr>
          <w:rFonts w:ascii="仿宋" w:hAnsi="仿宋" w:eastAsia="仿宋"/>
          <w:color w:val="auto"/>
          <w:highlight w:val="none"/>
        </w:rPr>
      </w:pPr>
    </w:p>
    <w:p w14:paraId="07F4B49D">
      <w:pPr>
        <w:pStyle w:val="54"/>
        <w:jc w:val="center"/>
        <w:rPr>
          <w:rFonts w:ascii="仿宋" w:hAnsi="仿宋" w:eastAsia="仿宋"/>
          <w:color w:val="auto"/>
          <w:highlight w:val="none"/>
        </w:rPr>
      </w:pPr>
    </w:p>
    <w:p w14:paraId="51C1A69A">
      <w:pPr>
        <w:pStyle w:val="54"/>
        <w:jc w:val="center"/>
        <w:rPr>
          <w:rFonts w:ascii="仿宋" w:hAnsi="仿宋" w:eastAsia="仿宋"/>
          <w:color w:val="auto"/>
          <w:highlight w:val="none"/>
        </w:rPr>
      </w:pPr>
    </w:p>
    <w:p w14:paraId="0D214B4C">
      <w:pPr>
        <w:pStyle w:val="54"/>
        <w:jc w:val="center"/>
        <w:rPr>
          <w:rFonts w:ascii="仿宋" w:hAnsi="仿宋" w:eastAsia="仿宋"/>
          <w:color w:val="auto"/>
          <w:highlight w:val="none"/>
        </w:rPr>
      </w:pPr>
    </w:p>
    <w:p w14:paraId="515264EC">
      <w:pPr>
        <w:pStyle w:val="54"/>
        <w:jc w:val="center"/>
        <w:rPr>
          <w:rFonts w:ascii="仿宋" w:hAnsi="仿宋" w:eastAsia="仿宋"/>
          <w:color w:val="auto"/>
          <w:highlight w:val="none"/>
        </w:rPr>
      </w:pPr>
    </w:p>
    <w:p w14:paraId="60F6820E">
      <w:pPr>
        <w:pStyle w:val="54"/>
        <w:jc w:val="center"/>
        <w:rPr>
          <w:rFonts w:ascii="仿宋" w:hAnsi="仿宋" w:eastAsia="仿宋"/>
          <w:color w:val="auto"/>
          <w:highlight w:val="none"/>
        </w:rPr>
      </w:pPr>
    </w:p>
    <w:p w14:paraId="6BE8487F">
      <w:pPr>
        <w:pStyle w:val="54"/>
        <w:jc w:val="center"/>
        <w:rPr>
          <w:rFonts w:ascii="仿宋" w:hAnsi="仿宋" w:eastAsia="仿宋"/>
          <w:color w:val="auto"/>
          <w:highlight w:val="none"/>
        </w:rPr>
      </w:pPr>
    </w:p>
    <w:p w14:paraId="4932222D">
      <w:pPr>
        <w:pStyle w:val="54"/>
        <w:jc w:val="center"/>
        <w:rPr>
          <w:rFonts w:ascii="仿宋" w:hAnsi="仿宋" w:eastAsia="仿宋"/>
          <w:color w:val="auto"/>
          <w:highlight w:val="none"/>
        </w:rPr>
      </w:pPr>
    </w:p>
    <w:p w14:paraId="235603DF">
      <w:pPr>
        <w:pStyle w:val="54"/>
        <w:jc w:val="center"/>
        <w:rPr>
          <w:rFonts w:ascii="仿宋" w:hAnsi="仿宋" w:eastAsia="仿宋"/>
          <w:color w:val="auto"/>
          <w:highlight w:val="none"/>
        </w:rPr>
      </w:pPr>
    </w:p>
    <w:p w14:paraId="35DF4E97">
      <w:pPr>
        <w:pStyle w:val="54"/>
        <w:jc w:val="center"/>
        <w:rPr>
          <w:rFonts w:ascii="仿宋" w:hAnsi="仿宋" w:eastAsia="仿宋"/>
          <w:color w:val="auto"/>
          <w:highlight w:val="none"/>
        </w:rPr>
      </w:pPr>
    </w:p>
    <w:p w14:paraId="52D6C2C2">
      <w:pPr>
        <w:pStyle w:val="54"/>
        <w:jc w:val="center"/>
        <w:rPr>
          <w:rFonts w:ascii="仿宋" w:hAnsi="仿宋" w:eastAsia="仿宋"/>
          <w:color w:val="auto"/>
          <w:highlight w:val="none"/>
        </w:rPr>
      </w:pPr>
    </w:p>
    <w:p w14:paraId="13FA6665">
      <w:pPr>
        <w:pStyle w:val="54"/>
        <w:jc w:val="center"/>
        <w:rPr>
          <w:rFonts w:ascii="仿宋" w:hAnsi="仿宋" w:eastAsia="仿宋"/>
          <w:color w:val="auto"/>
          <w:highlight w:val="none"/>
        </w:rPr>
      </w:pPr>
    </w:p>
    <w:p w14:paraId="0836E2F9">
      <w:pPr>
        <w:pStyle w:val="54"/>
        <w:jc w:val="center"/>
        <w:rPr>
          <w:rFonts w:ascii="仿宋" w:hAnsi="仿宋" w:eastAsia="仿宋"/>
          <w:color w:val="auto"/>
          <w:highlight w:val="none"/>
        </w:rPr>
      </w:pPr>
    </w:p>
    <w:p w14:paraId="3CAE195D">
      <w:pPr>
        <w:pStyle w:val="54"/>
        <w:jc w:val="center"/>
        <w:rPr>
          <w:rFonts w:ascii="仿宋" w:hAnsi="仿宋" w:eastAsia="仿宋"/>
          <w:color w:val="auto"/>
          <w:highlight w:val="none"/>
        </w:rPr>
      </w:pPr>
    </w:p>
    <w:p w14:paraId="7E0FD362">
      <w:pPr>
        <w:pStyle w:val="54"/>
        <w:jc w:val="center"/>
        <w:rPr>
          <w:rFonts w:ascii="仿宋" w:hAnsi="仿宋" w:eastAsia="仿宋"/>
          <w:color w:val="auto"/>
          <w:highlight w:val="none"/>
        </w:rPr>
      </w:pPr>
    </w:p>
    <w:p w14:paraId="402D4532">
      <w:pPr>
        <w:pStyle w:val="54"/>
        <w:jc w:val="center"/>
        <w:rPr>
          <w:rFonts w:ascii="仿宋" w:hAnsi="仿宋" w:eastAsia="仿宋"/>
          <w:color w:val="auto"/>
          <w:highlight w:val="none"/>
        </w:rPr>
      </w:pPr>
    </w:p>
    <w:p w14:paraId="23C46CE7">
      <w:pPr>
        <w:pStyle w:val="54"/>
        <w:jc w:val="center"/>
        <w:rPr>
          <w:rFonts w:ascii="仿宋" w:hAnsi="仿宋" w:eastAsia="仿宋"/>
          <w:color w:val="auto"/>
          <w:highlight w:val="none"/>
        </w:rPr>
      </w:pPr>
    </w:p>
    <w:p w14:paraId="4192964F">
      <w:pPr>
        <w:pStyle w:val="54"/>
        <w:jc w:val="center"/>
        <w:rPr>
          <w:rFonts w:ascii="仿宋" w:hAnsi="仿宋" w:eastAsia="仿宋"/>
          <w:color w:val="auto"/>
          <w:highlight w:val="none"/>
        </w:rPr>
      </w:pPr>
    </w:p>
    <w:p w14:paraId="2F9D3DFA">
      <w:pPr>
        <w:pStyle w:val="54"/>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4"/>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4"/>
        <w:jc w:val="center"/>
        <w:rPr>
          <w:rFonts w:ascii="仿宋" w:hAnsi="仿宋" w:eastAsia="仿宋"/>
          <w:color w:val="auto"/>
          <w:highlight w:val="none"/>
        </w:rPr>
      </w:pPr>
    </w:p>
    <w:p w14:paraId="0B26124F">
      <w:pPr>
        <w:pStyle w:val="54"/>
        <w:jc w:val="center"/>
        <w:rPr>
          <w:rFonts w:ascii="仿宋" w:hAnsi="仿宋" w:eastAsia="仿宋"/>
          <w:color w:val="auto"/>
          <w:highlight w:val="none"/>
        </w:rPr>
      </w:pPr>
    </w:p>
    <w:p w14:paraId="4E990DCE">
      <w:pPr>
        <w:pStyle w:val="54"/>
        <w:jc w:val="center"/>
        <w:rPr>
          <w:rFonts w:ascii="仿宋" w:hAnsi="仿宋" w:eastAsia="仿宋"/>
          <w:color w:val="auto"/>
          <w:highlight w:val="none"/>
        </w:rPr>
      </w:pPr>
    </w:p>
    <w:p w14:paraId="60B37F03">
      <w:pPr>
        <w:pStyle w:val="54"/>
        <w:jc w:val="center"/>
        <w:rPr>
          <w:rFonts w:ascii="仿宋" w:hAnsi="仿宋" w:eastAsia="仿宋"/>
          <w:color w:val="auto"/>
          <w:highlight w:val="none"/>
        </w:rPr>
      </w:pPr>
    </w:p>
    <w:p w14:paraId="611C747F">
      <w:pPr>
        <w:pStyle w:val="54"/>
        <w:jc w:val="center"/>
        <w:rPr>
          <w:rFonts w:ascii="仿宋" w:hAnsi="仿宋" w:eastAsia="仿宋"/>
          <w:color w:val="auto"/>
          <w:highlight w:val="none"/>
        </w:rPr>
      </w:pPr>
    </w:p>
    <w:p w14:paraId="1BAE273F">
      <w:pPr>
        <w:pStyle w:val="54"/>
        <w:jc w:val="center"/>
        <w:rPr>
          <w:rFonts w:ascii="仿宋" w:hAnsi="仿宋" w:eastAsia="仿宋"/>
          <w:color w:val="auto"/>
          <w:highlight w:val="none"/>
        </w:rPr>
      </w:pPr>
    </w:p>
    <w:p w14:paraId="03246013">
      <w:pPr>
        <w:pStyle w:val="54"/>
        <w:jc w:val="center"/>
        <w:rPr>
          <w:rFonts w:ascii="仿宋" w:hAnsi="仿宋" w:eastAsia="仿宋"/>
          <w:color w:val="auto"/>
          <w:highlight w:val="none"/>
        </w:rPr>
      </w:pPr>
    </w:p>
    <w:p w14:paraId="2586779F">
      <w:pPr>
        <w:pStyle w:val="54"/>
        <w:jc w:val="center"/>
        <w:rPr>
          <w:rFonts w:ascii="仿宋" w:hAnsi="仿宋" w:eastAsia="仿宋"/>
          <w:color w:val="auto"/>
          <w:highlight w:val="none"/>
        </w:rPr>
      </w:pPr>
    </w:p>
    <w:p w14:paraId="32A7C384">
      <w:pPr>
        <w:pStyle w:val="54"/>
        <w:jc w:val="center"/>
        <w:rPr>
          <w:rFonts w:ascii="仿宋" w:hAnsi="仿宋" w:eastAsia="仿宋"/>
          <w:color w:val="auto"/>
          <w:highlight w:val="none"/>
        </w:rPr>
      </w:pPr>
    </w:p>
    <w:p w14:paraId="690464A2">
      <w:pPr>
        <w:pStyle w:val="54"/>
        <w:rPr>
          <w:rFonts w:ascii="仿宋" w:hAnsi="仿宋" w:eastAsia="仿宋"/>
          <w:color w:val="auto"/>
          <w:highlight w:val="none"/>
        </w:rPr>
      </w:pPr>
    </w:p>
    <w:p w14:paraId="68959834">
      <w:pPr>
        <w:pStyle w:val="54"/>
        <w:rPr>
          <w:rFonts w:ascii="仿宋" w:hAnsi="仿宋" w:eastAsia="仿宋"/>
          <w:color w:val="auto"/>
          <w:highlight w:val="none"/>
        </w:rPr>
      </w:pPr>
    </w:p>
    <w:p w14:paraId="4DFCFEAC">
      <w:pPr>
        <w:pStyle w:val="54"/>
        <w:rPr>
          <w:rFonts w:ascii="仿宋" w:hAnsi="仿宋" w:eastAsia="仿宋"/>
          <w:color w:val="auto"/>
          <w:highlight w:val="none"/>
        </w:rPr>
      </w:pPr>
    </w:p>
    <w:p w14:paraId="7DC2E904">
      <w:pPr>
        <w:pStyle w:val="54"/>
        <w:rPr>
          <w:rFonts w:ascii="仿宋" w:hAnsi="仿宋" w:eastAsia="仿宋"/>
          <w:color w:val="auto"/>
          <w:highlight w:val="none"/>
        </w:rPr>
      </w:pPr>
    </w:p>
    <w:p w14:paraId="39724B2B">
      <w:pPr>
        <w:pStyle w:val="54"/>
        <w:rPr>
          <w:rFonts w:ascii="仿宋" w:hAnsi="仿宋" w:eastAsia="仿宋"/>
          <w:color w:val="auto"/>
          <w:highlight w:val="none"/>
        </w:rPr>
      </w:pPr>
    </w:p>
    <w:p w14:paraId="70BA8F41">
      <w:pPr>
        <w:pStyle w:val="54"/>
        <w:rPr>
          <w:rFonts w:ascii="仿宋" w:hAnsi="仿宋" w:eastAsia="仿宋"/>
          <w:color w:val="auto"/>
          <w:highlight w:val="none"/>
        </w:rPr>
      </w:pPr>
    </w:p>
    <w:p w14:paraId="40169A43">
      <w:pPr>
        <w:pStyle w:val="54"/>
        <w:rPr>
          <w:rFonts w:ascii="仿宋" w:hAnsi="仿宋" w:eastAsia="仿宋"/>
          <w:color w:val="auto"/>
          <w:highlight w:val="none"/>
        </w:rPr>
      </w:pPr>
    </w:p>
    <w:p w14:paraId="3E28DAAD">
      <w:pPr>
        <w:pStyle w:val="54"/>
        <w:rPr>
          <w:rFonts w:ascii="仿宋" w:hAnsi="仿宋" w:eastAsia="仿宋"/>
          <w:color w:val="auto"/>
          <w:highlight w:val="none"/>
        </w:rPr>
      </w:pPr>
    </w:p>
    <w:p w14:paraId="4059ECA0">
      <w:pPr>
        <w:pStyle w:val="54"/>
        <w:rPr>
          <w:rFonts w:ascii="仿宋" w:hAnsi="仿宋" w:eastAsia="仿宋"/>
          <w:color w:val="auto"/>
          <w:highlight w:val="none"/>
        </w:rPr>
      </w:pPr>
    </w:p>
    <w:p w14:paraId="00F7D88D">
      <w:pPr>
        <w:pStyle w:val="54"/>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b/>
          <w:bCs/>
          <w:color w:val="auto"/>
          <w:sz w:val="28"/>
          <w:szCs w:val="28"/>
          <w:highlight w:val="none"/>
          <w:u w:val="single"/>
          <w:lang w:eastAsia="zh-CN"/>
        </w:rPr>
        <w:t>2026-2027年度消防设施维保及年度检测</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8"/>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1406D633">
      <w:pPr>
        <w:widowControl/>
        <w:autoSpaceDE/>
        <w:autoSpaceDN/>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bookmarkEnd w:id="2"/>
    <w:p w14:paraId="692FCFC1">
      <w:pPr>
        <w:spacing w:line="360" w:lineRule="auto"/>
        <w:jc w:val="center"/>
        <w:rPr>
          <w:rFonts w:ascii="仿宋" w:hAnsi="仿宋" w:eastAsia="仿宋"/>
          <w:color w:val="auto"/>
          <w:sz w:val="28"/>
          <w:szCs w:val="28"/>
          <w:highlight w:val="non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pPr>
      </w:p>
      <w:p w14:paraId="0A72A009">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0"/>
          <w:jc w:val="center"/>
        </w:pPr>
      </w:p>
    </w:sdtContent>
  </w:sdt>
  <w:p w14:paraId="3B30D5C8">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0"/>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FD9EF"/>
    <w:multiLevelType w:val="singleLevel"/>
    <w:tmpl w:val="B48FD9EF"/>
    <w:lvl w:ilvl="0" w:tentative="0">
      <w:start w:val="2"/>
      <w:numFmt w:val="decimal"/>
      <w:suff w:val="nothing"/>
      <w:lvlText w:val="%1、"/>
      <w:lvlJc w:val="left"/>
    </w:lvl>
  </w:abstractNum>
  <w:abstractNum w:abstractNumId="1">
    <w:nsid w:val="CDBACC2E"/>
    <w:multiLevelType w:val="singleLevel"/>
    <w:tmpl w:val="CDBACC2E"/>
    <w:lvl w:ilvl="0" w:tentative="0">
      <w:start w:val="1"/>
      <w:numFmt w:val="decimal"/>
      <w:suff w:val="nothing"/>
      <w:lvlText w:val="%1、"/>
      <w:lvlJc w:val="left"/>
    </w:lvl>
  </w:abstractNum>
  <w:abstractNum w:abstractNumId="2">
    <w:nsid w:val="F3D053E6"/>
    <w:multiLevelType w:val="singleLevel"/>
    <w:tmpl w:val="F3D053E6"/>
    <w:lvl w:ilvl="0" w:tentative="0">
      <w:start w:val="2"/>
      <w:numFmt w:val="chineseCounting"/>
      <w:suff w:val="nothing"/>
      <w:lvlText w:val="%1、"/>
      <w:lvlJc w:val="left"/>
      <w:rPr>
        <w:rFonts w:hint="eastAsia"/>
      </w:rPr>
    </w:lvl>
  </w:abstractNum>
  <w:abstractNum w:abstractNumId="3">
    <w:nsid w:val="F59BF37E"/>
    <w:multiLevelType w:val="singleLevel"/>
    <w:tmpl w:val="F59BF37E"/>
    <w:lvl w:ilvl="0" w:tentative="0">
      <w:start w:val="7"/>
      <w:numFmt w:val="decimal"/>
      <w:suff w:val="space"/>
      <w:lvlText w:val="%1."/>
      <w:lvlJc w:val="left"/>
    </w:lvl>
  </w:abstractNum>
  <w:abstractNum w:abstractNumId="4">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1E97FD5"/>
    <w:multiLevelType w:val="singleLevel"/>
    <w:tmpl w:val="31E97FD5"/>
    <w:lvl w:ilvl="0" w:tentative="0">
      <w:start w:val="9"/>
      <w:numFmt w:val="chineseCounting"/>
      <w:suff w:val="space"/>
      <w:lvlText w:val="第%1章"/>
      <w:lvlJc w:val="left"/>
      <w:rPr>
        <w:rFonts w:hint="eastAsia"/>
      </w:rPr>
    </w:lvl>
  </w:abstractNum>
  <w:abstractNum w:abstractNumId="8">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740876"/>
    <w:multiLevelType w:val="multilevel"/>
    <w:tmpl w:val="6574087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4"/>
  </w:num>
  <w:num w:numId="3">
    <w:abstractNumId w:val="5"/>
  </w:num>
  <w:num w:numId="4">
    <w:abstractNumId w:val="6"/>
  </w:num>
  <w:num w:numId="5">
    <w:abstractNumId w:val="8"/>
  </w:num>
  <w:num w:numId="6">
    <w:abstractNumId w:val="11"/>
  </w:num>
  <w:num w:numId="7">
    <w:abstractNumId w:val="3"/>
  </w:num>
  <w:num w:numId="8">
    <w:abstractNumId w:val="1"/>
  </w:num>
  <w:num w:numId="9">
    <w:abstractNumId w:val="10"/>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444C"/>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0D08"/>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367315B"/>
    <w:rsid w:val="03E60428"/>
    <w:rsid w:val="057528B0"/>
    <w:rsid w:val="05ED3CF3"/>
    <w:rsid w:val="05FF197E"/>
    <w:rsid w:val="061139E5"/>
    <w:rsid w:val="06636B8D"/>
    <w:rsid w:val="06970067"/>
    <w:rsid w:val="06F50B00"/>
    <w:rsid w:val="06F772FB"/>
    <w:rsid w:val="072D673C"/>
    <w:rsid w:val="076E1278"/>
    <w:rsid w:val="087E5540"/>
    <w:rsid w:val="08D1141D"/>
    <w:rsid w:val="094F4A96"/>
    <w:rsid w:val="097917CA"/>
    <w:rsid w:val="09DF4195"/>
    <w:rsid w:val="0A3A27EF"/>
    <w:rsid w:val="0B296DE2"/>
    <w:rsid w:val="0D2A5AB7"/>
    <w:rsid w:val="0DAE7DA4"/>
    <w:rsid w:val="0EBB70C4"/>
    <w:rsid w:val="0F974836"/>
    <w:rsid w:val="0FC52672"/>
    <w:rsid w:val="10294AA3"/>
    <w:rsid w:val="103F7CB7"/>
    <w:rsid w:val="10E40CA0"/>
    <w:rsid w:val="11C732A5"/>
    <w:rsid w:val="136130D9"/>
    <w:rsid w:val="13A56D72"/>
    <w:rsid w:val="14C5232E"/>
    <w:rsid w:val="15367D4F"/>
    <w:rsid w:val="153C139F"/>
    <w:rsid w:val="168461FE"/>
    <w:rsid w:val="1860228C"/>
    <w:rsid w:val="18DD4F7E"/>
    <w:rsid w:val="195B58A2"/>
    <w:rsid w:val="19DC3FCF"/>
    <w:rsid w:val="1A1D12E8"/>
    <w:rsid w:val="1B426064"/>
    <w:rsid w:val="1C2F4299"/>
    <w:rsid w:val="1E085A14"/>
    <w:rsid w:val="1F010B23"/>
    <w:rsid w:val="1F1158D5"/>
    <w:rsid w:val="1FF43DDB"/>
    <w:rsid w:val="20D50BF7"/>
    <w:rsid w:val="211E6AC8"/>
    <w:rsid w:val="21933AA2"/>
    <w:rsid w:val="2236163B"/>
    <w:rsid w:val="22EE775E"/>
    <w:rsid w:val="2533755C"/>
    <w:rsid w:val="253F30FB"/>
    <w:rsid w:val="25BA301B"/>
    <w:rsid w:val="25BF356F"/>
    <w:rsid w:val="25DB0C2D"/>
    <w:rsid w:val="269469E7"/>
    <w:rsid w:val="26AE398C"/>
    <w:rsid w:val="26C85874"/>
    <w:rsid w:val="299C5322"/>
    <w:rsid w:val="29C0782D"/>
    <w:rsid w:val="29FC3B14"/>
    <w:rsid w:val="2B11792E"/>
    <w:rsid w:val="2B591CE7"/>
    <w:rsid w:val="2BFC66E0"/>
    <w:rsid w:val="2CDC646A"/>
    <w:rsid w:val="2D946557"/>
    <w:rsid w:val="2EFA65C8"/>
    <w:rsid w:val="2F9E3F51"/>
    <w:rsid w:val="2FED17A8"/>
    <w:rsid w:val="305E2CD3"/>
    <w:rsid w:val="31C54755"/>
    <w:rsid w:val="3216608C"/>
    <w:rsid w:val="32233DA1"/>
    <w:rsid w:val="326D0948"/>
    <w:rsid w:val="32C928A1"/>
    <w:rsid w:val="337A6C9E"/>
    <w:rsid w:val="34CE14C6"/>
    <w:rsid w:val="34D84CEC"/>
    <w:rsid w:val="361F0C57"/>
    <w:rsid w:val="36EC56C3"/>
    <w:rsid w:val="37AF5AB7"/>
    <w:rsid w:val="37C6307B"/>
    <w:rsid w:val="38FD2ECB"/>
    <w:rsid w:val="39CE7565"/>
    <w:rsid w:val="3A82275E"/>
    <w:rsid w:val="3B1C3371"/>
    <w:rsid w:val="3BFB0D78"/>
    <w:rsid w:val="3C5945BC"/>
    <w:rsid w:val="3CC23198"/>
    <w:rsid w:val="3CC60243"/>
    <w:rsid w:val="3CD404DE"/>
    <w:rsid w:val="3CE7750F"/>
    <w:rsid w:val="3DDF4815"/>
    <w:rsid w:val="3DE418E4"/>
    <w:rsid w:val="3FE669E5"/>
    <w:rsid w:val="40772E51"/>
    <w:rsid w:val="40DA4C1A"/>
    <w:rsid w:val="4157169F"/>
    <w:rsid w:val="417E204F"/>
    <w:rsid w:val="431D3DAA"/>
    <w:rsid w:val="432B3440"/>
    <w:rsid w:val="438C2802"/>
    <w:rsid w:val="449B0822"/>
    <w:rsid w:val="45337E9A"/>
    <w:rsid w:val="45702119"/>
    <w:rsid w:val="45E22CF5"/>
    <w:rsid w:val="46535F32"/>
    <w:rsid w:val="46A616B2"/>
    <w:rsid w:val="47E40B80"/>
    <w:rsid w:val="49762AE7"/>
    <w:rsid w:val="49E459A4"/>
    <w:rsid w:val="4DC35387"/>
    <w:rsid w:val="4E1458CD"/>
    <w:rsid w:val="4E293FE6"/>
    <w:rsid w:val="4FC4296F"/>
    <w:rsid w:val="505B5DD7"/>
    <w:rsid w:val="50F63E28"/>
    <w:rsid w:val="519C64C0"/>
    <w:rsid w:val="5221007F"/>
    <w:rsid w:val="523934E2"/>
    <w:rsid w:val="52926B5A"/>
    <w:rsid w:val="53D0583A"/>
    <w:rsid w:val="545C5E51"/>
    <w:rsid w:val="5486175B"/>
    <w:rsid w:val="54E71189"/>
    <w:rsid w:val="57213322"/>
    <w:rsid w:val="572A730E"/>
    <w:rsid w:val="57667D24"/>
    <w:rsid w:val="57CE5BC3"/>
    <w:rsid w:val="57F531C7"/>
    <w:rsid w:val="5AE1516A"/>
    <w:rsid w:val="5B6A3A79"/>
    <w:rsid w:val="5B9934B9"/>
    <w:rsid w:val="5BC82695"/>
    <w:rsid w:val="5C1A5F7B"/>
    <w:rsid w:val="5C5B380F"/>
    <w:rsid w:val="5C867ADA"/>
    <w:rsid w:val="5CE95FB4"/>
    <w:rsid w:val="5D0E453B"/>
    <w:rsid w:val="5E4B69E1"/>
    <w:rsid w:val="5FDF4359"/>
    <w:rsid w:val="62A712E9"/>
    <w:rsid w:val="633C3480"/>
    <w:rsid w:val="63407F05"/>
    <w:rsid w:val="637E1A80"/>
    <w:rsid w:val="645771F8"/>
    <w:rsid w:val="65072E52"/>
    <w:rsid w:val="658E3951"/>
    <w:rsid w:val="66F20EC4"/>
    <w:rsid w:val="670E71C7"/>
    <w:rsid w:val="67580AC9"/>
    <w:rsid w:val="681770D1"/>
    <w:rsid w:val="68B1337C"/>
    <w:rsid w:val="69531E62"/>
    <w:rsid w:val="6A54112D"/>
    <w:rsid w:val="6A7C5719"/>
    <w:rsid w:val="6AA035AE"/>
    <w:rsid w:val="6CD607DE"/>
    <w:rsid w:val="6DB0266F"/>
    <w:rsid w:val="6E0A58BB"/>
    <w:rsid w:val="6E0F2E14"/>
    <w:rsid w:val="6F1E141D"/>
    <w:rsid w:val="6F5354F8"/>
    <w:rsid w:val="6F8561D3"/>
    <w:rsid w:val="6FCC348E"/>
    <w:rsid w:val="6FE03A94"/>
    <w:rsid w:val="6FFB3A44"/>
    <w:rsid w:val="70401AF2"/>
    <w:rsid w:val="70A616C8"/>
    <w:rsid w:val="70C90151"/>
    <w:rsid w:val="71C4397A"/>
    <w:rsid w:val="72A76461"/>
    <w:rsid w:val="740A2BDE"/>
    <w:rsid w:val="743C4F1E"/>
    <w:rsid w:val="74C45BA9"/>
    <w:rsid w:val="751839E0"/>
    <w:rsid w:val="75E02E70"/>
    <w:rsid w:val="76274F93"/>
    <w:rsid w:val="767201E1"/>
    <w:rsid w:val="76A76BF7"/>
    <w:rsid w:val="780276A7"/>
    <w:rsid w:val="780A11FC"/>
    <w:rsid w:val="79EB3F2F"/>
    <w:rsid w:val="79EF7D37"/>
    <w:rsid w:val="7A026144"/>
    <w:rsid w:val="7ADC480E"/>
    <w:rsid w:val="7AFA7350"/>
    <w:rsid w:val="7B11789E"/>
    <w:rsid w:val="7BAC0C40"/>
    <w:rsid w:val="7BCE642F"/>
    <w:rsid w:val="7DC4436B"/>
    <w:rsid w:val="7DC94A0A"/>
    <w:rsid w:val="7DD93F05"/>
    <w:rsid w:val="7DE03C8A"/>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7"/>
    <w:next w:val="17"/>
    <w:link w:val="98"/>
    <w:qFormat/>
    <w:uiPriority w:val="0"/>
    <w:pPr>
      <w:widowControl/>
    </w:pPr>
    <w:rPr>
      <w:b/>
      <w:bCs/>
      <w:sz w:val="24"/>
      <w:szCs w:val="24"/>
    </w:rPr>
  </w:style>
  <w:style w:type="paragraph" w:styleId="44">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1"/>
    <w:qFormat/>
    <w:uiPriority w:val="0"/>
    <w:rPr>
      <w:rFonts w:ascii="Arial" w:hAnsi="Arial" w:eastAsia="黑体"/>
      <w:kern w:val="2"/>
      <w:sz w:val="24"/>
    </w:rPr>
  </w:style>
  <w:style w:type="character" w:customStyle="1" w:styleId="64">
    <w:name w:val="标题 9 Char"/>
    <w:basedOn w:val="47"/>
    <w:link w:val="12"/>
    <w:qFormat/>
    <w:uiPriority w:val="0"/>
    <w:rPr>
      <w:rFonts w:ascii="Arial" w:hAnsi="Arial" w:eastAsia="黑体"/>
      <w:kern w:val="2"/>
      <w:sz w:val="21"/>
    </w:rPr>
  </w:style>
  <w:style w:type="character" w:customStyle="1" w:styleId="65">
    <w:name w:val="正文文本 Char1"/>
    <w:basedOn w:val="47"/>
    <w:link w:val="20"/>
    <w:qFormat/>
    <w:uiPriority w:val="0"/>
    <w:rPr>
      <w:rFonts w:ascii="宋体" w:hAnsi="宋体" w:cs="宋体"/>
      <w:sz w:val="24"/>
      <w:szCs w:val="24"/>
      <w:lang w:eastAsia="en-US"/>
    </w:rPr>
  </w:style>
  <w:style w:type="character" w:customStyle="1" w:styleId="66">
    <w:name w:val="纯文本 Char"/>
    <w:basedOn w:val="47"/>
    <w:link w:val="25"/>
    <w:qFormat/>
    <w:uiPriority w:val="99"/>
    <w:rPr>
      <w:rFonts w:ascii="宋体" w:hAnsi="Courier New" w:cs="Courier New"/>
      <w:sz w:val="22"/>
      <w:szCs w:val="21"/>
      <w:lang w:eastAsia="en-US"/>
    </w:rPr>
  </w:style>
  <w:style w:type="character" w:customStyle="1" w:styleId="67">
    <w:name w:val="页脚 Char"/>
    <w:basedOn w:val="47"/>
    <w:link w:val="30"/>
    <w:qFormat/>
    <w:uiPriority w:val="99"/>
    <w:rPr>
      <w:rFonts w:ascii="宋体" w:hAnsi="宋体" w:cs="宋体"/>
      <w:sz w:val="18"/>
      <w:szCs w:val="18"/>
      <w:lang w:eastAsia="en-US"/>
    </w:rPr>
  </w:style>
  <w:style w:type="character" w:customStyle="1" w:styleId="68">
    <w:name w:val="页眉 Char"/>
    <w:basedOn w:val="47"/>
    <w:link w:val="1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9"/>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7"/>
    <w:qFormat/>
    <w:uiPriority w:val="0"/>
    <w:rPr>
      <w:kern w:val="2"/>
      <w:sz w:val="21"/>
    </w:rPr>
  </w:style>
  <w:style w:type="character" w:customStyle="1" w:styleId="82">
    <w:name w:val="批注框文本 Char"/>
    <w:basedOn w:val="47"/>
    <w:link w:val="29"/>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8"/>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1"/>
    <w:qFormat/>
    <w:uiPriority w:val="0"/>
    <w:rPr>
      <w:i/>
      <w:iCs/>
      <w:kern w:val="2"/>
      <w:sz w:val="21"/>
    </w:rPr>
  </w:style>
  <w:style w:type="character" w:customStyle="1" w:styleId="90">
    <w:name w:val="正文文本 3 Char"/>
    <w:basedOn w:val="47"/>
    <w:link w:val="18"/>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6"/>
    <w:qFormat/>
    <w:uiPriority w:val="0"/>
    <w:rPr>
      <w:rFonts w:ascii="宋体"/>
      <w:sz w:val="28"/>
      <w:shd w:val="clear" w:color="auto" w:fill="000080"/>
    </w:rPr>
  </w:style>
  <w:style w:type="character" w:customStyle="1" w:styleId="95">
    <w:name w:val="日期 Char"/>
    <w:basedOn w:val="47"/>
    <w:link w:val="27"/>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27</Pages>
  <Words>2281</Words>
  <Characters>2618</Characters>
  <Lines>77</Lines>
  <Paragraphs>21</Paragraphs>
  <TotalTime>0</TotalTime>
  <ScaleCrop>false</ScaleCrop>
  <LinksUpToDate>false</LinksUpToDate>
  <CharactersWithSpaces>2805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2025-11-26T03:38:24Z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2052-12.1.0.23542</vt:lpwstr>
  </property>
  <property fmtid="{D5CDD505-2E9C-101B-9397-08002B2CF9AE}" pid="6" name="ICV">
    <vt:lpwstr>E32CC7745D7C44E1B54F8FB1CC05C4D8_13</vt:lpwstr>
  </property>
  <property fmtid="{D5CDD505-2E9C-101B-9397-08002B2CF9AE}" pid="7" name="KSOTemplateDocerSaveRecord">
    <vt:lpwstr>eyJoZGlkIjoiMDAwZGE1YzMwMDlmOTIxMTA2ZTkzZTJhZThjODRkZDQiLCJ1c2VySWQiOiI5ODEyNzgwOTAifQ==</vt:lpwstr>
  </property>
</Properties>
</file>