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2025年~2028年</w:t>
      </w:r>
      <w:r>
        <w:rPr>
          <w:rFonts w:hint="eastAsia" w:ascii="微软雅黑" w:eastAsia="微软雅黑"/>
          <w:b/>
          <w:sz w:val="52"/>
          <w:szCs w:val="22"/>
          <w:u w:val="single"/>
          <w:lang w:eastAsia="zh-CN"/>
        </w:rPr>
        <w:t>对讲机维修及系统服务</w:t>
      </w:r>
      <w:r>
        <w:rPr>
          <w:rFonts w:hint="eastAsia" w:ascii="微软雅黑" w:eastAsia="微软雅黑"/>
          <w:b/>
          <w:sz w:val="52"/>
          <w:szCs w:val="22"/>
          <w:u w:val="single"/>
          <w:lang w:val="en-US" w:eastAsia="zh-CN"/>
        </w:rPr>
        <w:t>年约</w:t>
      </w:r>
      <w:r>
        <w:rPr>
          <w:rFonts w:hint="eastAsia" w:ascii="微软雅黑" w:eastAsia="微软雅黑"/>
          <w:b/>
          <w:sz w:val="52"/>
          <w:szCs w:val="22"/>
          <w:u w:val="single"/>
          <w:lang w:eastAsia="zh-CN"/>
        </w:rPr>
        <w:t>项目</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w:t>
      </w:r>
      <w:r>
        <w:rPr>
          <w:rFonts w:hint="eastAsia" w:hAnsi="宋体" w:cs="宋体"/>
          <w:sz w:val="24"/>
          <w:szCs w:val="24"/>
          <w:lang w:eastAsia="zh-CN"/>
        </w:rPr>
        <w:t>FHC-PTCG20241217001</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参比</w:t>
      </w:r>
      <w:r>
        <w:rPr>
          <w:sz w:val="24"/>
          <w:szCs w:val="24"/>
          <w:lang w:eastAsia="zh-CN"/>
        </w:rPr>
        <w:t>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w:t>
      </w:r>
      <w:r>
        <w:rPr>
          <w:rFonts w:hint="eastAsia"/>
          <w:sz w:val="24"/>
          <w:szCs w:val="24"/>
          <w:lang w:val="en-US" w:eastAsia="zh-CN"/>
        </w:rPr>
        <w:t>参比</w:t>
      </w:r>
      <w:r>
        <w:rPr>
          <w:sz w:val="24"/>
          <w:szCs w:val="24"/>
          <w:lang w:eastAsia="zh-CN"/>
        </w:rPr>
        <w:t>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6"/>
        <w:numPr>
          <w:ilvl w:val="0"/>
          <w:numId w:val="6"/>
        </w:numPr>
        <w:tabs>
          <w:tab w:val="left" w:pos="1272"/>
        </w:tabs>
        <w:spacing w:before="0" w:line="600" w:lineRule="exact"/>
        <w:ind w:firstLine="530" w:firstLineChars="200"/>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pPr>
        <w:pStyle w:val="21"/>
        <w:keepNext w:val="0"/>
        <w:keepLines w:val="0"/>
        <w:pageBreakBefore w:val="0"/>
        <w:kinsoku/>
        <w:wordWrap/>
        <w:overflowPunct/>
        <w:topLinePunct w:val="0"/>
        <w:bidi w:val="0"/>
        <w:snapToGrid/>
        <w:spacing w:before="0" w:line="360" w:lineRule="auto"/>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2025年~2028年</w:t>
      </w:r>
      <w:r>
        <w:rPr>
          <w:rFonts w:hint="eastAsia"/>
          <w:color w:val="000000" w:themeColor="text1"/>
          <w:u w:val="single"/>
          <w:lang w:eastAsia="zh-CN"/>
        </w:rPr>
        <w:t>对讲机维修及系统服务</w:t>
      </w:r>
      <w:r>
        <w:rPr>
          <w:rFonts w:hint="eastAsia"/>
          <w:color w:val="000000" w:themeColor="text1"/>
          <w:u w:val="single"/>
          <w:lang w:val="en-US" w:eastAsia="zh-CN"/>
        </w:rPr>
        <w:t>年约</w:t>
      </w:r>
      <w:r>
        <w:rPr>
          <w:rFonts w:hint="eastAsia"/>
          <w:color w:val="000000" w:themeColor="text1"/>
          <w:u w:val="single"/>
          <w:lang w:eastAsia="zh-CN"/>
        </w:rPr>
        <w:t>项目（项目编号：</w:t>
      </w:r>
      <w:r>
        <w:rPr>
          <w:rFonts w:hint="eastAsia" w:cs="宋体"/>
          <w:color w:val="000000" w:themeColor="text1"/>
          <w:sz w:val="24"/>
          <w:szCs w:val="24"/>
          <w:u w:val="single"/>
          <w:lang w:eastAsia="zh-CN"/>
        </w:rPr>
        <w:t>FHC-PTCG20241217001</w:t>
      </w:r>
      <w:r>
        <w:rPr>
          <w:rFonts w:hint="eastAsia" w:ascii="宋体" w:hAnsi="宋体" w:eastAsia="宋体" w:cs="宋体"/>
          <w:color w:val="000000" w:themeColor="text1"/>
          <w:u w:val="single"/>
          <w:lang w:eastAsia="zh-CN"/>
        </w:rPr>
        <w:t>）</w:t>
      </w:r>
      <w:r>
        <w:rPr>
          <w:rFonts w:hint="eastAsia"/>
          <w:color w:val="000000" w:themeColor="text1"/>
          <w:lang w:eastAsia="zh-CN"/>
        </w:rPr>
        <w:t>”</w:t>
      </w:r>
      <w:r>
        <w:rPr>
          <w:lang w:eastAsia="zh-CN"/>
        </w:rPr>
        <w:t>进行国内公开</w:t>
      </w:r>
      <w:r>
        <w:rPr>
          <w:rFonts w:hint="eastAsia"/>
          <w:lang w:eastAsia="zh-CN"/>
        </w:rPr>
        <w:t>询比，欢迎国内符合条件的供应商积极参比。</w:t>
      </w:r>
    </w:p>
    <w:p>
      <w:pPr>
        <w:keepNext w:val="0"/>
        <w:keepLines w:val="0"/>
        <w:pageBreakBefore w:val="0"/>
        <w:tabs>
          <w:tab w:val="left" w:pos="709"/>
        </w:tabs>
        <w:kinsoku/>
        <w:wordWrap/>
        <w:overflowPunct/>
        <w:topLinePunct w:val="0"/>
        <w:bidi w:val="0"/>
        <w:snapToGrid/>
        <w:spacing w:line="360" w:lineRule="auto"/>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项目名称：福建福海创石油化工有限公司2025年~2028年对讲机维修及系统服务年约项目。</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b w:val="0"/>
          <w:bCs w:val="0"/>
          <w:sz w:val="24"/>
          <w:szCs w:val="24"/>
          <w:lang w:eastAsia="zh-CN"/>
        </w:rPr>
      </w:pPr>
      <w:r>
        <w:rPr>
          <w:sz w:val="24"/>
          <w:szCs w:val="24"/>
          <w:lang w:eastAsia="zh-CN"/>
        </w:rPr>
        <w:t>2.</w:t>
      </w:r>
      <w:r>
        <w:rPr>
          <w:rFonts w:hint="eastAsia"/>
          <w:sz w:val="24"/>
          <w:szCs w:val="24"/>
          <w:lang w:eastAsia="zh-CN"/>
        </w:rPr>
        <w:t>询比项目说</w:t>
      </w:r>
      <w:r>
        <w:rPr>
          <w:rFonts w:hint="eastAsia"/>
          <w:b w:val="0"/>
          <w:bCs w:val="0"/>
          <w:sz w:val="24"/>
          <w:szCs w:val="24"/>
          <w:lang w:eastAsia="zh-CN"/>
        </w:rPr>
        <w:t>明：具体详见</w:t>
      </w:r>
      <w:r>
        <w:rPr>
          <w:rFonts w:hint="eastAsia" w:ascii="宋体" w:hAnsi="宋体" w:eastAsia="宋体" w:cs="宋体"/>
          <w:b w:val="0"/>
          <w:bCs w:val="0"/>
          <w:sz w:val="24"/>
          <w:szCs w:val="24"/>
          <w:u w:val="none"/>
          <w:lang w:eastAsia="zh-CN"/>
        </w:rPr>
        <w:t>附件</w:t>
      </w:r>
      <w:r>
        <w:rPr>
          <w:rFonts w:hint="eastAsia" w:ascii="宋体" w:hAnsi="宋体" w:eastAsia="宋体" w:cs="宋体"/>
          <w:b w:val="0"/>
          <w:bCs w:val="0"/>
          <w:sz w:val="24"/>
          <w:szCs w:val="24"/>
          <w:u w:val="none"/>
          <w:lang w:val="en-US" w:eastAsia="zh-CN"/>
        </w:rPr>
        <w:t>1</w:t>
      </w:r>
      <w:r>
        <w:rPr>
          <w:rFonts w:hint="eastAsia" w:ascii="宋体" w:hAnsi="宋体" w:eastAsia="宋体" w:cs="宋体"/>
          <w:b w:val="0"/>
          <w:bCs w:val="0"/>
          <w:sz w:val="24"/>
          <w:szCs w:val="24"/>
          <w:u w:val="none"/>
          <w:lang w:eastAsia="zh-CN"/>
        </w:rPr>
        <w:t>、《发包说明》</w:t>
      </w:r>
      <w:r>
        <w:rPr>
          <w:rFonts w:hint="eastAsia" w:ascii="宋体" w:hAnsi="宋体" w:eastAsia="宋体" w:cs="宋体"/>
          <w:b w:val="0"/>
          <w:bCs w:val="0"/>
          <w:sz w:val="24"/>
          <w:szCs w:val="24"/>
          <w:lang w:eastAsia="zh-CN"/>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ascii="宋体" w:hAnsi="宋体" w:eastAsia="宋体" w:cs="宋体"/>
          <w:sz w:val="24"/>
          <w:lang w:eastAsia="zh-CN"/>
        </w:rPr>
      </w:pPr>
      <w:r>
        <w:rPr>
          <w:rFonts w:hint="eastAsia"/>
          <w:sz w:val="24"/>
          <w:szCs w:val="24"/>
          <w:lang w:eastAsia="zh-CN"/>
        </w:rPr>
        <w:t>3.</w:t>
      </w:r>
      <w:r>
        <w:rPr>
          <w:rFonts w:hint="eastAsia"/>
          <w:sz w:val="24"/>
          <w:lang w:eastAsia="zh-CN"/>
        </w:rPr>
        <w:t>付款方式要求：全部货款以现汇支付，</w:t>
      </w:r>
      <w:r>
        <w:rPr>
          <w:rFonts w:hint="eastAsia" w:ascii="宋体" w:hAnsi="宋体" w:eastAsia="宋体" w:cs="宋体"/>
          <w:sz w:val="24"/>
          <w:lang w:val="en-US" w:eastAsia="zh-CN"/>
        </w:rPr>
        <w:t>按实际维修量进行结算，当批次验收合格后支付100%货款，如出现维修质量等问题将从验收款或</w:t>
      </w:r>
      <w:bookmarkStart w:id="0" w:name="_Toc80716117"/>
      <w:r>
        <w:rPr>
          <w:rFonts w:hint="eastAsia" w:ascii="宋体" w:hAnsi="宋体" w:eastAsia="宋体" w:cs="宋体"/>
          <w:sz w:val="24"/>
          <w:lang w:val="en-US" w:eastAsia="zh-CN"/>
        </w:rPr>
        <w:t>合同</w:t>
      </w:r>
      <w:r>
        <w:rPr>
          <w:rFonts w:hint="eastAsia" w:ascii="宋体" w:hAnsi="宋体" w:eastAsia="宋体" w:cs="宋体"/>
          <w:b w:val="0"/>
          <w:kern w:val="0"/>
          <w:sz w:val="24"/>
          <w:lang w:eastAsia="zh-CN"/>
        </w:rPr>
        <w:t>履约保证金</w:t>
      </w:r>
      <w:bookmarkEnd w:id="0"/>
      <w:r>
        <w:rPr>
          <w:rFonts w:hint="eastAsia" w:ascii="宋体" w:hAnsi="宋体" w:eastAsia="宋体" w:cs="宋体"/>
          <w:b w:val="0"/>
          <w:kern w:val="0"/>
          <w:sz w:val="24"/>
          <w:lang w:val="en-US" w:eastAsia="zh-CN"/>
        </w:rPr>
        <w:t>中扣除</w:t>
      </w:r>
      <w:r>
        <w:rPr>
          <w:rFonts w:hint="eastAsia" w:ascii="宋体" w:hAnsi="宋体" w:eastAsia="宋体" w:cs="宋体"/>
          <w:sz w:val="24"/>
          <w:lang w:eastAsia="zh-CN"/>
        </w:rPr>
        <w:t>。</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w:t>
      </w:r>
      <w:r>
        <w:rPr>
          <w:rFonts w:hint="eastAsia"/>
          <w:b/>
          <w:snapToGrid w:val="0"/>
          <w:color w:val="000000" w:themeColor="text1"/>
          <w:spacing w:val="8"/>
          <w:sz w:val="24"/>
          <w:szCs w:val="24"/>
          <w:lang w:eastAsia="zh-CN"/>
        </w:rPr>
        <w:t>参比</w:t>
      </w:r>
      <w:r>
        <w:rPr>
          <w:b/>
          <w:snapToGrid w:val="0"/>
          <w:color w:val="000000" w:themeColor="text1"/>
          <w:spacing w:val="8"/>
          <w:sz w:val="24"/>
          <w:szCs w:val="24"/>
          <w:lang w:eastAsia="zh-CN"/>
        </w:rPr>
        <w:t>人资格要求</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sz w:val="24"/>
          <w:szCs w:val="24"/>
          <w:lang w:eastAsia="zh-CN"/>
        </w:rPr>
      </w:pPr>
      <w:r>
        <w:rPr>
          <w:rFonts w:hint="eastAsia"/>
          <w:sz w:val="24"/>
          <w:szCs w:val="24"/>
          <w:lang w:eastAsia="zh-CN"/>
        </w:rPr>
        <w:t>1.参比人必须具备有效的企业法人营业执照，</w:t>
      </w:r>
      <w:r>
        <w:rPr>
          <w:rFonts w:hint="eastAsia"/>
          <w:color w:val="000000"/>
          <w:sz w:val="24"/>
          <w:szCs w:val="24"/>
          <w:lang w:eastAsia="zh-CN"/>
        </w:rPr>
        <w:t>参比单位应是具备独立法人资格且有能力按我司需求提供货物及服务的厂商。</w:t>
      </w:r>
    </w:p>
    <w:p>
      <w:pPr>
        <w:pStyle w:val="207"/>
        <w:keepNext w:val="0"/>
        <w:keepLines w:val="0"/>
        <w:pageBreakBefore w:val="0"/>
        <w:kinsoku/>
        <w:wordWrap/>
        <w:overflowPunct/>
        <w:topLinePunct w:val="0"/>
        <w:bidi w:val="0"/>
        <w:snapToGrid/>
        <w:spacing w:line="360" w:lineRule="auto"/>
        <w:ind w:right="0" w:firstLine="53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w:t>
      </w:r>
      <w:r>
        <w:rPr>
          <w:rFonts w:hint="eastAsia"/>
          <w:sz w:val="24"/>
          <w:szCs w:val="24"/>
          <w:lang w:eastAsia="zh-CN"/>
        </w:rPr>
        <w:t>询比</w:t>
      </w:r>
      <w:r>
        <w:rPr>
          <w:sz w:val="24"/>
          <w:szCs w:val="24"/>
        </w:rPr>
        <w:t>；</w:t>
      </w:r>
      <w:r>
        <w:rPr>
          <w:rFonts w:hint="eastAsia"/>
          <w:color w:val="000000" w:themeColor="text1"/>
          <w:sz w:val="24"/>
          <w:szCs w:val="24"/>
          <w:lang w:eastAsia="zh-CN"/>
        </w:rPr>
        <w:t>参比</w:t>
      </w:r>
      <w:r>
        <w:rPr>
          <w:color w:val="000000" w:themeColor="text1"/>
          <w:sz w:val="24"/>
          <w:szCs w:val="24"/>
        </w:rPr>
        <w:t>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lang w:eastAsia="zh-CN"/>
        </w:rPr>
        <w:t>询比</w:t>
      </w:r>
      <w:r>
        <w:rPr>
          <w:rFonts w:hint="eastAsia"/>
          <w:color w:val="000000" w:themeColor="text1"/>
          <w:sz w:val="24"/>
          <w:szCs w:val="24"/>
        </w:rPr>
        <w:t>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ascii="Calibri" w:hAnsi="Calibri" w:eastAsia="宋体"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default" w:ascii="Calibri" w:hAnsi="Calibri" w:eastAsia="宋体" w:cs="Times New Roman"/>
          <w:color w:val="000000" w:themeColor="text1"/>
          <w:kern w:val="2"/>
          <w:sz w:val="24"/>
          <w:szCs w:val="24"/>
          <w:lang w:eastAsia="zh-CN"/>
        </w:rPr>
        <w:t>参比人持有摩托罗拉对讲机维修售后服务授权</w:t>
      </w:r>
      <w:r>
        <w:rPr>
          <w:rFonts w:hint="eastAsia" w:ascii="Calibri" w:hAnsi="Calibri" w:cs="Times New Roman"/>
          <w:color w:val="000000" w:themeColor="text1"/>
          <w:kern w:val="2"/>
          <w:sz w:val="24"/>
          <w:szCs w:val="24"/>
          <w:lang w:val="en-US" w:eastAsia="zh-CN"/>
        </w:rPr>
        <w:t>代理证</w:t>
      </w:r>
      <w:r>
        <w:rPr>
          <w:rFonts w:hint="default" w:ascii="Calibri" w:hAnsi="Calibri" w:eastAsia="宋体" w:cs="Times New Roman"/>
          <w:color w:val="000000" w:themeColor="text1"/>
          <w:kern w:val="2"/>
          <w:sz w:val="24"/>
          <w:szCs w:val="24"/>
          <w:lang w:eastAsia="zh-CN"/>
        </w:rPr>
        <w:t>或防爆对讲机维护能力认定证书（有效期内）</w:t>
      </w:r>
      <w:r>
        <w:rPr>
          <w:rFonts w:hint="eastAsia" w:ascii="Calibri" w:hAnsi="Calibri" w:eastAsia="宋体" w:cs="Times New Roman"/>
          <w:bCs w:val="0"/>
          <w:color w:val="000000" w:themeColor="text1"/>
          <w:kern w:val="2"/>
          <w:sz w:val="24"/>
          <w:szCs w:val="24"/>
          <w:lang w:eastAsia="zh-CN"/>
        </w:rPr>
        <w:t>。</w:t>
      </w:r>
    </w:p>
    <w:p>
      <w:pPr>
        <w:pStyle w:val="207"/>
        <w:keepNext w:val="0"/>
        <w:keepLines w:val="0"/>
        <w:pageBreakBefore w:val="0"/>
        <w:kinsoku/>
        <w:wordWrap/>
        <w:overflowPunct/>
        <w:topLinePunct w:val="0"/>
        <w:bidi w:val="0"/>
        <w:snapToGrid/>
        <w:spacing w:line="360" w:lineRule="auto"/>
        <w:ind w:right="0" w:firstLine="530"/>
        <w:rPr>
          <w:rFonts w:hint="default"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lang w:val="en-US" w:eastAsia="zh-CN" w:bidi="ar-SA"/>
        </w:rPr>
        <w:t>4.本案</w:t>
      </w:r>
      <w:r>
        <w:rPr>
          <w:rFonts w:hint="eastAsia" w:ascii="宋体" w:hAnsi="宋体" w:cs="宋体"/>
          <w:color w:val="000000" w:themeColor="text1"/>
          <w:kern w:val="0"/>
          <w:sz w:val="24"/>
          <w:szCs w:val="24"/>
          <w:lang w:val="en-US" w:eastAsia="zh-CN" w:bidi="ar-SA"/>
        </w:rPr>
        <w:t>不接受联合体参选。</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三、</w:t>
      </w:r>
      <w:r>
        <w:rPr>
          <w:rFonts w:hint="eastAsia"/>
          <w:b/>
          <w:snapToGrid w:val="0"/>
          <w:color w:val="000000" w:themeColor="text1"/>
          <w:spacing w:val="8"/>
          <w:sz w:val="24"/>
          <w:szCs w:val="24"/>
          <w:lang w:eastAsia="zh-CN"/>
        </w:rPr>
        <w:t>获取询比文件</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5</w:t>
      </w:r>
      <w:r>
        <w:rPr>
          <w:rFonts w:hint="eastAsia"/>
          <w:color w:val="000000" w:themeColor="text1"/>
          <w:sz w:val="24"/>
          <w:szCs w:val="24"/>
          <w:lang w:eastAsia="zh-CN"/>
        </w:rPr>
        <w:t>年  月  日至202</w:t>
      </w:r>
      <w:r>
        <w:rPr>
          <w:rFonts w:hint="eastAsia"/>
          <w:color w:val="000000" w:themeColor="text1"/>
          <w:sz w:val="24"/>
          <w:szCs w:val="24"/>
          <w:lang w:val="en-US" w:eastAsia="zh-CN"/>
        </w:rPr>
        <w:t>5</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报名方式：参比人在报名时间内将报名文件发送至邮箱xydai@fhcpec.com.cn，报名文件包含：</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可到现场</w:t>
      </w:r>
      <w:r>
        <w:rPr>
          <w:rFonts w:hint="eastAsia"/>
          <w:color w:val="000000" w:themeColor="text1"/>
          <w:sz w:val="24"/>
          <w:szCs w:val="24"/>
          <w:lang w:eastAsia="zh-CN"/>
        </w:rPr>
        <w:t>与现场技术人员进行前期</w:t>
      </w:r>
      <w:r>
        <w:rPr>
          <w:rFonts w:hint="eastAsia"/>
          <w:color w:val="000000" w:themeColor="text1"/>
          <w:sz w:val="24"/>
          <w:szCs w:val="24"/>
          <w:lang w:val="en-US" w:eastAsia="zh-CN"/>
        </w:rPr>
        <w:t>现场勘察及技术交流</w:t>
      </w:r>
      <w:r>
        <w:rPr>
          <w:rFonts w:hint="eastAsia"/>
          <w:color w:val="000000" w:themeColor="text1"/>
          <w:sz w:val="24"/>
          <w:szCs w:val="24"/>
          <w:lang w:eastAsia="zh-CN"/>
        </w:rPr>
        <w:t>。如有异议需在</w:t>
      </w:r>
      <w:r>
        <w:rPr>
          <w:rFonts w:hint="eastAsia"/>
          <w:color w:val="000000" w:themeColor="text1"/>
          <w:sz w:val="24"/>
          <w:szCs w:val="24"/>
          <w:lang w:val="en-US" w:eastAsia="zh-CN"/>
        </w:rPr>
        <w:t>比选</w:t>
      </w:r>
      <w:r>
        <w:rPr>
          <w:rFonts w:hint="eastAsia"/>
          <w:color w:val="000000" w:themeColor="text1"/>
          <w:sz w:val="24"/>
          <w:szCs w:val="24"/>
          <w:lang w:eastAsia="zh-CN"/>
        </w:rPr>
        <w:t>前提出，</w:t>
      </w:r>
      <w:r>
        <w:rPr>
          <w:rFonts w:hint="eastAsia"/>
          <w:color w:val="000000" w:themeColor="text1"/>
          <w:sz w:val="24"/>
          <w:szCs w:val="24"/>
          <w:lang w:val="en-US" w:eastAsia="zh-CN"/>
        </w:rPr>
        <w:t>参选人参加比选</w:t>
      </w:r>
      <w:r>
        <w:rPr>
          <w:rFonts w:hint="eastAsia"/>
          <w:color w:val="000000" w:themeColor="text1"/>
          <w:sz w:val="24"/>
          <w:szCs w:val="24"/>
          <w:lang w:eastAsia="zh-CN"/>
        </w:rPr>
        <w:t>即视为已充分了解现场情况、技术要求、安全要求等。</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获取询比文件：本项目询比文件请有意向参比人自行下载，不收取费用。（特别声明：未进行登记报名的参比人，其递交的参比文件将被拒收。）</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，电话：</w:t>
      </w:r>
      <w:r>
        <w:rPr>
          <w:rFonts w:hint="eastAsia"/>
          <w:color w:val="000000" w:themeColor="text1"/>
          <w:sz w:val="24"/>
          <w:szCs w:val="24"/>
          <w:lang w:val="en-US" w:eastAsia="zh-CN"/>
        </w:rPr>
        <w:t>0596-6311078</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w:t>
      </w:r>
      <w:r>
        <w:rPr>
          <w:rFonts w:hint="eastAsia"/>
          <w:color w:val="000000" w:themeColor="text1"/>
          <w:sz w:val="24"/>
          <w:szCs w:val="24"/>
          <w:lang w:val="en-US" w:eastAsia="zh-CN"/>
        </w:rPr>
        <w:t>2025年1月 日12时止</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rFonts w:hint="eastAsia"/>
          <w:b/>
          <w:snapToGrid w:val="0"/>
          <w:color w:val="000000" w:themeColor="text1"/>
          <w:spacing w:val="8"/>
          <w:w w:val="100"/>
          <w:sz w:val="24"/>
          <w:szCs w:val="24"/>
          <w:lang w:eastAsia="zh-CN"/>
        </w:rPr>
      </w:pPr>
      <w:r>
        <w:rPr>
          <w:rFonts w:hint="eastAsia"/>
          <w:b/>
          <w:snapToGrid w:val="0"/>
          <w:color w:val="000000" w:themeColor="text1"/>
          <w:spacing w:val="8"/>
          <w:w w:val="100"/>
          <w:sz w:val="24"/>
          <w:szCs w:val="24"/>
          <w:lang w:val="en-US" w:eastAsia="zh-CN"/>
        </w:rPr>
        <w:t>五、</w:t>
      </w:r>
      <w:r>
        <w:rPr>
          <w:rFonts w:hint="eastAsia"/>
          <w:b/>
          <w:snapToGrid w:val="0"/>
          <w:color w:val="000000" w:themeColor="text1"/>
          <w:spacing w:val="8"/>
          <w:w w:val="100"/>
          <w:sz w:val="24"/>
          <w:szCs w:val="24"/>
          <w:lang w:eastAsia="zh-CN"/>
        </w:rPr>
        <w:t>参比保证金</w:t>
      </w:r>
    </w:p>
    <w:p>
      <w:pPr>
        <w:pStyle w:val="21"/>
        <w:keepNext w:val="0"/>
        <w:keepLines w:val="0"/>
        <w:pageBreakBefore w:val="0"/>
        <w:kinsoku/>
        <w:wordWrap/>
        <w:overflowPunct/>
        <w:topLinePunct w:val="0"/>
        <w:bidi w:val="0"/>
        <w:snapToGrid/>
        <w:spacing w:line="360" w:lineRule="auto"/>
        <w:ind w:right="0" w:firstLine="480" w:firstLineChars="200"/>
        <w:jc w:val="both"/>
        <w:rPr>
          <w:color w:val="000000" w:themeColor="text1"/>
          <w:lang w:eastAsia="zh-CN"/>
        </w:rPr>
      </w:pPr>
      <w:r>
        <w:rPr>
          <w:rFonts w:hint="eastAsia"/>
          <w:lang w:eastAsia="zh-CN"/>
        </w:rPr>
        <w:t>1.参比单位应缴纳参比保证金，保证金</w:t>
      </w:r>
      <w:r>
        <w:rPr>
          <w:rFonts w:hint="eastAsia"/>
          <w:color w:val="000000" w:themeColor="text1"/>
          <w:lang w:eastAsia="zh-CN"/>
        </w:rPr>
        <w:t>金额</w:t>
      </w:r>
      <w:r>
        <w:rPr>
          <w:rFonts w:hint="eastAsia"/>
          <w:color w:val="000000" w:themeColor="text1"/>
          <w:lang w:val="en-US" w:eastAsia="zh-CN"/>
        </w:rPr>
        <w:t>5000</w:t>
      </w:r>
      <w:r>
        <w:rPr>
          <w:rFonts w:hint="eastAsia"/>
          <w:color w:val="000000" w:themeColor="text1"/>
          <w:lang w:eastAsia="zh-CN"/>
        </w:rPr>
        <w:t>元整</w:t>
      </w:r>
      <w:r>
        <w:rPr>
          <w:rFonts w:hint="eastAsia"/>
          <w:lang w:eastAsia="zh-CN"/>
        </w:rPr>
        <w:t>，参比单位应按照要求从参比单位基本</w:t>
      </w:r>
      <w:r>
        <w:rPr>
          <w:rFonts w:hint="eastAsia"/>
          <w:color w:val="000000" w:themeColor="text1"/>
          <w:lang w:eastAsia="zh-CN"/>
        </w:rPr>
        <w:t>账户转入询比单位的账户，询比单位账户信息如下：</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color w:val="000000" w:themeColor="text1"/>
          <w:lang w:eastAsia="zh-CN"/>
        </w:rPr>
        <w:t>开户名称：</w:t>
      </w:r>
      <w:r>
        <w:rPr>
          <w:rFonts w:hint="eastAsia"/>
          <w:lang w:eastAsia="zh-CN"/>
        </w:rPr>
        <w:t>福建福海创石油化工有限公司</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keepNext w:val="0"/>
        <w:keepLines w:val="0"/>
        <w:pageBreakBefore w:val="0"/>
        <w:kinsoku/>
        <w:wordWrap/>
        <w:overflowPunct/>
        <w:topLinePunct w:val="0"/>
        <w:bidi w:val="0"/>
        <w:snapToGrid/>
        <w:spacing w:line="360" w:lineRule="auto"/>
        <w:ind w:right="0" w:firstLine="480" w:firstLineChars="200"/>
        <w:jc w:val="both"/>
        <w:rPr>
          <w:color w:val="000000" w:themeColor="text1"/>
          <w:lang w:eastAsia="zh-CN"/>
        </w:rPr>
      </w:pPr>
      <w:r>
        <w:rPr>
          <w:rFonts w:hint="eastAsia"/>
          <w:color w:val="000000" w:themeColor="text1"/>
          <w:lang w:eastAsia="zh-CN"/>
        </w:rPr>
        <w:t>帐号：</w:t>
      </w:r>
      <w:r>
        <w:rPr>
          <w:lang w:eastAsia="zh-CN"/>
        </w:rPr>
        <w:t>406574816628</w:t>
      </w:r>
    </w:p>
    <w:p>
      <w:pPr>
        <w:pStyle w:val="21"/>
        <w:keepNext w:val="0"/>
        <w:keepLines w:val="0"/>
        <w:pageBreakBefore w:val="0"/>
        <w:kinsoku/>
        <w:wordWrap/>
        <w:overflowPunct/>
        <w:topLinePunct w:val="0"/>
        <w:bidi w:val="0"/>
        <w:snapToGrid/>
        <w:spacing w:line="360" w:lineRule="auto"/>
        <w:ind w:right="0" w:firstLine="480" w:firstLineChars="200"/>
        <w:jc w:val="both"/>
        <w:rPr>
          <w:color w:val="000000" w:themeColor="text1"/>
          <w:lang w:eastAsia="zh-CN"/>
        </w:rPr>
      </w:pPr>
      <w:r>
        <w:rPr>
          <w:rFonts w:hint="eastAsia"/>
          <w:color w:val="000000" w:themeColor="text1"/>
          <w:lang w:eastAsia="zh-CN"/>
        </w:rPr>
        <w:t>注明用途：</w:t>
      </w:r>
      <w:r>
        <w:rPr>
          <w:rFonts w:hint="eastAsia"/>
          <w:lang w:eastAsia="zh-CN"/>
        </w:rPr>
        <w:t>2025年~2028年对讲机维修及系统服务年约项目</w:t>
      </w:r>
      <w:r>
        <w:rPr>
          <w:rFonts w:hint="eastAsia"/>
          <w:color w:val="000000" w:themeColor="text1"/>
          <w:lang w:eastAsia="zh-CN"/>
        </w:rPr>
        <w:t>参比</w:t>
      </w:r>
      <w:r>
        <w:rPr>
          <w:color w:val="000000" w:themeColor="text1"/>
          <w:lang w:eastAsia="zh-CN"/>
        </w:rPr>
        <w:t>保证金</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lang w:eastAsia="zh-CN"/>
        </w:rPr>
        <w:t>参比保证金有效期：</w:t>
      </w:r>
      <w:r>
        <w:rPr>
          <w:lang w:eastAsia="zh-CN"/>
        </w:rPr>
        <w:t>90</w:t>
      </w:r>
      <w:r>
        <w:rPr>
          <w:rFonts w:hint="eastAsia"/>
          <w:lang w:eastAsia="zh-CN"/>
        </w:rPr>
        <w:t>日历天。</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lang w:eastAsia="zh-CN"/>
        </w:rPr>
        <w:t>注：开户许可证上账号应与参比保证金转账回单上账号一致，否则视为未按规定提交参比保证金,所造成的一切后果由参比人自行负责。参比保证金转入后，将相关凭证放在商务询比文件中。</w:t>
      </w:r>
    </w:p>
    <w:p>
      <w:pPr>
        <w:pStyle w:val="21"/>
        <w:keepNext w:val="0"/>
        <w:keepLines w:val="0"/>
        <w:pageBreakBefore w:val="0"/>
        <w:kinsoku/>
        <w:wordWrap/>
        <w:overflowPunct/>
        <w:topLinePunct w:val="0"/>
        <w:bidi w:val="0"/>
        <w:snapToGrid/>
        <w:spacing w:line="360" w:lineRule="auto"/>
        <w:ind w:right="0" w:firstLine="480" w:firstLineChars="200"/>
        <w:jc w:val="both"/>
        <w:rPr>
          <w:lang w:eastAsia="zh-CN"/>
        </w:rPr>
      </w:pPr>
      <w:r>
        <w:rPr>
          <w:rFonts w:hint="eastAsia"/>
          <w:lang w:eastAsia="zh-CN"/>
        </w:rPr>
        <w:t>2.对于未能按要求提交保证金的参比文件，询比单位可以视为不符合上面询比要求而予以拒绝；</w:t>
      </w:r>
    </w:p>
    <w:p>
      <w:pPr>
        <w:keepNext w:val="0"/>
        <w:keepLines w:val="0"/>
        <w:pageBreakBefore w:val="0"/>
        <w:tabs>
          <w:tab w:val="left" w:pos="709"/>
        </w:tabs>
        <w:kinsoku/>
        <w:wordWrap/>
        <w:overflowPunct/>
        <w:topLinePunct w:val="0"/>
        <w:bidi w:val="0"/>
        <w:snapToGrid/>
        <w:spacing w:line="360" w:lineRule="auto"/>
        <w:ind w:right="0" w:firstLine="514" w:firstLineChars="200"/>
        <w:jc w:val="both"/>
        <w:rPr>
          <w:rFonts w:hint="eastAsia"/>
          <w:b/>
          <w:bCs w:val="0"/>
          <w:snapToGrid w:val="0"/>
          <w:color w:val="000000" w:themeColor="text1"/>
          <w:spacing w:val="8"/>
          <w:sz w:val="24"/>
          <w:szCs w:val="24"/>
          <w:lang w:val="en-US" w:eastAsia="zh-CN"/>
        </w:rPr>
      </w:pPr>
      <w:r>
        <w:rPr>
          <w:rFonts w:hint="eastAsia"/>
          <w:b/>
          <w:bCs w:val="0"/>
          <w:snapToGrid w:val="0"/>
          <w:color w:val="000000" w:themeColor="text1"/>
          <w:spacing w:val="8"/>
          <w:sz w:val="24"/>
          <w:szCs w:val="24"/>
          <w:lang w:eastAsia="zh-CN"/>
        </w:rPr>
        <w:t>六、本自主询比采用技术商务综合评分的评标办法，综合评分最高者作为中选单位。</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 xml:space="preserve"> </w:t>
      </w:r>
      <w:r>
        <w:rPr>
          <w:rFonts w:hint="eastAsia"/>
          <w:color w:val="000000" w:themeColor="text1"/>
          <w:sz w:val="24"/>
          <w:szCs w:val="24"/>
          <w:lang w:eastAsia="zh-CN"/>
        </w:rPr>
        <w:t>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w:t>
      </w:r>
      <w:r>
        <w:rPr>
          <w:rFonts w:hint="eastAsia"/>
          <w:color w:val="000000" w:themeColor="text1"/>
          <w:sz w:val="24"/>
          <w:szCs w:val="24"/>
          <w:lang w:val="en-US"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"mailto:xumx@fhcpec.com.cn" </w:instrText>
      </w:r>
      <w:r>
        <w:rPr>
          <w:rFonts w:hint="eastAsia"/>
          <w:color w:val="000000" w:themeColor="text1"/>
          <w:sz w:val="24"/>
          <w:szCs w:val="24"/>
          <w:lang w:eastAsia="zh-CN"/>
        </w:rPr>
        <w:fldChar w:fldCharType="separate"/>
      </w:r>
      <w:r>
        <w:rPr>
          <w:rStyle w:val="57"/>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kinsoku/>
        <w:wordWrap/>
        <w:overflowPunct/>
        <w:topLinePunct w:val="0"/>
        <w:bidi w:val="0"/>
        <w:snapToGrid/>
        <w:spacing w:line="360" w:lineRule="auto"/>
        <w:ind w:right="0" w:firstLine="480" w:firstLineChars="200"/>
        <w:rPr>
          <w:rFonts w:hint="default"/>
          <w:lang w:val="en-US" w:eastAsia="zh-CN"/>
        </w:rPr>
      </w:pPr>
      <w:r>
        <w:rPr>
          <w:rFonts w:hint="eastAsia"/>
          <w:sz w:val="24"/>
          <w:szCs w:val="24"/>
        </w:rPr>
        <w:t>技术联系人：</w:t>
      </w:r>
      <w:r>
        <w:rPr>
          <w:rFonts w:hint="eastAsia" w:ascii="宋体" w:hAnsi="宋体" w:eastAsia="宋体" w:cs="宋体"/>
          <w:color w:val="000000" w:themeColor="text1"/>
          <w:sz w:val="24"/>
          <w:szCs w:val="24"/>
          <w:lang w:eastAsia="zh-CN"/>
        </w:rPr>
        <w:fldChar w:fldCharType="begin"/>
      </w:r>
      <w:r>
        <w:rPr>
          <w:rFonts w:hint="eastAsia" w:ascii="宋体" w:hAnsi="宋体" w:eastAsia="宋体" w:cs="宋体"/>
          <w:color w:val="000000" w:themeColor="text1"/>
          <w:sz w:val="24"/>
          <w:szCs w:val="24"/>
          <w:lang w:eastAsia="zh-CN"/>
        </w:rPr>
        <w:instrText xml:space="preserve"> HYPERLINK "javascript:showV3XMemberCard('-9004503000593120974',window)" \o "罗琦" </w:instrText>
      </w:r>
      <w:r>
        <w:rPr>
          <w:rFonts w:hint="eastAsia" w:ascii="宋体" w:hAnsi="宋体" w:eastAsia="宋体" w:cs="宋体"/>
          <w:color w:val="000000" w:themeColor="text1"/>
          <w:sz w:val="24"/>
          <w:szCs w:val="24"/>
          <w:lang w:eastAsia="zh-CN"/>
        </w:rPr>
        <w:fldChar w:fldCharType="separate"/>
      </w:r>
      <w:r>
        <w:rPr>
          <w:rFonts w:hint="eastAsia" w:ascii="宋体" w:hAnsi="宋体" w:eastAsia="宋体" w:cs="宋体"/>
          <w:color w:val="000000" w:themeColor="text1"/>
          <w:sz w:val="24"/>
          <w:szCs w:val="24"/>
          <w:lang w:eastAsia="zh-CN"/>
        </w:rPr>
        <w:t>罗</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eastAsia="zh-CN"/>
        </w:rPr>
        <w:t xml:space="preserve">琦 </w:t>
      </w:r>
      <w:r>
        <w:rPr>
          <w:rFonts w:hint="eastAsia" w:ascii="宋体" w:hAnsi="宋体" w:eastAsia="宋体" w:cs="宋体"/>
          <w:color w:val="000000" w:themeColor="text1"/>
          <w:sz w:val="24"/>
          <w:szCs w:val="24"/>
          <w:lang w:eastAsia="zh-CN"/>
        </w:rPr>
        <w:fldChar w:fldCharType="end"/>
      </w:r>
      <w:r>
        <w:rPr>
          <w:rFonts w:hint="eastAsia" w:ascii="宋体" w:hAnsi="宋体" w:eastAsia="宋体" w:cs="宋体"/>
          <w:color w:val="000000" w:themeColor="text1"/>
          <w:sz w:val="24"/>
          <w:szCs w:val="24"/>
          <w:lang w:eastAsia="zh-CN"/>
        </w:rPr>
        <w:t xml:space="preserve"> </w:t>
      </w:r>
      <w:r>
        <w:rPr>
          <w:rFonts w:hint="eastAsia"/>
          <w:color w:val="000000" w:themeColor="text1"/>
          <w:sz w:val="24"/>
          <w:szCs w:val="24"/>
          <w:lang w:eastAsia="zh-CN"/>
        </w:rPr>
        <w:t>电话：</w:t>
      </w:r>
      <w:r>
        <w:rPr>
          <w:rFonts w:hint="eastAsia" w:ascii="宋体" w:hAnsi="宋体" w:eastAsia="宋体" w:cs="宋体"/>
          <w:color w:val="000000" w:themeColor="text1"/>
          <w:sz w:val="24"/>
          <w:szCs w:val="24"/>
          <w:lang w:eastAsia="zh-CN"/>
        </w:rPr>
        <w:t>13599900778</w:t>
      </w:r>
      <w:r>
        <w:rPr>
          <w:rFonts w:hint="eastAsia" w:hAnsi="宋体" w:cs="宋体"/>
          <w:color w:val="000000" w:themeColor="text1"/>
          <w:sz w:val="24"/>
          <w:szCs w:val="24"/>
          <w:lang w:val="en-US" w:eastAsia="zh-CN"/>
        </w:rPr>
        <w:t xml:space="preserve">  </w:t>
      </w:r>
      <w:r>
        <w:rPr>
          <w:rFonts w:hint="eastAsia"/>
          <w:color w:val="000000" w:themeColor="text1"/>
          <w:sz w:val="24"/>
          <w:szCs w:val="24"/>
          <w:lang w:eastAsia="zh-CN"/>
        </w:rPr>
        <w:t>邮箱：</w:t>
      </w:r>
      <w:r>
        <w:rPr>
          <w:rFonts w:hint="eastAsia" w:ascii="宋体" w:hAnsi="宋体" w:eastAsia="宋体" w:cs="宋体"/>
          <w:color w:val="000000" w:themeColor="text1"/>
          <w:sz w:val="24"/>
          <w:szCs w:val="24"/>
          <w:lang w:eastAsia="zh-CN"/>
        </w:rPr>
        <w:t xml:space="preserve">luoq@fhcpec.com.cn </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sz w:val="24"/>
          <w:szCs w:val="24"/>
          <w:lang w:eastAsia="zh-CN"/>
        </w:rPr>
      </w:pPr>
      <w:r>
        <w:rPr>
          <w:rFonts w:hint="eastAsia"/>
          <w:color w:val="000000" w:themeColor="text1"/>
          <w:sz w:val="24"/>
          <w:szCs w:val="24"/>
          <w:lang w:eastAsia="zh-CN"/>
        </w:rPr>
        <w:t>邮编：363216</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p>
    <w:p>
      <w:pPr>
        <w:pStyle w:val="2"/>
        <w:spacing w:line="600" w:lineRule="exact"/>
        <w:ind w:firstLine="680" w:firstLineChars="200"/>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pPr>
        <w:keepNext w:val="0"/>
        <w:keepLines w:val="0"/>
        <w:pageBreakBefore w:val="0"/>
        <w:kinsoku/>
        <w:wordWrap/>
        <w:overflowPunct/>
        <w:topLinePunct w:val="0"/>
        <w:bidi w:val="0"/>
        <w:adjustRightInd/>
        <w:snapToGrid/>
        <w:spacing w:line="360" w:lineRule="auto"/>
        <w:ind w:right="0" w:firstLine="534" w:firstLineChars="200"/>
        <w:textAlignment w:val="auto"/>
        <w:rPr>
          <w:b/>
          <w:sz w:val="28"/>
          <w:lang w:eastAsia="zh-CN"/>
        </w:rPr>
      </w:pPr>
      <w:r>
        <w:rPr>
          <w:b/>
          <w:w w:val="95"/>
          <w:sz w:val="28"/>
          <w:lang w:eastAsia="zh-CN"/>
        </w:rPr>
        <w:t>一、</w:t>
      </w:r>
      <w:r>
        <w:rPr>
          <w:rFonts w:hint="eastAsia"/>
          <w:b/>
          <w:w w:val="95"/>
          <w:sz w:val="28"/>
          <w:lang w:eastAsia="zh-CN"/>
        </w:rPr>
        <w:t>询比</w:t>
      </w:r>
      <w:r>
        <w:rPr>
          <w:b/>
          <w:w w:val="95"/>
          <w:sz w:val="28"/>
          <w:lang w:eastAsia="zh-CN"/>
        </w:rPr>
        <w:t>内容</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1.项目</w:t>
      </w:r>
      <w:r>
        <w:rPr>
          <w:lang w:eastAsia="zh-CN"/>
        </w:rPr>
        <w:t>名称：</w:t>
      </w:r>
      <w:r>
        <w:rPr>
          <w:rFonts w:hint="eastAsia"/>
          <w:lang w:eastAsia="zh-CN"/>
        </w:rPr>
        <w:t>福建福海创石油化工有限公司2025年~2028年对讲机维修及系统服务年约项目。</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包含腾龙芳烃（漳州）有限公司、翔鹭石化（漳州）有限公司、翔鹭码头投资管理（漳州）有限公司）。本项目以福海创公司的名义出具主认证证书，上述包含的四个公司出具副证。</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3.发包方式：</w:t>
      </w:r>
      <w:r>
        <w:rPr>
          <w:rFonts w:hint="eastAsia" w:asciiTheme="minorEastAsia" w:hAnsiTheme="minorEastAsia" w:eastAsiaTheme="minorEastAsia"/>
          <w:lang w:eastAsia="zh-CN"/>
        </w:rPr>
        <w:t>暂定总价固定单价据实结算。</w:t>
      </w:r>
      <w:r>
        <w:rPr>
          <w:rFonts w:hint="eastAsia"/>
          <w:color w:val="000000" w:themeColor="text1"/>
          <w:lang w:eastAsia="zh-CN"/>
        </w:rPr>
        <w:t>。</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详见附件1《发包说明》</w:t>
      </w:r>
      <w:r>
        <w:rPr>
          <w:rFonts w:hint="eastAsia"/>
          <w:color w:val="000000" w:themeColor="text1"/>
          <w:lang w:eastAsia="zh-CN"/>
        </w:rPr>
        <w:t>。</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6.项目联系人</w:t>
      </w:r>
    </w:p>
    <w:p>
      <w:pPr>
        <w:keepNext w:val="0"/>
        <w:keepLines w:val="0"/>
        <w:pageBreakBefore w:val="0"/>
        <w:kinsoku/>
        <w:wordWrap/>
        <w:overflowPunct/>
        <w:topLinePunct w:val="0"/>
        <w:bidi w:val="0"/>
        <w:adjustRightInd/>
        <w:snapToGrid/>
        <w:spacing w:line="360" w:lineRule="auto"/>
        <w:ind w:right="0" w:firstLine="440" w:firstLineChars="200"/>
        <w:textAlignment w:val="auto"/>
        <w:rPr>
          <w:rFonts w:hint="eastAsia"/>
          <w:sz w:val="24"/>
          <w:szCs w:val="24"/>
          <w:lang w:eastAsia="zh-CN"/>
        </w:rPr>
      </w:pPr>
      <w:r>
        <w:rPr>
          <w:rFonts w:hint="eastAsia"/>
          <w:lang w:eastAsia="zh-CN"/>
        </w:rPr>
        <w:t>商务联系人：</w:t>
      </w:r>
      <w:r>
        <w:rPr>
          <w:rFonts w:hint="eastAsia"/>
          <w:color w:val="000000" w:themeColor="text1"/>
          <w:lang w:val="en-US" w:eastAsia="zh-CN"/>
        </w:rPr>
        <w:t>戴小玉</w:t>
      </w:r>
      <w:r>
        <w:rPr>
          <w:rFonts w:hint="eastAsia"/>
          <w:lang w:val="en-US" w:eastAsia="zh-CN"/>
        </w:rPr>
        <w:t xml:space="preserve"> 0596-6311078</w:t>
      </w:r>
      <w:r>
        <w:rPr>
          <w:rFonts w:hint="eastAsia"/>
          <w:lang w:eastAsia="zh-CN"/>
        </w:rPr>
        <w:t>，xydai@fhcpec.com.cn</w:t>
      </w:r>
    </w:p>
    <w:p>
      <w:pPr>
        <w:keepNext w:val="0"/>
        <w:keepLines w:val="0"/>
        <w:pageBreakBefore w:val="0"/>
        <w:kinsoku/>
        <w:wordWrap/>
        <w:overflowPunct/>
        <w:topLinePunct w:val="0"/>
        <w:bidi w:val="0"/>
        <w:adjustRightInd/>
        <w:snapToGrid/>
        <w:spacing w:line="360" w:lineRule="auto"/>
        <w:ind w:right="0" w:firstLine="440" w:firstLineChars="200"/>
        <w:textAlignment w:val="auto"/>
        <w:rPr>
          <w:lang w:eastAsia="zh-CN"/>
        </w:rPr>
      </w:pPr>
      <w:r>
        <w:rPr>
          <w:rFonts w:hint="eastAsia"/>
          <w:lang w:eastAsia="zh-CN"/>
        </w:rPr>
        <w:t>技术联系人：</w:t>
      </w:r>
      <w:r>
        <w:rPr>
          <w:rFonts w:hint="eastAsia"/>
          <w:lang w:eastAsia="zh-CN"/>
        </w:rPr>
        <w:fldChar w:fldCharType="begin"/>
      </w:r>
      <w:r>
        <w:rPr>
          <w:rFonts w:hint="eastAsia"/>
          <w:lang w:eastAsia="zh-CN"/>
        </w:rPr>
        <w:instrText xml:space="preserve"> HYPERLINK "javascript:showV3XMemberCard('-9004503000593120974',window)" \o "罗琦" </w:instrText>
      </w:r>
      <w:r>
        <w:rPr>
          <w:rFonts w:hint="eastAsia"/>
          <w:lang w:eastAsia="zh-CN"/>
        </w:rPr>
        <w:fldChar w:fldCharType="separate"/>
      </w:r>
      <w:r>
        <w:rPr>
          <w:rFonts w:hint="eastAsia"/>
          <w:lang w:val="en-US" w:eastAsia="zh-CN"/>
        </w:rPr>
        <w:t>罗  琦</w:t>
      </w:r>
      <w:r>
        <w:rPr>
          <w:rFonts w:hint="eastAsia"/>
          <w:lang w:eastAsia="zh-CN"/>
        </w:rPr>
        <w:t xml:space="preserve"> </w:t>
      </w:r>
      <w:r>
        <w:rPr>
          <w:rFonts w:hint="eastAsia"/>
          <w:lang w:eastAsia="zh-CN"/>
        </w:rPr>
        <w:fldChar w:fldCharType="end"/>
      </w:r>
      <w:r>
        <w:rPr>
          <w:rFonts w:hint="eastAsia"/>
          <w:lang w:eastAsia="zh-CN"/>
        </w:rPr>
        <w:t>13599900778，luoq@fhcpec.com.cn  </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二、定义和解释</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1.“</w:t>
      </w:r>
      <w:r>
        <w:rPr>
          <w:rFonts w:hint="eastAsia"/>
          <w:lang w:eastAsia="zh-CN"/>
        </w:rPr>
        <w:t>询比</w:t>
      </w:r>
      <w:r>
        <w:rPr>
          <w:lang w:eastAsia="zh-CN"/>
        </w:rPr>
        <w:t>人”系福建福海创石油化工有限公司，即业主方。</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2.“</w:t>
      </w:r>
      <w:r>
        <w:rPr>
          <w:rFonts w:hint="eastAsia"/>
          <w:lang w:eastAsia="zh-CN"/>
        </w:rPr>
        <w:t>参比</w:t>
      </w:r>
      <w:r>
        <w:rPr>
          <w:lang w:eastAsia="zh-CN"/>
        </w:rPr>
        <w:t>人”系指向</w:t>
      </w:r>
      <w:r>
        <w:rPr>
          <w:rFonts w:hint="eastAsia"/>
          <w:lang w:eastAsia="zh-CN"/>
        </w:rPr>
        <w:t>询比</w:t>
      </w:r>
      <w:r>
        <w:rPr>
          <w:lang w:eastAsia="zh-CN"/>
        </w:rPr>
        <w:t>人报名并接受邀请，领取</w:t>
      </w:r>
      <w:r>
        <w:rPr>
          <w:rFonts w:hint="eastAsia"/>
          <w:lang w:eastAsia="zh-CN"/>
        </w:rPr>
        <w:t>询比</w:t>
      </w:r>
      <w:r>
        <w:rPr>
          <w:lang w:eastAsia="zh-CN"/>
        </w:rPr>
        <w:t>文件，且已经提交或准备提交本次</w:t>
      </w:r>
      <w:r>
        <w:rPr>
          <w:rFonts w:hint="eastAsia"/>
          <w:lang w:eastAsia="zh-CN"/>
        </w:rPr>
        <w:t>参比</w:t>
      </w:r>
      <w:r>
        <w:rPr>
          <w:lang w:eastAsia="zh-CN"/>
        </w:rPr>
        <w:t>文件的法人。</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w:t>
      </w:r>
      <w:r>
        <w:rPr>
          <w:rFonts w:hint="eastAsia"/>
          <w:lang w:eastAsia="zh-CN"/>
        </w:rPr>
        <w:t>询比</w:t>
      </w:r>
      <w:r>
        <w:rPr>
          <w:lang w:eastAsia="zh-CN"/>
        </w:rPr>
        <w:t>活动并签署</w:t>
      </w:r>
      <w:r>
        <w:rPr>
          <w:rFonts w:hint="eastAsia"/>
          <w:lang w:eastAsia="zh-CN"/>
        </w:rPr>
        <w:t>参比</w:t>
      </w:r>
      <w:r>
        <w:rPr>
          <w:lang w:eastAsia="zh-CN"/>
        </w:rPr>
        <w:t>文件的人。</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三、</w:t>
      </w:r>
      <w:r>
        <w:rPr>
          <w:rFonts w:hint="eastAsia"/>
          <w:b/>
          <w:w w:val="95"/>
          <w:sz w:val="28"/>
          <w:lang w:eastAsia="zh-CN"/>
        </w:rPr>
        <w:t>询比</w:t>
      </w:r>
      <w:r>
        <w:rPr>
          <w:b/>
          <w:w w:val="95"/>
          <w:sz w:val="28"/>
          <w:lang w:eastAsia="zh-CN"/>
        </w:rPr>
        <w:t>文件组成</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1.</w:t>
      </w:r>
      <w:r>
        <w:rPr>
          <w:rFonts w:hint="eastAsia"/>
          <w:lang w:eastAsia="zh-CN"/>
        </w:rPr>
        <w:t>询比</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2.</w:t>
      </w:r>
      <w:r>
        <w:rPr>
          <w:rFonts w:hint="eastAsia"/>
          <w:lang w:eastAsia="zh-CN"/>
        </w:rPr>
        <w:t>询比</w:t>
      </w:r>
      <w:r>
        <w:rPr>
          <w:lang w:eastAsia="zh-CN"/>
        </w:rPr>
        <w:t>文件除 1 中内容外，</w:t>
      </w:r>
      <w:r>
        <w:rPr>
          <w:rFonts w:hint="eastAsia"/>
          <w:lang w:eastAsia="zh-CN"/>
        </w:rPr>
        <w:t>询比</w:t>
      </w:r>
      <w:r>
        <w:rPr>
          <w:lang w:eastAsia="zh-CN"/>
        </w:rPr>
        <w:t>人在</w:t>
      </w:r>
      <w:r>
        <w:rPr>
          <w:rFonts w:hint="eastAsia"/>
          <w:lang w:eastAsia="zh-CN"/>
        </w:rPr>
        <w:t>询比</w:t>
      </w:r>
      <w:r>
        <w:rPr>
          <w:lang w:eastAsia="zh-CN"/>
        </w:rPr>
        <w:t>期间发出的书面文件和其他修改或补充函件，均是</w:t>
      </w:r>
      <w:r>
        <w:rPr>
          <w:rFonts w:hint="eastAsia"/>
          <w:lang w:eastAsia="zh-CN"/>
        </w:rPr>
        <w:t>询比</w:t>
      </w:r>
      <w:r>
        <w:rPr>
          <w:lang w:eastAsia="zh-CN"/>
        </w:rPr>
        <w:t>文件不可分割的组成部分。</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3.</w:t>
      </w:r>
      <w:r>
        <w:rPr>
          <w:rFonts w:hint="eastAsia"/>
          <w:lang w:eastAsia="zh-CN"/>
        </w:rPr>
        <w:t>参比</w:t>
      </w:r>
      <w:r>
        <w:rPr>
          <w:lang w:eastAsia="zh-CN"/>
        </w:rPr>
        <w:t>人应认真阅读、并充分理解</w:t>
      </w:r>
      <w:r>
        <w:rPr>
          <w:rFonts w:hint="eastAsia"/>
          <w:lang w:eastAsia="zh-CN"/>
        </w:rPr>
        <w:t>询比</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询比</w:t>
      </w:r>
      <w:r>
        <w:rPr>
          <w:lang w:eastAsia="zh-CN"/>
        </w:rPr>
        <w:t>文件要求提交全部资料，或者没有对</w:t>
      </w:r>
      <w:r>
        <w:rPr>
          <w:rFonts w:hint="eastAsia"/>
          <w:lang w:eastAsia="zh-CN"/>
        </w:rPr>
        <w:t>询比</w:t>
      </w:r>
      <w:r>
        <w:rPr>
          <w:lang w:eastAsia="zh-CN"/>
        </w:rPr>
        <w:t>文件在各方面都做出实质性响应是</w:t>
      </w:r>
      <w:r>
        <w:rPr>
          <w:rFonts w:hint="eastAsia"/>
          <w:lang w:eastAsia="zh-CN"/>
        </w:rPr>
        <w:t>参比</w:t>
      </w:r>
      <w:r>
        <w:rPr>
          <w:lang w:eastAsia="zh-CN"/>
        </w:rPr>
        <w:t>人的风险，有可能导致其</w:t>
      </w:r>
      <w:r>
        <w:rPr>
          <w:rFonts w:hint="eastAsia"/>
          <w:lang w:eastAsia="zh-CN"/>
        </w:rPr>
        <w:t>参比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四、</w:t>
      </w:r>
      <w:r>
        <w:rPr>
          <w:rFonts w:hint="eastAsia"/>
          <w:b/>
          <w:w w:val="95"/>
          <w:sz w:val="28"/>
          <w:lang w:eastAsia="zh-CN"/>
        </w:rPr>
        <w:t>询比</w:t>
      </w:r>
      <w:r>
        <w:rPr>
          <w:b/>
          <w:w w:val="95"/>
          <w:sz w:val="28"/>
          <w:lang w:eastAsia="zh-CN"/>
        </w:rPr>
        <w:t>文件的澄清</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参比</w:t>
      </w:r>
      <w:r>
        <w:rPr>
          <w:lang w:eastAsia="zh-CN"/>
        </w:rPr>
        <w:t>人获取</w:t>
      </w:r>
      <w:r>
        <w:rPr>
          <w:rFonts w:hint="eastAsia"/>
          <w:lang w:eastAsia="zh-CN"/>
        </w:rPr>
        <w:t>询比</w:t>
      </w:r>
      <w:r>
        <w:rPr>
          <w:lang w:eastAsia="zh-CN"/>
        </w:rPr>
        <w:t>文件后，应仔细检查</w:t>
      </w:r>
      <w:r>
        <w:rPr>
          <w:rFonts w:hint="eastAsia"/>
          <w:lang w:eastAsia="zh-CN"/>
        </w:rPr>
        <w:t>询比</w:t>
      </w:r>
      <w:r>
        <w:rPr>
          <w:lang w:eastAsia="zh-CN"/>
        </w:rPr>
        <w:t>文件的所有内容，如有残缺等问题应在获得</w:t>
      </w:r>
      <w:r>
        <w:rPr>
          <w:rFonts w:hint="eastAsia"/>
          <w:lang w:eastAsia="zh-CN"/>
        </w:rPr>
        <w:t>询比</w:t>
      </w:r>
      <w:r>
        <w:rPr>
          <w:lang w:eastAsia="zh-CN"/>
        </w:rPr>
        <w:t>文件 3 日内向</w:t>
      </w:r>
      <w:r>
        <w:rPr>
          <w:rFonts w:hint="eastAsia"/>
          <w:lang w:eastAsia="zh-CN"/>
        </w:rPr>
        <w:t>询比</w:t>
      </w:r>
      <w:r>
        <w:rPr>
          <w:lang w:eastAsia="zh-CN"/>
        </w:rPr>
        <w:t>人提出。</w:t>
      </w:r>
      <w:r>
        <w:rPr>
          <w:rFonts w:hint="eastAsia"/>
          <w:lang w:eastAsia="zh-CN"/>
        </w:rPr>
        <w:t>参比</w:t>
      </w:r>
      <w:r>
        <w:rPr>
          <w:lang w:eastAsia="zh-CN"/>
        </w:rPr>
        <w:t>人若对</w:t>
      </w:r>
      <w:r>
        <w:rPr>
          <w:rFonts w:hint="eastAsia"/>
          <w:lang w:eastAsia="zh-CN"/>
        </w:rPr>
        <w:t>询比</w:t>
      </w:r>
      <w:r>
        <w:rPr>
          <w:lang w:eastAsia="zh-CN"/>
        </w:rPr>
        <w:t>文件有任何疑问，应在</w:t>
      </w:r>
      <w:r>
        <w:rPr>
          <w:rFonts w:hint="eastAsia"/>
          <w:lang w:eastAsia="zh-CN"/>
        </w:rPr>
        <w:t>参比</w:t>
      </w:r>
      <w:r>
        <w:rPr>
          <w:lang w:eastAsia="zh-CN"/>
        </w:rPr>
        <w:t>截止时间前 5 日，按</w:t>
      </w:r>
      <w:r>
        <w:rPr>
          <w:rFonts w:hint="eastAsia"/>
          <w:lang w:eastAsia="zh-CN"/>
        </w:rPr>
        <w:t>参比</w:t>
      </w:r>
      <w:r>
        <w:rPr>
          <w:lang w:eastAsia="zh-CN"/>
        </w:rPr>
        <w:t>须知载明的地址以书面形式（包括书面、传真、电子邮件下同）通知到</w:t>
      </w:r>
      <w:r>
        <w:rPr>
          <w:rFonts w:hint="eastAsia"/>
          <w:lang w:eastAsia="zh-CN"/>
        </w:rPr>
        <w:t>询比</w:t>
      </w:r>
      <w:r>
        <w:rPr>
          <w:lang w:eastAsia="zh-CN"/>
        </w:rPr>
        <w:t>人。</w:t>
      </w:r>
      <w:r>
        <w:rPr>
          <w:rFonts w:hint="eastAsia"/>
          <w:lang w:eastAsia="zh-CN"/>
        </w:rPr>
        <w:t>询比</w:t>
      </w:r>
      <w:r>
        <w:rPr>
          <w:lang w:eastAsia="zh-CN"/>
        </w:rPr>
        <w:t>人将视情况确定采用适当方式予以澄清或以书面形式予以答复，澄清文件作为</w:t>
      </w:r>
      <w:r>
        <w:rPr>
          <w:rFonts w:hint="eastAsia"/>
          <w:lang w:eastAsia="zh-CN"/>
        </w:rPr>
        <w:t>询比</w:t>
      </w:r>
      <w:r>
        <w:rPr>
          <w:lang w:eastAsia="zh-CN"/>
        </w:rPr>
        <w:t>文件的组成部分，具有约束作用。</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五、</w:t>
      </w:r>
      <w:r>
        <w:rPr>
          <w:rFonts w:hint="eastAsia"/>
          <w:b/>
          <w:w w:val="95"/>
          <w:sz w:val="28"/>
          <w:lang w:eastAsia="zh-CN"/>
        </w:rPr>
        <w:t>询比</w:t>
      </w:r>
      <w:r>
        <w:rPr>
          <w:b/>
          <w:w w:val="95"/>
          <w:sz w:val="28"/>
          <w:lang w:eastAsia="zh-CN"/>
        </w:rPr>
        <w:t>文件的修改、补充</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1.在</w:t>
      </w:r>
      <w:r>
        <w:rPr>
          <w:rFonts w:hint="eastAsia"/>
          <w:lang w:eastAsia="zh-CN"/>
        </w:rPr>
        <w:t>参比</w:t>
      </w:r>
      <w:r>
        <w:rPr>
          <w:lang w:eastAsia="zh-CN"/>
        </w:rPr>
        <w:t>截止日期前，</w:t>
      </w:r>
      <w:r>
        <w:rPr>
          <w:rFonts w:hint="eastAsia"/>
          <w:lang w:eastAsia="zh-CN"/>
        </w:rPr>
        <w:t>询比</w:t>
      </w:r>
      <w:r>
        <w:rPr>
          <w:lang w:eastAsia="zh-CN"/>
        </w:rPr>
        <w:t>人可主动地或依据</w:t>
      </w:r>
      <w:r>
        <w:rPr>
          <w:rFonts w:hint="eastAsia"/>
          <w:lang w:eastAsia="zh-CN"/>
        </w:rPr>
        <w:t>参比</w:t>
      </w:r>
      <w:r>
        <w:rPr>
          <w:lang w:eastAsia="zh-CN"/>
        </w:rPr>
        <w:t>人要求澄清的问题而修改</w:t>
      </w:r>
      <w:r>
        <w:rPr>
          <w:rFonts w:hint="eastAsia"/>
          <w:lang w:eastAsia="zh-CN"/>
        </w:rPr>
        <w:t>询比</w:t>
      </w:r>
      <w:r>
        <w:rPr>
          <w:lang w:eastAsia="zh-CN"/>
        </w:rPr>
        <w:t>文件，并以书面形式通知所有报名参加</w:t>
      </w:r>
      <w:r>
        <w:rPr>
          <w:rFonts w:hint="eastAsia"/>
          <w:lang w:eastAsia="zh-CN"/>
        </w:rPr>
        <w:t>询比</w:t>
      </w:r>
      <w:r>
        <w:rPr>
          <w:lang w:eastAsia="zh-CN"/>
        </w:rPr>
        <w:t>项目的每一</w:t>
      </w:r>
      <w:r>
        <w:rPr>
          <w:rFonts w:hint="eastAsia"/>
          <w:lang w:eastAsia="zh-CN"/>
        </w:rPr>
        <w:t>参比</w:t>
      </w:r>
      <w:r>
        <w:rPr>
          <w:lang w:eastAsia="zh-CN"/>
        </w:rPr>
        <w:t>人，对方在收到该通知后应立即以书面形式予以确认；</w:t>
      </w:r>
      <w:r>
        <w:rPr>
          <w:rFonts w:hint="eastAsia"/>
          <w:lang w:eastAsia="zh-CN"/>
        </w:rPr>
        <w:t>参比</w:t>
      </w:r>
      <w:r>
        <w:rPr>
          <w:lang w:eastAsia="zh-CN"/>
        </w:rPr>
        <w:t>人未按规定时间予以确认或未按规定时间地点领取书面文件的，视</w:t>
      </w:r>
      <w:r>
        <w:rPr>
          <w:rFonts w:hint="eastAsia"/>
          <w:lang w:eastAsia="zh-CN"/>
        </w:rPr>
        <w:t>询比</w:t>
      </w:r>
      <w:r>
        <w:rPr>
          <w:lang w:eastAsia="zh-CN"/>
        </w:rPr>
        <w:t>通知已收到。</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lang w:eastAsia="zh-CN"/>
        </w:rPr>
        <w:t>2.为使</w:t>
      </w:r>
      <w:r>
        <w:rPr>
          <w:rFonts w:hint="eastAsia"/>
          <w:lang w:eastAsia="zh-CN"/>
        </w:rPr>
        <w:t>参比</w:t>
      </w:r>
      <w:r>
        <w:rPr>
          <w:lang w:eastAsia="zh-CN"/>
        </w:rPr>
        <w:t>人在准备</w:t>
      </w:r>
      <w:r>
        <w:rPr>
          <w:rFonts w:hint="eastAsia"/>
          <w:lang w:eastAsia="zh-CN"/>
        </w:rPr>
        <w:t>参比</w:t>
      </w:r>
      <w:r>
        <w:rPr>
          <w:lang w:eastAsia="zh-CN"/>
        </w:rPr>
        <w:t>文件时有合理的时间考虑</w:t>
      </w:r>
      <w:r>
        <w:rPr>
          <w:rFonts w:hint="eastAsia"/>
          <w:lang w:eastAsia="zh-CN"/>
        </w:rPr>
        <w:t>询比</w:t>
      </w:r>
      <w:r>
        <w:rPr>
          <w:lang w:eastAsia="zh-CN"/>
        </w:rPr>
        <w:t>文件的修改，</w:t>
      </w:r>
      <w:r>
        <w:rPr>
          <w:rFonts w:hint="eastAsia"/>
          <w:lang w:eastAsia="zh-CN"/>
        </w:rPr>
        <w:t>询比</w:t>
      </w:r>
      <w:r>
        <w:rPr>
          <w:lang w:eastAsia="zh-CN"/>
        </w:rPr>
        <w:t>人可酌情推迟</w:t>
      </w:r>
      <w:r>
        <w:rPr>
          <w:rFonts w:hint="eastAsia"/>
          <w:lang w:eastAsia="zh-CN"/>
        </w:rPr>
        <w:t>参比</w:t>
      </w:r>
      <w:r>
        <w:rPr>
          <w:lang w:eastAsia="zh-CN"/>
        </w:rPr>
        <w:t>截止时间和开评时间，并以书面形式通知已获得</w:t>
      </w:r>
      <w:r>
        <w:rPr>
          <w:rFonts w:hint="eastAsia"/>
          <w:lang w:eastAsia="zh-CN"/>
        </w:rPr>
        <w:t>询比</w:t>
      </w:r>
      <w:r>
        <w:rPr>
          <w:lang w:eastAsia="zh-CN"/>
        </w:rPr>
        <w:t>文件的每一</w:t>
      </w:r>
      <w:r>
        <w:rPr>
          <w:rFonts w:hint="eastAsia"/>
          <w:lang w:eastAsia="zh-CN"/>
        </w:rPr>
        <w:t>参比</w:t>
      </w:r>
      <w:r>
        <w:rPr>
          <w:lang w:eastAsia="zh-CN"/>
        </w:rPr>
        <w:t>人。</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lang w:eastAsia="zh-CN"/>
        </w:rPr>
        <w:t>3.</w:t>
      </w:r>
      <w:r>
        <w:rPr>
          <w:rFonts w:hint="eastAsia"/>
          <w:lang w:eastAsia="zh-CN"/>
        </w:rPr>
        <w:t>询比</w:t>
      </w:r>
      <w:r>
        <w:rPr>
          <w:lang w:eastAsia="zh-CN"/>
        </w:rPr>
        <w:t>文件的修改书将构成</w:t>
      </w:r>
      <w:r>
        <w:rPr>
          <w:rFonts w:hint="eastAsia"/>
          <w:lang w:eastAsia="zh-CN"/>
        </w:rPr>
        <w:t>询比</w:t>
      </w:r>
      <w:r>
        <w:rPr>
          <w:lang w:eastAsia="zh-CN"/>
        </w:rPr>
        <w:t>文件的一部分，对</w:t>
      </w:r>
      <w:r>
        <w:rPr>
          <w:rFonts w:hint="eastAsia"/>
          <w:lang w:eastAsia="zh-CN"/>
        </w:rPr>
        <w:t>参比</w:t>
      </w:r>
      <w:r>
        <w:rPr>
          <w:lang w:eastAsia="zh-CN"/>
        </w:rPr>
        <w:t>人具有约束作用。</w:t>
      </w:r>
    </w:p>
    <w:p>
      <w:pPr>
        <w:keepNext w:val="0"/>
        <w:keepLines w:val="0"/>
        <w:pageBreakBefore w:val="0"/>
        <w:tabs>
          <w:tab w:val="left" w:pos="709"/>
        </w:tabs>
        <w:kinsoku/>
        <w:wordWrap/>
        <w:overflowPunct/>
        <w:topLinePunct w:val="0"/>
        <w:bidi w:val="0"/>
        <w:adjustRightInd/>
        <w:snapToGrid/>
        <w:spacing w:line="360" w:lineRule="auto"/>
        <w:ind w:right="0" w:firstLine="534" w:firstLineChars="200"/>
        <w:textAlignment w:val="auto"/>
        <w:rPr>
          <w:b/>
          <w:w w:val="95"/>
          <w:sz w:val="28"/>
          <w:lang w:eastAsia="zh-CN"/>
        </w:rPr>
      </w:pPr>
      <w:r>
        <w:rPr>
          <w:b/>
          <w:w w:val="95"/>
          <w:sz w:val="28"/>
          <w:lang w:eastAsia="zh-CN"/>
        </w:rPr>
        <w:t>六、</w:t>
      </w:r>
      <w:r>
        <w:rPr>
          <w:rFonts w:hint="eastAsia"/>
          <w:b/>
          <w:w w:val="95"/>
          <w:sz w:val="28"/>
          <w:lang w:eastAsia="zh-CN"/>
        </w:rPr>
        <w:t>参比人资格要求及供货周期要求</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sz w:val="24"/>
          <w:szCs w:val="24"/>
          <w:lang w:eastAsia="zh-CN"/>
        </w:rPr>
      </w:pPr>
      <w:r>
        <w:rPr>
          <w:rFonts w:hint="eastAsia"/>
          <w:sz w:val="24"/>
          <w:szCs w:val="24"/>
          <w:lang w:eastAsia="zh-CN"/>
        </w:rPr>
        <w:t>1.参比人必须具备有效的企业法人营业执照，</w:t>
      </w:r>
      <w:r>
        <w:rPr>
          <w:rFonts w:hint="eastAsia"/>
          <w:color w:val="000000"/>
          <w:sz w:val="24"/>
          <w:szCs w:val="24"/>
          <w:lang w:eastAsia="zh-CN"/>
        </w:rPr>
        <w:t>参比单位应是具备独立法人资格且有能力按我司需求提供货物及服务的厂商。</w:t>
      </w:r>
    </w:p>
    <w:p>
      <w:pPr>
        <w:pStyle w:val="207"/>
        <w:keepNext w:val="0"/>
        <w:keepLines w:val="0"/>
        <w:pageBreakBefore w:val="0"/>
        <w:kinsoku/>
        <w:wordWrap/>
        <w:overflowPunct/>
        <w:topLinePunct w:val="0"/>
        <w:bidi w:val="0"/>
        <w:snapToGrid/>
        <w:spacing w:line="360" w:lineRule="auto"/>
        <w:ind w:right="0" w:firstLine="53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w:t>
      </w:r>
      <w:r>
        <w:rPr>
          <w:rFonts w:hint="eastAsia"/>
          <w:sz w:val="24"/>
          <w:szCs w:val="24"/>
          <w:lang w:eastAsia="zh-CN"/>
        </w:rPr>
        <w:t>询比</w:t>
      </w:r>
      <w:r>
        <w:rPr>
          <w:sz w:val="24"/>
          <w:szCs w:val="24"/>
        </w:rPr>
        <w:t>；</w:t>
      </w:r>
      <w:r>
        <w:rPr>
          <w:rFonts w:hint="eastAsia"/>
          <w:color w:val="000000" w:themeColor="text1"/>
          <w:sz w:val="24"/>
          <w:szCs w:val="24"/>
          <w:lang w:eastAsia="zh-CN"/>
        </w:rPr>
        <w:t>参比</w:t>
      </w:r>
      <w:r>
        <w:rPr>
          <w:color w:val="000000" w:themeColor="text1"/>
          <w:sz w:val="24"/>
          <w:szCs w:val="24"/>
        </w:rPr>
        <w:t>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lang w:eastAsia="zh-CN"/>
        </w:rPr>
        <w:t>询比</w:t>
      </w:r>
      <w:r>
        <w:rPr>
          <w:rFonts w:hint="eastAsia"/>
          <w:color w:val="000000" w:themeColor="text1"/>
          <w:sz w:val="24"/>
          <w:szCs w:val="24"/>
        </w:rPr>
        <w:t>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snapToGrid/>
        <w:spacing w:line="360" w:lineRule="auto"/>
        <w:ind w:right="0" w:firstLine="480" w:firstLineChars="200"/>
        <w:jc w:val="both"/>
        <w:rPr>
          <w:rFonts w:ascii="Calibri" w:hAnsi="Calibri" w:eastAsia="宋体"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default" w:ascii="Calibri" w:hAnsi="Calibri" w:eastAsia="宋体" w:cs="Times New Roman"/>
          <w:color w:val="000000" w:themeColor="text1"/>
          <w:kern w:val="2"/>
          <w:sz w:val="24"/>
          <w:szCs w:val="24"/>
          <w:lang w:eastAsia="zh-CN"/>
        </w:rPr>
        <w:t>参比人持有摩托罗拉对讲机维修售后服务授权</w:t>
      </w:r>
      <w:r>
        <w:rPr>
          <w:rFonts w:hint="eastAsia" w:ascii="Calibri" w:hAnsi="Calibri" w:cs="Times New Roman"/>
          <w:color w:val="000000" w:themeColor="text1"/>
          <w:kern w:val="2"/>
          <w:sz w:val="24"/>
          <w:szCs w:val="24"/>
          <w:lang w:val="en-US" w:eastAsia="zh-CN"/>
        </w:rPr>
        <w:t>代理证</w:t>
      </w:r>
      <w:r>
        <w:rPr>
          <w:rFonts w:hint="default" w:ascii="Calibri" w:hAnsi="Calibri" w:eastAsia="宋体" w:cs="Times New Roman"/>
          <w:color w:val="000000" w:themeColor="text1"/>
          <w:kern w:val="2"/>
          <w:sz w:val="24"/>
          <w:szCs w:val="24"/>
          <w:lang w:eastAsia="zh-CN"/>
        </w:rPr>
        <w:t>或防爆对讲机维护能力认定证书（有效期内）</w:t>
      </w:r>
      <w:r>
        <w:rPr>
          <w:rFonts w:hint="eastAsia" w:ascii="Calibri" w:hAnsi="Calibri" w:eastAsia="宋体" w:cs="Times New Roman"/>
          <w:bCs w:val="0"/>
          <w:color w:val="000000" w:themeColor="text1"/>
          <w:kern w:val="2"/>
          <w:sz w:val="24"/>
          <w:szCs w:val="24"/>
          <w:lang w:eastAsia="zh-CN"/>
        </w:rPr>
        <w:t>。</w:t>
      </w:r>
    </w:p>
    <w:p>
      <w:pPr>
        <w:pStyle w:val="207"/>
        <w:keepNext w:val="0"/>
        <w:keepLines w:val="0"/>
        <w:pageBreakBefore w:val="0"/>
        <w:kinsoku/>
        <w:wordWrap/>
        <w:overflowPunct/>
        <w:topLinePunct w:val="0"/>
        <w:bidi w:val="0"/>
        <w:snapToGrid/>
        <w:spacing w:line="360" w:lineRule="auto"/>
        <w:ind w:right="0" w:firstLine="530"/>
        <w:rPr>
          <w:rFonts w:hint="default"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lang w:val="en-US" w:eastAsia="zh-CN" w:bidi="ar-SA"/>
        </w:rPr>
        <w:t>4.本案</w:t>
      </w:r>
      <w:r>
        <w:rPr>
          <w:rFonts w:hint="eastAsia" w:ascii="宋体" w:hAnsi="宋体" w:cs="宋体"/>
          <w:color w:val="000000" w:themeColor="text1"/>
          <w:kern w:val="0"/>
          <w:sz w:val="24"/>
          <w:szCs w:val="24"/>
          <w:lang w:val="en-US" w:eastAsia="zh-CN" w:bidi="ar-SA"/>
        </w:rPr>
        <w:t>不接受联合体参选。</w:t>
      </w:r>
    </w:p>
    <w:p>
      <w:pPr>
        <w:pStyle w:val="21"/>
        <w:keepNext w:val="0"/>
        <w:keepLines w:val="0"/>
        <w:pageBreakBefore w:val="0"/>
        <w:kinsoku/>
        <w:wordWrap/>
        <w:overflowPunct/>
        <w:topLinePunct w:val="0"/>
        <w:bidi w:val="0"/>
        <w:adjustRightInd/>
        <w:snapToGrid/>
        <w:spacing w:line="360" w:lineRule="auto"/>
        <w:ind w:left="0" w:leftChars="0" w:right="0" w:firstLine="534" w:firstLineChars="200"/>
        <w:jc w:val="both"/>
        <w:textAlignment w:val="auto"/>
        <w:rPr>
          <w:b/>
          <w:w w:val="95"/>
          <w:sz w:val="28"/>
          <w:lang w:eastAsia="zh-CN"/>
        </w:rPr>
      </w:pPr>
      <w:r>
        <w:rPr>
          <w:b/>
          <w:w w:val="95"/>
          <w:sz w:val="28"/>
          <w:lang w:eastAsia="zh-CN"/>
        </w:rPr>
        <w:t>七、</w:t>
      </w:r>
      <w:r>
        <w:rPr>
          <w:rFonts w:hint="eastAsia"/>
          <w:b/>
          <w:w w:val="95"/>
          <w:sz w:val="28"/>
          <w:lang w:eastAsia="zh-CN"/>
        </w:rPr>
        <w:t>参比</w:t>
      </w:r>
      <w:r>
        <w:rPr>
          <w:b/>
          <w:w w:val="95"/>
          <w:sz w:val="28"/>
          <w:lang w:eastAsia="zh-CN"/>
        </w:rPr>
        <w:t>保证金</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5</w:t>
      </w:r>
      <w:r>
        <w:rPr>
          <w:rFonts w:hint="eastAsia"/>
          <w:color w:val="000000" w:themeColor="text1"/>
          <w:lang w:eastAsia="zh-CN"/>
        </w:rPr>
        <w:t>000元整</w:t>
      </w:r>
      <w:r>
        <w:rPr>
          <w:rFonts w:hint="eastAsia"/>
          <w:lang w:eastAsia="zh-CN"/>
        </w:rPr>
        <w:t>，参比单位应按照要求从参比单位基本</w:t>
      </w:r>
      <w:r>
        <w:rPr>
          <w:rFonts w:hint="eastAsia"/>
          <w:color w:val="000000" w:themeColor="text1"/>
          <w:lang w:eastAsia="zh-CN"/>
        </w:rPr>
        <w:t>账户转入询比单位的账户，询比单位账户信息如下：</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color w:val="000000" w:themeColor="text1"/>
          <w:lang w:eastAsia="zh-CN"/>
        </w:rPr>
        <w:t>开户名称：</w:t>
      </w:r>
      <w:r>
        <w:rPr>
          <w:rFonts w:hint="eastAsia"/>
          <w:lang w:eastAsia="zh-CN"/>
        </w:rPr>
        <w:t>福建福海创石油化工有限公司</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color w:val="000000" w:themeColor="text1"/>
          <w:lang w:eastAsia="zh-CN"/>
        </w:rPr>
        <w:t>开户银行：</w:t>
      </w:r>
      <w:r>
        <w:rPr>
          <w:rFonts w:hint="eastAsia"/>
          <w:lang w:eastAsia="zh-CN"/>
        </w:rPr>
        <w:t>中国银行漳州古雷支行</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帐号：</w:t>
      </w:r>
      <w:r>
        <w:rPr>
          <w:lang w:eastAsia="zh-CN"/>
        </w:rPr>
        <w:t>406574816628</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lang w:eastAsia="zh-CN"/>
        </w:rPr>
        <w:t>2025年~2028年对讲机维修及系统服务年约项目</w:t>
      </w:r>
      <w:r>
        <w:rPr>
          <w:rFonts w:hint="eastAsia"/>
          <w:color w:val="000000" w:themeColor="text1"/>
          <w:lang w:eastAsia="zh-CN"/>
        </w:rPr>
        <w:t>参比</w:t>
      </w:r>
      <w:r>
        <w:rPr>
          <w:color w:val="000000" w:themeColor="text1"/>
          <w:lang w:eastAsia="zh-CN"/>
        </w:rPr>
        <w:t>保证金</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参比保证金有效期：</w:t>
      </w:r>
      <w:r>
        <w:rPr>
          <w:lang w:eastAsia="zh-CN"/>
        </w:rPr>
        <w:t>90</w:t>
      </w:r>
      <w:r>
        <w:rPr>
          <w:rFonts w:hint="eastAsia"/>
          <w:lang w:eastAsia="zh-CN"/>
        </w:rPr>
        <w:t>日历天。</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注：开户许可证上账号应与参比保证金转账回单上账号一致，否则视为未按规定提交参比保证金,所造成的一切后果由参比人自行负责。参比保证金转入后，将相关凭证放在商务询比文件中。</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2.对于未能按要求提交保证金的参比文件，询比单位可以视为不符合上面询比要求而予以拒绝；</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3.询比结束退还未中选者的询比保证金（无息），最迟不超过规定的询比有效期满后的</w:t>
      </w:r>
      <w:r>
        <w:rPr>
          <w:rFonts w:hint="eastAsia"/>
          <w:lang w:val="en-US" w:eastAsia="zh-CN"/>
        </w:rPr>
        <w:t>30</w:t>
      </w:r>
      <w:r>
        <w:rPr>
          <w:rFonts w:hint="eastAsia"/>
          <w:lang w:eastAsia="zh-CN"/>
        </w:rPr>
        <w:t>天；</w:t>
      </w:r>
    </w:p>
    <w:p>
      <w:pPr>
        <w:pStyle w:val="21"/>
        <w:keepNext w:val="0"/>
        <w:keepLines w:val="0"/>
        <w:pageBreakBefore w:val="0"/>
        <w:kinsoku/>
        <w:wordWrap/>
        <w:overflowPunct/>
        <w:topLinePunct w:val="0"/>
        <w:bidi w:val="0"/>
        <w:adjustRightInd/>
        <w:snapToGrid/>
        <w:spacing w:line="360" w:lineRule="auto"/>
        <w:ind w:right="0" w:firstLine="482" w:firstLineChars="200"/>
        <w:jc w:val="both"/>
        <w:textAlignment w:val="auto"/>
        <w:rPr>
          <w:color w:val="000000" w:themeColor="text1"/>
          <w:lang w:eastAsia="zh-CN"/>
        </w:rPr>
      </w:pPr>
      <w:r>
        <w:rPr>
          <w:rFonts w:hint="eastAsia"/>
          <w:b/>
          <w:lang w:eastAsia="zh-CN"/>
        </w:rPr>
        <w:t>4.中选者的参比保证金将直接转为履约保证金；</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5.如有下列情况发生，将被没收参比保证金：</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（1）参比单位在参比有效期内撤回参比文件；</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（2）参比单位未能按接到中标通知书后规定的时间内签定合同。</w:t>
      </w:r>
    </w:p>
    <w:p>
      <w:pPr>
        <w:keepNext w:val="0"/>
        <w:keepLines w:val="0"/>
        <w:pageBreakBefore w:val="0"/>
        <w:kinsoku/>
        <w:wordWrap/>
        <w:overflowPunct/>
        <w:topLinePunct w:val="0"/>
        <w:bidi w:val="0"/>
        <w:adjustRightInd/>
        <w:snapToGrid/>
        <w:spacing w:line="360" w:lineRule="auto"/>
        <w:ind w:right="0" w:firstLine="534" w:firstLineChars="200"/>
        <w:textAlignment w:val="auto"/>
        <w:rPr>
          <w:b/>
          <w:w w:val="95"/>
          <w:sz w:val="28"/>
          <w:lang w:eastAsia="zh-CN"/>
        </w:rPr>
      </w:pPr>
      <w:r>
        <w:rPr>
          <w:rFonts w:hint="eastAsia"/>
          <w:b/>
          <w:w w:val="95"/>
          <w:sz w:val="28"/>
          <w:lang w:eastAsia="zh-CN"/>
        </w:rPr>
        <w:t>八</w:t>
      </w:r>
      <w:r>
        <w:rPr>
          <w:b/>
          <w:w w:val="95"/>
          <w:sz w:val="28"/>
          <w:lang w:eastAsia="zh-CN"/>
        </w:rPr>
        <w:t>、</w:t>
      </w:r>
      <w:r>
        <w:rPr>
          <w:rFonts w:hint="eastAsia"/>
          <w:b/>
          <w:w w:val="95"/>
          <w:sz w:val="28"/>
          <w:lang w:eastAsia="zh-CN"/>
        </w:rPr>
        <w:t>参比</w:t>
      </w:r>
      <w:r>
        <w:rPr>
          <w:b/>
          <w:w w:val="95"/>
          <w:sz w:val="28"/>
          <w:lang w:eastAsia="zh-CN"/>
        </w:rPr>
        <w:t>文件的递交</w:t>
      </w:r>
    </w:p>
    <w:p>
      <w:pPr>
        <w:pStyle w:val="4"/>
        <w:keepNext w:val="0"/>
        <w:keepLines w:val="0"/>
        <w:pageBreakBefore w:val="0"/>
        <w:tabs>
          <w:tab w:val="left" w:pos="6879"/>
        </w:tabs>
        <w:kinsoku/>
        <w:wordWrap/>
        <w:overflowPunct/>
        <w:topLinePunct w:val="0"/>
        <w:bidi w:val="0"/>
        <w:adjustRightInd/>
        <w:snapToGrid/>
        <w:spacing w:line="360" w:lineRule="auto"/>
        <w:ind w:left="0" w:right="0" w:firstLine="480" w:firstLineChars="200"/>
        <w:textAlignment w:val="auto"/>
        <w:rPr>
          <w:rFonts w:hint="default"/>
          <w:b w:val="0"/>
          <w:color w:val="000000" w:themeColor="text1"/>
          <w:lang w:val="en-US" w:eastAsia="zh-CN"/>
        </w:rPr>
      </w:pPr>
      <w:r>
        <w:rPr>
          <w:b w:val="0"/>
          <w:color w:val="000000" w:themeColor="text1"/>
          <w:lang w:eastAsia="zh-CN"/>
        </w:rPr>
        <w:t>1.</w:t>
      </w:r>
      <w:r>
        <w:rPr>
          <w:rFonts w:hint="eastAsia"/>
          <w:b w:val="0"/>
          <w:color w:val="000000" w:themeColor="text1"/>
          <w:lang w:eastAsia="zh-CN"/>
        </w:rPr>
        <w:t>参比</w:t>
      </w:r>
      <w:r>
        <w:rPr>
          <w:b w:val="0"/>
          <w:color w:val="000000" w:themeColor="text1"/>
          <w:lang w:eastAsia="zh-CN"/>
        </w:rPr>
        <w:t>文件递交的截止时间：</w:t>
      </w:r>
      <w:r>
        <w:rPr>
          <w:rFonts w:hint="eastAsia"/>
          <w:b w:val="0"/>
          <w:color w:val="000000" w:themeColor="text1"/>
          <w:lang w:val="en-US" w:eastAsia="zh-CN"/>
        </w:rPr>
        <w:t>2025年1月 日12时止。</w:t>
      </w:r>
    </w:p>
    <w:p>
      <w:pPr>
        <w:pStyle w:val="4"/>
        <w:keepNext w:val="0"/>
        <w:keepLines w:val="0"/>
        <w:pageBreakBefore w:val="0"/>
        <w:tabs>
          <w:tab w:val="left" w:pos="6879"/>
        </w:tabs>
        <w:kinsoku/>
        <w:wordWrap/>
        <w:overflowPunct/>
        <w:topLinePunct w:val="0"/>
        <w:bidi w:val="0"/>
        <w:adjustRightInd/>
        <w:snapToGrid/>
        <w:spacing w:line="360" w:lineRule="auto"/>
        <w:ind w:left="0" w:right="0" w:firstLine="480" w:firstLineChars="200"/>
        <w:textAlignment w:val="auto"/>
        <w:rPr>
          <w:b w:val="0"/>
          <w:color w:val="000000" w:themeColor="text1"/>
          <w:spacing w:val="-4"/>
          <w:lang w:eastAsia="zh-CN"/>
        </w:rPr>
      </w:pPr>
      <w:r>
        <w:rPr>
          <w:b w:val="0"/>
          <w:color w:val="000000" w:themeColor="text1"/>
          <w:lang w:eastAsia="zh-CN"/>
        </w:rPr>
        <w:t>2.</w:t>
      </w:r>
      <w:r>
        <w:rPr>
          <w:b w:val="0"/>
          <w:color w:val="000000" w:themeColor="text1"/>
          <w:spacing w:val="4"/>
          <w:lang w:eastAsia="zh-CN"/>
        </w:rPr>
        <w:t>递交</w:t>
      </w:r>
      <w:r>
        <w:rPr>
          <w:rFonts w:hint="eastAsia"/>
          <w:b w:val="0"/>
          <w:color w:val="000000" w:themeColor="text1"/>
          <w:lang w:eastAsia="zh-CN"/>
        </w:rPr>
        <w:t>参比</w:t>
      </w:r>
      <w:r>
        <w:rPr>
          <w:b w:val="0"/>
          <w:color w:val="000000" w:themeColor="text1"/>
          <w:spacing w:val="4"/>
          <w:lang w:eastAsia="zh-CN"/>
        </w:rPr>
        <w:t>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keepNext w:val="0"/>
        <w:keepLines w:val="0"/>
        <w:pageBreakBefore w:val="0"/>
        <w:tabs>
          <w:tab w:val="left" w:pos="6879"/>
        </w:tabs>
        <w:kinsoku/>
        <w:wordWrap/>
        <w:overflowPunct/>
        <w:topLinePunct w:val="0"/>
        <w:bidi w:val="0"/>
        <w:adjustRightInd/>
        <w:snapToGrid/>
        <w:spacing w:line="360" w:lineRule="auto"/>
        <w:ind w:left="0" w:right="0" w:firstLine="480" w:firstLineChars="200"/>
        <w:textAlignment w:val="auto"/>
        <w:rPr>
          <w:b w:val="0"/>
          <w:color w:val="000000" w:themeColor="text1"/>
          <w:lang w:eastAsia="zh-CN"/>
        </w:rPr>
      </w:pPr>
      <w:r>
        <w:rPr>
          <w:b w:val="0"/>
          <w:color w:val="000000" w:themeColor="text1"/>
          <w:lang w:eastAsia="zh-CN"/>
        </w:rPr>
        <w:t>注：请使用顺丰快递或中国邮政 EMS 快递，其他快递不能保证送达目的地。</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3.只允许</w:t>
      </w:r>
      <w:r>
        <w:rPr>
          <w:rFonts w:hint="eastAsia"/>
          <w:lang w:eastAsia="zh-CN"/>
        </w:rPr>
        <w:t>参比</w:t>
      </w:r>
      <w:r>
        <w:rPr>
          <w:lang w:eastAsia="zh-CN"/>
        </w:rPr>
        <w:t>人有一个</w:t>
      </w:r>
      <w:r>
        <w:rPr>
          <w:rFonts w:hint="eastAsia"/>
          <w:lang w:eastAsia="zh-CN"/>
        </w:rPr>
        <w:t>参比</w:t>
      </w:r>
      <w:r>
        <w:rPr>
          <w:lang w:eastAsia="zh-CN"/>
        </w:rPr>
        <w:t>方案，否则将被视为无效</w:t>
      </w:r>
      <w:r>
        <w:rPr>
          <w:rFonts w:hint="eastAsia"/>
          <w:lang w:eastAsia="zh-CN"/>
        </w:rPr>
        <w:t>参比</w:t>
      </w:r>
      <w:r>
        <w:rPr>
          <w:lang w:eastAsia="zh-CN"/>
        </w:rPr>
        <w:t>。</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4.逾期送达的或未送达指定地点或</w:t>
      </w:r>
      <w:r>
        <w:rPr>
          <w:rFonts w:hint="eastAsia"/>
          <w:lang w:eastAsia="zh-CN"/>
        </w:rPr>
        <w:t>参比</w:t>
      </w:r>
      <w:r>
        <w:rPr>
          <w:lang w:eastAsia="zh-CN"/>
        </w:rPr>
        <w:t>文件密封不符合规定要求的</w:t>
      </w:r>
      <w:r>
        <w:rPr>
          <w:rFonts w:hint="eastAsia"/>
          <w:lang w:eastAsia="zh-CN"/>
        </w:rPr>
        <w:t>参比</w:t>
      </w:r>
      <w:r>
        <w:rPr>
          <w:lang w:eastAsia="zh-CN"/>
        </w:rPr>
        <w:t>文件，</w:t>
      </w:r>
      <w:r>
        <w:rPr>
          <w:rFonts w:hint="eastAsia"/>
          <w:lang w:eastAsia="zh-CN"/>
        </w:rPr>
        <w:t>询比</w:t>
      </w:r>
      <w:r>
        <w:rPr>
          <w:lang w:eastAsia="zh-CN"/>
        </w:rPr>
        <w:t>人不予受理。</w:t>
      </w:r>
      <w:r>
        <w:rPr>
          <w:rFonts w:hint="eastAsia"/>
          <w:lang w:eastAsia="zh-CN"/>
        </w:rPr>
        <w:t>参比</w:t>
      </w:r>
      <w:r>
        <w:rPr>
          <w:lang w:eastAsia="zh-CN"/>
        </w:rPr>
        <w:t>人所提交的</w:t>
      </w:r>
      <w:r>
        <w:rPr>
          <w:rFonts w:hint="eastAsia"/>
          <w:lang w:eastAsia="zh-CN"/>
        </w:rPr>
        <w:t>询比</w:t>
      </w:r>
      <w:r>
        <w:rPr>
          <w:lang w:eastAsia="zh-CN"/>
        </w:rPr>
        <w:t>文件在评选结束后，无论中选与否都不退还。</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5.</w:t>
      </w:r>
      <w:r>
        <w:rPr>
          <w:rFonts w:hint="eastAsia"/>
          <w:lang w:eastAsia="zh-CN"/>
        </w:rPr>
        <w:t>参比</w:t>
      </w:r>
      <w:r>
        <w:rPr>
          <w:lang w:eastAsia="zh-CN"/>
        </w:rPr>
        <w:t>人收到</w:t>
      </w:r>
      <w:r>
        <w:rPr>
          <w:rFonts w:hint="eastAsia"/>
          <w:lang w:eastAsia="zh-CN"/>
        </w:rPr>
        <w:t>询比</w:t>
      </w:r>
      <w:r>
        <w:rPr>
          <w:lang w:eastAsia="zh-CN"/>
        </w:rPr>
        <w:t>文件后，如有疑问需要澄清，请以书面形式在规定时间内报</w:t>
      </w:r>
      <w:r>
        <w:rPr>
          <w:rFonts w:hint="eastAsia"/>
          <w:lang w:eastAsia="zh-CN"/>
        </w:rPr>
        <w:t>询比</w:t>
      </w:r>
      <w:r>
        <w:rPr>
          <w:lang w:eastAsia="zh-CN"/>
        </w:rPr>
        <w:t>人汇总。</w:t>
      </w:r>
    </w:p>
    <w:p>
      <w:pPr>
        <w:pStyle w:val="21"/>
        <w:keepNext w:val="0"/>
        <w:keepLines w:val="0"/>
        <w:pageBreakBefore w:val="0"/>
        <w:kinsoku/>
        <w:wordWrap/>
        <w:overflowPunct/>
        <w:topLinePunct w:val="0"/>
        <w:bidi w:val="0"/>
        <w:adjustRightInd/>
        <w:snapToGrid/>
        <w:spacing w:line="360" w:lineRule="auto"/>
        <w:ind w:right="0" w:firstLine="480" w:firstLineChars="200"/>
        <w:jc w:val="both"/>
        <w:textAlignment w:val="auto"/>
        <w:rPr>
          <w:lang w:eastAsia="zh-CN"/>
        </w:rPr>
      </w:pPr>
      <w:r>
        <w:rPr>
          <w:lang w:eastAsia="zh-CN"/>
        </w:rPr>
        <w:t>6.</w:t>
      </w:r>
      <w:r>
        <w:rPr>
          <w:rFonts w:hint="eastAsia"/>
          <w:lang w:eastAsia="zh-CN"/>
        </w:rPr>
        <w:t>参比</w:t>
      </w:r>
      <w:r>
        <w:rPr>
          <w:lang w:eastAsia="zh-CN"/>
        </w:rPr>
        <w:t>人对</w:t>
      </w:r>
      <w:r>
        <w:rPr>
          <w:rFonts w:hint="eastAsia"/>
          <w:lang w:eastAsia="zh-CN"/>
        </w:rPr>
        <w:t>询比</w:t>
      </w:r>
      <w:r>
        <w:rPr>
          <w:lang w:eastAsia="zh-CN"/>
        </w:rPr>
        <w:t>人提供的</w:t>
      </w:r>
      <w:r>
        <w:rPr>
          <w:rFonts w:hint="eastAsia"/>
          <w:lang w:eastAsia="zh-CN"/>
        </w:rPr>
        <w:t>询比</w:t>
      </w:r>
      <w:r>
        <w:rPr>
          <w:lang w:eastAsia="zh-CN"/>
        </w:rPr>
        <w:t>文件所做出的推论、解释和结论，</w:t>
      </w:r>
      <w:r>
        <w:rPr>
          <w:rFonts w:hint="eastAsia"/>
          <w:lang w:eastAsia="zh-CN"/>
        </w:rPr>
        <w:t>询比</w:t>
      </w:r>
      <w:r>
        <w:rPr>
          <w:lang w:eastAsia="zh-CN"/>
        </w:rPr>
        <w:t>人概不负责。</w:t>
      </w:r>
      <w:r>
        <w:rPr>
          <w:rFonts w:hint="eastAsia"/>
          <w:lang w:eastAsia="zh-CN"/>
        </w:rPr>
        <w:t>参比</w:t>
      </w:r>
      <w:r>
        <w:rPr>
          <w:lang w:eastAsia="zh-CN"/>
        </w:rPr>
        <w:t>人由于对</w:t>
      </w:r>
      <w:r>
        <w:rPr>
          <w:rFonts w:hint="eastAsia"/>
          <w:lang w:eastAsia="zh-CN"/>
        </w:rPr>
        <w:t>询比</w:t>
      </w:r>
      <w:r>
        <w:rPr>
          <w:lang w:eastAsia="zh-CN"/>
        </w:rPr>
        <w:t>文件的任何推论和误解以及</w:t>
      </w:r>
      <w:r>
        <w:rPr>
          <w:rFonts w:hint="eastAsia"/>
          <w:lang w:eastAsia="zh-CN"/>
        </w:rPr>
        <w:t>询比</w:t>
      </w:r>
      <w:r>
        <w:rPr>
          <w:lang w:eastAsia="zh-CN"/>
        </w:rPr>
        <w:t>对有关问题的口头解释所造成的后果，均由</w:t>
      </w:r>
      <w:r>
        <w:rPr>
          <w:rFonts w:hint="eastAsia"/>
          <w:lang w:eastAsia="zh-CN"/>
        </w:rPr>
        <w:t>参比</w:t>
      </w:r>
      <w:r>
        <w:rPr>
          <w:lang w:eastAsia="zh-CN"/>
        </w:rPr>
        <w:t>人负责。</w:t>
      </w:r>
    </w:p>
    <w:p>
      <w:pPr>
        <w:spacing w:line="321" w:lineRule="auto"/>
        <w:jc w:val="both"/>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0" w:leftChars="0" w:firstLine="0" w:firstLineChars="0"/>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r>
        <w:rPr>
          <w:lang w:eastAsia="zh-CN"/>
        </w:rPr>
        <w:t>第三章</w:t>
      </w:r>
      <w:r>
        <w:rPr>
          <w:lang w:eastAsia="zh-CN"/>
        </w:rPr>
        <w:tab/>
      </w:r>
      <w:r>
        <w:rPr>
          <w:rFonts w:hint="eastAsia"/>
          <w:spacing w:val="-1"/>
          <w:w w:val="95"/>
          <w:lang w:eastAsia="zh-CN"/>
        </w:rPr>
        <w:t>参比</w:t>
      </w:r>
      <w:r>
        <w:rPr>
          <w:spacing w:val="-1"/>
          <w:w w:val="95"/>
          <w:lang w:eastAsia="zh-CN"/>
        </w:rPr>
        <w:t>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一、参比</w:t>
      </w:r>
      <w:r>
        <w:rPr>
          <w:b/>
          <w:w w:val="95"/>
          <w:sz w:val="28"/>
          <w:lang w:eastAsia="zh-CN"/>
        </w:rPr>
        <w:t>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技术报价文件，以签订的技术协议为参比书格式，可不胶装。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w:t>
      </w:r>
      <w:r>
        <w:rPr>
          <w:rFonts w:hint="eastAsia"/>
          <w:b/>
          <w:w w:val="95"/>
          <w:sz w:val="28"/>
          <w:lang w:eastAsia="zh-CN"/>
        </w:rPr>
        <w:t>参比</w:t>
      </w:r>
      <w:r>
        <w:rPr>
          <w:b/>
          <w:w w:val="95"/>
          <w:sz w:val="28"/>
          <w:lang w:eastAsia="zh-CN"/>
        </w:rPr>
        <w:t>书格式内容</w:t>
      </w:r>
    </w:p>
    <w:p>
      <w:pPr>
        <w:pStyle w:val="21"/>
        <w:spacing w:line="360" w:lineRule="auto"/>
        <w:ind w:right="121" w:firstLine="480" w:firstLineChars="200"/>
        <w:jc w:val="both"/>
        <w:rPr>
          <w:lang w:eastAsia="zh-CN"/>
        </w:rPr>
      </w:pPr>
      <w:r>
        <w:rPr>
          <w:rFonts w:hint="eastAsia"/>
          <w:lang w:eastAsia="zh-CN"/>
        </w:rPr>
        <w:t>参比</w:t>
      </w:r>
      <w:r>
        <w:rPr>
          <w:lang w:eastAsia="zh-CN"/>
        </w:rPr>
        <w:t>人应按附件二格式内容要求进行</w:t>
      </w:r>
      <w:r>
        <w:rPr>
          <w:rFonts w:hint="eastAsia"/>
          <w:lang w:eastAsia="zh-CN"/>
        </w:rPr>
        <w:t>参比</w:t>
      </w:r>
      <w:r>
        <w:rPr>
          <w:lang w:eastAsia="zh-CN"/>
        </w:rPr>
        <w:t>书的编制。</w:t>
      </w:r>
    </w:p>
    <w:p>
      <w:pPr>
        <w:spacing w:before="15" w:line="360" w:lineRule="auto"/>
        <w:ind w:firstLine="534" w:firstLineChars="200"/>
        <w:rPr>
          <w:b/>
          <w:w w:val="95"/>
          <w:sz w:val="28"/>
          <w:lang w:eastAsia="zh-CN"/>
        </w:rPr>
      </w:pPr>
      <w:r>
        <w:rPr>
          <w:b/>
          <w:w w:val="95"/>
          <w:sz w:val="28"/>
          <w:lang w:eastAsia="zh-CN"/>
        </w:rPr>
        <w:t>三、</w:t>
      </w:r>
      <w:r>
        <w:rPr>
          <w:rFonts w:hint="eastAsia"/>
          <w:b/>
          <w:w w:val="95"/>
          <w:sz w:val="28"/>
          <w:lang w:eastAsia="zh-CN"/>
        </w:rPr>
        <w:t>参比</w:t>
      </w:r>
      <w:r>
        <w:rPr>
          <w:b/>
          <w:w w:val="95"/>
          <w:sz w:val="28"/>
          <w:lang w:eastAsia="zh-CN"/>
        </w:rPr>
        <w:t>报价</w:t>
      </w:r>
    </w:p>
    <w:p>
      <w:pPr>
        <w:pStyle w:val="21"/>
        <w:spacing w:line="360" w:lineRule="auto"/>
        <w:ind w:right="121" w:firstLine="480" w:firstLineChars="200"/>
        <w:jc w:val="both"/>
        <w:rPr>
          <w:lang w:eastAsia="zh-CN"/>
        </w:rPr>
      </w:pPr>
      <w:r>
        <w:rPr>
          <w:rFonts w:hint="eastAsia"/>
          <w:lang w:eastAsia="zh-CN"/>
        </w:rPr>
        <w:t>参比</w:t>
      </w:r>
      <w:r>
        <w:rPr>
          <w:lang w:eastAsia="zh-CN"/>
        </w:rPr>
        <w:t>人须按要求进行报价，对</w:t>
      </w:r>
      <w:r>
        <w:rPr>
          <w:rFonts w:hint="eastAsia"/>
          <w:lang w:eastAsia="zh-CN"/>
        </w:rPr>
        <w:t>参比</w:t>
      </w:r>
      <w:r>
        <w:rPr>
          <w:lang w:eastAsia="zh-CN"/>
        </w:rPr>
        <w:t>报价负责。</w:t>
      </w:r>
      <w:r>
        <w:rPr>
          <w:rFonts w:hint="eastAsia"/>
          <w:lang w:eastAsia="zh-CN"/>
        </w:rPr>
        <w:t>参比</w:t>
      </w:r>
      <w:r>
        <w:rPr>
          <w:lang w:eastAsia="zh-CN"/>
        </w:rPr>
        <w:t>报价应加盖</w:t>
      </w:r>
      <w:r>
        <w:rPr>
          <w:rFonts w:hint="eastAsia"/>
          <w:lang w:eastAsia="zh-CN"/>
        </w:rPr>
        <w:t>参比</w:t>
      </w:r>
      <w:r>
        <w:rPr>
          <w:lang w:eastAsia="zh-CN"/>
        </w:rPr>
        <w:t>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w:t>
      </w:r>
      <w:r>
        <w:rPr>
          <w:rFonts w:hint="eastAsia"/>
          <w:lang w:eastAsia="zh-CN"/>
        </w:rPr>
        <w:t>参比</w:t>
      </w:r>
      <w:r>
        <w:rPr>
          <w:lang w:eastAsia="zh-CN"/>
        </w:rPr>
        <w:t>人应承担所有与准备和参加</w:t>
      </w:r>
      <w:r>
        <w:rPr>
          <w:rFonts w:hint="eastAsia"/>
          <w:lang w:eastAsia="zh-CN"/>
        </w:rPr>
        <w:t>询比</w:t>
      </w:r>
      <w:r>
        <w:rPr>
          <w:lang w:eastAsia="zh-CN"/>
        </w:rPr>
        <w:t>有关的费用。不论</w:t>
      </w:r>
      <w:r>
        <w:rPr>
          <w:rFonts w:hint="eastAsia"/>
          <w:lang w:eastAsia="zh-CN"/>
        </w:rPr>
        <w:t>询比</w:t>
      </w:r>
      <w:r>
        <w:rPr>
          <w:lang w:eastAsia="zh-CN"/>
        </w:rPr>
        <w:t>的结果如何，</w:t>
      </w:r>
      <w:r>
        <w:rPr>
          <w:rFonts w:hint="eastAsia"/>
          <w:lang w:eastAsia="zh-CN"/>
        </w:rPr>
        <w:t>询比</w:t>
      </w:r>
      <w:r>
        <w:rPr>
          <w:lang w:eastAsia="zh-CN"/>
        </w:rPr>
        <w:t>机构和</w:t>
      </w:r>
      <w:r>
        <w:rPr>
          <w:rFonts w:hint="eastAsia"/>
          <w:lang w:eastAsia="zh-CN"/>
        </w:rPr>
        <w:t>询比</w:t>
      </w:r>
      <w:r>
        <w:rPr>
          <w:lang w:eastAsia="zh-CN"/>
        </w:rPr>
        <w:t>人均无义务和责任承担这些费用。</w:t>
      </w:r>
    </w:p>
    <w:p>
      <w:pPr>
        <w:pStyle w:val="21"/>
        <w:spacing w:line="360" w:lineRule="auto"/>
        <w:ind w:right="121" w:firstLine="480" w:firstLineChars="200"/>
        <w:jc w:val="both"/>
        <w:rPr>
          <w:lang w:eastAsia="zh-CN"/>
        </w:rPr>
      </w:pPr>
      <w:r>
        <w:rPr>
          <w:lang w:eastAsia="zh-CN"/>
        </w:rPr>
        <w:t>2.</w:t>
      </w:r>
      <w:r>
        <w:rPr>
          <w:rFonts w:hint="eastAsia"/>
          <w:lang w:eastAsia="zh-CN"/>
        </w:rPr>
        <w:t>参比</w:t>
      </w:r>
      <w:r>
        <w:rPr>
          <w:lang w:eastAsia="zh-CN"/>
        </w:rPr>
        <w:t>收到</w:t>
      </w:r>
      <w:r>
        <w:rPr>
          <w:rFonts w:hint="eastAsia"/>
          <w:lang w:eastAsia="zh-CN"/>
        </w:rPr>
        <w:t>询比</w:t>
      </w:r>
      <w:r>
        <w:rPr>
          <w:lang w:eastAsia="zh-CN"/>
        </w:rPr>
        <w:t>文件后，如有疑问需要澄清，请以书面形式在规定时间内报</w:t>
      </w:r>
      <w:r>
        <w:rPr>
          <w:rFonts w:hint="eastAsia"/>
          <w:lang w:eastAsia="zh-CN"/>
        </w:rPr>
        <w:t>询比</w:t>
      </w:r>
      <w:r>
        <w:rPr>
          <w:lang w:eastAsia="zh-CN"/>
        </w:rPr>
        <w:t>人汇总。</w:t>
      </w:r>
    </w:p>
    <w:p>
      <w:pPr>
        <w:pStyle w:val="21"/>
        <w:spacing w:line="360" w:lineRule="auto"/>
        <w:ind w:right="121" w:firstLine="480" w:firstLineChars="200"/>
        <w:jc w:val="both"/>
        <w:rPr>
          <w:lang w:eastAsia="zh-CN"/>
        </w:rPr>
      </w:pPr>
      <w:r>
        <w:rPr>
          <w:lang w:eastAsia="zh-CN"/>
        </w:rPr>
        <w:t>3.</w:t>
      </w:r>
      <w:r>
        <w:rPr>
          <w:rFonts w:hint="eastAsia"/>
          <w:lang w:eastAsia="zh-CN"/>
        </w:rPr>
        <w:t>参比</w:t>
      </w:r>
      <w:r>
        <w:rPr>
          <w:lang w:eastAsia="zh-CN"/>
        </w:rPr>
        <w:t>人对</w:t>
      </w:r>
      <w:r>
        <w:rPr>
          <w:rFonts w:hint="eastAsia"/>
          <w:lang w:eastAsia="zh-CN"/>
        </w:rPr>
        <w:t>询比</w:t>
      </w:r>
      <w:r>
        <w:rPr>
          <w:lang w:eastAsia="zh-CN"/>
        </w:rPr>
        <w:t>人提供的</w:t>
      </w:r>
      <w:r>
        <w:rPr>
          <w:rFonts w:hint="eastAsia"/>
          <w:lang w:eastAsia="zh-CN"/>
        </w:rPr>
        <w:t>询比</w:t>
      </w:r>
      <w:r>
        <w:rPr>
          <w:lang w:eastAsia="zh-CN"/>
        </w:rPr>
        <w:t>文件所做出的推论、解释和结论，</w:t>
      </w:r>
      <w:r>
        <w:rPr>
          <w:rFonts w:hint="eastAsia"/>
          <w:lang w:eastAsia="zh-CN"/>
        </w:rPr>
        <w:t>询比</w:t>
      </w:r>
      <w:r>
        <w:rPr>
          <w:lang w:eastAsia="zh-CN"/>
        </w:rPr>
        <w:t>人概不负责。</w:t>
      </w:r>
      <w:r>
        <w:rPr>
          <w:rFonts w:hint="eastAsia"/>
          <w:lang w:eastAsia="zh-CN"/>
        </w:rPr>
        <w:t>参比</w:t>
      </w:r>
      <w:r>
        <w:rPr>
          <w:lang w:eastAsia="zh-CN"/>
        </w:rPr>
        <w:t>人由于对</w:t>
      </w:r>
      <w:r>
        <w:rPr>
          <w:rFonts w:hint="eastAsia"/>
          <w:lang w:eastAsia="zh-CN"/>
        </w:rPr>
        <w:t>询比</w:t>
      </w:r>
      <w:r>
        <w:rPr>
          <w:lang w:eastAsia="zh-CN"/>
        </w:rPr>
        <w:t>文件的任何推论和误解以及</w:t>
      </w:r>
      <w:r>
        <w:rPr>
          <w:rFonts w:hint="eastAsia"/>
          <w:lang w:eastAsia="zh-CN"/>
        </w:rPr>
        <w:t>询比</w:t>
      </w:r>
      <w:r>
        <w:rPr>
          <w:lang w:eastAsia="zh-CN"/>
        </w:rPr>
        <w:t>对有关问题的口头解释所造成的后果，均由</w:t>
      </w:r>
      <w:r>
        <w:rPr>
          <w:rFonts w:hint="eastAsia"/>
          <w:lang w:eastAsia="zh-CN"/>
        </w:rPr>
        <w:t>参比</w:t>
      </w:r>
      <w:r>
        <w:rPr>
          <w:lang w:eastAsia="zh-CN"/>
        </w:rPr>
        <w:t>人负责。</w:t>
      </w: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w:t>
      </w:r>
      <w:r>
        <w:rPr>
          <w:rFonts w:hint="eastAsia"/>
          <w:lang w:eastAsia="zh-CN"/>
        </w:rPr>
        <w:t>询比</w:t>
      </w:r>
      <w:r>
        <w:rPr>
          <w:lang w:eastAsia="zh-CN"/>
        </w:rPr>
        <w:t>人在评选时，将</w:t>
      </w:r>
      <w:r>
        <w:rPr>
          <w:rFonts w:hint="eastAsia"/>
          <w:lang w:eastAsia="zh-CN"/>
        </w:rPr>
        <w:t>优先对技术参比文件进行评选，技术参比文件符合业主要求方可进行下一轮商务报价评选。</w:t>
      </w:r>
    </w:p>
    <w:p>
      <w:pPr>
        <w:pStyle w:val="21"/>
        <w:spacing w:line="360" w:lineRule="auto"/>
        <w:ind w:right="121" w:firstLine="480" w:firstLineChars="200"/>
        <w:jc w:val="both"/>
        <w:rPr>
          <w:lang w:eastAsia="zh-CN"/>
        </w:rPr>
      </w:pPr>
      <w:r>
        <w:rPr>
          <w:lang w:eastAsia="zh-CN"/>
        </w:rPr>
        <w:t>2.</w:t>
      </w:r>
      <w:r>
        <w:rPr>
          <w:rFonts w:hint="eastAsia"/>
          <w:lang w:eastAsia="zh-CN"/>
        </w:rPr>
        <w:t>参比</w:t>
      </w:r>
      <w:r>
        <w:rPr>
          <w:lang w:eastAsia="zh-CN"/>
        </w:rPr>
        <w:t>人串选、相互勾结故意压低标价以排挤竞争对手的公平竞争的，其</w:t>
      </w:r>
      <w:r>
        <w:rPr>
          <w:rFonts w:hint="eastAsia"/>
          <w:lang w:eastAsia="zh-CN"/>
        </w:rPr>
        <w:t>参比</w:t>
      </w:r>
      <w:r>
        <w:rPr>
          <w:lang w:eastAsia="zh-CN"/>
        </w:rPr>
        <w:t>无效。</w:t>
      </w:r>
    </w:p>
    <w:p>
      <w:pPr>
        <w:pStyle w:val="21"/>
        <w:spacing w:line="360" w:lineRule="auto"/>
        <w:ind w:right="121" w:firstLine="480" w:firstLineChars="200"/>
        <w:jc w:val="both"/>
        <w:rPr>
          <w:lang w:eastAsia="zh-CN"/>
        </w:rPr>
      </w:pPr>
      <w:r>
        <w:rPr>
          <w:lang w:eastAsia="zh-CN"/>
        </w:rPr>
        <w:t>3.替补候选人的设定与使用：在合同签订前，</w:t>
      </w:r>
      <w:r>
        <w:rPr>
          <w:rFonts w:hint="eastAsia"/>
          <w:lang w:eastAsia="zh-CN"/>
        </w:rPr>
        <w:t>询比</w:t>
      </w:r>
      <w:r>
        <w:rPr>
          <w:lang w:eastAsia="zh-CN"/>
        </w:rPr>
        <w:t>单位发现</w:t>
      </w:r>
      <w:r>
        <w:rPr>
          <w:rFonts w:hint="eastAsia"/>
          <w:lang w:eastAsia="zh-CN"/>
        </w:rPr>
        <w:t>参比</w:t>
      </w:r>
      <w:r>
        <w:rPr>
          <w:lang w:eastAsia="zh-CN"/>
        </w:rPr>
        <w:t>人的</w:t>
      </w:r>
      <w:r>
        <w:rPr>
          <w:rFonts w:hint="eastAsia"/>
          <w:lang w:eastAsia="zh-CN"/>
        </w:rPr>
        <w:t>参比</w:t>
      </w:r>
      <w:r>
        <w:rPr>
          <w:lang w:eastAsia="zh-CN"/>
        </w:rPr>
        <w:t>报价或供货范围有缺漏、实际应标产品或服务存在重大偏差、或</w:t>
      </w:r>
      <w:r>
        <w:rPr>
          <w:rFonts w:hint="eastAsia"/>
          <w:lang w:eastAsia="zh-CN"/>
        </w:rPr>
        <w:t>参比</w:t>
      </w:r>
      <w:r>
        <w:rPr>
          <w:lang w:eastAsia="zh-CN"/>
        </w:rPr>
        <w:t>材料存在欺诈行为时、或</w:t>
      </w:r>
      <w:r>
        <w:rPr>
          <w:rFonts w:hint="eastAsia"/>
          <w:lang w:eastAsia="zh-CN"/>
        </w:rPr>
        <w:t>参比</w:t>
      </w:r>
      <w:r>
        <w:rPr>
          <w:lang w:eastAsia="zh-CN"/>
        </w:rPr>
        <w:t>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w:t>
      </w:r>
      <w:r>
        <w:rPr>
          <w:rFonts w:hint="eastAsia"/>
          <w:lang w:eastAsia="zh-CN"/>
        </w:rPr>
        <w:t>询比</w:t>
      </w:r>
      <w:r>
        <w:rPr>
          <w:lang w:eastAsia="zh-CN"/>
        </w:rPr>
        <w:t>人依法组建的评选委员会将按照第二章</w:t>
      </w:r>
      <w:r>
        <w:rPr>
          <w:rFonts w:hint="eastAsia"/>
          <w:lang w:eastAsia="zh-CN"/>
        </w:rPr>
        <w:t>询比</w:t>
      </w:r>
      <w:r>
        <w:rPr>
          <w:lang w:eastAsia="zh-CN"/>
        </w:rPr>
        <w:t>须知第六点“</w:t>
      </w:r>
      <w:r>
        <w:rPr>
          <w:rFonts w:hint="eastAsia"/>
          <w:lang w:eastAsia="zh-CN"/>
        </w:rPr>
        <w:t>参比</w:t>
      </w:r>
      <w:r>
        <w:rPr>
          <w:lang w:eastAsia="zh-CN"/>
        </w:rPr>
        <w:t>人资格”的要求对</w:t>
      </w:r>
      <w:r>
        <w:rPr>
          <w:rFonts w:hint="eastAsia"/>
          <w:lang w:eastAsia="zh-CN"/>
        </w:rPr>
        <w:t>参比</w:t>
      </w:r>
      <w:r>
        <w:rPr>
          <w:lang w:eastAsia="zh-CN"/>
        </w:rPr>
        <w:t>人进行资格审查，以确定是否为符合</w:t>
      </w:r>
      <w:r>
        <w:rPr>
          <w:rFonts w:hint="eastAsia"/>
          <w:lang w:eastAsia="zh-CN"/>
        </w:rPr>
        <w:t>询比</w:t>
      </w:r>
      <w:r>
        <w:rPr>
          <w:lang w:eastAsia="zh-CN"/>
        </w:rPr>
        <w:t>文件规定要求的合格</w:t>
      </w:r>
      <w:r>
        <w:rPr>
          <w:rFonts w:hint="eastAsia"/>
          <w:lang w:eastAsia="zh-CN"/>
        </w:rPr>
        <w:t>参比</w:t>
      </w:r>
      <w:r>
        <w:rPr>
          <w:lang w:eastAsia="zh-CN"/>
        </w:rPr>
        <w:t>人，同时，评选委员会将依据</w:t>
      </w:r>
      <w:r>
        <w:rPr>
          <w:rFonts w:hint="eastAsia"/>
          <w:lang w:eastAsia="zh-CN"/>
        </w:rPr>
        <w:t>参比</w:t>
      </w:r>
      <w:r>
        <w:rPr>
          <w:lang w:eastAsia="zh-CN"/>
        </w:rPr>
        <w:t>人提供的资格证明文件审查</w:t>
      </w:r>
      <w:r>
        <w:rPr>
          <w:rFonts w:hint="eastAsia"/>
          <w:lang w:eastAsia="zh-CN"/>
        </w:rPr>
        <w:t>参比</w:t>
      </w:r>
      <w:r>
        <w:rPr>
          <w:lang w:eastAsia="zh-CN"/>
        </w:rPr>
        <w:t>人的法人资格、营业范围、财务，以确定</w:t>
      </w:r>
      <w:r>
        <w:rPr>
          <w:rFonts w:hint="eastAsia"/>
          <w:lang w:eastAsia="zh-CN"/>
        </w:rPr>
        <w:t>参比</w:t>
      </w:r>
      <w:r>
        <w:rPr>
          <w:lang w:eastAsia="zh-CN"/>
        </w:rPr>
        <w:t>人是否有资格履行合同。经上述资格审查合格的</w:t>
      </w:r>
      <w:r>
        <w:rPr>
          <w:rFonts w:hint="eastAsia"/>
          <w:lang w:eastAsia="zh-CN"/>
        </w:rPr>
        <w:t>参比</w:t>
      </w:r>
      <w:r>
        <w:rPr>
          <w:lang w:eastAsia="zh-CN"/>
        </w:rPr>
        <w:t>人进入下一程序的评审，经上述资格审查不合格的</w:t>
      </w:r>
      <w:r>
        <w:rPr>
          <w:rFonts w:hint="eastAsia"/>
          <w:lang w:eastAsia="zh-CN"/>
        </w:rPr>
        <w:t>参比</w:t>
      </w:r>
      <w:r>
        <w:rPr>
          <w:lang w:eastAsia="zh-CN"/>
        </w:rPr>
        <w:t>文件，其</w:t>
      </w:r>
      <w:r>
        <w:rPr>
          <w:rFonts w:hint="eastAsia"/>
          <w:lang w:eastAsia="zh-CN"/>
        </w:rPr>
        <w:t>参比</w:t>
      </w:r>
      <w:r>
        <w:rPr>
          <w:lang w:eastAsia="zh-CN"/>
        </w:rPr>
        <w:t>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lang w:eastAsia="zh-CN"/>
        </w:rPr>
      </w:pPr>
      <w:r>
        <w:rPr>
          <w:rFonts w:hint="eastAsia"/>
          <w:b/>
          <w:color w:val="FF0000"/>
          <w:lang w:eastAsia="zh-CN"/>
        </w:rPr>
        <w:t>本项目设置最高</w:t>
      </w:r>
      <w:r>
        <w:rPr>
          <w:rFonts w:hint="eastAsia"/>
          <w:b/>
          <w:color w:val="FF0000"/>
          <w:lang w:val="en-US" w:eastAsia="zh-CN"/>
        </w:rPr>
        <w:t>合同</w:t>
      </w:r>
      <w:r>
        <w:rPr>
          <w:rFonts w:hint="eastAsia"/>
          <w:b/>
          <w:color w:val="FF0000"/>
          <w:lang w:eastAsia="zh-CN"/>
        </w:rPr>
        <w:t>控制价</w:t>
      </w:r>
      <w:r>
        <w:rPr>
          <w:rFonts w:hint="eastAsia"/>
          <w:b/>
          <w:color w:val="FF0000"/>
          <w:lang w:val="en-US" w:eastAsia="zh-CN"/>
        </w:rPr>
        <w:t>暂定总价未税26.9</w:t>
      </w:r>
      <w:r>
        <w:rPr>
          <w:rFonts w:hint="eastAsia"/>
          <w:b/>
          <w:color w:val="FF0000"/>
          <w:lang w:eastAsia="zh-CN"/>
        </w:rPr>
        <w:t>万元整</w:t>
      </w:r>
      <w:r>
        <w:rPr>
          <w:rFonts w:hint="eastAsia"/>
          <w:color w:val="FF0000"/>
          <w:lang w:eastAsia="zh-CN"/>
        </w:rPr>
        <w:t>。</w:t>
      </w:r>
      <w:r>
        <w:rPr>
          <w:color w:val="000000" w:themeColor="text1"/>
          <w:sz w:val="24"/>
          <w:szCs w:val="24"/>
          <w:lang w:eastAsia="zh-CN"/>
        </w:rPr>
        <w:t>评选委员会将对通过资格及实质响应性审查的各合格</w:t>
      </w:r>
      <w:r>
        <w:rPr>
          <w:rFonts w:hint="eastAsia"/>
          <w:color w:val="000000" w:themeColor="text1"/>
          <w:sz w:val="24"/>
          <w:szCs w:val="24"/>
          <w:lang w:eastAsia="zh-CN"/>
        </w:rPr>
        <w:t>参比</w:t>
      </w:r>
      <w:r>
        <w:rPr>
          <w:color w:val="000000" w:themeColor="text1"/>
          <w:sz w:val="24"/>
          <w:szCs w:val="24"/>
          <w:lang w:eastAsia="zh-CN"/>
        </w:rPr>
        <w:t>人，根据以下标准和方法进行</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firstLine="480" w:firstLineChars="200"/>
        <w:textAlignment w:val="auto"/>
        <w:rPr>
          <w:color w:val="000000"/>
          <w:sz w:val="24"/>
          <w:szCs w:val="24"/>
          <w:shd w:val="clear" w:color="auto" w:fill="FFFFFF"/>
          <w:lang w:eastAsia="zh-CN"/>
        </w:rPr>
      </w:pPr>
      <w:r>
        <w:rPr>
          <w:rFonts w:hint="eastAsia" w:ascii="宋体" w:hAnsi="宋体" w:eastAsia="宋体" w:cs="宋体"/>
          <w:sz w:val="24"/>
          <w:szCs w:val="24"/>
          <w:lang w:val="en-US" w:eastAsia="zh-CN" w:bidi="ar-SA"/>
        </w:rPr>
        <w:t>采用综合评选的方式，从商务和技术两部分进行综合评价。综合得分最高者作为第一中选人，以此类推。</w:t>
      </w:r>
      <w:r>
        <w:rPr>
          <w:rFonts w:hint="eastAsia"/>
          <w:color w:val="000000"/>
          <w:sz w:val="24"/>
          <w:szCs w:val="24"/>
          <w:shd w:val="clear" w:color="auto" w:fill="FFFFFF"/>
          <w:lang w:eastAsia="zh-CN"/>
        </w:rPr>
        <w:t>满足：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000000"/>
          <w:sz w:val="24"/>
          <w:szCs w:val="24"/>
          <w:shd w:val="clear" w:color="auto" w:fill="FFFFFF"/>
          <w:lang w:eastAsia="zh-CN"/>
        </w:rPr>
      </w:pPr>
      <w:r>
        <w:rPr>
          <w:rFonts w:hint="eastAsia"/>
          <w:color w:val="000000"/>
          <w:sz w:val="24"/>
          <w:szCs w:val="24"/>
          <w:shd w:val="clear" w:color="auto" w:fill="FFFFFF"/>
          <w:lang w:eastAsia="zh-CN"/>
        </w:rPr>
        <w:t>（1）付款条件：</w:t>
      </w:r>
      <w:r>
        <w:rPr>
          <w:rFonts w:hint="eastAsia" w:ascii="宋体" w:hAnsi="宋体" w:eastAsia="宋体" w:cs="宋体"/>
          <w:sz w:val="24"/>
          <w:lang w:val="en-US" w:eastAsia="zh-CN"/>
        </w:rPr>
        <w:t>按实际维修量进行结算，当批次验收合格后支付100%货款，如出现维修质量等问题将从验收款或合同</w:t>
      </w:r>
      <w:r>
        <w:rPr>
          <w:rFonts w:hint="eastAsia" w:ascii="宋体" w:hAnsi="宋体" w:eastAsia="宋体" w:cs="宋体"/>
          <w:b w:val="0"/>
          <w:kern w:val="0"/>
          <w:sz w:val="24"/>
          <w:lang w:eastAsia="zh-CN"/>
        </w:rPr>
        <w:t>履约保证金</w:t>
      </w:r>
      <w:r>
        <w:rPr>
          <w:rFonts w:hint="eastAsia" w:ascii="宋体" w:hAnsi="宋体" w:eastAsia="宋体" w:cs="宋体"/>
          <w:b w:val="0"/>
          <w:kern w:val="0"/>
          <w:sz w:val="24"/>
          <w:lang w:val="en-US" w:eastAsia="zh-CN"/>
        </w:rPr>
        <w:t>中扣除</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ascii="宋体" w:hAnsi="宋体" w:eastAsia="宋体" w:cs="宋体"/>
          <w:sz w:val="24"/>
          <w:szCs w:val="24"/>
          <w:lang w:val="en-US" w:eastAsia="zh-CN" w:bidi="ar-SA"/>
        </w:rPr>
        <w:t>商务分与技术分的比例为</w:t>
      </w:r>
      <w:r>
        <w:rPr>
          <w:rFonts w:hint="eastAsia" w:cs="宋体"/>
          <w:sz w:val="24"/>
          <w:szCs w:val="24"/>
          <w:lang w:val="en-US" w:eastAsia="zh-CN" w:bidi="ar-SA"/>
        </w:rPr>
        <w:t>80</w:t>
      </w:r>
      <w:r>
        <w:rPr>
          <w:rFonts w:hint="eastAsia" w:ascii="宋体" w:hAnsi="宋体" w:eastAsia="宋体" w:cs="宋体"/>
          <w:sz w:val="24"/>
          <w:szCs w:val="24"/>
          <w:lang w:val="en-US" w:eastAsia="zh-CN" w:bidi="ar-SA"/>
        </w:rPr>
        <w:t>：</w:t>
      </w:r>
      <w:r>
        <w:rPr>
          <w:rFonts w:hint="eastAsia" w:cs="宋体"/>
          <w:sz w:val="24"/>
          <w:szCs w:val="24"/>
          <w:lang w:val="en-US" w:eastAsia="zh-CN" w:bidi="ar-SA"/>
        </w:rPr>
        <w:t>20</w:t>
      </w:r>
      <w:r>
        <w:rPr>
          <w:rFonts w:hint="eastAsia" w:ascii="宋体" w:hAnsi="宋体" w:eastAsia="宋体" w:cs="宋体"/>
          <w:sz w:val="24"/>
          <w:szCs w:val="24"/>
          <w:lang w:val="en-US" w:eastAsia="zh-CN" w:bidi="ar-SA"/>
        </w:rPr>
        <w:t>。综合得分最高者作为第一中选人。</w:t>
      </w:r>
    </w:p>
    <w:tbl>
      <w:tblPr>
        <w:tblStyle w:val="49"/>
        <w:tblW w:w="98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99"/>
        <w:gridCol w:w="1341"/>
        <w:gridCol w:w="655"/>
        <w:gridCol w:w="4347"/>
        <w:gridCol w:w="85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序号</w:t>
            </w:r>
          </w:p>
        </w:tc>
        <w:tc>
          <w:tcPr>
            <w:tcW w:w="999" w:type="dxa"/>
            <w:vAlign w:val="center"/>
          </w:tcPr>
          <w:p>
            <w:pPr>
              <w:snapToGrid w:val="0"/>
              <w:spacing w:line="360" w:lineRule="auto"/>
              <w:jc w:val="center"/>
              <w:rPr>
                <w:rFonts w:hint="eastAsia"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项目</w:t>
            </w:r>
          </w:p>
        </w:tc>
        <w:tc>
          <w:tcPr>
            <w:tcW w:w="1341"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评审项目</w:t>
            </w:r>
          </w:p>
        </w:tc>
        <w:tc>
          <w:tcPr>
            <w:tcW w:w="6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分值</w:t>
            </w:r>
          </w:p>
        </w:tc>
        <w:tc>
          <w:tcPr>
            <w:tcW w:w="4347" w:type="dxa"/>
            <w:vAlign w:val="center"/>
          </w:tcPr>
          <w:p>
            <w:pPr>
              <w:snapToGrid w:val="0"/>
              <w:spacing w:line="360" w:lineRule="auto"/>
              <w:ind w:firstLine="562" w:firstLineChars="200"/>
              <w:jc w:val="center"/>
              <w:rPr>
                <w:rFonts w:ascii="Times New Roman" w:hAnsi="Times New Roman" w:eastAsia="仿宋"/>
                <w:b/>
                <w:bCs/>
                <w:sz w:val="28"/>
                <w:szCs w:val="28"/>
              </w:rPr>
            </w:pPr>
            <w:r>
              <w:rPr>
                <w:rFonts w:hint="eastAsia" w:ascii="Times New Roman" w:hAnsi="Times New Roman" w:eastAsia="仿宋"/>
                <w:b/>
                <w:bCs/>
                <w:sz w:val="28"/>
                <w:szCs w:val="28"/>
              </w:rPr>
              <w:t>评分细则</w:t>
            </w:r>
          </w:p>
        </w:tc>
        <w:tc>
          <w:tcPr>
            <w:tcW w:w="859"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得分</w:t>
            </w:r>
          </w:p>
        </w:tc>
        <w:tc>
          <w:tcPr>
            <w:tcW w:w="781"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5" w:type="dxa"/>
            <w:vAlign w:val="center"/>
          </w:tcPr>
          <w:p>
            <w:pPr>
              <w:snapToGrid w:val="0"/>
              <w:spacing w:line="360" w:lineRule="auto"/>
              <w:ind w:firstLine="420" w:firstLineChars="200"/>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999"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r>
              <w:rPr>
                <w:rFonts w:hint="eastAsia" w:ascii="Times New Roman" w:hAnsi="Times New Roman" w:eastAsia="仿宋"/>
                <w:sz w:val="21"/>
                <w:szCs w:val="21"/>
              </w:rPr>
              <w:t>PF</w:t>
            </w:r>
            <w:r>
              <w:rPr>
                <w:rFonts w:hint="eastAsia" w:ascii="Times New Roman" w:hAnsi="Times New Roman" w:eastAsia="仿宋"/>
                <w:sz w:val="21"/>
                <w:szCs w:val="21"/>
                <w:lang w:val="en-US" w:eastAsia="zh-CN"/>
              </w:rPr>
              <w:t>）</w:t>
            </w:r>
          </w:p>
        </w:tc>
        <w:tc>
          <w:tcPr>
            <w:tcW w:w="1341" w:type="dxa"/>
            <w:vAlign w:val="center"/>
          </w:tcPr>
          <w:p>
            <w:pPr>
              <w:snapToGrid w:val="0"/>
              <w:spacing w:line="360" w:lineRule="auto"/>
              <w:ind w:firstLine="105" w:firstLineChars="50"/>
              <w:jc w:val="center"/>
              <w:rPr>
                <w:rFonts w:hint="eastAsia" w:ascii="Times New Roman" w:hAnsi="Times New Roman" w:eastAsia="仿宋"/>
                <w:sz w:val="21"/>
                <w:szCs w:val="21"/>
              </w:rPr>
            </w:pPr>
            <w:r>
              <w:rPr>
                <w:rFonts w:ascii="Times New Roman" w:hAnsi="Times New Roman" w:eastAsia="仿宋"/>
                <w:sz w:val="21"/>
                <w:szCs w:val="21"/>
              </w:rPr>
              <w:t>报价</w:t>
            </w:r>
          </w:p>
        </w:tc>
        <w:tc>
          <w:tcPr>
            <w:tcW w:w="655" w:type="dxa"/>
            <w:vAlign w:val="center"/>
          </w:tcPr>
          <w:p>
            <w:pPr>
              <w:snapToGrid w:val="0"/>
              <w:spacing w:line="360" w:lineRule="auto"/>
              <w:jc w:val="both"/>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80分</w:t>
            </w:r>
          </w:p>
        </w:tc>
        <w:tc>
          <w:tcPr>
            <w:tcW w:w="4347" w:type="dxa"/>
            <w:vAlign w:val="top"/>
          </w:tcPr>
          <w:p>
            <w:pPr>
              <w:snapToGrid w:val="0"/>
              <w:spacing w:line="360" w:lineRule="auto"/>
              <w:ind w:firstLine="420" w:firstLineChars="200"/>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评委将按下列方法计算合格参比人的报价部分得分，计算分数时四舍五入取小数点后2位数（注：投标人填报下浮率应保留两位小数）：“各类设备专业检测费用” “手持对讲设备的维修费用” “应急服务费用”基准单价（含税/元）填报统一的下浮率L评分。</w:t>
            </w:r>
          </w:p>
          <w:p>
            <w:pPr>
              <w:snapToGrid w:val="0"/>
              <w:spacing w:line="360" w:lineRule="auto"/>
              <w:ind w:firstLine="1470" w:firstLineChars="700"/>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1-B基准</w:t>
            </w:r>
          </w:p>
          <w:p>
            <w:pPr>
              <w:snapToGrid w:val="0"/>
              <w:spacing w:line="360" w:lineRule="auto"/>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 xml:space="preserve">       PF＝ —————————×80</w:t>
            </w:r>
          </w:p>
          <w:p>
            <w:pPr>
              <w:snapToGrid w:val="0"/>
              <w:spacing w:line="360" w:lineRule="auto"/>
              <w:ind w:firstLine="1680" w:firstLineChars="800"/>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1-Bn</w:t>
            </w:r>
          </w:p>
          <w:p>
            <w:pPr>
              <w:snapToGrid w:val="0"/>
              <w:spacing w:line="360" w:lineRule="auto"/>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式中：①Bn --- 进入报价部分评分的各合格参比人的L评选价；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 xml:space="preserve">②B基准---进入报价部分评分的各合格参比人的L评选价最高值。   </w:t>
            </w:r>
          </w:p>
        </w:tc>
        <w:tc>
          <w:tcPr>
            <w:tcW w:w="859" w:type="dxa"/>
            <w:vAlign w:val="top"/>
          </w:tcPr>
          <w:p>
            <w:pPr>
              <w:snapToGrid w:val="0"/>
              <w:ind w:firstLine="560" w:firstLineChars="0"/>
              <w:jc w:val="center"/>
              <w:rPr>
                <w:rFonts w:hint="eastAsia" w:ascii="Times New Roman" w:hAnsi="Times New Roman" w:eastAsia="仿宋"/>
                <w:sz w:val="21"/>
                <w:szCs w:val="21"/>
                <w:lang w:val="en-US" w:eastAsia="zh-CN"/>
              </w:rPr>
            </w:pPr>
          </w:p>
        </w:tc>
        <w:tc>
          <w:tcPr>
            <w:tcW w:w="781" w:type="dxa"/>
            <w:vAlign w:val="top"/>
          </w:tcPr>
          <w:p>
            <w:pPr>
              <w:snapToGrid w:val="0"/>
              <w:ind w:firstLine="560" w:firstLineChars="0"/>
              <w:jc w:val="center"/>
              <w:rPr>
                <w:rFonts w:hint="eastAsia" w:ascii="Times New Roman" w:hAnsi="Times New Roman"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999" w:type="dxa"/>
            <w:vMerge w:val="restart"/>
            <w:vAlign w:val="center"/>
          </w:tcPr>
          <w:p>
            <w:pPr>
              <w:snapToGrid w:val="0"/>
              <w:spacing w:line="360" w:lineRule="auto"/>
              <w:jc w:val="center"/>
              <w:rPr>
                <w:rFonts w:hint="eastAsia"/>
                <w:lang w:val="en-US" w:eastAsia="zh-CN"/>
              </w:rPr>
            </w:pPr>
            <w:r>
              <w:rPr>
                <w:rFonts w:hint="eastAsia"/>
              </w:rPr>
              <w:t>技术</w:t>
            </w:r>
            <w:r>
              <w:rPr>
                <w:rFonts w:hint="eastAsia"/>
                <w:lang w:val="en-US" w:eastAsia="zh-CN"/>
              </w:rPr>
              <w:t>评分</w:t>
            </w:r>
          </w:p>
          <w:p>
            <w:pPr>
              <w:snapToGrid w:val="0"/>
              <w:spacing w:line="360" w:lineRule="auto"/>
              <w:jc w:val="center"/>
              <w:rPr>
                <w:rFonts w:hint="eastAsia"/>
                <w:lang w:eastAsia="zh-CN"/>
              </w:rPr>
            </w:pPr>
            <w:r>
              <w:rPr>
                <w:rFonts w:hint="eastAsia"/>
                <w:lang w:val="en-US" w:eastAsia="zh-CN"/>
              </w:rPr>
              <w:t>（</w:t>
            </w:r>
            <w:r>
              <w:rPr>
                <w:rFonts w:hint="eastAsia" w:ascii="Times New Roman" w:hAnsi="Times New Roman" w:eastAsia="仿宋"/>
                <w:sz w:val="21"/>
                <w:szCs w:val="21"/>
                <w:lang w:val="en-US" w:eastAsia="zh-CN"/>
              </w:rPr>
              <w:t>20分</w:t>
            </w:r>
            <w:r>
              <w:rPr>
                <w:rFonts w:hint="eastAsia"/>
                <w:lang w:val="en-US" w:eastAsia="zh-CN"/>
              </w:rPr>
              <w:t>）</w:t>
            </w:r>
          </w:p>
        </w:tc>
        <w:tc>
          <w:tcPr>
            <w:tcW w:w="1341" w:type="dxa"/>
            <w:vAlign w:val="center"/>
          </w:tcPr>
          <w:p>
            <w:pPr>
              <w:snapToGrid w:val="0"/>
              <w:spacing w:line="360" w:lineRule="auto"/>
              <w:jc w:val="center"/>
              <w:rPr>
                <w:rFonts w:hint="eastAsia" w:ascii="Times New Roman" w:hAnsi="Times New Roman" w:eastAsia="仿宋" w:cs="宋体"/>
                <w:sz w:val="21"/>
                <w:szCs w:val="21"/>
                <w:lang w:val="en-US" w:eastAsia="zh-CN"/>
              </w:rPr>
            </w:pPr>
          </w:p>
          <w:p>
            <w:pPr>
              <w:snapToGrid w:val="0"/>
              <w:spacing w:line="360" w:lineRule="auto"/>
              <w:jc w:val="center"/>
              <w:rPr>
                <w:rFonts w:hint="eastAsia" w:ascii="Times New Roman" w:hAnsi="Times New Roman" w:eastAsia="仿宋" w:cs="宋体"/>
                <w:sz w:val="21"/>
                <w:szCs w:val="21"/>
                <w:lang w:val="en-US" w:eastAsia="zh-CN"/>
              </w:rPr>
            </w:pPr>
            <w:r>
              <w:rPr>
                <w:rFonts w:hint="eastAsia" w:ascii="Times New Roman" w:hAnsi="Times New Roman" w:eastAsia="仿宋" w:cs="宋体"/>
                <w:sz w:val="21"/>
                <w:szCs w:val="21"/>
                <w:lang w:val="en-US" w:eastAsia="zh-CN"/>
              </w:rPr>
              <w:t>资质等级</w:t>
            </w:r>
            <w:r>
              <w:rPr>
                <w:rFonts w:hint="eastAsia" w:ascii="Times New Roman" w:hAnsi="Times New Roman" w:eastAsia="仿宋" w:cs="宋体"/>
                <w:b/>
                <w:bCs/>
                <w:sz w:val="21"/>
                <w:szCs w:val="21"/>
                <w:lang w:val="en-US" w:eastAsia="zh-CN"/>
              </w:rPr>
              <w:t>（否决项）</w:t>
            </w:r>
          </w:p>
          <w:p>
            <w:pPr>
              <w:pStyle w:val="2"/>
              <w:jc w:val="center"/>
              <w:rPr>
                <w:rFonts w:hint="default"/>
                <w:lang w:val="en-US" w:eastAsia="zh-CN"/>
              </w:rPr>
            </w:pPr>
          </w:p>
        </w:tc>
        <w:tc>
          <w:tcPr>
            <w:tcW w:w="655" w:type="dxa"/>
            <w:vAlign w:val="center"/>
          </w:tcPr>
          <w:p>
            <w:pPr>
              <w:jc w:val="center"/>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t>
            </w:r>
          </w:p>
        </w:tc>
        <w:tc>
          <w:tcPr>
            <w:tcW w:w="4347" w:type="dxa"/>
            <w:vAlign w:val="center"/>
          </w:tcPr>
          <w:p>
            <w:pPr>
              <w:numPr>
                <w:ilvl w:val="0"/>
                <w:numId w:val="0"/>
              </w:numPr>
              <w:rPr>
                <w:rFonts w:hint="default" w:ascii="Times New Roman" w:hAnsi="Times New Roman" w:eastAsia="仿宋"/>
                <w:b w:val="0"/>
                <w:bCs w:val="0"/>
                <w:sz w:val="21"/>
                <w:szCs w:val="21"/>
                <w:lang w:val="en-US"/>
              </w:rPr>
            </w:pPr>
            <w:r>
              <w:rPr>
                <w:rFonts w:hint="eastAsia" w:ascii="Times New Roman" w:hAnsi="Times New Roman" w:eastAsia="仿宋" w:cs="宋体"/>
                <w:b w:val="0"/>
                <w:bCs w:val="0"/>
                <w:sz w:val="21"/>
                <w:szCs w:val="21"/>
                <w:lang w:val="en-US" w:eastAsia="zh-CN"/>
              </w:rPr>
              <w:t>参比人持有摩托罗拉对讲机维修售后服务授权代理证或防爆对讲机维护能力认定证书（有效期内），</w:t>
            </w:r>
            <w:r>
              <w:rPr>
                <w:rFonts w:hint="eastAsia" w:ascii="Times New Roman" w:hAnsi="Times New Roman" w:eastAsia="仿宋" w:cs="宋体"/>
                <w:b/>
                <w:bCs/>
                <w:sz w:val="21"/>
                <w:szCs w:val="21"/>
                <w:lang w:val="en-US" w:eastAsia="zh-CN"/>
              </w:rPr>
              <w:t>无摩托罗拉维修授权证书或防爆对讲机维护能力认定证书判定为不合格供应商。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vAlign w:val="center"/>
          </w:tcPr>
          <w:p>
            <w:pPr>
              <w:snapToGrid w:val="0"/>
              <w:spacing w:line="360" w:lineRule="auto"/>
              <w:ind w:firstLine="420" w:firstLineChars="200"/>
              <w:jc w:val="center"/>
              <w:rPr>
                <w:rFonts w:hint="eastAsia" w:ascii="Times New Roman" w:hAnsi="Times New Roman" w:eastAsia="仿宋"/>
                <w:sz w:val="21"/>
                <w:szCs w:val="21"/>
                <w:lang w:val="en-US" w:eastAsia="zh-CN"/>
              </w:rPr>
            </w:pPr>
          </w:p>
        </w:tc>
        <w:tc>
          <w:tcPr>
            <w:tcW w:w="999" w:type="dxa"/>
            <w:vMerge w:val="continue"/>
            <w:vAlign w:val="center"/>
          </w:tcPr>
          <w:p>
            <w:pPr>
              <w:snapToGrid w:val="0"/>
              <w:spacing w:line="360" w:lineRule="auto"/>
              <w:jc w:val="center"/>
              <w:rPr>
                <w:rFonts w:hint="eastAsia"/>
                <w:lang w:val="en-US" w:eastAsia="zh-CN"/>
              </w:rPr>
            </w:pPr>
          </w:p>
        </w:tc>
        <w:tc>
          <w:tcPr>
            <w:tcW w:w="1341" w:type="dxa"/>
            <w:vAlign w:val="center"/>
          </w:tcPr>
          <w:p>
            <w:pPr>
              <w:pStyle w:val="2"/>
              <w:jc w:val="center"/>
              <w:rPr>
                <w:rFonts w:hint="default"/>
                <w:lang w:val="en-US" w:eastAsia="zh-CN"/>
              </w:rPr>
            </w:pPr>
            <w:r>
              <w:rPr>
                <w:rFonts w:hint="eastAsia" w:ascii="Times New Roman" w:hAnsi="Times New Roman" w:eastAsia="仿宋" w:cs="宋体"/>
                <w:sz w:val="21"/>
                <w:szCs w:val="21"/>
                <w:lang w:val="en-US" w:eastAsia="zh-CN" w:bidi="ar-SA"/>
              </w:rPr>
              <w:t>服务响应时间</w:t>
            </w:r>
          </w:p>
        </w:tc>
        <w:tc>
          <w:tcPr>
            <w:tcW w:w="655" w:type="dxa"/>
            <w:vAlign w:val="center"/>
          </w:tcPr>
          <w:p>
            <w:pPr>
              <w:jc w:val="center"/>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5分</w:t>
            </w:r>
          </w:p>
        </w:tc>
        <w:tc>
          <w:tcPr>
            <w:tcW w:w="4347" w:type="dxa"/>
            <w:vAlign w:val="center"/>
          </w:tcPr>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 xml:space="preserve">1、接到业主通知后，针对本项目维护服务响应时间4小时内到达现场（5分）； </w:t>
            </w:r>
          </w:p>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2、接到业主通知后，针对本项目维护服务响应时间4~8小时内到达现场（3分）；</w:t>
            </w:r>
          </w:p>
          <w:p>
            <w:pPr>
              <w:numPr>
                <w:ilvl w:val="0"/>
                <w:numId w:val="0"/>
              </w:numPr>
              <w:rPr>
                <w:rFonts w:hint="eastAsia" w:ascii="Times New Roman" w:hAnsi="Times New Roman" w:eastAsia="仿宋" w:cs="宋体"/>
                <w:b/>
                <w:bCs/>
                <w:sz w:val="21"/>
                <w:szCs w:val="21"/>
                <w:lang w:val="en-US" w:eastAsia="zh-CN"/>
              </w:rPr>
            </w:pPr>
            <w:r>
              <w:rPr>
                <w:rFonts w:hint="eastAsia" w:ascii="Times New Roman" w:hAnsi="Times New Roman" w:eastAsia="仿宋" w:cs="宋体"/>
                <w:b w:val="0"/>
                <w:bCs w:val="0"/>
                <w:sz w:val="21"/>
                <w:szCs w:val="21"/>
                <w:lang w:val="en-US" w:eastAsia="zh-CN"/>
              </w:rPr>
              <w:t>3、接到业主通知后，针对本项目维护服务响应时间24小时内到达现场得1分。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999" w:type="dxa"/>
            <w:vMerge w:val="continue"/>
          </w:tcPr>
          <w:p>
            <w:pPr>
              <w:snapToGrid w:val="0"/>
              <w:spacing w:line="360" w:lineRule="auto"/>
              <w:rPr>
                <w:rFonts w:hint="eastAsia" w:ascii="Times New Roman" w:hAnsi="Times New Roman" w:eastAsia="仿宋"/>
                <w:sz w:val="21"/>
                <w:szCs w:val="21"/>
              </w:rPr>
            </w:pPr>
          </w:p>
        </w:tc>
        <w:tc>
          <w:tcPr>
            <w:tcW w:w="1341" w:type="dxa"/>
            <w:vAlign w:val="center"/>
          </w:tcPr>
          <w:p>
            <w:pPr>
              <w:snapToGrid w:val="0"/>
              <w:spacing w:line="360" w:lineRule="auto"/>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综合实力</w:t>
            </w:r>
          </w:p>
        </w:tc>
        <w:tc>
          <w:tcPr>
            <w:tcW w:w="655" w:type="dxa"/>
            <w:vAlign w:val="center"/>
          </w:tcPr>
          <w:p>
            <w:pPr>
              <w:snapToGrid w:val="0"/>
              <w:spacing w:line="360" w:lineRule="auto"/>
              <w:jc w:val="center"/>
              <w:rPr>
                <w:rFonts w:hint="default" w:ascii="Times New Roman" w:hAnsi="Times New Roman" w:eastAsia="仿宋"/>
                <w:sz w:val="21"/>
                <w:szCs w:val="21"/>
                <w:lang w:val="en-US" w:eastAsia="zh-CN"/>
              </w:rPr>
            </w:pPr>
            <w:r>
              <w:rPr>
                <w:rFonts w:hint="eastAsia" w:ascii="Times New Roman" w:hAnsi="Times New Roman" w:eastAsia="仿宋" w:cs="Times New Roman"/>
                <w:b w:val="0"/>
                <w:bCs w:val="0"/>
                <w:sz w:val="21"/>
                <w:szCs w:val="21"/>
                <w:lang w:val="en-US" w:eastAsia="zh-CN"/>
              </w:rPr>
              <w:t>5分</w:t>
            </w:r>
          </w:p>
        </w:tc>
        <w:tc>
          <w:tcPr>
            <w:tcW w:w="4347" w:type="dxa"/>
            <w:vAlign w:val="center"/>
          </w:tcPr>
          <w:p>
            <w:pPr>
              <w:pStyle w:val="2"/>
              <w:numPr>
                <w:ilvl w:val="0"/>
                <w:numId w:val="0"/>
              </w:numP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参比人持有摩托罗拉普通销售代理1分；</w:t>
            </w:r>
          </w:p>
          <w:p>
            <w:pPr>
              <w:pStyle w:val="2"/>
              <w:numPr>
                <w:ilvl w:val="0"/>
                <w:numId w:val="0"/>
              </w:numP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银牌销售代理得3分；</w:t>
            </w:r>
          </w:p>
          <w:p>
            <w:pPr>
              <w:pStyle w:val="2"/>
              <w:numPr>
                <w:ilvl w:val="0"/>
                <w:numId w:val="0"/>
              </w:numPr>
              <w:rPr>
                <w:rFonts w:hint="default" w:ascii="Times New Roman" w:hAnsi="Times New Roman" w:eastAsia="仿宋" w:cs="宋体"/>
                <w:sz w:val="21"/>
                <w:szCs w:val="21"/>
                <w:lang w:val="en-US" w:eastAsia="zh-CN" w:bidi="ar-SA"/>
              </w:rPr>
            </w:pPr>
            <w:r>
              <w:rPr>
                <w:rFonts w:hint="eastAsia" w:ascii="Times New Roman" w:hAnsi="Times New Roman" w:eastAsia="仿宋"/>
                <w:sz w:val="21"/>
                <w:szCs w:val="21"/>
                <w:lang w:val="en-US" w:eastAsia="zh-CN"/>
              </w:rPr>
              <w:t>金牌销售代理得5分。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999" w:type="dxa"/>
            <w:vMerge w:val="continue"/>
          </w:tcPr>
          <w:p>
            <w:pPr>
              <w:snapToGrid w:val="0"/>
              <w:spacing w:line="360" w:lineRule="auto"/>
              <w:rPr>
                <w:rFonts w:hint="eastAsia" w:ascii="Times New Roman" w:hAnsi="Times New Roman" w:eastAsia="仿宋"/>
                <w:sz w:val="21"/>
                <w:szCs w:val="21"/>
              </w:rPr>
            </w:pPr>
          </w:p>
        </w:tc>
        <w:tc>
          <w:tcPr>
            <w:tcW w:w="1341"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lang w:val="en-US" w:eastAsia="zh-CN"/>
              </w:rPr>
              <w:t>业绩</w:t>
            </w:r>
          </w:p>
        </w:tc>
        <w:tc>
          <w:tcPr>
            <w:tcW w:w="655" w:type="dxa"/>
            <w:vAlign w:val="center"/>
          </w:tcPr>
          <w:p>
            <w:pPr>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b w:val="0"/>
                <w:bCs w:val="0"/>
                <w:sz w:val="21"/>
                <w:szCs w:val="21"/>
                <w:lang w:val="en-US" w:eastAsia="zh-CN"/>
              </w:rPr>
              <w:t>10分</w:t>
            </w:r>
          </w:p>
        </w:tc>
        <w:tc>
          <w:tcPr>
            <w:tcW w:w="4347" w:type="dxa"/>
            <w:vAlign w:val="center"/>
          </w:tcPr>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参比人石油化工企业无线通信系统设备维保合同或供货业绩：</w:t>
            </w:r>
          </w:p>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1、提供石油化工企业无线通讯系统供货合同得3分；</w:t>
            </w:r>
          </w:p>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2、提供石油化工企业无线通讯系统设备维保合同得5分；</w:t>
            </w:r>
          </w:p>
          <w:p>
            <w:pPr>
              <w:numPr>
                <w:ilvl w:val="0"/>
                <w:numId w:val="0"/>
              </w:numPr>
              <w:rPr>
                <w:rFonts w:hint="eastAsia" w:ascii="Times New Roman" w:hAnsi="Times New Roman" w:eastAsia="仿宋" w:cs="宋体"/>
                <w:b w:val="0"/>
                <w:bCs w:val="0"/>
                <w:sz w:val="21"/>
                <w:szCs w:val="21"/>
                <w:lang w:val="en-US" w:eastAsia="zh-CN"/>
              </w:rPr>
            </w:pPr>
            <w:r>
              <w:rPr>
                <w:rFonts w:hint="eastAsia" w:ascii="Times New Roman" w:hAnsi="Times New Roman" w:eastAsia="仿宋" w:cs="宋体"/>
                <w:b w:val="0"/>
                <w:bCs w:val="0"/>
                <w:sz w:val="21"/>
                <w:szCs w:val="21"/>
                <w:lang w:val="en-US" w:eastAsia="zh-CN"/>
              </w:rPr>
              <w:t>3、同时提供石油化工企业无线通信系统设备维保合同和供货业绩得10分。</w:t>
            </w:r>
          </w:p>
          <w:p>
            <w:pPr>
              <w:numPr>
                <w:ilvl w:val="0"/>
                <w:numId w:val="0"/>
              </w:numPr>
              <w:rPr>
                <w:rFonts w:hint="default" w:ascii="Times New Roman" w:hAnsi="Times New Roman" w:eastAsia="仿宋"/>
                <w:sz w:val="21"/>
                <w:szCs w:val="21"/>
              </w:rPr>
            </w:pPr>
            <w:r>
              <w:rPr>
                <w:rFonts w:hint="eastAsia" w:ascii="Times New Roman" w:hAnsi="Times New Roman" w:eastAsia="仿宋" w:cs="宋体"/>
                <w:b w:val="0"/>
                <w:bCs w:val="0"/>
                <w:sz w:val="21"/>
                <w:szCs w:val="21"/>
                <w:lang w:val="en-US" w:eastAsia="zh-CN"/>
              </w:rPr>
              <w:t>（业绩需要提供合同复印件加盖投标人公章并全部装订在投标文件中，原件备查）。</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tcPr>
          <w:p>
            <w:pPr>
              <w:snapToGrid w:val="0"/>
              <w:spacing w:line="360" w:lineRule="auto"/>
              <w:ind w:firstLine="420" w:firstLineChars="200"/>
              <w:rPr>
                <w:rFonts w:ascii="Times New Roman" w:hAnsi="Times New Roman" w:eastAsia="仿宋"/>
                <w:sz w:val="21"/>
                <w:szCs w:val="21"/>
              </w:rPr>
            </w:pPr>
          </w:p>
        </w:tc>
        <w:tc>
          <w:tcPr>
            <w:tcW w:w="7342"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c>
          <w:tcPr>
            <w:tcW w:w="859" w:type="dxa"/>
          </w:tcPr>
          <w:p>
            <w:pPr>
              <w:snapToGrid w:val="0"/>
              <w:spacing w:line="360" w:lineRule="auto"/>
              <w:ind w:firstLine="420" w:firstLineChars="200"/>
              <w:rPr>
                <w:rFonts w:ascii="Times New Roman" w:hAnsi="Times New Roman" w:eastAsia="仿宋"/>
                <w:sz w:val="21"/>
                <w:szCs w:val="21"/>
              </w:rPr>
            </w:pPr>
          </w:p>
        </w:tc>
        <w:tc>
          <w:tcPr>
            <w:tcW w:w="781" w:type="dxa"/>
          </w:tcPr>
          <w:p>
            <w:pPr>
              <w:snapToGrid w:val="0"/>
              <w:spacing w:line="360" w:lineRule="auto"/>
              <w:ind w:firstLine="420" w:firstLineChars="200"/>
              <w:rPr>
                <w:rFonts w:ascii="Times New Roman" w:hAnsi="Times New Roman" w:eastAsia="仿宋"/>
                <w:sz w:val="21"/>
                <w:szCs w:val="21"/>
              </w:rPr>
            </w:pPr>
          </w:p>
        </w:tc>
      </w:tr>
    </w:tbl>
    <w:p>
      <w:pPr>
        <w:pStyle w:val="2"/>
        <w:rPr>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w:t>
      </w:r>
      <w:r>
        <w:rPr>
          <w:rFonts w:hint="eastAsia"/>
          <w:lang w:eastAsia="zh-CN"/>
        </w:rPr>
        <w:t>询比</w:t>
      </w:r>
      <w:r>
        <w:rPr>
          <w:lang w:eastAsia="zh-CN"/>
        </w:rPr>
        <w:t>文件提出的实质性要求和条件，</w:t>
      </w:r>
      <w:r>
        <w:rPr>
          <w:rFonts w:hint="eastAsia"/>
          <w:lang w:eastAsia="zh-CN"/>
        </w:rPr>
        <w:t>参比</w:t>
      </w:r>
      <w:r>
        <w:rPr>
          <w:lang w:eastAsia="zh-CN"/>
        </w:rPr>
        <w:t>文件未能在实质上响应的。</w:t>
      </w:r>
    </w:p>
    <w:p>
      <w:pPr>
        <w:pStyle w:val="21"/>
        <w:spacing w:line="360" w:lineRule="auto"/>
        <w:ind w:right="121" w:firstLine="480" w:firstLineChars="200"/>
        <w:jc w:val="both"/>
        <w:rPr>
          <w:lang w:eastAsia="zh-CN"/>
        </w:rPr>
      </w:pPr>
      <w:r>
        <w:rPr>
          <w:lang w:eastAsia="zh-CN"/>
        </w:rPr>
        <w:t>2.</w:t>
      </w:r>
      <w:r>
        <w:rPr>
          <w:rFonts w:hint="eastAsia"/>
          <w:lang w:eastAsia="zh-CN"/>
        </w:rPr>
        <w:t>参比</w:t>
      </w:r>
      <w:r>
        <w:rPr>
          <w:lang w:eastAsia="zh-CN"/>
        </w:rPr>
        <w:t>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w:t>
      </w:r>
      <w:r>
        <w:rPr>
          <w:rFonts w:hint="eastAsia"/>
          <w:lang w:eastAsia="zh-CN"/>
        </w:rPr>
        <w:t>询比</w:t>
      </w:r>
      <w:r>
        <w:rPr>
          <w:lang w:eastAsia="zh-CN"/>
        </w:rPr>
        <w:t>人施加影响的。</w:t>
      </w:r>
    </w:p>
    <w:p>
      <w:pPr>
        <w:pStyle w:val="21"/>
        <w:spacing w:line="360" w:lineRule="auto"/>
        <w:ind w:right="121" w:firstLine="480" w:firstLineChars="200"/>
        <w:jc w:val="both"/>
        <w:rPr>
          <w:lang w:eastAsia="zh-CN"/>
        </w:rPr>
      </w:pPr>
      <w:r>
        <w:rPr>
          <w:rFonts w:hint="eastAsia"/>
          <w:lang w:eastAsia="zh-CN"/>
        </w:rPr>
        <w:t>4</w:t>
      </w:r>
      <w:r>
        <w:rPr>
          <w:lang w:eastAsia="zh-CN"/>
        </w:rPr>
        <w:t>.</w:t>
      </w:r>
      <w:r>
        <w:rPr>
          <w:rFonts w:hint="eastAsia"/>
          <w:lang w:eastAsia="zh-CN"/>
        </w:rPr>
        <w:t>参比</w:t>
      </w:r>
      <w:r>
        <w:rPr>
          <w:lang w:eastAsia="zh-CN"/>
        </w:rPr>
        <w:t>人串标、相互勾结故意压低标价以排挤竞争对手的公平竞争的，其</w:t>
      </w:r>
      <w:r>
        <w:rPr>
          <w:rFonts w:hint="eastAsia"/>
          <w:lang w:eastAsia="zh-CN"/>
        </w:rPr>
        <w:t>参比</w:t>
      </w:r>
      <w:r>
        <w:rPr>
          <w:lang w:eastAsia="zh-CN"/>
        </w:rPr>
        <w:t>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w:t>
      </w:r>
      <w:r>
        <w:rPr>
          <w:rFonts w:hint="eastAsia"/>
          <w:lang w:eastAsia="zh-CN"/>
        </w:rPr>
        <w:t>询比</w:t>
      </w:r>
      <w:r>
        <w:rPr>
          <w:lang w:eastAsia="zh-CN"/>
        </w:rPr>
        <w:t>人将在</w:t>
      </w:r>
      <w:r>
        <w:rPr>
          <w:rFonts w:hint="eastAsia"/>
          <w:lang w:eastAsia="zh-CN"/>
        </w:rPr>
        <w:t>参比</w:t>
      </w:r>
      <w:r>
        <w:rPr>
          <w:lang w:eastAsia="zh-CN"/>
        </w:rPr>
        <w:t>文件截止日期后另行择日组织</w:t>
      </w:r>
      <w:r>
        <w:rPr>
          <w:rFonts w:hint="eastAsia"/>
          <w:lang w:eastAsia="zh-CN"/>
        </w:rPr>
        <w:t>询比</w:t>
      </w:r>
      <w:r>
        <w:rPr>
          <w:lang w:eastAsia="zh-CN"/>
        </w:rPr>
        <w:t>会，</w:t>
      </w:r>
      <w:r>
        <w:rPr>
          <w:rFonts w:hint="eastAsia"/>
          <w:lang w:eastAsia="zh-CN"/>
        </w:rPr>
        <w:t>参比</w:t>
      </w:r>
      <w:r>
        <w:rPr>
          <w:lang w:eastAsia="zh-CN"/>
        </w:rPr>
        <w:t>人选定工作在</w:t>
      </w:r>
      <w:r>
        <w:rPr>
          <w:rFonts w:hint="eastAsia"/>
          <w:lang w:eastAsia="zh-CN"/>
        </w:rPr>
        <w:t>询比</w:t>
      </w:r>
      <w:r>
        <w:rPr>
          <w:lang w:eastAsia="zh-CN"/>
        </w:rPr>
        <w:t>人有关部门监督下，由</w:t>
      </w:r>
      <w:r>
        <w:rPr>
          <w:rFonts w:hint="eastAsia"/>
          <w:lang w:eastAsia="zh-CN"/>
        </w:rPr>
        <w:t>询比</w:t>
      </w:r>
      <w:r>
        <w:rPr>
          <w:lang w:eastAsia="zh-CN"/>
        </w:rPr>
        <w:t>人依法组建的评选委员会负责。</w:t>
      </w:r>
    </w:p>
    <w:p>
      <w:pPr>
        <w:pStyle w:val="21"/>
        <w:spacing w:line="360" w:lineRule="auto"/>
        <w:ind w:right="121" w:firstLine="480" w:firstLineChars="200"/>
        <w:jc w:val="both"/>
        <w:rPr>
          <w:lang w:eastAsia="zh-CN"/>
        </w:rPr>
      </w:pPr>
      <w:r>
        <w:rPr>
          <w:lang w:eastAsia="zh-CN"/>
        </w:rPr>
        <w:t>2.在开选时没有启封和读出的</w:t>
      </w:r>
      <w:r>
        <w:rPr>
          <w:rFonts w:hint="eastAsia"/>
          <w:lang w:eastAsia="zh-CN"/>
        </w:rPr>
        <w:t>参比</w:t>
      </w:r>
      <w:r>
        <w:rPr>
          <w:lang w:eastAsia="zh-CN"/>
        </w:rPr>
        <w:t>文件，在评选时将不予考虑。</w:t>
      </w:r>
    </w:p>
    <w:p>
      <w:pPr>
        <w:pStyle w:val="21"/>
        <w:spacing w:line="360" w:lineRule="auto"/>
        <w:ind w:right="121" w:firstLine="480" w:firstLineChars="200"/>
        <w:jc w:val="both"/>
        <w:rPr>
          <w:lang w:eastAsia="zh-CN"/>
        </w:rPr>
      </w:pPr>
      <w:r>
        <w:rPr>
          <w:lang w:eastAsia="zh-CN"/>
        </w:rPr>
        <w:t>3.</w:t>
      </w:r>
      <w:r>
        <w:rPr>
          <w:rFonts w:hint="eastAsia"/>
          <w:lang w:eastAsia="zh-CN"/>
        </w:rPr>
        <w:t>询比</w:t>
      </w:r>
      <w:r>
        <w:rPr>
          <w:lang w:eastAsia="zh-CN"/>
        </w:rPr>
        <w:t>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both"/>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pStyle w:val="2"/>
        <w:rPr>
          <w:b/>
          <w:w w:val="95"/>
          <w:sz w:val="28"/>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w:t>
      </w:r>
      <w:r>
        <w:rPr>
          <w:rFonts w:hint="eastAsia"/>
          <w:lang w:eastAsia="zh-CN"/>
        </w:rPr>
        <w:t>询比</w:t>
      </w:r>
      <w:r>
        <w:rPr>
          <w:lang w:eastAsia="zh-CN"/>
        </w:rPr>
        <w:t>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w:t>
      </w:r>
      <w:r>
        <w:rPr>
          <w:rFonts w:hint="eastAsia"/>
          <w:lang w:eastAsia="zh-CN"/>
        </w:rPr>
        <w:t>询比</w:t>
      </w:r>
      <w:r>
        <w:rPr>
          <w:lang w:eastAsia="zh-CN"/>
        </w:rPr>
        <w:t>将通知中选人，并将中选结果公示在</w:t>
      </w:r>
      <w:r>
        <w:rPr>
          <w:rFonts w:hint="eastAsia"/>
          <w:lang w:eastAsia="zh-CN"/>
        </w:rPr>
        <w:t>询比</w:t>
      </w:r>
      <w:r>
        <w:rPr>
          <w:lang w:eastAsia="zh-CN"/>
        </w:rPr>
        <w:t>人官网。</w:t>
      </w:r>
    </w:p>
    <w:p>
      <w:pPr>
        <w:pStyle w:val="21"/>
        <w:spacing w:line="360" w:lineRule="auto"/>
        <w:ind w:right="121" w:firstLine="480" w:firstLineChars="200"/>
        <w:jc w:val="both"/>
        <w:rPr>
          <w:lang w:eastAsia="zh-CN"/>
        </w:rPr>
      </w:pPr>
      <w:r>
        <w:rPr>
          <w:lang w:eastAsia="zh-CN"/>
        </w:rPr>
        <w:t>3.中选通知对</w:t>
      </w:r>
      <w:r>
        <w:rPr>
          <w:rFonts w:hint="eastAsia"/>
          <w:lang w:eastAsia="zh-CN"/>
        </w:rPr>
        <w:t>询比</w:t>
      </w:r>
      <w:r>
        <w:rPr>
          <w:lang w:eastAsia="zh-CN"/>
        </w:rPr>
        <w:t>人和</w:t>
      </w:r>
      <w:r>
        <w:rPr>
          <w:rFonts w:hint="eastAsia"/>
          <w:lang w:eastAsia="zh-CN"/>
        </w:rPr>
        <w:t>参比</w:t>
      </w:r>
      <w:r>
        <w:rPr>
          <w:lang w:eastAsia="zh-CN"/>
        </w:rPr>
        <w:t>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ascii="Times New Roman" w:hAnsi="Times New Roman" w:eastAsia="宋体" w:cs="Times New Roman"/>
          <w:color w:val="FF0000"/>
        </w:rPr>
        <w:t>腾龙芳烃（漳州）有限公司、翔鹭石化（漳州）有限公司、翔鹭码头投资管理（漳州）有限公司</w:t>
      </w:r>
      <w:r>
        <w:rPr>
          <w:rStyle w:val="51"/>
          <w:rFonts w:hint="eastAsia" w:ascii="Times New Roman" w:hAnsi="Times New Roman" w:eastAsia="宋体" w:cs="Times New Roman"/>
          <w:color w:val="FF0000"/>
          <w:lang w:eastAsia="zh-CN"/>
        </w:rPr>
        <w:t>”作</w:t>
      </w:r>
      <w:r>
        <w:rPr>
          <w:rStyle w:val="51"/>
          <w:rFonts w:hint="eastAsia"/>
          <w:color w:val="FF0000"/>
          <w:lang w:eastAsia="zh-CN"/>
        </w:rPr>
        <w:t>为本合同执行主体，将于中选结果公示流程结束之日起30日内与中选人完成合同签订事宜</w:t>
      </w:r>
      <w:r>
        <w:rPr>
          <w:color w:val="FF0000"/>
          <w:lang w:eastAsia="zh-CN"/>
        </w:rPr>
        <w:t>。</w:t>
      </w:r>
      <w:r>
        <w:rPr>
          <w:lang w:eastAsia="zh-CN"/>
        </w:rPr>
        <w:t>若因中选单位原因未在规定的时间和地点与</w:t>
      </w:r>
      <w:r>
        <w:rPr>
          <w:rFonts w:hint="eastAsia"/>
          <w:lang w:eastAsia="zh-CN"/>
        </w:rPr>
        <w:t>询比</w:t>
      </w:r>
      <w:r>
        <w:rPr>
          <w:lang w:eastAsia="zh-CN"/>
        </w:rPr>
        <w:t>人签署合同，</w:t>
      </w:r>
      <w:r>
        <w:rPr>
          <w:rFonts w:hint="eastAsia"/>
          <w:lang w:eastAsia="zh-CN"/>
        </w:rPr>
        <w:t>询比</w:t>
      </w:r>
      <w:r>
        <w:rPr>
          <w:lang w:eastAsia="zh-CN"/>
        </w:rPr>
        <w:t>人有权单方取消中选单位的资格。同时，由此给</w:t>
      </w:r>
      <w:r>
        <w:rPr>
          <w:rFonts w:hint="eastAsia"/>
          <w:lang w:eastAsia="zh-CN"/>
        </w:rPr>
        <w:t>询比</w:t>
      </w:r>
      <w:r>
        <w:rPr>
          <w:lang w:eastAsia="zh-CN"/>
        </w:rPr>
        <w:t>人造成的损失，</w:t>
      </w:r>
      <w:r>
        <w:rPr>
          <w:rFonts w:hint="eastAsia"/>
          <w:lang w:eastAsia="zh-CN"/>
        </w:rPr>
        <w:t>询比</w:t>
      </w:r>
      <w:r>
        <w:rPr>
          <w:lang w:eastAsia="zh-CN"/>
        </w:rPr>
        <w:t>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w:t>
      </w:r>
      <w:r>
        <w:rPr>
          <w:rFonts w:hint="eastAsia"/>
          <w:lang w:eastAsia="zh-CN"/>
        </w:rPr>
        <w:t>询比</w:t>
      </w:r>
      <w:r>
        <w:rPr>
          <w:lang w:eastAsia="zh-CN"/>
        </w:rPr>
        <w:t>人有权单方面取消中选单位的资格。并取消</w:t>
      </w:r>
      <w:r>
        <w:rPr>
          <w:rFonts w:hint="eastAsia"/>
          <w:lang w:eastAsia="zh-CN"/>
        </w:rPr>
        <w:t>参比</w:t>
      </w:r>
      <w:r>
        <w:rPr>
          <w:lang w:eastAsia="zh-CN"/>
        </w:rPr>
        <w:t>人三年内在</w:t>
      </w:r>
      <w:r>
        <w:rPr>
          <w:rFonts w:hint="eastAsia"/>
          <w:lang w:eastAsia="zh-CN"/>
        </w:rPr>
        <w:t>询比</w:t>
      </w:r>
      <w:r>
        <w:rPr>
          <w:lang w:eastAsia="zh-CN"/>
        </w:rPr>
        <w:t>人的业务中的</w:t>
      </w:r>
      <w:r>
        <w:rPr>
          <w:rFonts w:hint="eastAsia"/>
          <w:lang w:eastAsia="zh-CN"/>
        </w:rPr>
        <w:t>参比</w:t>
      </w:r>
      <w:r>
        <w:rPr>
          <w:lang w:eastAsia="zh-CN"/>
        </w:rPr>
        <w:t>资格，由此给</w:t>
      </w:r>
      <w:r>
        <w:rPr>
          <w:rFonts w:hint="eastAsia"/>
          <w:lang w:eastAsia="zh-CN"/>
        </w:rPr>
        <w:t>询比</w:t>
      </w:r>
      <w:r>
        <w:rPr>
          <w:lang w:eastAsia="zh-CN"/>
        </w:rPr>
        <w:t>人造成的损失，</w:t>
      </w:r>
      <w:r>
        <w:rPr>
          <w:rFonts w:hint="eastAsia"/>
          <w:lang w:eastAsia="zh-CN"/>
        </w:rPr>
        <w:t>询比</w:t>
      </w:r>
      <w:r>
        <w:rPr>
          <w:lang w:eastAsia="zh-CN"/>
        </w:rPr>
        <w:t>人有权追究中选方的全部责任。</w:t>
      </w:r>
    </w:p>
    <w:p>
      <w:pPr>
        <w:pStyle w:val="21"/>
        <w:spacing w:line="360" w:lineRule="auto"/>
        <w:ind w:right="121" w:firstLine="480" w:firstLineChars="200"/>
        <w:jc w:val="both"/>
        <w:rPr>
          <w:lang w:eastAsia="zh-CN"/>
        </w:rPr>
      </w:pPr>
      <w:r>
        <w:rPr>
          <w:lang w:eastAsia="zh-CN"/>
        </w:rPr>
        <w:t>5.</w:t>
      </w:r>
      <w:r>
        <w:rPr>
          <w:rFonts w:hint="eastAsia"/>
          <w:lang w:eastAsia="zh-CN"/>
        </w:rPr>
        <w:t>询比</w:t>
      </w:r>
      <w:r>
        <w:rPr>
          <w:lang w:eastAsia="zh-CN"/>
        </w:rPr>
        <w:t>文件与合同附件作为签订合同的条款，</w:t>
      </w:r>
      <w:r>
        <w:rPr>
          <w:rFonts w:hint="eastAsia"/>
          <w:lang w:eastAsia="zh-CN"/>
        </w:rPr>
        <w:t>询比</w:t>
      </w:r>
      <w:r>
        <w:rPr>
          <w:lang w:eastAsia="zh-CN"/>
        </w:rPr>
        <w:t xml:space="preserve">文件合同条款中没有规定的内容， </w:t>
      </w:r>
      <w:r>
        <w:rPr>
          <w:rFonts w:hint="eastAsia"/>
          <w:lang w:eastAsia="zh-CN"/>
        </w:rPr>
        <w:t>询比</w:t>
      </w:r>
      <w:r>
        <w:rPr>
          <w:lang w:eastAsia="zh-CN"/>
        </w:rPr>
        <w:t>人、</w:t>
      </w:r>
      <w:r>
        <w:rPr>
          <w:rFonts w:hint="eastAsia"/>
          <w:lang w:eastAsia="zh-CN"/>
        </w:rPr>
        <w:t>参比</w:t>
      </w:r>
      <w:r>
        <w:rPr>
          <w:lang w:eastAsia="zh-CN"/>
        </w:rPr>
        <w:t>人认为有必要进行补充，可另行商定解决。</w:t>
      </w:r>
    </w:p>
    <w:p>
      <w:pPr>
        <w:pStyle w:val="21"/>
        <w:spacing w:line="360" w:lineRule="auto"/>
        <w:ind w:right="121" w:firstLine="480" w:firstLineChars="200"/>
        <w:jc w:val="both"/>
        <w:rPr>
          <w:lang w:eastAsia="zh-CN"/>
        </w:rPr>
      </w:pPr>
      <w:r>
        <w:rPr>
          <w:lang w:eastAsia="zh-CN"/>
        </w:rPr>
        <w:t>6.接受和拒绝任何或所有</w:t>
      </w:r>
      <w:r>
        <w:rPr>
          <w:rFonts w:hint="eastAsia"/>
          <w:lang w:eastAsia="zh-CN"/>
        </w:rPr>
        <w:t>参比</w:t>
      </w:r>
      <w:r>
        <w:rPr>
          <w:lang w:eastAsia="zh-CN"/>
        </w:rPr>
        <w:t>的权利：</w:t>
      </w:r>
      <w:r>
        <w:rPr>
          <w:rFonts w:hint="eastAsia"/>
          <w:lang w:eastAsia="zh-CN"/>
        </w:rPr>
        <w:t>询比</w:t>
      </w:r>
      <w:r>
        <w:rPr>
          <w:lang w:eastAsia="zh-CN"/>
        </w:rPr>
        <w:t>机构和</w:t>
      </w:r>
      <w:r>
        <w:rPr>
          <w:rFonts w:hint="eastAsia"/>
          <w:lang w:eastAsia="zh-CN"/>
        </w:rPr>
        <w:t>询比</w:t>
      </w:r>
      <w:r>
        <w:rPr>
          <w:lang w:eastAsia="zh-CN"/>
        </w:rPr>
        <w:t>人保留在授标之前任何时候接受或拒绝任何</w:t>
      </w:r>
      <w:r>
        <w:rPr>
          <w:rFonts w:hint="eastAsia"/>
          <w:lang w:eastAsia="zh-CN"/>
        </w:rPr>
        <w:t>询比</w:t>
      </w:r>
      <w:r>
        <w:rPr>
          <w:lang w:eastAsia="zh-CN"/>
        </w:rPr>
        <w:t>，以及宣布</w:t>
      </w:r>
      <w:r>
        <w:rPr>
          <w:rFonts w:hint="eastAsia"/>
          <w:lang w:eastAsia="zh-CN"/>
        </w:rPr>
        <w:t>询比</w:t>
      </w:r>
      <w:r>
        <w:rPr>
          <w:lang w:eastAsia="zh-CN"/>
        </w:rPr>
        <w:t>程序无效或拒绝所有</w:t>
      </w:r>
      <w:r>
        <w:rPr>
          <w:rFonts w:hint="eastAsia"/>
          <w:lang w:eastAsia="zh-CN"/>
        </w:rPr>
        <w:t>参比</w:t>
      </w:r>
      <w:r>
        <w:rPr>
          <w:lang w:eastAsia="zh-CN"/>
        </w:rPr>
        <w:t>的权利，对受影响的</w:t>
      </w:r>
      <w:r>
        <w:rPr>
          <w:rFonts w:hint="eastAsia"/>
          <w:lang w:eastAsia="zh-CN"/>
        </w:rPr>
        <w:t>参比</w:t>
      </w:r>
      <w:r>
        <w:rPr>
          <w:lang w:eastAsia="zh-CN"/>
        </w:rPr>
        <w:t>人不承担任何责任。</w:t>
      </w:r>
    </w:p>
    <w:p>
      <w:pPr>
        <w:spacing w:line="360" w:lineRule="auto"/>
        <w:jc w:val="both"/>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w:t>
      </w:r>
      <w:r>
        <w:rPr>
          <w:rFonts w:hint="eastAsia"/>
          <w:lang w:eastAsia="zh-CN"/>
        </w:rPr>
        <w:t>询比</w:t>
      </w:r>
      <w:r>
        <w:rPr>
          <w:lang w:eastAsia="zh-CN"/>
        </w:rPr>
        <w:t>人的管理规定，不得影响</w:t>
      </w:r>
      <w:r>
        <w:rPr>
          <w:rFonts w:hint="eastAsia"/>
          <w:lang w:eastAsia="zh-CN"/>
        </w:rPr>
        <w:t>询比</w:t>
      </w:r>
      <w:r>
        <w:rPr>
          <w:lang w:eastAsia="zh-CN"/>
        </w:rPr>
        <w:t>人的生产运行，如有违反，取消中选单位的继续履行合同的资格，同时，由此给</w:t>
      </w:r>
      <w:r>
        <w:rPr>
          <w:rFonts w:hint="eastAsia"/>
          <w:lang w:eastAsia="zh-CN"/>
        </w:rPr>
        <w:t>询比</w:t>
      </w:r>
      <w:r>
        <w:rPr>
          <w:lang w:eastAsia="zh-CN"/>
        </w:rPr>
        <w:t>人造成的损失，</w:t>
      </w:r>
      <w:r>
        <w:rPr>
          <w:rFonts w:hint="eastAsia"/>
          <w:lang w:eastAsia="zh-CN"/>
        </w:rPr>
        <w:t>询比</w:t>
      </w:r>
      <w:r>
        <w:rPr>
          <w:lang w:eastAsia="zh-CN"/>
        </w:rPr>
        <w:t>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w:t>
      </w:r>
      <w:r>
        <w:rPr>
          <w:rFonts w:hint="eastAsia"/>
          <w:lang w:eastAsia="zh-CN"/>
        </w:rPr>
        <w:t>询比</w:t>
      </w:r>
      <w:r>
        <w:rPr>
          <w:lang w:eastAsia="zh-CN"/>
        </w:rPr>
        <w:t>人的各项管理规章制度。如违反相关条例者则按福建福海创石油化工有限公司相应条款进行处罚。</w:t>
      </w: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w:t>
      </w:r>
      <w:r>
        <w:rPr>
          <w:rFonts w:hint="eastAsia"/>
          <w:lang w:eastAsia="zh-CN"/>
        </w:rPr>
        <w:t>参比</w:t>
      </w:r>
      <w:r>
        <w:rPr>
          <w:lang w:eastAsia="zh-CN"/>
        </w:rPr>
        <w:t>人的</w:t>
      </w:r>
      <w:r>
        <w:rPr>
          <w:rFonts w:hint="eastAsia"/>
          <w:lang w:eastAsia="zh-CN"/>
        </w:rPr>
        <w:t>参比</w:t>
      </w:r>
      <w:r>
        <w:rPr>
          <w:lang w:eastAsia="zh-CN"/>
        </w:rPr>
        <w:t>文件无论其是否中选，均不退回。</w:t>
      </w:r>
    </w:p>
    <w:p>
      <w:pPr>
        <w:pStyle w:val="21"/>
        <w:spacing w:line="360" w:lineRule="auto"/>
        <w:ind w:right="121" w:firstLine="480" w:firstLineChars="200"/>
        <w:jc w:val="both"/>
        <w:rPr>
          <w:lang w:eastAsia="zh-CN"/>
        </w:rPr>
      </w:pPr>
      <w:r>
        <w:rPr>
          <w:lang w:eastAsia="zh-CN"/>
        </w:rPr>
        <w:t>2.</w:t>
      </w:r>
      <w:r>
        <w:rPr>
          <w:rFonts w:hint="eastAsia"/>
          <w:lang w:eastAsia="zh-CN"/>
        </w:rPr>
        <w:t>询比</w:t>
      </w:r>
      <w:r>
        <w:rPr>
          <w:lang w:eastAsia="zh-CN"/>
        </w:rPr>
        <w:t>人郑重承诺：</w:t>
      </w:r>
      <w:r>
        <w:rPr>
          <w:rFonts w:hint="eastAsia"/>
          <w:lang w:eastAsia="zh-CN"/>
        </w:rPr>
        <w:t>参比</w:t>
      </w:r>
      <w:r>
        <w:rPr>
          <w:lang w:eastAsia="zh-CN"/>
        </w:rPr>
        <w:t>人所提交的</w:t>
      </w:r>
      <w:r>
        <w:rPr>
          <w:rFonts w:hint="eastAsia"/>
          <w:lang w:eastAsia="zh-CN"/>
        </w:rPr>
        <w:t>参比</w:t>
      </w:r>
      <w:r>
        <w:rPr>
          <w:lang w:eastAsia="zh-CN"/>
        </w:rPr>
        <w:t>文件及相关资料不向第三方泄露。</w:t>
      </w:r>
    </w:p>
    <w:p>
      <w:pPr>
        <w:pStyle w:val="21"/>
        <w:spacing w:line="360" w:lineRule="auto"/>
        <w:ind w:right="121" w:firstLine="480" w:firstLineChars="200"/>
        <w:jc w:val="both"/>
        <w:rPr>
          <w:lang w:eastAsia="zh-CN"/>
        </w:rPr>
        <w:sectPr>
          <w:footerReference r:id="rId5" w:type="default"/>
          <w:pgSz w:w="11910" w:h="16840"/>
          <w:pgMar w:top="1500" w:right="1020" w:bottom="740" w:left="1300" w:header="0" w:footer="551" w:gutter="0"/>
          <w:cols w:space="720" w:num="1"/>
        </w:sectPr>
      </w:pPr>
      <w:r>
        <w:rPr>
          <w:lang w:eastAsia="zh-CN"/>
        </w:rPr>
        <w:t>3.本</w:t>
      </w:r>
      <w:r>
        <w:rPr>
          <w:rFonts w:hint="eastAsia"/>
          <w:lang w:eastAsia="zh-CN"/>
        </w:rPr>
        <w:t>询比</w:t>
      </w:r>
      <w:r>
        <w:rPr>
          <w:lang w:eastAsia="zh-CN"/>
        </w:rPr>
        <w:t>文件的解释权归福建福海创石油化工有限公司</w:t>
      </w:r>
    </w:p>
    <w:p>
      <w:pPr>
        <w:pStyle w:val="2"/>
        <w:rPr>
          <w:b/>
          <w:bCs/>
          <w:sz w:val="24"/>
          <w:szCs w:val="24"/>
        </w:rPr>
      </w:pPr>
      <w:bookmarkStart w:id="1" w:name="_Toc251742852"/>
      <w:r>
        <w:rPr>
          <w:rFonts w:hint="eastAsia"/>
          <w:b/>
          <w:bCs/>
          <w:sz w:val="24"/>
          <w:szCs w:val="24"/>
        </w:rPr>
        <w:t>附件</w:t>
      </w:r>
      <w:r>
        <w:rPr>
          <w:rFonts w:hint="eastAsia"/>
          <w:b/>
          <w:bCs/>
          <w:sz w:val="24"/>
          <w:szCs w:val="24"/>
          <w:lang w:val="en-US" w:eastAsia="zh-CN"/>
        </w:rPr>
        <w:t>一</w:t>
      </w:r>
      <w:r>
        <w:rPr>
          <w:rFonts w:hint="eastAsia"/>
          <w:b/>
          <w:bCs/>
          <w:sz w:val="24"/>
          <w:szCs w:val="24"/>
        </w:rPr>
        <w:t>、</w:t>
      </w:r>
      <w:r>
        <w:rPr>
          <w:rFonts w:hint="eastAsia"/>
          <w:b/>
          <w:bCs/>
          <w:sz w:val="24"/>
          <w:szCs w:val="24"/>
          <w:lang w:eastAsia="zh-CN"/>
        </w:rPr>
        <w:t>参比</w:t>
      </w:r>
      <w:r>
        <w:rPr>
          <w:rFonts w:hint="eastAsia"/>
          <w:b/>
          <w:bCs/>
          <w:sz w:val="24"/>
          <w:szCs w:val="24"/>
        </w:rPr>
        <w:t>文件范本</w:t>
      </w:r>
    </w:p>
    <w:p>
      <w:pPr>
        <w:pStyle w:val="26"/>
        <w:jc w:val="center"/>
        <w:rPr>
          <w:rFonts w:ascii="Times New Roman" w:hAnsi="Times New Roman"/>
          <w:b/>
          <w:sz w:val="52"/>
          <w:szCs w:val="52"/>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6"/>
        <w:spacing w:line="615" w:lineRule="exact"/>
        <w:jc w:val="center"/>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2025年~2028年对讲机维修及系统服务年约项目</w:t>
      </w:r>
    </w:p>
    <w:p>
      <w:pPr>
        <w:spacing w:line="1000" w:lineRule="exact"/>
        <w:jc w:val="center"/>
        <w:rPr>
          <w:b/>
          <w:sz w:val="44"/>
          <w:szCs w:val="44"/>
          <w:lang w:eastAsia="zh-CN"/>
        </w:rPr>
      </w:pPr>
      <w:r>
        <w:rPr>
          <w:rFonts w:hint="eastAsia"/>
          <w:b/>
          <w:sz w:val="44"/>
          <w:szCs w:val="44"/>
          <w:lang w:val="en-US" w:eastAsia="zh-CN"/>
        </w:rPr>
        <w:t>询</w:t>
      </w:r>
      <w:r>
        <w:rPr>
          <w:rFonts w:hint="eastAsia"/>
          <w:b/>
          <w:sz w:val="44"/>
          <w:szCs w:val="44"/>
          <w:lang w:eastAsia="zh-CN"/>
        </w:rPr>
        <w:t>比</w:t>
      </w:r>
      <w:r>
        <w:rPr>
          <w:b/>
          <w:sz w:val="44"/>
          <w:szCs w:val="44"/>
          <w:lang w:eastAsia="zh-CN"/>
        </w:rPr>
        <w:t>文件</w:t>
      </w:r>
    </w:p>
    <w:p>
      <w:pPr>
        <w:pStyle w:val="2"/>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6"/>
          <w:lang w:eastAsia="zh-CN"/>
        </w:rPr>
      </w:pPr>
    </w:p>
    <w:p>
      <w:pPr>
        <w:pStyle w:val="26"/>
        <w:rPr>
          <w:rFonts w:ascii="Times New Roman" w:hAnsi="Times New Roman"/>
          <w:b/>
          <w:bCs/>
          <w:sz w:val="32"/>
          <w:szCs w:val="36"/>
          <w:lang w:eastAsia="zh-CN"/>
        </w:rPr>
      </w:pPr>
    </w:p>
    <w:p>
      <w:pPr>
        <w:pStyle w:val="26"/>
        <w:rPr>
          <w:rFonts w:ascii="Times New Roman" w:hAnsi="Times New Roman"/>
          <w:b/>
          <w:bCs/>
          <w:sz w:val="32"/>
          <w:szCs w:val="36"/>
          <w:lang w:eastAsia="zh-CN"/>
        </w:rPr>
      </w:pPr>
    </w:p>
    <w:p>
      <w:pPr>
        <w:pStyle w:val="2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6"/>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1．参比人应按规定，向询比人递交参比文件，正本一份。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纸胶装或平装。所有参比文件应增加统一外层包封。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.凡因参比文件不按规定填写，或填写不清晰、不完整、或密封不合要求而引起的一切后果，由参比人自行负责。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.参比文件正本必须逐页或骑缝加盖参比人公章或由法人代表逐页签字方视为有效，同时应注明提交日期，否则视为废标。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5.技术文件与商务文件分开密封包装后一起邮寄，参比文件均需提供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6.在外层包封上应写明参比人的名称与地址、邮政编码，以便参比出现逾期送达时能原封退回。具体样式如下：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询比项目：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询比人名称：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参比</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eastAsia" w:eastAsia="宋体"/>
                <w:sz w:val="24"/>
                <w:lang w:val="en-US" w:eastAsia="zh-CN"/>
              </w:rPr>
            </w:pPr>
            <w:r>
              <w:rPr>
                <w:rFonts w:hint="eastAsia"/>
                <w:sz w:val="24"/>
              </w:rPr>
              <w:t>4</w:t>
            </w:r>
          </w:p>
        </w:tc>
        <w:tc>
          <w:tcPr>
            <w:tcW w:w="6023" w:type="dxa"/>
          </w:tcPr>
          <w:p>
            <w:pPr>
              <w:spacing w:line="500" w:lineRule="exact"/>
              <w:rPr>
                <w:rFonts w:hint="eastAsia"/>
                <w:sz w:val="24"/>
              </w:rPr>
            </w:pPr>
            <w:r>
              <w:rPr>
                <w:rFonts w:hint="eastAsia"/>
                <w:sz w:val="24"/>
              </w:rPr>
              <w:t>摩托罗拉对讲机维修售后服务授权</w:t>
            </w:r>
            <w:r>
              <w:rPr>
                <w:rFonts w:hint="eastAsia"/>
                <w:sz w:val="24"/>
                <w:lang w:val="en-US" w:eastAsia="zh-CN"/>
              </w:rPr>
              <w:t>代理证</w:t>
            </w:r>
            <w:r>
              <w:rPr>
                <w:rFonts w:hint="eastAsia"/>
                <w:sz w:val="24"/>
              </w:rPr>
              <w:t>或防爆对讲机维护能力认定证书（有效期内）。</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eastAsia"/>
                <w:sz w:val="24"/>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服务响应时间承诺函</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eastAsia" w:eastAsia="宋体"/>
                <w:sz w:val="24"/>
                <w:lang w:eastAsia="zh-CN"/>
              </w:rPr>
            </w:pPr>
            <w:r>
              <w:rPr>
                <w:rFonts w:hint="eastAsia"/>
                <w:sz w:val="24"/>
                <w:lang w:val="en-US" w:eastAsia="zh-CN"/>
              </w:rPr>
              <w:t>6</w:t>
            </w:r>
          </w:p>
        </w:tc>
        <w:tc>
          <w:tcPr>
            <w:tcW w:w="6023" w:type="dxa"/>
          </w:tcPr>
          <w:p>
            <w:pPr>
              <w:spacing w:line="500" w:lineRule="exact"/>
              <w:rPr>
                <w:rFonts w:hint="default" w:eastAsia="宋体"/>
                <w:sz w:val="24"/>
                <w:lang w:val="en-US" w:eastAsia="zh-CN"/>
              </w:rPr>
            </w:pPr>
            <w:r>
              <w:rPr>
                <w:rFonts w:hint="eastAsia"/>
                <w:sz w:val="24"/>
              </w:rPr>
              <w:t>摩托罗拉</w:t>
            </w:r>
            <w:r>
              <w:rPr>
                <w:rFonts w:hint="eastAsia"/>
                <w:sz w:val="24"/>
                <w:lang w:val="en-US" w:eastAsia="zh-CN"/>
              </w:rPr>
              <w:t>销售代理等级证书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default"/>
                <w:sz w:val="24"/>
                <w:lang w:val="en-US" w:eastAsia="zh-CN"/>
              </w:rPr>
            </w:pPr>
            <w:r>
              <w:rPr>
                <w:rFonts w:hint="eastAsia"/>
                <w:sz w:val="24"/>
                <w:lang w:val="en-US" w:eastAsia="zh-CN"/>
              </w:rPr>
              <w:t>7</w:t>
            </w:r>
          </w:p>
        </w:tc>
        <w:tc>
          <w:tcPr>
            <w:tcW w:w="6023" w:type="dxa"/>
          </w:tcPr>
          <w:p>
            <w:pPr>
              <w:pStyle w:val="207"/>
              <w:keepNext w:val="0"/>
              <w:keepLines w:val="0"/>
              <w:pageBreakBefore w:val="0"/>
              <w:kinsoku/>
              <w:wordWrap/>
              <w:overflowPunct/>
              <w:topLinePunct w:val="0"/>
              <w:bidi w:val="0"/>
              <w:snapToGrid/>
              <w:spacing w:line="360" w:lineRule="auto"/>
              <w:ind w:left="0" w:leftChars="0" w:right="0" w:firstLine="0" w:firstLineChars="0"/>
              <w:rPr>
                <w:rFonts w:hint="default" w:eastAsia="宋体"/>
                <w:sz w:val="24"/>
                <w:lang w:val="en-US" w:eastAsia="zh-CN"/>
              </w:rPr>
            </w:pPr>
            <w:r>
              <w:rPr>
                <w:rFonts w:hint="default" w:ascii="宋体" w:hAnsi="宋体" w:eastAsia="宋体" w:cs="宋体"/>
                <w:color w:val="000000" w:themeColor="text1"/>
                <w:kern w:val="0"/>
                <w:sz w:val="24"/>
                <w:szCs w:val="24"/>
                <w:lang w:val="en-US" w:eastAsia="zh-CN" w:bidi="ar-SA"/>
              </w:rPr>
              <w:t>石油化工企业无线通信系统设备维保</w:t>
            </w:r>
            <w:r>
              <w:rPr>
                <w:rFonts w:hint="eastAsia" w:ascii="宋体" w:hAnsi="宋体" w:cs="宋体"/>
                <w:color w:val="000000" w:themeColor="text1"/>
                <w:kern w:val="0"/>
                <w:sz w:val="24"/>
                <w:szCs w:val="24"/>
                <w:lang w:val="en-US" w:eastAsia="zh-CN" w:bidi="ar-SA"/>
              </w:rPr>
              <w:t>项目业绩或</w:t>
            </w:r>
            <w:r>
              <w:rPr>
                <w:rFonts w:hint="default" w:ascii="宋体" w:hAnsi="宋体" w:eastAsia="宋体" w:cs="宋体"/>
                <w:color w:val="000000" w:themeColor="text1"/>
                <w:kern w:val="0"/>
                <w:sz w:val="24"/>
                <w:szCs w:val="24"/>
                <w:lang w:val="en-US" w:eastAsia="zh-CN" w:bidi="ar-SA"/>
              </w:rPr>
              <w:t>供货业绩（需提供完整石油</w:t>
            </w:r>
            <w:r>
              <w:rPr>
                <w:rFonts w:hint="eastAsia" w:ascii="宋体" w:hAnsi="宋体" w:cs="宋体"/>
                <w:color w:val="000000" w:themeColor="text1"/>
                <w:kern w:val="0"/>
                <w:sz w:val="24"/>
                <w:szCs w:val="24"/>
                <w:lang w:val="en-US" w:eastAsia="zh-CN" w:bidi="ar-SA"/>
              </w:rPr>
              <w:t>化工</w:t>
            </w:r>
            <w:r>
              <w:rPr>
                <w:rFonts w:hint="default" w:ascii="宋体" w:hAnsi="宋体" w:eastAsia="宋体" w:cs="宋体"/>
                <w:color w:val="000000" w:themeColor="text1"/>
                <w:kern w:val="0"/>
                <w:sz w:val="24"/>
                <w:szCs w:val="24"/>
                <w:lang w:val="en-US" w:eastAsia="zh-CN" w:bidi="ar-SA"/>
              </w:rPr>
              <w:t>企业无线通信系统设备维修保养合同</w:t>
            </w:r>
            <w:r>
              <w:rPr>
                <w:rFonts w:hint="eastAsia" w:ascii="宋体" w:hAnsi="宋体" w:cs="宋体"/>
                <w:color w:val="000000" w:themeColor="text1"/>
                <w:kern w:val="0"/>
                <w:sz w:val="24"/>
                <w:szCs w:val="24"/>
                <w:lang w:val="en-US" w:eastAsia="zh-CN" w:bidi="ar-SA"/>
              </w:rPr>
              <w:t>或供货合同</w:t>
            </w:r>
            <w:r>
              <w:rPr>
                <w:rFonts w:hint="default" w:ascii="宋体" w:hAnsi="宋体" w:eastAsia="宋体" w:cs="宋体"/>
                <w:color w:val="000000" w:themeColor="text1"/>
                <w:kern w:val="0"/>
                <w:sz w:val="24"/>
                <w:szCs w:val="24"/>
                <w:lang w:val="en-US" w:eastAsia="zh-CN" w:bidi="ar-SA"/>
              </w:rPr>
              <w:t>，业绩合同复印件加盖</w:t>
            </w:r>
            <w:r>
              <w:rPr>
                <w:rFonts w:hint="eastAsia" w:ascii="宋体" w:hAnsi="宋体" w:eastAsia="宋体" w:cs="宋体"/>
                <w:color w:val="000000" w:themeColor="text1"/>
                <w:kern w:val="0"/>
                <w:sz w:val="24"/>
                <w:szCs w:val="24"/>
                <w:lang w:val="en-US" w:eastAsia="zh-CN" w:bidi="ar-SA"/>
              </w:rPr>
              <w:t>参比</w:t>
            </w:r>
            <w:r>
              <w:rPr>
                <w:rFonts w:hint="default" w:ascii="宋体" w:hAnsi="宋体" w:eastAsia="宋体" w:cs="宋体"/>
                <w:color w:val="000000" w:themeColor="text1"/>
                <w:kern w:val="0"/>
                <w:sz w:val="24"/>
                <w:szCs w:val="24"/>
                <w:lang w:val="en-US" w:eastAsia="zh-CN" w:bidi="ar-SA"/>
              </w:rPr>
              <w:t>人公章并全部装订在</w:t>
            </w:r>
            <w:r>
              <w:rPr>
                <w:rFonts w:hint="eastAsia" w:ascii="宋体" w:hAnsi="宋体" w:eastAsia="宋体" w:cs="宋体"/>
                <w:color w:val="000000" w:themeColor="text1"/>
                <w:kern w:val="0"/>
                <w:sz w:val="24"/>
                <w:szCs w:val="24"/>
                <w:lang w:val="en-US" w:eastAsia="zh-CN" w:bidi="ar-SA"/>
              </w:rPr>
              <w:t>参比</w:t>
            </w:r>
            <w:r>
              <w:rPr>
                <w:rFonts w:hint="default" w:ascii="宋体" w:hAnsi="宋体" w:eastAsia="宋体" w:cs="宋体"/>
                <w:color w:val="000000" w:themeColor="text1"/>
                <w:kern w:val="0"/>
                <w:sz w:val="24"/>
                <w:szCs w:val="24"/>
                <w:lang w:val="en-US" w:eastAsia="zh-CN" w:bidi="ar-SA"/>
              </w:rPr>
              <w:t xml:space="preserve">文件中，原件备查）。 </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rFonts w:hint="eastAsia"/>
                <w:sz w:val="24"/>
                <w:lang w:val="en-US" w:eastAsia="zh-CN"/>
              </w:rPr>
              <w:t>8</w:t>
            </w:r>
          </w:p>
        </w:tc>
        <w:tc>
          <w:tcPr>
            <w:tcW w:w="6023" w:type="dxa"/>
          </w:tcPr>
          <w:p>
            <w:pPr>
              <w:spacing w:line="500" w:lineRule="exact"/>
              <w:rPr>
                <w:sz w:val="24"/>
                <w:lang w:eastAsia="zh-CN"/>
              </w:rPr>
            </w:pPr>
            <w:r>
              <w:rPr>
                <w:rFonts w:hint="eastAsia"/>
                <w:sz w:val="24"/>
                <w:lang w:eastAsia="zh-CN"/>
              </w:rPr>
              <w:t>参比</w:t>
            </w:r>
            <w:r>
              <w:rPr>
                <w:rFonts w:hint="eastAsia"/>
                <w:sz w:val="24"/>
              </w:rPr>
              <w:t>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spacing w:line="500" w:lineRule="exact"/>
        <w:jc w:val="left"/>
        <w:rPr>
          <w:rFonts w:hint="default"/>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lang w:eastAsia="zh-CN"/>
        </w:rPr>
        <w:t>参比</w:t>
      </w:r>
      <w:r>
        <w:rPr>
          <w:rFonts w:hint="eastAsia"/>
          <w:b/>
          <w:bCs/>
          <w:sz w:val="36"/>
          <w:szCs w:val="36"/>
        </w:rPr>
        <w:t>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根据贵方的询比文件，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（1）参比文件</w:t>
      </w:r>
    </w:p>
    <w:p>
      <w:pPr>
        <w:spacing w:line="500" w:lineRule="exact"/>
        <w:ind w:firstLine="480" w:firstLineChars="200"/>
        <w:rPr>
          <w:sz w:val="24"/>
          <w:lang w:eastAsia="zh-CN"/>
        </w:rPr>
      </w:pPr>
      <w:r>
        <w:rPr>
          <w:rFonts w:hint="eastAsia"/>
          <w:sz w:val="24"/>
          <w:lang w:eastAsia="zh-CN"/>
        </w:rPr>
        <w:t>（2）参比报价单</w:t>
      </w:r>
    </w:p>
    <w:p>
      <w:pPr>
        <w:spacing w:line="500" w:lineRule="exact"/>
        <w:ind w:firstLine="480" w:firstLineChars="200"/>
        <w:rPr>
          <w:sz w:val="24"/>
          <w:lang w:eastAsia="zh-CN"/>
        </w:rPr>
      </w:pPr>
      <w:r>
        <w:rPr>
          <w:rFonts w:hint="eastAsia"/>
          <w:sz w:val="24"/>
          <w:lang w:eastAsia="zh-CN"/>
        </w:rPr>
        <w:t xml:space="preserve"> 据此参比书，我公司及法人代表宣布同意如下：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2、我方将履行询比文件规定的每一项要求：如业主中选，将严格按照服务合同约定履行各项义务。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3、我公司报价有效期为询比文件收取时间截止期后30个工作日，如中选，有效期将延长至合同执行完毕。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spacing w:line="500" w:lineRule="exact"/>
        <w:jc w:val="both"/>
        <w:rPr>
          <w:rFonts w:ascii="Times New Roman" w:hAnsi="Times New Roman" w:cs="Times New Roman"/>
          <w:b/>
          <w:bCs/>
          <w:sz w:val="36"/>
          <w:szCs w:val="36"/>
          <w:lang w:eastAsia="zh-CN"/>
        </w:rPr>
      </w:pPr>
      <w:r>
        <w:rPr>
          <w:rFonts w:hint="eastAsia" w:ascii="Times New Roman" w:hAnsi="Times New Roman" w:cs="Times New Roman"/>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left"/>
        <w:rPr>
          <w:rFonts w:hint="eastAsia"/>
          <w:b/>
          <w:bCs/>
          <w:sz w:val="36"/>
          <w:szCs w:val="36"/>
          <w:lang w:eastAsia="zh-CN"/>
        </w:rPr>
      </w:pPr>
      <w:r>
        <w:rPr>
          <w:rFonts w:hint="eastAsia"/>
          <w:b/>
          <w:bCs/>
          <w:sz w:val="36"/>
          <w:szCs w:val="36"/>
          <w:lang w:val="en-US" w:eastAsia="zh-CN"/>
        </w:rPr>
        <w:t>技术文件3、</w:t>
      </w: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left"/>
        <w:rPr>
          <w:rFonts w:hint="eastAsia"/>
          <w:b/>
          <w:bCs/>
          <w:sz w:val="36"/>
          <w:szCs w:val="36"/>
          <w:lang w:val="en-US" w:eastAsia="zh-CN"/>
        </w:rPr>
      </w:pPr>
      <w:r>
        <w:rPr>
          <w:rFonts w:hint="eastAsia"/>
          <w:b/>
          <w:bCs/>
          <w:sz w:val="36"/>
          <w:szCs w:val="36"/>
          <w:lang w:val="en-US" w:eastAsia="zh-CN"/>
        </w:rPr>
        <w:t>技术文件4、摩托罗拉对讲机维修售后服务授权代理证</w:t>
      </w:r>
      <w:bookmarkStart w:id="14" w:name="_GoBack"/>
      <w:bookmarkEnd w:id="14"/>
      <w:r>
        <w:rPr>
          <w:rFonts w:hint="eastAsia"/>
          <w:b/>
          <w:bCs/>
          <w:sz w:val="36"/>
          <w:szCs w:val="36"/>
          <w:lang w:val="en-US" w:eastAsia="zh-CN"/>
        </w:rPr>
        <w:t>或防爆对讲机维护能力认定证书（有效期内）</w:t>
      </w:r>
    </w:p>
    <w:p>
      <w:pPr>
        <w:pStyle w:val="2"/>
        <w:rPr>
          <w:b/>
          <w:bCs/>
          <w:sz w:val="36"/>
          <w:szCs w:val="36"/>
        </w:rPr>
      </w:pPr>
    </w:p>
    <w:p>
      <w:pPr>
        <w:pStyle w:val="2"/>
        <w:rPr>
          <w:b/>
          <w:bCs/>
          <w:sz w:val="36"/>
          <w:szCs w:val="36"/>
        </w:rPr>
      </w:pPr>
    </w:p>
    <w:p>
      <w:pPr>
        <w:pStyle w:val="2"/>
        <w:rPr>
          <w:b/>
          <w:bCs/>
          <w:sz w:val="36"/>
          <w:szCs w:val="36"/>
        </w:rPr>
      </w:pPr>
    </w:p>
    <w:p>
      <w:pPr>
        <w:pStyle w:val="2"/>
        <w:rPr>
          <w:rFonts w:hint="eastAsia"/>
          <w:b/>
          <w:bCs/>
          <w:sz w:val="36"/>
          <w:szCs w:val="36"/>
          <w:lang w:val="en-US" w:eastAsia="zh-CN"/>
        </w:rPr>
      </w:pPr>
      <w:r>
        <w:rPr>
          <w:rFonts w:hint="eastAsia"/>
          <w:b/>
          <w:bCs/>
          <w:sz w:val="36"/>
          <w:szCs w:val="36"/>
          <w:lang w:val="en-US" w:eastAsia="zh-CN"/>
        </w:rPr>
        <w:t>技术文件5、服务响应时间承诺函</w:t>
      </w: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default"/>
          <w:b/>
          <w:bCs/>
          <w:sz w:val="36"/>
          <w:szCs w:val="36"/>
          <w:lang w:val="en-US" w:eastAsia="zh-CN"/>
        </w:rPr>
      </w:pPr>
      <w:r>
        <w:rPr>
          <w:rFonts w:hint="eastAsia"/>
          <w:b/>
          <w:bCs/>
          <w:sz w:val="36"/>
          <w:szCs w:val="36"/>
          <w:lang w:val="en-US" w:eastAsia="zh-CN"/>
        </w:rPr>
        <w:t>技术文件6、摩托罗拉销售代理等级证书</w:t>
      </w:r>
    </w:p>
    <w:p>
      <w:pPr>
        <w:pStyle w:val="2"/>
        <w:rPr>
          <w:b/>
          <w:bCs/>
          <w:sz w:val="36"/>
          <w:szCs w:val="36"/>
        </w:rPr>
      </w:pPr>
    </w:p>
    <w:p>
      <w:pPr>
        <w:pStyle w:val="2"/>
        <w:rPr>
          <w:rFonts w:hint="default" w:eastAsia="宋体"/>
          <w:b/>
          <w:bCs/>
          <w:sz w:val="36"/>
          <w:szCs w:val="36"/>
          <w:lang w:val="en-US" w:eastAsia="zh-CN"/>
        </w:rPr>
      </w:pPr>
      <w:r>
        <w:rPr>
          <w:rFonts w:hint="eastAsia"/>
          <w:b/>
          <w:bCs/>
          <w:sz w:val="36"/>
          <w:szCs w:val="36"/>
          <w:lang w:val="en-US" w:eastAsia="zh-CN"/>
        </w:rPr>
        <w:t>技术文件7、石油化工企业无线通信系统设备维保项目业绩或供货业绩（需提供完整石油化工企业无线通信系统设备维修保养合同或供货合同，业绩合同复印件加盖参比人公章并全部装订在参比文件中，原件备查）</w:t>
      </w:r>
    </w:p>
    <w:p>
      <w:pPr>
        <w:pStyle w:val="2"/>
        <w:jc w:val="both"/>
      </w:pPr>
    </w:p>
    <w:p>
      <w:pPr>
        <w:jc w:val="both"/>
        <w:rPr>
          <w:rFonts w:hint="default"/>
          <w:b/>
          <w:sz w:val="36"/>
          <w:szCs w:val="36"/>
          <w:lang w:val="en-US" w:eastAsia="zh-CN"/>
        </w:rPr>
      </w:pPr>
      <w:r>
        <w:rPr>
          <w:rFonts w:hint="eastAsia" w:ascii="Times New Roman" w:hAnsi="Times New Roman" w:cs="Times New Roman"/>
          <w:b/>
          <w:sz w:val="36"/>
          <w:szCs w:val="36"/>
          <w:lang w:val="en-US" w:eastAsia="zh-CN"/>
        </w:rPr>
        <w:t>8、</w:t>
      </w:r>
      <w:r>
        <w:rPr>
          <w:rFonts w:hint="eastAsia" w:ascii="Times New Roman" w:hAnsi="Times New Roman" w:cs="Times New Roman"/>
          <w:b/>
          <w:sz w:val="36"/>
          <w:szCs w:val="36"/>
          <w:lang w:eastAsia="zh-CN"/>
        </w:rPr>
        <w:t>参比报价单</w:t>
      </w:r>
      <w:r>
        <w:rPr>
          <w:rFonts w:hint="eastAsia" w:ascii="Times New Roman" w:hAnsi="Times New Roman" w:cs="Times New Roman"/>
          <w:b/>
          <w:sz w:val="36"/>
          <w:szCs w:val="36"/>
          <w:lang w:val="en-US" w:eastAsia="zh-CN"/>
        </w:rPr>
        <w:t>(单独密封封装）</w:t>
      </w:r>
    </w:p>
    <w:p>
      <w:pPr>
        <w:jc w:val="center"/>
        <w:rPr>
          <w:b/>
          <w:sz w:val="36"/>
          <w:szCs w:val="36"/>
          <w:lang w:eastAsia="zh-CN"/>
        </w:rPr>
      </w:pPr>
      <w:r>
        <w:rPr>
          <w:rFonts w:hint="eastAsia"/>
          <w:b/>
          <w:sz w:val="36"/>
          <w:szCs w:val="36"/>
          <w:lang w:eastAsia="zh-CN"/>
        </w:rPr>
        <w:t>报 价 单</w:t>
      </w:r>
    </w:p>
    <w:p>
      <w:pPr>
        <w:pStyle w:val="78"/>
        <w:spacing w:beforeLines="0" w:afterLines="0" w:line="240" w:lineRule="auto"/>
        <w:ind w:firstLineChars="0"/>
        <w:rPr>
          <w:rFonts w:ascii="Times New Roman" w:hAnsi="Times New Roman" w:cs="Times New Roman"/>
          <w:b/>
          <w:color w:val="FF0000"/>
          <w:sz w:val="24"/>
          <w:szCs w:val="24"/>
          <w:lang w:eastAsia="zh-CN"/>
        </w:rPr>
      </w:pPr>
    </w:p>
    <w:p>
      <w:pPr>
        <w:pStyle w:val="78"/>
        <w:spacing w:beforeLines="0" w:afterLines="0"/>
        <w:ind w:firstLine="0" w:firstLineChars="0"/>
        <w:rPr>
          <w:rFonts w:ascii="Times New Roman" w:hAnsi="Times New Roman" w:cs="Times New Roman"/>
          <w:b/>
          <w:sz w:val="24"/>
          <w:szCs w:val="24"/>
          <w:lang w:eastAsia="zh-CN"/>
        </w:rPr>
      </w:pPr>
      <w:r>
        <w:rPr>
          <w:rFonts w:hint="eastAsia"/>
          <w:sz w:val="24"/>
          <w:szCs w:val="24"/>
          <w:lang w:eastAsia="zh-CN"/>
        </w:rPr>
        <w:t>参比单位：</w:t>
      </w:r>
      <w:r>
        <w:rPr>
          <w:sz w:val="24"/>
          <w:szCs w:val="24"/>
          <w:lang w:eastAsia="zh-CN"/>
        </w:rPr>
        <w:t xml:space="preserve"> </w:t>
      </w:r>
      <w:r>
        <w:rPr>
          <w:rFonts w:hint="eastAsia"/>
          <w:sz w:val="24"/>
          <w:szCs w:val="24"/>
          <w:u w:val="single"/>
          <w:lang w:eastAsia="zh-CN"/>
        </w:rPr>
        <w:t xml:space="preserve">                                   </w:t>
      </w:r>
    </w:p>
    <w:p>
      <w:pPr>
        <w:pStyle w:val="21"/>
        <w:spacing w:line="360" w:lineRule="auto"/>
        <w:ind w:right="121"/>
        <w:jc w:val="both"/>
        <w:rPr>
          <w:lang w:eastAsia="zh-CN"/>
        </w:rPr>
      </w:pPr>
    </w:p>
    <w:p>
      <w:pPr>
        <w:pStyle w:val="21"/>
        <w:ind w:right="121"/>
        <w:jc w:val="both"/>
        <w:rPr>
          <w:sz w:val="24"/>
          <w:szCs w:val="24"/>
          <w:lang w:eastAsia="zh-CN"/>
        </w:rPr>
      </w:pPr>
      <w:r>
        <w:rPr>
          <w:rFonts w:hint="eastAsia"/>
          <w:lang w:eastAsia="zh-CN"/>
        </w:rPr>
        <w:t>项目名称：</w:t>
      </w:r>
      <w:r>
        <w:rPr>
          <w:rFonts w:hint="eastAsia"/>
          <w:color w:val="000000" w:themeColor="text1"/>
          <w:u w:val="single"/>
          <w:lang w:eastAsia="zh-CN"/>
        </w:rPr>
        <w:t>福建福海创石油化工有限公司2025年~2028年对讲机维修及系统服务年约项目</w:t>
      </w:r>
    </w:p>
    <w:p>
      <w:pPr>
        <w:spacing w:line="360" w:lineRule="auto"/>
        <w:ind w:firstLine="480" w:firstLineChars="200"/>
        <w:rPr>
          <w:sz w:val="24"/>
          <w:szCs w:val="24"/>
          <w:lang w:eastAsia="zh-CN"/>
        </w:rPr>
      </w:pPr>
    </w:p>
    <w:p>
      <w:pPr>
        <w:pStyle w:val="76"/>
        <w:adjustRightInd w:val="0"/>
        <w:snapToGrid w:val="0"/>
        <w:spacing w:line="360" w:lineRule="auto"/>
        <w:ind w:left="0" w:firstLine="0"/>
        <w:outlineLvl w:val="1"/>
        <w:rPr>
          <w:rFonts w:ascii="宋体" w:hAnsi="宋体" w:eastAsia="宋体" w:cs="Arial"/>
          <w:color w:val="000000"/>
          <w:sz w:val="24"/>
          <w:szCs w:val="20"/>
        </w:rPr>
      </w:pPr>
      <w:r>
        <w:rPr>
          <w:rFonts w:hint="eastAsia" w:ascii="宋体" w:hAnsi="宋体" w:eastAsia="宋体" w:cs="Arial"/>
          <w:color w:val="000000"/>
          <w:sz w:val="24"/>
          <w:szCs w:val="20"/>
        </w:rPr>
        <w:t>分项报价表下浮率（表</w:t>
      </w:r>
      <w:r>
        <w:rPr>
          <w:rFonts w:ascii="宋体" w:hAnsi="宋体" w:eastAsia="宋体" w:cs="Arial"/>
          <w:color w:val="000000"/>
          <w:sz w:val="24"/>
          <w:szCs w:val="20"/>
        </w:rPr>
        <w:t>5</w:t>
      </w:r>
      <w:r>
        <w:rPr>
          <w:rFonts w:hint="eastAsia" w:ascii="宋体" w:hAnsi="宋体" w:eastAsia="宋体" w:cs="Arial"/>
          <w:color w:val="000000"/>
          <w:sz w:val="24"/>
          <w:szCs w:val="20"/>
        </w:rPr>
        <w:t>）</w:t>
      </w:r>
      <w:r>
        <w:rPr>
          <w:rFonts w:ascii="宋体" w:hAnsi="宋体" w:eastAsia="宋体" w:cs="Arial"/>
          <w:color w:val="000000"/>
          <w:sz w:val="24"/>
          <w:szCs w:val="20"/>
        </w:rPr>
        <w:t xml:space="preserve"> </w:t>
      </w:r>
    </w:p>
    <w:tbl>
      <w:tblPr>
        <w:tblStyle w:val="48"/>
        <w:tblW w:w="8738" w:type="dxa"/>
        <w:tblInd w:w="63" w:type="dxa"/>
        <w:tblLayout w:type="fixed"/>
        <w:tblCellMar>
          <w:top w:w="0" w:type="dxa"/>
          <w:left w:w="108" w:type="dxa"/>
          <w:bottom w:w="0" w:type="dxa"/>
          <w:right w:w="108" w:type="dxa"/>
        </w:tblCellMar>
      </w:tblPr>
      <w:tblGrid>
        <w:gridCol w:w="575"/>
        <w:gridCol w:w="2658"/>
        <w:gridCol w:w="1200"/>
        <w:gridCol w:w="2194"/>
        <w:gridCol w:w="2111"/>
      </w:tblGrid>
      <w:tr>
        <w:tblPrEx>
          <w:tblCellMar>
            <w:top w:w="0" w:type="dxa"/>
            <w:left w:w="108" w:type="dxa"/>
            <w:bottom w:w="0" w:type="dxa"/>
            <w:right w:w="108" w:type="dxa"/>
          </w:tblCellMar>
        </w:tblPrEx>
        <w:trPr>
          <w:trHeight w:val="789" w:hRule="atLeast"/>
        </w:trPr>
        <w:tc>
          <w:tcPr>
            <w:tcW w:w="575" w:type="dxa"/>
            <w:tcBorders>
              <w:top w:val="single" w:color="auto" w:sz="8" w:space="0"/>
              <w:left w:val="single" w:color="auto" w:sz="8" w:space="0"/>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2658" w:type="dxa"/>
            <w:tcBorders>
              <w:top w:val="single" w:color="auto" w:sz="8" w:space="0"/>
              <w:left w:val="nil"/>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分项名称</w:t>
            </w:r>
          </w:p>
        </w:tc>
        <w:tc>
          <w:tcPr>
            <w:tcW w:w="3394" w:type="dxa"/>
            <w:gridSpan w:val="2"/>
            <w:tcBorders>
              <w:top w:val="single" w:color="auto" w:sz="8" w:space="0"/>
              <w:left w:val="nil"/>
              <w:bottom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下浮率报价</w:t>
            </w:r>
          </w:p>
        </w:tc>
        <w:tc>
          <w:tcPr>
            <w:tcW w:w="2111"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资格</w:t>
            </w:r>
            <w:r>
              <w:rPr>
                <w:rFonts w:ascii="宋体" w:hAnsi="宋体" w:cs="宋体"/>
                <w:bCs/>
                <w:color w:val="000000"/>
                <w:kern w:val="0"/>
                <w:szCs w:val="21"/>
              </w:rPr>
              <w:t>审查</w:t>
            </w:r>
            <w:r>
              <w:rPr>
                <w:rFonts w:hint="eastAsia" w:ascii="宋体" w:hAnsi="宋体" w:cs="宋体"/>
                <w:bCs/>
                <w:color w:val="000000"/>
                <w:kern w:val="0"/>
                <w:szCs w:val="21"/>
              </w:rPr>
              <w:t>（资质）</w:t>
            </w:r>
          </w:p>
        </w:tc>
      </w:tr>
      <w:tr>
        <w:tblPrEx>
          <w:tblCellMar>
            <w:top w:w="0" w:type="dxa"/>
            <w:left w:w="108" w:type="dxa"/>
            <w:bottom w:w="0" w:type="dxa"/>
            <w:right w:w="108" w:type="dxa"/>
          </w:tblCellMar>
        </w:tblPrEx>
        <w:trPr>
          <w:trHeight w:val="479" w:hRule="atLeast"/>
        </w:trPr>
        <w:tc>
          <w:tcPr>
            <w:tcW w:w="57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2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各类设备专业检测费用</w:t>
            </w:r>
            <w:r>
              <w:rPr>
                <w:rFonts w:hint="eastAsia" w:ascii="宋体" w:hAnsi="宋体" w:cs="Arial"/>
                <w:color w:val="000000"/>
                <w:sz w:val="24"/>
              </w:rPr>
              <w:t>（表</w:t>
            </w:r>
            <w:r>
              <w:rPr>
                <w:rFonts w:ascii="宋体" w:hAnsi="宋体" w:cs="Arial"/>
                <w:color w:val="000000"/>
                <w:sz w:val="24"/>
              </w:rPr>
              <w:t>5-</w:t>
            </w:r>
            <w:r>
              <w:rPr>
                <w:rFonts w:hint="eastAsia" w:ascii="宋体" w:hAnsi="宋体" w:cs="Arial"/>
                <w:color w:val="000000"/>
                <w:sz w:val="24"/>
              </w:rPr>
              <w:t>1）</w:t>
            </w:r>
          </w:p>
        </w:tc>
        <w:tc>
          <w:tcPr>
            <w:tcW w:w="1200"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Arial"/>
                <w:color w:val="000000"/>
                <w:sz w:val="24"/>
              </w:rPr>
            </w:pPr>
            <w:r>
              <w:rPr>
                <w:rFonts w:hint="eastAsia" w:ascii="宋体" w:hAnsi="宋体" w:cs="Arial"/>
                <w:color w:val="000000"/>
                <w:kern w:val="0"/>
                <w:szCs w:val="21"/>
              </w:rPr>
              <w:t>L</w:t>
            </w:r>
          </w:p>
          <w:p>
            <w:pPr>
              <w:widowControl/>
              <w:rPr>
                <w:rFonts w:ascii="宋体" w:hAnsi="宋体" w:cs="Arial"/>
                <w:color w:val="000000"/>
                <w:kern w:val="0"/>
                <w:szCs w:val="21"/>
              </w:rPr>
            </w:pPr>
          </w:p>
        </w:tc>
        <w:tc>
          <w:tcPr>
            <w:tcW w:w="2194" w:type="dxa"/>
            <w:vMerge w:val="restart"/>
            <w:tcBorders>
              <w:top w:val="single" w:color="auto" w:sz="4" w:space="0"/>
              <w:left w:val="nil"/>
              <w:right w:val="single" w:color="auto" w:sz="4" w:space="0"/>
            </w:tcBorders>
            <w:shd w:val="clear" w:color="auto" w:fill="auto"/>
            <w:vAlign w:val="center"/>
          </w:tcPr>
          <w:p>
            <w:pPr>
              <w:widowControl/>
              <w:jc w:val="right"/>
              <w:rPr>
                <w:rFonts w:ascii="宋体" w:hAnsi="宋体" w:cs="Arial"/>
                <w:bCs/>
                <w:color w:val="000000"/>
                <w:kern w:val="0"/>
                <w:szCs w:val="21"/>
              </w:rPr>
            </w:pPr>
            <w:r>
              <w:rPr>
                <w:rFonts w:ascii="宋体" w:hAnsi="宋体" w:cs="Arial"/>
                <w:bCs/>
                <w:color w:val="000000"/>
                <w:kern w:val="0"/>
                <w:szCs w:val="21"/>
              </w:rPr>
              <w:t>　</w:t>
            </w:r>
            <w:r>
              <w:rPr>
                <w:rFonts w:hint="eastAsia" w:ascii="宋体" w:hAnsi="宋体" w:cs="Arial"/>
                <w:bCs/>
                <w:color w:val="000000"/>
                <w:kern w:val="0"/>
                <w:szCs w:val="21"/>
              </w:rPr>
              <w:t>%</w:t>
            </w:r>
          </w:p>
          <w:p>
            <w:pPr>
              <w:jc w:val="right"/>
              <w:rPr>
                <w:rFonts w:ascii="宋体" w:hAnsi="宋体" w:cs="Arial"/>
                <w:bCs/>
                <w:color w:val="000000"/>
                <w:kern w:val="0"/>
                <w:szCs w:val="21"/>
              </w:rPr>
            </w:pPr>
            <w:r>
              <w:rPr>
                <w:rFonts w:ascii="宋体" w:hAnsi="宋体" w:cs="Arial"/>
                <w:bCs/>
                <w:color w:val="000000"/>
                <w:kern w:val="0"/>
                <w:szCs w:val="21"/>
              </w:rPr>
              <w:t>　</w:t>
            </w:r>
          </w:p>
        </w:tc>
        <w:tc>
          <w:tcPr>
            <w:tcW w:w="2111" w:type="dxa"/>
            <w:vMerge w:val="restart"/>
            <w:tcBorders>
              <w:top w:val="single" w:color="auto" w:sz="4" w:space="0"/>
              <w:left w:val="nil"/>
              <w:right w:val="single" w:color="auto" w:sz="8" w:space="0"/>
            </w:tcBorders>
            <w:shd w:val="clear" w:color="auto" w:fill="auto"/>
            <w:vAlign w:val="center"/>
          </w:tcPr>
          <w:p>
            <w:pPr>
              <w:widowControl/>
              <w:jc w:val="center"/>
              <w:rPr>
                <w:rFonts w:ascii="宋体" w:hAnsi="宋体"/>
                <w:sz w:val="24"/>
                <w:szCs w:val="24"/>
              </w:rPr>
            </w:pPr>
            <w:r>
              <w:rPr>
                <w:rFonts w:hint="eastAsia" w:ascii="宋体" w:hAnsi="宋体"/>
                <w:sz w:val="24"/>
                <w:szCs w:val="24"/>
              </w:rPr>
              <w:t>满足</w:t>
            </w:r>
            <w:r>
              <w:rPr>
                <w:rFonts w:hint="eastAsia"/>
                <w:sz w:val="24"/>
                <w:szCs w:val="24"/>
                <w:lang w:eastAsia="zh-CN"/>
              </w:rPr>
              <w:t>询比</w:t>
            </w:r>
            <w:r>
              <w:rPr>
                <w:rFonts w:hint="eastAsia" w:ascii="宋体" w:hAnsi="宋体"/>
                <w:sz w:val="24"/>
                <w:szCs w:val="24"/>
              </w:rPr>
              <w:t>文件</w:t>
            </w:r>
          </w:p>
          <w:p>
            <w:pPr>
              <w:widowControl/>
              <w:jc w:val="center"/>
              <w:rPr>
                <w:rFonts w:ascii="宋体" w:hAnsi="宋体" w:cs="宋体"/>
                <w:color w:val="000000"/>
                <w:kern w:val="0"/>
                <w:szCs w:val="21"/>
              </w:rPr>
            </w:pPr>
            <w:r>
              <w:rPr>
                <w:rFonts w:hint="eastAsia" w:ascii="宋体" w:hAnsi="宋体"/>
                <w:sz w:val="24"/>
                <w:szCs w:val="24"/>
              </w:rPr>
              <w:t>要求</w:t>
            </w:r>
          </w:p>
        </w:tc>
      </w:tr>
      <w:tr>
        <w:tblPrEx>
          <w:tblCellMar>
            <w:top w:w="0" w:type="dxa"/>
            <w:left w:w="108" w:type="dxa"/>
            <w:bottom w:w="0" w:type="dxa"/>
            <w:right w:w="108" w:type="dxa"/>
          </w:tblCellMar>
        </w:tblPrEx>
        <w:trPr>
          <w:trHeight w:val="485" w:hRule="atLeast"/>
        </w:trPr>
        <w:tc>
          <w:tcPr>
            <w:tcW w:w="575" w:type="dxa"/>
            <w:tcBorders>
              <w:top w:val="nil"/>
              <w:left w:val="single" w:color="auto" w:sz="8"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2658" w:type="dxa"/>
            <w:tcBorders>
              <w:top w:val="nil"/>
              <w:left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手持对讲机维修费用</w:t>
            </w:r>
            <w:r>
              <w:rPr>
                <w:rFonts w:hint="eastAsia" w:ascii="宋体" w:hAnsi="宋体" w:cs="Arial"/>
                <w:color w:val="000000"/>
                <w:sz w:val="24"/>
              </w:rPr>
              <w:t>（表</w:t>
            </w:r>
            <w:r>
              <w:rPr>
                <w:rFonts w:ascii="宋体" w:hAnsi="宋体" w:cs="Arial"/>
                <w:color w:val="000000"/>
                <w:sz w:val="24"/>
              </w:rPr>
              <w:t>5-2</w:t>
            </w:r>
            <w:r>
              <w:rPr>
                <w:rFonts w:hint="eastAsia" w:ascii="宋体" w:hAnsi="宋体" w:cs="Arial"/>
                <w:color w:val="000000"/>
                <w:sz w:val="24"/>
              </w:rPr>
              <w:t>）</w:t>
            </w:r>
          </w:p>
        </w:tc>
        <w:tc>
          <w:tcPr>
            <w:tcW w:w="1200" w:type="dxa"/>
            <w:vMerge w:val="continue"/>
            <w:tcBorders>
              <w:left w:val="nil"/>
              <w:right w:val="single" w:color="auto" w:sz="4" w:space="0"/>
            </w:tcBorders>
            <w:shd w:val="clear" w:color="auto" w:fill="auto"/>
            <w:vAlign w:val="center"/>
          </w:tcPr>
          <w:p>
            <w:pPr>
              <w:widowControl/>
              <w:rPr>
                <w:rFonts w:ascii="宋体" w:hAnsi="宋体" w:cs="Arial"/>
                <w:color w:val="000000"/>
                <w:kern w:val="0"/>
                <w:szCs w:val="21"/>
              </w:rPr>
            </w:pPr>
          </w:p>
        </w:tc>
        <w:tc>
          <w:tcPr>
            <w:tcW w:w="2194" w:type="dxa"/>
            <w:vMerge w:val="continue"/>
            <w:tcBorders>
              <w:left w:val="nil"/>
              <w:right w:val="single" w:color="auto" w:sz="4" w:space="0"/>
            </w:tcBorders>
            <w:shd w:val="clear" w:color="auto" w:fill="auto"/>
            <w:vAlign w:val="center"/>
          </w:tcPr>
          <w:p>
            <w:pPr>
              <w:jc w:val="right"/>
              <w:rPr>
                <w:rFonts w:ascii="宋体" w:hAnsi="宋体" w:cs="Arial"/>
                <w:bCs/>
                <w:color w:val="000000"/>
                <w:kern w:val="0"/>
                <w:szCs w:val="21"/>
              </w:rPr>
            </w:pPr>
          </w:p>
        </w:tc>
        <w:tc>
          <w:tcPr>
            <w:tcW w:w="2111" w:type="dxa"/>
            <w:vMerge w:val="continue"/>
            <w:tcBorders>
              <w:left w:val="nil"/>
              <w:right w:val="single" w:color="auto" w:sz="8"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73"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2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应急服务费用</w:t>
            </w:r>
          </w:p>
          <w:p>
            <w:pPr>
              <w:widowControl/>
              <w:jc w:val="center"/>
              <w:rPr>
                <w:rFonts w:ascii="宋体" w:hAnsi="宋体" w:cs="宋体"/>
                <w:bCs/>
                <w:color w:val="000000"/>
                <w:kern w:val="0"/>
                <w:szCs w:val="21"/>
              </w:rPr>
            </w:pPr>
            <w:r>
              <w:rPr>
                <w:rFonts w:hint="eastAsia" w:ascii="宋体" w:hAnsi="宋体" w:cs="Arial"/>
                <w:color w:val="000000"/>
                <w:sz w:val="24"/>
              </w:rPr>
              <w:t>（表</w:t>
            </w:r>
            <w:r>
              <w:rPr>
                <w:rFonts w:ascii="宋体" w:hAnsi="宋体" w:cs="Arial"/>
                <w:color w:val="000000"/>
                <w:sz w:val="24"/>
              </w:rPr>
              <w:t>5-3</w:t>
            </w:r>
            <w:r>
              <w:rPr>
                <w:rFonts w:hint="eastAsia" w:ascii="宋体" w:hAnsi="宋体" w:cs="Arial"/>
                <w:color w:val="000000"/>
                <w:sz w:val="24"/>
              </w:rPr>
              <w:t>）</w:t>
            </w:r>
          </w:p>
        </w:tc>
        <w:tc>
          <w:tcPr>
            <w:tcW w:w="1200" w:type="dxa"/>
            <w:vMerge w:val="continue"/>
            <w:tcBorders>
              <w:left w:val="nil"/>
              <w:bottom w:val="single" w:color="auto" w:sz="4" w:space="0"/>
              <w:right w:val="single" w:color="auto" w:sz="4" w:space="0"/>
            </w:tcBorders>
            <w:shd w:val="clear" w:color="auto" w:fill="auto"/>
            <w:vAlign w:val="center"/>
          </w:tcPr>
          <w:p>
            <w:pPr>
              <w:widowControl/>
              <w:rPr>
                <w:rFonts w:ascii="宋体" w:hAnsi="宋体" w:cs="Arial"/>
                <w:color w:val="000000"/>
                <w:kern w:val="0"/>
                <w:szCs w:val="21"/>
              </w:rPr>
            </w:pPr>
          </w:p>
        </w:tc>
        <w:tc>
          <w:tcPr>
            <w:tcW w:w="2194" w:type="dxa"/>
            <w:vMerge w:val="continue"/>
            <w:tcBorders>
              <w:left w:val="nil"/>
              <w:bottom w:val="single" w:color="auto" w:sz="4" w:space="0"/>
              <w:right w:val="single" w:color="auto" w:sz="4" w:space="0"/>
            </w:tcBorders>
            <w:shd w:val="clear" w:color="auto" w:fill="auto"/>
            <w:vAlign w:val="center"/>
          </w:tcPr>
          <w:p>
            <w:pPr>
              <w:widowControl/>
              <w:jc w:val="right"/>
              <w:rPr>
                <w:rFonts w:ascii="宋体" w:hAnsi="宋体" w:cs="Arial"/>
                <w:bCs/>
                <w:color w:val="000000"/>
                <w:kern w:val="0"/>
                <w:szCs w:val="21"/>
              </w:rPr>
            </w:pPr>
          </w:p>
        </w:tc>
        <w:tc>
          <w:tcPr>
            <w:tcW w:w="2111" w:type="dxa"/>
            <w:vMerge w:val="continue"/>
            <w:tcBorders>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rPr>
            </w:pPr>
          </w:p>
        </w:tc>
      </w:tr>
    </w:tbl>
    <w:p>
      <w:pPr>
        <w:spacing w:line="460" w:lineRule="exact"/>
        <w:ind w:left="985" w:leftChars="-100" w:hanging="1205" w:hangingChars="500"/>
        <w:rPr>
          <w:rFonts w:ascii="宋体" w:hAnsi="宋体" w:cs="Arial"/>
          <w:color w:val="000000"/>
          <w:sz w:val="24"/>
        </w:rPr>
      </w:pPr>
      <w:r>
        <w:rPr>
          <w:rFonts w:hint="eastAsia" w:ascii="宋体" w:hAnsi="宋体"/>
          <w:b/>
          <w:sz w:val="24"/>
        </w:rPr>
        <w:t>说明：</w:t>
      </w:r>
      <w:r>
        <w:rPr>
          <w:rFonts w:hint="eastAsia" w:ascii="宋体" w:hAnsi="宋体" w:cs="Arial"/>
          <w:color w:val="000000"/>
          <w:sz w:val="24"/>
        </w:rPr>
        <w:t>1、L指“各类设备专业检测费用” “手持对讲机维修费用” “应急服务费用”基准单价（含税，元）填报统一的下浮率；</w:t>
      </w:r>
    </w:p>
    <w:p>
      <w:pPr>
        <w:spacing w:line="460" w:lineRule="exact"/>
        <w:ind w:firstLine="480" w:firstLineChars="200"/>
        <w:rPr>
          <w:rFonts w:ascii="宋体" w:hAnsi="宋体" w:cs="Arial"/>
          <w:color w:val="000000"/>
          <w:sz w:val="24"/>
        </w:rPr>
      </w:pPr>
      <w:r>
        <w:rPr>
          <w:rFonts w:hint="eastAsia" w:ascii="宋体" w:hAnsi="宋体" w:cs="Arial"/>
          <w:color w:val="000000"/>
          <w:sz w:val="24"/>
        </w:rPr>
        <w:t>2、下浮率保留两位小数点，如8.31%。</w:t>
      </w:r>
    </w:p>
    <w:p>
      <w:pPr>
        <w:spacing w:line="360" w:lineRule="auto"/>
        <w:rPr>
          <w:rFonts w:ascii="宋体" w:hAnsi="宋体" w:cs="Arial"/>
          <w:b/>
          <w:color w:val="000000"/>
          <w:sz w:val="24"/>
        </w:rPr>
      </w:pPr>
      <w:r>
        <w:rPr>
          <w:rFonts w:ascii="宋体" w:hAnsi="宋体" w:cs="Arial"/>
          <w:b/>
          <w:color w:val="000000"/>
          <w:sz w:val="24"/>
        </w:rPr>
        <w:t>5</w:t>
      </w:r>
      <w:r>
        <w:rPr>
          <w:rFonts w:hint="eastAsia" w:ascii="宋体" w:hAnsi="宋体" w:cs="Arial"/>
          <w:b/>
          <w:color w:val="000000"/>
          <w:sz w:val="24"/>
        </w:rPr>
        <w:t>.1各类设备专业检测内容和报价（表</w:t>
      </w:r>
      <w:r>
        <w:rPr>
          <w:rFonts w:ascii="宋体" w:hAnsi="宋体" w:cs="Arial"/>
          <w:b/>
          <w:color w:val="000000"/>
          <w:sz w:val="24"/>
        </w:rPr>
        <w:t>5-</w:t>
      </w:r>
      <w:r>
        <w:rPr>
          <w:rFonts w:hint="eastAsia" w:ascii="宋体" w:hAnsi="宋体" w:cs="Arial"/>
          <w:b/>
          <w:color w:val="000000"/>
          <w:sz w:val="24"/>
        </w:rPr>
        <w:t>1）</w:t>
      </w:r>
    </w:p>
    <w:p>
      <w:pPr>
        <w:spacing w:line="360" w:lineRule="auto"/>
        <w:ind w:firstLine="480" w:firstLineChars="200"/>
        <w:rPr>
          <w:rFonts w:ascii="宋体" w:hAnsi="宋体" w:cs="Arial"/>
          <w:color w:val="000000"/>
          <w:sz w:val="24"/>
        </w:rPr>
      </w:pPr>
      <w:r>
        <w:rPr>
          <w:rFonts w:hint="eastAsia" w:ascii="宋体" w:hAnsi="宋体" w:cs="Arial"/>
          <w:color w:val="000000"/>
          <w:sz w:val="24"/>
        </w:rPr>
        <w:t>专业检测：当甲方需要对无线对讲系统检测时，投标方根据以下检测内容对系统进行检测，并提交检测报告。</w:t>
      </w:r>
    </w:p>
    <w:tbl>
      <w:tblPr>
        <w:tblStyle w:val="48"/>
        <w:tblW w:w="8959" w:type="dxa"/>
        <w:tblInd w:w="113" w:type="dxa"/>
        <w:tblLayout w:type="autofit"/>
        <w:tblCellMar>
          <w:top w:w="0" w:type="dxa"/>
          <w:left w:w="108" w:type="dxa"/>
          <w:bottom w:w="0" w:type="dxa"/>
          <w:right w:w="108" w:type="dxa"/>
        </w:tblCellMar>
      </w:tblPr>
      <w:tblGrid>
        <w:gridCol w:w="847"/>
        <w:gridCol w:w="1319"/>
        <w:gridCol w:w="3983"/>
        <w:gridCol w:w="825"/>
        <w:gridCol w:w="1985"/>
      </w:tblGrid>
      <w:tr>
        <w:tblPrEx>
          <w:tblCellMar>
            <w:top w:w="0" w:type="dxa"/>
            <w:left w:w="108" w:type="dxa"/>
            <w:bottom w:w="0" w:type="dxa"/>
            <w:right w:w="108" w:type="dxa"/>
          </w:tblCellMar>
        </w:tblPrEx>
        <w:trPr>
          <w:trHeight w:val="940"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序号</w:t>
            </w:r>
          </w:p>
        </w:tc>
        <w:tc>
          <w:tcPr>
            <w:tcW w:w="131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名称</w:t>
            </w:r>
          </w:p>
        </w:tc>
        <w:tc>
          <w:tcPr>
            <w:tcW w:w="398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专业检测内容</w:t>
            </w:r>
          </w:p>
        </w:tc>
        <w:tc>
          <w:tcPr>
            <w:tcW w:w="8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单位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次</w:t>
            </w:r>
            <w:r>
              <w:rPr>
                <w:rFonts w:hint="eastAsia" w:ascii="宋体" w:hAnsi="宋体" w:cs="Arial"/>
                <w:color w:val="000000"/>
                <w:kern w:val="0"/>
                <w:szCs w:val="21"/>
              </w:rPr>
              <w:t>/元</w:t>
            </w:r>
          </w:p>
        </w:tc>
      </w:tr>
      <w:tr>
        <w:tblPrEx>
          <w:tblCellMar>
            <w:top w:w="0" w:type="dxa"/>
            <w:left w:w="108" w:type="dxa"/>
            <w:bottom w:w="0" w:type="dxa"/>
            <w:right w:w="108" w:type="dxa"/>
          </w:tblCellMar>
        </w:tblPrEx>
        <w:trPr>
          <w:trHeight w:val="70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系统常规检测</w:t>
            </w:r>
          </w:p>
        </w:tc>
        <w:tc>
          <w:tcPr>
            <w:tcW w:w="39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设备常规检测：检测系统主设备和基站，以及主系统与天馈、传输，电源等其它相应配套设施的链路，确保设备都完好、工作正常。</w:t>
            </w:r>
          </w:p>
        </w:tc>
        <w:tc>
          <w:tcPr>
            <w:tcW w:w="825" w:type="dxa"/>
            <w:vMerge w:val="restart"/>
            <w:tcBorders>
              <w:top w:val="nil"/>
              <w:left w:val="nil"/>
              <w:right w:val="single" w:color="auto" w:sz="4" w:space="0"/>
            </w:tcBorders>
            <w:shd w:val="clear" w:color="000000" w:fill="FFFFFF"/>
            <w:noWrap/>
            <w:vAlign w:val="center"/>
          </w:tcPr>
          <w:p>
            <w:pPr>
              <w:widowControl/>
              <w:ind w:firstLine="220" w:firstLineChars="100"/>
              <w:rPr>
                <w:rFonts w:ascii="宋体" w:hAnsi="宋体" w:cs="Arial"/>
                <w:color w:val="000000"/>
                <w:kern w:val="0"/>
                <w:szCs w:val="21"/>
              </w:rPr>
            </w:pPr>
            <w:r>
              <w:rPr>
                <w:rFonts w:hint="eastAsia" w:ascii="宋体" w:hAnsi="宋体" w:cs="Arial"/>
                <w:color w:val="000000"/>
                <w:kern w:val="0"/>
                <w:szCs w:val="21"/>
              </w:rPr>
              <w:t>次</w:t>
            </w:r>
          </w:p>
        </w:tc>
        <w:tc>
          <w:tcPr>
            <w:tcW w:w="1985" w:type="dxa"/>
            <w:vMerge w:val="restart"/>
            <w:tcBorders>
              <w:top w:val="nil"/>
              <w:left w:val="nil"/>
              <w:right w:val="single" w:color="auto" w:sz="4" w:space="0"/>
            </w:tcBorders>
            <w:shd w:val="clear" w:color="auto" w:fill="auto"/>
            <w:noWrap/>
            <w:vAlign w:val="center"/>
          </w:tcPr>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10000</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jc w:val="left"/>
              <w:rPr>
                <w:rFonts w:ascii="宋体" w:hAnsi="宋体" w:cs="Arial"/>
                <w:color w:val="000000"/>
                <w:kern w:val="0"/>
                <w:szCs w:val="21"/>
              </w:rPr>
            </w:pPr>
            <w:r>
              <w:rPr>
                <w:rFonts w:ascii="宋体" w:hAnsi="宋体" w:cs="Arial"/>
                <w:color w:val="000000"/>
                <w:kern w:val="0"/>
                <w:szCs w:val="21"/>
              </w:rPr>
              <w:t>　</w:t>
            </w:r>
          </w:p>
        </w:tc>
      </w:tr>
      <w:tr>
        <w:tblPrEx>
          <w:tblCellMar>
            <w:top w:w="0" w:type="dxa"/>
            <w:left w:w="108" w:type="dxa"/>
            <w:bottom w:w="0" w:type="dxa"/>
            <w:right w:w="108" w:type="dxa"/>
          </w:tblCellMar>
        </w:tblPrEx>
        <w:trPr>
          <w:trHeight w:val="102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专业检测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完整、详细地对基站主设备运行、载波的发射功率和频率偏移度进行测试；进行天线驻波比测试；对系统功能、信号输出检测，发现问题或故障及时处理和上报，排除系统隐患。</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407"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设备除尘</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Cs w:val="21"/>
                <w:lang w:eastAsia="zh-CN"/>
              </w:rPr>
            </w:pPr>
            <w:r>
              <w:rPr>
                <w:rFonts w:hint="eastAsia" w:ascii="宋体" w:hAnsi="宋体" w:cs="Arial"/>
                <w:color w:val="000000"/>
                <w:kern w:val="0"/>
                <w:szCs w:val="21"/>
              </w:rPr>
              <w:t>对基站、收发信机、中继台、直放站等设备灰尘清理，对系统中放大器、功分器、天线等前端设备灰尘清理</w:t>
            </w:r>
            <w:r>
              <w:rPr>
                <w:rFonts w:hint="eastAsia" w:cs="Arial"/>
                <w:color w:val="000000"/>
                <w:kern w:val="0"/>
                <w:szCs w:val="21"/>
                <w:lang w:eastAsia="zh-CN"/>
              </w:rPr>
              <w:t>。</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73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4</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关键配件检测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对系统中耦合器、功分器、放大器、开关整流器、避雷器进行输出功率测试，保证老化的元件及时更换。</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5</w:t>
            </w:r>
          </w:p>
        </w:tc>
        <w:tc>
          <w:tcPr>
            <w:tcW w:w="13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无线环境检测、无线信号覆盖测试</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无线环境检测：检测基站信号是否受到干扰；</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6</w:t>
            </w:r>
          </w:p>
        </w:tc>
        <w:tc>
          <w:tcPr>
            <w:tcW w:w="13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Cs w:val="21"/>
              </w:rPr>
            </w:pP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无线信号覆盖测试：按照要求用测试软件和专用对讲机现场测量覆盖区通话情况，并记录测试文件，存档待查</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18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7</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终端检测（对讲机）</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检测内容：检测对讲机外观是否破损、开裂，显示是否正常、键盘功能完整，天线是否完好，电池使用时间。通过仪器检测接收灵敏度、发射功率、频偏、调制度等基本技术指标。对存在故障隐患的终端提出送修。</w:t>
            </w:r>
          </w:p>
        </w:tc>
        <w:tc>
          <w:tcPr>
            <w:tcW w:w="825" w:type="dxa"/>
            <w:vMerge w:val="continue"/>
            <w:tcBorders>
              <w:left w:val="nil"/>
              <w:bottom w:val="single" w:color="auto" w:sz="4" w:space="0"/>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Cs w:val="21"/>
              </w:rPr>
            </w:pPr>
          </w:p>
        </w:tc>
      </w:tr>
    </w:tbl>
    <w:p>
      <w:pPr>
        <w:spacing w:line="360" w:lineRule="auto"/>
        <w:rPr>
          <w:rFonts w:ascii="宋体" w:hAnsi="宋体" w:cs="Arial"/>
          <w:color w:val="000000"/>
          <w:sz w:val="24"/>
        </w:rPr>
      </w:pPr>
    </w:p>
    <w:p>
      <w:pPr>
        <w:spacing w:line="360" w:lineRule="auto"/>
        <w:rPr>
          <w:rFonts w:ascii="宋体" w:hAnsi="宋体" w:cs="Arial"/>
          <w:color w:val="000000"/>
          <w:sz w:val="24"/>
        </w:rPr>
      </w:pPr>
      <w:r>
        <w:rPr>
          <w:rFonts w:ascii="宋体" w:hAnsi="宋体" w:cs="Arial"/>
          <w:color w:val="000000"/>
          <w:sz w:val="24"/>
        </w:rPr>
        <w:t>5</w:t>
      </w:r>
      <w:r>
        <w:rPr>
          <w:rFonts w:hint="eastAsia" w:ascii="宋体" w:hAnsi="宋体" w:cs="Arial"/>
          <w:color w:val="000000"/>
          <w:sz w:val="24"/>
        </w:rPr>
        <w:t>.2手持对讲设备的维修费用（表</w:t>
      </w:r>
      <w:r>
        <w:rPr>
          <w:rFonts w:ascii="宋体" w:hAnsi="宋体" w:cs="Arial"/>
          <w:color w:val="000000"/>
          <w:sz w:val="24"/>
        </w:rPr>
        <w:t>5-2</w:t>
      </w:r>
      <w:r>
        <w:rPr>
          <w:rFonts w:hint="eastAsia" w:ascii="宋体" w:hAnsi="宋体" w:cs="Arial"/>
          <w:color w:val="000000"/>
          <w:sz w:val="24"/>
        </w:rPr>
        <w:t>）</w:t>
      </w:r>
    </w:p>
    <w:p>
      <w:pPr>
        <w:pStyle w:val="76"/>
        <w:numPr>
          <w:ilvl w:val="0"/>
          <w:numId w:val="7"/>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 xml:space="preserve">摩托罗拉GP338D </w:t>
      </w:r>
      <w:r>
        <w:rPr>
          <w:rFonts w:ascii="宋体" w:hAnsi="宋体" w:eastAsia="宋体" w:cs="Arial"/>
          <w:color w:val="000000"/>
          <w:sz w:val="24"/>
          <w:szCs w:val="20"/>
        </w:rPr>
        <w:t>/</w:t>
      </w:r>
      <w:r>
        <w:rPr>
          <w:rFonts w:hint="eastAsia" w:ascii="宋体" w:hAnsi="宋体" w:eastAsia="宋体" w:cs="Arial"/>
          <w:color w:val="000000"/>
          <w:sz w:val="24"/>
          <w:szCs w:val="20"/>
        </w:rPr>
        <w:t>GP338D</w:t>
      </w:r>
      <w:r>
        <w:rPr>
          <w:rFonts w:ascii="宋体" w:hAnsi="宋体" w:eastAsia="宋体" w:cs="Arial"/>
          <w:color w:val="000000"/>
          <w:sz w:val="24"/>
          <w:szCs w:val="20"/>
        </w:rPr>
        <w:t>+</w:t>
      </w:r>
      <w:r>
        <w:rPr>
          <w:rFonts w:hint="eastAsia" w:ascii="宋体" w:hAnsi="宋体" w:eastAsia="宋体" w:cs="Arial"/>
          <w:color w:val="000000"/>
          <w:sz w:val="24"/>
          <w:szCs w:val="20"/>
        </w:rPr>
        <w:t>对讲机维修清单（I</w:t>
      </w:r>
      <w:r>
        <w:rPr>
          <w:rFonts w:ascii="宋体" w:hAnsi="宋体" w:eastAsia="宋体" w:cs="Arial"/>
          <w:color w:val="000000"/>
          <w:sz w:val="24"/>
          <w:szCs w:val="20"/>
        </w:rPr>
        <w:t>I</w:t>
      </w:r>
      <w:r>
        <w:rPr>
          <w:rFonts w:hint="eastAsia" w:ascii="宋体" w:hAnsi="宋体" w:eastAsia="宋体" w:cs="Arial"/>
          <w:color w:val="000000"/>
          <w:sz w:val="24"/>
          <w:szCs w:val="20"/>
        </w:rPr>
        <w:t>B级防爆）（表</w:t>
      </w:r>
      <w:r>
        <w:rPr>
          <w:rFonts w:ascii="宋体" w:hAnsi="宋体" w:eastAsia="宋体" w:cs="Arial"/>
          <w:color w:val="000000"/>
          <w:sz w:val="24"/>
          <w:szCs w:val="20"/>
        </w:rPr>
        <w:t>5-2</w:t>
      </w:r>
      <w:r>
        <w:rPr>
          <w:rFonts w:hint="eastAsia" w:ascii="宋体" w:hAnsi="宋体" w:eastAsia="宋体" w:cs="Arial"/>
          <w:color w:val="000000"/>
          <w:sz w:val="24"/>
          <w:szCs w:val="20"/>
        </w:rPr>
        <w:t>-1）</w:t>
      </w:r>
    </w:p>
    <w:tbl>
      <w:tblPr>
        <w:tblStyle w:val="4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4044"/>
        <w:gridCol w:w="202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4044"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故障处理方式</w:t>
            </w:r>
          </w:p>
        </w:tc>
        <w:tc>
          <w:tcPr>
            <w:tcW w:w="2021" w:type="dxa"/>
            <w:shd w:val="clear" w:color="auto" w:fill="auto"/>
            <w:vAlign w:val="center"/>
          </w:tcPr>
          <w:p>
            <w:pPr>
              <w:widowControl/>
              <w:jc w:val="center"/>
              <w:rPr>
                <w:rFonts w:ascii="宋体" w:hAnsi="宋体" w:cs="宋体"/>
                <w:bCs/>
                <w:color w:val="000000"/>
                <w:kern w:val="0"/>
                <w:szCs w:val="21"/>
              </w:rPr>
            </w:pPr>
            <w:r>
              <w:rPr>
                <w:rFonts w:ascii="宋体" w:hAnsi="宋体" w:cs="宋体"/>
                <w:bCs/>
                <w:color w:val="000000"/>
                <w:kern w:val="0"/>
                <w:szCs w:val="21"/>
              </w:rPr>
              <w:t>品牌</w:t>
            </w:r>
          </w:p>
        </w:tc>
        <w:tc>
          <w:tcPr>
            <w:tcW w:w="1770" w:type="dxa"/>
          </w:tcPr>
          <w:p>
            <w:pPr>
              <w:widowControl/>
              <w:jc w:val="center"/>
              <w:rPr>
                <w:rFonts w:ascii="宋体" w:hAnsi="宋体" w:cs="宋体"/>
                <w:bCs/>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台</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天线座</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频道电位器</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音量电位器</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电池触片座</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顶部按键</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ascii="宋体" w:hAnsi="宋体" w:cs="宋体"/>
                <w:color w:val="000000"/>
                <w:kern w:val="0"/>
                <w:szCs w:val="21"/>
              </w:rPr>
              <w:t>排线座</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键盘板</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喇叭</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主板</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更换前壳</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接口板</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液晶屏</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13</w:t>
            </w:r>
          </w:p>
        </w:tc>
        <w:tc>
          <w:tcPr>
            <w:tcW w:w="4044"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保外不修检测人工费</w:t>
            </w:r>
          </w:p>
        </w:tc>
        <w:tc>
          <w:tcPr>
            <w:tcW w:w="2021" w:type="dxa"/>
            <w:shd w:val="clear" w:color="auto" w:fill="auto"/>
            <w:vAlign w:val="center"/>
          </w:tcPr>
          <w:p>
            <w:pPr>
              <w:widowControl/>
              <w:jc w:val="center"/>
              <w:rPr>
                <w:rFonts w:hint="eastAsia" w:ascii="宋体" w:hAnsi="宋体" w:cs="Arial"/>
                <w:color w:val="000000"/>
                <w:sz w:val="24"/>
              </w:rPr>
            </w:pPr>
            <w:r>
              <w:rPr>
                <w:rFonts w:hint="eastAsia" w:ascii="宋体" w:hAnsi="宋体" w:cs="Arial"/>
                <w:color w:val="000000"/>
                <w:sz w:val="24"/>
              </w:rPr>
              <w:t xml:space="preserve">GP338D </w:t>
            </w:r>
            <w:r>
              <w:rPr>
                <w:rFonts w:ascii="宋体" w:hAnsi="宋体" w:cs="Arial"/>
                <w:color w:val="000000"/>
                <w:sz w:val="24"/>
              </w:rPr>
              <w:t>/</w:t>
            </w:r>
            <w:r>
              <w:rPr>
                <w:rFonts w:hint="eastAsia" w:ascii="宋体" w:hAnsi="宋体" w:cs="Arial"/>
                <w:color w:val="000000"/>
                <w:sz w:val="24"/>
              </w:rPr>
              <w:t>GP338D</w:t>
            </w:r>
            <w:r>
              <w:rPr>
                <w:rFonts w:ascii="宋体" w:hAnsi="宋体" w:cs="Arial"/>
                <w:color w:val="000000"/>
                <w:sz w:val="24"/>
              </w:rPr>
              <w:t>+</w:t>
            </w:r>
          </w:p>
        </w:tc>
        <w:tc>
          <w:tcPr>
            <w:tcW w:w="177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0</w:t>
            </w:r>
          </w:p>
        </w:tc>
      </w:tr>
    </w:tbl>
    <w:p>
      <w:pPr>
        <w:pStyle w:val="76"/>
        <w:spacing w:line="360" w:lineRule="auto"/>
        <w:ind w:left="0" w:leftChars="0" w:firstLine="0" w:firstLineChars="0"/>
        <w:rPr>
          <w:rFonts w:ascii="宋体" w:hAnsi="宋体" w:eastAsia="宋体" w:cs="Arial"/>
          <w:color w:val="000000"/>
          <w:sz w:val="24"/>
          <w:szCs w:val="20"/>
        </w:rPr>
      </w:pPr>
    </w:p>
    <w:p>
      <w:pPr>
        <w:pStyle w:val="76"/>
        <w:numPr>
          <w:ilvl w:val="0"/>
          <w:numId w:val="7"/>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摩托罗拉</w:t>
      </w:r>
      <w:r>
        <w:rPr>
          <w:rFonts w:hint="eastAsia" w:ascii="宋体" w:hAnsi="宋体" w:cs="宋体"/>
          <w:color w:val="000000"/>
          <w:szCs w:val="21"/>
        </w:rPr>
        <w:t>X</w:t>
      </w:r>
      <w:r>
        <w:rPr>
          <w:rFonts w:ascii="宋体" w:hAnsi="宋体" w:cs="宋体"/>
          <w:color w:val="000000"/>
          <w:szCs w:val="21"/>
        </w:rPr>
        <w:t>IR P660i</w:t>
      </w:r>
      <w:r>
        <w:rPr>
          <w:rFonts w:hint="eastAsia" w:ascii="宋体" w:hAnsi="宋体" w:eastAsia="宋体" w:cs="Arial"/>
          <w:color w:val="000000"/>
          <w:sz w:val="24"/>
          <w:szCs w:val="20"/>
        </w:rPr>
        <w:t>对讲机维修清单（I</w:t>
      </w:r>
      <w:r>
        <w:rPr>
          <w:rFonts w:ascii="宋体" w:hAnsi="宋体" w:eastAsia="宋体" w:cs="Arial"/>
          <w:color w:val="000000"/>
          <w:sz w:val="24"/>
          <w:szCs w:val="20"/>
        </w:rPr>
        <w:t>I</w:t>
      </w:r>
      <w:r>
        <w:rPr>
          <w:rFonts w:hint="eastAsia" w:ascii="宋体" w:hAnsi="宋体" w:eastAsia="宋体" w:cs="Arial"/>
          <w:color w:val="000000"/>
          <w:sz w:val="24"/>
          <w:szCs w:val="20"/>
        </w:rPr>
        <w:t>B级防爆）（表</w:t>
      </w:r>
      <w:r>
        <w:rPr>
          <w:rFonts w:ascii="宋体" w:hAnsi="宋体" w:eastAsia="宋体" w:cs="Arial"/>
          <w:color w:val="000000"/>
          <w:sz w:val="24"/>
          <w:szCs w:val="20"/>
        </w:rPr>
        <w:t>5-2</w:t>
      </w:r>
      <w:r>
        <w:rPr>
          <w:rFonts w:hint="eastAsia" w:ascii="宋体" w:hAnsi="宋体" w:eastAsia="宋体" w:cs="Arial"/>
          <w:color w:val="000000"/>
          <w:sz w:val="24"/>
          <w:szCs w:val="20"/>
        </w:rPr>
        <w:t>-</w:t>
      </w:r>
      <w:r>
        <w:rPr>
          <w:rFonts w:ascii="宋体" w:hAnsi="宋体" w:eastAsia="宋体" w:cs="Arial"/>
          <w:color w:val="000000"/>
          <w:sz w:val="24"/>
          <w:szCs w:val="20"/>
        </w:rPr>
        <w:t>2</w:t>
      </w:r>
      <w:r>
        <w:rPr>
          <w:rFonts w:hint="eastAsia" w:ascii="宋体" w:hAnsi="宋体" w:eastAsia="宋体" w:cs="Arial"/>
          <w:color w:val="000000"/>
          <w:sz w:val="24"/>
          <w:szCs w:val="20"/>
        </w:rPr>
        <w:t>）</w:t>
      </w:r>
    </w:p>
    <w:tbl>
      <w:tblPr>
        <w:tblStyle w:val="48"/>
        <w:tblW w:w="894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469"/>
        <w:gridCol w:w="248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序号</w:t>
            </w:r>
          </w:p>
        </w:tc>
        <w:tc>
          <w:tcPr>
            <w:tcW w:w="3469"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维修项目</w:t>
            </w:r>
          </w:p>
        </w:tc>
        <w:tc>
          <w:tcPr>
            <w:tcW w:w="2484"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品牌</w:t>
            </w:r>
          </w:p>
        </w:tc>
        <w:tc>
          <w:tcPr>
            <w:tcW w:w="1756" w:type="dxa"/>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Arial"/>
                <w:color w:val="000000"/>
                <w:kern w:val="0"/>
                <w:szCs w:val="21"/>
              </w:rPr>
              <w:t>基准价.台/元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3469"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天线座</w:t>
            </w:r>
          </w:p>
        </w:tc>
        <w:tc>
          <w:tcPr>
            <w:tcW w:w="24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46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频道电位器</w:t>
            </w:r>
          </w:p>
        </w:tc>
        <w:tc>
          <w:tcPr>
            <w:tcW w:w="24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46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音量电位器</w:t>
            </w:r>
          </w:p>
        </w:tc>
        <w:tc>
          <w:tcPr>
            <w:tcW w:w="248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469"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电池触片座</w:t>
            </w:r>
          </w:p>
        </w:tc>
        <w:tc>
          <w:tcPr>
            <w:tcW w:w="2484" w:type="dxa"/>
            <w:shd w:val="clear" w:color="auto" w:fill="auto"/>
            <w:vAlign w:val="top"/>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469"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顶部按键</w:t>
            </w:r>
          </w:p>
        </w:tc>
        <w:tc>
          <w:tcPr>
            <w:tcW w:w="2484" w:type="dxa"/>
            <w:shd w:val="clear" w:color="auto" w:fill="auto"/>
            <w:vAlign w:val="top"/>
          </w:tcPr>
          <w:p>
            <w:pPr>
              <w:widowControl/>
              <w:jc w:val="center"/>
              <w:rPr>
                <w:rFonts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3469" w:type="dxa"/>
            <w:shd w:val="clear" w:color="auto" w:fill="auto"/>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排线座</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键盘板</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喇叭</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主板</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更换前壳</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接口板</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lang w:val="en-US" w:eastAsia="zh-CN"/>
              </w:rPr>
              <w:t>2</w:t>
            </w:r>
          </w:p>
        </w:tc>
        <w:tc>
          <w:tcPr>
            <w:tcW w:w="346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保外不修检测人工费</w:t>
            </w:r>
          </w:p>
        </w:tc>
        <w:tc>
          <w:tcPr>
            <w:tcW w:w="2484" w:type="dxa"/>
            <w:shd w:val="clear" w:color="auto" w:fill="auto"/>
            <w:vAlign w:val="top"/>
          </w:tcPr>
          <w:p>
            <w:pPr>
              <w:widowControl/>
              <w:jc w:val="center"/>
              <w:rPr>
                <w:rFonts w:hint="eastAsia" w:ascii="宋体" w:hAnsi="宋体" w:cs="宋体"/>
                <w:color w:val="000000"/>
                <w:kern w:val="0"/>
                <w:szCs w:val="21"/>
              </w:rPr>
            </w:pPr>
            <w:r>
              <w:rPr>
                <w:rFonts w:hint="eastAsia" w:ascii="宋体" w:hAnsi="宋体" w:cs="宋体"/>
                <w:color w:val="000000"/>
                <w:szCs w:val="21"/>
              </w:rPr>
              <w:t>X</w:t>
            </w:r>
            <w:r>
              <w:rPr>
                <w:rFonts w:ascii="宋体" w:hAnsi="宋体" w:cs="宋体"/>
                <w:color w:val="000000"/>
                <w:szCs w:val="21"/>
              </w:rPr>
              <w:t>IR P660i</w:t>
            </w:r>
          </w:p>
        </w:tc>
        <w:tc>
          <w:tcPr>
            <w:tcW w:w="175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0</w:t>
            </w:r>
          </w:p>
        </w:tc>
      </w:tr>
    </w:tbl>
    <w:p>
      <w:pPr>
        <w:spacing w:line="360" w:lineRule="auto"/>
        <w:rPr>
          <w:b/>
          <w:sz w:val="24"/>
          <w:szCs w:val="24"/>
          <w:lang w:val="en-GB"/>
        </w:rPr>
      </w:pPr>
    </w:p>
    <w:p>
      <w:pPr>
        <w:pStyle w:val="76"/>
        <w:numPr>
          <w:ilvl w:val="0"/>
          <w:numId w:val="7"/>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摩托罗拉</w:t>
      </w:r>
      <w:r>
        <w:rPr>
          <w:rFonts w:ascii="宋体" w:hAnsi="宋体" w:eastAsia="宋体" w:cs="Arial"/>
          <w:color w:val="000000"/>
          <w:sz w:val="24"/>
          <w:szCs w:val="20"/>
        </w:rPr>
        <w:t>XIR P86</w:t>
      </w:r>
      <w:r>
        <w:rPr>
          <w:rFonts w:hint="eastAsia" w:ascii="宋体" w:hAnsi="宋体" w:eastAsia="宋体" w:cs="Arial"/>
          <w:color w:val="000000"/>
          <w:sz w:val="24"/>
          <w:szCs w:val="20"/>
        </w:rPr>
        <w:t>0</w:t>
      </w:r>
      <w:r>
        <w:rPr>
          <w:rFonts w:ascii="宋体" w:hAnsi="宋体" w:eastAsia="宋体" w:cs="Arial"/>
          <w:color w:val="000000"/>
          <w:sz w:val="24"/>
          <w:szCs w:val="20"/>
        </w:rPr>
        <w:t>8E</w:t>
      </w:r>
      <w:r>
        <w:rPr>
          <w:rFonts w:hint="eastAsia" w:ascii="宋体" w:hAnsi="宋体" w:eastAsia="宋体" w:cs="Arial"/>
          <w:color w:val="000000"/>
          <w:sz w:val="24"/>
          <w:szCs w:val="20"/>
        </w:rPr>
        <w:t>x、</w:t>
      </w:r>
      <w:r>
        <w:rPr>
          <w:rFonts w:ascii="宋体" w:hAnsi="宋体" w:eastAsia="宋体" w:cs="Arial"/>
          <w:color w:val="000000"/>
          <w:sz w:val="24"/>
          <w:szCs w:val="20"/>
        </w:rPr>
        <w:t>XIR P86</w:t>
      </w:r>
      <w:r>
        <w:rPr>
          <w:rFonts w:hint="eastAsia" w:ascii="宋体" w:hAnsi="宋体" w:eastAsia="宋体" w:cs="Arial"/>
          <w:color w:val="000000"/>
          <w:sz w:val="24"/>
          <w:szCs w:val="20"/>
        </w:rPr>
        <w:t>0</w:t>
      </w:r>
      <w:r>
        <w:rPr>
          <w:rFonts w:ascii="宋体" w:hAnsi="宋体" w:eastAsia="宋体" w:cs="Arial"/>
          <w:color w:val="000000"/>
          <w:sz w:val="24"/>
          <w:szCs w:val="20"/>
        </w:rPr>
        <w:t>8E</w:t>
      </w:r>
      <w:r>
        <w:rPr>
          <w:rFonts w:hint="eastAsia" w:ascii="宋体" w:hAnsi="宋体" w:eastAsia="宋体" w:cs="Arial"/>
          <w:color w:val="000000"/>
          <w:sz w:val="24"/>
          <w:szCs w:val="20"/>
        </w:rPr>
        <w:t>x对讲机维修清单（I</w:t>
      </w:r>
      <w:r>
        <w:rPr>
          <w:rFonts w:ascii="宋体" w:hAnsi="宋体" w:eastAsia="宋体" w:cs="Arial"/>
          <w:color w:val="000000"/>
          <w:sz w:val="24"/>
          <w:szCs w:val="20"/>
        </w:rPr>
        <w:t>IC</w:t>
      </w:r>
      <w:r>
        <w:rPr>
          <w:rFonts w:hint="eastAsia" w:ascii="宋体" w:hAnsi="宋体" w:eastAsia="宋体" w:cs="Arial"/>
          <w:color w:val="000000"/>
          <w:sz w:val="24"/>
          <w:szCs w:val="20"/>
        </w:rPr>
        <w:t>级防爆）（表</w:t>
      </w:r>
      <w:r>
        <w:rPr>
          <w:rFonts w:ascii="宋体" w:hAnsi="宋体" w:eastAsia="宋体" w:cs="Arial"/>
          <w:color w:val="000000"/>
          <w:sz w:val="24"/>
          <w:szCs w:val="20"/>
        </w:rPr>
        <w:t>5-2</w:t>
      </w:r>
      <w:r>
        <w:rPr>
          <w:rFonts w:hint="eastAsia" w:ascii="宋体" w:hAnsi="宋体" w:eastAsia="宋体" w:cs="Arial"/>
          <w:color w:val="000000"/>
          <w:sz w:val="24"/>
          <w:szCs w:val="20"/>
        </w:rPr>
        <w:t>-</w:t>
      </w:r>
      <w:r>
        <w:rPr>
          <w:rFonts w:ascii="宋体" w:hAnsi="宋体" w:eastAsia="宋体" w:cs="Arial"/>
          <w:color w:val="000000"/>
          <w:sz w:val="24"/>
          <w:szCs w:val="20"/>
        </w:rPr>
        <w:t>3</w:t>
      </w:r>
      <w:r>
        <w:rPr>
          <w:rFonts w:hint="eastAsia" w:ascii="宋体" w:hAnsi="宋体" w:eastAsia="宋体" w:cs="Arial"/>
          <w:color w:val="000000"/>
          <w:sz w:val="24"/>
          <w:szCs w:val="20"/>
        </w:rPr>
        <w:t>）</w:t>
      </w:r>
    </w:p>
    <w:tbl>
      <w:tblPr>
        <w:tblStyle w:val="48"/>
        <w:tblW w:w="894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961"/>
        <w:gridCol w:w="20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序号</w:t>
            </w:r>
          </w:p>
        </w:tc>
        <w:tc>
          <w:tcPr>
            <w:tcW w:w="3961"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维修项目</w:t>
            </w:r>
          </w:p>
        </w:tc>
        <w:tc>
          <w:tcPr>
            <w:tcW w:w="2016"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型号</w:t>
            </w:r>
          </w:p>
        </w:tc>
        <w:tc>
          <w:tcPr>
            <w:tcW w:w="1732" w:type="dxa"/>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Arial"/>
                <w:color w:val="000000"/>
                <w:kern w:val="0"/>
                <w:szCs w:val="21"/>
              </w:rPr>
              <w:t>基准价.台/元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961"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天线座</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频道电位器</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音量电位器</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电池触片座</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顶部按键</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3961"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排线座</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键盘板</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喇叭</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更换前壳1</w:t>
            </w:r>
          </w:p>
        </w:tc>
        <w:tc>
          <w:tcPr>
            <w:tcW w:w="2016" w:type="dxa"/>
            <w:shd w:val="clear" w:color="auto" w:fill="auto"/>
            <w:vAlign w:val="center"/>
          </w:tcPr>
          <w:p>
            <w:pPr>
              <w:widowControl/>
              <w:jc w:val="center"/>
              <w:rPr>
                <w:rFonts w:ascii="宋体" w:hAnsi="宋体" w:cs="Arial"/>
                <w:color w:val="000000"/>
                <w:sz w:val="24"/>
              </w:rPr>
            </w:pPr>
            <w:r>
              <w:rPr>
                <w:rFonts w:ascii="宋体" w:hAnsi="宋体" w:cs="Arial"/>
                <w:color w:val="000000"/>
                <w:sz w:val="24"/>
              </w:rPr>
              <w:t>P8668E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更换前壳2</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接口板</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396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液晶屏</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P8668E</w:t>
            </w:r>
            <w:r>
              <w:rPr>
                <w:rFonts w:hint="eastAsia" w:ascii="宋体" w:hAnsi="宋体" w:cs="Arial"/>
                <w:color w:val="000000"/>
                <w:sz w:val="24"/>
              </w:rPr>
              <w:t>x/</w:t>
            </w: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13</w:t>
            </w:r>
          </w:p>
        </w:tc>
        <w:tc>
          <w:tcPr>
            <w:tcW w:w="3961"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保外不修检测人工费</w:t>
            </w:r>
          </w:p>
        </w:tc>
        <w:tc>
          <w:tcPr>
            <w:tcW w:w="2016" w:type="dxa"/>
            <w:shd w:val="clear" w:color="auto" w:fill="auto"/>
            <w:vAlign w:val="center"/>
          </w:tcPr>
          <w:p>
            <w:pPr>
              <w:widowControl/>
              <w:jc w:val="center"/>
              <w:rPr>
                <w:rFonts w:ascii="宋体" w:hAnsi="宋体" w:cs="宋体"/>
                <w:color w:val="000000"/>
                <w:kern w:val="0"/>
                <w:szCs w:val="21"/>
              </w:rPr>
            </w:pPr>
            <w:r>
              <w:rPr>
                <w:rFonts w:ascii="宋体" w:hAnsi="宋体" w:cs="Arial"/>
                <w:color w:val="000000"/>
                <w:sz w:val="24"/>
              </w:rPr>
              <w:t>P86</w:t>
            </w:r>
            <w:r>
              <w:rPr>
                <w:rFonts w:hint="eastAsia" w:ascii="宋体" w:hAnsi="宋体" w:cs="Arial"/>
                <w:color w:val="000000"/>
                <w:sz w:val="24"/>
              </w:rPr>
              <w:t>0</w:t>
            </w:r>
            <w:r>
              <w:rPr>
                <w:rFonts w:ascii="宋体" w:hAnsi="宋体" w:cs="Arial"/>
                <w:color w:val="000000"/>
                <w:sz w:val="24"/>
              </w:rPr>
              <w:t>8E</w:t>
            </w:r>
            <w:r>
              <w:rPr>
                <w:rFonts w:hint="eastAsia" w:ascii="宋体" w:hAnsi="宋体" w:cs="Arial"/>
                <w:color w:val="000000"/>
                <w:sz w:val="24"/>
              </w:rPr>
              <w:t>x</w:t>
            </w:r>
          </w:p>
        </w:tc>
        <w:tc>
          <w:tcPr>
            <w:tcW w:w="1732" w:type="dxa"/>
            <w:vAlign w:val="center"/>
          </w:tcPr>
          <w:p>
            <w:pPr>
              <w:widowControl/>
              <w:jc w:val="center"/>
              <w:rPr>
                <w:rFonts w:ascii="宋体" w:hAnsi="宋体" w:cs="宋体"/>
                <w:color w:val="000000"/>
                <w:kern w:val="0"/>
                <w:szCs w:val="21"/>
              </w:rPr>
            </w:pPr>
            <w:r>
              <w:rPr>
                <w:rFonts w:ascii="宋体" w:hAnsi="宋体" w:cs="宋体"/>
                <w:color w:val="000000"/>
                <w:kern w:val="0"/>
                <w:szCs w:val="21"/>
              </w:rPr>
              <w:t>120</w:t>
            </w:r>
            <w:r>
              <w:rPr>
                <w:rFonts w:hint="eastAsia" w:ascii="宋体" w:hAnsi="宋体" w:cs="宋体"/>
                <w:color w:val="000000"/>
                <w:kern w:val="0"/>
                <w:szCs w:val="21"/>
              </w:rPr>
              <w:t>　</w:t>
            </w:r>
          </w:p>
        </w:tc>
      </w:tr>
    </w:tbl>
    <w:p>
      <w:pPr>
        <w:pStyle w:val="2"/>
        <w:rPr>
          <w:rFonts w:hint="eastAsia"/>
          <w:b/>
          <w:sz w:val="24"/>
          <w:szCs w:val="24"/>
          <w:lang w:val="en-GB" w:eastAsia="zh-CN"/>
        </w:rPr>
      </w:pPr>
    </w:p>
    <w:p>
      <w:pPr>
        <w:pStyle w:val="2"/>
        <w:rPr>
          <w:rFonts w:hint="eastAsia"/>
          <w:b/>
          <w:sz w:val="24"/>
          <w:szCs w:val="24"/>
          <w:lang w:val="en-GB" w:eastAsia="zh-CN"/>
        </w:rPr>
      </w:pPr>
    </w:p>
    <w:p>
      <w:pPr>
        <w:spacing w:line="360" w:lineRule="auto"/>
        <w:rPr>
          <w:b/>
          <w:sz w:val="24"/>
          <w:szCs w:val="24"/>
          <w:lang w:val="en-GB"/>
        </w:rPr>
      </w:pPr>
      <w:r>
        <w:rPr>
          <w:b/>
          <w:sz w:val="24"/>
          <w:szCs w:val="24"/>
          <w:lang w:val="en-GB"/>
        </w:rPr>
        <w:t>5.3</w:t>
      </w:r>
      <w:r>
        <w:rPr>
          <w:rFonts w:hint="eastAsia"/>
          <w:b/>
          <w:sz w:val="24"/>
          <w:szCs w:val="24"/>
          <w:lang w:val="en-GB"/>
        </w:rPr>
        <w:t>应急服务内容及报价.（表5-</w:t>
      </w:r>
      <w:r>
        <w:rPr>
          <w:b/>
          <w:sz w:val="24"/>
          <w:szCs w:val="24"/>
          <w:lang w:val="en-GB"/>
        </w:rPr>
        <w:t>3</w:t>
      </w:r>
      <w:r>
        <w:rPr>
          <w:rFonts w:hint="eastAsia"/>
          <w:b/>
          <w:sz w:val="24"/>
          <w:szCs w:val="24"/>
          <w:lang w:val="en-GB"/>
        </w:rPr>
        <w:t>）</w:t>
      </w:r>
    </w:p>
    <w:tbl>
      <w:tblPr>
        <w:tblStyle w:val="49"/>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83"/>
        <w:gridCol w:w="4264"/>
        <w:gridCol w:w="85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16"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宋体"/>
                <w:b/>
                <w:bCs/>
                <w:color w:val="000000"/>
                <w:kern w:val="0"/>
                <w:sz w:val="21"/>
                <w:szCs w:val="21"/>
              </w:rPr>
              <w:t>序号</w:t>
            </w:r>
          </w:p>
        </w:tc>
        <w:tc>
          <w:tcPr>
            <w:tcW w:w="1183"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b/>
                <w:bCs/>
                <w:color w:val="000000"/>
                <w:kern w:val="0"/>
                <w:sz w:val="21"/>
                <w:szCs w:val="21"/>
              </w:rPr>
              <w:t>名称</w:t>
            </w:r>
          </w:p>
        </w:tc>
        <w:tc>
          <w:tcPr>
            <w:tcW w:w="4264"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b/>
                <w:bCs/>
                <w:color w:val="000000"/>
                <w:kern w:val="0"/>
                <w:sz w:val="21"/>
                <w:szCs w:val="21"/>
              </w:rPr>
              <w:t>专业检测内容</w:t>
            </w:r>
          </w:p>
        </w:tc>
        <w:tc>
          <w:tcPr>
            <w:tcW w:w="850"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b/>
                <w:bCs/>
                <w:color w:val="000000"/>
                <w:kern w:val="0"/>
                <w:sz w:val="21"/>
                <w:szCs w:val="21"/>
              </w:rPr>
              <w:t>单位</w:t>
            </w:r>
          </w:p>
        </w:tc>
        <w:tc>
          <w:tcPr>
            <w:tcW w:w="1448"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0"/>
                <w:szCs w:val="21"/>
              </w:rPr>
              <w:t>基准价.</w:t>
            </w:r>
            <w:r>
              <w:rPr>
                <w:rFonts w:ascii="宋体" w:hAnsi="宋体" w:cs="Arial"/>
                <w:color w:val="000000"/>
                <w:kern w:val="0"/>
                <w:sz w:val="20"/>
                <w:szCs w:val="21"/>
              </w:rPr>
              <w:t>次</w:t>
            </w:r>
            <w:r>
              <w:rPr>
                <w:rFonts w:hint="eastAsia" w:ascii="宋体" w:hAnsi="宋体" w:cs="Arial"/>
                <w:color w:val="000000"/>
                <w:kern w:val="0"/>
                <w:sz w:val="2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216" w:type="dxa"/>
            <w:vAlign w:val="center"/>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1"/>
                <w:szCs w:val="21"/>
              </w:rPr>
              <w:t>1</w:t>
            </w:r>
          </w:p>
        </w:tc>
        <w:tc>
          <w:tcPr>
            <w:tcW w:w="1183" w:type="dxa"/>
            <w:vAlign w:val="center"/>
          </w:tcPr>
          <w:p>
            <w:pPr>
              <w:adjustRightInd w:val="0"/>
              <w:snapToGrid w:val="0"/>
              <w:spacing w:line="360" w:lineRule="auto"/>
              <w:outlineLvl w:val="1"/>
              <w:rPr>
                <w:rFonts w:ascii="Arial" w:hAnsi="Arial" w:cs="Arial"/>
                <w:b/>
                <w:kern w:val="0"/>
                <w:sz w:val="21"/>
                <w:szCs w:val="21"/>
              </w:rPr>
            </w:pPr>
            <w:r>
              <w:rPr>
                <w:rFonts w:hint="eastAsia" w:ascii="宋体" w:hAnsi="宋体" w:cs="Arial"/>
                <w:color w:val="000000"/>
                <w:kern w:val="0"/>
                <w:sz w:val="21"/>
                <w:szCs w:val="21"/>
              </w:rPr>
              <w:t>紧急现场服务</w:t>
            </w:r>
          </w:p>
        </w:tc>
        <w:tc>
          <w:tcPr>
            <w:tcW w:w="4264" w:type="dxa"/>
            <w:vAlign w:val="center"/>
          </w:tcPr>
          <w:p>
            <w:pPr>
              <w:adjustRightInd w:val="0"/>
              <w:snapToGrid w:val="0"/>
              <w:spacing w:line="360" w:lineRule="auto"/>
              <w:outlineLvl w:val="1"/>
              <w:rPr>
                <w:rFonts w:hint="eastAsia" w:ascii="Arial" w:hAnsi="Arial" w:eastAsia="宋体" w:cs="Arial"/>
                <w:b/>
                <w:kern w:val="0"/>
                <w:sz w:val="21"/>
                <w:szCs w:val="21"/>
                <w:lang w:eastAsia="zh-CN"/>
              </w:rPr>
            </w:pPr>
            <w:bookmarkStart w:id="2" w:name="_Toc80712009"/>
            <w:bookmarkStart w:id="3" w:name="_Toc80712126"/>
            <w:bookmarkStart w:id="4" w:name="_Toc80716109"/>
            <w:bookmarkStart w:id="5" w:name="_Toc80110642"/>
            <w:bookmarkStart w:id="6" w:name="_Toc79505372"/>
            <w:bookmarkStart w:id="7" w:name="_Toc79398545"/>
            <w:r>
              <w:rPr>
                <w:rFonts w:hint="eastAsia" w:ascii="宋体" w:hAnsi="宋体" w:cs="Arial"/>
                <w:color w:val="000000"/>
                <w:kern w:val="0"/>
                <w:sz w:val="21"/>
                <w:szCs w:val="21"/>
              </w:rPr>
              <w:t>基站遇到重大问题，电话支持无法解决时，用户启动厂家现场服务后，原厂工程师动身并尽量在最短的时间内到达现场。工程师在现场研究问题，直至找到问题的解决方案并完成系统故障修复，在现场服务完成后提供此次服务的完整故障抢修过程和处理记录，紧急服务的本地现场服务有效时间为全年</w:t>
            </w:r>
            <w:r>
              <w:rPr>
                <w:rFonts w:ascii="宋体" w:hAnsi="宋体" w:cs="Arial"/>
                <w:color w:val="000000"/>
                <w:kern w:val="0"/>
                <w:sz w:val="21"/>
                <w:szCs w:val="21"/>
              </w:rPr>
              <w:t>7*24</w:t>
            </w:r>
            <w:r>
              <w:rPr>
                <w:rFonts w:hint="eastAsia" w:ascii="宋体" w:hAnsi="宋体" w:cs="Arial"/>
                <w:color w:val="000000"/>
                <w:kern w:val="0"/>
                <w:sz w:val="21"/>
                <w:szCs w:val="21"/>
              </w:rPr>
              <w:t>小时</w:t>
            </w:r>
            <w:bookmarkEnd w:id="2"/>
            <w:bookmarkEnd w:id="3"/>
            <w:bookmarkEnd w:id="4"/>
            <w:bookmarkEnd w:id="5"/>
            <w:bookmarkEnd w:id="6"/>
            <w:bookmarkEnd w:id="7"/>
            <w:r>
              <w:rPr>
                <w:rFonts w:hint="eastAsia" w:cs="Arial"/>
                <w:color w:val="000000"/>
                <w:kern w:val="0"/>
                <w:sz w:val="21"/>
                <w:szCs w:val="21"/>
                <w:lang w:eastAsia="zh-CN"/>
              </w:rPr>
              <w:t>。</w:t>
            </w:r>
          </w:p>
        </w:tc>
        <w:tc>
          <w:tcPr>
            <w:tcW w:w="850" w:type="dxa"/>
            <w:vMerge w:val="restart"/>
            <w:vAlign w:val="center"/>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1"/>
                <w:szCs w:val="21"/>
              </w:rPr>
              <w:t>次</w:t>
            </w:r>
          </w:p>
        </w:tc>
        <w:tc>
          <w:tcPr>
            <w:tcW w:w="1448" w:type="dxa"/>
            <w:vMerge w:val="restart"/>
            <w:vAlign w:val="center"/>
          </w:tcPr>
          <w:p>
            <w:pPr>
              <w:adjustRightInd w:val="0"/>
              <w:snapToGrid w:val="0"/>
              <w:spacing w:line="360" w:lineRule="auto"/>
              <w:outlineLvl w:val="1"/>
              <w:rPr>
                <w:rFonts w:ascii="Arial" w:hAnsi="Arial" w:cs="Arial"/>
                <w:b/>
                <w:kern w:val="0"/>
                <w:sz w:val="21"/>
                <w:szCs w:val="21"/>
              </w:rPr>
            </w:pPr>
            <w:r>
              <w:rPr>
                <w:rFonts w:ascii="宋体" w:hAnsi="宋体" w:cs="Arial"/>
                <w:color w:val="000000"/>
                <w:kern w:val="0"/>
                <w:sz w:val="21"/>
                <w:szCs w:val="21"/>
              </w:rPr>
              <w:t>　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216" w:type="dxa"/>
            <w:vAlign w:val="center"/>
          </w:tcPr>
          <w:p>
            <w:pPr>
              <w:adjustRightInd w:val="0"/>
              <w:snapToGrid w:val="0"/>
              <w:spacing w:line="360" w:lineRule="auto"/>
              <w:jc w:val="center"/>
              <w:outlineLvl w:val="1"/>
              <w:rPr>
                <w:rFonts w:ascii="宋体" w:hAnsi="宋体" w:cs="Arial"/>
                <w:color w:val="000000"/>
                <w:kern w:val="0"/>
                <w:sz w:val="21"/>
                <w:szCs w:val="21"/>
              </w:rPr>
            </w:pPr>
            <w:r>
              <w:rPr>
                <w:rFonts w:hint="eastAsia" w:ascii="宋体" w:hAnsi="宋体" w:cs="Arial"/>
                <w:kern w:val="0"/>
                <w:sz w:val="21"/>
                <w:szCs w:val="21"/>
              </w:rPr>
              <w:t>2</w:t>
            </w:r>
          </w:p>
        </w:tc>
        <w:tc>
          <w:tcPr>
            <w:tcW w:w="1183" w:type="dxa"/>
            <w:vAlign w:val="center"/>
          </w:tcPr>
          <w:p>
            <w:pPr>
              <w:adjustRightInd w:val="0"/>
              <w:snapToGrid w:val="0"/>
              <w:spacing w:line="360" w:lineRule="auto"/>
              <w:outlineLvl w:val="1"/>
              <w:rPr>
                <w:rFonts w:ascii="宋体" w:hAnsi="宋体" w:cs="Arial"/>
                <w:color w:val="000000"/>
                <w:kern w:val="0"/>
                <w:sz w:val="21"/>
                <w:szCs w:val="21"/>
              </w:rPr>
            </w:pPr>
            <w:r>
              <w:rPr>
                <w:rFonts w:ascii="宋体" w:hAnsi="宋体" w:cs="Arial"/>
                <w:color w:val="000000"/>
                <w:kern w:val="0"/>
                <w:sz w:val="21"/>
                <w:szCs w:val="21"/>
              </w:rPr>
              <w:t>应急</w:t>
            </w:r>
            <w:r>
              <w:rPr>
                <w:rFonts w:hint="eastAsia" w:ascii="宋体" w:hAnsi="宋体" w:cs="Arial"/>
                <w:color w:val="000000"/>
                <w:kern w:val="0"/>
                <w:sz w:val="21"/>
                <w:szCs w:val="21"/>
              </w:rPr>
              <w:t>服务</w:t>
            </w:r>
          </w:p>
        </w:tc>
        <w:tc>
          <w:tcPr>
            <w:tcW w:w="4264" w:type="dxa"/>
            <w:vAlign w:val="center"/>
          </w:tcPr>
          <w:p>
            <w:pPr>
              <w:adjustRightInd w:val="0"/>
              <w:snapToGrid w:val="0"/>
              <w:spacing w:line="360" w:lineRule="auto"/>
              <w:outlineLvl w:val="1"/>
              <w:rPr>
                <w:rFonts w:ascii="宋体" w:hAnsi="宋体" w:cs="Arial"/>
                <w:color w:val="000000"/>
                <w:kern w:val="0"/>
                <w:sz w:val="21"/>
                <w:szCs w:val="21"/>
              </w:rPr>
            </w:pPr>
            <w:bookmarkStart w:id="8" w:name="_Toc80712130"/>
            <w:bookmarkStart w:id="9" w:name="_Toc79398550"/>
            <w:bookmarkStart w:id="10" w:name="_Toc80110647"/>
            <w:bookmarkStart w:id="11" w:name="_Toc80712013"/>
            <w:bookmarkStart w:id="12" w:name="_Toc80716113"/>
            <w:bookmarkStart w:id="13" w:name="_Toc79505377"/>
            <w:r>
              <w:rPr>
                <w:rFonts w:ascii="宋体" w:hAnsi="宋体" w:cs="Arial"/>
                <w:color w:val="000000"/>
                <w:kern w:val="0"/>
                <w:sz w:val="21"/>
                <w:szCs w:val="21"/>
              </w:rPr>
              <w:t>厂方如遇极端天气或其它紧急事件需应急加强通信保障，提前介入检查各通信基站运行情况及配合用户制定应急预案，派员及携带预案中可能使用的相关设备及器材参与24小时值班，直至事件结束。</w:t>
            </w:r>
            <w:bookmarkEnd w:id="8"/>
            <w:bookmarkEnd w:id="9"/>
            <w:bookmarkEnd w:id="10"/>
            <w:bookmarkEnd w:id="11"/>
            <w:bookmarkEnd w:id="12"/>
            <w:bookmarkEnd w:id="13"/>
          </w:p>
        </w:tc>
        <w:tc>
          <w:tcPr>
            <w:tcW w:w="850" w:type="dxa"/>
            <w:vMerge w:val="continue"/>
            <w:vAlign w:val="center"/>
          </w:tcPr>
          <w:p>
            <w:pPr>
              <w:adjustRightInd w:val="0"/>
              <w:snapToGrid w:val="0"/>
              <w:spacing w:line="360" w:lineRule="auto"/>
              <w:outlineLvl w:val="1"/>
              <w:rPr>
                <w:rFonts w:ascii="宋体" w:hAnsi="宋体" w:cs="Arial"/>
                <w:color w:val="000000"/>
                <w:kern w:val="0"/>
                <w:sz w:val="21"/>
                <w:szCs w:val="21"/>
              </w:rPr>
            </w:pPr>
          </w:p>
        </w:tc>
        <w:tc>
          <w:tcPr>
            <w:tcW w:w="1448" w:type="dxa"/>
            <w:vMerge w:val="continue"/>
            <w:vAlign w:val="center"/>
          </w:tcPr>
          <w:p>
            <w:pPr>
              <w:adjustRightInd w:val="0"/>
              <w:snapToGrid w:val="0"/>
              <w:spacing w:line="360" w:lineRule="auto"/>
              <w:outlineLvl w:val="1"/>
              <w:rPr>
                <w:rFonts w:ascii="宋体" w:hAnsi="宋体" w:cs="Arial"/>
                <w:color w:val="000000"/>
                <w:kern w:val="0"/>
                <w:sz w:val="21"/>
                <w:szCs w:val="21"/>
              </w:rPr>
            </w:pPr>
          </w:p>
        </w:tc>
      </w:tr>
    </w:tbl>
    <w:p>
      <w:pPr>
        <w:pStyle w:val="2"/>
        <w:numPr>
          <w:ilvl w:val="255"/>
          <w:numId w:val="0"/>
        </w:numPr>
      </w:pP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w:t>
      </w:r>
    </w:p>
    <w:p>
      <w:pPr>
        <w:tabs>
          <w:tab w:val="left" w:pos="709"/>
        </w:tabs>
        <w:spacing w:line="600" w:lineRule="exact"/>
        <w:ind w:firstLine="480" w:firstLineChars="200"/>
        <w:rPr>
          <w:sz w:val="24"/>
          <w:szCs w:val="24"/>
          <w:u w:val="single"/>
        </w:rPr>
      </w:pPr>
      <w:r>
        <w:rPr>
          <w:rFonts w:hint="eastAsia"/>
          <w:sz w:val="24"/>
          <w:szCs w:val="24"/>
        </w:rPr>
        <w:t xml:space="preserve">     2、付款方式：</w:t>
      </w:r>
      <w:r>
        <w:rPr>
          <w:rFonts w:hint="eastAsia" w:ascii="宋体" w:hAnsi="宋体" w:eastAsia="宋体" w:cs="宋体"/>
          <w:sz w:val="24"/>
          <w:szCs w:val="24"/>
          <w:lang w:eastAsia="zh-CN"/>
        </w:rPr>
        <w:t>全部货款以现汇支付，</w:t>
      </w:r>
      <w:r>
        <w:rPr>
          <w:rFonts w:hint="eastAsia" w:ascii="宋体" w:hAnsi="宋体" w:eastAsia="宋体" w:cs="宋体"/>
          <w:sz w:val="24"/>
          <w:szCs w:val="24"/>
          <w:lang w:val="en-US" w:eastAsia="zh-CN"/>
        </w:rPr>
        <w:t>按实际维修量进行结算，当批次验收合格后支付100%货款，如出现维修质量等问题将从验收款或合同</w:t>
      </w:r>
      <w:r>
        <w:rPr>
          <w:rFonts w:hint="eastAsia" w:ascii="宋体" w:hAnsi="宋体" w:eastAsia="宋体" w:cs="宋体"/>
          <w:b w:val="0"/>
          <w:kern w:val="0"/>
          <w:sz w:val="24"/>
          <w:szCs w:val="24"/>
          <w:lang w:eastAsia="zh-CN"/>
        </w:rPr>
        <w:t>履约保证金</w:t>
      </w:r>
      <w:r>
        <w:rPr>
          <w:rFonts w:hint="eastAsia" w:ascii="宋体" w:hAnsi="宋体" w:eastAsia="宋体" w:cs="宋体"/>
          <w:b w:val="0"/>
          <w:kern w:val="0"/>
          <w:sz w:val="24"/>
          <w:szCs w:val="24"/>
          <w:lang w:val="en-US" w:eastAsia="zh-CN"/>
        </w:rPr>
        <w:t>中扣除</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bidi w:val="0"/>
        <w:snapToGrid/>
        <w:spacing w:line="480" w:lineRule="auto"/>
        <w:ind w:firstLine="2640" w:firstLineChars="1100"/>
        <w:rPr>
          <w:sz w:val="24"/>
          <w:szCs w:val="24"/>
          <w:u w:val="single"/>
        </w:rPr>
      </w:pPr>
      <w:r>
        <w:rPr>
          <w:rFonts w:hint="eastAsia"/>
          <w:sz w:val="24"/>
          <w:szCs w:val="24"/>
          <w:lang w:eastAsia="zh-CN"/>
        </w:rPr>
        <w:t>参比</w:t>
      </w:r>
      <w:r>
        <w:rPr>
          <w:rFonts w:hint="eastAsia"/>
          <w:sz w:val="24"/>
          <w:szCs w:val="24"/>
        </w:rPr>
        <w:t>人：</w:t>
      </w:r>
      <w:r>
        <w:rPr>
          <w:rFonts w:hint="eastAsia"/>
          <w:sz w:val="24"/>
          <w:szCs w:val="24"/>
          <w:u w:val="single"/>
        </w:rPr>
        <w:t xml:space="preserve">                    </w:t>
      </w:r>
      <w:r>
        <w:rPr>
          <w:rFonts w:hint="eastAsia"/>
          <w:color w:val="00B050"/>
          <w:sz w:val="24"/>
          <w:szCs w:val="24"/>
        </w:rPr>
        <w:t>（加盖单位</w:t>
      </w:r>
      <w:r>
        <w:rPr>
          <w:rFonts w:hint="eastAsia"/>
          <w:color w:val="00B050"/>
          <w:sz w:val="24"/>
          <w:szCs w:val="24"/>
          <w:lang w:val="en-US" w:eastAsia="zh-CN"/>
        </w:rPr>
        <w:t>公</w:t>
      </w:r>
      <w:r>
        <w:rPr>
          <w:rFonts w:hint="eastAsia"/>
          <w:color w:val="00B050"/>
          <w:sz w:val="24"/>
          <w:szCs w:val="24"/>
        </w:rPr>
        <w:t>章）</w:t>
      </w:r>
    </w:p>
    <w:p>
      <w:pPr>
        <w:keepNext w:val="0"/>
        <w:keepLines w:val="0"/>
        <w:pageBreakBefore w:val="0"/>
        <w:widowControl w:val="0"/>
        <w:kinsoku/>
        <w:wordWrap/>
        <w:overflowPunct/>
        <w:topLinePunct w:val="0"/>
        <w:bidi w:val="0"/>
        <w:snapToGrid/>
        <w:spacing w:line="480" w:lineRule="auto"/>
        <w:ind w:firstLine="2640" w:firstLineChars="11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keepNext w:val="0"/>
        <w:keepLines w:val="0"/>
        <w:pageBreakBefore w:val="0"/>
        <w:widowControl w:val="0"/>
        <w:kinsoku/>
        <w:wordWrap/>
        <w:overflowPunct/>
        <w:topLinePunct w:val="0"/>
        <w:bidi w:val="0"/>
        <w:snapToGrid/>
        <w:spacing w:line="480" w:lineRule="auto"/>
        <w:ind w:firstLine="2640" w:firstLineChars="1100"/>
        <w:rPr>
          <w:sz w:val="28"/>
          <w:u w:val="single"/>
          <w:lang w:eastAsia="zh-CN"/>
        </w:rPr>
      </w:pPr>
      <w:r>
        <w:rPr>
          <w:rFonts w:hint="eastAsia"/>
          <w:sz w:val="24"/>
          <w:szCs w:val="24"/>
          <w:lang w:eastAsia="zh-CN"/>
        </w:rPr>
        <w:t xml:space="preserve">编制时间： </w:t>
      </w:r>
      <w:r>
        <w:rPr>
          <w:rFonts w:hint="eastAsia"/>
          <w:sz w:val="24"/>
          <w:szCs w:val="24"/>
          <w:u w:val="single"/>
          <w:lang w:val="en-US" w:eastAsia="zh-CN"/>
        </w:rPr>
        <w:t>2025</w:t>
      </w:r>
      <w:r>
        <w:rPr>
          <w:rFonts w:hint="eastAsia"/>
          <w:sz w:val="24"/>
          <w:szCs w:val="24"/>
          <w:u w:val="single"/>
          <w:lang w:eastAsia="zh-CN"/>
        </w:rPr>
        <w:t>年       月          日</w:t>
      </w:r>
      <w:bookmarkEnd w:id="1"/>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1"/>
          <w:jc w:val="center"/>
        </w:pPr>
        <w:r>
          <w:fldChar w:fldCharType="begin"/>
        </w:r>
        <w:r>
          <w:instrText xml:space="preserve">PAGE   \* MERGEFORMAT</w:instrText>
        </w:r>
        <w:r>
          <w:fldChar w:fldCharType="separate"/>
        </w:r>
        <w:r>
          <w:rPr>
            <w:lang w:val="zh-CN" w:eastAsia="zh-CN"/>
          </w:rPr>
          <w:t>30</w:t>
        </w:r>
        <w:r>
          <w:rPr>
            <w:lang w:val="zh-CN" w:eastAsia="zh-CN"/>
          </w:rP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DA21413"/>
    <w:multiLevelType w:val="multilevel"/>
    <w:tmpl w:val="4DA21413"/>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1F47"/>
    <w:rsid w:val="00242301"/>
    <w:rsid w:val="002427A9"/>
    <w:rsid w:val="002431E7"/>
    <w:rsid w:val="002451B2"/>
    <w:rsid w:val="0024625A"/>
    <w:rsid w:val="002551DF"/>
    <w:rsid w:val="0025699E"/>
    <w:rsid w:val="002578E6"/>
    <w:rsid w:val="00263085"/>
    <w:rsid w:val="002648A2"/>
    <w:rsid w:val="002660DA"/>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B1706"/>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10FE"/>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C7C7C"/>
    <w:rsid w:val="00FD0D54"/>
    <w:rsid w:val="00FD1B14"/>
    <w:rsid w:val="00FD1DC9"/>
    <w:rsid w:val="00FD29D5"/>
    <w:rsid w:val="00FE65F9"/>
    <w:rsid w:val="00FF49E8"/>
    <w:rsid w:val="00FF5F83"/>
    <w:rsid w:val="01454C21"/>
    <w:rsid w:val="0367315B"/>
    <w:rsid w:val="039452D6"/>
    <w:rsid w:val="03CF0773"/>
    <w:rsid w:val="061139E5"/>
    <w:rsid w:val="06F50B00"/>
    <w:rsid w:val="076E1278"/>
    <w:rsid w:val="081A08AE"/>
    <w:rsid w:val="081D6F74"/>
    <w:rsid w:val="085E68DE"/>
    <w:rsid w:val="087D5A4F"/>
    <w:rsid w:val="08C77076"/>
    <w:rsid w:val="08D1141D"/>
    <w:rsid w:val="09130765"/>
    <w:rsid w:val="0A892BC4"/>
    <w:rsid w:val="0A8C5280"/>
    <w:rsid w:val="0B296DE2"/>
    <w:rsid w:val="0B3D504B"/>
    <w:rsid w:val="0B721453"/>
    <w:rsid w:val="0C6E0E0B"/>
    <w:rsid w:val="0D0126E0"/>
    <w:rsid w:val="0D2B76A4"/>
    <w:rsid w:val="0DA35449"/>
    <w:rsid w:val="0EFD592E"/>
    <w:rsid w:val="0FB5725B"/>
    <w:rsid w:val="0FB7670E"/>
    <w:rsid w:val="10294AA3"/>
    <w:rsid w:val="10E40CA0"/>
    <w:rsid w:val="12584C20"/>
    <w:rsid w:val="12B51BDE"/>
    <w:rsid w:val="13106B0A"/>
    <w:rsid w:val="136130D9"/>
    <w:rsid w:val="13805E8A"/>
    <w:rsid w:val="14762538"/>
    <w:rsid w:val="147A1673"/>
    <w:rsid w:val="15800409"/>
    <w:rsid w:val="15AD01BA"/>
    <w:rsid w:val="16AE1C29"/>
    <w:rsid w:val="16B72867"/>
    <w:rsid w:val="171E7DD2"/>
    <w:rsid w:val="173600E6"/>
    <w:rsid w:val="17572D2B"/>
    <w:rsid w:val="176A78D9"/>
    <w:rsid w:val="18DD4F7E"/>
    <w:rsid w:val="19544509"/>
    <w:rsid w:val="195B58A2"/>
    <w:rsid w:val="1989465C"/>
    <w:rsid w:val="19990A68"/>
    <w:rsid w:val="1A2360C8"/>
    <w:rsid w:val="1A377BA5"/>
    <w:rsid w:val="1AA82705"/>
    <w:rsid w:val="1AD5035F"/>
    <w:rsid w:val="1B6947A7"/>
    <w:rsid w:val="1C482B79"/>
    <w:rsid w:val="1CC40373"/>
    <w:rsid w:val="1D0E17D1"/>
    <w:rsid w:val="1D91737C"/>
    <w:rsid w:val="1E085A14"/>
    <w:rsid w:val="1E657D90"/>
    <w:rsid w:val="1ED93E25"/>
    <w:rsid w:val="1FF43DDB"/>
    <w:rsid w:val="20625E24"/>
    <w:rsid w:val="2072383D"/>
    <w:rsid w:val="20EB07C0"/>
    <w:rsid w:val="21860CB5"/>
    <w:rsid w:val="21933AA2"/>
    <w:rsid w:val="229A763D"/>
    <w:rsid w:val="22B76993"/>
    <w:rsid w:val="22E07B9F"/>
    <w:rsid w:val="231F5346"/>
    <w:rsid w:val="2333574E"/>
    <w:rsid w:val="24D60F58"/>
    <w:rsid w:val="254C5C71"/>
    <w:rsid w:val="25BF356F"/>
    <w:rsid w:val="25DB0C2D"/>
    <w:rsid w:val="267F6210"/>
    <w:rsid w:val="269469E7"/>
    <w:rsid w:val="26E07012"/>
    <w:rsid w:val="26EF5299"/>
    <w:rsid w:val="27981585"/>
    <w:rsid w:val="27A96F52"/>
    <w:rsid w:val="27DB5DE8"/>
    <w:rsid w:val="27E149AB"/>
    <w:rsid w:val="27EE0826"/>
    <w:rsid w:val="280F47C0"/>
    <w:rsid w:val="28640461"/>
    <w:rsid w:val="28A62183"/>
    <w:rsid w:val="2998140D"/>
    <w:rsid w:val="29FC3B14"/>
    <w:rsid w:val="2A056A4F"/>
    <w:rsid w:val="2A8C2B8E"/>
    <w:rsid w:val="2A9D5146"/>
    <w:rsid w:val="2AC816EC"/>
    <w:rsid w:val="2B11792E"/>
    <w:rsid w:val="2E666BF4"/>
    <w:rsid w:val="2F724BD0"/>
    <w:rsid w:val="2FC5779A"/>
    <w:rsid w:val="31AF3FB9"/>
    <w:rsid w:val="31C54755"/>
    <w:rsid w:val="31D23053"/>
    <w:rsid w:val="3216608C"/>
    <w:rsid w:val="328F13DA"/>
    <w:rsid w:val="33934388"/>
    <w:rsid w:val="33E423E8"/>
    <w:rsid w:val="34CE14C6"/>
    <w:rsid w:val="34D84CEC"/>
    <w:rsid w:val="35CF1523"/>
    <w:rsid w:val="35DC515B"/>
    <w:rsid w:val="36BA68B0"/>
    <w:rsid w:val="36E3619E"/>
    <w:rsid w:val="377B245D"/>
    <w:rsid w:val="37AF5AB7"/>
    <w:rsid w:val="381962C4"/>
    <w:rsid w:val="38366AAF"/>
    <w:rsid w:val="39E568DF"/>
    <w:rsid w:val="3A387F18"/>
    <w:rsid w:val="3B1C3371"/>
    <w:rsid w:val="3B910479"/>
    <w:rsid w:val="3C1E46D9"/>
    <w:rsid w:val="3CAE3A33"/>
    <w:rsid w:val="3CC23198"/>
    <w:rsid w:val="3CE30676"/>
    <w:rsid w:val="3DDF4815"/>
    <w:rsid w:val="3EBA23BA"/>
    <w:rsid w:val="3F1634F0"/>
    <w:rsid w:val="3F5C1B5D"/>
    <w:rsid w:val="3FE669E5"/>
    <w:rsid w:val="41EB5470"/>
    <w:rsid w:val="449B3628"/>
    <w:rsid w:val="44B33DBE"/>
    <w:rsid w:val="44B70186"/>
    <w:rsid w:val="454E6306"/>
    <w:rsid w:val="459C39D0"/>
    <w:rsid w:val="462A54F2"/>
    <w:rsid w:val="486C4718"/>
    <w:rsid w:val="4A286FFC"/>
    <w:rsid w:val="4A6A5207"/>
    <w:rsid w:val="4B3B68BB"/>
    <w:rsid w:val="4B410375"/>
    <w:rsid w:val="4B876203"/>
    <w:rsid w:val="50F63E28"/>
    <w:rsid w:val="51374633"/>
    <w:rsid w:val="5221007F"/>
    <w:rsid w:val="52773363"/>
    <w:rsid w:val="52926B5A"/>
    <w:rsid w:val="52B7258B"/>
    <w:rsid w:val="52F74B88"/>
    <w:rsid w:val="53900990"/>
    <w:rsid w:val="542A5B09"/>
    <w:rsid w:val="545C5E51"/>
    <w:rsid w:val="5486175B"/>
    <w:rsid w:val="564F1246"/>
    <w:rsid w:val="56A70955"/>
    <w:rsid w:val="57667D24"/>
    <w:rsid w:val="57714AA1"/>
    <w:rsid w:val="57C67347"/>
    <w:rsid w:val="57CE5BC3"/>
    <w:rsid w:val="57E04032"/>
    <w:rsid w:val="58A74788"/>
    <w:rsid w:val="5998493F"/>
    <w:rsid w:val="59B9557B"/>
    <w:rsid w:val="59C5385A"/>
    <w:rsid w:val="5A2D3E44"/>
    <w:rsid w:val="5A3260D4"/>
    <w:rsid w:val="5AD75FB8"/>
    <w:rsid w:val="5AE1516A"/>
    <w:rsid w:val="5B1D7EB6"/>
    <w:rsid w:val="5B3226FA"/>
    <w:rsid w:val="5B6A3A79"/>
    <w:rsid w:val="5C1A5F7B"/>
    <w:rsid w:val="5D3750C3"/>
    <w:rsid w:val="5D7A3273"/>
    <w:rsid w:val="5DC1369C"/>
    <w:rsid w:val="5E2B4120"/>
    <w:rsid w:val="60143739"/>
    <w:rsid w:val="601675AC"/>
    <w:rsid w:val="60342B61"/>
    <w:rsid w:val="60FA2570"/>
    <w:rsid w:val="616F5207"/>
    <w:rsid w:val="628D3982"/>
    <w:rsid w:val="62E96122"/>
    <w:rsid w:val="645771F8"/>
    <w:rsid w:val="65D57404"/>
    <w:rsid w:val="665E3499"/>
    <w:rsid w:val="66CC0AF0"/>
    <w:rsid w:val="67CE38BB"/>
    <w:rsid w:val="68246BFD"/>
    <w:rsid w:val="693C3D94"/>
    <w:rsid w:val="69962A8F"/>
    <w:rsid w:val="6A3E5143"/>
    <w:rsid w:val="6A54112D"/>
    <w:rsid w:val="6A701C86"/>
    <w:rsid w:val="6A9109B8"/>
    <w:rsid w:val="6AA035AE"/>
    <w:rsid w:val="6BCB034D"/>
    <w:rsid w:val="6C0E1756"/>
    <w:rsid w:val="6C2B2406"/>
    <w:rsid w:val="6C4E6286"/>
    <w:rsid w:val="6D1B5A5A"/>
    <w:rsid w:val="6E0F2E14"/>
    <w:rsid w:val="6E2651CA"/>
    <w:rsid w:val="6E71313D"/>
    <w:rsid w:val="6EAB091C"/>
    <w:rsid w:val="6F1E141D"/>
    <w:rsid w:val="6F5354F8"/>
    <w:rsid w:val="6FD7133B"/>
    <w:rsid w:val="6FFA0B45"/>
    <w:rsid w:val="708D4CAF"/>
    <w:rsid w:val="71D648EC"/>
    <w:rsid w:val="727810B8"/>
    <w:rsid w:val="7293546A"/>
    <w:rsid w:val="72E05B2C"/>
    <w:rsid w:val="72EF5B99"/>
    <w:rsid w:val="740A2BDE"/>
    <w:rsid w:val="74433A3F"/>
    <w:rsid w:val="751839E0"/>
    <w:rsid w:val="75300E77"/>
    <w:rsid w:val="756178E9"/>
    <w:rsid w:val="75A1093B"/>
    <w:rsid w:val="75BE7C69"/>
    <w:rsid w:val="76274F93"/>
    <w:rsid w:val="77B8187A"/>
    <w:rsid w:val="79670CA0"/>
    <w:rsid w:val="79EB3F2F"/>
    <w:rsid w:val="79FD3C4B"/>
    <w:rsid w:val="7A1D7427"/>
    <w:rsid w:val="7B11789E"/>
    <w:rsid w:val="7BBE1BF5"/>
    <w:rsid w:val="7C842024"/>
    <w:rsid w:val="7D250FF6"/>
    <w:rsid w:val="7D845840"/>
    <w:rsid w:val="7DC94A0A"/>
    <w:rsid w:val="7DD416E3"/>
    <w:rsid w:val="7E604868"/>
    <w:rsid w:val="7E703836"/>
    <w:rsid w:val="7E9C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0"/>
    <w:pPr>
      <w:ind w:left="538"/>
      <w:outlineLvl w:val="0"/>
    </w:pPr>
    <w:rPr>
      <w:b/>
      <w:bCs/>
      <w:sz w:val="28"/>
      <w:szCs w:val="28"/>
    </w:rPr>
  </w:style>
  <w:style w:type="paragraph" w:styleId="4">
    <w:name w:val="heading 2"/>
    <w:basedOn w:val="1"/>
    <w:next w:val="1"/>
    <w:link w:val="62"/>
    <w:qFormat/>
    <w:uiPriority w:val="0"/>
    <w:pPr>
      <w:ind w:left="629"/>
      <w:outlineLvl w:val="1"/>
    </w:pPr>
    <w:rPr>
      <w:b/>
      <w:bCs/>
      <w:sz w:val="24"/>
      <w:szCs w:val="24"/>
    </w:rPr>
  </w:style>
  <w:style w:type="paragraph" w:styleId="5">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0"/>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0"/>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next w:val="1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1">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71"/>
    <w:qFormat/>
    <w:uiPriority w:val="1"/>
    <w:rPr>
      <w:sz w:val="24"/>
      <w:szCs w:val="24"/>
    </w:rPr>
  </w:style>
  <w:style w:type="paragraph" w:styleId="22">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72"/>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73"/>
    <w:qFormat/>
    <w:uiPriority w:val="99"/>
    <w:pPr>
      <w:tabs>
        <w:tab w:val="center" w:pos="4153"/>
        <w:tab w:val="right" w:pos="8306"/>
      </w:tabs>
      <w:snapToGrid w:val="0"/>
    </w:pPr>
    <w:rPr>
      <w:sz w:val="18"/>
      <w:szCs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4"/>
    <w:qFormat/>
    <w:uiPriority w:val="0"/>
    <w:pPr>
      <w:widowControl/>
    </w:pPr>
    <w:rPr>
      <w:b/>
      <w:bCs/>
      <w:sz w:val="24"/>
      <w:szCs w:val="24"/>
    </w:rPr>
  </w:style>
  <w:style w:type="paragraph" w:styleId="46">
    <w:name w:val="Body Text First Indent"/>
    <w:basedOn w:val="21"/>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2"/>
    <w:next w:val="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2490F8"/>
      <w:u w:val="none"/>
    </w:rPr>
  </w:style>
  <w:style w:type="character" w:styleId="54">
    <w:name w:val="Emphasis"/>
    <w:basedOn w:val="50"/>
    <w:qFormat/>
    <w:uiPriority w:val="0"/>
  </w:style>
  <w:style w:type="character" w:styleId="55">
    <w:name w:val="HTML Definition"/>
    <w:basedOn w:val="50"/>
    <w:semiHidden/>
    <w:unhideWhenUsed/>
    <w:qFormat/>
    <w:uiPriority w:val="0"/>
  </w:style>
  <w:style w:type="character" w:styleId="56">
    <w:name w:val="HTML Variable"/>
    <w:basedOn w:val="50"/>
    <w:semiHidden/>
    <w:unhideWhenUsed/>
    <w:qFormat/>
    <w:uiPriority w:val="0"/>
  </w:style>
  <w:style w:type="character" w:styleId="57">
    <w:name w:val="Hyperlink"/>
    <w:basedOn w:val="50"/>
    <w:qFormat/>
    <w:uiPriority w:val="0"/>
    <w:rPr>
      <w:color w:val="0000FF" w:themeColor="hyperlink"/>
      <w:u w:val="single"/>
    </w:rPr>
  </w:style>
  <w:style w:type="character" w:styleId="58">
    <w:name w:val="HTML Code"/>
    <w:basedOn w:val="50"/>
    <w:semiHidden/>
    <w:unhideWhenUsed/>
    <w:qFormat/>
    <w:uiPriority w:val="0"/>
    <w:rPr>
      <w:rFonts w:ascii="Courier New" w:hAnsi="Courier New"/>
      <w:sz w:val="20"/>
    </w:rPr>
  </w:style>
  <w:style w:type="character" w:styleId="59">
    <w:name w:val="annotation reference"/>
    <w:basedOn w:val="50"/>
    <w:qFormat/>
    <w:uiPriority w:val="0"/>
    <w:rPr>
      <w:sz w:val="21"/>
      <w:szCs w:val="21"/>
    </w:rPr>
  </w:style>
  <w:style w:type="character" w:styleId="60">
    <w:name w:val="HTML Cite"/>
    <w:basedOn w:val="50"/>
    <w:semiHidden/>
    <w:unhideWhenUsed/>
    <w:qFormat/>
    <w:uiPriority w:val="0"/>
  </w:style>
  <w:style w:type="character" w:customStyle="1" w:styleId="61">
    <w:name w:val="标题 1 Char"/>
    <w:basedOn w:val="50"/>
    <w:link w:val="3"/>
    <w:qFormat/>
    <w:uiPriority w:val="0"/>
    <w:rPr>
      <w:rFonts w:ascii="宋体" w:hAnsi="宋体" w:cs="宋体"/>
      <w:b/>
      <w:bCs/>
      <w:sz w:val="28"/>
      <w:szCs w:val="28"/>
      <w:lang w:eastAsia="en-US"/>
    </w:rPr>
  </w:style>
  <w:style w:type="character" w:customStyle="1" w:styleId="62">
    <w:name w:val="标题 2 Char"/>
    <w:basedOn w:val="50"/>
    <w:link w:val="4"/>
    <w:qFormat/>
    <w:uiPriority w:val="0"/>
    <w:rPr>
      <w:rFonts w:ascii="宋体" w:hAnsi="宋体" w:cs="宋体"/>
      <w:b/>
      <w:bCs/>
      <w:sz w:val="24"/>
      <w:szCs w:val="24"/>
      <w:lang w:eastAsia="en-US"/>
    </w:rPr>
  </w:style>
  <w:style w:type="character" w:customStyle="1" w:styleId="63">
    <w:name w:val="标题 3 Char"/>
    <w:basedOn w:val="50"/>
    <w:link w:val="5"/>
    <w:qFormat/>
    <w:uiPriority w:val="0"/>
    <w:rPr>
      <w:b/>
      <w:bCs/>
      <w:kern w:val="2"/>
      <w:sz w:val="32"/>
      <w:szCs w:val="32"/>
    </w:rPr>
  </w:style>
  <w:style w:type="character" w:customStyle="1" w:styleId="64">
    <w:name w:val="标题 4 Char"/>
    <w:basedOn w:val="50"/>
    <w:link w:val="6"/>
    <w:qFormat/>
    <w:uiPriority w:val="0"/>
    <w:rPr>
      <w:b/>
      <w:kern w:val="2"/>
      <w:sz w:val="24"/>
      <w:szCs w:val="24"/>
    </w:rPr>
  </w:style>
  <w:style w:type="character" w:customStyle="1" w:styleId="65">
    <w:name w:val="标题 5 Char"/>
    <w:basedOn w:val="50"/>
    <w:link w:val="7"/>
    <w:qFormat/>
    <w:uiPriority w:val="0"/>
    <w:rPr>
      <w:b/>
      <w:bCs/>
      <w:kern w:val="2"/>
      <w:sz w:val="28"/>
      <w:szCs w:val="28"/>
    </w:rPr>
  </w:style>
  <w:style w:type="character" w:customStyle="1" w:styleId="66">
    <w:name w:val="标题 6 Char"/>
    <w:basedOn w:val="50"/>
    <w:link w:val="8"/>
    <w:qFormat/>
    <w:uiPriority w:val="0"/>
    <w:rPr>
      <w:b/>
      <w:sz w:val="24"/>
    </w:rPr>
  </w:style>
  <w:style w:type="character" w:customStyle="1" w:styleId="67">
    <w:name w:val="正文缩进 Char"/>
    <w:basedOn w:val="50"/>
    <w:link w:val="10"/>
    <w:qFormat/>
    <w:uiPriority w:val="0"/>
    <w:rPr>
      <w:sz w:val="24"/>
    </w:rPr>
  </w:style>
  <w:style w:type="character" w:customStyle="1" w:styleId="68">
    <w:name w:val="标题 7 Char"/>
    <w:basedOn w:val="50"/>
    <w:link w:val="9"/>
    <w:qFormat/>
    <w:uiPriority w:val="0"/>
    <w:rPr>
      <w:b/>
      <w:kern w:val="2"/>
      <w:sz w:val="24"/>
    </w:rPr>
  </w:style>
  <w:style w:type="character" w:customStyle="1" w:styleId="69">
    <w:name w:val="标题 8 Char"/>
    <w:basedOn w:val="50"/>
    <w:link w:val="12"/>
    <w:qFormat/>
    <w:uiPriority w:val="0"/>
    <w:rPr>
      <w:rFonts w:ascii="Arial" w:hAnsi="Arial" w:eastAsia="黑体"/>
      <w:kern w:val="2"/>
      <w:sz w:val="24"/>
    </w:rPr>
  </w:style>
  <w:style w:type="character" w:customStyle="1" w:styleId="70">
    <w:name w:val="标题 9 Char"/>
    <w:basedOn w:val="50"/>
    <w:link w:val="13"/>
    <w:qFormat/>
    <w:uiPriority w:val="0"/>
    <w:rPr>
      <w:rFonts w:ascii="Arial" w:hAnsi="Arial" w:eastAsia="黑体"/>
      <w:kern w:val="2"/>
      <w:sz w:val="21"/>
    </w:rPr>
  </w:style>
  <w:style w:type="character" w:customStyle="1" w:styleId="71">
    <w:name w:val="正文文本 Char1"/>
    <w:basedOn w:val="50"/>
    <w:link w:val="21"/>
    <w:qFormat/>
    <w:uiPriority w:val="1"/>
    <w:rPr>
      <w:rFonts w:ascii="宋体" w:hAnsi="宋体" w:cs="宋体"/>
      <w:sz w:val="24"/>
      <w:szCs w:val="24"/>
      <w:lang w:eastAsia="en-US"/>
    </w:rPr>
  </w:style>
  <w:style w:type="character" w:customStyle="1" w:styleId="72">
    <w:name w:val="纯文本 Char"/>
    <w:basedOn w:val="50"/>
    <w:link w:val="26"/>
    <w:qFormat/>
    <w:uiPriority w:val="0"/>
    <w:rPr>
      <w:rFonts w:ascii="宋体" w:hAnsi="Courier New" w:cs="Courier New"/>
      <w:sz w:val="22"/>
      <w:szCs w:val="21"/>
      <w:lang w:eastAsia="en-US"/>
    </w:rPr>
  </w:style>
  <w:style w:type="character" w:customStyle="1" w:styleId="73">
    <w:name w:val="页脚 Char"/>
    <w:basedOn w:val="50"/>
    <w:link w:val="31"/>
    <w:qFormat/>
    <w:uiPriority w:val="99"/>
    <w:rPr>
      <w:rFonts w:ascii="宋体" w:hAnsi="宋体" w:cs="宋体"/>
      <w:sz w:val="18"/>
      <w:szCs w:val="18"/>
      <w:lang w:eastAsia="en-US"/>
    </w:rPr>
  </w:style>
  <w:style w:type="character" w:customStyle="1" w:styleId="74">
    <w:name w:val="页眉 Char"/>
    <w:basedOn w:val="50"/>
    <w:link w:val="11"/>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0"/>
    <w:link w:val="20"/>
    <w:qFormat/>
    <w:uiPriority w:val="0"/>
    <w:rPr>
      <w:b/>
      <w:kern w:val="2"/>
      <w:sz w:val="21"/>
    </w:rPr>
  </w:style>
  <w:style w:type="character" w:customStyle="1" w:styleId="82">
    <w:name w:val="普通(网站) Char"/>
    <w:basedOn w:val="50"/>
    <w:link w:val="42"/>
    <w:qFormat/>
    <w:locked/>
    <w:uiPriority w:val="0"/>
    <w:rPr>
      <w:rFonts w:ascii="宋体" w:hAnsi="宋体" w:cs="宋体"/>
      <w:sz w:val="24"/>
      <w:szCs w:val="24"/>
    </w:rPr>
  </w:style>
  <w:style w:type="character" w:customStyle="1" w:styleId="83">
    <w:name w:val="xdrichtextbox2"/>
    <w:basedOn w:val="50"/>
    <w:qFormat/>
    <w:uiPriority w:val="0"/>
    <w:rPr>
      <w:color w:val="0000FF"/>
      <w:sz w:val="18"/>
      <w:szCs w:val="18"/>
      <w:u w:val="none"/>
      <w:bdr w:val="single" w:color="DCDCDC" w:sz="8" w:space="0"/>
      <w:shd w:val="clear" w:color="auto" w:fill="FFFFFF"/>
    </w:rPr>
  </w:style>
  <w:style w:type="character" w:customStyle="1" w:styleId="84">
    <w:name w:val="apple-converted-space"/>
    <w:basedOn w:val="50"/>
    <w:qFormat/>
    <w:uiPriority w:val="0"/>
  </w:style>
  <w:style w:type="character" w:customStyle="1" w:styleId="85">
    <w:name w:val="无间隔 Char"/>
    <w:basedOn w:val="50"/>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0"/>
    <w:link w:val="18"/>
    <w:qFormat/>
    <w:uiPriority w:val="0"/>
    <w:rPr>
      <w:kern w:val="2"/>
      <w:sz w:val="21"/>
    </w:rPr>
  </w:style>
  <w:style w:type="character" w:customStyle="1" w:styleId="88">
    <w:name w:val="批注框文本 Char"/>
    <w:basedOn w:val="50"/>
    <w:link w:val="30"/>
    <w:qFormat/>
    <w:uiPriority w:val="0"/>
    <w:rPr>
      <w:kern w:val="2"/>
      <w:sz w:val="18"/>
      <w:szCs w:val="18"/>
    </w:rPr>
  </w:style>
  <w:style w:type="character" w:customStyle="1" w:styleId="89">
    <w:name w:val="正文文本缩进 3 Char"/>
    <w:basedOn w:val="50"/>
    <w:link w:val="36"/>
    <w:qFormat/>
    <w:uiPriority w:val="0"/>
    <w:rPr>
      <w:kern w:val="2"/>
      <w:sz w:val="28"/>
    </w:rPr>
  </w:style>
  <w:style w:type="character" w:customStyle="1" w:styleId="90">
    <w:name w:val="正文文本缩进 2 Char"/>
    <w:basedOn w:val="50"/>
    <w:link w:val="29"/>
    <w:qFormat/>
    <w:uiPriority w:val="0"/>
    <w:rPr>
      <w:rFonts w:ascii="宋体" w:hAnsi="宋体"/>
      <w:iCs/>
      <w:kern w:val="2"/>
      <w:sz w:val="24"/>
      <w:szCs w:val="24"/>
    </w:rPr>
  </w:style>
  <w:style w:type="character" w:customStyle="1" w:styleId="91">
    <w:name w:val="正文文本 Char"/>
    <w:basedOn w:val="50"/>
    <w:qFormat/>
    <w:uiPriority w:val="0"/>
    <w:rPr>
      <w:rFonts w:eastAsia="宋体"/>
      <w:sz w:val="24"/>
      <w:szCs w:val="24"/>
      <w:lang w:val="en-US" w:eastAsia="zh-CN" w:bidi="ar-SA"/>
    </w:rPr>
  </w:style>
  <w:style w:type="character" w:customStyle="1" w:styleId="92">
    <w:name w:val="en1"/>
    <w:basedOn w:val="50"/>
    <w:qFormat/>
    <w:uiPriority w:val="0"/>
    <w:rPr>
      <w:b/>
      <w:bCs/>
      <w:color w:val="154C7F"/>
      <w:sz w:val="24"/>
      <w:szCs w:val="24"/>
    </w:rPr>
  </w:style>
  <w:style w:type="character" w:customStyle="1" w:styleId="93">
    <w:name w:val="font01"/>
    <w:basedOn w:val="50"/>
    <w:qFormat/>
    <w:uiPriority w:val="0"/>
    <w:rPr>
      <w:rFonts w:hint="eastAsia" w:ascii="宋体" w:hAnsi="宋体" w:eastAsia="宋体" w:cs="宋体"/>
      <w:color w:val="000000"/>
      <w:sz w:val="20"/>
      <w:szCs w:val="20"/>
      <w:u w:val="none"/>
    </w:rPr>
  </w:style>
  <w:style w:type="character" w:customStyle="1" w:styleId="94">
    <w:name w:val="标题 Char"/>
    <w:basedOn w:val="50"/>
    <w:link w:val="44"/>
    <w:qFormat/>
    <w:uiPriority w:val="0"/>
    <w:rPr>
      <w:rFonts w:ascii="Arial" w:hAnsi="Arial" w:cs="Arial"/>
      <w:b/>
      <w:bCs/>
      <w:sz w:val="44"/>
      <w:szCs w:val="32"/>
    </w:rPr>
  </w:style>
  <w:style w:type="character" w:customStyle="1" w:styleId="95">
    <w:name w:val="正文文本缩进 Char"/>
    <w:basedOn w:val="50"/>
    <w:link w:val="22"/>
    <w:qFormat/>
    <w:uiPriority w:val="0"/>
    <w:rPr>
      <w:i/>
      <w:iCs/>
      <w:kern w:val="2"/>
      <w:sz w:val="21"/>
    </w:rPr>
  </w:style>
  <w:style w:type="character" w:customStyle="1" w:styleId="96">
    <w:name w:val="正文文本 3 Char"/>
    <w:basedOn w:val="50"/>
    <w:link w:val="19"/>
    <w:qFormat/>
    <w:uiPriority w:val="0"/>
    <w:rPr>
      <w:color w:val="0000FF"/>
      <w:kern w:val="2"/>
      <w:sz w:val="24"/>
      <w:szCs w:val="24"/>
    </w:rPr>
  </w:style>
  <w:style w:type="character" w:customStyle="1" w:styleId="97">
    <w:name w:val="font11"/>
    <w:basedOn w:val="50"/>
    <w:qFormat/>
    <w:uiPriority w:val="0"/>
    <w:rPr>
      <w:rFonts w:hint="default" w:ascii="Times New Roman" w:hAnsi="Times New Roman" w:cs="Times New Roman"/>
      <w:color w:val="000000"/>
      <w:sz w:val="20"/>
      <w:szCs w:val="20"/>
      <w:u w:val="none"/>
    </w:rPr>
  </w:style>
  <w:style w:type="character" w:customStyle="1" w:styleId="98">
    <w:name w:val="glossaryitem"/>
    <w:basedOn w:val="50"/>
    <w:qFormat/>
    <w:uiPriority w:val="0"/>
    <w:rPr>
      <w:u w:val="none"/>
    </w:rPr>
  </w:style>
  <w:style w:type="character" w:customStyle="1" w:styleId="99">
    <w:name w:val="HTML 预设格式 Char"/>
    <w:basedOn w:val="50"/>
    <w:link w:val="41"/>
    <w:qFormat/>
    <w:uiPriority w:val="0"/>
    <w:rPr>
      <w:rFonts w:ascii="Arial Unicode MS" w:hAnsi="Arial Unicode MS" w:eastAsia="Courier New" w:cs="Courier New"/>
    </w:rPr>
  </w:style>
  <w:style w:type="character" w:customStyle="1" w:styleId="100">
    <w:name w:val="文档结构图 Char"/>
    <w:basedOn w:val="50"/>
    <w:link w:val="17"/>
    <w:qFormat/>
    <w:uiPriority w:val="0"/>
    <w:rPr>
      <w:rFonts w:ascii="宋体"/>
      <w:sz w:val="28"/>
      <w:shd w:val="clear" w:color="auto" w:fill="000080"/>
    </w:rPr>
  </w:style>
  <w:style w:type="character" w:customStyle="1" w:styleId="101">
    <w:name w:val="日期 Char"/>
    <w:basedOn w:val="50"/>
    <w:link w:val="28"/>
    <w:qFormat/>
    <w:uiPriority w:val="0"/>
    <w:rPr>
      <w:kern w:val="2"/>
      <w:sz w:val="21"/>
      <w:szCs w:val="24"/>
    </w:rPr>
  </w:style>
  <w:style w:type="character" w:customStyle="1" w:styleId="102">
    <w:name w:val="正文文本 2 Char"/>
    <w:basedOn w:val="50"/>
    <w:link w:val="39"/>
    <w:qFormat/>
    <w:uiPriority w:val="0"/>
    <w:rPr>
      <w:kern w:val="2"/>
      <w:sz w:val="21"/>
      <w:szCs w:val="24"/>
    </w:rPr>
  </w:style>
  <w:style w:type="character" w:customStyle="1" w:styleId="103">
    <w:name w:val="正文首行缩进 Char"/>
    <w:basedOn w:val="91"/>
    <w:link w:val="46"/>
    <w:qFormat/>
    <w:uiPriority w:val="0"/>
    <w:rPr>
      <w:rFonts w:eastAsia="宋体"/>
      <w:sz w:val="21"/>
      <w:szCs w:val="21"/>
      <w:lang w:val="en-US" w:eastAsia="zh-CN" w:bidi="ar-SA"/>
    </w:rPr>
  </w:style>
  <w:style w:type="character" w:customStyle="1" w:styleId="104">
    <w:name w:val="批注主题 Char"/>
    <w:basedOn w:val="87"/>
    <w:link w:val="45"/>
    <w:qFormat/>
    <w:uiPriority w:val="0"/>
    <w:rPr>
      <w:b/>
      <w:bCs/>
      <w:kern w:val="2"/>
      <w:sz w:val="24"/>
      <w:szCs w:val="24"/>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0"/>
    <w:link w:val="40"/>
    <w:qFormat/>
    <w:uiPriority w:val="0"/>
    <w:rPr>
      <w:rFonts w:ascii="Arial" w:hAnsi="Arial" w:cs="Arial"/>
      <w:kern w:val="2"/>
      <w:sz w:val="24"/>
      <w:szCs w:val="24"/>
      <w:shd w:val="pct20" w:color="auto" w:fill="auto"/>
    </w:rPr>
  </w:style>
  <w:style w:type="character" w:customStyle="1" w:styleId="109">
    <w:name w:val="正文文本 3 Char1"/>
    <w:basedOn w:val="50"/>
    <w:qFormat/>
    <w:uiPriority w:val="0"/>
    <w:rPr>
      <w:rFonts w:ascii="宋体" w:hAnsi="宋体" w:cs="宋体"/>
      <w:sz w:val="16"/>
      <w:szCs w:val="16"/>
      <w:lang w:eastAsia="en-US"/>
    </w:rPr>
  </w:style>
  <w:style w:type="paragraph" w:customStyle="1" w:styleId="110">
    <w:name w:val="封面页眉"/>
    <w:basedOn w:val="1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0"/>
    <w:qFormat/>
    <w:uiPriority w:val="0"/>
    <w:rPr>
      <w:rFonts w:ascii="宋体" w:hAnsi="宋体" w:cs="宋体"/>
      <w:sz w:val="22"/>
      <w:szCs w:val="22"/>
      <w:lang w:eastAsia="en-US"/>
    </w:rPr>
  </w:style>
  <w:style w:type="character" w:customStyle="1" w:styleId="113">
    <w:name w:val="批注文字 Char1"/>
    <w:basedOn w:val="50"/>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0"/>
    <w:qFormat/>
    <w:uiPriority w:val="0"/>
    <w:rPr>
      <w:rFonts w:ascii="宋体" w:hAnsi="宋体" w:cs="宋体"/>
      <w:sz w:val="18"/>
      <w:szCs w:val="18"/>
      <w:lang w:eastAsia="en-US"/>
    </w:rPr>
  </w:style>
  <w:style w:type="character" w:customStyle="1" w:styleId="118">
    <w:name w:val="日期 Char1"/>
    <w:basedOn w:val="50"/>
    <w:qFormat/>
    <w:uiPriority w:val="0"/>
    <w:rPr>
      <w:rFonts w:ascii="宋体" w:hAnsi="宋体" w:cs="宋体"/>
      <w:sz w:val="22"/>
      <w:szCs w:val="22"/>
      <w:lang w:eastAsia="en-US"/>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0"/>
    <w:qFormat/>
    <w:uiPriority w:val="0"/>
    <w:rPr>
      <w:rFonts w:ascii="Courier New" w:hAnsi="Courier New" w:cs="Courier New"/>
      <w:lang w:eastAsia="en-US"/>
    </w:rPr>
  </w:style>
  <w:style w:type="character" w:customStyle="1" w:styleId="123">
    <w:name w:val="正文文本缩进 Char1"/>
    <w:basedOn w:val="50"/>
    <w:qFormat/>
    <w:uiPriority w:val="0"/>
    <w:rPr>
      <w:rFonts w:ascii="宋体" w:hAnsi="宋体" w:cs="宋体"/>
      <w:sz w:val="22"/>
      <w:szCs w:val="22"/>
      <w:lang w:eastAsia="en-US"/>
    </w:rPr>
  </w:style>
  <w:style w:type="paragraph" w:customStyle="1" w:styleId="124">
    <w:name w:val="标题2(小3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0"/>
    <w:qFormat/>
    <w:uiPriority w:val="0"/>
    <w:rPr>
      <w:rFonts w:ascii="宋体" w:hAnsi="宋体" w:cs="宋体"/>
      <w:sz w:val="22"/>
      <w:szCs w:val="22"/>
      <w:lang w:eastAsia="en-US"/>
    </w:rPr>
  </w:style>
  <w:style w:type="character" w:customStyle="1" w:styleId="131">
    <w:name w:val="标题 Char1"/>
    <w:basedOn w:val="50"/>
    <w:qFormat/>
    <w:uiPriority w:val="0"/>
    <w:rPr>
      <w:rFonts w:asciiTheme="majorHAnsi" w:hAnsiTheme="majorHAnsi" w:cstheme="majorBidi"/>
      <w:b/>
      <w:bCs/>
      <w:sz w:val="32"/>
      <w:szCs w:val="32"/>
      <w:lang w:eastAsia="en-US"/>
    </w:rPr>
  </w:style>
  <w:style w:type="character" w:customStyle="1" w:styleId="132">
    <w:name w:val="正文文本缩进 3 Char1"/>
    <w:basedOn w:val="50"/>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0"/>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5"/>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1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5"/>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5"/>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1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3"/>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4"/>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3"/>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3"/>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3"/>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4"/>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0"/>
    <w:qFormat/>
    <w:uiPriority w:val="0"/>
  </w:style>
  <w:style w:type="character" w:customStyle="1" w:styleId="209">
    <w:name w:val="xdrichtextbox3"/>
    <w:basedOn w:val="50"/>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4"/>
    <w:qFormat/>
    <w:uiPriority w:val="0"/>
    <w:rPr>
      <w:rFonts w:ascii="Cambria" w:hAnsi="Cambria"/>
      <w:b/>
      <w:bCs/>
      <w:kern w:val="28"/>
      <w:sz w:val="24"/>
      <w:szCs w:val="32"/>
    </w:rPr>
  </w:style>
  <w:style w:type="character" w:customStyle="1" w:styleId="213">
    <w:name w:val="副标题 Char1"/>
    <w:basedOn w:val="50"/>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character" w:customStyle="1" w:styleId="220">
    <w:name w:val="first-child"/>
    <w:basedOn w:val="50"/>
    <w:qFormat/>
    <w:uiPriority w:val="0"/>
  </w:style>
  <w:style w:type="character" w:customStyle="1" w:styleId="221">
    <w:name w:val="xdrichtextbox"/>
    <w:basedOn w:val="50"/>
    <w:qFormat/>
    <w:uiPriority w:val="0"/>
    <w:rPr>
      <w:color w:val="auto"/>
      <w:u w:val="none"/>
      <w:bdr w:val="single" w:color="DCDCDC" w:sz="8" w:space="0"/>
      <w:shd w:val="clear" w:color="auto" w:fill="auto"/>
    </w:rPr>
  </w:style>
  <w:style w:type="character" w:customStyle="1" w:styleId="222">
    <w:name w:val="ico1653"/>
    <w:basedOn w:val="50"/>
    <w:qFormat/>
    <w:uiPriority w:val="0"/>
  </w:style>
  <w:style w:type="character" w:customStyle="1" w:styleId="223">
    <w:name w:val="cdropleft"/>
    <w:basedOn w:val="50"/>
    <w:uiPriority w:val="0"/>
  </w:style>
  <w:style w:type="character" w:customStyle="1" w:styleId="224">
    <w:name w:val="hover41"/>
    <w:basedOn w:val="50"/>
    <w:qFormat/>
    <w:uiPriority w:val="0"/>
    <w:rPr>
      <w:color w:val="FFFFFF"/>
    </w:rPr>
  </w:style>
  <w:style w:type="character" w:customStyle="1" w:styleId="225">
    <w:name w:val="w32"/>
    <w:basedOn w:val="50"/>
    <w:qFormat/>
    <w:uiPriority w:val="0"/>
  </w:style>
  <w:style w:type="character" w:customStyle="1" w:styleId="226">
    <w:name w:val="pagechatarealistclose_box"/>
    <w:basedOn w:val="50"/>
    <w:uiPriority w:val="0"/>
  </w:style>
  <w:style w:type="character" w:customStyle="1" w:styleId="227">
    <w:name w:val="pagechatarealistclose_box1"/>
    <w:basedOn w:val="50"/>
    <w:uiPriority w:val="0"/>
  </w:style>
  <w:style w:type="character" w:customStyle="1" w:styleId="228">
    <w:name w:val="cdropright"/>
    <w:basedOn w:val="50"/>
    <w:qFormat/>
    <w:uiPriority w:val="0"/>
  </w:style>
  <w:style w:type="character" w:customStyle="1" w:styleId="229">
    <w:name w:val="drapbtn"/>
    <w:basedOn w:val="50"/>
    <w:qFormat/>
    <w:uiPriority w:val="0"/>
  </w:style>
  <w:style w:type="character" w:customStyle="1" w:styleId="230">
    <w:name w:val="active5"/>
    <w:basedOn w:val="50"/>
    <w:qFormat/>
    <w:uiPriority w:val="0"/>
    <w:rPr>
      <w:shd w:val="clear" w:color="auto" w:fill="EC3535"/>
    </w:rPr>
  </w:style>
  <w:style w:type="character" w:customStyle="1" w:styleId="231">
    <w:name w:val="active6"/>
    <w:basedOn w:val="50"/>
    <w:qFormat/>
    <w:uiPriority w:val="0"/>
    <w:rPr>
      <w:color w:val="00FF00"/>
      <w:shd w:val="clear" w:color="auto" w:fill="111111"/>
    </w:rPr>
  </w:style>
  <w:style w:type="character" w:customStyle="1" w:styleId="232">
    <w:name w:val="tmpztreemove_arrow"/>
    <w:basedOn w:val="50"/>
    <w:qFormat/>
    <w:uiPriority w:val="0"/>
  </w:style>
  <w:style w:type="character" w:customStyle="1" w:styleId="233">
    <w:name w:val="layui-layer-tabnow"/>
    <w:basedOn w:val="50"/>
    <w:uiPriority w:val="0"/>
    <w:rPr>
      <w:bdr w:val="single" w:color="CCCCCC" w:sz="6" w:space="0"/>
      <w:shd w:val="clear" w:color="auto" w:fill="FFFFFF"/>
    </w:rPr>
  </w:style>
  <w:style w:type="character" w:customStyle="1" w:styleId="234">
    <w:name w:val="cy"/>
    <w:basedOn w:val="50"/>
    <w:uiPriority w:val="0"/>
  </w:style>
  <w:style w:type="character" w:customStyle="1" w:styleId="235">
    <w:name w:val="iconline2"/>
    <w:basedOn w:val="50"/>
    <w:qFormat/>
    <w:uiPriority w:val="0"/>
  </w:style>
  <w:style w:type="character" w:customStyle="1" w:styleId="236">
    <w:name w:val="button"/>
    <w:basedOn w:val="50"/>
    <w:qFormat/>
    <w:uiPriority w:val="0"/>
  </w:style>
  <w:style w:type="character" w:customStyle="1" w:styleId="237">
    <w:name w:val="edit_class"/>
    <w:basedOn w:val="50"/>
    <w:qFormat/>
    <w:uiPriority w:val="0"/>
  </w:style>
  <w:style w:type="character" w:customStyle="1" w:styleId="238">
    <w:name w:val="design_class"/>
    <w:basedOn w:val="50"/>
    <w:uiPriority w:val="0"/>
  </w:style>
  <w:style w:type="character" w:customStyle="1" w:styleId="239">
    <w:name w:val="after"/>
    <w:basedOn w:val="50"/>
    <w:qFormat/>
    <w:uiPriority w:val="0"/>
    <w:rPr>
      <w:sz w:val="0"/>
      <w:szCs w:val="0"/>
    </w:rPr>
  </w:style>
  <w:style w:type="character" w:customStyle="1" w:styleId="240">
    <w:name w:val="icontext1"/>
    <w:basedOn w:val="50"/>
    <w:qFormat/>
    <w:uiPriority w:val="0"/>
  </w:style>
  <w:style w:type="character" w:customStyle="1" w:styleId="241">
    <w:name w:val="icontext11"/>
    <w:basedOn w:val="50"/>
    <w:qFormat/>
    <w:uiPriority w:val="0"/>
  </w:style>
  <w:style w:type="character" w:customStyle="1" w:styleId="242">
    <w:name w:val="icontext12"/>
    <w:basedOn w:val="50"/>
    <w:qFormat/>
    <w:uiPriority w:val="0"/>
  </w:style>
  <w:style w:type="character" w:customStyle="1" w:styleId="243">
    <w:name w:val="associateddata"/>
    <w:basedOn w:val="50"/>
    <w:uiPriority w:val="0"/>
    <w:rPr>
      <w:shd w:val="clear" w:color="auto" w:fill="50A6F9"/>
    </w:rPr>
  </w:style>
  <w:style w:type="character" w:customStyle="1" w:styleId="244">
    <w:name w:val="icontext2"/>
    <w:basedOn w:val="50"/>
    <w:qFormat/>
    <w:uiPriority w:val="0"/>
  </w:style>
  <w:style w:type="character" w:customStyle="1" w:styleId="245">
    <w:name w:val="icontext3"/>
    <w:basedOn w:val="50"/>
    <w:qFormat/>
    <w:uiPriority w:val="0"/>
  </w:style>
  <w:style w:type="character" w:customStyle="1" w:styleId="246">
    <w:name w:val="biggerthanmax"/>
    <w:basedOn w:val="50"/>
    <w:qFormat/>
    <w:uiPriority w:val="0"/>
    <w:rPr>
      <w:shd w:val="clear" w:color="auto" w:fill="FFFF00"/>
    </w:rPr>
  </w:style>
  <w:style w:type="character" w:customStyle="1" w:styleId="247">
    <w:name w:val="hilite"/>
    <w:basedOn w:val="50"/>
    <w:qFormat/>
    <w:uiPriority w:val="0"/>
    <w:rPr>
      <w:color w:val="FFFFFF"/>
      <w:shd w:val="clear" w:color="auto" w:fill="666666"/>
    </w:rPr>
  </w:style>
  <w:style w:type="character" w:customStyle="1" w:styleId="248">
    <w:name w:val="choosename"/>
    <w:basedOn w:val="50"/>
    <w:uiPriority w:val="0"/>
  </w:style>
  <w:style w:type="character" w:customStyle="1" w:styleId="249">
    <w:name w:val="iconline21"/>
    <w:basedOn w:val="50"/>
    <w:qFormat/>
    <w:uiPriority w:val="0"/>
  </w:style>
  <w:style w:type="character" w:customStyle="1" w:styleId="250">
    <w:name w:val="active1"/>
    <w:basedOn w:val="50"/>
    <w:uiPriority w:val="0"/>
    <w:rPr>
      <w:shd w:val="clear" w:color="auto" w:fill="EC3535"/>
    </w:rPr>
  </w:style>
  <w:style w:type="character" w:customStyle="1" w:styleId="251">
    <w:name w:val="ico1654"/>
    <w:basedOn w:val="50"/>
    <w:uiPriority w:val="0"/>
  </w:style>
  <w:style w:type="character" w:customStyle="1" w:styleId="252">
    <w:name w:val="ico1655"/>
    <w:basedOn w:val="50"/>
    <w:qFormat/>
    <w:uiPriority w:val="0"/>
  </w:style>
  <w:style w:type="character" w:customStyle="1" w:styleId="253">
    <w:name w:val="hilite6"/>
    <w:basedOn w:val="50"/>
    <w:qFormat/>
    <w:uiPriority w:val="0"/>
    <w:rPr>
      <w:color w:val="FFFFFF"/>
      <w:shd w:val="clear" w:color="auto" w:fill="666666"/>
    </w:rPr>
  </w:style>
  <w:style w:type="character" w:customStyle="1" w:styleId="254">
    <w:name w:val="active"/>
    <w:basedOn w:val="50"/>
    <w:uiPriority w:val="0"/>
    <w:rPr>
      <w:shd w:val="clear" w:color="auto" w:fill="EC3535"/>
    </w:rPr>
  </w:style>
  <w:style w:type="character" w:customStyle="1" w:styleId="255">
    <w:name w:val="hover4"/>
    <w:basedOn w:val="50"/>
    <w:qFormat/>
    <w:uiPriority w:val="0"/>
    <w:rPr>
      <w:color w:val="FFFFFF"/>
    </w:rPr>
  </w:style>
  <w:style w:type="character" w:customStyle="1" w:styleId="256">
    <w:name w:val="xdrichtextbox4"/>
    <w:basedOn w:val="50"/>
    <w:qFormat/>
    <w:uiPriority w:val="0"/>
  </w:style>
  <w:style w:type="paragraph" w:customStyle="1" w:styleId="257">
    <w:name w:val="正文_0"/>
    <w:next w:val="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common_over_page_btn"/>
    <w:basedOn w:val="50"/>
    <w:qFormat/>
    <w:uiPriority w:val="0"/>
    <w:rPr>
      <w:color w:val="999999"/>
      <w:bdr w:val="single" w:color="D4D4D4" w:sz="6" w:space="0"/>
      <w:shd w:val="clear" w:fill="FFFFFF"/>
    </w:rPr>
  </w:style>
  <w:style w:type="character" w:customStyle="1" w:styleId="259">
    <w:name w:val="common_over_page_btn1"/>
    <w:basedOn w:val="50"/>
    <w:qFormat/>
    <w:uiPriority w:val="0"/>
  </w:style>
  <w:style w:type="character" w:customStyle="1" w:styleId="260">
    <w:name w:val="common_over_page_btn2"/>
    <w:basedOn w:val="50"/>
    <w:qFormat/>
    <w:uiPriority w:val="0"/>
    <w:rPr>
      <w:color w:val="999999"/>
      <w:bdr w:val="single" w:color="D4D4D4" w:sz="6" w:space="0"/>
      <w:shd w:val="clear" w:fill="FFFFFF"/>
    </w:rPr>
  </w:style>
  <w:style w:type="paragraph" w:customStyle="1" w:styleId="261">
    <w:name w:val="TOC Heading"/>
    <w:basedOn w:val="3"/>
    <w:next w:val="1"/>
    <w:unhideWhenUsed/>
    <w:qFormat/>
    <w:uiPriority w:val="39"/>
    <w:pPr>
      <w:widowControl/>
      <w:spacing w:before="240" w:after="0" w:line="259" w:lineRule="auto"/>
      <w:ind w:left="0" w:right="0"/>
      <w:jc w:val="left"/>
      <w:outlineLvl w:val="9"/>
    </w:pPr>
    <w:rPr>
      <w:rFonts w:asciiTheme="majorHAnsi" w:hAnsiTheme="majorHAnsi" w:eastAsiaTheme="majorEastAsia" w:cstheme="majorBidi"/>
      <w:b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AC236-FF4B-4FDB-BF64-B4D65201C7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44</Pages>
  <Words>20884</Words>
  <Characters>22098</Characters>
  <Lines>129</Lines>
  <Paragraphs>36</Paragraphs>
  <TotalTime>1</TotalTime>
  <ScaleCrop>false</ScaleCrop>
  <LinksUpToDate>false</LinksUpToDate>
  <CharactersWithSpaces>23326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2025-01-10T07:21:34Z</dcterms:modified>
  <dc:title>公开招标文件（货物服务类）</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