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E3BCA">
      <w:pPr>
        <w:widowControl/>
        <w:shd w:val="clear" w:color="auto" w:fill="FFFFFF"/>
        <w:jc w:val="center"/>
        <w:rPr>
          <w:rFonts w:hint="eastAsia" w:ascii="宋体" w:hAnsi="宋体" w:cs="宋体"/>
          <w:kern w:val="0"/>
          <w:sz w:val="72"/>
          <w:szCs w:val="72"/>
          <w:shd w:val="clear" w:color="auto" w:fill="FFFFFF"/>
        </w:rPr>
      </w:pPr>
    </w:p>
    <w:p w14:paraId="09C28551">
      <w:pPr>
        <w:widowControl/>
        <w:shd w:val="clear" w:color="auto" w:fill="FFFFFF"/>
        <w:jc w:val="center"/>
        <w:rPr>
          <w:szCs w:val="21"/>
        </w:rPr>
      </w:pPr>
      <w:r>
        <w:rPr>
          <w:rFonts w:hint="eastAsia" w:ascii="宋体" w:hAnsi="宋体" w:cs="宋体"/>
          <w:kern w:val="0"/>
          <w:sz w:val="72"/>
          <w:szCs w:val="72"/>
          <w:shd w:val="clear" w:color="auto" w:fill="FFFFFF"/>
        </w:rPr>
        <w:t>公开比选文件</w:t>
      </w:r>
    </w:p>
    <w:p w14:paraId="1B8EFBD4">
      <w:pPr>
        <w:widowControl/>
        <w:shd w:val="clear" w:color="auto" w:fill="FFFFFF"/>
        <w:jc w:val="center"/>
        <w:rPr>
          <w:szCs w:val="21"/>
        </w:rPr>
      </w:pPr>
      <w:r>
        <w:rPr>
          <w:kern w:val="0"/>
          <w:sz w:val="52"/>
          <w:szCs w:val="52"/>
          <w:shd w:val="clear" w:color="auto" w:fill="FFFFFF"/>
        </w:rPr>
        <w:t> </w:t>
      </w:r>
    </w:p>
    <w:p w14:paraId="1731D631">
      <w:pPr>
        <w:widowControl/>
        <w:shd w:val="clear" w:color="auto" w:fill="FFFFFF"/>
        <w:jc w:val="center"/>
        <w:rPr>
          <w:szCs w:val="21"/>
        </w:rPr>
      </w:pPr>
      <w:r>
        <w:rPr>
          <w:kern w:val="0"/>
          <w:sz w:val="52"/>
          <w:szCs w:val="52"/>
          <w:shd w:val="clear" w:color="auto" w:fill="FFFFFF"/>
        </w:rPr>
        <w:t> </w:t>
      </w:r>
    </w:p>
    <w:p w14:paraId="00E6BE08">
      <w:pPr>
        <w:widowControl/>
        <w:shd w:val="clear" w:color="auto" w:fill="FFFFFF"/>
        <w:jc w:val="center"/>
        <w:rPr>
          <w:szCs w:val="21"/>
        </w:rPr>
      </w:pPr>
      <w:r>
        <w:rPr>
          <w:kern w:val="0"/>
          <w:sz w:val="52"/>
          <w:szCs w:val="52"/>
          <w:shd w:val="clear" w:color="auto" w:fill="FFFFFF"/>
        </w:rPr>
        <w:t> </w:t>
      </w:r>
    </w:p>
    <w:p w14:paraId="41FFBAC6">
      <w:pPr>
        <w:widowControl/>
        <w:shd w:val="clear" w:color="auto" w:fill="FFFFFF"/>
        <w:jc w:val="center"/>
        <w:rPr>
          <w:szCs w:val="21"/>
        </w:rPr>
      </w:pPr>
      <w:r>
        <w:rPr>
          <w:kern w:val="0"/>
          <w:sz w:val="52"/>
          <w:szCs w:val="52"/>
          <w:shd w:val="clear" w:color="auto" w:fill="FFFFFF"/>
        </w:rPr>
        <w:t> </w:t>
      </w:r>
    </w:p>
    <w:p w14:paraId="7E14D416">
      <w:pPr>
        <w:widowControl/>
        <w:shd w:val="clear" w:color="auto" w:fill="FFFFFF"/>
        <w:jc w:val="center"/>
        <w:rPr>
          <w:rFonts w:ascii="宋体" w:hAnsi="宋体" w:cs="宋体"/>
          <w:kern w:val="0"/>
          <w:sz w:val="36"/>
          <w:szCs w:val="36"/>
          <w:shd w:val="clear" w:color="auto" w:fill="FFFFFF"/>
        </w:rPr>
      </w:pPr>
    </w:p>
    <w:p w14:paraId="16D8C8C9">
      <w:pPr>
        <w:widowControl/>
        <w:shd w:val="clear" w:color="auto" w:fill="FFFFFF"/>
        <w:jc w:val="center"/>
        <w:rPr>
          <w:rFonts w:hint="eastAsia" w:ascii="宋体" w:hAnsi="宋体" w:cs="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空压装置活性氧化铝</w:t>
      </w:r>
    </w:p>
    <w:p w14:paraId="499A9BB5">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2024-FHC-空压装置-活性氧化铝-0905</w:t>
      </w:r>
    </w:p>
    <w:p w14:paraId="5A98C04D">
      <w:pPr>
        <w:widowControl/>
        <w:shd w:val="clear" w:color="auto" w:fill="FFFFFF"/>
        <w:rPr>
          <w:sz w:val="36"/>
          <w:szCs w:val="36"/>
        </w:rPr>
      </w:pPr>
    </w:p>
    <w:p w14:paraId="3CC504FC">
      <w:pPr>
        <w:widowControl/>
        <w:shd w:val="clear" w:color="auto" w:fill="FFFFFF"/>
        <w:rPr>
          <w:szCs w:val="21"/>
        </w:rPr>
      </w:pPr>
      <w:r>
        <w:rPr>
          <w:kern w:val="0"/>
          <w:sz w:val="52"/>
          <w:szCs w:val="52"/>
          <w:shd w:val="clear" w:color="auto" w:fill="FFFFFF"/>
        </w:rPr>
        <w:t> </w:t>
      </w:r>
    </w:p>
    <w:p w14:paraId="5DF93541">
      <w:pPr>
        <w:widowControl/>
        <w:shd w:val="clear" w:color="auto" w:fill="FFFFFF"/>
        <w:rPr>
          <w:kern w:val="0"/>
          <w:sz w:val="52"/>
          <w:szCs w:val="52"/>
          <w:shd w:val="clear" w:color="auto" w:fill="FFFFFF"/>
        </w:rPr>
      </w:pPr>
      <w:r>
        <w:rPr>
          <w:kern w:val="0"/>
          <w:sz w:val="52"/>
          <w:szCs w:val="52"/>
          <w:shd w:val="clear" w:color="auto" w:fill="FFFFFF"/>
        </w:rPr>
        <w:t> </w:t>
      </w:r>
    </w:p>
    <w:p w14:paraId="1E5A6D82">
      <w:pPr>
        <w:widowControl/>
        <w:shd w:val="clear" w:color="auto" w:fill="FFFFFF"/>
        <w:rPr>
          <w:kern w:val="0"/>
          <w:sz w:val="52"/>
          <w:szCs w:val="52"/>
          <w:shd w:val="clear" w:color="auto" w:fill="FFFFFF"/>
        </w:rPr>
      </w:pPr>
    </w:p>
    <w:p w14:paraId="745A298C">
      <w:pPr>
        <w:widowControl/>
        <w:shd w:val="clear" w:color="auto" w:fill="FFFFFF"/>
        <w:rPr>
          <w:kern w:val="0"/>
          <w:sz w:val="52"/>
          <w:szCs w:val="52"/>
          <w:shd w:val="clear" w:color="auto" w:fill="FFFFFF"/>
        </w:rPr>
      </w:pPr>
    </w:p>
    <w:p w14:paraId="39681AA4">
      <w:pPr>
        <w:widowControl/>
        <w:shd w:val="clear" w:color="auto" w:fill="FFFFFF"/>
        <w:rPr>
          <w:kern w:val="0"/>
          <w:sz w:val="52"/>
          <w:szCs w:val="52"/>
          <w:shd w:val="clear" w:color="auto" w:fill="FFFFFF"/>
        </w:rPr>
      </w:pPr>
      <w:r>
        <w:rPr>
          <w:kern w:val="0"/>
          <w:sz w:val="52"/>
          <w:szCs w:val="52"/>
          <w:shd w:val="clear" w:color="auto" w:fill="FFFFFF"/>
        </w:rPr>
        <w:t> </w:t>
      </w:r>
    </w:p>
    <w:p w14:paraId="0B693AA6">
      <w:pPr>
        <w:widowControl/>
        <w:shd w:val="clear" w:color="auto" w:fill="FFFFFF"/>
        <w:rPr>
          <w:kern w:val="0"/>
          <w:sz w:val="52"/>
          <w:szCs w:val="52"/>
          <w:shd w:val="clear" w:color="auto" w:fill="FFFFFF"/>
        </w:rPr>
      </w:pPr>
    </w:p>
    <w:p w14:paraId="62868A24">
      <w:pPr>
        <w:widowControl/>
        <w:shd w:val="clear" w:color="auto" w:fill="FFFFFF"/>
        <w:jc w:val="right"/>
        <w:rPr>
          <w:szCs w:val="21"/>
        </w:rPr>
      </w:pPr>
      <w:r>
        <w:rPr>
          <w:kern w:val="0"/>
          <w:sz w:val="52"/>
          <w:szCs w:val="52"/>
          <w:shd w:val="clear" w:color="auto" w:fill="FFFFFF"/>
        </w:rPr>
        <w:t> </w:t>
      </w:r>
    </w:p>
    <w:p w14:paraId="5FE25577">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14:paraId="0A478B25">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4</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9月5日</w:t>
      </w:r>
    </w:p>
    <w:p w14:paraId="679BCD2B">
      <w:pPr>
        <w:widowControl/>
        <w:shd w:val="clear" w:color="auto" w:fill="FFFFFF"/>
        <w:rPr>
          <w:szCs w:val="21"/>
        </w:rPr>
      </w:pPr>
      <w:r>
        <w:rPr>
          <w:kern w:val="0"/>
          <w:szCs w:val="21"/>
          <w:shd w:val="clear" w:color="auto" w:fill="FFFFFF"/>
        </w:rPr>
        <w:t> </w:t>
      </w:r>
    </w:p>
    <w:p w14:paraId="5355B576">
      <w:pPr>
        <w:spacing w:line="400" w:lineRule="exact"/>
        <w:jc w:val="center"/>
        <w:rPr>
          <w:rFonts w:ascii="宋体"/>
          <w:b/>
          <w:bCs/>
          <w:sz w:val="36"/>
        </w:rPr>
      </w:pPr>
    </w:p>
    <w:p w14:paraId="69EAADDF">
      <w:pPr>
        <w:widowControl/>
        <w:jc w:val="left"/>
        <w:rPr>
          <w:rFonts w:ascii="宋体"/>
          <w:b/>
          <w:bCs/>
          <w:sz w:val="36"/>
        </w:rPr>
      </w:pPr>
    </w:p>
    <w:p w14:paraId="0EECC10A">
      <w:pPr>
        <w:spacing w:line="300" w:lineRule="auto"/>
        <w:jc w:val="center"/>
        <w:rPr>
          <w:rFonts w:hint="eastAsia"/>
          <w:b/>
          <w:bCs/>
          <w:sz w:val="36"/>
          <w:szCs w:val="36"/>
          <w:lang w:val="en-US" w:eastAsia="zh-CN"/>
        </w:rPr>
      </w:pPr>
      <w:r>
        <w:rPr>
          <w:rFonts w:hint="eastAsia"/>
          <w:b/>
          <w:bCs/>
          <w:sz w:val="36"/>
          <w:szCs w:val="36"/>
          <w:lang w:val="en-US" w:eastAsia="zh-CN"/>
        </w:rPr>
        <w:t>一、比选公告</w:t>
      </w:r>
    </w:p>
    <w:p w14:paraId="66B13D52">
      <w:pPr>
        <w:spacing w:line="300" w:lineRule="auto"/>
        <w:jc w:val="center"/>
        <w:rPr>
          <w:rFonts w:hint="eastAsia" w:eastAsia="宋体"/>
          <w:b/>
          <w:bCs/>
          <w:sz w:val="32"/>
          <w:lang w:eastAsia="zh-CN"/>
        </w:rPr>
      </w:pPr>
      <w:r>
        <w:rPr>
          <w:rFonts w:hint="eastAsia"/>
          <w:b/>
          <w:bCs/>
          <w:sz w:val="32"/>
          <w:lang w:eastAsia="zh-CN"/>
        </w:rPr>
        <w:t>腾龙芳烃（漳州）有限公司</w:t>
      </w:r>
    </w:p>
    <w:p w14:paraId="228B2068">
      <w:pPr>
        <w:spacing w:line="300" w:lineRule="auto"/>
        <w:jc w:val="center"/>
        <w:rPr>
          <w:rFonts w:hint="eastAsia"/>
          <w:b/>
          <w:bCs/>
          <w:sz w:val="32"/>
          <w:lang w:val="en-US" w:eastAsia="zh-CN"/>
        </w:rPr>
      </w:pPr>
      <w:r>
        <w:rPr>
          <w:rFonts w:hint="eastAsia"/>
          <w:b/>
          <w:bCs/>
          <w:sz w:val="32"/>
          <w:lang w:val="en-US" w:eastAsia="zh-CN"/>
        </w:rPr>
        <w:t>空压装置活性氧化铝</w:t>
      </w:r>
    </w:p>
    <w:p w14:paraId="6E3CC306">
      <w:pPr>
        <w:spacing w:line="300" w:lineRule="auto"/>
        <w:jc w:val="center"/>
        <w:rPr>
          <w:bCs/>
          <w:szCs w:val="21"/>
        </w:rPr>
      </w:pPr>
      <w:r>
        <w:rPr>
          <w:rFonts w:hint="eastAsia"/>
          <w:b/>
          <w:bCs/>
          <w:sz w:val="32"/>
        </w:rPr>
        <w:t>采购比选公告</w:t>
      </w:r>
    </w:p>
    <w:p w14:paraId="78691F53">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空压装置活性氧化铝</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2024-FHC-空压装置-活性氧化铝-0905</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14:paraId="2C75D473">
      <w:pPr>
        <w:ind w:firstLine="472" w:firstLineChars="196"/>
        <w:rPr>
          <w:b/>
          <w:bCs/>
          <w:sz w:val="24"/>
        </w:rPr>
      </w:pPr>
      <w:r>
        <w:rPr>
          <w:rFonts w:hint="eastAsia"/>
          <w:b/>
          <w:bCs/>
          <w:sz w:val="24"/>
        </w:rPr>
        <w:t>一、项目概况</w:t>
      </w:r>
    </w:p>
    <w:p w14:paraId="6592E6B7">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空压装置活性氧化铝</w:t>
      </w:r>
      <w:r>
        <w:rPr>
          <w:rFonts w:hint="eastAsia" w:ascii="宋体" w:hAnsi="宋体" w:cs="宋体" w:eastAsiaTheme="minorEastAsia"/>
          <w:sz w:val="24"/>
        </w:rPr>
        <w:t>。</w:t>
      </w:r>
    </w:p>
    <w:p w14:paraId="255A10C4">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空压装置活性氧化铝</w:t>
      </w:r>
      <w:r>
        <w:rPr>
          <w:rFonts w:hint="eastAsia" w:asciiTheme="minorEastAsia" w:hAnsiTheme="minorEastAsia" w:eastAsiaTheme="minorEastAsia"/>
          <w:bCs/>
          <w:sz w:val="24"/>
        </w:rPr>
        <w:t>采购数量、质量、货期、服务等要求详见比选文件</w:t>
      </w:r>
      <w:r>
        <w:rPr>
          <w:rFonts w:hint="eastAsia" w:asciiTheme="minorEastAsia" w:hAnsiTheme="minorEastAsia" w:eastAsiaTheme="minorEastAsia"/>
          <w:bCs/>
          <w:sz w:val="24"/>
          <w:lang w:val="en-US" w:eastAsia="zh-CN"/>
        </w:rPr>
        <w:t>及技术要求</w:t>
      </w:r>
      <w:r>
        <w:rPr>
          <w:rFonts w:hint="eastAsia" w:asciiTheme="minorEastAsia" w:hAnsiTheme="minorEastAsia" w:eastAsiaTheme="minorEastAsia"/>
          <w:bCs/>
          <w:sz w:val="24"/>
        </w:rPr>
        <w:t>。</w:t>
      </w:r>
    </w:p>
    <w:p w14:paraId="3E15D8EE">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14:paraId="3FB65259">
      <w:pPr>
        <w:pStyle w:val="15"/>
        <w:numPr>
          <w:ilvl w:val="0"/>
          <w:numId w:val="3"/>
        </w:numPr>
        <w:spacing w:before="100" w:beforeAutospacing="1" w:after="100" w:afterAutospacing="1" w:line="300" w:lineRule="auto"/>
        <w:ind w:left="1200" w:leftChars="0" w:firstLineChars="0"/>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14:paraId="15E00B59">
      <w:pPr>
        <w:pStyle w:val="15"/>
        <w:numPr>
          <w:ilvl w:val="0"/>
          <w:numId w:val="3"/>
        </w:numPr>
        <w:spacing w:before="100" w:beforeAutospacing="1" w:after="100" w:afterAutospacing="1" w:line="30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14:paraId="4F2016E0">
      <w:pPr>
        <w:pStyle w:val="15"/>
        <w:numPr>
          <w:ilvl w:val="0"/>
          <w:numId w:val="3"/>
        </w:numPr>
        <w:spacing w:before="100" w:beforeAutospacing="1" w:after="100" w:afterAutospacing="1" w:line="30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14:paraId="5DA07F89">
      <w:pPr>
        <w:pStyle w:val="15"/>
        <w:numPr>
          <w:ilvl w:val="0"/>
          <w:numId w:val="3"/>
        </w:numPr>
        <w:spacing w:before="100" w:beforeAutospacing="1" w:after="100" w:afterAutospacing="1" w:line="300" w:lineRule="auto"/>
        <w:ind w:left="1200" w:leftChars="0" w:hanging="361" w:firstLineChars="0"/>
        <w:rPr>
          <w:rFonts w:ascii="Times New Roman" w:hAnsi="Times New Roman" w:eastAsia="宋体" w:cs="Times New Roman"/>
          <w:sz w:val="24"/>
          <w:szCs w:val="24"/>
        </w:rPr>
      </w:pPr>
      <w:r>
        <w:rPr>
          <w:rFonts w:hint="eastAsia" w:asciiTheme="minorEastAsia" w:hAnsiTheme="minorEastAsia" w:eastAsiaTheme="minorEastAsia"/>
          <w:bCs/>
          <w:sz w:val="24"/>
        </w:rPr>
        <w:t>与比选人无诉讼纠纷。</w:t>
      </w:r>
    </w:p>
    <w:p w14:paraId="092BDBB9">
      <w:pPr>
        <w:pStyle w:val="15"/>
        <w:numPr>
          <w:ilvl w:val="0"/>
          <w:numId w:val="3"/>
        </w:numPr>
        <w:spacing w:before="100" w:beforeAutospacing="1" w:after="100" w:afterAutospacing="1" w:line="300" w:lineRule="auto"/>
        <w:ind w:left="1200" w:leftChars="0" w:hanging="361" w:firstLineChars="0"/>
        <w:rPr>
          <w:rFonts w:ascii="Times New Roman" w:hAnsi="Times New Roman" w:eastAsia="宋体" w:cs="Times New Roman"/>
          <w:sz w:val="24"/>
          <w:szCs w:val="24"/>
        </w:rPr>
      </w:pPr>
      <w:r>
        <w:rPr>
          <w:rFonts w:hint="eastAsia" w:asciiTheme="minorEastAsia" w:hAnsiTheme="minorEastAsia" w:eastAsiaTheme="minorEastAsia"/>
          <w:bCs/>
          <w:sz w:val="24"/>
        </w:rPr>
        <w:t>至少一份</w:t>
      </w:r>
      <w:r>
        <w:rPr>
          <w:rFonts w:hint="eastAsia" w:asciiTheme="minorEastAsia" w:hAnsiTheme="minorEastAsia" w:eastAsiaTheme="minorEastAsia"/>
          <w:bCs/>
          <w:sz w:val="24"/>
          <w:lang w:val="en-US" w:eastAsia="zh-CN"/>
        </w:rPr>
        <w:t>活性氧化铝</w:t>
      </w:r>
      <w:r>
        <w:rPr>
          <w:rFonts w:hint="eastAsia" w:asciiTheme="minorEastAsia" w:hAnsiTheme="minorEastAsia" w:eastAsiaTheme="minorEastAsia"/>
          <w:bCs/>
          <w:sz w:val="24"/>
        </w:rPr>
        <w:t>业绩材料（合同或发票）</w:t>
      </w:r>
      <w:r>
        <w:rPr>
          <w:rFonts w:hint="eastAsia" w:asciiTheme="minorEastAsia" w:hAnsiTheme="minorEastAsia" w:eastAsiaTheme="minorEastAsia"/>
          <w:bCs/>
          <w:sz w:val="24"/>
          <w:lang w:eastAsia="zh-CN"/>
        </w:rPr>
        <w:t>。</w:t>
      </w:r>
    </w:p>
    <w:p w14:paraId="7542A645">
      <w:pPr>
        <w:pStyle w:val="15"/>
        <w:numPr>
          <w:ilvl w:val="0"/>
          <w:numId w:val="3"/>
        </w:numPr>
        <w:spacing w:before="100" w:beforeAutospacing="1" w:after="100" w:afterAutospacing="1" w:line="300" w:lineRule="auto"/>
        <w:ind w:left="1200" w:leftChars="0" w:firstLineChars="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贰仟元整</w:t>
      </w:r>
      <w:r>
        <w:rPr>
          <w:rFonts w:hint="eastAsia" w:asciiTheme="minorEastAsia" w:hAnsiTheme="minorEastAsia" w:eastAsiaTheme="minorEastAsia"/>
          <w:bCs/>
          <w:sz w:val="24"/>
          <w:highlight w:val="yellow"/>
        </w:rPr>
        <w:t>。</w:t>
      </w:r>
    </w:p>
    <w:p w14:paraId="0E6C59CF">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14:paraId="17432840">
      <w:pPr>
        <w:pStyle w:val="15"/>
        <w:numPr>
          <w:ilvl w:val="0"/>
          <w:numId w:val="4"/>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23</w:t>
      </w:r>
      <w:r>
        <w:rPr>
          <w:rFonts w:hint="eastAsia" w:asciiTheme="majorEastAsia" w:hAnsiTheme="majorEastAsia" w:eastAsiaTheme="majorEastAsia"/>
          <w:sz w:val="24"/>
        </w:rPr>
        <w:t>日（含当日）</w:t>
      </w:r>
    </w:p>
    <w:p w14:paraId="6522847D">
      <w:pPr>
        <w:pStyle w:val="15"/>
        <w:numPr>
          <w:ilvl w:val="255"/>
          <w:numId w:val="0"/>
        </w:numPr>
        <w:spacing w:before="0" w:line="300" w:lineRule="auto"/>
        <w:ind w:left="832"/>
        <w:rPr>
          <w:rFonts w:hint="eastAsia"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报名文件请备注项目名称！</w:t>
      </w:r>
      <w:r>
        <w:rPr>
          <w:rFonts w:hint="eastAsia" w:asciiTheme="minorEastAsia" w:hAnsiTheme="minorEastAsia" w:eastAsiaTheme="minorEastAsia"/>
          <w:bCs/>
          <w:sz w:val="24"/>
          <w:highlight w:val="yellow"/>
          <w:lang w:eastAsia="zh-CN"/>
        </w:rPr>
        <w:t>）</w:t>
      </w:r>
      <w:r>
        <w:rPr>
          <w:rFonts w:asciiTheme="minorEastAsia" w:hAnsiTheme="minorEastAsia" w:eastAsiaTheme="minorEastAsia"/>
          <w:bCs/>
          <w:sz w:val="24"/>
          <w:highlight w:val="yellow"/>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r>
        <w:rPr>
          <w:rFonts w:hint="eastAsia" w:asciiTheme="minorEastAsia" w:hAnsiTheme="minorEastAsia" w:eastAsiaTheme="minorEastAsia"/>
          <w:sz w:val="24"/>
          <w:lang w:eastAsia="zh-CN"/>
        </w:rPr>
        <w:t>；</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至少一份</w:t>
      </w:r>
      <w:r>
        <w:rPr>
          <w:rFonts w:hint="eastAsia" w:asciiTheme="minorEastAsia" w:hAnsiTheme="minorEastAsia" w:eastAsiaTheme="minorEastAsia"/>
          <w:bCs/>
          <w:sz w:val="24"/>
          <w:lang w:val="en-US" w:eastAsia="zh-CN"/>
        </w:rPr>
        <w:t>活性氧化铝</w:t>
      </w:r>
      <w:r>
        <w:rPr>
          <w:rFonts w:hint="eastAsia" w:asciiTheme="minorEastAsia" w:hAnsiTheme="minorEastAsia" w:eastAsiaTheme="minorEastAsia"/>
          <w:bCs/>
          <w:sz w:val="24"/>
        </w:rPr>
        <w:t>业绩材料（合同或发票）</w:t>
      </w:r>
    </w:p>
    <w:p w14:paraId="68F1D452">
      <w:pPr>
        <w:pStyle w:val="15"/>
        <w:numPr>
          <w:ilvl w:val="255"/>
          <w:numId w:val="0"/>
        </w:numPr>
        <w:spacing w:before="0" w:line="300" w:lineRule="auto"/>
        <w:ind w:left="832"/>
        <w:rPr>
          <w:rFonts w:asciiTheme="minorEastAsia" w:hAnsiTheme="minorEastAsia" w:eastAsiaTheme="minorEastAsia"/>
          <w:bCs/>
          <w:sz w:val="24"/>
        </w:rPr>
      </w:pP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贰仟元整</w:t>
      </w:r>
      <w:r>
        <w:rPr>
          <w:rFonts w:hint="eastAsia" w:asciiTheme="minorEastAsia" w:hAnsiTheme="minorEastAsia" w:eastAsiaTheme="minorEastAsia"/>
          <w:bCs/>
          <w:sz w:val="24"/>
        </w:rPr>
        <w:t>。</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highlight w:val="yellow"/>
          <w:lang w:val="en-US" w:eastAsia="zh-CN"/>
        </w:rPr>
        <w:t>保证金请备注项目名称！</w:t>
      </w:r>
      <w:r>
        <w:rPr>
          <w:rFonts w:hint="eastAsia" w:asciiTheme="minorEastAsia" w:hAnsiTheme="minorEastAsia" w:eastAsiaTheme="minorEastAsia"/>
          <w:bCs/>
          <w:sz w:val="24"/>
          <w:lang w:eastAsia="zh-CN"/>
        </w:rPr>
        <w:t>）</w:t>
      </w:r>
    </w:p>
    <w:p w14:paraId="71ED03EF">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14:paraId="5A8DE379">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14:paraId="3D79D91E">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14:paraId="0348E87A">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14:paraId="7E905DFD">
      <w:pPr>
        <w:tabs>
          <w:tab w:val="left" w:pos="1260"/>
          <w:tab w:val="left" w:pos="1800"/>
        </w:tabs>
        <w:spacing w:line="360" w:lineRule="auto"/>
        <w:ind w:left="359" w:leftChars="171" w:firstLine="180" w:firstLineChars="75"/>
        <w:jc w:val="left"/>
        <w:rPr>
          <w:rFonts w:hint="eastAsia" w:asciiTheme="minorEastAsia" w:hAnsiTheme="minorEastAsia" w:eastAsiaTheme="minorEastAsia"/>
          <w:bCs/>
          <w:sz w:val="24"/>
        </w:rPr>
      </w:pPr>
      <w:r>
        <w:rPr>
          <w:rFonts w:hint="eastAsia" w:ascii="宋体" w:hAnsi="宋体" w:cs="宋体"/>
          <w:color w:val="000000"/>
          <w:sz w:val="24"/>
          <w:szCs w:val="32"/>
          <w:highlight w:val="yellow"/>
        </w:rPr>
        <w:t>备注：中选的参选</w:t>
      </w:r>
      <w:r>
        <w:rPr>
          <w:rFonts w:hint="eastAsia" w:ascii="宋体" w:hAnsi="宋体" w:cs="宋体"/>
          <w:color w:val="000000"/>
          <w:sz w:val="24"/>
          <w:szCs w:val="32"/>
          <w:highlight w:val="yellow"/>
          <w:lang w:val="en-US" w:eastAsia="zh-CN"/>
        </w:rPr>
        <w:t>单选</w:t>
      </w:r>
      <w:r>
        <w:rPr>
          <w:rFonts w:hint="eastAsia" w:ascii="宋体" w:hAnsi="宋体" w:cs="宋体"/>
          <w:color w:val="000000"/>
          <w:sz w:val="24"/>
          <w:szCs w:val="32"/>
          <w:highlight w:val="yellow"/>
        </w:rPr>
        <w:t>所递交的保证金直接转为履约保证金；未中选的参选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其所递交的参选保证金将于本项目合同签订后30</w:t>
      </w:r>
      <w:r>
        <w:rPr>
          <w:rFonts w:hint="eastAsia" w:ascii="宋体" w:hAnsi="宋体" w:cs="宋体"/>
          <w:color w:val="000000"/>
          <w:sz w:val="24"/>
          <w:szCs w:val="32"/>
          <w:highlight w:val="yellow"/>
          <w:lang w:val="en-US" w:eastAsia="zh-CN"/>
        </w:rPr>
        <w:t>个工作</w:t>
      </w:r>
      <w:r>
        <w:rPr>
          <w:rFonts w:hint="eastAsia" w:ascii="宋体" w:hAnsi="宋体" w:cs="宋体"/>
          <w:color w:val="000000"/>
          <w:sz w:val="24"/>
          <w:szCs w:val="32"/>
          <w:highlight w:val="yellow"/>
        </w:rPr>
        <w:t>日内退回至参选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基本账户。</w:t>
      </w:r>
    </w:p>
    <w:p w14:paraId="3C448468">
      <w:pPr>
        <w:pStyle w:val="15"/>
        <w:numPr>
          <w:ilvl w:val="0"/>
          <w:numId w:val="4"/>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14:paraId="31D0730C">
      <w:pPr>
        <w:pStyle w:val="15"/>
        <w:keepNext w:val="0"/>
        <w:keepLines w:val="0"/>
        <w:pageBreakBefore w:val="0"/>
        <w:widowControl w:val="0"/>
        <w:kinsoku/>
        <w:wordWrap/>
        <w:overflowPunct/>
        <w:topLinePunct w:val="0"/>
        <w:autoSpaceDE/>
        <w:autoSpaceDN/>
        <w:bidi w:val="0"/>
        <w:spacing w:before="0" w:line="300" w:lineRule="auto"/>
        <w:ind w:left="958" w:leftChars="456" w:firstLine="307" w:firstLineChars="128"/>
        <w:rPr>
          <w:rFonts w:asciiTheme="minorEastAsia" w:hAnsiTheme="minorEastAsia" w:eastAsiaTheme="minorEastAsia"/>
          <w:bCs/>
          <w:sz w:val="24"/>
          <w:highlight w:val="yellow"/>
        </w:rPr>
      </w:pPr>
      <w:r>
        <w:rPr>
          <w:rFonts w:hint="eastAsia" w:ascii="宋体" w:hAnsi="宋体" w:eastAsia="宋体"/>
          <w:bCs/>
          <w:color w:val="auto"/>
          <w:sz w:val="24"/>
          <w:highlight w:val="yellow"/>
          <w:lang w:val="en-US" w:eastAsia="zh-CN"/>
        </w:rPr>
        <w:t>请在报名后联系商务联系人获取“技术要求”文件。</w:t>
      </w:r>
    </w:p>
    <w:p w14:paraId="12EE3B51">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14:paraId="39F83A80">
      <w:pPr>
        <w:pStyle w:val="15"/>
        <w:numPr>
          <w:ilvl w:val="0"/>
          <w:numId w:val="5"/>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福建福海创石油化工</w:t>
      </w:r>
      <w:r>
        <w:rPr>
          <w:rFonts w:hint="eastAsia" w:asciiTheme="minorEastAsia" w:hAnsiTheme="minorEastAsia" w:eastAsiaTheme="minorEastAsia"/>
          <w:bCs/>
          <w:sz w:val="24"/>
          <w:lang w:eastAsia="zh-CN"/>
        </w:rPr>
        <w:t>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漳州市漳浦县杜浔镇杜昌路9号福海创办公大楼3楼煤炭及辅料团队</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14:paraId="1C11C89C">
      <w:pPr>
        <w:pStyle w:val="15"/>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inorEastAsia" w:hAnsiTheme="minorEastAsia" w:eastAsiaTheme="minorEastAsia"/>
          <w:bCs/>
          <w:sz w:val="24"/>
          <w:lang w:val="en-US" w:eastAsia="zh-CN"/>
        </w:rPr>
        <w:t>2024年9月25</w:t>
      </w:r>
      <w:bookmarkStart w:id="2" w:name="_GoBack"/>
      <w:bookmarkEnd w:id="2"/>
      <w:r>
        <w:rPr>
          <w:rFonts w:hint="eastAsia" w:asciiTheme="minorEastAsia" w:hAnsiTheme="minorEastAsia" w:eastAsiaTheme="minorEastAsia"/>
          <w:bCs/>
          <w:sz w:val="24"/>
          <w:lang w:val="en-US" w:eastAsia="zh-CN"/>
        </w:rPr>
        <w:t>日15:30</w:t>
      </w:r>
    </w:p>
    <w:p w14:paraId="47431B29">
      <w:pPr>
        <w:pStyle w:val="15"/>
        <w:numPr>
          <w:ilvl w:val="0"/>
          <w:numId w:val="5"/>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14:paraId="2D30ACCE">
      <w:pPr>
        <w:pStyle w:val="15"/>
        <w:numPr>
          <w:ilvl w:val="0"/>
          <w:numId w:val="5"/>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14:paraId="4385EFB3">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14:paraId="600E0DE4">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w:t>
      </w:r>
      <w:r>
        <w:rPr>
          <w:rFonts w:hint="eastAsia" w:asciiTheme="minorEastAsia" w:hAnsiTheme="minorEastAsia" w:eastAsiaTheme="minorEastAsia"/>
          <w:bCs/>
          <w:sz w:val="24"/>
          <w:lang w:val="en-US" w:eastAsia="zh-CN"/>
        </w:rPr>
        <w:t>郑女士</w:t>
      </w:r>
      <w:r>
        <w:rPr>
          <w:rFonts w:hint="eastAsia" w:asciiTheme="minorEastAsia" w:hAnsiTheme="minorEastAsia" w:eastAsiaTheme="minorEastAsia"/>
          <w:bCs/>
          <w:sz w:val="24"/>
        </w:rPr>
        <w:t xml:space="preserve"> 电话：13</w:t>
      </w:r>
      <w:r>
        <w:rPr>
          <w:rFonts w:hint="eastAsia" w:asciiTheme="minorEastAsia" w:hAnsiTheme="minorEastAsia" w:eastAsiaTheme="minorEastAsia"/>
          <w:bCs/>
          <w:sz w:val="24"/>
          <w:lang w:val="en-US" w:eastAsia="zh-CN"/>
        </w:rPr>
        <w:t>015727080</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14:paraId="67C1FBB0">
      <w:pPr>
        <w:pStyle w:val="4"/>
        <w:snapToGrid w:val="0"/>
        <w:spacing w:before="100" w:beforeAutospacing="1" w:after="100" w:afterAutospacing="1" w:line="360" w:lineRule="auto"/>
        <w:ind w:left="412" w:firstLine="480" w:firstLineChars="200"/>
        <w:rPr>
          <w:rFonts w:hint="eastAsia" w:asciiTheme="minorEastAsia" w:hAnsiTheme="minorEastAsia"/>
          <w:sz w:val="24"/>
          <w:lang w:val="en-US" w:eastAsia="zh-CN"/>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陈先生</w:t>
      </w:r>
      <w:r>
        <w:rPr>
          <w:rFonts w:hint="eastAsia" w:asciiTheme="minorEastAsia" w:hAnsiTheme="minorEastAsia" w:eastAsiaTheme="minorEastAsia"/>
          <w:bCs/>
          <w:sz w:val="24"/>
        </w:rPr>
        <w:t xml:space="preserve"> 电话：</w:t>
      </w:r>
      <w:r>
        <w:rPr>
          <w:rFonts w:hint="eastAsia" w:cs="宋体" w:asciiTheme="minorEastAsia" w:hAnsiTheme="minorEastAsia"/>
          <w:bCs/>
          <w:color w:val="auto"/>
          <w:sz w:val="24"/>
          <w:lang w:val="en-US" w:eastAsia="zh-CN"/>
        </w:rPr>
        <w:t>18760322327</w:t>
      </w:r>
      <w:r>
        <w:rPr>
          <w:rFonts w:hint="eastAsia" w:asciiTheme="minorEastAsia" w:hAnsiTheme="minorEastAsia" w:eastAsiaTheme="minorEastAsia"/>
          <w:bCs/>
          <w:sz w:val="24"/>
        </w:rPr>
        <w:t xml:space="preserve"> 邮箱：</w:t>
      </w:r>
      <w:r>
        <w:rPr>
          <w:rFonts w:hint="eastAsia" w:asciiTheme="minorEastAsia" w:hAnsiTheme="minorEastAsia"/>
          <w:sz w:val="24"/>
        </w:rPr>
        <w:fldChar w:fldCharType="begin"/>
      </w:r>
      <w:r>
        <w:rPr>
          <w:rFonts w:hint="eastAsia" w:asciiTheme="minorEastAsia" w:hAnsiTheme="minorEastAsia"/>
          <w:sz w:val="24"/>
        </w:rPr>
        <w:instrText xml:space="preserve"> HYPERLINK "mailto:chench@fhcpec.cn" </w:instrText>
      </w:r>
      <w:r>
        <w:rPr>
          <w:rFonts w:hint="eastAsia" w:asciiTheme="minorEastAsia" w:hAnsiTheme="minorEastAsia"/>
          <w:sz w:val="24"/>
        </w:rPr>
        <w:fldChar w:fldCharType="separate"/>
      </w:r>
      <w:r>
        <w:rPr>
          <w:rFonts w:hint="eastAsia" w:asciiTheme="minorEastAsia" w:hAnsiTheme="minorEastAsia"/>
          <w:sz w:val="24"/>
        </w:rPr>
        <w:t>chench@fhcpec.cn</w:t>
      </w:r>
      <w:r>
        <w:rPr>
          <w:rFonts w:hint="eastAsia" w:asciiTheme="minorEastAsia" w:hAnsiTheme="minorEastAsia"/>
          <w:sz w:val="24"/>
        </w:rPr>
        <w:fldChar w:fldCharType="end"/>
      </w:r>
      <w:r>
        <w:rPr>
          <w:rFonts w:hint="eastAsia" w:asciiTheme="minorEastAsia" w:hAnsiTheme="minorEastAsia"/>
          <w:sz w:val="24"/>
          <w:lang w:val="en-US" w:eastAsia="zh-CN"/>
        </w:rPr>
        <w:t xml:space="preserve"> </w:t>
      </w:r>
    </w:p>
    <w:p w14:paraId="2A3F31BF">
      <w:pPr>
        <w:pStyle w:val="4"/>
        <w:snapToGrid w:val="0"/>
        <w:spacing w:before="100" w:beforeAutospacing="1" w:after="100" w:afterAutospacing="1" w:line="360" w:lineRule="auto"/>
        <w:ind w:left="412"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r>
        <w:rPr>
          <w:rFonts w:hint="eastAsia" w:cs="宋体" w:asciiTheme="minorEastAsia" w:hAnsiTheme="minorEastAsia"/>
          <w:bCs/>
          <w:sz w:val="24"/>
        </w:rPr>
        <w:t>邮箱：</w:t>
      </w:r>
      <w:r>
        <w:rPr>
          <w:rFonts w:hint="eastAsia" w:cs="Helvetica" w:asciiTheme="minorEastAsia" w:hAnsiTheme="minorEastAsia"/>
        </w:rPr>
        <w:t>：</w:t>
      </w:r>
      <w:r>
        <w:rPr>
          <w:rFonts w:hint="eastAsia" w:asciiTheme="minorEastAsia" w:hAnsiTheme="minorEastAsia"/>
          <w:sz w:val="24"/>
        </w:rPr>
        <w:t>fhcjc@fhcpec.com.cn</w:t>
      </w:r>
    </w:p>
    <w:p w14:paraId="2721543E">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漳州市漳浦县杜浔镇杜昌路9号福海创办公大楼3楼</w:t>
      </w:r>
    </w:p>
    <w:p w14:paraId="208F7458">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14:paraId="7F92315B">
      <w:pPr>
        <w:tabs>
          <w:tab w:val="left" w:pos="3098"/>
        </w:tabs>
        <w:spacing w:line="360" w:lineRule="auto"/>
        <w:ind w:firstLine="5040" w:firstLineChars="2100"/>
        <w:rPr>
          <w:rFonts w:hint="eastAsia" w:asciiTheme="minorEastAsia" w:hAnsiTheme="minorEastAsia" w:eastAsiaTheme="minorEastAsia"/>
          <w:bCs/>
          <w:sz w:val="24"/>
          <w:lang w:eastAsia="zh-CN"/>
        </w:rPr>
      </w:pPr>
    </w:p>
    <w:p w14:paraId="15605148">
      <w:pPr>
        <w:tabs>
          <w:tab w:val="left" w:pos="3098"/>
        </w:tabs>
        <w:spacing w:line="360" w:lineRule="auto"/>
        <w:ind w:firstLine="5040" w:firstLineChars="2100"/>
        <w:rPr>
          <w:rFonts w:hint="eastAsia" w:asciiTheme="minorEastAsia" w:hAnsiTheme="minorEastAsia" w:eastAsiaTheme="minorEastAsia"/>
          <w:bCs/>
          <w:sz w:val="24"/>
          <w:lang w:eastAsia="zh-CN"/>
        </w:rPr>
      </w:pPr>
    </w:p>
    <w:p w14:paraId="5E1827AD">
      <w:pPr>
        <w:tabs>
          <w:tab w:val="left" w:pos="3098"/>
        </w:tabs>
        <w:spacing w:line="360" w:lineRule="auto"/>
        <w:ind w:firstLine="5040" w:firstLineChars="210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p>
    <w:p w14:paraId="1A8A76D6">
      <w:pPr>
        <w:spacing w:line="360" w:lineRule="auto"/>
        <w:ind w:firstLine="5520" w:firstLineChars="2300"/>
        <w:rPr>
          <w:rFonts w:hint="eastAsia" w:ascii="宋体" w:hAnsi="宋体"/>
          <w:b/>
          <w:bCs/>
          <w:sz w:val="36"/>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9月5日</w:t>
      </w:r>
    </w:p>
    <w:p w14:paraId="4EE86C65">
      <w:pPr>
        <w:spacing w:line="400" w:lineRule="exact"/>
        <w:jc w:val="both"/>
        <w:rPr>
          <w:rFonts w:hint="eastAsia" w:ascii="宋体" w:hAnsi="宋体"/>
          <w:b/>
          <w:bCs/>
          <w:sz w:val="36"/>
        </w:rPr>
      </w:pPr>
    </w:p>
    <w:p w14:paraId="7146AE1A">
      <w:pPr>
        <w:spacing w:line="400" w:lineRule="exact"/>
        <w:jc w:val="center"/>
        <w:rPr>
          <w:rFonts w:ascii="宋体"/>
          <w:b/>
          <w:bCs/>
          <w:sz w:val="36"/>
        </w:rPr>
      </w:pPr>
      <w:r>
        <w:rPr>
          <w:rFonts w:hint="eastAsia" w:ascii="宋体" w:hAnsi="宋体"/>
          <w:b/>
          <w:bCs/>
          <w:sz w:val="36"/>
        </w:rPr>
        <w:t>二、参选规定及说明</w:t>
      </w:r>
    </w:p>
    <w:p w14:paraId="7FEFB64D">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空压装置活性氧化铝</w:t>
      </w:r>
      <w:r>
        <w:rPr>
          <w:rFonts w:hint="eastAsia" w:ascii="宋体" w:hAnsi="宋体"/>
          <w:sz w:val="18"/>
          <w:szCs w:val="18"/>
          <w:u w:val="single"/>
        </w:rPr>
        <w:t>。</w:t>
      </w:r>
    </w:p>
    <w:p w14:paraId="648AD0CB">
      <w:pPr>
        <w:pStyle w:val="18"/>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14:paraId="5BA7321D">
      <w:pPr>
        <w:spacing w:line="320" w:lineRule="exact"/>
        <w:rPr>
          <w:rFonts w:ascii="宋体"/>
          <w:sz w:val="18"/>
          <w:szCs w:val="18"/>
        </w:rPr>
      </w:pPr>
      <w:r>
        <w:rPr>
          <w:rFonts w:hint="eastAsia" w:ascii="宋体"/>
          <w:sz w:val="18"/>
          <w:szCs w:val="18"/>
        </w:rPr>
        <w:t>2.参选人资格：</w:t>
      </w:r>
    </w:p>
    <w:p w14:paraId="6DC68933">
      <w:pPr>
        <w:spacing w:line="320" w:lineRule="exact"/>
        <w:rPr>
          <w:rFonts w:hint="eastAsia" w:ascii="宋体"/>
          <w:sz w:val="18"/>
          <w:szCs w:val="18"/>
        </w:rPr>
      </w:pPr>
      <w:r>
        <w:rPr>
          <w:rFonts w:hint="eastAsia" w:ascii="宋体"/>
          <w:sz w:val="18"/>
          <w:szCs w:val="18"/>
        </w:rPr>
        <w:t>（1）具备独立法人资格、具备有效的企业法人营业执照；</w:t>
      </w:r>
    </w:p>
    <w:p w14:paraId="7F04B12D">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14:paraId="17E1F933">
      <w:pPr>
        <w:spacing w:line="320" w:lineRule="exact"/>
        <w:rPr>
          <w:rFonts w:ascii="宋体"/>
          <w:sz w:val="18"/>
          <w:szCs w:val="18"/>
        </w:rPr>
      </w:pPr>
      <w:r>
        <w:rPr>
          <w:rFonts w:hint="eastAsia" w:ascii="宋体"/>
          <w:sz w:val="18"/>
          <w:szCs w:val="18"/>
        </w:rPr>
        <w:t>（3）没有失信黑名单记录（以最高院失信被执行人系统发布信息为准）；</w:t>
      </w:r>
    </w:p>
    <w:p w14:paraId="7FB3DC62">
      <w:pPr>
        <w:spacing w:line="320" w:lineRule="exact"/>
        <w:rPr>
          <w:rFonts w:hint="eastAsia" w:ascii="宋体" w:eastAsia="宋体"/>
          <w:sz w:val="18"/>
          <w:szCs w:val="18"/>
          <w:lang w:eastAsia="zh-CN"/>
        </w:rPr>
      </w:pPr>
      <w:r>
        <w:rPr>
          <w:rFonts w:hint="eastAsia" w:ascii="宋体"/>
          <w:sz w:val="18"/>
          <w:szCs w:val="18"/>
        </w:rPr>
        <w:t>（4）与比选人无诉讼纠纷</w:t>
      </w:r>
      <w:r>
        <w:rPr>
          <w:rFonts w:hint="eastAsia" w:ascii="宋体"/>
          <w:sz w:val="18"/>
          <w:szCs w:val="18"/>
          <w:lang w:eastAsia="zh-CN"/>
        </w:rPr>
        <w:t>；</w:t>
      </w:r>
    </w:p>
    <w:p w14:paraId="2E088CA6">
      <w:pPr>
        <w:spacing w:line="320" w:lineRule="exact"/>
        <w:rPr>
          <w:rFonts w:hint="eastAsia" w:ascii="宋体" w:eastAsia="宋体"/>
          <w:sz w:val="18"/>
          <w:szCs w:val="18"/>
          <w:lang w:eastAsia="zh-CN"/>
        </w:rPr>
      </w:pPr>
      <w:r>
        <w:rPr>
          <w:rFonts w:hint="eastAsia" w:ascii="宋体"/>
          <w:sz w:val="18"/>
          <w:szCs w:val="18"/>
          <w:lang w:eastAsia="zh-CN"/>
        </w:rPr>
        <w:t>（</w:t>
      </w:r>
      <w:r>
        <w:rPr>
          <w:rFonts w:hint="eastAsia" w:ascii="宋体"/>
          <w:sz w:val="18"/>
          <w:szCs w:val="18"/>
          <w:lang w:val="en-US" w:eastAsia="zh-CN"/>
        </w:rPr>
        <w:t>5</w:t>
      </w:r>
      <w:r>
        <w:rPr>
          <w:rFonts w:hint="eastAsia" w:ascii="宋体"/>
          <w:sz w:val="18"/>
          <w:szCs w:val="18"/>
          <w:lang w:eastAsia="zh-CN"/>
        </w:rPr>
        <w:t>）</w:t>
      </w:r>
      <w:r>
        <w:rPr>
          <w:rFonts w:hint="eastAsia" w:ascii="宋体"/>
          <w:sz w:val="18"/>
          <w:szCs w:val="18"/>
        </w:rPr>
        <w:t>至少一份</w:t>
      </w:r>
      <w:r>
        <w:rPr>
          <w:rFonts w:hint="eastAsia" w:ascii="宋体"/>
          <w:sz w:val="18"/>
          <w:szCs w:val="18"/>
          <w:lang w:val="en-US" w:eastAsia="zh-CN"/>
        </w:rPr>
        <w:t>活性氧化铝</w:t>
      </w:r>
      <w:r>
        <w:rPr>
          <w:rFonts w:hint="eastAsia" w:ascii="宋体"/>
          <w:sz w:val="18"/>
          <w:szCs w:val="18"/>
        </w:rPr>
        <w:t>业绩材料（合同或发票）</w:t>
      </w:r>
      <w:r>
        <w:rPr>
          <w:rFonts w:hint="eastAsia" w:ascii="宋体"/>
          <w:sz w:val="18"/>
          <w:szCs w:val="18"/>
          <w:lang w:eastAsia="zh-CN"/>
        </w:rPr>
        <w:t>；</w:t>
      </w:r>
    </w:p>
    <w:p w14:paraId="7E3CAD53">
      <w:pPr>
        <w:spacing w:line="320" w:lineRule="exact"/>
        <w:rPr>
          <w:rFonts w:ascii="宋体"/>
          <w:sz w:val="18"/>
          <w:szCs w:val="18"/>
          <w:highlight w:val="none"/>
        </w:rPr>
      </w:pPr>
      <w:r>
        <w:rPr>
          <w:rFonts w:hint="eastAsia" w:ascii="宋体"/>
          <w:sz w:val="18"/>
          <w:szCs w:val="18"/>
        </w:rPr>
        <w:t>（</w:t>
      </w:r>
      <w:r>
        <w:rPr>
          <w:rFonts w:hint="eastAsia" w:ascii="宋体"/>
          <w:sz w:val="18"/>
          <w:szCs w:val="18"/>
          <w:lang w:val="en-US" w:eastAsia="zh-CN"/>
        </w:rPr>
        <w:t>6</w:t>
      </w:r>
      <w:r>
        <w:rPr>
          <w:rFonts w:hint="eastAsia" w:ascii="宋体"/>
          <w:sz w:val="18"/>
          <w:szCs w:val="18"/>
        </w:rPr>
        <w:t>）</w:t>
      </w:r>
      <w:r>
        <w:rPr>
          <w:rFonts w:hint="eastAsia" w:ascii="宋体"/>
          <w:sz w:val="18"/>
          <w:szCs w:val="18"/>
          <w:highlight w:val="none"/>
        </w:rPr>
        <w:t>参选保证金：</w:t>
      </w:r>
      <w:r>
        <w:rPr>
          <w:rFonts w:hint="eastAsia" w:ascii="宋体"/>
          <w:sz w:val="18"/>
          <w:szCs w:val="18"/>
          <w:highlight w:val="none"/>
          <w:lang w:val="en-US" w:eastAsia="zh-CN"/>
        </w:rPr>
        <w:t>贰仟元整</w:t>
      </w:r>
      <w:r>
        <w:rPr>
          <w:rFonts w:hint="eastAsia" w:ascii="宋体"/>
          <w:sz w:val="18"/>
          <w:szCs w:val="18"/>
          <w:highlight w:val="none"/>
        </w:rPr>
        <w:t>。</w:t>
      </w:r>
    </w:p>
    <w:p w14:paraId="78EA147B">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14:paraId="5455DE96">
      <w:pPr>
        <w:spacing w:line="320" w:lineRule="exact"/>
        <w:rPr>
          <w:rFonts w:hint="eastAsia" w:ascii="宋体" w:hAnsi="宋体"/>
          <w:sz w:val="18"/>
          <w:szCs w:val="18"/>
        </w:rPr>
      </w:pPr>
      <w:r>
        <w:rPr>
          <w:rFonts w:ascii="宋体" w:hAnsi="宋体"/>
          <w:sz w:val="18"/>
          <w:szCs w:val="18"/>
          <w:highlight w:val="none"/>
        </w:rPr>
        <w:t>4.</w:t>
      </w:r>
      <w:r>
        <w:rPr>
          <w:rFonts w:hint="eastAsia" w:ascii="宋体" w:hAnsi="宋体"/>
          <w:sz w:val="18"/>
          <w:szCs w:val="18"/>
          <w:highlight w:val="none"/>
        </w:rPr>
        <w:t>参选</w:t>
      </w:r>
      <w:r>
        <w:rPr>
          <w:rFonts w:hint="eastAsia" w:ascii="宋体" w:hAnsi="宋体"/>
          <w:sz w:val="18"/>
          <w:szCs w:val="18"/>
        </w:rPr>
        <w:t>人密封参选书，在各封口处加盖公司印章。以下材料一式两份，称为“参选文件”，需正、副本各一份，注明“正本”及“副本”并逐页盖公章，包括：</w:t>
      </w:r>
    </w:p>
    <w:p w14:paraId="61A46240">
      <w:pPr>
        <w:spacing w:line="320" w:lineRule="exact"/>
        <w:rPr>
          <w:rFonts w:ascii="宋体" w:hAnsi="宋体"/>
          <w:sz w:val="18"/>
          <w:szCs w:val="18"/>
          <w:highlight w:val="none"/>
        </w:rPr>
      </w:pPr>
      <w:r>
        <w:rPr>
          <w:rFonts w:hint="eastAsia" w:ascii="宋体" w:hAnsi="宋体"/>
          <w:sz w:val="18"/>
          <w:szCs w:val="18"/>
          <w:highlight w:val="none"/>
        </w:rPr>
        <w:t>（</w:t>
      </w:r>
      <w:r>
        <w:rPr>
          <w:rFonts w:ascii="宋体" w:hAnsi="宋体"/>
          <w:sz w:val="18"/>
          <w:szCs w:val="18"/>
          <w:highlight w:val="none"/>
        </w:rPr>
        <w:t>1</w:t>
      </w:r>
      <w:r>
        <w:rPr>
          <w:rFonts w:hint="eastAsia" w:ascii="宋体" w:hAnsi="宋体"/>
          <w:sz w:val="18"/>
          <w:szCs w:val="18"/>
          <w:highlight w:val="none"/>
        </w:rPr>
        <w:t>）比选公告</w:t>
      </w:r>
    </w:p>
    <w:p w14:paraId="3438C1A1">
      <w:pPr>
        <w:spacing w:line="320" w:lineRule="exact"/>
        <w:rPr>
          <w:rFonts w:ascii="宋体" w:hAnsi="宋体"/>
          <w:sz w:val="18"/>
          <w:szCs w:val="18"/>
          <w:highlight w:val="none"/>
        </w:rPr>
      </w:pPr>
      <w:r>
        <w:rPr>
          <w:rFonts w:hint="eastAsia" w:ascii="宋体" w:hAnsi="宋体"/>
          <w:sz w:val="18"/>
          <w:szCs w:val="18"/>
          <w:highlight w:val="none"/>
        </w:rPr>
        <w:t>（2）参选规定及说明</w:t>
      </w:r>
    </w:p>
    <w:p w14:paraId="6B040375">
      <w:pPr>
        <w:spacing w:line="320" w:lineRule="exact"/>
        <w:rPr>
          <w:rFonts w:ascii="宋体" w:hAnsi="宋体"/>
          <w:sz w:val="18"/>
          <w:szCs w:val="18"/>
          <w:highlight w:val="none"/>
        </w:rPr>
      </w:pPr>
      <w:r>
        <w:rPr>
          <w:rFonts w:hint="eastAsia" w:ascii="宋体" w:hAnsi="宋体"/>
          <w:sz w:val="18"/>
          <w:szCs w:val="18"/>
          <w:highlight w:val="none"/>
        </w:rPr>
        <w:t>（3）比选文件</w:t>
      </w:r>
    </w:p>
    <w:p w14:paraId="35DB42AB">
      <w:pPr>
        <w:spacing w:line="320" w:lineRule="exact"/>
        <w:rPr>
          <w:rFonts w:ascii="宋体" w:hAnsi="宋体"/>
          <w:sz w:val="18"/>
          <w:szCs w:val="18"/>
          <w:highlight w:val="none"/>
        </w:rPr>
      </w:pPr>
      <w:r>
        <w:rPr>
          <w:rFonts w:hint="eastAsia" w:ascii="宋体" w:hAnsi="宋体"/>
          <w:sz w:val="18"/>
          <w:szCs w:val="18"/>
          <w:highlight w:val="none"/>
        </w:rPr>
        <w:t>（4）参选书</w:t>
      </w:r>
    </w:p>
    <w:p w14:paraId="5C17E010">
      <w:pPr>
        <w:spacing w:line="320" w:lineRule="exact"/>
        <w:rPr>
          <w:rFonts w:ascii="宋体" w:hAnsi="宋体"/>
          <w:sz w:val="18"/>
          <w:szCs w:val="18"/>
          <w:highlight w:val="none"/>
        </w:rPr>
      </w:pPr>
      <w:r>
        <w:rPr>
          <w:rFonts w:hint="eastAsia" w:ascii="宋体" w:hAnsi="宋体"/>
          <w:sz w:val="18"/>
          <w:szCs w:val="18"/>
          <w:highlight w:val="none"/>
        </w:rPr>
        <w:t>（5）法定代表人授权书</w:t>
      </w:r>
    </w:p>
    <w:p w14:paraId="0DA86272">
      <w:pPr>
        <w:spacing w:line="320" w:lineRule="exact"/>
        <w:rPr>
          <w:rFonts w:hint="eastAsia" w:ascii="宋体" w:hAnsi="宋体"/>
          <w:sz w:val="18"/>
          <w:szCs w:val="18"/>
          <w:highlight w:val="none"/>
        </w:rPr>
      </w:pPr>
      <w:r>
        <w:rPr>
          <w:rFonts w:hint="eastAsia" w:ascii="宋体" w:hAnsi="宋体"/>
          <w:sz w:val="18"/>
          <w:szCs w:val="18"/>
          <w:highlight w:val="none"/>
        </w:rPr>
        <w:t>（6）报价单</w:t>
      </w:r>
    </w:p>
    <w:p w14:paraId="416E3B0D">
      <w:pPr>
        <w:spacing w:line="320" w:lineRule="exact"/>
        <w:rPr>
          <w:rFonts w:hint="eastAsia" w:ascii="宋体" w:hAnsi="宋体" w:eastAsia="宋体"/>
          <w:sz w:val="18"/>
          <w:szCs w:val="18"/>
          <w:highlight w:val="none"/>
          <w:lang w:eastAsia="zh-CN"/>
        </w:rPr>
      </w:pPr>
      <w:r>
        <w:rPr>
          <w:rFonts w:hint="eastAsia" w:ascii="宋体" w:hAnsi="宋体"/>
          <w:sz w:val="18"/>
          <w:szCs w:val="18"/>
          <w:highlight w:val="none"/>
          <w:lang w:eastAsia="zh-CN"/>
        </w:rPr>
        <w:t>（</w:t>
      </w:r>
      <w:r>
        <w:rPr>
          <w:rFonts w:hint="eastAsia" w:ascii="宋体" w:hAnsi="宋体"/>
          <w:sz w:val="18"/>
          <w:szCs w:val="18"/>
          <w:highlight w:val="none"/>
          <w:lang w:val="en-US" w:eastAsia="zh-CN"/>
        </w:rPr>
        <w:t>7</w:t>
      </w:r>
      <w:r>
        <w:rPr>
          <w:rFonts w:hint="eastAsia" w:ascii="宋体" w:hAnsi="宋体"/>
          <w:sz w:val="18"/>
          <w:szCs w:val="18"/>
          <w:highlight w:val="none"/>
          <w:lang w:eastAsia="zh-CN"/>
        </w:rPr>
        <w:t>）</w:t>
      </w:r>
      <w:r>
        <w:rPr>
          <w:rFonts w:hint="eastAsia" w:ascii="宋体" w:hAnsi="宋体"/>
          <w:sz w:val="18"/>
          <w:szCs w:val="18"/>
          <w:highlight w:val="none"/>
          <w:lang w:val="en-US" w:eastAsia="zh-CN"/>
        </w:rPr>
        <w:t>技术要求</w:t>
      </w:r>
    </w:p>
    <w:p w14:paraId="03717AE1">
      <w:pPr>
        <w:spacing w:line="320" w:lineRule="exact"/>
        <w:rPr>
          <w:rFonts w:ascii="宋体" w:hAnsi="宋体"/>
          <w:sz w:val="18"/>
          <w:szCs w:val="18"/>
        </w:rPr>
      </w:pPr>
      <w:r>
        <w:rPr>
          <w:rFonts w:hint="eastAsia" w:ascii="宋体" w:hAnsi="宋体"/>
          <w:sz w:val="18"/>
          <w:szCs w:val="18"/>
          <w:lang w:val="en-US" w:eastAsia="zh-CN"/>
        </w:rPr>
        <w:t>5.</w:t>
      </w:r>
      <w:r>
        <w:rPr>
          <w:rFonts w:hint="eastAsia" w:ascii="宋体" w:hAnsi="宋体"/>
          <w:sz w:val="18"/>
          <w:szCs w:val="18"/>
        </w:rPr>
        <w:t>参选文件的修改：</w:t>
      </w:r>
    </w:p>
    <w:p w14:paraId="3335A2F1">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14:paraId="50A1CD1F">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14:paraId="43BEA16B">
      <w:pPr>
        <w:spacing w:line="320" w:lineRule="exact"/>
        <w:rPr>
          <w:rFonts w:ascii="宋体" w:hAnsi="宋体"/>
          <w:sz w:val="18"/>
          <w:szCs w:val="18"/>
        </w:rPr>
      </w:pPr>
      <w:r>
        <w:rPr>
          <w:rFonts w:hint="eastAsia" w:ascii="宋体" w:hAnsi="宋体"/>
          <w:sz w:val="18"/>
          <w:szCs w:val="18"/>
          <w:lang w:val="en-US" w:eastAsia="zh-CN"/>
        </w:rPr>
        <w:t>6</w:t>
      </w:r>
      <w:r>
        <w:rPr>
          <w:rFonts w:ascii="宋体" w:hAnsi="宋体"/>
          <w:sz w:val="18"/>
          <w:szCs w:val="18"/>
        </w:rPr>
        <w:t>.</w:t>
      </w:r>
      <w:r>
        <w:rPr>
          <w:rFonts w:hint="eastAsia" w:ascii="宋体" w:hAnsi="宋体"/>
          <w:sz w:val="18"/>
          <w:szCs w:val="18"/>
        </w:rPr>
        <w:t>报价均应为人民币一票含增值税目的地交货价。小写和大写不符，以大写为准；副本与正本不符，以正本为准。</w:t>
      </w:r>
    </w:p>
    <w:p w14:paraId="09BE1490">
      <w:pPr>
        <w:spacing w:line="320" w:lineRule="exact"/>
        <w:rPr>
          <w:rFonts w:ascii="宋体" w:hAnsi="宋体"/>
          <w:sz w:val="18"/>
          <w:szCs w:val="18"/>
        </w:rPr>
      </w:pPr>
      <w:r>
        <w:rPr>
          <w:rFonts w:hint="eastAsia" w:ascii="宋体" w:hAnsi="宋体"/>
          <w:sz w:val="18"/>
          <w:szCs w:val="18"/>
          <w:lang w:val="en-US" w:eastAsia="zh-CN"/>
        </w:rPr>
        <w:t>7</w:t>
      </w:r>
      <w:r>
        <w:rPr>
          <w:rFonts w:ascii="宋体" w:hAnsi="宋体"/>
          <w:sz w:val="18"/>
          <w:szCs w:val="18"/>
        </w:rPr>
        <w:t>.</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空压装置活性氧化铝</w:t>
      </w:r>
      <w:r>
        <w:rPr>
          <w:rFonts w:hint="eastAsia" w:ascii="宋体" w:hAnsi="宋体"/>
          <w:sz w:val="18"/>
          <w:szCs w:val="18"/>
        </w:rPr>
        <w:t>的采购价格。比选会议确定价格之后：</w:t>
      </w:r>
    </w:p>
    <w:p w14:paraId="3FFEB88B">
      <w:pPr>
        <w:spacing w:line="320" w:lineRule="exact"/>
        <w:rPr>
          <w:rFonts w:ascii="Arial" w:hAnsi="Arial" w:cs="Arial"/>
          <w:sz w:val="18"/>
          <w:szCs w:val="18"/>
        </w:rPr>
      </w:pPr>
      <w:r>
        <w:rPr>
          <w:rFonts w:hint="eastAsia" w:ascii="Arial" w:hAnsi="Arial" w:cs="Arial"/>
          <w:sz w:val="18"/>
          <w:szCs w:val="18"/>
          <w:lang w:val="en-US" w:eastAsia="zh-CN"/>
        </w:rPr>
        <w:t>7</w:t>
      </w:r>
      <w:r>
        <w:rPr>
          <w:rFonts w:ascii="Arial" w:hAnsi="Arial" w:cs="Arial"/>
          <w:sz w:val="18"/>
          <w:szCs w:val="18"/>
        </w:rPr>
        <w:t>.1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14:paraId="5A92BF69">
      <w:pPr>
        <w:spacing w:line="320" w:lineRule="exact"/>
        <w:rPr>
          <w:rFonts w:ascii="宋体"/>
          <w:sz w:val="18"/>
          <w:szCs w:val="18"/>
        </w:rPr>
      </w:pPr>
      <w:r>
        <w:rPr>
          <w:rFonts w:hint="eastAsia" w:ascii="Arial" w:hAnsi="Arial" w:cs="Arial"/>
          <w:sz w:val="18"/>
          <w:szCs w:val="18"/>
          <w:lang w:val="en-US" w:eastAsia="zh-CN"/>
        </w:rPr>
        <w:t>7</w:t>
      </w:r>
      <w:r>
        <w:rPr>
          <w:rFonts w:ascii="Arial" w:hAnsi="Arial" w:cs="Arial"/>
          <w:sz w:val="18"/>
          <w:szCs w:val="18"/>
        </w:rPr>
        <w:t>.2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14:paraId="1F3FFC9B">
      <w:pPr>
        <w:spacing w:line="320" w:lineRule="exact"/>
        <w:rPr>
          <w:rFonts w:ascii="宋体"/>
          <w:sz w:val="18"/>
          <w:szCs w:val="18"/>
        </w:rPr>
      </w:pPr>
      <w:r>
        <w:rPr>
          <w:rFonts w:hint="eastAsia" w:ascii="宋体" w:hAnsi="宋体"/>
          <w:sz w:val="18"/>
          <w:szCs w:val="18"/>
          <w:lang w:val="en-US" w:eastAsia="zh-CN"/>
        </w:rPr>
        <w:t>8</w:t>
      </w:r>
      <w:r>
        <w:rPr>
          <w:rFonts w:ascii="宋体" w:hAnsi="宋体"/>
          <w:sz w:val="18"/>
          <w:szCs w:val="18"/>
        </w:rPr>
        <w:t>.</w:t>
      </w:r>
      <w:r>
        <w:rPr>
          <w:rFonts w:hint="eastAsia" w:ascii="宋体" w:hAnsi="宋体"/>
          <w:sz w:val="18"/>
          <w:szCs w:val="18"/>
        </w:rPr>
        <w:t>公开比选小组将允许修改参选文件中不构成重大偏离的、不一致或不规则的地方。</w:t>
      </w:r>
    </w:p>
    <w:p w14:paraId="193D6171">
      <w:pPr>
        <w:spacing w:line="320" w:lineRule="exact"/>
        <w:rPr>
          <w:rFonts w:ascii="宋体"/>
          <w:sz w:val="18"/>
          <w:szCs w:val="18"/>
        </w:rPr>
      </w:pPr>
      <w:r>
        <w:rPr>
          <w:rFonts w:hint="eastAsia" w:ascii="宋体" w:hAnsi="宋体"/>
          <w:sz w:val="18"/>
          <w:szCs w:val="18"/>
          <w:lang w:val="en-US" w:eastAsia="zh-CN"/>
        </w:rPr>
        <w:t>9</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14:paraId="291D7F50">
      <w:pPr>
        <w:spacing w:line="320" w:lineRule="exact"/>
        <w:rPr>
          <w:rFonts w:ascii="宋体" w:hAnsi="宋体"/>
          <w:sz w:val="18"/>
          <w:szCs w:val="18"/>
        </w:rPr>
      </w:pPr>
      <w:r>
        <w:rPr>
          <w:rFonts w:ascii="宋体" w:hAnsi="宋体"/>
          <w:sz w:val="18"/>
          <w:szCs w:val="18"/>
        </w:rPr>
        <w:t>1</w:t>
      </w:r>
      <w:r>
        <w:rPr>
          <w:rFonts w:hint="eastAsia" w:ascii="宋体" w:hAnsi="宋体"/>
          <w:sz w:val="18"/>
          <w:szCs w:val="18"/>
          <w:lang w:val="en-US" w:eastAsia="zh-CN"/>
        </w:rPr>
        <w:t>0</w:t>
      </w:r>
      <w:r>
        <w:rPr>
          <w:rFonts w:hint="eastAsia" w:ascii="宋体" w:hAnsi="宋体"/>
          <w:sz w:val="18"/>
          <w:szCs w:val="18"/>
        </w:rPr>
        <w:t>.公开比选会议期间，确定价格后，愿意以确定的价格供货的报价人立即或会后邮件扫描或传真《公开比选确认单》至我司，由采购部成员办理随后的订单送审手续。比选数量为总数量，订单签署上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w:t>
      </w:r>
      <w:r>
        <w:rPr>
          <w:rFonts w:hint="eastAsia" w:ascii="宋体" w:hAnsi="宋体"/>
          <w:sz w:val="18"/>
          <w:szCs w:val="18"/>
          <w:lang w:val="en-US" w:eastAsia="zh-CN"/>
        </w:rPr>
        <w:t>我司需求情况</w:t>
      </w:r>
      <w:r>
        <w:rPr>
          <w:rFonts w:hint="eastAsia" w:ascii="宋体" w:hAnsi="宋体"/>
          <w:sz w:val="18"/>
          <w:szCs w:val="18"/>
        </w:rPr>
        <w:t>而定。</w:t>
      </w:r>
    </w:p>
    <w:p w14:paraId="5BB1E0A8">
      <w:pPr>
        <w:spacing w:line="320" w:lineRule="exact"/>
        <w:rPr>
          <w:rFonts w:hint="eastAsia" w:ascii="宋体" w:hAnsi="宋体"/>
          <w:sz w:val="18"/>
          <w:szCs w:val="18"/>
        </w:rPr>
      </w:pPr>
      <w:r>
        <w:rPr>
          <w:rFonts w:hint="eastAsia" w:ascii="宋体" w:hAnsi="宋体"/>
          <w:sz w:val="18"/>
          <w:szCs w:val="18"/>
          <w:lang w:val="en-US" w:eastAsia="zh-CN"/>
        </w:rPr>
        <w:t>11</w:t>
      </w:r>
      <w:r>
        <w:rPr>
          <w:rFonts w:hint="eastAsia" w:ascii="宋体" w:hAnsi="宋体"/>
          <w:sz w:val="18"/>
          <w:szCs w:val="18"/>
        </w:rPr>
        <w:t>.参选文件不退还。</w:t>
      </w:r>
    </w:p>
    <w:p w14:paraId="7C3D32D4">
      <w:pPr>
        <w:spacing w:line="320" w:lineRule="exact"/>
        <w:rPr>
          <w:rFonts w:hint="eastAsia" w:ascii="宋体" w:hAnsi="宋体"/>
          <w:b/>
          <w:bCs/>
          <w:sz w:val="36"/>
          <w:szCs w:val="36"/>
        </w:rPr>
      </w:pPr>
      <w:r>
        <w:rPr>
          <w:rFonts w:hint="eastAsia" w:ascii="宋体" w:hAnsi="宋体"/>
          <w:sz w:val="18"/>
          <w:szCs w:val="18"/>
          <w:highlight w:val="none"/>
        </w:rPr>
        <w:t>1</w:t>
      </w:r>
      <w:r>
        <w:rPr>
          <w:rFonts w:hint="eastAsia" w:ascii="宋体" w:hAnsi="宋体"/>
          <w:sz w:val="18"/>
          <w:szCs w:val="18"/>
          <w:highlight w:val="none"/>
          <w:lang w:val="en-US" w:eastAsia="zh-CN"/>
        </w:rPr>
        <w:t>2.</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14:paraId="1D1B52E9">
      <w:pPr>
        <w:spacing w:line="500" w:lineRule="exact"/>
        <w:jc w:val="center"/>
        <w:rPr>
          <w:rFonts w:ascii="宋体"/>
          <w:b/>
          <w:bCs/>
          <w:sz w:val="36"/>
          <w:szCs w:val="36"/>
        </w:rPr>
      </w:pPr>
      <w:r>
        <w:rPr>
          <w:rFonts w:hint="eastAsia" w:ascii="宋体" w:hAnsi="宋体"/>
          <w:b/>
          <w:bCs/>
          <w:sz w:val="36"/>
          <w:szCs w:val="36"/>
        </w:rPr>
        <w:t>三、比选文件</w:t>
      </w:r>
    </w:p>
    <w:p w14:paraId="10D9C626">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2024-FHC-空压装置-活性氧化铝-0905</w:t>
      </w:r>
    </w:p>
    <w:p w14:paraId="7BEF8201">
      <w:pPr>
        <w:tabs>
          <w:tab w:val="left" w:pos="6846"/>
        </w:tabs>
        <w:spacing w:line="360" w:lineRule="exact"/>
        <w:jc w:val="left"/>
        <w:rPr>
          <w:rFonts w:ascii="宋体" w:hAnsi="宋体"/>
          <w:sz w:val="28"/>
          <w:szCs w:val="28"/>
        </w:rPr>
      </w:pPr>
    </w:p>
    <w:p w14:paraId="6D36C016">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空压装置活性氧化铝</w:t>
      </w:r>
      <w:r>
        <w:rPr>
          <w:rFonts w:hint="eastAsia" w:ascii="宋体" w:hAnsi="宋体"/>
          <w:sz w:val="24"/>
          <w:szCs w:val="24"/>
        </w:rPr>
        <w:t>，具体要求如下</w:t>
      </w:r>
      <w:r>
        <w:rPr>
          <w:rFonts w:hint="eastAsia" w:ascii="宋体" w:hAnsi="宋体"/>
          <w:sz w:val="24"/>
          <w:szCs w:val="24"/>
          <w:lang w:eastAsia="zh-CN"/>
        </w:rPr>
        <w:t>：</w:t>
      </w:r>
      <w:r>
        <w:rPr>
          <w:rFonts w:ascii="宋体"/>
          <w:sz w:val="24"/>
          <w:szCs w:val="24"/>
        </w:rPr>
        <w:tab/>
      </w:r>
    </w:p>
    <w:p w14:paraId="26735F3C">
      <w:pPr>
        <w:numPr>
          <w:ilvl w:val="0"/>
          <w:numId w:val="6"/>
        </w:numPr>
        <w:spacing w:line="360" w:lineRule="exact"/>
        <w:jc w:val="left"/>
        <w:rPr>
          <w:rFonts w:hint="eastAsia" w:ascii="宋体" w:hAnsi="宋体" w:cs="宋体"/>
          <w:sz w:val="24"/>
        </w:rPr>
      </w:pPr>
      <w:r>
        <w:rPr>
          <w:rFonts w:hint="eastAsia" w:ascii="宋体" w:cs="宋体"/>
          <w:sz w:val="24"/>
        </w:rPr>
        <w:t>采购数量：</w:t>
      </w:r>
      <w:r>
        <w:rPr>
          <w:rFonts w:hint="eastAsia" w:ascii="宋体" w:cs="宋体"/>
          <w:sz w:val="24"/>
          <w:lang w:val="en-US" w:eastAsia="zh-CN"/>
        </w:rPr>
        <w:t>10吨。</w:t>
      </w:r>
      <w:r>
        <w:rPr>
          <w:rFonts w:hint="eastAsia" w:ascii="宋体" w:cs="宋体"/>
          <w:sz w:val="24"/>
        </w:rPr>
        <w:t>（数量为预估量，以实际发生量为准</w:t>
      </w:r>
      <w:r>
        <w:rPr>
          <w:rFonts w:hint="eastAsia" w:ascii="宋体" w:cs="宋体"/>
          <w:sz w:val="24"/>
          <w:lang w:eastAsia="zh-CN"/>
        </w:rPr>
        <w:t>。</w:t>
      </w:r>
      <w:r>
        <w:rPr>
          <w:rFonts w:hint="eastAsia" w:ascii="宋体" w:cs="宋体"/>
          <w:sz w:val="24"/>
        </w:rPr>
        <w:t>）</w:t>
      </w:r>
    </w:p>
    <w:p w14:paraId="05DFA1BA">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产品</w:t>
      </w:r>
      <w:r>
        <w:rPr>
          <w:rFonts w:hint="eastAsia" w:ascii="宋体" w:hAnsi="宋体" w:eastAsia="宋体"/>
          <w:color w:val="000000" w:themeColor="text1"/>
          <w:sz w:val="24"/>
          <w:szCs w:val="24"/>
          <w14:textFill>
            <w14:solidFill>
              <w14:schemeClr w14:val="tx1"/>
            </w14:solidFill>
          </w14:textFill>
        </w:rPr>
        <w:t>质量</w:t>
      </w:r>
      <w:r>
        <w:rPr>
          <w:rFonts w:ascii="宋体" w:hAnsi="宋体" w:eastAsia="宋体"/>
          <w:color w:val="000000" w:themeColor="text1"/>
          <w:sz w:val="24"/>
          <w:szCs w:val="24"/>
          <w14:textFill>
            <w14:solidFill>
              <w14:schemeClr w14:val="tx1"/>
            </w14:solidFill>
          </w14:textFill>
        </w:rPr>
        <w:t>指标</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如下表</w:t>
      </w:r>
      <w:r>
        <w:rPr>
          <w:rFonts w:hint="eastAsia" w:ascii="宋体" w:hAnsi="宋体" w:eastAsia="宋体"/>
          <w:color w:val="000000" w:themeColor="text1"/>
          <w:sz w:val="24"/>
          <w:szCs w:val="24"/>
          <w14:textFill>
            <w14:solidFill>
              <w14:schemeClr w14:val="tx1"/>
            </w14:solidFill>
          </w14:textFill>
        </w:rPr>
        <w:t>1</w:t>
      </w:r>
    </w:p>
    <w:p w14:paraId="70DA7981">
      <w:pPr>
        <w:spacing w:after="156" w:afterLines="50"/>
        <w:jc w:val="center"/>
        <w:rPr>
          <w:rFonts w:ascii="Times New Roman" w:hAnsi="Times New Roman" w:cs="Times New Roman"/>
          <w:szCs w:val="21"/>
        </w:rPr>
      </w:pPr>
      <w:r>
        <w:rPr>
          <w:rFonts w:hint="eastAsia" w:ascii="Times New Roman" w:hAnsi="Times New Roman" w:cs="Times New Roman"/>
          <w:szCs w:val="21"/>
        </w:rPr>
        <w:t xml:space="preserve">表1 </w:t>
      </w:r>
      <w:r>
        <w:rPr>
          <w:rFonts w:ascii="Times New Roman" w:hAnsi="Times New Roman" w:cs="Times New Roman"/>
          <w:szCs w:val="21"/>
        </w:rPr>
        <w:t xml:space="preserve"> </w:t>
      </w:r>
      <w:r>
        <w:rPr>
          <w:rFonts w:hint="eastAsia" w:ascii="Times New Roman" w:hAnsi="Times New Roman" w:cs="Times New Roman"/>
          <w:szCs w:val="21"/>
        </w:rPr>
        <w:t>活性氧化铝产品</w:t>
      </w:r>
      <w:r>
        <w:rPr>
          <w:rFonts w:ascii="Times New Roman" w:hAnsi="Times New Roman" w:cs="Times New Roman"/>
          <w:szCs w:val="21"/>
        </w:rPr>
        <w:t>质量指标</w:t>
      </w:r>
    </w:p>
    <w:tbl>
      <w:tblPr>
        <w:tblStyle w:val="8"/>
        <w:tblW w:w="0" w:type="auto"/>
        <w:tblInd w:w="940" w:type="dxa"/>
        <w:tblLayout w:type="autofit"/>
        <w:tblCellMar>
          <w:top w:w="0" w:type="dxa"/>
          <w:left w:w="108" w:type="dxa"/>
          <w:bottom w:w="0" w:type="dxa"/>
          <w:right w:w="108" w:type="dxa"/>
        </w:tblCellMar>
      </w:tblPr>
      <w:tblGrid>
        <w:gridCol w:w="1830"/>
        <w:gridCol w:w="1710"/>
        <w:gridCol w:w="2281"/>
        <w:gridCol w:w="240"/>
      </w:tblGrid>
      <w:tr w14:paraId="44B30F5C">
        <w:tblPrEx>
          <w:tblCellMar>
            <w:top w:w="0" w:type="dxa"/>
            <w:left w:w="108" w:type="dxa"/>
            <w:bottom w:w="0" w:type="dxa"/>
            <w:right w:w="108" w:type="dxa"/>
          </w:tblCellMar>
        </w:tblPrEx>
        <w:trPr>
          <w:gridAfter w:val="1"/>
          <w:wAfter w:w="240" w:type="dxa"/>
          <w:trHeight w:val="433"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1B7AB407">
            <w:pPr>
              <w:widowControl/>
              <w:spacing w:line="375" w:lineRule="atLeast"/>
              <w:ind w:right="-197" w:rightChars="-94"/>
              <w:jc w:val="center"/>
              <w:rPr>
                <w:rFonts w:ascii=".." w:hAnsi=".." w:cs="宋体"/>
                <w:color w:val="000000"/>
                <w:kern w:val="0"/>
                <w:szCs w:val="21"/>
              </w:rPr>
            </w:pPr>
            <w:r>
              <w:rPr>
                <w:rFonts w:hint="eastAsia" w:ascii=".." w:hAnsi=".." w:cs="宋体"/>
                <w:color w:val="000000"/>
                <w:kern w:val="0"/>
                <w:szCs w:val="21"/>
              </w:rPr>
              <w:t>项目</w:t>
            </w:r>
          </w:p>
        </w:tc>
        <w:tc>
          <w:tcPr>
            <w:tcW w:w="1710" w:type="dxa"/>
            <w:tcBorders>
              <w:top w:val="single" w:color="000000" w:sz="4" w:space="0"/>
              <w:left w:val="nil"/>
              <w:bottom w:val="single" w:color="000000" w:sz="4" w:space="0"/>
              <w:right w:val="single" w:color="auto" w:sz="4" w:space="0"/>
            </w:tcBorders>
            <w:vAlign w:val="center"/>
          </w:tcPr>
          <w:p w14:paraId="3C2CBFF3">
            <w:pPr>
              <w:widowControl/>
              <w:spacing w:line="375" w:lineRule="atLeast"/>
              <w:ind w:right="-197" w:rightChars="-94"/>
              <w:jc w:val="center"/>
              <w:rPr>
                <w:rFonts w:hint="eastAsia" w:cs="宋体"/>
                <w:color w:val="000000"/>
                <w:kern w:val="0"/>
                <w:szCs w:val="21"/>
              </w:rPr>
            </w:pPr>
            <w:r>
              <w:rPr>
                <w:rFonts w:hint="eastAsia" w:cs="宋体"/>
                <w:color w:val="000000"/>
                <w:kern w:val="0"/>
                <w:szCs w:val="21"/>
              </w:rPr>
              <w:t>单位</w:t>
            </w:r>
          </w:p>
        </w:tc>
        <w:tc>
          <w:tcPr>
            <w:tcW w:w="2281" w:type="dxa"/>
            <w:tcBorders>
              <w:top w:val="single" w:color="000000" w:sz="4" w:space="0"/>
              <w:left w:val="nil"/>
              <w:bottom w:val="single" w:color="000000" w:sz="4" w:space="0"/>
              <w:right w:val="single" w:color="000000" w:sz="4" w:space="0"/>
            </w:tcBorders>
            <w:vAlign w:val="center"/>
          </w:tcPr>
          <w:p w14:paraId="3E6E6F0B">
            <w:pPr>
              <w:widowControl/>
              <w:spacing w:line="375" w:lineRule="atLeast"/>
              <w:ind w:right="-197" w:rightChars="-94"/>
              <w:jc w:val="center"/>
              <w:rPr>
                <w:rFonts w:cs="宋体"/>
                <w:color w:val="000000"/>
                <w:kern w:val="0"/>
                <w:szCs w:val="21"/>
              </w:rPr>
            </w:pPr>
            <w:r>
              <w:rPr>
                <w:rFonts w:hint="eastAsia" w:cs="宋体"/>
                <w:color w:val="000000"/>
                <w:kern w:val="0"/>
                <w:szCs w:val="21"/>
              </w:rPr>
              <w:t>指标</w:t>
            </w:r>
          </w:p>
        </w:tc>
      </w:tr>
      <w:tr w14:paraId="6C96FCB0">
        <w:tblPrEx>
          <w:tblCellMar>
            <w:top w:w="0" w:type="dxa"/>
            <w:left w:w="108" w:type="dxa"/>
            <w:bottom w:w="0" w:type="dxa"/>
            <w:right w:w="108" w:type="dxa"/>
          </w:tblCellMar>
        </w:tblPrEx>
        <w:trPr>
          <w:trHeight w:val="419"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7D2F7A98">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外观</w:t>
            </w:r>
          </w:p>
        </w:tc>
        <w:tc>
          <w:tcPr>
            <w:tcW w:w="1710" w:type="dxa"/>
            <w:tcBorders>
              <w:top w:val="single" w:color="000000" w:sz="4" w:space="0"/>
              <w:left w:val="nil"/>
              <w:bottom w:val="single" w:color="000000" w:sz="4" w:space="0"/>
              <w:right w:val="single" w:color="auto" w:sz="4" w:space="0"/>
            </w:tcBorders>
            <w:vAlign w:val="center"/>
          </w:tcPr>
          <w:p w14:paraId="218A8A36">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w:t>
            </w:r>
          </w:p>
        </w:tc>
        <w:tc>
          <w:tcPr>
            <w:tcW w:w="2281" w:type="dxa"/>
            <w:tcBorders>
              <w:top w:val="single" w:color="000000" w:sz="4" w:space="0"/>
              <w:left w:val="nil"/>
              <w:bottom w:val="single" w:color="000000" w:sz="4" w:space="0"/>
              <w:right w:val="single" w:color="000000" w:sz="4" w:space="0"/>
            </w:tcBorders>
            <w:vAlign w:val="center"/>
          </w:tcPr>
          <w:p w14:paraId="1FF8190C">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白色球状</w:t>
            </w:r>
          </w:p>
        </w:tc>
        <w:tc>
          <w:tcPr>
            <w:tcW w:w="240" w:type="dxa"/>
          </w:tcPr>
          <w:p w14:paraId="3F9B1375">
            <w:pPr>
              <w:widowControl/>
              <w:spacing w:line="375" w:lineRule="atLeast"/>
              <w:ind w:right="-197" w:rightChars="-94"/>
              <w:rPr>
                <w:rFonts w:hint="eastAsia" w:ascii="....x" w:hAnsi="....x" w:cs="宋体"/>
                <w:color w:val="000000"/>
                <w:kern w:val="0"/>
                <w:sz w:val="24"/>
                <w:szCs w:val="24"/>
              </w:rPr>
            </w:pPr>
          </w:p>
        </w:tc>
      </w:tr>
      <w:tr w14:paraId="1758CBB2">
        <w:tblPrEx>
          <w:tblCellMar>
            <w:top w:w="0" w:type="dxa"/>
            <w:left w:w="108" w:type="dxa"/>
            <w:bottom w:w="0" w:type="dxa"/>
            <w:right w:w="108" w:type="dxa"/>
          </w:tblCellMar>
        </w:tblPrEx>
        <w:trPr>
          <w:trHeight w:val="419"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6DE02B8E">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规格</w:t>
            </w:r>
          </w:p>
        </w:tc>
        <w:tc>
          <w:tcPr>
            <w:tcW w:w="1710" w:type="dxa"/>
            <w:tcBorders>
              <w:top w:val="single" w:color="000000" w:sz="4" w:space="0"/>
              <w:left w:val="nil"/>
              <w:bottom w:val="single" w:color="000000" w:sz="4" w:space="0"/>
              <w:right w:val="single" w:color="auto" w:sz="4" w:space="0"/>
            </w:tcBorders>
            <w:vAlign w:val="center"/>
          </w:tcPr>
          <w:p w14:paraId="7AC26DDD">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mm</w:t>
            </w:r>
          </w:p>
        </w:tc>
        <w:tc>
          <w:tcPr>
            <w:tcW w:w="2281" w:type="dxa"/>
            <w:tcBorders>
              <w:top w:val="single" w:color="000000" w:sz="4" w:space="0"/>
              <w:left w:val="nil"/>
              <w:bottom w:val="single" w:color="000000" w:sz="4" w:space="0"/>
              <w:right w:val="single" w:color="000000" w:sz="4" w:space="0"/>
            </w:tcBorders>
            <w:vAlign w:val="center"/>
          </w:tcPr>
          <w:p w14:paraId="4FB691C6">
            <w:pPr>
              <w:widowControl/>
              <w:spacing w:line="375" w:lineRule="atLeast"/>
              <w:ind w:right="-197" w:rightChars="-94"/>
              <w:jc w:val="center"/>
              <w:rPr>
                <w:rFonts w:hint="eastAsia" w:ascii="....x" w:hAnsi="....x" w:cs="宋体"/>
                <w:kern w:val="0"/>
                <w:szCs w:val="21"/>
              </w:rPr>
            </w:pPr>
            <w:r>
              <w:rPr>
                <w:rFonts w:hint="eastAsia" w:ascii="....x" w:hAnsi="....x" w:cs="宋体"/>
                <w:kern w:val="0"/>
                <w:szCs w:val="21"/>
              </w:rPr>
              <w:t>φ3-5</w:t>
            </w:r>
          </w:p>
        </w:tc>
        <w:tc>
          <w:tcPr>
            <w:tcW w:w="240" w:type="dxa"/>
          </w:tcPr>
          <w:p w14:paraId="4CC95207">
            <w:pPr>
              <w:widowControl/>
              <w:spacing w:line="375" w:lineRule="atLeast"/>
              <w:ind w:right="-197" w:rightChars="-94"/>
              <w:rPr>
                <w:rFonts w:hint="eastAsia" w:ascii="....x" w:hAnsi="....x" w:cs="宋体"/>
                <w:color w:val="000000"/>
                <w:kern w:val="0"/>
                <w:sz w:val="24"/>
                <w:szCs w:val="24"/>
              </w:rPr>
            </w:pPr>
          </w:p>
        </w:tc>
      </w:tr>
      <w:tr w14:paraId="46BB8813">
        <w:tblPrEx>
          <w:tblCellMar>
            <w:top w:w="0" w:type="dxa"/>
            <w:left w:w="108" w:type="dxa"/>
            <w:bottom w:w="0" w:type="dxa"/>
            <w:right w:w="108" w:type="dxa"/>
          </w:tblCellMar>
        </w:tblPrEx>
        <w:trPr>
          <w:gridAfter w:val="1"/>
          <w:wAfter w:w="240" w:type="dxa"/>
          <w:trHeight w:val="419"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002AEE39">
            <w:pPr>
              <w:widowControl/>
              <w:spacing w:line="375" w:lineRule="atLeast"/>
              <w:ind w:right="-197" w:rightChars="-94"/>
              <w:jc w:val="center"/>
              <w:rPr>
                <w:rFonts w:hint="eastAsia" w:ascii="....x" w:hAnsi="....x" w:cs="宋体"/>
                <w:color w:val="000000"/>
                <w:kern w:val="0"/>
                <w:szCs w:val="21"/>
              </w:rPr>
            </w:pPr>
            <w:r>
              <w:rPr>
                <w:rFonts w:ascii="....x" w:hAnsi="....x" w:cs="宋体"/>
                <w:color w:val="000000"/>
                <w:kern w:val="0"/>
                <w:szCs w:val="21"/>
              </w:rPr>
              <w:t>AL</w:t>
            </w:r>
            <w:r>
              <w:rPr>
                <w:rFonts w:ascii="....x" w:hAnsi="....x" w:cs="宋体"/>
                <w:color w:val="000000"/>
                <w:kern w:val="0"/>
                <w:szCs w:val="21"/>
                <w:vertAlign w:val="subscript"/>
              </w:rPr>
              <w:t>2</w:t>
            </w:r>
            <w:r>
              <w:rPr>
                <w:rFonts w:ascii="....x" w:hAnsi="....x" w:cs="宋体"/>
                <w:color w:val="000000"/>
                <w:kern w:val="0"/>
                <w:szCs w:val="21"/>
              </w:rPr>
              <w:t>O</w:t>
            </w:r>
            <w:r>
              <w:rPr>
                <w:rFonts w:ascii="....x" w:hAnsi="....x" w:cs="宋体"/>
                <w:color w:val="000000"/>
                <w:kern w:val="0"/>
                <w:szCs w:val="21"/>
                <w:vertAlign w:val="subscript"/>
              </w:rPr>
              <w:t>3</w:t>
            </w:r>
          </w:p>
        </w:tc>
        <w:tc>
          <w:tcPr>
            <w:tcW w:w="1710" w:type="dxa"/>
            <w:tcBorders>
              <w:top w:val="single" w:color="000000" w:sz="4" w:space="0"/>
              <w:left w:val="nil"/>
              <w:bottom w:val="single" w:color="000000" w:sz="4" w:space="0"/>
              <w:right w:val="single" w:color="auto" w:sz="4" w:space="0"/>
            </w:tcBorders>
            <w:vAlign w:val="center"/>
          </w:tcPr>
          <w:p w14:paraId="46A2B3A6">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w:t>
            </w:r>
          </w:p>
        </w:tc>
        <w:tc>
          <w:tcPr>
            <w:tcW w:w="2281" w:type="dxa"/>
            <w:tcBorders>
              <w:top w:val="single" w:color="000000" w:sz="4" w:space="0"/>
              <w:left w:val="nil"/>
              <w:bottom w:val="single" w:color="000000" w:sz="4" w:space="0"/>
              <w:right w:val="single" w:color="000000" w:sz="4" w:space="0"/>
            </w:tcBorders>
            <w:vAlign w:val="center"/>
          </w:tcPr>
          <w:p w14:paraId="6CD38177">
            <w:pPr>
              <w:widowControl/>
              <w:spacing w:line="375" w:lineRule="atLeast"/>
              <w:ind w:right="-197" w:rightChars="-94"/>
              <w:jc w:val="center"/>
              <w:rPr>
                <w:rFonts w:hint="eastAsia" w:cs="宋体"/>
                <w:kern w:val="0"/>
                <w:szCs w:val="21"/>
              </w:rPr>
            </w:pPr>
            <w:r>
              <w:rPr>
                <w:rFonts w:hint="eastAsia" w:cs="宋体"/>
                <w:kern w:val="0"/>
                <w:szCs w:val="21"/>
              </w:rPr>
              <w:t>≥90</w:t>
            </w:r>
          </w:p>
        </w:tc>
      </w:tr>
      <w:tr w14:paraId="3F80C1FC">
        <w:tblPrEx>
          <w:tblCellMar>
            <w:top w:w="0" w:type="dxa"/>
            <w:left w:w="108" w:type="dxa"/>
            <w:bottom w:w="0" w:type="dxa"/>
            <w:right w:w="108" w:type="dxa"/>
          </w:tblCellMar>
        </w:tblPrEx>
        <w:trPr>
          <w:gridAfter w:val="1"/>
          <w:wAfter w:w="240" w:type="dxa"/>
          <w:trHeight w:val="419"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239A163E">
            <w:pPr>
              <w:widowControl/>
              <w:spacing w:line="375" w:lineRule="atLeast"/>
              <w:ind w:right="-197" w:rightChars="-94"/>
              <w:jc w:val="center"/>
              <w:rPr>
                <w:rFonts w:ascii="....x" w:hAnsi="....x" w:cs="宋体"/>
                <w:color w:val="000000"/>
                <w:kern w:val="0"/>
                <w:szCs w:val="21"/>
              </w:rPr>
            </w:pPr>
            <w:r>
              <w:rPr>
                <w:rFonts w:hint="eastAsia" w:ascii="....x" w:hAnsi="....x" w:cs="宋体"/>
                <w:color w:val="000000"/>
                <w:kern w:val="0"/>
                <w:szCs w:val="21"/>
              </w:rPr>
              <w:t>静态吸附量</w:t>
            </w:r>
          </w:p>
        </w:tc>
        <w:tc>
          <w:tcPr>
            <w:tcW w:w="1710" w:type="dxa"/>
            <w:tcBorders>
              <w:top w:val="single" w:color="000000" w:sz="4" w:space="0"/>
              <w:left w:val="nil"/>
              <w:bottom w:val="single" w:color="000000" w:sz="4" w:space="0"/>
              <w:right w:val="single" w:color="auto" w:sz="4" w:space="0"/>
            </w:tcBorders>
            <w:vAlign w:val="center"/>
          </w:tcPr>
          <w:p w14:paraId="1FA10FB6">
            <w:pPr>
              <w:widowControl/>
              <w:spacing w:line="375" w:lineRule="atLeast"/>
              <w:ind w:right="-197" w:rightChars="-94"/>
              <w:jc w:val="center"/>
              <w:rPr>
                <w:rFonts w:ascii="....x" w:hAnsi="....x" w:cs="宋体"/>
                <w:color w:val="000000"/>
                <w:kern w:val="0"/>
                <w:szCs w:val="21"/>
              </w:rPr>
            </w:pPr>
            <w:r>
              <w:rPr>
                <w:rFonts w:hint="eastAsia" w:ascii="....x" w:hAnsi="....x" w:cs="宋体"/>
                <w:color w:val="000000"/>
                <w:kern w:val="0"/>
                <w:szCs w:val="21"/>
              </w:rPr>
              <w:t>%</w:t>
            </w:r>
          </w:p>
        </w:tc>
        <w:tc>
          <w:tcPr>
            <w:tcW w:w="2281" w:type="dxa"/>
            <w:tcBorders>
              <w:top w:val="single" w:color="000000" w:sz="4" w:space="0"/>
              <w:left w:val="nil"/>
              <w:bottom w:val="single" w:color="000000" w:sz="4" w:space="0"/>
              <w:right w:val="single" w:color="000000" w:sz="4" w:space="0"/>
            </w:tcBorders>
            <w:vAlign w:val="center"/>
          </w:tcPr>
          <w:p w14:paraId="190F88C1">
            <w:pPr>
              <w:widowControl/>
              <w:spacing w:line="375" w:lineRule="atLeast"/>
              <w:ind w:right="-197" w:rightChars="-94"/>
              <w:jc w:val="center"/>
              <w:rPr>
                <w:rFonts w:hint="eastAsia" w:cs="宋体"/>
                <w:kern w:val="0"/>
                <w:szCs w:val="21"/>
              </w:rPr>
            </w:pPr>
            <w:r>
              <w:rPr>
                <w:rFonts w:hint="eastAsia" w:cs="宋体"/>
                <w:kern w:val="0"/>
                <w:szCs w:val="21"/>
              </w:rPr>
              <w:t>≥17</w:t>
            </w:r>
          </w:p>
        </w:tc>
      </w:tr>
      <w:tr w14:paraId="35685161">
        <w:tblPrEx>
          <w:tblCellMar>
            <w:top w:w="0" w:type="dxa"/>
            <w:left w:w="108" w:type="dxa"/>
            <w:bottom w:w="0" w:type="dxa"/>
            <w:right w:w="108" w:type="dxa"/>
          </w:tblCellMar>
        </w:tblPrEx>
        <w:trPr>
          <w:gridAfter w:val="1"/>
          <w:wAfter w:w="240" w:type="dxa"/>
          <w:trHeight w:val="419"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51BA4F11">
            <w:pPr>
              <w:widowControl/>
              <w:spacing w:line="375" w:lineRule="atLeast"/>
              <w:ind w:right="-197" w:rightChars="-94"/>
              <w:jc w:val="center"/>
              <w:rPr>
                <w:rFonts w:ascii="Arial Unicode MS" w:hAnsi="Arial Unicode MS" w:eastAsia="Arial Unicode MS" w:cs="Arial Unicode MS"/>
                <w:color w:val="000000"/>
                <w:kern w:val="0"/>
                <w:szCs w:val="21"/>
              </w:rPr>
            </w:pPr>
            <w:r>
              <w:rPr>
                <w:rFonts w:ascii="....x" w:hAnsi="....x" w:cs="宋体"/>
                <w:color w:val="000000"/>
                <w:kern w:val="0"/>
                <w:szCs w:val="21"/>
              </w:rPr>
              <w:t>比表面积</w:t>
            </w:r>
          </w:p>
        </w:tc>
        <w:tc>
          <w:tcPr>
            <w:tcW w:w="1710" w:type="dxa"/>
            <w:tcBorders>
              <w:top w:val="single" w:color="000000" w:sz="4" w:space="0"/>
              <w:left w:val="nil"/>
              <w:bottom w:val="single" w:color="000000" w:sz="4" w:space="0"/>
              <w:right w:val="single" w:color="auto" w:sz="4" w:space="0"/>
            </w:tcBorders>
            <w:vAlign w:val="center"/>
          </w:tcPr>
          <w:p w14:paraId="2774CFD6">
            <w:pPr>
              <w:widowControl/>
              <w:spacing w:line="375" w:lineRule="atLeast"/>
              <w:ind w:right="-197" w:rightChars="-94"/>
              <w:jc w:val="center"/>
              <w:rPr>
                <w:rFonts w:cs="宋体"/>
                <w:color w:val="000000"/>
                <w:kern w:val="0"/>
                <w:szCs w:val="21"/>
              </w:rPr>
            </w:pPr>
            <w:r>
              <w:rPr>
                <w:rFonts w:ascii="....x" w:hAnsi="....x" w:cs="宋体"/>
                <w:color w:val="000000"/>
                <w:kern w:val="0"/>
                <w:szCs w:val="21"/>
              </w:rPr>
              <w:t>m</w:t>
            </w:r>
            <w:r>
              <w:rPr>
                <w:rFonts w:ascii="....x" w:hAnsi="....x" w:cs="宋体"/>
                <w:color w:val="000000"/>
                <w:kern w:val="0"/>
                <w:szCs w:val="21"/>
                <w:vertAlign w:val="superscript"/>
              </w:rPr>
              <w:t>2</w:t>
            </w:r>
            <w:r>
              <w:rPr>
                <w:rFonts w:ascii="....x" w:hAnsi="....x" w:cs="宋体"/>
                <w:color w:val="000000"/>
                <w:kern w:val="0"/>
                <w:szCs w:val="21"/>
              </w:rPr>
              <w:t>/g</w:t>
            </w:r>
          </w:p>
        </w:tc>
        <w:tc>
          <w:tcPr>
            <w:tcW w:w="2281" w:type="dxa"/>
            <w:tcBorders>
              <w:top w:val="single" w:color="000000" w:sz="4" w:space="0"/>
              <w:left w:val="nil"/>
              <w:bottom w:val="single" w:color="000000" w:sz="4" w:space="0"/>
              <w:right w:val="single" w:color="000000" w:sz="4" w:space="0"/>
            </w:tcBorders>
            <w:vAlign w:val="center"/>
          </w:tcPr>
          <w:p w14:paraId="0BAD2643">
            <w:pPr>
              <w:widowControl/>
              <w:spacing w:line="375" w:lineRule="atLeast"/>
              <w:ind w:right="-197" w:rightChars="-94"/>
              <w:jc w:val="center"/>
              <w:rPr>
                <w:rFonts w:cs="宋体"/>
                <w:kern w:val="0"/>
                <w:szCs w:val="21"/>
              </w:rPr>
            </w:pPr>
            <w:r>
              <w:rPr>
                <w:rFonts w:hint="eastAsia" w:cs="宋体"/>
                <w:kern w:val="0"/>
                <w:szCs w:val="21"/>
              </w:rPr>
              <w:t>≥</w:t>
            </w:r>
            <w:r>
              <w:rPr>
                <w:rFonts w:cs="宋体"/>
                <w:kern w:val="0"/>
                <w:szCs w:val="21"/>
              </w:rPr>
              <w:t>3</w:t>
            </w:r>
            <w:r>
              <w:rPr>
                <w:rFonts w:hint="eastAsia" w:cs="宋体"/>
                <w:kern w:val="0"/>
                <w:szCs w:val="21"/>
              </w:rPr>
              <w:t>00</w:t>
            </w:r>
          </w:p>
        </w:tc>
      </w:tr>
      <w:tr w14:paraId="0EE92FE0">
        <w:tblPrEx>
          <w:tblCellMar>
            <w:top w:w="0" w:type="dxa"/>
            <w:left w:w="108" w:type="dxa"/>
            <w:bottom w:w="0" w:type="dxa"/>
            <w:right w:w="108" w:type="dxa"/>
          </w:tblCellMar>
        </w:tblPrEx>
        <w:trPr>
          <w:gridAfter w:val="1"/>
          <w:wAfter w:w="240" w:type="dxa"/>
          <w:trHeight w:val="439"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4121ED36">
            <w:pPr>
              <w:widowControl/>
              <w:spacing w:line="375" w:lineRule="atLeast"/>
              <w:ind w:right="-197" w:rightChars="-94"/>
              <w:jc w:val="center"/>
              <w:rPr>
                <w:rFonts w:ascii="....x" w:hAnsi="....x" w:cs="宋体"/>
                <w:color w:val="000000"/>
                <w:kern w:val="0"/>
                <w:szCs w:val="21"/>
              </w:rPr>
            </w:pPr>
            <w:r>
              <w:rPr>
                <w:rFonts w:ascii="....x" w:hAnsi="....x" w:cs="宋体"/>
                <w:color w:val="000000"/>
                <w:kern w:val="0"/>
                <w:szCs w:val="21"/>
              </w:rPr>
              <w:t>孔容</w:t>
            </w:r>
          </w:p>
        </w:tc>
        <w:tc>
          <w:tcPr>
            <w:tcW w:w="1710" w:type="dxa"/>
            <w:tcBorders>
              <w:top w:val="single" w:color="000000" w:sz="4" w:space="0"/>
              <w:left w:val="nil"/>
              <w:bottom w:val="single" w:color="000000" w:sz="4" w:space="0"/>
              <w:right w:val="single" w:color="auto" w:sz="4" w:space="0"/>
            </w:tcBorders>
            <w:vAlign w:val="center"/>
          </w:tcPr>
          <w:p w14:paraId="573D49BD">
            <w:pPr>
              <w:widowControl/>
              <w:spacing w:line="375" w:lineRule="atLeast"/>
              <w:ind w:right="-197" w:rightChars="-94"/>
              <w:jc w:val="center"/>
              <w:rPr>
                <w:rFonts w:cs="宋体"/>
                <w:color w:val="000000"/>
                <w:kern w:val="0"/>
                <w:szCs w:val="21"/>
              </w:rPr>
            </w:pPr>
            <w:r>
              <w:rPr>
                <w:rFonts w:ascii="....x" w:hAnsi="....x" w:cs="宋体"/>
                <w:color w:val="000000"/>
                <w:kern w:val="0"/>
                <w:szCs w:val="21"/>
              </w:rPr>
              <w:t>（</w:t>
            </w:r>
            <w:r>
              <w:rPr>
                <w:rFonts w:hint="eastAsia" w:ascii="....x" w:hAnsi="....x" w:cs="宋体"/>
                <w:color w:val="000000"/>
                <w:kern w:val="0"/>
                <w:szCs w:val="21"/>
              </w:rPr>
              <w:t>ml</w:t>
            </w:r>
            <w:r>
              <w:rPr>
                <w:rFonts w:ascii="....x" w:hAnsi="....x" w:cs="宋体"/>
                <w:color w:val="000000"/>
                <w:kern w:val="0"/>
                <w:szCs w:val="21"/>
              </w:rPr>
              <w:t>/g）</w:t>
            </w:r>
          </w:p>
        </w:tc>
        <w:tc>
          <w:tcPr>
            <w:tcW w:w="2281" w:type="dxa"/>
            <w:tcBorders>
              <w:top w:val="single" w:color="000000" w:sz="4" w:space="0"/>
              <w:left w:val="nil"/>
              <w:bottom w:val="single" w:color="000000" w:sz="4" w:space="0"/>
              <w:right w:val="single" w:color="000000" w:sz="4" w:space="0"/>
            </w:tcBorders>
            <w:vAlign w:val="center"/>
          </w:tcPr>
          <w:p w14:paraId="1FCACAEA">
            <w:pPr>
              <w:widowControl/>
              <w:spacing w:line="375" w:lineRule="atLeast"/>
              <w:ind w:right="-197" w:rightChars="-94"/>
              <w:jc w:val="center"/>
              <w:rPr>
                <w:rFonts w:cs="宋体"/>
                <w:kern w:val="0"/>
                <w:szCs w:val="21"/>
              </w:rPr>
            </w:pPr>
            <w:r>
              <w:rPr>
                <w:rFonts w:hint="eastAsia" w:cs="宋体"/>
                <w:kern w:val="0"/>
                <w:szCs w:val="21"/>
              </w:rPr>
              <w:t>≥</w:t>
            </w:r>
            <w:r>
              <w:rPr>
                <w:rFonts w:cs="宋体"/>
                <w:kern w:val="0"/>
                <w:szCs w:val="21"/>
              </w:rPr>
              <w:t>0.</w:t>
            </w:r>
            <w:r>
              <w:rPr>
                <w:rFonts w:hint="eastAsia" w:cs="宋体"/>
                <w:kern w:val="0"/>
                <w:szCs w:val="21"/>
              </w:rPr>
              <w:t>35</w:t>
            </w:r>
          </w:p>
        </w:tc>
      </w:tr>
      <w:tr w14:paraId="4F1C99F8">
        <w:tblPrEx>
          <w:tblCellMar>
            <w:top w:w="0" w:type="dxa"/>
            <w:left w:w="108" w:type="dxa"/>
            <w:bottom w:w="0" w:type="dxa"/>
            <w:right w:w="108" w:type="dxa"/>
          </w:tblCellMar>
        </w:tblPrEx>
        <w:trPr>
          <w:gridAfter w:val="1"/>
          <w:wAfter w:w="240" w:type="dxa"/>
          <w:trHeight w:val="419"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0D13EDDF">
            <w:pPr>
              <w:widowControl/>
              <w:spacing w:line="375" w:lineRule="atLeast"/>
              <w:ind w:right="-197" w:rightChars="-94"/>
              <w:jc w:val="center"/>
              <w:rPr>
                <w:rFonts w:ascii="....x" w:hAnsi="....x" w:cs="宋体"/>
                <w:color w:val="000000"/>
                <w:kern w:val="0"/>
                <w:szCs w:val="21"/>
              </w:rPr>
            </w:pPr>
            <w:r>
              <w:rPr>
                <w:rFonts w:hint="eastAsia" w:ascii="....x" w:hAnsi="....x" w:cs="宋体"/>
                <w:color w:val="000000"/>
                <w:kern w:val="0"/>
                <w:szCs w:val="21"/>
              </w:rPr>
              <w:t>振实</w:t>
            </w:r>
            <w:r>
              <w:rPr>
                <w:rFonts w:ascii="....x" w:hAnsi="....x" w:cs="宋体"/>
                <w:color w:val="000000"/>
                <w:kern w:val="0"/>
                <w:szCs w:val="21"/>
              </w:rPr>
              <w:t>密度</w:t>
            </w:r>
          </w:p>
        </w:tc>
        <w:tc>
          <w:tcPr>
            <w:tcW w:w="1710" w:type="dxa"/>
            <w:tcBorders>
              <w:top w:val="single" w:color="000000" w:sz="4" w:space="0"/>
              <w:left w:val="nil"/>
              <w:bottom w:val="single" w:color="000000" w:sz="4" w:space="0"/>
              <w:right w:val="single" w:color="auto" w:sz="4" w:space="0"/>
            </w:tcBorders>
            <w:vAlign w:val="center"/>
          </w:tcPr>
          <w:p w14:paraId="1D642740">
            <w:pPr>
              <w:widowControl/>
              <w:spacing w:line="375" w:lineRule="atLeast"/>
              <w:ind w:right="-197" w:rightChars="-94"/>
              <w:jc w:val="center"/>
              <w:rPr>
                <w:rFonts w:cs="宋体"/>
                <w:color w:val="000000"/>
                <w:kern w:val="0"/>
                <w:szCs w:val="21"/>
              </w:rPr>
            </w:pPr>
            <w:r>
              <w:rPr>
                <w:rFonts w:ascii="....x" w:hAnsi="....x" w:cs="宋体"/>
                <w:color w:val="000000"/>
                <w:kern w:val="0"/>
                <w:szCs w:val="21"/>
              </w:rPr>
              <w:t>（g/cm</w:t>
            </w:r>
            <w:r>
              <w:rPr>
                <w:rFonts w:ascii="....x" w:hAnsi="....x" w:cs="宋体"/>
                <w:color w:val="000000"/>
                <w:kern w:val="0"/>
                <w:szCs w:val="21"/>
                <w:vertAlign w:val="superscript"/>
              </w:rPr>
              <w:t>3</w:t>
            </w:r>
            <w:r>
              <w:rPr>
                <w:rFonts w:ascii="....x" w:hAnsi="....x" w:cs="宋体"/>
                <w:color w:val="000000"/>
                <w:kern w:val="0"/>
                <w:szCs w:val="21"/>
              </w:rPr>
              <w:t>）</w:t>
            </w:r>
          </w:p>
        </w:tc>
        <w:tc>
          <w:tcPr>
            <w:tcW w:w="2281" w:type="dxa"/>
            <w:tcBorders>
              <w:top w:val="single" w:color="000000" w:sz="4" w:space="0"/>
              <w:left w:val="nil"/>
              <w:bottom w:val="single" w:color="000000" w:sz="4" w:space="0"/>
              <w:right w:val="single" w:color="000000" w:sz="4" w:space="0"/>
            </w:tcBorders>
            <w:vAlign w:val="center"/>
          </w:tcPr>
          <w:p w14:paraId="1B905258">
            <w:pPr>
              <w:widowControl/>
              <w:spacing w:line="375" w:lineRule="atLeast"/>
              <w:ind w:right="-197" w:rightChars="-94"/>
              <w:jc w:val="center"/>
              <w:rPr>
                <w:rFonts w:cs="宋体"/>
                <w:kern w:val="0"/>
                <w:szCs w:val="21"/>
              </w:rPr>
            </w:pPr>
            <w:r>
              <w:rPr>
                <w:rFonts w:hint="eastAsia" w:cs="宋体"/>
                <w:kern w:val="0"/>
                <w:szCs w:val="21"/>
              </w:rPr>
              <w:t>≥</w:t>
            </w:r>
            <w:r>
              <w:rPr>
                <w:rFonts w:cs="宋体"/>
                <w:kern w:val="0"/>
                <w:szCs w:val="21"/>
              </w:rPr>
              <w:t>0.</w:t>
            </w:r>
            <w:r>
              <w:rPr>
                <w:rFonts w:hint="eastAsia" w:cs="宋体"/>
                <w:kern w:val="0"/>
                <w:szCs w:val="21"/>
              </w:rPr>
              <w:t>60</w:t>
            </w:r>
          </w:p>
        </w:tc>
      </w:tr>
      <w:tr w14:paraId="04268C79">
        <w:tblPrEx>
          <w:tblCellMar>
            <w:top w:w="0" w:type="dxa"/>
            <w:left w:w="108" w:type="dxa"/>
            <w:bottom w:w="0" w:type="dxa"/>
            <w:right w:w="108" w:type="dxa"/>
          </w:tblCellMar>
        </w:tblPrEx>
        <w:trPr>
          <w:gridAfter w:val="1"/>
          <w:wAfter w:w="240" w:type="dxa"/>
          <w:trHeight w:val="419"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57A2DA71">
            <w:pPr>
              <w:widowControl/>
              <w:spacing w:line="375" w:lineRule="atLeast"/>
              <w:ind w:right="-197" w:rightChars="-94"/>
              <w:jc w:val="center"/>
              <w:rPr>
                <w:rFonts w:ascii="....x" w:hAnsi="....x" w:cs="宋体"/>
                <w:color w:val="000000"/>
                <w:kern w:val="0"/>
                <w:szCs w:val="21"/>
              </w:rPr>
            </w:pPr>
            <w:r>
              <w:rPr>
                <w:rFonts w:hint="eastAsia" w:ascii="....x" w:hAnsi="....x" w:cs="宋体"/>
                <w:color w:val="000000"/>
                <w:kern w:val="0"/>
                <w:szCs w:val="21"/>
              </w:rPr>
              <w:t>抗压</w:t>
            </w:r>
            <w:r>
              <w:rPr>
                <w:rFonts w:ascii="....x" w:hAnsi="....x" w:cs="宋体"/>
                <w:color w:val="000000"/>
                <w:kern w:val="0"/>
                <w:szCs w:val="21"/>
              </w:rPr>
              <w:t>强度</w:t>
            </w:r>
          </w:p>
        </w:tc>
        <w:tc>
          <w:tcPr>
            <w:tcW w:w="1710" w:type="dxa"/>
            <w:tcBorders>
              <w:top w:val="single" w:color="000000" w:sz="4" w:space="0"/>
              <w:left w:val="nil"/>
              <w:bottom w:val="single" w:color="000000" w:sz="4" w:space="0"/>
              <w:right w:val="single" w:color="auto" w:sz="4" w:space="0"/>
            </w:tcBorders>
            <w:vAlign w:val="center"/>
          </w:tcPr>
          <w:p w14:paraId="6AD43854">
            <w:pPr>
              <w:widowControl/>
              <w:spacing w:line="375" w:lineRule="atLeast"/>
              <w:ind w:right="-197" w:rightChars="-94"/>
              <w:jc w:val="center"/>
              <w:rPr>
                <w:rFonts w:cs="宋体"/>
                <w:color w:val="000000"/>
                <w:kern w:val="0"/>
                <w:szCs w:val="21"/>
              </w:rPr>
            </w:pPr>
            <w:r>
              <w:rPr>
                <w:rFonts w:ascii="....x" w:hAnsi="....x" w:cs="宋体"/>
                <w:color w:val="000000"/>
                <w:kern w:val="0"/>
                <w:szCs w:val="21"/>
              </w:rPr>
              <w:t>（N/</w:t>
            </w:r>
            <w:r>
              <w:rPr>
                <w:rFonts w:hint="eastAsia" w:ascii="....x" w:hAnsi="....x" w:cs="宋体"/>
                <w:color w:val="000000"/>
                <w:kern w:val="0"/>
                <w:szCs w:val="21"/>
              </w:rPr>
              <w:t>粒</w:t>
            </w:r>
            <w:r>
              <w:rPr>
                <w:rFonts w:ascii="....x" w:hAnsi="....x" w:cs="宋体"/>
                <w:color w:val="000000"/>
                <w:kern w:val="0"/>
                <w:szCs w:val="21"/>
              </w:rPr>
              <w:t>）</w:t>
            </w:r>
          </w:p>
        </w:tc>
        <w:tc>
          <w:tcPr>
            <w:tcW w:w="2281" w:type="dxa"/>
            <w:tcBorders>
              <w:top w:val="single" w:color="000000" w:sz="4" w:space="0"/>
              <w:left w:val="nil"/>
              <w:bottom w:val="single" w:color="000000" w:sz="4" w:space="0"/>
              <w:right w:val="single" w:color="000000" w:sz="4" w:space="0"/>
            </w:tcBorders>
            <w:vAlign w:val="center"/>
          </w:tcPr>
          <w:p w14:paraId="14D351E5">
            <w:pPr>
              <w:widowControl/>
              <w:spacing w:line="375" w:lineRule="atLeast"/>
              <w:ind w:right="-197" w:rightChars="-94"/>
              <w:jc w:val="center"/>
              <w:rPr>
                <w:rFonts w:cs="宋体"/>
                <w:kern w:val="0"/>
                <w:szCs w:val="21"/>
              </w:rPr>
            </w:pPr>
            <w:r>
              <w:rPr>
                <w:rFonts w:hint="eastAsia" w:cs="宋体"/>
                <w:kern w:val="0"/>
                <w:szCs w:val="21"/>
              </w:rPr>
              <w:t>≥</w:t>
            </w:r>
            <w:r>
              <w:rPr>
                <w:rFonts w:cs="宋体"/>
                <w:kern w:val="0"/>
                <w:szCs w:val="21"/>
              </w:rPr>
              <w:t>120</w:t>
            </w:r>
          </w:p>
        </w:tc>
      </w:tr>
      <w:tr w14:paraId="21806AB4">
        <w:tblPrEx>
          <w:tblCellMar>
            <w:top w:w="0" w:type="dxa"/>
            <w:left w:w="108" w:type="dxa"/>
            <w:bottom w:w="0" w:type="dxa"/>
            <w:right w:w="108" w:type="dxa"/>
          </w:tblCellMar>
        </w:tblPrEx>
        <w:trPr>
          <w:gridAfter w:val="1"/>
          <w:wAfter w:w="240" w:type="dxa"/>
          <w:trHeight w:val="419"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4FA0F5F0">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磨耗率</w:t>
            </w:r>
          </w:p>
        </w:tc>
        <w:tc>
          <w:tcPr>
            <w:tcW w:w="1710" w:type="dxa"/>
            <w:tcBorders>
              <w:top w:val="single" w:color="000000" w:sz="4" w:space="0"/>
              <w:left w:val="nil"/>
              <w:bottom w:val="single" w:color="000000" w:sz="4" w:space="0"/>
              <w:right w:val="single" w:color="auto" w:sz="4" w:space="0"/>
            </w:tcBorders>
            <w:vAlign w:val="center"/>
          </w:tcPr>
          <w:p w14:paraId="5291CDA0">
            <w:pPr>
              <w:widowControl/>
              <w:spacing w:line="375" w:lineRule="atLeast"/>
              <w:ind w:right="-197" w:rightChars="-94"/>
              <w:jc w:val="center"/>
              <w:rPr>
                <w:rFonts w:ascii="....x" w:hAnsi="....x" w:cs="宋体"/>
                <w:color w:val="000000"/>
                <w:kern w:val="0"/>
                <w:szCs w:val="21"/>
              </w:rPr>
            </w:pPr>
            <w:r>
              <w:rPr>
                <w:rFonts w:hint="eastAsia" w:ascii="....x" w:hAnsi="....x" w:cs="宋体"/>
                <w:color w:val="000000"/>
                <w:kern w:val="0"/>
                <w:szCs w:val="21"/>
              </w:rPr>
              <w:t>%</w:t>
            </w:r>
          </w:p>
        </w:tc>
        <w:tc>
          <w:tcPr>
            <w:tcW w:w="2281" w:type="dxa"/>
            <w:tcBorders>
              <w:top w:val="single" w:color="000000" w:sz="4" w:space="0"/>
              <w:left w:val="nil"/>
              <w:bottom w:val="single" w:color="000000" w:sz="4" w:space="0"/>
              <w:right w:val="single" w:color="000000" w:sz="4" w:space="0"/>
            </w:tcBorders>
            <w:vAlign w:val="center"/>
          </w:tcPr>
          <w:p w14:paraId="206385FB">
            <w:pPr>
              <w:widowControl/>
              <w:spacing w:line="375" w:lineRule="atLeast"/>
              <w:ind w:right="-197" w:rightChars="-94"/>
              <w:jc w:val="center"/>
              <w:rPr>
                <w:rFonts w:hint="eastAsia" w:cs="宋体"/>
                <w:kern w:val="0"/>
                <w:szCs w:val="21"/>
              </w:rPr>
            </w:pPr>
            <w:r>
              <w:rPr>
                <w:rFonts w:hint="eastAsia" w:cs="宋体"/>
                <w:kern w:val="0"/>
                <w:szCs w:val="21"/>
              </w:rPr>
              <w:t>≤0.</w:t>
            </w:r>
            <w:r>
              <w:rPr>
                <w:rFonts w:cs="宋体"/>
                <w:kern w:val="0"/>
                <w:szCs w:val="21"/>
              </w:rPr>
              <w:t>3</w:t>
            </w:r>
          </w:p>
        </w:tc>
      </w:tr>
      <w:tr w14:paraId="080EA568">
        <w:tblPrEx>
          <w:tblCellMar>
            <w:top w:w="0" w:type="dxa"/>
            <w:left w:w="108" w:type="dxa"/>
            <w:bottom w:w="0" w:type="dxa"/>
            <w:right w:w="108" w:type="dxa"/>
          </w:tblCellMar>
        </w:tblPrEx>
        <w:trPr>
          <w:gridAfter w:val="1"/>
          <w:wAfter w:w="240" w:type="dxa"/>
          <w:trHeight w:val="419"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04CE71F2">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合格率</w:t>
            </w:r>
          </w:p>
        </w:tc>
        <w:tc>
          <w:tcPr>
            <w:tcW w:w="1710" w:type="dxa"/>
            <w:tcBorders>
              <w:top w:val="single" w:color="000000" w:sz="4" w:space="0"/>
              <w:left w:val="nil"/>
              <w:bottom w:val="single" w:color="000000" w:sz="4" w:space="0"/>
              <w:right w:val="single" w:color="auto" w:sz="4" w:space="0"/>
            </w:tcBorders>
            <w:vAlign w:val="center"/>
          </w:tcPr>
          <w:p w14:paraId="1FC987D7">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w:t>
            </w:r>
          </w:p>
        </w:tc>
        <w:tc>
          <w:tcPr>
            <w:tcW w:w="2281" w:type="dxa"/>
            <w:tcBorders>
              <w:top w:val="single" w:color="000000" w:sz="4" w:space="0"/>
              <w:left w:val="nil"/>
              <w:bottom w:val="single" w:color="000000" w:sz="4" w:space="0"/>
              <w:right w:val="single" w:color="000000" w:sz="4" w:space="0"/>
            </w:tcBorders>
            <w:vAlign w:val="center"/>
          </w:tcPr>
          <w:p w14:paraId="4B701862">
            <w:pPr>
              <w:widowControl/>
              <w:spacing w:line="375" w:lineRule="atLeast"/>
              <w:ind w:right="-197" w:rightChars="-94"/>
              <w:jc w:val="center"/>
              <w:rPr>
                <w:rFonts w:hint="eastAsia" w:cs="宋体"/>
                <w:kern w:val="0"/>
                <w:szCs w:val="21"/>
              </w:rPr>
            </w:pPr>
            <w:r>
              <w:rPr>
                <w:rFonts w:hint="eastAsia" w:cs="宋体"/>
                <w:kern w:val="0"/>
                <w:szCs w:val="21"/>
              </w:rPr>
              <w:t>≥93</w:t>
            </w:r>
          </w:p>
        </w:tc>
      </w:tr>
      <w:tr w14:paraId="6EBA6A0D">
        <w:tblPrEx>
          <w:tblCellMar>
            <w:top w:w="0" w:type="dxa"/>
            <w:left w:w="108" w:type="dxa"/>
            <w:bottom w:w="0" w:type="dxa"/>
            <w:right w:w="108" w:type="dxa"/>
          </w:tblCellMar>
        </w:tblPrEx>
        <w:trPr>
          <w:gridAfter w:val="1"/>
          <w:wAfter w:w="240" w:type="dxa"/>
          <w:trHeight w:val="441"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1245F479">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其它</w:t>
            </w:r>
          </w:p>
        </w:tc>
        <w:tc>
          <w:tcPr>
            <w:tcW w:w="3991" w:type="dxa"/>
            <w:gridSpan w:val="2"/>
            <w:tcBorders>
              <w:top w:val="single" w:color="000000" w:sz="4" w:space="0"/>
              <w:left w:val="nil"/>
              <w:bottom w:val="single" w:color="000000" w:sz="4" w:space="0"/>
              <w:right w:val="single" w:color="auto" w:sz="4" w:space="0"/>
            </w:tcBorders>
            <w:vAlign w:val="center"/>
          </w:tcPr>
          <w:p w14:paraId="7EB24B97">
            <w:pPr>
              <w:widowControl/>
              <w:ind w:right="-197" w:rightChars="-94"/>
              <w:jc w:val="center"/>
              <w:rPr>
                <w:rFonts w:ascii="Times New Roman" w:hAnsi="Times New Roman" w:eastAsia="Times New Roman"/>
                <w:kern w:val="0"/>
                <w:szCs w:val="21"/>
              </w:rPr>
            </w:pPr>
            <w:r>
              <w:rPr>
                <w:rFonts w:hint="eastAsia" w:cs="宋体"/>
                <w:color w:val="000000"/>
                <w:kern w:val="0"/>
                <w:szCs w:val="21"/>
              </w:rPr>
              <w:t>须符合化工行业标准HG/T 3927-2020</w:t>
            </w:r>
          </w:p>
        </w:tc>
      </w:tr>
    </w:tbl>
    <w:p w14:paraId="65C9A38F">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3.性能考核保证:</w:t>
      </w:r>
    </w:p>
    <w:p w14:paraId="53C82F6D">
      <w:pPr>
        <w:spacing w:line="360" w:lineRule="auto"/>
        <w:ind w:right="-197" w:rightChars="-94"/>
        <w:rPr>
          <w:rFonts w:hint="eastAsia" w:ascii="宋体" w:hAnsi="宋体" w:cs="宋体"/>
          <w:sz w:val="24"/>
          <w:lang w:val="en-US" w:eastAsia="zh-CN"/>
        </w:rPr>
      </w:pPr>
      <w:r>
        <w:rPr>
          <w:rFonts w:hint="eastAsia" w:ascii="宋体" w:hAnsi="宋体" w:cs="宋体"/>
          <w:sz w:val="24"/>
          <w:lang w:val="en-US" w:eastAsia="zh-CN"/>
        </w:rPr>
        <w:t xml:space="preserve"> </w:t>
      </w:r>
      <w:r>
        <w:rPr>
          <w:rFonts w:hint="eastAsia"/>
          <w:sz w:val="24"/>
          <w:szCs w:val="24"/>
          <w:highlight w:val="yellow"/>
        </w:rPr>
        <w:t>连续三天按满负荷运行或</w:t>
      </w:r>
      <w:r>
        <w:rPr>
          <w:sz w:val="24"/>
          <w:szCs w:val="24"/>
          <w:highlight w:val="yellow"/>
        </w:rPr>
        <w:t>现有</w:t>
      </w:r>
      <w:r>
        <w:rPr>
          <w:rFonts w:hint="eastAsia"/>
          <w:sz w:val="24"/>
          <w:szCs w:val="24"/>
          <w:highlight w:val="yellow"/>
        </w:rPr>
        <w:t>实际</w:t>
      </w:r>
      <w:r>
        <w:rPr>
          <w:sz w:val="24"/>
          <w:szCs w:val="24"/>
          <w:highlight w:val="yellow"/>
        </w:rPr>
        <w:t>工况下</w:t>
      </w:r>
      <w:r>
        <w:rPr>
          <w:rFonts w:hint="eastAsia"/>
          <w:sz w:val="24"/>
          <w:szCs w:val="24"/>
          <w:highlight w:val="yellow"/>
        </w:rPr>
        <w:t>，要求干燥后压缩气体常压露点达到-40℃以下。</w:t>
      </w:r>
    </w:p>
    <w:p w14:paraId="09F3B78B">
      <w:pPr>
        <w:numPr>
          <w:ilvl w:val="0"/>
          <w:numId w:val="0"/>
        </w:numPr>
        <w:spacing w:line="360" w:lineRule="exact"/>
        <w:jc w:val="left"/>
        <w:rPr>
          <w:rFonts w:hint="eastAsia" w:ascii="宋体" w:hAnsi="宋体" w:cs="宋体"/>
          <w:sz w:val="24"/>
        </w:rPr>
      </w:pPr>
      <w:r>
        <w:rPr>
          <w:rFonts w:hint="eastAsia" w:ascii="宋体" w:hAnsi="宋体" w:cs="宋体"/>
          <w:sz w:val="24"/>
          <w:lang w:val="en-US" w:eastAsia="zh-CN"/>
        </w:rPr>
        <w:t>4.技术要求：</w:t>
      </w:r>
      <w:r>
        <w:rPr>
          <w:rFonts w:hint="eastAsia" w:ascii="宋体" w:hAnsi="宋体" w:cs="宋体"/>
          <w:sz w:val="24"/>
        </w:rPr>
        <w:t>详见</w:t>
      </w:r>
      <w:r>
        <w:rPr>
          <w:rFonts w:hint="eastAsia" w:ascii="宋体" w:hAnsi="宋体"/>
          <w:sz w:val="24"/>
          <w:szCs w:val="24"/>
          <w:lang w:val="en-US" w:eastAsia="zh-CN"/>
        </w:rPr>
        <w:t>活性氧化铝</w:t>
      </w:r>
      <w:r>
        <w:rPr>
          <w:rFonts w:hint="eastAsia" w:ascii="宋体" w:hAnsi="宋体" w:cs="宋体"/>
          <w:sz w:val="24"/>
        </w:rPr>
        <w:t>技术要求。</w:t>
      </w:r>
    </w:p>
    <w:p w14:paraId="5EBE340A">
      <w:pPr>
        <w:spacing w:line="360" w:lineRule="auto"/>
        <w:rPr>
          <w:rFonts w:ascii="宋体" w:hAnsi="宋体" w:cs="宋体"/>
          <w:sz w:val="24"/>
          <w:highlight w:val="yellow"/>
        </w:rPr>
      </w:pPr>
      <w:r>
        <w:rPr>
          <w:rFonts w:hint="eastAsia" w:ascii="宋体" w:hAnsi="宋体" w:cs="宋体"/>
          <w:sz w:val="24"/>
          <w:lang w:val="en-US" w:eastAsia="zh-CN"/>
        </w:rPr>
        <w:t>5.包装方式：</w:t>
      </w:r>
      <w:r>
        <w:rPr>
          <w:rFonts w:hint="eastAsia"/>
          <w:sz w:val="24"/>
          <w:szCs w:val="24"/>
          <w:highlight w:val="yellow"/>
        </w:rPr>
        <w:t>要求为桶装，运输时将干燥剂码放于栈板托盘之上，方便货到现场后用叉车卸货，要求能满足保存二年以上时间。</w:t>
      </w:r>
      <w:r>
        <w:rPr>
          <w:rFonts w:hint="eastAsia"/>
          <w:sz w:val="24"/>
          <w:szCs w:val="24"/>
          <w:highlight w:val="yellow"/>
          <w:lang w:eastAsia="zh-CN"/>
        </w:rPr>
        <w:t>（</w:t>
      </w:r>
      <w:r>
        <w:rPr>
          <w:rFonts w:hint="eastAsia"/>
          <w:sz w:val="24"/>
          <w:szCs w:val="24"/>
          <w:highlight w:val="yellow"/>
          <w:lang w:val="en-US" w:eastAsia="zh-CN"/>
        </w:rPr>
        <w:t>25KG/桶</w:t>
      </w:r>
      <w:r>
        <w:rPr>
          <w:rFonts w:hint="eastAsia"/>
          <w:sz w:val="24"/>
          <w:szCs w:val="24"/>
          <w:highlight w:val="yellow"/>
          <w:lang w:eastAsia="zh-CN"/>
        </w:rPr>
        <w:t>）</w:t>
      </w:r>
    </w:p>
    <w:p w14:paraId="6D462290">
      <w:pPr>
        <w:spacing w:line="360" w:lineRule="auto"/>
        <w:rPr>
          <w:rFonts w:hint="eastAsia" w:ascii="宋体" w:hAnsi="宋体"/>
          <w:sz w:val="24"/>
          <w:lang w:val="en-US" w:eastAsia="zh-CN"/>
        </w:rPr>
      </w:pPr>
      <w:r>
        <w:rPr>
          <w:rFonts w:hint="eastAsia" w:ascii="宋体" w:hAnsi="宋体" w:cs="宋体"/>
          <w:sz w:val="24"/>
          <w:lang w:val="en-US" w:eastAsia="zh-CN"/>
        </w:rPr>
        <w:t>6</w:t>
      </w:r>
      <w:r>
        <w:rPr>
          <w:rFonts w:hint="eastAsia" w:ascii="宋体" w:hAnsi="宋体" w:cs="宋体"/>
          <w:sz w:val="24"/>
        </w:rPr>
        <w:t>.</w:t>
      </w:r>
      <w:r>
        <w:rPr>
          <w:rFonts w:hint="eastAsia" w:ascii="宋体" w:hAnsi="宋体"/>
          <w:sz w:val="24"/>
        </w:rPr>
        <w:t>到货时间：</w:t>
      </w:r>
      <w:r>
        <w:rPr>
          <w:rFonts w:hint="eastAsia" w:ascii="宋体" w:hAnsi="宋体"/>
          <w:sz w:val="24"/>
          <w:lang w:val="en-US" w:eastAsia="zh-CN"/>
        </w:rPr>
        <w:t>分</w:t>
      </w:r>
      <w:r>
        <w:rPr>
          <w:rFonts w:hint="eastAsia" w:ascii="宋体" w:hAnsi="宋体"/>
          <w:sz w:val="24"/>
        </w:rPr>
        <w:t>批送货，一次</w:t>
      </w:r>
      <w:r>
        <w:rPr>
          <w:rFonts w:hint="eastAsia" w:ascii="宋体" w:hAnsi="宋体"/>
          <w:sz w:val="24"/>
          <w:lang w:val="en-US" w:eastAsia="zh-CN"/>
        </w:rPr>
        <w:t>送</w:t>
      </w:r>
      <w:r>
        <w:rPr>
          <w:rFonts w:hint="eastAsia" w:ascii="宋体" w:hAnsi="宋体"/>
          <w:sz w:val="24"/>
        </w:rPr>
        <w:t>5</w:t>
      </w:r>
      <w:r>
        <w:rPr>
          <w:rFonts w:hint="eastAsia" w:ascii="宋体" w:hAnsi="宋体"/>
          <w:sz w:val="24"/>
          <w:lang w:val="en-US" w:eastAsia="zh-CN"/>
        </w:rPr>
        <w:t>吨</w:t>
      </w:r>
      <w:r>
        <w:rPr>
          <w:rFonts w:hint="eastAsia" w:ascii="宋体" w:hAnsi="宋体"/>
          <w:sz w:val="24"/>
        </w:rPr>
        <w:t>。中</w:t>
      </w:r>
      <w:r>
        <w:rPr>
          <w:rFonts w:hint="eastAsia" w:ascii="宋体" w:hAnsi="宋体"/>
          <w:sz w:val="24"/>
          <w:lang w:val="en-US" w:eastAsia="zh-CN"/>
        </w:rPr>
        <w:t>选</w:t>
      </w:r>
      <w:r>
        <w:rPr>
          <w:rFonts w:hint="eastAsia" w:ascii="宋体" w:hAnsi="宋体"/>
          <w:sz w:val="24"/>
        </w:rPr>
        <w:t>通知发出（或合同/协议签订）后10个日历天，第一批货运输至</w:t>
      </w:r>
      <w:r>
        <w:rPr>
          <w:rFonts w:hint="eastAsia" w:ascii="宋体" w:hAnsi="宋体"/>
          <w:sz w:val="24"/>
          <w:lang w:val="en-US" w:eastAsia="zh-CN"/>
        </w:rPr>
        <w:t>需</w:t>
      </w:r>
      <w:r>
        <w:rPr>
          <w:rFonts w:hint="eastAsia" w:ascii="宋体" w:hAnsi="宋体"/>
          <w:sz w:val="24"/>
        </w:rPr>
        <w:t>方厂区并送到</w:t>
      </w:r>
      <w:r>
        <w:rPr>
          <w:rFonts w:hint="eastAsia" w:ascii="宋体" w:hAnsi="宋体"/>
          <w:sz w:val="24"/>
          <w:lang w:val="en-US" w:eastAsia="zh-CN"/>
        </w:rPr>
        <w:t>需</w:t>
      </w:r>
      <w:r>
        <w:rPr>
          <w:rFonts w:hint="eastAsia" w:ascii="宋体" w:hAnsi="宋体"/>
          <w:sz w:val="24"/>
        </w:rPr>
        <w:t>方指定地点。第二批5吨待</w:t>
      </w:r>
      <w:r>
        <w:rPr>
          <w:rFonts w:hint="eastAsia" w:ascii="宋体" w:hAnsi="宋体"/>
          <w:sz w:val="24"/>
          <w:lang w:val="en-US" w:eastAsia="zh-CN"/>
        </w:rPr>
        <w:t>需</w:t>
      </w:r>
      <w:r>
        <w:rPr>
          <w:rFonts w:hint="eastAsia" w:ascii="宋体" w:hAnsi="宋体"/>
          <w:sz w:val="24"/>
        </w:rPr>
        <w:t xml:space="preserve">方根据生产需要通知到货为准。 </w:t>
      </w:r>
    </w:p>
    <w:p w14:paraId="5420BFD8">
      <w:pPr>
        <w:spacing w:line="350" w:lineRule="exact"/>
        <w:jc w:val="left"/>
        <w:rPr>
          <w:rFonts w:ascii="宋体" w:cs="宋体"/>
          <w:sz w:val="24"/>
        </w:rPr>
      </w:pPr>
      <w:r>
        <w:rPr>
          <w:rFonts w:hint="eastAsia" w:asciiTheme="minorEastAsia" w:hAnsiTheme="minorEastAsia" w:eastAsiaTheme="minorEastAsia"/>
          <w:bCs/>
          <w:kern w:val="0"/>
          <w:sz w:val="24"/>
          <w:lang w:val="en-US" w:eastAsia="zh-CN"/>
        </w:rPr>
        <w:t>7</w:t>
      </w:r>
      <w:r>
        <w:rPr>
          <w:rFonts w:hint="eastAsia" w:asciiTheme="minorEastAsia" w:hAnsiTheme="minorEastAsia" w:eastAsiaTheme="minorEastAsia"/>
          <w:bCs/>
          <w:kern w:val="0"/>
          <w:sz w:val="24"/>
        </w:rPr>
        <w:t>.报价须知：</w:t>
      </w:r>
      <w:r>
        <w:rPr>
          <w:rFonts w:hint="eastAsia" w:asciiTheme="minorEastAsia" w:hAnsiTheme="minorEastAsia" w:eastAsiaTheme="minorEastAsia"/>
          <w:bCs/>
          <w:kern w:val="0"/>
          <w:sz w:val="24"/>
          <w:lang w:val="en-US" w:eastAsia="zh-CN"/>
        </w:rPr>
        <w:t>空压装置活性氧化铝</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14:paraId="2481A94D">
      <w:pPr>
        <w:spacing w:line="350" w:lineRule="exact"/>
        <w:jc w:val="left"/>
        <w:rPr>
          <w:rFonts w:ascii="宋体" w:hAnsi="宋体" w:cs="宋体"/>
          <w:sz w:val="24"/>
        </w:rPr>
      </w:pPr>
      <w:r>
        <w:rPr>
          <w:rFonts w:hint="eastAsia" w:ascii="宋体" w:hAnsi="宋体" w:cs="宋体"/>
          <w:sz w:val="24"/>
          <w:lang w:val="en-US" w:eastAsia="zh-CN"/>
        </w:rPr>
        <w:t>8</w:t>
      </w:r>
      <w:r>
        <w:rPr>
          <w:rFonts w:hint="eastAsia" w:ascii="宋体" w:hAnsi="宋体" w:cs="宋体"/>
          <w:sz w:val="24"/>
        </w:rPr>
        <w:t>.其他要求按双方签订的合同</w:t>
      </w:r>
      <w:r>
        <w:rPr>
          <w:rFonts w:hint="eastAsia" w:ascii="宋体" w:hAnsi="宋体" w:cs="宋体"/>
          <w:sz w:val="24"/>
          <w:lang w:val="en-US" w:eastAsia="zh-CN"/>
        </w:rPr>
        <w:t>及技术要求</w:t>
      </w:r>
      <w:r>
        <w:rPr>
          <w:rFonts w:hint="eastAsia" w:ascii="宋体" w:hAnsi="宋体" w:cs="宋体"/>
          <w:sz w:val="24"/>
        </w:rPr>
        <w:t>执行，关键条款重申如下：</w:t>
      </w:r>
    </w:p>
    <w:p w14:paraId="1B960FC1">
      <w:pPr>
        <w:spacing w:line="360" w:lineRule="auto"/>
        <w:rPr>
          <w:sz w:val="24"/>
          <w:szCs w:val="24"/>
        </w:rPr>
      </w:pPr>
      <w:r>
        <w:rPr>
          <w:rFonts w:hint="eastAsia" w:ascii="宋体" w:hAnsi="宋体" w:cs="宋体"/>
          <w:sz w:val="24"/>
          <w:lang w:val="en-US" w:eastAsia="zh-CN"/>
        </w:rPr>
        <w:t>8</w:t>
      </w:r>
      <w:r>
        <w:rPr>
          <w:rFonts w:hint="eastAsia" w:ascii="宋体" w:hAnsi="宋体" w:cs="宋体"/>
          <w:sz w:val="24"/>
        </w:rPr>
        <w:t>.1付款方式：现汇支付</w:t>
      </w:r>
      <w:r>
        <w:rPr>
          <w:rFonts w:hint="eastAsia" w:ascii="宋体" w:hAnsi="宋体" w:cs="宋体"/>
          <w:sz w:val="24"/>
          <w:lang w:eastAsia="zh-CN"/>
        </w:rPr>
        <w:t>，</w:t>
      </w:r>
      <w:r>
        <w:rPr>
          <w:rFonts w:hint="eastAsia" w:ascii="宋体" w:hAnsi="宋体" w:cs="宋体"/>
          <w:sz w:val="24"/>
          <w:lang w:val="en-US" w:eastAsia="zh-CN"/>
        </w:rPr>
        <w:t>分批到货、分批付款。</w:t>
      </w:r>
      <w:r>
        <w:rPr>
          <w:rFonts w:hint="eastAsia"/>
          <w:sz w:val="24"/>
          <w:szCs w:val="24"/>
          <w:highlight w:val="yellow"/>
        </w:rPr>
        <w:t>每</w:t>
      </w:r>
      <w:r>
        <w:rPr>
          <w:rFonts w:hint="eastAsia"/>
          <w:sz w:val="24"/>
          <w:szCs w:val="24"/>
          <w:highlight w:val="yellow"/>
          <w:lang w:val="en-US" w:eastAsia="zh-CN"/>
        </w:rPr>
        <w:t>批</w:t>
      </w:r>
      <w:r>
        <w:rPr>
          <w:rFonts w:hint="eastAsia"/>
          <w:sz w:val="24"/>
          <w:szCs w:val="24"/>
          <w:highlight w:val="yellow"/>
        </w:rPr>
        <w:t>产品到货验收</w:t>
      </w:r>
      <w:r>
        <w:rPr>
          <w:rFonts w:hint="eastAsia"/>
          <w:sz w:val="24"/>
          <w:szCs w:val="24"/>
          <w:highlight w:val="yellow"/>
          <w:lang w:eastAsia="zh-CN"/>
        </w:rPr>
        <w:t>、</w:t>
      </w:r>
      <w:r>
        <w:rPr>
          <w:rFonts w:hint="eastAsia"/>
          <w:sz w:val="24"/>
          <w:szCs w:val="24"/>
          <w:highlight w:val="yellow"/>
          <w:lang w:val="en-US" w:eastAsia="zh-CN"/>
        </w:rPr>
        <w:t>性能考核</w:t>
      </w:r>
      <w:r>
        <w:rPr>
          <w:rFonts w:hint="eastAsia"/>
          <w:sz w:val="24"/>
          <w:szCs w:val="24"/>
          <w:highlight w:val="yellow"/>
        </w:rPr>
        <w:t>合格</w:t>
      </w:r>
      <w:r>
        <w:rPr>
          <w:rFonts w:hint="eastAsia"/>
          <w:sz w:val="24"/>
          <w:szCs w:val="24"/>
          <w:highlight w:val="yellow"/>
          <w:lang w:val="en-US" w:eastAsia="zh-CN"/>
        </w:rPr>
        <w:t>三个月后</w:t>
      </w:r>
      <w:r>
        <w:rPr>
          <w:rFonts w:hint="eastAsia"/>
          <w:sz w:val="24"/>
          <w:szCs w:val="24"/>
          <w:highlight w:val="yellow"/>
        </w:rPr>
        <w:t>支付90%到货款，余下 10%的质保金在满足使用一年后付清。</w:t>
      </w:r>
    </w:p>
    <w:p w14:paraId="302D88B8">
      <w:pPr>
        <w:spacing w:line="350" w:lineRule="exact"/>
        <w:jc w:val="left"/>
        <w:rPr>
          <w:rFonts w:ascii="宋体" w:hAnsi="宋体" w:cs="宋体"/>
          <w:sz w:val="24"/>
        </w:rPr>
      </w:pPr>
      <w:r>
        <w:rPr>
          <w:rFonts w:hint="eastAsia" w:ascii="宋体" w:hAnsi="宋体" w:cs="宋体"/>
          <w:sz w:val="24"/>
          <w:lang w:val="en-US" w:eastAsia="zh-CN"/>
        </w:rPr>
        <w:t>8</w:t>
      </w:r>
      <w:r>
        <w:rPr>
          <w:rFonts w:hint="eastAsia" w:ascii="宋体" w:hAnsi="宋体" w:cs="宋体"/>
          <w:sz w:val="24"/>
        </w:rPr>
        <w:t>.2数量验收：以需方使用单位验收为准。</w:t>
      </w:r>
    </w:p>
    <w:p w14:paraId="2E032CC8">
      <w:pPr>
        <w:spacing w:line="350" w:lineRule="exact"/>
        <w:jc w:val="left"/>
        <w:rPr>
          <w:rFonts w:asciiTheme="minorEastAsia" w:hAnsiTheme="minorEastAsia" w:eastAsiaTheme="minorEastAsia"/>
          <w:kern w:val="0"/>
          <w:sz w:val="24"/>
        </w:rPr>
      </w:pPr>
      <w:r>
        <w:rPr>
          <w:rFonts w:hint="eastAsia" w:ascii="宋体" w:hAnsi="宋体"/>
          <w:sz w:val="24"/>
          <w:lang w:val="en-US" w:eastAsia="zh-CN"/>
        </w:rPr>
        <w:t>9</w:t>
      </w:r>
      <w:r>
        <w:rPr>
          <w:rFonts w:hint="eastAsia" w:ascii="宋体" w:hAnsi="宋体"/>
          <w:sz w:val="24"/>
        </w:rPr>
        <w:t>.运输条款：</w:t>
      </w:r>
      <w:r>
        <w:rPr>
          <w:rFonts w:hint="eastAsia" w:asciiTheme="minorEastAsia" w:hAnsiTheme="minorEastAsia" w:eastAsiaTheme="minorEastAsia"/>
          <w:sz w:val="24"/>
        </w:rPr>
        <w:t>汽车运输至福建省漳州市古雷开发区腾龙路</w:t>
      </w:r>
      <w:r>
        <w:rPr>
          <w:rFonts w:hint="eastAsia" w:asciiTheme="minorEastAsia" w:hAnsiTheme="minorEastAsia" w:eastAsiaTheme="minorEastAsia"/>
          <w:sz w:val="24"/>
          <w:lang w:val="en-US" w:eastAsia="zh-CN"/>
        </w:rPr>
        <w:t>腾龙芳烃（漳州）</w:t>
      </w:r>
      <w:r>
        <w:rPr>
          <w:rFonts w:hint="eastAsia" w:asciiTheme="minorEastAsia" w:hAnsiTheme="minorEastAsia" w:eastAsiaTheme="minorEastAsia"/>
          <w:sz w:val="24"/>
        </w:rPr>
        <w:t>有限公司指定仓库</w:t>
      </w:r>
      <w:r>
        <w:rPr>
          <w:rFonts w:hint="eastAsia" w:asciiTheme="minorEastAsia" w:hAnsiTheme="minorEastAsia" w:eastAsiaTheme="minorEastAsia"/>
          <w:kern w:val="0"/>
          <w:sz w:val="24"/>
        </w:rPr>
        <w:t>。</w:t>
      </w:r>
    </w:p>
    <w:p w14:paraId="3BEAA78A">
      <w:pPr>
        <w:spacing w:line="360" w:lineRule="exact"/>
        <w:jc w:val="left"/>
        <w:rPr>
          <w:rFonts w:ascii="宋体" w:hAnsi="宋体" w:cs="宋体"/>
          <w:sz w:val="24"/>
        </w:rPr>
      </w:pPr>
      <w:r>
        <w:rPr>
          <w:rFonts w:hint="eastAsia" w:ascii="宋体" w:hAnsi="宋体" w:cs="宋体"/>
          <w:sz w:val="24"/>
          <w:lang w:val="en-US" w:eastAsia="zh-CN"/>
        </w:rPr>
        <w:t>10</w:t>
      </w:r>
      <w:r>
        <w:rPr>
          <w:rFonts w:hint="eastAsia" w:ascii="宋体" w:hAnsi="宋体" w:cs="宋体"/>
          <w:sz w:val="24"/>
        </w:rPr>
        <w:t>.参选文件的递交</w:t>
      </w:r>
    </w:p>
    <w:p w14:paraId="672865D2">
      <w:pPr>
        <w:spacing w:line="360" w:lineRule="exact"/>
        <w:jc w:val="left"/>
        <w:rPr>
          <w:rFonts w:ascii="宋体" w:hAnsi="宋体" w:cs="宋体"/>
          <w:sz w:val="24"/>
        </w:rPr>
      </w:pPr>
      <w:r>
        <w:rPr>
          <w:rFonts w:hint="eastAsia" w:ascii="宋体" w:hAnsi="宋体" w:cs="宋体"/>
          <w:sz w:val="24"/>
          <w:lang w:val="en-US" w:eastAsia="zh-CN"/>
        </w:rPr>
        <w:t>10</w:t>
      </w:r>
      <w:r>
        <w:rPr>
          <w:rFonts w:hint="eastAsia" w:ascii="宋体" w:hAnsi="宋体" w:cs="宋体"/>
          <w:sz w:val="24"/>
        </w:rPr>
        <w:t>.1参选文件递交截止时间：见比选公告。</w:t>
      </w:r>
    </w:p>
    <w:p w14:paraId="4FD425A9">
      <w:pPr>
        <w:spacing w:line="360" w:lineRule="exact"/>
        <w:jc w:val="left"/>
        <w:rPr>
          <w:rFonts w:ascii="宋体" w:hAnsi="宋体" w:cs="宋体"/>
          <w:sz w:val="24"/>
        </w:rPr>
      </w:pPr>
      <w:r>
        <w:rPr>
          <w:rFonts w:hint="eastAsia" w:ascii="宋体" w:hAnsi="宋体" w:cs="宋体"/>
          <w:sz w:val="24"/>
          <w:lang w:val="en-US" w:eastAsia="zh-CN"/>
        </w:rPr>
        <w:t>10</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我公司快递联系方式：公司名称：</w:t>
      </w:r>
      <w:r>
        <w:rPr>
          <w:rFonts w:hint="eastAsia" w:ascii="宋体" w:hAnsi="宋体" w:cs="宋体"/>
          <w:sz w:val="24"/>
          <w:lang w:val="en-US" w:eastAsia="zh-CN"/>
        </w:rPr>
        <w:t>福建福海创石油化工</w:t>
      </w:r>
      <w:r>
        <w:rPr>
          <w:rFonts w:hint="eastAsia" w:ascii="宋体" w:hAnsi="宋体" w:cs="宋体"/>
          <w:sz w:val="24"/>
          <w:lang w:eastAsia="zh-CN"/>
        </w:rPr>
        <w:t>有限公司</w:t>
      </w:r>
    </w:p>
    <w:p w14:paraId="59A5D774">
      <w:pPr>
        <w:spacing w:line="360" w:lineRule="exact"/>
        <w:jc w:val="left"/>
        <w:rPr>
          <w:rFonts w:hint="default" w:ascii="宋体" w:hAnsi="宋体" w:cs="宋体"/>
          <w:sz w:val="24"/>
          <w:lang w:val="en-US"/>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漳州市漳浦县杜浔镇杜昌路9号福海创办公大楼3楼煤炭及辅料团队</w:t>
      </w:r>
    </w:p>
    <w:p w14:paraId="6C841551">
      <w:pPr>
        <w:spacing w:line="360" w:lineRule="exact"/>
        <w:jc w:val="left"/>
        <w:rPr>
          <w:rFonts w:hint="default" w:ascii="宋体" w:hAnsi="宋体" w:eastAsia="宋体"/>
          <w:b/>
          <w:bCs/>
          <w:sz w:val="36"/>
          <w:szCs w:val="36"/>
          <w:lang w:val="en-US" w:eastAsia="zh-CN"/>
        </w:rPr>
      </w:pPr>
      <w:r>
        <w:rPr>
          <w:rFonts w:hint="eastAsia" w:ascii="宋体" w:hAnsi="宋体" w:cs="宋体"/>
          <w:sz w:val="24"/>
        </w:rPr>
        <w:t>联系人：</w:t>
      </w:r>
      <w:r>
        <w:rPr>
          <w:rFonts w:hint="eastAsia" w:ascii="宋体" w:hAnsi="宋体" w:cs="宋体"/>
          <w:sz w:val="24"/>
          <w:lang w:val="en-US" w:eastAsia="zh-CN"/>
        </w:rPr>
        <w:t>郑女士</w:t>
      </w:r>
      <w:r>
        <w:rPr>
          <w:rFonts w:hint="eastAsia" w:ascii="宋体" w:hAnsi="宋体" w:cs="宋体"/>
          <w:sz w:val="24"/>
        </w:rPr>
        <w:t xml:space="preserve"> 手机：</w:t>
      </w:r>
      <w:r>
        <w:rPr>
          <w:rFonts w:hint="eastAsia" w:ascii="宋体" w:hAnsi="宋体" w:cs="宋体"/>
          <w:sz w:val="24"/>
          <w:lang w:val="en-US" w:eastAsia="zh-CN"/>
        </w:rPr>
        <w:t>13015727080</w:t>
      </w:r>
    </w:p>
    <w:p w14:paraId="3409B382">
      <w:pPr>
        <w:spacing w:line="500" w:lineRule="exact"/>
        <w:jc w:val="center"/>
        <w:rPr>
          <w:rFonts w:hint="eastAsia" w:ascii="宋体" w:hAnsi="宋体"/>
          <w:b/>
          <w:bCs/>
          <w:sz w:val="36"/>
          <w:szCs w:val="36"/>
        </w:rPr>
      </w:pPr>
    </w:p>
    <w:p w14:paraId="0264FEC1">
      <w:pPr>
        <w:spacing w:line="500" w:lineRule="exact"/>
        <w:jc w:val="center"/>
        <w:rPr>
          <w:rFonts w:hint="eastAsia" w:ascii="宋体" w:hAnsi="宋体"/>
          <w:b/>
          <w:bCs/>
          <w:sz w:val="36"/>
          <w:szCs w:val="36"/>
        </w:rPr>
      </w:pPr>
    </w:p>
    <w:p w14:paraId="5F91DBA7">
      <w:pPr>
        <w:spacing w:line="500" w:lineRule="exact"/>
        <w:jc w:val="center"/>
        <w:rPr>
          <w:rFonts w:hint="eastAsia" w:ascii="宋体" w:hAnsi="宋体"/>
          <w:b/>
          <w:bCs/>
          <w:sz w:val="36"/>
          <w:szCs w:val="36"/>
        </w:rPr>
      </w:pPr>
    </w:p>
    <w:p w14:paraId="64A9A9A4">
      <w:pPr>
        <w:spacing w:line="500" w:lineRule="exact"/>
        <w:jc w:val="center"/>
        <w:rPr>
          <w:rFonts w:hint="eastAsia" w:ascii="宋体" w:hAnsi="宋体"/>
          <w:b/>
          <w:bCs/>
          <w:sz w:val="36"/>
          <w:szCs w:val="36"/>
        </w:rPr>
      </w:pPr>
    </w:p>
    <w:p w14:paraId="4094C46F">
      <w:pPr>
        <w:spacing w:line="500" w:lineRule="exact"/>
        <w:jc w:val="both"/>
        <w:rPr>
          <w:rFonts w:hint="eastAsia" w:ascii="宋体" w:hAnsi="宋体"/>
          <w:b/>
          <w:bCs/>
          <w:sz w:val="36"/>
          <w:szCs w:val="36"/>
        </w:rPr>
      </w:pPr>
    </w:p>
    <w:p w14:paraId="53A8A02B">
      <w:pPr>
        <w:spacing w:line="500" w:lineRule="exact"/>
        <w:jc w:val="both"/>
        <w:rPr>
          <w:rFonts w:hint="eastAsia" w:ascii="宋体" w:hAnsi="宋体"/>
          <w:b/>
          <w:bCs/>
          <w:sz w:val="36"/>
          <w:szCs w:val="36"/>
        </w:rPr>
      </w:pPr>
    </w:p>
    <w:p w14:paraId="302E32F9">
      <w:pPr>
        <w:spacing w:line="500" w:lineRule="exact"/>
        <w:jc w:val="both"/>
        <w:rPr>
          <w:rFonts w:hint="eastAsia" w:ascii="宋体" w:hAnsi="宋体"/>
          <w:b/>
          <w:bCs/>
          <w:sz w:val="36"/>
          <w:szCs w:val="36"/>
        </w:rPr>
      </w:pPr>
    </w:p>
    <w:p w14:paraId="4E7D5595">
      <w:pPr>
        <w:spacing w:line="500" w:lineRule="exact"/>
        <w:jc w:val="both"/>
        <w:rPr>
          <w:rFonts w:hint="eastAsia" w:ascii="宋体" w:hAnsi="宋体"/>
          <w:b/>
          <w:bCs/>
          <w:sz w:val="36"/>
          <w:szCs w:val="36"/>
        </w:rPr>
      </w:pPr>
    </w:p>
    <w:p w14:paraId="3C7E8DD2">
      <w:pPr>
        <w:spacing w:line="500" w:lineRule="exact"/>
        <w:jc w:val="center"/>
        <w:rPr>
          <w:rFonts w:hint="eastAsia" w:ascii="宋体" w:hAnsi="宋体"/>
          <w:b/>
          <w:bCs/>
          <w:sz w:val="36"/>
          <w:szCs w:val="36"/>
        </w:rPr>
      </w:pPr>
    </w:p>
    <w:p w14:paraId="3EF059C8">
      <w:pPr>
        <w:spacing w:line="500" w:lineRule="exact"/>
        <w:jc w:val="center"/>
        <w:rPr>
          <w:rFonts w:hint="eastAsia" w:ascii="宋体" w:hAnsi="宋体"/>
          <w:b/>
          <w:bCs/>
          <w:sz w:val="36"/>
          <w:szCs w:val="36"/>
        </w:rPr>
      </w:pPr>
    </w:p>
    <w:p w14:paraId="73BFED71">
      <w:pPr>
        <w:spacing w:line="500" w:lineRule="exact"/>
        <w:jc w:val="center"/>
        <w:rPr>
          <w:rFonts w:hint="eastAsia" w:ascii="宋体" w:hAnsi="宋体"/>
          <w:b/>
          <w:bCs/>
          <w:sz w:val="36"/>
          <w:szCs w:val="36"/>
        </w:rPr>
      </w:pPr>
    </w:p>
    <w:p w14:paraId="672E9787">
      <w:pPr>
        <w:spacing w:line="500" w:lineRule="exact"/>
        <w:jc w:val="center"/>
        <w:rPr>
          <w:rFonts w:hint="eastAsia" w:ascii="宋体" w:hAnsi="宋体"/>
          <w:b/>
          <w:bCs/>
          <w:sz w:val="36"/>
          <w:szCs w:val="36"/>
        </w:rPr>
      </w:pPr>
    </w:p>
    <w:p w14:paraId="1871A050">
      <w:pPr>
        <w:spacing w:line="500" w:lineRule="exact"/>
        <w:jc w:val="center"/>
        <w:rPr>
          <w:rFonts w:hint="eastAsia" w:ascii="宋体" w:hAnsi="宋体"/>
          <w:b/>
          <w:bCs/>
          <w:sz w:val="36"/>
          <w:szCs w:val="36"/>
        </w:rPr>
      </w:pPr>
    </w:p>
    <w:p w14:paraId="057E8631">
      <w:pPr>
        <w:spacing w:line="500" w:lineRule="exact"/>
        <w:jc w:val="center"/>
        <w:rPr>
          <w:rFonts w:hint="eastAsia" w:ascii="宋体" w:hAnsi="宋体"/>
          <w:b/>
          <w:bCs/>
          <w:sz w:val="36"/>
          <w:szCs w:val="36"/>
        </w:rPr>
      </w:pPr>
    </w:p>
    <w:p w14:paraId="3C2975A4">
      <w:pPr>
        <w:spacing w:line="500" w:lineRule="exact"/>
        <w:jc w:val="center"/>
        <w:rPr>
          <w:rFonts w:hint="eastAsia" w:ascii="宋体" w:hAnsi="宋体"/>
          <w:b/>
          <w:bCs/>
          <w:sz w:val="36"/>
          <w:szCs w:val="36"/>
        </w:rPr>
      </w:pPr>
    </w:p>
    <w:p w14:paraId="505542BC">
      <w:pPr>
        <w:spacing w:line="500" w:lineRule="exact"/>
        <w:jc w:val="center"/>
        <w:rPr>
          <w:rFonts w:hint="eastAsia" w:ascii="宋体" w:hAnsi="宋体"/>
          <w:b/>
          <w:bCs/>
          <w:sz w:val="36"/>
          <w:szCs w:val="36"/>
        </w:rPr>
      </w:pPr>
    </w:p>
    <w:p w14:paraId="284E58F0">
      <w:pPr>
        <w:spacing w:line="500" w:lineRule="exact"/>
        <w:jc w:val="center"/>
        <w:rPr>
          <w:rFonts w:hint="eastAsia" w:ascii="宋体" w:hAnsi="宋体"/>
          <w:b/>
          <w:bCs/>
          <w:sz w:val="36"/>
          <w:szCs w:val="36"/>
        </w:rPr>
      </w:pPr>
    </w:p>
    <w:p w14:paraId="11CF20F2">
      <w:pPr>
        <w:spacing w:line="500" w:lineRule="exact"/>
        <w:jc w:val="center"/>
        <w:rPr>
          <w:rFonts w:hint="eastAsia" w:ascii="宋体" w:hAnsi="宋体"/>
          <w:b/>
          <w:bCs/>
          <w:sz w:val="36"/>
          <w:szCs w:val="36"/>
        </w:rPr>
      </w:pPr>
    </w:p>
    <w:p w14:paraId="47413941">
      <w:pPr>
        <w:spacing w:line="500" w:lineRule="exact"/>
        <w:jc w:val="both"/>
        <w:rPr>
          <w:rFonts w:hint="eastAsia" w:ascii="宋体" w:hAnsi="宋体"/>
          <w:b/>
          <w:bCs/>
          <w:sz w:val="36"/>
          <w:szCs w:val="36"/>
        </w:rPr>
      </w:pPr>
    </w:p>
    <w:p w14:paraId="00C8C3D3">
      <w:pPr>
        <w:spacing w:line="500" w:lineRule="exact"/>
        <w:jc w:val="both"/>
        <w:rPr>
          <w:rFonts w:hint="eastAsia" w:ascii="宋体" w:hAnsi="宋体"/>
          <w:b/>
          <w:bCs/>
          <w:sz w:val="36"/>
          <w:szCs w:val="36"/>
        </w:rPr>
      </w:pPr>
    </w:p>
    <w:p w14:paraId="390F1405">
      <w:pPr>
        <w:spacing w:line="500" w:lineRule="exact"/>
        <w:jc w:val="center"/>
        <w:rPr>
          <w:rFonts w:ascii="宋体"/>
          <w:b/>
          <w:bCs/>
          <w:sz w:val="36"/>
          <w:szCs w:val="36"/>
        </w:rPr>
      </w:pPr>
      <w:r>
        <w:rPr>
          <w:rFonts w:hint="eastAsia" w:ascii="宋体" w:hAnsi="宋体"/>
          <w:b/>
          <w:bCs/>
          <w:sz w:val="36"/>
          <w:szCs w:val="36"/>
        </w:rPr>
        <w:t>四、参选书</w:t>
      </w:r>
    </w:p>
    <w:p w14:paraId="3145425E">
      <w:pPr>
        <w:spacing w:line="500" w:lineRule="exact"/>
        <w:jc w:val="center"/>
        <w:rPr>
          <w:rFonts w:ascii="宋体"/>
          <w:b/>
          <w:bCs/>
          <w:sz w:val="36"/>
          <w:szCs w:val="36"/>
        </w:rPr>
      </w:pPr>
    </w:p>
    <w:p w14:paraId="372BD619">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14:paraId="34C59CC2">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2024-FHC-空压装置-活性氧化铝-0905</w:t>
      </w:r>
      <w:r>
        <w:rPr>
          <w:rFonts w:hint="eastAsia" w:ascii="宋体" w:hAnsi="宋体"/>
          <w:sz w:val="24"/>
        </w:rPr>
        <w:t>），被我方正式授权并代表我公司递交下述文件，并对此负责。</w:t>
      </w:r>
    </w:p>
    <w:p w14:paraId="48142EC0">
      <w:pPr>
        <w:spacing w:line="500" w:lineRule="exact"/>
        <w:ind w:firstLine="480" w:firstLineChars="200"/>
        <w:rPr>
          <w:rFonts w:hint="eastAsia" w:ascii="宋体" w:hAnsi="宋体"/>
          <w:sz w:val="24"/>
          <w:highlight w:val="none"/>
        </w:rPr>
      </w:pPr>
      <w:r>
        <w:rPr>
          <w:rFonts w:hint="eastAsia" w:ascii="宋体" w:hAnsi="宋体"/>
          <w:sz w:val="24"/>
          <w:highlight w:val="none"/>
        </w:rPr>
        <w:t>（1）比选公告</w:t>
      </w:r>
    </w:p>
    <w:p w14:paraId="045D592B">
      <w:pPr>
        <w:spacing w:line="500" w:lineRule="exact"/>
        <w:ind w:firstLine="480" w:firstLineChars="200"/>
        <w:rPr>
          <w:rFonts w:hint="eastAsia" w:ascii="宋体" w:hAnsi="宋体"/>
          <w:sz w:val="24"/>
          <w:highlight w:val="none"/>
        </w:rPr>
      </w:pPr>
      <w:r>
        <w:rPr>
          <w:rFonts w:hint="eastAsia" w:ascii="宋体" w:hAnsi="宋体"/>
          <w:sz w:val="24"/>
          <w:highlight w:val="none"/>
        </w:rPr>
        <w:t>（2）参选规定及说明</w:t>
      </w:r>
    </w:p>
    <w:p w14:paraId="5FCB2E3B">
      <w:pPr>
        <w:spacing w:line="500" w:lineRule="exact"/>
        <w:ind w:firstLine="480" w:firstLineChars="200"/>
        <w:rPr>
          <w:rFonts w:hint="eastAsia" w:ascii="宋体" w:hAnsi="宋体"/>
          <w:sz w:val="24"/>
          <w:highlight w:val="none"/>
        </w:rPr>
      </w:pPr>
      <w:r>
        <w:rPr>
          <w:rFonts w:hint="eastAsia" w:ascii="宋体" w:hAnsi="宋体"/>
          <w:sz w:val="24"/>
          <w:highlight w:val="none"/>
        </w:rPr>
        <w:t>（3）比选文件</w:t>
      </w:r>
    </w:p>
    <w:p w14:paraId="19B7125D">
      <w:pPr>
        <w:spacing w:line="500" w:lineRule="exact"/>
        <w:ind w:firstLine="480" w:firstLineChars="200"/>
        <w:rPr>
          <w:rFonts w:hint="eastAsia" w:ascii="宋体" w:hAnsi="宋体"/>
          <w:sz w:val="24"/>
          <w:highlight w:val="none"/>
        </w:rPr>
      </w:pPr>
      <w:r>
        <w:rPr>
          <w:rFonts w:hint="eastAsia" w:ascii="宋体" w:hAnsi="宋体"/>
          <w:sz w:val="24"/>
          <w:highlight w:val="none"/>
        </w:rPr>
        <w:t>（4）参选书</w:t>
      </w:r>
    </w:p>
    <w:p w14:paraId="2328D11F">
      <w:pPr>
        <w:spacing w:line="500" w:lineRule="exact"/>
        <w:ind w:firstLine="480" w:firstLineChars="200"/>
        <w:rPr>
          <w:rFonts w:hint="eastAsia" w:ascii="宋体" w:hAnsi="宋体"/>
          <w:sz w:val="24"/>
          <w:highlight w:val="none"/>
        </w:rPr>
      </w:pPr>
      <w:r>
        <w:rPr>
          <w:rFonts w:hint="eastAsia" w:ascii="宋体" w:hAnsi="宋体"/>
          <w:sz w:val="24"/>
          <w:highlight w:val="none"/>
        </w:rPr>
        <w:t>（5）法定代表人授权书</w:t>
      </w:r>
    </w:p>
    <w:p w14:paraId="3FE05199">
      <w:pPr>
        <w:spacing w:line="500" w:lineRule="exact"/>
        <w:ind w:firstLine="480" w:firstLineChars="200"/>
        <w:rPr>
          <w:rFonts w:hint="eastAsia" w:ascii="宋体" w:hAnsi="宋体"/>
          <w:sz w:val="24"/>
          <w:highlight w:val="none"/>
        </w:rPr>
      </w:pPr>
      <w:r>
        <w:rPr>
          <w:rFonts w:hint="eastAsia" w:ascii="宋体" w:hAnsi="宋体"/>
          <w:sz w:val="24"/>
          <w:highlight w:val="none"/>
        </w:rPr>
        <w:t>（6）报价单</w:t>
      </w:r>
    </w:p>
    <w:p w14:paraId="432B06E3">
      <w:pPr>
        <w:spacing w:line="500" w:lineRule="exact"/>
        <w:ind w:firstLine="480" w:firstLineChars="200"/>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7</w:t>
      </w:r>
      <w:r>
        <w:rPr>
          <w:rFonts w:hint="eastAsia" w:ascii="宋体" w:hAnsi="宋体"/>
          <w:sz w:val="24"/>
          <w:highlight w:val="none"/>
          <w:lang w:eastAsia="zh-CN"/>
        </w:rPr>
        <w:t>）</w:t>
      </w:r>
      <w:r>
        <w:rPr>
          <w:rFonts w:hint="eastAsia" w:ascii="宋体" w:hAnsi="宋体"/>
          <w:sz w:val="24"/>
          <w:highlight w:val="none"/>
          <w:lang w:val="en-US" w:eastAsia="zh-CN"/>
        </w:rPr>
        <w:t>技术要求</w:t>
      </w:r>
    </w:p>
    <w:p w14:paraId="50C7E189">
      <w:pPr>
        <w:spacing w:line="500" w:lineRule="exact"/>
        <w:ind w:firstLine="480" w:firstLineChars="200"/>
        <w:rPr>
          <w:rFonts w:ascii="宋体"/>
          <w:sz w:val="24"/>
        </w:rPr>
      </w:pPr>
      <w:r>
        <w:rPr>
          <w:rFonts w:hint="eastAsia" w:ascii="宋体" w:hAnsi="宋体"/>
          <w:sz w:val="24"/>
        </w:rPr>
        <w:t>据此参与书，我公司及签字代表宣布同意如下：</w:t>
      </w:r>
    </w:p>
    <w:p w14:paraId="3FEB68ED">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14:paraId="385A6D5A">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14:paraId="6F7458FF">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14:paraId="371AC25D">
      <w:pPr>
        <w:spacing w:line="500" w:lineRule="exact"/>
        <w:ind w:firstLine="480" w:firstLineChars="200"/>
        <w:rPr>
          <w:rFonts w:ascii="宋体"/>
          <w:sz w:val="24"/>
        </w:rPr>
      </w:pPr>
    </w:p>
    <w:p w14:paraId="6FEBC64B">
      <w:pPr>
        <w:spacing w:line="500" w:lineRule="exact"/>
        <w:ind w:firstLine="480" w:firstLineChars="200"/>
        <w:rPr>
          <w:rFonts w:ascii="宋体"/>
          <w:sz w:val="24"/>
        </w:rPr>
      </w:pPr>
    </w:p>
    <w:p w14:paraId="5BBD3888">
      <w:pPr>
        <w:spacing w:line="500" w:lineRule="exact"/>
        <w:ind w:firstLine="480" w:firstLineChars="200"/>
        <w:rPr>
          <w:rFonts w:ascii="宋体"/>
          <w:sz w:val="24"/>
        </w:rPr>
      </w:pPr>
      <w:r>
        <w:rPr>
          <w:rFonts w:hint="eastAsia" w:ascii="宋体" w:hAnsi="宋体"/>
          <w:sz w:val="24"/>
        </w:rPr>
        <w:t>被授权代表姓名：</w:t>
      </w:r>
    </w:p>
    <w:p w14:paraId="72315B3E">
      <w:pPr>
        <w:spacing w:line="500" w:lineRule="exact"/>
        <w:ind w:firstLine="480" w:firstLineChars="200"/>
        <w:rPr>
          <w:rFonts w:ascii="宋体"/>
          <w:sz w:val="24"/>
        </w:rPr>
      </w:pPr>
      <w:r>
        <w:rPr>
          <w:rFonts w:hint="eastAsia" w:ascii="宋体" w:hAnsi="宋体"/>
          <w:sz w:val="24"/>
        </w:rPr>
        <w:t>职务：</w:t>
      </w:r>
    </w:p>
    <w:p w14:paraId="6BAEDD08">
      <w:pPr>
        <w:spacing w:line="500" w:lineRule="exact"/>
        <w:ind w:firstLine="480" w:firstLineChars="200"/>
        <w:rPr>
          <w:rFonts w:ascii="宋体"/>
          <w:sz w:val="24"/>
        </w:rPr>
      </w:pPr>
      <w:r>
        <w:rPr>
          <w:rFonts w:hint="eastAsia" w:ascii="宋体" w:hAnsi="宋体"/>
          <w:sz w:val="24"/>
        </w:rPr>
        <w:t>联系方式：</w:t>
      </w:r>
    </w:p>
    <w:p w14:paraId="652DA84B">
      <w:pPr>
        <w:spacing w:line="500" w:lineRule="exact"/>
        <w:ind w:firstLine="480" w:firstLineChars="200"/>
        <w:rPr>
          <w:rFonts w:ascii="宋体"/>
          <w:sz w:val="24"/>
        </w:rPr>
      </w:pPr>
      <w:r>
        <w:rPr>
          <w:rFonts w:hint="eastAsia" w:ascii="宋体" w:hAnsi="宋体"/>
          <w:sz w:val="24"/>
        </w:rPr>
        <w:t>被授权代表签字；</w:t>
      </w:r>
    </w:p>
    <w:p w14:paraId="2B1AFD3D">
      <w:pPr>
        <w:widowControl/>
        <w:jc w:val="left"/>
        <w:rPr>
          <w:rFonts w:ascii="宋体"/>
          <w:b/>
          <w:bCs/>
          <w:sz w:val="36"/>
          <w:szCs w:val="36"/>
        </w:rPr>
      </w:pPr>
      <w:r>
        <w:rPr>
          <w:rFonts w:ascii="宋体"/>
          <w:b/>
          <w:bCs/>
          <w:sz w:val="36"/>
          <w:szCs w:val="36"/>
        </w:rPr>
        <w:br w:type="page"/>
      </w:r>
    </w:p>
    <w:p w14:paraId="7A05DFE5">
      <w:pPr>
        <w:spacing w:line="500" w:lineRule="exact"/>
        <w:jc w:val="center"/>
        <w:rPr>
          <w:rFonts w:ascii="宋体"/>
          <w:b/>
          <w:bCs/>
          <w:sz w:val="36"/>
          <w:szCs w:val="36"/>
        </w:rPr>
      </w:pPr>
      <w:r>
        <w:rPr>
          <w:rFonts w:hint="eastAsia" w:ascii="宋体" w:hAnsi="宋体"/>
          <w:b/>
          <w:bCs/>
          <w:sz w:val="36"/>
          <w:szCs w:val="36"/>
        </w:rPr>
        <w:t>五、法定代表人授权书</w:t>
      </w:r>
    </w:p>
    <w:p w14:paraId="66795787">
      <w:pPr>
        <w:spacing w:line="500" w:lineRule="exact"/>
        <w:ind w:firstLine="480" w:firstLineChars="200"/>
        <w:rPr>
          <w:rFonts w:ascii="宋体"/>
          <w:sz w:val="24"/>
        </w:rPr>
      </w:pPr>
    </w:p>
    <w:p w14:paraId="5720EF2B">
      <w:pPr>
        <w:spacing w:line="500" w:lineRule="exact"/>
        <w:ind w:firstLine="480" w:firstLineChars="200"/>
        <w:rPr>
          <w:rFonts w:ascii="宋体" w:hAnsi="宋体"/>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w:t>
      </w:r>
      <w:r>
        <w:rPr>
          <w:rFonts w:hint="eastAsia" w:ascii="宋体" w:hAnsi="宋体"/>
          <w:sz w:val="24"/>
        </w:rPr>
        <w:t>就本次报价（编号：</w:t>
      </w:r>
      <w:r>
        <w:rPr>
          <w:rFonts w:hint="eastAsia" w:asciiTheme="minorEastAsia" w:hAnsiTheme="minorEastAsia" w:eastAsiaTheme="minorEastAsia"/>
          <w:bCs/>
          <w:sz w:val="24"/>
          <w:u w:val="single"/>
          <w:lang w:eastAsia="zh-CN"/>
        </w:rPr>
        <w:t>2024-FHC-空压装置-活性氧化铝-0905</w:t>
      </w:r>
      <w:r>
        <w:rPr>
          <w:rFonts w:hint="eastAsia" w:ascii="宋体" w:hAnsi="宋体"/>
          <w:sz w:val="24"/>
        </w:rPr>
        <w:t>）的参与报价和合同的执行、以本公司名义处理与之有关的事务。</w:t>
      </w:r>
    </w:p>
    <w:p w14:paraId="2A54D6BC">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14:paraId="76E247DC">
      <w:pPr>
        <w:spacing w:line="500" w:lineRule="exact"/>
        <w:rPr>
          <w:rFonts w:ascii="宋体" w:hAnsi="宋体"/>
          <w:sz w:val="24"/>
        </w:rPr>
      </w:pPr>
      <w:r>
        <w:rPr>
          <w:rFonts w:hint="eastAsia" w:ascii="宋体" w:hAnsi="宋体"/>
          <w:sz w:val="24"/>
        </w:rPr>
        <w:t>法定代表人（签字或签章）：</w:t>
      </w:r>
    </w:p>
    <w:p w14:paraId="7189E0E2">
      <w:pPr>
        <w:spacing w:line="500" w:lineRule="exact"/>
        <w:rPr>
          <w:rFonts w:ascii="宋体" w:hAnsi="宋体"/>
          <w:sz w:val="24"/>
        </w:rPr>
      </w:pPr>
    </w:p>
    <w:p w14:paraId="754A9CAF">
      <w:pPr>
        <w:spacing w:line="500" w:lineRule="exact"/>
        <w:rPr>
          <w:rFonts w:ascii="宋体" w:hAnsi="宋体"/>
          <w:sz w:val="24"/>
        </w:rPr>
      </w:pPr>
    </w:p>
    <w:p w14:paraId="7DC96898">
      <w:pPr>
        <w:spacing w:line="500" w:lineRule="exact"/>
        <w:rPr>
          <w:rFonts w:ascii="宋体"/>
          <w:sz w:val="24"/>
        </w:rPr>
      </w:pPr>
      <w:r>
        <w:rPr>
          <w:rFonts w:hint="eastAsia" w:ascii="宋体" w:hAnsi="宋体"/>
          <w:sz w:val="24"/>
        </w:rPr>
        <w:t>被授权代表签字：</w:t>
      </w:r>
    </w:p>
    <w:p w14:paraId="58237115">
      <w:pPr>
        <w:spacing w:line="500" w:lineRule="exact"/>
        <w:rPr>
          <w:rFonts w:ascii="宋体"/>
          <w:sz w:val="24"/>
        </w:rPr>
      </w:pPr>
    </w:p>
    <w:p w14:paraId="523B8532">
      <w:pPr>
        <w:spacing w:line="500" w:lineRule="exact"/>
        <w:rPr>
          <w:rFonts w:ascii="宋体"/>
          <w:sz w:val="24"/>
        </w:rPr>
      </w:pPr>
      <w:r>
        <w:rPr>
          <w:rFonts w:hint="eastAsia" w:ascii="宋体" w:hAnsi="宋体"/>
          <w:sz w:val="24"/>
        </w:rPr>
        <w:t>单位名称（公章）：</w:t>
      </w:r>
    </w:p>
    <w:p w14:paraId="41E14956">
      <w:pPr>
        <w:spacing w:line="500" w:lineRule="exact"/>
        <w:rPr>
          <w:rFonts w:ascii="宋体"/>
          <w:sz w:val="24"/>
        </w:rPr>
      </w:pPr>
      <w:r>
        <w:rPr>
          <w:rFonts w:hint="eastAsia" w:ascii="宋体" w:hAnsi="宋体"/>
          <w:sz w:val="24"/>
        </w:rPr>
        <w:t>地址：</w:t>
      </w:r>
    </w:p>
    <w:p w14:paraId="27248A0B">
      <w:pPr>
        <w:spacing w:line="500" w:lineRule="exact"/>
        <w:rPr>
          <w:rFonts w:ascii="宋体"/>
          <w:sz w:val="24"/>
        </w:rPr>
      </w:pPr>
      <w:r>
        <w:rPr>
          <w:rFonts w:hint="eastAsia" w:ascii="宋体" w:hAnsi="宋体"/>
          <w:sz w:val="24"/>
        </w:rPr>
        <w:t>电话：</w:t>
      </w:r>
    </w:p>
    <w:p w14:paraId="2DF5138F">
      <w:pPr>
        <w:spacing w:line="500" w:lineRule="exact"/>
        <w:rPr>
          <w:rFonts w:ascii="宋体"/>
          <w:sz w:val="24"/>
        </w:rPr>
      </w:pPr>
      <w:r>
        <w:rPr>
          <w:rFonts w:hint="eastAsia" w:ascii="宋体" w:hAnsi="宋体"/>
          <w:sz w:val="24"/>
        </w:rPr>
        <w:t>传真：</w:t>
      </w:r>
    </w:p>
    <w:p w14:paraId="26737615">
      <w:pPr>
        <w:spacing w:line="500" w:lineRule="exact"/>
        <w:rPr>
          <w:rFonts w:ascii="宋体"/>
          <w:b/>
          <w:bCs/>
          <w:sz w:val="28"/>
        </w:rPr>
      </w:pPr>
    </w:p>
    <w:p w14:paraId="3DAFE21A">
      <w:pPr>
        <w:spacing w:line="400" w:lineRule="exact"/>
        <w:rPr>
          <w:rFonts w:ascii="宋体"/>
          <w:sz w:val="24"/>
        </w:rPr>
      </w:pPr>
    </w:p>
    <w:p w14:paraId="2A335800">
      <w:pPr>
        <w:widowControl/>
        <w:jc w:val="left"/>
        <w:rPr>
          <w:rFonts w:ascii="宋体"/>
          <w:b/>
          <w:bCs/>
          <w:sz w:val="36"/>
          <w:szCs w:val="36"/>
        </w:rPr>
      </w:pPr>
      <w:r>
        <w:rPr>
          <w:rFonts w:ascii="宋体"/>
          <w:b/>
          <w:bCs/>
          <w:sz w:val="36"/>
          <w:szCs w:val="36"/>
        </w:rPr>
        <w:br w:type="page"/>
      </w:r>
    </w:p>
    <w:p w14:paraId="664D6341">
      <w:pPr>
        <w:spacing w:line="500" w:lineRule="exact"/>
        <w:jc w:val="center"/>
        <w:rPr>
          <w:rFonts w:ascii="宋体" w:hAnsi="宋体"/>
          <w:b/>
          <w:bCs/>
          <w:sz w:val="36"/>
          <w:szCs w:val="36"/>
        </w:rPr>
      </w:pPr>
      <w:r>
        <w:rPr>
          <w:rFonts w:hint="eastAsia" w:ascii="宋体" w:hAnsi="宋体"/>
          <w:b/>
          <w:bCs/>
          <w:sz w:val="36"/>
          <w:szCs w:val="36"/>
        </w:rPr>
        <w:t>六、报价单</w:t>
      </w:r>
    </w:p>
    <w:p w14:paraId="74539D92">
      <w:pPr>
        <w:spacing w:line="500" w:lineRule="exact"/>
        <w:rPr>
          <w:rFonts w:ascii="宋体" w:hAnsi="宋体"/>
          <w:sz w:val="24"/>
        </w:rPr>
      </w:pPr>
    </w:p>
    <w:p w14:paraId="4D4437AB">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14:paraId="190E7A61">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2024-FHC-空压装置-活性氧化铝-0905</w:t>
      </w:r>
      <w:r>
        <w:rPr>
          <w:rFonts w:hint="eastAsia" w:ascii="宋体" w:hAnsi="宋体"/>
          <w:sz w:val="24"/>
        </w:rPr>
        <w:t>），报价如下：</w:t>
      </w:r>
    </w:p>
    <w:p w14:paraId="2D9BB429">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空压装置活性氧化铝</w:t>
      </w:r>
      <w:r>
        <w:rPr>
          <w:rFonts w:hint="eastAsia" w:ascii="宋体" w:hAnsi="宋体"/>
          <w:color w:val="auto"/>
          <w:sz w:val="24"/>
        </w:rPr>
        <w:t>：</w:t>
      </w:r>
    </w:p>
    <w:p w14:paraId="34A3624F">
      <w:pPr>
        <w:numPr>
          <w:ilvl w:val="0"/>
          <w:numId w:val="0"/>
        </w:numPr>
        <w:spacing w:line="312" w:lineRule="auto"/>
        <w:rPr>
          <w:rFonts w:hint="eastAsia" w:ascii="宋体" w:cs="宋体"/>
          <w:sz w:val="24"/>
        </w:rPr>
      </w:pPr>
      <w:r>
        <w:rPr>
          <w:rFonts w:hint="eastAsia" w:ascii="宋体" w:hAnsi="宋体"/>
          <w:color w:val="auto"/>
          <w:sz w:val="24"/>
          <w:lang w:val="en-US" w:eastAsia="zh-CN"/>
        </w:rPr>
        <w:t>2、</w:t>
      </w:r>
      <w:r>
        <w:rPr>
          <w:rFonts w:hint="eastAsia" w:ascii="宋体" w:hAnsi="宋体"/>
          <w:color w:val="auto"/>
          <w:sz w:val="24"/>
        </w:rPr>
        <w:t>数量</w:t>
      </w:r>
      <w:r>
        <w:rPr>
          <w:rFonts w:hint="eastAsia" w:ascii="宋体" w:hAnsi="宋体"/>
          <w:sz w:val="24"/>
          <w:lang w:eastAsia="zh-CN"/>
        </w:rPr>
        <w:t>：</w:t>
      </w:r>
      <w:r>
        <w:rPr>
          <w:rFonts w:hint="eastAsia" w:ascii="宋体" w:hAnsi="宋体"/>
          <w:sz w:val="24"/>
          <w:lang w:val="en-US" w:eastAsia="zh-CN"/>
        </w:rPr>
        <w:t>10吨</w:t>
      </w:r>
      <w:r>
        <w:rPr>
          <w:rFonts w:hint="eastAsia" w:ascii="宋体" w:cs="宋体"/>
          <w:sz w:val="24"/>
        </w:rPr>
        <w:t>（数量为预估量，以实际发生量为准）</w:t>
      </w:r>
    </w:p>
    <w:p w14:paraId="4AC989B5">
      <w:pPr>
        <w:spacing w:line="360" w:lineRule="auto"/>
        <w:rPr>
          <w:rFonts w:hint="eastAsia" w:ascii="宋体" w:cs="宋体"/>
          <w:sz w:val="24"/>
        </w:rPr>
      </w:pPr>
      <w:r>
        <w:rPr>
          <w:rFonts w:hint="eastAsia" w:ascii="宋体" w:cs="宋体"/>
          <w:sz w:val="24"/>
          <w:lang w:val="en-US" w:eastAsia="zh-CN"/>
        </w:rPr>
        <w:t>包装方式：</w:t>
      </w:r>
      <w:r>
        <w:rPr>
          <w:rFonts w:hint="eastAsia"/>
          <w:sz w:val="24"/>
          <w:szCs w:val="24"/>
          <w:highlight w:val="yellow"/>
        </w:rPr>
        <w:t>要求为桶装，运输时将干燥剂码放于栈板托盘之上，方便货到现场后用叉车卸货，要求能满足保存二年以上时间。</w:t>
      </w:r>
      <w:r>
        <w:rPr>
          <w:rFonts w:hint="eastAsia"/>
          <w:sz w:val="24"/>
          <w:szCs w:val="24"/>
          <w:highlight w:val="yellow"/>
          <w:lang w:eastAsia="zh-CN"/>
        </w:rPr>
        <w:t>（</w:t>
      </w:r>
      <w:r>
        <w:rPr>
          <w:rFonts w:hint="eastAsia"/>
          <w:sz w:val="24"/>
          <w:szCs w:val="24"/>
          <w:highlight w:val="yellow"/>
          <w:lang w:val="en-US" w:eastAsia="zh-CN"/>
        </w:rPr>
        <w:t>25KG/桶</w:t>
      </w:r>
      <w:r>
        <w:rPr>
          <w:rFonts w:hint="eastAsia"/>
          <w:sz w:val="24"/>
          <w:szCs w:val="24"/>
          <w:highlight w:val="yellow"/>
          <w:lang w:eastAsia="zh-CN"/>
        </w:rPr>
        <w:t>）</w:t>
      </w:r>
    </w:p>
    <w:p w14:paraId="2973C4FA">
      <w:pPr>
        <w:numPr>
          <w:ilvl w:val="0"/>
          <w:numId w:val="0"/>
        </w:numPr>
        <w:spacing w:line="312" w:lineRule="auto"/>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val="en-US" w:eastAsia="zh-CN"/>
        </w:rPr>
        <w:t>吨</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14:paraId="778C008D">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产品</w:t>
      </w:r>
      <w:r>
        <w:rPr>
          <w:rFonts w:hint="eastAsia" w:ascii="宋体" w:hAnsi="宋体" w:eastAsia="宋体"/>
          <w:color w:val="000000" w:themeColor="text1"/>
          <w:sz w:val="24"/>
          <w:szCs w:val="24"/>
          <w14:textFill>
            <w14:solidFill>
              <w14:schemeClr w14:val="tx1"/>
            </w14:solidFill>
          </w14:textFill>
        </w:rPr>
        <w:t>质量</w:t>
      </w:r>
      <w:r>
        <w:rPr>
          <w:rFonts w:ascii="宋体" w:hAnsi="宋体" w:eastAsia="宋体"/>
          <w:color w:val="000000" w:themeColor="text1"/>
          <w:sz w:val="24"/>
          <w:szCs w:val="24"/>
          <w14:textFill>
            <w14:solidFill>
              <w14:schemeClr w14:val="tx1"/>
            </w14:solidFill>
          </w14:textFill>
        </w:rPr>
        <w:t>指标</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如下表</w:t>
      </w:r>
      <w:r>
        <w:rPr>
          <w:rFonts w:hint="eastAsia" w:ascii="宋体" w:hAnsi="宋体" w:eastAsia="宋体"/>
          <w:color w:val="000000" w:themeColor="text1"/>
          <w:sz w:val="24"/>
          <w:szCs w:val="24"/>
          <w14:textFill>
            <w14:solidFill>
              <w14:schemeClr w14:val="tx1"/>
            </w14:solidFill>
          </w14:textFill>
        </w:rPr>
        <w:t>1</w:t>
      </w:r>
    </w:p>
    <w:p w14:paraId="2AE575CD">
      <w:pPr>
        <w:spacing w:after="156" w:afterLines="50"/>
        <w:jc w:val="center"/>
        <w:rPr>
          <w:rFonts w:ascii="Times New Roman" w:hAnsi="Times New Roman" w:cs="Times New Roman"/>
          <w:szCs w:val="21"/>
        </w:rPr>
      </w:pPr>
      <w:r>
        <w:rPr>
          <w:rFonts w:hint="eastAsia" w:ascii="Times New Roman" w:hAnsi="Times New Roman" w:cs="Times New Roman"/>
          <w:szCs w:val="21"/>
        </w:rPr>
        <w:t xml:space="preserve">表1 </w:t>
      </w:r>
      <w:r>
        <w:rPr>
          <w:rFonts w:ascii="Times New Roman" w:hAnsi="Times New Roman" w:cs="Times New Roman"/>
          <w:szCs w:val="21"/>
        </w:rPr>
        <w:t xml:space="preserve"> </w:t>
      </w:r>
      <w:r>
        <w:rPr>
          <w:rFonts w:hint="eastAsia" w:ascii="Times New Roman" w:hAnsi="Times New Roman" w:cs="Times New Roman"/>
          <w:szCs w:val="21"/>
        </w:rPr>
        <w:t>活性氧化铝产品</w:t>
      </w:r>
      <w:r>
        <w:rPr>
          <w:rFonts w:ascii="Times New Roman" w:hAnsi="Times New Roman" w:cs="Times New Roman"/>
          <w:szCs w:val="21"/>
        </w:rPr>
        <w:t>质量指标</w:t>
      </w:r>
    </w:p>
    <w:tbl>
      <w:tblPr>
        <w:tblStyle w:val="8"/>
        <w:tblW w:w="0" w:type="auto"/>
        <w:tblInd w:w="940" w:type="dxa"/>
        <w:tblLayout w:type="autofit"/>
        <w:tblCellMar>
          <w:top w:w="0" w:type="dxa"/>
          <w:left w:w="108" w:type="dxa"/>
          <w:bottom w:w="0" w:type="dxa"/>
          <w:right w:w="108" w:type="dxa"/>
        </w:tblCellMar>
      </w:tblPr>
      <w:tblGrid>
        <w:gridCol w:w="1668"/>
        <w:gridCol w:w="1559"/>
        <w:gridCol w:w="2079"/>
        <w:gridCol w:w="236"/>
      </w:tblGrid>
      <w:tr w14:paraId="5C493DA1">
        <w:tblPrEx>
          <w:tblCellMar>
            <w:top w:w="0" w:type="dxa"/>
            <w:left w:w="108" w:type="dxa"/>
            <w:bottom w:w="0" w:type="dxa"/>
            <w:right w:w="108" w:type="dxa"/>
          </w:tblCellMar>
        </w:tblPrEx>
        <w:trPr>
          <w:gridAfter w:val="1"/>
          <w:wAfter w:w="236" w:type="dxa"/>
          <w:trHeight w:val="387" w:hRule="atLeast"/>
        </w:trPr>
        <w:tc>
          <w:tcPr>
            <w:tcW w:w="1668" w:type="dxa"/>
            <w:tcBorders>
              <w:top w:val="single" w:color="000000" w:sz="4" w:space="0"/>
              <w:left w:val="single" w:color="000000" w:sz="4" w:space="0"/>
              <w:bottom w:val="single" w:color="000000" w:sz="4" w:space="0"/>
              <w:right w:val="single" w:color="000000" w:sz="4" w:space="0"/>
            </w:tcBorders>
            <w:vAlign w:val="center"/>
          </w:tcPr>
          <w:p w14:paraId="762F93B0">
            <w:pPr>
              <w:widowControl/>
              <w:spacing w:line="375" w:lineRule="atLeast"/>
              <w:ind w:right="-197" w:rightChars="-94"/>
              <w:jc w:val="center"/>
              <w:rPr>
                <w:rFonts w:ascii=".." w:hAnsi=".." w:cs="宋体"/>
                <w:color w:val="000000"/>
                <w:kern w:val="0"/>
                <w:szCs w:val="21"/>
              </w:rPr>
            </w:pPr>
            <w:r>
              <w:rPr>
                <w:rFonts w:hint="eastAsia" w:ascii=".." w:hAnsi=".." w:cs="宋体"/>
                <w:color w:val="000000"/>
                <w:kern w:val="0"/>
                <w:szCs w:val="21"/>
              </w:rPr>
              <w:t>项目</w:t>
            </w:r>
          </w:p>
        </w:tc>
        <w:tc>
          <w:tcPr>
            <w:tcW w:w="1559" w:type="dxa"/>
            <w:tcBorders>
              <w:top w:val="single" w:color="000000" w:sz="4" w:space="0"/>
              <w:left w:val="nil"/>
              <w:bottom w:val="single" w:color="000000" w:sz="4" w:space="0"/>
              <w:right w:val="single" w:color="auto" w:sz="4" w:space="0"/>
            </w:tcBorders>
            <w:vAlign w:val="center"/>
          </w:tcPr>
          <w:p w14:paraId="5AAA679B">
            <w:pPr>
              <w:widowControl/>
              <w:spacing w:line="375" w:lineRule="atLeast"/>
              <w:ind w:right="-197" w:rightChars="-94"/>
              <w:jc w:val="center"/>
              <w:rPr>
                <w:rFonts w:hint="eastAsia" w:cs="宋体"/>
                <w:color w:val="000000"/>
                <w:kern w:val="0"/>
                <w:szCs w:val="21"/>
              </w:rPr>
            </w:pPr>
            <w:r>
              <w:rPr>
                <w:rFonts w:hint="eastAsia" w:cs="宋体"/>
                <w:color w:val="000000"/>
                <w:kern w:val="0"/>
                <w:szCs w:val="21"/>
              </w:rPr>
              <w:t>单位</w:t>
            </w:r>
          </w:p>
        </w:tc>
        <w:tc>
          <w:tcPr>
            <w:tcW w:w="2079" w:type="dxa"/>
            <w:tcBorders>
              <w:top w:val="single" w:color="000000" w:sz="4" w:space="0"/>
              <w:left w:val="nil"/>
              <w:bottom w:val="single" w:color="000000" w:sz="4" w:space="0"/>
              <w:right w:val="single" w:color="000000" w:sz="4" w:space="0"/>
            </w:tcBorders>
            <w:vAlign w:val="center"/>
          </w:tcPr>
          <w:p w14:paraId="01232189">
            <w:pPr>
              <w:widowControl/>
              <w:spacing w:line="375" w:lineRule="atLeast"/>
              <w:ind w:right="-197" w:rightChars="-94"/>
              <w:jc w:val="center"/>
              <w:rPr>
                <w:rFonts w:cs="宋体"/>
                <w:color w:val="000000"/>
                <w:kern w:val="0"/>
                <w:szCs w:val="21"/>
              </w:rPr>
            </w:pPr>
            <w:r>
              <w:rPr>
                <w:rFonts w:hint="eastAsia" w:cs="宋体"/>
                <w:color w:val="000000"/>
                <w:kern w:val="0"/>
                <w:szCs w:val="21"/>
              </w:rPr>
              <w:t>指标</w:t>
            </w:r>
          </w:p>
        </w:tc>
      </w:tr>
      <w:tr w14:paraId="745073F0">
        <w:tblPrEx>
          <w:tblCellMar>
            <w:top w:w="0" w:type="dxa"/>
            <w:left w:w="108" w:type="dxa"/>
            <w:bottom w:w="0" w:type="dxa"/>
            <w:right w:w="108" w:type="dxa"/>
          </w:tblCellMar>
        </w:tblPrEx>
        <w:trPr>
          <w:trHeight w:val="278" w:hRule="atLeast"/>
        </w:trPr>
        <w:tc>
          <w:tcPr>
            <w:tcW w:w="1668" w:type="dxa"/>
            <w:tcBorders>
              <w:top w:val="single" w:color="000000" w:sz="4" w:space="0"/>
              <w:left w:val="single" w:color="000000" w:sz="4" w:space="0"/>
              <w:bottom w:val="single" w:color="000000" w:sz="4" w:space="0"/>
              <w:right w:val="single" w:color="000000" w:sz="4" w:space="0"/>
            </w:tcBorders>
            <w:vAlign w:val="center"/>
          </w:tcPr>
          <w:p w14:paraId="5123DCAF">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外观</w:t>
            </w:r>
          </w:p>
        </w:tc>
        <w:tc>
          <w:tcPr>
            <w:tcW w:w="1559" w:type="dxa"/>
            <w:tcBorders>
              <w:top w:val="single" w:color="000000" w:sz="4" w:space="0"/>
              <w:left w:val="nil"/>
              <w:bottom w:val="single" w:color="000000" w:sz="4" w:space="0"/>
              <w:right w:val="single" w:color="auto" w:sz="4" w:space="0"/>
            </w:tcBorders>
            <w:vAlign w:val="center"/>
          </w:tcPr>
          <w:p w14:paraId="0110700F">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w:t>
            </w:r>
          </w:p>
        </w:tc>
        <w:tc>
          <w:tcPr>
            <w:tcW w:w="2079" w:type="dxa"/>
            <w:tcBorders>
              <w:top w:val="single" w:color="000000" w:sz="4" w:space="0"/>
              <w:left w:val="nil"/>
              <w:bottom w:val="single" w:color="000000" w:sz="4" w:space="0"/>
              <w:right w:val="single" w:color="000000" w:sz="4" w:space="0"/>
            </w:tcBorders>
            <w:vAlign w:val="center"/>
          </w:tcPr>
          <w:p w14:paraId="49ED30C0">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白色球状</w:t>
            </w:r>
          </w:p>
        </w:tc>
        <w:tc>
          <w:tcPr>
            <w:tcW w:w="236" w:type="dxa"/>
          </w:tcPr>
          <w:p w14:paraId="06174ECA">
            <w:pPr>
              <w:widowControl/>
              <w:spacing w:line="375" w:lineRule="atLeast"/>
              <w:ind w:right="-197" w:rightChars="-94"/>
              <w:rPr>
                <w:rFonts w:hint="eastAsia" w:ascii="....x" w:hAnsi="....x" w:cs="宋体"/>
                <w:color w:val="000000"/>
                <w:kern w:val="0"/>
                <w:sz w:val="24"/>
                <w:szCs w:val="24"/>
              </w:rPr>
            </w:pPr>
          </w:p>
        </w:tc>
      </w:tr>
      <w:tr w14:paraId="5E64801B">
        <w:tblPrEx>
          <w:tblCellMar>
            <w:top w:w="0" w:type="dxa"/>
            <w:left w:w="108" w:type="dxa"/>
            <w:bottom w:w="0" w:type="dxa"/>
            <w:right w:w="108" w:type="dxa"/>
          </w:tblCellMar>
        </w:tblPrEx>
        <w:trPr>
          <w:trHeight w:val="229" w:hRule="atLeast"/>
        </w:trPr>
        <w:tc>
          <w:tcPr>
            <w:tcW w:w="1668" w:type="dxa"/>
            <w:tcBorders>
              <w:top w:val="single" w:color="000000" w:sz="4" w:space="0"/>
              <w:left w:val="single" w:color="000000" w:sz="4" w:space="0"/>
              <w:bottom w:val="single" w:color="000000" w:sz="4" w:space="0"/>
              <w:right w:val="single" w:color="000000" w:sz="4" w:space="0"/>
            </w:tcBorders>
            <w:vAlign w:val="center"/>
          </w:tcPr>
          <w:p w14:paraId="5A7C1760">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规格</w:t>
            </w:r>
          </w:p>
        </w:tc>
        <w:tc>
          <w:tcPr>
            <w:tcW w:w="1559" w:type="dxa"/>
            <w:tcBorders>
              <w:top w:val="single" w:color="000000" w:sz="4" w:space="0"/>
              <w:left w:val="nil"/>
              <w:bottom w:val="single" w:color="000000" w:sz="4" w:space="0"/>
              <w:right w:val="single" w:color="auto" w:sz="4" w:space="0"/>
            </w:tcBorders>
            <w:vAlign w:val="center"/>
          </w:tcPr>
          <w:p w14:paraId="54F4EE2A">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mm</w:t>
            </w:r>
          </w:p>
        </w:tc>
        <w:tc>
          <w:tcPr>
            <w:tcW w:w="2079" w:type="dxa"/>
            <w:tcBorders>
              <w:top w:val="single" w:color="000000" w:sz="4" w:space="0"/>
              <w:left w:val="nil"/>
              <w:bottom w:val="single" w:color="000000" w:sz="4" w:space="0"/>
              <w:right w:val="single" w:color="000000" w:sz="4" w:space="0"/>
            </w:tcBorders>
            <w:vAlign w:val="center"/>
          </w:tcPr>
          <w:p w14:paraId="2406B887">
            <w:pPr>
              <w:widowControl/>
              <w:spacing w:line="375" w:lineRule="atLeast"/>
              <w:ind w:right="-197" w:rightChars="-94"/>
              <w:jc w:val="center"/>
              <w:rPr>
                <w:rFonts w:hint="eastAsia" w:ascii="....x" w:hAnsi="....x" w:cs="宋体"/>
                <w:kern w:val="0"/>
                <w:szCs w:val="21"/>
              </w:rPr>
            </w:pPr>
            <w:r>
              <w:rPr>
                <w:rFonts w:hint="eastAsia" w:ascii="....x" w:hAnsi="....x" w:cs="宋体"/>
                <w:kern w:val="0"/>
                <w:szCs w:val="21"/>
              </w:rPr>
              <w:t>φ3-5</w:t>
            </w:r>
          </w:p>
        </w:tc>
        <w:tc>
          <w:tcPr>
            <w:tcW w:w="236" w:type="dxa"/>
          </w:tcPr>
          <w:p w14:paraId="06A9E5E2">
            <w:pPr>
              <w:widowControl/>
              <w:spacing w:line="375" w:lineRule="atLeast"/>
              <w:ind w:right="-197" w:rightChars="-94"/>
              <w:rPr>
                <w:rFonts w:hint="eastAsia" w:ascii="....x" w:hAnsi="....x" w:cs="宋体"/>
                <w:color w:val="000000"/>
                <w:kern w:val="0"/>
                <w:sz w:val="24"/>
                <w:szCs w:val="24"/>
              </w:rPr>
            </w:pPr>
          </w:p>
        </w:tc>
      </w:tr>
      <w:tr w14:paraId="427F7480">
        <w:tblPrEx>
          <w:tblCellMar>
            <w:top w:w="0" w:type="dxa"/>
            <w:left w:w="108" w:type="dxa"/>
            <w:bottom w:w="0" w:type="dxa"/>
            <w:right w:w="108" w:type="dxa"/>
          </w:tblCellMar>
        </w:tblPrEx>
        <w:trPr>
          <w:gridAfter w:val="1"/>
          <w:wAfter w:w="236" w:type="dxa"/>
          <w:trHeight w:val="277" w:hRule="atLeast"/>
        </w:trPr>
        <w:tc>
          <w:tcPr>
            <w:tcW w:w="1668" w:type="dxa"/>
            <w:tcBorders>
              <w:top w:val="single" w:color="000000" w:sz="4" w:space="0"/>
              <w:left w:val="single" w:color="000000" w:sz="4" w:space="0"/>
              <w:bottom w:val="single" w:color="000000" w:sz="4" w:space="0"/>
              <w:right w:val="single" w:color="000000" w:sz="4" w:space="0"/>
            </w:tcBorders>
            <w:vAlign w:val="center"/>
          </w:tcPr>
          <w:p w14:paraId="6B881F61">
            <w:pPr>
              <w:widowControl/>
              <w:spacing w:line="375" w:lineRule="atLeast"/>
              <w:ind w:right="-197" w:rightChars="-94"/>
              <w:jc w:val="center"/>
              <w:rPr>
                <w:rFonts w:hint="eastAsia" w:ascii="....x" w:hAnsi="....x" w:cs="宋体"/>
                <w:color w:val="000000"/>
                <w:kern w:val="0"/>
                <w:szCs w:val="21"/>
              </w:rPr>
            </w:pPr>
            <w:r>
              <w:rPr>
                <w:rFonts w:ascii="....x" w:hAnsi="....x" w:cs="宋体"/>
                <w:color w:val="000000"/>
                <w:kern w:val="0"/>
                <w:szCs w:val="21"/>
              </w:rPr>
              <w:t>AL</w:t>
            </w:r>
            <w:r>
              <w:rPr>
                <w:rFonts w:ascii="....x" w:hAnsi="....x" w:cs="宋体"/>
                <w:color w:val="000000"/>
                <w:kern w:val="0"/>
                <w:szCs w:val="21"/>
                <w:vertAlign w:val="subscript"/>
              </w:rPr>
              <w:t>2</w:t>
            </w:r>
            <w:r>
              <w:rPr>
                <w:rFonts w:ascii="....x" w:hAnsi="....x" w:cs="宋体"/>
                <w:color w:val="000000"/>
                <w:kern w:val="0"/>
                <w:szCs w:val="21"/>
              </w:rPr>
              <w:t>O</w:t>
            </w:r>
            <w:r>
              <w:rPr>
                <w:rFonts w:ascii="....x" w:hAnsi="....x" w:cs="宋体"/>
                <w:color w:val="000000"/>
                <w:kern w:val="0"/>
                <w:szCs w:val="21"/>
                <w:vertAlign w:val="subscript"/>
              </w:rPr>
              <w:t>3</w:t>
            </w:r>
          </w:p>
        </w:tc>
        <w:tc>
          <w:tcPr>
            <w:tcW w:w="1559" w:type="dxa"/>
            <w:tcBorders>
              <w:top w:val="single" w:color="000000" w:sz="4" w:space="0"/>
              <w:left w:val="nil"/>
              <w:bottom w:val="single" w:color="000000" w:sz="4" w:space="0"/>
              <w:right w:val="single" w:color="auto" w:sz="4" w:space="0"/>
            </w:tcBorders>
            <w:vAlign w:val="center"/>
          </w:tcPr>
          <w:p w14:paraId="4192C051">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w:t>
            </w:r>
          </w:p>
        </w:tc>
        <w:tc>
          <w:tcPr>
            <w:tcW w:w="2079" w:type="dxa"/>
            <w:tcBorders>
              <w:top w:val="single" w:color="000000" w:sz="4" w:space="0"/>
              <w:left w:val="nil"/>
              <w:bottom w:val="single" w:color="000000" w:sz="4" w:space="0"/>
              <w:right w:val="single" w:color="000000" w:sz="4" w:space="0"/>
            </w:tcBorders>
            <w:vAlign w:val="center"/>
          </w:tcPr>
          <w:p w14:paraId="748D8DB9">
            <w:pPr>
              <w:widowControl/>
              <w:spacing w:line="375" w:lineRule="atLeast"/>
              <w:ind w:right="-197" w:rightChars="-94"/>
              <w:jc w:val="center"/>
              <w:rPr>
                <w:rFonts w:hint="eastAsia" w:cs="宋体"/>
                <w:kern w:val="0"/>
                <w:szCs w:val="21"/>
              </w:rPr>
            </w:pPr>
            <w:r>
              <w:rPr>
                <w:rFonts w:hint="eastAsia" w:cs="宋体"/>
                <w:kern w:val="0"/>
                <w:szCs w:val="21"/>
              </w:rPr>
              <w:t>≥90</w:t>
            </w:r>
          </w:p>
        </w:tc>
      </w:tr>
      <w:tr w14:paraId="6AB6F4BA">
        <w:tblPrEx>
          <w:tblCellMar>
            <w:top w:w="0" w:type="dxa"/>
            <w:left w:w="108" w:type="dxa"/>
            <w:bottom w:w="0" w:type="dxa"/>
            <w:right w:w="108" w:type="dxa"/>
          </w:tblCellMar>
        </w:tblPrEx>
        <w:trPr>
          <w:gridAfter w:val="1"/>
          <w:wAfter w:w="236" w:type="dxa"/>
          <w:trHeight w:val="325" w:hRule="atLeast"/>
        </w:trPr>
        <w:tc>
          <w:tcPr>
            <w:tcW w:w="1668" w:type="dxa"/>
            <w:tcBorders>
              <w:top w:val="single" w:color="000000" w:sz="4" w:space="0"/>
              <w:left w:val="single" w:color="000000" w:sz="4" w:space="0"/>
              <w:bottom w:val="single" w:color="000000" w:sz="4" w:space="0"/>
              <w:right w:val="single" w:color="000000" w:sz="4" w:space="0"/>
            </w:tcBorders>
            <w:vAlign w:val="center"/>
          </w:tcPr>
          <w:p w14:paraId="4BC3A355">
            <w:pPr>
              <w:widowControl/>
              <w:spacing w:line="375" w:lineRule="atLeast"/>
              <w:ind w:right="-197" w:rightChars="-94"/>
              <w:jc w:val="center"/>
              <w:rPr>
                <w:rFonts w:ascii="....x" w:hAnsi="....x" w:cs="宋体"/>
                <w:color w:val="000000"/>
                <w:kern w:val="0"/>
                <w:szCs w:val="21"/>
              </w:rPr>
            </w:pPr>
            <w:r>
              <w:rPr>
                <w:rFonts w:hint="eastAsia" w:ascii="....x" w:hAnsi="....x" w:cs="宋体"/>
                <w:color w:val="000000"/>
                <w:kern w:val="0"/>
                <w:szCs w:val="21"/>
              </w:rPr>
              <w:t>静态吸附量</w:t>
            </w:r>
          </w:p>
        </w:tc>
        <w:tc>
          <w:tcPr>
            <w:tcW w:w="1559" w:type="dxa"/>
            <w:tcBorders>
              <w:top w:val="single" w:color="000000" w:sz="4" w:space="0"/>
              <w:left w:val="nil"/>
              <w:bottom w:val="single" w:color="000000" w:sz="4" w:space="0"/>
              <w:right w:val="single" w:color="auto" w:sz="4" w:space="0"/>
            </w:tcBorders>
            <w:vAlign w:val="center"/>
          </w:tcPr>
          <w:p w14:paraId="090602AD">
            <w:pPr>
              <w:widowControl/>
              <w:spacing w:line="375" w:lineRule="atLeast"/>
              <w:ind w:right="-197" w:rightChars="-94"/>
              <w:jc w:val="center"/>
              <w:rPr>
                <w:rFonts w:ascii="....x" w:hAnsi="....x" w:cs="宋体"/>
                <w:color w:val="000000"/>
                <w:kern w:val="0"/>
                <w:szCs w:val="21"/>
              </w:rPr>
            </w:pPr>
            <w:r>
              <w:rPr>
                <w:rFonts w:hint="eastAsia" w:ascii="....x" w:hAnsi="....x" w:cs="宋体"/>
                <w:color w:val="000000"/>
                <w:kern w:val="0"/>
                <w:szCs w:val="21"/>
              </w:rPr>
              <w:t>%</w:t>
            </w:r>
          </w:p>
        </w:tc>
        <w:tc>
          <w:tcPr>
            <w:tcW w:w="2079" w:type="dxa"/>
            <w:tcBorders>
              <w:top w:val="single" w:color="000000" w:sz="4" w:space="0"/>
              <w:left w:val="nil"/>
              <w:bottom w:val="single" w:color="000000" w:sz="4" w:space="0"/>
              <w:right w:val="single" w:color="000000" w:sz="4" w:space="0"/>
            </w:tcBorders>
            <w:vAlign w:val="center"/>
          </w:tcPr>
          <w:p w14:paraId="634038F8">
            <w:pPr>
              <w:widowControl/>
              <w:spacing w:line="375" w:lineRule="atLeast"/>
              <w:ind w:right="-197" w:rightChars="-94"/>
              <w:jc w:val="center"/>
              <w:rPr>
                <w:rFonts w:hint="eastAsia" w:cs="宋体"/>
                <w:kern w:val="0"/>
                <w:szCs w:val="21"/>
              </w:rPr>
            </w:pPr>
            <w:r>
              <w:rPr>
                <w:rFonts w:hint="eastAsia" w:cs="宋体"/>
                <w:kern w:val="0"/>
                <w:szCs w:val="21"/>
              </w:rPr>
              <w:t>≥17</w:t>
            </w:r>
          </w:p>
        </w:tc>
      </w:tr>
      <w:tr w14:paraId="7699C805">
        <w:tblPrEx>
          <w:tblCellMar>
            <w:top w:w="0" w:type="dxa"/>
            <w:left w:w="108" w:type="dxa"/>
            <w:bottom w:w="0" w:type="dxa"/>
            <w:right w:w="108" w:type="dxa"/>
          </w:tblCellMar>
        </w:tblPrEx>
        <w:trPr>
          <w:gridAfter w:val="1"/>
          <w:wAfter w:w="236" w:type="dxa"/>
          <w:trHeight w:val="217" w:hRule="atLeast"/>
        </w:trPr>
        <w:tc>
          <w:tcPr>
            <w:tcW w:w="1668" w:type="dxa"/>
            <w:tcBorders>
              <w:top w:val="single" w:color="000000" w:sz="4" w:space="0"/>
              <w:left w:val="single" w:color="000000" w:sz="4" w:space="0"/>
              <w:bottom w:val="single" w:color="000000" w:sz="4" w:space="0"/>
              <w:right w:val="single" w:color="000000" w:sz="4" w:space="0"/>
            </w:tcBorders>
            <w:vAlign w:val="center"/>
          </w:tcPr>
          <w:p w14:paraId="2BA2BDCD">
            <w:pPr>
              <w:widowControl/>
              <w:spacing w:line="375" w:lineRule="atLeast"/>
              <w:ind w:right="-197" w:rightChars="-94"/>
              <w:jc w:val="center"/>
              <w:rPr>
                <w:rFonts w:ascii="Arial Unicode MS" w:hAnsi="Arial Unicode MS" w:eastAsia="Arial Unicode MS" w:cs="Arial Unicode MS"/>
                <w:color w:val="000000"/>
                <w:kern w:val="0"/>
                <w:szCs w:val="21"/>
              </w:rPr>
            </w:pPr>
            <w:r>
              <w:rPr>
                <w:rFonts w:ascii="....x" w:hAnsi="....x" w:cs="宋体"/>
                <w:color w:val="000000"/>
                <w:kern w:val="0"/>
                <w:szCs w:val="21"/>
              </w:rPr>
              <w:t>比表面积</w:t>
            </w:r>
          </w:p>
        </w:tc>
        <w:tc>
          <w:tcPr>
            <w:tcW w:w="1559" w:type="dxa"/>
            <w:tcBorders>
              <w:top w:val="single" w:color="000000" w:sz="4" w:space="0"/>
              <w:left w:val="nil"/>
              <w:bottom w:val="single" w:color="000000" w:sz="4" w:space="0"/>
              <w:right w:val="single" w:color="auto" w:sz="4" w:space="0"/>
            </w:tcBorders>
            <w:vAlign w:val="center"/>
          </w:tcPr>
          <w:p w14:paraId="31CB1573">
            <w:pPr>
              <w:widowControl/>
              <w:spacing w:line="375" w:lineRule="atLeast"/>
              <w:ind w:right="-197" w:rightChars="-94"/>
              <w:jc w:val="center"/>
              <w:rPr>
                <w:rFonts w:cs="宋体"/>
                <w:color w:val="000000"/>
                <w:kern w:val="0"/>
                <w:szCs w:val="21"/>
              </w:rPr>
            </w:pPr>
            <w:r>
              <w:rPr>
                <w:rFonts w:ascii="....x" w:hAnsi="....x" w:cs="宋体"/>
                <w:color w:val="000000"/>
                <w:kern w:val="0"/>
                <w:szCs w:val="21"/>
              </w:rPr>
              <w:t>m</w:t>
            </w:r>
            <w:r>
              <w:rPr>
                <w:rFonts w:ascii="....x" w:hAnsi="....x" w:cs="宋体"/>
                <w:color w:val="000000"/>
                <w:kern w:val="0"/>
                <w:szCs w:val="21"/>
                <w:vertAlign w:val="superscript"/>
              </w:rPr>
              <w:t>2</w:t>
            </w:r>
            <w:r>
              <w:rPr>
                <w:rFonts w:ascii="....x" w:hAnsi="....x" w:cs="宋体"/>
                <w:color w:val="000000"/>
                <w:kern w:val="0"/>
                <w:szCs w:val="21"/>
              </w:rPr>
              <w:t>/g</w:t>
            </w:r>
          </w:p>
        </w:tc>
        <w:tc>
          <w:tcPr>
            <w:tcW w:w="2079" w:type="dxa"/>
            <w:tcBorders>
              <w:top w:val="single" w:color="000000" w:sz="4" w:space="0"/>
              <w:left w:val="nil"/>
              <w:bottom w:val="single" w:color="000000" w:sz="4" w:space="0"/>
              <w:right w:val="single" w:color="000000" w:sz="4" w:space="0"/>
            </w:tcBorders>
            <w:vAlign w:val="center"/>
          </w:tcPr>
          <w:p w14:paraId="7E08360B">
            <w:pPr>
              <w:widowControl/>
              <w:spacing w:line="375" w:lineRule="atLeast"/>
              <w:ind w:right="-197" w:rightChars="-94"/>
              <w:jc w:val="center"/>
              <w:rPr>
                <w:rFonts w:cs="宋体"/>
                <w:kern w:val="0"/>
                <w:szCs w:val="21"/>
              </w:rPr>
            </w:pPr>
            <w:r>
              <w:rPr>
                <w:rFonts w:hint="eastAsia" w:cs="宋体"/>
                <w:kern w:val="0"/>
                <w:szCs w:val="21"/>
              </w:rPr>
              <w:t>≥</w:t>
            </w:r>
            <w:r>
              <w:rPr>
                <w:rFonts w:cs="宋体"/>
                <w:kern w:val="0"/>
                <w:szCs w:val="21"/>
              </w:rPr>
              <w:t>3</w:t>
            </w:r>
            <w:r>
              <w:rPr>
                <w:rFonts w:hint="eastAsia" w:cs="宋体"/>
                <w:kern w:val="0"/>
                <w:szCs w:val="21"/>
              </w:rPr>
              <w:t>00</w:t>
            </w:r>
          </w:p>
        </w:tc>
      </w:tr>
      <w:tr w14:paraId="531AB768">
        <w:tblPrEx>
          <w:tblCellMar>
            <w:top w:w="0" w:type="dxa"/>
            <w:left w:w="108" w:type="dxa"/>
            <w:bottom w:w="0" w:type="dxa"/>
            <w:right w:w="108" w:type="dxa"/>
          </w:tblCellMar>
        </w:tblPrEx>
        <w:trPr>
          <w:gridAfter w:val="1"/>
          <w:wAfter w:w="236" w:type="dxa"/>
          <w:trHeight w:val="393" w:hRule="atLeast"/>
        </w:trPr>
        <w:tc>
          <w:tcPr>
            <w:tcW w:w="1668" w:type="dxa"/>
            <w:tcBorders>
              <w:top w:val="single" w:color="000000" w:sz="4" w:space="0"/>
              <w:left w:val="single" w:color="000000" w:sz="4" w:space="0"/>
              <w:bottom w:val="single" w:color="000000" w:sz="4" w:space="0"/>
              <w:right w:val="single" w:color="000000" w:sz="4" w:space="0"/>
            </w:tcBorders>
            <w:vAlign w:val="center"/>
          </w:tcPr>
          <w:p w14:paraId="3CAEFECB">
            <w:pPr>
              <w:widowControl/>
              <w:spacing w:line="375" w:lineRule="atLeast"/>
              <w:ind w:right="-197" w:rightChars="-94"/>
              <w:jc w:val="center"/>
              <w:rPr>
                <w:rFonts w:ascii="....x" w:hAnsi="....x" w:cs="宋体"/>
                <w:color w:val="000000"/>
                <w:kern w:val="0"/>
                <w:szCs w:val="21"/>
              </w:rPr>
            </w:pPr>
            <w:r>
              <w:rPr>
                <w:rFonts w:ascii="....x" w:hAnsi="....x" w:cs="宋体"/>
                <w:color w:val="000000"/>
                <w:kern w:val="0"/>
                <w:szCs w:val="21"/>
              </w:rPr>
              <w:t>孔容</w:t>
            </w:r>
          </w:p>
        </w:tc>
        <w:tc>
          <w:tcPr>
            <w:tcW w:w="1559" w:type="dxa"/>
            <w:tcBorders>
              <w:top w:val="single" w:color="000000" w:sz="4" w:space="0"/>
              <w:left w:val="nil"/>
              <w:bottom w:val="single" w:color="000000" w:sz="4" w:space="0"/>
              <w:right w:val="single" w:color="auto" w:sz="4" w:space="0"/>
            </w:tcBorders>
            <w:vAlign w:val="center"/>
          </w:tcPr>
          <w:p w14:paraId="036B7FF1">
            <w:pPr>
              <w:widowControl/>
              <w:spacing w:line="375" w:lineRule="atLeast"/>
              <w:ind w:right="-197" w:rightChars="-94"/>
              <w:jc w:val="center"/>
              <w:rPr>
                <w:rFonts w:cs="宋体"/>
                <w:color w:val="000000"/>
                <w:kern w:val="0"/>
                <w:szCs w:val="21"/>
              </w:rPr>
            </w:pPr>
            <w:r>
              <w:rPr>
                <w:rFonts w:ascii="....x" w:hAnsi="....x" w:cs="宋体"/>
                <w:color w:val="000000"/>
                <w:kern w:val="0"/>
                <w:szCs w:val="21"/>
              </w:rPr>
              <w:t>（</w:t>
            </w:r>
            <w:r>
              <w:rPr>
                <w:rFonts w:hint="eastAsia" w:ascii="....x" w:hAnsi="....x" w:cs="宋体"/>
                <w:color w:val="000000"/>
                <w:kern w:val="0"/>
                <w:szCs w:val="21"/>
              </w:rPr>
              <w:t>ml</w:t>
            </w:r>
            <w:r>
              <w:rPr>
                <w:rFonts w:ascii="....x" w:hAnsi="....x" w:cs="宋体"/>
                <w:color w:val="000000"/>
                <w:kern w:val="0"/>
                <w:szCs w:val="21"/>
              </w:rPr>
              <w:t>/g）</w:t>
            </w:r>
          </w:p>
        </w:tc>
        <w:tc>
          <w:tcPr>
            <w:tcW w:w="2079" w:type="dxa"/>
            <w:tcBorders>
              <w:top w:val="single" w:color="000000" w:sz="4" w:space="0"/>
              <w:left w:val="nil"/>
              <w:bottom w:val="single" w:color="000000" w:sz="4" w:space="0"/>
              <w:right w:val="single" w:color="000000" w:sz="4" w:space="0"/>
            </w:tcBorders>
            <w:vAlign w:val="center"/>
          </w:tcPr>
          <w:p w14:paraId="10050330">
            <w:pPr>
              <w:widowControl/>
              <w:spacing w:line="375" w:lineRule="atLeast"/>
              <w:ind w:right="-197" w:rightChars="-94"/>
              <w:jc w:val="center"/>
              <w:rPr>
                <w:rFonts w:cs="宋体"/>
                <w:kern w:val="0"/>
                <w:szCs w:val="21"/>
              </w:rPr>
            </w:pPr>
            <w:r>
              <w:rPr>
                <w:rFonts w:hint="eastAsia" w:cs="宋体"/>
                <w:kern w:val="0"/>
                <w:szCs w:val="21"/>
              </w:rPr>
              <w:t>≥</w:t>
            </w:r>
            <w:r>
              <w:rPr>
                <w:rFonts w:cs="宋体"/>
                <w:kern w:val="0"/>
                <w:szCs w:val="21"/>
              </w:rPr>
              <w:t>0.</w:t>
            </w:r>
            <w:r>
              <w:rPr>
                <w:rFonts w:hint="eastAsia" w:cs="宋体"/>
                <w:kern w:val="0"/>
                <w:szCs w:val="21"/>
              </w:rPr>
              <w:t>35</w:t>
            </w:r>
          </w:p>
        </w:tc>
      </w:tr>
      <w:tr w14:paraId="54ED2F75">
        <w:tblPrEx>
          <w:tblCellMar>
            <w:top w:w="0" w:type="dxa"/>
            <w:left w:w="108" w:type="dxa"/>
            <w:bottom w:w="0" w:type="dxa"/>
            <w:right w:w="108" w:type="dxa"/>
          </w:tblCellMar>
        </w:tblPrEx>
        <w:trPr>
          <w:gridAfter w:val="1"/>
          <w:wAfter w:w="236" w:type="dxa"/>
          <w:trHeight w:val="271" w:hRule="atLeast"/>
        </w:trPr>
        <w:tc>
          <w:tcPr>
            <w:tcW w:w="1668" w:type="dxa"/>
            <w:tcBorders>
              <w:top w:val="single" w:color="000000" w:sz="4" w:space="0"/>
              <w:left w:val="single" w:color="000000" w:sz="4" w:space="0"/>
              <w:bottom w:val="single" w:color="000000" w:sz="4" w:space="0"/>
              <w:right w:val="single" w:color="000000" w:sz="4" w:space="0"/>
            </w:tcBorders>
            <w:vAlign w:val="center"/>
          </w:tcPr>
          <w:p w14:paraId="4B9C31B2">
            <w:pPr>
              <w:widowControl/>
              <w:spacing w:line="375" w:lineRule="atLeast"/>
              <w:ind w:right="-197" w:rightChars="-94"/>
              <w:jc w:val="center"/>
              <w:rPr>
                <w:rFonts w:ascii="....x" w:hAnsi="....x" w:cs="宋体"/>
                <w:color w:val="000000"/>
                <w:kern w:val="0"/>
                <w:szCs w:val="21"/>
              </w:rPr>
            </w:pPr>
            <w:r>
              <w:rPr>
                <w:rFonts w:hint="eastAsia" w:ascii="....x" w:hAnsi="....x" w:cs="宋体"/>
                <w:color w:val="000000"/>
                <w:kern w:val="0"/>
                <w:szCs w:val="21"/>
              </w:rPr>
              <w:t>振实</w:t>
            </w:r>
            <w:r>
              <w:rPr>
                <w:rFonts w:ascii="....x" w:hAnsi="....x" w:cs="宋体"/>
                <w:color w:val="000000"/>
                <w:kern w:val="0"/>
                <w:szCs w:val="21"/>
              </w:rPr>
              <w:t>密度</w:t>
            </w:r>
          </w:p>
        </w:tc>
        <w:tc>
          <w:tcPr>
            <w:tcW w:w="1559" w:type="dxa"/>
            <w:tcBorders>
              <w:top w:val="single" w:color="000000" w:sz="4" w:space="0"/>
              <w:left w:val="nil"/>
              <w:bottom w:val="single" w:color="000000" w:sz="4" w:space="0"/>
              <w:right w:val="single" w:color="auto" w:sz="4" w:space="0"/>
            </w:tcBorders>
            <w:vAlign w:val="center"/>
          </w:tcPr>
          <w:p w14:paraId="1E05C0E4">
            <w:pPr>
              <w:widowControl/>
              <w:spacing w:line="375" w:lineRule="atLeast"/>
              <w:ind w:right="-197" w:rightChars="-94"/>
              <w:jc w:val="center"/>
              <w:rPr>
                <w:rFonts w:cs="宋体"/>
                <w:color w:val="000000"/>
                <w:kern w:val="0"/>
                <w:szCs w:val="21"/>
              </w:rPr>
            </w:pPr>
            <w:r>
              <w:rPr>
                <w:rFonts w:ascii="....x" w:hAnsi="....x" w:cs="宋体"/>
                <w:color w:val="000000"/>
                <w:kern w:val="0"/>
                <w:szCs w:val="21"/>
              </w:rPr>
              <w:t>（g/cm</w:t>
            </w:r>
            <w:r>
              <w:rPr>
                <w:rFonts w:ascii="....x" w:hAnsi="....x" w:cs="宋体"/>
                <w:color w:val="000000"/>
                <w:kern w:val="0"/>
                <w:szCs w:val="21"/>
                <w:vertAlign w:val="superscript"/>
              </w:rPr>
              <w:t>3</w:t>
            </w:r>
            <w:r>
              <w:rPr>
                <w:rFonts w:ascii="....x" w:hAnsi="....x" w:cs="宋体"/>
                <w:color w:val="000000"/>
                <w:kern w:val="0"/>
                <w:szCs w:val="21"/>
              </w:rPr>
              <w:t>）</w:t>
            </w:r>
          </w:p>
        </w:tc>
        <w:tc>
          <w:tcPr>
            <w:tcW w:w="2079" w:type="dxa"/>
            <w:tcBorders>
              <w:top w:val="single" w:color="000000" w:sz="4" w:space="0"/>
              <w:left w:val="nil"/>
              <w:bottom w:val="single" w:color="000000" w:sz="4" w:space="0"/>
              <w:right w:val="single" w:color="000000" w:sz="4" w:space="0"/>
            </w:tcBorders>
            <w:vAlign w:val="center"/>
          </w:tcPr>
          <w:p w14:paraId="3A1C07AD">
            <w:pPr>
              <w:widowControl/>
              <w:spacing w:line="375" w:lineRule="atLeast"/>
              <w:ind w:right="-197" w:rightChars="-94"/>
              <w:jc w:val="center"/>
              <w:rPr>
                <w:rFonts w:cs="宋体"/>
                <w:kern w:val="0"/>
                <w:szCs w:val="21"/>
              </w:rPr>
            </w:pPr>
            <w:r>
              <w:rPr>
                <w:rFonts w:hint="eastAsia" w:cs="宋体"/>
                <w:kern w:val="0"/>
                <w:szCs w:val="21"/>
              </w:rPr>
              <w:t>≥</w:t>
            </w:r>
            <w:r>
              <w:rPr>
                <w:rFonts w:cs="宋体"/>
                <w:kern w:val="0"/>
                <w:szCs w:val="21"/>
              </w:rPr>
              <w:t>0.</w:t>
            </w:r>
            <w:r>
              <w:rPr>
                <w:rFonts w:hint="eastAsia" w:cs="宋体"/>
                <w:kern w:val="0"/>
                <w:szCs w:val="21"/>
              </w:rPr>
              <w:t>60</w:t>
            </w:r>
          </w:p>
        </w:tc>
      </w:tr>
      <w:tr w14:paraId="4B592129">
        <w:tblPrEx>
          <w:tblCellMar>
            <w:top w:w="0" w:type="dxa"/>
            <w:left w:w="108" w:type="dxa"/>
            <w:bottom w:w="0" w:type="dxa"/>
            <w:right w:w="108" w:type="dxa"/>
          </w:tblCellMar>
        </w:tblPrEx>
        <w:trPr>
          <w:gridAfter w:val="1"/>
          <w:wAfter w:w="236" w:type="dxa"/>
          <w:trHeight w:val="319" w:hRule="atLeast"/>
        </w:trPr>
        <w:tc>
          <w:tcPr>
            <w:tcW w:w="1668" w:type="dxa"/>
            <w:tcBorders>
              <w:top w:val="single" w:color="000000" w:sz="4" w:space="0"/>
              <w:left w:val="single" w:color="000000" w:sz="4" w:space="0"/>
              <w:bottom w:val="single" w:color="000000" w:sz="4" w:space="0"/>
              <w:right w:val="single" w:color="000000" w:sz="4" w:space="0"/>
            </w:tcBorders>
            <w:vAlign w:val="center"/>
          </w:tcPr>
          <w:p w14:paraId="382D89C9">
            <w:pPr>
              <w:widowControl/>
              <w:spacing w:line="375" w:lineRule="atLeast"/>
              <w:ind w:right="-197" w:rightChars="-94"/>
              <w:jc w:val="center"/>
              <w:rPr>
                <w:rFonts w:ascii="....x" w:hAnsi="....x" w:cs="宋体"/>
                <w:color w:val="000000"/>
                <w:kern w:val="0"/>
                <w:szCs w:val="21"/>
              </w:rPr>
            </w:pPr>
            <w:r>
              <w:rPr>
                <w:rFonts w:hint="eastAsia" w:ascii="....x" w:hAnsi="....x" w:cs="宋体"/>
                <w:color w:val="000000"/>
                <w:kern w:val="0"/>
                <w:szCs w:val="21"/>
              </w:rPr>
              <w:t>抗压</w:t>
            </w:r>
            <w:r>
              <w:rPr>
                <w:rFonts w:ascii="....x" w:hAnsi="....x" w:cs="宋体"/>
                <w:color w:val="000000"/>
                <w:kern w:val="0"/>
                <w:szCs w:val="21"/>
              </w:rPr>
              <w:t>强度</w:t>
            </w:r>
          </w:p>
        </w:tc>
        <w:tc>
          <w:tcPr>
            <w:tcW w:w="1559" w:type="dxa"/>
            <w:tcBorders>
              <w:top w:val="single" w:color="000000" w:sz="4" w:space="0"/>
              <w:left w:val="nil"/>
              <w:bottom w:val="single" w:color="000000" w:sz="4" w:space="0"/>
              <w:right w:val="single" w:color="auto" w:sz="4" w:space="0"/>
            </w:tcBorders>
            <w:vAlign w:val="center"/>
          </w:tcPr>
          <w:p w14:paraId="326C6416">
            <w:pPr>
              <w:widowControl/>
              <w:spacing w:line="375" w:lineRule="atLeast"/>
              <w:ind w:right="-197" w:rightChars="-94"/>
              <w:jc w:val="center"/>
              <w:rPr>
                <w:rFonts w:cs="宋体"/>
                <w:color w:val="000000"/>
                <w:kern w:val="0"/>
                <w:szCs w:val="21"/>
              </w:rPr>
            </w:pPr>
            <w:r>
              <w:rPr>
                <w:rFonts w:ascii="....x" w:hAnsi="....x" w:cs="宋体"/>
                <w:color w:val="000000"/>
                <w:kern w:val="0"/>
                <w:szCs w:val="21"/>
              </w:rPr>
              <w:t>（N/</w:t>
            </w:r>
            <w:r>
              <w:rPr>
                <w:rFonts w:hint="eastAsia" w:ascii="....x" w:hAnsi="....x" w:cs="宋体"/>
                <w:color w:val="000000"/>
                <w:kern w:val="0"/>
                <w:szCs w:val="21"/>
              </w:rPr>
              <w:t>粒</w:t>
            </w:r>
            <w:r>
              <w:rPr>
                <w:rFonts w:ascii="....x" w:hAnsi="....x" w:cs="宋体"/>
                <w:color w:val="000000"/>
                <w:kern w:val="0"/>
                <w:szCs w:val="21"/>
              </w:rPr>
              <w:t>）</w:t>
            </w:r>
          </w:p>
        </w:tc>
        <w:tc>
          <w:tcPr>
            <w:tcW w:w="2079" w:type="dxa"/>
            <w:tcBorders>
              <w:top w:val="single" w:color="000000" w:sz="4" w:space="0"/>
              <w:left w:val="nil"/>
              <w:bottom w:val="single" w:color="000000" w:sz="4" w:space="0"/>
              <w:right w:val="single" w:color="000000" w:sz="4" w:space="0"/>
            </w:tcBorders>
            <w:vAlign w:val="center"/>
          </w:tcPr>
          <w:p w14:paraId="1C816758">
            <w:pPr>
              <w:widowControl/>
              <w:spacing w:line="375" w:lineRule="atLeast"/>
              <w:ind w:right="-197" w:rightChars="-94"/>
              <w:jc w:val="center"/>
              <w:rPr>
                <w:rFonts w:cs="宋体"/>
                <w:kern w:val="0"/>
                <w:szCs w:val="21"/>
              </w:rPr>
            </w:pPr>
            <w:r>
              <w:rPr>
                <w:rFonts w:hint="eastAsia" w:cs="宋体"/>
                <w:kern w:val="0"/>
                <w:szCs w:val="21"/>
              </w:rPr>
              <w:t>≥</w:t>
            </w:r>
            <w:r>
              <w:rPr>
                <w:rFonts w:cs="宋体"/>
                <w:kern w:val="0"/>
                <w:szCs w:val="21"/>
              </w:rPr>
              <w:t>120</w:t>
            </w:r>
          </w:p>
        </w:tc>
      </w:tr>
      <w:tr w14:paraId="64368348">
        <w:tblPrEx>
          <w:tblCellMar>
            <w:top w:w="0" w:type="dxa"/>
            <w:left w:w="108" w:type="dxa"/>
            <w:bottom w:w="0" w:type="dxa"/>
            <w:right w:w="108" w:type="dxa"/>
          </w:tblCellMar>
        </w:tblPrEx>
        <w:trPr>
          <w:gridAfter w:val="1"/>
          <w:wAfter w:w="236" w:type="dxa"/>
          <w:trHeight w:val="211" w:hRule="atLeast"/>
        </w:trPr>
        <w:tc>
          <w:tcPr>
            <w:tcW w:w="1668" w:type="dxa"/>
            <w:tcBorders>
              <w:top w:val="single" w:color="000000" w:sz="4" w:space="0"/>
              <w:left w:val="single" w:color="000000" w:sz="4" w:space="0"/>
              <w:bottom w:val="single" w:color="000000" w:sz="4" w:space="0"/>
              <w:right w:val="single" w:color="000000" w:sz="4" w:space="0"/>
            </w:tcBorders>
            <w:vAlign w:val="center"/>
          </w:tcPr>
          <w:p w14:paraId="4C1DEAC9">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磨耗率</w:t>
            </w:r>
          </w:p>
        </w:tc>
        <w:tc>
          <w:tcPr>
            <w:tcW w:w="1559" w:type="dxa"/>
            <w:tcBorders>
              <w:top w:val="single" w:color="000000" w:sz="4" w:space="0"/>
              <w:left w:val="nil"/>
              <w:bottom w:val="single" w:color="000000" w:sz="4" w:space="0"/>
              <w:right w:val="single" w:color="auto" w:sz="4" w:space="0"/>
            </w:tcBorders>
            <w:vAlign w:val="center"/>
          </w:tcPr>
          <w:p w14:paraId="336DC33F">
            <w:pPr>
              <w:widowControl/>
              <w:spacing w:line="375" w:lineRule="atLeast"/>
              <w:ind w:right="-197" w:rightChars="-94"/>
              <w:jc w:val="center"/>
              <w:rPr>
                <w:rFonts w:ascii="....x" w:hAnsi="....x" w:cs="宋体"/>
                <w:color w:val="000000"/>
                <w:kern w:val="0"/>
                <w:szCs w:val="21"/>
              </w:rPr>
            </w:pPr>
            <w:r>
              <w:rPr>
                <w:rFonts w:hint="eastAsia" w:ascii="....x" w:hAnsi="....x" w:cs="宋体"/>
                <w:color w:val="000000"/>
                <w:kern w:val="0"/>
                <w:szCs w:val="21"/>
              </w:rPr>
              <w:t>%</w:t>
            </w:r>
          </w:p>
        </w:tc>
        <w:tc>
          <w:tcPr>
            <w:tcW w:w="2079" w:type="dxa"/>
            <w:tcBorders>
              <w:top w:val="single" w:color="000000" w:sz="4" w:space="0"/>
              <w:left w:val="nil"/>
              <w:bottom w:val="single" w:color="000000" w:sz="4" w:space="0"/>
              <w:right w:val="single" w:color="000000" w:sz="4" w:space="0"/>
            </w:tcBorders>
            <w:vAlign w:val="center"/>
          </w:tcPr>
          <w:p w14:paraId="15DC483F">
            <w:pPr>
              <w:widowControl/>
              <w:spacing w:line="375" w:lineRule="atLeast"/>
              <w:ind w:right="-197" w:rightChars="-94"/>
              <w:jc w:val="center"/>
              <w:rPr>
                <w:rFonts w:hint="eastAsia" w:cs="宋体"/>
                <w:kern w:val="0"/>
                <w:szCs w:val="21"/>
              </w:rPr>
            </w:pPr>
            <w:r>
              <w:rPr>
                <w:rFonts w:hint="eastAsia" w:cs="宋体"/>
                <w:kern w:val="0"/>
                <w:szCs w:val="21"/>
              </w:rPr>
              <w:t>≤0.</w:t>
            </w:r>
            <w:r>
              <w:rPr>
                <w:rFonts w:cs="宋体"/>
                <w:kern w:val="0"/>
                <w:szCs w:val="21"/>
              </w:rPr>
              <w:t>3</w:t>
            </w:r>
          </w:p>
        </w:tc>
      </w:tr>
      <w:tr w14:paraId="51905BF5">
        <w:tblPrEx>
          <w:tblCellMar>
            <w:top w:w="0" w:type="dxa"/>
            <w:left w:w="108" w:type="dxa"/>
            <w:bottom w:w="0" w:type="dxa"/>
            <w:right w:w="108" w:type="dxa"/>
          </w:tblCellMar>
        </w:tblPrEx>
        <w:trPr>
          <w:gridAfter w:val="1"/>
          <w:wAfter w:w="236" w:type="dxa"/>
          <w:trHeight w:val="211" w:hRule="atLeast"/>
        </w:trPr>
        <w:tc>
          <w:tcPr>
            <w:tcW w:w="1668" w:type="dxa"/>
            <w:tcBorders>
              <w:top w:val="single" w:color="000000" w:sz="4" w:space="0"/>
              <w:left w:val="single" w:color="000000" w:sz="4" w:space="0"/>
              <w:bottom w:val="single" w:color="000000" w:sz="4" w:space="0"/>
              <w:right w:val="single" w:color="000000" w:sz="4" w:space="0"/>
            </w:tcBorders>
            <w:vAlign w:val="center"/>
          </w:tcPr>
          <w:p w14:paraId="679C7687">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合格率</w:t>
            </w:r>
          </w:p>
        </w:tc>
        <w:tc>
          <w:tcPr>
            <w:tcW w:w="1559" w:type="dxa"/>
            <w:tcBorders>
              <w:top w:val="single" w:color="000000" w:sz="4" w:space="0"/>
              <w:left w:val="nil"/>
              <w:bottom w:val="single" w:color="000000" w:sz="4" w:space="0"/>
              <w:right w:val="single" w:color="auto" w:sz="4" w:space="0"/>
            </w:tcBorders>
            <w:vAlign w:val="center"/>
          </w:tcPr>
          <w:p w14:paraId="10F4C8E5">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w:t>
            </w:r>
          </w:p>
        </w:tc>
        <w:tc>
          <w:tcPr>
            <w:tcW w:w="2079" w:type="dxa"/>
            <w:tcBorders>
              <w:top w:val="single" w:color="000000" w:sz="4" w:space="0"/>
              <w:left w:val="nil"/>
              <w:bottom w:val="single" w:color="000000" w:sz="4" w:space="0"/>
              <w:right w:val="single" w:color="000000" w:sz="4" w:space="0"/>
            </w:tcBorders>
            <w:vAlign w:val="center"/>
          </w:tcPr>
          <w:p w14:paraId="4ED34276">
            <w:pPr>
              <w:widowControl/>
              <w:spacing w:line="375" w:lineRule="atLeast"/>
              <w:ind w:right="-197" w:rightChars="-94"/>
              <w:jc w:val="center"/>
              <w:rPr>
                <w:rFonts w:hint="eastAsia" w:cs="宋体"/>
                <w:kern w:val="0"/>
                <w:szCs w:val="21"/>
              </w:rPr>
            </w:pPr>
            <w:r>
              <w:rPr>
                <w:rFonts w:hint="eastAsia" w:cs="宋体"/>
                <w:kern w:val="0"/>
                <w:szCs w:val="21"/>
              </w:rPr>
              <w:t>≥93</w:t>
            </w:r>
          </w:p>
        </w:tc>
      </w:tr>
      <w:tr w14:paraId="216151AF">
        <w:tblPrEx>
          <w:tblCellMar>
            <w:top w:w="0" w:type="dxa"/>
            <w:left w:w="108" w:type="dxa"/>
            <w:bottom w:w="0" w:type="dxa"/>
            <w:right w:w="108" w:type="dxa"/>
          </w:tblCellMar>
        </w:tblPrEx>
        <w:trPr>
          <w:gridAfter w:val="1"/>
          <w:wAfter w:w="236" w:type="dxa"/>
          <w:trHeight w:val="245" w:hRule="atLeast"/>
        </w:trPr>
        <w:tc>
          <w:tcPr>
            <w:tcW w:w="1668" w:type="dxa"/>
            <w:tcBorders>
              <w:top w:val="single" w:color="000000" w:sz="4" w:space="0"/>
              <w:left w:val="single" w:color="000000" w:sz="4" w:space="0"/>
              <w:bottom w:val="single" w:color="000000" w:sz="4" w:space="0"/>
              <w:right w:val="single" w:color="000000" w:sz="4" w:space="0"/>
            </w:tcBorders>
            <w:vAlign w:val="center"/>
          </w:tcPr>
          <w:p w14:paraId="6010702D">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其它</w:t>
            </w:r>
          </w:p>
        </w:tc>
        <w:tc>
          <w:tcPr>
            <w:tcW w:w="3638" w:type="dxa"/>
            <w:gridSpan w:val="2"/>
            <w:tcBorders>
              <w:top w:val="single" w:color="000000" w:sz="4" w:space="0"/>
              <w:left w:val="nil"/>
              <w:bottom w:val="single" w:color="000000" w:sz="4" w:space="0"/>
              <w:right w:val="single" w:color="auto" w:sz="4" w:space="0"/>
            </w:tcBorders>
            <w:vAlign w:val="center"/>
          </w:tcPr>
          <w:p w14:paraId="07BBBF68">
            <w:pPr>
              <w:widowControl/>
              <w:ind w:right="-197" w:rightChars="-94"/>
              <w:jc w:val="center"/>
              <w:rPr>
                <w:rFonts w:ascii="Times New Roman" w:hAnsi="Times New Roman" w:eastAsia="Times New Roman"/>
                <w:kern w:val="0"/>
                <w:szCs w:val="21"/>
              </w:rPr>
            </w:pPr>
            <w:r>
              <w:rPr>
                <w:rFonts w:hint="eastAsia" w:cs="宋体"/>
                <w:color w:val="000000"/>
                <w:kern w:val="0"/>
                <w:szCs w:val="21"/>
              </w:rPr>
              <w:t>须符合化工行业标准HG/T 3927-2020</w:t>
            </w:r>
          </w:p>
        </w:tc>
      </w:tr>
    </w:tbl>
    <w:p w14:paraId="123D19E9">
      <w:pPr>
        <w:numPr>
          <w:ilvl w:val="0"/>
          <w:numId w:val="0"/>
        </w:numPr>
        <w:spacing w:line="360" w:lineRule="exact"/>
        <w:jc w:val="left"/>
        <w:rPr>
          <w:rFonts w:hint="eastAsia" w:ascii="宋体" w:hAnsi="宋体" w:cs="宋体"/>
          <w:sz w:val="24"/>
          <w:lang w:val="en-US" w:eastAsia="zh-CN"/>
        </w:rPr>
      </w:pPr>
      <w:r>
        <w:rPr>
          <w:rFonts w:hint="eastAsia" w:ascii="宋体" w:hAnsi="宋体"/>
          <w:color w:val="auto"/>
          <w:sz w:val="24"/>
          <w:lang w:val="en-US" w:eastAsia="zh-CN"/>
        </w:rPr>
        <w:t>5、</w:t>
      </w:r>
      <w:r>
        <w:rPr>
          <w:rFonts w:hint="eastAsia" w:ascii="宋体" w:hAnsi="宋体" w:cs="宋体"/>
          <w:sz w:val="24"/>
          <w:lang w:val="en-US" w:eastAsia="zh-CN"/>
        </w:rPr>
        <w:t>性能考核保证:</w:t>
      </w:r>
    </w:p>
    <w:p w14:paraId="091FE5F2">
      <w:pPr>
        <w:spacing w:line="360" w:lineRule="auto"/>
        <w:ind w:right="-197" w:rightChars="-94"/>
        <w:rPr>
          <w:rFonts w:ascii="Times New Roman" w:hAnsi="Times New Roman" w:eastAsia="宋体" w:cs="Times New Roman"/>
          <w:sz w:val="24"/>
          <w:szCs w:val="24"/>
          <w:highlight w:val="yellow"/>
        </w:rPr>
      </w:pPr>
      <w:r>
        <w:rPr>
          <w:rFonts w:hint="eastAsia"/>
          <w:sz w:val="24"/>
          <w:szCs w:val="24"/>
          <w:highlight w:val="yellow"/>
        </w:rPr>
        <w:t>连续三天按满负荷运行或</w:t>
      </w:r>
      <w:r>
        <w:rPr>
          <w:sz w:val="24"/>
          <w:szCs w:val="24"/>
          <w:highlight w:val="yellow"/>
        </w:rPr>
        <w:t>现有</w:t>
      </w:r>
      <w:r>
        <w:rPr>
          <w:rFonts w:hint="eastAsia"/>
          <w:sz w:val="24"/>
          <w:szCs w:val="24"/>
          <w:highlight w:val="yellow"/>
        </w:rPr>
        <w:t>实际</w:t>
      </w:r>
      <w:r>
        <w:rPr>
          <w:sz w:val="24"/>
          <w:szCs w:val="24"/>
          <w:highlight w:val="yellow"/>
        </w:rPr>
        <w:t>工况下</w:t>
      </w:r>
      <w:r>
        <w:rPr>
          <w:rFonts w:hint="eastAsia"/>
          <w:sz w:val="24"/>
          <w:szCs w:val="24"/>
          <w:highlight w:val="yellow"/>
        </w:rPr>
        <w:t>，要求干燥后压缩气体常压露点达到-40℃以下。</w:t>
      </w:r>
    </w:p>
    <w:p w14:paraId="68350027">
      <w:pPr>
        <w:numPr>
          <w:ilvl w:val="0"/>
          <w:numId w:val="0"/>
        </w:numPr>
        <w:spacing w:line="360" w:lineRule="auto"/>
        <w:rPr>
          <w:rFonts w:hint="eastAsia" w:ascii="宋体" w:hAnsi="宋体"/>
          <w:color w:val="auto"/>
          <w:sz w:val="24"/>
          <w:lang w:val="en-US" w:eastAsia="zh-CN"/>
        </w:rPr>
      </w:pPr>
      <w:r>
        <w:rPr>
          <w:rFonts w:hint="eastAsia" w:ascii="宋体" w:hAnsi="宋体"/>
          <w:color w:val="auto"/>
          <w:sz w:val="24"/>
          <w:lang w:val="en-US" w:eastAsia="zh-CN"/>
        </w:rPr>
        <w:t>6、质量验收标准：</w:t>
      </w:r>
    </w:p>
    <w:p w14:paraId="5683E028">
      <w:pPr>
        <w:numPr>
          <w:ilvl w:val="0"/>
          <w:numId w:val="0"/>
        </w:numPr>
        <w:spacing w:line="360" w:lineRule="auto"/>
        <w:rPr>
          <w:rFonts w:hint="eastAsia" w:ascii="宋体" w:hAnsi="宋体" w:eastAsia="宋体"/>
          <w:color w:val="000000" w:themeColor="text1"/>
          <w:sz w:val="24"/>
          <w:szCs w:val="24"/>
          <w:lang w:eastAsia="zh-CN"/>
          <w14:textFill>
            <w14:solidFill>
              <w14:schemeClr w14:val="tx1"/>
            </w14:solidFill>
          </w14:textFill>
        </w:rPr>
      </w:pPr>
      <w:r>
        <w:rPr>
          <w:rFonts w:hint="eastAsia"/>
          <w:sz w:val="24"/>
          <w:szCs w:val="24"/>
        </w:rPr>
        <w:t>活性氧化铝干燥剂到</w:t>
      </w:r>
      <w:r>
        <w:rPr>
          <w:sz w:val="24"/>
          <w:szCs w:val="24"/>
        </w:rPr>
        <w:t>现场后，</w:t>
      </w:r>
      <w:r>
        <w:rPr>
          <w:rFonts w:hint="eastAsia"/>
          <w:sz w:val="24"/>
          <w:szCs w:val="24"/>
        </w:rPr>
        <w:t>按产品数量及相关</w:t>
      </w:r>
      <w:r>
        <w:rPr>
          <w:sz w:val="24"/>
          <w:szCs w:val="24"/>
        </w:rPr>
        <w:t>化验数据</w:t>
      </w:r>
      <w:r>
        <w:rPr>
          <w:rFonts w:hint="eastAsia"/>
          <w:sz w:val="24"/>
          <w:szCs w:val="24"/>
        </w:rPr>
        <w:t>进行初步验收</w:t>
      </w:r>
      <w:r>
        <w:rPr>
          <w:sz w:val="24"/>
          <w:szCs w:val="24"/>
        </w:rPr>
        <w:t>，</w:t>
      </w:r>
      <w:r>
        <w:rPr>
          <w:rFonts w:hint="eastAsia"/>
          <w:sz w:val="24"/>
          <w:szCs w:val="24"/>
        </w:rPr>
        <w:t>然后</w:t>
      </w:r>
      <w:r>
        <w:rPr>
          <w:sz w:val="24"/>
          <w:szCs w:val="24"/>
        </w:rPr>
        <w:t>根据</w:t>
      </w:r>
      <w:r>
        <w:rPr>
          <w:rFonts w:hint="eastAsia"/>
          <w:sz w:val="24"/>
          <w:szCs w:val="24"/>
        </w:rPr>
        <w:t>上述</w:t>
      </w:r>
      <w:r>
        <w:rPr>
          <w:sz w:val="24"/>
          <w:szCs w:val="24"/>
        </w:rPr>
        <w:t>考核</w:t>
      </w:r>
      <w:r>
        <w:rPr>
          <w:rFonts w:hint="eastAsia"/>
          <w:sz w:val="24"/>
          <w:szCs w:val="24"/>
        </w:rPr>
        <w:t>使用效果进行最终验收</w:t>
      </w:r>
      <w:r>
        <w:rPr>
          <w:sz w:val="24"/>
          <w:szCs w:val="24"/>
        </w:rPr>
        <w:t>。</w:t>
      </w:r>
      <w:r>
        <w:rPr>
          <w:rFonts w:hint="eastAsia"/>
          <w:sz w:val="24"/>
          <w:szCs w:val="24"/>
          <w:lang w:val="en-US" w:eastAsia="zh-CN"/>
        </w:rPr>
        <w:t>供</w:t>
      </w:r>
      <w:r>
        <w:rPr>
          <w:rFonts w:hint="eastAsia"/>
          <w:sz w:val="24"/>
          <w:szCs w:val="24"/>
        </w:rPr>
        <w:t>方应严格按照相关标准提供合格产品，交货时提供合格的质量证明及安全技术说明书等资料文件。</w:t>
      </w:r>
      <w:r>
        <w:rPr>
          <w:rFonts w:hint="eastAsia"/>
          <w:sz w:val="24"/>
          <w:szCs w:val="24"/>
          <w:lang w:eastAsia="zh-CN"/>
        </w:rPr>
        <w:t>（</w:t>
      </w:r>
      <w:r>
        <w:rPr>
          <w:rFonts w:hint="eastAsia"/>
          <w:sz w:val="24"/>
          <w:szCs w:val="24"/>
          <w:lang w:val="en-US" w:eastAsia="zh-CN"/>
        </w:rPr>
        <w:t>详见技术要求</w:t>
      </w:r>
      <w:r>
        <w:rPr>
          <w:rFonts w:hint="eastAsia"/>
          <w:sz w:val="24"/>
          <w:szCs w:val="24"/>
          <w:lang w:eastAsia="zh-CN"/>
        </w:rPr>
        <w:t>）</w:t>
      </w:r>
    </w:p>
    <w:p w14:paraId="1055D8CC">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我公司（供方）负责进厂交货途中的一切责任由我司（供方）承担。</w:t>
      </w:r>
    </w:p>
    <w:p w14:paraId="37DBB0CF">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val="en-US" w:eastAsia="zh-CN"/>
        </w:rPr>
        <w:t>贰仟元整</w:t>
      </w:r>
      <w:r>
        <w:rPr>
          <w:rFonts w:hint="eastAsia" w:ascii="宋体" w:hAnsi="宋体"/>
          <w:sz w:val="24"/>
        </w:rPr>
        <w:t>，若我司中选，我司同意按照要求</w:t>
      </w:r>
      <w:r>
        <w:rPr>
          <w:rFonts w:hint="eastAsia" w:ascii="宋体" w:hAnsi="宋体"/>
          <w:sz w:val="24"/>
          <w:lang w:val="en-US" w:eastAsia="zh-CN"/>
        </w:rPr>
        <w:t>转为履约保证金</w:t>
      </w:r>
      <w:r>
        <w:rPr>
          <w:rFonts w:hint="eastAsia" w:ascii="宋体" w:hAnsi="宋体"/>
          <w:color w:val="auto"/>
          <w:sz w:val="24"/>
          <w:highlight w:val="none"/>
          <w:lang w:val="en-US" w:eastAsia="zh-CN"/>
        </w:rPr>
        <w:t>待履约期满后且无质量问题后申请无息返还</w:t>
      </w:r>
      <w:r>
        <w:rPr>
          <w:rFonts w:hint="eastAsia" w:ascii="宋体" w:hAnsi="宋体"/>
          <w:color w:val="auto"/>
          <w:sz w:val="24"/>
          <w:highlight w:val="none"/>
        </w:rPr>
        <w:t>。</w:t>
      </w:r>
    </w:p>
    <w:p w14:paraId="43B36804">
      <w:pPr>
        <w:spacing w:line="360" w:lineRule="auto"/>
        <w:rPr>
          <w:rFonts w:hint="eastAsia" w:cs="Times New Roman"/>
          <w:sz w:val="24"/>
          <w:szCs w:val="24"/>
          <w:lang w:val="en-US" w:eastAsia="zh-CN"/>
        </w:rPr>
      </w:pPr>
      <w:r>
        <w:rPr>
          <w:rFonts w:hint="eastAsia" w:ascii="宋体" w:hAnsi="宋体"/>
          <w:sz w:val="24"/>
        </w:rPr>
        <w:t>二、到货期：</w:t>
      </w:r>
      <w:r>
        <w:rPr>
          <w:rFonts w:hint="eastAsia" w:ascii="宋体" w:hAnsi="宋体"/>
          <w:sz w:val="24"/>
          <w:lang w:val="en-US" w:eastAsia="zh-CN"/>
        </w:rPr>
        <w:t>分</w:t>
      </w:r>
      <w:r>
        <w:rPr>
          <w:rFonts w:hint="eastAsia"/>
          <w:sz w:val="24"/>
          <w:szCs w:val="24"/>
        </w:rPr>
        <w:t>批</w:t>
      </w:r>
      <w:r>
        <w:rPr>
          <w:sz w:val="24"/>
          <w:szCs w:val="24"/>
        </w:rPr>
        <w:t>送货，一次</w:t>
      </w:r>
      <w:r>
        <w:rPr>
          <w:rFonts w:hint="eastAsia"/>
          <w:sz w:val="24"/>
          <w:szCs w:val="24"/>
          <w:lang w:val="en-US" w:eastAsia="zh-CN"/>
        </w:rPr>
        <w:t>送</w:t>
      </w:r>
      <w:r>
        <w:rPr>
          <w:sz w:val="24"/>
          <w:szCs w:val="24"/>
        </w:rPr>
        <w:t>5</w:t>
      </w:r>
      <w:r>
        <w:rPr>
          <w:rFonts w:hint="eastAsia"/>
          <w:sz w:val="24"/>
          <w:szCs w:val="24"/>
          <w:lang w:val="en-US" w:eastAsia="zh-CN"/>
        </w:rPr>
        <w:t>吨</w:t>
      </w:r>
      <w:r>
        <w:rPr>
          <w:rFonts w:hint="eastAsia"/>
          <w:sz w:val="24"/>
          <w:szCs w:val="24"/>
        </w:rPr>
        <w:t>。中</w:t>
      </w:r>
      <w:r>
        <w:rPr>
          <w:rFonts w:hint="eastAsia"/>
          <w:sz w:val="24"/>
          <w:szCs w:val="24"/>
          <w:lang w:val="en-US" w:eastAsia="zh-CN"/>
        </w:rPr>
        <w:t>选</w:t>
      </w:r>
      <w:r>
        <w:rPr>
          <w:rFonts w:hint="eastAsia"/>
          <w:sz w:val="24"/>
          <w:szCs w:val="24"/>
        </w:rPr>
        <w:t>通知发出（或合同/协议签订）后10个日历天，第一批货</w:t>
      </w:r>
      <w:r>
        <w:rPr>
          <w:sz w:val="24"/>
          <w:szCs w:val="24"/>
        </w:rPr>
        <w:t>运输至</w:t>
      </w:r>
      <w:r>
        <w:rPr>
          <w:rFonts w:hint="eastAsia"/>
          <w:sz w:val="24"/>
          <w:szCs w:val="24"/>
          <w:lang w:val="en-US" w:eastAsia="zh-CN"/>
        </w:rPr>
        <w:t>需</w:t>
      </w:r>
      <w:r>
        <w:rPr>
          <w:rFonts w:hint="eastAsia"/>
          <w:sz w:val="24"/>
          <w:szCs w:val="24"/>
        </w:rPr>
        <w:t>方厂区并送到</w:t>
      </w:r>
      <w:r>
        <w:rPr>
          <w:rFonts w:hint="eastAsia"/>
          <w:sz w:val="24"/>
          <w:szCs w:val="24"/>
          <w:lang w:val="en-US" w:eastAsia="zh-CN"/>
        </w:rPr>
        <w:t>需</w:t>
      </w:r>
      <w:r>
        <w:rPr>
          <w:rFonts w:hint="eastAsia"/>
          <w:sz w:val="24"/>
          <w:szCs w:val="24"/>
        </w:rPr>
        <w:t>方指定地点。第二批</w:t>
      </w:r>
      <w:r>
        <w:rPr>
          <w:sz w:val="24"/>
          <w:szCs w:val="24"/>
        </w:rPr>
        <w:t>5</w:t>
      </w:r>
      <w:r>
        <w:rPr>
          <w:rFonts w:hint="eastAsia"/>
          <w:sz w:val="24"/>
          <w:szCs w:val="24"/>
        </w:rPr>
        <w:t>吨待</w:t>
      </w:r>
      <w:r>
        <w:rPr>
          <w:rFonts w:hint="eastAsia"/>
          <w:sz w:val="24"/>
          <w:szCs w:val="24"/>
          <w:lang w:val="en-US" w:eastAsia="zh-CN"/>
        </w:rPr>
        <w:t>需</w:t>
      </w:r>
      <w:r>
        <w:rPr>
          <w:sz w:val="24"/>
          <w:szCs w:val="24"/>
        </w:rPr>
        <w:t>方根据生产需要通知到货</w:t>
      </w:r>
      <w:r>
        <w:rPr>
          <w:rFonts w:hint="eastAsia"/>
          <w:sz w:val="24"/>
          <w:szCs w:val="24"/>
        </w:rPr>
        <w:t xml:space="preserve">为准。 </w:t>
      </w:r>
    </w:p>
    <w:p w14:paraId="5CB82B7A">
      <w:pPr>
        <w:spacing w:line="360" w:lineRule="auto"/>
        <w:jc w:val="left"/>
        <w:rPr>
          <w:rFonts w:ascii="宋体" w:hAnsi="宋体"/>
          <w:sz w:val="24"/>
        </w:rPr>
      </w:pPr>
      <w:r>
        <w:rPr>
          <w:rFonts w:hint="eastAsia" w:ascii="宋体" w:hAnsi="宋体"/>
          <w:sz w:val="24"/>
        </w:rPr>
        <w:t>三、报价及结算方式：</w:t>
      </w:r>
    </w:p>
    <w:p w14:paraId="4A86F5F9">
      <w:pPr>
        <w:spacing w:line="360" w:lineRule="auto"/>
        <w:rPr>
          <w:rFonts w:ascii="宋体" w:hAnsi="宋体" w:eastAsia="宋体"/>
          <w:color w:val="000000" w:themeColor="text1"/>
          <w:sz w:val="24"/>
          <w:szCs w:val="24"/>
          <w:highlight w:val="yellow"/>
          <w14:textFill>
            <w14:solidFill>
              <w14:schemeClr w14:val="tx1"/>
            </w14:solidFill>
          </w14:textFill>
        </w:rPr>
      </w:pPr>
      <w:r>
        <w:rPr>
          <w:rFonts w:hint="eastAsia" w:ascii="宋体" w:hAnsi="宋体"/>
          <w:sz w:val="24"/>
        </w:rPr>
        <w:t>1、</w:t>
      </w:r>
      <w:r>
        <w:rPr>
          <w:rFonts w:hint="eastAsia" w:ascii="宋体" w:hAnsi="宋体"/>
          <w:sz w:val="24"/>
          <w:lang w:val="en-US" w:eastAsia="zh-CN"/>
        </w:rPr>
        <w:t>付款方式：现汇支付，分批到货、分批付款。</w:t>
      </w:r>
      <w:r>
        <w:rPr>
          <w:rFonts w:hint="eastAsia"/>
          <w:sz w:val="24"/>
          <w:szCs w:val="24"/>
          <w:highlight w:val="yellow"/>
        </w:rPr>
        <w:t>每</w:t>
      </w:r>
      <w:r>
        <w:rPr>
          <w:rFonts w:hint="eastAsia"/>
          <w:sz w:val="24"/>
          <w:szCs w:val="24"/>
          <w:highlight w:val="yellow"/>
          <w:lang w:val="en-US" w:eastAsia="zh-CN"/>
        </w:rPr>
        <w:t>批</w:t>
      </w:r>
      <w:r>
        <w:rPr>
          <w:rFonts w:hint="eastAsia"/>
          <w:sz w:val="24"/>
          <w:szCs w:val="24"/>
          <w:highlight w:val="yellow"/>
        </w:rPr>
        <w:t>产品到货验收</w:t>
      </w:r>
      <w:r>
        <w:rPr>
          <w:rFonts w:hint="eastAsia"/>
          <w:sz w:val="24"/>
          <w:szCs w:val="24"/>
          <w:highlight w:val="yellow"/>
          <w:lang w:eastAsia="zh-CN"/>
        </w:rPr>
        <w:t>、</w:t>
      </w:r>
      <w:r>
        <w:rPr>
          <w:rFonts w:hint="eastAsia"/>
          <w:sz w:val="24"/>
          <w:szCs w:val="24"/>
          <w:highlight w:val="yellow"/>
          <w:lang w:val="en-US" w:eastAsia="zh-CN"/>
        </w:rPr>
        <w:t>性能考核</w:t>
      </w:r>
      <w:r>
        <w:rPr>
          <w:rFonts w:hint="eastAsia"/>
          <w:sz w:val="24"/>
          <w:szCs w:val="24"/>
          <w:highlight w:val="yellow"/>
        </w:rPr>
        <w:t>合格</w:t>
      </w:r>
      <w:r>
        <w:rPr>
          <w:rFonts w:hint="eastAsia"/>
          <w:sz w:val="24"/>
          <w:szCs w:val="24"/>
          <w:highlight w:val="yellow"/>
          <w:lang w:val="en-US" w:eastAsia="zh-CN"/>
        </w:rPr>
        <w:t>三个月后</w:t>
      </w:r>
      <w:r>
        <w:rPr>
          <w:rFonts w:hint="eastAsia"/>
          <w:sz w:val="24"/>
          <w:szCs w:val="24"/>
          <w:highlight w:val="yellow"/>
        </w:rPr>
        <w:t>支付90%到货款，余下 10%的质保金在满足使用一年后付清。</w:t>
      </w:r>
    </w:p>
    <w:p w14:paraId="760D716F">
      <w:pPr>
        <w:spacing w:line="360" w:lineRule="auto"/>
        <w:jc w:val="left"/>
        <w:rPr>
          <w:rFonts w:hint="eastAsia" w:ascii="宋体" w:hAnsi="宋体"/>
          <w:sz w:val="24"/>
        </w:rPr>
      </w:pPr>
      <w:r>
        <w:rPr>
          <w:rFonts w:hint="eastAsia" w:ascii="宋体" w:hAnsi="宋体"/>
          <w:sz w:val="24"/>
        </w:rPr>
        <w:t>四、相关技术要求，以福建福海创石油化工有限公司要求为准！</w:t>
      </w:r>
    </w:p>
    <w:p w14:paraId="22AA5FF2">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五、执行时间：产品供货期为2024年10月1日至2025年12月31日。</w:t>
      </w:r>
    </w:p>
    <w:p w14:paraId="78DA5E23">
      <w:pPr>
        <w:pStyle w:val="2"/>
        <w:rPr>
          <w:rFonts w:hint="eastAsia"/>
        </w:rPr>
      </w:pPr>
    </w:p>
    <w:p w14:paraId="47BF4CD7">
      <w:pPr>
        <w:pStyle w:val="2"/>
        <w:rPr>
          <w:rFonts w:hint="eastAsia"/>
        </w:rPr>
      </w:pPr>
    </w:p>
    <w:p w14:paraId="76409017">
      <w:pPr>
        <w:numPr>
          <w:ilvl w:val="0"/>
          <w:numId w:val="0"/>
        </w:numPr>
        <w:spacing w:line="312" w:lineRule="auto"/>
        <w:rPr>
          <w:rFonts w:hint="eastAsia" w:ascii="宋体" w:hAnsi="宋体"/>
          <w:sz w:val="24"/>
          <w:lang w:val="en-US" w:eastAsia="zh-CN"/>
        </w:rPr>
      </w:pPr>
    </w:p>
    <w:p w14:paraId="4AE4532E">
      <w:pPr>
        <w:numPr>
          <w:ilvl w:val="0"/>
          <w:numId w:val="0"/>
        </w:numPr>
        <w:spacing w:line="312" w:lineRule="auto"/>
        <w:rPr>
          <w:rFonts w:hint="eastAsia" w:ascii="宋体" w:hAnsi="宋体" w:eastAsia="宋体"/>
          <w:sz w:val="24"/>
          <w:lang w:val="en-US" w:eastAsia="zh-CN"/>
        </w:rPr>
      </w:pPr>
    </w:p>
    <w:p w14:paraId="65FFD1D4">
      <w:pPr>
        <w:spacing w:line="312" w:lineRule="auto"/>
        <w:rPr>
          <w:rFonts w:ascii="宋体" w:hAnsi="宋体"/>
          <w:sz w:val="24"/>
        </w:rPr>
      </w:pPr>
    </w:p>
    <w:p w14:paraId="57BF039E">
      <w:pPr>
        <w:spacing w:line="500" w:lineRule="exact"/>
        <w:rPr>
          <w:rFonts w:ascii="宋体"/>
          <w:sz w:val="24"/>
        </w:rPr>
      </w:pPr>
      <w:r>
        <w:rPr>
          <w:rFonts w:hint="eastAsia" w:ascii="宋体" w:hAnsi="宋体"/>
          <w:sz w:val="24"/>
        </w:rPr>
        <w:t>报价单位名称（公章）：</w:t>
      </w:r>
    </w:p>
    <w:p w14:paraId="02CCC246">
      <w:pPr>
        <w:spacing w:line="500" w:lineRule="exact"/>
        <w:rPr>
          <w:rFonts w:ascii="宋体"/>
          <w:sz w:val="24"/>
        </w:rPr>
      </w:pPr>
      <w:bookmarkStart w:id="0" w:name="_Hlk532224866"/>
      <w:r>
        <w:rPr>
          <w:rFonts w:hint="eastAsia" w:ascii="宋体" w:hAnsi="宋体"/>
          <w:sz w:val="24"/>
        </w:rPr>
        <w:t>被授权代表签字：</w:t>
      </w:r>
    </w:p>
    <w:bookmarkEnd w:id="0"/>
    <w:p w14:paraId="40547102">
      <w:pPr>
        <w:spacing w:line="500" w:lineRule="exact"/>
        <w:rPr>
          <w:rFonts w:hint="eastAsia" w:ascii="宋体" w:hAnsi="宋体"/>
          <w:sz w:val="24"/>
        </w:rPr>
      </w:pPr>
      <w:r>
        <w:rPr>
          <w:rFonts w:hint="eastAsia" w:ascii="宋体" w:hAnsi="宋体"/>
          <w:sz w:val="24"/>
        </w:rPr>
        <w:t>时间：</w:t>
      </w:r>
    </w:p>
    <w:p w14:paraId="641438A9">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14:paraId="5BB454B5">
      <w:pPr>
        <w:jc w:val="left"/>
        <w:rPr>
          <w:rFonts w:ascii="宋体" w:hAnsi="宋体"/>
          <w:sz w:val="32"/>
          <w:szCs w:val="32"/>
        </w:rPr>
      </w:pPr>
    </w:p>
    <w:p w14:paraId="61950137">
      <w:pPr>
        <w:jc w:val="left"/>
        <w:rPr>
          <w:rFonts w:ascii="宋体" w:hAnsi="宋体"/>
          <w:sz w:val="32"/>
          <w:szCs w:val="32"/>
        </w:rPr>
      </w:pPr>
      <w:r>
        <w:rPr>
          <w:rFonts w:hint="eastAsia" w:ascii="宋体" w:hAnsi="宋体"/>
          <w:sz w:val="32"/>
          <w:szCs w:val="32"/>
        </w:rPr>
        <w:t>附表：</w:t>
      </w:r>
    </w:p>
    <w:p w14:paraId="4798984D">
      <w:pPr>
        <w:jc w:val="left"/>
        <w:rPr>
          <w:rFonts w:ascii="宋体" w:hAnsi="宋体"/>
          <w:sz w:val="32"/>
          <w:szCs w:val="32"/>
        </w:rPr>
      </w:pPr>
    </w:p>
    <w:p w14:paraId="0B7ABE30">
      <w:pPr>
        <w:jc w:val="center"/>
        <w:rPr>
          <w:rFonts w:ascii="宋体"/>
          <w:sz w:val="32"/>
          <w:szCs w:val="32"/>
        </w:rPr>
      </w:pPr>
      <w:r>
        <w:rPr>
          <w:rFonts w:hint="eastAsia" w:ascii="宋体" w:hAnsi="宋体"/>
          <w:sz w:val="32"/>
          <w:szCs w:val="32"/>
        </w:rPr>
        <w:t>公开比选确认单</w:t>
      </w:r>
    </w:p>
    <w:p w14:paraId="00FEFBA7">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14:paraId="0BD61194">
      <w:pPr>
        <w:spacing w:line="500" w:lineRule="exact"/>
        <w:ind w:firstLine="560" w:firstLineChars="200"/>
        <w:jc w:val="left"/>
        <w:rPr>
          <w:rFonts w:hint="eastAsia" w:ascii="宋体" w:hAnsi="宋体"/>
          <w:sz w:val="28"/>
          <w:szCs w:val="28"/>
          <w:lang w:eastAsia="zh-CN"/>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2024-FHC-空压装置-活性氧化铝-0905</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lang w:eastAsia="zh-CN"/>
        </w:rPr>
        <w:t>：</w:t>
      </w:r>
      <w:r>
        <w:rPr>
          <w:rFonts w:hint="eastAsia" w:ascii="宋体" w:hAnsi="宋体"/>
          <w:sz w:val="28"/>
          <w:szCs w:val="28"/>
          <w:u w:val="single"/>
        </w:rPr>
        <w:t>详见</w:t>
      </w:r>
      <w:bookmarkEnd w:id="1"/>
      <w:r>
        <w:rPr>
          <w:rFonts w:hint="eastAsia" w:ascii="宋体" w:hAnsi="宋体"/>
          <w:sz w:val="28"/>
          <w:szCs w:val="28"/>
          <w:u w:val="single"/>
          <w:lang w:val="en-US" w:eastAsia="zh-CN"/>
        </w:rPr>
        <w:t>技术要求</w:t>
      </w:r>
      <w:r>
        <w:rPr>
          <w:rFonts w:hint="eastAsia" w:ascii="宋体" w:hAnsi="宋体"/>
          <w:sz w:val="28"/>
          <w:szCs w:val="28"/>
        </w:rPr>
        <w:t>；</w:t>
      </w:r>
      <w:r>
        <w:rPr>
          <w:rFonts w:hint="eastAsia" w:ascii="宋体" w:hAnsi="宋体" w:eastAsia="宋体" w:cs="Times New Roman"/>
          <w:sz w:val="28"/>
          <w:szCs w:val="28"/>
          <w:u w:val="none"/>
        </w:rPr>
        <w:t>含税单价：</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u w:val="none"/>
        </w:rPr>
        <w:t>元/</w:t>
      </w:r>
      <w:r>
        <w:rPr>
          <w:rFonts w:hint="eastAsia" w:ascii="宋体" w:hAnsi="宋体" w:eastAsia="宋体" w:cs="Times New Roman"/>
          <w:sz w:val="28"/>
          <w:szCs w:val="28"/>
          <w:u w:val="none"/>
          <w:lang w:val="en-US" w:eastAsia="zh-CN"/>
        </w:rPr>
        <w:t>吨</w:t>
      </w:r>
      <w:r>
        <w:rPr>
          <w:rFonts w:hint="eastAsia" w:ascii="宋体" w:hAnsi="宋体" w:eastAsia="宋体" w:cs="Times New Roman"/>
          <w:sz w:val="28"/>
          <w:szCs w:val="28"/>
          <w:u w:val="none"/>
        </w:rPr>
        <w:t>，含税总价</w:t>
      </w:r>
      <w:r>
        <w:rPr>
          <w:rFonts w:hint="eastAsia" w:ascii="宋体" w:hAnsi="宋体" w:eastAsia="宋体" w:cs="Times New Roman"/>
          <w:sz w:val="28"/>
          <w:szCs w:val="28"/>
          <w:u w:val="none"/>
          <w:lang w:eastAsia="zh-CN"/>
        </w:rPr>
        <w:t>：</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none"/>
        </w:rPr>
        <w:t>元，</w:t>
      </w:r>
      <w:r>
        <w:rPr>
          <w:rFonts w:hint="eastAsia" w:ascii="宋体" w:hAnsi="宋体"/>
          <w:sz w:val="28"/>
          <w:szCs w:val="28"/>
        </w:rPr>
        <w:t>以汽运方式送到</w:t>
      </w:r>
      <w:r>
        <w:rPr>
          <w:rFonts w:hint="eastAsia" w:ascii="宋体" w:hAnsi="宋体"/>
          <w:sz w:val="28"/>
          <w:szCs w:val="28"/>
          <w:lang w:val="en-US" w:eastAsia="zh-CN"/>
        </w:rPr>
        <w:t>腾龙芳烃（漳州）</w:t>
      </w:r>
      <w:r>
        <w:rPr>
          <w:rFonts w:hint="eastAsia" w:ascii="宋体" w:hAnsi="宋体"/>
          <w:sz w:val="28"/>
          <w:szCs w:val="28"/>
        </w:rPr>
        <w:t>有限公司（详见我公司  年  月  日报价单）</w:t>
      </w:r>
      <w:r>
        <w:rPr>
          <w:rFonts w:hint="eastAsia" w:ascii="宋体" w:hAnsi="宋体"/>
          <w:sz w:val="28"/>
          <w:szCs w:val="28"/>
          <w:lang w:eastAsia="zh-CN"/>
        </w:rPr>
        <w:t>。</w:t>
      </w:r>
    </w:p>
    <w:p w14:paraId="01122369">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lang w:eastAsia="zh-CN"/>
        </w:rPr>
        <w:t>：</w:t>
      </w:r>
      <w:r>
        <w:rPr>
          <w:rFonts w:hint="eastAsia" w:ascii="宋体" w:hAnsi="宋体"/>
          <w:sz w:val="28"/>
          <w:szCs w:val="28"/>
          <w:u w:val="single"/>
        </w:rPr>
        <w:t>详见</w:t>
      </w:r>
      <w:r>
        <w:rPr>
          <w:rFonts w:hint="eastAsia" w:ascii="宋体" w:hAnsi="宋体"/>
          <w:sz w:val="28"/>
          <w:szCs w:val="28"/>
          <w:u w:val="single"/>
          <w:lang w:val="en-US" w:eastAsia="zh-CN"/>
        </w:rPr>
        <w:t>技术要求</w:t>
      </w:r>
      <w:r>
        <w:rPr>
          <w:rFonts w:hint="eastAsia" w:ascii="宋体" w:hAnsi="宋体"/>
          <w:sz w:val="28"/>
          <w:szCs w:val="28"/>
        </w:rPr>
        <w:t>；</w:t>
      </w:r>
      <w:r>
        <w:rPr>
          <w:rFonts w:hint="eastAsia" w:ascii="宋体" w:hAnsi="宋体" w:eastAsia="宋体" w:cs="Times New Roman"/>
          <w:sz w:val="28"/>
          <w:szCs w:val="28"/>
          <w:u w:val="none"/>
        </w:rPr>
        <w:t>含税单价：</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u w:val="none"/>
        </w:rPr>
        <w:t>元/</w:t>
      </w:r>
      <w:r>
        <w:rPr>
          <w:rFonts w:hint="eastAsia" w:ascii="宋体" w:hAnsi="宋体" w:eastAsia="宋体" w:cs="Times New Roman"/>
          <w:sz w:val="28"/>
          <w:szCs w:val="28"/>
          <w:u w:val="none"/>
          <w:lang w:val="en-US" w:eastAsia="zh-CN"/>
        </w:rPr>
        <w:t>吨</w:t>
      </w:r>
      <w:r>
        <w:rPr>
          <w:rFonts w:hint="eastAsia" w:ascii="宋体" w:hAnsi="宋体" w:eastAsia="宋体" w:cs="Times New Roman"/>
          <w:sz w:val="28"/>
          <w:szCs w:val="28"/>
          <w:u w:val="none"/>
        </w:rPr>
        <w:t>，含税总价</w:t>
      </w:r>
      <w:r>
        <w:rPr>
          <w:rFonts w:hint="eastAsia" w:ascii="宋体" w:hAnsi="宋体" w:eastAsia="宋体" w:cs="Times New Roman"/>
          <w:sz w:val="28"/>
          <w:szCs w:val="28"/>
          <w:u w:val="none"/>
          <w:lang w:eastAsia="zh-CN"/>
        </w:rPr>
        <w:t>：</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none"/>
        </w:rPr>
        <w:t>元，</w:t>
      </w:r>
      <w:r>
        <w:rPr>
          <w:rFonts w:hint="eastAsia" w:ascii="宋体" w:hAnsi="宋体"/>
          <w:sz w:val="28"/>
          <w:szCs w:val="28"/>
        </w:rPr>
        <w:t>以汽运方式送到</w:t>
      </w:r>
      <w:r>
        <w:rPr>
          <w:rFonts w:hint="eastAsia" w:ascii="宋体" w:hAnsi="宋体"/>
          <w:sz w:val="28"/>
          <w:szCs w:val="28"/>
          <w:lang w:val="en-US" w:eastAsia="zh-CN"/>
        </w:rPr>
        <w:t>腾龙芳烃（漳州）</w:t>
      </w:r>
      <w:r>
        <w:rPr>
          <w:rFonts w:hint="eastAsia" w:ascii="宋体" w:hAnsi="宋体"/>
          <w:sz w:val="28"/>
          <w:szCs w:val="28"/>
        </w:rPr>
        <w:t>有限公司，根据贵公司实际需求进度安排供货。</w:t>
      </w:r>
    </w:p>
    <w:p w14:paraId="78C6DB80">
      <w:pPr>
        <w:ind w:firstLine="570"/>
        <w:rPr>
          <w:rFonts w:ascii="宋体" w:hAnsi="宋体"/>
          <w:sz w:val="24"/>
        </w:rPr>
      </w:pPr>
      <w:r>
        <w:rPr>
          <w:rFonts w:hint="eastAsia" w:ascii="宋体" w:hAnsi="宋体"/>
          <w:sz w:val="28"/>
          <w:szCs w:val="28"/>
        </w:rPr>
        <w:t>执行时间：以需方通知为准。</w:t>
      </w:r>
    </w:p>
    <w:p w14:paraId="78AB9777">
      <w:pPr>
        <w:ind w:firstLine="570"/>
        <w:rPr>
          <w:rFonts w:ascii="宋体"/>
          <w:sz w:val="28"/>
          <w:szCs w:val="28"/>
        </w:rPr>
      </w:pPr>
      <w:r>
        <w:rPr>
          <w:rFonts w:hint="eastAsia" w:ascii="宋体" w:hAnsi="宋体"/>
          <w:sz w:val="28"/>
          <w:szCs w:val="28"/>
        </w:rPr>
        <w:t>其他约定不变。</w:t>
      </w:r>
    </w:p>
    <w:p w14:paraId="561CBDFB">
      <w:pPr>
        <w:ind w:firstLine="570"/>
        <w:rPr>
          <w:rFonts w:ascii="宋体"/>
          <w:sz w:val="28"/>
          <w:szCs w:val="28"/>
        </w:rPr>
      </w:pPr>
    </w:p>
    <w:p w14:paraId="2F8FEA2E">
      <w:pPr>
        <w:ind w:firstLine="570"/>
        <w:rPr>
          <w:rFonts w:ascii="宋体"/>
          <w:sz w:val="28"/>
          <w:szCs w:val="28"/>
        </w:rPr>
      </w:pPr>
      <w:r>
        <w:rPr>
          <w:rFonts w:hint="eastAsia" w:ascii="宋体" w:hAnsi="宋体"/>
          <w:sz w:val="28"/>
          <w:szCs w:val="28"/>
        </w:rPr>
        <w:t>顺祝</w:t>
      </w:r>
    </w:p>
    <w:p w14:paraId="2F4E177C">
      <w:pPr>
        <w:rPr>
          <w:rFonts w:ascii="宋体"/>
          <w:sz w:val="28"/>
          <w:szCs w:val="28"/>
        </w:rPr>
      </w:pPr>
      <w:r>
        <w:rPr>
          <w:rFonts w:hint="eastAsia" w:ascii="宋体" w:hAnsi="宋体"/>
          <w:sz w:val="28"/>
          <w:szCs w:val="28"/>
        </w:rPr>
        <w:t>商祺！</w:t>
      </w:r>
    </w:p>
    <w:p w14:paraId="17D2C6EE">
      <w:pPr>
        <w:wordWrap w:val="0"/>
        <w:jc w:val="center"/>
        <w:rPr>
          <w:rFonts w:ascii="宋体"/>
          <w:sz w:val="28"/>
          <w:szCs w:val="28"/>
        </w:rPr>
      </w:pPr>
      <w:r>
        <w:rPr>
          <w:rFonts w:hint="eastAsia" w:ascii="宋体" w:hAnsi="宋体"/>
          <w:sz w:val="28"/>
          <w:szCs w:val="28"/>
        </w:rPr>
        <w:t xml:space="preserve">        公司名称（章）： </w:t>
      </w:r>
    </w:p>
    <w:p w14:paraId="42192EA4">
      <w:pPr>
        <w:wordWrap w:val="0"/>
        <w:jc w:val="center"/>
        <w:rPr>
          <w:rFonts w:ascii="宋体"/>
          <w:sz w:val="28"/>
          <w:szCs w:val="28"/>
        </w:rPr>
      </w:pPr>
      <w:r>
        <w:rPr>
          <w:rFonts w:hint="eastAsia" w:ascii="宋体" w:hAnsi="宋体"/>
          <w:sz w:val="28"/>
          <w:szCs w:val="28"/>
        </w:rPr>
        <w:t xml:space="preserve">         被授权代表签字： </w:t>
      </w:r>
    </w:p>
    <w:p w14:paraId="3CD78CAA">
      <w:pPr>
        <w:wordWrap w:val="0"/>
        <w:jc w:val="center"/>
        <w:rPr>
          <w:rFonts w:ascii="宋体" w:hAnsi="宋体"/>
          <w:sz w:val="28"/>
          <w:szCs w:val="28"/>
        </w:rPr>
      </w:pPr>
      <w:r>
        <w:rPr>
          <w:rFonts w:hint="eastAsia" w:ascii="宋体" w:hAnsi="宋体"/>
          <w:sz w:val="28"/>
          <w:szCs w:val="28"/>
        </w:rPr>
        <w:t xml:space="preserve">        日期： </w:t>
      </w:r>
    </w:p>
    <w:p w14:paraId="1F5DFE13">
      <w:pPr>
        <w:widowControl/>
        <w:jc w:val="left"/>
        <w:rPr>
          <w:rFonts w:eastAsia="Times New Roman"/>
          <w:sz w:val="23"/>
        </w:rPr>
      </w:pPr>
    </w:p>
    <w:p w14:paraId="15F1B834">
      <w:pPr>
        <w:spacing w:line="360" w:lineRule="auto"/>
        <w:jc w:val="left"/>
        <w:rPr>
          <w:rFonts w:ascii="宋体" w:hAnsi="宋体" w:cs="宋体"/>
          <w:b/>
          <w:sz w:val="28"/>
          <w:szCs w:val="28"/>
        </w:rPr>
      </w:pPr>
    </w:p>
    <w:p w14:paraId="70260DD4">
      <w:pPr>
        <w:spacing w:line="360" w:lineRule="auto"/>
        <w:jc w:val="left"/>
        <w:rPr>
          <w:rFonts w:ascii="宋体" w:hAnsi="宋体" w:cs="宋体"/>
          <w:b/>
          <w:sz w:val="28"/>
          <w:szCs w:val="28"/>
        </w:rPr>
      </w:pPr>
    </w:p>
    <w:p w14:paraId="07646D45">
      <w:pPr>
        <w:spacing w:line="280" w:lineRule="exact"/>
        <w:jc w:val="both"/>
        <w:rPr>
          <w:rFonts w:hint="eastAsia" w:ascii="宋体" w:hAnsi="宋体"/>
          <w:b/>
          <w:sz w:val="24"/>
          <w:lang w:val="en-US" w:eastAsia="zh-CN"/>
        </w:rPr>
      </w:pPr>
    </w:p>
    <w:p w14:paraId="5340E0A4">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w:t>
      </w:r>
    </w:p>
    <w:p w14:paraId="64158E71">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14:paraId="4B2F4A06">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14:paraId="2D16A8F7">
      <w:pPr>
        <w:spacing w:line="280" w:lineRule="exact"/>
        <w:rPr>
          <w:rFonts w:hint="eastAsia" w:ascii="宋体" w:hAnsi="宋体"/>
          <w:b/>
          <w:szCs w:val="21"/>
          <w:lang w:val="en-US" w:eastAsia="zh-CN"/>
        </w:rPr>
      </w:pPr>
      <w:r>
        <w:rPr>
          <w:rFonts w:hint="eastAsia" w:ascii="宋体" w:hAnsi="宋体"/>
          <w:b/>
          <w:szCs w:val="21"/>
          <w:lang w:val="en-US" w:eastAsia="zh-CN"/>
        </w:rPr>
        <w:t xml:space="preserve">                                </w:t>
      </w:r>
    </w:p>
    <w:p w14:paraId="0AF74341">
      <w:pPr>
        <w:spacing w:line="280" w:lineRule="exact"/>
        <w:ind w:firstLine="3373" w:firstLineChars="1600"/>
        <w:rPr>
          <w:rFonts w:hint="eastAsia" w:ascii="宋体" w:hAnsi="宋体" w:eastAsia="宋体"/>
          <w:b/>
          <w:szCs w:val="21"/>
          <w:lang w:val="en-US" w:eastAsia="zh-CN"/>
        </w:rPr>
      </w:pPr>
      <w:r>
        <w:rPr>
          <w:rFonts w:hint="eastAsia" w:ascii="宋体" w:hAnsi="宋体"/>
          <w:b/>
          <w:szCs w:val="21"/>
          <w:lang w:val="en-US" w:eastAsia="zh-CN"/>
        </w:rPr>
        <w:t>第一部分   协议书</w:t>
      </w:r>
    </w:p>
    <w:p w14:paraId="1255F40F">
      <w:pPr>
        <w:spacing w:line="280" w:lineRule="exact"/>
        <w:rPr>
          <w:rFonts w:hint="eastAsia" w:ascii="宋体" w:hAnsi="宋体"/>
          <w:b/>
          <w:szCs w:val="21"/>
        </w:rPr>
      </w:pPr>
      <w:r>
        <w:rPr>
          <w:rFonts w:hint="eastAsia" w:ascii="宋体" w:hAnsi="宋体"/>
          <w:b/>
          <w:szCs w:val="21"/>
        </w:rPr>
        <w:t xml:space="preserve">供方：                       </w:t>
      </w:r>
    </w:p>
    <w:p w14:paraId="5232912A">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14:paraId="7A2C7054">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14:paraId="4717A0FA">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w:t>
      </w:r>
      <w:r>
        <w:rPr>
          <w:rFonts w:hint="eastAsia" w:ascii="宋体" w:hAnsi="宋体" w:cs="宋体"/>
          <w:b/>
          <w:kern w:val="0"/>
          <w:szCs w:val="21"/>
          <w:lang w:val="en-US" w:eastAsia="zh-CN"/>
        </w:rPr>
        <w:t>含税</w:t>
      </w:r>
      <w:r>
        <w:rPr>
          <w:rFonts w:hint="eastAsia" w:ascii="宋体" w:hAnsi="宋体" w:cs="宋体"/>
          <w:b/>
          <w:kern w:val="0"/>
          <w:szCs w:val="21"/>
        </w:rPr>
        <w:t>单价、</w:t>
      </w:r>
      <w:r>
        <w:rPr>
          <w:rFonts w:hint="eastAsia" w:ascii="宋体" w:hAnsi="宋体" w:cs="宋体"/>
          <w:b/>
          <w:kern w:val="0"/>
          <w:szCs w:val="21"/>
          <w:lang w:val="en-US" w:eastAsia="zh-CN"/>
        </w:rPr>
        <w:t>含税总</w:t>
      </w:r>
      <w:r>
        <w:rPr>
          <w:rFonts w:hint="eastAsia" w:ascii="宋体" w:hAnsi="宋体" w:cs="宋体"/>
          <w:b/>
          <w:kern w:val="0"/>
          <w:szCs w:val="21"/>
        </w:rPr>
        <w:t>金额、</w:t>
      </w:r>
      <w:r>
        <w:rPr>
          <w:rFonts w:hint="eastAsia" w:ascii="宋体" w:hAnsi="宋体" w:cs="宋体"/>
          <w:b/>
          <w:kern w:val="0"/>
          <w:szCs w:val="21"/>
          <w:lang w:val="en-US" w:eastAsia="zh-CN"/>
        </w:rPr>
        <w:t>不含税总金额、税金、</w:t>
      </w:r>
      <w:r>
        <w:rPr>
          <w:rFonts w:hint="eastAsia" w:ascii="宋体" w:hAnsi="宋体" w:cs="宋体"/>
          <w:b/>
          <w:kern w:val="0"/>
          <w:szCs w:val="21"/>
        </w:rPr>
        <w:t>备注:</w:t>
      </w:r>
    </w:p>
    <w:tbl>
      <w:tblPr>
        <w:tblStyle w:val="8"/>
        <w:tblW w:w="959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584"/>
        <w:gridCol w:w="824"/>
        <w:gridCol w:w="327"/>
        <w:gridCol w:w="584"/>
        <w:gridCol w:w="641"/>
        <w:gridCol w:w="840"/>
        <w:gridCol w:w="1080"/>
        <w:gridCol w:w="917"/>
        <w:gridCol w:w="1520"/>
        <w:gridCol w:w="1520"/>
      </w:tblGrid>
      <w:tr w14:paraId="0B6E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7" w:hRule="atLeast"/>
        </w:trPr>
        <w:tc>
          <w:tcPr>
            <w:tcW w:w="759" w:type="dxa"/>
            <w:vAlign w:val="center"/>
          </w:tcPr>
          <w:p w14:paraId="352E06CF">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584" w:type="dxa"/>
            <w:vAlign w:val="center"/>
          </w:tcPr>
          <w:p w14:paraId="75A4AD36">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151" w:type="dxa"/>
            <w:gridSpan w:val="2"/>
            <w:vAlign w:val="center"/>
          </w:tcPr>
          <w:p w14:paraId="60405725">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584" w:type="dxa"/>
            <w:vAlign w:val="center"/>
          </w:tcPr>
          <w:p w14:paraId="53DFF3C1">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41" w:type="dxa"/>
            <w:vAlign w:val="center"/>
          </w:tcPr>
          <w:p w14:paraId="07F3614D">
            <w:pPr>
              <w:spacing w:line="280" w:lineRule="exact"/>
              <w:jc w:val="center"/>
              <w:rPr>
                <w:rFonts w:hint="eastAsia" w:ascii="宋体" w:hAnsi="宋体"/>
                <w:color w:val="000000"/>
                <w:szCs w:val="21"/>
              </w:rPr>
            </w:pPr>
            <w:r>
              <w:rPr>
                <w:rFonts w:hint="eastAsia" w:ascii="宋体" w:hAnsi="宋体"/>
                <w:color w:val="000000"/>
                <w:szCs w:val="21"/>
              </w:rPr>
              <w:t>数量</w:t>
            </w:r>
          </w:p>
        </w:tc>
        <w:tc>
          <w:tcPr>
            <w:tcW w:w="840" w:type="dxa"/>
            <w:vAlign w:val="center"/>
          </w:tcPr>
          <w:p w14:paraId="18432CF5">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80" w:type="dxa"/>
            <w:vAlign w:val="center"/>
          </w:tcPr>
          <w:p w14:paraId="2730C361">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917" w:type="dxa"/>
            <w:vAlign w:val="center"/>
          </w:tcPr>
          <w:p w14:paraId="54170C19">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不含税总金额（元）</w:t>
            </w:r>
          </w:p>
        </w:tc>
        <w:tc>
          <w:tcPr>
            <w:tcW w:w="1520" w:type="dxa"/>
            <w:vAlign w:val="center"/>
          </w:tcPr>
          <w:p w14:paraId="6A53E086">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税金（元）</w:t>
            </w:r>
          </w:p>
        </w:tc>
        <w:tc>
          <w:tcPr>
            <w:tcW w:w="1520" w:type="dxa"/>
            <w:vAlign w:val="center"/>
          </w:tcPr>
          <w:p w14:paraId="4168DB57">
            <w:pPr>
              <w:spacing w:line="280" w:lineRule="exact"/>
              <w:jc w:val="center"/>
              <w:rPr>
                <w:rFonts w:hint="eastAsia" w:ascii="宋体" w:hAnsi="宋体"/>
                <w:color w:val="000000"/>
                <w:szCs w:val="21"/>
              </w:rPr>
            </w:pPr>
            <w:r>
              <w:rPr>
                <w:rFonts w:hint="eastAsia" w:ascii="宋体" w:hAnsi="宋体"/>
                <w:color w:val="000000"/>
                <w:szCs w:val="21"/>
              </w:rPr>
              <w:t>备注</w:t>
            </w:r>
          </w:p>
        </w:tc>
      </w:tr>
      <w:tr w14:paraId="6422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9" w:type="dxa"/>
            <w:vAlign w:val="center"/>
          </w:tcPr>
          <w:p w14:paraId="7A475DCC">
            <w:pPr>
              <w:spacing w:line="280" w:lineRule="exact"/>
              <w:jc w:val="both"/>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活性氧化铝</w:t>
            </w:r>
          </w:p>
        </w:tc>
        <w:tc>
          <w:tcPr>
            <w:tcW w:w="584" w:type="dxa"/>
            <w:vAlign w:val="center"/>
          </w:tcPr>
          <w:p w14:paraId="740AF404">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151" w:type="dxa"/>
            <w:gridSpan w:val="2"/>
            <w:vAlign w:val="center"/>
          </w:tcPr>
          <w:p w14:paraId="7E1B4AB4">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详见技术要求</w:t>
            </w:r>
          </w:p>
        </w:tc>
        <w:tc>
          <w:tcPr>
            <w:tcW w:w="584" w:type="dxa"/>
            <w:vAlign w:val="center"/>
          </w:tcPr>
          <w:p w14:paraId="2BD66ACA">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吨</w:t>
            </w:r>
          </w:p>
        </w:tc>
        <w:tc>
          <w:tcPr>
            <w:tcW w:w="641" w:type="dxa"/>
            <w:vAlign w:val="center"/>
          </w:tcPr>
          <w:p w14:paraId="22E1E996">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10</w:t>
            </w:r>
          </w:p>
        </w:tc>
        <w:tc>
          <w:tcPr>
            <w:tcW w:w="840" w:type="dxa"/>
            <w:vAlign w:val="center"/>
          </w:tcPr>
          <w:p w14:paraId="428DAF22">
            <w:pPr>
              <w:spacing w:line="280" w:lineRule="exact"/>
              <w:jc w:val="center"/>
              <w:rPr>
                <w:rFonts w:hint="default" w:ascii="宋体" w:hAnsi="宋体" w:cs="Times New Roman"/>
                <w:color w:val="000000"/>
                <w:sz w:val="21"/>
                <w:szCs w:val="21"/>
                <w:lang w:val="en-US" w:eastAsia="zh-CN"/>
              </w:rPr>
            </w:pPr>
          </w:p>
        </w:tc>
        <w:tc>
          <w:tcPr>
            <w:tcW w:w="1080" w:type="dxa"/>
            <w:vAlign w:val="center"/>
          </w:tcPr>
          <w:p w14:paraId="0885FE72">
            <w:pPr>
              <w:spacing w:line="280" w:lineRule="exact"/>
              <w:jc w:val="center"/>
              <w:rPr>
                <w:rFonts w:hint="default" w:ascii="宋体" w:hAnsi="宋体" w:cs="Times New Roman"/>
                <w:color w:val="000000"/>
                <w:sz w:val="21"/>
                <w:szCs w:val="21"/>
                <w:lang w:val="en-US" w:eastAsia="zh-CN"/>
              </w:rPr>
            </w:pPr>
          </w:p>
        </w:tc>
        <w:tc>
          <w:tcPr>
            <w:tcW w:w="917" w:type="dxa"/>
            <w:vAlign w:val="center"/>
          </w:tcPr>
          <w:p w14:paraId="36A87BB7">
            <w:pPr>
              <w:spacing w:line="280" w:lineRule="exact"/>
              <w:jc w:val="center"/>
              <w:rPr>
                <w:rFonts w:hint="eastAsia" w:ascii="宋体" w:hAnsi="宋体" w:cs="Times New Roman"/>
                <w:color w:val="000000"/>
                <w:sz w:val="21"/>
                <w:szCs w:val="21"/>
                <w:lang w:val="en-US" w:eastAsia="zh-CN"/>
              </w:rPr>
            </w:pPr>
          </w:p>
        </w:tc>
        <w:tc>
          <w:tcPr>
            <w:tcW w:w="1520" w:type="dxa"/>
            <w:vAlign w:val="center"/>
          </w:tcPr>
          <w:p w14:paraId="4ED5E16D">
            <w:pPr>
              <w:spacing w:line="280" w:lineRule="exact"/>
              <w:jc w:val="center"/>
              <w:rPr>
                <w:rFonts w:hint="eastAsia" w:ascii="宋体" w:hAnsi="宋体" w:cs="Times New Roman"/>
                <w:color w:val="000000"/>
                <w:sz w:val="21"/>
                <w:szCs w:val="21"/>
                <w:lang w:val="en-US" w:eastAsia="zh-CN"/>
              </w:rPr>
            </w:pPr>
          </w:p>
        </w:tc>
        <w:tc>
          <w:tcPr>
            <w:tcW w:w="1520" w:type="dxa"/>
            <w:vAlign w:val="center"/>
          </w:tcPr>
          <w:p w14:paraId="00443528">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14:paraId="2D0D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7" w:type="dxa"/>
            <w:gridSpan w:val="3"/>
            <w:vAlign w:val="center"/>
          </w:tcPr>
          <w:p w14:paraId="234B5D01">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7429" w:type="dxa"/>
            <w:gridSpan w:val="8"/>
            <w:vAlign w:val="center"/>
          </w:tcPr>
          <w:p w14:paraId="476F7B80">
            <w:pPr>
              <w:spacing w:line="280" w:lineRule="exact"/>
              <w:rPr>
                <w:rFonts w:hint="eastAsia" w:ascii="宋体" w:hAnsi="宋体"/>
                <w:color w:val="000000"/>
                <w:szCs w:val="21"/>
              </w:rPr>
            </w:pPr>
          </w:p>
        </w:tc>
      </w:tr>
    </w:tbl>
    <w:p w14:paraId="5405416A">
      <w:pPr>
        <w:spacing w:line="280" w:lineRule="exact"/>
        <w:ind w:firstLine="420" w:firstLineChars="200"/>
        <w:rPr>
          <w:rFonts w:hint="eastAsia" w:ascii="宋体" w:hAnsi="宋体"/>
          <w:b/>
          <w:szCs w:val="21"/>
          <w:lang w:val="en-US" w:eastAsia="zh-CN"/>
        </w:rPr>
      </w:pPr>
      <w:r>
        <w:rPr>
          <w:rFonts w:hint="eastAsia" w:ascii="宋体" w:hAnsi="宋体"/>
          <w:szCs w:val="21"/>
        </w:rPr>
        <w:t>上述数量</w:t>
      </w:r>
      <w:r>
        <w:rPr>
          <w:rFonts w:hint="eastAsia" w:ascii="宋体" w:hAnsi="宋体"/>
          <w:szCs w:val="21"/>
          <w:lang w:val="en-US" w:eastAsia="zh-CN"/>
        </w:rPr>
        <w:t>及含税总金额均</w:t>
      </w:r>
      <w:r>
        <w:rPr>
          <w:rFonts w:hint="eastAsia" w:ascii="宋体" w:hAnsi="宋体"/>
          <w:szCs w:val="21"/>
        </w:rPr>
        <w:t>为暂定，需方可根据需要通过订单形式进行调整，双方按实际交货数量及实际交易价格结算。本合同约定价格中的含税价格，对应的增值税率为13%，在合同履行期间，如遇国家的税率调整，则，调整后的含税单价=原含税送到单价/1.13*新增值税率；</w:t>
      </w:r>
    </w:p>
    <w:p w14:paraId="40F7128C">
      <w:pPr>
        <w:spacing w:line="280" w:lineRule="exact"/>
        <w:rPr>
          <w:rFonts w:ascii="宋体" w:hAnsi="宋体"/>
          <w:b/>
          <w:color w:val="000000"/>
          <w:szCs w:val="21"/>
        </w:rPr>
      </w:pPr>
      <w:r>
        <w:rPr>
          <w:rFonts w:hint="eastAsia" w:ascii="宋体" w:hAnsi="宋体"/>
          <w:b/>
          <w:szCs w:val="21"/>
          <w:lang w:val="en-US" w:eastAsia="zh-CN"/>
        </w:rPr>
        <w:t>二</w:t>
      </w:r>
      <w:r>
        <w:rPr>
          <w:rFonts w:hint="eastAsia" w:ascii="宋体" w:hAnsi="宋体"/>
          <w:b/>
          <w:szCs w:val="21"/>
        </w:rPr>
        <w:t>、</w:t>
      </w:r>
      <w:r>
        <w:rPr>
          <w:rFonts w:hint="eastAsia" w:ascii="宋体" w:hAnsi="宋体"/>
          <w:b/>
          <w:color w:val="000000"/>
          <w:szCs w:val="21"/>
        </w:rPr>
        <w:t>供货有效期：</w:t>
      </w:r>
    </w:p>
    <w:p w14:paraId="5033187C">
      <w:pPr>
        <w:spacing w:line="280" w:lineRule="exact"/>
        <w:ind w:firstLine="420" w:firstLineChars="200"/>
        <w:rPr>
          <w:rFonts w:hint="eastAsia" w:ascii="宋体" w:hAnsi="宋体"/>
          <w:b/>
          <w:szCs w:val="21"/>
        </w:rPr>
      </w:pPr>
      <w:r>
        <w:rPr>
          <w:rFonts w:hint="eastAsia" w:ascii="宋体" w:hAnsi="宋体"/>
          <w:color w:val="000000"/>
          <w:szCs w:val="21"/>
        </w:rPr>
        <w:t>本合同供货有效期</w:t>
      </w:r>
      <w:r>
        <w:rPr>
          <w:rFonts w:hint="eastAsia" w:ascii="宋体" w:hAnsi="宋体"/>
          <w:color w:val="000000"/>
          <w:szCs w:val="21"/>
          <w:lang w:eastAsia="zh-CN"/>
        </w:rPr>
        <w:t>：</w:t>
      </w:r>
      <w:r>
        <w:rPr>
          <w:rFonts w:hint="eastAsia" w:ascii="宋体" w:hAnsi="宋体"/>
          <w:color w:val="000000"/>
          <w:szCs w:val="21"/>
        </w:rPr>
        <w:t>从</w:t>
      </w:r>
      <w:r>
        <w:rPr>
          <w:rFonts w:hint="eastAsia" w:ascii="宋体" w:hAnsi="宋体"/>
          <w:color w:val="000000"/>
          <w:szCs w:val="21"/>
          <w:u w:val="single"/>
        </w:rPr>
        <w:t xml:space="preserve"> 20</w:t>
      </w:r>
      <w:r>
        <w:rPr>
          <w:rFonts w:hint="eastAsia" w:ascii="宋体" w:hAnsi="宋体"/>
          <w:color w:val="000000"/>
          <w:szCs w:val="21"/>
          <w:u w:val="single"/>
          <w:lang w:val="en-US" w:eastAsia="zh-CN"/>
        </w:rPr>
        <w:t>24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lang w:val="en-US" w:eastAsia="zh-CN"/>
        </w:rPr>
        <w:t>10</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lang w:val="en-US" w:eastAsia="zh-CN"/>
        </w:rPr>
        <w:t>12</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31</w:t>
      </w:r>
      <w:r>
        <w:rPr>
          <w:rFonts w:hint="eastAsia" w:ascii="宋体" w:hAnsi="宋体"/>
          <w:color w:val="000000"/>
          <w:szCs w:val="21"/>
        </w:rPr>
        <w:t>日。本合同供货有效期届满与否，不影响本合同其他条款和组成部分的效力。</w:t>
      </w:r>
    </w:p>
    <w:p w14:paraId="20F466F2">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三、</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供方需提供所供产品质量检验证明，以需方指定单位验收为准，如化验不合格，需方有权退换货，退换货所需的各项费用由供方承担 </w:t>
      </w:r>
      <w:r>
        <w:rPr>
          <w:rFonts w:hint="eastAsia" w:ascii="宋体" w:hAnsi="宋体"/>
          <w:color w:val="000000"/>
          <w:szCs w:val="21"/>
          <w:u w:val="none"/>
          <w:lang w:eastAsia="zh-CN"/>
        </w:rPr>
        <w:t>。</w:t>
      </w:r>
    </w:p>
    <w:p w14:paraId="5C4CF19D">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14:paraId="60F97D3A">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u w:val="single"/>
          <w:lang w:val="en-US" w:eastAsia="zh-CN"/>
        </w:rPr>
        <w:t>见附件技术要求，</w:t>
      </w:r>
      <w:r>
        <w:rPr>
          <w:rFonts w:hint="eastAsia" w:ascii="宋体" w:hAnsi="宋体" w:cs="宋体"/>
          <w:color w:val="000000"/>
          <w:u w:val="single" w:color="000000"/>
        </w:rPr>
        <w:t>供方需提供所供产品质量检验证明，以需方指定单位验收为准</w:t>
      </w:r>
      <w:r>
        <w:rPr>
          <w:rFonts w:hint="eastAsia" w:ascii="宋体" w:hAnsi="宋体" w:cs="宋体"/>
          <w:color w:val="000000"/>
          <w:u w:val="single" w:color="000000"/>
          <w:lang w:eastAsia="zh-CN"/>
        </w:rPr>
        <w:t>。</w:t>
      </w:r>
      <w:r>
        <w:rPr>
          <w:rFonts w:hint="eastAsia" w:ascii="宋体" w:hAnsi="宋体" w:cs="Arial"/>
          <w:szCs w:val="21"/>
          <w:u w:val="single"/>
          <w:lang w:val="en-US" w:eastAsia="zh-CN"/>
        </w:rPr>
        <w:t xml:space="preserve">  </w:t>
      </w:r>
      <w:r>
        <w:rPr>
          <w:rFonts w:hint="eastAsia" w:ascii="宋体" w:hAnsi="宋体" w:cs="Arial"/>
          <w:szCs w:val="21"/>
          <w:lang w:val="en-US" w:eastAsia="zh-CN"/>
        </w:rPr>
        <w:t xml:space="preserve"> </w:t>
      </w:r>
    </w:p>
    <w:p w14:paraId="3EFC106C">
      <w:pPr>
        <w:spacing w:line="280" w:lineRule="exact"/>
        <w:rPr>
          <w:rFonts w:hint="eastAsia" w:ascii="宋体" w:hAnsi="宋体"/>
          <w:szCs w:val="21"/>
        </w:rPr>
      </w:pPr>
      <w:r>
        <w:rPr>
          <w:rFonts w:hint="eastAsia" w:ascii="宋体" w:hAnsi="宋体"/>
          <w:b/>
          <w:szCs w:val="21"/>
          <w:lang w:val="en-US" w:eastAsia="zh-CN"/>
        </w:rPr>
        <w:t>四</w:t>
      </w:r>
      <w:r>
        <w:rPr>
          <w:rFonts w:hint="eastAsia" w:ascii="宋体" w:hAnsi="宋体"/>
          <w:b/>
          <w:szCs w:val="21"/>
        </w:rPr>
        <w:t>、包装方式：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4 </w:t>
      </w:r>
      <w:r>
        <w:rPr>
          <w:rFonts w:hint="eastAsia" w:ascii="宋体" w:hAnsi="宋体"/>
          <w:szCs w:val="21"/>
          <w:u w:val="single"/>
        </w:rPr>
        <w:t xml:space="preserve"> </w:t>
      </w:r>
      <w:r>
        <w:rPr>
          <w:rFonts w:hint="eastAsia" w:ascii="宋体" w:hAnsi="宋体"/>
          <w:szCs w:val="21"/>
        </w:rPr>
        <w:t>款执行。</w:t>
      </w:r>
    </w:p>
    <w:p w14:paraId="51B08CCF">
      <w:pPr>
        <w:spacing w:line="360" w:lineRule="auto"/>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lang w:eastAsia="zh-CN"/>
        </w:rPr>
        <w:t>：</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要求为桶装，运输时将干燥剂码放于栈板托盘之上，方便货到现场后用叉车卸货，要求能满足保存二年以上时间。</w:t>
      </w:r>
    </w:p>
    <w:p w14:paraId="3585DA6C">
      <w:pPr>
        <w:spacing w:line="280" w:lineRule="exact"/>
        <w:ind w:firstLine="420" w:firstLineChars="200"/>
        <w:rPr>
          <w:rFonts w:hint="eastAsia" w:ascii="宋体" w:hAnsi="宋体"/>
          <w:szCs w:val="21"/>
          <w:u w:val="single"/>
        </w:rPr>
      </w:pPr>
    </w:p>
    <w:p w14:paraId="09F50522">
      <w:pPr>
        <w:spacing w:line="280" w:lineRule="exact"/>
        <w:rPr>
          <w:rFonts w:hint="eastAsia" w:ascii="宋体" w:hAnsi="宋体"/>
          <w:szCs w:val="21"/>
        </w:rPr>
      </w:pPr>
      <w:r>
        <w:rPr>
          <w:rFonts w:hint="eastAsia" w:ascii="宋体" w:hAnsi="宋体"/>
          <w:b/>
          <w:szCs w:val="21"/>
          <w:lang w:val="en-US" w:eastAsia="zh-CN"/>
        </w:rPr>
        <w:t>五</w:t>
      </w:r>
      <w:r>
        <w:rPr>
          <w:rFonts w:hint="eastAsia" w:ascii="宋体" w:hAnsi="宋体"/>
          <w:b/>
          <w:szCs w:val="21"/>
        </w:rPr>
        <w:t>、货款结算与支付方式：</w:t>
      </w:r>
      <w:r>
        <w:rPr>
          <w:rFonts w:hint="eastAsia" w:ascii="宋体" w:hAnsi="宋体"/>
          <w:szCs w:val="21"/>
        </w:rPr>
        <w:t xml:space="preserve"> </w:t>
      </w:r>
    </w:p>
    <w:p w14:paraId="33AFDB8B">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 xml:space="preserve">现汇支付，分批到货、分批付款。每批产品到货后，经需方或需方指定单位： </w:t>
      </w:r>
      <w:r>
        <w:rPr>
          <w:rFonts w:hint="eastAsia" w:ascii="宋体" w:hAnsi="宋体"/>
          <w:b w:val="0"/>
          <w:bCs/>
          <w:szCs w:val="21"/>
          <w:u w:val="single"/>
          <w:lang w:val="en-US" w:eastAsia="zh-CN"/>
        </w:rPr>
        <w:t>福建福海创石油化工有限公司</w:t>
      </w:r>
      <w:r>
        <w:rPr>
          <w:rFonts w:hint="eastAsia" w:ascii="宋体" w:hAnsi="宋体"/>
          <w:b w:val="0"/>
          <w:bCs/>
          <w:szCs w:val="21"/>
          <w:lang w:val="en-US" w:eastAsia="zh-CN"/>
        </w:rPr>
        <w:t>（本合同中统称“需方”）根据本签订的合同及技术要求约定的验收、性能考核合格三个月后支付90%到货款，余下10%的质保金在满足使用一年后付清。合格后</w:t>
      </w:r>
      <w:r>
        <w:rPr>
          <w:rFonts w:hint="eastAsia" w:ascii="宋体" w:hAnsi="宋体"/>
          <w:b w:val="0"/>
          <w:bCs/>
          <w:szCs w:val="21"/>
        </w:rPr>
        <w:t>供方提供相应金额的13%增值税专用发票以及结算所需的各类清单，需方收到并确认无误后支付货款。</w:t>
      </w:r>
    </w:p>
    <w:p w14:paraId="72D38B32">
      <w:pPr>
        <w:spacing w:line="280" w:lineRule="exact"/>
        <w:rPr>
          <w:rFonts w:ascii="宋体" w:hAnsi="宋体"/>
          <w:szCs w:val="21"/>
        </w:rPr>
      </w:pPr>
      <w:r>
        <w:rPr>
          <w:rFonts w:hint="eastAsia" w:ascii="宋体" w:hAnsi="宋体"/>
          <w:b/>
          <w:szCs w:val="21"/>
          <w:lang w:val="en-US" w:eastAsia="zh-CN"/>
        </w:rPr>
        <w:t>六</w:t>
      </w:r>
      <w:r>
        <w:rPr>
          <w:rFonts w:hint="eastAsia" w:ascii="宋体" w:hAnsi="宋体"/>
          <w:b/>
          <w:szCs w:val="21"/>
        </w:rPr>
        <w:t>、交付期限：</w:t>
      </w:r>
    </w:p>
    <w:p w14:paraId="25C6B524">
      <w:pPr>
        <w:spacing w:line="280" w:lineRule="exact"/>
        <w:ind w:firstLine="420" w:firstLineChars="200"/>
        <w:rPr>
          <w:rFonts w:hint="eastAsia" w:ascii="宋体" w:hAnsi="宋体"/>
          <w:b w:val="0"/>
          <w:bCs/>
          <w:szCs w:val="21"/>
          <w:lang w:val="en-US" w:eastAsia="zh-CN"/>
        </w:rPr>
      </w:pPr>
      <w:r>
        <w:rPr>
          <w:rFonts w:hint="eastAsia" w:ascii="宋体" w:hAnsi="宋体"/>
          <w:b w:val="0"/>
          <w:bCs/>
          <w:szCs w:val="21"/>
          <w:lang w:val="en-US" w:eastAsia="zh-CN"/>
        </w:rPr>
        <w:t>分批到货，首批5吨需于2024年10月具备供货条件，具体到货时间以需方通知为准。供方接到需方通知后需1周内发货。</w:t>
      </w:r>
    </w:p>
    <w:p w14:paraId="6D650824">
      <w:pPr>
        <w:spacing w:line="280" w:lineRule="exact"/>
        <w:rPr>
          <w:rFonts w:ascii="宋体" w:hAnsi="宋体"/>
          <w:sz w:val="24"/>
        </w:rPr>
      </w:pPr>
      <w:r>
        <w:rPr>
          <w:rFonts w:hint="eastAsia" w:ascii="宋体" w:hAnsi="宋体"/>
          <w:b/>
          <w:szCs w:val="21"/>
          <w:lang w:val="en-US" w:eastAsia="zh-CN"/>
        </w:rPr>
        <w:t>七</w:t>
      </w:r>
      <w:r>
        <w:rPr>
          <w:rFonts w:hint="eastAsia" w:ascii="宋体" w:hAnsi="宋体"/>
          <w:b/>
          <w:szCs w:val="21"/>
        </w:rPr>
        <w:t>、交付方式：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14:paraId="5A9D1119">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14:paraId="22A716C9">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14:paraId="45AEE118">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14:paraId="018D5F0A">
      <w:pPr>
        <w:spacing w:line="280" w:lineRule="exact"/>
        <w:rPr>
          <w:rFonts w:hint="eastAsia" w:ascii="宋体" w:hAnsi="宋体"/>
          <w:szCs w:val="21"/>
        </w:rPr>
      </w:pPr>
      <w:r>
        <w:rPr>
          <w:rFonts w:hint="eastAsia" w:ascii="宋体" w:hAnsi="宋体"/>
          <w:b/>
          <w:szCs w:val="21"/>
          <w:lang w:val="en-US" w:eastAsia="zh-CN"/>
        </w:rPr>
        <w:t>八</w:t>
      </w:r>
      <w:r>
        <w:rPr>
          <w:rFonts w:hint="eastAsia" w:ascii="宋体" w:hAnsi="宋体"/>
          <w:b/>
          <w:szCs w:val="21"/>
        </w:rPr>
        <w:t>、</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14:paraId="570BE8F2">
      <w:pPr>
        <w:spacing w:line="280" w:lineRule="exact"/>
        <w:rPr>
          <w:rFonts w:hint="eastAsia" w:ascii="宋体" w:hAnsi="宋体"/>
          <w:b/>
          <w:szCs w:val="21"/>
        </w:rPr>
      </w:pPr>
    </w:p>
    <w:tbl>
      <w:tblPr>
        <w:tblStyle w:val="8"/>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14:paraId="2B8B83EF">
        <w:tblPrEx>
          <w:tblCellMar>
            <w:top w:w="0" w:type="dxa"/>
            <w:left w:w="108" w:type="dxa"/>
            <w:bottom w:w="0" w:type="dxa"/>
            <w:right w:w="108" w:type="dxa"/>
          </w:tblCellMar>
        </w:tblPrEx>
        <w:trPr>
          <w:jc w:val="center"/>
        </w:trPr>
        <w:tc>
          <w:tcPr>
            <w:tcW w:w="1473" w:type="dxa"/>
            <w:gridSpan w:val="4"/>
            <w:vAlign w:val="center"/>
          </w:tcPr>
          <w:p w14:paraId="5E28DFC0">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14:paraId="25CE1C06">
            <w:pPr>
              <w:spacing w:line="280" w:lineRule="exact"/>
              <w:rPr>
                <w:rFonts w:hint="default" w:eastAsia="宋体"/>
                <w:b/>
                <w:color w:val="000000"/>
                <w:szCs w:val="21"/>
                <w:lang w:val="en-US" w:eastAsia="zh-CN"/>
              </w:rPr>
            </w:pPr>
          </w:p>
        </w:tc>
        <w:tc>
          <w:tcPr>
            <w:tcW w:w="1377" w:type="dxa"/>
            <w:gridSpan w:val="4"/>
            <w:vAlign w:val="center"/>
          </w:tcPr>
          <w:p w14:paraId="3011850F">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14:paraId="47B4FA1C">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14:paraId="4BFD5DB0">
        <w:tblPrEx>
          <w:tblCellMar>
            <w:top w:w="0" w:type="dxa"/>
            <w:left w:w="108" w:type="dxa"/>
            <w:bottom w:w="0" w:type="dxa"/>
            <w:right w:w="108" w:type="dxa"/>
          </w:tblCellMar>
        </w:tblPrEx>
        <w:trPr>
          <w:jc w:val="center"/>
        </w:trPr>
        <w:tc>
          <w:tcPr>
            <w:tcW w:w="1473" w:type="dxa"/>
            <w:gridSpan w:val="4"/>
            <w:vAlign w:val="center"/>
          </w:tcPr>
          <w:p w14:paraId="2A15CA81">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14:paraId="169D0AC0">
            <w:pPr>
              <w:spacing w:line="280" w:lineRule="exact"/>
              <w:rPr>
                <w:rFonts w:hint="eastAsia"/>
                <w:color w:val="000000"/>
                <w:szCs w:val="21"/>
              </w:rPr>
            </w:pPr>
          </w:p>
        </w:tc>
        <w:tc>
          <w:tcPr>
            <w:tcW w:w="1377" w:type="dxa"/>
            <w:gridSpan w:val="4"/>
            <w:vAlign w:val="center"/>
          </w:tcPr>
          <w:p w14:paraId="6828410B">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14:paraId="769B51AB">
            <w:pPr>
              <w:spacing w:line="280" w:lineRule="exact"/>
              <w:rPr>
                <w:rFonts w:hint="eastAsia"/>
                <w:color w:val="000000"/>
                <w:szCs w:val="21"/>
              </w:rPr>
            </w:pPr>
          </w:p>
        </w:tc>
      </w:tr>
      <w:tr w14:paraId="7E4C790B">
        <w:tblPrEx>
          <w:tblCellMar>
            <w:top w:w="0" w:type="dxa"/>
            <w:left w:w="108" w:type="dxa"/>
            <w:bottom w:w="0" w:type="dxa"/>
            <w:right w:w="108" w:type="dxa"/>
          </w:tblCellMar>
        </w:tblPrEx>
        <w:trPr>
          <w:jc w:val="center"/>
        </w:trPr>
        <w:tc>
          <w:tcPr>
            <w:tcW w:w="843" w:type="dxa"/>
            <w:vAlign w:val="center"/>
          </w:tcPr>
          <w:p w14:paraId="7A492AE6">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14:paraId="3B12FB22">
            <w:pPr>
              <w:spacing w:line="280" w:lineRule="exact"/>
              <w:rPr>
                <w:rFonts w:hint="eastAsia"/>
                <w:color w:val="000000"/>
                <w:sz w:val="18"/>
                <w:szCs w:val="18"/>
              </w:rPr>
            </w:pPr>
          </w:p>
        </w:tc>
        <w:tc>
          <w:tcPr>
            <w:tcW w:w="842" w:type="dxa"/>
            <w:vAlign w:val="center"/>
          </w:tcPr>
          <w:p w14:paraId="6308C9C8">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14:paraId="7B8D5214">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14:paraId="2F79FBEC">
        <w:tblPrEx>
          <w:tblCellMar>
            <w:top w:w="0" w:type="dxa"/>
            <w:left w:w="108" w:type="dxa"/>
            <w:bottom w:w="0" w:type="dxa"/>
            <w:right w:w="108" w:type="dxa"/>
          </w:tblCellMar>
        </w:tblPrEx>
        <w:trPr>
          <w:jc w:val="center"/>
        </w:trPr>
        <w:tc>
          <w:tcPr>
            <w:tcW w:w="1263" w:type="dxa"/>
            <w:gridSpan w:val="3"/>
            <w:vAlign w:val="center"/>
          </w:tcPr>
          <w:p w14:paraId="6A397DD2">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14:paraId="62B037C4">
            <w:pPr>
              <w:spacing w:line="280" w:lineRule="exact"/>
              <w:rPr>
                <w:rFonts w:hint="eastAsia"/>
                <w:color w:val="000000"/>
                <w:szCs w:val="21"/>
              </w:rPr>
            </w:pPr>
          </w:p>
        </w:tc>
        <w:tc>
          <w:tcPr>
            <w:tcW w:w="1260" w:type="dxa"/>
            <w:gridSpan w:val="3"/>
            <w:vAlign w:val="center"/>
          </w:tcPr>
          <w:p w14:paraId="54FAC44A">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14:paraId="067147E4">
            <w:pPr>
              <w:spacing w:line="280" w:lineRule="exact"/>
              <w:rPr>
                <w:rFonts w:hint="eastAsia"/>
                <w:color w:val="000000"/>
                <w:szCs w:val="21"/>
              </w:rPr>
            </w:pPr>
          </w:p>
        </w:tc>
      </w:tr>
      <w:tr w14:paraId="151242EF">
        <w:tblPrEx>
          <w:tblCellMar>
            <w:top w:w="0" w:type="dxa"/>
            <w:left w:w="108" w:type="dxa"/>
            <w:bottom w:w="0" w:type="dxa"/>
            <w:right w:w="108" w:type="dxa"/>
          </w:tblCellMar>
        </w:tblPrEx>
        <w:trPr>
          <w:jc w:val="center"/>
        </w:trPr>
        <w:tc>
          <w:tcPr>
            <w:tcW w:w="2733" w:type="dxa"/>
            <w:gridSpan w:val="5"/>
            <w:vAlign w:val="center"/>
          </w:tcPr>
          <w:p w14:paraId="2EE27564">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14:paraId="7895A409">
            <w:pPr>
              <w:spacing w:line="280" w:lineRule="exact"/>
              <w:rPr>
                <w:rFonts w:hint="eastAsia"/>
                <w:color w:val="000000"/>
                <w:szCs w:val="21"/>
              </w:rPr>
            </w:pPr>
          </w:p>
        </w:tc>
        <w:tc>
          <w:tcPr>
            <w:tcW w:w="2732" w:type="dxa"/>
            <w:gridSpan w:val="5"/>
            <w:vAlign w:val="center"/>
          </w:tcPr>
          <w:p w14:paraId="7ACCDF33">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14:paraId="0AE38A9B">
            <w:pPr>
              <w:spacing w:line="280" w:lineRule="exact"/>
              <w:rPr>
                <w:rFonts w:hint="eastAsia"/>
                <w:color w:val="000000"/>
                <w:szCs w:val="21"/>
              </w:rPr>
            </w:pPr>
          </w:p>
        </w:tc>
      </w:tr>
      <w:tr w14:paraId="7580F53D">
        <w:tblPrEx>
          <w:tblCellMar>
            <w:top w:w="0" w:type="dxa"/>
            <w:left w:w="108" w:type="dxa"/>
            <w:bottom w:w="0" w:type="dxa"/>
            <w:right w:w="108" w:type="dxa"/>
          </w:tblCellMar>
        </w:tblPrEx>
        <w:trPr>
          <w:jc w:val="center"/>
        </w:trPr>
        <w:tc>
          <w:tcPr>
            <w:tcW w:w="1050" w:type="dxa"/>
            <w:gridSpan w:val="2"/>
            <w:vAlign w:val="center"/>
          </w:tcPr>
          <w:p w14:paraId="623D9227">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14:paraId="78A25E6A">
            <w:pPr>
              <w:spacing w:line="280" w:lineRule="exact"/>
              <w:rPr>
                <w:rFonts w:hint="eastAsia"/>
                <w:color w:val="000000"/>
                <w:szCs w:val="21"/>
              </w:rPr>
            </w:pPr>
          </w:p>
        </w:tc>
        <w:tc>
          <w:tcPr>
            <w:tcW w:w="1052" w:type="dxa"/>
            <w:gridSpan w:val="2"/>
            <w:vAlign w:val="center"/>
          </w:tcPr>
          <w:p w14:paraId="75F55926">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14:paraId="6F8E7254">
            <w:pPr>
              <w:spacing w:line="280" w:lineRule="exact"/>
              <w:rPr>
                <w:rFonts w:hint="default" w:eastAsia="宋体"/>
                <w:color w:val="000000"/>
                <w:szCs w:val="21"/>
                <w:lang w:val="en-US" w:eastAsia="zh-CN"/>
              </w:rPr>
            </w:pPr>
          </w:p>
        </w:tc>
      </w:tr>
      <w:tr w14:paraId="0A9CFA4D">
        <w:tblPrEx>
          <w:tblCellMar>
            <w:top w:w="0" w:type="dxa"/>
            <w:left w:w="108" w:type="dxa"/>
            <w:bottom w:w="0" w:type="dxa"/>
            <w:right w:w="108" w:type="dxa"/>
          </w:tblCellMar>
        </w:tblPrEx>
        <w:trPr>
          <w:trHeight w:val="111" w:hRule="atLeast"/>
          <w:jc w:val="center"/>
        </w:trPr>
        <w:tc>
          <w:tcPr>
            <w:tcW w:w="843" w:type="dxa"/>
            <w:vAlign w:val="center"/>
          </w:tcPr>
          <w:p w14:paraId="374DEF72">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14:paraId="3CD71B67">
            <w:pPr>
              <w:spacing w:line="280" w:lineRule="exact"/>
              <w:rPr>
                <w:rFonts w:hint="eastAsia"/>
                <w:color w:val="000000"/>
                <w:szCs w:val="21"/>
              </w:rPr>
            </w:pPr>
          </w:p>
        </w:tc>
        <w:tc>
          <w:tcPr>
            <w:tcW w:w="842" w:type="dxa"/>
            <w:vAlign w:val="center"/>
          </w:tcPr>
          <w:p w14:paraId="01A420BE">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14:paraId="6D54C89A">
            <w:pPr>
              <w:spacing w:line="280" w:lineRule="exact"/>
              <w:rPr>
                <w:rFonts w:hint="default" w:eastAsia="宋体"/>
                <w:color w:val="000000"/>
                <w:szCs w:val="21"/>
                <w:lang w:val="en-US" w:eastAsia="zh-CN"/>
              </w:rPr>
            </w:pPr>
          </w:p>
        </w:tc>
      </w:tr>
      <w:tr w14:paraId="2C3E1D8C">
        <w:tblPrEx>
          <w:tblCellMar>
            <w:top w:w="0" w:type="dxa"/>
            <w:left w:w="108" w:type="dxa"/>
            <w:bottom w:w="0" w:type="dxa"/>
            <w:right w:w="108" w:type="dxa"/>
          </w:tblCellMar>
        </w:tblPrEx>
        <w:trPr>
          <w:jc w:val="center"/>
        </w:trPr>
        <w:tc>
          <w:tcPr>
            <w:tcW w:w="843" w:type="dxa"/>
            <w:vAlign w:val="center"/>
          </w:tcPr>
          <w:p w14:paraId="0BF19609">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14:paraId="6932186B">
            <w:pPr>
              <w:spacing w:line="280" w:lineRule="exact"/>
              <w:rPr>
                <w:rFonts w:hint="eastAsia"/>
                <w:color w:val="000000"/>
                <w:szCs w:val="21"/>
              </w:rPr>
            </w:pPr>
          </w:p>
        </w:tc>
        <w:tc>
          <w:tcPr>
            <w:tcW w:w="842" w:type="dxa"/>
            <w:vAlign w:val="center"/>
          </w:tcPr>
          <w:p w14:paraId="6377BD04">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14:paraId="05BD999A">
            <w:pPr>
              <w:spacing w:line="280" w:lineRule="exact"/>
              <w:rPr>
                <w:rFonts w:hint="eastAsia"/>
                <w:color w:val="000000"/>
                <w:szCs w:val="21"/>
              </w:rPr>
            </w:pPr>
          </w:p>
        </w:tc>
      </w:tr>
      <w:tr w14:paraId="20FBF17D">
        <w:tblPrEx>
          <w:tblCellMar>
            <w:top w:w="0" w:type="dxa"/>
            <w:left w:w="108" w:type="dxa"/>
            <w:bottom w:w="0" w:type="dxa"/>
            <w:right w:w="108" w:type="dxa"/>
          </w:tblCellMar>
        </w:tblPrEx>
        <w:trPr>
          <w:jc w:val="center"/>
        </w:trPr>
        <w:tc>
          <w:tcPr>
            <w:tcW w:w="1263" w:type="dxa"/>
            <w:gridSpan w:val="3"/>
            <w:vAlign w:val="center"/>
          </w:tcPr>
          <w:p w14:paraId="3AFD08E4">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14:paraId="254E231A">
            <w:pPr>
              <w:spacing w:line="280" w:lineRule="exact"/>
              <w:rPr>
                <w:rFonts w:hint="eastAsia"/>
                <w:color w:val="000000"/>
                <w:szCs w:val="21"/>
              </w:rPr>
            </w:pPr>
          </w:p>
        </w:tc>
        <w:tc>
          <w:tcPr>
            <w:tcW w:w="1260" w:type="dxa"/>
            <w:gridSpan w:val="3"/>
            <w:vAlign w:val="center"/>
          </w:tcPr>
          <w:p w14:paraId="14495BE1">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14:paraId="08F967CE">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14:paraId="2BDC2EB8">
        <w:tblPrEx>
          <w:tblCellMar>
            <w:top w:w="0" w:type="dxa"/>
            <w:left w:w="108" w:type="dxa"/>
            <w:bottom w:w="0" w:type="dxa"/>
            <w:right w:w="108" w:type="dxa"/>
          </w:tblCellMar>
        </w:tblPrEx>
        <w:trPr>
          <w:jc w:val="center"/>
        </w:trPr>
        <w:tc>
          <w:tcPr>
            <w:tcW w:w="1263" w:type="dxa"/>
            <w:gridSpan w:val="3"/>
            <w:vAlign w:val="center"/>
          </w:tcPr>
          <w:p w14:paraId="2F7C3132">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14:paraId="7D5D6EF1">
            <w:pPr>
              <w:spacing w:line="280" w:lineRule="exact"/>
              <w:rPr>
                <w:rFonts w:hint="eastAsia"/>
                <w:color w:val="000000"/>
                <w:szCs w:val="21"/>
              </w:rPr>
            </w:pPr>
          </w:p>
        </w:tc>
        <w:tc>
          <w:tcPr>
            <w:tcW w:w="1260" w:type="dxa"/>
            <w:gridSpan w:val="3"/>
            <w:vAlign w:val="center"/>
          </w:tcPr>
          <w:p w14:paraId="7C592389">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14:paraId="6759BD4F">
            <w:pPr>
              <w:spacing w:line="280" w:lineRule="exact"/>
              <w:rPr>
                <w:rFonts w:hint="eastAsia"/>
                <w:color w:val="000000"/>
                <w:szCs w:val="21"/>
              </w:rPr>
            </w:pPr>
          </w:p>
        </w:tc>
      </w:tr>
      <w:tr w14:paraId="7E5BF425">
        <w:tblPrEx>
          <w:tblCellMar>
            <w:top w:w="0" w:type="dxa"/>
            <w:left w:w="108" w:type="dxa"/>
            <w:bottom w:w="0" w:type="dxa"/>
            <w:right w:w="108" w:type="dxa"/>
          </w:tblCellMar>
        </w:tblPrEx>
        <w:trPr>
          <w:jc w:val="center"/>
        </w:trPr>
        <w:tc>
          <w:tcPr>
            <w:tcW w:w="843" w:type="dxa"/>
            <w:vAlign w:val="center"/>
          </w:tcPr>
          <w:p w14:paraId="63653917">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14:paraId="370F94E1">
            <w:pPr>
              <w:spacing w:line="280" w:lineRule="exact"/>
              <w:rPr>
                <w:rFonts w:hint="eastAsia"/>
                <w:color w:val="000000"/>
                <w:szCs w:val="21"/>
              </w:rPr>
            </w:pPr>
          </w:p>
        </w:tc>
        <w:tc>
          <w:tcPr>
            <w:tcW w:w="842" w:type="dxa"/>
            <w:vAlign w:val="center"/>
          </w:tcPr>
          <w:p w14:paraId="3CC6EAC2">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14:paraId="053BF772">
            <w:pPr>
              <w:spacing w:line="280" w:lineRule="exact"/>
              <w:rPr>
                <w:rFonts w:hint="eastAsia"/>
                <w:color w:val="000000"/>
                <w:szCs w:val="21"/>
              </w:rPr>
            </w:pPr>
          </w:p>
        </w:tc>
      </w:tr>
      <w:tr w14:paraId="4023C823">
        <w:tblPrEx>
          <w:tblCellMar>
            <w:top w:w="0" w:type="dxa"/>
            <w:left w:w="108" w:type="dxa"/>
            <w:bottom w:w="0" w:type="dxa"/>
            <w:right w:w="108" w:type="dxa"/>
          </w:tblCellMar>
        </w:tblPrEx>
        <w:trPr>
          <w:jc w:val="center"/>
        </w:trPr>
        <w:tc>
          <w:tcPr>
            <w:tcW w:w="843" w:type="dxa"/>
            <w:vAlign w:val="center"/>
          </w:tcPr>
          <w:p w14:paraId="4F4540F8">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14:paraId="0175013E">
            <w:pPr>
              <w:spacing w:line="280" w:lineRule="exact"/>
              <w:rPr>
                <w:rFonts w:hint="eastAsia"/>
                <w:color w:val="000000"/>
                <w:szCs w:val="21"/>
              </w:rPr>
            </w:pPr>
          </w:p>
        </w:tc>
        <w:tc>
          <w:tcPr>
            <w:tcW w:w="842" w:type="dxa"/>
            <w:vAlign w:val="center"/>
          </w:tcPr>
          <w:p w14:paraId="24534FC7">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14:paraId="4BEDBFA9">
            <w:pPr>
              <w:spacing w:line="280" w:lineRule="exact"/>
              <w:rPr>
                <w:rFonts w:hint="eastAsia"/>
                <w:color w:val="000000"/>
                <w:szCs w:val="21"/>
              </w:rPr>
            </w:pPr>
          </w:p>
        </w:tc>
      </w:tr>
    </w:tbl>
    <w:p w14:paraId="703AC83C">
      <w:pPr>
        <w:spacing w:line="220" w:lineRule="exact"/>
        <w:rPr>
          <w:rFonts w:hint="eastAsia" w:ascii="宋体" w:hAnsi="宋体"/>
          <w:b/>
          <w:sz w:val="18"/>
          <w:szCs w:val="18"/>
          <w:u w:val="single"/>
        </w:rPr>
      </w:pPr>
    </w:p>
    <w:p w14:paraId="1E6EF78B">
      <w:pPr>
        <w:spacing w:line="220" w:lineRule="exact"/>
        <w:rPr>
          <w:rFonts w:hint="eastAsia" w:ascii="宋体" w:hAnsi="宋体"/>
          <w:b/>
          <w:sz w:val="18"/>
          <w:szCs w:val="18"/>
          <w:u w:val="single"/>
        </w:rPr>
      </w:pPr>
    </w:p>
    <w:p w14:paraId="5EC6BF88">
      <w:pPr>
        <w:spacing w:line="220" w:lineRule="exact"/>
        <w:rPr>
          <w:rFonts w:hint="eastAsia" w:ascii="宋体" w:hAnsi="宋体"/>
          <w:b/>
          <w:sz w:val="18"/>
          <w:szCs w:val="18"/>
          <w:u w:val="single"/>
        </w:rPr>
      </w:pPr>
    </w:p>
    <w:p w14:paraId="0C4A0D1D">
      <w:pPr>
        <w:spacing w:line="300" w:lineRule="exact"/>
        <w:jc w:val="center"/>
        <w:rPr>
          <w:rFonts w:hint="eastAsia" w:ascii="宋体" w:hAnsi="宋体"/>
          <w:b/>
          <w:szCs w:val="21"/>
        </w:rPr>
      </w:pPr>
      <w:r>
        <w:rPr>
          <w:rFonts w:hint="eastAsia" w:ascii="宋体" w:hAnsi="宋体"/>
          <w:b/>
          <w:szCs w:val="21"/>
          <w:u w:val="single"/>
        </w:rPr>
        <w:t>第二部分  合同条款及规则</w:t>
      </w:r>
    </w:p>
    <w:p w14:paraId="085AB458">
      <w:pPr>
        <w:spacing w:line="300" w:lineRule="exact"/>
        <w:rPr>
          <w:rFonts w:hint="eastAsia" w:ascii="宋体" w:hAnsi="宋体"/>
          <w:b/>
          <w:szCs w:val="21"/>
        </w:rPr>
      </w:pPr>
    </w:p>
    <w:p w14:paraId="77D47B29">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14:paraId="6CD5FB22">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14:paraId="2C6B516A">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14:paraId="74B7436A">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14:paraId="37165A37">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14:paraId="7542E044">
      <w:pPr>
        <w:spacing w:line="300" w:lineRule="exact"/>
        <w:rPr>
          <w:rFonts w:hint="eastAsia" w:ascii="宋体" w:hAnsi="宋体"/>
          <w:b/>
          <w:szCs w:val="21"/>
        </w:rPr>
      </w:pPr>
      <w:r>
        <w:rPr>
          <w:rFonts w:hint="eastAsia" w:ascii="宋体" w:hAnsi="宋体"/>
          <w:b/>
          <w:szCs w:val="21"/>
        </w:rPr>
        <w:t>第二条 产品包装标准</w:t>
      </w:r>
    </w:p>
    <w:p w14:paraId="40C492D2">
      <w:pPr>
        <w:spacing w:line="300" w:lineRule="exact"/>
        <w:ind w:firstLine="420" w:firstLineChars="200"/>
        <w:rPr>
          <w:rFonts w:hint="eastAsia" w:ascii="宋体" w:hAnsi="宋体"/>
          <w:b/>
          <w:szCs w:val="21"/>
          <w:u w:val="none"/>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w:t>
      </w:r>
      <w:r>
        <w:rPr>
          <w:rFonts w:hint="eastAsia" w:ascii="宋体" w:hAnsi="宋体"/>
          <w:szCs w:val="21"/>
          <w:lang w:eastAsia="zh-CN"/>
        </w:rPr>
        <w:t>、</w:t>
      </w:r>
      <w:r>
        <w:rPr>
          <w:rFonts w:hint="eastAsia" w:ascii="宋体" w:hAnsi="宋体"/>
          <w:szCs w:val="21"/>
          <w:lang w:val="en-US" w:eastAsia="zh-CN"/>
        </w:rPr>
        <w:t>防晒</w:t>
      </w:r>
      <w:r>
        <w:rPr>
          <w:rFonts w:hint="eastAsia" w:ascii="宋体" w:hAnsi="宋体"/>
          <w:szCs w:val="21"/>
        </w:rPr>
        <w:t>等标准，危险品包装标准按国家对危险品包装标准执行。产品包装物不计费，供方不回收包装物。如供方需回收包装物的，因回收包装物所产生的所有费用、承运人的选择等相关事宜均由供方负责。</w:t>
      </w:r>
      <w:r>
        <w:rPr>
          <w:rFonts w:hint="eastAsia" w:ascii="宋体" w:hAnsi="宋体"/>
          <w:szCs w:val="21"/>
          <w:u w:val="none"/>
        </w:rPr>
        <w:t>要求为桶装，运输时将干燥剂码放于栈板托盘之上，方便货到现场后用叉车卸货，要求能满足保存二年以上时间。</w:t>
      </w:r>
    </w:p>
    <w:p w14:paraId="0129D425">
      <w:pPr>
        <w:spacing w:line="300" w:lineRule="exact"/>
        <w:rPr>
          <w:rFonts w:hint="eastAsia" w:ascii="宋体" w:hAnsi="宋体"/>
          <w:b/>
          <w:szCs w:val="21"/>
        </w:rPr>
      </w:pPr>
      <w:r>
        <w:rPr>
          <w:rFonts w:hint="eastAsia" w:ascii="宋体" w:hAnsi="宋体"/>
          <w:b/>
          <w:szCs w:val="21"/>
        </w:rPr>
        <w:t>第三条 对产品质量负责的条件及期限</w:t>
      </w:r>
    </w:p>
    <w:p w14:paraId="7AFE9381">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14:paraId="1AB5B408">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14:paraId="5D5D0702">
      <w:pPr>
        <w:spacing w:line="300" w:lineRule="exact"/>
        <w:rPr>
          <w:rFonts w:hint="eastAsia" w:ascii="宋体" w:hAnsi="宋体"/>
          <w:b/>
          <w:szCs w:val="21"/>
        </w:rPr>
      </w:pPr>
      <w:r>
        <w:rPr>
          <w:rFonts w:hint="eastAsia" w:ascii="宋体" w:hAnsi="宋体"/>
          <w:b/>
          <w:szCs w:val="21"/>
        </w:rPr>
        <w:t>第四条 货物所有权、风险的转移</w:t>
      </w:r>
    </w:p>
    <w:p w14:paraId="413A6C60">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14:paraId="04B13BAF">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14:paraId="3185338E">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14:paraId="704C10D7">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14:paraId="779AF97C">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14:paraId="43E6D0A2">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14:paraId="59841F2F">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w:t>
      </w:r>
      <w:r>
        <w:rPr>
          <w:rFonts w:hint="eastAsia" w:ascii="宋体" w:hAnsi="宋体"/>
          <w:szCs w:val="21"/>
          <w:u w:val="single"/>
          <w:lang w:val="en-US" w:eastAsia="zh-CN"/>
        </w:rPr>
        <w:t>贰</w:t>
      </w:r>
      <w:r>
        <w:rPr>
          <w:rFonts w:hint="eastAsia" w:ascii="宋体" w:hAnsi="宋体"/>
          <w:szCs w:val="21"/>
          <w:u w:val="single"/>
        </w:rPr>
        <w:t xml:space="preserve">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14:paraId="0E8FE663">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w:t>
      </w:r>
      <w:r>
        <w:rPr>
          <w:rFonts w:hint="eastAsia" w:ascii="宋体" w:hAnsi="宋体"/>
          <w:szCs w:val="21"/>
          <w:u w:val="single"/>
          <w:lang w:val="en-US" w:eastAsia="zh-CN"/>
        </w:rPr>
        <w:t>玖拾</w:t>
      </w:r>
      <w:r>
        <w:rPr>
          <w:rFonts w:hint="eastAsia" w:ascii="宋体" w:hAnsi="宋体"/>
          <w:szCs w:val="21"/>
          <w:u w:val="single"/>
        </w:rPr>
        <w:t xml:space="preserve">  </w:t>
      </w:r>
      <w:r>
        <w:rPr>
          <w:rFonts w:hint="eastAsia" w:ascii="宋体" w:hAnsi="宋体"/>
          <w:szCs w:val="21"/>
        </w:rPr>
        <w:t>天内向供方提出异议。</w:t>
      </w:r>
    </w:p>
    <w:p w14:paraId="27FEE044">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lang w:val="en-US" w:eastAsia="zh-CN"/>
        </w:rPr>
        <w:t xml:space="preserve"> 柒 </w:t>
      </w:r>
      <w:r>
        <w:rPr>
          <w:rFonts w:hint="eastAsia" w:ascii="宋体" w:hAnsi="宋体"/>
          <w:szCs w:val="21"/>
          <w:u w:val="single"/>
        </w:rPr>
        <w:t xml:space="preserve">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14:paraId="03D7CE5A">
      <w:pPr>
        <w:spacing w:line="300" w:lineRule="exact"/>
        <w:rPr>
          <w:rFonts w:hint="eastAsia" w:ascii="宋体" w:hAnsi="宋体"/>
          <w:b/>
          <w:szCs w:val="21"/>
        </w:rPr>
      </w:pPr>
      <w:r>
        <w:rPr>
          <w:rFonts w:hint="eastAsia" w:ascii="宋体" w:hAnsi="宋体"/>
          <w:b/>
          <w:szCs w:val="21"/>
        </w:rPr>
        <w:t>第七条  保密条款</w:t>
      </w:r>
    </w:p>
    <w:p w14:paraId="464ABA96">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14:paraId="7708DABD">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14:paraId="07B226AB">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14:paraId="62759860">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14:paraId="413AE46F">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14:paraId="5C86794B">
      <w:pPr>
        <w:spacing w:line="300" w:lineRule="exact"/>
        <w:rPr>
          <w:rFonts w:hint="eastAsia" w:ascii="宋体" w:hAnsi="宋体"/>
          <w:b/>
          <w:szCs w:val="21"/>
        </w:rPr>
      </w:pPr>
      <w:r>
        <w:rPr>
          <w:rFonts w:hint="eastAsia" w:ascii="宋体" w:hAnsi="宋体"/>
          <w:b/>
          <w:szCs w:val="21"/>
        </w:rPr>
        <w:t>第九条  不可抗力</w:t>
      </w:r>
    </w:p>
    <w:p w14:paraId="5EBDB523">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14:paraId="29E34C0C">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14:paraId="6748A67D">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14:paraId="36706E17">
      <w:pPr>
        <w:spacing w:line="300" w:lineRule="exact"/>
        <w:rPr>
          <w:rFonts w:hint="eastAsia" w:ascii="宋体" w:hAnsi="宋体"/>
          <w:b/>
          <w:szCs w:val="21"/>
        </w:rPr>
      </w:pPr>
      <w:r>
        <w:rPr>
          <w:rFonts w:hint="eastAsia" w:ascii="宋体" w:hAnsi="宋体"/>
          <w:b/>
          <w:szCs w:val="21"/>
        </w:rPr>
        <w:t xml:space="preserve">第十条 合同变更与解除： </w:t>
      </w:r>
    </w:p>
    <w:p w14:paraId="42F5F20F">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14:paraId="09F5D62E">
      <w:pPr>
        <w:spacing w:line="300" w:lineRule="exact"/>
        <w:rPr>
          <w:rFonts w:hint="eastAsia" w:ascii="宋体" w:hAnsi="宋体"/>
          <w:b/>
          <w:szCs w:val="21"/>
        </w:rPr>
      </w:pPr>
      <w:r>
        <w:rPr>
          <w:rFonts w:hint="eastAsia" w:ascii="宋体" w:hAnsi="宋体"/>
          <w:b/>
          <w:szCs w:val="21"/>
        </w:rPr>
        <w:t>第十一条 违约责任</w:t>
      </w:r>
    </w:p>
    <w:p w14:paraId="5087713A">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14:paraId="402DA7EC">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14:paraId="24538A58">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14:paraId="1017BFB3">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14:paraId="5CF236B3">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14:paraId="1729FB2F">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14:paraId="262DF421">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14:paraId="54B8E4D9">
      <w:pPr>
        <w:spacing w:line="300" w:lineRule="exact"/>
        <w:rPr>
          <w:rFonts w:hint="eastAsia" w:ascii="宋体" w:hAnsi="宋体"/>
          <w:b/>
          <w:color w:val="000000"/>
          <w:szCs w:val="21"/>
        </w:rPr>
      </w:pPr>
      <w:r>
        <w:rPr>
          <w:rFonts w:hint="eastAsia" w:ascii="宋体" w:hAnsi="宋体"/>
          <w:b/>
          <w:color w:val="000000"/>
          <w:szCs w:val="21"/>
        </w:rPr>
        <w:t>第十三条 廉政条款</w:t>
      </w:r>
    </w:p>
    <w:p w14:paraId="59BCC100">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14:paraId="4B852691">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14:paraId="0B916C2F">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14:paraId="69887080">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14:paraId="2D90FDCE">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14:paraId="0ABFB0D8">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w:t>
      </w:r>
      <w:r>
        <w:rPr>
          <w:rFonts w:hint="eastAsia" w:ascii="宋体" w:hAnsi="宋体"/>
          <w:color w:val="000000"/>
          <w:szCs w:val="21"/>
          <w:lang w:val="en-US" w:eastAsia="zh-CN"/>
        </w:rPr>
        <w:t>技术要求、</w:t>
      </w:r>
      <w:r>
        <w:rPr>
          <w:rFonts w:hint="eastAsia" w:ascii="宋体" w:hAnsi="宋体"/>
          <w:color w:val="000000"/>
          <w:szCs w:val="21"/>
        </w:rPr>
        <w:t>订单、补充协议。</w:t>
      </w:r>
    </w:p>
    <w:p w14:paraId="396CAB3F">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328BC61D">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14:paraId="22D32C6F">
      <w:pPr>
        <w:spacing w:line="300" w:lineRule="exact"/>
        <w:ind w:firstLine="420" w:firstLineChars="200"/>
        <w:rPr>
          <w:rFonts w:hint="eastAsia"/>
          <w:lang w:val="en-US" w:eastAsia="zh-CN"/>
        </w:rPr>
      </w:pPr>
      <w:r>
        <w:rPr>
          <w:rFonts w:hint="eastAsia"/>
          <w:szCs w:val="21"/>
          <w:lang w:val="en-US" w:eastAsia="zh-CN"/>
        </w:rPr>
        <w:t>5.1供方根据需方要求缴纳履约保证金，金额为人民币贰仟元整。合同履约期届满且无质量问题一年后，供方提交返还履约保证金申请后30工作日内无息返还。</w:t>
      </w:r>
    </w:p>
    <w:p w14:paraId="78C2E030">
      <w:pPr>
        <w:spacing w:line="300" w:lineRule="exact"/>
        <w:ind w:firstLine="420" w:firstLineChars="200"/>
        <w:rPr>
          <w:rFonts w:hint="eastAsia"/>
          <w:szCs w:val="21"/>
          <w:lang w:val="en-US" w:eastAsia="zh-CN"/>
        </w:rPr>
      </w:pPr>
      <w:r>
        <w:rPr>
          <w:rFonts w:hint="eastAsia"/>
          <w:szCs w:val="21"/>
          <w:lang w:val="en-US" w:eastAsia="zh-CN"/>
        </w:rPr>
        <w:t>5.2 性能保证、验收结算及技术要求范围详见附件技术要求。</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
    <w:altName w:val="Times New Roman"/>
    <w:panose1 w:val="00000000000000000000"/>
    <w:charset w:val="00"/>
    <w:family w:val="roman"/>
    <w:pitch w:val="default"/>
    <w:sig w:usb0="00000000" w:usb1="00000000" w:usb2="00000000" w:usb3="00000000" w:csb0="00000000" w:csb1="00000000"/>
  </w:font>
  <w:font w:name="....x">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39A8">
    <w:pPr>
      <w:pStyle w:val="6"/>
      <w:jc w:val="right"/>
    </w:pPr>
    <w:r>
      <w:fldChar w:fldCharType="begin"/>
    </w:r>
    <w:r>
      <w:instrText xml:space="preserve">PAGE   \* MERGEFORMAT</w:instrText>
    </w:r>
    <w:r>
      <w:fldChar w:fldCharType="separate"/>
    </w:r>
    <w:r>
      <w:t>6</w:t>
    </w:r>
    <w:r>
      <w:fldChar w:fldCharType="end"/>
    </w:r>
  </w:p>
  <w:p w14:paraId="1C97DC8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370500D3"/>
    <w:multiLevelType w:val="multilevel"/>
    <w:tmpl w:val="370500D3"/>
    <w:lvl w:ilvl="0" w:tentative="0">
      <w:start w:val="1"/>
      <w:numFmt w:val="decimal"/>
      <w:pStyle w:val="3"/>
      <w:suff w:val="space"/>
      <w:lvlText w:val="8.1.%1 "/>
      <w:lvlJc w:val="left"/>
      <w:pPr>
        <w:ind w:left="0" w:firstLine="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6AC72BA6"/>
    <w:multiLevelType w:val="multilevel"/>
    <w:tmpl w:val="6AC72BA6"/>
    <w:lvl w:ilvl="0" w:tentative="0">
      <w:start w:val="1"/>
      <w:numFmt w:val="decimal"/>
      <w:lvlText w:val="%1、"/>
      <w:lvlJc w:val="left"/>
      <w:pPr>
        <w:ind w:left="1200"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1E6147"/>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154260"/>
    <w:rsid w:val="01AB4154"/>
    <w:rsid w:val="02003C03"/>
    <w:rsid w:val="02185493"/>
    <w:rsid w:val="021D391B"/>
    <w:rsid w:val="022C6513"/>
    <w:rsid w:val="023F054C"/>
    <w:rsid w:val="024C0384"/>
    <w:rsid w:val="02773EF6"/>
    <w:rsid w:val="02CC4E1D"/>
    <w:rsid w:val="02D53A40"/>
    <w:rsid w:val="03033536"/>
    <w:rsid w:val="03182CF8"/>
    <w:rsid w:val="03261A08"/>
    <w:rsid w:val="032857C7"/>
    <w:rsid w:val="032D15FD"/>
    <w:rsid w:val="032F04D8"/>
    <w:rsid w:val="03A9303F"/>
    <w:rsid w:val="03D9195C"/>
    <w:rsid w:val="03DC17EA"/>
    <w:rsid w:val="03E270E3"/>
    <w:rsid w:val="03E5328D"/>
    <w:rsid w:val="041A4C52"/>
    <w:rsid w:val="042207A6"/>
    <w:rsid w:val="042D4439"/>
    <w:rsid w:val="04444FBA"/>
    <w:rsid w:val="046407CB"/>
    <w:rsid w:val="04675C1C"/>
    <w:rsid w:val="046B7835"/>
    <w:rsid w:val="046E24C0"/>
    <w:rsid w:val="046F7ACF"/>
    <w:rsid w:val="04785792"/>
    <w:rsid w:val="049270F9"/>
    <w:rsid w:val="05264C66"/>
    <w:rsid w:val="053A64CB"/>
    <w:rsid w:val="0546217C"/>
    <w:rsid w:val="055746BC"/>
    <w:rsid w:val="057373C3"/>
    <w:rsid w:val="059A34DA"/>
    <w:rsid w:val="059B734C"/>
    <w:rsid w:val="05C112E8"/>
    <w:rsid w:val="05CE4353"/>
    <w:rsid w:val="05CF5BDF"/>
    <w:rsid w:val="05D81DD9"/>
    <w:rsid w:val="061013A0"/>
    <w:rsid w:val="064416AA"/>
    <w:rsid w:val="06A3708D"/>
    <w:rsid w:val="06AB00B1"/>
    <w:rsid w:val="06CC1CD7"/>
    <w:rsid w:val="06D511C9"/>
    <w:rsid w:val="06DA70D7"/>
    <w:rsid w:val="070356B5"/>
    <w:rsid w:val="076D1F1D"/>
    <w:rsid w:val="077632ED"/>
    <w:rsid w:val="07811622"/>
    <w:rsid w:val="07817814"/>
    <w:rsid w:val="078523E2"/>
    <w:rsid w:val="078A61DF"/>
    <w:rsid w:val="07C04CC8"/>
    <w:rsid w:val="07E878CC"/>
    <w:rsid w:val="07E87C6B"/>
    <w:rsid w:val="07F06C92"/>
    <w:rsid w:val="07FB0E0D"/>
    <w:rsid w:val="080F7CCD"/>
    <w:rsid w:val="083568BD"/>
    <w:rsid w:val="08374DE3"/>
    <w:rsid w:val="08804899"/>
    <w:rsid w:val="08834CC9"/>
    <w:rsid w:val="088B1472"/>
    <w:rsid w:val="090A2F1F"/>
    <w:rsid w:val="09273ADC"/>
    <w:rsid w:val="097036E7"/>
    <w:rsid w:val="098E656B"/>
    <w:rsid w:val="099447D3"/>
    <w:rsid w:val="09A76DA2"/>
    <w:rsid w:val="09D05CBA"/>
    <w:rsid w:val="09D7548C"/>
    <w:rsid w:val="09E63A80"/>
    <w:rsid w:val="09E85450"/>
    <w:rsid w:val="0A3A75BC"/>
    <w:rsid w:val="0A4D0638"/>
    <w:rsid w:val="0A58515B"/>
    <w:rsid w:val="0A8170EB"/>
    <w:rsid w:val="0A8B6BF2"/>
    <w:rsid w:val="0A9F5CB5"/>
    <w:rsid w:val="0AA062B1"/>
    <w:rsid w:val="0AB96449"/>
    <w:rsid w:val="0ACC3EB5"/>
    <w:rsid w:val="0ADD75BB"/>
    <w:rsid w:val="0B0D38CD"/>
    <w:rsid w:val="0B1C170E"/>
    <w:rsid w:val="0B35169E"/>
    <w:rsid w:val="0B487285"/>
    <w:rsid w:val="0B4A13AC"/>
    <w:rsid w:val="0B8E420A"/>
    <w:rsid w:val="0C0C026A"/>
    <w:rsid w:val="0C370F69"/>
    <w:rsid w:val="0C3D7481"/>
    <w:rsid w:val="0C7454D4"/>
    <w:rsid w:val="0C8B217D"/>
    <w:rsid w:val="0CB75B53"/>
    <w:rsid w:val="0CF127D7"/>
    <w:rsid w:val="0CFA5163"/>
    <w:rsid w:val="0D097641"/>
    <w:rsid w:val="0D162709"/>
    <w:rsid w:val="0D980021"/>
    <w:rsid w:val="0DA163F9"/>
    <w:rsid w:val="0DAD56B9"/>
    <w:rsid w:val="0DD566C4"/>
    <w:rsid w:val="0E02486F"/>
    <w:rsid w:val="0E3D2F5D"/>
    <w:rsid w:val="0E3F22A2"/>
    <w:rsid w:val="0E772EE5"/>
    <w:rsid w:val="0E8B20AA"/>
    <w:rsid w:val="0E9503CA"/>
    <w:rsid w:val="0E960E06"/>
    <w:rsid w:val="0EA613B6"/>
    <w:rsid w:val="0EE26DF9"/>
    <w:rsid w:val="0EE30943"/>
    <w:rsid w:val="0F3141ED"/>
    <w:rsid w:val="0F4E62EA"/>
    <w:rsid w:val="0F821B8F"/>
    <w:rsid w:val="0F8C0A60"/>
    <w:rsid w:val="0FA07C0F"/>
    <w:rsid w:val="0FA364D6"/>
    <w:rsid w:val="0FCE6C96"/>
    <w:rsid w:val="0FE34343"/>
    <w:rsid w:val="0FF86012"/>
    <w:rsid w:val="10167D42"/>
    <w:rsid w:val="1051101C"/>
    <w:rsid w:val="105A2ADD"/>
    <w:rsid w:val="105B6F62"/>
    <w:rsid w:val="108E2EA4"/>
    <w:rsid w:val="10B3063E"/>
    <w:rsid w:val="10C613A6"/>
    <w:rsid w:val="10F1561E"/>
    <w:rsid w:val="111E4EA7"/>
    <w:rsid w:val="11647E15"/>
    <w:rsid w:val="11715093"/>
    <w:rsid w:val="118A38B5"/>
    <w:rsid w:val="11EE0AF5"/>
    <w:rsid w:val="122E4A94"/>
    <w:rsid w:val="125F61EF"/>
    <w:rsid w:val="12737A03"/>
    <w:rsid w:val="12837C22"/>
    <w:rsid w:val="129B5479"/>
    <w:rsid w:val="12CF31F9"/>
    <w:rsid w:val="12EA195B"/>
    <w:rsid w:val="12F479DF"/>
    <w:rsid w:val="132E735B"/>
    <w:rsid w:val="13331A89"/>
    <w:rsid w:val="1363320F"/>
    <w:rsid w:val="1387789C"/>
    <w:rsid w:val="13B74194"/>
    <w:rsid w:val="13DF42D8"/>
    <w:rsid w:val="142F7DC3"/>
    <w:rsid w:val="14494FEA"/>
    <w:rsid w:val="147B6B42"/>
    <w:rsid w:val="14937361"/>
    <w:rsid w:val="149868E6"/>
    <w:rsid w:val="14C1177D"/>
    <w:rsid w:val="14FC5116"/>
    <w:rsid w:val="15033088"/>
    <w:rsid w:val="150647E6"/>
    <w:rsid w:val="15101A52"/>
    <w:rsid w:val="15125849"/>
    <w:rsid w:val="15251B5D"/>
    <w:rsid w:val="154E7EC4"/>
    <w:rsid w:val="15BF2E22"/>
    <w:rsid w:val="15C23309"/>
    <w:rsid w:val="15C31A47"/>
    <w:rsid w:val="15F16D9A"/>
    <w:rsid w:val="15F24792"/>
    <w:rsid w:val="15F51CC1"/>
    <w:rsid w:val="15FE1378"/>
    <w:rsid w:val="15FE1EB4"/>
    <w:rsid w:val="16172661"/>
    <w:rsid w:val="16270A04"/>
    <w:rsid w:val="165069FC"/>
    <w:rsid w:val="16A920DF"/>
    <w:rsid w:val="16D40493"/>
    <w:rsid w:val="173B43BC"/>
    <w:rsid w:val="178C691A"/>
    <w:rsid w:val="179453BC"/>
    <w:rsid w:val="183256DA"/>
    <w:rsid w:val="183B0D71"/>
    <w:rsid w:val="184968FC"/>
    <w:rsid w:val="185D1C5F"/>
    <w:rsid w:val="188C5585"/>
    <w:rsid w:val="18C27F65"/>
    <w:rsid w:val="18C402D3"/>
    <w:rsid w:val="18FA6BBD"/>
    <w:rsid w:val="191A3D61"/>
    <w:rsid w:val="192A2CC6"/>
    <w:rsid w:val="19332266"/>
    <w:rsid w:val="19B02F2D"/>
    <w:rsid w:val="19DA3B6D"/>
    <w:rsid w:val="19EF4D4D"/>
    <w:rsid w:val="19F04AD4"/>
    <w:rsid w:val="1A247E7E"/>
    <w:rsid w:val="1A2F6DF9"/>
    <w:rsid w:val="1A3168AB"/>
    <w:rsid w:val="1A4C05AB"/>
    <w:rsid w:val="1A4F0A64"/>
    <w:rsid w:val="1A747000"/>
    <w:rsid w:val="1AAD18E5"/>
    <w:rsid w:val="1ABC38F7"/>
    <w:rsid w:val="1AD31D10"/>
    <w:rsid w:val="1AF22A1C"/>
    <w:rsid w:val="1AFD66F4"/>
    <w:rsid w:val="1B233A0E"/>
    <w:rsid w:val="1B657395"/>
    <w:rsid w:val="1B672A28"/>
    <w:rsid w:val="1B7C1123"/>
    <w:rsid w:val="1B8F7883"/>
    <w:rsid w:val="1B927AE6"/>
    <w:rsid w:val="1BB72DA5"/>
    <w:rsid w:val="1BC93515"/>
    <w:rsid w:val="1C1B3FE4"/>
    <w:rsid w:val="1C1C3DEE"/>
    <w:rsid w:val="1C230F64"/>
    <w:rsid w:val="1C2A6CE8"/>
    <w:rsid w:val="1C513BF0"/>
    <w:rsid w:val="1C5C12F3"/>
    <w:rsid w:val="1C8261A0"/>
    <w:rsid w:val="1CF31038"/>
    <w:rsid w:val="1D0113C9"/>
    <w:rsid w:val="1D05782C"/>
    <w:rsid w:val="1D6F78F4"/>
    <w:rsid w:val="1D7757F1"/>
    <w:rsid w:val="1D841F34"/>
    <w:rsid w:val="1DB72E7F"/>
    <w:rsid w:val="1DDB74E0"/>
    <w:rsid w:val="1DF003E7"/>
    <w:rsid w:val="1E1857B1"/>
    <w:rsid w:val="1E2F61EF"/>
    <w:rsid w:val="1E3264F3"/>
    <w:rsid w:val="1E600A9D"/>
    <w:rsid w:val="1E750E13"/>
    <w:rsid w:val="1EB505E6"/>
    <w:rsid w:val="1EBD3B62"/>
    <w:rsid w:val="1F02429F"/>
    <w:rsid w:val="1F133081"/>
    <w:rsid w:val="1F590291"/>
    <w:rsid w:val="1F8046AD"/>
    <w:rsid w:val="1FA12681"/>
    <w:rsid w:val="205A10AE"/>
    <w:rsid w:val="207E3421"/>
    <w:rsid w:val="208A175C"/>
    <w:rsid w:val="2090579A"/>
    <w:rsid w:val="20AF45AF"/>
    <w:rsid w:val="215846DF"/>
    <w:rsid w:val="216412DB"/>
    <w:rsid w:val="21BD6DBB"/>
    <w:rsid w:val="21E14DFB"/>
    <w:rsid w:val="21F04A25"/>
    <w:rsid w:val="220D4E25"/>
    <w:rsid w:val="22345BE0"/>
    <w:rsid w:val="22521DD3"/>
    <w:rsid w:val="227B0690"/>
    <w:rsid w:val="228E5A58"/>
    <w:rsid w:val="22A35795"/>
    <w:rsid w:val="22A62B30"/>
    <w:rsid w:val="22ED3ED6"/>
    <w:rsid w:val="2325120A"/>
    <w:rsid w:val="23464916"/>
    <w:rsid w:val="23496B54"/>
    <w:rsid w:val="23532FBD"/>
    <w:rsid w:val="237B661E"/>
    <w:rsid w:val="238B4E5F"/>
    <w:rsid w:val="239520D3"/>
    <w:rsid w:val="23BF50C8"/>
    <w:rsid w:val="23CC07DA"/>
    <w:rsid w:val="23F24C55"/>
    <w:rsid w:val="241D1936"/>
    <w:rsid w:val="247C7073"/>
    <w:rsid w:val="2496308D"/>
    <w:rsid w:val="24A9374C"/>
    <w:rsid w:val="250E72F9"/>
    <w:rsid w:val="25346A17"/>
    <w:rsid w:val="258777C9"/>
    <w:rsid w:val="2589209A"/>
    <w:rsid w:val="25A04AF0"/>
    <w:rsid w:val="25B40CD0"/>
    <w:rsid w:val="25CB1E8B"/>
    <w:rsid w:val="25D9170E"/>
    <w:rsid w:val="25E0040C"/>
    <w:rsid w:val="25F3676D"/>
    <w:rsid w:val="26035576"/>
    <w:rsid w:val="2665006F"/>
    <w:rsid w:val="26A124F9"/>
    <w:rsid w:val="26AA092A"/>
    <w:rsid w:val="271C65E1"/>
    <w:rsid w:val="273A5487"/>
    <w:rsid w:val="274761A1"/>
    <w:rsid w:val="27937EDA"/>
    <w:rsid w:val="27C62288"/>
    <w:rsid w:val="27CF60B0"/>
    <w:rsid w:val="27D36696"/>
    <w:rsid w:val="27E234BC"/>
    <w:rsid w:val="28012C6B"/>
    <w:rsid w:val="280475E2"/>
    <w:rsid w:val="282C18E9"/>
    <w:rsid w:val="2833742E"/>
    <w:rsid w:val="28566230"/>
    <w:rsid w:val="285B7C69"/>
    <w:rsid w:val="289968CF"/>
    <w:rsid w:val="28A837EA"/>
    <w:rsid w:val="28B0150E"/>
    <w:rsid w:val="28D51D40"/>
    <w:rsid w:val="28D92271"/>
    <w:rsid w:val="293555E2"/>
    <w:rsid w:val="299A1AD2"/>
    <w:rsid w:val="299A61C2"/>
    <w:rsid w:val="29AC4DAC"/>
    <w:rsid w:val="29B80978"/>
    <w:rsid w:val="29CE07E6"/>
    <w:rsid w:val="29D17C38"/>
    <w:rsid w:val="29DA1C97"/>
    <w:rsid w:val="29FC37D4"/>
    <w:rsid w:val="2A587284"/>
    <w:rsid w:val="2A7427E2"/>
    <w:rsid w:val="2A893557"/>
    <w:rsid w:val="2A8B1681"/>
    <w:rsid w:val="2A933574"/>
    <w:rsid w:val="2A9C6473"/>
    <w:rsid w:val="2AAB2012"/>
    <w:rsid w:val="2ABC59CB"/>
    <w:rsid w:val="2AC0562D"/>
    <w:rsid w:val="2AC11AAE"/>
    <w:rsid w:val="2ADD2233"/>
    <w:rsid w:val="2AE84D10"/>
    <w:rsid w:val="2B0E039C"/>
    <w:rsid w:val="2B2F6BD9"/>
    <w:rsid w:val="2B4658AA"/>
    <w:rsid w:val="2B4A75F4"/>
    <w:rsid w:val="2B8E1B57"/>
    <w:rsid w:val="2B8E71EA"/>
    <w:rsid w:val="2B957AF1"/>
    <w:rsid w:val="2BA705F6"/>
    <w:rsid w:val="2BD36FC0"/>
    <w:rsid w:val="2BE04E2E"/>
    <w:rsid w:val="2C0B2A13"/>
    <w:rsid w:val="2C201604"/>
    <w:rsid w:val="2C31119D"/>
    <w:rsid w:val="2C3328C4"/>
    <w:rsid w:val="2C335C2A"/>
    <w:rsid w:val="2C535325"/>
    <w:rsid w:val="2C5548F9"/>
    <w:rsid w:val="2D2B1461"/>
    <w:rsid w:val="2DA319DC"/>
    <w:rsid w:val="2DF06759"/>
    <w:rsid w:val="2E12514F"/>
    <w:rsid w:val="2E351771"/>
    <w:rsid w:val="2E922324"/>
    <w:rsid w:val="2EA23694"/>
    <w:rsid w:val="2EAD2321"/>
    <w:rsid w:val="2EDC494F"/>
    <w:rsid w:val="2EF7551C"/>
    <w:rsid w:val="2F1F4355"/>
    <w:rsid w:val="2F210D6D"/>
    <w:rsid w:val="2F7C2C25"/>
    <w:rsid w:val="2F8E0962"/>
    <w:rsid w:val="2FA30B14"/>
    <w:rsid w:val="2FBC4452"/>
    <w:rsid w:val="2FBD5AB0"/>
    <w:rsid w:val="2FFE7C5C"/>
    <w:rsid w:val="30071591"/>
    <w:rsid w:val="30243F4A"/>
    <w:rsid w:val="303240F6"/>
    <w:rsid w:val="30586CDF"/>
    <w:rsid w:val="30725A8E"/>
    <w:rsid w:val="30826FF9"/>
    <w:rsid w:val="30985912"/>
    <w:rsid w:val="309A6E65"/>
    <w:rsid w:val="30E60CDF"/>
    <w:rsid w:val="31183D8E"/>
    <w:rsid w:val="312B136C"/>
    <w:rsid w:val="3165141F"/>
    <w:rsid w:val="31771119"/>
    <w:rsid w:val="318E2800"/>
    <w:rsid w:val="31934494"/>
    <w:rsid w:val="319D55BA"/>
    <w:rsid w:val="31BD1137"/>
    <w:rsid w:val="31CE1FAB"/>
    <w:rsid w:val="31F1162F"/>
    <w:rsid w:val="31F21635"/>
    <w:rsid w:val="31F46862"/>
    <w:rsid w:val="321859D2"/>
    <w:rsid w:val="322E5C7B"/>
    <w:rsid w:val="323D28AC"/>
    <w:rsid w:val="32492609"/>
    <w:rsid w:val="328F6057"/>
    <w:rsid w:val="32A75EF3"/>
    <w:rsid w:val="32AE7831"/>
    <w:rsid w:val="32B37FA4"/>
    <w:rsid w:val="32C178A8"/>
    <w:rsid w:val="32DB1F0F"/>
    <w:rsid w:val="33413E8A"/>
    <w:rsid w:val="335E264F"/>
    <w:rsid w:val="337530C8"/>
    <w:rsid w:val="338059AD"/>
    <w:rsid w:val="33DB2E5A"/>
    <w:rsid w:val="33EA7F3E"/>
    <w:rsid w:val="33F1490B"/>
    <w:rsid w:val="33FD5E57"/>
    <w:rsid w:val="340C24DE"/>
    <w:rsid w:val="340F4394"/>
    <w:rsid w:val="34164CF1"/>
    <w:rsid w:val="342D7E99"/>
    <w:rsid w:val="345B10E7"/>
    <w:rsid w:val="346720B7"/>
    <w:rsid w:val="347C5E46"/>
    <w:rsid w:val="35165627"/>
    <w:rsid w:val="352C0C5B"/>
    <w:rsid w:val="35490544"/>
    <w:rsid w:val="35904376"/>
    <w:rsid w:val="35A0166C"/>
    <w:rsid w:val="35B058C7"/>
    <w:rsid w:val="35DE34F2"/>
    <w:rsid w:val="35F871FB"/>
    <w:rsid w:val="35FC498E"/>
    <w:rsid w:val="36417C8D"/>
    <w:rsid w:val="366436B8"/>
    <w:rsid w:val="36886515"/>
    <w:rsid w:val="368A2F91"/>
    <w:rsid w:val="368B1D4A"/>
    <w:rsid w:val="369F3C73"/>
    <w:rsid w:val="36AC3A23"/>
    <w:rsid w:val="36E954BF"/>
    <w:rsid w:val="36FA78CD"/>
    <w:rsid w:val="37370B6E"/>
    <w:rsid w:val="3768338E"/>
    <w:rsid w:val="37836ECB"/>
    <w:rsid w:val="37945B49"/>
    <w:rsid w:val="379D3B99"/>
    <w:rsid w:val="37D45539"/>
    <w:rsid w:val="37ED7F2D"/>
    <w:rsid w:val="381876E7"/>
    <w:rsid w:val="381C0BFA"/>
    <w:rsid w:val="38227768"/>
    <w:rsid w:val="387939C8"/>
    <w:rsid w:val="38814998"/>
    <w:rsid w:val="38895880"/>
    <w:rsid w:val="38A94FE7"/>
    <w:rsid w:val="38BA64A1"/>
    <w:rsid w:val="38F04E1B"/>
    <w:rsid w:val="38FE6B47"/>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4701F0"/>
    <w:rsid w:val="3B573FA4"/>
    <w:rsid w:val="3BD4036B"/>
    <w:rsid w:val="3C1D4BEF"/>
    <w:rsid w:val="3C1E5B01"/>
    <w:rsid w:val="3C333506"/>
    <w:rsid w:val="3C3C0E2E"/>
    <w:rsid w:val="3C656913"/>
    <w:rsid w:val="3C8D6D94"/>
    <w:rsid w:val="3C94066E"/>
    <w:rsid w:val="3CFE2ED4"/>
    <w:rsid w:val="3CFE624A"/>
    <w:rsid w:val="3D1251D3"/>
    <w:rsid w:val="3D173430"/>
    <w:rsid w:val="3D470E27"/>
    <w:rsid w:val="3D475A63"/>
    <w:rsid w:val="3DCB73E0"/>
    <w:rsid w:val="3E032F87"/>
    <w:rsid w:val="3E287885"/>
    <w:rsid w:val="3E447FF5"/>
    <w:rsid w:val="3E536639"/>
    <w:rsid w:val="3E565DBA"/>
    <w:rsid w:val="3EEE28F9"/>
    <w:rsid w:val="3F1539A0"/>
    <w:rsid w:val="3F1E4982"/>
    <w:rsid w:val="3F516B77"/>
    <w:rsid w:val="3FBB3A60"/>
    <w:rsid w:val="3FEE6A4A"/>
    <w:rsid w:val="401F30A7"/>
    <w:rsid w:val="402A4D00"/>
    <w:rsid w:val="40457BFD"/>
    <w:rsid w:val="40705383"/>
    <w:rsid w:val="40831E81"/>
    <w:rsid w:val="40891F67"/>
    <w:rsid w:val="408C76E2"/>
    <w:rsid w:val="409057BD"/>
    <w:rsid w:val="40C10231"/>
    <w:rsid w:val="41186225"/>
    <w:rsid w:val="414E2379"/>
    <w:rsid w:val="416F5968"/>
    <w:rsid w:val="417A6877"/>
    <w:rsid w:val="418324AC"/>
    <w:rsid w:val="41A04200"/>
    <w:rsid w:val="41A32F85"/>
    <w:rsid w:val="41B858E8"/>
    <w:rsid w:val="41DC2AD7"/>
    <w:rsid w:val="420F20F6"/>
    <w:rsid w:val="42203971"/>
    <w:rsid w:val="42257F84"/>
    <w:rsid w:val="422D3D55"/>
    <w:rsid w:val="42526B31"/>
    <w:rsid w:val="42680DF6"/>
    <w:rsid w:val="42757300"/>
    <w:rsid w:val="428E4E02"/>
    <w:rsid w:val="42AB04B4"/>
    <w:rsid w:val="42BF0693"/>
    <w:rsid w:val="42DA60A9"/>
    <w:rsid w:val="42DC0DDB"/>
    <w:rsid w:val="430F46B4"/>
    <w:rsid w:val="43396FCF"/>
    <w:rsid w:val="43434628"/>
    <w:rsid w:val="43482915"/>
    <w:rsid w:val="4351032C"/>
    <w:rsid w:val="4355293C"/>
    <w:rsid w:val="43577058"/>
    <w:rsid w:val="438A19A8"/>
    <w:rsid w:val="439439C5"/>
    <w:rsid w:val="4395062C"/>
    <w:rsid w:val="439E7A84"/>
    <w:rsid w:val="43D46D19"/>
    <w:rsid w:val="44026924"/>
    <w:rsid w:val="44236751"/>
    <w:rsid w:val="448C78B8"/>
    <w:rsid w:val="44B2410D"/>
    <w:rsid w:val="44CB1108"/>
    <w:rsid w:val="44E4129A"/>
    <w:rsid w:val="452C5A2B"/>
    <w:rsid w:val="453F611C"/>
    <w:rsid w:val="454D6E39"/>
    <w:rsid w:val="45C94E39"/>
    <w:rsid w:val="45CD5D18"/>
    <w:rsid w:val="45D568DB"/>
    <w:rsid w:val="45E64357"/>
    <w:rsid w:val="46051FED"/>
    <w:rsid w:val="46125FF1"/>
    <w:rsid w:val="46320679"/>
    <w:rsid w:val="46495A0E"/>
    <w:rsid w:val="464B079B"/>
    <w:rsid w:val="468077A8"/>
    <w:rsid w:val="468E6ECD"/>
    <w:rsid w:val="46AB53AC"/>
    <w:rsid w:val="46E07413"/>
    <w:rsid w:val="46EA56DB"/>
    <w:rsid w:val="4704021F"/>
    <w:rsid w:val="47616CD0"/>
    <w:rsid w:val="476C6251"/>
    <w:rsid w:val="479C322F"/>
    <w:rsid w:val="47A06F4B"/>
    <w:rsid w:val="47A978DA"/>
    <w:rsid w:val="48037F6C"/>
    <w:rsid w:val="480C6C1B"/>
    <w:rsid w:val="48295411"/>
    <w:rsid w:val="48B268BC"/>
    <w:rsid w:val="48B70BA6"/>
    <w:rsid w:val="48DF13FB"/>
    <w:rsid w:val="49157196"/>
    <w:rsid w:val="492D0C09"/>
    <w:rsid w:val="493B7D23"/>
    <w:rsid w:val="494B6BC0"/>
    <w:rsid w:val="49545F4C"/>
    <w:rsid w:val="497038CD"/>
    <w:rsid w:val="497205C6"/>
    <w:rsid w:val="49730A66"/>
    <w:rsid w:val="499A66C3"/>
    <w:rsid w:val="49A17BDC"/>
    <w:rsid w:val="49AC538B"/>
    <w:rsid w:val="49F220F0"/>
    <w:rsid w:val="4A532137"/>
    <w:rsid w:val="4A784075"/>
    <w:rsid w:val="4A9E208F"/>
    <w:rsid w:val="4AEC33B6"/>
    <w:rsid w:val="4B242E77"/>
    <w:rsid w:val="4B2451E8"/>
    <w:rsid w:val="4B320889"/>
    <w:rsid w:val="4B3D4012"/>
    <w:rsid w:val="4B4A24A6"/>
    <w:rsid w:val="4B8F2E5B"/>
    <w:rsid w:val="4B945212"/>
    <w:rsid w:val="4BC2454D"/>
    <w:rsid w:val="4BF27690"/>
    <w:rsid w:val="4C204881"/>
    <w:rsid w:val="4C775DE6"/>
    <w:rsid w:val="4C82133E"/>
    <w:rsid w:val="4CA3109F"/>
    <w:rsid w:val="4CB47B10"/>
    <w:rsid w:val="4CD9455C"/>
    <w:rsid w:val="4CE3486E"/>
    <w:rsid w:val="4CEB5B8E"/>
    <w:rsid w:val="4CF91653"/>
    <w:rsid w:val="4D13604C"/>
    <w:rsid w:val="4D2671DF"/>
    <w:rsid w:val="4D2D6907"/>
    <w:rsid w:val="4D376EA9"/>
    <w:rsid w:val="4D845D59"/>
    <w:rsid w:val="4DA80E22"/>
    <w:rsid w:val="4DB81F38"/>
    <w:rsid w:val="4DDB52DD"/>
    <w:rsid w:val="4DE92DD7"/>
    <w:rsid w:val="4DFE7BC4"/>
    <w:rsid w:val="4E0062C6"/>
    <w:rsid w:val="4E0D5475"/>
    <w:rsid w:val="4E6B6CEB"/>
    <w:rsid w:val="4EA1757E"/>
    <w:rsid w:val="4EA52677"/>
    <w:rsid w:val="4EAD5D22"/>
    <w:rsid w:val="4ECE6225"/>
    <w:rsid w:val="4F7714C8"/>
    <w:rsid w:val="4F796063"/>
    <w:rsid w:val="4F7B6890"/>
    <w:rsid w:val="4F8D5360"/>
    <w:rsid w:val="4FA265C1"/>
    <w:rsid w:val="4FAF2ACB"/>
    <w:rsid w:val="4FE0775F"/>
    <w:rsid w:val="4FE84A65"/>
    <w:rsid w:val="4FF14958"/>
    <w:rsid w:val="503B5A8A"/>
    <w:rsid w:val="505852F6"/>
    <w:rsid w:val="507E72C1"/>
    <w:rsid w:val="508235A6"/>
    <w:rsid w:val="50BB3ACD"/>
    <w:rsid w:val="50DE33C7"/>
    <w:rsid w:val="512F6EC2"/>
    <w:rsid w:val="513242BC"/>
    <w:rsid w:val="513403C7"/>
    <w:rsid w:val="518B38CB"/>
    <w:rsid w:val="518B4FD1"/>
    <w:rsid w:val="518E0C97"/>
    <w:rsid w:val="51E145FD"/>
    <w:rsid w:val="51E51CC3"/>
    <w:rsid w:val="520F62ED"/>
    <w:rsid w:val="52350240"/>
    <w:rsid w:val="52670AC3"/>
    <w:rsid w:val="529A77A5"/>
    <w:rsid w:val="52C5623B"/>
    <w:rsid w:val="532B2528"/>
    <w:rsid w:val="53396CC8"/>
    <w:rsid w:val="534D5B9F"/>
    <w:rsid w:val="534E3B27"/>
    <w:rsid w:val="53523F58"/>
    <w:rsid w:val="536C4A8A"/>
    <w:rsid w:val="53B11D35"/>
    <w:rsid w:val="53ED6794"/>
    <w:rsid w:val="53EF1D95"/>
    <w:rsid w:val="542657F3"/>
    <w:rsid w:val="542A50A2"/>
    <w:rsid w:val="542D5399"/>
    <w:rsid w:val="543E14AB"/>
    <w:rsid w:val="54676806"/>
    <w:rsid w:val="54B643C9"/>
    <w:rsid w:val="54CF10E0"/>
    <w:rsid w:val="54DD2BD3"/>
    <w:rsid w:val="553E317D"/>
    <w:rsid w:val="554D2C1E"/>
    <w:rsid w:val="556D7264"/>
    <w:rsid w:val="559230BD"/>
    <w:rsid w:val="55E907A3"/>
    <w:rsid w:val="55E92CB5"/>
    <w:rsid w:val="561A16CF"/>
    <w:rsid w:val="56325307"/>
    <w:rsid w:val="5659474A"/>
    <w:rsid w:val="56732B47"/>
    <w:rsid w:val="56D504BB"/>
    <w:rsid w:val="570F5D54"/>
    <w:rsid w:val="570F6504"/>
    <w:rsid w:val="5733660F"/>
    <w:rsid w:val="57343CB7"/>
    <w:rsid w:val="573834F1"/>
    <w:rsid w:val="57463334"/>
    <w:rsid w:val="574B6739"/>
    <w:rsid w:val="574D21DE"/>
    <w:rsid w:val="578B6597"/>
    <w:rsid w:val="57942C39"/>
    <w:rsid w:val="57B97E77"/>
    <w:rsid w:val="57EB2081"/>
    <w:rsid w:val="57FC2F43"/>
    <w:rsid w:val="583F04BE"/>
    <w:rsid w:val="5845276D"/>
    <w:rsid w:val="58641F03"/>
    <w:rsid w:val="58BD4EAA"/>
    <w:rsid w:val="58C534B8"/>
    <w:rsid w:val="58DA20C8"/>
    <w:rsid w:val="58E80569"/>
    <w:rsid w:val="58F8378F"/>
    <w:rsid w:val="58FE6BB9"/>
    <w:rsid w:val="592521E5"/>
    <w:rsid w:val="592E0C31"/>
    <w:rsid w:val="5930567C"/>
    <w:rsid w:val="593259F3"/>
    <w:rsid w:val="594531C0"/>
    <w:rsid w:val="59A2106F"/>
    <w:rsid w:val="59A25083"/>
    <w:rsid w:val="59B02771"/>
    <w:rsid w:val="59B64E5B"/>
    <w:rsid w:val="59C41AA5"/>
    <w:rsid w:val="5A196198"/>
    <w:rsid w:val="5A36290A"/>
    <w:rsid w:val="5AAE2321"/>
    <w:rsid w:val="5AB52004"/>
    <w:rsid w:val="5AC454CC"/>
    <w:rsid w:val="5AED7240"/>
    <w:rsid w:val="5B004781"/>
    <w:rsid w:val="5B0E1573"/>
    <w:rsid w:val="5B3C0D3E"/>
    <w:rsid w:val="5B416702"/>
    <w:rsid w:val="5B4E445F"/>
    <w:rsid w:val="5B510FBA"/>
    <w:rsid w:val="5B5E370D"/>
    <w:rsid w:val="5B713427"/>
    <w:rsid w:val="5B733CC7"/>
    <w:rsid w:val="5B8152A6"/>
    <w:rsid w:val="5B964C3B"/>
    <w:rsid w:val="5BF847A4"/>
    <w:rsid w:val="5C1F20CC"/>
    <w:rsid w:val="5C20337F"/>
    <w:rsid w:val="5C4D30E7"/>
    <w:rsid w:val="5C4F430C"/>
    <w:rsid w:val="5C514191"/>
    <w:rsid w:val="5C8B0489"/>
    <w:rsid w:val="5CF73949"/>
    <w:rsid w:val="5D3038FF"/>
    <w:rsid w:val="5D4208CB"/>
    <w:rsid w:val="5DBA71CA"/>
    <w:rsid w:val="5DCB432F"/>
    <w:rsid w:val="5DD6127D"/>
    <w:rsid w:val="5DD956B5"/>
    <w:rsid w:val="5DE04163"/>
    <w:rsid w:val="5DEC7C19"/>
    <w:rsid w:val="5DFC0EB0"/>
    <w:rsid w:val="5E086E60"/>
    <w:rsid w:val="5E5B4B1E"/>
    <w:rsid w:val="5E806603"/>
    <w:rsid w:val="5EDC2437"/>
    <w:rsid w:val="5F0D17C2"/>
    <w:rsid w:val="5F196376"/>
    <w:rsid w:val="5F3C0936"/>
    <w:rsid w:val="5F5A2BA2"/>
    <w:rsid w:val="5F683B20"/>
    <w:rsid w:val="5F6A1B70"/>
    <w:rsid w:val="5F715923"/>
    <w:rsid w:val="5F74528F"/>
    <w:rsid w:val="5F905960"/>
    <w:rsid w:val="5FAD0C82"/>
    <w:rsid w:val="600E16AB"/>
    <w:rsid w:val="603C6B90"/>
    <w:rsid w:val="608B4D11"/>
    <w:rsid w:val="60B146AA"/>
    <w:rsid w:val="60E930B4"/>
    <w:rsid w:val="61034DA8"/>
    <w:rsid w:val="61111960"/>
    <w:rsid w:val="612D5C44"/>
    <w:rsid w:val="61391E0A"/>
    <w:rsid w:val="616A0794"/>
    <w:rsid w:val="61716ECA"/>
    <w:rsid w:val="61984689"/>
    <w:rsid w:val="619B0D95"/>
    <w:rsid w:val="61A00D6C"/>
    <w:rsid w:val="61EC3C39"/>
    <w:rsid w:val="62093EA3"/>
    <w:rsid w:val="620B0745"/>
    <w:rsid w:val="621C5B02"/>
    <w:rsid w:val="6229181C"/>
    <w:rsid w:val="62293292"/>
    <w:rsid w:val="623C5690"/>
    <w:rsid w:val="624469DA"/>
    <w:rsid w:val="625B2CD4"/>
    <w:rsid w:val="62772330"/>
    <w:rsid w:val="629851A9"/>
    <w:rsid w:val="62B657FF"/>
    <w:rsid w:val="62C03657"/>
    <w:rsid w:val="62DF584D"/>
    <w:rsid w:val="62F96812"/>
    <w:rsid w:val="632D1B08"/>
    <w:rsid w:val="634B6B7B"/>
    <w:rsid w:val="637729C4"/>
    <w:rsid w:val="63813430"/>
    <w:rsid w:val="63A40F54"/>
    <w:rsid w:val="63E76134"/>
    <w:rsid w:val="64383FFB"/>
    <w:rsid w:val="6457654C"/>
    <w:rsid w:val="64834708"/>
    <w:rsid w:val="64A956EF"/>
    <w:rsid w:val="64AC0A38"/>
    <w:rsid w:val="64D43A06"/>
    <w:rsid w:val="64D45316"/>
    <w:rsid w:val="64D7550B"/>
    <w:rsid w:val="651A5C4B"/>
    <w:rsid w:val="653116C9"/>
    <w:rsid w:val="653A164C"/>
    <w:rsid w:val="65B31BCC"/>
    <w:rsid w:val="65B87A10"/>
    <w:rsid w:val="65D35C16"/>
    <w:rsid w:val="6606215B"/>
    <w:rsid w:val="66540648"/>
    <w:rsid w:val="666879C6"/>
    <w:rsid w:val="66B74724"/>
    <w:rsid w:val="66EA1E3B"/>
    <w:rsid w:val="66ED5049"/>
    <w:rsid w:val="671B3499"/>
    <w:rsid w:val="6774663E"/>
    <w:rsid w:val="67956067"/>
    <w:rsid w:val="67B71CB2"/>
    <w:rsid w:val="68031777"/>
    <w:rsid w:val="68353249"/>
    <w:rsid w:val="685272E2"/>
    <w:rsid w:val="68767A40"/>
    <w:rsid w:val="68B03C37"/>
    <w:rsid w:val="68C11D22"/>
    <w:rsid w:val="68D01D60"/>
    <w:rsid w:val="68D575AA"/>
    <w:rsid w:val="68EB7C0C"/>
    <w:rsid w:val="68F0116E"/>
    <w:rsid w:val="68F73295"/>
    <w:rsid w:val="69085BD7"/>
    <w:rsid w:val="69154FCB"/>
    <w:rsid w:val="69680059"/>
    <w:rsid w:val="69882A50"/>
    <w:rsid w:val="69931B97"/>
    <w:rsid w:val="699879F8"/>
    <w:rsid w:val="69C8110F"/>
    <w:rsid w:val="6A287ACE"/>
    <w:rsid w:val="6A544FCD"/>
    <w:rsid w:val="6AC26EA2"/>
    <w:rsid w:val="6AC44695"/>
    <w:rsid w:val="6B477EF6"/>
    <w:rsid w:val="6B513865"/>
    <w:rsid w:val="6B903974"/>
    <w:rsid w:val="6B9A256C"/>
    <w:rsid w:val="6BA373FF"/>
    <w:rsid w:val="6BEB1E5F"/>
    <w:rsid w:val="6C4957FC"/>
    <w:rsid w:val="6C515BF6"/>
    <w:rsid w:val="6C53730E"/>
    <w:rsid w:val="6C5534FB"/>
    <w:rsid w:val="6C61176F"/>
    <w:rsid w:val="6C666306"/>
    <w:rsid w:val="6CCC2D95"/>
    <w:rsid w:val="6D387925"/>
    <w:rsid w:val="6D3E0CE6"/>
    <w:rsid w:val="6D5A7AE3"/>
    <w:rsid w:val="6D6E3F95"/>
    <w:rsid w:val="6DB151E2"/>
    <w:rsid w:val="6DBF39F3"/>
    <w:rsid w:val="6DC0644E"/>
    <w:rsid w:val="6DCF6202"/>
    <w:rsid w:val="6DE71080"/>
    <w:rsid w:val="6E137528"/>
    <w:rsid w:val="6E3E07AD"/>
    <w:rsid w:val="6E80463B"/>
    <w:rsid w:val="6E895A0C"/>
    <w:rsid w:val="6EC56FAA"/>
    <w:rsid w:val="6F22793F"/>
    <w:rsid w:val="6F457884"/>
    <w:rsid w:val="6F531B65"/>
    <w:rsid w:val="6F570F4E"/>
    <w:rsid w:val="6F7C1012"/>
    <w:rsid w:val="6F883155"/>
    <w:rsid w:val="6F8C7070"/>
    <w:rsid w:val="6F9E118C"/>
    <w:rsid w:val="6FA2085B"/>
    <w:rsid w:val="6FE70842"/>
    <w:rsid w:val="6FEA4E60"/>
    <w:rsid w:val="6FF53E70"/>
    <w:rsid w:val="700713B2"/>
    <w:rsid w:val="701A2DBF"/>
    <w:rsid w:val="703D260A"/>
    <w:rsid w:val="70642ED3"/>
    <w:rsid w:val="70763652"/>
    <w:rsid w:val="70A15996"/>
    <w:rsid w:val="70A2792D"/>
    <w:rsid w:val="70C0193D"/>
    <w:rsid w:val="70F43E95"/>
    <w:rsid w:val="713779A1"/>
    <w:rsid w:val="715168D7"/>
    <w:rsid w:val="71806AFE"/>
    <w:rsid w:val="718A55DC"/>
    <w:rsid w:val="71FE5EAA"/>
    <w:rsid w:val="720C6BF9"/>
    <w:rsid w:val="72447793"/>
    <w:rsid w:val="724E26A6"/>
    <w:rsid w:val="727601AB"/>
    <w:rsid w:val="72953F4C"/>
    <w:rsid w:val="72BA2638"/>
    <w:rsid w:val="72E24278"/>
    <w:rsid w:val="72F247EE"/>
    <w:rsid w:val="73046E24"/>
    <w:rsid w:val="73117CBC"/>
    <w:rsid w:val="731D3DC6"/>
    <w:rsid w:val="73501BC3"/>
    <w:rsid w:val="73785811"/>
    <w:rsid w:val="73843B37"/>
    <w:rsid w:val="739B2C36"/>
    <w:rsid w:val="73A56DC9"/>
    <w:rsid w:val="73AA2AB8"/>
    <w:rsid w:val="73D8014A"/>
    <w:rsid w:val="73F076FD"/>
    <w:rsid w:val="7448595E"/>
    <w:rsid w:val="74490D87"/>
    <w:rsid w:val="746E1E39"/>
    <w:rsid w:val="74A148F5"/>
    <w:rsid w:val="74A25915"/>
    <w:rsid w:val="74D0444D"/>
    <w:rsid w:val="750000AA"/>
    <w:rsid w:val="750A7ABF"/>
    <w:rsid w:val="754931B4"/>
    <w:rsid w:val="75706FDE"/>
    <w:rsid w:val="75775492"/>
    <w:rsid w:val="759077E6"/>
    <w:rsid w:val="75940C8C"/>
    <w:rsid w:val="75BB2BFD"/>
    <w:rsid w:val="75C624A0"/>
    <w:rsid w:val="75C940ED"/>
    <w:rsid w:val="75CE763E"/>
    <w:rsid w:val="75E83013"/>
    <w:rsid w:val="765748C8"/>
    <w:rsid w:val="76680ED5"/>
    <w:rsid w:val="76AC7129"/>
    <w:rsid w:val="76D15FF3"/>
    <w:rsid w:val="76D71D89"/>
    <w:rsid w:val="773C2D8E"/>
    <w:rsid w:val="77550A67"/>
    <w:rsid w:val="77B83BB6"/>
    <w:rsid w:val="77BA2D12"/>
    <w:rsid w:val="7855561B"/>
    <w:rsid w:val="7856695F"/>
    <w:rsid w:val="7866427B"/>
    <w:rsid w:val="78A60FF4"/>
    <w:rsid w:val="78B06E49"/>
    <w:rsid w:val="78F67487"/>
    <w:rsid w:val="78F70F79"/>
    <w:rsid w:val="78F732D8"/>
    <w:rsid w:val="790F1791"/>
    <w:rsid w:val="791F3849"/>
    <w:rsid w:val="797350BA"/>
    <w:rsid w:val="79775EC9"/>
    <w:rsid w:val="799464C4"/>
    <w:rsid w:val="79D00415"/>
    <w:rsid w:val="79EE2754"/>
    <w:rsid w:val="7A0657BE"/>
    <w:rsid w:val="7A123562"/>
    <w:rsid w:val="7A1A7F37"/>
    <w:rsid w:val="7A1C7B11"/>
    <w:rsid w:val="7A227394"/>
    <w:rsid w:val="7A2F4AE0"/>
    <w:rsid w:val="7A37206F"/>
    <w:rsid w:val="7A741385"/>
    <w:rsid w:val="7A7E5483"/>
    <w:rsid w:val="7A7E56CA"/>
    <w:rsid w:val="7AAF231C"/>
    <w:rsid w:val="7ABD1167"/>
    <w:rsid w:val="7AC84743"/>
    <w:rsid w:val="7AD47ACF"/>
    <w:rsid w:val="7AEC20F3"/>
    <w:rsid w:val="7B2F1AD6"/>
    <w:rsid w:val="7B7027FC"/>
    <w:rsid w:val="7B740622"/>
    <w:rsid w:val="7B7848C7"/>
    <w:rsid w:val="7B8D786E"/>
    <w:rsid w:val="7B994BC5"/>
    <w:rsid w:val="7BDC7402"/>
    <w:rsid w:val="7BE145C1"/>
    <w:rsid w:val="7C152DD9"/>
    <w:rsid w:val="7C520931"/>
    <w:rsid w:val="7C537D03"/>
    <w:rsid w:val="7CD535CF"/>
    <w:rsid w:val="7D34076E"/>
    <w:rsid w:val="7D4C75A5"/>
    <w:rsid w:val="7D53381A"/>
    <w:rsid w:val="7D624404"/>
    <w:rsid w:val="7D7477AD"/>
    <w:rsid w:val="7DBB0FE6"/>
    <w:rsid w:val="7DEB2B99"/>
    <w:rsid w:val="7DF25444"/>
    <w:rsid w:val="7DF27933"/>
    <w:rsid w:val="7E1A21B9"/>
    <w:rsid w:val="7E2C708B"/>
    <w:rsid w:val="7E6B4778"/>
    <w:rsid w:val="7E9B2B28"/>
    <w:rsid w:val="7EB910BD"/>
    <w:rsid w:val="7F476E1E"/>
    <w:rsid w:val="7FA15EE9"/>
    <w:rsid w:val="7FA77E3B"/>
    <w:rsid w:val="7FF10E47"/>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1"/>
    <w:unhideWhenUsed/>
    <w:qFormat/>
    <w:uiPriority w:val="0"/>
    <w:pPr>
      <w:numPr>
        <w:ilvl w:val="0"/>
        <w:numId w:val="1"/>
      </w:numPr>
      <w:spacing w:line="360" w:lineRule="auto"/>
      <w:ind w:firstLine="480" w:firstLineChars="200"/>
      <w:jc w:val="left"/>
      <w:outlineLvl w:val="1"/>
    </w:pPr>
    <w:rPr>
      <w:rFonts w:ascii="Arial" w:hAnsi="Arial" w:eastAsia="宋体" w:cs="Times New Roman"/>
      <w:color w:val="000000" w:themeColor="text1"/>
      <w:sz w:val="24"/>
      <w:szCs w:val="24"/>
      <w14:textFill>
        <w14:solidFill>
          <w14:schemeClr w14:val="tx1"/>
        </w14:solidFill>
      </w14:textFill>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5">
    <w:name w:val="Body Text"/>
    <w:basedOn w:val="1"/>
    <w:qFormat/>
    <w:uiPriority w:val="1"/>
    <w:rPr>
      <w:sz w:val="24"/>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unhideWhenUsed/>
    <w:qFormat/>
    <w:uiPriority w:val="0"/>
    <w:rPr>
      <w:color w:val="0091F2"/>
      <w:sz w:val="18"/>
      <w:szCs w:val="18"/>
      <w:u w:val="none"/>
    </w:rPr>
  </w:style>
  <w:style w:type="character" w:styleId="13">
    <w:name w:val="Hyperlink"/>
    <w:basedOn w:val="10"/>
    <w:unhideWhenUsed/>
    <w:qFormat/>
    <w:uiPriority w:val="0"/>
    <w:rPr>
      <w:color w:val="0091F2"/>
      <w:sz w:val="18"/>
      <w:szCs w:val="18"/>
      <w:u w:val="none"/>
    </w:rPr>
  </w:style>
  <w:style w:type="character" w:styleId="14">
    <w:name w:val="HTML Code"/>
    <w:basedOn w:val="10"/>
    <w:unhideWhenUsed/>
    <w:qFormat/>
    <w:uiPriority w:val="0"/>
    <w:rPr>
      <w:rFonts w:ascii="Courier New" w:hAnsi="Courier New"/>
      <w:sz w:val="20"/>
    </w:rPr>
  </w:style>
  <w:style w:type="paragraph" w:customStyle="1" w:styleId="15">
    <w:name w:val="列表段落1"/>
    <w:basedOn w:val="1"/>
    <w:qFormat/>
    <w:uiPriority w:val="34"/>
    <w:pPr>
      <w:spacing w:before="206"/>
      <w:ind w:left="959" w:hanging="361"/>
    </w:pPr>
  </w:style>
  <w:style w:type="character" w:customStyle="1" w:styleId="16">
    <w:name w:val="cd_message"/>
    <w:basedOn w:val="10"/>
    <w:qFormat/>
    <w:uiPriority w:val="0"/>
  </w:style>
  <w:style w:type="paragraph" w:customStyle="1" w:styleId="1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列出段落1"/>
    <w:basedOn w:val="1"/>
    <w:qFormat/>
    <w:uiPriority w:val="99"/>
    <w:pPr>
      <w:ind w:firstLine="420" w:firstLineChars="200"/>
    </w:pPr>
  </w:style>
  <w:style w:type="character" w:customStyle="1" w:styleId="19">
    <w:name w:val="页眉 Char"/>
    <w:basedOn w:val="10"/>
    <w:link w:val="7"/>
    <w:qFormat/>
    <w:uiPriority w:val="0"/>
    <w:rPr>
      <w:kern w:val="2"/>
      <w:sz w:val="18"/>
      <w:szCs w:val="18"/>
    </w:rPr>
  </w:style>
  <w:style w:type="character" w:customStyle="1" w:styleId="20">
    <w:name w:val="common_over_page_btn1"/>
    <w:basedOn w:val="10"/>
    <w:qFormat/>
    <w:uiPriority w:val="0"/>
  </w:style>
  <w:style w:type="character" w:customStyle="1" w:styleId="21">
    <w:name w:val="common_over_page_btn2"/>
    <w:basedOn w:val="10"/>
    <w:qFormat/>
    <w:uiPriority w:val="0"/>
    <w:rPr>
      <w:color w:val="999999"/>
      <w:bdr w:val="single" w:color="D4D4D4" w:sz="6" w:space="0"/>
      <w:shd w:val="clear" w:color="auto" w:fill="FFFFFF"/>
    </w:rPr>
  </w:style>
  <w:style w:type="paragraph" w:customStyle="1" w:styleId="22">
    <w:name w:val="Table Paragraph"/>
    <w:basedOn w:val="1"/>
    <w:qFormat/>
    <w:uiPriority w:val="1"/>
  </w:style>
  <w:style w:type="paragraph" w:customStyle="1" w:styleId="23">
    <w:name w:val="List Paragraph"/>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9208</Words>
  <Characters>9706</Characters>
  <Lines>36</Lines>
  <Paragraphs>10</Paragraphs>
  <TotalTime>0</TotalTime>
  <ScaleCrop>false</ScaleCrop>
  <LinksUpToDate>false</LinksUpToDate>
  <CharactersWithSpaces>10303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2024-09-12T05:55:30Z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A75658F4DF7042ED96D7FDADED55F779_13</vt:lpwstr>
  </property>
</Properties>
</file>