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default" w:ascii="微软雅黑" w:eastAsia="微软雅黑"/>
          <w:b/>
          <w:sz w:val="52"/>
          <w:szCs w:val="22"/>
          <w:u w:val="single"/>
          <w:lang w:val="en-US" w:eastAsia="zh-CN"/>
        </w:rPr>
      </w:pPr>
      <w:r>
        <w:rPr>
          <w:rFonts w:hint="eastAsia" w:ascii="微软雅黑" w:eastAsia="微软雅黑"/>
          <w:b/>
          <w:sz w:val="52"/>
          <w:szCs w:val="22"/>
          <w:u w:val="single"/>
          <w:lang w:eastAsia="zh-CN"/>
        </w:rPr>
        <w:t>生产一团队凝析油分离装置加热炉热负荷问题技术咨询发包项目</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比选文件</w:t>
      </w:r>
    </w:p>
    <w:p>
      <w:pPr>
        <w:pStyle w:val="2"/>
        <w:jc w:val="center"/>
        <w:rPr>
          <w:rFonts w:hint="eastAsia"/>
          <w:color w:val="000000" w:themeColor="text1"/>
          <w:sz w:val="28"/>
          <w:szCs w:val="28"/>
        </w:rPr>
      </w:pP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FAP1-T-202407-011</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headerReference r:id="rId3" w:type="default"/>
          <w:footerReference r:id="rId4" w:type="default"/>
          <w:type w:val="continuous"/>
          <w:pgSz w:w="11910" w:h="16840"/>
          <w:pgMar w:top="1600" w:right="1680" w:bottom="280" w:left="1680" w:header="720" w:footer="720" w:gutter="0"/>
          <w:pgNumType w:fmt="decimal"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附件一：发包说明</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二</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w:t>
      </w:r>
      <w:r>
        <w:rPr>
          <w:rFonts w:hint="eastAsia"/>
          <w:sz w:val="24"/>
          <w:szCs w:val="24"/>
          <w:lang w:val="en-US" w:eastAsia="zh-CN"/>
        </w:rPr>
        <w:t>三</w:t>
      </w:r>
      <w:r>
        <w:rPr>
          <w:sz w:val="24"/>
          <w:szCs w:val="24"/>
          <w:lang w:eastAsia="zh-CN"/>
        </w:rPr>
        <w:t>：参选文件（范本）</w:t>
      </w:r>
    </w:p>
    <w:p>
      <w:pPr>
        <w:spacing w:line="408" w:lineRule="auto"/>
        <w:rPr>
          <w:sz w:val="28"/>
          <w:lang w:eastAsia="zh-CN"/>
        </w:rPr>
        <w:sectPr>
          <w:footerReference r:id="rId5" w:type="default"/>
          <w:pgSz w:w="11910" w:h="16840"/>
          <w:pgMar w:top="1480" w:right="1340" w:bottom="740" w:left="1680" w:header="0" w:footer="551" w:gutter="0"/>
          <w:pgNumType w:fmt="decimal" w:start="1"/>
          <w:cols w:space="720" w:num="1"/>
        </w:sectPr>
      </w:pPr>
    </w:p>
    <w:p>
      <w:pPr>
        <w:pStyle w:val="76"/>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生产一团队凝析油分离装置加热炉热负荷问题技术咨询发包项目（项目编号：FAP1-T-202407-011）</w:t>
      </w:r>
      <w:r>
        <w:rPr>
          <w:rFonts w:hint="eastAsia"/>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1.项目名称：福建福海创石油化工有限公司生产一团队凝析油分离装置加热炉热负荷问题技术咨询发包项目</w:t>
      </w:r>
    </w:p>
    <w:p>
      <w:pPr>
        <w:tabs>
          <w:tab w:val="left" w:pos="709"/>
        </w:tabs>
        <w:spacing w:line="360" w:lineRule="auto"/>
        <w:ind w:firstLine="480" w:firstLineChars="200"/>
        <w:rPr>
          <w:rFonts w:hint="eastAsia"/>
          <w:sz w:val="24"/>
          <w:szCs w:val="24"/>
          <w:lang w:val="en-US" w:eastAsia="zh-CN"/>
        </w:rPr>
      </w:pPr>
      <w:r>
        <w:rPr>
          <w:rFonts w:hint="eastAsia"/>
          <w:sz w:val="24"/>
          <w:szCs w:val="24"/>
          <w:lang w:eastAsia="zh-CN"/>
        </w:rPr>
        <w:t>2.比选项目简要说明：</w:t>
      </w:r>
      <w:r>
        <w:rPr>
          <w:rFonts w:hint="eastAsia"/>
          <w:sz w:val="24"/>
          <w:szCs w:val="24"/>
          <w:lang w:val="en-US" w:eastAsia="zh-CN"/>
        </w:rPr>
        <w:t>详看附件1、《发包说明》</w:t>
      </w:r>
    </w:p>
    <w:p>
      <w:pPr>
        <w:tabs>
          <w:tab w:val="left" w:pos="709"/>
        </w:tabs>
        <w:spacing w:line="360" w:lineRule="auto"/>
        <w:ind w:firstLine="480" w:firstLineChars="200"/>
        <w:rPr>
          <w:rFonts w:hint="eastAsia"/>
          <w:sz w:val="24"/>
          <w:szCs w:val="24"/>
          <w:lang w:eastAsia="zh-CN"/>
        </w:rPr>
      </w:pPr>
      <w:r>
        <w:rPr>
          <w:rFonts w:hint="eastAsia"/>
          <w:sz w:val="24"/>
          <w:szCs w:val="24"/>
          <w:lang w:eastAsia="zh-CN"/>
        </w:rPr>
        <w:t>3.比选控制价：</w:t>
      </w:r>
      <w:r>
        <w:rPr>
          <w:rFonts w:hint="eastAsia"/>
          <w:sz w:val="24"/>
          <w:szCs w:val="24"/>
          <w:lang w:val="en-US" w:eastAsia="zh-CN"/>
        </w:rPr>
        <w:t>25</w:t>
      </w:r>
      <w:r>
        <w:rPr>
          <w:rFonts w:hint="eastAsia"/>
          <w:sz w:val="24"/>
          <w:szCs w:val="24"/>
          <w:lang w:eastAsia="zh-CN"/>
        </w:rPr>
        <w:t>万元（含税）</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1.参选人须具备有效的企业法人营业执照，</w:t>
      </w:r>
      <w:r>
        <w:rPr>
          <w:rFonts w:hint="eastAsia"/>
          <w:sz w:val="24"/>
          <w:szCs w:val="24"/>
          <w:lang w:val="en-US" w:eastAsia="zh-CN"/>
        </w:rPr>
        <w:t>且</w:t>
      </w:r>
      <w:r>
        <w:rPr>
          <w:rFonts w:hint="eastAsia" w:asciiTheme="minorEastAsia" w:hAnsi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lang w:val="en-US" w:eastAsia="zh-CN"/>
        </w:rPr>
        <w:t>人应为具有独立承担民事责任能力能为本项目提供服务的法人或其他组织</w:t>
      </w:r>
      <w:r>
        <w:rPr>
          <w:rFonts w:hint="eastAsia"/>
          <w:sz w:val="24"/>
          <w:szCs w:val="24"/>
          <w:lang w:eastAsia="zh-CN"/>
        </w:rPr>
        <w:t>。</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为石油化工行业工程设计公司（工程公司）或石油化工行业专业加热炉公司。参选人为石油化工行业工程设计公司（工程公司）须具备工程设计化工石化医药行业甲级（化工工程）及以上设计资质；参选人为石油化工行业专业加热炉公司须提供与具有工程设计化工石化医药行业甲级（化工工程）及以上设计资质公司的关系证明文件，证明双方可共享相关资质。</w:t>
      </w:r>
    </w:p>
    <w:p>
      <w:pPr>
        <w:tabs>
          <w:tab w:val="left" w:pos="709"/>
        </w:tabs>
        <w:spacing w:line="360" w:lineRule="auto"/>
        <w:ind w:firstLine="480" w:firstLineChars="200"/>
        <w:rPr>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参选人须具有自2019年1月1日（以合同签订时间为准）至今承担过新建项目，装置规模不低于500万吨/年炼油装置或150万吨/年芳烃装置的工程设计合同或加热炉供货业绩（其供货加热炉热负荷不低于50MW），要求</w:t>
      </w:r>
      <w:r>
        <w:rPr>
          <w:rFonts w:hint="eastAsia"/>
          <w:sz w:val="24"/>
          <w:szCs w:val="24"/>
          <w:lang w:val="en-US" w:eastAsia="zh-CN"/>
        </w:rPr>
        <w:t>合同</w:t>
      </w:r>
      <w:r>
        <w:rPr>
          <w:rFonts w:hint="eastAsia"/>
          <w:sz w:val="24"/>
          <w:szCs w:val="24"/>
          <w:lang w:eastAsia="zh-CN"/>
        </w:rPr>
        <w:t>工作内容包含加热炉工艺设计或工艺核算工作。（业绩提供的证明材料必须能清晰的表明类似工程的名称、工程规模、工程内容、时间或加热炉热负荷数据等需要明示的内容）。</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4</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5</w:t>
      </w:r>
      <w:r>
        <w:rPr>
          <w:color w:val="000000" w:themeColor="text1"/>
          <w:sz w:val="24"/>
          <w:szCs w:val="24"/>
          <w:lang w:eastAsia="zh-CN"/>
        </w:rPr>
        <w:t>.与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24</w:t>
      </w:r>
      <w:r>
        <w:rPr>
          <w:rFonts w:hint="eastAsia"/>
          <w:color w:val="000000" w:themeColor="text1"/>
          <w:sz w:val="24"/>
          <w:szCs w:val="24"/>
          <w:lang w:eastAsia="zh-CN"/>
        </w:rPr>
        <w:t>日至</w:t>
      </w:r>
      <w:r>
        <w:rPr>
          <w:rFonts w:hint="eastAsia"/>
          <w:color w:val="000000" w:themeColor="text1"/>
          <w:sz w:val="24"/>
          <w:szCs w:val="24"/>
          <w:lang w:val="en-US" w:eastAsia="zh-CN"/>
        </w:rPr>
        <w:t>10月3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2024年10月9日12时止。</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注明用途：生产一团队凝析油分离装置加热炉热负荷问题技术咨询发包项目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rPr>
          <w:rFonts w:hint="default"/>
          <w:b/>
          <w:bCs w:val="0"/>
          <w:snapToGrid w:val="0"/>
          <w:color w:val="000000" w:themeColor="text1"/>
          <w:spacing w:val="8"/>
          <w:sz w:val="24"/>
          <w:szCs w:val="24"/>
          <w:lang w:val="en-US" w:eastAsia="zh-CN"/>
        </w:rPr>
      </w:pPr>
      <w:r>
        <w:rPr>
          <w:rFonts w:hint="eastAsia"/>
          <w:b/>
          <w:bCs w:val="0"/>
          <w:snapToGrid w:val="0"/>
          <w:color w:val="000000" w:themeColor="text1"/>
          <w:spacing w:val="8"/>
          <w:sz w:val="24"/>
          <w:szCs w:val="24"/>
          <w:lang w:val="en-US" w:eastAsia="zh-CN"/>
        </w:rPr>
        <w:t>参选保证金要求在参选文件递交截止时间前缴纳至我司指定账户。</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技术联系人：田红州 电话：17350605070 邮箱：hztian@fhcpec.com.cn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color w:val="000000" w:themeColor="text1"/>
          <w:sz w:val="24"/>
          <w:szCs w:val="24"/>
          <w:lang w:val="en-US" w:eastAsia="zh-CN"/>
        </w:rPr>
        <w:sectPr>
          <w:pgSz w:w="11910" w:h="16840"/>
          <w:pgMar w:top="1500" w:right="1020" w:bottom="740" w:left="1300" w:header="0" w:footer="551" w:gutter="0"/>
          <w:pgNumType w:fmt="decimal"/>
          <w:cols w:space="720" w:num="1"/>
        </w:sectPr>
      </w:pPr>
      <w:r>
        <w:rPr>
          <w:rFonts w:hint="eastAsia"/>
          <w:color w:val="000000" w:themeColor="text1"/>
          <w:sz w:val="24"/>
          <w:szCs w:val="24"/>
          <w:lang w:eastAsia="zh-CN"/>
        </w:rPr>
        <w:t>邮编：36321</w:t>
      </w:r>
      <w:r>
        <w:rPr>
          <w:rFonts w:hint="eastAsia"/>
          <w:color w:val="000000" w:themeColor="text1"/>
          <w:sz w:val="24"/>
          <w:szCs w:val="24"/>
          <w:lang w:val="en-US" w:eastAsia="zh-CN"/>
        </w:rPr>
        <w:t>6</w:t>
      </w:r>
    </w:p>
    <w:p>
      <w:pPr>
        <w:pStyle w:val="3"/>
        <w:keepNext w:val="0"/>
        <w:keepLines w:val="0"/>
        <w:pageBreakBefore w:val="0"/>
        <w:widowControl w:val="0"/>
        <w:tabs>
          <w:tab w:val="left" w:pos="1262"/>
        </w:tabs>
        <w:kinsoku/>
        <w:wordWrap/>
        <w:overflowPunct/>
        <w:topLinePunct w:val="0"/>
        <w:autoSpaceDE w:val="0"/>
        <w:autoSpaceDN w:val="0"/>
        <w:bidi w:val="0"/>
        <w:adjustRightInd/>
        <w:snapToGrid/>
        <w:spacing w:line="360" w:lineRule="auto"/>
        <w:ind w:left="0" w:right="0"/>
        <w:jc w:val="center"/>
        <w:textAlignment w:val="auto"/>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福建福海创石油化工有限公司生产一团队凝析油分离装置加热炉热负荷问题技术咨询发包项目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jc w:val="both"/>
        <w:textAlignment w:val="auto"/>
        <w:rPr>
          <w:color w:val="000000" w:themeColor="text1"/>
          <w:lang w:eastAsia="zh-CN"/>
        </w:rPr>
      </w:pPr>
      <w:r>
        <w:rPr>
          <w:rFonts w:hint="eastAsia"/>
          <w:color w:val="000000" w:themeColor="text1"/>
          <w:lang w:eastAsia="zh-CN"/>
        </w:rPr>
        <w:t>2.项目</w:t>
      </w:r>
      <w:r>
        <w:rPr>
          <w:color w:val="000000" w:themeColor="text1"/>
          <w:lang w:eastAsia="zh-CN"/>
        </w:rPr>
        <w:t>地点：</w:t>
      </w:r>
      <w:r>
        <w:rPr>
          <w:rFonts w:hint="eastAsia"/>
          <w:color w:val="000000" w:themeColor="text1"/>
          <w:lang w:eastAsia="zh-CN"/>
        </w:rPr>
        <w:t>福建福海创石油化工有限公司</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color w:val="000000" w:themeColor="text1"/>
          <w:lang w:eastAsia="zh-CN"/>
        </w:rPr>
      </w:pPr>
      <w:r>
        <w:rPr>
          <w:rFonts w:hint="eastAsia"/>
          <w:color w:val="000000" w:themeColor="text1"/>
          <w:lang w:eastAsia="zh-CN"/>
        </w:rPr>
        <w:t xml:space="preserve">    3.承包方式：固定总价包干（包含评审及</w:t>
      </w:r>
      <w:r>
        <w:rPr>
          <w:color w:val="000000" w:themeColor="text1"/>
          <w:lang w:eastAsia="zh-CN"/>
        </w:rPr>
        <w:t>专家费等相关费用（如果有）</w:t>
      </w:r>
      <w:r>
        <w:rPr>
          <w:rFonts w:hint="eastAsia"/>
          <w:color w:val="000000" w:themeColor="text1"/>
          <w:lang w:eastAsia="zh-CN"/>
        </w:rPr>
        <w:t>）</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jc w:val="both"/>
        <w:textAlignment w:val="auto"/>
        <w:rPr>
          <w:lang w:eastAsia="zh-CN"/>
        </w:rPr>
      </w:pPr>
      <w:r>
        <w:rPr>
          <w:rFonts w:hint="eastAsia"/>
          <w:lang w:eastAsia="zh-CN"/>
        </w:rPr>
        <w:t xml:space="preserve">    4.项目工作范围及技术要求：见附件</w:t>
      </w:r>
      <w:r>
        <w:rPr>
          <w:rFonts w:hint="eastAsia"/>
          <w:lang w:val="en-US" w:eastAsia="zh-CN"/>
        </w:rPr>
        <w:t>1、</w:t>
      </w:r>
      <w:r>
        <w:rPr>
          <w:rFonts w:hint="eastAsia"/>
          <w:lang w:eastAsia="zh-CN"/>
        </w:rPr>
        <w:t>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 xml:space="preserve">技术联系人：田红州 电话：17350605070 邮箱：hztian@fhcpec.com.cn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1.参选人须具备有效的企业法人营业执照，且参选人应为具有独立承担民事责任能力能为本项目提供服务的法人或其他组织。</w:t>
      </w:r>
    </w:p>
    <w:p>
      <w:pPr>
        <w:tabs>
          <w:tab w:val="left" w:pos="709"/>
        </w:tabs>
        <w:spacing w:line="360" w:lineRule="auto"/>
        <w:ind w:firstLine="480" w:firstLineChars="200"/>
        <w:rPr>
          <w:sz w:val="24"/>
          <w:szCs w:val="24"/>
          <w:lang w:eastAsia="zh-CN"/>
        </w:rPr>
      </w:pPr>
      <w:r>
        <w:rPr>
          <w:rFonts w:hint="eastAsia"/>
          <w:sz w:val="24"/>
          <w:szCs w:val="24"/>
          <w:lang w:eastAsia="zh-CN"/>
        </w:rPr>
        <w:t>2</w:t>
      </w:r>
      <w:r>
        <w:rPr>
          <w:sz w:val="24"/>
          <w:szCs w:val="24"/>
          <w:lang w:eastAsia="zh-CN"/>
        </w:rPr>
        <w:t>.</w:t>
      </w:r>
      <w:r>
        <w:rPr>
          <w:rFonts w:hint="eastAsia" w:asciiTheme="minorEastAsia" w:hAnsiTheme="minorEastAsia" w:cstheme="minorEastAsia"/>
          <w:color w:val="auto"/>
          <w:sz w:val="24"/>
          <w:szCs w:val="24"/>
          <w:highlight w:val="none"/>
          <w:lang w:val="en-US" w:eastAsia="zh-CN"/>
        </w:rPr>
        <w:t>参选人应为石油化工行业工程设计公司（工程公司）或石油化工行业专业加热炉公司。参选人为石油化工行业工程设计公司（工程公司）须具备工程设计化工石化医药行业甲级（化工工程）及以上设计资质；参选人为石油化工行业专业加热炉公司须提供与具有工程设计化工石化医药行业甲级（化工工程）及以上设计资质公司的关系证明文件，证明双方可共享相关资质。</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3.参选人须具有自2019年1月1日（以合同签订时间为准）至今承担过新建项目，装置规模不低于500万吨/年炼油装置或150万吨/年芳烃装置的工程设计合同或加热炉供货业绩（其供货加热炉热负荷不低于50MW），要求合同工作内容包含加热炉工艺设计或工艺核算工作。（业绩提供的证明材料必须能清晰的表明类似工程的名称、工程规模、工程内容、时间或加热炉热负荷数据等需要明示的内容）。</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4.参选人没有失信黑名单记录（以最高院失信被执行人系统发布信息为准）。</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rFonts w:hint="eastAsia"/>
          <w:sz w:val="24"/>
          <w:szCs w:val="24"/>
          <w:lang w:eastAsia="zh-CN"/>
        </w:rPr>
        <w:t>5.与比选人无诉讼纠纷。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rFonts w:hint="default"/>
          <w:lang w:val="en-US" w:eastAsia="zh-CN"/>
        </w:rPr>
      </w:pPr>
      <w:r>
        <w:rPr>
          <w:rFonts w:hint="eastAsia"/>
          <w:b/>
          <w:bCs/>
          <w:snapToGrid w:val="0"/>
          <w:color w:val="000000" w:themeColor="text1"/>
          <w:spacing w:val="8"/>
          <w:lang w:val="en-US" w:eastAsia="zh-CN"/>
        </w:rPr>
        <w:t>七</w:t>
      </w:r>
      <w:r>
        <w:rPr>
          <w:b/>
          <w:w w:val="95"/>
          <w:sz w:val="28"/>
          <w:lang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5000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帐号：406574816628</w:t>
      </w:r>
    </w:p>
    <w:p>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注明用途：生产一团队凝析油分离装置加热炉热负荷问题技术咨询发包项目</w:t>
      </w:r>
      <w:r>
        <w:rPr>
          <w:rFonts w:hint="eastAsia"/>
          <w:b w:val="0"/>
          <w:bCs/>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参选</w:t>
      </w:r>
      <w:r>
        <w:rPr>
          <w:rFonts w:hint="eastAsia"/>
          <w:lang w:eastAsia="zh-CN"/>
        </w:rPr>
        <w:t>者的比选保证金（无息），最迟不超过规定的比选有效期满后的</w:t>
      </w:r>
      <w:r>
        <w:rPr>
          <w:rFonts w:hint="eastAsia"/>
          <w:lang w:val="en-US" w:eastAsia="zh-CN"/>
        </w:rPr>
        <w:t>60</w:t>
      </w:r>
      <w:r>
        <w:rPr>
          <w:rFonts w:hint="eastAsia"/>
          <w:lang w:eastAsia="zh-CN"/>
        </w:rPr>
        <w:t>天；</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w:t>
      </w:r>
      <w:r>
        <w:rPr>
          <w:rFonts w:hint="eastAsia"/>
          <w:lang w:val="en-US" w:eastAsia="zh-CN"/>
        </w:rPr>
        <w:t xml:space="preserve"> </w:t>
      </w:r>
      <w:r>
        <w:rPr>
          <w:rFonts w:hint="eastAsia"/>
          <w:b w:val="0"/>
          <w:bCs w:val="0"/>
          <w:lang w:val="en-US" w:eastAsia="zh-CN"/>
        </w:rPr>
        <w:t>4.</w:t>
      </w:r>
      <w:r>
        <w:rPr>
          <w:rFonts w:hint="eastAsia"/>
          <w:b w:val="0"/>
          <w:bCs w:val="0"/>
          <w:lang w:eastAsia="zh-CN"/>
        </w:rPr>
        <w:t>如有下列情况发生</w:t>
      </w:r>
      <w:r>
        <w:rPr>
          <w:rFonts w:hint="eastAsia"/>
          <w:lang w:eastAsia="zh-CN"/>
        </w:rPr>
        <w:t>，将被没收参选保证金：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w:t>
      </w:r>
      <w:r>
        <w:rPr>
          <w:rFonts w:hint="eastAsia"/>
          <w:lang w:val="en-US" w:eastAsia="zh-CN"/>
        </w:rPr>
        <w:t>在</w:t>
      </w:r>
      <w:r>
        <w:rPr>
          <w:rFonts w:hint="eastAsia"/>
          <w:lang w:eastAsia="zh-CN"/>
        </w:rPr>
        <w:t>规定的时间内签定合同。</w:t>
      </w:r>
    </w:p>
    <w:p>
      <w:pPr>
        <w:pStyle w:val="20"/>
        <w:spacing w:line="360" w:lineRule="auto"/>
        <w:ind w:right="121"/>
        <w:jc w:val="both"/>
        <w:rPr>
          <w:b/>
          <w:w w:val="95"/>
          <w:sz w:val="28"/>
          <w:lang w:eastAsia="zh-CN"/>
        </w:rPr>
      </w:pPr>
      <w:r>
        <w:rPr>
          <w:rFonts w:hint="eastAsia"/>
          <w:lang w:eastAsia="zh-CN"/>
        </w:rPr>
        <w:t xml:space="preserve">   </w:t>
      </w: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w:t>
      </w:r>
      <w:r>
        <w:rPr>
          <w:color w:val="000000" w:themeColor="text1"/>
          <w:lang w:eastAsia="zh-CN"/>
        </w:rPr>
        <w:t>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10</w:t>
      </w:r>
      <w:r>
        <w:rPr>
          <w:rFonts w:hint="eastAsia"/>
          <w:color w:val="000000" w:themeColor="text1"/>
          <w:lang w:eastAsia="zh-CN"/>
        </w:rPr>
        <w:t>月</w:t>
      </w:r>
      <w:r>
        <w:rPr>
          <w:rFonts w:hint="eastAsia"/>
          <w:color w:val="000000" w:themeColor="text1"/>
          <w:lang w:val="en-US" w:eastAsia="zh-CN"/>
        </w:rPr>
        <w:t>9</w:t>
      </w:r>
      <w:bookmarkStart w:id="1" w:name="_GoBack"/>
      <w:bookmarkEnd w:id="1"/>
      <w:r>
        <w:rPr>
          <w:rFonts w:hint="eastAsia"/>
          <w:color w:val="000000" w:themeColor="text1"/>
          <w:lang w:eastAsia="zh-CN"/>
        </w:rPr>
        <w:t>日</w:t>
      </w:r>
      <w:r>
        <w:rPr>
          <w:rFonts w:hint="eastAsia"/>
          <w:color w:val="000000" w:themeColor="text1"/>
          <w:lang w:val="en-US" w:eastAsia="zh-CN"/>
        </w:rPr>
        <w:t>12</w:t>
      </w:r>
      <w:r>
        <w:rPr>
          <w:rFonts w:hint="eastAsia"/>
          <w:color w:val="000000" w:themeColor="text1"/>
          <w:lang w:eastAsia="zh-CN"/>
        </w:rPr>
        <w:t>时</w:t>
      </w:r>
      <w:r>
        <w:rPr>
          <w:rFonts w:hint="eastAsia"/>
          <w:color w:val="000000" w:themeColor="text1"/>
          <w:lang w:val="en-US" w:eastAsia="zh-CN"/>
        </w:rPr>
        <w:t>止</w:t>
      </w:r>
      <w:r>
        <w:rPr>
          <w:rFonts w:hint="eastAsia"/>
          <w:color w:val="000000" w:themeColor="text1"/>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选文件的地点为：</w:t>
      </w:r>
      <w:r>
        <w:rPr>
          <w:rFonts w:hint="eastAsia"/>
          <w:color w:val="000000" w:themeColor="text1"/>
          <w:sz w:val="24"/>
          <w:szCs w:val="24"/>
          <w:lang w:eastAsia="zh-CN"/>
        </w:rPr>
        <w:t>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footerReference r:id="rId6" w:type="default"/>
          <w:pgSz w:w="11910" w:h="16840"/>
          <w:pgMar w:top="1420" w:right="1140" w:bottom="740" w:left="1300" w:header="0" w:footer="551" w:gutter="0"/>
          <w:pgNumType w:fmt="decimal"/>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
        <w:ind w:firstLine="534"/>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bidi="ar-SA"/>
        </w:rPr>
        <w:t xml:space="preserve">  详见附件</w:t>
      </w:r>
      <w:r>
        <w:rPr>
          <w:rFonts w:hint="eastAsia" w:hAnsi="宋体" w:cs="宋体"/>
          <w:sz w:val="24"/>
          <w:szCs w:val="24"/>
          <w:lang w:val="en-US" w:eastAsia="zh-CN" w:bidi="ar-SA"/>
        </w:rPr>
        <w:t>二</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pgNumType w:fmt="decimal"/>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color w:val="000000" w:themeColor="text1"/>
          <w:lang w:eastAsia="zh-CN"/>
        </w:rPr>
      </w:pPr>
      <w:r>
        <w:rPr>
          <w:rFonts w:hint="eastAsia"/>
          <w:b/>
          <w:color w:val="FF0000"/>
          <w:lang w:eastAsia="zh-CN"/>
        </w:rPr>
        <w:t>本项目设置最高控制价</w:t>
      </w:r>
      <w:r>
        <w:rPr>
          <w:rFonts w:hint="eastAsia"/>
          <w:b/>
          <w:color w:val="FF0000"/>
          <w:lang w:val="en-US" w:eastAsia="zh-CN"/>
        </w:rPr>
        <w:t>25</w:t>
      </w:r>
      <w:r>
        <w:rPr>
          <w:rFonts w:hint="eastAsia"/>
          <w:b/>
          <w:color w:val="FF0000"/>
          <w:lang w:eastAsia="zh-CN"/>
        </w:rPr>
        <w:t>万元整（含税包干总价）</w:t>
      </w:r>
      <w:r>
        <w:rPr>
          <w:rFonts w:hint="eastAsia"/>
          <w:color w:val="000000" w:themeColor="text1"/>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color w:val="000000" w:themeColor="text1"/>
          <w:lang w:eastAsia="zh-CN"/>
        </w:rPr>
        <w:t>如参选人对控制价存疑请于报价截止前发邮件至xydai@fhcpec.com.cnn</w:t>
      </w:r>
      <w:r>
        <w:rPr>
          <w:rFonts w:hint="eastAsia"/>
          <w:color w:val="000000" w:themeColor="text1"/>
          <w:lang w:eastAsia="zh-CN"/>
        </w:rPr>
        <w:fldChar w:fldCharType="end"/>
      </w:r>
      <w:r>
        <w:rPr>
          <w:rFonts w:hint="eastAsia"/>
          <w:color w:val="000000" w:themeColor="text1"/>
          <w:lang w:eastAsia="zh-CN"/>
        </w:rPr>
        <w:t>。</w:t>
      </w:r>
    </w:p>
    <w:p>
      <w:pPr>
        <w:pStyle w:val="20"/>
        <w:spacing w:line="360" w:lineRule="auto"/>
        <w:ind w:right="121" w:firstLine="480" w:firstLineChars="200"/>
        <w:jc w:val="both"/>
        <w:rPr>
          <w:lang w:eastAsia="zh-CN"/>
        </w:rPr>
      </w:pPr>
      <w:r>
        <w:rPr>
          <w:rFonts w:hint="eastAsia"/>
          <w:lang w:val="en-US" w:eastAsia="zh-CN"/>
        </w:rPr>
        <w:t>本项目</w:t>
      </w:r>
      <w:r>
        <w:rPr>
          <w:rFonts w:hint="eastAsia"/>
          <w:lang w:eastAsia="zh-CN"/>
        </w:rPr>
        <w:t>采用综合评选的方式，从商务和技术两部分进行综合评价。商务分与技术分的比例为</w:t>
      </w:r>
      <w:r>
        <w:rPr>
          <w:rFonts w:hint="eastAsia"/>
          <w:lang w:val="en-US" w:eastAsia="zh-CN"/>
        </w:rPr>
        <w:t>70</w:t>
      </w:r>
      <w:r>
        <w:rPr>
          <w:rFonts w:hint="eastAsia"/>
          <w:lang w:eastAsia="zh-CN"/>
        </w:rPr>
        <w:t>：</w:t>
      </w:r>
      <w:r>
        <w:rPr>
          <w:rFonts w:hint="eastAsia"/>
          <w:lang w:val="en-US" w:eastAsia="zh-CN"/>
        </w:rPr>
        <w:t>30</w:t>
      </w:r>
      <w:r>
        <w:rPr>
          <w:rFonts w:hint="eastAsia"/>
          <w:lang w:eastAsia="zh-CN"/>
        </w:rPr>
        <w:t>。综合得分最高者作为第一中选人。</w:t>
      </w:r>
    </w:p>
    <w:p>
      <w:pPr>
        <w:pStyle w:val="20"/>
        <w:spacing w:line="360" w:lineRule="auto"/>
        <w:ind w:right="121" w:firstLine="480" w:firstLineChars="200"/>
        <w:jc w:val="both"/>
        <w:rPr>
          <w:rFonts w:hint="eastAsia"/>
          <w:lang w:eastAsia="zh-CN"/>
        </w:rPr>
      </w:pPr>
      <w:r>
        <w:rPr>
          <w:rFonts w:hint="eastAsia"/>
          <w:lang w:eastAsia="zh-CN"/>
        </w:rPr>
        <w:t>评分细则如下：</w:t>
      </w:r>
    </w:p>
    <w:tbl>
      <w:tblPr>
        <w:tblStyle w:val="5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8"/>
        <w:gridCol w:w="952"/>
        <w:gridCol w:w="5998"/>
        <w:gridCol w:w="822"/>
        <w:gridCol w:w="638"/>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NO</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项目</w:t>
            </w:r>
          </w:p>
        </w:tc>
        <w:tc>
          <w:tcPr>
            <w:tcW w:w="599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评分细项</w:t>
            </w:r>
          </w:p>
        </w:tc>
        <w:tc>
          <w:tcPr>
            <w:tcW w:w="822"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分值</w:t>
            </w:r>
          </w:p>
        </w:tc>
        <w:tc>
          <w:tcPr>
            <w:tcW w:w="638" w:type="dxa"/>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得分</w:t>
            </w:r>
          </w:p>
        </w:tc>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一、</w:t>
            </w:r>
          </w:p>
        </w:tc>
        <w:tc>
          <w:tcPr>
            <w:tcW w:w="6950" w:type="dxa"/>
            <w:gridSpan w:val="2"/>
            <w:noWrap/>
            <w:vAlign w:val="center"/>
          </w:tcPr>
          <w:p>
            <w:pPr>
              <w:widowControl/>
              <w:autoSpaceDE/>
              <w:autoSpaceDN/>
              <w:rPr>
                <w:b/>
                <w:bCs/>
                <w:color w:val="000000"/>
                <w:sz w:val="21"/>
                <w:szCs w:val="21"/>
                <w:lang w:eastAsia="zh-CN"/>
              </w:rPr>
            </w:pPr>
            <w:r>
              <w:rPr>
                <w:rFonts w:hint="eastAsia"/>
                <w:b/>
                <w:bCs/>
                <w:color w:val="000000"/>
                <w:sz w:val="21"/>
                <w:szCs w:val="21"/>
                <w:lang w:eastAsia="zh-CN"/>
              </w:rPr>
              <w:t>商务评分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val="en-US" w:eastAsia="zh-CN"/>
              </w:rPr>
              <w:t>70分</w:t>
            </w:r>
          </w:p>
        </w:tc>
        <w:tc>
          <w:tcPr>
            <w:tcW w:w="638" w:type="dxa"/>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c>
          <w:tcPr>
            <w:tcW w:w="0" w:type="auto"/>
            <w:noWrap/>
          </w:tcPr>
          <w:p>
            <w:pPr>
              <w:widowControl/>
              <w:autoSpaceDE/>
              <w:autoSpaceDN/>
              <w:jc w:val="center"/>
              <w:rPr>
                <w:b/>
                <w:bCs/>
                <w:color w:val="000000"/>
                <w:sz w:val="21"/>
                <w:szCs w:val="21"/>
                <w:lang w:eastAsia="zh-CN"/>
              </w:rPr>
            </w:pPr>
            <w:r>
              <w:rPr>
                <w:rFonts w:hint="eastAsia"/>
                <w:b/>
                <w:bCs/>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1</w:t>
            </w:r>
          </w:p>
        </w:tc>
        <w:tc>
          <w:tcPr>
            <w:tcW w:w="0" w:type="auto"/>
          </w:tcPr>
          <w:p>
            <w:pPr>
              <w:widowControl/>
              <w:autoSpaceDE/>
              <w:autoSpaceDN/>
              <w:rPr>
                <w:color w:val="000000"/>
                <w:sz w:val="21"/>
                <w:szCs w:val="21"/>
                <w:lang w:eastAsia="zh-CN"/>
              </w:rPr>
            </w:pPr>
            <w:r>
              <w:rPr>
                <w:rFonts w:hint="eastAsia"/>
                <w:color w:val="000000"/>
                <w:sz w:val="21"/>
                <w:szCs w:val="21"/>
                <w:lang w:eastAsia="zh-CN"/>
              </w:rPr>
              <w:t>商务报价</w:t>
            </w:r>
          </w:p>
        </w:tc>
        <w:tc>
          <w:tcPr>
            <w:tcW w:w="5998" w:type="dxa"/>
          </w:tcPr>
          <w:p>
            <w:pPr>
              <w:snapToGrid w:val="0"/>
              <w:spacing w:line="360" w:lineRule="auto"/>
              <w:rPr>
                <w:rFonts w:hint="default"/>
                <w:sz w:val="21"/>
                <w:szCs w:val="21"/>
                <w:lang w:val="en-US" w:eastAsia="zh-CN"/>
              </w:rPr>
            </w:pPr>
            <w:r>
              <w:rPr>
                <w:rFonts w:hint="eastAsia"/>
                <w:color w:val="000000"/>
                <w:sz w:val="21"/>
                <w:szCs w:val="21"/>
                <w:lang w:eastAsia="zh-CN"/>
              </w:rPr>
              <w:t>1.设置最高控制价</w:t>
            </w:r>
            <w:r>
              <w:rPr>
                <w:rFonts w:hint="eastAsia"/>
                <w:color w:val="000000"/>
                <w:sz w:val="21"/>
                <w:szCs w:val="21"/>
                <w:lang w:val="en-US" w:eastAsia="zh-CN"/>
              </w:rPr>
              <w:t>25</w:t>
            </w:r>
            <w:r>
              <w:rPr>
                <w:rFonts w:hint="eastAsia"/>
                <w:color w:val="000000"/>
                <w:sz w:val="21"/>
                <w:szCs w:val="21"/>
                <w:lang w:eastAsia="zh-CN"/>
              </w:rPr>
              <w:t>万元整（</w:t>
            </w:r>
            <w:r>
              <w:rPr>
                <w:rFonts w:hint="eastAsia"/>
                <w:color w:val="000000"/>
                <w:sz w:val="21"/>
                <w:szCs w:val="21"/>
                <w:lang w:val="en-US" w:eastAsia="zh-CN"/>
              </w:rPr>
              <w:t>含税</w:t>
            </w:r>
            <w:r>
              <w:rPr>
                <w:rFonts w:hint="eastAsia"/>
                <w:color w:val="000000"/>
                <w:sz w:val="21"/>
                <w:szCs w:val="21"/>
                <w:lang w:eastAsia="zh-CN"/>
              </w:rPr>
              <w:t>）。如超过则为无效报价，不参与投标基准价的计算。</w:t>
            </w:r>
            <w:r>
              <w:rPr>
                <w:rFonts w:hint="eastAsia"/>
                <w:color w:val="000000"/>
                <w:sz w:val="21"/>
                <w:szCs w:val="21"/>
                <w:lang w:eastAsia="zh-CN"/>
              </w:rPr>
              <w:br w:type="textWrapping"/>
            </w:r>
            <w:r>
              <w:rPr>
                <w:rFonts w:hint="eastAsia"/>
                <w:color w:val="000000"/>
                <w:sz w:val="21"/>
                <w:szCs w:val="21"/>
                <w:lang w:eastAsia="zh-CN"/>
              </w:rPr>
              <w:t>2.</w:t>
            </w:r>
            <w:r>
              <w:rPr>
                <w:rFonts w:hint="eastAsia"/>
                <w:sz w:val="21"/>
                <w:szCs w:val="21"/>
                <w:lang w:eastAsia="zh-CN"/>
              </w:rPr>
              <w:t>商务评选总分值</w:t>
            </w:r>
            <w:r>
              <w:rPr>
                <w:rFonts w:hint="eastAsia"/>
                <w:sz w:val="21"/>
                <w:szCs w:val="21"/>
                <w:lang w:val="en-US" w:eastAsia="zh-CN"/>
              </w:rPr>
              <w:t>7</w:t>
            </w:r>
            <w:r>
              <w:rPr>
                <w:sz w:val="21"/>
                <w:szCs w:val="21"/>
                <w:lang w:eastAsia="zh-CN"/>
              </w:rPr>
              <w:t>0</w:t>
            </w:r>
            <w:r>
              <w:rPr>
                <w:rFonts w:hint="eastAsia"/>
                <w:sz w:val="21"/>
                <w:szCs w:val="21"/>
                <w:lang w:eastAsia="zh-CN"/>
              </w:rPr>
              <w:t>分。</w:t>
            </w:r>
            <w:r>
              <w:rPr>
                <w:rFonts w:hint="eastAsia"/>
                <w:sz w:val="21"/>
                <w:szCs w:val="21"/>
                <w:lang w:eastAsia="zh-CN"/>
              </w:rPr>
              <w:br w:type="textWrapping"/>
            </w:r>
            <w:r>
              <w:rPr>
                <w:rFonts w:hint="eastAsia"/>
                <w:sz w:val="21"/>
                <w:szCs w:val="21"/>
                <w:lang w:eastAsia="zh-CN"/>
              </w:rPr>
              <w:t>3.</w:t>
            </w:r>
            <w:r>
              <w:rPr>
                <w:rFonts w:hint="eastAsia"/>
                <w:sz w:val="21"/>
                <w:szCs w:val="21"/>
                <w:lang w:val="en-US" w:eastAsia="zh-CN"/>
              </w:rPr>
              <w:t>比选</w:t>
            </w:r>
            <w:r>
              <w:rPr>
                <w:rFonts w:hint="eastAsia"/>
                <w:sz w:val="21"/>
                <w:szCs w:val="21"/>
                <w:lang w:eastAsia="zh-CN"/>
              </w:rPr>
              <w:t>价格得分=( F低/Fn)*</w:t>
            </w:r>
            <w:r>
              <w:rPr>
                <w:rFonts w:hint="eastAsia"/>
                <w:sz w:val="21"/>
                <w:szCs w:val="21"/>
                <w:lang w:val="en-US" w:eastAsia="zh-CN"/>
              </w:rPr>
              <w:t>70</w:t>
            </w:r>
          </w:p>
          <w:p>
            <w:pPr>
              <w:snapToGrid w:val="0"/>
              <w:spacing w:line="360" w:lineRule="auto"/>
              <w:rPr>
                <w:rFonts w:hint="eastAsia"/>
                <w:sz w:val="21"/>
                <w:szCs w:val="21"/>
                <w:lang w:eastAsia="zh-CN"/>
              </w:rPr>
            </w:pPr>
            <w:r>
              <w:rPr>
                <w:rFonts w:hint="eastAsia"/>
                <w:sz w:val="21"/>
                <w:szCs w:val="21"/>
                <w:lang w:eastAsia="zh-CN"/>
              </w:rPr>
              <w:t>式中:</w:t>
            </w:r>
            <w:r>
              <w:rPr>
                <w:rFonts w:hint="eastAsia"/>
                <w:sz w:val="21"/>
                <w:szCs w:val="21"/>
                <w:lang w:eastAsia="zh-CN"/>
              </w:rPr>
              <w:fldChar w:fldCharType="begin"/>
            </w:r>
            <w:r>
              <w:rPr>
                <w:rFonts w:hint="eastAsia"/>
                <w:sz w:val="21"/>
                <w:szCs w:val="21"/>
                <w:lang w:eastAsia="zh-CN"/>
              </w:rPr>
              <w:instrText xml:space="preserve"> = 1 \* GB3 </w:instrText>
            </w:r>
            <w:r>
              <w:rPr>
                <w:rFonts w:hint="eastAsia"/>
                <w:sz w:val="21"/>
                <w:szCs w:val="21"/>
                <w:lang w:eastAsia="zh-CN"/>
              </w:rPr>
              <w:fldChar w:fldCharType="separate"/>
            </w:r>
            <w:r>
              <w:rPr>
                <w:rFonts w:hint="eastAsia"/>
                <w:sz w:val="21"/>
                <w:szCs w:val="21"/>
                <w:lang w:eastAsia="zh-CN"/>
              </w:rPr>
              <w:t>①</w:t>
            </w:r>
            <w:r>
              <w:rPr>
                <w:rFonts w:hint="eastAsia"/>
                <w:sz w:val="21"/>
                <w:szCs w:val="21"/>
                <w:lang w:eastAsia="zh-CN"/>
              </w:rPr>
              <w:fldChar w:fldCharType="end"/>
            </w:r>
            <w:r>
              <w:rPr>
                <w:rFonts w:hint="eastAsia"/>
                <w:sz w:val="21"/>
                <w:szCs w:val="21"/>
                <w:lang w:eastAsia="zh-CN"/>
              </w:rPr>
              <w:t>F低为评</w:t>
            </w:r>
            <w:r>
              <w:rPr>
                <w:rFonts w:hint="eastAsia"/>
                <w:sz w:val="21"/>
                <w:szCs w:val="21"/>
                <w:lang w:val="en-US" w:eastAsia="zh-CN"/>
              </w:rPr>
              <w:t>选</w:t>
            </w:r>
            <w:r>
              <w:rPr>
                <w:rFonts w:hint="eastAsia"/>
                <w:sz w:val="21"/>
                <w:szCs w:val="21"/>
                <w:lang w:eastAsia="zh-CN"/>
              </w:rPr>
              <w:t>基准价=进入报价部分评分的各合格</w:t>
            </w:r>
            <w:r>
              <w:rPr>
                <w:rFonts w:hint="eastAsia"/>
                <w:sz w:val="21"/>
                <w:szCs w:val="21"/>
                <w:lang w:val="en-US" w:eastAsia="zh-CN"/>
              </w:rPr>
              <w:t>参选</w:t>
            </w:r>
            <w:r>
              <w:rPr>
                <w:rFonts w:hint="eastAsia"/>
                <w:sz w:val="21"/>
                <w:szCs w:val="21"/>
                <w:lang w:eastAsia="zh-CN"/>
              </w:rPr>
              <w:t>人中最低的报价</w:t>
            </w:r>
            <w:r>
              <w:rPr>
                <w:rFonts w:hint="eastAsia"/>
                <w:sz w:val="21"/>
                <w:szCs w:val="21"/>
                <w:lang w:val="en-US" w:eastAsia="zh-CN"/>
              </w:rPr>
              <w:t>评选</w:t>
            </w:r>
            <w:r>
              <w:rPr>
                <w:rFonts w:hint="eastAsia"/>
                <w:sz w:val="21"/>
                <w:szCs w:val="21"/>
                <w:lang w:eastAsia="zh-CN"/>
              </w:rPr>
              <w:t>价。</w:t>
            </w:r>
          </w:p>
          <w:p>
            <w:pPr>
              <w:snapToGrid w:val="0"/>
              <w:spacing w:line="360" w:lineRule="auto"/>
              <w:rPr>
                <w:color w:val="000000"/>
                <w:sz w:val="21"/>
                <w:szCs w:val="21"/>
                <w:lang w:eastAsia="zh-CN"/>
              </w:rPr>
            </w:pPr>
            <w:r>
              <w:rPr>
                <w:rFonts w:hint="eastAsia"/>
                <w:sz w:val="21"/>
                <w:szCs w:val="21"/>
                <w:lang w:eastAsia="zh-CN"/>
              </w:rPr>
              <w:fldChar w:fldCharType="begin"/>
            </w:r>
            <w:r>
              <w:rPr>
                <w:rFonts w:hint="eastAsia"/>
                <w:sz w:val="21"/>
                <w:szCs w:val="21"/>
                <w:lang w:eastAsia="zh-CN"/>
              </w:rPr>
              <w:instrText xml:space="preserve"> = 2 \* GB3 </w:instrText>
            </w:r>
            <w:r>
              <w:rPr>
                <w:rFonts w:hint="eastAsia"/>
                <w:sz w:val="21"/>
                <w:szCs w:val="21"/>
                <w:lang w:eastAsia="zh-CN"/>
              </w:rPr>
              <w:fldChar w:fldCharType="separate"/>
            </w:r>
            <w:r>
              <w:rPr>
                <w:rFonts w:hint="eastAsia"/>
                <w:sz w:val="21"/>
                <w:szCs w:val="21"/>
                <w:lang w:eastAsia="zh-CN"/>
              </w:rPr>
              <w:t>②</w:t>
            </w:r>
            <w:r>
              <w:rPr>
                <w:rFonts w:hint="eastAsia"/>
                <w:sz w:val="21"/>
                <w:szCs w:val="21"/>
                <w:lang w:eastAsia="zh-CN"/>
              </w:rPr>
              <w:fldChar w:fldCharType="end"/>
            </w:r>
            <w:r>
              <w:rPr>
                <w:rFonts w:hint="eastAsia"/>
                <w:sz w:val="21"/>
                <w:szCs w:val="21"/>
                <w:lang w:eastAsia="zh-CN"/>
              </w:rPr>
              <w:t>Fn为进入报价部分评分的各合格</w:t>
            </w:r>
            <w:r>
              <w:rPr>
                <w:rFonts w:hint="eastAsia"/>
                <w:sz w:val="21"/>
                <w:szCs w:val="21"/>
                <w:lang w:val="en-US" w:eastAsia="zh-CN"/>
              </w:rPr>
              <w:t>参选</w:t>
            </w:r>
            <w:r>
              <w:rPr>
                <w:rFonts w:hint="eastAsia"/>
                <w:sz w:val="21"/>
                <w:szCs w:val="21"/>
                <w:lang w:eastAsia="zh-CN"/>
              </w:rPr>
              <w:t>人的报价评</w:t>
            </w:r>
            <w:r>
              <w:rPr>
                <w:rFonts w:hint="eastAsia"/>
                <w:sz w:val="21"/>
                <w:szCs w:val="21"/>
                <w:lang w:val="en-US" w:eastAsia="zh-CN"/>
              </w:rPr>
              <w:t>选</w:t>
            </w:r>
            <w:r>
              <w:rPr>
                <w:rFonts w:hint="eastAsia"/>
                <w:sz w:val="21"/>
                <w:szCs w:val="21"/>
                <w:lang w:eastAsia="zh-CN"/>
              </w:rPr>
              <w:t>价。</w:t>
            </w:r>
            <w:r>
              <w:rPr>
                <w:rFonts w:hint="eastAsia"/>
                <w:sz w:val="21"/>
                <w:szCs w:val="21"/>
                <w:lang w:val="en-US" w:eastAsia="zh-CN"/>
              </w:rPr>
              <w:t>比选</w:t>
            </w:r>
            <w:r>
              <w:rPr>
                <w:rFonts w:hint="eastAsia"/>
                <w:sz w:val="21"/>
                <w:szCs w:val="21"/>
                <w:lang w:eastAsia="zh-CN"/>
              </w:rPr>
              <w:t>报价得分小数点后保留两位，第三位“四舍五入”，第四位及以后不计。</w:t>
            </w:r>
          </w:p>
        </w:tc>
        <w:tc>
          <w:tcPr>
            <w:tcW w:w="822" w:type="dxa"/>
            <w:noWrap/>
          </w:tcPr>
          <w:p>
            <w:pPr>
              <w:widowControl/>
              <w:autoSpaceDE/>
              <w:autoSpaceDN/>
              <w:jc w:val="center"/>
              <w:rPr>
                <w:color w:val="000000"/>
                <w:sz w:val="21"/>
                <w:szCs w:val="21"/>
                <w:lang w:eastAsia="zh-CN"/>
              </w:rPr>
            </w:pP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 w:hRule="atLeast"/>
        </w:trPr>
        <w:tc>
          <w:tcPr>
            <w:tcW w:w="0" w:type="auto"/>
            <w:noWrap/>
            <w:vAlign w:val="center"/>
          </w:tcPr>
          <w:p>
            <w:pPr>
              <w:widowControl/>
              <w:autoSpaceDE/>
              <w:autoSpaceDN/>
              <w:jc w:val="center"/>
              <w:rPr>
                <w:b/>
                <w:bCs/>
                <w:color w:val="000000"/>
                <w:sz w:val="21"/>
                <w:szCs w:val="21"/>
                <w:lang w:eastAsia="zh-CN"/>
              </w:rPr>
            </w:pPr>
            <w:r>
              <w:rPr>
                <w:rFonts w:hint="eastAsia"/>
                <w:b/>
                <w:bCs/>
                <w:color w:val="000000"/>
                <w:sz w:val="21"/>
                <w:szCs w:val="21"/>
                <w:lang w:eastAsia="zh-CN"/>
              </w:rPr>
              <w:t>二</w:t>
            </w:r>
          </w:p>
        </w:tc>
        <w:tc>
          <w:tcPr>
            <w:tcW w:w="6950" w:type="dxa"/>
            <w:gridSpan w:val="2"/>
            <w:vAlign w:val="center"/>
          </w:tcPr>
          <w:p>
            <w:pPr>
              <w:widowControl/>
              <w:autoSpaceDE/>
              <w:autoSpaceDN/>
              <w:jc w:val="left"/>
              <w:rPr>
                <w:b/>
                <w:bCs/>
                <w:color w:val="000000"/>
                <w:sz w:val="21"/>
                <w:szCs w:val="21"/>
                <w:lang w:eastAsia="zh-CN"/>
              </w:rPr>
            </w:pPr>
            <w:r>
              <w:rPr>
                <w:rFonts w:hint="eastAsia"/>
                <w:b/>
                <w:bCs/>
                <w:color w:val="000000"/>
                <w:sz w:val="21"/>
                <w:szCs w:val="21"/>
                <w:lang w:eastAsia="zh-CN"/>
              </w:rPr>
              <w:t>技术评分</w:t>
            </w:r>
          </w:p>
        </w:tc>
        <w:tc>
          <w:tcPr>
            <w:tcW w:w="822" w:type="dxa"/>
            <w:noWrap/>
            <w:vAlign w:val="center"/>
          </w:tcPr>
          <w:p>
            <w:pPr>
              <w:widowControl/>
              <w:autoSpaceDE/>
              <w:autoSpaceDN/>
              <w:jc w:val="center"/>
              <w:rPr>
                <w:rFonts w:hint="default"/>
                <w:b/>
                <w:bCs/>
                <w:color w:val="000000"/>
                <w:sz w:val="21"/>
                <w:szCs w:val="21"/>
                <w:lang w:val="en-US" w:eastAsia="zh-CN"/>
              </w:rPr>
            </w:pPr>
            <w:r>
              <w:rPr>
                <w:rFonts w:hint="eastAsia"/>
                <w:b/>
                <w:bCs/>
                <w:color w:val="000000"/>
                <w:sz w:val="21"/>
                <w:szCs w:val="21"/>
                <w:lang w:val="en-US" w:eastAsia="zh-CN"/>
              </w:rPr>
              <w:t>30分</w:t>
            </w:r>
          </w:p>
        </w:tc>
        <w:tc>
          <w:tcPr>
            <w:tcW w:w="638" w:type="dxa"/>
            <w:noWrap/>
            <w:vAlign w:val="center"/>
          </w:tcPr>
          <w:p>
            <w:pPr>
              <w:widowControl/>
              <w:autoSpaceDE/>
              <w:autoSpaceDN/>
              <w:jc w:val="center"/>
              <w:rPr>
                <w:b/>
                <w:bCs/>
                <w:color w:val="000000"/>
                <w:sz w:val="21"/>
                <w:szCs w:val="21"/>
                <w:lang w:eastAsia="zh-CN"/>
              </w:rPr>
            </w:pPr>
          </w:p>
        </w:tc>
        <w:tc>
          <w:tcPr>
            <w:tcW w:w="0" w:type="auto"/>
            <w:noWrap/>
            <w:vAlign w:val="center"/>
          </w:tcPr>
          <w:p>
            <w:pPr>
              <w:widowControl/>
              <w:autoSpaceDE/>
              <w:autoSpaceDN/>
              <w:jc w:val="center"/>
              <w:rPr>
                <w:b/>
                <w:bCs/>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1</w:t>
            </w:r>
          </w:p>
        </w:tc>
        <w:tc>
          <w:tcPr>
            <w:tcW w:w="952" w:type="dxa"/>
            <w:vAlign w:val="center"/>
          </w:tcPr>
          <w:p>
            <w:pPr>
              <w:widowControl/>
              <w:autoSpaceDE/>
              <w:autoSpaceDN/>
              <w:jc w:val="center"/>
              <w:rPr>
                <w:rFonts w:hint="eastAsia"/>
                <w:sz w:val="21"/>
                <w:szCs w:val="21"/>
                <w:lang w:eastAsia="zh-CN"/>
              </w:rPr>
            </w:pPr>
            <w:r>
              <w:rPr>
                <w:rFonts w:hint="eastAsia"/>
                <w:sz w:val="21"/>
                <w:szCs w:val="21"/>
                <w:lang w:val="en-US" w:eastAsia="zh-CN"/>
              </w:rPr>
              <w:t>企业资质</w:t>
            </w:r>
          </w:p>
        </w:tc>
        <w:tc>
          <w:tcPr>
            <w:tcW w:w="5998" w:type="dxa"/>
            <w:vAlign w:val="center"/>
          </w:tcPr>
          <w:p>
            <w:pPr>
              <w:widowControl/>
              <w:autoSpaceDE/>
              <w:autoSpaceDN/>
              <w:jc w:val="left"/>
              <w:rPr>
                <w:rFonts w:hint="eastAsia"/>
                <w:sz w:val="21"/>
                <w:szCs w:val="21"/>
                <w:lang w:eastAsia="zh-CN"/>
              </w:rPr>
            </w:pPr>
            <w:r>
              <w:rPr>
                <w:rFonts w:hint="eastAsia"/>
                <w:sz w:val="21"/>
                <w:szCs w:val="21"/>
                <w:lang w:val="en-US" w:eastAsia="zh-CN"/>
              </w:rPr>
              <w:t>1、参选人</w:t>
            </w:r>
            <w:r>
              <w:rPr>
                <w:rFonts w:hint="eastAsia"/>
                <w:sz w:val="21"/>
                <w:szCs w:val="21"/>
                <w:lang w:eastAsia="zh-CN"/>
              </w:rPr>
              <w:t>属综合甲级工程设计资质得</w:t>
            </w:r>
            <w:r>
              <w:rPr>
                <w:rFonts w:hint="eastAsia"/>
                <w:sz w:val="21"/>
                <w:szCs w:val="21"/>
                <w:lang w:val="en-US" w:eastAsia="zh-CN"/>
              </w:rPr>
              <w:t>6</w:t>
            </w:r>
            <w:r>
              <w:rPr>
                <w:rFonts w:hint="eastAsia"/>
                <w:sz w:val="21"/>
                <w:szCs w:val="21"/>
                <w:lang w:eastAsia="zh-CN"/>
              </w:rPr>
              <w:t>分。</w:t>
            </w:r>
          </w:p>
          <w:p>
            <w:pPr>
              <w:widowControl/>
              <w:autoSpaceDE/>
              <w:autoSpaceDN/>
              <w:jc w:val="left"/>
              <w:rPr>
                <w:rFonts w:hint="eastAsia"/>
                <w:sz w:val="21"/>
                <w:szCs w:val="21"/>
                <w:lang w:eastAsia="zh-CN"/>
              </w:rPr>
            </w:pPr>
            <w:r>
              <w:rPr>
                <w:rFonts w:hint="eastAsia"/>
                <w:sz w:val="21"/>
                <w:szCs w:val="21"/>
                <w:lang w:val="en-US" w:eastAsia="zh-CN"/>
              </w:rPr>
              <w:t>2、参选人</w:t>
            </w:r>
            <w:r>
              <w:rPr>
                <w:rFonts w:hint="eastAsia"/>
                <w:sz w:val="21"/>
                <w:szCs w:val="21"/>
                <w:lang w:eastAsia="zh-CN"/>
              </w:rPr>
              <w:t>属于化工石化医药行业甲级工程设计资质或企业属于专业加热炉公司，且与化工石化医药行业甲级及以上工程设计资质企业有资源共享协议的企业得</w:t>
            </w:r>
            <w:r>
              <w:rPr>
                <w:rFonts w:hint="eastAsia"/>
                <w:sz w:val="21"/>
                <w:szCs w:val="21"/>
                <w:lang w:val="en-US" w:eastAsia="zh-CN"/>
              </w:rPr>
              <w:t>3</w:t>
            </w:r>
            <w:r>
              <w:rPr>
                <w:rFonts w:hint="eastAsia"/>
                <w:sz w:val="21"/>
                <w:szCs w:val="21"/>
                <w:lang w:eastAsia="zh-CN"/>
              </w:rPr>
              <w:t>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2</w:t>
            </w:r>
          </w:p>
        </w:tc>
        <w:tc>
          <w:tcPr>
            <w:tcW w:w="952" w:type="dxa"/>
            <w:vAlign w:val="center"/>
          </w:tcPr>
          <w:p>
            <w:pPr>
              <w:keepNext w:val="0"/>
              <w:keepLines w:val="0"/>
              <w:widowControl/>
              <w:suppressLineNumbers w:val="0"/>
              <w:jc w:val="center"/>
              <w:textAlignment w:val="center"/>
              <w:rPr>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相关业绩</w:t>
            </w:r>
          </w:p>
        </w:tc>
        <w:tc>
          <w:tcPr>
            <w:tcW w:w="5998" w:type="dxa"/>
            <w:vAlign w:val="center"/>
          </w:tcPr>
          <w:p>
            <w:pPr>
              <w:widowControl/>
              <w:autoSpaceDE/>
              <w:autoSpaceDN/>
              <w:jc w:val="left"/>
              <w:rPr>
                <w:rFonts w:hint="eastAsia"/>
                <w:sz w:val="21"/>
                <w:szCs w:val="21"/>
                <w:lang w:eastAsia="zh-CN"/>
              </w:rPr>
            </w:pPr>
            <w:r>
              <w:rPr>
                <w:rFonts w:hint="eastAsia"/>
                <w:sz w:val="21"/>
                <w:szCs w:val="21"/>
                <w:lang w:eastAsia="zh-CN"/>
              </w:rPr>
              <w:t xml:space="preserve">1、 </w:t>
            </w:r>
            <w:r>
              <w:rPr>
                <w:rFonts w:hint="eastAsia"/>
                <w:sz w:val="21"/>
                <w:szCs w:val="21"/>
                <w:lang w:val="en-US" w:eastAsia="zh-CN"/>
              </w:rPr>
              <w:t>参选人每提供一项</w:t>
            </w:r>
            <w:r>
              <w:rPr>
                <w:rFonts w:hint="eastAsia"/>
                <w:sz w:val="21"/>
                <w:szCs w:val="21"/>
                <w:lang w:eastAsia="zh-CN"/>
              </w:rPr>
              <w:t>近5年50MW及以上石油炼制或石油化工装置加热炉工程设计业绩或供货业绩得</w:t>
            </w:r>
            <w:r>
              <w:rPr>
                <w:rFonts w:hint="eastAsia"/>
                <w:sz w:val="21"/>
                <w:szCs w:val="21"/>
                <w:lang w:val="en-US" w:eastAsia="zh-CN"/>
              </w:rPr>
              <w:t>1</w:t>
            </w:r>
            <w:r>
              <w:rPr>
                <w:rFonts w:hint="eastAsia"/>
                <w:sz w:val="21"/>
                <w:szCs w:val="21"/>
                <w:lang w:eastAsia="zh-CN"/>
              </w:rPr>
              <w:t>分，最高</w:t>
            </w:r>
            <w:r>
              <w:rPr>
                <w:rFonts w:hint="eastAsia"/>
                <w:sz w:val="21"/>
                <w:szCs w:val="21"/>
                <w:lang w:val="en-US" w:eastAsia="zh-CN"/>
              </w:rPr>
              <w:t>得3</w:t>
            </w:r>
            <w:r>
              <w:rPr>
                <w:rFonts w:hint="eastAsia"/>
                <w:sz w:val="21"/>
                <w:szCs w:val="21"/>
                <w:lang w:eastAsia="zh-CN"/>
              </w:rPr>
              <w:t>分。</w:t>
            </w:r>
          </w:p>
          <w:p>
            <w:pPr>
              <w:widowControl/>
              <w:autoSpaceDE/>
              <w:autoSpaceDN/>
              <w:jc w:val="left"/>
              <w:rPr>
                <w:sz w:val="21"/>
                <w:szCs w:val="21"/>
                <w:lang w:eastAsia="zh-CN"/>
              </w:rPr>
            </w:pPr>
            <w:r>
              <w:rPr>
                <w:rFonts w:hint="eastAsia"/>
                <w:sz w:val="21"/>
                <w:szCs w:val="21"/>
                <w:lang w:eastAsia="zh-CN"/>
              </w:rPr>
              <w:t>2、</w:t>
            </w:r>
            <w:r>
              <w:rPr>
                <w:rFonts w:hint="eastAsia"/>
                <w:sz w:val="21"/>
                <w:szCs w:val="21"/>
                <w:lang w:val="en-US" w:eastAsia="zh-CN"/>
              </w:rPr>
              <w:t>参选人提供</w:t>
            </w:r>
            <w:r>
              <w:rPr>
                <w:rFonts w:hint="eastAsia"/>
                <w:sz w:val="21"/>
                <w:szCs w:val="21"/>
                <w:lang w:eastAsia="zh-CN"/>
              </w:rPr>
              <w:t>近5年1项相似类型的加热炉热负荷不足问题分析项目的</w:t>
            </w:r>
            <w:r>
              <w:rPr>
                <w:rFonts w:hint="eastAsia"/>
                <w:sz w:val="21"/>
                <w:szCs w:val="21"/>
                <w:lang w:val="en-US" w:eastAsia="zh-CN"/>
              </w:rPr>
              <w:t>业绩合同</w:t>
            </w:r>
            <w:r>
              <w:rPr>
                <w:rFonts w:hint="eastAsia"/>
                <w:sz w:val="21"/>
                <w:szCs w:val="21"/>
                <w:lang w:eastAsia="zh-CN"/>
              </w:rPr>
              <w:t>，得</w:t>
            </w:r>
            <w:r>
              <w:rPr>
                <w:rFonts w:hint="eastAsia"/>
                <w:sz w:val="21"/>
                <w:szCs w:val="21"/>
                <w:lang w:val="en-US" w:eastAsia="zh-CN"/>
              </w:rPr>
              <w:t>3</w:t>
            </w:r>
            <w:r>
              <w:rPr>
                <w:rFonts w:hint="eastAsia"/>
                <w:sz w:val="21"/>
                <w:szCs w:val="21"/>
                <w:lang w:eastAsia="zh-CN"/>
              </w:rPr>
              <w:t>分。（</w:t>
            </w:r>
            <w:r>
              <w:rPr>
                <w:rFonts w:hint="eastAsia"/>
                <w:sz w:val="21"/>
                <w:szCs w:val="21"/>
                <w:lang w:val="en-US" w:eastAsia="zh-CN"/>
              </w:rPr>
              <w:t>提供合同业绩时间为</w:t>
            </w:r>
            <w:r>
              <w:rPr>
                <w:rFonts w:hint="eastAsia"/>
                <w:sz w:val="21"/>
                <w:szCs w:val="21"/>
                <w:lang w:eastAsia="zh-CN"/>
              </w:rPr>
              <w:t>2019年1月1日</w:t>
            </w:r>
            <w:r>
              <w:rPr>
                <w:rFonts w:hint="eastAsia"/>
                <w:sz w:val="21"/>
                <w:szCs w:val="21"/>
                <w:lang w:val="en-US" w:eastAsia="zh-CN"/>
              </w:rPr>
              <w:t>起</w:t>
            </w:r>
            <w:r>
              <w:rPr>
                <w:rFonts w:hint="eastAsia"/>
                <w:sz w:val="21"/>
                <w:szCs w:val="21"/>
                <w:lang w:eastAsia="zh-CN"/>
              </w:rPr>
              <w:t>（以合同签订时间为准））</w:t>
            </w:r>
          </w:p>
        </w:tc>
        <w:tc>
          <w:tcPr>
            <w:tcW w:w="822" w:type="dxa"/>
            <w:noWrap/>
            <w:vAlign w:val="center"/>
          </w:tcPr>
          <w:p>
            <w:pPr>
              <w:widowControl/>
              <w:autoSpaceDE/>
              <w:autoSpaceDN/>
              <w:jc w:val="center"/>
              <w:rPr>
                <w:color w:val="000000"/>
                <w:sz w:val="21"/>
                <w:szCs w:val="21"/>
                <w:lang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4" w:hRule="atLeast"/>
        </w:trPr>
        <w:tc>
          <w:tcPr>
            <w:tcW w:w="0" w:type="auto"/>
            <w:noWrap/>
            <w:vAlign w:val="center"/>
          </w:tcPr>
          <w:p>
            <w:pPr>
              <w:widowControl/>
              <w:autoSpaceDE/>
              <w:autoSpaceDN/>
              <w:jc w:val="center"/>
              <w:rPr>
                <w:color w:val="000000"/>
                <w:sz w:val="21"/>
                <w:szCs w:val="21"/>
                <w:lang w:eastAsia="zh-CN"/>
              </w:rPr>
            </w:pPr>
            <w:r>
              <w:rPr>
                <w:rFonts w:hint="eastAsia"/>
                <w:color w:val="000000"/>
                <w:sz w:val="21"/>
                <w:szCs w:val="21"/>
                <w:lang w:eastAsia="zh-CN"/>
              </w:rPr>
              <w:t>3</w:t>
            </w:r>
          </w:p>
        </w:tc>
        <w:tc>
          <w:tcPr>
            <w:tcW w:w="952" w:type="dxa"/>
            <w:vAlign w:val="center"/>
          </w:tcPr>
          <w:p>
            <w:pPr>
              <w:keepNext w:val="0"/>
              <w:keepLines w:val="0"/>
              <w:widowControl/>
              <w:suppressLineNumbers w:val="0"/>
              <w:jc w:val="center"/>
              <w:textAlignment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技术</w:t>
            </w:r>
            <w:r>
              <w:rPr>
                <w:rFonts w:hint="eastAsia" w:cs="宋体"/>
                <w:i w:val="0"/>
                <w:iCs w:val="0"/>
                <w:color w:val="000000"/>
                <w:kern w:val="0"/>
                <w:sz w:val="21"/>
                <w:szCs w:val="21"/>
                <w:u w:val="none"/>
                <w:lang w:val="en-US" w:eastAsia="zh-CN" w:bidi="ar"/>
              </w:rPr>
              <w:t>分析方案</w:t>
            </w:r>
          </w:p>
        </w:tc>
        <w:tc>
          <w:tcPr>
            <w:tcW w:w="5998" w:type="dxa"/>
            <w:vAlign w:val="center"/>
          </w:tcPr>
          <w:p>
            <w:pPr>
              <w:widowControl/>
              <w:autoSpaceDE/>
              <w:autoSpaceDN/>
              <w:jc w:val="left"/>
              <w:rPr>
                <w:rFonts w:hint="eastAsia"/>
                <w:sz w:val="21"/>
                <w:szCs w:val="21"/>
                <w:lang w:val="en-US" w:eastAsia="zh-CN"/>
              </w:rPr>
            </w:pPr>
            <w:r>
              <w:rPr>
                <w:rFonts w:hint="eastAsia"/>
                <w:sz w:val="21"/>
                <w:szCs w:val="21"/>
                <w:lang w:val="en-US" w:eastAsia="zh-CN"/>
              </w:rPr>
              <w:t>1、根据参选人递交的技术分析方案的分析内容全面性进行打分。最高得3分。</w:t>
            </w:r>
          </w:p>
          <w:p>
            <w:pPr>
              <w:widowControl/>
              <w:autoSpaceDE/>
              <w:autoSpaceDN/>
              <w:jc w:val="left"/>
              <w:rPr>
                <w:rFonts w:hint="eastAsia"/>
                <w:sz w:val="21"/>
                <w:szCs w:val="21"/>
                <w:lang w:eastAsia="zh-CN"/>
              </w:rPr>
            </w:pPr>
            <w:r>
              <w:rPr>
                <w:rFonts w:hint="eastAsia"/>
                <w:sz w:val="21"/>
                <w:szCs w:val="21"/>
                <w:lang w:val="en-US" w:eastAsia="zh-CN"/>
              </w:rPr>
              <w:t>2、</w:t>
            </w:r>
            <w:r>
              <w:rPr>
                <w:rFonts w:hint="eastAsia"/>
                <w:sz w:val="21"/>
                <w:szCs w:val="21"/>
                <w:lang w:eastAsia="zh-CN"/>
              </w:rPr>
              <w:t>根据参选人递交的技术分析方案的作业计划</w:t>
            </w:r>
            <w:r>
              <w:rPr>
                <w:rFonts w:hint="eastAsia"/>
                <w:sz w:val="21"/>
                <w:szCs w:val="21"/>
                <w:lang w:val="en-US" w:eastAsia="zh-CN"/>
              </w:rPr>
              <w:t>进行打分，</w:t>
            </w:r>
            <w:r>
              <w:rPr>
                <w:rFonts w:hint="eastAsia"/>
                <w:sz w:val="21"/>
                <w:szCs w:val="21"/>
                <w:lang w:eastAsia="zh-CN"/>
              </w:rPr>
              <w:t>条理清楚，分析过程逻辑清晰，分析所用的软件工具具有专业性，分析过程及分析结论具有可复现性，最高</w:t>
            </w:r>
            <w:r>
              <w:rPr>
                <w:rFonts w:hint="eastAsia"/>
                <w:sz w:val="21"/>
                <w:szCs w:val="21"/>
                <w:lang w:val="en-US" w:eastAsia="zh-CN"/>
              </w:rPr>
              <w:t>得3</w:t>
            </w:r>
            <w:r>
              <w:rPr>
                <w:rFonts w:hint="eastAsia"/>
                <w:sz w:val="21"/>
                <w:szCs w:val="21"/>
                <w:lang w:eastAsia="zh-CN"/>
              </w:rPr>
              <w:t>分。</w:t>
            </w:r>
          </w:p>
          <w:p>
            <w:pPr>
              <w:widowControl/>
              <w:autoSpaceDE/>
              <w:autoSpaceDN/>
              <w:jc w:val="left"/>
              <w:rPr>
                <w:lang w:eastAsia="zh-CN"/>
              </w:rPr>
            </w:pPr>
            <w:r>
              <w:rPr>
                <w:rFonts w:hint="eastAsia"/>
                <w:sz w:val="21"/>
                <w:szCs w:val="21"/>
                <w:lang w:val="en-US" w:eastAsia="zh-CN"/>
              </w:rPr>
              <w:t>3、</w:t>
            </w:r>
            <w:r>
              <w:rPr>
                <w:rFonts w:hint="eastAsia"/>
                <w:sz w:val="21"/>
                <w:szCs w:val="21"/>
                <w:lang w:eastAsia="zh-CN"/>
              </w:rPr>
              <w:t>根据参选人递交的技术分析方案中关于需业主配合的操作可行性进行打分，不需要装置停工配合的，得</w:t>
            </w:r>
            <w:r>
              <w:rPr>
                <w:rFonts w:hint="eastAsia"/>
                <w:sz w:val="21"/>
                <w:szCs w:val="21"/>
                <w:lang w:val="en-US" w:eastAsia="zh-CN"/>
              </w:rPr>
              <w:t>3</w:t>
            </w:r>
            <w:r>
              <w:rPr>
                <w:rFonts w:hint="eastAsia"/>
                <w:sz w:val="21"/>
                <w:szCs w:val="21"/>
                <w:lang w:eastAsia="zh-CN"/>
              </w:rPr>
              <w:t>分；需要装置停工配合分析的，得0分。</w:t>
            </w:r>
          </w:p>
        </w:tc>
        <w:tc>
          <w:tcPr>
            <w:tcW w:w="822" w:type="dxa"/>
            <w:noWrap/>
            <w:vAlign w:val="center"/>
          </w:tcPr>
          <w:p>
            <w:pPr>
              <w:widowControl/>
              <w:autoSpaceDE/>
              <w:autoSpaceDN/>
              <w:jc w:val="center"/>
              <w:rPr>
                <w:color w:val="000000"/>
                <w:sz w:val="21"/>
                <w:szCs w:val="21"/>
                <w:lang w:eastAsia="zh-CN"/>
              </w:rPr>
            </w:pPr>
            <w:r>
              <w:rPr>
                <w:rFonts w:hint="eastAsia"/>
                <w:color w:val="000000"/>
                <w:sz w:val="21"/>
                <w:szCs w:val="21"/>
                <w:lang w:val="en-US" w:eastAsia="zh-CN"/>
              </w:rPr>
              <w:t>9分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4</w:t>
            </w:r>
          </w:p>
        </w:tc>
        <w:tc>
          <w:tcPr>
            <w:tcW w:w="952" w:type="dxa"/>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服务计划</w:t>
            </w:r>
          </w:p>
        </w:tc>
        <w:tc>
          <w:tcPr>
            <w:tcW w:w="5998" w:type="dxa"/>
            <w:vAlign w:val="center"/>
          </w:tcPr>
          <w:p>
            <w:pPr>
              <w:widowControl/>
              <w:autoSpaceDE/>
              <w:autoSpaceDN/>
              <w:jc w:val="left"/>
              <w:rPr>
                <w:rFonts w:hint="eastAsia"/>
                <w:kern w:val="2"/>
                <w:sz w:val="21"/>
                <w:szCs w:val="21"/>
                <w:lang w:eastAsia="zh-CN"/>
              </w:rPr>
            </w:pPr>
            <w:r>
              <w:rPr>
                <w:rFonts w:hint="eastAsia"/>
                <w:kern w:val="2"/>
                <w:sz w:val="21"/>
                <w:szCs w:val="21"/>
                <w:lang w:eastAsia="zh-CN"/>
              </w:rPr>
              <w:t>计划安排2人及以上专业工程师至现场检查加热炉的，得</w:t>
            </w:r>
            <w:r>
              <w:rPr>
                <w:rFonts w:hint="eastAsia"/>
                <w:kern w:val="2"/>
                <w:sz w:val="21"/>
                <w:szCs w:val="21"/>
                <w:lang w:val="en-US" w:eastAsia="zh-CN"/>
              </w:rPr>
              <w:t>6</w:t>
            </w:r>
            <w:r>
              <w:rPr>
                <w:rFonts w:hint="eastAsia"/>
                <w:kern w:val="2"/>
                <w:sz w:val="21"/>
                <w:szCs w:val="21"/>
                <w:lang w:eastAsia="zh-CN"/>
              </w:rPr>
              <w:t>分。安排1人得</w:t>
            </w:r>
            <w:r>
              <w:rPr>
                <w:rFonts w:hint="eastAsia"/>
                <w:kern w:val="2"/>
                <w:sz w:val="21"/>
                <w:szCs w:val="21"/>
                <w:lang w:val="en-US" w:eastAsia="zh-CN"/>
              </w:rPr>
              <w:t>3</w:t>
            </w:r>
            <w:r>
              <w:rPr>
                <w:rFonts w:hint="eastAsia"/>
                <w:kern w:val="2"/>
                <w:sz w:val="21"/>
                <w:szCs w:val="21"/>
                <w:lang w:eastAsia="zh-CN"/>
              </w:rPr>
              <w:t>分。不安排的，得0分。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6分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0" w:type="auto"/>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5</w:t>
            </w:r>
          </w:p>
        </w:tc>
        <w:tc>
          <w:tcPr>
            <w:tcW w:w="952" w:type="dxa"/>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技术分析工期</w:t>
            </w:r>
          </w:p>
        </w:tc>
        <w:tc>
          <w:tcPr>
            <w:tcW w:w="5998" w:type="dxa"/>
            <w:vAlign w:val="center"/>
          </w:tcPr>
          <w:p>
            <w:pPr>
              <w:widowControl/>
              <w:autoSpaceDE/>
              <w:autoSpaceDN/>
              <w:jc w:val="left"/>
              <w:rPr>
                <w:rFonts w:hint="eastAsia"/>
                <w:kern w:val="2"/>
                <w:sz w:val="21"/>
                <w:szCs w:val="21"/>
                <w:lang w:eastAsia="zh-CN"/>
              </w:rPr>
            </w:pPr>
            <w:r>
              <w:rPr>
                <w:rFonts w:hint="eastAsia"/>
                <w:kern w:val="2"/>
                <w:sz w:val="21"/>
                <w:szCs w:val="21"/>
                <w:lang w:eastAsia="zh-CN"/>
              </w:rPr>
              <w:t>根据参选人递交工期保证值进行评分，达到要求得</w:t>
            </w:r>
            <w:r>
              <w:rPr>
                <w:rFonts w:hint="eastAsia"/>
                <w:kern w:val="2"/>
                <w:sz w:val="21"/>
                <w:szCs w:val="21"/>
                <w:lang w:val="en-US" w:eastAsia="zh-CN"/>
              </w:rPr>
              <w:t>3</w:t>
            </w:r>
            <w:r>
              <w:rPr>
                <w:rFonts w:hint="eastAsia"/>
                <w:kern w:val="2"/>
                <w:sz w:val="21"/>
                <w:szCs w:val="21"/>
                <w:lang w:eastAsia="zh-CN"/>
              </w:rPr>
              <w:t>分，未达到得0分。</w:t>
            </w:r>
          </w:p>
        </w:tc>
        <w:tc>
          <w:tcPr>
            <w:tcW w:w="822" w:type="dxa"/>
            <w:noWrap/>
            <w:vAlign w:val="center"/>
          </w:tcPr>
          <w:p>
            <w:pPr>
              <w:widowControl/>
              <w:autoSpaceDE/>
              <w:autoSpaceDN/>
              <w:jc w:val="center"/>
              <w:rPr>
                <w:rFonts w:hint="default"/>
                <w:color w:val="000000"/>
                <w:sz w:val="21"/>
                <w:szCs w:val="21"/>
                <w:lang w:val="en-US" w:eastAsia="zh-CN"/>
              </w:rPr>
            </w:pPr>
            <w:r>
              <w:rPr>
                <w:rFonts w:hint="eastAsia"/>
                <w:color w:val="000000"/>
                <w:sz w:val="21"/>
                <w:szCs w:val="21"/>
                <w:lang w:val="en-US" w:eastAsia="zh-CN"/>
              </w:rPr>
              <w:t>3分</w:t>
            </w:r>
          </w:p>
        </w:tc>
        <w:tc>
          <w:tcPr>
            <w:tcW w:w="638" w:type="dxa"/>
            <w:noWrap/>
          </w:tcPr>
          <w:p>
            <w:pPr>
              <w:widowControl/>
              <w:autoSpaceDE/>
              <w:autoSpaceDN/>
              <w:jc w:val="center"/>
              <w:rPr>
                <w:color w:val="000000"/>
                <w:sz w:val="21"/>
                <w:szCs w:val="21"/>
                <w:lang w:eastAsia="zh-CN"/>
              </w:rPr>
            </w:pPr>
          </w:p>
        </w:tc>
        <w:tc>
          <w:tcPr>
            <w:tcW w:w="0" w:type="auto"/>
            <w:noWrap/>
          </w:tcPr>
          <w:p>
            <w:pPr>
              <w:widowControl/>
              <w:autoSpaceDE/>
              <w:autoSpaceDN/>
              <w:jc w:val="center"/>
              <w:rPr>
                <w:color w:val="000000"/>
                <w:sz w:val="21"/>
                <w:szCs w:val="21"/>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0" w:type="auto"/>
            <w:noWrap/>
          </w:tcPr>
          <w:p>
            <w:pPr>
              <w:widowControl/>
              <w:autoSpaceDE/>
              <w:autoSpaceDN/>
              <w:jc w:val="center"/>
              <w:rPr>
                <w:b/>
                <w:color w:val="000000"/>
                <w:sz w:val="21"/>
                <w:szCs w:val="21"/>
                <w:lang w:eastAsia="zh-CN"/>
              </w:rPr>
            </w:pPr>
          </w:p>
        </w:tc>
        <w:tc>
          <w:tcPr>
            <w:tcW w:w="6950" w:type="dxa"/>
            <w:gridSpan w:val="2"/>
            <w:vAlign w:val="center"/>
          </w:tcPr>
          <w:p>
            <w:pPr>
              <w:widowControl/>
              <w:autoSpaceDE/>
              <w:autoSpaceDN/>
              <w:jc w:val="center"/>
              <w:rPr>
                <w:b/>
                <w:color w:val="000000"/>
                <w:sz w:val="21"/>
                <w:szCs w:val="21"/>
                <w:lang w:eastAsia="zh-CN"/>
              </w:rPr>
            </w:pPr>
            <w:r>
              <w:rPr>
                <w:rFonts w:hint="eastAsia"/>
                <w:b/>
                <w:color w:val="000000"/>
                <w:sz w:val="21"/>
                <w:szCs w:val="21"/>
                <w:lang w:eastAsia="zh-CN"/>
              </w:rPr>
              <w:t>合计</w:t>
            </w:r>
          </w:p>
        </w:tc>
        <w:tc>
          <w:tcPr>
            <w:tcW w:w="822" w:type="dxa"/>
            <w:noWrap/>
            <w:vAlign w:val="center"/>
          </w:tcPr>
          <w:p>
            <w:pPr>
              <w:widowControl/>
              <w:autoSpaceDE/>
              <w:autoSpaceDN/>
              <w:jc w:val="center"/>
              <w:rPr>
                <w:rFonts w:hint="default"/>
                <w:b/>
                <w:color w:val="000000"/>
                <w:sz w:val="21"/>
                <w:szCs w:val="21"/>
                <w:lang w:val="en-US" w:eastAsia="zh-CN"/>
              </w:rPr>
            </w:pPr>
            <w:r>
              <w:rPr>
                <w:rFonts w:hint="eastAsia"/>
                <w:b/>
                <w:color w:val="000000"/>
                <w:sz w:val="21"/>
                <w:szCs w:val="21"/>
                <w:lang w:eastAsia="zh-CN"/>
              </w:rPr>
              <w:t>100</w:t>
            </w:r>
            <w:r>
              <w:rPr>
                <w:rFonts w:hint="eastAsia"/>
                <w:b/>
                <w:color w:val="000000"/>
                <w:sz w:val="21"/>
                <w:szCs w:val="21"/>
                <w:lang w:val="en-US" w:eastAsia="zh-CN"/>
              </w:rPr>
              <w:t>分</w:t>
            </w:r>
          </w:p>
        </w:tc>
        <w:tc>
          <w:tcPr>
            <w:tcW w:w="638" w:type="dxa"/>
            <w:noWrap/>
          </w:tcPr>
          <w:p>
            <w:pPr>
              <w:widowControl/>
              <w:autoSpaceDE/>
              <w:autoSpaceDN/>
              <w:jc w:val="center"/>
              <w:rPr>
                <w:color w:val="000000"/>
                <w:sz w:val="21"/>
                <w:szCs w:val="21"/>
                <w:lang w:eastAsia="zh-CN"/>
              </w:rPr>
            </w:pPr>
            <w:r>
              <w:rPr>
                <w:rFonts w:hint="eastAsia"/>
                <w:color w:val="000000"/>
                <w:sz w:val="21"/>
                <w:szCs w:val="21"/>
                <w:lang w:eastAsia="zh-CN"/>
              </w:rPr>
              <w:t>　</w:t>
            </w:r>
          </w:p>
        </w:tc>
        <w:tc>
          <w:tcPr>
            <w:tcW w:w="0" w:type="auto"/>
            <w:noWrap/>
          </w:tcPr>
          <w:p>
            <w:pPr>
              <w:widowControl/>
              <w:autoSpaceDE/>
              <w:autoSpaceDN/>
              <w:jc w:val="center"/>
              <w:rPr>
                <w:color w:val="000000"/>
                <w:sz w:val="21"/>
                <w:szCs w:val="21"/>
                <w:lang w:eastAsia="zh-CN"/>
              </w:rPr>
            </w:pPr>
            <w:r>
              <w:rPr>
                <w:rFonts w:hint="eastAsia"/>
                <w:color w:val="000000"/>
                <w:sz w:val="21"/>
                <w:szCs w:val="21"/>
                <w:lang w:eastAsia="zh-CN"/>
              </w:rPr>
              <w:t>　</w:t>
            </w:r>
          </w:p>
        </w:tc>
      </w:tr>
    </w:tbl>
    <w:p>
      <w:pPr>
        <w:pStyle w:val="20"/>
        <w:spacing w:line="360" w:lineRule="auto"/>
        <w:ind w:right="121" w:firstLine="480" w:firstLineChars="200"/>
        <w:jc w:val="both"/>
        <w:rPr>
          <w:rFonts w:hint="eastAsia"/>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pgNumType w:fmt="decimal"/>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Fonts w:hint="eastAsia"/>
          <w:color w:val="FF0000"/>
          <w:lang w:eastAsia="zh-CN"/>
        </w:rPr>
        <w:t>“</w:t>
      </w:r>
      <w:r>
        <w:rPr>
          <w:rStyle w:val="55"/>
          <w:rFonts w:hint="eastAsia"/>
          <w:color w:val="FF0000"/>
          <w:lang w:eastAsia="zh-CN"/>
        </w:rPr>
        <w:t>福建福海创石油化工有限公司</w:t>
      </w:r>
      <w:r>
        <w:rPr>
          <w:rFonts w:hint="eastAsia"/>
          <w:color w:val="FF0000"/>
          <w:lang w:eastAsia="zh-CN"/>
        </w:rPr>
        <w:t>”</w:t>
      </w:r>
      <w:r>
        <w:rPr>
          <w:rStyle w:val="55"/>
          <w:rFonts w:hint="eastAsia"/>
          <w:color w:val="FF0000"/>
          <w:lang w:eastAsia="zh-CN"/>
        </w:rPr>
        <w:t>福建福海创石油化工有限公司作为本合同执行主体，将于中选结果公示流程结束之日起30日内与中选人完成合同签订事宜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fmt="decimal"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技术咨询服务合同</w:t>
      </w:r>
      <w:r>
        <w:rPr>
          <w:lang w:eastAsia="zh-CN"/>
        </w:rPr>
        <w:t>（详见附件</w:t>
      </w:r>
      <w:r>
        <w:rPr>
          <w:rFonts w:hint="eastAsia"/>
          <w:lang w:val="en-US" w:eastAsia="zh-CN"/>
        </w:rPr>
        <w:t>二</w:t>
      </w:r>
      <w:r>
        <w:rPr>
          <w:lang w:eastAsia="zh-CN"/>
        </w:rPr>
        <w:t>）的规定。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val="en-US" w:eastAsia="zh-CN"/>
        </w:rPr>
        <w:t>合同模板详见</w:t>
      </w:r>
      <w:r>
        <w:rPr>
          <w:rFonts w:hint="eastAsia" w:ascii="Times New Roman"/>
          <w:b/>
          <w:bCs/>
          <w:lang w:eastAsia="zh-CN"/>
        </w:rPr>
        <w:t>附件</w:t>
      </w:r>
      <w:r>
        <w:rPr>
          <w:rFonts w:hint="eastAsia" w:ascii="Times New Roman"/>
          <w:b/>
          <w:bCs/>
          <w:lang w:val="en-US" w:eastAsia="zh-CN"/>
        </w:rPr>
        <w:t>二</w:t>
      </w:r>
      <w:r>
        <w:rPr>
          <w:rFonts w:hint="eastAsia" w:ascii="Times New Roman"/>
          <w:b/>
          <w:bCs/>
          <w:lang w:eastAsia="zh-CN"/>
        </w:rPr>
        <w:t>、</w:t>
      </w:r>
    </w:p>
    <w:p>
      <w:pPr>
        <w:jc w:val="center"/>
        <w:rPr>
          <w:b/>
          <w:sz w:val="44"/>
          <w:szCs w:val="44"/>
          <w:lang w:eastAsia="zh-CN"/>
        </w:rPr>
      </w:pPr>
      <w:bookmarkStart w:id="0" w:name="_Toc251742852"/>
    </w:p>
    <w:p>
      <w:pPr>
        <w:tabs>
          <w:tab w:val="left" w:pos="420"/>
        </w:tabs>
        <w:rPr>
          <w:sz w:val="24"/>
          <w:szCs w:val="24"/>
          <w:lang w:eastAsia="zh-CN"/>
        </w:rPr>
      </w:pPr>
    </w:p>
    <w:p>
      <w:pPr>
        <w:pStyle w:val="2"/>
      </w:pPr>
    </w:p>
    <w:p>
      <w:pPr>
        <w:pStyle w:val="2"/>
      </w:pPr>
    </w:p>
    <w:p>
      <w:pPr>
        <w:pStyle w:val="2"/>
      </w:pPr>
    </w:p>
    <w:p>
      <w:pPr>
        <w:pStyle w:val="2"/>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30"/>
        <w:spacing w:line="400" w:lineRule="exact"/>
        <w:ind w:firstLine="440" w:firstLineChars="200"/>
        <w:rPr>
          <w:rFonts w:hAnsi="宋体"/>
          <w:lang w:eastAsia="zh-CN"/>
        </w:rPr>
      </w:pPr>
    </w:p>
    <w:p>
      <w:pPr>
        <w:pStyle w:val="2"/>
        <w:rPr>
          <w:b/>
          <w:bCs/>
          <w:sz w:val="24"/>
          <w:szCs w:val="24"/>
        </w:rPr>
      </w:pPr>
    </w:p>
    <w:p>
      <w:pPr>
        <w:pStyle w:val="2"/>
        <w:rPr>
          <w:b/>
          <w:bCs/>
          <w:sz w:val="24"/>
          <w:szCs w:val="24"/>
        </w:rPr>
      </w:pPr>
      <w:r>
        <w:rPr>
          <w:rFonts w:hint="eastAsia"/>
          <w:b/>
          <w:bCs/>
          <w:sz w:val="24"/>
          <w:szCs w:val="24"/>
        </w:rPr>
        <w:t>附件</w:t>
      </w:r>
      <w:r>
        <w:rPr>
          <w:rFonts w:hint="eastAsia"/>
          <w:b/>
          <w:bCs/>
          <w:sz w:val="24"/>
          <w:szCs w:val="24"/>
          <w:lang w:val="en-US" w:eastAsia="zh-CN"/>
        </w:rPr>
        <w:t>三</w:t>
      </w:r>
      <w:r>
        <w:rPr>
          <w:rFonts w:hint="eastAsia"/>
          <w:b/>
          <w:bCs/>
          <w:sz w:val="24"/>
          <w:szCs w:val="24"/>
        </w:rPr>
        <w:t>、参选文件范本</w:t>
      </w:r>
    </w:p>
    <w:p>
      <w:pPr>
        <w:pStyle w:val="30"/>
        <w:jc w:val="center"/>
        <w:rPr>
          <w:rFonts w:ascii="Times New Roman" w:hAnsi="Times New Roman"/>
          <w:b/>
          <w:sz w:val="52"/>
          <w:szCs w:val="52"/>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p>
    <w:p>
      <w:pPr>
        <w:pStyle w:val="3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生产一团队凝析油分离装置加热炉热负荷问题技术咨询发包项目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2"/>
          <w:lang w:eastAsia="zh-CN"/>
        </w:rPr>
      </w:pPr>
    </w:p>
    <w:p>
      <w:pPr>
        <w:pStyle w:val="30"/>
        <w:rPr>
          <w:rFonts w:ascii="Times New Roman" w:hAnsi="Times New Roman"/>
          <w:b/>
          <w:bCs/>
          <w:sz w:val="32"/>
          <w:szCs w:val="36"/>
          <w:lang w:eastAsia="zh-CN"/>
        </w:rPr>
      </w:pPr>
    </w:p>
    <w:p>
      <w:pPr>
        <w:pStyle w:val="3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0"/>
        <w:jc w:val="center"/>
        <w:rPr>
          <w:rFonts w:ascii="Times New Roman" w:hAnsi="Times New Roman"/>
          <w:b/>
          <w:bCs/>
          <w:color w:val="000000" w:themeColor="text1"/>
          <w:w w:val="95"/>
          <w:sz w:val="32"/>
          <w:lang w:eastAsia="zh-CN"/>
        </w:rPr>
      </w:pPr>
      <w:r>
        <w:rPr>
          <w:rFonts w:hint="eastAsia" w:ascii="Times New Roman" w:hAnsi="Times New Roman"/>
          <w:b/>
          <w:bCs/>
          <w:color w:val="000000" w:themeColor="text1"/>
          <w:w w:val="95"/>
          <w:sz w:val="32"/>
          <w:lang w:eastAsia="zh-CN"/>
        </w:rPr>
        <w:t xml:space="preserve"> 20</w:t>
      </w:r>
      <w:r>
        <w:rPr>
          <w:rFonts w:ascii="Times New Roman" w:hAnsi="Times New Roman"/>
          <w:b/>
          <w:bCs/>
          <w:color w:val="000000" w:themeColor="text1"/>
          <w:w w:val="95"/>
          <w:sz w:val="32"/>
          <w:lang w:eastAsia="zh-CN"/>
        </w:rPr>
        <w:t>2</w:t>
      </w:r>
      <w:r>
        <w:rPr>
          <w:rFonts w:hint="eastAsia" w:ascii="Times New Roman" w:hAnsi="Times New Roman"/>
          <w:b/>
          <w:bCs/>
          <w:color w:val="000000" w:themeColor="text1"/>
          <w:w w:val="95"/>
          <w:sz w:val="32"/>
          <w:lang w:val="en-US" w:eastAsia="zh-CN"/>
        </w:rPr>
        <w:t>4</w:t>
      </w:r>
      <w:r>
        <w:rPr>
          <w:rFonts w:ascii="Times New Roman" w:hAnsi="Times New Roman"/>
          <w:b/>
          <w:bCs/>
          <w:color w:val="000000" w:themeColor="text1"/>
          <w:w w:val="95"/>
          <w:sz w:val="32"/>
          <w:lang w:eastAsia="zh-CN"/>
        </w:rPr>
        <w:t>年</w:t>
      </w:r>
      <w:r>
        <w:rPr>
          <w:rFonts w:hint="eastAsia" w:ascii="Times New Roman" w:hAnsi="Times New Roman"/>
          <w:b/>
          <w:bCs/>
          <w:color w:val="000000" w:themeColor="text1"/>
          <w:w w:val="95"/>
          <w:sz w:val="32"/>
          <w:lang w:val="en-US" w:eastAsia="zh-CN"/>
        </w:rPr>
        <w:t>8</w:t>
      </w:r>
      <w:r>
        <w:rPr>
          <w:rFonts w:ascii="Times New Roman" w:hAnsi="Times New Roman"/>
          <w:b/>
          <w:bCs/>
          <w:color w:val="000000" w:themeColor="text1"/>
          <w:w w:val="95"/>
          <w:sz w:val="32"/>
          <w:lang w:eastAsia="zh-CN"/>
        </w:rPr>
        <w:t>月</w:t>
      </w:r>
    </w:p>
    <w:p>
      <w:pPr>
        <w:rPr>
          <w:lang w:eastAsia="zh-CN"/>
        </w:rPr>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2" w:firstLineChars="221"/>
        <w:rPr>
          <w:rFonts w:hint="default" w:cs="Times New Roman"/>
          <w:b/>
          <w:bCs/>
          <w:color w:val="C00000"/>
          <w:sz w:val="24"/>
          <w:szCs w:val="24"/>
          <w:lang w:val="en-US" w:eastAsia="zh-CN"/>
        </w:rPr>
      </w:pPr>
      <w:r>
        <w:rPr>
          <w:rFonts w:hint="eastAsia" w:cs="Times New Roman"/>
          <w:b/>
          <w:bCs/>
          <w:color w:val="C00000"/>
          <w:sz w:val="24"/>
          <w:szCs w:val="24"/>
          <w:lang w:val="en-US" w:eastAsia="zh-CN"/>
        </w:rPr>
        <w:t>5.参选文件应分为二册，第一册为商务文件，第二册为技术文件。技术文件与商务文件分开密封包装后一起邮寄，两册文件均需提供U盘电子扫描文档（U盘与商务文件一起密封包装）。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8.</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rFonts w:hint="default"/>
                <w:sz w:val="24"/>
                <w:lang w:val="en-US" w:eastAsia="zh-CN"/>
              </w:rPr>
            </w:pPr>
            <w:r>
              <w:rPr>
                <w:rFonts w:hint="eastAsia"/>
                <w:sz w:val="24"/>
                <w:lang w:val="en-US" w:eastAsia="zh-CN"/>
              </w:rPr>
              <w:t>企业资质</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sz w:val="24"/>
                <w:szCs w:val="28"/>
              </w:rPr>
            </w:pPr>
            <w:r>
              <w:rPr>
                <w:rFonts w:hint="eastAsia"/>
                <w:sz w:val="24"/>
                <w:szCs w:val="28"/>
              </w:rPr>
              <w:t>5</w:t>
            </w:r>
          </w:p>
        </w:tc>
        <w:tc>
          <w:tcPr>
            <w:tcW w:w="6023" w:type="dxa"/>
          </w:tcPr>
          <w:p>
            <w:pPr>
              <w:spacing w:line="500" w:lineRule="exact"/>
              <w:rPr>
                <w:rFonts w:hint="eastAsia"/>
                <w:sz w:val="24"/>
                <w:szCs w:val="28"/>
                <w:lang w:eastAsia="zh-CN"/>
              </w:rPr>
            </w:pPr>
            <w:r>
              <w:rPr>
                <w:rFonts w:hint="eastAsia"/>
                <w:sz w:val="24"/>
                <w:szCs w:val="28"/>
              </w:rPr>
              <w:t>业绩证明</w:t>
            </w:r>
            <w:r>
              <w:rPr>
                <w:rFonts w:hint="eastAsia"/>
                <w:sz w:val="24"/>
                <w:szCs w:val="28"/>
                <w:lang w:eastAsia="zh-CN"/>
              </w:rPr>
              <w:t>：自2019年1月1日（以合同签订时间为准）至今。</w:t>
            </w:r>
          </w:p>
          <w:p>
            <w:pPr>
              <w:spacing w:line="500" w:lineRule="exact"/>
              <w:rPr>
                <w:rFonts w:hint="eastAsia"/>
                <w:sz w:val="24"/>
                <w:szCs w:val="28"/>
                <w:lang w:eastAsia="zh-CN"/>
              </w:rPr>
            </w:pPr>
            <w:r>
              <w:rPr>
                <w:rFonts w:hint="eastAsia"/>
                <w:sz w:val="24"/>
                <w:szCs w:val="28"/>
                <w:lang w:val="en-US" w:eastAsia="zh-CN"/>
              </w:rPr>
              <w:t>1、</w:t>
            </w:r>
            <w:r>
              <w:rPr>
                <w:rFonts w:hint="eastAsia"/>
                <w:sz w:val="24"/>
                <w:szCs w:val="28"/>
                <w:lang w:eastAsia="zh-CN"/>
              </w:rPr>
              <w:t>50MW及以上石油炼制或石油化工装置加热炉工程设计业绩或供货业绩；</w:t>
            </w:r>
          </w:p>
          <w:p>
            <w:pPr>
              <w:numPr>
                <w:ilvl w:val="0"/>
                <w:numId w:val="8"/>
              </w:numPr>
              <w:spacing w:line="500" w:lineRule="exact"/>
              <w:rPr>
                <w:rFonts w:hint="eastAsia"/>
                <w:sz w:val="24"/>
                <w:szCs w:val="28"/>
                <w:lang w:val="en-US" w:eastAsia="zh-CN"/>
              </w:rPr>
            </w:pPr>
            <w:r>
              <w:rPr>
                <w:rFonts w:hint="eastAsia"/>
                <w:sz w:val="24"/>
                <w:szCs w:val="28"/>
                <w:lang w:val="en-US" w:eastAsia="zh-CN"/>
              </w:rPr>
              <w:t>有相似类型的加热炉热负荷不足问题分析项目的业绩。</w:t>
            </w:r>
          </w:p>
          <w:p>
            <w:pPr>
              <w:numPr>
                <w:ilvl w:val="0"/>
                <w:numId w:val="0"/>
              </w:numPr>
              <w:spacing w:line="500" w:lineRule="exact"/>
              <w:rPr>
                <w:rFonts w:hint="eastAsia"/>
                <w:sz w:val="24"/>
                <w:szCs w:val="28"/>
                <w:lang w:eastAsia="zh-CN"/>
              </w:rPr>
            </w:pPr>
            <w:r>
              <w:rPr>
                <w:rFonts w:hint="eastAsia"/>
                <w:sz w:val="24"/>
                <w:szCs w:val="28"/>
                <w:lang w:eastAsia="zh-CN"/>
              </w:rPr>
              <w:t>业绩提供的证明材料必须能清晰的表明类似工程的名称、工程规模、工程内容、时间或加热炉热负荷数据等需要明示的内容，</w:t>
            </w:r>
            <w:r>
              <w:rPr>
                <w:rFonts w:hint="eastAsia"/>
                <w:sz w:val="24"/>
                <w:szCs w:val="28"/>
                <w:lang w:val="en-US" w:eastAsia="zh-CN"/>
              </w:rPr>
              <w:t>文件加盖公章。</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szCs w:val="28"/>
                <w:lang w:val="en-US" w:eastAsia="zh-CN"/>
              </w:rPr>
            </w:pPr>
            <w:r>
              <w:rPr>
                <w:rFonts w:hint="eastAsia"/>
                <w:sz w:val="24"/>
                <w:szCs w:val="28"/>
                <w:lang w:val="en-US" w:eastAsia="zh-CN"/>
              </w:rPr>
              <w:t>6</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技术分析方案</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szCs w:val="28"/>
                <w:lang w:val="en-US" w:eastAsia="zh-CN"/>
              </w:rPr>
            </w:pPr>
            <w:r>
              <w:rPr>
                <w:rFonts w:hint="eastAsia"/>
                <w:sz w:val="24"/>
                <w:szCs w:val="28"/>
                <w:lang w:val="en-US" w:eastAsia="zh-CN"/>
              </w:rPr>
              <w:t>7</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服务计划</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szCs w:val="28"/>
                <w:lang w:val="en-US" w:eastAsia="zh-CN"/>
              </w:rPr>
            </w:pPr>
            <w:r>
              <w:rPr>
                <w:rFonts w:hint="eastAsia"/>
                <w:sz w:val="24"/>
                <w:szCs w:val="28"/>
                <w:lang w:val="en-US" w:eastAsia="zh-CN"/>
              </w:rPr>
              <w:t>8</w:t>
            </w:r>
          </w:p>
        </w:tc>
        <w:tc>
          <w:tcPr>
            <w:tcW w:w="6023" w:type="dxa"/>
          </w:tcPr>
          <w:p>
            <w:pPr>
              <w:numPr>
                <w:ilvl w:val="0"/>
                <w:numId w:val="0"/>
              </w:numPr>
              <w:spacing w:line="500" w:lineRule="exact"/>
              <w:rPr>
                <w:rFonts w:hint="eastAsia"/>
                <w:sz w:val="24"/>
                <w:szCs w:val="28"/>
                <w:lang w:eastAsia="zh-CN"/>
              </w:rPr>
            </w:pPr>
            <w:r>
              <w:rPr>
                <w:rFonts w:hint="eastAsia"/>
                <w:sz w:val="24"/>
                <w:szCs w:val="28"/>
                <w:lang w:eastAsia="zh-CN"/>
              </w:rPr>
              <w:t>技术分析工期</w:t>
            </w:r>
          </w:p>
        </w:tc>
        <w:tc>
          <w:tcPr>
            <w:tcW w:w="1843" w:type="dxa"/>
          </w:tcPr>
          <w:p>
            <w:pPr>
              <w:spacing w:line="500" w:lineRule="exact"/>
              <w:jc w:val="center"/>
              <w:rPr>
                <w:rFonts w:hint="eastAsia"/>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val="en-US" w:eastAsia="zh-CN"/>
              </w:rPr>
              <w:t>9</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rFonts w:hint="default" w:eastAsia="宋体"/>
                <w:sz w:val="24"/>
                <w:lang w:val="en-US" w:eastAsia="zh-CN"/>
              </w:rPr>
            </w:pPr>
            <w:r>
              <w:rPr>
                <w:rFonts w:hint="eastAsia"/>
                <w:b/>
                <w:bCs/>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lang w:eastAsia="zh-CN"/>
        </w:rPr>
      </w:pPr>
    </w:p>
    <w:p>
      <w:pPr>
        <w:pStyle w:val="2"/>
      </w:pPr>
    </w:p>
    <w:p>
      <w:pPr>
        <w:pStyle w:val="2"/>
        <w:rPr>
          <w:rFonts w:hint="default" w:ascii="Times New Roman" w:hAnsi="Times New Roman" w:eastAsia="宋体" w:cs="Times New Roman"/>
          <w:b/>
          <w:bCs/>
          <w:sz w:val="36"/>
          <w:szCs w:val="36"/>
          <w:lang w:val="en-US" w:eastAsia="zh-CN" w:bidi="ar-SA"/>
        </w:rPr>
      </w:pPr>
      <w:r>
        <w:rPr>
          <w:rFonts w:hint="eastAsia" w:ascii="Times New Roman" w:hAnsi="Times New Roman" w:eastAsia="宋体" w:cs="Times New Roman"/>
          <w:b/>
          <w:bCs/>
          <w:sz w:val="36"/>
          <w:szCs w:val="36"/>
          <w:lang w:val="en-US" w:eastAsia="zh-CN" w:bidi="ar-SA"/>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rFonts w:hint="default"/>
          <w:sz w:val="24"/>
          <w:lang w:val="en-US" w:eastAsia="zh-CN"/>
        </w:rPr>
      </w:pPr>
      <w:r>
        <w:rPr>
          <w:rFonts w:hint="eastAsia"/>
          <w:sz w:val="24"/>
          <w:lang w:eastAsia="zh-CN"/>
        </w:rPr>
        <w:t>（2）法定代表人</w:t>
      </w:r>
      <w:r>
        <w:rPr>
          <w:rFonts w:hint="eastAsia"/>
          <w:sz w:val="24"/>
          <w:lang w:val="en-US" w:eastAsia="zh-CN"/>
        </w:rPr>
        <w:t>身份证复印件</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hint="eastAsia" w:ascii="Times New Roman" w:hAnsi="Times New Roman"/>
          <w:kern w:val="2"/>
          <w:sz w:val="24"/>
          <w:szCs w:val="24"/>
        </w:rPr>
      </w:pPr>
      <w:r>
        <w:rPr>
          <w:rFonts w:hint="eastAsia" w:ascii="Times New Roman" w:hAnsi="Times New Roman"/>
          <w:kern w:val="2"/>
          <w:sz w:val="24"/>
          <w:szCs w:val="24"/>
        </w:rPr>
        <w:t xml:space="preserve">       </w:t>
      </w:r>
    </w:p>
    <w:p>
      <w:pPr>
        <w:pStyle w:val="2"/>
        <w:ind w:firstLine="420"/>
        <w:jc w:val="center"/>
        <w:rPr>
          <w:rFonts w:hint="eastAsia" w:ascii="Times New Roman" w:hAnsi="Times New Roman"/>
          <w:kern w:val="2"/>
          <w:sz w:val="24"/>
          <w:szCs w:val="24"/>
        </w:rPr>
      </w:pPr>
    </w:p>
    <w:p>
      <w:pPr>
        <w:pStyle w:val="2"/>
        <w:ind w:firstLine="420"/>
        <w:jc w:val="center"/>
        <w:rPr>
          <w:rFonts w:ascii="Times New Roman" w:hAnsi="Times New Roman"/>
          <w:kern w:val="2"/>
          <w:sz w:val="24"/>
          <w:szCs w:val="24"/>
        </w:rPr>
      </w:pP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spacing w:line="500" w:lineRule="exact"/>
        <w:jc w:val="left"/>
        <w:rPr>
          <w:rFonts w:ascii="Times New Roman" w:hAnsi="Times New Roman" w:cs="Times New Roman"/>
          <w:b/>
          <w:bCs/>
          <w:sz w:val="36"/>
          <w:szCs w:val="36"/>
          <w:lang w:eastAsia="zh-CN"/>
        </w:rPr>
      </w:pPr>
      <w:r>
        <w:rPr>
          <w:rFonts w:hint="eastAsia" w:ascii="Times New Roman" w:hAnsi="Times New Roman" w:cs="Times New Roman"/>
          <w:b/>
          <w:bCs/>
          <w:sz w:val="36"/>
          <w:szCs w:val="36"/>
          <w:lang w:val="en-US" w:eastAsia="zh-CN"/>
        </w:rPr>
        <w:t>技术文件2、</w:t>
      </w: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left"/>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技术文件3、营业执照复印件</w:t>
      </w:r>
    </w:p>
    <w:p>
      <w:pPr>
        <w:pStyle w:val="2"/>
        <w:rPr>
          <w:b/>
          <w:bCs/>
          <w:color w:val="4E6127"/>
          <w:sz w:val="36"/>
          <w:szCs w:val="36"/>
        </w:rPr>
      </w:pPr>
    </w:p>
    <w:p>
      <w:pPr>
        <w:spacing w:line="500" w:lineRule="exact"/>
        <w:jc w:val="center"/>
        <w:rPr>
          <w:b/>
          <w:bCs/>
          <w:color w:val="4E6127"/>
          <w:sz w:val="36"/>
          <w:szCs w:val="36"/>
          <w:lang w:eastAsia="zh-CN"/>
        </w:rPr>
      </w:pPr>
    </w:p>
    <w:p>
      <w:pPr>
        <w:pStyle w:val="51"/>
        <w:rPr>
          <w:b/>
          <w:bCs/>
          <w:color w:val="4E6127"/>
          <w:sz w:val="36"/>
          <w:szCs w:val="36"/>
          <w:lang w:eastAsia="zh-CN"/>
        </w:rPr>
      </w:pPr>
    </w:p>
    <w:p>
      <w:pPr>
        <w:pStyle w:val="51"/>
        <w:rPr>
          <w:b/>
          <w:bCs/>
          <w:color w:val="4E6127"/>
          <w:sz w:val="36"/>
          <w:szCs w:val="36"/>
          <w:lang w:eastAsia="zh-CN"/>
        </w:rPr>
      </w:pPr>
    </w:p>
    <w:p>
      <w:pPr>
        <w:pStyle w:val="51"/>
        <w:ind w:left="0" w:leftChars="0" w:firstLine="0" w:firstLineChars="0"/>
        <w:rPr>
          <w:rFonts w:hint="eastAsia" w:ascii="Times New Roman" w:hAnsi="Times New Roman" w:eastAsia="宋体" w:cs="Times New Roman"/>
          <w:b/>
          <w:bCs/>
          <w:i w:val="0"/>
          <w:iCs w:val="0"/>
          <w:sz w:val="36"/>
          <w:szCs w:val="36"/>
          <w:lang w:val="en-US" w:eastAsia="zh-CN" w:bidi="ar-SA"/>
        </w:rPr>
      </w:pPr>
      <w:r>
        <w:rPr>
          <w:rFonts w:hint="eastAsia" w:ascii="Times New Roman" w:hAnsi="Times New Roman" w:eastAsia="宋体" w:cs="Times New Roman"/>
          <w:b/>
          <w:bCs/>
          <w:i w:val="0"/>
          <w:iCs w:val="0"/>
          <w:sz w:val="36"/>
          <w:szCs w:val="36"/>
          <w:lang w:val="en-US" w:eastAsia="zh-CN" w:bidi="ar-SA"/>
        </w:rPr>
        <w:t>技术文件4、</w:t>
      </w:r>
    </w:p>
    <w:p>
      <w:pPr>
        <w:spacing w:line="500" w:lineRule="exact"/>
        <w:jc w:val="center"/>
        <w:rPr>
          <w:rFonts w:hint="eastAsia" w:ascii="Times New Roman" w:hAnsi="Times New Roman" w:eastAsia="宋体" w:cs="Times New Roman"/>
          <w:b/>
          <w:bCs/>
          <w:i w:val="0"/>
          <w:iCs w:val="0"/>
          <w:kern w:val="2"/>
          <w:sz w:val="36"/>
          <w:szCs w:val="36"/>
          <w:lang w:val="en-US" w:eastAsia="zh-CN" w:bidi="ar-SA"/>
        </w:rPr>
      </w:pPr>
      <w:r>
        <w:rPr>
          <w:rFonts w:hint="eastAsia" w:ascii="Times New Roman" w:hAnsi="Times New Roman" w:eastAsia="宋体" w:cs="Times New Roman"/>
          <w:b/>
          <w:bCs/>
          <w:i w:val="0"/>
          <w:iCs w:val="0"/>
          <w:kern w:val="2"/>
          <w:sz w:val="36"/>
          <w:szCs w:val="36"/>
          <w:lang w:val="en-US" w:eastAsia="zh-CN" w:bidi="ar-SA"/>
        </w:rPr>
        <w:t>企业资质</w:t>
      </w:r>
    </w:p>
    <w:p>
      <w:pPr>
        <w:spacing w:line="500" w:lineRule="exact"/>
        <w:jc w:val="center"/>
        <w:rPr>
          <w:b/>
          <w:bCs/>
          <w:sz w:val="36"/>
          <w:szCs w:val="36"/>
          <w:lang w:eastAsia="zh-CN"/>
        </w:rPr>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both"/>
        <w:rPr>
          <w:rFonts w:hint="eastAsia"/>
          <w:b/>
          <w:bCs/>
          <w:sz w:val="36"/>
          <w:szCs w:val="36"/>
          <w:lang w:val="en-US" w:eastAsia="zh-CN"/>
        </w:rPr>
      </w:pPr>
      <w:r>
        <w:rPr>
          <w:rFonts w:hint="eastAsia"/>
          <w:b/>
          <w:bCs/>
          <w:sz w:val="36"/>
          <w:szCs w:val="36"/>
          <w:lang w:val="en-US" w:eastAsia="zh-CN"/>
        </w:rPr>
        <w:t>技术文件5、</w:t>
      </w:r>
    </w:p>
    <w:p>
      <w:pPr>
        <w:spacing w:line="500" w:lineRule="exact"/>
        <w:jc w:val="both"/>
        <w:rPr>
          <w:rFonts w:hint="eastAsia"/>
          <w:b/>
          <w:bCs/>
          <w:sz w:val="36"/>
          <w:szCs w:val="36"/>
          <w:lang w:val="en-US" w:eastAsia="zh-CN"/>
        </w:rPr>
      </w:pPr>
      <w:r>
        <w:rPr>
          <w:rFonts w:hint="eastAsia"/>
          <w:b/>
          <w:bCs/>
          <w:sz w:val="36"/>
          <w:szCs w:val="36"/>
          <w:lang w:val="en-US" w:eastAsia="zh-CN"/>
        </w:rPr>
        <w:t>业绩证明：自2019年1月1日（以合同签订时间为准）至今。</w:t>
      </w:r>
    </w:p>
    <w:p>
      <w:pPr>
        <w:spacing w:line="500" w:lineRule="exact"/>
        <w:jc w:val="both"/>
        <w:rPr>
          <w:rFonts w:hint="eastAsia"/>
          <w:b/>
          <w:bCs/>
          <w:sz w:val="36"/>
          <w:szCs w:val="36"/>
          <w:lang w:val="en-US" w:eastAsia="zh-CN"/>
        </w:rPr>
      </w:pPr>
      <w:r>
        <w:rPr>
          <w:rFonts w:hint="eastAsia"/>
          <w:b/>
          <w:bCs/>
          <w:sz w:val="36"/>
          <w:szCs w:val="36"/>
          <w:lang w:val="en-US" w:eastAsia="zh-CN"/>
        </w:rPr>
        <w:t>1、50MW及以上石油炼制或石油化工装置加热炉工程设计业绩或供货业绩；</w:t>
      </w:r>
    </w:p>
    <w:p>
      <w:pPr>
        <w:spacing w:line="500" w:lineRule="exact"/>
        <w:jc w:val="both"/>
        <w:rPr>
          <w:rFonts w:hint="eastAsia"/>
          <w:b/>
          <w:bCs/>
          <w:sz w:val="36"/>
          <w:szCs w:val="36"/>
          <w:lang w:val="en-US" w:eastAsia="zh-CN"/>
        </w:rPr>
      </w:pPr>
      <w:r>
        <w:rPr>
          <w:rFonts w:hint="eastAsia"/>
          <w:b/>
          <w:bCs/>
          <w:sz w:val="36"/>
          <w:szCs w:val="36"/>
          <w:lang w:val="en-US" w:eastAsia="zh-CN"/>
        </w:rPr>
        <w:t>2、有相似类型的加热炉热负荷不足问题分析项目的业绩。</w:t>
      </w:r>
    </w:p>
    <w:p>
      <w:pPr>
        <w:spacing w:line="500" w:lineRule="exact"/>
        <w:jc w:val="both"/>
        <w:rPr>
          <w:rFonts w:hint="eastAsia"/>
          <w:b/>
          <w:bCs/>
          <w:sz w:val="36"/>
          <w:szCs w:val="36"/>
          <w:lang w:val="en-US" w:eastAsia="zh-CN"/>
        </w:rPr>
      </w:pPr>
      <w:r>
        <w:rPr>
          <w:rFonts w:hint="eastAsia"/>
          <w:b/>
          <w:bCs/>
          <w:sz w:val="36"/>
          <w:szCs w:val="36"/>
          <w:lang w:val="en-US" w:eastAsia="zh-CN"/>
        </w:rPr>
        <w:t>业绩提供的证明材料必须能清晰的表明类似工程的名称、工程规模、工程内容、时间或加热炉热负荷数据等需要明示的内容，文件加盖公章。</w:t>
      </w:r>
    </w:p>
    <w:p>
      <w:pPr>
        <w:pStyle w:val="51"/>
        <w:ind w:left="0" w:leftChars="0" w:firstLine="0" w:firstLineChars="0"/>
        <w:rPr>
          <w:rFonts w:hint="eastAsia" w:ascii="宋体" w:hAnsi="宋体" w:eastAsia="宋体" w:cs="宋体"/>
          <w:b/>
          <w:bCs/>
          <w:i w:val="0"/>
          <w:iCs w:val="0"/>
          <w:sz w:val="36"/>
          <w:szCs w:val="36"/>
          <w:lang w:val="en-US" w:eastAsia="zh-CN" w:bidi="ar-SA"/>
        </w:rPr>
      </w:pPr>
      <w:r>
        <w:rPr>
          <w:rFonts w:hint="eastAsia" w:ascii="宋体" w:hAnsi="宋体" w:eastAsia="宋体" w:cs="宋体"/>
          <w:b/>
          <w:bCs/>
          <w:i w:val="0"/>
          <w:iCs w:val="0"/>
          <w:sz w:val="36"/>
          <w:szCs w:val="36"/>
          <w:lang w:val="en-US" w:eastAsia="zh-CN" w:bidi="ar-SA"/>
        </w:rPr>
        <w:t>技术文件6、</w:t>
      </w:r>
    </w:p>
    <w:p>
      <w:pPr>
        <w:pStyle w:val="51"/>
        <w:ind w:left="0" w:leftChars="0" w:firstLine="0" w:firstLineChars="0"/>
        <w:rPr>
          <w:rFonts w:hint="eastAsia" w:ascii="宋体" w:hAnsi="宋体" w:eastAsia="宋体" w:cs="宋体"/>
          <w:b/>
          <w:bCs/>
          <w:i w:val="0"/>
          <w:iCs w:val="0"/>
          <w:sz w:val="36"/>
          <w:szCs w:val="36"/>
          <w:lang w:val="en-US" w:eastAsia="zh-CN" w:bidi="ar-SA"/>
        </w:rPr>
      </w:pPr>
      <w:r>
        <w:rPr>
          <w:rFonts w:hint="eastAsia" w:ascii="宋体" w:hAnsi="宋体" w:eastAsia="宋体" w:cs="宋体"/>
          <w:b/>
          <w:bCs/>
          <w:i w:val="0"/>
          <w:iCs w:val="0"/>
          <w:sz w:val="36"/>
          <w:szCs w:val="36"/>
          <w:lang w:val="en-US" w:eastAsia="zh-CN" w:bidi="ar-SA"/>
        </w:rPr>
        <w:t>技术分析方案</w:t>
      </w: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1084" w:firstLineChars="300"/>
        <w:rPr>
          <w:rFonts w:hint="eastAsia" w:ascii="宋体" w:hAnsi="宋体" w:eastAsia="宋体" w:cs="宋体"/>
          <w:b/>
          <w:bCs/>
          <w:i w:val="0"/>
          <w:iCs w:val="0"/>
          <w:sz w:val="36"/>
          <w:szCs w:val="36"/>
          <w:lang w:val="en-US" w:eastAsia="zh-CN" w:bidi="ar-SA"/>
        </w:rPr>
      </w:pPr>
    </w:p>
    <w:p>
      <w:pPr>
        <w:pStyle w:val="51"/>
        <w:ind w:left="0" w:leftChars="0" w:firstLine="0" w:firstLineChars="0"/>
        <w:rPr>
          <w:rFonts w:hint="eastAsia" w:ascii="宋体" w:hAnsi="宋体" w:cs="宋体"/>
          <w:b/>
          <w:bCs/>
          <w:i w:val="0"/>
          <w:iCs w:val="0"/>
          <w:sz w:val="36"/>
          <w:szCs w:val="36"/>
          <w:lang w:val="en-US" w:eastAsia="zh-CN" w:bidi="ar-SA"/>
        </w:rPr>
      </w:pPr>
      <w:r>
        <w:rPr>
          <w:rFonts w:hint="eastAsia" w:ascii="宋体" w:hAnsi="宋体" w:cs="宋体"/>
          <w:b/>
          <w:bCs/>
          <w:i w:val="0"/>
          <w:iCs w:val="0"/>
          <w:sz w:val="36"/>
          <w:szCs w:val="36"/>
          <w:lang w:val="en-US" w:eastAsia="zh-CN" w:bidi="ar-SA"/>
        </w:rPr>
        <w:t>技术文件7、</w:t>
      </w:r>
    </w:p>
    <w:p>
      <w:pPr>
        <w:pStyle w:val="51"/>
        <w:ind w:left="0" w:leftChars="0" w:firstLine="0" w:firstLineChars="0"/>
        <w:rPr>
          <w:rFonts w:hint="default" w:ascii="宋体" w:hAnsi="宋体" w:cs="宋体"/>
          <w:b/>
          <w:bCs/>
          <w:i w:val="0"/>
          <w:iCs w:val="0"/>
          <w:sz w:val="36"/>
          <w:szCs w:val="36"/>
          <w:lang w:val="en-US" w:eastAsia="zh-CN" w:bidi="ar-SA"/>
        </w:rPr>
      </w:pPr>
      <w:r>
        <w:rPr>
          <w:rFonts w:hint="eastAsia" w:ascii="宋体" w:hAnsi="宋体" w:cs="宋体"/>
          <w:b/>
          <w:bCs/>
          <w:i w:val="0"/>
          <w:iCs w:val="0"/>
          <w:sz w:val="36"/>
          <w:szCs w:val="36"/>
          <w:lang w:val="en-US" w:eastAsia="zh-CN" w:bidi="ar-SA"/>
        </w:rPr>
        <w:t>服务计划</w:t>
      </w:r>
    </w:p>
    <w:p>
      <w:pPr>
        <w:pStyle w:val="51"/>
        <w:rPr>
          <w:rFonts w:hint="eastAsia"/>
          <w:b/>
          <w:bCs/>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p>
    <w:p>
      <w:pPr>
        <w:pStyle w:val="51"/>
        <w:ind w:left="0" w:leftChars="0" w:firstLine="0" w:firstLineChars="0"/>
        <w:rPr>
          <w:rFonts w:hint="eastAsia"/>
          <w:b/>
          <w:bCs/>
          <w:i w:val="0"/>
          <w:iCs w:val="0"/>
          <w:sz w:val="36"/>
          <w:szCs w:val="36"/>
          <w:lang w:val="en-US" w:eastAsia="zh-CN"/>
        </w:rPr>
      </w:pPr>
      <w:r>
        <w:rPr>
          <w:rFonts w:hint="eastAsia"/>
          <w:b/>
          <w:bCs/>
          <w:i w:val="0"/>
          <w:iCs w:val="0"/>
          <w:sz w:val="36"/>
          <w:szCs w:val="36"/>
          <w:lang w:val="en-US" w:eastAsia="zh-CN"/>
        </w:rPr>
        <w:t>技术文件8、</w:t>
      </w:r>
    </w:p>
    <w:p>
      <w:pPr>
        <w:pStyle w:val="51"/>
        <w:ind w:left="0" w:leftChars="0" w:firstLine="0" w:firstLineChars="0"/>
        <w:rPr>
          <w:rFonts w:hint="default"/>
          <w:b/>
          <w:bCs/>
          <w:i w:val="0"/>
          <w:iCs w:val="0"/>
          <w:sz w:val="36"/>
          <w:szCs w:val="36"/>
          <w:lang w:val="en-US" w:eastAsia="zh-CN"/>
        </w:rPr>
      </w:pPr>
      <w:r>
        <w:rPr>
          <w:rFonts w:hint="eastAsia"/>
          <w:b/>
          <w:bCs/>
          <w:i w:val="0"/>
          <w:iCs w:val="0"/>
          <w:sz w:val="36"/>
          <w:szCs w:val="36"/>
          <w:lang w:val="en-US" w:eastAsia="zh-CN"/>
        </w:rPr>
        <w:t>技术分析工期</w:t>
      </w:r>
    </w:p>
    <w:p>
      <w:pPr>
        <w:spacing w:line="360" w:lineRule="auto"/>
        <w:jc w:val="center"/>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both"/>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pStyle w:val="2"/>
        <w:rPr>
          <w:rFonts w:hint="eastAsia" w:ascii="Times New Roman" w:hAnsi="Times New Roman" w:cs="Times New Roman"/>
          <w:b/>
          <w:sz w:val="36"/>
          <w:szCs w:val="36"/>
          <w:lang w:eastAsia="zh-CN"/>
        </w:rPr>
      </w:pPr>
    </w:p>
    <w:p>
      <w:pPr>
        <w:spacing w:line="360" w:lineRule="auto"/>
        <w:jc w:val="center"/>
        <w:rPr>
          <w:rFonts w:hint="eastAsia" w:ascii="Times New Roman" w:hAnsi="Times New Roman" w:cs="Times New Roman"/>
          <w:b/>
          <w:sz w:val="36"/>
          <w:szCs w:val="36"/>
          <w:lang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生产一团队凝析油分离装置加热炉热负荷问题技术咨询发包项目</w:t>
      </w:r>
      <w:r>
        <w:rPr>
          <w:rFonts w:hint="eastAsia" w:ascii="Times New Roman" w:hAnsi="ˎ̥"/>
          <w:color w:val="000000" w:themeColor="text1"/>
          <w:sz w:val="28"/>
          <w:szCs w:val="28"/>
          <w:lang w:eastAsia="zh-CN"/>
        </w:rPr>
        <w:t>比选</w:t>
      </w:r>
      <w:r>
        <w:rPr>
          <w:rFonts w:hint="eastAsia" w:ascii="Times New Roman" w:hAnsi="ˎ̥"/>
          <w:sz w:val="28"/>
          <w:szCs w:val="28"/>
          <w:lang w:eastAsia="zh-CN"/>
        </w:rPr>
        <w:t>文件的全部内容后，我方愿以以下报价，严格按照自主比选文件的要求交付本项目。</w:t>
      </w:r>
    </w:p>
    <w:tbl>
      <w:tblPr>
        <w:tblStyle w:val="52"/>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spacing w:line="360" w:lineRule="auto"/>
              <w:ind w:firstLine="980" w:firstLineChars="350"/>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52"/>
              <w:tblW w:w="9013" w:type="dxa"/>
              <w:jc w:val="center"/>
              <w:tblLayout w:type="autofit"/>
              <w:tblCellMar>
                <w:top w:w="0" w:type="dxa"/>
                <w:left w:w="108" w:type="dxa"/>
                <w:bottom w:w="0" w:type="dxa"/>
                <w:right w:w="108" w:type="dxa"/>
              </w:tblCellMar>
            </w:tblPr>
            <w:tblGrid>
              <w:gridCol w:w="735"/>
              <w:gridCol w:w="2589"/>
              <w:gridCol w:w="2412"/>
              <w:gridCol w:w="874"/>
              <w:gridCol w:w="781"/>
              <w:gridCol w:w="811"/>
              <w:gridCol w:w="811"/>
            </w:tblGrid>
            <w:tr>
              <w:tblPrEx>
                <w:tblCellMar>
                  <w:top w:w="0" w:type="dxa"/>
                  <w:left w:w="108" w:type="dxa"/>
                  <w:bottom w:w="0" w:type="dxa"/>
                  <w:right w:w="108" w:type="dxa"/>
                </w:tblCellMar>
              </w:tblPrEx>
              <w:trPr>
                <w:trHeight w:val="455"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序号</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名称</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cs="宋体"/>
                      <w:szCs w:val="21"/>
                      <w:lang w:val="en-US" w:eastAsia="zh-CN"/>
                    </w:rPr>
                    <w:t>具体要求</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ascii="宋体" w:hAnsi="宋体" w:eastAsia="宋体" w:cs="宋体"/>
                      <w:szCs w:val="21"/>
                    </w:rPr>
                  </w:pPr>
                  <w:r>
                    <w:rPr>
                      <w:rFonts w:hint="eastAsia" w:ascii="宋体" w:hAnsi="宋体" w:eastAsia="宋体" w:cs="宋体"/>
                      <w:szCs w:val="21"/>
                    </w:rPr>
                    <w:t>数量</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ascii="宋体" w:hAnsi="宋体" w:eastAsia="宋体" w:cs="宋体"/>
                      <w:szCs w:val="21"/>
                    </w:rPr>
                  </w:pPr>
                  <w:r>
                    <w:rPr>
                      <w:rFonts w:hint="eastAsia" w:ascii="宋体" w:hAnsi="宋体" w:eastAsia="宋体" w:cs="宋体"/>
                      <w:szCs w:val="21"/>
                    </w:rPr>
                    <w:t>单位</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单价</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总价</w:t>
                  </w:r>
                </w:p>
              </w:tc>
            </w:tr>
            <w:tr>
              <w:tblPrEx>
                <w:tblCellMar>
                  <w:top w:w="0" w:type="dxa"/>
                  <w:left w:w="108" w:type="dxa"/>
                  <w:bottom w:w="0" w:type="dxa"/>
                  <w:right w:w="108" w:type="dxa"/>
                </w:tblCellMar>
              </w:tblPrEx>
              <w:trPr>
                <w:trHeight w:val="159"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2589"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rPr>
                  </w:pPr>
                  <w:r>
                    <w:rPr>
                      <w:rFonts w:hint="eastAsia" w:cs="宋体"/>
                      <w:szCs w:val="21"/>
                      <w:lang w:eastAsia="zh-CN"/>
                    </w:rPr>
                    <w:t>生产一团队凝析油分离装置加热炉热负荷问题技术咨询发包项目</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default" w:ascii="宋体" w:hAnsi="宋体" w:eastAsia="宋体" w:cs="宋体"/>
                      <w:szCs w:val="21"/>
                      <w:lang w:val="en-US" w:eastAsia="zh-CN"/>
                    </w:rPr>
                  </w:pPr>
                  <w:r>
                    <w:rPr>
                      <w:rFonts w:hint="eastAsia" w:ascii="宋体" w:hAnsi="宋体" w:eastAsia="宋体" w:cs="宋体"/>
                      <w:szCs w:val="21"/>
                      <w:lang w:val="en-US" w:eastAsia="zh-CN"/>
                    </w:rPr>
                    <w:t>详见</w:t>
                  </w:r>
                  <w:r>
                    <w:rPr>
                      <w:rFonts w:hint="eastAsia" w:cs="宋体"/>
                      <w:szCs w:val="21"/>
                      <w:lang w:val="en-US" w:eastAsia="zh-CN"/>
                    </w:rPr>
                    <w:t>附件1《发包说明》</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1</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textAlignment w:val="bottom"/>
                    <w:rPr>
                      <w:rFonts w:hint="eastAsia" w:ascii="宋体" w:hAnsi="宋体" w:eastAsia="宋体" w:cs="宋体"/>
                      <w:szCs w:val="21"/>
                      <w:lang w:val="en-US" w:eastAsia="zh-CN"/>
                    </w:rPr>
                  </w:pPr>
                  <w:r>
                    <w:rPr>
                      <w:rFonts w:hint="eastAsia" w:cs="宋体"/>
                      <w:szCs w:val="21"/>
                      <w:lang w:val="en-US" w:eastAsia="zh-CN"/>
                    </w:rPr>
                    <w:t>项</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c>
                <w:tcPr>
                  <w:tcW w:w="811" w:type="dxa"/>
                  <w:tcBorders>
                    <w:top w:val="single" w:color="auto" w:sz="4" w:space="0"/>
                    <w:left w:val="single" w:color="auto" w:sz="4" w:space="0"/>
                    <w:bottom w:val="single" w:color="auto" w:sz="4" w:space="0"/>
                    <w:right w:val="single" w:color="auto" w:sz="4" w:space="0"/>
                  </w:tcBorders>
                  <w:vAlign w:val="center"/>
                </w:tcPr>
                <w:p>
                  <w:pPr>
                    <w:jc w:val="center"/>
                    <w:textAlignment w:val="bottom"/>
                    <w:rPr>
                      <w:rFonts w:hint="eastAsia" w:cs="宋体"/>
                      <w:szCs w:val="21"/>
                      <w:lang w:val="en-US" w:eastAsia="zh-CN"/>
                    </w:rPr>
                  </w:pPr>
                </w:p>
              </w:tc>
            </w:tr>
          </w:tbl>
          <w:p>
            <w:pPr>
              <w:pStyle w:val="2"/>
            </w:pPr>
          </w:p>
          <w:p>
            <w:pPr>
              <w:spacing w:line="360" w:lineRule="auto"/>
              <w:rPr>
                <w:lang w:eastAsia="zh-CN"/>
              </w:rPr>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2520" w:firstLineChars="9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2520" w:firstLineChars="900"/>
        <w:rPr>
          <w:rFonts w:hint="eastAsia"/>
          <w:sz w:val="28"/>
          <w:lang w:eastAsia="zh-CN"/>
        </w:rPr>
      </w:pPr>
    </w:p>
    <w:p>
      <w:pPr>
        <w:spacing w:line="460" w:lineRule="exact"/>
        <w:ind w:firstLine="2520" w:firstLineChars="9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rPr>
          <w:color w:val="C00000"/>
          <w:sz w:val="28"/>
          <w:u w:val="single"/>
          <w:lang w:eastAsia="zh-CN"/>
        </w:rPr>
      </w:pPr>
    </w:p>
    <w:p>
      <w:pPr>
        <w:spacing w:line="500" w:lineRule="exact"/>
        <w:rPr>
          <w:color w:val="4E6127"/>
          <w:sz w:val="28"/>
          <w:u w:val="single"/>
          <w:lang w:eastAsia="zh-CN"/>
        </w:rPr>
      </w:pPr>
    </w:p>
    <w:p>
      <w:pPr>
        <w:ind w:firstLine="2520" w:firstLineChars="9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年   月   日</w:t>
      </w:r>
      <w:bookmarkEnd w:id="0"/>
    </w:p>
    <w:sectPr>
      <w:footerReference r:id="rId8" w:type="default"/>
      <w:pgSz w:w="11910" w:h="16840"/>
      <w:pgMar w:top="1500" w:right="1680" w:bottom="740" w:left="1680" w:header="0" w:footer="5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4"/>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10</w:t>
                </w:r>
                <w:r>
                  <w:fldChar w:fldCharType="end"/>
                </w:r>
              </w:p>
            </w:txbxContent>
          </v:textbox>
        </v:shape>
      </w:pict>
    </w: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5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03109D0"/>
    <w:multiLevelType w:val="singleLevel"/>
    <w:tmpl w:val="103109D0"/>
    <w:lvl w:ilvl="0" w:tentative="0">
      <w:start w:val="2"/>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F02"/>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1E18"/>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C757E"/>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0492"/>
    <w:rsid w:val="00786BE0"/>
    <w:rsid w:val="00794F72"/>
    <w:rsid w:val="00795740"/>
    <w:rsid w:val="007A52F5"/>
    <w:rsid w:val="007B7828"/>
    <w:rsid w:val="007C264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21F6"/>
    <w:rsid w:val="008E5198"/>
    <w:rsid w:val="008F3559"/>
    <w:rsid w:val="009032FB"/>
    <w:rsid w:val="009104F9"/>
    <w:rsid w:val="009129BD"/>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162D0"/>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A0524"/>
    <w:rsid w:val="00AB4D58"/>
    <w:rsid w:val="00AB6E37"/>
    <w:rsid w:val="00AB77FF"/>
    <w:rsid w:val="00AC3CFE"/>
    <w:rsid w:val="00AC470D"/>
    <w:rsid w:val="00AC7F0D"/>
    <w:rsid w:val="00AD0858"/>
    <w:rsid w:val="00AD202A"/>
    <w:rsid w:val="00AD24EC"/>
    <w:rsid w:val="00AD258E"/>
    <w:rsid w:val="00AD4DAF"/>
    <w:rsid w:val="00AD66E2"/>
    <w:rsid w:val="00AF42BA"/>
    <w:rsid w:val="00AF45D7"/>
    <w:rsid w:val="00AF6451"/>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2552"/>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589C"/>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B5181"/>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66EF"/>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4BFB"/>
    <w:rsid w:val="00F17FFC"/>
    <w:rsid w:val="00F2580C"/>
    <w:rsid w:val="00F264D9"/>
    <w:rsid w:val="00F33B6B"/>
    <w:rsid w:val="00F37179"/>
    <w:rsid w:val="00F37425"/>
    <w:rsid w:val="00F418B2"/>
    <w:rsid w:val="00F43F82"/>
    <w:rsid w:val="00F47708"/>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C6B3F"/>
    <w:rsid w:val="00FD0D54"/>
    <w:rsid w:val="00FD1B14"/>
    <w:rsid w:val="00FD1DC9"/>
    <w:rsid w:val="00FD29D5"/>
    <w:rsid w:val="00FE65F9"/>
    <w:rsid w:val="00FE7051"/>
    <w:rsid w:val="00FF49E8"/>
    <w:rsid w:val="00FF5F83"/>
    <w:rsid w:val="01322613"/>
    <w:rsid w:val="0367315B"/>
    <w:rsid w:val="05AD497B"/>
    <w:rsid w:val="061139E5"/>
    <w:rsid w:val="06F50B00"/>
    <w:rsid w:val="076E1278"/>
    <w:rsid w:val="08D1141D"/>
    <w:rsid w:val="0B296DE2"/>
    <w:rsid w:val="0D292252"/>
    <w:rsid w:val="0D697626"/>
    <w:rsid w:val="0F024BB3"/>
    <w:rsid w:val="10294AA3"/>
    <w:rsid w:val="1048380E"/>
    <w:rsid w:val="10E40CA0"/>
    <w:rsid w:val="136130D9"/>
    <w:rsid w:val="13AB2E48"/>
    <w:rsid w:val="155E43B5"/>
    <w:rsid w:val="16603AE0"/>
    <w:rsid w:val="18DD4F7E"/>
    <w:rsid w:val="195B58A2"/>
    <w:rsid w:val="1E085A14"/>
    <w:rsid w:val="1FF43DDB"/>
    <w:rsid w:val="21933AA2"/>
    <w:rsid w:val="24C17DDB"/>
    <w:rsid w:val="25BF356F"/>
    <w:rsid w:val="25DB0C2D"/>
    <w:rsid w:val="269469E7"/>
    <w:rsid w:val="26D01D91"/>
    <w:rsid w:val="297D7BDA"/>
    <w:rsid w:val="29FC3B14"/>
    <w:rsid w:val="2A2D4DC9"/>
    <w:rsid w:val="2B11792E"/>
    <w:rsid w:val="2B2C5F01"/>
    <w:rsid w:val="2FFA53B8"/>
    <w:rsid w:val="31C54755"/>
    <w:rsid w:val="31C96BD6"/>
    <w:rsid w:val="3216608C"/>
    <w:rsid w:val="3232470E"/>
    <w:rsid w:val="339256EF"/>
    <w:rsid w:val="34CE14C6"/>
    <w:rsid w:val="34D84CEC"/>
    <w:rsid w:val="37AF5AB7"/>
    <w:rsid w:val="3B1C3371"/>
    <w:rsid w:val="3C1D717E"/>
    <w:rsid w:val="3CC23198"/>
    <w:rsid w:val="3DDF4815"/>
    <w:rsid w:val="3DE135B7"/>
    <w:rsid w:val="3FE669E5"/>
    <w:rsid w:val="40247BED"/>
    <w:rsid w:val="41542BB6"/>
    <w:rsid w:val="41977525"/>
    <w:rsid w:val="43A14031"/>
    <w:rsid w:val="445F53C0"/>
    <w:rsid w:val="476C4876"/>
    <w:rsid w:val="48D408B0"/>
    <w:rsid w:val="494E2C89"/>
    <w:rsid w:val="4A062335"/>
    <w:rsid w:val="4AD16427"/>
    <w:rsid w:val="4E1B1E96"/>
    <w:rsid w:val="4E215540"/>
    <w:rsid w:val="50557478"/>
    <w:rsid w:val="50F63E28"/>
    <w:rsid w:val="5137141D"/>
    <w:rsid w:val="5221007F"/>
    <w:rsid w:val="52926B5A"/>
    <w:rsid w:val="545C5E51"/>
    <w:rsid w:val="5486175B"/>
    <w:rsid w:val="568B3110"/>
    <w:rsid w:val="571D685C"/>
    <w:rsid w:val="57667D24"/>
    <w:rsid w:val="57CE5BC3"/>
    <w:rsid w:val="585F4DC6"/>
    <w:rsid w:val="591E2B3D"/>
    <w:rsid w:val="5AE1516A"/>
    <w:rsid w:val="5B6A3A79"/>
    <w:rsid w:val="5C1A5F7B"/>
    <w:rsid w:val="5FE64DEB"/>
    <w:rsid w:val="611071C9"/>
    <w:rsid w:val="61D410F2"/>
    <w:rsid w:val="62824236"/>
    <w:rsid w:val="63550AE8"/>
    <w:rsid w:val="64421EEF"/>
    <w:rsid w:val="645771F8"/>
    <w:rsid w:val="64CC5C0B"/>
    <w:rsid w:val="65846D88"/>
    <w:rsid w:val="6A54112D"/>
    <w:rsid w:val="6AA035AE"/>
    <w:rsid w:val="6D814621"/>
    <w:rsid w:val="6E0F2E14"/>
    <w:rsid w:val="6E69354F"/>
    <w:rsid w:val="6F1E141D"/>
    <w:rsid w:val="6F5354F8"/>
    <w:rsid w:val="72BF4DEC"/>
    <w:rsid w:val="733E604C"/>
    <w:rsid w:val="73F050FA"/>
    <w:rsid w:val="740A2BDE"/>
    <w:rsid w:val="751839E0"/>
    <w:rsid w:val="76274F93"/>
    <w:rsid w:val="77EA65A0"/>
    <w:rsid w:val="79DC3091"/>
    <w:rsid w:val="79EB3F2F"/>
    <w:rsid w:val="7B11789E"/>
    <w:rsid w:val="7C936413"/>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1"/>
    <w:qFormat/>
    <w:uiPriority w:val="0"/>
    <w:pPr>
      <w:ind w:left="538"/>
      <w:outlineLvl w:val="0"/>
    </w:pPr>
    <w:rPr>
      <w:b/>
      <w:bCs/>
      <w:sz w:val="28"/>
      <w:szCs w:val="28"/>
    </w:rPr>
  </w:style>
  <w:style w:type="paragraph" w:styleId="4">
    <w:name w:val="heading 2"/>
    <w:basedOn w:val="1"/>
    <w:next w:val="1"/>
    <w:link w:val="62"/>
    <w:qFormat/>
    <w:uiPriority w:val="0"/>
    <w:pPr>
      <w:ind w:left="629"/>
      <w:outlineLvl w:val="1"/>
    </w:pPr>
    <w:rPr>
      <w:b/>
      <w:bCs/>
      <w:sz w:val="24"/>
      <w:szCs w:val="24"/>
    </w:rPr>
  </w:style>
  <w:style w:type="paragraph" w:styleId="5">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1"/>
    <w:qFormat/>
    <w:uiPriority w:val="1"/>
    <w:rPr>
      <w:sz w:val="24"/>
      <w:szCs w:val="24"/>
    </w:rPr>
  </w:style>
  <w:style w:type="paragraph" w:styleId="21">
    <w:name w:val="Body Text Indent"/>
    <w:basedOn w:val="1"/>
    <w:next w:val="22"/>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customStyle="1" w:styleId="22">
    <w:name w:val="样式 标题 3 + (中文) 黑体 小四 非加粗 段前: 7.8 磅 段后: 0 磅 行距: 固定值 20 磅"/>
    <w:basedOn w:val="23"/>
    <w:qFormat/>
    <w:uiPriority w:val="0"/>
    <w:pPr>
      <w:adjustRightInd/>
      <w:spacing w:before="0" w:after="0" w:line="400" w:lineRule="exact"/>
    </w:pPr>
    <w:rPr>
      <w:rFonts w:eastAsia="黑体" w:cs="宋体"/>
      <w:kern w:val="2"/>
      <w:sz w:val="24"/>
      <w:szCs w:val="20"/>
    </w:rPr>
  </w:style>
  <w:style w:type="paragraph" w:customStyle="1" w:styleId="23">
    <w:name w:val="标题 3_0"/>
    <w:basedOn w:val="24"/>
    <w:next w:val="24"/>
    <w:unhideWhenUsed/>
    <w:qFormat/>
    <w:uiPriority w:val="9"/>
    <w:pPr>
      <w:spacing w:line="310" w:lineRule="exact"/>
      <w:ind w:left="3243"/>
      <w:outlineLvl w:val="2"/>
    </w:pPr>
    <w:rPr>
      <w:i/>
      <w:sz w:val="25"/>
      <w:szCs w:val="25"/>
    </w:rPr>
  </w:style>
  <w:style w:type="paragraph" w:customStyle="1" w:styleId="24">
    <w:name w:val="正文_0"/>
    <w:basedOn w:val="1"/>
    <w:next w:val="25"/>
    <w:qFormat/>
    <w:uiPriority w:val="0"/>
    <w:rPr>
      <w:szCs w:val="21"/>
    </w:rPr>
  </w:style>
  <w:style w:type="paragraph" w:customStyle="1" w:styleId="25">
    <w:name w:val="正文首行缩进 2_0"/>
    <w:basedOn w:val="26"/>
    <w:next w:val="22"/>
    <w:unhideWhenUsed/>
    <w:qFormat/>
    <w:uiPriority w:val="99"/>
    <w:pPr>
      <w:ind w:firstLine="420" w:firstLineChars="200"/>
    </w:pPr>
  </w:style>
  <w:style w:type="paragraph" w:customStyle="1" w:styleId="26">
    <w:name w:val="正文文本缩进_0"/>
    <w:basedOn w:val="24"/>
    <w:next w:val="22"/>
    <w:unhideWhenUsed/>
    <w:qFormat/>
    <w:uiPriority w:val="99"/>
    <w:pPr>
      <w:spacing w:after="120"/>
      <w:ind w:left="420" w:leftChars="200"/>
    </w:pPr>
  </w:style>
  <w:style w:type="paragraph" w:styleId="27">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8">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9">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0">
    <w:name w:val="Plain Text"/>
    <w:basedOn w:val="1"/>
    <w:link w:val="72"/>
    <w:qFormat/>
    <w:uiPriority w:val="0"/>
    <w:rPr>
      <w:rFonts w:hAnsi="Courier New" w:cs="Courier New"/>
      <w:szCs w:val="21"/>
    </w:rPr>
  </w:style>
  <w:style w:type="paragraph" w:styleId="31">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2">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3">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4">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5">
    <w:name w:val="footer"/>
    <w:basedOn w:val="1"/>
    <w:link w:val="73"/>
    <w:qFormat/>
    <w:uiPriority w:val="99"/>
    <w:pPr>
      <w:tabs>
        <w:tab w:val="center" w:pos="4153"/>
        <w:tab w:val="right" w:pos="8306"/>
      </w:tabs>
      <w:snapToGrid w:val="0"/>
    </w:pPr>
    <w:rPr>
      <w:sz w:val="18"/>
      <w:szCs w:val="18"/>
    </w:rPr>
  </w:style>
  <w:style w:type="paragraph" w:styleId="36">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7">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8">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9">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0">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1">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2">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3">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4">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5">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6">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7">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8">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9">
    <w:name w:val="annotation subject"/>
    <w:basedOn w:val="17"/>
    <w:next w:val="17"/>
    <w:link w:val="104"/>
    <w:qFormat/>
    <w:uiPriority w:val="0"/>
    <w:pPr>
      <w:widowControl/>
    </w:pPr>
    <w:rPr>
      <w:b/>
      <w:bCs/>
      <w:sz w:val="24"/>
      <w:szCs w:val="24"/>
    </w:rPr>
  </w:style>
  <w:style w:type="paragraph" w:styleId="50">
    <w:name w:val="Body Text First Indent"/>
    <w:basedOn w:val="20"/>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51">
    <w:name w:val="Body Text First Indent 2"/>
    <w:basedOn w:val="21"/>
    <w:qFormat/>
    <w:uiPriority w:val="0"/>
    <w:pPr>
      <w:tabs>
        <w:tab w:val="left" w:pos="0"/>
        <w:tab w:val="left" w:pos="993"/>
        <w:tab w:val="left" w:pos="1134"/>
      </w:tabs>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qFormat/>
    <w:uiPriority w:val="0"/>
    <w:rPr>
      <w:color w:val="800080"/>
      <w:u w:val="single"/>
    </w:rPr>
  </w:style>
  <w:style w:type="character" w:styleId="58">
    <w:name w:val="Emphasis"/>
    <w:basedOn w:val="54"/>
    <w:qFormat/>
    <w:uiPriority w:val="0"/>
  </w:style>
  <w:style w:type="character" w:styleId="59">
    <w:name w:val="Hyperlink"/>
    <w:basedOn w:val="54"/>
    <w:qFormat/>
    <w:uiPriority w:val="0"/>
    <w:rPr>
      <w:color w:val="0000FF" w:themeColor="hyperlink"/>
      <w:u w:val="single"/>
    </w:rPr>
  </w:style>
  <w:style w:type="character" w:styleId="60">
    <w:name w:val="annotation reference"/>
    <w:basedOn w:val="54"/>
    <w:qFormat/>
    <w:uiPriority w:val="0"/>
    <w:rPr>
      <w:sz w:val="21"/>
      <w:szCs w:val="21"/>
    </w:rPr>
  </w:style>
  <w:style w:type="character" w:customStyle="1" w:styleId="61">
    <w:name w:val="标题 1 Char"/>
    <w:basedOn w:val="54"/>
    <w:link w:val="3"/>
    <w:qFormat/>
    <w:uiPriority w:val="0"/>
    <w:rPr>
      <w:rFonts w:ascii="宋体" w:hAnsi="宋体" w:cs="宋体"/>
      <w:b/>
      <w:bCs/>
      <w:sz w:val="28"/>
      <w:szCs w:val="28"/>
      <w:lang w:eastAsia="en-US"/>
    </w:rPr>
  </w:style>
  <w:style w:type="character" w:customStyle="1" w:styleId="62">
    <w:name w:val="标题 2 Char"/>
    <w:basedOn w:val="54"/>
    <w:link w:val="4"/>
    <w:qFormat/>
    <w:uiPriority w:val="0"/>
    <w:rPr>
      <w:rFonts w:ascii="宋体" w:hAnsi="宋体" w:cs="宋体"/>
      <w:b/>
      <w:bCs/>
      <w:sz w:val="24"/>
      <w:szCs w:val="24"/>
      <w:lang w:eastAsia="en-US"/>
    </w:rPr>
  </w:style>
  <w:style w:type="character" w:customStyle="1" w:styleId="63">
    <w:name w:val="标题 3 Char"/>
    <w:basedOn w:val="54"/>
    <w:link w:val="5"/>
    <w:qFormat/>
    <w:uiPriority w:val="0"/>
    <w:rPr>
      <w:b/>
      <w:bCs/>
      <w:kern w:val="2"/>
      <w:sz w:val="32"/>
      <w:szCs w:val="32"/>
    </w:rPr>
  </w:style>
  <w:style w:type="character" w:customStyle="1" w:styleId="64">
    <w:name w:val="标题 4 Char"/>
    <w:basedOn w:val="54"/>
    <w:link w:val="6"/>
    <w:qFormat/>
    <w:uiPriority w:val="0"/>
    <w:rPr>
      <w:b/>
      <w:kern w:val="2"/>
      <w:sz w:val="24"/>
      <w:szCs w:val="24"/>
    </w:rPr>
  </w:style>
  <w:style w:type="character" w:customStyle="1" w:styleId="65">
    <w:name w:val="标题 5 Char"/>
    <w:basedOn w:val="54"/>
    <w:link w:val="7"/>
    <w:qFormat/>
    <w:uiPriority w:val="0"/>
    <w:rPr>
      <w:b/>
      <w:bCs/>
      <w:kern w:val="2"/>
      <w:sz w:val="28"/>
      <w:szCs w:val="28"/>
    </w:rPr>
  </w:style>
  <w:style w:type="character" w:customStyle="1" w:styleId="66">
    <w:name w:val="标题 6 Char"/>
    <w:basedOn w:val="54"/>
    <w:link w:val="8"/>
    <w:qFormat/>
    <w:uiPriority w:val="0"/>
    <w:rPr>
      <w:b/>
      <w:sz w:val="24"/>
    </w:rPr>
  </w:style>
  <w:style w:type="character" w:customStyle="1" w:styleId="67">
    <w:name w:val="正文缩进 Char"/>
    <w:basedOn w:val="54"/>
    <w:link w:val="10"/>
    <w:qFormat/>
    <w:uiPriority w:val="0"/>
    <w:rPr>
      <w:sz w:val="24"/>
    </w:rPr>
  </w:style>
  <w:style w:type="character" w:customStyle="1" w:styleId="68">
    <w:name w:val="标题 7 Char"/>
    <w:basedOn w:val="54"/>
    <w:link w:val="9"/>
    <w:qFormat/>
    <w:uiPriority w:val="0"/>
    <w:rPr>
      <w:b/>
      <w:kern w:val="2"/>
      <w:sz w:val="24"/>
    </w:rPr>
  </w:style>
  <w:style w:type="character" w:customStyle="1" w:styleId="69">
    <w:name w:val="标题 8 Char"/>
    <w:basedOn w:val="54"/>
    <w:link w:val="11"/>
    <w:qFormat/>
    <w:uiPriority w:val="0"/>
    <w:rPr>
      <w:rFonts w:ascii="Arial" w:hAnsi="Arial" w:eastAsia="黑体"/>
      <w:kern w:val="2"/>
      <w:sz w:val="24"/>
    </w:rPr>
  </w:style>
  <w:style w:type="character" w:customStyle="1" w:styleId="70">
    <w:name w:val="标题 9 Char"/>
    <w:basedOn w:val="54"/>
    <w:link w:val="12"/>
    <w:qFormat/>
    <w:uiPriority w:val="0"/>
    <w:rPr>
      <w:rFonts w:ascii="Arial" w:hAnsi="Arial" w:eastAsia="黑体"/>
      <w:kern w:val="2"/>
      <w:sz w:val="21"/>
    </w:rPr>
  </w:style>
  <w:style w:type="character" w:customStyle="1" w:styleId="71">
    <w:name w:val="正文文本 Char1"/>
    <w:basedOn w:val="54"/>
    <w:link w:val="20"/>
    <w:qFormat/>
    <w:uiPriority w:val="1"/>
    <w:rPr>
      <w:rFonts w:ascii="宋体" w:hAnsi="宋体" w:cs="宋体"/>
      <w:sz w:val="24"/>
      <w:szCs w:val="24"/>
      <w:lang w:eastAsia="en-US"/>
    </w:rPr>
  </w:style>
  <w:style w:type="character" w:customStyle="1" w:styleId="72">
    <w:name w:val="纯文本 Char"/>
    <w:basedOn w:val="54"/>
    <w:link w:val="30"/>
    <w:qFormat/>
    <w:uiPriority w:val="0"/>
    <w:rPr>
      <w:rFonts w:ascii="宋体" w:hAnsi="Courier New" w:cs="Courier New"/>
      <w:sz w:val="22"/>
      <w:szCs w:val="21"/>
      <w:lang w:eastAsia="en-US"/>
    </w:rPr>
  </w:style>
  <w:style w:type="character" w:customStyle="1" w:styleId="73">
    <w:name w:val="页脚 Char"/>
    <w:basedOn w:val="54"/>
    <w:link w:val="35"/>
    <w:qFormat/>
    <w:uiPriority w:val="99"/>
    <w:rPr>
      <w:rFonts w:ascii="宋体" w:hAnsi="宋体" w:cs="宋体"/>
      <w:sz w:val="18"/>
      <w:szCs w:val="18"/>
      <w:lang w:eastAsia="en-US"/>
    </w:rPr>
  </w:style>
  <w:style w:type="character" w:customStyle="1" w:styleId="74">
    <w:name w:val="页眉 Char"/>
    <w:basedOn w:val="54"/>
    <w:link w:val="36"/>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4"/>
    <w:link w:val="19"/>
    <w:qFormat/>
    <w:uiPriority w:val="0"/>
    <w:rPr>
      <w:b/>
      <w:kern w:val="2"/>
      <w:sz w:val="21"/>
    </w:rPr>
  </w:style>
  <w:style w:type="character" w:customStyle="1" w:styleId="82">
    <w:name w:val="普通(网站) Char"/>
    <w:basedOn w:val="54"/>
    <w:link w:val="46"/>
    <w:qFormat/>
    <w:locked/>
    <w:uiPriority w:val="0"/>
    <w:rPr>
      <w:rFonts w:ascii="宋体" w:hAnsi="宋体" w:cs="宋体"/>
      <w:sz w:val="24"/>
      <w:szCs w:val="24"/>
    </w:rPr>
  </w:style>
  <w:style w:type="character" w:customStyle="1" w:styleId="83">
    <w:name w:val="xdrichtextbox2"/>
    <w:basedOn w:val="54"/>
    <w:qFormat/>
    <w:uiPriority w:val="0"/>
    <w:rPr>
      <w:color w:val="0000FF"/>
      <w:sz w:val="18"/>
      <w:szCs w:val="18"/>
      <w:u w:val="none"/>
      <w:bdr w:val="single" w:color="DCDCDC" w:sz="8" w:space="0"/>
      <w:shd w:val="clear" w:color="auto" w:fill="FFFFFF"/>
    </w:rPr>
  </w:style>
  <w:style w:type="character" w:customStyle="1" w:styleId="84">
    <w:name w:val="apple-converted-space"/>
    <w:basedOn w:val="54"/>
    <w:qFormat/>
    <w:uiPriority w:val="0"/>
  </w:style>
  <w:style w:type="character" w:customStyle="1" w:styleId="85">
    <w:name w:val="无间隔 Char"/>
    <w:basedOn w:val="54"/>
    <w:link w:val="86"/>
    <w:qFormat/>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4"/>
    <w:link w:val="17"/>
    <w:qFormat/>
    <w:uiPriority w:val="0"/>
    <w:rPr>
      <w:kern w:val="2"/>
      <w:sz w:val="21"/>
    </w:rPr>
  </w:style>
  <w:style w:type="character" w:customStyle="1" w:styleId="88">
    <w:name w:val="批注框文本 Char"/>
    <w:basedOn w:val="54"/>
    <w:link w:val="34"/>
    <w:qFormat/>
    <w:uiPriority w:val="0"/>
    <w:rPr>
      <w:kern w:val="2"/>
      <w:sz w:val="18"/>
      <w:szCs w:val="18"/>
    </w:rPr>
  </w:style>
  <w:style w:type="character" w:customStyle="1" w:styleId="89">
    <w:name w:val="正文文本缩进 3 Char"/>
    <w:basedOn w:val="54"/>
    <w:link w:val="40"/>
    <w:qFormat/>
    <w:uiPriority w:val="0"/>
    <w:rPr>
      <w:kern w:val="2"/>
      <w:sz w:val="28"/>
    </w:rPr>
  </w:style>
  <w:style w:type="character" w:customStyle="1" w:styleId="90">
    <w:name w:val="正文文本缩进 2 Char"/>
    <w:basedOn w:val="54"/>
    <w:link w:val="33"/>
    <w:qFormat/>
    <w:uiPriority w:val="0"/>
    <w:rPr>
      <w:rFonts w:ascii="宋体" w:hAnsi="宋体"/>
      <w:iCs/>
      <w:kern w:val="2"/>
      <w:sz w:val="24"/>
      <w:szCs w:val="24"/>
    </w:rPr>
  </w:style>
  <w:style w:type="character" w:customStyle="1" w:styleId="91">
    <w:name w:val="正文文本 Char"/>
    <w:basedOn w:val="54"/>
    <w:qFormat/>
    <w:uiPriority w:val="0"/>
    <w:rPr>
      <w:rFonts w:eastAsia="宋体"/>
      <w:sz w:val="24"/>
      <w:szCs w:val="24"/>
      <w:lang w:val="en-US" w:eastAsia="zh-CN" w:bidi="ar-SA"/>
    </w:rPr>
  </w:style>
  <w:style w:type="character" w:customStyle="1" w:styleId="92">
    <w:name w:val="en1"/>
    <w:basedOn w:val="54"/>
    <w:qFormat/>
    <w:uiPriority w:val="0"/>
    <w:rPr>
      <w:b/>
      <w:bCs/>
      <w:color w:val="154C7F"/>
      <w:sz w:val="24"/>
      <w:szCs w:val="24"/>
    </w:rPr>
  </w:style>
  <w:style w:type="character" w:customStyle="1" w:styleId="93">
    <w:name w:val="font01"/>
    <w:basedOn w:val="54"/>
    <w:qFormat/>
    <w:uiPriority w:val="0"/>
    <w:rPr>
      <w:rFonts w:hint="eastAsia" w:ascii="宋体" w:hAnsi="宋体" w:eastAsia="宋体" w:cs="宋体"/>
      <w:color w:val="000000"/>
      <w:sz w:val="20"/>
      <w:szCs w:val="20"/>
      <w:u w:val="none"/>
    </w:rPr>
  </w:style>
  <w:style w:type="character" w:customStyle="1" w:styleId="94">
    <w:name w:val="标题 Char"/>
    <w:basedOn w:val="54"/>
    <w:link w:val="48"/>
    <w:qFormat/>
    <w:uiPriority w:val="0"/>
    <w:rPr>
      <w:rFonts w:ascii="Arial" w:hAnsi="Arial" w:cs="Arial"/>
      <w:b/>
      <w:bCs/>
      <w:sz w:val="44"/>
      <w:szCs w:val="32"/>
    </w:rPr>
  </w:style>
  <w:style w:type="character" w:customStyle="1" w:styleId="95">
    <w:name w:val="正文文本缩进 Char"/>
    <w:basedOn w:val="54"/>
    <w:link w:val="21"/>
    <w:qFormat/>
    <w:uiPriority w:val="0"/>
    <w:rPr>
      <w:i/>
      <w:iCs/>
      <w:kern w:val="2"/>
      <w:sz w:val="21"/>
    </w:rPr>
  </w:style>
  <w:style w:type="character" w:customStyle="1" w:styleId="96">
    <w:name w:val="正文文本 3 Char"/>
    <w:basedOn w:val="54"/>
    <w:link w:val="18"/>
    <w:qFormat/>
    <w:uiPriority w:val="0"/>
    <w:rPr>
      <w:color w:val="0000FF"/>
      <w:kern w:val="2"/>
      <w:sz w:val="24"/>
      <w:szCs w:val="24"/>
    </w:rPr>
  </w:style>
  <w:style w:type="character" w:customStyle="1" w:styleId="97">
    <w:name w:val="font11"/>
    <w:basedOn w:val="54"/>
    <w:qFormat/>
    <w:uiPriority w:val="0"/>
    <w:rPr>
      <w:rFonts w:hint="default" w:ascii="Times New Roman" w:hAnsi="Times New Roman" w:cs="Times New Roman"/>
      <w:color w:val="000000"/>
      <w:sz w:val="20"/>
      <w:szCs w:val="20"/>
      <w:u w:val="none"/>
    </w:rPr>
  </w:style>
  <w:style w:type="character" w:customStyle="1" w:styleId="98">
    <w:name w:val="glossaryitem"/>
    <w:basedOn w:val="54"/>
    <w:qFormat/>
    <w:uiPriority w:val="0"/>
    <w:rPr>
      <w:u w:val="none"/>
    </w:rPr>
  </w:style>
  <w:style w:type="character" w:customStyle="1" w:styleId="99">
    <w:name w:val="HTML 预设格式 Char"/>
    <w:basedOn w:val="54"/>
    <w:link w:val="45"/>
    <w:qFormat/>
    <w:uiPriority w:val="0"/>
    <w:rPr>
      <w:rFonts w:ascii="Arial Unicode MS" w:hAnsi="Arial Unicode MS" w:eastAsia="Courier New" w:cs="Courier New"/>
    </w:rPr>
  </w:style>
  <w:style w:type="character" w:customStyle="1" w:styleId="100">
    <w:name w:val="文档结构图 Char"/>
    <w:basedOn w:val="54"/>
    <w:link w:val="16"/>
    <w:qFormat/>
    <w:uiPriority w:val="0"/>
    <w:rPr>
      <w:rFonts w:ascii="宋体"/>
      <w:sz w:val="28"/>
      <w:shd w:val="clear" w:color="auto" w:fill="000080"/>
    </w:rPr>
  </w:style>
  <w:style w:type="character" w:customStyle="1" w:styleId="101">
    <w:name w:val="日期 Char"/>
    <w:basedOn w:val="54"/>
    <w:link w:val="32"/>
    <w:qFormat/>
    <w:uiPriority w:val="0"/>
    <w:rPr>
      <w:kern w:val="2"/>
      <w:sz w:val="21"/>
      <w:szCs w:val="24"/>
    </w:rPr>
  </w:style>
  <w:style w:type="character" w:customStyle="1" w:styleId="102">
    <w:name w:val="正文文本 2 Char"/>
    <w:basedOn w:val="54"/>
    <w:link w:val="43"/>
    <w:qFormat/>
    <w:uiPriority w:val="0"/>
    <w:rPr>
      <w:kern w:val="2"/>
      <w:sz w:val="21"/>
      <w:szCs w:val="24"/>
    </w:rPr>
  </w:style>
  <w:style w:type="character" w:customStyle="1" w:styleId="103">
    <w:name w:val="正文首行缩进 Char"/>
    <w:basedOn w:val="91"/>
    <w:link w:val="50"/>
    <w:qFormat/>
    <w:uiPriority w:val="0"/>
    <w:rPr>
      <w:rFonts w:eastAsia="宋体"/>
      <w:sz w:val="21"/>
      <w:szCs w:val="21"/>
      <w:lang w:val="en-US" w:eastAsia="zh-CN" w:bidi="ar-SA"/>
    </w:rPr>
  </w:style>
  <w:style w:type="character" w:customStyle="1" w:styleId="104">
    <w:name w:val="批注主题 Char"/>
    <w:basedOn w:val="87"/>
    <w:link w:val="49"/>
    <w:qFormat/>
    <w:uiPriority w:val="0"/>
    <w:rPr>
      <w:b/>
      <w:bCs/>
      <w:kern w:val="2"/>
      <w:sz w:val="24"/>
      <w:szCs w:val="24"/>
    </w:rPr>
  </w:style>
  <w:style w:type="paragraph" w:customStyle="1" w:styleId="105">
    <w:name w:val="标题3(小3号)"/>
    <w:basedOn w:val="5"/>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4"/>
    <w:link w:val="44"/>
    <w:qFormat/>
    <w:uiPriority w:val="0"/>
    <w:rPr>
      <w:rFonts w:ascii="Arial" w:hAnsi="Arial" w:cs="Arial"/>
      <w:kern w:val="2"/>
      <w:sz w:val="24"/>
      <w:szCs w:val="24"/>
      <w:shd w:val="pct20" w:color="auto" w:fill="auto"/>
    </w:rPr>
  </w:style>
  <w:style w:type="character" w:customStyle="1" w:styleId="109">
    <w:name w:val="正文文本 3 Char1"/>
    <w:basedOn w:val="54"/>
    <w:qFormat/>
    <w:uiPriority w:val="0"/>
    <w:rPr>
      <w:rFonts w:ascii="宋体" w:hAnsi="宋体" w:cs="宋体"/>
      <w:sz w:val="16"/>
      <w:szCs w:val="16"/>
      <w:lang w:eastAsia="en-US"/>
    </w:rPr>
  </w:style>
  <w:style w:type="paragraph" w:customStyle="1" w:styleId="110">
    <w:name w:val="封面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4"/>
    <w:qFormat/>
    <w:uiPriority w:val="0"/>
    <w:rPr>
      <w:rFonts w:ascii="宋体" w:hAnsi="宋体" w:cs="宋体"/>
      <w:sz w:val="22"/>
      <w:szCs w:val="22"/>
      <w:lang w:eastAsia="en-US"/>
    </w:rPr>
  </w:style>
  <w:style w:type="character" w:customStyle="1" w:styleId="113">
    <w:name w:val="批注文字 Char1"/>
    <w:basedOn w:val="54"/>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4"/>
    <w:qFormat/>
    <w:uiPriority w:val="0"/>
    <w:rPr>
      <w:rFonts w:ascii="宋体" w:hAnsi="宋体" w:cs="宋体"/>
      <w:sz w:val="18"/>
      <w:szCs w:val="18"/>
      <w:lang w:eastAsia="en-US"/>
    </w:rPr>
  </w:style>
  <w:style w:type="character" w:customStyle="1" w:styleId="118">
    <w:name w:val="日期 Char1"/>
    <w:basedOn w:val="54"/>
    <w:qFormat/>
    <w:uiPriority w:val="0"/>
    <w:rPr>
      <w:rFonts w:ascii="宋体" w:hAnsi="宋体" w:cs="宋体"/>
      <w:sz w:val="22"/>
      <w:szCs w:val="22"/>
      <w:lang w:eastAsia="en-US"/>
    </w:rPr>
  </w:style>
  <w:style w:type="paragraph" w:customStyle="1" w:styleId="119">
    <w:name w:val="标题3(3号)"/>
    <w:basedOn w:val="5"/>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4"/>
    <w:qFormat/>
    <w:uiPriority w:val="0"/>
    <w:rPr>
      <w:rFonts w:ascii="Courier New" w:hAnsi="Courier New" w:cs="Courier New"/>
      <w:lang w:eastAsia="en-US"/>
    </w:rPr>
  </w:style>
  <w:style w:type="character" w:customStyle="1" w:styleId="123">
    <w:name w:val="正文文本缩进 Char1"/>
    <w:basedOn w:val="54"/>
    <w:qFormat/>
    <w:uiPriority w:val="0"/>
    <w:rPr>
      <w:rFonts w:ascii="宋体" w:hAnsi="宋体" w:cs="宋体"/>
      <w:sz w:val="22"/>
      <w:szCs w:val="22"/>
      <w:lang w:eastAsia="en-US"/>
    </w:rPr>
  </w:style>
  <w:style w:type="paragraph" w:customStyle="1" w:styleId="124">
    <w:name w:val="标题2(小3号)"/>
    <w:basedOn w:val="4"/>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3"/>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4"/>
    <w:qFormat/>
    <w:uiPriority w:val="0"/>
    <w:rPr>
      <w:rFonts w:ascii="宋体" w:hAnsi="宋体" w:cs="宋体"/>
      <w:sz w:val="22"/>
      <w:szCs w:val="22"/>
      <w:lang w:eastAsia="en-US"/>
    </w:rPr>
  </w:style>
  <w:style w:type="character" w:customStyle="1" w:styleId="131">
    <w:name w:val="标题 Char1"/>
    <w:basedOn w:val="54"/>
    <w:qFormat/>
    <w:uiPriority w:val="0"/>
    <w:rPr>
      <w:rFonts w:asciiTheme="majorHAnsi" w:hAnsiTheme="majorHAnsi" w:cstheme="majorBidi"/>
      <w:b/>
      <w:bCs/>
      <w:sz w:val="32"/>
      <w:szCs w:val="32"/>
      <w:lang w:eastAsia="en-US"/>
    </w:rPr>
  </w:style>
  <w:style w:type="character" w:customStyle="1" w:styleId="132">
    <w:name w:val="正文文本缩进 3 Char1"/>
    <w:basedOn w:val="54"/>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4"/>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5"/>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5"/>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4"/>
    <w:next w:val="44"/>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6"/>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5"/>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5"/>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6"/>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3"/>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4"/>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3"/>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3"/>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3"/>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4"/>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4"/>
    <w:qFormat/>
    <w:uiPriority w:val="0"/>
  </w:style>
  <w:style w:type="character" w:customStyle="1" w:styleId="209">
    <w:name w:val="xdrichtextbox3"/>
    <w:basedOn w:val="54"/>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character" w:customStyle="1" w:styleId="211">
    <w:name w:val="font21"/>
    <w:basedOn w:val="5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7" textRotate="1"/>
    <customShpInfo spid="_x0000_s3078" textRotate="1"/>
    <customShpInfo spid="_x0000_s3079" textRotate="1"/>
    <customShpInfo spid="_x0000_s3080" textRotate="1"/>
    <customShpInfo spid="_x0000_s3076"/>
    <customShpInfo spid="_x0000_s3081"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90EF7-7590-42B1-88C0-6818EFD8A156}">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32</Pages>
  <Words>1838</Words>
  <Characters>10481</Characters>
  <Lines>87</Lines>
  <Paragraphs>24</Paragraphs>
  <TotalTime>6</TotalTime>
  <ScaleCrop>false</ScaleCrop>
  <LinksUpToDate>false</LinksUpToDate>
  <CharactersWithSpaces>12295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2024-09-23T05:46:45Z</dcterms:modified>
  <dc:title>公开招标文件（货物服务类）</dc:title>
  <cp:revision>432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0497F360AF7F4E82813B62C7EAE598CD</vt:lpwstr>
  </property>
</Properties>
</file>