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B696A">
      <w:pPr>
        <w:widowControl/>
        <w:shd w:val="clear" w:color="auto" w:fill="FFFFFF"/>
        <w:jc w:val="center"/>
        <w:rPr>
          <w:rFonts w:hint="eastAsia" w:ascii="宋体" w:hAnsi="宋体" w:cs="宋体"/>
          <w:kern w:val="0"/>
          <w:sz w:val="72"/>
          <w:szCs w:val="72"/>
          <w:shd w:val="clear" w:color="auto" w:fill="FFFFFF"/>
        </w:rPr>
      </w:pPr>
    </w:p>
    <w:p w14:paraId="7BF77A7F">
      <w:pPr>
        <w:widowControl/>
        <w:shd w:val="clear" w:color="auto" w:fill="FFFFFF"/>
        <w:jc w:val="center"/>
        <w:rPr>
          <w:szCs w:val="21"/>
        </w:rPr>
      </w:pPr>
      <w:r>
        <w:rPr>
          <w:rFonts w:hint="eastAsia" w:ascii="宋体" w:hAnsi="宋体" w:cs="宋体"/>
          <w:kern w:val="0"/>
          <w:sz w:val="72"/>
          <w:szCs w:val="72"/>
          <w:shd w:val="clear" w:color="auto" w:fill="FFFFFF"/>
        </w:rPr>
        <w:t>公开比选文件</w:t>
      </w:r>
    </w:p>
    <w:p w14:paraId="76D03AAA">
      <w:pPr>
        <w:widowControl/>
        <w:shd w:val="clear" w:color="auto" w:fill="FFFFFF"/>
        <w:jc w:val="center"/>
        <w:rPr>
          <w:szCs w:val="21"/>
        </w:rPr>
      </w:pPr>
      <w:r>
        <w:rPr>
          <w:kern w:val="0"/>
          <w:sz w:val="52"/>
          <w:szCs w:val="52"/>
          <w:shd w:val="clear" w:color="auto" w:fill="FFFFFF"/>
        </w:rPr>
        <w:t> </w:t>
      </w:r>
    </w:p>
    <w:p w14:paraId="3A3DF473">
      <w:pPr>
        <w:widowControl/>
        <w:shd w:val="clear" w:color="auto" w:fill="FFFFFF"/>
        <w:jc w:val="center"/>
        <w:rPr>
          <w:szCs w:val="21"/>
        </w:rPr>
      </w:pPr>
      <w:r>
        <w:rPr>
          <w:kern w:val="0"/>
          <w:sz w:val="52"/>
          <w:szCs w:val="52"/>
          <w:shd w:val="clear" w:color="auto" w:fill="FFFFFF"/>
        </w:rPr>
        <w:t> </w:t>
      </w:r>
    </w:p>
    <w:p w14:paraId="0227157C">
      <w:pPr>
        <w:widowControl/>
        <w:shd w:val="clear" w:color="auto" w:fill="FFFFFF"/>
        <w:jc w:val="center"/>
        <w:rPr>
          <w:szCs w:val="21"/>
        </w:rPr>
      </w:pPr>
      <w:r>
        <w:rPr>
          <w:kern w:val="0"/>
          <w:sz w:val="52"/>
          <w:szCs w:val="52"/>
          <w:shd w:val="clear" w:color="auto" w:fill="FFFFFF"/>
        </w:rPr>
        <w:t> </w:t>
      </w:r>
    </w:p>
    <w:p w14:paraId="428B52E3">
      <w:pPr>
        <w:widowControl/>
        <w:shd w:val="clear" w:color="auto" w:fill="FFFFFF"/>
        <w:jc w:val="center"/>
        <w:rPr>
          <w:szCs w:val="21"/>
        </w:rPr>
      </w:pPr>
      <w:r>
        <w:rPr>
          <w:kern w:val="0"/>
          <w:sz w:val="52"/>
          <w:szCs w:val="52"/>
          <w:shd w:val="clear" w:color="auto" w:fill="FFFFFF"/>
        </w:rPr>
        <w:t> </w:t>
      </w:r>
    </w:p>
    <w:p w14:paraId="4FB24390">
      <w:pPr>
        <w:widowControl/>
        <w:shd w:val="clear" w:color="auto" w:fill="FFFFFF"/>
        <w:jc w:val="center"/>
        <w:rPr>
          <w:rFonts w:ascii="宋体" w:hAnsi="宋体" w:cs="宋体"/>
          <w:kern w:val="0"/>
          <w:sz w:val="36"/>
          <w:szCs w:val="36"/>
          <w:shd w:val="clear" w:color="auto" w:fill="FFFFFF"/>
        </w:rPr>
      </w:pPr>
    </w:p>
    <w:p w14:paraId="7F49F68E">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比选项目：加氢裂化装置水溶性中和缓蚀剂</w:t>
      </w:r>
    </w:p>
    <w:p w14:paraId="622DDA37">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2024-FHC-水溶性中和缓蚀剂-0920</w:t>
      </w:r>
    </w:p>
    <w:p w14:paraId="1FEDF7CA">
      <w:pPr>
        <w:widowControl/>
        <w:shd w:val="clear" w:color="auto" w:fill="FFFFFF"/>
        <w:rPr>
          <w:sz w:val="36"/>
          <w:szCs w:val="36"/>
        </w:rPr>
      </w:pPr>
    </w:p>
    <w:p w14:paraId="3A33CB6D">
      <w:pPr>
        <w:widowControl/>
        <w:shd w:val="clear" w:color="auto" w:fill="FFFFFF"/>
        <w:rPr>
          <w:szCs w:val="21"/>
        </w:rPr>
      </w:pPr>
      <w:r>
        <w:rPr>
          <w:kern w:val="0"/>
          <w:sz w:val="52"/>
          <w:szCs w:val="52"/>
          <w:shd w:val="clear" w:color="auto" w:fill="FFFFFF"/>
        </w:rPr>
        <w:t> </w:t>
      </w:r>
    </w:p>
    <w:p w14:paraId="6FB75399">
      <w:pPr>
        <w:widowControl/>
        <w:shd w:val="clear" w:color="auto" w:fill="FFFFFF"/>
        <w:rPr>
          <w:kern w:val="0"/>
          <w:sz w:val="52"/>
          <w:szCs w:val="52"/>
          <w:shd w:val="clear" w:color="auto" w:fill="FFFFFF"/>
        </w:rPr>
      </w:pPr>
      <w:r>
        <w:rPr>
          <w:kern w:val="0"/>
          <w:sz w:val="52"/>
          <w:szCs w:val="52"/>
          <w:shd w:val="clear" w:color="auto" w:fill="FFFFFF"/>
        </w:rPr>
        <w:t> </w:t>
      </w:r>
    </w:p>
    <w:p w14:paraId="344B2524">
      <w:pPr>
        <w:widowControl/>
        <w:shd w:val="clear" w:color="auto" w:fill="FFFFFF"/>
        <w:rPr>
          <w:kern w:val="0"/>
          <w:sz w:val="52"/>
          <w:szCs w:val="52"/>
          <w:shd w:val="clear" w:color="auto" w:fill="FFFFFF"/>
        </w:rPr>
      </w:pPr>
    </w:p>
    <w:p w14:paraId="34A5DBB3">
      <w:pPr>
        <w:widowControl/>
        <w:shd w:val="clear" w:color="auto" w:fill="FFFFFF"/>
        <w:rPr>
          <w:kern w:val="0"/>
          <w:sz w:val="52"/>
          <w:szCs w:val="52"/>
          <w:shd w:val="clear" w:color="auto" w:fill="FFFFFF"/>
        </w:rPr>
      </w:pPr>
    </w:p>
    <w:p w14:paraId="6A187E31">
      <w:pPr>
        <w:widowControl/>
        <w:shd w:val="clear" w:color="auto" w:fill="FFFFFF"/>
        <w:rPr>
          <w:kern w:val="0"/>
          <w:sz w:val="52"/>
          <w:szCs w:val="52"/>
          <w:shd w:val="clear" w:color="auto" w:fill="FFFFFF"/>
        </w:rPr>
      </w:pPr>
      <w:r>
        <w:rPr>
          <w:kern w:val="0"/>
          <w:sz w:val="52"/>
          <w:szCs w:val="52"/>
          <w:shd w:val="clear" w:color="auto" w:fill="FFFFFF"/>
        </w:rPr>
        <w:t> </w:t>
      </w:r>
    </w:p>
    <w:p w14:paraId="3FC7A154">
      <w:pPr>
        <w:widowControl/>
        <w:shd w:val="clear" w:color="auto" w:fill="FFFFFF"/>
        <w:rPr>
          <w:kern w:val="0"/>
          <w:sz w:val="52"/>
          <w:szCs w:val="52"/>
          <w:shd w:val="clear" w:color="auto" w:fill="FFFFFF"/>
        </w:rPr>
      </w:pPr>
    </w:p>
    <w:p w14:paraId="76C91FAF">
      <w:pPr>
        <w:widowControl/>
        <w:shd w:val="clear" w:color="auto" w:fill="FFFFFF"/>
        <w:jc w:val="right"/>
        <w:rPr>
          <w:szCs w:val="21"/>
        </w:rPr>
      </w:pPr>
      <w:r>
        <w:rPr>
          <w:kern w:val="0"/>
          <w:sz w:val="52"/>
          <w:szCs w:val="52"/>
          <w:shd w:val="clear" w:color="auto" w:fill="FFFFFF"/>
        </w:rPr>
        <w:t> </w:t>
      </w:r>
    </w:p>
    <w:p w14:paraId="07241C2A">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14:paraId="6929012A">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4</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9</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20</w:t>
      </w:r>
      <w:r>
        <w:rPr>
          <w:rFonts w:hint="eastAsia" w:ascii="宋体" w:hAnsi="宋体" w:cs="宋体"/>
          <w:kern w:val="0"/>
          <w:sz w:val="28"/>
          <w:szCs w:val="28"/>
          <w:shd w:val="clear" w:color="auto" w:fill="FFFFFF"/>
        </w:rPr>
        <w:t>日</w:t>
      </w:r>
    </w:p>
    <w:p w14:paraId="1D44988C">
      <w:pPr>
        <w:widowControl/>
        <w:shd w:val="clear" w:color="auto" w:fill="FFFFFF"/>
        <w:rPr>
          <w:szCs w:val="21"/>
        </w:rPr>
      </w:pPr>
      <w:r>
        <w:rPr>
          <w:kern w:val="0"/>
          <w:szCs w:val="21"/>
          <w:shd w:val="clear" w:color="auto" w:fill="FFFFFF"/>
        </w:rPr>
        <w:t> </w:t>
      </w:r>
    </w:p>
    <w:p w14:paraId="64947DC5">
      <w:pPr>
        <w:spacing w:line="400" w:lineRule="exact"/>
        <w:jc w:val="center"/>
        <w:rPr>
          <w:rFonts w:ascii="宋体"/>
          <w:b/>
          <w:bCs/>
          <w:sz w:val="36"/>
        </w:rPr>
      </w:pPr>
    </w:p>
    <w:p w14:paraId="699A9E8A">
      <w:pPr>
        <w:widowControl/>
        <w:jc w:val="left"/>
        <w:rPr>
          <w:rFonts w:ascii="宋体"/>
          <w:b/>
          <w:bCs/>
          <w:sz w:val="36"/>
        </w:rPr>
      </w:pPr>
    </w:p>
    <w:p w14:paraId="3FF64ADB">
      <w:pPr>
        <w:spacing w:line="300" w:lineRule="auto"/>
        <w:jc w:val="center"/>
        <w:rPr>
          <w:rFonts w:hint="eastAsia"/>
          <w:b/>
          <w:bCs/>
          <w:sz w:val="36"/>
          <w:szCs w:val="36"/>
          <w:lang w:val="en-US" w:eastAsia="zh-CN"/>
        </w:rPr>
      </w:pPr>
      <w:r>
        <w:rPr>
          <w:rFonts w:hint="eastAsia"/>
          <w:b/>
          <w:bCs/>
          <w:sz w:val="36"/>
          <w:szCs w:val="36"/>
          <w:lang w:val="en-US" w:eastAsia="zh-CN"/>
        </w:rPr>
        <w:t>一、比选公告</w:t>
      </w:r>
    </w:p>
    <w:p w14:paraId="609D7B14">
      <w:pPr>
        <w:spacing w:line="300" w:lineRule="auto"/>
        <w:jc w:val="center"/>
        <w:rPr>
          <w:rFonts w:hint="eastAsia" w:eastAsia="宋体"/>
          <w:b/>
          <w:bCs/>
          <w:sz w:val="32"/>
          <w:lang w:eastAsia="zh-CN"/>
        </w:rPr>
      </w:pPr>
      <w:r>
        <w:rPr>
          <w:rFonts w:hint="eastAsia"/>
          <w:b/>
          <w:bCs/>
          <w:sz w:val="32"/>
          <w:lang w:eastAsia="zh-CN"/>
        </w:rPr>
        <w:t>腾龙芳烃（漳州）有限公司</w:t>
      </w:r>
    </w:p>
    <w:p w14:paraId="5FC5F63E">
      <w:pPr>
        <w:spacing w:line="300" w:lineRule="auto"/>
        <w:jc w:val="center"/>
        <w:rPr>
          <w:rFonts w:hint="eastAsia"/>
          <w:b/>
          <w:bCs/>
          <w:sz w:val="32"/>
        </w:rPr>
      </w:pPr>
      <w:r>
        <w:rPr>
          <w:rFonts w:hint="eastAsia"/>
          <w:b/>
          <w:bCs/>
          <w:sz w:val="32"/>
        </w:rPr>
        <w:t>加氢裂化装置水溶性中和缓蚀剂</w:t>
      </w:r>
    </w:p>
    <w:p w14:paraId="1FA69543">
      <w:pPr>
        <w:spacing w:line="300" w:lineRule="auto"/>
        <w:jc w:val="center"/>
        <w:rPr>
          <w:bCs/>
          <w:szCs w:val="21"/>
        </w:rPr>
      </w:pPr>
      <w:r>
        <w:rPr>
          <w:rFonts w:hint="eastAsia"/>
          <w:b/>
          <w:bCs/>
          <w:sz w:val="32"/>
        </w:rPr>
        <w:t>采购比选公告</w:t>
      </w:r>
    </w:p>
    <w:p w14:paraId="059C242B">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“加氢裂化装置水溶性中和缓蚀剂（项目编号：</w:t>
      </w:r>
      <w:r>
        <w:rPr>
          <w:rFonts w:hint="eastAsia" w:asciiTheme="minorEastAsia" w:hAnsiTheme="minorEastAsia" w:eastAsiaTheme="minorEastAsia"/>
          <w:bCs/>
          <w:sz w:val="24"/>
          <w:u w:val="single"/>
          <w:lang w:eastAsia="zh-CN"/>
        </w:rPr>
        <w:t>2024-FHC-水溶性中和缓蚀剂-0920</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14:paraId="75E04396">
      <w:pPr>
        <w:ind w:firstLine="472" w:firstLineChars="196"/>
        <w:rPr>
          <w:b/>
          <w:bCs/>
          <w:sz w:val="24"/>
        </w:rPr>
      </w:pPr>
      <w:r>
        <w:rPr>
          <w:rFonts w:hint="eastAsia"/>
          <w:b/>
          <w:bCs/>
          <w:sz w:val="24"/>
        </w:rPr>
        <w:t>一、项目概况</w:t>
      </w:r>
    </w:p>
    <w:p w14:paraId="6FF3E888">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加氢裂化装置水溶性中和缓蚀剂</w:t>
      </w:r>
      <w:r>
        <w:rPr>
          <w:rFonts w:hint="eastAsia" w:ascii="宋体" w:hAnsi="宋体" w:cs="宋体" w:eastAsiaTheme="minorEastAsia"/>
          <w:sz w:val="24"/>
        </w:rPr>
        <w:t>。</w:t>
      </w:r>
    </w:p>
    <w:p w14:paraId="5F4BB8D2">
      <w:pPr>
        <w:pStyle w:val="16"/>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加氢裂化装置水溶性中和缓蚀剂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及技术要求</w:t>
      </w:r>
      <w:r>
        <w:rPr>
          <w:rFonts w:hint="eastAsia" w:asciiTheme="minorEastAsia" w:hAnsiTheme="minorEastAsia" w:eastAsiaTheme="minorEastAsia"/>
          <w:bCs/>
          <w:sz w:val="24"/>
        </w:rPr>
        <w:t>。</w:t>
      </w:r>
    </w:p>
    <w:p w14:paraId="7D4FE648">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14:paraId="0888DCC8">
      <w:pPr>
        <w:pStyle w:val="16"/>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14:paraId="7EEC5206">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2E4F32B1">
      <w:pPr>
        <w:pStyle w:val="16"/>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14:paraId="5086C7F0">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14:paraId="39D06556">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w:t>
      </w:r>
      <w:r>
        <w:rPr>
          <w:rFonts w:hint="eastAsia" w:asciiTheme="minorEastAsia" w:hAnsiTheme="minorEastAsia" w:eastAsiaTheme="minorEastAsia"/>
          <w:sz w:val="24"/>
          <w:lang w:val="en-US" w:eastAsia="zh-CN"/>
        </w:rPr>
        <w:t>有</w:t>
      </w:r>
      <w:r>
        <w:rPr>
          <w:rFonts w:ascii="Times New Roman" w:hAnsi="Times New Roman" w:eastAsia="宋体" w:cs="Times New Roman"/>
          <w:sz w:val="24"/>
        </w:rPr>
        <w:t>自202</w:t>
      </w:r>
      <w:r>
        <w:rPr>
          <w:rFonts w:hint="eastAsia" w:ascii="Times New Roman" w:hAnsi="Times New Roman" w:eastAsia="宋体" w:cs="Times New Roman"/>
          <w:sz w:val="24"/>
          <w:lang w:val="en-US" w:eastAsia="zh-CN"/>
        </w:rPr>
        <w:t>2</w:t>
      </w:r>
      <w:r>
        <w:rPr>
          <w:rFonts w:ascii="Times New Roman" w:hAnsi="Times New Roman" w:eastAsia="宋体" w:cs="Times New Roman"/>
          <w:sz w:val="24"/>
        </w:rPr>
        <w:t>年</w:t>
      </w:r>
      <w:r>
        <w:rPr>
          <w:rFonts w:hint="eastAsia" w:ascii="Times New Roman" w:hAnsi="Times New Roman" w:eastAsia="宋体" w:cs="Times New Roman"/>
          <w:sz w:val="24"/>
        </w:rPr>
        <w:t>1月1日以来有同类装置的销售业绩至少3处以上。</w:t>
      </w:r>
    </w:p>
    <w:p w14:paraId="42CA106D">
      <w:pPr>
        <w:pStyle w:val="16"/>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属于福建福海创石油化工有限公司合格供应商或中国石油化工集团有限公司或</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HYPERLINK "http://www.baidu.com/link?url=ZYA2ANSxRzGwTSAnMQmFtVicINMq9OUNpKTJ21r1pCxY1Pg-bo-kGdl88GpXkxvjkQiNS5EBki5bPS0gC-oOIK" \t "_blank"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中国石油天然气集团有限公司</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合格供应商。</w:t>
      </w:r>
    </w:p>
    <w:p w14:paraId="6075A68A">
      <w:pPr>
        <w:pStyle w:val="16"/>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贰万元整</w:t>
      </w:r>
      <w:r>
        <w:rPr>
          <w:rFonts w:hint="eastAsia" w:asciiTheme="minorEastAsia" w:hAnsiTheme="minorEastAsia" w:eastAsiaTheme="minorEastAsia"/>
          <w:bCs/>
          <w:sz w:val="24"/>
          <w:highlight w:val="yellow"/>
        </w:rPr>
        <w:t>。</w:t>
      </w:r>
    </w:p>
    <w:p w14:paraId="30CA4F32">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14:paraId="797881D6">
      <w:pPr>
        <w:pStyle w:val="16"/>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12</w:t>
      </w:r>
      <w:r>
        <w:rPr>
          <w:rFonts w:hint="eastAsia" w:asciiTheme="majorEastAsia" w:hAnsiTheme="majorEastAsia" w:eastAsiaTheme="majorEastAsia"/>
          <w:sz w:val="24"/>
        </w:rPr>
        <w:t>日（含当日）</w:t>
      </w:r>
    </w:p>
    <w:p w14:paraId="7A552506">
      <w:pPr>
        <w:pStyle w:val="16"/>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14:paraId="0A484002">
      <w:pPr>
        <w:pStyle w:val="16"/>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）需提供</w:t>
      </w:r>
      <w:r>
        <w:rPr>
          <w:rFonts w:hint="eastAsia" w:asciiTheme="minorEastAsia" w:hAnsiTheme="minorEastAsia" w:eastAsiaTheme="minorEastAsia"/>
          <w:sz w:val="24"/>
          <w:lang w:val="en-US" w:eastAsia="zh-CN"/>
        </w:rPr>
        <w:t>自2022年1月1日以来</w:t>
      </w:r>
      <w:r>
        <w:rPr>
          <w:rFonts w:hint="eastAsia" w:asciiTheme="minorEastAsia" w:hAnsiTheme="minorEastAsia" w:eastAsiaTheme="minorEastAsia"/>
          <w:sz w:val="24"/>
          <w:lang w:eastAsia="zh-CN"/>
        </w:rPr>
        <w:t>同类装置的销售业绩（</w:t>
      </w:r>
      <w:r>
        <w:rPr>
          <w:rFonts w:hint="eastAsia" w:asciiTheme="minorEastAsia" w:hAnsiTheme="minorEastAsia" w:eastAsiaTheme="minorEastAsia"/>
          <w:sz w:val="24"/>
          <w:lang w:val="en-US" w:eastAsia="zh-CN"/>
        </w:rPr>
        <w:t>合同或发票</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3份（含）以上</w:t>
      </w:r>
      <w:r>
        <w:rPr>
          <w:rFonts w:hint="eastAsia" w:asciiTheme="minorEastAsia" w:hAnsiTheme="minorEastAsia" w:eastAsiaTheme="minorEastAsia"/>
          <w:sz w:val="24"/>
          <w:lang w:eastAsia="zh-CN"/>
        </w:rPr>
        <w:t>；</w:t>
      </w:r>
    </w:p>
    <w:p w14:paraId="4FB07ACA">
      <w:pPr>
        <w:pStyle w:val="16"/>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贰万元整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保证金请备注项目名称！</w:t>
      </w:r>
      <w:r>
        <w:rPr>
          <w:rFonts w:hint="eastAsia" w:asciiTheme="minorEastAsia" w:hAnsiTheme="minorEastAsia" w:eastAsiaTheme="minorEastAsia"/>
          <w:bCs/>
          <w:sz w:val="24"/>
          <w:highlight w:val="yellow"/>
          <w:lang w:eastAsia="zh-CN"/>
        </w:rPr>
        <w:t>）；</w:t>
      </w:r>
    </w:p>
    <w:p w14:paraId="14062EF5">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14:paraId="25D7566A">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14:paraId="145ED656">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14:paraId="6D90D237">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14:paraId="1660D8E9">
      <w:pPr>
        <w:pStyle w:val="16"/>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57A30503">
      <w:pPr>
        <w:pStyle w:val="16"/>
        <w:numPr>
          <w:ilvl w:val="0"/>
          <w:numId w:val="0"/>
        </w:numPr>
        <w:spacing w:before="0"/>
        <w:ind w:left="832" w:leftChars="0" w:firstLine="240" w:firstLineChars="100"/>
        <w:rPr>
          <w:rFonts w:hint="eastAsia" w:asciiTheme="minorEastAsia" w:hAnsiTheme="minorEastAsia" w:eastAsiaTheme="minorEastAsia"/>
          <w:bCs/>
          <w:sz w:val="24"/>
          <w:highlight w:val="yellow"/>
          <w:lang w:val="en-US" w:eastAsia="zh-CN"/>
        </w:rPr>
      </w:pPr>
      <w:r>
        <w:rPr>
          <w:rFonts w:hint="eastAsia" w:asciiTheme="minorEastAsia" w:hAnsiTheme="minorEastAsia" w:eastAsiaTheme="minorEastAsia"/>
          <w:bCs/>
          <w:sz w:val="24"/>
          <w:highlight w:val="yellow"/>
          <w:lang w:val="en-US" w:eastAsia="zh-CN"/>
        </w:rPr>
        <w:t>请在报名后联系商务联系人获取“技术要求”文件。</w:t>
      </w:r>
    </w:p>
    <w:p w14:paraId="1DD1712F">
      <w:pPr>
        <w:tabs>
          <w:tab w:val="left" w:pos="1260"/>
          <w:tab w:val="left" w:pos="1800"/>
        </w:tabs>
        <w:spacing w:line="360" w:lineRule="auto"/>
        <w:ind w:left="359" w:leftChars="171" w:firstLine="180" w:firstLineChars="75"/>
        <w:jc w:val="left"/>
        <w:rPr>
          <w:rFonts w:hint="eastAsia" w:asciiTheme="minorEastAsia" w:hAnsiTheme="minorEastAsia" w:eastAsiaTheme="minorEastAsia"/>
          <w:bCs/>
          <w:sz w:val="24"/>
          <w:lang w:val="en-US" w:eastAsia="zh-CN"/>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364B715F">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14:paraId="181F0B43">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福建福海创石油化工</w:t>
      </w:r>
      <w:r>
        <w:rPr>
          <w:rFonts w:hint="eastAsia" w:asciiTheme="minorEastAsia" w:hAnsiTheme="minorEastAsia" w:eastAsiaTheme="minorEastAsia"/>
          <w:bCs/>
          <w:sz w:val="24"/>
          <w:lang w:eastAsia="zh-CN"/>
        </w:rPr>
        <w:t>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漳州市漳浦县杜浔镇杜昌路9号福海创办公大楼3楼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14:paraId="77067270">
      <w:pPr>
        <w:pStyle w:val="16"/>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lang w:val="en-US" w:eastAsia="zh-CN"/>
        </w:rPr>
        <w:t>2024年10月15</w:t>
      </w:r>
      <w:bookmarkStart w:id="2" w:name="_GoBack"/>
      <w:bookmarkEnd w:id="2"/>
      <w:r>
        <w:rPr>
          <w:rFonts w:hint="eastAsia" w:asciiTheme="majorEastAsia" w:hAnsiTheme="majorEastAsia" w:eastAsiaTheme="majorEastAsia"/>
          <w:bCs/>
          <w:sz w:val="24"/>
          <w:lang w:val="en-US" w:eastAsia="zh-CN"/>
        </w:rPr>
        <w:t>日15:30</w:t>
      </w:r>
      <w:r>
        <w:rPr>
          <w:rFonts w:hint="eastAsia" w:asciiTheme="majorEastAsia" w:hAnsiTheme="majorEastAsia" w:eastAsiaTheme="majorEastAsia"/>
          <w:bCs/>
          <w:sz w:val="24"/>
          <w:lang w:eastAsia="zh-CN"/>
        </w:rPr>
        <w:t>。</w:t>
      </w:r>
    </w:p>
    <w:p w14:paraId="6AEB5EC1">
      <w:pPr>
        <w:pStyle w:val="16"/>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14:paraId="08EAB5A0">
      <w:pPr>
        <w:pStyle w:val="16"/>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14:paraId="25A98B68">
      <w:pPr>
        <w:pStyle w:val="16"/>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0263D5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outlineLvl w:val="9"/>
        <w:rPr>
          <w:rFonts w:asciiTheme="minorEastAsia" w:hAnsiTheme="minorEastAsia" w:eastAsiaTheme="minorEastAsia"/>
          <w:bCs/>
          <w:sz w:val="24"/>
        </w:rPr>
      </w:pPr>
      <w:r>
        <w:rPr>
          <w:rFonts w:hint="eastAsia" w:asciiTheme="minorEastAsia" w:hAnsiTheme="minorEastAsia" w:eastAsiaTheme="minorEastAsia"/>
          <w:bCs/>
          <w:sz w:val="24"/>
        </w:rPr>
        <w:t>商务联系人：</w:t>
      </w:r>
      <w:r>
        <w:rPr>
          <w:rFonts w:hint="eastAsia" w:asciiTheme="minorEastAsia" w:hAnsiTheme="minorEastAsia" w:eastAsiaTheme="minorEastAsia"/>
          <w:bCs/>
          <w:sz w:val="24"/>
          <w:lang w:val="en-US" w:eastAsia="zh-CN"/>
        </w:rPr>
        <w:t xml:space="preserve">郑女士 </w:t>
      </w:r>
      <w:r>
        <w:rPr>
          <w:rFonts w:hint="eastAsia" w:asciiTheme="minorEastAsia" w:hAnsiTheme="minorEastAsia" w:eastAsiaTheme="minorEastAsia"/>
          <w:bCs/>
          <w:sz w:val="24"/>
        </w:rPr>
        <w:t>电话：13</w:t>
      </w:r>
      <w:r>
        <w:rPr>
          <w:rFonts w:hint="eastAsia" w:asciiTheme="minorEastAsia" w:hAnsiTheme="minorEastAsia" w:eastAsiaTheme="minorEastAsia"/>
          <w:bCs/>
          <w:sz w:val="24"/>
          <w:lang w:val="en-US" w:eastAsia="zh-CN"/>
        </w:rPr>
        <w:t>015727080</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14:paraId="557070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jc w:val="left"/>
        <w:textAlignment w:val="auto"/>
        <w:outlineLvl w:val="9"/>
        <w:rPr>
          <w:rFonts w:hint="eastAsia" w:cs="Times New Roman" w:asciiTheme="minorEastAsia" w:hAnsiTheme="minorEastAsia" w:eastAsiaTheme="minorEastAsia"/>
          <w:bCs/>
          <w:sz w:val="24"/>
        </w:rPr>
      </w:pPr>
      <w:r>
        <w:rPr>
          <w:rFonts w:hint="eastAsia" w:asciiTheme="minorEastAsia" w:hAnsiTheme="minorEastAsia" w:eastAsiaTheme="minorEastAsia"/>
          <w:bCs/>
          <w:sz w:val="24"/>
          <w:lang w:val="en-US" w:eastAsia="zh-CN"/>
        </w:rPr>
        <w:t>技</w:t>
      </w:r>
      <w:r>
        <w:rPr>
          <w:rFonts w:hint="eastAsia" w:asciiTheme="minorEastAsia" w:hAnsiTheme="minorEastAsia" w:eastAsiaTheme="minorEastAsia"/>
          <w:bCs/>
          <w:sz w:val="24"/>
        </w:rPr>
        <w:t>术联系人</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 xml:space="preserve"> 林先生 </w:t>
      </w:r>
      <w:r>
        <w:rPr>
          <w:rFonts w:hint="eastAsia" w:asciiTheme="minorEastAsia" w:hAnsiTheme="minorEastAsia" w:eastAsiaTheme="minorEastAsia"/>
          <w:bCs/>
          <w:sz w:val="24"/>
        </w:rPr>
        <w:t>电话：</w:t>
      </w:r>
      <w:r>
        <w:rPr>
          <w:rFonts w:hint="eastAsia" w:asciiTheme="minorEastAsia" w:hAnsiTheme="minorEastAsia" w:eastAsiaTheme="minorEastAsia"/>
          <w:bCs/>
          <w:sz w:val="24"/>
          <w:lang w:val="en-US" w:eastAsia="zh-CN"/>
        </w:rPr>
        <w:t>1</w:t>
      </w:r>
      <w:r>
        <w:rPr>
          <w:rFonts w:hint="eastAsia" w:cs="Times New Roman" w:asciiTheme="minorEastAsia" w:hAnsiTheme="minorEastAsia" w:eastAsiaTheme="minorEastAsia"/>
          <w:bCs/>
          <w:sz w:val="24"/>
        </w:rPr>
        <w:t>5396018148</w:t>
      </w:r>
      <w:r>
        <w:rPr>
          <w:rFonts w:hint="eastAsia" w:cs="Times New Roman"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邮</w:t>
      </w:r>
      <w:r>
        <w:rPr>
          <w:rFonts w:hint="eastAsia" w:asciiTheme="minorEastAsia" w:hAnsiTheme="minorEastAsia" w:eastAsiaTheme="minorEastAsia"/>
          <w:bCs/>
          <w:sz w:val="24"/>
          <w:lang w:val="en-US" w:eastAsia="zh-CN"/>
        </w:rPr>
        <w:t>箱：</w:t>
      </w:r>
      <w:r>
        <w:rPr>
          <w:rFonts w:hint="eastAsia" w:cs="Times New Roman" w:asciiTheme="minorEastAsia" w:hAnsiTheme="minorEastAsia" w:eastAsiaTheme="minorEastAsia"/>
          <w:bCs/>
          <w:sz w:val="24"/>
        </w:rPr>
        <w:t>lingw@fhcpec.com.cn</w:t>
      </w:r>
    </w:p>
    <w:p w14:paraId="7C72083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960" w:firstLineChars="400"/>
        <w:textAlignment w:val="auto"/>
        <w:outlineLvl w:val="9"/>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14:paraId="27321AAE">
      <w:pPr>
        <w:spacing w:line="360" w:lineRule="auto"/>
        <w:ind w:left="2158" w:leftChars="456" w:hanging="1200" w:hangingChars="5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 xml:space="preserve">漳州市漳浦县杜浔镇杜昌路9号福海创办公大楼3楼煤炭及辅料团队     </w:t>
      </w: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14:paraId="779683E5">
      <w:pPr>
        <w:spacing w:line="360" w:lineRule="auto"/>
        <w:ind w:firstLine="960" w:firstLineChars="400"/>
        <w:rPr>
          <w:rFonts w:hint="eastAsia" w:asciiTheme="minorEastAsia" w:hAnsiTheme="minorEastAsia" w:eastAsiaTheme="minorEastAsia"/>
          <w:bCs/>
          <w:sz w:val="24"/>
          <w:lang w:val="en-US" w:eastAsia="zh-CN"/>
        </w:rPr>
      </w:pPr>
    </w:p>
    <w:p w14:paraId="11CA4E44">
      <w:pPr>
        <w:tabs>
          <w:tab w:val="left" w:pos="3098"/>
        </w:tabs>
        <w:spacing w:line="360" w:lineRule="auto"/>
        <w:ind w:firstLine="4800" w:firstLineChars="2000"/>
        <w:rPr>
          <w:rFonts w:hint="eastAsia" w:asciiTheme="minorEastAsia" w:hAnsiTheme="minorEastAsia" w:eastAsiaTheme="minorEastAsia"/>
          <w:bCs/>
          <w:sz w:val="24"/>
          <w:lang w:eastAsia="zh-CN"/>
        </w:rPr>
      </w:pPr>
    </w:p>
    <w:p w14:paraId="702D14D5">
      <w:pPr>
        <w:tabs>
          <w:tab w:val="left" w:pos="3098"/>
        </w:tabs>
        <w:spacing w:line="360" w:lineRule="auto"/>
        <w:ind w:firstLine="5280" w:firstLineChars="220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p>
    <w:p w14:paraId="3E9236D9">
      <w:pPr>
        <w:spacing w:line="360" w:lineRule="auto"/>
        <w:ind w:firstLine="6000" w:firstLineChars="2500"/>
        <w:rPr>
          <w:rFonts w:hint="eastAsia" w:ascii="宋体" w:hAnsi="宋体"/>
          <w:b/>
          <w:bCs/>
          <w:sz w:val="36"/>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20</w:t>
      </w:r>
      <w:r>
        <w:rPr>
          <w:rFonts w:hint="eastAsia" w:asciiTheme="minorEastAsia" w:hAnsiTheme="minorEastAsia" w:eastAsiaTheme="minorEastAsia"/>
          <w:bCs/>
          <w:sz w:val="24"/>
        </w:rPr>
        <w:t>日</w:t>
      </w:r>
    </w:p>
    <w:p w14:paraId="2DB543A3">
      <w:pPr>
        <w:spacing w:line="400" w:lineRule="exact"/>
        <w:jc w:val="center"/>
        <w:rPr>
          <w:rFonts w:hint="eastAsia" w:ascii="宋体" w:hAnsi="宋体"/>
          <w:b/>
          <w:bCs/>
          <w:sz w:val="36"/>
        </w:rPr>
      </w:pPr>
    </w:p>
    <w:p w14:paraId="7E7EF34D">
      <w:pPr>
        <w:spacing w:line="400" w:lineRule="exact"/>
        <w:jc w:val="center"/>
        <w:rPr>
          <w:rFonts w:ascii="宋体"/>
          <w:b/>
          <w:bCs/>
          <w:sz w:val="36"/>
        </w:rPr>
      </w:pPr>
      <w:r>
        <w:rPr>
          <w:rFonts w:hint="eastAsia" w:ascii="宋体" w:hAnsi="宋体"/>
          <w:b/>
          <w:bCs/>
          <w:sz w:val="36"/>
        </w:rPr>
        <w:t>二、参选规定及说明</w:t>
      </w:r>
    </w:p>
    <w:p w14:paraId="5A5101D0">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加氢裂化装置水溶性中和缓蚀剂</w:t>
      </w:r>
      <w:r>
        <w:rPr>
          <w:rFonts w:hint="eastAsia" w:ascii="宋体" w:hAnsi="宋体"/>
          <w:sz w:val="18"/>
          <w:szCs w:val="18"/>
          <w:u w:val="single"/>
        </w:rPr>
        <w:t>。</w:t>
      </w:r>
    </w:p>
    <w:p w14:paraId="34A01822">
      <w:pPr>
        <w:pStyle w:val="19"/>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14:paraId="427369F8">
      <w:pPr>
        <w:spacing w:line="320" w:lineRule="exact"/>
        <w:rPr>
          <w:rFonts w:ascii="宋体"/>
          <w:sz w:val="18"/>
          <w:szCs w:val="18"/>
        </w:rPr>
      </w:pPr>
      <w:r>
        <w:rPr>
          <w:rFonts w:hint="eastAsia" w:ascii="宋体"/>
          <w:sz w:val="18"/>
          <w:szCs w:val="18"/>
        </w:rPr>
        <w:t>2.参选人资格：</w:t>
      </w:r>
    </w:p>
    <w:p w14:paraId="65676B5D">
      <w:pPr>
        <w:spacing w:line="320" w:lineRule="exact"/>
        <w:rPr>
          <w:rFonts w:hint="eastAsia" w:ascii="宋体"/>
          <w:sz w:val="18"/>
          <w:szCs w:val="18"/>
        </w:rPr>
      </w:pPr>
      <w:r>
        <w:rPr>
          <w:rFonts w:hint="eastAsia" w:ascii="宋体"/>
          <w:sz w:val="18"/>
          <w:szCs w:val="18"/>
        </w:rPr>
        <w:t>（1）具备独立法人资格、具备有效的企业法人营业执照；</w:t>
      </w:r>
    </w:p>
    <w:p w14:paraId="02B06583">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2905CC2F">
      <w:pPr>
        <w:spacing w:line="320" w:lineRule="exact"/>
        <w:rPr>
          <w:rFonts w:ascii="宋体"/>
          <w:sz w:val="18"/>
          <w:szCs w:val="18"/>
        </w:rPr>
      </w:pPr>
      <w:r>
        <w:rPr>
          <w:rFonts w:hint="eastAsia" w:ascii="宋体"/>
          <w:sz w:val="18"/>
          <w:szCs w:val="18"/>
        </w:rPr>
        <w:t>（3）没有失信黑名单记录（以最高院失信被执行人系统发布信息为准）；</w:t>
      </w:r>
    </w:p>
    <w:p w14:paraId="4B8B6ED4">
      <w:pPr>
        <w:spacing w:line="320" w:lineRule="exact"/>
        <w:rPr>
          <w:rFonts w:hint="eastAsia" w:ascii="宋体"/>
          <w:sz w:val="18"/>
          <w:szCs w:val="18"/>
        </w:rPr>
      </w:pPr>
      <w:r>
        <w:rPr>
          <w:rFonts w:hint="eastAsia" w:ascii="宋体"/>
          <w:sz w:val="18"/>
          <w:szCs w:val="18"/>
        </w:rPr>
        <w:t>（4）与比选人无诉讼纠纷。</w:t>
      </w:r>
    </w:p>
    <w:p w14:paraId="408B770B">
      <w:pPr>
        <w:spacing w:line="320" w:lineRule="exact"/>
        <w:rPr>
          <w:rFonts w:hint="eastAsia" w:ascii="宋体"/>
          <w:sz w:val="18"/>
          <w:szCs w:val="18"/>
        </w:rPr>
      </w:pPr>
      <w:r>
        <w:rPr>
          <w:rFonts w:hint="eastAsia" w:ascii="宋体"/>
          <w:sz w:val="18"/>
          <w:szCs w:val="18"/>
          <w:lang w:eastAsia="zh-CN"/>
        </w:rPr>
        <w:t>（</w:t>
      </w:r>
      <w:r>
        <w:rPr>
          <w:rFonts w:hint="eastAsia" w:ascii="宋体"/>
          <w:sz w:val="18"/>
          <w:szCs w:val="18"/>
          <w:lang w:val="en-US" w:eastAsia="zh-CN"/>
        </w:rPr>
        <w:t>5</w:t>
      </w:r>
      <w:r>
        <w:rPr>
          <w:rFonts w:hint="eastAsia" w:ascii="宋体"/>
          <w:sz w:val="18"/>
          <w:szCs w:val="18"/>
          <w:lang w:eastAsia="zh-CN"/>
        </w:rPr>
        <w:t>）</w:t>
      </w:r>
      <w:r>
        <w:rPr>
          <w:rFonts w:hint="eastAsia" w:ascii="宋体"/>
          <w:sz w:val="18"/>
          <w:szCs w:val="18"/>
        </w:rPr>
        <w:t>需</w:t>
      </w:r>
      <w:r>
        <w:rPr>
          <w:rFonts w:hint="eastAsia" w:ascii="宋体"/>
          <w:sz w:val="18"/>
          <w:szCs w:val="18"/>
          <w:lang w:val="en-US" w:eastAsia="zh-CN"/>
        </w:rPr>
        <w:t>有自2022年1月1日以来有同类装置的销售业绩至少3处以上</w:t>
      </w:r>
      <w:r>
        <w:rPr>
          <w:rFonts w:hint="eastAsia" w:ascii="宋体"/>
          <w:sz w:val="18"/>
          <w:szCs w:val="18"/>
          <w:lang w:eastAsia="zh-CN"/>
        </w:rPr>
        <w:t>。</w:t>
      </w:r>
    </w:p>
    <w:p w14:paraId="798FE39D">
      <w:pPr>
        <w:spacing w:line="320" w:lineRule="exact"/>
        <w:rPr>
          <w:rFonts w:hint="eastAsia" w:ascii="宋体"/>
          <w:sz w:val="18"/>
          <w:szCs w:val="18"/>
          <w:lang w:eastAsia="zh-CN"/>
        </w:rPr>
      </w:pPr>
      <w:r>
        <w:rPr>
          <w:rFonts w:hint="eastAsia" w:ascii="宋体"/>
          <w:sz w:val="18"/>
          <w:szCs w:val="18"/>
          <w:lang w:eastAsia="zh-CN"/>
        </w:rPr>
        <w:t>（</w:t>
      </w:r>
      <w:r>
        <w:rPr>
          <w:rFonts w:hint="eastAsia" w:ascii="宋体"/>
          <w:sz w:val="18"/>
          <w:szCs w:val="18"/>
          <w:lang w:val="en-US" w:eastAsia="zh-CN"/>
        </w:rPr>
        <w:t>6</w:t>
      </w:r>
      <w:r>
        <w:rPr>
          <w:rFonts w:hint="eastAsia" w:ascii="宋体"/>
          <w:sz w:val="18"/>
          <w:szCs w:val="18"/>
          <w:lang w:eastAsia="zh-CN"/>
        </w:rPr>
        <w:t>）</w:t>
      </w:r>
      <w:r>
        <w:rPr>
          <w:rFonts w:hint="eastAsia" w:ascii="宋体"/>
          <w:sz w:val="18"/>
          <w:szCs w:val="18"/>
          <w:lang w:val="en-US" w:eastAsia="zh-CN"/>
        </w:rPr>
        <w:t xml:space="preserve"> </w:t>
      </w:r>
      <w:r>
        <w:rPr>
          <w:rFonts w:hint="eastAsia" w:ascii="宋体"/>
          <w:sz w:val="18"/>
          <w:szCs w:val="18"/>
          <w:lang w:eastAsia="zh-CN"/>
        </w:rPr>
        <w:t>属于福建福海创石油化工有限公司合格供应商或中国石油化工集团有限公司或</w:t>
      </w:r>
      <w:r>
        <w:rPr>
          <w:rFonts w:hint="eastAsia" w:ascii="宋体"/>
          <w:sz w:val="18"/>
          <w:szCs w:val="18"/>
          <w:lang w:eastAsia="zh-CN"/>
        </w:rPr>
        <w:fldChar w:fldCharType="begin"/>
      </w:r>
      <w:r>
        <w:rPr>
          <w:rFonts w:hint="eastAsia" w:ascii="宋体"/>
          <w:sz w:val="18"/>
          <w:szCs w:val="18"/>
          <w:lang w:eastAsia="zh-CN"/>
        </w:rPr>
        <w:instrText xml:space="preserve"> HYPERLINK "http://www.baidu.com/link?url=ZYA2ANSxRzGwTSAnMQmFtVicINMq9OUNpKTJ21r1pCxY1Pg-bo-kGdl88GpXkxvjkQiNS5EBki5bPS0gC-oOIK" \t "_blank" </w:instrText>
      </w:r>
      <w:r>
        <w:rPr>
          <w:rFonts w:hint="eastAsia" w:ascii="宋体"/>
          <w:sz w:val="18"/>
          <w:szCs w:val="18"/>
          <w:lang w:eastAsia="zh-CN"/>
        </w:rPr>
        <w:fldChar w:fldCharType="separate"/>
      </w:r>
      <w:r>
        <w:rPr>
          <w:rFonts w:hint="eastAsia" w:ascii="宋体"/>
          <w:sz w:val="18"/>
          <w:szCs w:val="18"/>
          <w:lang w:eastAsia="zh-CN"/>
        </w:rPr>
        <w:t>中国石油天然气集团有限公司</w:t>
      </w:r>
      <w:r>
        <w:rPr>
          <w:rFonts w:hint="eastAsia" w:ascii="宋体"/>
          <w:sz w:val="18"/>
          <w:szCs w:val="18"/>
          <w:lang w:eastAsia="zh-CN"/>
        </w:rPr>
        <w:fldChar w:fldCharType="end"/>
      </w:r>
      <w:r>
        <w:rPr>
          <w:rFonts w:hint="eastAsia" w:ascii="宋体"/>
          <w:sz w:val="18"/>
          <w:szCs w:val="18"/>
          <w:lang w:eastAsia="zh-CN"/>
        </w:rPr>
        <w:t>合格供应商。</w:t>
      </w:r>
    </w:p>
    <w:p w14:paraId="186ED819">
      <w:pPr>
        <w:spacing w:line="320" w:lineRule="exact"/>
        <w:rPr>
          <w:rFonts w:ascii="宋体"/>
          <w:sz w:val="18"/>
          <w:szCs w:val="18"/>
          <w:highlight w:val="none"/>
        </w:rPr>
      </w:pPr>
      <w:r>
        <w:rPr>
          <w:rFonts w:hint="eastAsia" w:ascii="宋体"/>
          <w:sz w:val="18"/>
          <w:szCs w:val="18"/>
        </w:rPr>
        <w:t>（</w:t>
      </w:r>
      <w:r>
        <w:rPr>
          <w:rFonts w:hint="eastAsia" w:ascii="宋体"/>
          <w:sz w:val="18"/>
          <w:szCs w:val="18"/>
          <w:lang w:val="en-US" w:eastAsia="zh-CN"/>
        </w:rPr>
        <w:t>7</w:t>
      </w:r>
      <w:r>
        <w:rPr>
          <w:rFonts w:hint="eastAsia" w:ascii="宋体"/>
          <w:sz w:val="18"/>
          <w:szCs w:val="18"/>
        </w:rPr>
        <w:t>）</w:t>
      </w:r>
      <w:r>
        <w:rPr>
          <w:rFonts w:hint="eastAsia" w:ascii="宋体"/>
          <w:sz w:val="18"/>
          <w:szCs w:val="18"/>
          <w:highlight w:val="none"/>
        </w:rPr>
        <w:t>参选保证金：</w:t>
      </w:r>
      <w:r>
        <w:rPr>
          <w:rFonts w:hint="eastAsia" w:ascii="宋体"/>
          <w:sz w:val="18"/>
          <w:szCs w:val="18"/>
          <w:highlight w:val="none"/>
          <w:lang w:val="en-US" w:eastAsia="zh-CN"/>
        </w:rPr>
        <w:t>贰万元整</w:t>
      </w:r>
      <w:r>
        <w:rPr>
          <w:rFonts w:hint="eastAsia" w:ascii="宋体"/>
          <w:sz w:val="18"/>
          <w:szCs w:val="18"/>
          <w:highlight w:val="none"/>
        </w:rPr>
        <w:t>。</w:t>
      </w:r>
    </w:p>
    <w:p w14:paraId="3083A1D9">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1816D29A">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14:paraId="597D9025">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14:paraId="7F65E26D">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14:paraId="4E3C96D5">
      <w:pPr>
        <w:spacing w:line="320" w:lineRule="exact"/>
        <w:rPr>
          <w:rFonts w:ascii="宋体" w:hAnsi="宋体"/>
          <w:sz w:val="18"/>
          <w:szCs w:val="18"/>
        </w:rPr>
      </w:pPr>
      <w:r>
        <w:rPr>
          <w:rFonts w:hint="eastAsia" w:ascii="宋体" w:hAnsi="宋体"/>
          <w:sz w:val="18"/>
          <w:szCs w:val="18"/>
        </w:rPr>
        <w:t>（2）参选规定及说明</w:t>
      </w:r>
    </w:p>
    <w:p w14:paraId="72B46750">
      <w:pPr>
        <w:spacing w:line="320" w:lineRule="exact"/>
        <w:rPr>
          <w:rFonts w:ascii="宋体" w:hAnsi="宋体"/>
          <w:sz w:val="18"/>
          <w:szCs w:val="18"/>
        </w:rPr>
      </w:pPr>
      <w:r>
        <w:rPr>
          <w:rFonts w:hint="eastAsia" w:ascii="宋体" w:hAnsi="宋体"/>
          <w:sz w:val="18"/>
          <w:szCs w:val="18"/>
        </w:rPr>
        <w:t>（3）公开比选文件</w:t>
      </w:r>
    </w:p>
    <w:p w14:paraId="215BAFE2">
      <w:pPr>
        <w:spacing w:line="320" w:lineRule="exact"/>
        <w:rPr>
          <w:rFonts w:ascii="宋体" w:hAnsi="宋体"/>
          <w:sz w:val="18"/>
          <w:szCs w:val="18"/>
        </w:rPr>
      </w:pPr>
      <w:r>
        <w:rPr>
          <w:rFonts w:hint="eastAsia" w:ascii="宋体" w:hAnsi="宋体"/>
          <w:sz w:val="18"/>
          <w:szCs w:val="18"/>
        </w:rPr>
        <w:t>（4）参选书</w:t>
      </w:r>
    </w:p>
    <w:p w14:paraId="378CEC0F">
      <w:pPr>
        <w:spacing w:line="320" w:lineRule="exact"/>
        <w:rPr>
          <w:rFonts w:ascii="宋体" w:hAnsi="宋体"/>
          <w:sz w:val="18"/>
          <w:szCs w:val="18"/>
        </w:rPr>
      </w:pPr>
      <w:r>
        <w:rPr>
          <w:rFonts w:hint="eastAsia" w:ascii="宋体" w:hAnsi="宋体"/>
          <w:sz w:val="18"/>
          <w:szCs w:val="18"/>
        </w:rPr>
        <w:t>（5）法定代表人授权书</w:t>
      </w:r>
    </w:p>
    <w:p w14:paraId="6B872D10">
      <w:pPr>
        <w:spacing w:line="320" w:lineRule="exact"/>
        <w:rPr>
          <w:rFonts w:hint="eastAsia" w:ascii="宋体" w:hAnsi="宋体"/>
          <w:sz w:val="18"/>
          <w:szCs w:val="18"/>
        </w:rPr>
      </w:pPr>
      <w:r>
        <w:rPr>
          <w:rFonts w:hint="eastAsia" w:ascii="宋体" w:hAnsi="宋体"/>
          <w:sz w:val="18"/>
          <w:szCs w:val="18"/>
        </w:rPr>
        <w:t>（6）报价单</w:t>
      </w:r>
    </w:p>
    <w:p w14:paraId="554ED1E8">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技术要求</w:t>
      </w:r>
    </w:p>
    <w:p w14:paraId="113F4F18">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14:paraId="70EEB11D">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78FE894A">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5B5C401A">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14:paraId="6CB376EE">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加氢裂化装置水溶性中和缓蚀剂</w:t>
      </w:r>
      <w:r>
        <w:rPr>
          <w:rFonts w:hint="eastAsia" w:ascii="宋体" w:hAnsi="宋体"/>
          <w:sz w:val="18"/>
          <w:szCs w:val="18"/>
        </w:rPr>
        <w:t>的采购价格。比选会议确定价格之后：</w:t>
      </w:r>
    </w:p>
    <w:p w14:paraId="27039525">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14:paraId="1F1A1CF6">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14:paraId="0E87C07A">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14:paraId="6BCC1FAA">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613C517D">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w:t>
      </w:r>
      <w:r>
        <w:rPr>
          <w:rFonts w:hint="eastAsia" w:ascii="宋体" w:hAnsi="宋体"/>
          <w:sz w:val="18"/>
          <w:szCs w:val="18"/>
          <w:lang w:val="en-US" w:eastAsia="zh-CN"/>
        </w:rPr>
        <w:t>我司</w:t>
      </w:r>
      <w:r>
        <w:rPr>
          <w:rFonts w:hint="eastAsia" w:ascii="宋体" w:hAnsi="宋体"/>
          <w:sz w:val="18"/>
          <w:szCs w:val="18"/>
        </w:rPr>
        <w:t>情况而定。</w:t>
      </w:r>
    </w:p>
    <w:p w14:paraId="6159A3BB">
      <w:pPr>
        <w:spacing w:line="320" w:lineRule="exact"/>
        <w:rPr>
          <w:rFonts w:ascii="宋体" w:hAnsi="宋体"/>
          <w:sz w:val="18"/>
          <w:szCs w:val="18"/>
        </w:rPr>
      </w:pPr>
      <w:r>
        <w:rPr>
          <w:rFonts w:hint="eastAsia" w:ascii="宋体" w:hAnsi="宋体"/>
          <w:sz w:val="18"/>
          <w:szCs w:val="18"/>
        </w:rPr>
        <w:t>12.参选文件不退还。</w:t>
      </w:r>
    </w:p>
    <w:p w14:paraId="6FA960AB">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14:paraId="63843B44">
      <w:pPr>
        <w:spacing w:line="500" w:lineRule="exact"/>
        <w:jc w:val="center"/>
        <w:rPr>
          <w:rFonts w:hint="eastAsia" w:ascii="宋体" w:hAnsi="宋体"/>
          <w:b/>
          <w:bCs/>
          <w:sz w:val="36"/>
          <w:szCs w:val="36"/>
        </w:rPr>
      </w:pPr>
    </w:p>
    <w:p w14:paraId="7EBD3319">
      <w:pPr>
        <w:spacing w:line="500" w:lineRule="exact"/>
        <w:jc w:val="center"/>
        <w:rPr>
          <w:rFonts w:hint="eastAsia" w:ascii="宋体" w:hAnsi="宋体"/>
          <w:b/>
          <w:bCs/>
          <w:sz w:val="36"/>
          <w:szCs w:val="36"/>
        </w:rPr>
      </w:pPr>
    </w:p>
    <w:p w14:paraId="6260C009">
      <w:pPr>
        <w:spacing w:line="500" w:lineRule="exact"/>
        <w:jc w:val="center"/>
        <w:rPr>
          <w:rFonts w:hint="eastAsia" w:ascii="宋体" w:hAnsi="宋体"/>
          <w:b/>
          <w:bCs/>
          <w:sz w:val="36"/>
          <w:szCs w:val="36"/>
        </w:rPr>
      </w:pPr>
    </w:p>
    <w:p w14:paraId="4F117948">
      <w:pPr>
        <w:spacing w:line="500" w:lineRule="exact"/>
        <w:jc w:val="center"/>
        <w:rPr>
          <w:rFonts w:hint="eastAsia" w:ascii="宋体" w:hAnsi="宋体"/>
          <w:b/>
          <w:bCs/>
          <w:sz w:val="36"/>
          <w:szCs w:val="36"/>
        </w:rPr>
      </w:pPr>
    </w:p>
    <w:p w14:paraId="495ED4E1">
      <w:pPr>
        <w:spacing w:line="500" w:lineRule="exact"/>
        <w:jc w:val="center"/>
        <w:rPr>
          <w:rFonts w:hint="eastAsia" w:ascii="宋体" w:hAnsi="宋体"/>
          <w:b/>
          <w:bCs/>
          <w:sz w:val="36"/>
          <w:szCs w:val="36"/>
        </w:rPr>
      </w:pPr>
    </w:p>
    <w:p w14:paraId="003A3512">
      <w:pPr>
        <w:spacing w:line="500" w:lineRule="exact"/>
        <w:jc w:val="center"/>
        <w:rPr>
          <w:rFonts w:hint="eastAsia" w:ascii="宋体" w:hAnsi="宋体"/>
          <w:b/>
          <w:bCs/>
          <w:sz w:val="36"/>
          <w:szCs w:val="36"/>
        </w:rPr>
      </w:pPr>
    </w:p>
    <w:p w14:paraId="7987BD86">
      <w:pPr>
        <w:spacing w:line="500" w:lineRule="exact"/>
        <w:jc w:val="center"/>
        <w:rPr>
          <w:rFonts w:hint="eastAsia" w:ascii="宋体" w:hAnsi="宋体"/>
          <w:b/>
          <w:bCs/>
          <w:sz w:val="36"/>
          <w:szCs w:val="36"/>
        </w:rPr>
      </w:pPr>
    </w:p>
    <w:p w14:paraId="59ED591B">
      <w:pPr>
        <w:spacing w:line="500" w:lineRule="exact"/>
        <w:jc w:val="center"/>
        <w:rPr>
          <w:rFonts w:hint="eastAsia" w:ascii="宋体" w:hAnsi="宋体"/>
          <w:b/>
          <w:bCs/>
          <w:sz w:val="36"/>
          <w:szCs w:val="36"/>
        </w:rPr>
      </w:pPr>
    </w:p>
    <w:p w14:paraId="3F08932C">
      <w:pPr>
        <w:spacing w:line="500" w:lineRule="exact"/>
        <w:jc w:val="center"/>
        <w:rPr>
          <w:rFonts w:hint="eastAsia" w:ascii="宋体" w:hAnsi="宋体"/>
          <w:b/>
          <w:bCs/>
          <w:sz w:val="36"/>
          <w:szCs w:val="36"/>
        </w:rPr>
      </w:pPr>
    </w:p>
    <w:p w14:paraId="337455D6">
      <w:pPr>
        <w:spacing w:line="500" w:lineRule="exact"/>
        <w:jc w:val="center"/>
        <w:rPr>
          <w:rFonts w:hint="eastAsia" w:ascii="宋体" w:hAnsi="宋体"/>
          <w:b/>
          <w:bCs/>
          <w:sz w:val="36"/>
          <w:szCs w:val="36"/>
        </w:rPr>
      </w:pPr>
    </w:p>
    <w:p w14:paraId="4D72F962">
      <w:pPr>
        <w:spacing w:line="500" w:lineRule="exact"/>
        <w:jc w:val="center"/>
        <w:rPr>
          <w:rFonts w:hint="eastAsia" w:ascii="宋体" w:hAnsi="宋体"/>
          <w:b/>
          <w:bCs/>
          <w:sz w:val="36"/>
          <w:szCs w:val="36"/>
        </w:rPr>
      </w:pPr>
    </w:p>
    <w:p w14:paraId="16EE5FF3">
      <w:pPr>
        <w:spacing w:line="500" w:lineRule="exact"/>
        <w:jc w:val="center"/>
        <w:rPr>
          <w:rFonts w:hint="eastAsia" w:ascii="宋体" w:hAnsi="宋体"/>
          <w:b/>
          <w:bCs/>
          <w:sz w:val="36"/>
          <w:szCs w:val="36"/>
        </w:rPr>
      </w:pPr>
    </w:p>
    <w:p w14:paraId="0282E30A">
      <w:pPr>
        <w:spacing w:line="500" w:lineRule="exact"/>
        <w:jc w:val="center"/>
        <w:rPr>
          <w:rFonts w:hint="eastAsia" w:ascii="宋体" w:hAnsi="宋体"/>
          <w:b/>
          <w:bCs/>
          <w:sz w:val="36"/>
          <w:szCs w:val="36"/>
        </w:rPr>
      </w:pPr>
    </w:p>
    <w:p w14:paraId="4A990576">
      <w:pPr>
        <w:spacing w:line="500" w:lineRule="exact"/>
        <w:jc w:val="center"/>
        <w:rPr>
          <w:rFonts w:hint="eastAsia" w:ascii="宋体" w:hAnsi="宋体"/>
          <w:b/>
          <w:bCs/>
          <w:sz w:val="36"/>
          <w:szCs w:val="36"/>
        </w:rPr>
      </w:pPr>
    </w:p>
    <w:p w14:paraId="77B1A9B8">
      <w:pPr>
        <w:spacing w:line="500" w:lineRule="exact"/>
        <w:jc w:val="center"/>
        <w:rPr>
          <w:rFonts w:hint="eastAsia" w:ascii="宋体" w:hAnsi="宋体"/>
          <w:b/>
          <w:bCs/>
          <w:sz w:val="36"/>
          <w:szCs w:val="36"/>
        </w:rPr>
      </w:pPr>
    </w:p>
    <w:p w14:paraId="2B64BD43">
      <w:pPr>
        <w:spacing w:line="500" w:lineRule="exact"/>
        <w:jc w:val="center"/>
        <w:rPr>
          <w:rFonts w:hint="eastAsia" w:ascii="宋体" w:hAnsi="宋体"/>
          <w:b/>
          <w:bCs/>
          <w:sz w:val="36"/>
          <w:szCs w:val="36"/>
        </w:rPr>
      </w:pPr>
    </w:p>
    <w:p w14:paraId="591ED891">
      <w:pPr>
        <w:spacing w:line="500" w:lineRule="exact"/>
        <w:jc w:val="center"/>
        <w:rPr>
          <w:rFonts w:hint="eastAsia" w:ascii="宋体" w:hAnsi="宋体"/>
          <w:b/>
          <w:bCs/>
          <w:sz w:val="36"/>
          <w:szCs w:val="36"/>
        </w:rPr>
      </w:pPr>
    </w:p>
    <w:p w14:paraId="2E959AD0">
      <w:pPr>
        <w:spacing w:line="500" w:lineRule="exact"/>
        <w:jc w:val="center"/>
        <w:rPr>
          <w:rFonts w:hint="eastAsia" w:ascii="宋体" w:hAnsi="宋体"/>
          <w:b/>
          <w:bCs/>
          <w:sz w:val="36"/>
          <w:szCs w:val="36"/>
        </w:rPr>
      </w:pPr>
    </w:p>
    <w:p w14:paraId="708E5F96">
      <w:pPr>
        <w:spacing w:line="500" w:lineRule="exact"/>
        <w:jc w:val="center"/>
        <w:rPr>
          <w:rFonts w:hint="eastAsia" w:ascii="宋体" w:hAnsi="宋体"/>
          <w:b/>
          <w:bCs/>
          <w:sz w:val="36"/>
          <w:szCs w:val="36"/>
        </w:rPr>
      </w:pPr>
    </w:p>
    <w:p w14:paraId="6BCE31E2">
      <w:pPr>
        <w:spacing w:line="500" w:lineRule="exact"/>
        <w:jc w:val="center"/>
        <w:rPr>
          <w:rFonts w:hint="eastAsia" w:ascii="宋体" w:hAnsi="宋体"/>
          <w:b/>
          <w:bCs/>
          <w:sz w:val="36"/>
          <w:szCs w:val="36"/>
        </w:rPr>
      </w:pPr>
    </w:p>
    <w:p w14:paraId="5FAE2E51">
      <w:pPr>
        <w:spacing w:line="500" w:lineRule="exact"/>
        <w:jc w:val="center"/>
        <w:rPr>
          <w:rFonts w:hint="eastAsia" w:ascii="宋体" w:hAnsi="宋体"/>
          <w:b/>
          <w:bCs/>
          <w:sz w:val="36"/>
          <w:szCs w:val="36"/>
        </w:rPr>
      </w:pPr>
    </w:p>
    <w:p w14:paraId="1AF30E07">
      <w:pPr>
        <w:spacing w:line="500" w:lineRule="exact"/>
        <w:jc w:val="center"/>
        <w:rPr>
          <w:rFonts w:hint="eastAsia" w:ascii="宋体" w:hAnsi="宋体"/>
          <w:b/>
          <w:bCs/>
          <w:sz w:val="36"/>
          <w:szCs w:val="36"/>
        </w:rPr>
      </w:pPr>
    </w:p>
    <w:p w14:paraId="0474A496">
      <w:pPr>
        <w:spacing w:line="500" w:lineRule="exact"/>
        <w:jc w:val="center"/>
        <w:rPr>
          <w:rFonts w:hint="eastAsia" w:ascii="宋体" w:hAnsi="宋体"/>
          <w:b/>
          <w:bCs/>
          <w:sz w:val="36"/>
          <w:szCs w:val="36"/>
        </w:rPr>
      </w:pPr>
    </w:p>
    <w:p w14:paraId="05A08455">
      <w:pPr>
        <w:spacing w:line="500" w:lineRule="exact"/>
        <w:jc w:val="center"/>
        <w:rPr>
          <w:rFonts w:hint="eastAsia" w:ascii="宋体" w:hAnsi="宋体"/>
          <w:b/>
          <w:bCs/>
          <w:sz w:val="36"/>
          <w:szCs w:val="36"/>
        </w:rPr>
      </w:pPr>
    </w:p>
    <w:p w14:paraId="21200808">
      <w:pPr>
        <w:spacing w:line="500" w:lineRule="exact"/>
        <w:jc w:val="center"/>
        <w:rPr>
          <w:rFonts w:hint="eastAsia" w:ascii="宋体" w:hAnsi="宋体"/>
          <w:b/>
          <w:bCs/>
          <w:sz w:val="36"/>
          <w:szCs w:val="36"/>
        </w:rPr>
      </w:pPr>
    </w:p>
    <w:p w14:paraId="6DEFB45A">
      <w:pPr>
        <w:spacing w:line="500" w:lineRule="exact"/>
        <w:jc w:val="center"/>
        <w:rPr>
          <w:rFonts w:ascii="宋体"/>
          <w:b/>
          <w:bCs/>
          <w:sz w:val="36"/>
          <w:szCs w:val="36"/>
        </w:rPr>
      </w:pPr>
      <w:r>
        <w:rPr>
          <w:rFonts w:hint="eastAsia" w:ascii="宋体" w:hAnsi="宋体"/>
          <w:b/>
          <w:bCs/>
          <w:sz w:val="36"/>
          <w:szCs w:val="36"/>
        </w:rPr>
        <w:t>三、比选文件</w:t>
      </w:r>
    </w:p>
    <w:p w14:paraId="1C304E40">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2024-FHC-水溶性中和缓蚀剂-0920</w:t>
      </w:r>
    </w:p>
    <w:p w14:paraId="762A26FF">
      <w:pPr>
        <w:tabs>
          <w:tab w:val="left" w:pos="6846"/>
        </w:tabs>
        <w:spacing w:line="360" w:lineRule="exact"/>
        <w:jc w:val="left"/>
        <w:rPr>
          <w:rFonts w:ascii="宋体" w:hAnsi="宋体"/>
          <w:sz w:val="28"/>
          <w:szCs w:val="28"/>
        </w:rPr>
      </w:pPr>
    </w:p>
    <w:p w14:paraId="7FE2869B">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加氢裂化装置水溶性中和缓蚀剂</w:t>
      </w:r>
      <w:r>
        <w:rPr>
          <w:rFonts w:hint="eastAsia" w:ascii="宋体" w:hAnsi="宋体"/>
          <w:sz w:val="24"/>
          <w:szCs w:val="24"/>
        </w:rPr>
        <w:t>，具体要求如下</w:t>
      </w:r>
      <w:r>
        <w:rPr>
          <w:rFonts w:hint="eastAsia" w:ascii="宋体" w:hAnsi="宋体"/>
          <w:sz w:val="24"/>
          <w:szCs w:val="24"/>
          <w:lang w:eastAsia="zh-CN"/>
        </w:rPr>
        <w:t>：</w:t>
      </w:r>
      <w:r>
        <w:rPr>
          <w:rFonts w:ascii="宋体"/>
          <w:sz w:val="24"/>
          <w:szCs w:val="24"/>
        </w:rPr>
        <w:tab/>
      </w:r>
    </w:p>
    <w:p w14:paraId="589F8916">
      <w:pPr>
        <w:tabs>
          <w:tab w:val="left" w:pos="6846"/>
        </w:tabs>
        <w:spacing w:line="360" w:lineRule="exact"/>
        <w:jc w:val="left"/>
        <w:rPr>
          <w:rFonts w:hint="eastAsia" w:ascii="宋体" w:eastAsia="宋体"/>
          <w:sz w:val="24"/>
          <w:szCs w:val="24"/>
          <w:lang w:val="en-US" w:eastAsia="zh-CN"/>
        </w:rPr>
      </w:pPr>
      <w:r>
        <w:rPr>
          <w:rFonts w:hint="eastAsia" w:ascii="宋体"/>
          <w:sz w:val="24"/>
          <w:szCs w:val="24"/>
          <w:lang w:val="en-US" w:eastAsia="zh-CN"/>
        </w:rPr>
        <w:t>1.数量：约2年使用量，合约期限为2025年1月1日-2026年12月31日。</w:t>
      </w:r>
    </w:p>
    <w:p w14:paraId="24DE8712">
      <w:pPr>
        <w:numPr>
          <w:ilvl w:val="0"/>
          <w:numId w:val="0"/>
        </w:numPr>
        <w:spacing w:line="360" w:lineRule="exact"/>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sz w:val="24"/>
          <w:szCs w:val="24"/>
          <w:lang w:val="en-US" w:eastAsia="zh-CN"/>
        </w:rPr>
        <w:t>加氢裂化装置中和缓蚀剂</w:t>
      </w:r>
      <w:r>
        <w:rPr>
          <w:rFonts w:hint="eastAsia" w:ascii="宋体" w:hAnsi="宋体" w:cs="宋体"/>
          <w:sz w:val="24"/>
          <w:highlight w:val="none"/>
          <w:lang w:val="en-US" w:eastAsia="zh-CN"/>
        </w:rPr>
        <w:t>质量指标要求：</w:t>
      </w:r>
    </w:p>
    <w:tbl>
      <w:tblPr>
        <w:tblStyle w:val="9"/>
        <w:tblW w:w="7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3562"/>
      </w:tblGrid>
      <w:tr w14:paraId="70C1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8" w:type="dxa"/>
            <w:vAlign w:val="center"/>
          </w:tcPr>
          <w:p w14:paraId="3211B371">
            <w:pPr>
              <w:numPr>
                <w:ilvl w:val="0"/>
                <w:numId w:val="0"/>
              </w:numPr>
              <w:spacing w:line="360" w:lineRule="exact"/>
              <w:jc w:val="center"/>
              <w:rPr>
                <w:rFonts w:ascii="宋体" w:hAnsi="宋体" w:cs="宋体"/>
                <w:sz w:val="24"/>
                <w:highlight w:val="none"/>
              </w:rPr>
            </w:pPr>
            <w:r>
              <w:rPr>
                <w:rFonts w:ascii="宋体" w:hAnsi="宋体" w:cs="宋体"/>
                <w:sz w:val="24"/>
                <w:highlight w:val="none"/>
              </w:rPr>
              <w:t>型号</w:t>
            </w:r>
          </w:p>
        </w:tc>
        <w:tc>
          <w:tcPr>
            <w:tcW w:w="3562" w:type="dxa"/>
            <w:vAlign w:val="center"/>
          </w:tcPr>
          <w:p w14:paraId="440CAF1E">
            <w:pPr>
              <w:numPr>
                <w:ilvl w:val="0"/>
                <w:numId w:val="0"/>
              </w:numPr>
              <w:spacing w:line="360" w:lineRule="exact"/>
              <w:jc w:val="center"/>
              <w:rPr>
                <w:rFonts w:ascii="宋体" w:hAnsi="宋体" w:cs="宋体"/>
                <w:sz w:val="24"/>
                <w:highlight w:val="none"/>
              </w:rPr>
            </w:pPr>
            <w:r>
              <w:rPr>
                <w:rFonts w:ascii="宋体" w:hAnsi="宋体" w:cs="宋体"/>
                <w:sz w:val="24"/>
                <w:highlight w:val="none"/>
              </w:rPr>
              <w:t>指标</w:t>
            </w:r>
          </w:p>
        </w:tc>
      </w:tr>
      <w:tr w14:paraId="3F12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78" w:type="dxa"/>
            <w:vAlign w:val="center"/>
          </w:tcPr>
          <w:p w14:paraId="76A34DD3">
            <w:pPr>
              <w:numPr>
                <w:ilvl w:val="0"/>
                <w:numId w:val="0"/>
              </w:numPr>
              <w:spacing w:line="360" w:lineRule="exact"/>
              <w:jc w:val="center"/>
              <w:rPr>
                <w:rFonts w:ascii="宋体" w:hAnsi="宋体" w:cs="宋体"/>
                <w:sz w:val="24"/>
                <w:highlight w:val="none"/>
              </w:rPr>
            </w:pPr>
            <w:r>
              <w:rPr>
                <w:rFonts w:ascii="宋体" w:hAnsi="宋体" w:cs="宋体"/>
                <w:sz w:val="24"/>
                <w:highlight w:val="none"/>
              </w:rPr>
              <w:t>外观</w:t>
            </w:r>
          </w:p>
        </w:tc>
        <w:tc>
          <w:tcPr>
            <w:tcW w:w="3562" w:type="dxa"/>
            <w:tcBorders>
              <w:top w:val="single" w:color="auto" w:sz="4" w:space="0"/>
              <w:left w:val="single" w:color="auto" w:sz="4" w:space="0"/>
              <w:bottom w:val="single" w:color="auto" w:sz="4" w:space="0"/>
              <w:right w:val="single" w:color="auto" w:sz="4" w:space="0"/>
            </w:tcBorders>
            <w:vAlign w:val="center"/>
          </w:tcPr>
          <w:p w14:paraId="406C55DF">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均匀液体</w:t>
            </w:r>
          </w:p>
        </w:tc>
      </w:tr>
      <w:tr w14:paraId="2188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78" w:type="dxa"/>
            <w:vAlign w:val="center"/>
          </w:tcPr>
          <w:p w14:paraId="51F2F868">
            <w:pPr>
              <w:numPr>
                <w:ilvl w:val="0"/>
                <w:numId w:val="0"/>
              </w:numPr>
              <w:spacing w:line="360" w:lineRule="exact"/>
              <w:jc w:val="center"/>
              <w:rPr>
                <w:rFonts w:ascii="宋体" w:hAnsi="宋体" w:cs="宋体"/>
                <w:sz w:val="24"/>
                <w:highlight w:val="none"/>
              </w:rPr>
            </w:pPr>
            <w:r>
              <w:rPr>
                <w:rFonts w:ascii="宋体" w:hAnsi="宋体" w:cs="宋体"/>
                <w:sz w:val="24"/>
                <w:highlight w:val="none"/>
              </w:rPr>
              <w:t>密度（20℃），g/cm3</w:t>
            </w:r>
          </w:p>
        </w:tc>
        <w:tc>
          <w:tcPr>
            <w:tcW w:w="3562" w:type="dxa"/>
            <w:tcBorders>
              <w:top w:val="single" w:color="auto" w:sz="4" w:space="0"/>
              <w:left w:val="single" w:color="auto" w:sz="4" w:space="0"/>
              <w:bottom w:val="single" w:color="auto" w:sz="4" w:space="0"/>
              <w:right w:val="single" w:color="auto" w:sz="4" w:space="0"/>
            </w:tcBorders>
            <w:vAlign w:val="center"/>
          </w:tcPr>
          <w:p w14:paraId="3766B25D">
            <w:pPr>
              <w:numPr>
                <w:ilvl w:val="0"/>
                <w:numId w:val="0"/>
              </w:numPr>
              <w:spacing w:line="360" w:lineRule="exact"/>
              <w:jc w:val="center"/>
              <w:rPr>
                <w:rFonts w:ascii="宋体" w:hAnsi="宋体" w:cs="宋体"/>
                <w:sz w:val="24"/>
                <w:highlight w:val="none"/>
              </w:rPr>
            </w:pPr>
            <w:r>
              <w:rPr>
                <w:rFonts w:ascii="宋体" w:hAnsi="宋体" w:cs="宋体"/>
                <w:sz w:val="24"/>
                <w:highlight w:val="none"/>
              </w:rPr>
              <w:t>0.85</w:t>
            </w:r>
            <w:r>
              <w:rPr>
                <w:rFonts w:hint="eastAsia" w:ascii="宋体" w:hAnsi="宋体" w:cs="宋体"/>
                <w:sz w:val="24"/>
                <w:highlight w:val="none"/>
              </w:rPr>
              <w:t>~</w:t>
            </w:r>
            <w:r>
              <w:rPr>
                <w:rFonts w:ascii="宋体" w:hAnsi="宋体" w:cs="宋体"/>
                <w:sz w:val="24"/>
                <w:highlight w:val="none"/>
              </w:rPr>
              <w:t>1.15</w:t>
            </w:r>
          </w:p>
        </w:tc>
      </w:tr>
      <w:tr w14:paraId="72DE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478" w:type="dxa"/>
            <w:vAlign w:val="center"/>
          </w:tcPr>
          <w:p w14:paraId="19FFE109">
            <w:pPr>
              <w:numPr>
                <w:ilvl w:val="0"/>
                <w:numId w:val="0"/>
              </w:numPr>
              <w:spacing w:line="360" w:lineRule="exact"/>
              <w:jc w:val="center"/>
              <w:rPr>
                <w:rFonts w:ascii="宋体" w:hAnsi="宋体" w:cs="宋体"/>
                <w:sz w:val="24"/>
                <w:highlight w:val="none"/>
              </w:rPr>
            </w:pPr>
            <w:r>
              <w:rPr>
                <w:rFonts w:ascii="宋体" w:hAnsi="宋体" w:cs="宋体"/>
                <w:sz w:val="24"/>
                <w:highlight w:val="none"/>
              </w:rPr>
              <w:t>pH值（25℃）</w:t>
            </w:r>
          </w:p>
        </w:tc>
        <w:tc>
          <w:tcPr>
            <w:tcW w:w="3562" w:type="dxa"/>
            <w:tcBorders>
              <w:top w:val="single" w:color="auto" w:sz="4" w:space="0"/>
              <w:left w:val="single" w:color="auto" w:sz="4" w:space="0"/>
              <w:bottom w:val="single" w:color="auto" w:sz="4" w:space="0"/>
              <w:right w:val="single" w:color="auto" w:sz="4" w:space="0"/>
            </w:tcBorders>
            <w:vAlign w:val="center"/>
          </w:tcPr>
          <w:p w14:paraId="30CAAD94">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8</w:t>
            </w:r>
          </w:p>
        </w:tc>
      </w:tr>
      <w:tr w14:paraId="5D97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78" w:type="dxa"/>
            <w:vAlign w:val="center"/>
          </w:tcPr>
          <w:p w14:paraId="75D3F38F">
            <w:pPr>
              <w:numPr>
                <w:ilvl w:val="0"/>
                <w:numId w:val="0"/>
              </w:numPr>
              <w:spacing w:line="360" w:lineRule="exact"/>
              <w:jc w:val="center"/>
              <w:rPr>
                <w:rFonts w:ascii="宋体" w:hAnsi="宋体" w:cs="宋体"/>
                <w:sz w:val="24"/>
                <w:highlight w:val="none"/>
              </w:rPr>
            </w:pPr>
            <w:r>
              <w:rPr>
                <w:rFonts w:ascii="宋体" w:hAnsi="宋体" w:cs="宋体"/>
                <w:sz w:val="24"/>
                <w:highlight w:val="none"/>
              </w:rPr>
              <w:t>凝点，℃</w:t>
            </w:r>
          </w:p>
        </w:tc>
        <w:tc>
          <w:tcPr>
            <w:tcW w:w="3562" w:type="dxa"/>
            <w:tcBorders>
              <w:top w:val="single" w:color="auto" w:sz="4" w:space="0"/>
              <w:left w:val="single" w:color="auto" w:sz="4" w:space="0"/>
              <w:bottom w:val="single" w:color="auto" w:sz="4" w:space="0"/>
              <w:right w:val="single" w:color="auto" w:sz="4" w:space="0"/>
            </w:tcBorders>
            <w:vAlign w:val="center"/>
          </w:tcPr>
          <w:p w14:paraId="364C3683">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0</w:t>
            </w:r>
          </w:p>
        </w:tc>
      </w:tr>
      <w:tr w14:paraId="25D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8" w:type="dxa"/>
            <w:vAlign w:val="center"/>
          </w:tcPr>
          <w:p w14:paraId="448E6270">
            <w:pPr>
              <w:numPr>
                <w:ilvl w:val="0"/>
                <w:numId w:val="0"/>
              </w:numPr>
              <w:spacing w:line="360" w:lineRule="exact"/>
              <w:jc w:val="center"/>
              <w:rPr>
                <w:rFonts w:ascii="宋体" w:hAnsi="宋体" w:cs="宋体"/>
                <w:sz w:val="24"/>
                <w:highlight w:val="none"/>
              </w:rPr>
            </w:pPr>
            <w:r>
              <w:rPr>
                <w:rFonts w:ascii="宋体" w:hAnsi="宋体" w:cs="宋体"/>
                <w:sz w:val="24"/>
                <w:highlight w:val="none"/>
              </w:rPr>
              <w:t>溶解性</w:t>
            </w:r>
          </w:p>
        </w:tc>
        <w:tc>
          <w:tcPr>
            <w:tcW w:w="3562" w:type="dxa"/>
            <w:tcBorders>
              <w:top w:val="single" w:color="auto" w:sz="4" w:space="0"/>
              <w:left w:val="single" w:color="auto" w:sz="4" w:space="0"/>
              <w:bottom w:val="single" w:color="auto" w:sz="4" w:space="0"/>
              <w:right w:val="single" w:color="auto" w:sz="4" w:space="0"/>
            </w:tcBorders>
            <w:vAlign w:val="center"/>
          </w:tcPr>
          <w:p w14:paraId="469B255E">
            <w:pPr>
              <w:numPr>
                <w:ilvl w:val="0"/>
                <w:numId w:val="0"/>
              </w:numPr>
              <w:spacing w:line="360" w:lineRule="exact"/>
              <w:jc w:val="center"/>
              <w:rPr>
                <w:rFonts w:ascii="宋体" w:hAnsi="宋体" w:cs="宋体"/>
                <w:sz w:val="24"/>
                <w:highlight w:val="none"/>
              </w:rPr>
            </w:pPr>
            <w:r>
              <w:rPr>
                <w:rFonts w:hint="eastAsia" w:ascii="宋体" w:hAnsi="宋体" w:cs="宋体"/>
                <w:sz w:val="24"/>
                <w:highlight w:val="none"/>
              </w:rPr>
              <w:t>易溶入水</w:t>
            </w:r>
          </w:p>
        </w:tc>
      </w:tr>
    </w:tbl>
    <w:p w14:paraId="443DF5C9">
      <w:pPr>
        <w:numPr>
          <w:ilvl w:val="0"/>
          <w:numId w:val="0"/>
        </w:numPr>
        <w:spacing w:line="360" w:lineRule="exact"/>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Times New Roman" w:hAnsi="Times New Roman" w:eastAsia="宋体" w:cs="Times New Roman"/>
          <w:sz w:val="24"/>
        </w:rPr>
        <w:t>加氢裂化装置中和缓蚀剂技术保证值</w:t>
      </w:r>
      <w:r>
        <w:rPr>
          <w:rFonts w:hint="eastAsia" w:cs="Times New Roman"/>
          <w:sz w:val="24"/>
          <w:lang w:eastAsia="zh-CN"/>
        </w:rPr>
        <w:t>：</w:t>
      </w:r>
    </w:p>
    <w:p w14:paraId="663B491A">
      <w:pPr>
        <w:pStyle w:val="24"/>
        <w:numPr>
          <w:ilvl w:val="0"/>
          <w:numId w:val="5"/>
        </w:numPr>
        <w:spacing w:line="360" w:lineRule="auto"/>
        <w:ind w:left="873" w:leftChars="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液态水溶性，产品水溶性好，无乳化现象。</w:t>
      </w:r>
    </w:p>
    <w:p w14:paraId="42AA794D">
      <w:pPr>
        <w:pStyle w:val="24"/>
        <w:numPr>
          <w:ilvl w:val="0"/>
          <w:numId w:val="5"/>
        </w:numPr>
        <w:spacing w:line="360" w:lineRule="auto"/>
        <w:ind w:left="873" w:leftChars="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塔顶</w:t>
      </w:r>
      <w:r>
        <w:rPr>
          <w:rFonts w:hint="eastAsia"/>
          <w:color w:val="000000" w:themeColor="text1"/>
          <w:sz w:val="24"/>
          <w14:textFill>
            <w14:solidFill>
              <w14:schemeClr w14:val="tx1"/>
            </w14:solidFill>
          </w14:textFill>
        </w:rPr>
        <w:t>酸性</w:t>
      </w:r>
      <w:r>
        <w:rPr>
          <w:color w:val="000000" w:themeColor="text1"/>
          <w:sz w:val="24"/>
          <w14:textFill>
            <w14:solidFill>
              <w14:schemeClr w14:val="tx1"/>
            </w14:solidFill>
          </w14:textFill>
        </w:rPr>
        <w:t>水总铁含量</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3mg/L，pH</w:t>
      </w:r>
      <w:r>
        <w:rPr>
          <w:rFonts w:hint="eastAsia"/>
          <w:color w:val="000000" w:themeColor="text1"/>
          <w:sz w:val="24"/>
          <w14:textFill>
            <w14:solidFill>
              <w14:schemeClr w14:val="tx1"/>
            </w14:solidFill>
          </w14:textFill>
        </w:rPr>
        <w:t>值</w:t>
      </w:r>
      <w:r>
        <w:rPr>
          <w:rFonts w:hint="eastAsia"/>
          <w:color w:val="000000" w:themeColor="text1"/>
          <w:sz w:val="24"/>
          <w:lang w:val="en-US" w:eastAsia="zh-CN"/>
          <w14:textFill>
            <w14:solidFill>
              <w14:schemeClr w14:val="tx1"/>
            </w14:solidFill>
          </w14:textFill>
        </w:rPr>
        <w:t>7.0</w:t>
      </w:r>
      <w:r>
        <w:rPr>
          <w:color w:val="000000" w:themeColor="text1"/>
          <w:sz w:val="24"/>
          <w14:textFill>
            <w14:solidFill>
              <w14:schemeClr w14:val="tx1"/>
            </w14:solidFill>
          </w14:textFill>
        </w:rPr>
        <w:t>~9</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w:t>
      </w:r>
    </w:p>
    <w:p w14:paraId="34650F87">
      <w:pPr>
        <w:pStyle w:val="24"/>
        <w:numPr>
          <w:ilvl w:val="0"/>
          <w:numId w:val="5"/>
        </w:numPr>
        <w:spacing w:line="360" w:lineRule="auto"/>
        <w:ind w:left="-431" w:leftChars="0" w:firstLine="850" w:firstLineChars="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保证所提供产品在正确使用下对设备、装置无任何损坏，对下游催化剂、下游产品、终端产品无任何性质和质量的不良改变。</w:t>
      </w:r>
    </w:p>
    <w:p w14:paraId="3AD1E863">
      <w:pPr>
        <w:pStyle w:val="24"/>
        <w:numPr>
          <w:ilvl w:val="0"/>
          <w:numId w:val="5"/>
        </w:numPr>
        <w:spacing w:line="360" w:lineRule="auto"/>
        <w:ind w:left="873" w:leftChars="0" w:firstLineChars="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中和</w:t>
      </w:r>
      <w:r>
        <w:rPr>
          <w:color w:val="000000" w:themeColor="text1"/>
          <w:sz w:val="24"/>
          <w14:textFill>
            <w14:solidFill>
              <w14:schemeClr w14:val="tx1"/>
            </w14:solidFill>
          </w14:textFill>
        </w:rPr>
        <w:t>缓蚀剂产品预调配好，现场除盐水稀释后即可注入。</w:t>
      </w:r>
    </w:p>
    <w:p w14:paraId="2B298CC5">
      <w:pPr>
        <w:numPr>
          <w:ilvl w:val="0"/>
          <w:numId w:val="0"/>
        </w:numPr>
        <w:spacing w:line="360" w:lineRule="exact"/>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4.加氢裂化装置中和缓蚀剂注入量的要求；</w:t>
      </w:r>
    </w:p>
    <w:tbl>
      <w:tblPr>
        <w:tblStyle w:val="9"/>
        <w:tblW w:w="7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3550"/>
      </w:tblGrid>
      <w:tr w14:paraId="5A2D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7FCFA6F1">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注入点</w:t>
            </w:r>
          </w:p>
        </w:tc>
        <w:tc>
          <w:tcPr>
            <w:tcW w:w="3550" w:type="dxa"/>
          </w:tcPr>
          <w:p w14:paraId="5EE97794">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注入量（mg/kg）</w:t>
            </w:r>
          </w:p>
        </w:tc>
      </w:tr>
      <w:tr w14:paraId="7F54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292E39F5">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产品汽提塔顶</w:t>
            </w:r>
          </w:p>
        </w:tc>
        <w:tc>
          <w:tcPr>
            <w:tcW w:w="3550" w:type="dxa"/>
          </w:tcPr>
          <w:p w14:paraId="1AD7B4CB">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r w14:paraId="73C5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1AFF0756">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贫油吸收塔顶</w:t>
            </w:r>
          </w:p>
        </w:tc>
        <w:tc>
          <w:tcPr>
            <w:tcW w:w="3550" w:type="dxa"/>
          </w:tcPr>
          <w:p w14:paraId="054CE248">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r>
      <w:tr w14:paraId="00D6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0450B8BD">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脱乙烷塔顶</w:t>
            </w:r>
          </w:p>
        </w:tc>
        <w:tc>
          <w:tcPr>
            <w:tcW w:w="3550" w:type="dxa"/>
          </w:tcPr>
          <w:p w14:paraId="19A4BA98">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r>
      <w:tr w14:paraId="1918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50" w:type="dxa"/>
          </w:tcPr>
          <w:p w14:paraId="5FB64DA1">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脱丁烷塔顶</w:t>
            </w:r>
          </w:p>
        </w:tc>
        <w:tc>
          <w:tcPr>
            <w:tcW w:w="3550" w:type="dxa"/>
          </w:tcPr>
          <w:p w14:paraId="42581417">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r>
    </w:tbl>
    <w:p w14:paraId="0FD3CEE8">
      <w:pPr>
        <w:spacing w:line="360" w:lineRule="auto"/>
        <w:ind w:firstLine="480" w:firstLineChars="200"/>
        <w:jc w:val="left"/>
        <w:rPr>
          <w:rFonts w:hint="eastAsia" w:ascii="宋体" w:hAnsi="宋体" w:cs="宋体"/>
          <w:sz w:val="24"/>
          <w:lang w:val="en-US" w:eastAsia="zh-CN"/>
        </w:rPr>
      </w:pPr>
      <w:r>
        <w:rPr>
          <w:rFonts w:hint="eastAsia" w:ascii="Times New Roman" w:hAnsi="Times New Roman" w:eastAsia="宋体" w:cs="Times New Roman"/>
          <w:sz w:val="24"/>
          <w:szCs w:val="24"/>
        </w:rPr>
        <w:t>福建福海创石油化工有限公司</w:t>
      </w:r>
      <w:r>
        <w:rPr>
          <w:rFonts w:ascii="Times New Roman" w:hAnsi="Times New Roman" w:eastAsia="宋体" w:cs="Times New Roman"/>
          <w:kern w:val="28"/>
          <w:sz w:val="24"/>
          <w:szCs w:val="24"/>
        </w:rPr>
        <w:t>316</w:t>
      </w:r>
      <w:r>
        <w:rPr>
          <w:rFonts w:hint="eastAsia" w:ascii="Times New Roman" w:hAnsi="Times New Roman" w:eastAsia="宋体" w:cs="Times New Roman"/>
          <w:kern w:val="28"/>
          <w:sz w:val="24"/>
          <w:szCs w:val="24"/>
        </w:rPr>
        <w:t>万吨</w:t>
      </w:r>
      <w:r>
        <w:rPr>
          <w:rFonts w:ascii="Times New Roman" w:hAnsi="Times New Roman" w:eastAsia="宋体" w:cs="Times New Roman"/>
          <w:kern w:val="28"/>
          <w:sz w:val="24"/>
          <w:szCs w:val="24"/>
        </w:rPr>
        <w:t>/</w:t>
      </w:r>
      <w:r>
        <w:rPr>
          <w:rFonts w:hint="eastAsia" w:ascii="Times New Roman" w:hAnsi="Times New Roman" w:eastAsia="宋体" w:cs="Times New Roman"/>
          <w:kern w:val="28"/>
          <w:sz w:val="24"/>
          <w:szCs w:val="24"/>
        </w:rPr>
        <w:t>年加氢裂化装置</w:t>
      </w:r>
      <w:r>
        <w:rPr>
          <w:rFonts w:hint="eastAsia" w:ascii="Times New Roman" w:hAnsi="Times New Roman" w:eastAsia="宋体" w:cs="Times New Roman"/>
          <w:sz w:val="24"/>
          <w:szCs w:val="24"/>
        </w:rPr>
        <w:t>，各注入点缓蚀剂加注量不得高于</w:t>
      </w:r>
      <w:r>
        <w:rPr>
          <w:rFonts w:hint="eastAsia" w:ascii="Times New Roman" w:hAnsi="Times New Roman" w:eastAsia="宋体" w:cs="Times New Roman"/>
          <w:color w:val="000000" w:themeColor="text1"/>
          <w:sz w:val="24"/>
          <w:szCs w:val="24"/>
          <w14:textFill>
            <w14:solidFill>
              <w14:schemeClr w14:val="tx1"/>
            </w14:solidFill>
          </w14:textFill>
        </w:rPr>
        <w:t>上表中注入量，2套缓蚀剂注入点按注入量单独结算，最大预估季度消耗缓蚀剂：塔顶气相流量</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实际</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季度注剂时长*注入量</w:t>
      </w: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.3条款</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/1000000</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kern w:val="28"/>
          <w:sz w:val="24"/>
          <w:szCs w:val="24"/>
        </w:rPr>
        <w:t>实际供货量以装置实际消耗量为准，为了达到缓蚀效果，实际缓蚀剂用量超出最大预估季度消耗缓蚀量部分视同赠送</w:t>
      </w:r>
      <w:r>
        <w:rPr>
          <w:rFonts w:ascii="Times New Roman" w:hAnsi="Times New Roman" w:eastAsia="宋体" w:cs="Times New Roman"/>
          <w:kern w:val="28"/>
          <w:sz w:val="24"/>
          <w:szCs w:val="24"/>
        </w:rPr>
        <w:t>。</w:t>
      </w:r>
    </w:p>
    <w:p w14:paraId="70384924">
      <w:pPr>
        <w:numPr>
          <w:ilvl w:val="0"/>
          <w:numId w:val="0"/>
        </w:numPr>
        <w:spacing w:line="360" w:lineRule="exact"/>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包装方式：</w:t>
      </w:r>
      <w:r>
        <w:rPr>
          <w:rFonts w:hint="eastAsia" w:ascii="宋体" w:hAnsi="宋体"/>
          <w:color w:val="auto"/>
          <w:sz w:val="24"/>
          <w:lang w:val="en-US" w:eastAsia="zh-CN"/>
        </w:rPr>
        <w:t>采用桶包装，使用后的空桶由供方进行回收处理。</w:t>
      </w:r>
    </w:p>
    <w:p w14:paraId="20AFF87B">
      <w:pPr>
        <w:spacing w:line="360" w:lineRule="exact"/>
        <w:jc w:val="left"/>
        <w:rPr>
          <w:rFonts w:asci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sz w:val="24"/>
        </w:rPr>
        <w:t>到货时间：</w:t>
      </w:r>
      <w:r>
        <w:rPr>
          <w:rFonts w:hint="eastAsia" w:ascii="宋体" w:hAnsi="宋体"/>
          <w:sz w:val="24"/>
          <w:lang w:val="en-US" w:eastAsia="zh-CN"/>
        </w:rPr>
        <w:t>分批次</w:t>
      </w:r>
      <w:r>
        <w:rPr>
          <w:rFonts w:hint="eastAsia" w:ascii="宋体" w:hAnsi="宋体"/>
          <w:color w:val="auto"/>
          <w:sz w:val="24"/>
          <w:lang w:val="en-US" w:eastAsia="zh-CN"/>
        </w:rPr>
        <w:t>到货（约3个月送一次），要求于</w:t>
      </w:r>
      <w:r>
        <w:rPr>
          <w:rFonts w:hint="eastAsia" w:ascii="宋体" w:hAnsi="宋体"/>
          <w:sz w:val="24"/>
          <w:lang w:val="en-US" w:eastAsia="zh-CN"/>
        </w:rPr>
        <w:t>2024年12月前具备到货条件，具体到货时间以需方通知为准</w:t>
      </w:r>
      <w:r>
        <w:rPr>
          <w:rFonts w:hint="eastAsia" w:ascii="宋体" w:hAnsi="宋体"/>
          <w:sz w:val="24"/>
        </w:rPr>
        <w:t>。</w:t>
      </w:r>
    </w:p>
    <w:p w14:paraId="21FC482D">
      <w:pPr>
        <w:spacing w:line="350" w:lineRule="exact"/>
        <w:jc w:val="left"/>
        <w:rPr>
          <w:rFonts w:ascii="宋体" w:cs="宋体"/>
          <w:sz w:val="24"/>
        </w:rPr>
      </w:pPr>
      <w:r>
        <w:rPr>
          <w:rFonts w:hint="eastAsia" w:asciiTheme="minorEastAsia" w:hAnsiTheme="minorEastAsia" w:eastAsiaTheme="minorEastAsia"/>
          <w:bCs/>
          <w:kern w:val="0"/>
          <w:sz w:val="24"/>
          <w:lang w:val="en-US" w:eastAsia="zh-CN"/>
        </w:rPr>
        <w:t>7</w:t>
      </w:r>
      <w:r>
        <w:rPr>
          <w:rFonts w:hint="eastAsia" w:asciiTheme="minorEastAsia" w:hAnsiTheme="minorEastAsia" w:eastAsiaTheme="minorEastAsia"/>
          <w:bCs/>
          <w:kern w:val="0"/>
          <w:sz w:val="24"/>
        </w:rPr>
        <w:t>.报价须知：</w:t>
      </w:r>
      <w:r>
        <w:rPr>
          <w:rFonts w:hint="eastAsia" w:asciiTheme="minorEastAsia" w:hAnsiTheme="minorEastAsia" w:eastAsiaTheme="minorEastAsia"/>
          <w:bCs/>
          <w:kern w:val="0"/>
          <w:sz w:val="24"/>
          <w:lang w:val="en-US" w:eastAsia="zh-CN"/>
        </w:rPr>
        <w:t>加氢裂化装置水溶性中和缓蚀剂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14:paraId="78AC0E39">
      <w:pPr>
        <w:spacing w:line="35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.其他要求按双方签订的合同执行，关键条款重申如下：</w:t>
      </w:r>
    </w:p>
    <w:p w14:paraId="1727D683">
      <w:pPr>
        <w:spacing w:line="350" w:lineRule="exact"/>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.1付款方式：现汇支付</w:t>
      </w:r>
      <w:r>
        <w:rPr>
          <w:rFonts w:hint="eastAsia" w:ascii="宋体" w:hAnsi="宋体" w:cs="宋体"/>
          <w:sz w:val="24"/>
          <w:lang w:eastAsia="zh-CN"/>
        </w:rPr>
        <w:t>，</w:t>
      </w:r>
      <w:r>
        <w:rPr>
          <w:rFonts w:hint="eastAsia" w:ascii="宋体" w:hAnsi="宋体" w:cs="宋体"/>
          <w:sz w:val="24"/>
          <w:lang w:val="en-US" w:eastAsia="zh-CN"/>
        </w:rPr>
        <w:t>按季度考核付款</w:t>
      </w:r>
      <w:r>
        <w:rPr>
          <w:rFonts w:hint="eastAsia" w:ascii="宋体" w:hAnsi="宋体" w:cs="宋体"/>
          <w:sz w:val="24"/>
        </w:rPr>
        <w:t>。</w:t>
      </w:r>
      <w:r>
        <w:rPr>
          <w:rFonts w:hint="eastAsia" w:ascii="宋体" w:hAnsi="宋体" w:cs="宋体"/>
          <w:sz w:val="24"/>
          <w:lang w:val="en-US" w:eastAsia="zh-CN"/>
        </w:rPr>
        <w:t>分批季度到货、分批付款。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w:t>
      </w:r>
      <w:r>
        <w:rPr>
          <w:rFonts w:hint="eastAsia" w:ascii="宋体" w:hAnsi="宋体" w:cs="宋体"/>
          <w:sz w:val="24"/>
          <w:lang w:val="en-US" w:eastAsia="zh-CN"/>
        </w:rPr>
        <w:t>根据季度考核结果付款</w:t>
      </w:r>
      <w:r>
        <w:rPr>
          <w:rFonts w:hint="eastAsia" w:ascii="宋体" w:hAnsi="宋体" w:cs="宋体"/>
          <w:sz w:val="24"/>
          <w:lang w:eastAsia="zh-CN"/>
        </w:rPr>
        <w:t>。</w:t>
      </w:r>
    </w:p>
    <w:p w14:paraId="2820BEEB">
      <w:pPr>
        <w:spacing w:line="350" w:lineRule="exact"/>
        <w:jc w:val="left"/>
        <w:rPr>
          <w:rFonts w:ascii="宋体" w:hAnsi="宋体" w:cs="宋体"/>
          <w:sz w:val="24"/>
        </w:rPr>
      </w:pPr>
      <w:r>
        <w:rPr>
          <w:rFonts w:hint="eastAsia" w:ascii="宋体" w:hAnsi="宋体" w:cs="宋体"/>
          <w:sz w:val="24"/>
          <w:lang w:val="en-US" w:eastAsia="zh-CN"/>
        </w:rPr>
        <w:t>8</w:t>
      </w:r>
      <w:r>
        <w:rPr>
          <w:rFonts w:hint="eastAsia" w:ascii="宋体" w:hAnsi="宋体" w:cs="宋体"/>
          <w:sz w:val="24"/>
        </w:rPr>
        <w:t>.2数量验收：以需方使用单位验收为准。</w:t>
      </w:r>
    </w:p>
    <w:p w14:paraId="56EB2680">
      <w:pPr>
        <w:spacing w:line="350" w:lineRule="exact"/>
        <w:jc w:val="left"/>
        <w:rPr>
          <w:rFonts w:asciiTheme="minorEastAsia" w:hAnsiTheme="minorEastAsia" w:eastAsiaTheme="minorEastAsia"/>
          <w:kern w:val="0"/>
          <w:sz w:val="24"/>
        </w:rPr>
      </w:pPr>
      <w:r>
        <w:rPr>
          <w:rFonts w:hint="eastAsia" w:ascii="宋体" w:hAnsi="宋体"/>
          <w:sz w:val="24"/>
          <w:lang w:val="en-US" w:eastAsia="zh-CN"/>
        </w:rPr>
        <w:t>9</w:t>
      </w:r>
      <w:r>
        <w:rPr>
          <w:rFonts w:hint="eastAsia" w:ascii="宋体" w:hAnsi="宋体"/>
          <w:sz w:val="24"/>
        </w:rPr>
        <w:t>.运输条款：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14:paraId="73778F52">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.参选文件的递交</w:t>
      </w:r>
    </w:p>
    <w:p w14:paraId="16AABEF8">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.1参选文件递交截止时间：见比选公告。</w:t>
      </w:r>
    </w:p>
    <w:p w14:paraId="5E49D6FD">
      <w:pPr>
        <w:spacing w:line="360" w:lineRule="exact"/>
        <w:jc w:val="left"/>
        <w:rPr>
          <w:rFonts w:ascii="宋体" w:hAnsi="宋体" w:cs="宋体"/>
          <w:sz w:val="24"/>
        </w:rPr>
      </w:pPr>
      <w:r>
        <w:rPr>
          <w:rFonts w:hint="eastAsia" w:ascii="宋体" w:hAnsi="宋体" w:cs="宋体"/>
          <w:sz w:val="24"/>
          <w:lang w:val="en-US" w:eastAsia="zh-CN"/>
        </w:rPr>
        <w:t>10</w:t>
      </w:r>
      <w:r>
        <w:rPr>
          <w:rFonts w:hint="eastAsia" w:ascii="宋体" w:hAnsi="宋体" w:cs="宋体"/>
          <w:sz w:val="24"/>
        </w:rPr>
        <w:t>.2参选文件应密封，包含比选公告、参选规定及说明、公开比选文件、参选书、法定代表人授权书、报价单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技术要求</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14:paraId="23253C30">
      <w:pPr>
        <w:spacing w:line="360" w:lineRule="exact"/>
        <w:jc w:val="left"/>
        <w:rPr>
          <w:rFonts w:hint="eastAsia" w:ascii="宋体" w:hAnsi="宋体" w:cs="宋体"/>
          <w:sz w:val="24"/>
          <w:lang w:val="en-US" w:eastAsia="zh-CN"/>
        </w:rPr>
      </w:pPr>
      <w:r>
        <w:rPr>
          <w:rFonts w:hint="eastAsia" w:ascii="宋体" w:hAnsi="宋体" w:cs="宋体"/>
          <w:sz w:val="24"/>
          <w:lang w:val="en-US" w:eastAsia="zh-CN"/>
        </w:rPr>
        <w:t>10</w:t>
      </w:r>
      <w:r>
        <w:rPr>
          <w:rFonts w:hint="eastAsia" w:ascii="宋体" w:hAnsi="宋体" w:cs="宋体"/>
          <w:sz w:val="24"/>
        </w:rPr>
        <w:t>.3我公司快递联系方式：公司名称：</w:t>
      </w:r>
      <w:r>
        <w:rPr>
          <w:rFonts w:hint="eastAsia" w:ascii="宋体" w:hAnsi="宋体" w:cs="宋体"/>
          <w:sz w:val="24"/>
          <w:lang w:val="en-US" w:eastAsia="zh-CN"/>
        </w:rPr>
        <w:t>福建福海创石油化工有限公司</w:t>
      </w:r>
    </w:p>
    <w:p w14:paraId="22F5FF1D">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漳州市漳浦县杜浔镇杜昌路9号福海创办公大楼3楼煤炭及辅料团队</w:t>
      </w:r>
      <w:r>
        <w:rPr>
          <w:rFonts w:hint="eastAsia" w:ascii="宋体" w:hAnsi="宋体" w:cs="宋体"/>
          <w:sz w:val="24"/>
        </w:rPr>
        <w:t xml:space="preserve"> </w:t>
      </w:r>
    </w:p>
    <w:p w14:paraId="68E80D8D">
      <w:pPr>
        <w:spacing w:line="360" w:lineRule="exact"/>
        <w:jc w:val="left"/>
        <w:rPr>
          <w:rFonts w:hint="default" w:ascii="宋体" w:hAnsi="宋体" w:eastAsia="宋体"/>
          <w:b/>
          <w:bCs/>
          <w:sz w:val="36"/>
          <w:szCs w:val="36"/>
          <w:lang w:val="en-US" w:eastAsia="zh-CN"/>
        </w:rPr>
      </w:pPr>
      <w:r>
        <w:rPr>
          <w:rFonts w:hint="eastAsia" w:ascii="宋体" w:hAnsi="宋体" w:cs="宋体"/>
          <w:sz w:val="24"/>
        </w:rPr>
        <w:t>联系人：</w:t>
      </w:r>
      <w:r>
        <w:rPr>
          <w:rFonts w:hint="eastAsia" w:ascii="宋体" w:hAnsi="宋体" w:cs="宋体"/>
          <w:sz w:val="24"/>
          <w:lang w:val="en-US" w:eastAsia="zh-CN"/>
        </w:rPr>
        <w:t>郑女士</w:t>
      </w:r>
      <w:r>
        <w:rPr>
          <w:rFonts w:hint="eastAsia" w:ascii="宋体" w:hAnsi="宋体" w:cs="宋体"/>
          <w:sz w:val="24"/>
        </w:rPr>
        <w:t xml:space="preserve">  手机：</w:t>
      </w:r>
      <w:r>
        <w:rPr>
          <w:rFonts w:hint="eastAsia" w:ascii="宋体" w:hAnsi="宋体" w:cs="宋体"/>
          <w:sz w:val="24"/>
          <w:lang w:val="en-US" w:eastAsia="zh-CN"/>
        </w:rPr>
        <w:t>13015727080</w:t>
      </w:r>
    </w:p>
    <w:p w14:paraId="39A8CA7F">
      <w:pPr>
        <w:spacing w:line="500" w:lineRule="exact"/>
        <w:jc w:val="center"/>
        <w:rPr>
          <w:rFonts w:hint="eastAsia" w:ascii="宋体" w:hAnsi="宋体"/>
          <w:b/>
          <w:bCs/>
          <w:sz w:val="36"/>
          <w:szCs w:val="36"/>
        </w:rPr>
      </w:pPr>
    </w:p>
    <w:p w14:paraId="60C5F244">
      <w:pPr>
        <w:spacing w:line="500" w:lineRule="exact"/>
        <w:jc w:val="center"/>
        <w:rPr>
          <w:rFonts w:hint="eastAsia" w:ascii="宋体" w:hAnsi="宋体"/>
          <w:b/>
          <w:bCs/>
          <w:sz w:val="36"/>
          <w:szCs w:val="36"/>
        </w:rPr>
      </w:pPr>
    </w:p>
    <w:p w14:paraId="7F0AEE90">
      <w:pPr>
        <w:spacing w:line="500" w:lineRule="exact"/>
        <w:jc w:val="center"/>
        <w:rPr>
          <w:rFonts w:hint="eastAsia" w:ascii="宋体" w:hAnsi="宋体"/>
          <w:b/>
          <w:bCs/>
          <w:sz w:val="36"/>
          <w:szCs w:val="36"/>
        </w:rPr>
      </w:pPr>
    </w:p>
    <w:p w14:paraId="23E14476">
      <w:pPr>
        <w:spacing w:line="500" w:lineRule="exact"/>
        <w:jc w:val="center"/>
        <w:rPr>
          <w:rFonts w:hint="eastAsia" w:ascii="宋体" w:hAnsi="宋体"/>
          <w:b/>
          <w:bCs/>
          <w:sz w:val="36"/>
          <w:szCs w:val="36"/>
        </w:rPr>
      </w:pPr>
    </w:p>
    <w:p w14:paraId="77A9EAEC">
      <w:pPr>
        <w:spacing w:line="500" w:lineRule="exact"/>
        <w:jc w:val="center"/>
        <w:rPr>
          <w:rFonts w:hint="eastAsia" w:ascii="宋体" w:hAnsi="宋体"/>
          <w:b/>
          <w:bCs/>
          <w:sz w:val="36"/>
          <w:szCs w:val="36"/>
        </w:rPr>
      </w:pPr>
    </w:p>
    <w:p w14:paraId="72FE35EA">
      <w:pPr>
        <w:spacing w:line="500" w:lineRule="exact"/>
        <w:jc w:val="center"/>
        <w:rPr>
          <w:rFonts w:hint="eastAsia" w:ascii="宋体" w:hAnsi="宋体"/>
          <w:b/>
          <w:bCs/>
          <w:sz w:val="36"/>
          <w:szCs w:val="36"/>
        </w:rPr>
      </w:pPr>
    </w:p>
    <w:p w14:paraId="4CF9090D">
      <w:pPr>
        <w:spacing w:line="500" w:lineRule="exact"/>
        <w:jc w:val="center"/>
        <w:rPr>
          <w:rFonts w:hint="eastAsia" w:ascii="宋体" w:hAnsi="宋体"/>
          <w:b/>
          <w:bCs/>
          <w:sz w:val="36"/>
          <w:szCs w:val="36"/>
        </w:rPr>
      </w:pPr>
    </w:p>
    <w:p w14:paraId="24EF8FDC">
      <w:pPr>
        <w:spacing w:line="500" w:lineRule="exact"/>
        <w:jc w:val="center"/>
        <w:rPr>
          <w:rFonts w:hint="eastAsia" w:ascii="宋体" w:hAnsi="宋体"/>
          <w:b/>
          <w:bCs/>
          <w:sz w:val="36"/>
          <w:szCs w:val="36"/>
        </w:rPr>
      </w:pPr>
    </w:p>
    <w:p w14:paraId="6C6FBF60">
      <w:pPr>
        <w:spacing w:line="500" w:lineRule="exact"/>
        <w:jc w:val="center"/>
        <w:rPr>
          <w:rFonts w:hint="eastAsia" w:ascii="宋体" w:hAnsi="宋体"/>
          <w:b/>
          <w:bCs/>
          <w:sz w:val="36"/>
          <w:szCs w:val="36"/>
        </w:rPr>
      </w:pPr>
    </w:p>
    <w:p w14:paraId="627C8732">
      <w:pPr>
        <w:spacing w:line="500" w:lineRule="exact"/>
        <w:jc w:val="center"/>
        <w:rPr>
          <w:rFonts w:hint="eastAsia" w:ascii="宋体" w:hAnsi="宋体"/>
          <w:b/>
          <w:bCs/>
          <w:sz w:val="36"/>
          <w:szCs w:val="36"/>
        </w:rPr>
      </w:pPr>
    </w:p>
    <w:p w14:paraId="1474216C">
      <w:pPr>
        <w:spacing w:line="500" w:lineRule="exact"/>
        <w:jc w:val="center"/>
        <w:rPr>
          <w:rFonts w:hint="eastAsia" w:ascii="宋体" w:hAnsi="宋体"/>
          <w:b/>
          <w:bCs/>
          <w:sz w:val="36"/>
          <w:szCs w:val="36"/>
        </w:rPr>
      </w:pPr>
    </w:p>
    <w:p w14:paraId="63367564">
      <w:pPr>
        <w:spacing w:line="500" w:lineRule="exact"/>
        <w:jc w:val="center"/>
        <w:rPr>
          <w:rFonts w:hint="eastAsia" w:ascii="宋体" w:hAnsi="宋体"/>
          <w:b/>
          <w:bCs/>
          <w:sz w:val="36"/>
          <w:szCs w:val="36"/>
        </w:rPr>
      </w:pPr>
    </w:p>
    <w:p w14:paraId="7C14A2E2">
      <w:pPr>
        <w:spacing w:line="500" w:lineRule="exact"/>
        <w:jc w:val="center"/>
        <w:rPr>
          <w:rFonts w:hint="eastAsia" w:ascii="宋体" w:hAnsi="宋体"/>
          <w:b/>
          <w:bCs/>
          <w:sz w:val="36"/>
          <w:szCs w:val="36"/>
        </w:rPr>
      </w:pPr>
    </w:p>
    <w:p w14:paraId="136E96D4">
      <w:pPr>
        <w:spacing w:line="500" w:lineRule="exact"/>
        <w:jc w:val="center"/>
        <w:rPr>
          <w:rFonts w:hint="eastAsia" w:ascii="宋体" w:hAnsi="宋体"/>
          <w:b/>
          <w:bCs/>
          <w:sz w:val="36"/>
          <w:szCs w:val="36"/>
        </w:rPr>
      </w:pPr>
    </w:p>
    <w:p w14:paraId="1A87C79C">
      <w:pPr>
        <w:spacing w:line="500" w:lineRule="exact"/>
        <w:jc w:val="both"/>
        <w:rPr>
          <w:rFonts w:hint="eastAsia" w:ascii="宋体" w:hAnsi="宋体"/>
          <w:b/>
          <w:bCs/>
          <w:sz w:val="36"/>
          <w:szCs w:val="36"/>
        </w:rPr>
      </w:pPr>
    </w:p>
    <w:p w14:paraId="6A3F1A91">
      <w:pPr>
        <w:spacing w:line="500" w:lineRule="exact"/>
        <w:jc w:val="center"/>
        <w:rPr>
          <w:rFonts w:ascii="宋体"/>
          <w:b/>
          <w:bCs/>
          <w:sz w:val="36"/>
          <w:szCs w:val="36"/>
        </w:rPr>
      </w:pPr>
      <w:r>
        <w:rPr>
          <w:rFonts w:hint="eastAsia" w:ascii="宋体" w:hAnsi="宋体"/>
          <w:b/>
          <w:bCs/>
          <w:sz w:val="36"/>
          <w:szCs w:val="36"/>
        </w:rPr>
        <w:t>四、参选书</w:t>
      </w:r>
    </w:p>
    <w:p w14:paraId="64A58BE8">
      <w:pPr>
        <w:spacing w:line="500" w:lineRule="exact"/>
        <w:jc w:val="center"/>
        <w:rPr>
          <w:rFonts w:ascii="宋体"/>
          <w:b/>
          <w:bCs/>
          <w:sz w:val="36"/>
          <w:szCs w:val="36"/>
        </w:rPr>
      </w:pPr>
    </w:p>
    <w:p w14:paraId="73C6699B">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14:paraId="5AF64920">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2024-FHC-水溶性中和缓蚀剂-0920</w:t>
      </w:r>
      <w:r>
        <w:rPr>
          <w:rFonts w:hint="eastAsia" w:ascii="宋体" w:hAnsi="宋体"/>
          <w:sz w:val="24"/>
        </w:rPr>
        <w:t>），被我方正式授权并代表我公司递交下述文件，并对此负责。</w:t>
      </w:r>
    </w:p>
    <w:p w14:paraId="7C462B6D">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14:paraId="29F9321B">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14:paraId="138BFCA5">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14:paraId="18A9E19D">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14:paraId="26E8128E">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14:paraId="2B802F29">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技术要求</w:t>
      </w:r>
    </w:p>
    <w:p w14:paraId="3EC8D943">
      <w:pPr>
        <w:spacing w:line="500" w:lineRule="exact"/>
        <w:ind w:firstLine="480" w:firstLineChars="200"/>
        <w:rPr>
          <w:rFonts w:ascii="宋体"/>
          <w:sz w:val="24"/>
        </w:rPr>
      </w:pPr>
      <w:r>
        <w:rPr>
          <w:rFonts w:hint="eastAsia" w:ascii="宋体" w:hAnsi="宋体"/>
          <w:sz w:val="24"/>
        </w:rPr>
        <w:t>据此参与书，我公司及签字代表宣布同意如下：</w:t>
      </w:r>
    </w:p>
    <w:p w14:paraId="23A088DD">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14:paraId="17397518">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14:paraId="4602D639">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14:paraId="4FDF6220">
      <w:pPr>
        <w:spacing w:line="500" w:lineRule="exact"/>
        <w:ind w:firstLine="480" w:firstLineChars="200"/>
        <w:rPr>
          <w:rFonts w:ascii="宋体"/>
          <w:sz w:val="24"/>
        </w:rPr>
      </w:pPr>
    </w:p>
    <w:p w14:paraId="57185FD9">
      <w:pPr>
        <w:spacing w:line="500" w:lineRule="exact"/>
        <w:ind w:firstLine="480" w:firstLineChars="200"/>
        <w:rPr>
          <w:rFonts w:ascii="宋体"/>
          <w:sz w:val="24"/>
        </w:rPr>
      </w:pPr>
    </w:p>
    <w:p w14:paraId="0040D04B">
      <w:pPr>
        <w:spacing w:line="500" w:lineRule="exact"/>
        <w:ind w:firstLine="480" w:firstLineChars="200"/>
        <w:rPr>
          <w:rFonts w:ascii="宋体"/>
          <w:sz w:val="24"/>
        </w:rPr>
      </w:pPr>
      <w:r>
        <w:rPr>
          <w:rFonts w:hint="eastAsia" w:ascii="宋体" w:hAnsi="宋体"/>
          <w:sz w:val="24"/>
        </w:rPr>
        <w:t>被授权代表姓名：</w:t>
      </w:r>
    </w:p>
    <w:p w14:paraId="32BE50A5">
      <w:pPr>
        <w:spacing w:line="500" w:lineRule="exact"/>
        <w:ind w:firstLine="480" w:firstLineChars="200"/>
        <w:rPr>
          <w:rFonts w:ascii="宋体"/>
          <w:sz w:val="24"/>
        </w:rPr>
      </w:pPr>
      <w:r>
        <w:rPr>
          <w:rFonts w:hint="eastAsia" w:ascii="宋体" w:hAnsi="宋体"/>
          <w:sz w:val="24"/>
        </w:rPr>
        <w:t>职务：</w:t>
      </w:r>
    </w:p>
    <w:p w14:paraId="71ECCBAD">
      <w:pPr>
        <w:spacing w:line="500" w:lineRule="exact"/>
        <w:ind w:firstLine="480" w:firstLineChars="200"/>
        <w:rPr>
          <w:rFonts w:ascii="宋体"/>
          <w:sz w:val="24"/>
        </w:rPr>
      </w:pPr>
      <w:r>
        <w:rPr>
          <w:rFonts w:hint="eastAsia" w:ascii="宋体" w:hAnsi="宋体"/>
          <w:sz w:val="24"/>
        </w:rPr>
        <w:t>联系方式：</w:t>
      </w:r>
    </w:p>
    <w:p w14:paraId="02DAAE3C">
      <w:pPr>
        <w:spacing w:line="500" w:lineRule="exact"/>
        <w:ind w:firstLine="480" w:firstLineChars="200"/>
        <w:rPr>
          <w:rFonts w:ascii="宋体"/>
          <w:sz w:val="24"/>
        </w:rPr>
      </w:pPr>
    </w:p>
    <w:p w14:paraId="7B176AB2">
      <w:pPr>
        <w:spacing w:line="500" w:lineRule="exact"/>
        <w:ind w:firstLine="480" w:firstLineChars="200"/>
        <w:rPr>
          <w:rFonts w:ascii="宋体"/>
          <w:sz w:val="24"/>
        </w:rPr>
      </w:pPr>
      <w:r>
        <w:rPr>
          <w:rFonts w:hint="eastAsia" w:ascii="宋体" w:hAnsi="宋体"/>
          <w:sz w:val="24"/>
        </w:rPr>
        <w:t>被授权代表签字；</w:t>
      </w:r>
    </w:p>
    <w:p w14:paraId="0E374C7F">
      <w:pPr>
        <w:widowControl/>
        <w:jc w:val="left"/>
        <w:rPr>
          <w:rFonts w:ascii="宋体"/>
          <w:b/>
          <w:bCs/>
          <w:sz w:val="36"/>
          <w:szCs w:val="36"/>
        </w:rPr>
      </w:pPr>
      <w:r>
        <w:rPr>
          <w:rFonts w:ascii="宋体"/>
          <w:b/>
          <w:bCs/>
          <w:sz w:val="36"/>
          <w:szCs w:val="36"/>
        </w:rPr>
        <w:br w:type="page"/>
      </w:r>
    </w:p>
    <w:p w14:paraId="1D90E67F">
      <w:pPr>
        <w:spacing w:line="500" w:lineRule="exact"/>
        <w:jc w:val="center"/>
        <w:rPr>
          <w:rFonts w:ascii="宋体"/>
          <w:b/>
          <w:bCs/>
          <w:sz w:val="36"/>
          <w:szCs w:val="36"/>
        </w:rPr>
      </w:pPr>
      <w:r>
        <w:rPr>
          <w:rFonts w:hint="eastAsia" w:ascii="宋体" w:hAnsi="宋体"/>
          <w:b/>
          <w:bCs/>
          <w:sz w:val="36"/>
          <w:szCs w:val="36"/>
        </w:rPr>
        <w:t>五、法定代表人授权书</w:t>
      </w:r>
    </w:p>
    <w:p w14:paraId="20A1012A">
      <w:pPr>
        <w:spacing w:line="500" w:lineRule="exact"/>
        <w:ind w:firstLine="480" w:firstLineChars="200"/>
        <w:rPr>
          <w:rFonts w:ascii="宋体"/>
          <w:sz w:val="24"/>
        </w:rPr>
      </w:pPr>
    </w:p>
    <w:p w14:paraId="60BA4D80">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lang w:val="en-US" w:eastAsia="zh-CN"/>
        </w:rPr>
        <w:t xml:space="preserve">                     </w:t>
      </w:r>
      <w:r>
        <w:rPr>
          <w:rFonts w:hint="eastAsia" w:ascii="宋体" w:hAnsi="宋体"/>
          <w:sz w:val="24"/>
        </w:rPr>
        <w:t>的</w:t>
      </w:r>
      <w:r>
        <w:rPr>
          <w:rFonts w:hint="eastAsia" w:ascii="宋体" w:hAnsi="宋体"/>
          <w:sz w:val="24"/>
          <w:u w:val="single"/>
          <w:lang w:val="en-US" w:eastAsia="zh-CN"/>
        </w:rPr>
        <w:t xml:space="preserve">                    </w:t>
      </w:r>
      <w:r>
        <w:rPr>
          <w:rFonts w:hint="eastAsia" w:ascii="宋体" w:hAnsi="宋体"/>
          <w:sz w:val="24"/>
        </w:rPr>
        <w:t>在下方签字（或签章）的</w:t>
      </w:r>
      <w:r>
        <w:rPr>
          <w:rFonts w:hint="eastAsia" w:ascii="宋体" w:hAnsi="宋体"/>
          <w:sz w:val="24"/>
          <w:u w:val="single"/>
          <w:lang w:val="en-US" w:eastAsia="zh-CN"/>
        </w:rPr>
        <w:t xml:space="preserve">                </w:t>
      </w:r>
      <w:r>
        <w:rPr>
          <w:rFonts w:hint="eastAsia" w:ascii="宋体" w:hAnsi="宋体"/>
          <w:sz w:val="24"/>
        </w:rPr>
        <w:t>代表本公司授权</w:t>
      </w:r>
      <w:r>
        <w:rPr>
          <w:rFonts w:hint="eastAsia" w:ascii="宋体" w:hAnsi="宋体"/>
          <w:sz w:val="24"/>
          <w:u w:val="single"/>
          <w:lang w:val="en-US" w:eastAsia="zh-CN"/>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2024-FHC-水溶性中和缓蚀剂-0920</w:t>
      </w:r>
      <w:r>
        <w:rPr>
          <w:rFonts w:hint="eastAsia" w:ascii="宋体" w:hAnsi="宋体"/>
          <w:sz w:val="24"/>
        </w:rPr>
        <w:t>）的参与报价和合同的执行、以本公司名义处理与之有关的事务。</w:t>
      </w:r>
    </w:p>
    <w:p w14:paraId="3DA4C8EF">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14:paraId="3EB65AA2">
      <w:pPr>
        <w:spacing w:line="500" w:lineRule="exact"/>
        <w:rPr>
          <w:rFonts w:ascii="宋体" w:hAnsi="宋体"/>
          <w:sz w:val="24"/>
        </w:rPr>
      </w:pPr>
      <w:r>
        <w:rPr>
          <w:rFonts w:hint="eastAsia" w:ascii="宋体" w:hAnsi="宋体"/>
          <w:sz w:val="24"/>
        </w:rPr>
        <w:t>法定代表人（签字或签章）：</w:t>
      </w:r>
    </w:p>
    <w:p w14:paraId="1EE33678">
      <w:pPr>
        <w:spacing w:line="500" w:lineRule="exact"/>
        <w:rPr>
          <w:rFonts w:ascii="宋体" w:hAnsi="宋体"/>
          <w:sz w:val="24"/>
        </w:rPr>
      </w:pPr>
    </w:p>
    <w:p w14:paraId="2D0F71F6">
      <w:pPr>
        <w:spacing w:line="500" w:lineRule="exact"/>
        <w:rPr>
          <w:rFonts w:ascii="宋体" w:hAnsi="宋体"/>
          <w:sz w:val="24"/>
        </w:rPr>
      </w:pPr>
    </w:p>
    <w:p w14:paraId="01CD328F">
      <w:pPr>
        <w:spacing w:line="500" w:lineRule="exact"/>
        <w:rPr>
          <w:rFonts w:ascii="宋体"/>
          <w:sz w:val="24"/>
        </w:rPr>
      </w:pPr>
      <w:r>
        <w:rPr>
          <w:rFonts w:hint="eastAsia" w:ascii="宋体" w:hAnsi="宋体"/>
          <w:sz w:val="24"/>
        </w:rPr>
        <w:t>被授权代表签字：</w:t>
      </w:r>
    </w:p>
    <w:p w14:paraId="07133333">
      <w:pPr>
        <w:spacing w:line="500" w:lineRule="exact"/>
        <w:rPr>
          <w:rFonts w:ascii="宋体"/>
          <w:sz w:val="24"/>
        </w:rPr>
      </w:pPr>
    </w:p>
    <w:p w14:paraId="719E4038">
      <w:pPr>
        <w:spacing w:line="500" w:lineRule="exact"/>
        <w:rPr>
          <w:rFonts w:ascii="宋体"/>
          <w:sz w:val="24"/>
        </w:rPr>
      </w:pPr>
      <w:r>
        <w:rPr>
          <w:rFonts w:hint="eastAsia" w:ascii="宋体" w:hAnsi="宋体"/>
          <w:sz w:val="24"/>
        </w:rPr>
        <w:t>单位名称（公章）：</w:t>
      </w:r>
    </w:p>
    <w:p w14:paraId="2E5DF921">
      <w:pPr>
        <w:spacing w:line="500" w:lineRule="exact"/>
        <w:rPr>
          <w:rFonts w:ascii="宋体"/>
          <w:sz w:val="24"/>
        </w:rPr>
      </w:pPr>
      <w:r>
        <w:rPr>
          <w:rFonts w:hint="eastAsia" w:ascii="宋体" w:hAnsi="宋体"/>
          <w:sz w:val="24"/>
        </w:rPr>
        <w:t>地址：</w:t>
      </w:r>
    </w:p>
    <w:p w14:paraId="23CABA6B">
      <w:pPr>
        <w:spacing w:line="500" w:lineRule="exact"/>
        <w:rPr>
          <w:rFonts w:ascii="宋体"/>
          <w:sz w:val="24"/>
        </w:rPr>
      </w:pPr>
      <w:r>
        <w:rPr>
          <w:rFonts w:hint="eastAsia" w:ascii="宋体" w:hAnsi="宋体"/>
          <w:sz w:val="24"/>
        </w:rPr>
        <w:t>电话：</w:t>
      </w:r>
    </w:p>
    <w:p w14:paraId="652D10C0">
      <w:pPr>
        <w:spacing w:line="500" w:lineRule="exact"/>
        <w:rPr>
          <w:rFonts w:ascii="宋体"/>
          <w:sz w:val="24"/>
        </w:rPr>
      </w:pPr>
      <w:r>
        <w:rPr>
          <w:rFonts w:hint="eastAsia" w:ascii="宋体" w:hAnsi="宋体"/>
          <w:sz w:val="24"/>
        </w:rPr>
        <w:t>传真：</w:t>
      </w:r>
    </w:p>
    <w:p w14:paraId="62CF9359">
      <w:pPr>
        <w:spacing w:line="500" w:lineRule="exact"/>
        <w:rPr>
          <w:rFonts w:ascii="宋体"/>
          <w:b/>
          <w:bCs/>
          <w:sz w:val="28"/>
        </w:rPr>
      </w:pPr>
    </w:p>
    <w:p w14:paraId="0DDBE486">
      <w:pPr>
        <w:spacing w:line="400" w:lineRule="exact"/>
        <w:rPr>
          <w:rFonts w:ascii="宋体"/>
          <w:sz w:val="24"/>
        </w:rPr>
      </w:pPr>
    </w:p>
    <w:p w14:paraId="07DC82EB">
      <w:pPr>
        <w:widowControl/>
        <w:jc w:val="left"/>
        <w:rPr>
          <w:rFonts w:ascii="宋体"/>
          <w:b/>
          <w:bCs/>
          <w:sz w:val="36"/>
          <w:szCs w:val="36"/>
        </w:rPr>
      </w:pPr>
      <w:r>
        <w:rPr>
          <w:rFonts w:ascii="宋体"/>
          <w:b/>
          <w:bCs/>
          <w:sz w:val="36"/>
          <w:szCs w:val="36"/>
        </w:rPr>
        <w:br w:type="page"/>
      </w:r>
    </w:p>
    <w:p w14:paraId="5657F3E4">
      <w:pPr>
        <w:spacing w:line="500" w:lineRule="exact"/>
        <w:jc w:val="center"/>
        <w:rPr>
          <w:rFonts w:ascii="宋体" w:hAnsi="宋体"/>
          <w:b/>
          <w:bCs/>
          <w:sz w:val="36"/>
          <w:szCs w:val="36"/>
        </w:rPr>
      </w:pPr>
      <w:r>
        <w:rPr>
          <w:rFonts w:hint="eastAsia" w:ascii="宋体" w:hAnsi="宋体"/>
          <w:b/>
          <w:bCs/>
          <w:sz w:val="36"/>
          <w:szCs w:val="36"/>
        </w:rPr>
        <w:t>六、报价单</w:t>
      </w:r>
    </w:p>
    <w:p w14:paraId="70D030BE">
      <w:pPr>
        <w:spacing w:line="500" w:lineRule="exact"/>
        <w:rPr>
          <w:rFonts w:ascii="宋体" w:hAnsi="宋体"/>
          <w:sz w:val="24"/>
        </w:rPr>
      </w:pPr>
    </w:p>
    <w:p w14:paraId="3A85BC29">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14:paraId="3D04A354">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2024-FHC-水溶性中和缓蚀剂-0920</w:t>
      </w:r>
      <w:r>
        <w:rPr>
          <w:rFonts w:hint="eastAsia" w:ascii="宋体" w:hAnsi="宋体"/>
          <w:sz w:val="24"/>
        </w:rPr>
        <w:t>），报价如下：</w:t>
      </w:r>
    </w:p>
    <w:p w14:paraId="66F16392">
      <w:pPr>
        <w:spacing w:line="500" w:lineRule="exact"/>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我公司可按贵司要求供应</w:t>
      </w:r>
      <w:r>
        <w:rPr>
          <w:rFonts w:hint="eastAsia" w:ascii="宋体" w:hAnsi="宋体"/>
          <w:color w:val="auto"/>
          <w:sz w:val="24"/>
          <w:lang w:val="en-US" w:eastAsia="zh-CN"/>
        </w:rPr>
        <w:t>加氢裂化装置水溶性中和缓蚀剂</w:t>
      </w:r>
      <w:r>
        <w:rPr>
          <w:rFonts w:hint="eastAsia" w:ascii="宋体" w:hAnsi="宋体"/>
          <w:color w:val="auto"/>
          <w:sz w:val="24"/>
        </w:rPr>
        <w:t>：</w:t>
      </w:r>
    </w:p>
    <w:p w14:paraId="5C4FD96A">
      <w:pPr>
        <w:spacing w:line="500" w:lineRule="exact"/>
        <w:rPr>
          <w:rFonts w:hint="eastAsia" w:ascii="宋体" w:hAnsi="宋体"/>
          <w:color w:val="auto"/>
          <w:sz w:val="24"/>
          <w:lang w:val="en-US" w:eastAsia="zh-CN"/>
        </w:rPr>
      </w:pPr>
      <w:r>
        <w:rPr>
          <w:rFonts w:hint="eastAsia" w:ascii="宋体" w:hAnsi="宋体"/>
          <w:color w:val="auto"/>
          <w:sz w:val="24"/>
          <w:lang w:val="en-US" w:eastAsia="zh-CN"/>
        </w:rPr>
        <w:t>2、数量（约2年使用量）：______吨； 规格型号：_____________</w:t>
      </w:r>
    </w:p>
    <w:p w14:paraId="2CB34621">
      <w:pPr>
        <w:spacing w:line="500" w:lineRule="exact"/>
        <w:ind w:firstLine="240" w:firstLineChars="100"/>
        <w:rPr>
          <w:rFonts w:hint="eastAsia" w:cs="Times New Roman"/>
          <w:sz w:val="24"/>
          <w:lang w:eastAsia="zh-CN"/>
        </w:rPr>
      </w:pPr>
      <w:r>
        <w:rPr>
          <w:rFonts w:hint="eastAsia" w:ascii="宋体" w:hAnsi="宋体"/>
          <w:color w:val="auto"/>
          <w:sz w:val="24"/>
          <w:lang w:val="en-US" w:eastAsia="zh-CN"/>
        </w:rPr>
        <w:t xml:space="preserve"> </w:t>
      </w:r>
      <w:r>
        <w:rPr>
          <w:rFonts w:hint="eastAsia" w:ascii="Times New Roman" w:hAnsi="Times New Roman" w:eastAsia="宋体" w:cs="Times New Roman"/>
          <w:sz w:val="24"/>
          <w:lang w:val="en-US" w:eastAsia="zh-CN"/>
        </w:rPr>
        <w:t>说明：</w:t>
      </w:r>
      <w:r>
        <w:rPr>
          <w:rFonts w:hint="eastAsia" w:cs="Times New Roman"/>
          <w:sz w:val="24"/>
          <w:lang w:val="en-US" w:eastAsia="zh-CN"/>
        </w:rPr>
        <w:t>（1）</w:t>
      </w:r>
      <w:r>
        <w:rPr>
          <w:rFonts w:hint="eastAsia" w:ascii="Times New Roman" w:hAnsi="Times New Roman" w:eastAsia="宋体" w:cs="Times New Roman"/>
          <w:sz w:val="24"/>
          <w:lang w:val="en-US" w:eastAsia="zh-CN"/>
        </w:rPr>
        <w:t>本次采购量为装置</w:t>
      </w:r>
      <w:r>
        <w:rPr>
          <w:rFonts w:hint="eastAsia" w:cs="Times New Roman"/>
          <w:sz w:val="24"/>
          <w:lang w:val="en-US" w:eastAsia="zh-CN"/>
        </w:rPr>
        <w:t>约2</w:t>
      </w:r>
      <w:r>
        <w:rPr>
          <w:rFonts w:hint="eastAsia" w:ascii="Times New Roman" w:hAnsi="Times New Roman" w:eastAsia="宋体" w:cs="Times New Roman"/>
          <w:sz w:val="24"/>
          <w:lang w:val="en-US" w:eastAsia="zh-CN"/>
        </w:rPr>
        <w:t>年使用量</w:t>
      </w:r>
      <w:r>
        <w:rPr>
          <w:rFonts w:hint="eastAsia" w:cs="Times New Roman"/>
          <w:sz w:val="24"/>
          <w:lang w:val="en-US" w:eastAsia="zh-CN"/>
        </w:rPr>
        <w:t>，供方提报的数量为2025年1月1日至2026年12月31日封顶数量</w:t>
      </w:r>
      <w:r>
        <w:rPr>
          <w:rFonts w:hint="eastAsia" w:cs="Times New Roman"/>
          <w:sz w:val="24"/>
          <w:highlight w:val="none"/>
          <w:lang w:val="en-US" w:eastAsia="zh-CN"/>
        </w:rPr>
        <w:t>。</w:t>
      </w:r>
      <w:r>
        <w:rPr>
          <w:rFonts w:hint="eastAsia" w:ascii="Times New Roman" w:hAnsi="Times New Roman" w:eastAsia="宋体" w:cs="Times New Roman"/>
          <w:sz w:val="24"/>
        </w:rPr>
        <w:t>加氢裂化装置中和缓蚀剂注入量</w:t>
      </w:r>
      <w:r>
        <w:rPr>
          <w:rFonts w:hint="eastAsia" w:cs="Times New Roman"/>
          <w:sz w:val="24"/>
          <w:lang w:val="en-US" w:eastAsia="zh-CN"/>
        </w:rPr>
        <w:t>按照技术</w:t>
      </w:r>
      <w:r>
        <w:rPr>
          <w:rFonts w:ascii="Times New Roman" w:hAnsi="Times New Roman" w:eastAsia="宋体" w:cs="Times New Roman"/>
          <w:sz w:val="24"/>
        </w:rPr>
        <w:t>要求</w:t>
      </w:r>
      <w:r>
        <w:rPr>
          <w:rFonts w:hint="eastAsia" w:cs="Times New Roman"/>
          <w:sz w:val="24"/>
          <w:lang w:val="en-US" w:eastAsia="zh-CN"/>
        </w:rPr>
        <w:t>执行</w:t>
      </w:r>
      <w:r>
        <w:rPr>
          <w:rFonts w:hint="eastAsia" w:cs="Times New Roman"/>
          <w:sz w:val="24"/>
          <w:lang w:eastAsia="zh-CN"/>
        </w:rPr>
        <w:t>：</w:t>
      </w:r>
    </w:p>
    <w:tbl>
      <w:tblPr>
        <w:tblStyle w:val="9"/>
        <w:tblW w:w="6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0"/>
        <w:gridCol w:w="3220"/>
      </w:tblGrid>
      <w:tr w14:paraId="0313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220" w:type="dxa"/>
          </w:tcPr>
          <w:p w14:paraId="6AB4A2D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注入点</w:t>
            </w:r>
          </w:p>
        </w:tc>
        <w:tc>
          <w:tcPr>
            <w:tcW w:w="3220" w:type="dxa"/>
          </w:tcPr>
          <w:p w14:paraId="528686E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注入量（mg/kg）</w:t>
            </w:r>
          </w:p>
        </w:tc>
      </w:tr>
      <w:tr w14:paraId="3277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220" w:type="dxa"/>
          </w:tcPr>
          <w:p w14:paraId="05A35D1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产品汽提塔顶</w:t>
            </w:r>
          </w:p>
        </w:tc>
        <w:tc>
          <w:tcPr>
            <w:tcW w:w="3220" w:type="dxa"/>
          </w:tcPr>
          <w:p w14:paraId="19865DFF">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r>
      <w:tr w14:paraId="6FFE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220" w:type="dxa"/>
          </w:tcPr>
          <w:p w14:paraId="615BC346">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贫油吸收塔顶</w:t>
            </w:r>
          </w:p>
        </w:tc>
        <w:tc>
          <w:tcPr>
            <w:tcW w:w="3220" w:type="dxa"/>
          </w:tcPr>
          <w:p w14:paraId="7C76C19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w:t>
            </w:r>
          </w:p>
        </w:tc>
      </w:tr>
      <w:tr w14:paraId="3F67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220" w:type="dxa"/>
          </w:tcPr>
          <w:p w14:paraId="5548C955">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脱乙烷塔顶</w:t>
            </w:r>
          </w:p>
        </w:tc>
        <w:tc>
          <w:tcPr>
            <w:tcW w:w="3220" w:type="dxa"/>
          </w:tcPr>
          <w:p w14:paraId="43116EB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w:t>
            </w:r>
          </w:p>
        </w:tc>
      </w:tr>
      <w:tr w14:paraId="1845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220" w:type="dxa"/>
          </w:tcPr>
          <w:p w14:paraId="41696B39">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脱丁烷塔顶</w:t>
            </w:r>
          </w:p>
        </w:tc>
        <w:tc>
          <w:tcPr>
            <w:tcW w:w="3220" w:type="dxa"/>
          </w:tcPr>
          <w:p w14:paraId="42A3C9C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r>
    </w:tbl>
    <w:p w14:paraId="778BE64D">
      <w:pPr>
        <w:spacing w:line="360" w:lineRule="auto"/>
        <w:ind w:firstLine="480" w:firstLineChars="200"/>
        <w:jc w:val="left"/>
        <w:rPr>
          <w:rFonts w:ascii="Times New Roman" w:hAnsi="Times New Roman" w:eastAsia="宋体" w:cs="Times New Roman"/>
          <w:sz w:val="24"/>
          <w:highlight w:val="yellow"/>
        </w:rPr>
      </w:pPr>
      <w:r>
        <w:rPr>
          <w:rFonts w:hint="eastAsia" w:ascii="Times New Roman" w:hAnsi="Times New Roman" w:eastAsia="宋体" w:cs="Times New Roman"/>
          <w:sz w:val="24"/>
          <w:szCs w:val="24"/>
        </w:rPr>
        <w:t>福建福海创石油化工有限公司</w:t>
      </w:r>
      <w:r>
        <w:rPr>
          <w:rFonts w:ascii="Times New Roman" w:hAnsi="Times New Roman" w:eastAsia="宋体" w:cs="Times New Roman"/>
          <w:kern w:val="28"/>
          <w:sz w:val="24"/>
          <w:szCs w:val="24"/>
        </w:rPr>
        <w:t>316</w:t>
      </w:r>
      <w:r>
        <w:rPr>
          <w:rFonts w:hint="eastAsia" w:ascii="Times New Roman" w:hAnsi="Times New Roman" w:eastAsia="宋体" w:cs="Times New Roman"/>
          <w:kern w:val="28"/>
          <w:sz w:val="24"/>
          <w:szCs w:val="24"/>
        </w:rPr>
        <w:t>万吨</w:t>
      </w:r>
      <w:r>
        <w:rPr>
          <w:rFonts w:ascii="Times New Roman" w:hAnsi="Times New Roman" w:eastAsia="宋体" w:cs="Times New Roman"/>
          <w:kern w:val="28"/>
          <w:sz w:val="24"/>
          <w:szCs w:val="24"/>
        </w:rPr>
        <w:t>/</w:t>
      </w:r>
      <w:r>
        <w:rPr>
          <w:rFonts w:hint="eastAsia" w:ascii="Times New Roman" w:hAnsi="Times New Roman" w:eastAsia="宋体" w:cs="Times New Roman"/>
          <w:kern w:val="28"/>
          <w:sz w:val="24"/>
          <w:szCs w:val="24"/>
        </w:rPr>
        <w:t>年加氢裂化装置</w:t>
      </w:r>
      <w:r>
        <w:rPr>
          <w:rFonts w:hint="eastAsia" w:ascii="Times New Roman" w:hAnsi="Times New Roman" w:eastAsia="宋体" w:cs="Times New Roman"/>
          <w:sz w:val="24"/>
          <w:szCs w:val="24"/>
        </w:rPr>
        <w:t>，各注入点缓蚀剂加注量不得高于</w:t>
      </w:r>
      <w:r>
        <w:rPr>
          <w:rFonts w:hint="eastAsia" w:ascii="Times New Roman" w:hAnsi="Times New Roman" w:eastAsia="宋体" w:cs="Times New Roman"/>
          <w:color w:val="000000" w:themeColor="text1"/>
          <w:sz w:val="24"/>
          <w:szCs w:val="24"/>
          <w14:textFill>
            <w14:solidFill>
              <w14:schemeClr w14:val="tx1"/>
            </w14:solidFill>
          </w14:textFill>
        </w:rPr>
        <w:t>上表中注入量，2套缓蚀剂注入点按注入量单独结算，最大预估季度消耗缓蚀剂：塔顶气相流量</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实际</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季度注剂时长*注入量</w:t>
      </w: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.3条款</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/1000000</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kern w:val="28"/>
          <w:sz w:val="24"/>
          <w:szCs w:val="24"/>
        </w:rPr>
        <w:t>实际供货量以装置实际消耗量为准，</w:t>
      </w:r>
      <w:r>
        <w:rPr>
          <w:rFonts w:hint="eastAsia" w:ascii="Times New Roman" w:hAnsi="Times New Roman" w:eastAsia="宋体" w:cs="Times New Roman"/>
          <w:kern w:val="28"/>
          <w:sz w:val="24"/>
          <w:szCs w:val="24"/>
          <w:highlight w:val="yellow"/>
        </w:rPr>
        <w:t>为了达到缓蚀效果，实际缓蚀剂用量超出最大预估季度消耗缓蚀量部分视同赠送</w:t>
      </w:r>
      <w:r>
        <w:rPr>
          <w:rFonts w:ascii="Times New Roman" w:hAnsi="Times New Roman" w:eastAsia="宋体" w:cs="Times New Roman"/>
          <w:kern w:val="28"/>
          <w:sz w:val="24"/>
          <w:szCs w:val="24"/>
          <w:highlight w:val="yellow"/>
        </w:rPr>
        <w:t>。</w:t>
      </w:r>
    </w:p>
    <w:p w14:paraId="44761DDC">
      <w:pPr>
        <w:numPr>
          <w:ilvl w:val="0"/>
          <w:numId w:val="0"/>
        </w:numPr>
        <w:spacing w:line="312" w:lineRule="auto"/>
        <w:rPr>
          <w:rFonts w:hint="eastAsia" w:ascii="宋体" w:hAnsi="宋体"/>
          <w:color w:val="auto"/>
          <w:sz w:val="24"/>
          <w:u w:val="single"/>
        </w:rPr>
      </w:pPr>
      <w:r>
        <w:rPr>
          <w:rFonts w:hint="eastAsia" w:ascii="宋体" w:hAnsi="宋体"/>
          <w:color w:val="auto"/>
          <w:sz w:val="24"/>
          <w:lang w:val="en-US" w:eastAsia="zh-CN"/>
        </w:rPr>
        <w:t>3、</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p>
    <w:p w14:paraId="628AB9E1">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lang w:val="en-US" w:eastAsia="zh-CN"/>
        </w:rPr>
        <w:t>采用桶包装，使用后的空桶由供方进行回收处理。</w:t>
      </w:r>
    </w:p>
    <w:p w14:paraId="1A1A4D09">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技术要求</w:t>
      </w:r>
      <w:r>
        <w:rPr>
          <w:rFonts w:hint="eastAsia" w:ascii="宋体" w:hAnsi="宋体"/>
          <w:color w:val="auto"/>
          <w:sz w:val="24"/>
        </w:rPr>
        <w:t>。</w:t>
      </w:r>
    </w:p>
    <w:p w14:paraId="0FBDF02B">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14:paraId="5FFC9D21">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贰万元整</w:t>
      </w:r>
      <w:r>
        <w:rPr>
          <w:rFonts w:hint="eastAsia" w:ascii="宋体" w:hAnsi="宋体"/>
          <w:sz w:val="24"/>
        </w:rPr>
        <w:t>，若我司中选，我司同意按照要求</w:t>
      </w:r>
      <w:r>
        <w:rPr>
          <w:rFonts w:hint="eastAsia" w:ascii="宋体" w:hAnsi="宋体"/>
          <w:sz w:val="24"/>
          <w:lang w:val="en-US" w:eastAsia="zh-CN"/>
        </w:rPr>
        <w:t>转为履约保证金，</w:t>
      </w:r>
      <w:r>
        <w:rPr>
          <w:rFonts w:hint="eastAsia" w:ascii="宋体" w:hAnsi="宋体"/>
          <w:color w:val="auto"/>
          <w:sz w:val="24"/>
          <w:highlight w:val="none"/>
          <w:lang w:val="en-US" w:eastAsia="zh-CN"/>
        </w:rPr>
        <w:t>待履约后申请无息返还</w:t>
      </w:r>
      <w:r>
        <w:rPr>
          <w:rFonts w:hint="eastAsia" w:ascii="宋体" w:hAnsi="宋体"/>
          <w:color w:val="auto"/>
          <w:sz w:val="24"/>
          <w:highlight w:val="none"/>
        </w:rPr>
        <w:t>。</w:t>
      </w:r>
    </w:p>
    <w:p w14:paraId="29FBC330">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分批季度</w:t>
      </w:r>
      <w:r>
        <w:rPr>
          <w:rFonts w:hint="eastAsia" w:ascii="宋体" w:hAnsi="宋体"/>
          <w:sz w:val="24"/>
        </w:rPr>
        <w:t>到货</w:t>
      </w:r>
      <w:r>
        <w:rPr>
          <w:rFonts w:hint="eastAsia" w:ascii="宋体" w:hAnsi="宋体"/>
          <w:color w:val="auto"/>
          <w:sz w:val="24"/>
          <w:lang w:val="en-US" w:eastAsia="zh-CN"/>
        </w:rPr>
        <w:t>（约3个月送一次）</w:t>
      </w:r>
      <w:r>
        <w:rPr>
          <w:rFonts w:hint="eastAsia" w:ascii="宋体" w:hAnsi="宋体"/>
          <w:sz w:val="24"/>
        </w:rPr>
        <w:t>，</w:t>
      </w:r>
      <w:r>
        <w:rPr>
          <w:rFonts w:hint="eastAsia" w:ascii="宋体" w:hAnsi="宋体"/>
          <w:sz w:val="24"/>
          <w:lang w:val="en-US" w:eastAsia="zh-CN"/>
        </w:rPr>
        <w:t>货物需于2024年12月前具备到货条件，具体到货时间以需方通知为准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14:paraId="75D99D28">
      <w:pPr>
        <w:spacing w:line="360" w:lineRule="auto"/>
        <w:jc w:val="left"/>
        <w:rPr>
          <w:rFonts w:ascii="宋体" w:hAnsi="宋体"/>
          <w:sz w:val="24"/>
        </w:rPr>
      </w:pPr>
      <w:r>
        <w:rPr>
          <w:rFonts w:hint="eastAsia" w:ascii="宋体" w:hAnsi="宋体"/>
          <w:sz w:val="24"/>
        </w:rPr>
        <w:t>三、报价及结算方式：</w:t>
      </w:r>
    </w:p>
    <w:p w14:paraId="37C94D65">
      <w:pPr>
        <w:spacing w:line="350" w:lineRule="exact"/>
        <w:jc w:val="left"/>
        <w:rPr>
          <w:rFonts w:hint="eastAsia" w:ascii="宋体" w:hAnsi="宋体"/>
          <w:sz w:val="24"/>
          <w:lang w:eastAsia="zh-CN"/>
        </w:rPr>
      </w:pPr>
      <w:r>
        <w:rPr>
          <w:rFonts w:hint="eastAsia" w:ascii="宋体" w:hAnsi="宋体"/>
          <w:sz w:val="24"/>
        </w:rPr>
        <w:t>1、</w:t>
      </w:r>
      <w:r>
        <w:rPr>
          <w:rFonts w:hint="eastAsia" w:ascii="宋体" w:hAnsi="宋体"/>
          <w:sz w:val="24"/>
          <w:lang w:val="en-US" w:eastAsia="zh-CN"/>
        </w:rPr>
        <w:t>付款方式：</w:t>
      </w:r>
      <w:r>
        <w:rPr>
          <w:rFonts w:hint="eastAsia" w:ascii="宋体" w:hAnsi="宋体" w:cs="宋体"/>
          <w:sz w:val="24"/>
        </w:rPr>
        <w:t>现汇支付</w:t>
      </w:r>
      <w:r>
        <w:rPr>
          <w:rFonts w:hint="eastAsia" w:ascii="宋体" w:hAnsi="宋体" w:cs="宋体"/>
          <w:sz w:val="24"/>
          <w:lang w:eastAsia="zh-CN"/>
        </w:rPr>
        <w:t>，</w:t>
      </w:r>
      <w:r>
        <w:rPr>
          <w:rFonts w:hint="eastAsia" w:ascii="宋体" w:hAnsi="宋体" w:cs="宋体"/>
          <w:sz w:val="24"/>
          <w:lang w:val="en-US" w:eastAsia="zh-CN"/>
        </w:rPr>
        <w:t>按季度考核付款</w:t>
      </w:r>
      <w:r>
        <w:rPr>
          <w:rFonts w:hint="eastAsia" w:ascii="宋体" w:hAnsi="宋体" w:cs="宋体"/>
          <w:sz w:val="24"/>
        </w:rPr>
        <w:t>。</w:t>
      </w:r>
      <w:r>
        <w:rPr>
          <w:rFonts w:hint="eastAsia" w:ascii="宋体" w:hAnsi="宋体" w:cs="宋体"/>
          <w:sz w:val="24"/>
          <w:lang w:val="en-US" w:eastAsia="zh-CN"/>
        </w:rPr>
        <w:t>分批季度到货、分批付款。</w:t>
      </w:r>
      <w:r>
        <w:rPr>
          <w:rFonts w:hint="eastAsia" w:ascii="宋体" w:hAnsi="宋体" w:cs="宋体"/>
          <w:sz w:val="24"/>
        </w:rPr>
        <w:t>每批产品到货</w:t>
      </w:r>
      <w:r>
        <w:rPr>
          <w:rFonts w:hint="eastAsia" w:ascii="宋体" w:hAnsi="宋体" w:cs="宋体"/>
          <w:sz w:val="24"/>
          <w:lang w:val="en-US" w:eastAsia="zh-CN"/>
        </w:rPr>
        <w:t>后</w:t>
      </w:r>
      <w:r>
        <w:rPr>
          <w:rFonts w:hint="eastAsia" w:ascii="宋体" w:hAnsi="宋体" w:cs="宋体"/>
          <w:sz w:val="24"/>
        </w:rPr>
        <w:t>，</w:t>
      </w:r>
      <w:r>
        <w:rPr>
          <w:rFonts w:hint="eastAsia" w:ascii="宋体" w:hAnsi="宋体" w:cs="宋体"/>
          <w:sz w:val="24"/>
          <w:lang w:val="en-US" w:eastAsia="zh-CN"/>
        </w:rPr>
        <w:t>根据季度考核结果付款</w:t>
      </w:r>
      <w:r>
        <w:rPr>
          <w:rFonts w:hint="eastAsia" w:ascii="宋体" w:hAnsi="宋体" w:cs="宋体"/>
          <w:sz w:val="24"/>
          <w:lang w:eastAsia="zh-CN"/>
        </w:rPr>
        <w:t>。</w:t>
      </w:r>
    </w:p>
    <w:p w14:paraId="56E1BBC3">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2、结算方式：</w:t>
      </w:r>
    </w:p>
    <w:p w14:paraId="5500D7F2">
      <w:pPr>
        <w:numPr>
          <w:ilvl w:val="0"/>
          <w:numId w:val="0"/>
        </w:numPr>
        <w:spacing w:line="312" w:lineRule="auto"/>
        <w:ind w:firstLine="480" w:firstLineChars="200"/>
        <w:rPr>
          <w:rFonts w:hint="eastAsia" w:ascii="宋体" w:hAnsi="宋体"/>
          <w:sz w:val="24"/>
          <w:lang w:val="en-US" w:eastAsia="zh-CN"/>
        </w:rPr>
      </w:pPr>
      <w:r>
        <w:rPr>
          <w:rFonts w:hint="eastAsia" w:ascii="宋体" w:hAnsi="宋体"/>
          <w:sz w:val="24"/>
          <w:lang w:val="en-US" w:eastAsia="zh-CN"/>
        </w:rPr>
        <w:t>结算总价=中和缓蚀剂单价×季度消耗缓蚀剂量</w:t>
      </w:r>
    </w:p>
    <w:p w14:paraId="6EEBFA84">
      <w:pPr>
        <w:numPr>
          <w:ilvl w:val="0"/>
          <w:numId w:val="0"/>
        </w:numPr>
        <w:spacing w:line="312" w:lineRule="auto"/>
        <w:ind w:firstLine="480" w:firstLineChars="200"/>
        <w:rPr>
          <w:rFonts w:hint="eastAsia" w:ascii="宋体" w:hAnsi="宋体"/>
          <w:sz w:val="24"/>
          <w:lang w:val="en-US" w:eastAsia="zh-CN"/>
        </w:rPr>
      </w:pPr>
      <w:r>
        <w:rPr>
          <w:rFonts w:hint="eastAsia" w:ascii="宋体" w:hAnsi="宋体"/>
          <w:sz w:val="24"/>
          <w:lang w:val="en-US" w:eastAsia="zh-CN"/>
        </w:rPr>
        <w:t>以上述表格各注入点缓蚀剂用量作为付款基础，酸性水合格率≥90%，需方支付供方当批次该部分货款全款；80%≤合格率＜90%，按当批次该部分货款全款9折付款；70%≤合格率＜80%，按当批次该部分货款全款8折付款；60%≤合格率＜70%，按当批次该部分货款全款7折付款；50%≤合格率＜60%，按当批次该部分货款全款6折付款；合格率＜50%，不支付货款。（详见</w:t>
      </w:r>
      <w:r>
        <w:rPr>
          <w:rFonts w:hint="eastAsia" w:ascii="宋体" w:hAnsi="宋体"/>
          <w:color w:val="auto"/>
          <w:sz w:val="24"/>
          <w:lang w:val="en-US" w:eastAsia="zh-CN"/>
        </w:rPr>
        <w:t>加氢裂化装置水溶性中和缓蚀剂技术要求：六、验收结算</w:t>
      </w:r>
      <w:r>
        <w:rPr>
          <w:rFonts w:hint="eastAsia" w:ascii="宋体" w:hAnsi="宋体"/>
          <w:sz w:val="24"/>
          <w:lang w:val="en-US" w:eastAsia="zh-CN"/>
        </w:rPr>
        <w:t>）</w:t>
      </w:r>
    </w:p>
    <w:p w14:paraId="2395525D">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14:paraId="7A6401AB">
      <w:pPr>
        <w:numPr>
          <w:ilvl w:val="0"/>
          <w:numId w:val="0"/>
        </w:numPr>
        <w:spacing w:line="312" w:lineRule="auto"/>
        <w:rPr>
          <w:rFonts w:ascii="宋体" w:hAnsi="宋体"/>
          <w:sz w:val="24"/>
        </w:rPr>
      </w:pPr>
    </w:p>
    <w:p w14:paraId="36CBBB29">
      <w:pPr>
        <w:spacing w:line="312" w:lineRule="auto"/>
        <w:rPr>
          <w:rFonts w:ascii="宋体" w:hAnsi="宋体"/>
          <w:sz w:val="24"/>
        </w:rPr>
      </w:pPr>
    </w:p>
    <w:p w14:paraId="333938E7">
      <w:pPr>
        <w:spacing w:line="500" w:lineRule="exact"/>
        <w:rPr>
          <w:rFonts w:ascii="宋体"/>
          <w:sz w:val="24"/>
        </w:rPr>
      </w:pPr>
      <w:r>
        <w:rPr>
          <w:rFonts w:hint="eastAsia" w:ascii="宋体" w:hAnsi="宋体"/>
          <w:sz w:val="24"/>
        </w:rPr>
        <w:t>报价单位名称（公章）：</w:t>
      </w:r>
    </w:p>
    <w:p w14:paraId="4CF9D529">
      <w:pPr>
        <w:spacing w:line="500" w:lineRule="exact"/>
        <w:rPr>
          <w:rFonts w:ascii="宋体"/>
          <w:sz w:val="24"/>
        </w:rPr>
      </w:pPr>
      <w:bookmarkStart w:id="0" w:name="_Hlk532224866"/>
      <w:r>
        <w:rPr>
          <w:rFonts w:hint="eastAsia" w:ascii="宋体" w:hAnsi="宋体"/>
          <w:sz w:val="24"/>
        </w:rPr>
        <w:t>被授权代表签字：</w:t>
      </w:r>
    </w:p>
    <w:bookmarkEnd w:id="0"/>
    <w:p w14:paraId="6F07CDB1">
      <w:pPr>
        <w:spacing w:line="500" w:lineRule="exact"/>
        <w:rPr>
          <w:rFonts w:hint="eastAsia" w:ascii="宋体" w:hAnsi="宋体"/>
          <w:sz w:val="24"/>
        </w:rPr>
      </w:pPr>
      <w:r>
        <w:rPr>
          <w:rFonts w:hint="eastAsia" w:ascii="宋体" w:hAnsi="宋体"/>
          <w:sz w:val="24"/>
        </w:rPr>
        <w:t>时间：</w:t>
      </w:r>
    </w:p>
    <w:p w14:paraId="0E1EFDCF">
      <w:pPr>
        <w:spacing w:line="500" w:lineRule="exact"/>
        <w:rPr>
          <w:rFonts w:hint="eastAsia" w:ascii="宋体" w:hAnsi="宋体"/>
          <w:szCs w:val="21"/>
        </w:rPr>
      </w:pPr>
    </w:p>
    <w:p w14:paraId="678ECDFC">
      <w:pPr>
        <w:spacing w:line="500" w:lineRule="exact"/>
        <w:rPr>
          <w:rFonts w:hint="eastAsia" w:ascii="宋体" w:hAnsi="宋体"/>
          <w:szCs w:val="21"/>
        </w:rPr>
      </w:pPr>
    </w:p>
    <w:p w14:paraId="5AAC7C64">
      <w:pPr>
        <w:spacing w:line="500" w:lineRule="exact"/>
        <w:rPr>
          <w:rFonts w:hint="eastAsia" w:ascii="宋体" w:hAnsi="宋体"/>
          <w:szCs w:val="21"/>
        </w:rPr>
      </w:pPr>
    </w:p>
    <w:p w14:paraId="5E8F53FC">
      <w:pPr>
        <w:spacing w:line="500" w:lineRule="exact"/>
        <w:rPr>
          <w:rFonts w:hint="eastAsia" w:ascii="宋体" w:hAnsi="宋体"/>
          <w:szCs w:val="21"/>
        </w:rPr>
      </w:pPr>
    </w:p>
    <w:p w14:paraId="262DCAA4">
      <w:pPr>
        <w:spacing w:line="500" w:lineRule="exact"/>
        <w:rPr>
          <w:rFonts w:hint="eastAsia" w:ascii="宋体" w:hAnsi="宋体"/>
          <w:szCs w:val="21"/>
        </w:rPr>
      </w:pPr>
    </w:p>
    <w:p w14:paraId="2004424F">
      <w:pPr>
        <w:spacing w:line="500" w:lineRule="exact"/>
        <w:rPr>
          <w:rFonts w:hint="eastAsia" w:ascii="宋体" w:hAnsi="宋体"/>
          <w:szCs w:val="21"/>
        </w:rPr>
      </w:pPr>
    </w:p>
    <w:p w14:paraId="0F7B4015">
      <w:pPr>
        <w:spacing w:line="500" w:lineRule="exact"/>
        <w:rPr>
          <w:rFonts w:hint="eastAsia" w:ascii="宋体" w:hAnsi="宋体"/>
          <w:szCs w:val="21"/>
        </w:rPr>
      </w:pPr>
    </w:p>
    <w:p w14:paraId="46C24B81">
      <w:pPr>
        <w:spacing w:line="500" w:lineRule="exact"/>
        <w:rPr>
          <w:rFonts w:hint="eastAsia" w:ascii="宋体" w:hAnsi="宋体"/>
          <w:szCs w:val="21"/>
        </w:rPr>
      </w:pPr>
    </w:p>
    <w:p w14:paraId="20CEC8B8">
      <w:pPr>
        <w:spacing w:line="500" w:lineRule="exact"/>
        <w:rPr>
          <w:rFonts w:hint="eastAsia" w:ascii="宋体" w:hAnsi="宋体"/>
          <w:szCs w:val="21"/>
        </w:rPr>
      </w:pPr>
    </w:p>
    <w:p w14:paraId="61FDE5C0">
      <w:pPr>
        <w:spacing w:line="500" w:lineRule="exact"/>
        <w:rPr>
          <w:rFonts w:hint="eastAsia" w:ascii="宋体" w:hAnsi="宋体"/>
          <w:szCs w:val="21"/>
        </w:rPr>
      </w:pPr>
    </w:p>
    <w:p w14:paraId="36571150">
      <w:pPr>
        <w:spacing w:line="500" w:lineRule="exact"/>
        <w:rPr>
          <w:rFonts w:hint="eastAsia" w:ascii="宋体" w:hAnsi="宋体"/>
          <w:szCs w:val="21"/>
        </w:rPr>
      </w:pPr>
    </w:p>
    <w:p w14:paraId="4F7107D8">
      <w:pPr>
        <w:spacing w:line="500" w:lineRule="exact"/>
        <w:rPr>
          <w:rFonts w:hint="eastAsia" w:ascii="宋体" w:hAnsi="宋体"/>
          <w:szCs w:val="21"/>
        </w:rPr>
      </w:pPr>
    </w:p>
    <w:p w14:paraId="333C7760">
      <w:pPr>
        <w:spacing w:line="500" w:lineRule="exact"/>
        <w:rPr>
          <w:rFonts w:hint="eastAsia" w:ascii="宋体" w:hAnsi="宋体"/>
          <w:szCs w:val="21"/>
        </w:rPr>
      </w:pPr>
    </w:p>
    <w:p w14:paraId="0DDA2271">
      <w:pPr>
        <w:spacing w:line="500" w:lineRule="exact"/>
        <w:rPr>
          <w:rFonts w:hint="eastAsia" w:ascii="宋体" w:hAnsi="宋体"/>
          <w:szCs w:val="21"/>
        </w:rPr>
      </w:pPr>
    </w:p>
    <w:p w14:paraId="1D8D30A7">
      <w:pPr>
        <w:spacing w:line="500" w:lineRule="exact"/>
        <w:rPr>
          <w:rFonts w:hint="eastAsia" w:ascii="宋体" w:hAnsi="宋体"/>
          <w:sz w:val="32"/>
          <w:szCs w:val="32"/>
        </w:rPr>
      </w:pP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14:paraId="57609437">
      <w:pPr>
        <w:jc w:val="left"/>
        <w:rPr>
          <w:rFonts w:ascii="宋体" w:hAnsi="宋体"/>
          <w:sz w:val="32"/>
          <w:szCs w:val="32"/>
        </w:rPr>
      </w:pPr>
      <w:r>
        <w:rPr>
          <w:rFonts w:hint="eastAsia" w:ascii="宋体" w:hAnsi="宋体"/>
          <w:sz w:val="32"/>
          <w:szCs w:val="32"/>
        </w:rPr>
        <w:t>附表：</w:t>
      </w:r>
    </w:p>
    <w:p w14:paraId="71E6711F">
      <w:pPr>
        <w:jc w:val="center"/>
        <w:rPr>
          <w:rFonts w:hint="eastAsia" w:ascii="宋体" w:hAnsi="宋体"/>
          <w:sz w:val="32"/>
          <w:szCs w:val="32"/>
        </w:rPr>
      </w:pPr>
    </w:p>
    <w:p w14:paraId="5D9DD49D">
      <w:pPr>
        <w:jc w:val="center"/>
        <w:rPr>
          <w:rFonts w:ascii="宋体"/>
          <w:sz w:val="32"/>
          <w:szCs w:val="32"/>
        </w:rPr>
      </w:pPr>
      <w:r>
        <w:rPr>
          <w:rFonts w:hint="eastAsia" w:ascii="宋体" w:hAnsi="宋体"/>
          <w:sz w:val="32"/>
          <w:szCs w:val="32"/>
        </w:rPr>
        <w:t>公开比选确认单</w:t>
      </w:r>
    </w:p>
    <w:p w14:paraId="66BFDF6D">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14:paraId="3C15ECF2">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2024-FHC-水溶性中和缓蚀剂-0920</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lang w:eastAsia="zh-CN"/>
        </w:rPr>
        <w:t>：</w:t>
      </w:r>
      <w:r>
        <w:rPr>
          <w:rFonts w:hint="eastAsia" w:ascii="宋体" w:hAnsi="宋体"/>
          <w:sz w:val="28"/>
          <w:szCs w:val="28"/>
          <w:u w:val="single"/>
        </w:rPr>
        <w:t>详见</w:t>
      </w:r>
      <w:bookmarkEnd w:id="1"/>
      <w:r>
        <w:rPr>
          <w:rFonts w:hint="eastAsia" w:ascii="宋体" w:hAnsi="宋体"/>
          <w:sz w:val="28"/>
          <w:szCs w:val="28"/>
          <w:u w:val="single"/>
          <w:lang w:val="en-US" w:eastAsia="zh-CN"/>
        </w:rPr>
        <w:t>附件技术要求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14:paraId="3125A256">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lang w:eastAsia="zh-CN"/>
        </w:rPr>
        <w:t>：</w:t>
      </w:r>
      <w:r>
        <w:rPr>
          <w:rFonts w:hint="eastAsia" w:ascii="宋体" w:hAnsi="宋体"/>
          <w:sz w:val="28"/>
          <w:szCs w:val="28"/>
          <w:u w:val="single"/>
        </w:rPr>
        <w:t>详见</w:t>
      </w:r>
      <w:r>
        <w:rPr>
          <w:rFonts w:hint="eastAsia" w:ascii="宋体" w:hAnsi="宋体"/>
          <w:sz w:val="28"/>
          <w:szCs w:val="28"/>
          <w:u w:val="single"/>
          <w:lang w:val="en-US" w:eastAsia="zh-CN"/>
        </w:rPr>
        <w:t>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14:paraId="36B4A33A">
      <w:pPr>
        <w:ind w:firstLine="570"/>
        <w:rPr>
          <w:rFonts w:ascii="宋体" w:hAnsi="宋体"/>
          <w:sz w:val="24"/>
        </w:rPr>
      </w:pPr>
      <w:r>
        <w:rPr>
          <w:rFonts w:hint="eastAsia" w:ascii="宋体" w:hAnsi="宋体"/>
          <w:sz w:val="28"/>
          <w:szCs w:val="28"/>
        </w:rPr>
        <w:t>执行时间：以需方通知为准。</w:t>
      </w:r>
    </w:p>
    <w:p w14:paraId="16EFD619">
      <w:pPr>
        <w:ind w:firstLine="570"/>
        <w:rPr>
          <w:rFonts w:ascii="宋体"/>
          <w:sz w:val="28"/>
          <w:szCs w:val="28"/>
        </w:rPr>
      </w:pPr>
      <w:r>
        <w:rPr>
          <w:rFonts w:hint="eastAsia" w:ascii="宋体" w:hAnsi="宋体"/>
          <w:sz w:val="28"/>
          <w:szCs w:val="28"/>
        </w:rPr>
        <w:t>其他约定不变。</w:t>
      </w:r>
    </w:p>
    <w:p w14:paraId="0CC172F7">
      <w:pPr>
        <w:ind w:firstLine="570"/>
        <w:rPr>
          <w:rFonts w:ascii="宋体"/>
          <w:sz w:val="28"/>
          <w:szCs w:val="28"/>
        </w:rPr>
      </w:pPr>
    </w:p>
    <w:p w14:paraId="2829BC6E">
      <w:pPr>
        <w:ind w:firstLine="570"/>
        <w:rPr>
          <w:rFonts w:ascii="宋体"/>
          <w:sz w:val="28"/>
          <w:szCs w:val="28"/>
        </w:rPr>
      </w:pPr>
      <w:r>
        <w:rPr>
          <w:rFonts w:hint="eastAsia" w:ascii="宋体" w:hAnsi="宋体"/>
          <w:sz w:val="28"/>
          <w:szCs w:val="28"/>
        </w:rPr>
        <w:t>顺祝</w:t>
      </w:r>
    </w:p>
    <w:p w14:paraId="06B3D9D9">
      <w:pPr>
        <w:rPr>
          <w:rFonts w:ascii="宋体"/>
          <w:sz w:val="28"/>
          <w:szCs w:val="28"/>
        </w:rPr>
      </w:pPr>
      <w:r>
        <w:rPr>
          <w:rFonts w:hint="eastAsia" w:ascii="宋体" w:hAnsi="宋体"/>
          <w:sz w:val="28"/>
          <w:szCs w:val="28"/>
        </w:rPr>
        <w:t>商祺！</w:t>
      </w:r>
    </w:p>
    <w:p w14:paraId="6E001B40">
      <w:pPr>
        <w:wordWrap w:val="0"/>
        <w:jc w:val="center"/>
        <w:rPr>
          <w:rFonts w:ascii="宋体"/>
          <w:sz w:val="28"/>
          <w:szCs w:val="28"/>
        </w:rPr>
      </w:pPr>
      <w:r>
        <w:rPr>
          <w:rFonts w:hint="eastAsia" w:ascii="宋体" w:hAnsi="宋体"/>
          <w:sz w:val="28"/>
          <w:szCs w:val="28"/>
        </w:rPr>
        <w:t xml:space="preserve">        公司名称（章）： </w:t>
      </w:r>
    </w:p>
    <w:p w14:paraId="35466717">
      <w:pPr>
        <w:wordWrap w:val="0"/>
        <w:jc w:val="center"/>
        <w:rPr>
          <w:rFonts w:ascii="宋体"/>
          <w:sz w:val="28"/>
          <w:szCs w:val="28"/>
        </w:rPr>
      </w:pPr>
      <w:r>
        <w:rPr>
          <w:rFonts w:hint="eastAsia" w:ascii="宋体" w:hAnsi="宋体"/>
          <w:sz w:val="28"/>
          <w:szCs w:val="28"/>
        </w:rPr>
        <w:t xml:space="preserve">         被授权代表签字： </w:t>
      </w:r>
    </w:p>
    <w:p w14:paraId="25FA99DB">
      <w:pPr>
        <w:wordWrap w:val="0"/>
        <w:jc w:val="center"/>
        <w:rPr>
          <w:rFonts w:ascii="宋体" w:hAnsi="宋体"/>
          <w:sz w:val="28"/>
          <w:szCs w:val="28"/>
        </w:rPr>
      </w:pPr>
      <w:r>
        <w:rPr>
          <w:rFonts w:hint="eastAsia" w:ascii="宋体" w:hAnsi="宋体"/>
          <w:sz w:val="28"/>
          <w:szCs w:val="28"/>
        </w:rPr>
        <w:t xml:space="preserve">        日期： </w:t>
      </w:r>
    </w:p>
    <w:p w14:paraId="44A10B38">
      <w:pPr>
        <w:widowControl/>
        <w:jc w:val="left"/>
        <w:rPr>
          <w:rFonts w:eastAsia="Times New Roman"/>
          <w:sz w:val="23"/>
        </w:rPr>
      </w:pPr>
    </w:p>
    <w:p w14:paraId="573A999C">
      <w:pPr>
        <w:spacing w:line="360" w:lineRule="auto"/>
        <w:jc w:val="left"/>
        <w:rPr>
          <w:rFonts w:ascii="宋体" w:hAnsi="宋体" w:cs="宋体"/>
          <w:b/>
          <w:sz w:val="28"/>
          <w:szCs w:val="28"/>
        </w:rPr>
      </w:pPr>
    </w:p>
    <w:p w14:paraId="1F3C2F25">
      <w:pPr>
        <w:spacing w:line="360" w:lineRule="auto"/>
        <w:jc w:val="left"/>
        <w:rPr>
          <w:rFonts w:ascii="宋体" w:hAnsi="宋体" w:cs="宋体"/>
          <w:b/>
          <w:sz w:val="28"/>
          <w:szCs w:val="28"/>
        </w:rPr>
      </w:pPr>
    </w:p>
    <w:p w14:paraId="1A1BCE8A">
      <w:pPr>
        <w:spacing w:line="360" w:lineRule="auto"/>
        <w:jc w:val="left"/>
        <w:rPr>
          <w:rFonts w:ascii="宋体" w:hAnsi="宋体" w:cs="宋体"/>
          <w:b/>
          <w:sz w:val="28"/>
          <w:szCs w:val="28"/>
        </w:rPr>
      </w:pPr>
    </w:p>
    <w:p w14:paraId="139A6409">
      <w:pPr>
        <w:spacing w:line="360" w:lineRule="auto"/>
        <w:jc w:val="left"/>
        <w:rPr>
          <w:rFonts w:ascii="宋体" w:hAnsi="宋体" w:cs="宋体"/>
          <w:b/>
          <w:sz w:val="28"/>
          <w:szCs w:val="28"/>
        </w:rPr>
      </w:pPr>
    </w:p>
    <w:p w14:paraId="63DA8A6E">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14:paraId="36055156">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14:paraId="3813CBD8">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14:paraId="7C9E3FBB">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14:paraId="0BEEDCAF">
      <w:pPr>
        <w:spacing w:line="280" w:lineRule="exact"/>
        <w:rPr>
          <w:rFonts w:hint="eastAsia" w:ascii="宋体" w:hAnsi="宋体"/>
          <w:b/>
          <w:szCs w:val="21"/>
        </w:rPr>
      </w:pPr>
      <w:r>
        <w:rPr>
          <w:rFonts w:hint="eastAsia" w:ascii="宋体" w:hAnsi="宋体"/>
          <w:b/>
          <w:szCs w:val="21"/>
        </w:rPr>
        <w:t xml:space="preserve">供方：                       </w:t>
      </w:r>
    </w:p>
    <w:p w14:paraId="486DA52F">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14:paraId="4A284CF0">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14:paraId="15A0FF48">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w:t>
      </w:r>
      <w:r>
        <w:rPr>
          <w:rFonts w:hint="eastAsia" w:ascii="宋体" w:hAnsi="宋体" w:cs="宋体"/>
          <w:b/>
          <w:kern w:val="0"/>
          <w:szCs w:val="21"/>
          <w:lang w:val="en-US" w:eastAsia="zh-CN"/>
        </w:rPr>
        <w:t>含税</w:t>
      </w:r>
      <w:r>
        <w:rPr>
          <w:rFonts w:hint="eastAsia" w:ascii="宋体" w:hAnsi="宋体" w:cs="宋体"/>
          <w:b/>
          <w:kern w:val="0"/>
          <w:szCs w:val="21"/>
        </w:rPr>
        <w:t>单价、</w:t>
      </w:r>
      <w:r>
        <w:rPr>
          <w:rFonts w:hint="eastAsia" w:ascii="宋体" w:hAnsi="宋体" w:cs="宋体"/>
          <w:b/>
          <w:kern w:val="0"/>
          <w:szCs w:val="21"/>
          <w:lang w:val="en-US" w:eastAsia="zh-CN"/>
        </w:rPr>
        <w:t>含税总</w:t>
      </w:r>
      <w:r>
        <w:rPr>
          <w:rFonts w:hint="eastAsia" w:ascii="宋体" w:hAnsi="宋体" w:cs="宋体"/>
          <w:b/>
          <w:kern w:val="0"/>
          <w:szCs w:val="21"/>
        </w:rPr>
        <w:t>金额、</w:t>
      </w:r>
      <w:r>
        <w:rPr>
          <w:rFonts w:hint="eastAsia" w:ascii="宋体" w:hAnsi="宋体" w:cs="宋体"/>
          <w:b/>
          <w:kern w:val="0"/>
          <w:szCs w:val="21"/>
          <w:lang w:val="en-US" w:eastAsia="zh-CN"/>
        </w:rPr>
        <w:t>不含税总金额、税金、</w:t>
      </w:r>
      <w:r>
        <w:rPr>
          <w:rFonts w:hint="eastAsia" w:ascii="宋体" w:hAnsi="宋体" w:cs="宋体"/>
          <w:b/>
          <w:kern w:val="0"/>
          <w:szCs w:val="21"/>
        </w:rPr>
        <w:t>备注:</w:t>
      </w:r>
    </w:p>
    <w:tbl>
      <w:tblPr>
        <w:tblStyle w:val="8"/>
        <w:tblW w:w="96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25"/>
        <w:gridCol w:w="683"/>
        <w:gridCol w:w="817"/>
        <w:gridCol w:w="688"/>
        <w:gridCol w:w="687"/>
        <w:gridCol w:w="1350"/>
        <w:gridCol w:w="1513"/>
        <w:gridCol w:w="903"/>
        <w:gridCol w:w="1533"/>
      </w:tblGrid>
      <w:tr w14:paraId="08F1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77" w:type="dxa"/>
            <w:vAlign w:val="center"/>
          </w:tcPr>
          <w:p w14:paraId="55B48106">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25" w:type="dxa"/>
            <w:vAlign w:val="center"/>
          </w:tcPr>
          <w:p w14:paraId="3165C0D6">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683" w:type="dxa"/>
            <w:vAlign w:val="center"/>
          </w:tcPr>
          <w:p w14:paraId="36D42211">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7" w:type="dxa"/>
            <w:vAlign w:val="center"/>
          </w:tcPr>
          <w:p w14:paraId="0F8D823E">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8" w:type="dxa"/>
            <w:vAlign w:val="center"/>
          </w:tcPr>
          <w:p w14:paraId="14E798F0">
            <w:pPr>
              <w:spacing w:line="280" w:lineRule="exact"/>
              <w:jc w:val="center"/>
              <w:rPr>
                <w:rFonts w:hint="eastAsia" w:ascii="宋体" w:hAnsi="宋体"/>
                <w:color w:val="000000"/>
                <w:szCs w:val="21"/>
              </w:rPr>
            </w:pPr>
            <w:r>
              <w:rPr>
                <w:rFonts w:hint="eastAsia" w:ascii="宋体" w:hAnsi="宋体"/>
                <w:color w:val="000000"/>
                <w:szCs w:val="21"/>
              </w:rPr>
              <w:t>数量</w:t>
            </w:r>
          </w:p>
        </w:tc>
        <w:tc>
          <w:tcPr>
            <w:tcW w:w="687" w:type="dxa"/>
            <w:vAlign w:val="center"/>
          </w:tcPr>
          <w:p w14:paraId="6889B56B">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350" w:type="dxa"/>
            <w:vAlign w:val="center"/>
          </w:tcPr>
          <w:p w14:paraId="32584999">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513" w:type="dxa"/>
            <w:vAlign w:val="center"/>
          </w:tcPr>
          <w:p w14:paraId="42C206B7">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903" w:type="dxa"/>
            <w:vAlign w:val="center"/>
          </w:tcPr>
          <w:p w14:paraId="7A2DF663">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税金（元）</w:t>
            </w:r>
          </w:p>
        </w:tc>
        <w:tc>
          <w:tcPr>
            <w:tcW w:w="1533" w:type="dxa"/>
            <w:vAlign w:val="center"/>
          </w:tcPr>
          <w:p w14:paraId="04C3ABB5">
            <w:pPr>
              <w:spacing w:line="280" w:lineRule="exact"/>
              <w:jc w:val="center"/>
              <w:rPr>
                <w:rFonts w:hint="eastAsia" w:ascii="宋体" w:hAnsi="宋体"/>
                <w:color w:val="000000"/>
                <w:szCs w:val="21"/>
              </w:rPr>
            </w:pPr>
            <w:r>
              <w:rPr>
                <w:rFonts w:hint="eastAsia" w:ascii="宋体" w:hAnsi="宋体"/>
                <w:color w:val="000000"/>
                <w:szCs w:val="21"/>
              </w:rPr>
              <w:t>备注</w:t>
            </w:r>
          </w:p>
        </w:tc>
      </w:tr>
      <w:tr w14:paraId="29AC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7" w:type="dxa"/>
            <w:vAlign w:val="center"/>
          </w:tcPr>
          <w:p w14:paraId="5DD85AC8">
            <w:pPr>
              <w:spacing w:line="280" w:lineRule="exact"/>
              <w:ind w:firstLine="420" w:firstLineChars="200"/>
              <w:jc w:val="both"/>
              <w:rPr>
                <w:rFonts w:hint="default" w:ascii="宋体" w:hAnsi="宋体" w:eastAsia="宋体"/>
                <w:color w:val="000000"/>
                <w:sz w:val="21"/>
                <w:szCs w:val="21"/>
                <w:lang w:val="en-US" w:eastAsia="zh-CN"/>
              </w:rPr>
            </w:pPr>
          </w:p>
        </w:tc>
        <w:tc>
          <w:tcPr>
            <w:tcW w:w="725" w:type="dxa"/>
            <w:vAlign w:val="center"/>
          </w:tcPr>
          <w:p w14:paraId="4BDEBC46">
            <w:pPr>
              <w:spacing w:line="280" w:lineRule="exact"/>
              <w:jc w:val="both"/>
              <w:rPr>
                <w:rFonts w:hint="default" w:ascii="宋体" w:hAnsi="宋体" w:cs="Times New Roman"/>
                <w:color w:val="000000"/>
                <w:sz w:val="21"/>
                <w:szCs w:val="21"/>
                <w:lang w:val="en-US" w:eastAsia="zh-CN"/>
              </w:rPr>
            </w:pPr>
          </w:p>
        </w:tc>
        <w:tc>
          <w:tcPr>
            <w:tcW w:w="683" w:type="dxa"/>
            <w:vAlign w:val="center"/>
          </w:tcPr>
          <w:p w14:paraId="4F487173">
            <w:pPr>
              <w:spacing w:line="280" w:lineRule="exact"/>
              <w:jc w:val="center"/>
              <w:rPr>
                <w:rFonts w:hint="default" w:ascii="宋体" w:hAnsi="宋体" w:cs="Times New Roman"/>
                <w:color w:val="000000"/>
                <w:sz w:val="21"/>
                <w:szCs w:val="21"/>
                <w:lang w:val="en-US" w:eastAsia="zh-CN"/>
              </w:rPr>
            </w:pPr>
          </w:p>
        </w:tc>
        <w:tc>
          <w:tcPr>
            <w:tcW w:w="817" w:type="dxa"/>
            <w:vAlign w:val="center"/>
          </w:tcPr>
          <w:p w14:paraId="646B895D">
            <w:pPr>
              <w:spacing w:line="280" w:lineRule="exact"/>
              <w:jc w:val="center"/>
              <w:rPr>
                <w:rFonts w:hint="default" w:ascii="宋体" w:hAnsi="宋体" w:cs="Times New Roman"/>
                <w:color w:val="000000"/>
                <w:sz w:val="21"/>
                <w:szCs w:val="21"/>
                <w:lang w:val="en-US" w:eastAsia="zh-CN"/>
              </w:rPr>
            </w:pPr>
          </w:p>
        </w:tc>
        <w:tc>
          <w:tcPr>
            <w:tcW w:w="688" w:type="dxa"/>
            <w:vAlign w:val="center"/>
          </w:tcPr>
          <w:p w14:paraId="24ACB378">
            <w:pPr>
              <w:spacing w:line="280" w:lineRule="exact"/>
              <w:jc w:val="center"/>
              <w:rPr>
                <w:rFonts w:hint="default" w:ascii="宋体" w:hAnsi="宋体" w:cs="Times New Roman"/>
                <w:color w:val="000000"/>
                <w:sz w:val="21"/>
                <w:szCs w:val="21"/>
                <w:lang w:val="en-US" w:eastAsia="zh-CN"/>
              </w:rPr>
            </w:pPr>
          </w:p>
        </w:tc>
        <w:tc>
          <w:tcPr>
            <w:tcW w:w="687" w:type="dxa"/>
            <w:vAlign w:val="center"/>
          </w:tcPr>
          <w:p w14:paraId="6BDF310E">
            <w:pPr>
              <w:spacing w:line="280" w:lineRule="exact"/>
              <w:jc w:val="center"/>
              <w:rPr>
                <w:rFonts w:hint="default" w:ascii="宋体" w:hAnsi="宋体" w:cs="Times New Roman"/>
                <w:color w:val="000000"/>
                <w:sz w:val="21"/>
                <w:szCs w:val="21"/>
                <w:lang w:val="en-US" w:eastAsia="zh-CN"/>
              </w:rPr>
            </w:pPr>
          </w:p>
        </w:tc>
        <w:tc>
          <w:tcPr>
            <w:tcW w:w="1350" w:type="dxa"/>
            <w:vAlign w:val="center"/>
          </w:tcPr>
          <w:p w14:paraId="366CE4C7">
            <w:pPr>
              <w:spacing w:line="280" w:lineRule="exact"/>
              <w:jc w:val="center"/>
              <w:rPr>
                <w:rFonts w:hint="default" w:ascii="宋体" w:hAnsi="宋体" w:cs="Times New Roman"/>
                <w:color w:val="000000"/>
                <w:sz w:val="21"/>
                <w:szCs w:val="21"/>
                <w:lang w:val="en-US" w:eastAsia="zh-CN"/>
              </w:rPr>
            </w:pPr>
          </w:p>
        </w:tc>
        <w:tc>
          <w:tcPr>
            <w:tcW w:w="1513" w:type="dxa"/>
            <w:vAlign w:val="center"/>
          </w:tcPr>
          <w:p w14:paraId="62125D1B">
            <w:pPr>
              <w:spacing w:line="280" w:lineRule="exact"/>
              <w:jc w:val="center"/>
              <w:rPr>
                <w:rFonts w:hint="eastAsia" w:ascii="宋体" w:hAnsi="宋体" w:cs="Times New Roman"/>
                <w:color w:val="000000"/>
                <w:sz w:val="21"/>
                <w:szCs w:val="21"/>
                <w:lang w:val="en-US" w:eastAsia="zh-CN"/>
              </w:rPr>
            </w:pPr>
          </w:p>
        </w:tc>
        <w:tc>
          <w:tcPr>
            <w:tcW w:w="903" w:type="dxa"/>
            <w:vAlign w:val="center"/>
          </w:tcPr>
          <w:p w14:paraId="09A6414F">
            <w:pPr>
              <w:spacing w:line="280" w:lineRule="exact"/>
              <w:jc w:val="center"/>
              <w:rPr>
                <w:rFonts w:hint="eastAsia" w:ascii="宋体" w:hAnsi="宋体" w:cs="Times New Roman"/>
                <w:color w:val="000000"/>
                <w:sz w:val="21"/>
                <w:szCs w:val="21"/>
                <w:lang w:val="en-US" w:eastAsia="zh-CN"/>
              </w:rPr>
            </w:pPr>
          </w:p>
        </w:tc>
        <w:tc>
          <w:tcPr>
            <w:tcW w:w="1533" w:type="dxa"/>
            <w:vAlign w:val="center"/>
          </w:tcPr>
          <w:p w14:paraId="329FA6C2">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14:paraId="55E9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85" w:type="dxa"/>
            <w:gridSpan w:val="3"/>
            <w:vAlign w:val="center"/>
          </w:tcPr>
          <w:p w14:paraId="00D2A30F">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7491" w:type="dxa"/>
            <w:gridSpan w:val="7"/>
            <w:vAlign w:val="center"/>
          </w:tcPr>
          <w:p w14:paraId="4ECA1C56">
            <w:pPr>
              <w:spacing w:line="280" w:lineRule="exact"/>
              <w:rPr>
                <w:rFonts w:hint="eastAsia" w:ascii="宋体" w:hAnsi="宋体"/>
                <w:color w:val="000000"/>
                <w:szCs w:val="21"/>
              </w:rPr>
            </w:pPr>
          </w:p>
        </w:tc>
      </w:tr>
    </w:tbl>
    <w:p w14:paraId="08F602FF">
      <w:pPr>
        <w:spacing w:line="280" w:lineRule="exact"/>
        <w:ind w:firstLine="420" w:firstLineChars="200"/>
        <w:rPr>
          <w:rFonts w:hint="eastAsia" w:ascii="宋体" w:hAnsi="宋体"/>
          <w:b/>
          <w:szCs w:val="21"/>
        </w:rPr>
      </w:pPr>
      <w:r>
        <w:rPr>
          <w:rFonts w:hint="eastAsia" w:ascii="宋体" w:hAnsi="宋体"/>
          <w:b w:val="0"/>
          <w:bCs/>
          <w:color w:val="000000"/>
          <w:szCs w:val="21"/>
        </w:rPr>
        <w:t>上述数量及总金额均为暂定，</w:t>
      </w:r>
      <w:r>
        <w:rPr>
          <w:rFonts w:hint="eastAsia" w:ascii="宋体" w:hAnsi="宋体"/>
          <w:b w:val="0"/>
          <w:bCs/>
          <w:color w:val="000000"/>
          <w:szCs w:val="21"/>
          <w:lang w:val="en-US" w:eastAsia="zh-CN"/>
        </w:rPr>
        <w:t>上述数量</w:t>
      </w:r>
      <w:r>
        <w:rPr>
          <w:rFonts w:hint="eastAsia" w:ascii="宋体" w:hAnsi="宋体"/>
          <w:b w:val="0"/>
          <w:bCs/>
          <w:color w:val="000000"/>
          <w:szCs w:val="21"/>
        </w:rPr>
        <w:t>为</w:t>
      </w:r>
      <w:r>
        <w:rPr>
          <w:rFonts w:hint="eastAsia" w:ascii="宋体" w:hAnsi="宋体"/>
          <w:b w:val="0"/>
          <w:bCs/>
          <w:color w:val="000000"/>
          <w:szCs w:val="21"/>
          <w:lang w:val="en-US" w:eastAsia="zh-CN"/>
        </w:rPr>
        <w:t>2025年1月1日</w:t>
      </w:r>
      <w:r>
        <w:rPr>
          <w:rFonts w:hint="eastAsia" w:ascii="宋体" w:hAnsi="宋体"/>
          <w:b w:val="0"/>
          <w:bCs/>
          <w:color w:val="000000"/>
          <w:szCs w:val="21"/>
        </w:rPr>
        <w:t>至20</w:t>
      </w:r>
      <w:r>
        <w:rPr>
          <w:rFonts w:hint="eastAsia" w:ascii="宋体" w:hAnsi="宋体"/>
          <w:b w:val="0"/>
          <w:bCs/>
          <w:color w:val="000000"/>
          <w:szCs w:val="21"/>
          <w:lang w:val="en-US" w:eastAsia="zh-CN"/>
        </w:rPr>
        <w:t>26</w:t>
      </w:r>
      <w:r>
        <w:rPr>
          <w:rFonts w:hint="eastAsia" w:ascii="宋体" w:hAnsi="宋体"/>
          <w:b w:val="0"/>
          <w:bCs/>
          <w:color w:val="000000"/>
          <w:szCs w:val="21"/>
        </w:rPr>
        <w:t>年</w:t>
      </w:r>
      <w:r>
        <w:rPr>
          <w:rFonts w:hint="eastAsia" w:ascii="宋体" w:hAnsi="宋体"/>
          <w:b w:val="0"/>
          <w:bCs/>
          <w:color w:val="000000"/>
          <w:szCs w:val="21"/>
          <w:lang w:val="en-US" w:eastAsia="zh-CN"/>
        </w:rPr>
        <w:t>12</w:t>
      </w:r>
      <w:r>
        <w:rPr>
          <w:rFonts w:hint="eastAsia" w:ascii="宋体" w:hAnsi="宋体"/>
          <w:b w:val="0"/>
          <w:bCs/>
          <w:color w:val="000000"/>
          <w:szCs w:val="21"/>
        </w:rPr>
        <w:t>月</w:t>
      </w:r>
      <w:r>
        <w:rPr>
          <w:rFonts w:hint="eastAsia" w:ascii="宋体" w:hAnsi="宋体"/>
          <w:b w:val="0"/>
          <w:bCs/>
          <w:color w:val="000000"/>
          <w:szCs w:val="21"/>
          <w:lang w:val="en-US" w:eastAsia="zh-CN"/>
        </w:rPr>
        <w:t>31日</w:t>
      </w:r>
      <w:r>
        <w:rPr>
          <w:rFonts w:hint="eastAsia" w:ascii="宋体" w:hAnsi="宋体"/>
          <w:b w:val="0"/>
          <w:bCs/>
          <w:color w:val="000000"/>
          <w:szCs w:val="21"/>
        </w:rPr>
        <w:t>封顶数量：如果合约期内实际用药数量超过</w:t>
      </w:r>
      <w:r>
        <w:rPr>
          <w:rFonts w:hint="eastAsia" w:ascii="宋体" w:hAnsi="宋体"/>
          <w:b w:val="0"/>
          <w:bCs/>
          <w:color w:val="000000"/>
          <w:szCs w:val="21"/>
          <w:lang w:val="en-US" w:eastAsia="zh-CN"/>
        </w:rPr>
        <w:t>上述数量</w:t>
      </w:r>
      <w:r>
        <w:rPr>
          <w:rFonts w:hint="eastAsia" w:ascii="宋体" w:hAnsi="宋体"/>
          <w:b w:val="0"/>
          <w:bCs/>
          <w:color w:val="000000"/>
          <w:szCs w:val="21"/>
        </w:rPr>
        <w:t>，供方无条件补足；如果合约期内实际用药数量少于</w:t>
      </w:r>
      <w:r>
        <w:rPr>
          <w:rFonts w:hint="eastAsia" w:ascii="宋体" w:hAnsi="宋体"/>
          <w:b w:val="0"/>
          <w:bCs/>
          <w:color w:val="000000"/>
          <w:szCs w:val="21"/>
          <w:lang w:val="en-US" w:eastAsia="zh-CN"/>
        </w:rPr>
        <w:t>上述数量</w:t>
      </w:r>
      <w:r>
        <w:rPr>
          <w:rFonts w:hint="eastAsia" w:ascii="宋体" w:hAnsi="宋体"/>
          <w:b w:val="0"/>
          <w:bCs/>
          <w:color w:val="000000"/>
          <w:szCs w:val="21"/>
        </w:rPr>
        <w:t>，则按照实际用药数量进行结算。</w:t>
      </w:r>
    </w:p>
    <w:p w14:paraId="14B794FE">
      <w:pPr>
        <w:spacing w:line="280" w:lineRule="exact"/>
        <w:rPr>
          <w:rFonts w:ascii="宋体" w:hAnsi="宋体"/>
          <w:b/>
          <w:color w:val="000000"/>
          <w:szCs w:val="21"/>
        </w:rPr>
      </w:pPr>
      <w:r>
        <w:rPr>
          <w:rFonts w:hint="eastAsia" w:ascii="宋体" w:hAnsi="宋体"/>
          <w:b/>
          <w:szCs w:val="21"/>
        </w:rPr>
        <w:t>二、</w:t>
      </w:r>
      <w:r>
        <w:rPr>
          <w:rFonts w:hint="eastAsia" w:ascii="宋体" w:hAnsi="宋体"/>
          <w:b/>
          <w:color w:val="000000"/>
          <w:szCs w:val="21"/>
        </w:rPr>
        <w:t>供货有效期：</w:t>
      </w:r>
    </w:p>
    <w:p w14:paraId="1A62641E">
      <w:pPr>
        <w:numPr>
          <w:ilvl w:val="0"/>
          <w:numId w:val="0"/>
        </w:numPr>
        <w:spacing w:line="280" w:lineRule="exact"/>
        <w:ind w:leftChars="0" w:firstLine="420" w:firstLineChars="200"/>
        <w:rPr>
          <w:rFonts w:hint="eastAsia" w:ascii="宋体" w:hAnsi="宋体"/>
          <w:b/>
          <w:szCs w:val="21"/>
        </w:rPr>
      </w:pPr>
      <w:r>
        <w:rPr>
          <w:rFonts w:hint="eastAsia" w:ascii="宋体" w:hAnsi="宋体"/>
          <w:color w:val="000000"/>
          <w:szCs w:val="21"/>
          <w:lang w:val="en-US" w:eastAsia="zh-CN"/>
        </w:rPr>
        <w:t xml:space="preserve">本合同供货有效期：从 </w:t>
      </w:r>
      <w:r>
        <w:rPr>
          <w:rFonts w:hint="eastAsia" w:ascii="宋体" w:hAnsi="宋体"/>
          <w:color w:val="000000"/>
          <w:szCs w:val="21"/>
          <w:u w:val="single"/>
          <w:lang w:val="en-US" w:eastAsia="zh-CN"/>
        </w:rPr>
        <w:t>2025</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w:t>
      </w:r>
      <w:r>
        <w:rPr>
          <w:rFonts w:hint="eastAsia" w:ascii="宋体" w:hAnsi="宋体"/>
          <w:color w:val="000000" w:themeColor="text1"/>
          <w:szCs w:val="21"/>
          <w:lang w:val="en-US" w:eastAsia="zh-CN"/>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 xml:space="preserve"> 1 </w:t>
      </w:r>
      <w:r>
        <w:rPr>
          <w:rFonts w:hint="eastAsia" w:ascii="宋体" w:hAnsi="宋体"/>
          <w:color w:val="000000" w:themeColor="text1"/>
          <w:szCs w:val="21"/>
          <w:lang w:val="en-US" w:eastAsia="zh-CN"/>
          <w14:textFill>
            <w14:solidFill>
              <w14:schemeClr w14:val="tx1"/>
            </w14:solidFill>
          </w14:textFill>
        </w:rPr>
        <w:t>日</w:t>
      </w:r>
      <w:r>
        <w:rPr>
          <w:rFonts w:hint="eastAsia" w:ascii="宋体" w:hAnsi="宋体"/>
          <w:color w:val="000000"/>
          <w:szCs w:val="21"/>
          <w:lang w:val="en-US" w:eastAsia="zh-CN"/>
        </w:rPr>
        <w:t xml:space="preserve">至 </w:t>
      </w:r>
      <w:r>
        <w:rPr>
          <w:rFonts w:hint="eastAsia" w:ascii="宋体" w:hAnsi="宋体"/>
          <w:color w:val="000000"/>
          <w:szCs w:val="21"/>
          <w:u w:val="single"/>
          <w:lang w:val="en-US" w:eastAsia="zh-CN"/>
        </w:rPr>
        <w:t>2026</w:t>
      </w:r>
      <w:r>
        <w:rPr>
          <w:rFonts w:hint="eastAsia" w:ascii="宋体" w:hAnsi="宋体"/>
          <w:color w:val="000000"/>
          <w:szCs w:val="21"/>
          <w:lang w:val="en-US" w:eastAsia="zh-CN"/>
        </w:rPr>
        <w:t>年</w:t>
      </w:r>
      <w:r>
        <w:rPr>
          <w:rFonts w:hint="eastAsia" w:ascii="宋体" w:hAnsi="宋体"/>
          <w:color w:val="000000"/>
          <w:szCs w:val="21"/>
          <w:u w:val="single"/>
          <w:lang w:val="en-US" w:eastAsia="zh-CN"/>
        </w:rPr>
        <w:t xml:space="preserve"> 12 </w:t>
      </w:r>
      <w:r>
        <w:rPr>
          <w:rFonts w:hint="eastAsia" w:ascii="宋体" w:hAnsi="宋体"/>
          <w:color w:val="000000"/>
          <w:szCs w:val="21"/>
          <w:lang w:val="en-US" w:eastAsia="zh-CN"/>
        </w:rPr>
        <w:t xml:space="preserve">月 </w:t>
      </w:r>
      <w:r>
        <w:rPr>
          <w:rFonts w:hint="eastAsia" w:ascii="宋体" w:hAnsi="宋体"/>
          <w:color w:val="000000"/>
          <w:szCs w:val="21"/>
          <w:u w:val="single"/>
          <w:lang w:val="en-US" w:eastAsia="zh-CN"/>
        </w:rPr>
        <w:t xml:space="preserve">31 </w:t>
      </w:r>
      <w:r>
        <w:rPr>
          <w:rFonts w:hint="eastAsia" w:ascii="宋体" w:hAnsi="宋体"/>
          <w:color w:val="000000"/>
          <w:szCs w:val="21"/>
          <w:lang w:val="en-US" w:eastAsia="zh-CN"/>
        </w:rPr>
        <w:t>日。本合同供货有效期届满与否，不影响本合同其他条款和组成部分的效力。</w:t>
      </w:r>
    </w:p>
    <w:p w14:paraId="1411383E">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见附件</w:t>
      </w:r>
      <w:r>
        <w:rPr>
          <w:rFonts w:hint="eastAsia" w:ascii="宋体" w:hAnsi="宋体"/>
          <w:color w:val="000000"/>
          <w:szCs w:val="21"/>
          <w:u w:val="single"/>
        </w:rPr>
        <w:t xml:space="preserve">  </w:t>
      </w:r>
      <w:r>
        <w:rPr>
          <w:rFonts w:hint="eastAsia" w:ascii="宋体" w:hAnsi="宋体"/>
          <w:color w:val="000000"/>
          <w:szCs w:val="21"/>
          <w:u w:val="none"/>
          <w:lang w:eastAsia="zh-CN"/>
        </w:rPr>
        <w:t>。</w:t>
      </w:r>
    </w:p>
    <w:p w14:paraId="26C1E8DB">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14:paraId="04A55D48">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14:paraId="0AC1160A">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 2 </w:t>
      </w:r>
      <w:r>
        <w:rPr>
          <w:rFonts w:hint="eastAsia" w:ascii="宋体" w:hAnsi="宋体"/>
          <w:szCs w:val="21"/>
          <w:u w:val="single"/>
        </w:rPr>
        <w:t xml:space="preserve"> </w:t>
      </w:r>
      <w:r>
        <w:rPr>
          <w:rFonts w:hint="eastAsia" w:ascii="宋体" w:hAnsi="宋体"/>
          <w:szCs w:val="21"/>
        </w:rPr>
        <w:t>款执行。</w:t>
      </w:r>
    </w:p>
    <w:p w14:paraId="22B5BE80">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桶包装，使用后的空桶由供方进行回收处理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14:paraId="3534396F">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14:paraId="1AB266A6">
      <w:pPr>
        <w:spacing w:line="280" w:lineRule="exact"/>
        <w:ind w:firstLine="420" w:firstLineChars="200"/>
        <w:rPr>
          <w:rFonts w:hint="eastAsia" w:ascii="宋体" w:hAnsi="宋体" w:eastAsia="宋体"/>
          <w:b/>
          <w:szCs w:val="21"/>
          <w:lang w:val="en-US" w:eastAsia="zh-CN"/>
        </w:rPr>
      </w:pPr>
      <w:r>
        <w:rPr>
          <w:rFonts w:hint="eastAsia" w:ascii="宋体" w:hAnsi="宋体"/>
          <w:b w:val="0"/>
          <w:bCs/>
          <w:szCs w:val="21"/>
        </w:rPr>
        <w:t>现汇支付</w:t>
      </w:r>
      <w:r>
        <w:rPr>
          <w:rFonts w:hint="eastAsia" w:ascii="宋体" w:hAnsi="宋体"/>
          <w:b w:val="0"/>
          <w:bCs/>
          <w:szCs w:val="21"/>
          <w:lang w:eastAsia="zh-CN"/>
        </w:rPr>
        <w:t>，</w:t>
      </w:r>
      <w:r>
        <w:rPr>
          <w:rFonts w:hint="eastAsia" w:ascii="宋体" w:hAnsi="宋体"/>
          <w:b w:val="0"/>
          <w:bCs/>
          <w:szCs w:val="21"/>
          <w:lang w:val="en-US" w:eastAsia="zh-CN"/>
        </w:rPr>
        <w:t>按季度考核付款</w:t>
      </w:r>
      <w:r>
        <w:rPr>
          <w:rFonts w:hint="eastAsia" w:ascii="宋体" w:hAnsi="宋体"/>
          <w:b w:val="0"/>
          <w:bCs/>
          <w:szCs w:val="21"/>
        </w:rPr>
        <w:t>。</w:t>
      </w:r>
      <w:r>
        <w:rPr>
          <w:rFonts w:hint="eastAsia" w:ascii="宋体" w:hAnsi="宋体"/>
          <w:b w:val="0"/>
          <w:bCs/>
          <w:szCs w:val="21"/>
          <w:lang w:val="en-US" w:eastAsia="zh-CN"/>
        </w:rPr>
        <w:t>分批季度到货、分批付款。</w:t>
      </w:r>
      <w:r>
        <w:rPr>
          <w:rFonts w:hint="eastAsia" w:ascii="宋体" w:hAnsi="宋体"/>
          <w:b w:val="0"/>
          <w:bCs/>
          <w:szCs w:val="21"/>
        </w:rPr>
        <w:t>每批产品到货</w:t>
      </w:r>
      <w:r>
        <w:rPr>
          <w:rFonts w:hint="eastAsia" w:ascii="宋体" w:hAnsi="宋体"/>
          <w:b w:val="0"/>
          <w:bCs/>
          <w:szCs w:val="21"/>
          <w:lang w:val="en-US" w:eastAsia="zh-CN"/>
        </w:rPr>
        <w:t>后</w:t>
      </w:r>
      <w:r>
        <w:rPr>
          <w:rFonts w:hint="eastAsia" w:ascii="宋体" w:hAnsi="宋体"/>
          <w:b w:val="0"/>
          <w:bCs/>
          <w:szCs w:val="21"/>
        </w:rPr>
        <w:t>，经需方或需方指定单位</w:t>
      </w:r>
      <w:r>
        <w:rPr>
          <w:rFonts w:hint="eastAsia" w:ascii="宋体" w:hAnsi="宋体"/>
          <w:b w:val="0"/>
          <w:bCs/>
          <w:color w:val="000000"/>
          <w:szCs w:val="21"/>
          <w:lang w:val="en-US" w:eastAsia="zh-CN"/>
        </w:rPr>
        <w:t>（福建福海创石油化工有限公司）</w:t>
      </w:r>
      <w:r>
        <w:rPr>
          <w:rFonts w:hint="eastAsia" w:ascii="宋体" w:hAnsi="宋体"/>
          <w:b w:val="0"/>
          <w:bCs/>
          <w:szCs w:val="21"/>
        </w:rPr>
        <w:t>根据双方签订的合同及技术</w:t>
      </w:r>
      <w:r>
        <w:rPr>
          <w:rFonts w:hint="eastAsia" w:ascii="宋体" w:hAnsi="宋体"/>
          <w:b w:val="0"/>
          <w:bCs/>
          <w:szCs w:val="21"/>
          <w:lang w:val="en-US" w:eastAsia="zh-CN"/>
        </w:rPr>
        <w:t>要求约定</w:t>
      </w:r>
      <w:r>
        <w:rPr>
          <w:rFonts w:hint="eastAsia" w:ascii="宋体" w:hAnsi="宋体"/>
          <w:b w:val="0"/>
          <w:bCs/>
          <w:szCs w:val="21"/>
        </w:rPr>
        <w:t>的</w:t>
      </w:r>
      <w:r>
        <w:rPr>
          <w:rFonts w:hint="eastAsia" w:ascii="宋体" w:hAnsi="宋体"/>
          <w:b w:val="0"/>
          <w:bCs/>
          <w:szCs w:val="21"/>
          <w:lang w:val="en-US" w:eastAsia="zh-CN"/>
        </w:rPr>
        <w:t>季度考核周期、</w:t>
      </w:r>
      <w:r>
        <w:rPr>
          <w:rFonts w:hint="eastAsia" w:ascii="宋体" w:hAnsi="宋体"/>
          <w:b w:val="0"/>
          <w:bCs/>
          <w:szCs w:val="21"/>
        </w:rPr>
        <w:t>质量、数量</w:t>
      </w:r>
      <w:r>
        <w:rPr>
          <w:rFonts w:hint="eastAsia" w:ascii="宋体" w:hAnsi="宋体"/>
          <w:b w:val="0"/>
          <w:bCs/>
          <w:szCs w:val="21"/>
          <w:lang w:val="en-US" w:eastAsia="zh-CN"/>
        </w:rPr>
        <w:t>及产品使用考核结果</w:t>
      </w:r>
      <w:r>
        <w:rPr>
          <w:rFonts w:hint="eastAsia" w:ascii="宋体" w:hAnsi="宋体"/>
          <w:b w:val="0"/>
          <w:bCs/>
          <w:szCs w:val="21"/>
        </w:rPr>
        <w:t>，供方提供相应金额的13%增值税专用发票以及结算所需的各类清单，需方收到并确认无误后</w:t>
      </w:r>
      <w:r>
        <w:rPr>
          <w:rFonts w:hint="eastAsia" w:ascii="宋体" w:hAnsi="宋体"/>
          <w:b w:val="0"/>
          <w:bCs/>
          <w:szCs w:val="21"/>
          <w:lang w:val="en-US" w:eastAsia="zh-CN"/>
        </w:rPr>
        <w:t>支付</w:t>
      </w:r>
      <w:r>
        <w:rPr>
          <w:rFonts w:hint="eastAsia" w:ascii="宋体" w:hAnsi="宋体"/>
          <w:b w:val="0"/>
          <w:bCs/>
          <w:szCs w:val="21"/>
        </w:rPr>
        <w:t>货款</w:t>
      </w:r>
      <w:r>
        <w:rPr>
          <w:rFonts w:hint="eastAsia" w:ascii="宋体" w:hAnsi="宋体"/>
          <w:b w:val="0"/>
          <w:bCs/>
          <w:szCs w:val="21"/>
          <w:lang w:eastAsia="zh-CN"/>
        </w:rPr>
        <w:t>。</w:t>
      </w:r>
    </w:p>
    <w:p w14:paraId="5882A3A6">
      <w:pPr>
        <w:spacing w:line="280" w:lineRule="exact"/>
        <w:rPr>
          <w:rFonts w:ascii="宋体" w:hAnsi="宋体"/>
          <w:szCs w:val="21"/>
        </w:rPr>
      </w:pPr>
      <w:r>
        <w:rPr>
          <w:rFonts w:hint="eastAsia" w:ascii="宋体" w:hAnsi="宋体"/>
          <w:b/>
          <w:szCs w:val="21"/>
        </w:rPr>
        <w:t>五、交付期限：</w:t>
      </w:r>
    </w:p>
    <w:p w14:paraId="19E6BBA1">
      <w:pPr>
        <w:spacing w:line="280" w:lineRule="exact"/>
        <w:ind w:firstLine="420" w:firstLineChars="200"/>
        <w:rPr>
          <w:rFonts w:hint="eastAsia" w:ascii="宋体" w:hAnsi="宋体"/>
          <w:b w:val="0"/>
          <w:bCs/>
          <w:szCs w:val="21"/>
        </w:rPr>
      </w:pPr>
      <w:r>
        <w:rPr>
          <w:rFonts w:hint="eastAsia" w:ascii="宋体" w:hAnsi="宋体"/>
          <w:b w:val="0"/>
          <w:bCs/>
          <w:szCs w:val="21"/>
        </w:rPr>
        <w:t>分批到货，货物于202</w:t>
      </w:r>
      <w:r>
        <w:rPr>
          <w:rFonts w:hint="eastAsia" w:ascii="宋体" w:hAnsi="宋体"/>
          <w:b w:val="0"/>
          <w:bCs/>
          <w:szCs w:val="21"/>
          <w:lang w:val="en-US" w:eastAsia="zh-CN"/>
        </w:rPr>
        <w:t>4年12月具备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14:paraId="7974C730">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14:paraId="00B240D8">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14:paraId="1661FD59">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14:paraId="60D515E4">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14:paraId="2CA3FF99">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14:paraId="247ECC49">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14:paraId="1CA40467">
        <w:tblPrEx>
          <w:tblCellMar>
            <w:top w:w="0" w:type="dxa"/>
            <w:left w:w="108" w:type="dxa"/>
            <w:bottom w:w="0" w:type="dxa"/>
            <w:right w:w="108" w:type="dxa"/>
          </w:tblCellMar>
        </w:tblPrEx>
        <w:trPr>
          <w:jc w:val="center"/>
        </w:trPr>
        <w:tc>
          <w:tcPr>
            <w:tcW w:w="1473" w:type="dxa"/>
            <w:gridSpan w:val="4"/>
            <w:vAlign w:val="center"/>
          </w:tcPr>
          <w:p w14:paraId="24E572DB">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14:paraId="1FA60B14">
            <w:pPr>
              <w:spacing w:line="280" w:lineRule="exact"/>
              <w:rPr>
                <w:rFonts w:hint="default" w:eastAsia="宋体"/>
                <w:b/>
                <w:color w:val="000000"/>
                <w:szCs w:val="21"/>
                <w:lang w:val="en-US" w:eastAsia="zh-CN"/>
              </w:rPr>
            </w:pPr>
          </w:p>
        </w:tc>
        <w:tc>
          <w:tcPr>
            <w:tcW w:w="1377" w:type="dxa"/>
            <w:gridSpan w:val="4"/>
            <w:vAlign w:val="center"/>
          </w:tcPr>
          <w:p w14:paraId="7F160CD4">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14:paraId="2F6110B1">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14:paraId="50F1439B">
        <w:tblPrEx>
          <w:tblCellMar>
            <w:top w:w="0" w:type="dxa"/>
            <w:left w:w="108" w:type="dxa"/>
            <w:bottom w:w="0" w:type="dxa"/>
            <w:right w:w="108" w:type="dxa"/>
          </w:tblCellMar>
        </w:tblPrEx>
        <w:trPr>
          <w:jc w:val="center"/>
        </w:trPr>
        <w:tc>
          <w:tcPr>
            <w:tcW w:w="1473" w:type="dxa"/>
            <w:gridSpan w:val="4"/>
            <w:vAlign w:val="center"/>
          </w:tcPr>
          <w:p w14:paraId="6AC9474B">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14:paraId="3D0E0F6D">
            <w:pPr>
              <w:spacing w:line="280" w:lineRule="exact"/>
              <w:rPr>
                <w:rFonts w:hint="eastAsia"/>
                <w:color w:val="000000"/>
                <w:szCs w:val="21"/>
              </w:rPr>
            </w:pPr>
          </w:p>
        </w:tc>
        <w:tc>
          <w:tcPr>
            <w:tcW w:w="1377" w:type="dxa"/>
            <w:gridSpan w:val="4"/>
            <w:vAlign w:val="center"/>
          </w:tcPr>
          <w:p w14:paraId="54C10EE3">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14:paraId="1708A133">
            <w:pPr>
              <w:spacing w:line="280" w:lineRule="exact"/>
              <w:rPr>
                <w:rFonts w:hint="eastAsia"/>
                <w:color w:val="000000"/>
                <w:szCs w:val="21"/>
              </w:rPr>
            </w:pPr>
          </w:p>
        </w:tc>
      </w:tr>
      <w:tr w14:paraId="264707B8">
        <w:tblPrEx>
          <w:tblCellMar>
            <w:top w:w="0" w:type="dxa"/>
            <w:left w:w="108" w:type="dxa"/>
            <w:bottom w:w="0" w:type="dxa"/>
            <w:right w:w="108" w:type="dxa"/>
          </w:tblCellMar>
        </w:tblPrEx>
        <w:trPr>
          <w:jc w:val="center"/>
        </w:trPr>
        <w:tc>
          <w:tcPr>
            <w:tcW w:w="843" w:type="dxa"/>
            <w:vAlign w:val="center"/>
          </w:tcPr>
          <w:p w14:paraId="33C61B86">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14:paraId="2558FD3D">
            <w:pPr>
              <w:spacing w:line="280" w:lineRule="exact"/>
              <w:rPr>
                <w:rFonts w:hint="eastAsia"/>
                <w:color w:val="000000"/>
                <w:sz w:val="18"/>
                <w:szCs w:val="18"/>
              </w:rPr>
            </w:pPr>
          </w:p>
        </w:tc>
        <w:tc>
          <w:tcPr>
            <w:tcW w:w="842" w:type="dxa"/>
            <w:vAlign w:val="center"/>
          </w:tcPr>
          <w:p w14:paraId="54CE7A67">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14:paraId="48BE02D2">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14:paraId="419A79A6">
        <w:tblPrEx>
          <w:tblCellMar>
            <w:top w:w="0" w:type="dxa"/>
            <w:left w:w="108" w:type="dxa"/>
            <w:bottom w:w="0" w:type="dxa"/>
            <w:right w:w="108" w:type="dxa"/>
          </w:tblCellMar>
        </w:tblPrEx>
        <w:trPr>
          <w:jc w:val="center"/>
        </w:trPr>
        <w:tc>
          <w:tcPr>
            <w:tcW w:w="1263" w:type="dxa"/>
            <w:gridSpan w:val="3"/>
            <w:vAlign w:val="center"/>
          </w:tcPr>
          <w:p w14:paraId="37A14D39">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14:paraId="2412AD84">
            <w:pPr>
              <w:spacing w:line="280" w:lineRule="exact"/>
              <w:rPr>
                <w:rFonts w:hint="eastAsia"/>
                <w:color w:val="000000"/>
                <w:szCs w:val="21"/>
              </w:rPr>
            </w:pPr>
          </w:p>
        </w:tc>
        <w:tc>
          <w:tcPr>
            <w:tcW w:w="1260" w:type="dxa"/>
            <w:gridSpan w:val="3"/>
            <w:vAlign w:val="center"/>
          </w:tcPr>
          <w:p w14:paraId="49D1F660">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14:paraId="647A60A3">
            <w:pPr>
              <w:spacing w:line="280" w:lineRule="exact"/>
              <w:rPr>
                <w:rFonts w:hint="eastAsia"/>
                <w:color w:val="000000"/>
                <w:szCs w:val="21"/>
              </w:rPr>
            </w:pPr>
          </w:p>
        </w:tc>
      </w:tr>
      <w:tr w14:paraId="118C1113">
        <w:tblPrEx>
          <w:tblCellMar>
            <w:top w:w="0" w:type="dxa"/>
            <w:left w:w="108" w:type="dxa"/>
            <w:bottom w:w="0" w:type="dxa"/>
            <w:right w:w="108" w:type="dxa"/>
          </w:tblCellMar>
        </w:tblPrEx>
        <w:trPr>
          <w:jc w:val="center"/>
        </w:trPr>
        <w:tc>
          <w:tcPr>
            <w:tcW w:w="2733" w:type="dxa"/>
            <w:gridSpan w:val="5"/>
            <w:vAlign w:val="center"/>
          </w:tcPr>
          <w:p w14:paraId="7227EA39">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14:paraId="4CA66F41">
            <w:pPr>
              <w:spacing w:line="280" w:lineRule="exact"/>
              <w:rPr>
                <w:rFonts w:hint="eastAsia"/>
                <w:color w:val="000000"/>
                <w:szCs w:val="21"/>
              </w:rPr>
            </w:pPr>
          </w:p>
        </w:tc>
        <w:tc>
          <w:tcPr>
            <w:tcW w:w="2732" w:type="dxa"/>
            <w:gridSpan w:val="5"/>
            <w:vAlign w:val="center"/>
          </w:tcPr>
          <w:p w14:paraId="266C24BE">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14:paraId="6FE7EF53">
            <w:pPr>
              <w:spacing w:line="280" w:lineRule="exact"/>
              <w:rPr>
                <w:rFonts w:hint="eastAsia"/>
                <w:color w:val="000000"/>
                <w:szCs w:val="21"/>
              </w:rPr>
            </w:pPr>
          </w:p>
        </w:tc>
      </w:tr>
      <w:tr w14:paraId="1BE1162E">
        <w:tblPrEx>
          <w:tblCellMar>
            <w:top w:w="0" w:type="dxa"/>
            <w:left w:w="108" w:type="dxa"/>
            <w:bottom w:w="0" w:type="dxa"/>
            <w:right w:w="108" w:type="dxa"/>
          </w:tblCellMar>
        </w:tblPrEx>
        <w:trPr>
          <w:jc w:val="center"/>
        </w:trPr>
        <w:tc>
          <w:tcPr>
            <w:tcW w:w="1050" w:type="dxa"/>
            <w:gridSpan w:val="2"/>
            <w:vAlign w:val="center"/>
          </w:tcPr>
          <w:p w14:paraId="6D619A03">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14:paraId="789D4DC4">
            <w:pPr>
              <w:spacing w:line="280" w:lineRule="exact"/>
              <w:rPr>
                <w:rFonts w:hint="eastAsia"/>
                <w:color w:val="000000"/>
                <w:szCs w:val="21"/>
              </w:rPr>
            </w:pPr>
          </w:p>
        </w:tc>
        <w:tc>
          <w:tcPr>
            <w:tcW w:w="1052" w:type="dxa"/>
            <w:gridSpan w:val="2"/>
            <w:vAlign w:val="center"/>
          </w:tcPr>
          <w:p w14:paraId="6B440FD8">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14:paraId="6AFCDFCC">
            <w:pPr>
              <w:spacing w:line="280" w:lineRule="exact"/>
              <w:rPr>
                <w:rFonts w:hint="default" w:eastAsia="宋体"/>
                <w:color w:val="000000"/>
                <w:szCs w:val="21"/>
                <w:lang w:val="en-US" w:eastAsia="zh-CN"/>
              </w:rPr>
            </w:pPr>
          </w:p>
        </w:tc>
      </w:tr>
      <w:tr w14:paraId="405F3AB2">
        <w:tblPrEx>
          <w:tblCellMar>
            <w:top w:w="0" w:type="dxa"/>
            <w:left w:w="108" w:type="dxa"/>
            <w:bottom w:w="0" w:type="dxa"/>
            <w:right w:w="108" w:type="dxa"/>
          </w:tblCellMar>
        </w:tblPrEx>
        <w:trPr>
          <w:trHeight w:val="111" w:hRule="atLeast"/>
          <w:jc w:val="center"/>
        </w:trPr>
        <w:tc>
          <w:tcPr>
            <w:tcW w:w="843" w:type="dxa"/>
            <w:vAlign w:val="center"/>
          </w:tcPr>
          <w:p w14:paraId="6DAEAD5D">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14:paraId="29859B0A">
            <w:pPr>
              <w:spacing w:line="280" w:lineRule="exact"/>
              <w:rPr>
                <w:rFonts w:hint="eastAsia"/>
                <w:color w:val="000000"/>
                <w:szCs w:val="21"/>
              </w:rPr>
            </w:pPr>
          </w:p>
        </w:tc>
        <w:tc>
          <w:tcPr>
            <w:tcW w:w="842" w:type="dxa"/>
            <w:vAlign w:val="center"/>
          </w:tcPr>
          <w:p w14:paraId="79C3C2BF">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14:paraId="7CFD51DB">
            <w:pPr>
              <w:spacing w:line="280" w:lineRule="exact"/>
              <w:rPr>
                <w:rFonts w:hint="default" w:eastAsia="宋体"/>
                <w:color w:val="000000"/>
                <w:szCs w:val="21"/>
                <w:lang w:val="en-US" w:eastAsia="zh-CN"/>
              </w:rPr>
            </w:pPr>
          </w:p>
        </w:tc>
      </w:tr>
      <w:tr w14:paraId="50D3E3E5">
        <w:tblPrEx>
          <w:tblCellMar>
            <w:top w:w="0" w:type="dxa"/>
            <w:left w:w="108" w:type="dxa"/>
            <w:bottom w:w="0" w:type="dxa"/>
            <w:right w:w="108" w:type="dxa"/>
          </w:tblCellMar>
        </w:tblPrEx>
        <w:trPr>
          <w:jc w:val="center"/>
        </w:trPr>
        <w:tc>
          <w:tcPr>
            <w:tcW w:w="843" w:type="dxa"/>
            <w:vAlign w:val="center"/>
          </w:tcPr>
          <w:p w14:paraId="7AE83E75">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14:paraId="6D25FCD7">
            <w:pPr>
              <w:spacing w:line="280" w:lineRule="exact"/>
              <w:rPr>
                <w:rFonts w:hint="eastAsia"/>
                <w:color w:val="000000"/>
                <w:szCs w:val="21"/>
              </w:rPr>
            </w:pPr>
          </w:p>
        </w:tc>
        <w:tc>
          <w:tcPr>
            <w:tcW w:w="842" w:type="dxa"/>
            <w:vAlign w:val="center"/>
          </w:tcPr>
          <w:p w14:paraId="2D7F4B97">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14:paraId="7F9ECAF0">
            <w:pPr>
              <w:spacing w:line="280" w:lineRule="exact"/>
              <w:rPr>
                <w:rFonts w:hint="eastAsia"/>
                <w:color w:val="000000"/>
                <w:szCs w:val="21"/>
              </w:rPr>
            </w:pPr>
          </w:p>
        </w:tc>
      </w:tr>
      <w:tr w14:paraId="44EE6080">
        <w:tblPrEx>
          <w:tblCellMar>
            <w:top w:w="0" w:type="dxa"/>
            <w:left w:w="108" w:type="dxa"/>
            <w:bottom w:w="0" w:type="dxa"/>
            <w:right w:w="108" w:type="dxa"/>
          </w:tblCellMar>
        </w:tblPrEx>
        <w:trPr>
          <w:jc w:val="center"/>
        </w:trPr>
        <w:tc>
          <w:tcPr>
            <w:tcW w:w="1263" w:type="dxa"/>
            <w:gridSpan w:val="3"/>
            <w:vAlign w:val="center"/>
          </w:tcPr>
          <w:p w14:paraId="233435D3">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14:paraId="45496E6E">
            <w:pPr>
              <w:spacing w:line="280" w:lineRule="exact"/>
              <w:rPr>
                <w:rFonts w:hint="eastAsia"/>
                <w:color w:val="000000"/>
                <w:szCs w:val="21"/>
              </w:rPr>
            </w:pPr>
          </w:p>
        </w:tc>
        <w:tc>
          <w:tcPr>
            <w:tcW w:w="1260" w:type="dxa"/>
            <w:gridSpan w:val="3"/>
            <w:vAlign w:val="center"/>
          </w:tcPr>
          <w:p w14:paraId="73F629B6">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14:paraId="2A485293">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14:paraId="1C4508C9">
        <w:tblPrEx>
          <w:tblCellMar>
            <w:top w:w="0" w:type="dxa"/>
            <w:left w:w="108" w:type="dxa"/>
            <w:bottom w:w="0" w:type="dxa"/>
            <w:right w:w="108" w:type="dxa"/>
          </w:tblCellMar>
        </w:tblPrEx>
        <w:trPr>
          <w:jc w:val="center"/>
        </w:trPr>
        <w:tc>
          <w:tcPr>
            <w:tcW w:w="1263" w:type="dxa"/>
            <w:gridSpan w:val="3"/>
            <w:vAlign w:val="center"/>
          </w:tcPr>
          <w:p w14:paraId="3BAC7BBA">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14:paraId="24374EDE">
            <w:pPr>
              <w:spacing w:line="280" w:lineRule="exact"/>
              <w:rPr>
                <w:rFonts w:hint="eastAsia"/>
                <w:color w:val="000000"/>
                <w:szCs w:val="21"/>
              </w:rPr>
            </w:pPr>
          </w:p>
        </w:tc>
        <w:tc>
          <w:tcPr>
            <w:tcW w:w="1260" w:type="dxa"/>
            <w:gridSpan w:val="3"/>
            <w:vAlign w:val="center"/>
          </w:tcPr>
          <w:p w14:paraId="4A368D39">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14:paraId="0487B362">
            <w:pPr>
              <w:spacing w:line="280" w:lineRule="exact"/>
              <w:rPr>
                <w:rFonts w:hint="eastAsia"/>
                <w:color w:val="000000"/>
                <w:szCs w:val="21"/>
              </w:rPr>
            </w:pPr>
            <w:r>
              <w:rPr>
                <w:rFonts w:hint="eastAsia"/>
                <w:color w:val="000000"/>
                <w:szCs w:val="21"/>
              </w:rPr>
              <w:t>兴业银行漳州古雷支行</w:t>
            </w:r>
          </w:p>
        </w:tc>
      </w:tr>
      <w:tr w14:paraId="73AAEB43">
        <w:tblPrEx>
          <w:tblCellMar>
            <w:top w:w="0" w:type="dxa"/>
            <w:left w:w="108" w:type="dxa"/>
            <w:bottom w:w="0" w:type="dxa"/>
            <w:right w:w="108" w:type="dxa"/>
          </w:tblCellMar>
        </w:tblPrEx>
        <w:trPr>
          <w:jc w:val="center"/>
        </w:trPr>
        <w:tc>
          <w:tcPr>
            <w:tcW w:w="843" w:type="dxa"/>
            <w:vAlign w:val="center"/>
          </w:tcPr>
          <w:p w14:paraId="59A9998C">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14:paraId="097DC25C">
            <w:pPr>
              <w:spacing w:line="280" w:lineRule="exact"/>
              <w:rPr>
                <w:rFonts w:hint="eastAsia"/>
                <w:color w:val="000000"/>
                <w:szCs w:val="21"/>
              </w:rPr>
            </w:pPr>
          </w:p>
        </w:tc>
        <w:tc>
          <w:tcPr>
            <w:tcW w:w="842" w:type="dxa"/>
            <w:vAlign w:val="center"/>
          </w:tcPr>
          <w:p w14:paraId="3934A789">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14:paraId="65CFF0DD">
            <w:pPr>
              <w:spacing w:line="280" w:lineRule="exact"/>
              <w:rPr>
                <w:rFonts w:hint="eastAsia"/>
                <w:color w:val="000000"/>
                <w:szCs w:val="21"/>
              </w:rPr>
            </w:pPr>
          </w:p>
        </w:tc>
      </w:tr>
      <w:tr w14:paraId="3D75F092">
        <w:tblPrEx>
          <w:tblCellMar>
            <w:top w:w="0" w:type="dxa"/>
            <w:left w:w="108" w:type="dxa"/>
            <w:bottom w:w="0" w:type="dxa"/>
            <w:right w:w="108" w:type="dxa"/>
          </w:tblCellMar>
        </w:tblPrEx>
        <w:trPr>
          <w:jc w:val="center"/>
        </w:trPr>
        <w:tc>
          <w:tcPr>
            <w:tcW w:w="843" w:type="dxa"/>
            <w:vAlign w:val="center"/>
          </w:tcPr>
          <w:p w14:paraId="18FFD76B">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14:paraId="0367EF0B">
            <w:pPr>
              <w:spacing w:line="280" w:lineRule="exact"/>
              <w:rPr>
                <w:rFonts w:hint="eastAsia"/>
                <w:color w:val="000000"/>
                <w:szCs w:val="21"/>
              </w:rPr>
            </w:pPr>
          </w:p>
        </w:tc>
        <w:tc>
          <w:tcPr>
            <w:tcW w:w="842" w:type="dxa"/>
            <w:vAlign w:val="center"/>
          </w:tcPr>
          <w:p w14:paraId="0ED79DFB">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14:paraId="58C0051F">
            <w:pPr>
              <w:spacing w:line="280" w:lineRule="exact"/>
              <w:rPr>
                <w:rFonts w:hint="eastAsia"/>
                <w:color w:val="000000"/>
                <w:szCs w:val="21"/>
              </w:rPr>
            </w:pPr>
          </w:p>
        </w:tc>
      </w:tr>
    </w:tbl>
    <w:p w14:paraId="782BC33C">
      <w:pPr>
        <w:spacing w:line="220" w:lineRule="exact"/>
        <w:rPr>
          <w:rFonts w:hint="eastAsia" w:ascii="宋体" w:hAnsi="宋体"/>
          <w:b/>
          <w:sz w:val="18"/>
          <w:szCs w:val="18"/>
          <w:u w:val="single"/>
        </w:rPr>
      </w:pPr>
    </w:p>
    <w:p w14:paraId="281663FE">
      <w:pPr>
        <w:spacing w:line="220" w:lineRule="exact"/>
        <w:rPr>
          <w:rFonts w:hint="eastAsia" w:ascii="宋体" w:hAnsi="宋体"/>
          <w:b/>
          <w:sz w:val="18"/>
          <w:szCs w:val="18"/>
          <w:u w:val="single"/>
        </w:rPr>
      </w:pPr>
    </w:p>
    <w:p w14:paraId="3BCE0B1F">
      <w:pPr>
        <w:spacing w:line="220" w:lineRule="exact"/>
        <w:rPr>
          <w:rFonts w:hint="eastAsia" w:ascii="宋体" w:hAnsi="宋体"/>
          <w:b/>
          <w:sz w:val="18"/>
          <w:szCs w:val="18"/>
          <w:u w:val="single"/>
        </w:rPr>
      </w:pPr>
    </w:p>
    <w:p w14:paraId="2853251C">
      <w:pPr>
        <w:spacing w:line="300" w:lineRule="exact"/>
        <w:jc w:val="center"/>
        <w:rPr>
          <w:rFonts w:hint="eastAsia" w:ascii="宋体" w:hAnsi="宋体"/>
          <w:b/>
          <w:szCs w:val="21"/>
        </w:rPr>
      </w:pPr>
      <w:r>
        <w:rPr>
          <w:rFonts w:hint="eastAsia" w:ascii="宋体" w:hAnsi="宋体"/>
          <w:b/>
          <w:szCs w:val="21"/>
          <w:u w:val="single"/>
        </w:rPr>
        <w:t>第二部分  合同条款及规则</w:t>
      </w:r>
    </w:p>
    <w:p w14:paraId="3ECB362E">
      <w:pPr>
        <w:spacing w:line="300" w:lineRule="exact"/>
        <w:rPr>
          <w:rFonts w:hint="eastAsia" w:ascii="宋体" w:hAnsi="宋体"/>
          <w:b/>
          <w:szCs w:val="21"/>
        </w:rPr>
      </w:pPr>
    </w:p>
    <w:p w14:paraId="65A90B8C">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14:paraId="5DCFB560">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14:paraId="7E68C605">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14:paraId="64363C92">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1963A31C">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768C128C">
      <w:pPr>
        <w:spacing w:line="300" w:lineRule="exact"/>
        <w:rPr>
          <w:rFonts w:hint="eastAsia" w:ascii="宋体" w:hAnsi="宋体"/>
          <w:b/>
          <w:szCs w:val="21"/>
        </w:rPr>
      </w:pPr>
      <w:r>
        <w:rPr>
          <w:rFonts w:hint="eastAsia" w:ascii="宋体" w:hAnsi="宋体"/>
          <w:b/>
          <w:szCs w:val="21"/>
        </w:rPr>
        <w:t>第二条 产品包装标准</w:t>
      </w:r>
    </w:p>
    <w:p w14:paraId="1F28469C">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29042BED">
      <w:pPr>
        <w:spacing w:line="300" w:lineRule="exact"/>
        <w:rPr>
          <w:rFonts w:hint="eastAsia" w:ascii="宋体" w:hAnsi="宋体"/>
          <w:b/>
          <w:szCs w:val="21"/>
        </w:rPr>
      </w:pPr>
      <w:r>
        <w:rPr>
          <w:rFonts w:hint="eastAsia" w:ascii="宋体" w:hAnsi="宋体"/>
          <w:b/>
          <w:szCs w:val="21"/>
        </w:rPr>
        <w:t>第三条 对产品质量负责的条件及期限</w:t>
      </w:r>
    </w:p>
    <w:p w14:paraId="56EAB3B4">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591DA596">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14:paraId="4BCE4E77">
      <w:pPr>
        <w:spacing w:line="300" w:lineRule="exact"/>
        <w:rPr>
          <w:rFonts w:hint="eastAsia" w:ascii="宋体" w:hAnsi="宋体"/>
          <w:b/>
          <w:szCs w:val="21"/>
        </w:rPr>
      </w:pPr>
      <w:r>
        <w:rPr>
          <w:rFonts w:hint="eastAsia" w:ascii="宋体" w:hAnsi="宋体"/>
          <w:b/>
          <w:szCs w:val="21"/>
        </w:rPr>
        <w:t>第四条 货物所有权、风险的转移</w:t>
      </w:r>
    </w:p>
    <w:p w14:paraId="7EAD1606">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14:paraId="0F6A5C45">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14:paraId="7CA082E3">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14:paraId="0164ABC0">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14:paraId="01BD9FC6">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14:paraId="6B6E6356">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14:paraId="75CAB502">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w:t>
      </w:r>
      <w:r>
        <w:rPr>
          <w:rFonts w:hint="eastAsia" w:ascii="宋体" w:hAnsi="宋体"/>
          <w:szCs w:val="21"/>
          <w:u w:val="single"/>
          <w:lang w:val="en-US" w:eastAsia="zh-CN"/>
        </w:rPr>
        <w:t>叁拾</w:t>
      </w:r>
      <w:r>
        <w:rPr>
          <w:rFonts w:hint="eastAsia" w:ascii="宋体" w:hAnsi="宋体"/>
          <w:szCs w:val="21"/>
          <w:u w:val="single"/>
        </w:rPr>
        <w:t xml:space="preserve">  </w:t>
      </w:r>
      <w:r>
        <w:rPr>
          <w:rFonts w:hint="eastAsia" w:ascii="宋体" w:hAnsi="宋体"/>
          <w:szCs w:val="21"/>
        </w:rPr>
        <w:t>天。</w:t>
      </w:r>
    </w:p>
    <w:p w14:paraId="5AEF6AD2">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14:paraId="38C69E36">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0B821EA2">
      <w:pPr>
        <w:spacing w:line="300" w:lineRule="exact"/>
        <w:rPr>
          <w:rFonts w:hint="eastAsia" w:ascii="宋体" w:hAnsi="宋体"/>
          <w:b/>
          <w:szCs w:val="21"/>
        </w:rPr>
      </w:pPr>
      <w:r>
        <w:rPr>
          <w:rFonts w:hint="eastAsia" w:ascii="宋体" w:hAnsi="宋体"/>
          <w:b/>
          <w:szCs w:val="21"/>
        </w:rPr>
        <w:t>第七条  保密条款</w:t>
      </w:r>
    </w:p>
    <w:p w14:paraId="5483D920">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79BCD35B">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14:paraId="385386C5">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14:paraId="4E34851C">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16FE1E5A">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14:paraId="1D7A2DC1">
      <w:pPr>
        <w:spacing w:line="300" w:lineRule="exact"/>
        <w:rPr>
          <w:rFonts w:hint="eastAsia" w:ascii="宋体" w:hAnsi="宋体"/>
          <w:b/>
          <w:szCs w:val="21"/>
        </w:rPr>
      </w:pPr>
      <w:r>
        <w:rPr>
          <w:rFonts w:hint="eastAsia" w:ascii="宋体" w:hAnsi="宋体"/>
          <w:b/>
          <w:szCs w:val="21"/>
        </w:rPr>
        <w:t>第九条  不可抗力</w:t>
      </w:r>
    </w:p>
    <w:p w14:paraId="3BB8DFC6">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67D21031">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2A47819A">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71DE5E6A">
      <w:pPr>
        <w:spacing w:line="300" w:lineRule="exact"/>
        <w:rPr>
          <w:rFonts w:hint="eastAsia" w:ascii="宋体" w:hAnsi="宋体"/>
          <w:b/>
          <w:szCs w:val="21"/>
        </w:rPr>
      </w:pPr>
      <w:r>
        <w:rPr>
          <w:rFonts w:hint="eastAsia" w:ascii="宋体" w:hAnsi="宋体"/>
          <w:b/>
          <w:szCs w:val="21"/>
        </w:rPr>
        <w:t xml:space="preserve">第十条 合同变更与解除： </w:t>
      </w:r>
    </w:p>
    <w:p w14:paraId="28874297">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14:paraId="22F2494E">
      <w:pPr>
        <w:spacing w:line="300" w:lineRule="exact"/>
        <w:rPr>
          <w:rFonts w:hint="eastAsia" w:ascii="宋体" w:hAnsi="宋体"/>
          <w:b/>
          <w:szCs w:val="21"/>
        </w:rPr>
      </w:pPr>
      <w:r>
        <w:rPr>
          <w:rFonts w:hint="eastAsia" w:ascii="宋体" w:hAnsi="宋体"/>
          <w:b/>
          <w:szCs w:val="21"/>
        </w:rPr>
        <w:t>第十一条 违约责任</w:t>
      </w:r>
    </w:p>
    <w:p w14:paraId="6F19A650">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14:paraId="136A569F">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22969ECB">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14:paraId="214959F0">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5EC152A9">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662C721C">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1A4E4B4F">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36B79C58">
      <w:pPr>
        <w:spacing w:line="300" w:lineRule="exact"/>
        <w:rPr>
          <w:rFonts w:hint="eastAsia" w:ascii="宋体" w:hAnsi="宋体"/>
          <w:b/>
          <w:color w:val="000000"/>
          <w:szCs w:val="21"/>
        </w:rPr>
      </w:pPr>
      <w:r>
        <w:rPr>
          <w:rFonts w:hint="eastAsia" w:ascii="宋体" w:hAnsi="宋体"/>
          <w:b/>
          <w:color w:val="000000"/>
          <w:szCs w:val="21"/>
        </w:rPr>
        <w:t>第十三条 廉政条款</w:t>
      </w:r>
    </w:p>
    <w:p w14:paraId="39579E33">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36E507CC">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002E9439">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14:paraId="6007FE71">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012F2FA9">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14:paraId="62A500A9">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14:paraId="2BFA5FE4">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024135D">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14:paraId="388E0FCE">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5.1供方根据需方要求缴纳履约保证金，金额为人民币贰万元整。合同履约期届满，供方按合同约定履约的情况下，需方于供方提交返还履约保证金申请后30个工作日内无息返还。</w:t>
      </w:r>
    </w:p>
    <w:p w14:paraId="352A9752">
      <w:pPr>
        <w:spacing w:line="300" w:lineRule="exact"/>
        <w:ind w:firstLine="420" w:firstLineChars="200"/>
        <w:rPr>
          <w:rFonts w:hint="eastAsia"/>
          <w:szCs w:val="21"/>
          <w:lang w:val="en-US" w:eastAsia="zh-CN"/>
        </w:rPr>
      </w:pPr>
      <w:r>
        <w:rPr>
          <w:rFonts w:hint="eastAsia"/>
          <w:szCs w:val="21"/>
          <w:lang w:val="en-US" w:eastAsia="zh-CN"/>
        </w:rPr>
        <w:t>5.2 质量指标要求：</w:t>
      </w:r>
    </w:p>
    <w:tbl>
      <w:tblPr>
        <w:tblStyle w:val="9"/>
        <w:tblW w:w="7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3562"/>
      </w:tblGrid>
      <w:tr w14:paraId="476B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78" w:type="dxa"/>
            <w:vAlign w:val="center"/>
          </w:tcPr>
          <w:p w14:paraId="42C0950A">
            <w:pPr>
              <w:spacing w:line="300" w:lineRule="exact"/>
              <w:ind w:firstLine="420" w:firstLineChars="200"/>
              <w:rPr>
                <w:rFonts w:hint="eastAsia"/>
                <w:szCs w:val="21"/>
                <w:lang w:val="en-US" w:eastAsia="zh-CN"/>
              </w:rPr>
            </w:pPr>
            <w:r>
              <w:rPr>
                <w:rFonts w:hint="eastAsia"/>
                <w:szCs w:val="21"/>
                <w:lang w:val="en-US" w:eastAsia="zh-CN"/>
              </w:rPr>
              <w:t>型号</w:t>
            </w:r>
          </w:p>
        </w:tc>
        <w:tc>
          <w:tcPr>
            <w:tcW w:w="3562" w:type="dxa"/>
            <w:vAlign w:val="center"/>
          </w:tcPr>
          <w:p w14:paraId="01CF0492">
            <w:pPr>
              <w:spacing w:line="300" w:lineRule="exact"/>
              <w:ind w:firstLine="420" w:firstLineChars="200"/>
              <w:rPr>
                <w:rFonts w:hint="eastAsia"/>
                <w:szCs w:val="21"/>
                <w:lang w:val="en-US" w:eastAsia="zh-CN"/>
              </w:rPr>
            </w:pPr>
            <w:r>
              <w:rPr>
                <w:rFonts w:hint="eastAsia"/>
                <w:szCs w:val="21"/>
                <w:lang w:val="en-US" w:eastAsia="zh-CN"/>
              </w:rPr>
              <w:t>指标</w:t>
            </w:r>
          </w:p>
        </w:tc>
      </w:tr>
      <w:tr w14:paraId="5F58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78" w:type="dxa"/>
            <w:vAlign w:val="center"/>
          </w:tcPr>
          <w:p w14:paraId="766E550D">
            <w:pPr>
              <w:spacing w:line="300" w:lineRule="exact"/>
              <w:ind w:firstLine="420" w:firstLineChars="200"/>
              <w:rPr>
                <w:rFonts w:hint="eastAsia"/>
                <w:szCs w:val="21"/>
                <w:lang w:val="en-US" w:eastAsia="zh-CN"/>
              </w:rPr>
            </w:pPr>
            <w:r>
              <w:rPr>
                <w:rFonts w:hint="eastAsia"/>
                <w:szCs w:val="21"/>
                <w:lang w:val="en-US" w:eastAsia="zh-CN"/>
              </w:rPr>
              <w:t>外观</w:t>
            </w:r>
          </w:p>
        </w:tc>
        <w:tc>
          <w:tcPr>
            <w:tcW w:w="3562" w:type="dxa"/>
            <w:tcBorders>
              <w:top w:val="single" w:color="auto" w:sz="4" w:space="0"/>
              <w:left w:val="single" w:color="auto" w:sz="4" w:space="0"/>
              <w:bottom w:val="single" w:color="auto" w:sz="4" w:space="0"/>
              <w:right w:val="single" w:color="auto" w:sz="4" w:space="0"/>
            </w:tcBorders>
            <w:vAlign w:val="center"/>
          </w:tcPr>
          <w:p w14:paraId="499E333D">
            <w:pPr>
              <w:spacing w:line="300" w:lineRule="exact"/>
              <w:ind w:firstLine="420" w:firstLineChars="200"/>
              <w:rPr>
                <w:rFonts w:hint="eastAsia"/>
                <w:szCs w:val="21"/>
                <w:lang w:val="en-US" w:eastAsia="zh-CN"/>
              </w:rPr>
            </w:pPr>
            <w:r>
              <w:rPr>
                <w:rFonts w:hint="eastAsia"/>
                <w:szCs w:val="21"/>
                <w:lang w:val="en-US" w:eastAsia="zh-CN"/>
              </w:rPr>
              <w:t>均匀液体</w:t>
            </w:r>
          </w:p>
        </w:tc>
      </w:tr>
      <w:tr w14:paraId="33B4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78" w:type="dxa"/>
            <w:vAlign w:val="center"/>
          </w:tcPr>
          <w:p w14:paraId="754BC9FB">
            <w:pPr>
              <w:spacing w:line="300" w:lineRule="exact"/>
              <w:ind w:firstLine="420" w:firstLineChars="200"/>
              <w:rPr>
                <w:rFonts w:hint="eastAsia"/>
                <w:szCs w:val="21"/>
                <w:lang w:val="en-US" w:eastAsia="zh-CN"/>
              </w:rPr>
            </w:pPr>
            <w:r>
              <w:rPr>
                <w:rFonts w:hint="eastAsia"/>
                <w:szCs w:val="21"/>
                <w:lang w:val="en-US" w:eastAsia="zh-CN"/>
              </w:rPr>
              <w:t>密度（20℃），g/cm3</w:t>
            </w:r>
          </w:p>
        </w:tc>
        <w:tc>
          <w:tcPr>
            <w:tcW w:w="3562" w:type="dxa"/>
            <w:tcBorders>
              <w:top w:val="single" w:color="auto" w:sz="4" w:space="0"/>
              <w:left w:val="single" w:color="auto" w:sz="4" w:space="0"/>
              <w:bottom w:val="single" w:color="auto" w:sz="4" w:space="0"/>
              <w:right w:val="single" w:color="auto" w:sz="4" w:space="0"/>
            </w:tcBorders>
            <w:vAlign w:val="center"/>
          </w:tcPr>
          <w:p w14:paraId="298B5B78">
            <w:pPr>
              <w:spacing w:line="300" w:lineRule="exact"/>
              <w:ind w:firstLine="420" w:firstLineChars="200"/>
              <w:rPr>
                <w:rFonts w:hint="eastAsia"/>
                <w:szCs w:val="21"/>
                <w:lang w:val="en-US" w:eastAsia="zh-CN"/>
              </w:rPr>
            </w:pPr>
            <w:r>
              <w:rPr>
                <w:rFonts w:hint="eastAsia"/>
                <w:szCs w:val="21"/>
                <w:lang w:val="en-US" w:eastAsia="zh-CN"/>
              </w:rPr>
              <w:t>0.85~1.15</w:t>
            </w:r>
          </w:p>
        </w:tc>
      </w:tr>
      <w:tr w14:paraId="4529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478" w:type="dxa"/>
            <w:vAlign w:val="center"/>
          </w:tcPr>
          <w:p w14:paraId="5EBFB6C5">
            <w:pPr>
              <w:spacing w:line="300" w:lineRule="exact"/>
              <w:ind w:firstLine="420" w:firstLineChars="200"/>
              <w:rPr>
                <w:rFonts w:hint="eastAsia"/>
                <w:szCs w:val="21"/>
                <w:lang w:val="en-US" w:eastAsia="zh-CN"/>
              </w:rPr>
            </w:pPr>
            <w:r>
              <w:rPr>
                <w:rFonts w:hint="eastAsia"/>
                <w:szCs w:val="21"/>
                <w:lang w:val="en-US" w:eastAsia="zh-CN"/>
              </w:rPr>
              <w:t>pH值（25℃）</w:t>
            </w:r>
          </w:p>
        </w:tc>
        <w:tc>
          <w:tcPr>
            <w:tcW w:w="3562" w:type="dxa"/>
            <w:tcBorders>
              <w:top w:val="single" w:color="auto" w:sz="4" w:space="0"/>
              <w:left w:val="single" w:color="auto" w:sz="4" w:space="0"/>
              <w:bottom w:val="single" w:color="auto" w:sz="4" w:space="0"/>
              <w:right w:val="single" w:color="auto" w:sz="4" w:space="0"/>
            </w:tcBorders>
            <w:vAlign w:val="center"/>
          </w:tcPr>
          <w:p w14:paraId="07BCF55E">
            <w:pPr>
              <w:spacing w:line="300" w:lineRule="exact"/>
              <w:ind w:firstLine="420" w:firstLineChars="200"/>
              <w:rPr>
                <w:rFonts w:hint="eastAsia"/>
                <w:szCs w:val="21"/>
                <w:lang w:val="en-US" w:eastAsia="zh-CN"/>
              </w:rPr>
            </w:pPr>
            <w:r>
              <w:rPr>
                <w:rFonts w:hint="eastAsia"/>
                <w:szCs w:val="21"/>
                <w:lang w:val="en-US" w:eastAsia="zh-CN"/>
              </w:rPr>
              <w:t>≥8</w:t>
            </w:r>
          </w:p>
        </w:tc>
      </w:tr>
      <w:tr w14:paraId="106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78" w:type="dxa"/>
            <w:vAlign w:val="center"/>
          </w:tcPr>
          <w:p w14:paraId="65232310">
            <w:pPr>
              <w:spacing w:line="300" w:lineRule="exact"/>
              <w:ind w:firstLine="420" w:firstLineChars="200"/>
              <w:rPr>
                <w:rFonts w:hint="eastAsia"/>
                <w:szCs w:val="21"/>
                <w:lang w:val="en-US" w:eastAsia="zh-CN"/>
              </w:rPr>
            </w:pPr>
            <w:r>
              <w:rPr>
                <w:rFonts w:hint="eastAsia"/>
                <w:szCs w:val="21"/>
                <w:lang w:val="en-US" w:eastAsia="zh-CN"/>
              </w:rPr>
              <w:t>凝点，℃</w:t>
            </w:r>
          </w:p>
        </w:tc>
        <w:tc>
          <w:tcPr>
            <w:tcW w:w="3562" w:type="dxa"/>
            <w:tcBorders>
              <w:top w:val="single" w:color="auto" w:sz="4" w:space="0"/>
              <w:left w:val="single" w:color="auto" w:sz="4" w:space="0"/>
              <w:bottom w:val="single" w:color="auto" w:sz="4" w:space="0"/>
              <w:right w:val="single" w:color="auto" w:sz="4" w:space="0"/>
            </w:tcBorders>
            <w:vAlign w:val="center"/>
          </w:tcPr>
          <w:p w14:paraId="79708226">
            <w:pPr>
              <w:spacing w:line="300" w:lineRule="exact"/>
              <w:ind w:firstLine="420" w:firstLineChars="200"/>
              <w:rPr>
                <w:rFonts w:hint="eastAsia"/>
                <w:szCs w:val="21"/>
                <w:lang w:val="en-US" w:eastAsia="zh-CN"/>
              </w:rPr>
            </w:pPr>
            <w:r>
              <w:rPr>
                <w:rFonts w:hint="eastAsia"/>
                <w:szCs w:val="21"/>
                <w:lang w:val="en-US" w:eastAsia="zh-CN"/>
              </w:rPr>
              <w:t>≤0</w:t>
            </w:r>
          </w:p>
        </w:tc>
      </w:tr>
      <w:tr w14:paraId="6EC6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78" w:type="dxa"/>
            <w:vAlign w:val="center"/>
          </w:tcPr>
          <w:p w14:paraId="2E14FA11">
            <w:pPr>
              <w:spacing w:line="300" w:lineRule="exact"/>
              <w:ind w:firstLine="420" w:firstLineChars="200"/>
              <w:rPr>
                <w:rFonts w:hint="eastAsia"/>
                <w:szCs w:val="21"/>
                <w:lang w:val="en-US" w:eastAsia="zh-CN"/>
              </w:rPr>
            </w:pPr>
            <w:r>
              <w:rPr>
                <w:rFonts w:hint="eastAsia"/>
                <w:szCs w:val="21"/>
                <w:lang w:val="en-US" w:eastAsia="zh-CN"/>
              </w:rPr>
              <w:t>溶解性</w:t>
            </w:r>
          </w:p>
        </w:tc>
        <w:tc>
          <w:tcPr>
            <w:tcW w:w="3562" w:type="dxa"/>
            <w:tcBorders>
              <w:top w:val="single" w:color="auto" w:sz="4" w:space="0"/>
              <w:left w:val="single" w:color="auto" w:sz="4" w:space="0"/>
              <w:bottom w:val="single" w:color="auto" w:sz="4" w:space="0"/>
              <w:right w:val="single" w:color="auto" w:sz="4" w:space="0"/>
            </w:tcBorders>
            <w:vAlign w:val="center"/>
          </w:tcPr>
          <w:p w14:paraId="3CCFD574">
            <w:pPr>
              <w:spacing w:line="300" w:lineRule="exact"/>
              <w:ind w:firstLine="420" w:firstLineChars="200"/>
              <w:rPr>
                <w:rFonts w:hint="eastAsia"/>
                <w:szCs w:val="21"/>
                <w:lang w:val="en-US" w:eastAsia="zh-CN"/>
              </w:rPr>
            </w:pPr>
            <w:r>
              <w:rPr>
                <w:rFonts w:hint="eastAsia"/>
                <w:szCs w:val="21"/>
                <w:lang w:val="en-US" w:eastAsia="zh-CN"/>
              </w:rPr>
              <w:t>易溶入水</w:t>
            </w:r>
          </w:p>
        </w:tc>
      </w:tr>
    </w:tbl>
    <w:p w14:paraId="1257E642">
      <w:pPr>
        <w:spacing w:line="300" w:lineRule="exact"/>
        <w:ind w:firstLine="420" w:firstLineChars="200"/>
        <w:rPr>
          <w:rFonts w:hint="eastAsia"/>
          <w:szCs w:val="21"/>
          <w:lang w:val="en-US" w:eastAsia="zh-CN"/>
        </w:rPr>
      </w:pPr>
      <w:r>
        <w:rPr>
          <w:rFonts w:hint="eastAsia"/>
          <w:szCs w:val="21"/>
          <w:lang w:val="en-US" w:eastAsia="zh-CN"/>
        </w:rPr>
        <w:t>5.3 加氢裂化装置中和缓蚀剂技术保证值：</w:t>
      </w:r>
    </w:p>
    <w:p w14:paraId="272CECD8">
      <w:pPr>
        <w:pStyle w:val="24"/>
        <w:numPr>
          <w:ilvl w:val="0"/>
          <w:numId w:val="8"/>
        </w:numPr>
        <w:spacing w:line="360" w:lineRule="auto"/>
        <w:ind w:left="873" w:leftChars="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液态水溶性，产品水溶性好，无乳化现象。</w:t>
      </w:r>
    </w:p>
    <w:p w14:paraId="4438D319">
      <w:pPr>
        <w:pStyle w:val="24"/>
        <w:numPr>
          <w:ilvl w:val="0"/>
          <w:numId w:val="8"/>
        </w:numPr>
        <w:spacing w:line="360" w:lineRule="auto"/>
        <w:ind w:left="873" w:leftChars="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塔顶酸性水总铁含量≤3mg/L，pH值7.0~9.0。</w:t>
      </w:r>
    </w:p>
    <w:p w14:paraId="6D76D3D2">
      <w:pPr>
        <w:pStyle w:val="24"/>
        <w:numPr>
          <w:ilvl w:val="0"/>
          <w:numId w:val="8"/>
        </w:numPr>
        <w:spacing w:line="360" w:lineRule="auto"/>
        <w:ind w:left="-431" w:leftChars="0" w:firstLine="85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保证所提供产品在正确使用下对设备、装置无任何损坏，对下游催化剂、下游产品、终端产品无任何性质和质量的不良改变。</w:t>
      </w:r>
    </w:p>
    <w:p w14:paraId="7142B314">
      <w:pPr>
        <w:pStyle w:val="24"/>
        <w:numPr>
          <w:ilvl w:val="0"/>
          <w:numId w:val="8"/>
        </w:numPr>
        <w:spacing w:line="360" w:lineRule="auto"/>
        <w:ind w:left="873" w:leftChars="0" w:firstLineChars="0"/>
        <w:jc w:val="left"/>
        <w:rPr>
          <w:rFonts w:hint="eastAsia"/>
          <w:szCs w:val="21"/>
          <w:lang w:val="en-US" w:eastAsia="zh-CN"/>
        </w:rPr>
      </w:pPr>
      <w:r>
        <w:rPr>
          <w:rFonts w:hint="eastAsia" w:ascii="Times New Roman" w:hAnsi="Times New Roman" w:eastAsia="宋体" w:cs="Times New Roman"/>
          <w:kern w:val="2"/>
          <w:sz w:val="21"/>
          <w:szCs w:val="21"/>
          <w:lang w:val="en-US" w:eastAsia="zh-CN" w:bidi="ar-SA"/>
        </w:rPr>
        <w:t>中和缓蚀剂产品预调配好，现场除盐水稀释后即可注入。</w:t>
      </w:r>
    </w:p>
    <w:p w14:paraId="7271C0CE">
      <w:pPr>
        <w:spacing w:line="300" w:lineRule="exact"/>
        <w:ind w:firstLine="420" w:firstLineChars="200"/>
        <w:rPr>
          <w:rFonts w:hint="eastAsia"/>
          <w:szCs w:val="21"/>
          <w:lang w:val="en-US" w:eastAsia="zh-CN"/>
        </w:rPr>
      </w:pPr>
      <w:r>
        <w:rPr>
          <w:rFonts w:hint="eastAsia"/>
          <w:szCs w:val="21"/>
          <w:lang w:val="en-US" w:eastAsia="zh-CN"/>
        </w:rPr>
        <w:t>5.4 加氢裂化装置中和缓蚀剂注入量的要求；</w:t>
      </w:r>
    </w:p>
    <w:tbl>
      <w:tblPr>
        <w:tblStyle w:val="9"/>
        <w:tblW w:w="7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gridCol w:w="3550"/>
      </w:tblGrid>
      <w:tr w14:paraId="0115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6437A7E1">
            <w:pPr>
              <w:spacing w:line="300" w:lineRule="exact"/>
              <w:ind w:firstLine="420" w:firstLineChars="200"/>
              <w:rPr>
                <w:rFonts w:hint="eastAsia"/>
                <w:szCs w:val="21"/>
                <w:lang w:val="en-US" w:eastAsia="zh-CN"/>
              </w:rPr>
            </w:pPr>
            <w:r>
              <w:rPr>
                <w:rFonts w:hint="eastAsia"/>
                <w:szCs w:val="21"/>
                <w:lang w:val="en-US" w:eastAsia="zh-CN"/>
              </w:rPr>
              <w:t>注入点</w:t>
            </w:r>
          </w:p>
        </w:tc>
        <w:tc>
          <w:tcPr>
            <w:tcW w:w="3550" w:type="dxa"/>
          </w:tcPr>
          <w:p w14:paraId="5D058F40">
            <w:pPr>
              <w:spacing w:line="300" w:lineRule="exact"/>
              <w:ind w:firstLine="420" w:firstLineChars="200"/>
              <w:rPr>
                <w:rFonts w:hint="eastAsia"/>
                <w:szCs w:val="21"/>
                <w:lang w:val="en-US" w:eastAsia="zh-CN"/>
              </w:rPr>
            </w:pPr>
            <w:r>
              <w:rPr>
                <w:rFonts w:hint="eastAsia"/>
                <w:szCs w:val="21"/>
                <w:lang w:val="en-US" w:eastAsia="zh-CN"/>
              </w:rPr>
              <w:t>注入量（mg/kg）</w:t>
            </w:r>
          </w:p>
        </w:tc>
      </w:tr>
      <w:tr w14:paraId="759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2015F8FD">
            <w:pPr>
              <w:spacing w:line="300" w:lineRule="exact"/>
              <w:ind w:firstLine="420" w:firstLineChars="200"/>
              <w:rPr>
                <w:rFonts w:hint="eastAsia"/>
                <w:szCs w:val="21"/>
                <w:lang w:val="en-US" w:eastAsia="zh-CN"/>
              </w:rPr>
            </w:pPr>
            <w:r>
              <w:rPr>
                <w:rFonts w:hint="eastAsia"/>
                <w:szCs w:val="21"/>
                <w:lang w:val="en-US" w:eastAsia="zh-CN"/>
              </w:rPr>
              <w:t>产品汽提塔顶</w:t>
            </w:r>
          </w:p>
        </w:tc>
        <w:tc>
          <w:tcPr>
            <w:tcW w:w="3550" w:type="dxa"/>
          </w:tcPr>
          <w:p w14:paraId="42A3995E">
            <w:pPr>
              <w:spacing w:line="300" w:lineRule="exact"/>
              <w:ind w:firstLine="420" w:firstLineChars="200"/>
              <w:rPr>
                <w:rFonts w:hint="eastAsia"/>
                <w:szCs w:val="21"/>
                <w:lang w:val="en-US" w:eastAsia="zh-CN"/>
              </w:rPr>
            </w:pPr>
            <w:r>
              <w:rPr>
                <w:rFonts w:hint="eastAsia"/>
                <w:szCs w:val="21"/>
                <w:lang w:val="en-US" w:eastAsia="zh-CN"/>
              </w:rPr>
              <w:t>≤10</w:t>
            </w:r>
          </w:p>
        </w:tc>
      </w:tr>
      <w:tr w14:paraId="486E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0F70F2AE">
            <w:pPr>
              <w:spacing w:line="300" w:lineRule="exact"/>
              <w:ind w:firstLine="420" w:firstLineChars="200"/>
              <w:rPr>
                <w:rFonts w:hint="eastAsia"/>
                <w:szCs w:val="21"/>
                <w:lang w:val="en-US" w:eastAsia="zh-CN"/>
              </w:rPr>
            </w:pPr>
            <w:r>
              <w:rPr>
                <w:rFonts w:hint="eastAsia"/>
                <w:szCs w:val="21"/>
                <w:lang w:val="en-US" w:eastAsia="zh-CN"/>
              </w:rPr>
              <w:t>贫油吸收塔顶</w:t>
            </w:r>
          </w:p>
        </w:tc>
        <w:tc>
          <w:tcPr>
            <w:tcW w:w="3550" w:type="dxa"/>
          </w:tcPr>
          <w:p w14:paraId="771F542A">
            <w:pPr>
              <w:spacing w:line="300" w:lineRule="exact"/>
              <w:ind w:firstLine="420" w:firstLineChars="200"/>
              <w:rPr>
                <w:rFonts w:hint="eastAsia"/>
                <w:szCs w:val="21"/>
                <w:lang w:val="en-US" w:eastAsia="zh-CN"/>
              </w:rPr>
            </w:pPr>
            <w:r>
              <w:rPr>
                <w:rFonts w:hint="eastAsia"/>
                <w:szCs w:val="21"/>
                <w:lang w:val="en-US" w:eastAsia="zh-CN"/>
              </w:rPr>
              <w:t>≤20</w:t>
            </w:r>
          </w:p>
        </w:tc>
      </w:tr>
      <w:tr w14:paraId="0868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0" w:type="dxa"/>
          </w:tcPr>
          <w:p w14:paraId="6F047BE8">
            <w:pPr>
              <w:spacing w:line="300" w:lineRule="exact"/>
              <w:ind w:firstLine="420" w:firstLineChars="200"/>
              <w:rPr>
                <w:rFonts w:hint="eastAsia"/>
                <w:szCs w:val="21"/>
                <w:lang w:val="en-US" w:eastAsia="zh-CN"/>
              </w:rPr>
            </w:pPr>
            <w:r>
              <w:rPr>
                <w:rFonts w:hint="eastAsia"/>
                <w:szCs w:val="21"/>
                <w:lang w:val="en-US" w:eastAsia="zh-CN"/>
              </w:rPr>
              <w:t>脱乙烷塔顶</w:t>
            </w:r>
          </w:p>
        </w:tc>
        <w:tc>
          <w:tcPr>
            <w:tcW w:w="3550" w:type="dxa"/>
          </w:tcPr>
          <w:p w14:paraId="2D8118FA">
            <w:pPr>
              <w:spacing w:line="300" w:lineRule="exact"/>
              <w:ind w:firstLine="420" w:firstLineChars="200"/>
              <w:rPr>
                <w:rFonts w:hint="eastAsia"/>
                <w:szCs w:val="21"/>
                <w:lang w:val="en-US" w:eastAsia="zh-CN"/>
              </w:rPr>
            </w:pPr>
            <w:r>
              <w:rPr>
                <w:rFonts w:hint="eastAsia"/>
                <w:szCs w:val="21"/>
                <w:lang w:val="en-US" w:eastAsia="zh-CN"/>
              </w:rPr>
              <w:t>≤20</w:t>
            </w:r>
          </w:p>
        </w:tc>
      </w:tr>
      <w:tr w14:paraId="3D0E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50" w:type="dxa"/>
          </w:tcPr>
          <w:p w14:paraId="405EDAE1">
            <w:pPr>
              <w:spacing w:line="300" w:lineRule="exact"/>
              <w:ind w:firstLine="420" w:firstLineChars="200"/>
              <w:rPr>
                <w:rFonts w:hint="eastAsia"/>
                <w:szCs w:val="21"/>
                <w:lang w:val="en-US" w:eastAsia="zh-CN"/>
              </w:rPr>
            </w:pPr>
            <w:r>
              <w:rPr>
                <w:rFonts w:hint="eastAsia"/>
                <w:szCs w:val="21"/>
                <w:lang w:val="en-US" w:eastAsia="zh-CN"/>
              </w:rPr>
              <w:t>脱丁烷塔顶</w:t>
            </w:r>
          </w:p>
        </w:tc>
        <w:tc>
          <w:tcPr>
            <w:tcW w:w="3550" w:type="dxa"/>
          </w:tcPr>
          <w:p w14:paraId="0E23C903">
            <w:pPr>
              <w:spacing w:line="300" w:lineRule="exact"/>
              <w:ind w:firstLine="420" w:firstLineChars="200"/>
              <w:rPr>
                <w:rFonts w:hint="eastAsia"/>
                <w:szCs w:val="21"/>
                <w:lang w:val="en-US" w:eastAsia="zh-CN"/>
              </w:rPr>
            </w:pPr>
            <w:r>
              <w:rPr>
                <w:rFonts w:hint="eastAsia"/>
                <w:szCs w:val="21"/>
                <w:lang w:val="en-US" w:eastAsia="zh-CN"/>
              </w:rPr>
              <w:t>≤10</w:t>
            </w:r>
          </w:p>
        </w:tc>
      </w:tr>
    </w:tbl>
    <w:p w14:paraId="081B0973">
      <w:pPr>
        <w:spacing w:line="300" w:lineRule="exact"/>
        <w:ind w:firstLine="420" w:firstLineChars="200"/>
        <w:rPr>
          <w:rFonts w:hint="eastAsia"/>
          <w:szCs w:val="21"/>
          <w:lang w:val="en-US" w:eastAsia="zh-CN"/>
        </w:rPr>
      </w:pPr>
      <w:r>
        <w:rPr>
          <w:rFonts w:hint="eastAsia"/>
          <w:szCs w:val="21"/>
          <w:lang w:val="en-US" w:eastAsia="zh-CN"/>
        </w:rPr>
        <w:t>5.5 结算说明：费用结算以中和缓蚀剂单价×实际使用量的方式进行。药剂现场试用合格后，每三个月进行一次结算。根据考核结果合格率≥90%，需方支付供方当批次该部分货款全款；80%≤合格率＜90%，按当批次该部分货款全款9折付款；70%≤合格率＜80%，按当批次该部分货款全款8折付款；60%≤合格率＜70%，按当批次该部分货款全款7折付款；50%≤合格率＜60%，按当批次该部分货款全款6折付款；合格率＜50%，不支付货款。</w:t>
      </w:r>
    </w:p>
    <w:p w14:paraId="41350C14">
      <w:pPr>
        <w:spacing w:line="300" w:lineRule="exact"/>
        <w:ind w:firstLine="420" w:firstLineChars="200"/>
        <w:rPr>
          <w:rFonts w:hint="eastAsia"/>
          <w:szCs w:val="21"/>
        </w:rPr>
      </w:pPr>
      <w:r>
        <w:rPr>
          <w:rFonts w:hint="eastAsia"/>
          <w:szCs w:val="21"/>
          <w:lang w:val="en-US" w:eastAsia="zh-CN"/>
        </w:rPr>
        <w:t>5.6 交货期限、质量保证、质量验收方法及随货提交资料等完全满足技术要求，每次交货数量按需方实际需求送货。</w:t>
      </w:r>
    </w:p>
    <w:p w14:paraId="2567A337">
      <w:pPr>
        <w:spacing w:line="300" w:lineRule="exact"/>
        <w:ind w:firstLine="420" w:firstLineChars="200"/>
        <w:rPr>
          <w:rFonts w:hint="eastAsia"/>
          <w:lang w:val="en-US" w:eastAsia="zh-CN"/>
        </w:rPr>
      </w:pPr>
      <w:r>
        <w:rPr>
          <w:rFonts w:hint="eastAsia"/>
          <w:szCs w:val="21"/>
          <w:lang w:val="en-US" w:eastAsia="zh-CN"/>
        </w:rPr>
        <w:t>5.7 具体性能保证、验收结算方式及赔偿和技术服务范围详见附件技术要求</w:t>
      </w:r>
      <w:r>
        <w:rPr>
          <w:rFonts w:hint="eastAsia"/>
          <w:szCs w:val="21"/>
        </w:rPr>
        <w:t>。</w:t>
      </w:r>
    </w:p>
    <w:p w14:paraId="322FC0D6">
      <w:pPr>
        <w:spacing w:line="300" w:lineRule="exact"/>
        <w:rPr>
          <w:rFonts w:hint="eastAsia"/>
          <w:szCs w:val="21"/>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EEDC">
    <w:pPr>
      <w:pStyle w:val="6"/>
      <w:jc w:val="right"/>
    </w:pPr>
    <w:r>
      <w:fldChar w:fldCharType="begin"/>
    </w:r>
    <w:r>
      <w:instrText xml:space="preserve">PAGE   \* MERGEFORMAT</w:instrText>
    </w:r>
    <w:r>
      <w:fldChar w:fldCharType="separate"/>
    </w:r>
    <w:r>
      <w:t>6</w:t>
    </w:r>
    <w:r>
      <w:fldChar w:fldCharType="end"/>
    </w:r>
  </w:p>
  <w:p w14:paraId="0506A63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FE2B234"/>
    <w:multiLevelType w:val="singleLevel"/>
    <w:tmpl w:val="5FE2B234"/>
    <w:lvl w:ilvl="0" w:tentative="0">
      <w:start w:val="2"/>
      <w:numFmt w:val="decimal"/>
      <w:suff w:val="nothing"/>
      <w:lvlText w:val="%1、"/>
      <w:lvlJc w:val="left"/>
    </w:lvl>
  </w:abstractNum>
  <w:abstractNum w:abstractNumId="5">
    <w:nsid w:val="6A284DC3"/>
    <w:multiLevelType w:val="multilevel"/>
    <w:tmpl w:val="6A284DC3"/>
    <w:lvl w:ilvl="0" w:tentative="0">
      <w:start w:val="1"/>
      <w:numFmt w:val="lowerLetter"/>
      <w:lvlText w:val=" %1. "/>
      <w:lvlJc w:val="left"/>
      <w:pPr>
        <w:ind w:left="873" w:hanging="453"/>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1433" w:hanging="360"/>
      </w:pPr>
      <w:rPr>
        <w:rFonts w:hint="default"/>
      </w:rPr>
    </w:lvl>
    <w:lvl w:ilvl="2" w:tentative="0">
      <w:start w:val="1"/>
      <w:numFmt w:val="decimal"/>
      <w:lvlText w:val="%1.%2.%3"/>
      <w:lvlJc w:val="left"/>
      <w:pPr>
        <w:ind w:left="2927" w:hanging="720"/>
      </w:pPr>
      <w:rPr>
        <w:rFonts w:hint="default"/>
      </w:rPr>
    </w:lvl>
    <w:lvl w:ilvl="3" w:tentative="0">
      <w:start w:val="1"/>
      <w:numFmt w:val="decimal"/>
      <w:lvlText w:val="%1.%2.%3.%4"/>
      <w:lvlJc w:val="left"/>
      <w:pPr>
        <w:ind w:left="4067" w:hanging="1080"/>
      </w:pPr>
      <w:rPr>
        <w:rFonts w:hint="default"/>
      </w:rPr>
    </w:lvl>
    <w:lvl w:ilvl="4" w:tentative="0">
      <w:start w:val="1"/>
      <w:numFmt w:val="decimal"/>
      <w:lvlText w:val="%1.%2.%3.%4.%5"/>
      <w:lvlJc w:val="left"/>
      <w:pPr>
        <w:ind w:left="4847" w:hanging="1080"/>
      </w:pPr>
      <w:rPr>
        <w:rFonts w:hint="default"/>
      </w:rPr>
    </w:lvl>
    <w:lvl w:ilvl="5" w:tentative="0">
      <w:start w:val="1"/>
      <w:numFmt w:val="decimal"/>
      <w:lvlText w:val="%1.%2.%3.%4.%5.%6"/>
      <w:lvlJc w:val="left"/>
      <w:pPr>
        <w:ind w:left="5987" w:hanging="1440"/>
      </w:pPr>
      <w:rPr>
        <w:rFonts w:hint="default"/>
      </w:rPr>
    </w:lvl>
    <w:lvl w:ilvl="6" w:tentative="0">
      <w:start w:val="1"/>
      <w:numFmt w:val="decimal"/>
      <w:lvlText w:val="%1.%2.%3.%4.%5.%6.%7"/>
      <w:lvlJc w:val="left"/>
      <w:pPr>
        <w:ind w:left="6767" w:hanging="1440"/>
      </w:pPr>
      <w:rPr>
        <w:rFonts w:hint="default"/>
      </w:rPr>
    </w:lvl>
    <w:lvl w:ilvl="7" w:tentative="0">
      <w:start w:val="1"/>
      <w:numFmt w:val="decimal"/>
      <w:lvlText w:val="%1.%2.%3.%4.%5.%6.%7.%8"/>
      <w:lvlJc w:val="left"/>
      <w:pPr>
        <w:ind w:left="7907" w:hanging="1800"/>
      </w:pPr>
      <w:rPr>
        <w:rFonts w:hint="default"/>
      </w:rPr>
    </w:lvl>
    <w:lvl w:ilvl="8" w:tentative="0">
      <w:start w:val="1"/>
      <w:numFmt w:val="decimal"/>
      <w:lvlText w:val="%1.%2.%3.%4.%5.%6.%7.%8.%9"/>
      <w:lvlJc w:val="left"/>
      <w:pPr>
        <w:ind w:left="8687" w:hanging="1800"/>
      </w:pPr>
      <w:rPr>
        <w:rFonts w:hint="default"/>
      </w:rPr>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7D36B961"/>
    <w:multiLevelType w:val="multilevel"/>
    <w:tmpl w:val="7D36B961"/>
    <w:lvl w:ilvl="0" w:tentative="0">
      <w:start w:val="1"/>
      <w:numFmt w:val="lowerLetter"/>
      <w:lvlText w:val=" %1. "/>
      <w:lvlJc w:val="left"/>
      <w:pPr>
        <w:ind w:left="873" w:hanging="453"/>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1433" w:hanging="360"/>
      </w:pPr>
      <w:rPr>
        <w:rFonts w:hint="default"/>
      </w:rPr>
    </w:lvl>
    <w:lvl w:ilvl="2" w:tentative="0">
      <w:start w:val="1"/>
      <w:numFmt w:val="decimal"/>
      <w:lvlText w:val="%1.%2.%3"/>
      <w:lvlJc w:val="left"/>
      <w:pPr>
        <w:ind w:left="2927" w:hanging="720"/>
      </w:pPr>
      <w:rPr>
        <w:rFonts w:hint="default"/>
      </w:rPr>
    </w:lvl>
    <w:lvl w:ilvl="3" w:tentative="0">
      <w:start w:val="1"/>
      <w:numFmt w:val="decimal"/>
      <w:lvlText w:val="%1.%2.%3.%4"/>
      <w:lvlJc w:val="left"/>
      <w:pPr>
        <w:ind w:left="4067" w:hanging="1080"/>
      </w:pPr>
      <w:rPr>
        <w:rFonts w:hint="default"/>
      </w:rPr>
    </w:lvl>
    <w:lvl w:ilvl="4" w:tentative="0">
      <w:start w:val="1"/>
      <w:numFmt w:val="decimal"/>
      <w:lvlText w:val="%1.%2.%3.%4.%5"/>
      <w:lvlJc w:val="left"/>
      <w:pPr>
        <w:ind w:left="4847" w:hanging="1080"/>
      </w:pPr>
      <w:rPr>
        <w:rFonts w:hint="default"/>
      </w:rPr>
    </w:lvl>
    <w:lvl w:ilvl="5" w:tentative="0">
      <w:start w:val="1"/>
      <w:numFmt w:val="decimal"/>
      <w:lvlText w:val="%1.%2.%3.%4.%5.%6"/>
      <w:lvlJc w:val="left"/>
      <w:pPr>
        <w:ind w:left="5987" w:hanging="1440"/>
      </w:pPr>
      <w:rPr>
        <w:rFonts w:hint="default"/>
      </w:rPr>
    </w:lvl>
    <w:lvl w:ilvl="6" w:tentative="0">
      <w:start w:val="1"/>
      <w:numFmt w:val="decimal"/>
      <w:lvlText w:val="%1.%2.%3.%4.%5.%6.%7"/>
      <w:lvlJc w:val="left"/>
      <w:pPr>
        <w:ind w:left="6767" w:hanging="1440"/>
      </w:pPr>
      <w:rPr>
        <w:rFonts w:hint="default"/>
      </w:rPr>
    </w:lvl>
    <w:lvl w:ilvl="7" w:tentative="0">
      <w:start w:val="1"/>
      <w:numFmt w:val="decimal"/>
      <w:lvlText w:val="%1.%2.%3.%4.%5.%6.%7.%8"/>
      <w:lvlJc w:val="left"/>
      <w:pPr>
        <w:ind w:left="7907" w:hanging="1800"/>
      </w:pPr>
      <w:rPr>
        <w:rFonts w:hint="default"/>
      </w:rPr>
    </w:lvl>
    <w:lvl w:ilvl="8" w:tentative="0">
      <w:start w:val="1"/>
      <w:numFmt w:val="decimal"/>
      <w:lvlText w:val="%1.%2.%3.%4.%5.%6.%7.%8.%9"/>
      <w:lvlJc w:val="left"/>
      <w:pPr>
        <w:ind w:left="8687" w:hanging="1800"/>
      </w:pPr>
      <w:rPr>
        <w:rFonts w:hint="default"/>
      </w:r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00A85"/>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055E4"/>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1BC32FB"/>
    <w:rsid w:val="02003C03"/>
    <w:rsid w:val="021D391B"/>
    <w:rsid w:val="024C0384"/>
    <w:rsid w:val="02773EF6"/>
    <w:rsid w:val="02CC4E1D"/>
    <w:rsid w:val="02D53A40"/>
    <w:rsid w:val="03033536"/>
    <w:rsid w:val="03232D47"/>
    <w:rsid w:val="03261A08"/>
    <w:rsid w:val="032857C7"/>
    <w:rsid w:val="032D15FD"/>
    <w:rsid w:val="032F04D8"/>
    <w:rsid w:val="03B0401B"/>
    <w:rsid w:val="03E270E3"/>
    <w:rsid w:val="03E5328D"/>
    <w:rsid w:val="03FC64DE"/>
    <w:rsid w:val="042207A6"/>
    <w:rsid w:val="04444FBA"/>
    <w:rsid w:val="04675C1C"/>
    <w:rsid w:val="046B7835"/>
    <w:rsid w:val="046E24C0"/>
    <w:rsid w:val="046F7ACF"/>
    <w:rsid w:val="0546217C"/>
    <w:rsid w:val="057373C3"/>
    <w:rsid w:val="058B56E8"/>
    <w:rsid w:val="059A34DA"/>
    <w:rsid w:val="059B734C"/>
    <w:rsid w:val="05C112E8"/>
    <w:rsid w:val="05CE4353"/>
    <w:rsid w:val="05CF5BDF"/>
    <w:rsid w:val="061013A0"/>
    <w:rsid w:val="064416AA"/>
    <w:rsid w:val="064F4D05"/>
    <w:rsid w:val="06A3708D"/>
    <w:rsid w:val="06AB00B1"/>
    <w:rsid w:val="06BE6A75"/>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AE35D05"/>
    <w:rsid w:val="0B0D38CD"/>
    <w:rsid w:val="0B35169E"/>
    <w:rsid w:val="0B4A13AC"/>
    <w:rsid w:val="0B5504B4"/>
    <w:rsid w:val="0B8E420A"/>
    <w:rsid w:val="0BF30F66"/>
    <w:rsid w:val="0C3D7481"/>
    <w:rsid w:val="0CF127D7"/>
    <w:rsid w:val="0CFA1F88"/>
    <w:rsid w:val="0CFA5163"/>
    <w:rsid w:val="0DA163F9"/>
    <w:rsid w:val="0DAD56B9"/>
    <w:rsid w:val="0DD566C4"/>
    <w:rsid w:val="0E02486F"/>
    <w:rsid w:val="0E3D2F5D"/>
    <w:rsid w:val="0E3F22A2"/>
    <w:rsid w:val="0E8B20AA"/>
    <w:rsid w:val="0E9503CA"/>
    <w:rsid w:val="0EAF658B"/>
    <w:rsid w:val="0EE26DF9"/>
    <w:rsid w:val="0EE30943"/>
    <w:rsid w:val="0F3141ED"/>
    <w:rsid w:val="0F4E62EA"/>
    <w:rsid w:val="0F5C3CF6"/>
    <w:rsid w:val="0F6C3BB2"/>
    <w:rsid w:val="0F821B8F"/>
    <w:rsid w:val="0F8C0A60"/>
    <w:rsid w:val="0FA364D6"/>
    <w:rsid w:val="0FCE6C96"/>
    <w:rsid w:val="0FE34343"/>
    <w:rsid w:val="0FF86012"/>
    <w:rsid w:val="10167D42"/>
    <w:rsid w:val="10253B92"/>
    <w:rsid w:val="105A2ADD"/>
    <w:rsid w:val="105B6F62"/>
    <w:rsid w:val="108E2EA4"/>
    <w:rsid w:val="10C613A6"/>
    <w:rsid w:val="10F1561E"/>
    <w:rsid w:val="111E4EA7"/>
    <w:rsid w:val="11267F50"/>
    <w:rsid w:val="11715093"/>
    <w:rsid w:val="11782B5D"/>
    <w:rsid w:val="118A38B5"/>
    <w:rsid w:val="122E4A94"/>
    <w:rsid w:val="125F61EF"/>
    <w:rsid w:val="12737A03"/>
    <w:rsid w:val="12837C22"/>
    <w:rsid w:val="12CF31F9"/>
    <w:rsid w:val="12EA195B"/>
    <w:rsid w:val="12F479DF"/>
    <w:rsid w:val="132E735B"/>
    <w:rsid w:val="1363320F"/>
    <w:rsid w:val="1387789C"/>
    <w:rsid w:val="13B74194"/>
    <w:rsid w:val="142F7DC3"/>
    <w:rsid w:val="14806388"/>
    <w:rsid w:val="14937361"/>
    <w:rsid w:val="149868E6"/>
    <w:rsid w:val="14FC5116"/>
    <w:rsid w:val="15033088"/>
    <w:rsid w:val="150647E6"/>
    <w:rsid w:val="15101A52"/>
    <w:rsid w:val="15125849"/>
    <w:rsid w:val="15B51A48"/>
    <w:rsid w:val="15BF2E22"/>
    <w:rsid w:val="15C23309"/>
    <w:rsid w:val="15C31A47"/>
    <w:rsid w:val="15F16D9A"/>
    <w:rsid w:val="15FE1378"/>
    <w:rsid w:val="15FE1EB4"/>
    <w:rsid w:val="16172661"/>
    <w:rsid w:val="16270A04"/>
    <w:rsid w:val="165069FC"/>
    <w:rsid w:val="16FE1604"/>
    <w:rsid w:val="17132E4B"/>
    <w:rsid w:val="173B43BC"/>
    <w:rsid w:val="178C691A"/>
    <w:rsid w:val="179453BC"/>
    <w:rsid w:val="17D4431F"/>
    <w:rsid w:val="18163378"/>
    <w:rsid w:val="18166994"/>
    <w:rsid w:val="183256DA"/>
    <w:rsid w:val="183B0D71"/>
    <w:rsid w:val="184968FC"/>
    <w:rsid w:val="184B75EE"/>
    <w:rsid w:val="185D1C5F"/>
    <w:rsid w:val="188C5585"/>
    <w:rsid w:val="18C27F65"/>
    <w:rsid w:val="18FA6BBD"/>
    <w:rsid w:val="191A3D61"/>
    <w:rsid w:val="192A2CC6"/>
    <w:rsid w:val="197B4977"/>
    <w:rsid w:val="19DA3B6D"/>
    <w:rsid w:val="19F04AD4"/>
    <w:rsid w:val="1A0D324C"/>
    <w:rsid w:val="1A247E7E"/>
    <w:rsid w:val="1A2F6DF9"/>
    <w:rsid w:val="1A3168AB"/>
    <w:rsid w:val="1A4C05AB"/>
    <w:rsid w:val="1A4F0A64"/>
    <w:rsid w:val="1A747000"/>
    <w:rsid w:val="1AD70553"/>
    <w:rsid w:val="1AF22A1C"/>
    <w:rsid w:val="1AFD66F4"/>
    <w:rsid w:val="1B233A0E"/>
    <w:rsid w:val="1B657395"/>
    <w:rsid w:val="1B6A5707"/>
    <w:rsid w:val="1B7C1123"/>
    <w:rsid w:val="1B8F7883"/>
    <w:rsid w:val="1B927AE6"/>
    <w:rsid w:val="1BC93515"/>
    <w:rsid w:val="1BDB7427"/>
    <w:rsid w:val="1C034BA9"/>
    <w:rsid w:val="1C1B3FE4"/>
    <w:rsid w:val="1C513BF0"/>
    <w:rsid w:val="1C8261A0"/>
    <w:rsid w:val="1CD6666F"/>
    <w:rsid w:val="1CF31038"/>
    <w:rsid w:val="1D0113C9"/>
    <w:rsid w:val="1D05782C"/>
    <w:rsid w:val="1D7757F1"/>
    <w:rsid w:val="1DB72E7F"/>
    <w:rsid w:val="1DDB74E0"/>
    <w:rsid w:val="1E2F61EF"/>
    <w:rsid w:val="1E3264F3"/>
    <w:rsid w:val="1E600A9D"/>
    <w:rsid w:val="1E750E13"/>
    <w:rsid w:val="1EB505E6"/>
    <w:rsid w:val="1EBD3B62"/>
    <w:rsid w:val="1EF431C2"/>
    <w:rsid w:val="1F02429F"/>
    <w:rsid w:val="1F133081"/>
    <w:rsid w:val="1F590291"/>
    <w:rsid w:val="200516E1"/>
    <w:rsid w:val="207E3421"/>
    <w:rsid w:val="208A175C"/>
    <w:rsid w:val="2090579A"/>
    <w:rsid w:val="20996330"/>
    <w:rsid w:val="20AF45AF"/>
    <w:rsid w:val="20CB1C87"/>
    <w:rsid w:val="211A719D"/>
    <w:rsid w:val="215846DF"/>
    <w:rsid w:val="217C217E"/>
    <w:rsid w:val="21BD6DBB"/>
    <w:rsid w:val="22345BE0"/>
    <w:rsid w:val="22500F52"/>
    <w:rsid w:val="22521DD3"/>
    <w:rsid w:val="227B0690"/>
    <w:rsid w:val="228E5A58"/>
    <w:rsid w:val="22A35795"/>
    <w:rsid w:val="22A62B30"/>
    <w:rsid w:val="22ED3ED6"/>
    <w:rsid w:val="23464916"/>
    <w:rsid w:val="23496B54"/>
    <w:rsid w:val="23532FBD"/>
    <w:rsid w:val="237B661E"/>
    <w:rsid w:val="238B4E5F"/>
    <w:rsid w:val="23AF5F4E"/>
    <w:rsid w:val="23B1083B"/>
    <w:rsid w:val="23BF50C8"/>
    <w:rsid w:val="23CC07DA"/>
    <w:rsid w:val="23F24C55"/>
    <w:rsid w:val="241D1936"/>
    <w:rsid w:val="24525B6A"/>
    <w:rsid w:val="247C7073"/>
    <w:rsid w:val="249358FA"/>
    <w:rsid w:val="2496308D"/>
    <w:rsid w:val="24A9374C"/>
    <w:rsid w:val="258777C9"/>
    <w:rsid w:val="2589209A"/>
    <w:rsid w:val="25B40CD0"/>
    <w:rsid w:val="25CB1E8B"/>
    <w:rsid w:val="25D9170E"/>
    <w:rsid w:val="25E0040C"/>
    <w:rsid w:val="25F3676D"/>
    <w:rsid w:val="26035576"/>
    <w:rsid w:val="263C16E1"/>
    <w:rsid w:val="2665006F"/>
    <w:rsid w:val="26AA092A"/>
    <w:rsid w:val="26C65BC6"/>
    <w:rsid w:val="270778B3"/>
    <w:rsid w:val="27311B05"/>
    <w:rsid w:val="273A5487"/>
    <w:rsid w:val="274761A1"/>
    <w:rsid w:val="27937EDA"/>
    <w:rsid w:val="27CF60B0"/>
    <w:rsid w:val="27E234BC"/>
    <w:rsid w:val="28012C6B"/>
    <w:rsid w:val="280475E2"/>
    <w:rsid w:val="282C18E9"/>
    <w:rsid w:val="28566230"/>
    <w:rsid w:val="285B7C69"/>
    <w:rsid w:val="28B0150E"/>
    <w:rsid w:val="28D51D40"/>
    <w:rsid w:val="29043F70"/>
    <w:rsid w:val="293555E2"/>
    <w:rsid w:val="299A1AD2"/>
    <w:rsid w:val="29AC4DAC"/>
    <w:rsid w:val="29B80978"/>
    <w:rsid w:val="29CE07E6"/>
    <w:rsid w:val="29D17C38"/>
    <w:rsid w:val="29DA1C97"/>
    <w:rsid w:val="2A1B7225"/>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2550B"/>
    <w:rsid w:val="2BD36FC0"/>
    <w:rsid w:val="2BE04E2E"/>
    <w:rsid w:val="2C0B2A13"/>
    <w:rsid w:val="2C1E74F2"/>
    <w:rsid w:val="2C201604"/>
    <w:rsid w:val="2C31119D"/>
    <w:rsid w:val="2C3328C4"/>
    <w:rsid w:val="2C5548F9"/>
    <w:rsid w:val="2CC66116"/>
    <w:rsid w:val="2D2B1461"/>
    <w:rsid w:val="2D3E42A5"/>
    <w:rsid w:val="2DA319DC"/>
    <w:rsid w:val="2DF06759"/>
    <w:rsid w:val="2E12514F"/>
    <w:rsid w:val="2E351771"/>
    <w:rsid w:val="2E370E54"/>
    <w:rsid w:val="2EAD2321"/>
    <w:rsid w:val="2EC9577C"/>
    <w:rsid w:val="2EDC494F"/>
    <w:rsid w:val="2EF7551C"/>
    <w:rsid w:val="2F1F4355"/>
    <w:rsid w:val="2F210D6D"/>
    <w:rsid w:val="2F7C2C25"/>
    <w:rsid w:val="2F8E0962"/>
    <w:rsid w:val="2FA30B14"/>
    <w:rsid w:val="2FBC4452"/>
    <w:rsid w:val="2FBD105F"/>
    <w:rsid w:val="2FBD5AB0"/>
    <w:rsid w:val="2FFE7C5C"/>
    <w:rsid w:val="30071591"/>
    <w:rsid w:val="30213AD6"/>
    <w:rsid w:val="30243F4A"/>
    <w:rsid w:val="303240F6"/>
    <w:rsid w:val="30725A8E"/>
    <w:rsid w:val="30985912"/>
    <w:rsid w:val="30E60CDF"/>
    <w:rsid w:val="31183D8E"/>
    <w:rsid w:val="312B136C"/>
    <w:rsid w:val="31506AAB"/>
    <w:rsid w:val="3165141F"/>
    <w:rsid w:val="31771119"/>
    <w:rsid w:val="31934494"/>
    <w:rsid w:val="319D55BA"/>
    <w:rsid w:val="31CE1FAB"/>
    <w:rsid w:val="31F21635"/>
    <w:rsid w:val="31F46862"/>
    <w:rsid w:val="321859D2"/>
    <w:rsid w:val="322E5C7B"/>
    <w:rsid w:val="323D28AC"/>
    <w:rsid w:val="32492609"/>
    <w:rsid w:val="328F6057"/>
    <w:rsid w:val="32A75EF3"/>
    <w:rsid w:val="32A92310"/>
    <w:rsid w:val="32AE7831"/>
    <w:rsid w:val="33413E8A"/>
    <w:rsid w:val="33503574"/>
    <w:rsid w:val="335E264F"/>
    <w:rsid w:val="337530C8"/>
    <w:rsid w:val="338059AD"/>
    <w:rsid w:val="33EA7F3E"/>
    <w:rsid w:val="33F1490B"/>
    <w:rsid w:val="340F4394"/>
    <w:rsid w:val="345B10E7"/>
    <w:rsid w:val="346720B7"/>
    <w:rsid w:val="347C5E46"/>
    <w:rsid w:val="34DA13EF"/>
    <w:rsid w:val="352C0C5B"/>
    <w:rsid w:val="35490544"/>
    <w:rsid w:val="355665E1"/>
    <w:rsid w:val="3595504A"/>
    <w:rsid w:val="35B058C7"/>
    <w:rsid w:val="35DC46C2"/>
    <w:rsid w:val="35DE34F2"/>
    <w:rsid w:val="35F871FB"/>
    <w:rsid w:val="35FC498E"/>
    <w:rsid w:val="36417C8D"/>
    <w:rsid w:val="366436B8"/>
    <w:rsid w:val="367B39F1"/>
    <w:rsid w:val="36886515"/>
    <w:rsid w:val="368A2F91"/>
    <w:rsid w:val="368B1D4A"/>
    <w:rsid w:val="369F3C73"/>
    <w:rsid w:val="36AA3A8A"/>
    <w:rsid w:val="36AC3A23"/>
    <w:rsid w:val="36E954BF"/>
    <w:rsid w:val="36FA78CD"/>
    <w:rsid w:val="37417CA5"/>
    <w:rsid w:val="3768338E"/>
    <w:rsid w:val="37945B49"/>
    <w:rsid w:val="379D3B99"/>
    <w:rsid w:val="37ED7F2D"/>
    <w:rsid w:val="381C0BFA"/>
    <w:rsid w:val="38227768"/>
    <w:rsid w:val="387939C8"/>
    <w:rsid w:val="38814998"/>
    <w:rsid w:val="38A94FE7"/>
    <w:rsid w:val="38BA64A1"/>
    <w:rsid w:val="38F04E1B"/>
    <w:rsid w:val="39057ED7"/>
    <w:rsid w:val="39137A71"/>
    <w:rsid w:val="39306C04"/>
    <w:rsid w:val="3955569C"/>
    <w:rsid w:val="39657C8F"/>
    <w:rsid w:val="3969383E"/>
    <w:rsid w:val="39882841"/>
    <w:rsid w:val="39ED2847"/>
    <w:rsid w:val="3A4967DD"/>
    <w:rsid w:val="3A500A72"/>
    <w:rsid w:val="3A5116BA"/>
    <w:rsid w:val="3A5B7748"/>
    <w:rsid w:val="3A87079F"/>
    <w:rsid w:val="3A8C3BAF"/>
    <w:rsid w:val="3ABA691E"/>
    <w:rsid w:val="3AD63889"/>
    <w:rsid w:val="3ADE5E05"/>
    <w:rsid w:val="3B053E48"/>
    <w:rsid w:val="3B106478"/>
    <w:rsid w:val="3B293E28"/>
    <w:rsid w:val="3B2F7891"/>
    <w:rsid w:val="3B573FA4"/>
    <w:rsid w:val="3BD4036B"/>
    <w:rsid w:val="3BF511EF"/>
    <w:rsid w:val="3C1D4BEF"/>
    <w:rsid w:val="3C1E5B01"/>
    <w:rsid w:val="3C211860"/>
    <w:rsid w:val="3C333506"/>
    <w:rsid w:val="3C656913"/>
    <w:rsid w:val="3C94066E"/>
    <w:rsid w:val="3CFE624A"/>
    <w:rsid w:val="3D1251D3"/>
    <w:rsid w:val="3D173430"/>
    <w:rsid w:val="3D470E27"/>
    <w:rsid w:val="3D475A63"/>
    <w:rsid w:val="3D6D3B73"/>
    <w:rsid w:val="3DB71B39"/>
    <w:rsid w:val="3E032F87"/>
    <w:rsid w:val="3E287885"/>
    <w:rsid w:val="3E447FF5"/>
    <w:rsid w:val="3E536639"/>
    <w:rsid w:val="3E565DBA"/>
    <w:rsid w:val="3EA23D52"/>
    <w:rsid w:val="3EEE28F9"/>
    <w:rsid w:val="3F1539A0"/>
    <w:rsid w:val="3F1E4982"/>
    <w:rsid w:val="3F516B77"/>
    <w:rsid w:val="3F756AB3"/>
    <w:rsid w:val="3FE93D8F"/>
    <w:rsid w:val="3FEE6A4A"/>
    <w:rsid w:val="401F30A7"/>
    <w:rsid w:val="40303FE1"/>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757300"/>
    <w:rsid w:val="428E4E02"/>
    <w:rsid w:val="42AB04B4"/>
    <w:rsid w:val="42BF0693"/>
    <w:rsid w:val="42D46CD2"/>
    <w:rsid w:val="42DA60A9"/>
    <w:rsid w:val="42DC0DDB"/>
    <w:rsid w:val="43396FCF"/>
    <w:rsid w:val="43434628"/>
    <w:rsid w:val="43482915"/>
    <w:rsid w:val="4351032C"/>
    <w:rsid w:val="4355293C"/>
    <w:rsid w:val="439439C5"/>
    <w:rsid w:val="4395062C"/>
    <w:rsid w:val="439E7A84"/>
    <w:rsid w:val="43CE62FE"/>
    <w:rsid w:val="43D46D19"/>
    <w:rsid w:val="44026924"/>
    <w:rsid w:val="44236751"/>
    <w:rsid w:val="448C78B8"/>
    <w:rsid w:val="44B2410D"/>
    <w:rsid w:val="44CB1108"/>
    <w:rsid w:val="44E4129A"/>
    <w:rsid w:val="453F611C"/>
    <w:rsid w:val="454D6E39"/>
    <w:rsid w:val="45C94E39"/>
    <w:rsid w:val="45CD5D18"/>
    <w:rsid w:val="45D568DB"/>
    <w:rsid w:val="45E64357"/>
    <w:rsid w:val="46051FED"/>
    <w:rsid w:val="46320679"/>
    <w:rsid w:val="46495A0E"/>
    <w:rsid w:val="464B079B"/>
    <w:rsid w:val="468077A8"/>
    <w:rsid w:val="468E6ECD"/>
    <w:rsid w:val="46AB53AC"/>
    <w:rsid w:val="46EA56DB"/>
    <w:rsid w:val="46FF03D4"/>
    <w:rsid w:val="47010586"/>
    <w:rsid w:val="470A5C85"/>
    <w:rsid w:val="473621E0"/>
    <w:rsid w:val="476C6251"/>
    <w:rsid w:val="479C322F"/>
    <w:rsid w:val="47A06F4B"/>
    <w:rsid w:val="47A8704F"/>
    <w:rsid w:val="47A978DA"/>
    <w:rsid w:val="47C12864"/>
    <w:rsid w:val="48037F6C"/>
    <w:rsid w:val="480C6C1B"/>
    <w:rsid w:val="48295411"/>
    <w:rsid w:val="48B268BC"/>
    <w:rsid w:val="48DF13FB"/>
    <w:rsid w:val="48F83E27"/>
    <w:rsid w:val="493B7D23"/>
    <w:rsid w:val="49545F4C"/>
    <w:rsid w:val="497038CD"/>
    <w:rsid w:val="497205C6"/>
    <w:rsid w:val="49730A66"/>
    <w:rsid w:val="499A66C3"/>
    <w:rsid w:val="49AC538B"/>
    <w:rsid w:val="4A2609F3"/>
    <w:rsid w:val="4A532137"/>
    <w:rsid w:val="4A784075"/>
    <w:rsid w:val="4A9E208F"/>
    <w:rsid w:val="4AEC33B6"/>
    <w:rsid w:val="4B2451E8"/>
    <w:rsid w:val="4B3D4012"/>
    <w:rsid w:val="4B45028D"/>
    <w:rsid w:val="4B4A24A6"/>
    <w:rsid w:val="4B6D039E"/>
    <w:rsid w:val="4B945212"/>
    <w:rsid w:val="4B9666FA"/>
    <w:rsid w:val="4BC2454D"/>
    <w:rsid w:val="4BC442C6"/>
    <w:rsid w:val="4BF27690"/>
    <w:rsid w:val="4C204881"/>
    <w:rsid w:val="4C775DE6"/>
    <w:rsid w:val="4C82133E"/>
    <w:rsid w:val="4CA3109F"/>
    <w:rsid w:val="4CE95EFF"/>
    <w:rsid w:val="4CF91653"/>
    <w:rsid w:val="4D13604C"/>
    <w:rsid w:val="4D1D2091"/>
    <w:rsid w:val="4D845D59"/>
    <w:rsid w:val="4DA80E22"/>
    <w:rsid w:val="4DB81F38"/>
    <w:rsid w:val="4DD15AB5"/>
    <w:rsid w:val="4DE92DD7"/>
    <w:rsid w:val="4DFE7BC4"/>
    <w:rsid w:val="4E0062C6"/>
    <w:rsid w:val="4E0D5475"/>
    <w:rsid w:val="4E6B6CEB"/>
    <w:rsid w:val="4EAD5D22"/>
    <w:rsid w:val="4F7714C8"/>
    <w:rsid w:val="4F7B6890"/>
    <w:rsid w:val="4F8D5360"/>
    <w:rsid w:val="4F943D9F"/>
    <w:rsid w:val="4FA265C1"/>
    <w:rsid w:val="4FAF2ACB"/>
    <w:rsid w:val="4FB17D65"/>
    <w:rsid w:val="4FB216F8"/>
    <w:rsid w:val="4FF14958"/>
    <w:rsid w:val="503B5A8A"/>
    <w:rsid w:val="505852F6"/>
    <w:rsid w:val="507E72C1"/>
    <w:rsid w:val="508235A6"/>
    <w:rsid w:val="50BB3ACD"/>
    <w:rsid w:val="50DE33C7"/>
    <w:rsid w:val="51162C16"/>
    <w:rsid w:val="51264CC2"/>
    <w:rsid w:val="512F6EC2"/>
    <w:rsid w:val="513242BC"/>
    <w:rsid w:val="513403C7"/>
    <w:rsid w:val="515C01B0"/>
    <w:rsid w:val="518B38CB"/>
    <w:rsid w:val="518B4FD1"/>
    <w:rsid w:val="51E145FD"/>
    <w:rsid w:val="51E51CC3"/>
    <w:rsid w:val="522775F4"/>
    <w:rsid w:val="52350240"/>
    <w:rsid w:val="52670AC3"/>
    <w:rsid w:val="529A77A5"/>
    <w:rsid w:val="5328717E"/>
    <w:rsid w:val="53396CC8"/>
    <w:rsid w:val="53523F58"/>
    <w:rsid w:val="536C4A8A"/>
    <w:rsid w:val="53ED6794"/>
    <w:rsid w:val="542657F3"/>
    <w:rsid w:val="542A50A2"/>
    <w:rsid w:val="542D5399"/>
    <w:rsid w:val="543E14AB"/>
    <w:rsid w:val="54DD2BD3"/>
    <w:rsid w:val="553E317D"/>
    <w:rsid w:val="554D2C1E"/>
    <w:rsid w:val="556D7264"/>
    <w:rsid w:val="559230BD"/>
    <w:rsid w:val="55E907A3"/>
    <w:rsid w:val="55E92CB5"/>
    <w:rsid w:val="56325307"/>
    <w:rsid w:val="5659474A"/>
    <w:rsid w:val="56732B47"/>
    <w:rsid w:val="56BB705A"/>
    <w:rsid w:val="570F5D54"/>
    <w:rsid w:val="5733660F"/>
    <w:rsid w:val="573834F1"/>
    <w:rsid w:val="57463334"/>
    <w:rsid w:val="574B6739"/>
    <w:rsid w:val="574D21DE"/>
    <w:rsid w:val="575A4891"/>
    <w:rsid w:val="578B6597"/>
    <w:rsid w:val="57942C39"/>
    <w:rsid w:val="57A13BBC"/>
    <w:rsid w:val="57C82901"/>
    <w:rsid w:val="57EB2081"/>
    <w:rsid w:val="583F04BE"/>
    <w:rsid w:val="5845276D"/>
    <w:rsid w:val="58BD4EAA"/>
    <w:rsid w:val="58C534B8"/>
    <w:rsid w:val="58DA20C8"/>
    <w:rsid w:val="58FE6BB9"/>
    <w:rsid w:val="592521E5"/>
    <w:rsid w:val="592E0C31"/>
    <w:rsid w:val="5930567C"/>
    <w:rsid w:val="593259F3"/>
    <w:rsid w:val="594531C0"/>
    <w:rsid w:val="59B64E5B"/>
    <w:rsid w:val="59C41AA5"/>
    <w:rsid w:val="59EB4793"/>
    <w:rsid w:val="5A196198"/>
    <w:rsid w:val="5A36290A"/>
    <w:rsid w:val="5A4F2439"/>
    <w:rsid w:val="5AC454CC"/>
    <w:rsid w:val="5B004781"/>
    <w:rsid w:val="5B416702"/>
    <w:rsid w:val="5B510FBA"/>
    <w:rsid w:val="5B5E370D"/>
    <w:rsid w:val="5B713427"/>
    <w:rsid w:val="5B8152A6"/>
    <w:rsid w:val="5B964C3B"/>
    <w:rsid w:val="5BF847A4"/>
    <w:rsid w:val="5C1F20CC"/>
    <w:rsid w:val="5C4F430C"/>
    <w:rsid w:val="5C514191"/>
    <w:rsid w:val="5C8B0489"/>
    <w:rsid w:val="5D3038FF"/>
    <w:rsid w:val="5D9B5BF8"/>
    <w:rsid w:val="5DCB432F"/>
    <w:rsid w:val="5DD6127D"/>
    <w:rsid w:val="5DD956B5"/>
    <w:rsid w:val="5DE04163"/>
    <w:rsid w:val="5DEC7C19"/>
    <w:rsid w:val="5DFC0EB0"/>
    <w:rsid w:val="5E086E60"/>
    <w:rsid w:val="5E104167"/>
    <w:rsid w:val="5E5B4B1E"/>
    <w:rsid w:val="5E806603"/>
    <w:rsid w:val="5EDC2437"/>
    <w:rsid w:val="5F042824"/>
    <w:rsid w:val="5F0D17C2"/>
    <w:rsid w:val="5F3C0936"/>
    <w:rsid w:val="5F5A2BA2"/>
    <w:rsid w:val="5F683B20"/>
    <w:rsid w:val="5F6A1B70"/>
    <w:rsid w:val="5F715923"/>
    <w:rsid w:val="5F74528F"/>
    <w:rsid w:val="5F7455D6"/>
    <w:rsid w:val="5F905960"/>
    <w:rsid w:val="5FAD0C82"/>
    <w:rsid w:val="600E16AB"/>
    <w:rsid w:val="603C6B90"/>
    <w:rsid w:val="608B4D11"/>
    <w:rsid w:val="60B146AA"/>
    <w:rsid w:val="60E930B4"/>
    <w:rsid w:val="61034DA8"/>
    <w:rsid w:val="612D5C44"/>
    <w:rsid w:val="61391E0A"/>
    <w:rsid w:val="61667B17"/>
    <w:rsid w:val="61716ECA"/>
    <w:rsid w:val="61A00D6C"/>
    <w:rsid w:val="61EC3C39"/>
    <w:rsid w:val="62093EA3"/>
    <w:rsid w:val="620B0745"/>
    <w:rsid w:val="6214098F"/>
    <w:rsid w:val="6229181C"/>
    <w:rsid w:val="62293292"/>
    <w:rsid w:val="624E0DE1"/>
    <w:rsid w:val="625B2CD4"/>
    <w:rsid w:val="62772330"/>
    <w:rsid w:val="629851A9"/>
    <w:rsid w:val="62B657FF"/>
    <w:rsid w:val="62C03657"/>
    <w:rsid w:val="62F96812"/>
    <w:rsid w:val="63412459"/>
    <w:rsid w:val="634B6B7B"/>
    <w:rsid w:val="635348B6"/>
    <w:rsid w:val="63733E6F"/>
    <w:rsid w:val="63E76134"/>
    <w:rsid w:val="64383FFB"/>
    <w:rsid w:val="6457654C"/>
    <w:rsid w:val="64834708"/>
    <w:rsid w:val="64AC0A38"/>
    <w:rsid w:val="64D43A06"/>
    <w:rsid w:val="64D45316"/>
    <w:rsid w:val="651A5C4B"/>
    <w:rsid w:val="653116C9"/>
    <w:rsid w:val="653A164C"/>
    <w:rsid w:val="65B31BCC"/>
    <w:rsid w:val="65B87A10"/>
    <w:rsid w:val="65D35C16"/>
    <w:rsid w:val="6606215B"/>
    <w:rsid w:val="663337E4"/>
    <w:rsid w:val="66374A14"/>
    <w:rsid w:val="666879C6"/>
    <w:rsid w:val="66EA1E3B"/>
    <w:rsid w:val="670230DF"/>
    <w:rsid w:val="671B3499"/>
    <w:rsid w:val="671F48AF"/>
    <w:rsid w:val="6774663E"/>
    <w:rsid w:val="67956067"/>
    <w:rsid w:val="67B71CB2"/>
    <w:rsid w:val="68031777"/>
    <w:rsid w:val="68353249"/>
    <w:rsid w:val="684A06CB"/>
    <w:rsid w:val="685272E2"/>
    <w:rsid w:val="68675050"/>
    <w:rsid w:val="6876522E"/>
    <w:rsid w:val="68767A40"/>
    <w:rsid w:val="68A235FA"/>
    <w:rsid w:val="68B03C37"/>
    <w:rsid w:val="68C11D22"/>
    <w:rsid w:val="68C1269E"/>
    <w:rsid w:val="68D575AA"/>
    <w:rsid w:val="68EB7C0C"/>
    <w:rsid w:val="68F0116E"/>
    <w:rsid w:val="68F73295"/>
    <w:rsid w:val="69085BD7"/>
    <w:rsid w:val="69154FCB"/>
    <w:rsid w:val="69680059"/>
    <w:rsid w:val="699879F8"/>
    <w:rsid w:val="69B456CB"/>
    <w:rsid w:val="69B92963"/>
    <w:rsid w:val="6A052704"/>
    <w:rsid w:val="6A544FCD"/>
    <w:rsid w:val="6AC26EA2"/>
    <w:rsid w:val="6AC44695"/>
    <w:rsid w:val="6B477EF6"/>
    <w:rsid w:val="6B513865"/>
    <w:rsid w:val="6B9A256C"/>
    <w:rsid w:val="6BA373FF"/>
    <w:rsid w:val="6BEB1E5F"/>
    <w:rsid w:val="6BFC109F"/>
    <w:rsid w:val="6C17574D"/>
    <w:rsid w:val="6C4957FC"/>
    <w:rsid w:val="6C53730E"/>
    <w:rsid w:val="6C5534FB"/>
    <w:rsid w:val="6C61176F"/>
    <w:rsid w:val="6C666306"/>
    <w:rsid w:val="6CCD3B26"/>
    <w:rsid w:val="6D16024D"/>
    <w:rsid w:val="6D365754"/>
    <w:rsid w:val="6D387925"/>
    <w:rsid w:val="6D3E0CE6"/>
    <w:rsid w:val="6D6654AD"/>
    <w:rsid w:val="6D6E3F95"/>
    <w:rsid w:val="6DB151E2"/>
    <w:rsid w:val="6DBF39F3"/>
    <w:rsid w:val="6DC0644E"/>
    <w:rsid w:val="6E137528"/>
    <w:rsid w:val="6E185854"/>
    <w:rsid w:val="6E80463B"/>
    <w:rsid w:val="6E895A0C"/>
    <w:rsid w:val="6EC56FAA"/>
    <w:rsid w:val="6F22793F"/>
    <w:rsid w:val="6F3D6F83"/>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612BC7"/>
    <w:rsid w:val="7299264D"/>
    <w:rsid w:val="72BA2638"/>
    <w:rsid w:val="72E24278"/>
    <w:rsid w:val="72F247EE"/>
    <w:rsid w:val="73046E24"/>
    <w:rsid w:val="73117CBC"/>
    <w:rsid w:val="731D3DC6"/>
    <w:rsid w:val="73202BD3"/>
    <w:rsid w:val="73785811"/>
    <w:rsid w:val="73843B37"/>
    <w:rsid w:val="73AA2AB8"/>
    <w:rsid w:val="73D8014A"/>
    <w:rsid w:val="73F076FD"/>
    <w:rsid w:val="7448595E"/>
    <w:rsid w:val="74490D87"/>
    <w:rsid w:val="746E1E39"/>
    <w:rsid w:val="74A25915"/>
    <w:rsid w:val="74B1011E"/>
    <w:rsid w:val="74D0444D"/>
    <w:rsid w:val="750000AA"/>
    <w:rsid w:val="750A7ABF"/>
    <w:rsid w:val="75420196"/>
    <w:rsid w:val="754931B4"/>
    <w:rsid w:val="75706FDE"/>
    <w:rsid w:val="759077E6"/>
    <w:rsid w:val="75940C8C"/>
    <w:rsid w:val="75BB2BFD"/>
    <w:rsid w:val="75C624A0"/>
    <w:rsid w:val="75C940ED"/>
    <w:rsid w:val="75CE763E"/>
    <w:rsid w:val="765748C8"/>
    <w:rsid w:val="76AC7129"/>
    <w:rsid w:val="76D15FF3"/>
    <w:rsid w:val="773C2D8E"/>
    <w:rsid w:val="77550A67"/>
    <w:rsid w:val="77B83BB6"/>
    <w:rsid w:val="77BA2D12"/>
    <w:rsid w:val="7856695F"/>
    <w:rsid w:val="7866427B"/>
    <w:rsid w:val="78E84852"/>
    <w:rsid w:val="78F732D8"/>
    <w:rsid w:val="790F1791"/>
    <w:rsid w:val="791F3849"/>
    <w:rsid w:val="79701BCE"/>
    <w:rsid w:val="797350BA"/>
    <w:rsid w:val="79775EC9"/>
    <w:rsid w:val="79D00415"/>
    <w:rsid w:val="79EE2754"/>
    <w:rsid w:val="7A1A7F37"/>
    <w:rsid w:val="7A1C7B11"/>
    <w:rsid w:val="7A37206F"/>
    <w:rsid w:val="7A6466F3"/>
    <w:rsid w:val="7A741385"/>
    <w:rsid w:val="7A774A92"/>
    <w:rsid w:val="7A7E5483"/>
    <w:rsid w:val="7AAF231C"/>
    <w:rsid w:val="7ABD1167"/>
    <w:rsid w:val="7AC84743"/>
    <w:rsid w:val="7AEC20F3"/>
    <w:rsid w:val="7B2F1AD6"/>
    <w:rsid w:val="7B7027FC"/>
    <w:rsid w:val="7B740622"/>
    <w:rsid w:val="7B7848C7"/>
    <w:rsid w:val="7B8D786E"/>
    <w:rsid w:val="7B994BC5"/>
    <w:rsid w:val="7BA850D6"/>
    <w:rsid w:val="7BDC7402"/>
    <w:rsid w:val="7BE145C1"/>
    <w:rsid w:val="7C124642"/>
    <w:rsid w:val="7C152DD9"/>
    <w:rsid w:val="7C520931"/>
    <w:rsid w:val="7CD535CF"/>
    <w:rsid w:val="7D3032A4"/>
    <w:rsid w:val="7D34076E"/>
    <w:rsid w:val="7D350A55"/>
    <w:rsid w:val="7D4C75A5"/>
    <w:rsid w:val="7D4D1625"/>
    <w:rsid w:val="7D53381A"/>
    <w:rsid w:val="7D624404"/>
    <w:rsid w:val="7DD1184B"/>
    <w:rsid w:val="7DF25444"/>
    <w:rsid w:val="7DF27933"/>
    <w:rsid w:val="7E1A21B9"/>
    <w:rsid w:val="7E267F07"/>
    <w:rsid w:val="7E271A86"/>
    <w:rsid w:val="7E2C708B"/>
    <w:rsid w:val="7E4507BC"/>
    <w:rsid w:val="7E6B4778"/>
    <w:rsid w:val="7E9B2B28"/>
    <w:rsid w:val="7EB910BD"/>
    <w:rsid w:val="7EC126C1"/>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spacing w:line="360" w:lineRule="auto"/>
      <w:jc w:val="left"/>
      <w:outlineLvl w:val="1"/>
    </w:pPr>
    <w:rPr>
      <w:rFonts w:ascii="Times New Roman" w:hAnsi="Times New Roman" w:eastAsia="宋体" w:cs="Times New Roman"/>
      <w:color w:val="000000" w:themeColor="text1"/>
      <w:sz w:val="24"/>
      <w:szCs w:val="24"/>
      <w14:textFill>
        <w14:solidFill>
          <w14:schemeClr w14:val="tx1"/>
        </w14:solidFill>
      </w14:textFill>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unhideWhenUsed/>
    <w:qFormat/>
    <w:uiPriority w:val="0"/>
  </w:style>
  <w:style w:type="character" w:styleId="13">
    <w:name w:val="FollowedHyperlink"/>
    <w:basedOn w:val="10"/>
    <w:unhideWhenUsed/>
    <w:qFormat/>
    <w:uiPriority w:val="0"/>
    <w:rPr>
      <w:color w:val="0091F2"/>
      <w:sz w:val="18"/>
      <w:szCs w:val="18"/>
      <w:u w:val="none"/>
    </w:rPr>
  </w:style>
  <w:style w:type="character" w:styleId="14">
    <w:name w:val="Hyperlink"/>
    <w:basedOn w:val="10"/>
    <w:unhideWhenUsed/>
    <w:qFormat/>
    <w:uiPriority w:val="0"/>
    <w:rPr>
      <w:color w:val="0091F2"/>
      <w:sz w:val="18"/>
      <w:szCs w:val="18"/>
      <w:u w:val="none"/>
    </w:rPr>
  </w:style>
  <w:style w:type="character" w:styleId="15">
    <w:name w:val="HTML Code"/>
    <w:basedOn w:val="10"/>
    <w:unhideWhenUsed/>
    <w:qFormat/>
    <w:uiPriority w:val="0"/>
    <w:rPr>
      <w:rFonts w:ascii="Courier New" w:hAnsi="Courier New"/>
      <w:sz w:val="20"/>
    </w:rPr>
  </w:style>
  <w:style w:type="paragraph" w:customStyle="1" w:styleId="16">
    <w:name w:val="列表段落1"/>
    <w:basedOn w:val="1"/>
    <w:qFormat/>
    <w:uiPriority w:val="34"/>
    <w:pPr>
      <w:spacing w:before="206"/>
      <w:ind w:left="959" w:hanging="361"/>
    </w:pPr>
  </w:style>
  <w:style w:type="character" w:customStyle="1" w:styleId="17">
    <w:name w:val="cd_message"/>
    <w:basedOn w:val="10"/>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Char"/>
    <w:basedOn w:val="10"/>
    <w:link w:val="7"/>
    <w:qFormat/>
    <w:uiPriority w:val="0"/>
    <w:rPr>
      <w:kern w:val="2"/>
      <w:sz w:val="18"/>
      <w:szCs w:val="18"/>
    </w:rPr>
  </w:style>
  <w:style w:type="character" w:customStyle="1" w:styleId="21">
    <w:name w:val="common_over_page_btn1"/>
    <w:basedOn w:val="10"/>
    <w:qFormat/>
    <w:uiPriority w:val="0"/>
  </w:style>
  <w:style w:type="character" w:customStyle="1" w:styleId="22">
    <w:name w:val="common_over_page_btn2"/>
    <w:basedOn w:val="10"/>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customStyle="1" w:styleId="24">
    <w:name w:val="List Paragraph"/>
    <w:basedOn w:val="1"/>
    <w:qFormat/>
    <w:uiPriority w:val="34"/>
    <w:pPr>
      <w:ind w:firstLine="420" w:firstLineChars="200"/>
    </w:p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10033</Words>
  <Characters>10614</Characters>
  <Lines>36</Lines>
  <Paragraphs>10</Paragraphs>
  <TotalTime>32</TotalTime>
  <ScaleCrop>false</ScaleCrop>
  <LinksUpToDate>false</LinksUpToDate>
  <CharactersWithSpaces>11228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2024-09-20T09:16:31Z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3F9CBE7633D24E74BB6DB2A208306962_13</vt:lpwstr>
  </property>
</Properties>
</file>