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8353">
      <w:pPr>
        <w:jc w:val="center"/>
        <w:rPr>
          <w:rFonts w:ascii="楷体" w:hAnsi="楷体" w:eastAsia="楷体" w:cs="宋体"/>
          <w:b/>
          <w:kern w:val="0"/>
          <w:sz w:val="48"/>
          <w:szCs w:val="48"/>
        </w:rPr>
      </w:pPr>
    </w:p>
    <w:p w14:paraId="7625E33C">
      <w:pPr>
        <w:jc w:val="center"/>
        <w:rPr>
          <w:rFonts w:ascii="楷体" w:hAnsi="楷体" w:eastAsia="楷体" w:cs="宋体"/>
          <w:b/>
          <w:kern w:val="0"/>
          <w:sz w:val="48"/>
          <w:szCs w:val="48"/>
        </w:rPr>
      </w:pPr>
    </w:p>
    <w:p w14:paraId="268B7E11">
      <w:pPr>
        <w:jc w:val="center"/>
        <w:rPr>
          <w:rFonts w:ascii="楷体" w:hAnsi="楷体" w:eastAsia="楷体" w:cs="宋体"/>
          <w:b/>
          <w:kern w:val="0"/>
          <w:sz w:val="48"/>
          <w:szCs w:val="48"/>
        </w:rPr>
      </w:pPr>
    </w:p>
    <w:p w14:paraId="50702306">
      <w:pPr>
        <w:jc w:val="center"/>
        <w:rPr>
          <w:rFonts w:ascii="楷体" w:hAnsi="楷体" w:eastAsia="楷体" w:cs="宋体"/>
          <w:b/>
          <w:kern w:val="0"/>
          <w:sz w:val="48"/>
          <w:szCs w:val="48"/>
        </w:rPr>
      </w:pPr>
    </w:p>
    <w:p w14:paraId="78FC76A4">
      <w:pPr>
        <w:jc w:val="center"/>
        <w:rPr>
          <w:rFonts w:ascii="Times New Roman" w:hAnsi="Times New Roman" w:eastAsia="宋体" w:cs="宋体"/>
          <w:b/>
          <w:kern w:val="0"/>
          <w:sz w:val="48"/>
          <w:szCs w:val="48"/>
        </w:rPr>
      </w:pPr>
      <w:r>
        <w:rPr>
          <w:rFonts w:hint="eastAsia" w:ascii="Times New Roman" w:hAnsi="楷体" w:eastAsia="宋体" w:cs="宋体"/>
          <w:b/>
          <w:kern w:val="0"/>
          <w:sz w:val="48"/>
          <w:szCs w:val="48"/>
        </w:rPr>
        <w:t>福建福海创石油化工有限公司</w:t>
      </w:r>
    </w:p>
    <w:p w14:paraId="08606D23">
      <w:pPr>
        <w:pStyle w:val="19"/>
        <w:spacing w:line="360" w:lineRule="auto"/>
        <w:jc w:val="center"/>
        <w:rPr>
          <w:rFonts w:ascii="Times New Roman" w:eastAsia="宋体" w:cs="宋体"/>
          <w:b/>
          <w:bCs/>
          <w:sz w:val="44"/>
          <w:szCs w:val="44"/>
        </w:rPr>
      </w:pPr>
    </w:p>
    <w:p w14:paraId="76479F6B">
      <w:pPr>
        <w:pStyle w:val="19"/>
        <w:spacing w:line="360" w:lineRule="auto"/>
        <w:jc w:val="center"/>
        <w:rPr>
          <w:rFonts w:ascii="Times New Roman" w:eastAsia="宋体" w:cs="宋体"/>
          <w:b/>
          <w:bCs/>
          <w:sz w:val="44"/>
          <w:szCs w:val="44"/>
        </w:rPr>
      </w:pPr>
    </w:p>
    <w:p w14:paraId="34BBC58E">
      <w:pPr>
        <w:pStyle w:val="19"/>
        <w:spacing w:line="360" w:lineRule="auto"/>
        <w:jc w:val="center"/>
        <w:rPr>
          <w:rFonts w:ascii="宋体" w:hAnsi="宋体" w:eastAsia="宋体" w:cs="宋体"/>
          <w:b/>
          <w:bCs/>
          <w:sz w:val="48"/>
          <w:szCs w:val="48"/>
        </w:rPr>
      </w:pPr>
      <w:r>
        <w:rPr>
          <w:rFonts w:ascii="宋体" w:hAnsi="宋体" w:eastAsia="宋体" w:cs="宋体"/>
          <w:b/>
          <w:bCs/>
          <w:sz w:val="48"/>
          <w:szCs w:val="48"/>
        </w:rPr>
        <w:t>PTA</w:t>
      </w:r>
      <w:r>
        <w:rPr>
          <w:rFonts w:hint="eastAsia" w:ascii="宋体" w:hAnsi="宋体" w:eastAsia="宋体" w:cs="宋体"/>
          <w:b/>
          <w:bCs/>
          <w:sz w:val="48"/>
          <w:szCs w:val="48"/>
        </w:rPr>
        <w:t>装置废热锅炉水处理药剂</w:t>
      </w:r>
    </w:p>
    <w:p w14:paraId="2296B1D4">
      <w:pPr>
        <w:pStyle w:val="19"/>
        <w:spacing w:line="360" w:lineRule="auto"/>
        <w:jc w:val="center"/>
        <w:rPr>
          <w:rFonts w:ascii="Times New Roman" w:eastAsia="宋体" w:cs="宋体"/>
          <w:b/>
          <w:bCs/>
          <w:sz w:val="48"/>
          <w:szCs w:val="48"/>
        </w:rPr>
      </w:pPr>
      <w:r>
        <w:rPr>
          <w:rFonts w:hint="eastAsia" w:ascii="Times New Roman" w:hAnsi="宋体" w:eastAsia="宋体" w:cs="宋体"/>
          <w:b/>
          <w:bCs/>
          <w:sz w:val="48"/>
          <w:szCs w:val="48"/>
        </w:rPr>
        <w:t>技术要求</w:t>
      </w:r>
    </w:p>
    <w:p w14:paraId="0A30D24F">
      <w:pPr>
        <w:pStyle w:val="19"/>
        <w:spacing w:line="360" w:lineRule="auto"/>
        <w:jc w:val="center"/>
        <w:rPr>
          <w:rFonts w:ascii="Times New Roman" w:eastAsia="宋体" w:cs="宋体"/>
          <w:b/>
          <w:bCs/>
          <w:sz w:val="44"/>
          <w:szCs w:val="44"/>
        </w:rPr>
      </w:pPr>
    </w:p>
    <w:p w14:paraId="0E00CE55">
      <w:pPr>
        <w:pStyle w:val="19"/>
        <w:spacing w:line="360" w:lineRule="auto"/>
        <w:jc w:val="center"/>
        <w:rPr>
          <w:rFonts w:ascii="Times New Roman" w:eastAsia="宋体"/>
          <w:snapToGrid w:val="0"/>
          <w:color w:val="auto"/>
          <w:sz w:val="44"/>
          <w:szCs w:val="44"/>
        </w:rPr>
      </w:pPr>
    </w:p>
    <w:p w14:paraId="4FF85E1B">
      <w:pPr>
        <w:pStyle w:val="19"/>
        <w:spacing w:line="360" w:lineRule="auto"/>
        <w:jc w:val="center"/>
        <w:rPr>
          <w:rFonts w:ascii="Times New Roman" w:eastAsia="宋体"/>
          <w:snapToGrid w:val="0"/>
          <w:color w:val="auto"/>
          <w:sz w:val="44"/>
          <w:szCs w:val="44"/>
        </w:rPr>
      </w:pPr>
    </w:p>
    <w:p w14:paraId="063F19BD">
      <w:pPr>
        <w:spacing w:line="360" w:lineRule="auto"/>
        <w:ind w:firstLine="1355" w:firstLineChars="450"/>
        <w:jc w:val="left"/>
        <w:rPr>
          <w:rFonts w:ascii="Times New Roman" w:hAnsi="Times New Roman" w:eastAsia="宋体"/>
          <w:b/>
          <w:sz w:val="32"/>
          <w:szCs w:val="32"/>
          <w:u w:val="single"/>
        </w:rPr>
      </w:pPr>
      <w:r>
        <w:rPr>
          <w:rFonts w:hint="eastAsia" w:ascii="Times New Roman" w:hAnsi="楷体" w:eastAsia="宋体" w:cs="宋体"/>
          <w:b/>
          <w:sz w:val="30"/>
          <w:szCs w:val="30"/>
        </w:rPr>
        <w:t xml:space="preserve"> </w:t>
      </w:r>
      <w:r>
        <w:rPr>
          <w:rFonts w:ascii="Times New Roman" w:hAnsi="楷体" w:eastAsia="宋体" w:cs="宋体"/>
          <w:b/>
          <w:sz w:val="30"/>
          <w:szCs w:val="30"/>
        </w:rPr>
        <w:t xml:space="preserve"> </w:t>
      </w:r>
    </w:p>
    <w:p w14:paraId="3DCB18AA">
      <w:pPr>
        <w:rPr>
          <w:rFonts w:ascii="Times New Roman" w:hAnsi="Times New Roman" w:eastAsia="宋体"/>
          <w:b/>
          <w:sz w:val="32"/>
          <w:szCs w:val="32"/>
          <w:u w:val="single"/>
        </w:rPr>
      </w:pPr>
    </w:p>
    <w:p w14:paraId="337E03A8">
      <w:pPr>
        <w:rPr>
          <w:rFonts w:ascii="Times New Roman" w:hAnsi="Times New Roman" w:eastAsia="宋体"/>
          <w:b/>
          <w:sz w:val="32"/>
          <w:szCs w:val="32"/>
          <w:u w:val="single"/>
        </w:rPr>
      </w:pPr>
    </w:p>
    <w:p w14:paraId="045F0BF7">
      <w:pPr>
        <w:jc w:val="center"/>
        <w:rPr>
          <w:rFonts w:asciiTheme="minorEastAsia" w:hAnsiTheme="minorEastAsia"/>
          <w:b/>
          <w:sz w:val="44"/>
          <w:szCs w:val="44"/>
        </w:rPr>
      </w:pPr>
      <w:r>
        <w:rPr>
          <w:rFonts w:asciiTheme="minorEastAsia" w:hAnsiTheme="minorEastAsia"/>
          <w:b/>
          <w:sz w:val="44"/>
          <w:szCs w:val="44"/>
        </w:rPr>
        <w:t>2024 年 0</w:t>
      </w:r>
      <w:r>
        <w:rPr>
          <w:rFonts w:hint="eastAsia" w:asciiTheme="minorEastAsia" w:hAnsiTheme="minorEastAsia"/>
          <w:b/>
          <w:sz w:val="44"/>
          <w:szCs w:val="44"/>
        </w:rPr>
        <w:t>8</w:t>
      </w:r>
      <w:r>
        <w:rPr>
          <w:rFonts w:asciiTheme="minorEastAsia" w:hAnsiTheme="minorEastAsia"/>
          <w:b/>
          <w:sz w:val="44"/>
          <w:szCs w:val="44"/>
        </w:rPr>
        <w:t xml:space="preserve"> 月 0</w:t>
      </w:r>
      <w:r>
        <w:rPr>
          <w:rFonts w:hint="eastAsia" w:asciiTheme="minorEastAsia" w:hAnsiTheme="minorEastAsia"/>
          <w:b/>
          <w:sz w:val="44"/>
          <w:szCs w:val="44"/>
        </w:rPr>
        <w:t>7</w:t>
      </w:r>
      <w:r>
        <w:rPr>
          <w:rFonts w:asciiTheme="minorEastAsia" w:hAnsiTheme="minorEastAsia"/>
          <w:b/>
          <w:sz w:val="44"/>
          <w:szCs w:val="44"/>
        </w:rPr>
        <w:t>日</w:t>
      </w:r>
    </w:p>
    <w:p w14:paraId="4D5AC498">
      <w:pPr>
        <w:jc w:val="center"/>
        <w:rPr>
          <w:rFonts w:asciiTheme="minorEastAsia" w:hAnsiTheme="minorEastAsia"/>
          <w:b/>
          <w:sz w:val="44"/>
          <w:szCs w:val="44"/>
        </w:rPr>
      </w:pPr>
    </w:p>
    <w:p w14:paraId="1E8A11E2">
      <w:pPr>
        <w:rPr>
          <w:rFonts w:asciiTheme="minorEastAsia" w:hAnsiTheme="minorEastAsia"/>
          <w:b/>
          <w:sz w:val="44"/>
          <w:szCs w:val="44"/>
        </w:rPr>
        <w:sectPr>
          <w:headerReference r:id="rId7" w:type="first"/>
          <w:footerReference r:id="rId9" w:type="first"/>
          <w:headerReference r:id="rId5" w:type="default"/>
          <w:footerReference r:id="rId8" w:type="default"/>
          <w:headerReference r:id="rId6" w:type="even"/>
          <w:pgSz w:w="11906" w:h="16838"/>
          <w:pgMar w:top="1440" w:right="1800" w:bottom="1440" w:left="1800" w:header="851" w:footer="992" w:gutter="0"/>
          <w:cols w:space="425" w:num="1"/>
          <w:titlePg/>
          <w:docGrid w:type="lines" w:linePitch="312" w:charSpace="0"/>
        </w:sectPr>
      </w:pPr>
    </w:p>
    <w:sdt>
      <w:sdtPr>
        <w:rPr>
          <w:rFonts w:ascii="宋体" w:hAnsi="宋体" w:eastAsia="宋体"/>
        </w:rPr>
        <w:id w:val="147482061"/>
        <w15:color w:val="DBDBDB"/>
        <w:docPartObj>
          <w:docPartGallery w:val="Table of Contents"/>
          <w:docPartUnique/>
        </w:docPartObj>
      </w:sdtPr>
      <w:sdtEndPr>
        <w:rPr>
          <w:rFonts w:ascii="宋体" w:hAnsi="宋体" w:eastAsia="宋体"/>
        </w:rPr>
      </w:sdtEndPr>
      <w:sdtContent>
        <w:p w14:paraId="39ED287F">
          <w:pPr>
            <w:jc w:val="center"/>
            <w:rPr>
              <w:rFonts w:ascii="宋体" w:hAnsi="宋体" w:eastAsia="宋体" w:cs="宋体"/>
              <w:sz w:val="30"/>
              <w:szCs w:val="30"/>
            </w:rPr>
          </w:pPr>
          <w:r>
            <w:rPr>
              <w:rFonts w:hint="eastAsia" w:ascii="宋体" w:hAnsi="宋体" w:eastAsia="宋体" w:cs="宋体"/>
              <w:sz w:val="44"/>
              <w:szCs w:val="44"/>
            </w:rPr>
            <w:t>目录</w:t>
          </w:r>
        </w:p>
        <w:p w14:paraId="795A3E1C">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_Toc19246 </w:instrText>
          </w:r>
          <w:r>
            <w:rPr>
              <w:rFonts w:hint="eastAsia" w:ascii="宋体" w:hAnsi="宋体" w:eastAsia="宋体" w:cs="宋体"/>
            </w:rPr>
            <w:fldChar w:fldCharType="separate"/>
          </w:r>
          <w:r>
            <w:rPr>
              <w:rFonts w:hint="eastAsia"/>
            </w:rPr>
            <w:t>一、 总则</w:t>
          </w:r>
          <w:r>
            <w:tab/>
          </w:r>
          <w:r>
            <w:fldChar w:fldCharType="begin"/>
          </w:r>
          <w:r>
            <w:instrText xml:space="preserve"> PAGEREF _Toc19246 \h </w:instrText>
          </w:r>
          <w:r>
            <w:fldChar w:fldCharType="separate"/>
          </w:r>
          <w:r>
            <w:t>1</w:t>
          </w:r>
          <w:r>
            <w:fldChar w:fldCharType="end"/>
          </w:r>
          <w:r>
            <w:rPr>
              <w:rFonts w:hint="eastAsia" w:ascii="宋体" w:hAnsi="宋体" w:eastAsia="宋体" w:cs="宋体"/>
            </w:rPr>
            <w:fldChar w:fldCharType="end"/>
          </w:r>
        </w:p>
        <w:p w14:paraId="64AF5B0A">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_Toc5107 </w:instrText>
          </w:r>
          <w:r>
            <w:rPr>
              <w:rFonts w:hint="eastAsia" w:ascii="宋体" w:hAnsi="宋体" w:eastAsia="宋体" w:cs="宋体"/>
            </w:rPr>
            <w:fldChar w:fldCharType="separate"/>
          </w:r>
          <w:r>
            <w:rPr>
              <w:rFonts w:hint="eastAsia"/>
            </w:rPr>
            <w:t>二、 供货方</w:t>
          </w:r>
          <w:r>
            <w:t>资质及业绩要求</w:t>
          </w:r>
          <w:r>
            <w:tab/>
          </w:r>
          <w:r>
            <w:fldChar w:fldCharType="begin"/>
          </w:r>
          <w:r>
            <w:instrText xml:space="preserve"> PAGEREF _Toc5107 \h </w:instrText>
          </w:r>
          <w:r>
            <w:fldChar w:fldCharType="separate"/>
          </w:r>
          <w:r>
            <w:t>1</w:t>
          </w:r>
          <w:r>
            <w:fldChar w:fldCharType="end"/>
          </w:r>
          <w:r>
            <w:rPr>
              <w:rFonts w:hint="eastAsia" w:ascii="宋体" w:hAnsi="宋体" w:eastAsia="宋体" w:cs="宋体"/>
            </w:rPr>
            <w:fldChar w:fldCharType="end"/>
          </w:r>
        </w:p>
        <w:p w14:paraId="11C97F9A">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_Toc28631 </w:instrText>
          </w:r>
          <w:r>
            <w:rPr>
              <w:rFonts w:hint="eastAsia" w:ascii="宋体" w:hAnsi="宋体" w:eastAsia="宋体" w:cs="宋体"/>
            </w:rPr>
            <w:fldChar w:fldCharType="separate"/>
          </w:r>
          <w:r>
            <w:rPr>
              <w:rFonts w:hint="eastAsia"/>
            </w:rPr>
            <w:t>三、 定义</w:t>
          </w:r>
          <w:r>
            <w:tab/>
          </w:r>
          <w:r>
            <w:fldChar w:fldCharType="begin"/>
          </w:r>
          <w:r>
            <w:instrText xml:space="preserve"> PAGEREF _Toc28631 \h </w:instrText>
          </w:r>
          <w:r>
            <w:fldChar w:fldCharType="separate"/>
          </w:r>
          <w:r>
            <w:t>1</w:t>
          </w:r>
          <w:r>
            <w:fldChar w:fldCharType="end"/>
          </w:r>
          <w:r>
            <w:rPr>
              <w:rFonts w:hint="eastAsia" w:ascii="宋体" w:hAnsi="宋体" w:eastAsia="宋体" w:cs="宋体"/>
            </w:rPr>
            <w:fldChar w:fldCharType="end"/>
          </w:r>
        </w:p>
        <w:p w14:paraId="6A61ECBD">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_Toc28486 </w:instrText>
          </w:r>
          <w:r>
            <w:rPr>
              <w:rFonts w:hint="eastAsia" w:ascii="宋体" w:hAnsi="宋体" w:eastAsia="宋体" w:cs="宋体"/>
            </w:rPr>
            <w:fldChar w:fldCharType="separate"/>
          </w:r>
          <w:r>
            <w:rPr>
              <w:rFonts w:hint="eastAsia"/>
            </w:rPr>
            <w:t>四、 采购需求</w:t>
          </w:r>
          <w:r>
            <w:tab/>
          </w:r>
          <w:r>
            <w:fldChar w:fldCharType="begin"/>
          </w:r>
          <w:r>
            <w:instrText xml:space="preserve"> PAGEREF _Toc28486 \h </w:instrText>
          </w:r>
          <w:r>
            <w:fldChar w:fldCharType="separate"/>
          </w:r>
          <w:r>
            <w:t>1</w:t>
          </w:r>
          <w:r>
            <w:fldChar w:fldCharType="end"/>
          </w:r>
          <w:r>
            <w:rPr>
              <w:rFonts w:hint="eastAsia" w:ascii="宋体" w:hAnsi="宋体" w:eastAsia="宋体" w:cs="宋体"/>
            </w:rPr>
            <w:fldChar w:fldCharType="end"/>
          </w:r>
        </w:p>
        <w:p w14:paraId="0B797A77">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_Toc22166 </w:instrText>
          </w:r>
          <w:r>
            <w:rPr>
              <w:rFonts w:hint="eastAsia" w:ascii="宋体" w:hAnsi="宋体" w:eastAsia="宋体" w:cs="宋体"/>
            </w:rPr>
            <w:fldChar w:fldCharType="separate"/>
          </w:r>
          <w:r>
            <w:rPr>
              <w:rFonts w:hint="eastAsia"/>
            </w:rPr>
            <w:t>五、 技术</w:t>
          </w:r>
          <w:r>
            <w:t>简介</w:t>
          </w:r>
          <w:r>
            <w:rPr>
              <w:rFonts w:hint="eastAsia"/>
            </w:rPr>
            <w:t>、</w:t>
          </w:r>
          <w:r>
            <w:t>原料</w:t>
          </w:r>
          <w:r>
            <w:rPr>
              <w:rFonts w:hint="eastAsia"/>
            </w:rPr>
            <w:t>及</w:t>
          </w:r>
          <w:r>
            <w:t>技术参数说明</w:t>
          </w:r>
          <w:r>
            <w:tab/>
          </w:r>
          <w:r>
            <w:fldChar w:fldCharType="begin"/>
          </w:r>
          <w:r>
            <w:instrText xml:space="preserve"> PAGEREF _Toc22166 \h </w:instrText>
          </w:r>
          <w:r>
            <w:fldChar w:fldCharType="separate"/>
          </w:r>
          <w:r>
            <w:t>2</w:t>
          </w:r>
          <w:r>
            <w:fldChar w:fldCharType="end"/>
          </w:r>
          <w:r>
            <w:rPr>
              <w:rFonts w:hint="eastAsia" w:ascii="宋体" w:hAnsi="宋体" w:eastAsia="宋体" w:cs="宋体"/>
            </w:rPr>
            <w:fldChar w:fldCharType="end"/>
          </w:r>
        </w:p>
        <w:p w14:paraId="2301FE1A">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_Toc21243 </w:instrText>
          </w:r>
          <w:r>
            <w:rPr>
              <w:rFonts w:hint="eastAsia" w:ascii="宋体" w:hAnsi="宋体" w:eastAsia="宋体" w:cs="宋体"/>
            </w:rPr>
            <w:fldChar w:fldCharType="separate"/>
          </w:r>
          <w:r>
            <w:rPr>
              <w:rFonts w:hint="eastAsia"/>
            </w:rPr>
            <w:t xml:space="preserve">六、 </w:t>
          </w:r>
          <w:r>
            <w:t>验收</w:t>
          </w:r>
          <w:r>
            <w:rPr>
              <w:rFonts w:hint="eastAsia"/>
            </w:rPr>
            <w:t>结算</w:t>
          </w:r>
          <w:r>
            <w:tab/>
          </w:r>
          <w:r>
            <w:fldChar w:fldCharType="begin"/>
          </w:r>
          <w:r>
            <w:instrText xml:space="preserve"> PAGEREF _Toc21243 \h </w:instrText>
          </w:r>
          <w:r>
            <w:fldChar w:fldCharType="separate"/>
          </w:r>
          <w:r>
            <w:t>3</w:t>
          </w:r>
          <w:r>
            <w:fldChar w:fldCharType="end"/>
          </w:r>
          <w:r>
            <w:rPr>
              <w:rFonts w:hint="eastAsia" w:ascii="宋体" w:hAnsi="宋体" w:eastAsia="宋体" w:cs="宋体"/>
            </w:rPr>
            <w:fldChar w:fldCharType="end"/>
          </w:r>
        </w:p>
        <w:p w14:paraId="6FD5E9CB">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_Toc23876 </w:instrText>
          </w:r>
          <w:r>
            <w:rPr>
              <w:rFonts w:hint="eastAsia" w:ascii="宋体" w:hAnsi="宋体" w:eastAsia="宋体" w:cs="宋体"/>
            </w:rPr>
            <w:fldChar w:fldCharType="separate"/>
          </w:r>
          <w:r>
            <w:rPr>
              <w:rFonts w:hint="eastAsia"/>
            </w:rPr>
            <w:t>七、 供货时间</w:t>
          </w:r>
          <w:r>
            <w:tab/>
          </w:r>
          <w:r>
            <w:fldChar w:fldCharType="begin"/>
          </w:r>
          <w:r>
            <w:instrText xml:space="preserve"> PAGEREF _Toc23876 \h </w:instrText>
          </w:r>
          <w:r>
            <w:fldChar w:fldCharType="separate"/>
          </w:r>
          <w:r>
            <w:t>5</w:t>
          </w:r>
          <w:r>
            <w:fldChar w:fldCharType="end"/>
          </w:r>
          <w:r>
            <w:rPr>
              <w:rFonts w:hint="eastAsia" w:ascii="宋体" w:hAnsi="宋体" w:eastAsia="宋体" w:cs="宋体"/>
            </w:rPr>
            <w:fldChar w:fldCharType="end"/>
          </w:r>
        </w:p>
        <w:p w14:paraId="60DC4790">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_Toc15538 </w:instrText>
          </w:r>
          <w:r>
            <w:rPr>
              <w:rFonts w:hint="eastAsia" w:ascii="宋体" w:hAnsi="宋体" w:eastAsia="宋体" w:cs="宋体"/>
            </w:rPr>
            <w:fldChar w:fldCharType="separate"/>
          </w:r>
          <w:r>
            <w:rPr>
              <w:rFonts w:hint="eastAsia"/>
            </w:rPr>
            <w:t>八、 包装</w:t>
          </w:r>
          <w:r>
            <w:t>及运输</w:t>
          </w:r>
          <w:r>
            <w:tab/>
          </w:r>
          <w:r>
            <w:fldChar w:fldCharType="begin"/>
          </w:r>
          <w:r>
            <w:instrText xml:space="preserve"> PAGEREF _Toc15538 \h </w:instrText>
          </w:r>
          <w:r>
            <w:fldChar w:fldCharType="separate"/>
          </w:r>
          <w:r>
            <w:t>5</w:t>
          </w:r>
          <w:r>
            <w:fldChar w:fldCharType="end"/>
          </w:r>
          <w:r>
            <w:rPr>
              <w:rFonts w:hint="eastAsia" w:ascii="宋体" w:hAnsi="宋体" w:eastAsia="宋体" w:cs="宋体"/>
            </w:rPr>
            <w:fldChar w:fldCharType="end"/>
          </w:r>
        </w:p>
        <w:p w14:paraId="23D21653">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_Toc28026 </w:instrText>
          </w:r>
          <w:r>
            <w:rPr>
              <w:rFonts w:hint="eastAsia" w:ascii="宋体" w:hAnsi="宋体" w:eastAsia="宋体" w:cs="宋体"/>
            </w:rPr>
            <w:fldChar w:fldCharType="separate"/>
          </w:r>
          <w:r>
            <w:rPr>
              <w:rFonts w:hint="eastAsia"/>
            </w:rPr>
            <w:t>九、 技术</w:t>
          </w:r>
          <w:r>
            <w:t>服务及售后</w:t>
          </w:r>
          <w:r>
            <w:tab/>
          </w:r>
          <w:r>
            <w:fldChar w:fldCharType="begin"/>
          </w:r>
          <w:r>
            <w:instrText xml:space="preserve"> PAGEREF _Toc28026 \h </w:instrText>
          </w:r>
          <w:r>
            <w:fldChar w:fldCharType="separate"/>
          </w:r>
          <w:r>
            <w:t>5</w:t>
          </w:r>
          <w:r>
            <w:fldChar w:fldCharType="end"/>
          </w:r>
          <w:r>
            <w:rPr>
              <w:rFonts w:hint="eastAsia" w:ascii="宋体" w:hAnsi="宋体" w:eastAsia="宋体" w:cs="宋体"/>
            </w:rPr>
            <w:fldChar w:fldCharType="end"/>
          </w:r>
        </w:p>
        <w:p w14:paraId="3A52A91E">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_Toc20505 </w:instrText>
          </w:r>
          <w:r>
            <w:rPr>
              <w:rFonts w:hint="eastAsia" w:ascii="宋体" w:hAnsi="宋体" w:eastAsia="宋体" w:cs="宋体"/>
            </w:rPr>
            <w:fldChar w:fldCharType="separate"/>
          </w:r>
          <w:r>
            <w:rPr>
              <w:rFonts w:hint="eastAsia"/>
            </w:rPr>
            <w:t>十、 双方</w:t>
          </w:r>
          <w:r>
            <w:t>责任</w:t>
          </w:r>
          <w:r>
            <w:tab/>
          </w:r>
          <w:r>
            <w:fldChar w:fldCharType="begin"/>
          </w:r>
          <w:r>
            <w:instrText xml:space="preserve"> PAGEREF _Toc20505 \h </w:instrText>
          </w:r>
          <w:r>
            <w:fldChar w:fldCharType="separate"/>
          </w:r>
          <w:r>
            <w:t>6</w:t>
          </w:r>
          <w:r>
            <w:fldChar w:fldCharType="end"/>
          </w:r>
          <w:r>
            <w:rPr>
              <w:rFonts w:hint="eastAsia" w:ascii="宋体" w:hAnsi="宋体" w:eastAsia="宋体" w:cs="宋体"/>
            </w:rPr>
            <w:fldChar w:fldCharType="end"/>
          </w:r>
        </w:p>
        <w:p w14:paraId="715C5864">
          <w:pPr>
            <w:pStyle w:val="10"/>
            <w:tabs>
              <w:tab w:val="right" w:leader="dot" w:pos="8306"/>
              <w:tab w:val="clear" w:pos="420"/>
              <w:tab w:val="clear" w:pos="8296"/>
            </w:tabs>
            <w:spacing w:line="540" w:lineRule="auto"/>
          </w:pPr>
          <w:r>
            <w:rPr>
              <w:rFonts w:hint="eastAsia" w:ascii="宋体" w:hAnsi="宋体" w:eastAsia="宋体" w:cs="宋体"/>
            </w:rPr>
            <w:fldChar w:fldCharType="begin"/>
          </w:r>
          <w:r>
            <w:rPr>
              <w:rFonts w:hint="eastAsia" w:ascii="宋体" w:hAnsi="宋体" w:eastAsia="宋体" w:cs="宋体"/>
            </w:rPr>
            <w:instrText xml:space="preserve"> HYPERLINK \l _Toc25286 </w:instrText>
          </w:r>
          <w:r>
            <w:rPr>
              <w:rFonts w:hint="eastAsia" w:ascii="宋体" w:hAnsi="宋体" w:eastAsia="宋体" w:cs="宋体"/>
            </w:rPr>
            <w:fldChar w:fldCharType="separate"/>
          </w:r>
          <w:r>
            <w:rPr>
              <w:rFonts w:hint="eastAsia"/>
            </w:rPr>
            <w:t>十一、 其他</w:t>
          </w:r>
          <w:r>
            <w:tab/>
          </w:r>
          <w:r>
            <w:fldChar w:fldCharType="begin"/>
          </w:r>
          <w:r>
            <w:instrText xml:space="preserve"> PAGEREF _Toc25286 \h </w:instrText>
          </w:r>
          <w:r>
            <w:fldChar w:fldCharType="separate"/>
          </w:r>
          <w:r>
            <w:t>8</w:t>
          </w:r>
          <w:r>
            <w:fldChar w:fldCharType="end"/>
          </w:r>
          <w:r>
            <w:rPr>
              <w:rFonts w:hint="eastAsia" w:ascii="宋体" w:hAnsi="宋体" w:eastAsia="宋体" w:cs="宋体"/>
            </w:rPr>
            <w:fldChar w:fldCharType="end"/>
          </w:r>
        </w:p>
        <w:p w14:paraId="186907EE">
          <w:pPr>
            <w:widowControl/>
            <w:spacing w:line="600" w:lineRule="auto"/>
            <w:sectPr>
              <w:footerReference r:id="rId11" w:type="first"/>
              <w:footerReference r:id="rId10"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rPr>
            <w:fldChar w:fldCharType="end"/>
          </w:r>
        </w:p>
      </w:sdtContent>
    </w:sdt>
    <w:p w14:paraId="032DF655"/>
    <w:p w14:paraId="154FC105">
      <w:pPr>
        <w:pStyle w:val="2"/>
        <w:numPr>
          <w:ilvl w:val="0"/>
          <w:numId w:val="3"/>
        </w:numPr>
        <w:ind w:firstLine="0"/>
      </w:pPr>
      <w:bookmarkStart w:id="0" w:name="_Toc23239"/>
      <w:bookmarkStart w:id="1" w:name="_Toc19246"/>
      <w:r>
        <w:rPr>
          <w:rFonts w:hint="eastAsia"/>
        </w:rPr>
        <w:t>总则</w:t>
      </w:r>
      <w:bookmarkEnd w:id="0"/>
      <w:bookmarkEnd w:id="1"/>
    </w:p>
    <w:p w14:paraId="2FACA1C1">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通过投加锅炉水处理药剂，抑制系统设备的腐蚀、结垢等问题，保证系统稳定运行。</w:t>
      </w:r>
    </w:p>
    <w:p w14:paraId="2B570F95">
      <w:pPr>
        <w:pStyle w:val="2"/>
        <w:numPr>
          <w:ilvl w:val="0"/>
          <w:numId w:val="3"/>
        </w:numPr>
        <w:ind w:firstLine="0"/>
      </w:pPr>
      <w:bookmarkStart w:id="2" w:name="_Toc19896"/>
      <w:bookmarkStart w:id="3" w:name="_Toc5107"/>
      <w:r>
        <w:rPr>
          <w:rFonts w:hint="eastAsia"/>
        </w:rPr>
        <w:t>供货方</w:t>
      </w:r>
      <w:r>
        <w:t>资质及业绩要求</w:t>
      </w:r>
      <w:bookmarkEnd w:id="2"/>
      <w:bookmarkEnd w:id="3"/>
    </w:p>
    <w:p w14:paraId="45FDA0B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2.1 通过质量管理体系ISO9001、环境管理体系ISO14001、职业健康安全管理体系的公司或企业。</w:t>
      </w:r>
    </w:p>
    <w:p w14:paraId="2E0C7C2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2.2 厂商近3年内须至少有一套PTA厂单系统蒸汽产量不低于500t/h的氧化装置副产蒸汽凝液系统水处理业绩，签约服务的厂家数量不少于3家，且业绩应为投标厂商单独处理完成的业绩，不接受“联合体”投标，禁止中标单位拆包、转包。</w:t>
      </w:r>
    </w:p>
    <w:p w14:paraId="3003C9E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2.3 因行业工艺和设备特点，锅炉水系统存在偶发醋酸、TA等事故隐患，厂商需对此类异常事故有必要的了解与协助应急处置能力，并配备有此经验的现场常驻技术人员。</w:t>
      </w:r>
    </w:p>
    <w:p w14:paraId="1C662FD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2.4 厂商无自身原因造成的不良服务记录和客户投诉。</w:t>
      </w:r>
    </w:p>
    <w:p w14:paraId="1745FB10">
      <w:pPr>
        <w:pStyle w:val="2"/>
        <w:numPr>
          <w:ilvl w:val="0"/>
          <w:numId w:val="3"/>
        </w:numPr>
        <w:ind w:firstLine="0"/>
      </w:pPr>
      <w:bookmarkStart w:id="4" w:name="_Toc28631"/>
      <w:bookmarkStart w:id="5" w:name="_Toc11972"/>
      <w:r>
        <w:rPr>
          <w:rFonts w:hint="eastAsia"/>
        </w:rPr>
        <w:t>定义</w:t>
      </w:r>
      <w:bookmarkEnd w:id="4"/>
      <w:bookmarkEnd w:id="5"/>
    </w:p>
    <w:p w14:paraId="72BD51E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3.1甲方</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福建福海创石油化工有限公司。</w:t>
      </w:r>
    </w:p>
    <w:p w14:paraId="63FB000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3.2乙方</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供货方。</w:t>
      </w:r>
    </w:p>
    <w:p w14:paraId="2F3BE322">
      <w:pPr>
        <w:pStyle w:val="2"/>
        <w:numPr>
          <w:ilvl w:val="0"/>
          <w:numId w:val="3"/>
        </w:numPr>
        <w:ind w:firstLine="0"/>
      </w:pPr>
      <w:bookmarkStart w:id="6" w:name="_Toc15349"/>
      <w:bookmarkStart w:id="7" w:name="_Toc28486"/>
      <w:r>
        <w:rPr>
          <w:rFonts w:hint="eastAsia"/>
        </w:rPr>
        <w:t>采购</w:t>
      </w:r>
      <w:bookmarkEnd w:id="6"/>
      <w:r>
        <w:rPr>
          <w:rFonts w:hint="eastAsia"/>
        </w:rPr>
        <w:t>需求</w:t>
      </w:r>
      <w:bookmarkEnd w:id="7"/>
    </w:p>
    <w:p w14:paraId="0CA55A7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.1采购需求：采用总包形式，乙方</w:t>
      </w:r>
      <w:r>
        <w:rPr>
          <w:rFonts w:hint="eastAsia" w:ascii="Times New Roman" w:hAnsi="Times New Roman" w:eastAsia="宋体" w:cs="Times New Roman"/>
          <w:sz w:val="24"/>
          <w:szCs w:val="24"/>
        </w:rPr>
        <w:t>为</w:t>
      </w:r>
      <w:r>
        <w:rPr>
          <w:rFonts w:ascii="Times New Roman" w:hAnsi="Times New Roman" w:eastAsia="宋体" w:cs="Times New Roman"/>
          <w:sz w:val="24"/>
          <w:szCs w:val="24"/>
        </w:rPr>
        <w:t>我司</w:t>
      </w:r>
      <w:r>
        <w:rPr>
          <w:rFonts w:hint="eastAsia" w:ascii="Times New Roman" w:hAnsi="Times New Roman" w:eastAsia="宋体" w:cs="Times New Roman"/>
          <w:sz w:val="24"/>
          <w:szCs w:val="24"/>
        </w:rPr>
        <w:t>PTA装置废热锅炉系统提供锅炉水处理药剂及技术服务，锅炉水处理结果需满足4</w:t>
      </w:r>
      <w:r>
        <w:rPr>
          <w:rFonts w:ascii="Times New Roman" w:hAnsi="Times New Roman" w:eastAsia="宋体" w:cs="Times New Roman"/>
          <w:sz w:val="24"/>
          <w:szCs w:val="24"/>
        </w:rPr>
        <w:t>.2产品质量指标要求。</w:t>
      </w:r>
      <w:r>
        <w:rPr>
          <w:rFonts w:hint="eastAsia" w:ascii="Times New Roman" w:hAnsi="Times New Roman" w:eastAsia="宋体" w:cs="Times New Roman"/>
          <w:sz w:val="24"/>
          <w:szCs w:val="24"/>
        </w:rPr>
        <w:t>合约期为：2024年11月18日至2026年11月17日，共计24个月</w:t>
      </w:r>
    </w:p>
    <w:p w14:paraId="402A9C2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2</w:t>
      </w:r>
      <w:r>
        <w:rPr>
          <w:rFonts w:hint="eastAsia" w:ascii="Times New Roman" w:hAnsi="Times New Roman" w:eastAsia="宋体" w:cs="Times New Roman"/>
          <w:sz w:val="24"/>
          <w:szCs w:val="24"/>
        </w:rPr>
        <w:t>产品质量指标</w:t>
      </w:r>
    </w:p>
    <w:p w14:paraId="3DB44DF1">
      <w:pPr>
        <w:pStyle w:val="27"/>
        <w:widowControl/>
        <w:ind w:left="720" w:firstLine="0" w:firstLineChars="0"/>
        <w:jc w:val="center"/>
        <w:rPr>
          <w:rFonts w:ascii="楷体" w:hAnsi="楷体" w:eastAsia="楷体" w:cs="楷体"/>
          <w:b/>
          <w:sz w:val="32"/>
          <w:szCs w:val="32"/>
        </w:rPr>
      </w:pPr>
      <w:r>
        <w:rPr>
          <w:rFonts w:hint="eastAsia" w:ascii="楷体" w:hAnsi="楷体" w:eastAsia="楷体" w:cs="楷体"/>
          <w:sz w:val="24"/>
          <w:szCs w:val="24"/>
        </w:rPr>
        <w:t>表1 废热锅炉水质指标要求</w:t>
      </w:r>
    </w:p>
    <w:tbl>
      <w:tblPr>
        <w:tblStyle w:val="13"/>
        <w:tblW w:w="5000" w:type="pct"/>
        <w:tblInd w:w="0" w:type="dxa"/>
        <w:tblLayout w:type="autofit"/>
        <w:tblCellMar>
          <w:top w:w="0" w:type="dxa"/>
          <w:left w:w="108" w:type="dxa"/>
          <w:bottom w:w="0" w:type="dxa"/>
          <w:right w:w="108" w:type="dxa"/>
        </w:tblCellMar>
      </w:tblPr>
      <w:tblGrid>
        <w:gridCol w:w="1006"/>
        <w:gridCol w:w="2260"/>
        <w:gridCol w:w="2238"/>
        <w:gridCol w:w="3018"/>
      </w:tblGrid>
      <w:tr w14:paraId="343A7B92">
        <w:tblPrEx>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491EF9F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内容</w:t>
            </w:r>
          </w:p>
        </w:tc>
        <w:tc>
          <w:tcPr>
            <w:tcW w:w="1326" w:type="pct"/>
            <w:tcBorders>
              <w:top w:val="single" w:color="auto" w:sz="4" w:space="0"/>
              <w:left w:val="nil"/>
              <w:bottom w:val="single" w:color="auto" w:sz="4" w:space="0"/>
              <w:right w:val="single" w:color="auto" w:sz="4" w:space="0"/>
            </w:tcBorders>
            <w:shd w:val="clear" w:color="auto" w:fill="auto"/>
            <w:vAlign w:val="center"/>
          </w:tcPr>
          <w:p w14:paraId="4468ED7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控制项目</w:t>
            </w:r>
          </w:p>
        </w:tc>
        <w:tc>
          <w:tcPr>
            <w:tcW w:w="1313" w:type="pct"/>
            <w:tcBorders>
              <w:top w:val="single" w:color="auto" w:sz="4" w:space="0"/>
              <w:left w:val="nil"/>
              <w:bottom w:val="single" w:color="auto" w:sz="4" w:space="0"/>
              <w:right w:val="single" w:color="auto" w:sz="4" w:space="0"/>
            </w:tcBorders>
            <w:shd w:val="clear" w:color="auto" w:fill="auto"/>
            <w:vAlign w:val="center"/>
          </w:tcPr>
          <w:p w14:paraId="086A116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单位</w:t>
            </w:r>
          </w:p>
        </w:tc>
        <w:tc>
          <w:tcPr>
            <w:tcW w:w="1771" w:type="pct"/>
            <w:tcBorders>
              <w:top w:val="single" w:color="auto" w:sz="4" w:space="0"/>
              <w:left w:val="nil"/>
              <w:bottom w:val="single" w:color="auto" w:sz="4" w:space="0"/>
              <w:right w:val="single" w:color="auto" w:sz="4" w:space="0"/>
            </w:tcBorders>
            <w:shd w:val="clear" w:color="auto" w:fill="auto"/>
            <w:vAlign w:val="center"/>
          </w:tcPr>
          <w:p w14:paraId="682A278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控制范围</w:t>
            </w:r>
          </w:p>
        </w:tc>
      </w:tr>
      <w:tr w14:paraId="1227525C">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42A3659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w:t>
            </w:r>
          </w:p>
        </w:tc>
        <w:tc>
          <w:tcPr>
            <w:tcW w:w="1326" w:type="pct"/>
            <w:tcBorders>
              <w:top w:val="nil"/>
              <w:left w:val="nil"/>
              <w:bottom w:val="single" w:color="auto" w:sz="4" w:space="0"/>
              <w:right w:val="single" w:color="auto" w:sz="4" w:space="0"/>
            </w:tcBorders>
            <w:shd w:val="clear" w:color="auto" w:fill="auto"/>
            <w:vAlign w:val="center"/>
          </w:tcPr>
          <w:p w14:paraId="117DD5C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pH</w:t>
            </w:r>
          </w:p>
        </w:tc>
        <w:tc>
          <w:tcPr>
            <w:tcW w:w="1313" w:type="pct"/>
            <w:tcBorders>
              <w:top w:val="nil"/>
              <w:left w:val="nil"/>
              <w:bottom w:val="single" w:color="auto" w:sz="4" w:space="0"/>
              <w:right w:val="single" w:color="auto" w:sz="4" w:space="0"/>
            </w:tcBorders>
            <w:shd w:val="clear" w:color="auto" w:fill="auto"/>
            <w:vAlign w:val="center"/>
          </w:tcPr>
          <w:p w14:paraId="237F37C5">
            <w:pPr>
              <w:widowControl/>
              <w:spacing w:line="360" w:lineRule="auto"/>
              <w:jc w:val="center"/>
              <w:rPr>
                <w:rFonts w:ascii="宋体" w:hAnsi="宋体" w:eastAsia="宋体" w:cs="宋体"/>
                <w:kern w:val="0"/>
                <w:sz w:val="24"/>
                <w:szCs w:val="24"/>
              </w:rPr>
            </w:pPr>
          </w:p>
        </w:tc>
        <w:tc>
          <w:tcPr>
            <w:tcW w:w="1771" w:type="pct"/>
            <w:tcBorders>
              <w:top w:val="nil"/>
              <w:left w:val="nil"/>
              <w:bottom w:val="single" w:color="auto" w:sz="4" w:space="0"/>
              <w:right w:val="single" w:color="auto" w:sz="4" w:space="0"/>
            </w:tcBorders>
            <w:shd w:val="clear" w:color="auto" w:fill="auto"/>
            <w:vAlign w:val="center"/>
          </w:tcPr>
          <w:p w14:paraId="628B396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8.0－12.0</w:t>
            </w:r>
          </w:p>
        </w:tc>
      </w:tr>
      <w:tr w14:paraId="51411871">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098F50A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2</w:t>
            </w:r>
          </w:p>
        </w:tc>
        <w:tc>
          <w:tcPr>
            <w:tcW w:w="1326" w:type="pct"/>
            <w:tcBorders>
              <w:top w:val="nil"/>
              <w:left w:val="nil"/>
              <w:bottom w:val="single" w:color="auto" w:sz="4" w:space="0"/>
              <w:right w:val="single" w:color="auto" w:sz="4" w:space="0"/>
            </w:tcBorders>
            <w:shd w:val="clear" w:color="auto" w:fill="auto"/>
            <w:vAlign w:val="center"/>
          </w:tcPr>
          <w:p w14:paraId="5A15666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Cond.</w:t>
            </w:r>
          </w:p>
        </w:tc>
        <w:tc>
          <w:tcPr>
            <w:tcW w:w="1313" w:type="pct"/>
            <w:tcBorders>
              <w:top w:val="nil"/>
              <w:left w:val="nil"/>
              <w:bottom w:val="single" w:color="auto" w:sz="4" w:space="0"/>
              <w:right w:val="single" w:color="auto" w:sz="4" w:space="0"/>
            </w:tcBorders>
            <w:shd w:val="clear" w:color="auto" w:fill="auto"/>
            <w:vAlign w:val="center"/>
          </w:tcPr>
          <w:p w14:paraId="0206CB4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μs/cm</w:t>
            </w:r>
          </w:p>
        </w:tc>
        <w:tc>
          <w:tcPr>
            <w:tcW w:w="1771" w:type="pct"/>
            <w:tcBorders>
              <w:top w:val="nil"/>
              <w:left w:val="nil"/>
              <w:bottom w:val="single" w:color="auto" w:sz="4" w:space="0"/>
              <w:right w:val="single" w:color="auto" w:sz="4" w:space="0"/>
            </w:tcBorders>
            <w:shd w:val="clear" w:color="auto" w:fill="auto"/>
            <w:vAlign w:val="center"/>
          </w:tcPr>
          <w:p w14:paraId="59B00873">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≤150</w:t>
            </w:r>
          </w:p>
        </w:tc>
      </w:tr>
      <w:tr w14:paraId="020E9F12">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495390C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3</w:t>
            </w:r>
          </w:p>
        </w:tc>
        <w:tc>
          <w:tcPr>
            <w:tcW w:w="1326" w:type="pct"/>
            <w:tcBorders>
              <w:top w:val="nil"/>
              <w:left w:val="nil"/>
              <w:bottom w:val="single" w:color="auto" w:sz="4" w:space="0"/>
              <w:right w:val="single" w:color="auto" w:sz="4" w:space="0"/>
            </w:tcBorders>
            <w:shd w:val="clear" w:color="auto" w:fill="auto"/>
            <w:vAlign w:val="center"/>
          </w:tcPr>
          <w:p w14:paraId="25E5E11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SiO</w:t>
            </w:r>
            <w:r>
              <w:rPr>
                <w:rFonts w:hint="eastAsia" w:ascii="宋体" w:hAnsi="宋体" w:eastAsia="宋体" w:cs="宋体"/>
                <w:kern w:val="0"/>
                <w:sz w:val="24"/>
                <w:szCs w:val="24"/>
                <w:vertAlign w:val="subscript"/>
                <w:lang w:bidi="ar"/>
              </w:rPr>
              <w:t>2</w:t>
            </w:r>
          </w:p>
        </w:tc>
        <w:tc>
          <w:tcPr>
            <w:tcW w:w="1313" w:type="pct"/>
            <w:tcBorders>
              <w:top w:val="nil"/>
              <w:left w:val="nil"/>
              <w:bottom w:val="single" w:color="auto" w:sz="4" w:space="0"/>
              <w:right w:val="single" w:color="auto" w:sz="4" w:space="0"/>
            </w:tcBorders>
            <w:shd w:val="clear" w:color="auto" w:fill="auto"/>
            <w:vAlign w:val="center"/>
          </w:tcPr>
          <w:p w14:paraId="7EF8C4B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μ</w:t>
            </w:r>
            <w:r>
              <w:rPr>
                <w:rFonts w:ascii="Arial" w:hAnsi="Arial" w:eastAsia="宋体" w:cs="Arial"/>
                <w:color w:val="333333"/>
                <w:sz w:val="20"/>
                <w:szCs w:val="20"/>
                <w:lang w:bidi="ar"/>
              </w:rPr>
              <w:t>g</w:t>
            </w:r>
            <w:r>
              <w:rPr>
                <w:rFonts w:hint="eastAsia" w:ascii="宋体" w:hAnsi="宋体" w:eastAsia="宋体" w:cs="宋体"/>
                <w:kern w:val="0"/>
                <w:sz w:val="24"/>
                <w:szCs w:val="24"/>
                <w:lang w:bidi="ar"/>
              </w:rPr>
              <w:t>/L</w:t>
            </w:r>
          </w:p>
        </w:tc>
        <w:tc>
          <w:tcPr>
            <w:tcW w:w="1771" w:type="pct"/>
            <w:tcBorders>
              <w:top w:val="nil"/>
              <w:left w:val="nil"/>
              <w:bottom w:val="single" w:color="auto" w:sz="4" w:space="0"/>
              <w:right w:val="single" w:color="auto" w:sz="4" w:space="0"/>
            </w:tcBorders>
            <w:shd w:val="clear" w:color="auto" w:fill="auto"/>
            <w:vAlign w:val="center"/>
          </w:tcPr>
          <w:p w14:paraId="289F4B0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&lt;150</w:t>
            </w:r>
          </w:p>
        </w:tc>
      </w:tr>
      <w:tr w14:paraId="6BE41409">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05F9204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4</w:t>
            </w:r>
          </w:p>
        </w:tc>
        <w:tc>
          <w:tcPr>
            <w:tcW w:w="1326" w:type="pct"/>
            <w:tcBorders>
              <w:top w:val="nil"/>
              <w:left w:val="nil"/>
              <w:bottom w:val="single" w:color="auto" w:sz="4" w:space="0"/>
              <w:right w:val="single" w:color="auto" w:sz="4" w:space="0"/>
            </w:tcBorders>
            <w:shd w:val="clear" w:color="auto" w:fill="auto"/>
            <w:vAlign w:val="center"/>
          </w:tcPr>
          <w:p w14:paraId="4156FF4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Fe</w:t>
            </w:r>
          </w:p>
        </w:tc>
        <w:tc>
          <w:tcPr>
            <w:tcW w:w="1313" w:type="pct"/>
            <w:tcBorders>
              <w:top w:val="nil"/>
              <w:left w:val="nil"/>
              <w:bottom w:val="single" w:color="auto" w:sz="4" w:space="0"/>
              <w:right w:val="single" w:color="auto" w:sz="4" w:space="0"/>
            </w:tcBorders>
            <w:shd w:val="clear" w:color="auto" w:fill="auto"/>
            <w:vAlign w:val="center"/>
          </w:tcPr>
          <w:p w14:paraId="418B66C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mg/L</w:t>
            </w:r>
          </w:p>
        </w:tc>
        <w:tc>
          <w:tcPr>
            <w:tcW w:w="1771" w:type="pct"/>
            <w:tcBorders>
              <w:top w:val="nil"/>
              <w:left w:val="nil"/>
              <w:bottom w:val="single" w:color="auto" w:sz="4" w:space="0"/>
              <w:right w:val="single" w:color="auto" w:sz="4" w:space="0"/>
            </w:tcBorders>
            <w:shd w:val="clear" w:color="auto" w:fill="auto"/>
            <w:vAlign w:val="center"/>
          </w:tcPr>
          <w:p w14:paraId="1BF39D3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≤0.5</w:t>
            </w:r>
          </w:p>
        </w:tc>
      </w:tr>
      <w:tr w14:paraId="2C1BE9BA">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27E1862C">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5</w:t>
            </w:r>
          </w:p>
        </w:tc>
        <w:tc>
          <w:tcPr>
            <w:tcW w:w="1326" w:type="pct"/>
            <w:tcBorders>
              <w:top w:val="nil"/>
              <w:left w:val="nil"/>
              <w:bottom w:val="single" w:color="auto" w:sz="4" w:space="0"/>
              <w:right w:val="single" w:color="auto" w:sz="4" w:space="0"/>
            </w:tcBorders>
            <w:shd w:val="clear" w:color="auto" w:fill="auto"/>
            <w:vAlign w:val="center"/>
          </w:tcPr>
          <w:p w14:paraId="11E504DA">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(PO</w:t>
            </w:r>
            <w:r>
              <w:rPr>
                <w:rFonts w:hint="eastAsia" w:ascii="宋体" w:hAnsi="宋体" w:eastAsia="宋体" w:cs="宋体"/>
                <w:kern w:val="0"/>
                <w:sz w:val="24"/>
                <w:szCs w:val="24"/>
                <w:vertAlign w:val="subscript"/>
                <w:lang w:bidi="ar"/>
              </w:rPr>
              <w:t>4</w:t>
            </w:r>
            <w:r>
              <w:rPr>
                <w:rFonts w:hint="eastAsia" w:ascii="宋体" w:hAnsi="宋体" w:eastAsia="宋体" w:cs="宋体"/>
                <w:kern w:val="0"/>
                <w:sz w:val="24"/>
                <w:szCs w:val="24"/>
                <w:lang w:bidi="ar"/>
              </w:rPr>
              <w:t>)</w:t>
            </w:r>
            <w:r>
              <w:rPr>
                <w:rFonts w:hint="eastAsia" w:ascii="宋体" w:hAnsi="宋体" w:eastAsia="宋体" w:cs="宋体"/>
                <w:kern w:val="0"/>
                <w:sz w:val="24"/>
                <w:szCs w:val="24"/>
                <w:vertAlign w:val="superscript"/>
                <w:lang w:bidi="ar"/>
              </w:rPr>
              <w:t>3-</w:t>
            </w:r>
          </w:p>
        </w:tc>
        <w:tc>
          <w:tcPr>
            <w:tcW w:w="1313" w:type="pct"/>
            <w:tcBorders>
              <w:top w:val="nil"/>
              <w:left w:val="nil"/>
              <w:bottom w:val="single" w:color="auto" w:sz="4" w:space="0"/>
              <w:right w:val="single" w:color="auto" w:sz="4" w:space="0"/>
            </w:tcBorders>
            <w:shd w:val="clear" w:color="auto" w:fill="auto"/>
            <w:vAlign w:val="center"/>
          </w:tcPr>
          <w:p w14:paraId="19F7E1E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mg/L</w:t>
            </w:r>
          </w:p>
        </w:tc>
        <w:tc>
          <w:tcPr>
            <w:tcW w:w="1771" w:type="pct"/>
            <w:tcBorders>
              <w:top w:val="nil"/>
              <w:left w:val="nil"/>
              <w:bottom w:val="single" w:color="auto" w:sz="4" w:space="0"/>
              <w:right w:val="single" w:color="auto" w:sz="4" w:space="0"/>
            </w:tcBorders>
            <w:shd w:val="clear" w:color="auto" w:fill="auto"/>
            <w:vAlign w:val="center"/>
          </w:tcPr>
          <w:p w14:paraId="55A167E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0.5-6</w:t>
            </w:r>
          </w:p>
        </w:tc>
      </w:tr>
      <w:tr w14:paraId="5CB5A8E7">
        <w:tblPrEx>
          <w:tblCellMar>
            <w:top w:w="0" w:type="dxa"/>
            <w:left w:w="108" w:type="dxa"/>
            <w:bottom w:w="0" w:type="dxa"/>
            <w:right w:w="108" w:type="dxa"/>
          </w:tblCellMar>
        </w:tblPrEx>
        <w:trPr>
          <w:trHeight w:val="402" w:hRule="atLeast"/>
        </w:trPr>
        <w:tc>
          <w:tcPr>
            <w:tcW w:w="590" w:type="pct"/>
            <w:tcBorders>
              <w:top w:val="nil"/>
              <w:left w:val="single" w:color="auto" w:sz="4" w:space="0"/>
              <w:bottom w:val="single" w:color="auto" w:sz="4" w:space="0"/>
              <w:right w:val="single" w:color="auto" w:sz="4" w:space="0"/>
            </w:tcBorders>
            <w:shd w:val="clear" w:color="auto" w:fill="auto"/>
            <w:vAlign w:val="center"/>
          </w:tcPr>
          <w:p w14:paraId="45E2521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6</w:t>
            </w:r>
          </w:p>
        </w:tc>
        <w:tc>
          <w:tcPr>
            <w:tcW w:w="1326" w:type="pct"/>
            <w:tcBorders>
              <w:top w:val="nil"/>
              <w:left w:val="nil"/>
              <w:bottom w:val="single" w:color="auto" w:sz="4" w:space="0"/>
              <w:right w:val="single" w:color="auto" w:sz="4" w:space="0"/>
            </w:tcBorders>
            <w:shd w:val="clear" w:color="auto" w:fill="auto"/>
            <w:vAlign w:val="center"/>
          </w:tcPr>
          <w:p w14:paraId="1675490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T-H</w:t>
            </w:r>
          </w:p>
        </w:tc>
        <w:tc>
          <w:tcPr>
            <w:tcW w:w="1313" w:type="pct"/>
            <w:tcBorders>
              <w:top w:val="nil"/>
              <w:left w:val="nil"/>
              <w:bottom w:val="single" w:color="auto" w:sz="4" w:space="0"/>
              <w:right w:val="single" w:color="auto" w:sz="4" w:space="0"/>
            </w:tcBorders>
            <w:shd w:val="clear" w:color="auto" w:fill="auto"/>
            <w:vAlign w:val="center"/>
          </w:tcPr>
          <w:p w14:paraId="2C7F5C3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mgCaCO</w:t>
            </w:r>
            <w:r>
              <w:rPr>
                <w:rFonts w:hint="eastAsia" w:ascii="宋体" w:hAnsi="宋体" w:eastAsia="宋体" w:cs="宋体"/>
                <w:kern w:val="0"/>
                <w:sz w:val="24"/>
                <w:szCs w:val="24"/>
                <w:vertAlign w:val="subscript"/>
                <w:lang w:bidi="ar"/>
              </w:rPr>
              <w:t>3</w:t>
            </w:r>
            <w:r>
              <w:rPr>
                <w:rFonts w:hint="eastAsia" w:ascii="宋体" w:hAnsi="宋体" w:eastAsia="宋体" w:cs="宋体"/>
                <w:kern w:val="0"/>
                <w:sz w:val="24"/>
                <w:szCs w:val="24"/>
                <w:lang w:bidi="ar"/>
              </w:rPr>
              <w:t>/L</w:t>
            </w:r>
          </w:p>
        </w:tc>
        <w:tc>
          <w:tcPr>
            <w:tcW w:w="1771" w:type="pct"/>
            <w:tcBorders>
              <w:top w:val="nil"/>
              <w:left w:val="nil"/>
              <w:bottom w:val="single" w:color="auto" w:sz="4" w:space="0"/>
              <w:right w:val="single" w:color="auto" w:sz="4" w:space="0"/>
            </w:tcBorders>
            <w:shd w:val="clear" w:color="auto" w:fill="auto"/>
            <w:vAlign w:val="center"/>
          </w:tcPr>
          <w:p w14:paraId="2D02BA66">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≤150</w:t>
            </w:r>
          </w:p>
        </w:tc>
      </w:tr>
      <w:tr w14:paraId="7B28C7FA">
        <w:tblPrEx>
          <w:tblCellMar>
            <w:top w:w="0" w:type="dxa"/>
            <w:left w:w="108" w:type="dxa"/>
            <w:bottom w:w="0" w:type="dxa"/>
            <w:right w:w="108" w:type="dxa"/>
          </w:tblCellMar>
        </w:tblPrEx>
        <w:trPr>
          <w:trHeight w:val="402"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401D9B8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7</w:t>
            </w:r>
          </w:p>
        </w:tc>
        <w:tc>
          <w:tcPr>
            <w:tcW w:w="1326" w:type="pct"/>
            <w:tcBorders>
              <w:top w:val="single" w:color="auto" w:sz="4" w:space="0"/>
              <w:left w:val="nil"/>
              <w:bottom w:val="single" w:color="auto" w:sz="4" w:space="0"/>
              <w:right w:val="single" w:color="auto" w:sz="4" w:space="0"/>
            </w:tcBorders>
            <w:shd w:val="clear" w:color="auto" w:fill="auto"/>
            <w:vAlign w:val="center"/>
          </w:tcPr>
          <w:p w14:paraId="4AE5772B">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AC</w:t>
            </w:r>
            <w:r>
              <w:rPr>
                <w:rFonts w:hint="eastAsia" w:ascii="宋体" w:hAnsi="宋体" w:eastAsia="宋体" w:cs="宋体"/>
                <w:kern w:val="0"/>
                <w:sz w:val="24"/>
                <w:szCs w:val="24"/>
                <w:vertAlign w:val="superscript"/>
                <w:lang w:bidi="ar"/>
              </w:rPr>
              <w:t>-</w:t>
            </w:r>
          </w:p>
        </w:tc>
        <w:tc>
          <w:tcPr>
            <w:tcW w:w="1313" w:type="pct"/>
            <w:tcBorders>
              <w:top w:val="single" w:color="auto" w:sz="4" w:space="0"/>
              <w:left w:val="nil"/>
              <w:bottom w:val="single" w:color="auto" w:sz="4" w:space="0"/>
              <w:right w:val="single" w:color="auto" w:sz="4" w:space="0"/>
            </w:tcBorders>
            <w:shd w:val="clear" w:color="auto" w:fill="auto"/>
            <w:vAlign w:val="center"/>
          </w:tcPr>
          <w:p w14:paraId="60198BA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mg/L</w:t>
            </w:r>
          </w:p>
        </w:tc>
        <w:tc>
          <w:tcPr>
            <w:tcW w:w="1771" w:type="pct"/>
            <w:tcBorders>
              <w:top w:val="single" w:color="auto" w:sz="4" w:space="0"/>
              <w:left w:val="nil"/>
              <w:bottom w:val="single" w:color="auto" w:sz="4" w:space="0"/>
              <w:right w:val="single" w:color="auto" w:sz="4" w:space="0"/>
            </w:tcBorders>
            <w:shd w:val="clear" w:color="auto" w:fill="auto"/>
            <w:vAlign w:val="center"/>
          </w:tcPr>
          <w:p w14:paraId="4F0E859D">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≤15</w:t>
            </w:r>
          </w:p>
        </w:tc>
      </w:tr>
    </w:tbl>
    <w:p w14:paraId="668CA9E5">
      <w:pPr>
        <w:spacing w:line="360" w:lineRule="auto"/>
        <w:jc w:val="center"/>
        <w:rPr>
          <w:rFonts w:ascii="宋体" w:hAnsi="宋体" w:eastAsia="宋体" w:cs="宋体"/>
          <w:sz w:val="24"/>
          <w:szCs w:val="24"/>
          <w:lang w:bidi="ar"/>
        </w:rPr>
      </w:pPr>
    </w:p>
    <w:p w14:paraId="3D5E9B92">
      <w:pPr>
        <w:pStyle w:val="27"/>
        <w:widowControl/>
        <w:ind w:left="720" w:firstLine="0" w:firstLineChars="0"/>
        <w:jc w:val="center"/>
        <w:rPr>
          <w:rFonts w:ascii="楷体" w:hAnsi="楷体" w:eastAsia="楷体" w:cs="楷体"/>
          <w:sz w:val="24"/>
          <w:szCs w:val="24"/>
        </w:rPr>
      </w:pPr>
      <w:r>
        <w:rPr>
          <w:rFonts w:hint="eastAsia" w:ascii="楷体" w:hAnsi="楷体" w:eastAsia="楷体" w:cs="楷体"/>
          <w:sz w:val="24"/>
          <w:szCs w:val="24"/>
        </w:rPr>
        <w:t>表2 V-950回收凝结水指标要求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757"/>
        <w:gridCol w:w="1757"/>
        <w:gridCol w:w="1759"/>
        <w:gridCol w:w="1758"/>
      </w:tblGrid>
      <w:tr w14:paraId="410B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tcPr>
          <w:p w14:paraId="718300A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pH</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49BD3E51">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Cond.</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7C0C8B0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SiO2</w:t>
            </w:r>
          </w:p>
        </w:tc>
        <w:tc>
          <w:tcPr>
            <w:tcW w:w="1032" w:type="pct"/>
            <w:tcBorders>
              <w:top w:val="single" w:color="auto" w:sz="4" w:space="0"/>
              <w:left w:val="single" w:color="auto" w:sz="4" w:space="0"/>
              <w:bottom w:val="single" w:color="auto" w:sz="4" w:space="0"/>
              <w:right w:val="single" w:color="auto" w:sz="4" w:space="0"/>
            </w:tcBorders>
            <w:shd w:val="clear" w:color="auto" w:fill="auto"/>
          </w:tcPr>
          <w:p w14:paraId="083F8BEE">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钠</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08E7D60C">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总铁</w:t>
            </w:r>
          </w:p>
        </w:tc>
      </w:tr>
      <w:tr w14:paraId="1081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tcPr>
          <w:p w14:paraId="67C0275E">
            <w:pPr>
              <w:widowControl/>
              <w:spacing w:line="360" w:lineRule="auto"/>
              <w:jc w:val="center"/>
              <w:rPr>
                <w:rFonts w:ascii="宋体" w:hAnsi="宋体" w:eastAsia="宋体" w:cs="宋体"/>
                <w:kern w:val="0"/>
                <w:sz w:val="24"/>
                <w:szCs w:val="24"/>
              </w:rPr>
            </w:pP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51B339A2">
            <w:pPr>
              <w:widowControl/>
              <w:spacing w:line="360" w:lineRule="auto"/>
              <w:jc w:val="center"/>
              <w:rPr>
                <w:rFonts w:ascii="宋体" w:hAnsi="宋体" w:eastAsia="宋体" w:cs="宋体"/>
                <w:kern w:val="0"/>
                <w:sz w:val="24"/>
                <w:szCs w:val="24"/>
              </w:rPr>
            </w:pPr>
            <w:r>
              <w:rPr>
                <w:rFonts w:ascii="Arial" w:hAnsi="Arial" w:eastAsia="宋体" w:cs="Arial"/>
                <w:color w:val="333333"/>
                <w:sz w:val="20"/>
                <w:szCs w:val="20"/>
                <w:lang w:bidi="ar"/>
              </w:rPr>
              <w:t>u</w:t>
            </w:r>
            <w:r>
              <w:rPr>
                <w:rFonts w:hint="eastAsia" w:ascii="宋体" w:hAnsi="宋体" w:eastAsia="宋体" w:cs="宋体"/>
                <w:kern w:val="0"/>
                <w:sz w:val="24"/>
                <w:szCs w:val="24"/>
                <w:lang w:bidi="ar"/>
              </w:rPr>
              <w:t>s/cm</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63B6D8B0">
            <w:pPr>
              <w:widowControl/>
              <w:spacing w:line="360" w:lineRule="auto"/>
              <w:jc w:val="center"/>
              <w:rPr>
                <w:rFonts w:ascii="宋体" w:hAnsi="宋体" w:eastAsia="宋体" w:cs="宋体"/>
                <w:kern w:val="0"/>
                <w:sz w:val="24"/>
                <w:szCs w:val="24"/>
              </w:rPr>
            </w:pPr>
            <w:r>
              <w:rPr>
                <w:rFonts w:ascii="Arial" w:hAnsi="Arial" w:eastAsia="宋体" w:cs="Arial"/>
                <w:color w:val="333333"/>
                <w:sz w:val="20"/>
                <w:szCs w:val="20"/>
                <w:lang w:bidi="ar"/>
              </w:rPr>
              <w:t>ug</w:t>
            </w:r>
            <w:r>
              <w:rPr>
                <w:rFonts w:hint="eastAsia" w:ascii="宋体" w:hAnsi="宋体" w:eastAsia="宋体" w:cs="宋体"/>
                <w:kern w:val="0"/>
                <w:sz w:val="24"/>
                <w:szCs w:val="24"/>
                <w:lang w:bidi="ar"/>
              </w:rPr>
              <w:t>/L</w:t>
            </w:r>
          </w:p>
        </w:tc>
        <w:tc>
          <w:tcPr>
            <w:tcW w:w="1032" w:type="pct"/>
            <w:tcBorders>
              <w:top w:val="single" w:color="auto" w:sz="4" w:space="0"/>
              <w:left w:val="single" w:color="auto" w:sz="4" w:space="0"/>
              <w:bottom w:val="single" w:color="auto" w:sz="4" w:space="0"/>
              <w:right w:val="single" w:color="auto" w:sz="4" w:space="0"/>
            </w:tcBorders>
            <w:shd w:val="clear" w:color="auto" w:fill="auto"/>
          </w:tcPr>
          <w:p w14:paraId="78A3B3CC">
            <w:pPr>
              <w:widowControl/>
              <w:spacing w:line="360" w:lineRule="auto"/>
              <w:jc w:val="center"/>
              <w:rPr>
                <w:rFonts w:ascii="宋体" w:hAnsi="宋体" w:eastAsia="宋体" w:cs="宋体"/>
                <w:kern w:val="0"/>
                <w:sz w:val="24"/>
                <w:szCs w:val="24"/>
              </w:rPr>
            </w:pPr>
            <w:r>
              <w:rPr>
                <w:rFonts w:ascii="Arial" w:hAnsi="Arial" w:eastAsia="宋体" w:cs="Arial"/>
                <w:color w:val="333333"/>
                <w:sz w:val="20"/>
                <w:szCs w:val="20"/>
                <w:lang w:bidi="ar"/>
              </w:rPr>
              <w:t>ug</w:t>
            </w:r>
            <w:r>
              <w:rPr>
                <w:rFonts w:hint="eastAsia" w:ascii="宋体" w:hAnsi="宋体" w:eastAsia="宋体" w:cs="宋体"/>
                <w:kern w:val="0"/>
                <w:sz w:val="24"/>
                <w:szCs w:val="24"/>
                <w:lang w:bidi="ar"/>
              </w:rPr>
              <w:t>/L</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3B358D7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mg/L</w:t>
            </w:r>
          </w:p>
        </w:tc>
      </w:tr>
      <w:tr w14:paraId="5F0D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pct"/>
            <w:tcBorders>
              <w:top w:val="single" w:color="auto" w:sz="4" w:space="0"/>
              <w:left w:val="single" w:color="auto" w:sz="4" w:space="0"/>
              <w:bottom w:val="single" w:color="auto" w:sz="4" w:space="0"/>
              <w:right w:val="single" w:color="auto" w:sz="4" w:space="0"/>
            </w:tcBorders>
            <w:shd w:val="clear" w:color="auto" w:fill="auto"/>
          </w:tcPr>
          <w:p w14:paraId="485781D5">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8.8-9.3</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601CA40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≤20</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45CD0CE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≤20</w:t>
            </w:r>
          </w:p>
        </w:tc>
        <w:tc>
          <w:tcPr>
            <w:tcW w:w="1032" w:type="pct"/>
            <w:tcBorders>
              <w:top w:val="single" w:color="auto" w:sz="4" w:space="0"/>
              <w:left w:val="single" w:color="auto" w:sz="4" w:space="0"/>
              <w:bottom w:val="single" w:color="auto" w:sz="4" w:space="0"/>
              <w:right w:val="single" w:color="auto" w:sz="4" w:space="0"/>
            </w:tcBorders>
            <w:shd w:val="clear" w:color="auto" w:fill="auto"/>
          </w:tcPr>
          <w:p w14:paraId="66753037">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≤10</w:t>
            </w:r>
          </w:p>
        </w:tc>
        <w:tc>
          <w:tcPr>
            <w:tcW w:w="1031" w:type="pct"/>
            <w:tcBorders>
              <w:top w:val="single" w:color="auto" w:sz="4" w:space="0"/>
              <w:left w:val="single" w:color="auto" w:sz="4" w:space="0"/>
              <w:bottom w:val="single" w:color="auto" w:sz="4" w:space="0"/>
              <w:right w:val="single" w:color="auto" w:sz="4" w:space="0"/>
            </w:tcBorders>
            <w:shd w:val="clear" w:color="auto" w:fill="auto"/>
          </w:tcPr>
          <w:p w14:paraId="38C7AB90">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≤20</w:t>
            </w:r>
          </w:p>
        </w:tc>
      </w:tr>
    </w:tbl>
    <w:p w14:paraId="22A5889B">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bidi="ar"/>
        </w:rPr>
        <w:t>* 1.以上的水质指标和处理成效必须达成，且列入对乙方的重点考核。</w:t>
      </w:r>
    </w:p>
    <w:p w14:paraId="4376636C">
      <w:pPr>
        <w:spacing w:line="360" w:lineRule="auto"/>
        <w:ind w:firstLine="480" w:firstLineChars="200"/>
        <w:jc w:val="left"/>
        <w:rPr>
          <w:rFonts w:ascii="Times New Roman" w:hAnsi="Times New Roman" w:eastAsia="宋体" w:cs="Times New Roman"/>
          <w:sz w:val="24"/>
          <w:szCs w:val="24"/>
        </w:rPr>
      </w:pPr>
      <w:r>
        <w:rPr>
          <w:rFonts w:hint="eastAsia" w:ascii="宋体" w:hAnsi="宋体" w:eastAsia="宋体" w:cs="宋体"/>
          <w:sz w:val="24"/>
          <w:szCs w:val="24"/>
          <w:lang w:bidi="ar"/>
        </w:rPr>
        <w:t>* 2.表1中</w:t>
      </w:r>
      <w:r>
        <w:rPr>
          <w:rFonts w:hint="eastAsia" w:ascii="宋体" w:hAnsi="宋体" w:eastAsia="宋体" w:cs="宋体"/>
          <w:kern w:val="0"/>
          <w:sz w:val="24"/>
          <w:szCs w:val="24"/>
          <w:lang w:bidi="ar"/>
        </w:rPr>
        <w:t>AC</w:t>
      </w:r>
      <w:r>
        <w:rPr>
          <w:rFonts w:hint="eastAsia" w:ascii="宋体" w:hAnsi="宋体" w:eastAsia="宋体" w:cs="宋体"/>
          <w:kern w:val="0"/>
          <w:sz w:val="24"/>
          <w:szCs w:val="24"/>
          <w:vertAlign w:val="superscript"/>
          <w:lang w:bidi="ar"/>
        </w:rPr>
        <w:t>-</w:t>
      </w:r>
      <w:r>
        <w:rPr>
          <w:rFonts w:hint="eastAsia" w:ascii="宋体" w:hAnsi="宋体" w:eastAsia="宋体" w:cs="宋体"/>
          <w:kern w:val="0"/>
          <w:sz w:val="24"/>
          <w:szCs w:val="24"/>
          <w:lang w:bidi="ar"/>
        </w:rPr>
        <w:t>的指标控制作为我司PTA装置锅炉水水质控制指标，不作为乙方考核项目。</w:t>
      </w:r>
    </w:p>
    <w:p w14:paraId="2FD0FA28">
      <w:pPr>
        <w:pStyle w:val="2"/>
        <w:numPr>
          <w:ilvl w:val="0"/>
          <w:numId w:val="3"/>
        </w:numPr>
        <w:ind w:firstLine="0"/>
      </w:pPr>
      <w:bookmarkStart w:id="8" w:name="_Toc10646"/>
      <w:bookmarkStart w:id="9" w:name="_Toc22166"/>
      <w:r>
        <w:rPr>
          <w:rFonts w:hint="eastAsia"/>
        </w:rPr>
        <w:t>技术</w:t>
      </w:r>
      <w:r>
        <w:t>简介</w:t>
      </w:r>
      <w:r>
        <w:rPr>
          <w:rFonts w:hint="eastAsia"/>
        </w:rPr>
        <w:t>、</w:t>
      </w:r>
      <w:r>
        <w:t>原料</w:t>
      </w:r>
      <w:r>
        <w:rPr>
          <w:rFonts w:hint="eastAsia"/>
        </w:rPr>
        <w:t>及</w:t>
      </w:r>
      <w:r>
        <w:t>技术参数说明</w:t>
      </w:r>
      <w:bookmarkEnd w:id="8"/>
      <w:bookmarkEnd w:id="9"/>
    </w:p>
    <w:p w14:paraId="7F1994C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.1工艺简介</w:t>
      </w:r>
    </w:p>
    <w:p w14:paraId="136DF56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福建福海创石油化工有限公司PTA装置废热锅炉系统为氧化装置余热回收，设计参数依450万吨/年产能PTA计，共13 台余热锅炉，含三个压力级别的蒸汽：0.45MPa、0.2MPa 、0.05MPa，合计补水量：1966.1t/h，产汽量：1897.2 t/h，补充水以制程回收的蒸汽凝液为主，不足的部份以除盐水补入，系统设有加药系统V-781/782：V-781的容积10m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 xml:space="preserve"> ，配备搅拌机一台，供中和胺、清锅剂的配料加入，配备5台加药泵，可互供。V-782的容积6m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配备搅拌机一台，供脱氧剂的配料加入，配备3台加药泵。富胺液H</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S含量：0.36 kmol/kmolMDEA</w:t>
      </w:r>
    </w:p>
    <w:p w14:paraId="7C6D5419">
      <w:pPr>
        <w:spacing w:line="360" w:lineRule="auto"/>
        <w:ind w:firstLine="480" w:firstLineChars="200"/>
        <w:rPr>
          <w:rFonts w:ascii="宋体" w:hAnsi="宋体" w:eastAsia="宋体" w:cs="宋体"/>
          <w:sz w:val="24"/>
          <w:szCs w:val="24"/>
          <w:lang w:bidi="ar"/>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.2</w:t>
      </w:r>
      <w:r>
        <w:rPr>
          <w:rFonts w:hint="eastAsia" w:ascii="宋体" w:hAnsi="宋体" w:eastAsia="宋体" w:cs="宋体"/>
          <w:sz w:val="24"/>
          <w:szCs w:val="24"/>
          <w:lang w:bidi="ar"/>
        </w:rPr>
        <w:t>废热锅炉设计参数（450万吨/年产能）</w:t>
      </w:r>
    </w:p>
    <w:p w14:paraId="09404CCE">
      <w:pPr>
        <w:spacing w:line="360" w:lineRule="auto"/>
        <w:ind w:firstLine="480" w:firstLineChars="200"/>
        <w:jc w:val="center"/>
        <w:rPr>
          <w:rFonts w:ascii="宋体" w:hAnsi="宋体" w:eastAsia="宋体" w:cs="宋体"/>
          <w:sz w:val="24"/>
          <w:szCs w:val="24"/>
          <w:lang w:bidi="ar"/>
        </w:rPr>
      </w:pPr>
      <w:r>
        <w:rPr>
          <w:rFonts w:hint="eastAsia" w:ascii="楷体" w:hAnsi="楷体" w:eastAsia="楷体" w:cs="楷体"/>
          <w:sz w:val="24"/>
          <w:szCs w:val="24"/>
          <w:lang w:bidi="ar"/>
        </w:rPr>
        <w:t>表3 废热锅炉设计参数（450万吨/年产能）</w:t>
      </w:r>
    </w:p>
    <w:tbl>
      <w:tblPr>
        <w:tblStyle w:val="13"/>
        <w:tblW w:w="0" w:type="auto"/>
        <w:tblInd w:w="0" w:type="dxa"/>
        <w:tblLayout w:type="fixed"/>
        <w:tblCellMar>
          <w:top w:w="0" w:type="dxa"/>
          <w:left w:w="108" w:type="dxa"/>
          <w:bottom w:w="0" w:type="dxa"/>
          <w:right w:w="108" w:type="dxa"/>
        </w:tblCellMar>
      </w:tblPr>
      <w:tblGrid>
        <w:gridCol w:w="1910"/>
        <w:gridCol w:w="1254"/>
        <w:gridCol w:w="6"/>
        <w:gridCol w:w="1253"/>
        <w:gridCol w:w="7"/>
        <w:gridCol w:w="1255"/>
        <w:gridCol w:w="1230"/>
        <w:gridCol w:w="1605"/>
      </w:tblGrid>
      <w:tr w14:paraId="19933190">
        <w:tblPrEx>
          <w:tblCellMar>
            <w:top w:w="0" w:type="dxa"/>
            <w:left w:w="108" w:type="dxa"/>
            <w:bottom w:w="0" w:type="dxa"/>
            <w:right w:w="108" w:type="dxa"/>
          </w:tblCellMar>
        </w:tblPrEx>
        <w:trPr>
          <w:trHeight w:val="499" w:hRule="atLeast"/>
        </w:trPr>
        <w:tc>
          <w:tcPr>
            <w:tcW w:w="19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CF28EC">
            <w:pPr>
              <w:spacing w:line="360" w:lineRule="auto"/>
              <w:jc w:val="center"/>
              <w:rPr>
                <w:rFonts w:ascii="宋体" w:hAnsi="宋体" w:eastAsia="宋体" w:cs="宋体"/>
                <w:sz w:val="24"/>
                <w:szCs w:val="24"/>
              </w:rPr>
            </w:pPr>
            <w:r>
              <w:rPr>
                <w:rFonts w:hint="eastAsia" w:ascii="宋体" w:hAnsi="宋体" w:eastAsia="宋体" w:cs="宋体"/>
                <w:sz w:val="24"/>
                <w:szCs w:val="24"/>
                <w:lang w:bidi="ar"/>
              </w:rPr>
              <w:t>设备位号</w:t>
            </w:r>
          </w:p>
        </w:tc>
        <w:tc>
          <w:tcPr>
            <w:tcW w:w="6610" w:type="dxa"/>
            <w:gridSpan w:val="7"/>
            <w:tcBorders>
              <w:top w:val="single" w:color="auto" w:sz="4" w:space="0"/>
              <w:left w:val="nil"/>
              <w:bottom w:val="single" w:color="auto" w:sz="4" w:space="0"/>
              <w:right w:val="single" w:color="auto" w:sz="4" w:space="0"/>
            </w:tcBorders>
            <w:shd w:val="clear" w:color="auto" w:fill="auto"/>
          </w:tcPr>
          <w:p w14:paraId="60618E0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设计值</w:t>
            </w:r>
          </w:p>
        </w:tc>
      </w:tr>
      <w:tr w14:paraId="04FA7A36">
        <w:tblPrEx>
          <w:tblCellMar>
            <w:top w:w="0" w:type="dxa"/>
            <w:left w:w="108" w:type="dxa"/>
            <w:bottom w:w="0" w:type="dxa"/>
            <w:right w:w="108" w:type="dxa"/>
          </w:tblCellMar>
        </w:tblPrEx>
        <w:trPr>
          <w:trHeight w:val="499" w:hRule="atLeast"/>
        </w:trPr>
        <w:tc>
          <w:tcPr>
            <w:tcW w:w="191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3EE12B91">
            <w:pPr>
              <w:rPr>
                <w:rFonts w:ascii="Times New Roman" w:hAnsi="Times New Roman" w:cs="Times New Roman"/>
                <w:sz w:val="20"/>
                <w:szCs w:val="20"/>
              </w:rPr>
            </w:pPr>
          </w:p>
        </w:tc>
        <w:tc>
          <w:tcPr>
            <w:tcW w:w="1254" w:type="dxa"/>
            <w:tcBorders>
              <w:top w:val="nil"/>
              <w:left w:val="nil"/>
              <w:bottom w:val="single" w:color="auto" w:sz="4" w:space="0"/>
              <w:right w:val="single" w:color="auto" w:sz="4" w:space="0"/>
            </w:tcBorders>
            <w:shd w:val="clear" w:color="auto" w:fill="auto"/>
          </w:tcPr>
          <w:p w14:paraId="5F5133BD">
            <w:pPr>
              <w:jc w:val="center"/>
              <w:rPr>
                <w:rFonts w:ascii="宋体" w:hAnsi="宋体" w:eastAsia="宋体" w:cs="宋体"/>
                <w:sz w:val="24"/>
                <w:szCs w:val="24"/>
              </w:rPr>
            </w:pPr>
            <w:r>
              <w:rPr>
                <w:rFonts w:hint="eastAsia" w:ascii="宋体" w:hAnsi="宋体" w:eastAsia="宋体" w:cs="宋体"/>
                <w:sz w:val="24"/>
                <w:szCs w:val="24"/>
                <w:lang w:bidi="ar"/>
              </w:rPr>
              <w:t>补水量t/h</w:t>
            </w:r>
          </w:p>
        </w:tc>
        <w:tc>
          <w:tcPr>
            <w:tcW w:w="1259" w:type="dxa"/>
            <w:gridSpan w:val="2"/>
            <w:tcBorders>
              <w:top w:val="nil"/>
              <w:left w:val="nil"/>
              <w:bottom w:val="single" w:color="auto" w:sz="4" w:space="0"/>
              <w:right w:val="single" w:color="auto" w:sz="4" w:space="0"/>
            </w:tcBorders>
            <w:shd w:val="clear" w:color="auto" w:fill="auto"/>
          </w:tcPr>
          <w:p w14:paraId="493AC03D">
            <w:pPr>
              <w:jc w:val="center"/>
              <w:rPr>
                <w:rFonts w:ascii="宋体" w:hAnsi="宋体" w:eastAsia="宋体" w:cs="宋体"/>
                <w:sz w:val="24"/>
                <w:szCs w:val="24"/>
              </w:rPr>
            </w:pPr>
            <w:r>
              <w:rPr>
                <w:rFonts w:hint="eastAsia" w:ascii="宋体" w:hAnsi="宋体" w:eastAsia="宋体" w:cs="宋体"/>
                <w:sz w:val="24"/>
                <w:szCs w:val="24"/>
                <w:lang w:bidi="ar"/>
              </w:rPr>
              <w:t>排放量</w:t>
            </w:r>
          </w:p>
          <w:p w14:paraId="6DEDB12F">
            <w:pPr>
              <w:jc w:val="center"/>
              <w:rPr>
                <w:rFonts w:ascii="宋体" w:hAnsi="宋体" w:eastAsia="宋体" w:cs="宋体"/>
                <w:sz w:val="24"/>
                <w:szCs w:val="24"/>
              </w:rPr>
            </w:pPr>
            <w:r>
              <w:rPr>
                <w:rFonts w:hint="eastAsia" w:ascii="宋体" w:hAnsi="宋体" w:eastAsia="宋体" w:cs="宋体"/>
                <w:sz w:val="24"/>
                <w:szCs w:val="24"/>
                <w:lang w:bidi="ar"/>
              </w:rPr>
              <w:t>t/h</w:t>
            </w:r>
          </w:p>
        </w:tc>
        <w:tc>
          <w:tcPr>
            <w:tcW w:w="1262" w:type="dxa"/>
            <w:gridSpan w:val="2"/>
            <w:tcBorders>
              <w:top w:val="nil"/>
              <w:left w:val="nil"/>
              <w:bottom w:val="single" w:color="auto" w:sz="4" w:space="0"/>
              <w:right w:val="single" w:color="auto" w:sz="4" w:space="0"/>
            </w:tcBorders>
            <w:shd w:val="clear" w:color="auto" w:fill="auto"/>
          </w:tcPr>
          <w:p w14:paraId="52B34DC9">
            <w:pPr>
              <w:jc w:val="center"/>
              <w:rPr>
                <w:rFonts w:ascii="宋体" w:hAnsi="宋体" w:eastAsia="宋体" w:cs="宋体"/>
                <w:sz w:val="24"/>
                <w:szCs w:val="24"/>
              </w:rPr>
            </w:pPr>
            <w:r>
              <w:rPr>
                <w:rFonts w:hint="eastAsia" w:ascii="宋体" w:hAnsi="宋体" w:eastAsia="宋体" w:cs="宋体"/>
                <w:sz w:val="24"/>
                <w:szCs w:val="24"/>
                <w:lang w:bidi="ar"/>
              </w:rPr>
              <w:t>蒸汽产量t/h</w:t>
            </w:r>
          </w:p>
        </w:tc>
        <w:tc>
          <w:tcPr>
            <w:tcW w:w="1230" w:type="dxa"/>
            <w:tcBorders>
              <w:top w:val="nil"/>
              <w:left w:val="nil"/>
              <w:bottom w:val="single" w:color="auto" w:sz="4" w:space="0"/>
              <w:right w:val="single" w:color="auto" w:sz="4" w:space="0"/>
            </w:tcBorders>
            <w:shd w:val="clear" w:color="auto" w:fill="auto"/>
            <w:vAlign w:val="center"/>
          </w:tcPr>
          <w:p w14:paraId="43BBFFA5">
            <w:pPr>
              <w:jc w:val="center"/>
              <w:rPr>
                <w:rFonts w:ascii="宋体" w:hAnsi="宋体" w:eastAsia="宋体" w:cs="宋体"/>
                <w:sz w:val="24"/>
                <w:szCs w:val="24"/>
              </w:rPr>
            </w:pPr>
            <w:r>
              <w:rPr>
                <w:rFonts w:hint="eastAsia" w:ascii="宋体" w:hAnsi="宋体" w:eastAsia="宋体" w:cs="宋体"/>
                <w:sz w:val="24"/>
                <w:szCs w:val="24"/>
                <w:lang w:bidi="ar"/>
              </w:rPr>
              <w:t>浓缩倍数</w:t>
            </w:r>
          </w:p>
        </w:tc>
        <w:tc>
          <w:tcPr>
            <w:tcW w:w="1605" w:type="dxa"/>
            <w:tcBorders>
              <w:top w:val="nil"/>
              <w:left w:val="nil"/>
              <w:bottom w:val="single" w:color="auto" w:sz="4" w:space="0"/>
              <w:right w:val="single" w:color="auto" w:sz="4" w:space="0"/>
            </w:tcBorders>
            <w:shd w:val="clear" w:color="auto" w:fill="auto"/>
          </w:tcPr>
          <w:p w14:paraId="1E4B3ECD">
            <w:pPr>
              <w:jc w:val="center"/>
              <w:rPr>
                <w:rFonts w:ascii="宋体" w:hAnsi="宋体" w:eastAsia="宋体" w:cs="宋体"/>
                <w:sz w:val="24"/>
                <w:szCs w:val="24"/>
              </w:rPr>
            </w:pPr>
            <w:r>
              <w:rPr>
                <w:rFonts w:hint="eastAsia" w:ascii="宋体" w:hAnsi="宋体" w:eastAsia="宋体" w:cs="宋体"/>
                <w:sz w:val="24"/>
                <w:szCs w:val="24"/>
                <w:lang w:bidi="ar"/>
              </w:rPr>
              <w:t>产汽压力</w:t>
            </w:r>
          </w:p>
          <w:p w14:paraId="47B4FA7D">
            <w:pPr>
              <w:jc w:val="center"/>
              <w:rPr>
                <w:rFonts w:ascii="宋体" w:hAnsi="宋体" w:eastAsia="宋体" w:cs="宋体"/>
                <w:sz w:val="24"/>
                <w:szCs w:val="24"/>
              </w:rPr>
            </w:pPr>
            <w:r>
              <w:rPr>
                <w:rFonts w:hint="eastAsia" w:ascii="宋体" w:hAnsi="宋体" w:eastAsia="宋体" w:cs="宋体"/>
                <w:sz w:val="24"/>
                <w:szCs w:val="24"/>
                <w:lang w:bidi="ar"/>
              </w:rPr>
              <w:t>MPa</w:t>
            </w:r>
          </w:p>
        </w:tc>
      </w:tr>
      <w:tr w14:paraId="16D54B34">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182F1335">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E-201A-1</w:t>
            </w:r>
          </w:p>
        </w:tc>
        <w:tc>
          <w:tcPr>
            <w:tcW w:w="1254" w:type="dxa"/>
            <w:tcBorders>
              <w:top w:val="nil"/>
              <w:left w:val="nil"/>
              <w:bottom w:val="single" w:color="auto" w:sz="4" w:space="0"/>
              <w:right w:val="single" w:color="auto" w:sz="4" w:space="0"/>
            </w:tcBorders>
            <w:shd w:val="clear" w:color="auto" w:fill="auto"/>
          </w:tcPr>
          <w:p w14:paraId="6100847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6BE6832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0542324F">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5790AA95">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63ED0492">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5189C9DF">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0FB2CE87">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E-201B-1</w:t>
            </w:r>
          </w:p>
        </w:tc>
        <w:tc>
          <w:tcPr>
            <w:tcW w:w="1254" w:type="dxa"/>
            <w:tcBorders>
              <w:top w:val="nil"/>
              <w:left w:val="nil"/>
              <w:bottom w:val="single" w:color="auto" w:sz="4" w:space="0"/>
              <w:right w:val="single" w:color="auto" w:sz="4" w:space="0"/>
            </w:tcBorders>
            <w:shd w:val="clear" w:color="auto" w:fill="auto"/>
          </w:tcPr>
          <w:p w14:paraId="59A9D334">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63185AA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385A1CDF">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741261F0">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0044269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0CE4C77A">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2E124762">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E-201A-2</w:t>
            </w:r>
          </w:p>
        </w:tc>
        <w:tc>
          <w:tcPr>
            <w:tcW w:w="1254" w:type="dxa"/>
            <w:tcBorders>
              <w:top w:val="nil"/>
              <w:left w:val="nil"/>
              <w:bottom w:val="single" w:color="auto" w:sz="4" w:space="0"/>
              <w:right w:val="single" w:color="auto" w:sz="4" w:space="0"/>
            </w:tcBorders>
            <w:shd w:val="clear" w:color="auto" w:fill="auto"/>
          </w:tcPr>
          <w:p w14:paraId="0E49348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2970BBD1">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64E2112C">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4FB9B36E">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222552C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437BD072">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3FC5557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E-201B-2</w:t>
            </w:r>
          </w:p>
        </w:tc>
        <w:tc>
          <w:tcPr>
            <w:tcW w:w="1254" w:type="dxa"/>
            <w:tcBorders>
              <w:top w:val="nil"/>
              <w:left w:val="nil"/>
              <w:bottom w:val="single" w:color="auto" w:sz="4" w:space="0"/>
              <w:right w:val="single" w:color="auto" w:sz="4" w:space="0"/>
            </w:tcBorders>
            <w:shd w:val="clear" w:color="auto" w:fill="auto"/>
          </w:tcPr>
          <w:p w14:paraId="106D3870">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491AD19E">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24E86554">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02841392">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1FEF8987">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770F1D11">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7FF86C11">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E-201A-3</w:t>
            </w:r>
          </w:p>
        </w:tc>
        <w:tc>
          <w:tcPr>
            <w:tcW w:w="1254" w:type="dxa"/>
            <w:tcBorders>
              <w:top w:val="nil"/>
              <w:left w:val="nil"/>
              <w:bottom w:val="single" w:color="auto" w:sz="4" w:space="0"/>
              <w:right w:val="single" w:color="auto" w:sz="4" w:space="0"/>
            </w:tcBorders>
            <w:shd w:val="clear" w:color="auto" w:fill="auto"/>
          </w:tcPr>
          <w:p w14:paraId="7856D364">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35F8900D">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1BBB0BC8">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71BFAEF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61A7A26D">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2435C6B8">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19DAFD7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E-201B-3</w:t>
            </w:r>
          </w:p>
        </w:tc>
        <w:tc>
          <w:tcPr>
            <w:tcW w:w="1254" w:type="dxa"/>
            <w:tcBorders>
              <w:top w:val="nil"/>
              <w:left w:val="nil"/>
              <w:bottom w:val="single" w:color="auto" w:sz="4" w:space="0"/>
              <w:right w:val="single" w:color="auto" w:sz="4" w:space="0"/>
            </w:tcBorders>
            <w:shd w:val="clear" w:color="auto" w:fill="auto"/>
          </w:tcPr>
          <w:p w14:paraId="013B052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227.3</w:t>
            </w:r>
          </w:p>
        </w:tc>
        <w:tc>
          <w:tcPr>
            <w:tcW w:w="1259" w:type="dxa"/>
            <w:gridSpan w:val="2"/>
            <w:tcBorders>
              <w:top w:val="nil"/>
              <w:left w:val="nil"/>
              <w:bottom w:val="single" w:color="auto" w:sz="4" w:space="0"/>
              <w:right w:val="single" w:color="auto" w:sz="4" w:space="0"/>
            </w:tcBorders>
            <w:shd w:val="clear" w:color="auto" w:fill="auto"/>
          </w:tcPr>
          <w:p w14:paraId="5041FFE9">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15.5</w:t>
            </w:r>
          </w:p>
        </w:tc>
        <w:tc>
          <w:tcPr>
            <w:tcW w:w="1262" w:type="dxa"/>
            <w:gridSpan w:val="2"/>
            <w:tcBorders>
              <w:top w:val="nil"/>
              <w:left w:val="nil"/>
              <w:bottom w:val="single" w:color="auto" w:sz="4" w:space="0"/>
              <w:right w:val="single" w:color="auto" w:sz="4" w:space="0"/>
            </w:tcBorders>
            <w:shd w:val="clear" w:color="auto" w:fill="auto"/>
          </w:tcPr>
          <w:p w14:paraId="0F037DD1">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211.8</w:t>
            </w:r>
          </w:p>
        </w:tc>
        <w:tc>
          <w:tcPr>
            <w:tcW w:w="1230" w:type="dxa"/>
            <w:tcBorders>
              <w:top w:val="nil"/>
              <w:left w:val="nil"/>
              <w:bottom w:val="single" w:color="auto" w:sz="4" w:space="0"/>
              <w:right w:val="single" w:color="auto" w:sz="4" w:space="0"/>
            </w:tcBorders>
            <w:shd w:val="clear" w:color="auto" w:fill="auto"/>
          </w:tcPr>
          <w:p w14:paraId="13FE76A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14.7</w:t>
            </w:r>
          </w:p>
        </w:tc>
        <w:tc>
          <w:tcPr>
            <w:tcW w:w="1605" w:type="dxa"/>
            <w:tcBorders>
              <w:top w:val="nil"/>
              <w:left w:val="nil"/>
              <w:bottom w:val="single" w:color="auto" w:sz="4" w:space="0"/>
              <w:right w:val="single" w:color="auto" w:sz="4" w:space="0"/>
            </w:tcBorders>
            <w:shd w:val="clear" w:color="auto" w:fill="auto"/>
          </w:tcPr>
          <w:p w14:paraId="241A68DE">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0.45</w:t>
            </w:r>
          </w:p>
        </w:tc>
      </w:tr>
      <w:tr w14:paraId="66064156">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3E1551E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E-202-1</w:t>
            </w:r>
          </w:p>
        </w:tc>
        <w:tc>
          <w:tcPr>
            <w:tcW w:w="1254" w:type="dxa"/>
            <w:tcBorders>
              <w:top w:val="nil"/>
              <w:left w:val="nil"/>
              <w:bottom w:val="single" w:color="auto" w:sz="4" w:space="0"/>
              <w:right w:val="single" w:color="auto" w:sz="4" w:space="0"/>
            </w:tcBorders>
            <w:shd w:val="clear" w:color="auto" w:fill="auto"/>
          </w:tcPr>
          <w:p w14:paraId="52F46C60">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123.4</w:t>
            </w:r>
          </w:p>
        </w:tc>
        <w:tc>
          <w:tcPr>
            <w:tcW w:w="1259" w:type="dxa"/>
            <w:gridSpan w:val="2"/>
            <w:tcBorders>
              <w:top w:val="nil"/>
              <w:left w:val="nil"/>
              <w:bottom w:val="single" w:color="auto" w:sz="4" w:space="0"/>
              <w:right w:val="single" w:color="auto" w:sz="4" w:space="0"/>
            </w:tcBorders>
            <w:shd w:val="clear" w:color="auto" w:fill="auto"/>
          </w:tcPr>
          <w:p w14:paraId="05EE8E1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6</w:t>
            </w:r>
          </w:p>
        </w:tc>
        <w:tc>
          <w:tcPr>
            <w:tcW w:w="1262" w:type="dxa"/>
            <w:gridSpan w:val="2"/>
            <w:tcBorders>
              <w:top w:val="nil"/>
              <w:left w:val="nil"/>
              <w:bottom w:val="single" w:color="auto" w:sz="4" w:space="0"/>
              <w:right w:val="single" w:color="auto" w:sz="4" w:space="0"/>
            </w:tcBorders>
            <w:shd w:val="clear" w:color="auto" w:fill="auto"/>
          </w:tcPr>
          <w:p w14:paraId="2BCD114C">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117.5</w:t>
            </w:r>
          </w:p>
        </w:tc>
        <w:tc>
          <w:tcPr>
            <w:tcW w:w="1230" w:type="dxa"/>
            <w:tcBorders>
              <w:top w:val="nil"/>
              <w:left w:val="nil"/>
              <w:bottom w:val="single" w:color="auto" w:sz="4" w:space="0"/>
              <w:right w:val="single" w:color="auto" w:sz="4" w:space="0"/>
            </w:tcBorders>
            <w:shd w:val="clear" w:color="auto" w:fill="auto"/>
          </w:tcPr>
          <w:p w14:paraId="751D5265">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20.6</w:t>
            </w:r>
          </w:p>
        </w:tc>
        <w:tc>
          <w:tcPr>
            <w:tcW w:w="1605" w:type="dxa"/>
            <w:tcBorders>
              <w:top w:val="nil"/>
              <w:left w:val="nil"/>
              <w:bottom w:val="single" w:color="auto" w:sz="4" w:space="0"/>
              <w:right w:val="single" w:color="auto" w:sz="4" w:space="0"/>
            </w:tcBorders>
            <w:shd w:val="clear" w:color="auto" w:fill="auto"/>
          </w:tcPr>
          <w:p w14:paraId="00EED8F8">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0.2</w:t>
            </w:r>
          </w:p>
        </w:tc>
      </w:tr>
      <w:tr w14:paraId="11AB5A03">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190576A2">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E-202-2</w:t>
            </w:r>
          </w:p>
        </w:tc>
        <w:tc>
          <w:tcPr>
            <w:tcW w:w="1254" w:type="dxa"/>
            <w:tcBorders>
              <w:top w:val="nil"/>
              <w:left w:val="nil"/>
              <w:bottom w:val="single" w:color="auto" w:sz="4" w:space="0"/>
              <w:right w:val="single" w:color="auto" w:sz="4" w:space="0"/>
            </w:tcBorders>
            <w:shd w:val="clear" w:color="auto" w:fill="auto"/>
          </w:tcPr>
          <w:p w14:paraId="01A4E37F">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123.4</w:t>
            </w:r>
          </w:p>
        </w:tc>
        <w:tc>
          <w:tcPr>
            <w:tcW w:w="1259" w:type="dxa"/>
            <w:gridSpan w:val="2"/>
            <w:tcBorders>
              <w:top w:val="nil"/>
              <w:left w:val="nil"/>
              <w:bottom w:val="single" w:color="auto" w:sz="4" w:space="0"/>
              <w:right w:val="single" w:color="auto" w:sz="4" w:space="0"/>
            </w:tcBorders>
            <w:shd w:val="clear" w:color="auto" w:fill="auto"/>
          </w:tcPr>
          <w:p w14:paraId="2DB82CE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6</w:t>
            </w:r>
          </w:p>
        </w:tc>
        <w:tc>
          <w:tcPr>
            <w:tcW w:w="1262" w:type="dxa"/>
            <w:gridSpan w:val="2"/>
            <w:tcBorders>
              <w:top w:val="nil"/>
              <w:left w:val="nil"/>
              <w:bottom w:val="single" w:color="auto" w:sz="4" w:space="0"/>
              <w:right w:val="single" w:color="auto" w:sz="4" w:space="0"/>
            </w:tcBorders>
            <w:shd w:val="clear" w:color="auto" w:fill="auto"/>
          </w:tcPr>
          <w:p w14:paraId="0DA00C8A">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117.5</w:t>
            </w:r>
          </w:p>
        </w:tc>
        <w:tc>
          <w:tcPr>
            <w:tcW w:w="1230" w:type="dxa"/>
            <w:tcBorders>
              <w:top w:val="nil"/>
              <w:left w:val="nil"/>
              <w:bottom w:val="single" w:color="auto" w:sz="4" w:space="0"/>
              <w:right w:val="single" w:color="auto" w:sz="4" w:space="0"/>
            </w:tcBorders>
            <w:shd w:val="clear" w:color="auto" w:fill="auto"/>
          </w:tcPr>
          <w:p w14:paraId="500DCEF4">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20.6</w:t>
            </w:r>
          </w:p>
        </w:tc>
        <w:tc>
          <w:tcPr>
            <w:tcW w:w="1605" w:type="dxa"/>
            <w:tcBorders>
              <w:top w:val="nil"/>
              <w:left w:val="nil"/>
              <w:bottom w:val="single" w:color="auto" w:sz="4" w:space="0"/>
              <w:right w:val="single" w:color="auto" w:sz="4" w:space="0"/>
            </w:tcBorders>
            <w:shd w:val="clear" w:color="auto" w:fill="auto"/>
          </w:tcPr>
          <w:p w14:paraId="3CC94D68">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0.2</w:t>
            </w:r>
          </w:p>
        </w:tc>
      </w:tr>
      <w:tr w14:paraId="5C661A62">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75A8E6A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E-202-3</w:t>
            </w:r>
          </w:p>
        </w:tc>
        <w:tc>
          <w:tcPr>
            <w:tcW w:w="1254" w:type="dxa"/>
            <w:tcBorders>
              <w:top w:val="nil"/>
              <w:left w:val="nil"/>
              <w:bottom w:val="single" w:color="auto" w:sz="4" w:space="0"/>
              <w:right w:val="single" w:color="auto" w:sz="4" w:space="0"/>
            </w:tcBorders>
            <w:shd w:val="clear" w:color="auto" w:fill="auto"/>
          </w:tcPr>
          <w:p w14:paraId="6BA56C08">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123.4</w:t>
            </w:r>
          </w:p>
        </w:tc>
        <w:tc>
          <w:tcPr>
            <w:tcW w:w="1259" w:type="dxa"/>
            <w:gridSpan w:val="2"/>
            <w:tcBorders>
              <w:top w:val="nil"/>
              <w:left w:val="nil"/>
              <w:bottom w:val="single" w:color="auto" w:sz="4" w:space="0"/>
              <w:right w:val="single" w:color="auto" w:sz="4" w:space="0"/>
            </w:tcBorders>
            <w:shd w:val="clear" w:color="auto" w:fill="auto"/>
          </w:tcPr>
          <w:p w14:paraId="442E6751">
            <w:pPr>
              <w:spacing w:line="360" w:lineRule="auto"/>
              <w:jc w:val="center"/>
              <w:rPr>
                <w:rFonts w:ascii="宋体" w:hAnsi="宋体" w:eastAsia="宋体" w:cs="宋体"/>
                <w:sz w:val="24"/>
                <w:szCs w:val="24"/>
              </w:rPr>
            </w:pPr>
            <w:r>
              <w:rPr>
                <w:rFonts w:hint="eastAsia" w:ascii="宋体" w:hAnsi="宋体" w:eastAsia="宋体" w:cs="宋体"/>
                <w:sz w:val="24"/>
                <w:szCs w:val="24"/>
                <w:lang w:bidi="ar"/>
              </w:rPr>
              <w:t>6</w:t>
            </w:r>
          </w:p>
        </w:tc>
        <w:tc>
          <w:tcPr>
            <w:tcW w:w="1262" w:type="dxa"/>
            <w:gridSpan w:val="2"/>
            <w:tcBorders>
              <w:top w:val="nil"/>
              <w:left w:val="nil"/>
              <w:bottom w:val="single" w:color="auto" w:sz="4" w:space="0"/>
              <w:right w:val="single" w:color="auto" w:sz="4" w:space="0"/>
            </w:tcBorders>
            <w:shd w:val="clear" w:color="auto" w:fill="auto"/>
          </w:tcPr>
          <w:p w14:paraId="433E645E">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117.5</w:t>
            </w:r>
          </w:p>
        </w:tc>
        <w:tc>
          <w:tcPr>
            <w:tcW w:w="1230" w:type="dxa"/>
            <w:tcBorders>
              <w:top w:val="nil"/>
              <w:left w:val="nil"/>
              <w:bottom w:val="single" w:color="auto" w:sz="4" w:space="0"/>
              <w:right w:val="single" w:color="auto" w:sz="4" w:space="0"/>
            </w:tcBorders>
            <w:shd w:val="clear" w:color="auto" w:fill="auto"/>
          </w:tcPr>
          <w:p w14:paraId="4B9D5119">
            <w:pPr>
              <w:spacing w:line="360" w:lineRule="auto"/>
              <w:jc w:val="center"/>
              <w:rPr>
                <w:rFonts w:ascii="宋体" w:hAnsi="宋体" w:eastAsia="宋体" w:cs="宋体"/>
                <w:sz w:val="24"/>
                <w:szCs w:val="24"/>
              </w:rPr>
            </w:pPr>
            <w:r>
              <w:rPr>
                <w:rFonts w:hint="eastAsia" w:ascii="宋体" w:hAnsi="宋体" w:eastAsia="宋体" w:cs="宋体"/>
                <w:sz w:val="24"/>
                <w:szCs w:val="24"/>
                <w:lang w:bidi="ar"/>
              </w:rPr>
              <w:t>20.6</w:t>
            </w:r>
          </w:p>
        </w:tc>
        <w:tc>
          <w:tcPr>
            <w:tcW w:w="1605" w:type="dxa"/>
            <w:tcBorders>
              <w:top w:val="nil"/>
              <w:left w:val="nil"/>
              <w:bottom w:val="single" w:color="auto" w:sz="4" w:space="0"/>
              <w:right w:val="single" w:color="auto" w:sz="4" w:space="0"/>
            </w:tcBorders>
            <w:shd w:val="clear" w:color="auto" w:fill="auto"/>
          </w:tcPr>
          <w:p w14:paraId="6D3D1BF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0.2</w:t>
            </w:r>
          </w:p>
        </w:tc>
      </w:tr>
      <w:tr w14:paraId="3C268669">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540F0B0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E-203A-1</w:t>
            </w:r>
          </w:p>
        </w:tc>
        <w:tc>
          <w:tcPr>
            <w:tcW w:w="1254" w:type="dxa"/>
            <w:tcBorders>
              <w:top w:val="nil"/>
              <w:left w:val="nil"/>
              <w:bottom w:val="single" w:color="auto" w:sz="4" w:space="0"/>
              <w:right w:val="single" w:color="auto" w:sz="4" w:space="0"/>
            </w:tcBorders>
            <w:shd w:val="clear" w:color="auto" w:fill="auto"/>
          </w:tcPr>
          <w:p w14:paraId="6026D4D2">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57.1</w:t>
            </w:r>
          </w:p>
        </w:tc>
        <w:tc>
          <w:tcPr>
            <w:tcW w:w="1259" w:type="dxa"/>
            <w:gridSpan w:val="2"/>
            <w:tcBorders>
              <w:top w:val="nil"/>
              <w:left w:val="nil"/>
              <w:bottom w:val="single" w:color="auto" w:sz="4" w:space="0"/>
              <w:right w:val="single" w:color="auto" w:sz="4" w:space="0"/>
            </w:tcBorders>
            <w:shd w:val="clear" w:color="auto" w:fill="auto"/>
          </w:tcPr>
          <w:p w14:paraId="4CBF6ED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4</w:t>
            </w:r>
          </w:p>
        </w:tc>
        <w:tc>
          <w:tcPr>
            <w:tcW w:w="1262" w:type="dxa"/>
            <w:gridSpan w:val="2"/>
            <w:tcBorders>
              <w:top w:val="nil"/>
              <w:left w:val="nil"/>
              <w:bottom w:val="single" w:color="auto" w:sz="4" w:space="0"/>
              <w:right w:val="single" w:color="auto" w:sz="4" w:space="0"/>
            </w:tcBorders>
            <w:shd w:val="clear" w:color="auto" w:fill="auto"/>
          </w:tcPr>
          <w:p w14:paraId="670C96F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53.1</w:t>
            </w:r>
          </w:p>
        </w:tc>
        <w:tc>
          <w:tcPr>
            <w:tcW w:w="1230" w:type="dxa"/>
            <w:tcBorders>
              <w:top w:val="nil"/>
              <w:left w:val="nil"/>
              <w:bottom w:val="single" w:color="auto" w:sz="4" w:space="0"/>
              <w:right w:val="single" w:color="auto" w:sz="4" w:space="0"/>
            </w:tcBorders>
            <w:shd w:val="clear" w:color="auto" w:fill="auto"/>
          </w:tcPr>
          <w:p w14:paraId="690909B3">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14.3</w:t>
            </w:r>
          </w:p>
        </w:tc>
        <w:tc>
          <w:tcPr>
            <w:tcW w:w="1605" w:type="dxa"/>
            <w:tcBorders>
              <w:top w:val="nil"/>
              <w:left w:val="nil"/>
              <w:bottom w:val="single" w:color="auto" w:sz="4" w:space="0"/>
              <w:right w:val="single" w:color="auto" w:sz="4" w:space="0"/>
            </w:tcBorders>
            <w:shd w:val="clear" w:color="auto" w:fill="auto"/>
          </w:tcPr>
          <w:p w14:paraId="1AC61529">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0.05</w:t>
            </w:r>
          </w:p>
        </w:tc>
      </w:tr>
      <w:tr w14:paraId="13B3FBD2">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2CFF2CAF">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E-203A-2</w:t>
            </w:r>
          </w:p>
        </w:tc>
        <w:tc>
          <w:tcPr>
            <w:tcW w:w="1254" w:type="dxa"/>
            <w:tcBorders>
              <w:top w:val="nil"/>
              <w:left w:val="nil"/>
              <w:bottom w:val="single" w:color="auto" w:sz="4" w:space="0"/>
              <w:right w:val="single" w:color="auto" w:sz="4" w:space="0"/>
            </w:tcBorders>
            <w:shd w:val="clear" w:color="auto" w:fill="auto"/>
          </w:tcPr>
          <w:p w14:paraId="5461F470">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57.1</w:t>
            </w:r>
          </w:p>
        </w:tc>
        <w:tc>
          <w:tcPr>
            <w:tcW w:w="1259" w:type="dxa"/>
            <w:gridSpan w:val="2"/>
            <w:tcBorders>
              <w:top w:val="nil"/>
              <w:left w:val="nil"/>
              <w:bottom w:val="single" w:color="auto" w:sz="4" w:space="0"/>
              <w:right w:val="single" w:color="auto" w:sz="4" w:space="0"/>
            </w:tcBorders>
            <w:shd w:val="clear" w:color="auto" w:fill="auto"/>
          </w:tcPr>
          <w:p w14:paraId="4CEB55BD">
            <w:pPr>
              <w:spacing w:line="360" w:lineRule="auto"/>
              <w:jc w:val="center"/>
              <w:rPr>
                <w:rFonts w:ascii="宋体" w:hAnsi="宋体" w:eastAsia="宋体" w:cs="宋体"/>
                <w:sz w:val="24"/>
                <w:szCs w:val="24"/>
              </w:rPr>
            </w:pPr>
            <w:r>
              <w:rPr>
                <w:rFonts w:hint="eastAsia" w:ascii="宋体" w:hAnsi="宋体" w:eastAsia="宋体" w:cs="宋体"/>
                <w:sz w:val="24"/>
                <w:szCs w:val="24"/>
                <w:lang w:bidi="ar"/>
              </w:rPr>
              <w:t>4</w:t>
            </w:r>
          </w:p>
        </w:tc>
        <w:tc>
          <w:tcPr>
            <w:tcW w:w="1262" w:type="dxa"/>
            <w:gridSpan w:val="2"/>
            <w:tcBorders>
              <w:top w:val="nil"/>
              <w:left w:val="nil"/>
              <w:bottom w:val="single" w:color="auto" w:sz="4" w:space="0"/>
              <w:right w:val="single" w:color="auto" w:sz="4" w:space="0"/>
            </w:tcBorders>
            <w:shd w:val="clear" w:color="auto" w:fill="auto"/>
          </w:tcPr>
          <w:p w14:paraId="7B450075">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53.1</w:t>
            </w:r>
          </w:p>
        </w:tc>
        <w:tc>
          <w:tcPr>
            <w:tcW w:w="1230" w:type="dxa"/>
            <w:tcBorders>
              <w:top w:val="nil"/>
              <w:left w:val="nil"/>
              <w:bottom w:val="single" w:color="auto" w:sz="4" w:space="0"/>
              <w:right w:val="single" w:color="auto" w:sz="4" w:space="0"/>
            </w:tcBorders>
            <w:shd w:val="clear" w:color="auto" w:fill="auto"/>
          </w:tcPr>
          <w:p w14:paraId="212F8FAD">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14.3</w:t>
            </w:r>
          </w:p>
        </w:tc>
        <w:tc>
          <w:tcPr>
            <w:tcW w:w="1605" w:type="dxa"/>
            <w:tcBorders>
              <w:top w:val="nil"/>
              <w:left w:val="nil"/>
              <w:bottom w:val="single" w:color="auto" w:sz="4" w:space="0"/>
              <w:right w:val="single" w:color="auto" w:sz="4" w:space="0"/>
            </w:tcBorders>
            <w:shd w:val="clear" w:color="auto" w:fill="auto"/>
          </w:tcPr>
          <w:p w14:paraId="38A7AD6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0.05</w:t>
            </w:r>
          </w:p>
        </w:tc>
      </w:tr>
      <w:tr w14:paraId="56DFE0BB">
        <w:tblPrEx>
          <w:tblCellMar>
            <w:top w:w="0" w:type="dxa"/>
            <w:left w:w="108" w:type="dxa"/>
            <w:bottom w:w="0" w:type="dxa"/>
            <w:right w:w="108" w:type="dxa"/>
          </w:tblCellMar>
        </w:tblPrEx>
        <w:trPr>
          <w:trHeight w:val="499" w:hRule="atLeast"/>
        </w:trPr>
        <w:tc>
          <w:tcPr>
            <w:tcW w:w="1910" w:type="dxa"/>
            <w:tcBorders>
              <w:top w:val="nil"/>
              <w:left w:val="single" w:color="auto" w:sz="4" w:space="0"/>
              <w:bottom w:val="single" w:color="auto" w:sz="4" w:space="0"/>
              <w:right w:val="single" w:color="auto" w:sz="4" w:space="0"/>
            </w:tcBorders>
            <w:shd w:val="clear" w:color="auto" w:fill="auto"/>
          </w:tcPr>
          <w:p w14:paraId="7AD071FD">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E-203A-3</w:t>
            </w:r>
          </w:p>
        </w:tc>
        <w:tc>
          <w:tcPr>
            <w:tcW w:w="1254" w:type="dxa"/>
            <w:tcBorders>
              <w:top w:val="nil"/>
              <w:left w:val="nil"/>
              <w:bottom w:val="single" w:color="auto" w:sz="4" w:space="0"/>
              <w:right w:val="single" w:color="auto" w:sz="4" w:space="0"/>
            </w:tcBorders>
            <w:shd w:val="clear" w:color="auto" w:fill="auto"/>
          </w:tcPr>
          <w:p w14:paraId="29B1FAC9">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57.1</w:t>
            </w:r>
          </w:p>
        </w:tc>
        <w:tc>
          <w:tcPr>
            <w:tcW w:w="1259" w:type="dxa"/>
            <w:gridSpan w:val="2"/>
            <w:tcBorders>
              <w:top w:val="nil"/>
              <w:left w:val="nil"/>
              <w:bottom w:val="single" w:color="auto" w:sz="4" w:space="0"/>
              <w:right w:val="single" w:color="auto" w:sz="4" w:space="0"/>
            </w:tcBorders>
            <w:shd w:val="clear" w:color="auto" w:fill="auto"/>
          </w:tcPr>
          <w:p w14:paraId="2BEEBEDF">
            <w:pPr>
              <w:spacing w:line="360" w:lineRule="auto"/>
              <w:jc w:val="center"/>
              <w:rPr>
                <w:rFonts w:ascii="宋体" w:hAnsi="宋体" w:eastAsia="宋体" w:cs="宋体"/>
                <w:sz w:val="24"/>
                <w:szCs w:val="24"/>
              </w:rPr>
            </w:pPr>
            <w:r>
              <w:rPr>
                <w:rFonts w:hint="eastAsia" w:ascii="宋体" w:hAnsi="宋体" w:eastAsia="宋体" w:cs="宋体"/>
                <w:sz w:val="24"/>
                <w:szCs w:val="24"/>
                <w:lang w:bidi="ar"/>
              </w:rPr>
              <w:t>4</w:t>
            </w:r>
          </w:p>
        </w:tc>
        <w:tc>
          <w:tcPr>
            <w:tcW w:w="1262" w:type="dxa"/>
            <w:gridSpan w:val="2"/>
            <w:tcBorders>
              <w:top w:val="nil"/>
              <w:left w:val="nil"/>
              <w:bottom w:val="single" w:color="auto" w:sz="4" w:space="0"/>
              <w:right w:val="single" w:color="auto" w:sz="4" w:space="0"/>
            </w:tcBorders>
            <w:shd w:val="clear" w:color="auto" w:fill="auto"/>
          </w:tcPr>
          <w:p w14:paraId="011D404A">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53.1</w:t>
            </w:r>
          </w:p>
        </w:tc>
        <w:tc>
          <w:tcPr>
            <w:tcW w:w="1230" w:type="dxa"/>
            <w:tcBorders>
              <w:top w:val="nil"/>
              <w:left w:val="nil"/>
              <w:bottom w:val="single" w:color="auto" w:sz="4" w:space="0"/>
              <w:right w:val="single" w:color="auto" w:sz="4" w:space="0"/>
            </w:tcBorders>
            <w:shd w:val="clear" w:color="auto" w:fill="auto"/>
          </w:tcPr>
          <w:p w14:paraId="5A38111A">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14.3</w:t>
            </w:r>
          </w:p>
        </w:tc>
        <w:tc>
          <w:tcPr>
            <w:tcW w:w="1605" w:type="dxa"/>
            <w:tcBorders>
              <w:top w:val="nil"/>
              <w:left w:val="nil"/>
              <w:bottom w:val="single" w:color="auto" w:sz="4" w:space="0"/>
              <w:right w:val="single" w:color="auto" w:sz="4" w:space="0"/>
            </w:tcBorders>
            <w:shd w:val="clear" w:color="auto" w:fill="auto"/>
          </w:tcPr>
          <w:p w14:paraId="33F4F175">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0.05</w:t>
            </w:r>
          </w:p>
        </w:tc>
      </w:tr>
      <w:tr w14:paraId="2C3D1F7E">
        <w:tblPrEx>
          <w:tblCellMar>
            <w:top w:w="0" w:type="dxa"/>
            <w:left w:w="108" w:type="dxa"/>
            <w:bottom w:w="0" w:type="dxa"/>
            <w:right w:w="108" w:type="dxa"/>
          </w:tblCellMar>
        </w:tblPrEx>
        <w:trPr>
          <w:trHeight w:val="540" w:hRule="atLeast"/>
        </w:trPr>
        <w:tc>
          <w:tcPr>
            <w:tcW w:w="1910" w:type="dxa"/>
            <w:tcBorders>
              <w:top w:val="single" w:color="auto" w:sz="4" w:space="0"/>
              <w:left w:val="single" w:color="auto" w:sz="4" w:space="0"/>
              <w:bottom w:val="single" w:color="auto" w:sz="4" w:space="0"/>
              <w:right w:val="single" w:color="auto" w:sz="4" w:space="0"/>
            </w:tcBorders>
            <w:shd w:val="clear" w:color="auto" w:fill="auto"/>
          </w:tcPr>
          <w:p w14:paraId="65BD4DD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E-205</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Pr>
          <w:p w14:paraId="2A60C84A">
            <w:pPr>
              <w:spacing w:line="360" w:lineRule="auto"/>
              <w:jc w:val="center"/>
              <w:rPr>
                <w:rFonts w:ascii="宋体" w:hAnsi="宋体" w:eastAsia="宋体" w:cs="宋体"/>
                <w:sz w:val="24"/>
                <w:szCs w:val="24"/>
              </w:rPr>
            </w:pPr>
            <w:r>
              <w:rPr>
                <w:rFonts w:hint="eastAsia" w:ascii="宋体" w:hAnsi="宋体" w:eastAsia="宋体" w:cs="宋体"/>
                <w:sz w:val="24"/>
                <w:szCs w:val="24"/>
                <w:lang w:bidi="ar"/>
              </w:rPr>
              <w:t>60.8</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Pr>
          <w:p w14:paraId="5DF090C7">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w:t>
            </w:r>
          </w:p>
        </w:tc>
        <w:tc>
          <w:tcPr>
            <w:tcW w:w="1255" w:type="dxa"/>
            <w:tcBorders>
              <w:top w:val="single" w:color="auto" w:sz="4" w:space="0"/>
              <w:left w:val="single" w:color="auto" w:sz="4" w:space="0"/>
              <w:bottom w:val="single" w:color="auto" w:sz="4" w:space="0"/>
              <w:right w:val="single" w:color="auto" w:sz="4" w:space="0"/>
            </w:tcBorders>
            <w:shd w:val="clear" w:color="auto" w:fill="auto"/>
          </w:tcPr>
          <w:p w14:paraId="70EF1096">
            <w:pPr>
              <w:spacing w:line="360" w:lineRule="auto"/>
              <w:jc w:val="center"/>
              <w:rPr>
                <w:rFonts w:ascii="宋体" w:hAnsi="宋体" w:eastAsia="宋体" w:cs="宋体"/>
                <w:sz w:val="24"/>
                <w:szCs w:val="24"/>
              </w:rPr>
            </w:pPr>
            <w:r>
              <w:rPr>
                <w:rFonts w:hint="eastAsia" w:ascii="宋体" w:hAnsi="宋体" w:eastAsia="宋体" w:cs="宋体"/>
                <w:sz w:val="24"/>
                <w:szCs w:val="24"/>
                <w:lang w:bidi="ar"/>
              </w:rPr>
              <w:t>55.8</w:t>
            </w:r>
          </w:p>
        </w:tc>
        <w:tc>
          <w:tcPr>
            <w:tcW w:w="1230" w:type="dxa"/>
            <w:tcBorders>
              <w:top w:val="single" w:color="auto" w:sz="4" w:space="0"/>
              <w:left w:val="single" w:color="auto" w:sz="4" w:space="0"/>
              <w:bottom w:val="single" w:color="auto" w:sz="4" w:space="0"/>
              <w:right w:val="single" w:color="auto" w:sz="4" w:space="0"/>
            </w:tcBorders>
            <w:shd w:val="clear" w:color="auto" w:fill="auto"/>
          </w:tcPr>
          <w:p w14:paraId="1E5C32B8">
            <w:pPr>
              <w:spacing w:line="360" w:lineRule="auto"/>
              <w:jc w:val="center"/>
              <w:rPr>
                <w:rFonts w:ascii="宋体" w:hAnsi="宋体" w:eastAsia="宋体" w:cs="宋体"/>
                <w:sz w:val="24"/>
                <w:szCs w:val="24"/>
              </w:rPr>
            </w:pPr>
            <w:r>
              <w:rPr>
                <w:rFonts w:hint="eastAsia" w:ascii="宋体" w:hAnsi="宋体" w:eastAsia="宋体" w:cs="宋体"/>
                <w:sz w:val="24"/>
                <w:szCs w:val="24"/>
                <w:lang w:bidi="ar"/>
              </w:rPr>
              <w:t>12.2</w:t>
            </w:r>
          </w:p>
        </w:tc>
        <w:tc>
          <w:tcPr>
            <w:tcW w:w="1605" w:type="dxa"/>
            <w:tcBorders>
              <w:top w:val="single" w:color="auto" w:sz="4" w:space="0"/>
              <w:left w:val="single" w:color="auto" w:sz="4" w:space="0"/>
              <w:bottom w:val="single" w:color="auto" w:sz="4" w:space="0"/>
              <w:right w:val="single" w:color="auto" w:sz="4" w:space="0"/>
            </w:tcBorders>
            <w:shd w:val="clear" w:color="auto" w:fill="auto"/>
          </w:tcPr>
          <w:p w14:paraId="521289CB">
            <w:pPr>
              <w:spacing w:line="360" w:lineRule="auto"/>
              <w:jc w:val="center"/>
              <w:rPr>
                <w:rFonts w:ascii="宋体" w:hAnsi="宋体" w:eastAsia="宋体" w:cs="宋体"/>
                <w:sz w:val="24"/>
                <w:szCs w:val="24"/>
              </w:rPr>
            </w:pPr>
            <w:r>
              <w:rPr>
                <w:rFonts w:hint="eastAsia" w:ascii="宋体" w:hAnsi="宋体" w:eastAsia="宋体" w:cs="宋体"/>
                <w:sz w:val="24"/>
                <w:szCs w:val="24"/>
                <w:lang w:bidi="ar"/>
              </w:rPr>
              <w:t>0.2</w:t>
            </w:r>
          </w:p>
        </w:tc>
      </w:tr>
    </w:tbl>
    <w:p w14:paraId="3FEDEA15">
      <w:pPr>
        <w:spacing w:line="360" w:lineRule="auto"/>
        <w:rPr>
          <w:rFonts w:ascii="宋体" w:hAnsi="宋体" w:eastAsia="宋体" w:cs="宋体"/>
          <w:sz w:val="24"/>
          <w:szCs w:val="24"/>
          <w:lang w:bidi="ar"/>
        </w:rPr>
      </w:pPr>
    </w:p>
    <w:p w14:paraId="253A0225">
      <w:pPr>
        <w:pStyle w:val="2"/>
        <w:numPr>
          <w:ilvl w:val="0"/>
          <w:numId w:val="3"/>
        </w:numPr>
        <w:ind w:firstLine="0"/>
      </w:pPr>
      <w:bookmarkStart w:id="10" w:name="_Toc21243"/>
      <w:bookmarkStart w:id="11" w:name="_Toc28293"/>
      <w:r>
        <w:t>验收</w:t>
      </w:r>
      <w:r>
        <w:rPr>
          <w:rFonts w:hint="eastAsia"/>
        </w:rPr>
        <w:t>结算</w:t>
      </w:r>
      <w:bookmarkEnd w:id="10"/>
      <w:bookmarkEnd w:id="11"/>
    </w:p>
    <w:p w14:paraId="0B44207B">
      <w:pPr>
        <w:spacing w:line="360" w:lineRule="auto"/>
        <w:ind w:firstLine="480" w:firstLineChars="200"/>
        <w:rPr>
          <w:rFonts w:hint="eastAsia" w:ascii="Times New Roman" w:hAnsi="Times New Roman" w:eastAsia="宋体" w:cs="Times New Roman"/>
          <w:sz w:val="24"/>
          <w:szCs w:val="24"/>
          <w:rPrChange w:id="0" w:author="cqpeng" w:date="2024-08-09T17:08:37Z">
            <w:rPr>
              <w:rFonts w:hint="eastAsia"/>
            </w:rPr>
          </w:rPrChange>
        </w:rPr>
      </w:pPr>
      <w:r>
        <w:rPr>
          <w:rFonts w:hint="eastAsia" w:ascii="Times New Roman" w:hAnsi="Times New Roman" w:eastAsia="宋体" w:cs="Times New Roman"/>
          <w:sz w:val="24"/>
          <w:szCs w:val="24"/>
        </w:rPr>
        <w:t>6.1</w:t>
      </w:r>
      <w:r>
        <w:rPr>
          <w:rFonts w:hint="eastAsia" w:ascii="Times New Roman" w:hAnsi="Times New Roman" w:eastAsia="宋体" w:cs="Times New Roman"/>
          <w:sz w:val="24"/>
          <w:szCs w:val="24"/>
          <w:rPrChange w:id="1" w:author="cqpeng" w:date="2024-08-09T17:08:37Z">
            <w:rPr>
              <w:rFonts w:hint="eastAsia"/>
            </w:rPr>
          </w:rPrChange>
        </w:rPr>
        <w:t>结算方式：合约中预估药剂添加量只作为合约报价的依据，不作为最后费用结算依据。在甲方正常操作、稳定及补充水质、AC-（≤15 mg/L）等指标控制范围内，乙方每月请款费用依据为：合同总价÷24个月×当月考核系数。结算总价不超过合约中双方约定的总价，超出部分的相关费用由乙方自行承担。若装置出现</w:t>
      </w:r>
      <w:r>
        <w:rPr>
          <w:rFonts w:hint="eastAsia" w:ascii="Times New Roman" w:hAnsi="Times New Roman" w:eastAsia="宋体" w:cs="Times New Roman"/>
          <w:sz w:val="24"/>
          <w:szCs w:val="24"/>
          <w:rPrChange w:id="2" w:author="cqpeng" w:date="2024-08-09T17:08:37Z">
            <w:rPr/>
          </w:rPrChange>
        </w:rPr>
        <w:t>7</w:t>
      </w:r>
      <w:r>
        <w:rPr>
          <w:rFonts w:hint="eastAsia" w:ascii="Times New Roman" w:hAnsi="Times New Roman" w:eastAsia="宋体" w:cs="Times New Roman"/>
          <w:sz w:val="24"/>
          <w:szCs w:val="24"/>
          <w:rPrChange w:id="3" w:author="cqpeng" w:date="2024-08-09T17:08:37Z">
            <w:rPr>
              <w:rFonts w:hint="eastAsia"/>
            </w:rPr>
          </w:rPrChange>
        </w:rPr>
        <w:t>天以上停车，停车期间甲方以乙方实际服务天数为结算依据支付当月货款：(合同总价÷24个月×当月考核系数) ÷自然月天数×服务天数。</w:t>
      </w:r>
    </w:p>
    <w:p w14:paraId="221B86D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6.2 当月考核系数计算</w:t>
      </w:r>
      <w:bookmarkStart w:id="22" w:name="_GoBack"/>
      <w:bookmarkEnd w:id="22"/>
    </w:p>
    <w:p w14:paraId="550BD4C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当月考核系数由售后服务考核和技术服务考核两部份组成，其中售后服务考核权重占比20%，技术服务考核权重占比80%。</w:t>
      </w:r>
    </w:p>
    <w:p w14:paraId="41EE5BF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当月考核系数=售后服务考核系数×20%+技术服务考核系数×80%</w:t>
      </w:r>
    </w:p>
    <w:p w14:paraId="704BCB4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6.2.1 售后服务考核：甲方根据合约售后服务内容对乙方执行情况进行服务评分，考评结果由甲乙双方共同签字确认，作为售后服务考核的依据。售后服务当月考评≥90分，考核系数为1；80分≤售后服务当月考评＜90分，考核系数为0.9；70分≤售后服务当月考评＜80分，考核系数为0.8；60分≤售后服务当月考评＜70分，考核系数为0.7；50分≤售后服务当月考评＜60分，考核系数为0.6；售后服务当月考评＜50分，考核系数为0。</w:t>
      </w:r>
    </w:p>
    <w:p w14:paraId="26C16E5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6.2.2 技术服务考核：按PTA团队氧化装置分析频率表核算废热锅炉水处理质量合格率，当月指标合格率≥90%，考核系数为1；80%≤合格率＜90%，考核系数为0.9；70%≤合格率＜80%，考核系数为0.8；60%≤合格率＜70%，考核系数为0.7；50%≤合格率＜60%，考核系数为0.6；合格率＜50%，考核系数为0，不支付货款，且甲方有权解除合约。</w:t>
      </w:r>
    </w:p>
    <w:p w14:paraId="65B368B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6.2.3 合格率的判定：若当天取样分析数据合格，则判定为当天处理合格；若数据不合格进行加样确认，二次加样数据合格，则判定当天处理合格，二次加样仍不合格，则判定当天处理不合格。异常处理期间频繁加样数据不计入考核范围，合格率按照以下公式计算。</w:t>
      </w:r>
    </w:p>
    <w:p w14:paraId="2EC4C4D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锅炉水质分析频率为：pH每天一次，Fe每周三次，SiO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每周三次，Cond. 每周三次， (PO4)</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每周三次。</w:t>
      </w:r>
    </w:p>
    <w:p w14:paraId="4DBF505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6.3 赔偿：未得到甲方认可前乙方不得单方面不执行合约，乙方单方面不执行合约应按合约总额赔偿甲方，如造成甲方生产事故或设备受损，甲方有权追加相应赔偿。</w:t>
      </w:r>
    </w:p>
    <w:p w14:paraId="3F798E84">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6.4 若样品连续一周合格率无法达到90%以上要求，甲方有权利要求试用其他厂家助剂，乙方不得有异议。</w:t>
      </w:r>
    </w:p>
    <w:p w14:paraId="355D3C4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6.5 合约到期或终止后，合约外多余的药剂及药剂空桶由乙方负责清理处置，产生的相关费用由乙方承担。</w:t>
      </w:r>
    </w:p>
    <w:p w14:paraId="54DEB0A8">
      <w:pPr>
        <w:pStyle w:val="2"/>
        <w:numPr>
          <w:ilvl w:val="0"/>
          <w:numId w:val="3"/>
        </w:numPr>
        <w:ind w:firstLine="0"/>
      </w:pPr>
      <w:bookmarkStart w:id="12" w:name="_Toc19954"/>
      <w:bookmarkStart w:id="13" w:name="_Toc23876"/>
      <w:r>
        <w:rPr>
          <w:rFonts w:hint="eastAsia"/>
        </w:rPr>
        <w:t>供货时间</w:t>
      </w:r>
      <w:bookmarkEnd w:id="12"/>
      <w:bookmarkEnd w:id="13"/>
    </w:p>
    <w:p w14:paraId="7E2C0BB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乙方锅炉水药剂供应及服务期为：2024年11月18日至2026年11月17日，共计24个月。</w:t>
      </w:r>
    </w:p>
    <w:p w14:paraId="7AC9B6BA">
      <w:pPr>
        <w:pStyle w:val="2"/>
        <w:numPr>
          <w:ilvl w:val="0"/>
          <w:numId w:val="3"/>
        </w:numPr>
        <w:ind w:firstLine="0"/>
      </w:pPr>
      <w:bookmarkStart w:id="14" w:name="_Toc24047"/>
      <w:bookmarkStart w:id="15" w:name="_Toc15538"/>
      <w:r>
        <w:rPr>
          <w:rFonts w:hint="eastAsia"/>
        </w:rPr>
        <w:t>包装</w:t>
      </w:r>
      <w:r>
        <w:t>及运输</w:t>
      </w:r>
      <w:bookmarkEnd w:id="14"/>
      <w:bookmarkEnd w:id="15"/>
    </w:p>
    <w:p w14:paraId="2774029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8.1 乙方负责提供产品的运输至甲方指定仓库，甲方负责现场卸货。</w:t>
      </w:r>
    </w:p>
    <w:p w14:paraId="28935E6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8.2 包装需满足长途陆路运输的要求，避免产品运输过程中日晒、雨淋及其它可能对产品造成损害的情况出现。</w:t>
      </w:r>
    </w:p>
    <w:p w14:paraId="3899543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8.3 产品的包装和运输应满足交通运输部门及行业协会所规定要求。</w:t>
      </w:r>
    </w:p>
    <w:p w14:paraId="58634F2A">
      <w:pPr>
        <w:pStyle w:val="2"/>
        <w:numPr>
          <w:ilvl w:val="0"/>
          <w:numId w:val="3"/>
        </w:numPr>
        <w:ind w:firstLine="0"/>
      </w:pPr>
      <w:bookmarkStart w:id="16" w:name="_Toc28026"/>
      <w:bookmarkStart w:id="17" w:name="_Toc14429"/>
      <w:r>
        <w:rPr>
          <w:rFonts w:hint="eastAsia"/>
        </w:rPr>
        <w:t>技术</w:t>
      </w:r>
      <w:r>
        <w:t>服务及售后</w:t>
      </w:r>
      <w:bookmarkEnd w:id="16"/>
      <w:bookmarkEnd w:id="17"/>
    </w:p>
    <w:p w14:paraId="74E0DEB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9.1 服务时间、地点</w:t>
      </w:r>
    </w:p>
    <w:p w14:paraId="71CBFD5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时间：2024年11月18日至2026年11月17日，共计24个月。</w:t>
      </w:r>
    </w:p>
    <w:p w14:paraId="39C4140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地点：福建省漳州市漳浦县古雷开发区腾龙路86号福海创石油化工有限公司</w:t>
      </w:r>
    </w:p>
    <w:p w14:paraId="32414DC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 日常服务要求</w:t>
      </w:r>
    </w:p>
    <w:p w14:paraId="0E50863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9.2.1 定期提供服务报告（含系统评估、水质处理评价和操作建议）。初步设定为周报、月报、季报和年报形式，系统异常期间据情增加频次。</w:t>
      </w:r>
    </w:p>
    <w:p w14:paraId="423A6A3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9.2.2 要求投标厂商在我司附近设置水处理分析设备和实验室，并派驻有资质的技术服务人员，保证至少每周3次的现场服务，包括且不限于药剂罐补充药剂、系统加药及调整、水质改善方案建议、现场药剂库存盘点等，如遇系统异常期间还应据实际情况增加现场服务次数。</w:t>
      </w:r>
    </w:p>
    <w:p w14:paraId="56097F3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9.2.3 乙方必须配置1名专业服务人员（具有3年以上的PTA装置锅炉水处理经验），提供现场调试和运行的技术服务，包括产品介绍、技术咨询、操作技术培训等内容。</w:t>
      </w:r>
    </w:p>
    <w:p w14:paraId="45626CD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9.2.4 如系统发生异常，服务人员接到通知2小时内至现场协助处理，采取应急措施及提供必要设施，处理完成后提供异常处理过程说明书面报告。</w:t>
      </w:r>
    </w:p>
    <w:p w14:paraId="6BF7859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9.2.5 锅炉停用期间，供应商需派项目技术人员协助装置编制锅炉停用保养方案、开停车方案，并在检修期间对设备内部检视，1周内提供书面检视报告。</w:t>
      </w:r>
    </w:p>
    <w:p w14:paraId="11CC14B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9.2.6 药剂到货，需甲方员工在场监督、核实到货数量，乙方应出具药剂清单及药剂合格证明。</w:t>
      </w:r>
    </w:p>
    <w:p w14:paraId="5D43B93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9.2.7 乙方负责到货药剂的搬运，各储罐日常药剂的添加，保持药剂摆放区域的整理、整洁，并负责药剂空桶的回收利用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处理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不得将药剂桶随意丢弃或违规处置。</w:t>
      </w:r>
    </w:p>
    <w:p w14:paraId="0A25AC8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9.2.8 药剂清点：乙方应对现场剩余药剂数量、使用药剂数量等定期统计，务必保证现场药剂量充足。若药剂使用量异常时，应及时反馈甲方并商讨解决方案。</w:t>
      </w:r>
    </w:p>
    <w:p w14:paraId="6257A0C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9.2.9 乙方根据每日水质分析情况，及时对药剂的添加量进行调整。</w:t>
      </w:r>
    </w:p>
    <w:p w14:paraId="56C11E2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9.2.10 协助装置技术人员对生产操作人员进行锅炉水药剂操作及相关知识的培训工作。</w:t>
      </w:r>
    </w:p>
    <w:p w14:paraId="49ADDEA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9.2.11甲方有权利要求试用其他厂家助剂</w:t>
      </w:r>
    </w:p>
    <w:p w14:paraId="2E42D65A">
      <w:pPr>
        <w:pStyle w:val="2"/>
        <w:numPr>
          <w:ilvl w:val="0"/>
          <w:numId w:val="3"/>
        </w:numPr>
        <w:ind w:firstLine="0"/>
      </w:pPr>
      <w:bookmarkStart w:id="18" w:name="_Toc2644"/>
      <w:bookmarkStart w:id="19" w:name="_Toc20505"/>
      <w:r>
        <w:rPr>
          <w:rFonts w:hint="eastAsia"/>
        </w:rPr>
        <w:t>双方</w:t>
      </w:r>
      <w:r>
        <w:t>责任</w:t>
      </w:r>
      <w:bookmarkEnd w:id="18"/>
      <w:bookmarkEnd w:id="19"/>
    </w:p>
    <w:p w14:paraId="55260AF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 通则</w:t>
      </w:r>
    </w:p>
    <w:p w14:paraId="2F7EADFF">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10.1.1 本要求提出的是最低限度的技术要求，并未对一切技术要求作出详细规定，也未充分的引述有关标准及规范的条文。乙方应保证提供符合本规范书和相关的国际、国内工业标准的优质产品及其相应服务。</w:t>
      </w:r>
    </w:p>
    <w:p w14:paraId="29E5DF7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10.1.2 本要求所使用的标准如遇与乙方、国家所执行的标准发生矛盾时，按较高标准执行。乙方确保供货完整以能满足用户系统要求为原则。</w:t>
      </w:r>
    </w:p>
    <w:p w14:paraId="72B9905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10.1.3 乙方若对本协议和招标文件的要求有不同的见解，以及工艺参数与合同要求有偏差时，应及时提出以供甲方确认。如乙方没有提出此类偏差文件，则乙方所提供的产品和服务将被认为完全符合甲方文件提出的要求。</w:t>
      </w:r>
    </w:p>
    <w:p w14:paraId="53E2825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10.1.4 本发包要求作为药剂采购和技术服务合同的附件，是该合同不可分割的一部分，作为一个整体，具有相同的法律效力。</w:t>
      </w:r>
    </w:p>
    <w:p w14:paraId="33AE1FE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10.2 甲方责任</w:t>
      </w:r>
    </w:p>
    <w:p w14:paraId="3A0A25B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10.2.1 负责日常的水质取样、指标分析。</w:t>
      </w:r>
    </w:p>
    <w:p w14:paraId="3256176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10.2.2 甲方根据乙方提供的上述产品质量指标进行验收。</w:t>
      </w:r>
    </w:p>
    <w:p w14:paraId="2BCBB0A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10.2.3 甲方应保证系统补水水质指标符合技术协议要求。</w:t>
      </w:r>
    </w:p>
    <w:p w14:paraId="40454E1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10.2.4 甲方与乙方约定的药剂使用量是以确保处理后的水质指标满足甲方要求为依据，如约定的药剂数量无法达到甲方要求的水质指标，乙方应通过增加药剂用量或调整药剂配方等手段使水质尽快达标，由此所增加的费用乙方不得向甲方追偿。如因甲方的原因（发生设备或工艺异常）造成药剂使用量超过约定，双方应共同对异常药剂量使用的原因进行分析，统计、核对异常工况产生的药剂使用量，在合约条款规范内，甲方向乙方支付超出合约药剂量的货款。超出合约货款支付金额计算：</w:t>
      </w:r>
    </w:p>
    <w:p w14:paraId="3DD1842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超出合约货款支付金额=超出合约药剂使用数量×药剂合约单价</w:t>
      </w:r>
    </w:p>
    <w:p w14:paraId="29C77DB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 乙方责任</w:t>
      </w:r>
    </w:p>
    <w:p w14:paraId="652DF1F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10.3.1 乙方需在规定的时间内向我司提供投标技术方案、资质材料和真实的业绩证明，供我司考察和技术澄清。厂商须提交下列资料和技术方案：</w:t>
      </w:r>
    </w:p>
    <w:p w14:paraId="2EA8D54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①提供企业法人营业执照</w:t>
      </w:r>
    </w:p>
    <w:p w14:paraId="1E0A7C8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②公司的主要业绩</w:t>
      </w:r>
    </w:p>
    <w:p w14:paraId="135907D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③锅炉水系统加药处理技术方案</w:t>
      </w:r>
    </w:p>
    <w:p w14:paraId="598D8131">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④药剂质量标准、化学成分表及分析方法、MSDS材料安全数据表</w:t>
      </w:r>
    </w:p>
    <w:p w14:paraId="24A20B5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⑤锅炉水系统泄漏事故的应急处理方案</w:t>
      </w:r>
    </w:p>
    <w:p w14:paraId="779A00F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⑥甲方要求的其它与本项目有关的证明材料</w:t>
      </w:r>
    </w:p>
    <w:p w14:paraId="6A22EC73">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10.3.2通过药剂注入量的调整以保证各种指标达到本技术协议中“水质控制指标”所规定的指标。</w:t>
      </w:r>
    </w:p>
    <w:p w14:paraId="58D5DBF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10.3.3根据生产需要，经甲方书面通知，乙方应15日内将货物运输至现场，并送到甲方指定点。保证在合同期内不得中断药剂供应。</w:t>
      </w:r>
    </w:p>
    <w:p w14:paraId="1F641A3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10.3.4参与标定方案的编写与审核，配合标定的各项工作。</w:t>
      </w:r>
    </w:p>
    <w:p w14:paraId="5E4EDCD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10.3.5乙方应在每一批次产品送至甲方指定地点的同时提供该批次产品的质检单、合格证、安全技术说明书（MSDS）等相关资料。</w:t>
      </w:r>
    </w:p>
    <w:p w14:paraId="127AFFAC">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10.3.6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14:paraId="13AF1B9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10.3.7与本项目有关的所有资料非经甲方同意，乙方不得泄露给任何第三方，否则乙方须承担由此带来的一切后果。</w:t>
      </w:r>
    </w:p>
    <w:p w14:paraId="3FC31D5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10.3.8乙方承诺的售后服务范围应按照协议要求实施，并计入考核内容。乙方的技术人员现场服务由甲乙双方共同签字确认，作为服务依据。</w:t>
      </w:r>
    </w:p>
    <w:p w14:paraId="3B4A75F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10.3.9乙方应在确认中标后第一时间到我司现场，与我司确认药剂过渡方案和备货情况，以保证系统的稳定运行和不发生水质波动。药剂供应及服务以甲方的正式通知（包括书面、电话或邮件）为准，药剂依乙方方案总量按月供应，并保证预留有</w:t>
      </w:r>
      <w:r>
        <w:rPr>
          <w:rFonts w:ascii="Times New Roman" w:hAnsi="Times New Roman" w:eastAsia="宋体" w:cs="Times New Roman"/>
          <w:sz w:val="24"/>
          <w:szCs w:val="24"/>
        </w:rPr>
        <w:t>1-3</w:t>
      </w:r>
      <w:r>
        <w:rPr>
          <w:rFonts w:hint="eastAsia" w:ascii="Times New Roman" w:hAnsi="Times New Roman" w:eastAsia="宋体" w:cs="Times New Roman"/>
          <w:sz w:val="24"/>
          <w:szCs w:val="24"/>
        </w:rPr>
        <w:t xml:space="preserve">月的安全库存，24个月内全部交齐。乙方需按甲方指定地点存放药剂，甲方不负责对现场存放药剂的保管责任。 </w:t>
      </w:r>
    </w:p>
    <w:p w14:paraId="329D58C2">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10.3.10乙方在合约期内未得到甲方认可不得中断药剂供应。</w:t>
      </w:r>
    </w:p>
    <w:p w14:paraId="5962C8E4">
      <w:pPr>
        <w:pStyle w:val="2"/>
        <w:numPr>
          <w:ilvl w:val="0"/>
          <w:numId w:val="3"/>
        </w:numPr>
        <w:ind w:firstLine="0"/>
      </w:pPr>
      <w:bookmarkStart w:id="20" w:name="_Toc25286"/>
      <w:bookmarkStart w:id="21" w:name="_Toc12127"/>
      <w:r>
        <w:rPr>
          <w:rFonts w:hint="eastAsia"/>
        </w:rPr>
        <w:t>其他</w:t>
      </w:r>
      <w:bookmarkEnd w:id="20"/>
      <w:bookmarkEnd w:id="21"/>
    </w:p>
    <w:p w14:paraId="3DC1B86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11.1竞标厂商需满足招标文件中相关的资质、业绩条件，并确保所提供的药剂、方案、和服务可满足上述技术要求后，方可参与竞标。</w:t>
      </w:r>
    </w:p>
    <w:p w14:paraId="4BCD397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11.2甲方安装的水质自动在线监测只作为加药和水质辅助监测，具体水质指标以甲方分析实验室化验数据报告为准；</w:t>
      </w:r>
    </w:p>
    <w:p w14:paraId="1B234EF9">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11.3合约履行期间，甲方可随时对药剂等进厂材料进行查验检测，乙方应予配合；</w:t>
      </w:r>
    </w:p>
    <w:p w14:paraId="349962C6">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11.4对于本招标技术文件中未尽事宜，可继续向招标方咨询了解，对于双方同意的新增或修改事项可另附文说明并作为合同附件。</w:t>
      </w:r>
    </w:p>
    <w:p w14:paraId="6A3ACADE">
      <w:pPr>
        <w:spacing w:line="360" w:lineRule="auto"/>
        <w:ind w:firstLine="420" w:firstLineChars="200"/>
        <w:rPr>
          <w:rFonts w:ascii="Times New Roman" w:hAnsi="Times New Roman" w:eastAsia="宋体" w:cs="Times New Roman"/>
          <w:sz w:val="24"/>
          <w:szCs w:val="24"/>
        </w:rPr>
      </w:pPr>
      <w:r>
        <w:rPr>
          <w:rStyle w:val="16"/>
        </w:rPr>
        <w:commentReference w:id="0"/>
      </w:r>
    </w:p>
    <w:sectPr>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nxq[林小强_DAC]" w:date="2024-08-07T16:09:00Z" w:initials="">
    <w:p w14:paraId="39DEF33E">
      <w:pPr>
        <w:pStyle w:val="5"/>
      </w:pPr>
      <w:r>
        <w:t>此部分是否有必要保留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DEF3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3547">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3551">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147B">
    <w:pPr>
      <w:pStyle w:val="8"/>
      <w:jc w:val="center"/>
    </w:pPr>
    <w:r>
      <w:rPr>
        <w:rFonts w:hint="eastAsia"/>
        <w:lang w:val="zh-CN"/>
      </w:rPr>
      <w:t>第</w:t>
    </w:r>
    <w:r>
      <w:rPr>
        <w:lang w:val="zh-CN"/>
      </w:rPr>
      <w:t xml:space="preserve"> </w:t>
    </w:r>
    <w:r>
      <w:fldChar w:fldCharType="begin"/>
    </w:r>
    <w:r>
      <w:instrText xml:space="preserve">PAGE  \* Arabic  \* MERGEFORMAT</w:instrText>
    </w:r>
    <w:r>
      <w:fldChar w:fldCharType="separate"/>
    </w:r>
    <w:r>
      <w:rPr>
        <w:lang w:val="zh-CN"/>
      </w:rPr>
      <w:t>7</w:t>
    </w:r>
    <w:r>
      <w:fldChar w:fldCharType="end"/>
    </w:r>
    <w:r>
      <w:rPr>
        <w:lang w:val="zh-CN"/>
      </w:rPr>
      <w:t xml:space="preserve"> </w:t>
    </w:r>
    <w:r>
      <w:rPr>
        <w:rFonts w:hint="eastAsia"/>
        <w:lang w:val="zh-CN"/>
      </w:rPr>
      <w:t>页</w:t>
    </w:r>
    <w:r>
      <w:rPr>
        <w:lang w:val="zh-CN"/>
      </w:rPr>
      <w:t xml:space="preserve">，共 </w:t>
    </w:r>
    <w:r>
      <w:t>7</w:t>
    </w:r>
    <w:r>
      <w:rPr>
        <w:rFonts w:hint="eastAsia"/>
      </w:rPr>
      <w:t>页</w:t>
    </w:r>
  </w:p>
  <w:p w14:paraId="01E1811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86D0">
    <w:pPr>
      <w:pStyle w:val="8"/>
      <w:jc w:val="center"/>
    </w:pPr>
    <w:r>
      <w:rPr>
        <w:rFonts w:hint="eastAsia"/>
      </w:rPr>
      <w:t>第</w:t>
    </w:r>
    <w:r>
      <w:t>1</w:t>
    </w:r>
    <w:r>
      <w:rPr>
        <w:rFonts w:hint="eastAsia"/>
      </w:rPr>
      <w:t>页</w:t>
    </w:r>
    <w:r>
      <w:t>，共</w:t>
    </w:r>
    <w:r>
      <w:fldChar w:fldCharType="begin"/>
    </w:r>
    <w:r>
      <w:instrText xml:space="preserve"> =</w:instrText>
    </w:r>
    <w:r>
      <w:fldChar w:fldCharType="begin"/>
    </w:r>
    <w:r>
      <w:instrText xml:space="preserve"> NUMPAGES   \* MERGEFORMAT </w:instrText>
    </w:r>
    <w:r>
      <w:fldChar w:fldCharType="separate"/>
    </w:r>
    <w:r>
      <w:instrText xml:space="preserve">9</w:instrText>
    </w:r>
    <w:r>
      <w:fldChar w:fldCharType="end"/>
    </w:r>
    <w:r>
      <w:instrText xml:space="preserve">-1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B9CA">
    <w:pPr>
      <w:pStyle w:val="9"/>
    </w:pPr>
    <w:r>
      <w:drawing>
        <wp:inline distT="0" distB="0" distL="0" distR="0">
          <wp:extent cx="2753995" cy="363855"/>
          <wp:effectExtent l="0" t="0" r="0" b="0"/>
          <wp:docPr id="9" name="图片 9" descr="E:\工作项目\已办理杂项\公司LOGO变更\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工作项目\已办理杂项\公司LOGO变更\彩横全_福海创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64962" cy="379027"/>
                  </a:xfrm>
                  <a:prstGeom prst="rect">
                    <a:avLst/>
                  </a:prstGeom>
                  <a:noFill/>
                  <a:ln>
                    <a:noFill/>
                  </a:ln>
                </pic:spPr>
              </pic:pic>
            </a:graphicData>
          </a:graphic>
        </wp:inline>
      </w:drawing>
    </w:r>
    <w:r>
      <w:pict>
        <v:shape id="PowerPlusWaterMarkObject482651682" o:spid="_x0000_s4098" o:spt="136" type="#_x0000_t136" style="position:absolute;left:0pt;height:66pt;width:46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福海创技术要求" style="font-family:楷体;font-size:6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B56B">
    <w:pPr>
      <w:pStyle w:val="9"/>
    </w:pPr>
    <w:r>
      <w:pict>
        <v:shape id="PowerPlusWaterMarkObject482651681" o:spid="_x0000_s4099" o:spt="136" type="#_x0000_t136" style="position:absolute;left:0pt;height:66pt;width:46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福海创技术要求" style="font-family:楷体;font-size:6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625A6">
    <w:pPr>
      <w:pStyle w:val="9"/>
    </w:pPr>
    <w:r>
      <w:drawing>
        <wp:inline distT="0" distB="0" distL="0" distR="0">
          <wp:extent cx="4303395" cy="568960"/>
          <wp:effectExtent l="0" t="0" r="0" b="0"/>
          <wp:docPr id="4" name="图片 4" descr="E:\工作项目\已办理杂项\公司LOGO变更\彩横全_福海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工作项目\已办理杂项\公司LOGO变更\彩横全_福海创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97876" cy="595057"/>
                  </a:xfrm>
                  <a:prstGeom prst="rect">
                    <a:avLst/>
                  </a:prstGeom>
                  <a:noFill/>
                  <a:ln>
                    <a:noFill/>
                  </a:ln>
                </pic:spPr>
              </pic:pic>
            </a:graphicData>
          </a:graphic>
        </wp:inline>
      </w:drawing>
    </w:r>
    <w:r>
      <w:pict>
        <v:shape id="PowerPlusWaterMarkObject482651680" o:spid="_x0000_s4097" o:spt="136" type="#_x0000_t136" style="position:absolute;left:0pt;height:66pt;width:46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福海创技术要求" style="font-family:楷体;font-size:6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C5457"/>
    <w:multiLevelType w:val="singleLevel"/>
    <w:tmpl w:val="051C5457"/>
    <w:lvl w:ilvl="0" w:tentative="0">
      <w:start w:val="1"/>
      <w:numFmt w:val="chineseCounting"/>
      <w:suff w:val="nothing"/>
      <w:lvlText w:val="%1、"/>
      <w:lvlJc w:val="left"/>
      <w:pPr>
        <w:ind w:left="0" w:firstLine="420"/>
      </w:pPr>
      <w:rPr>
        <w:rFonts w:hint="eastAsia"/>
      </w:rPr>
    </w:lvl>
  </w:abstractNum>
  <w:abstractNum w:abstractNumId="1">
    <w:nsid w:val="1BFC598F"/>
    <w:multiLevelType w:val="multilevel"/>
    <w:tmpl w:val="1BFC598F"/>
    <w:lvl w:ilvl="0" w:tentative="0">
      <w:start w:val="1"/>
      <w:numFmt w:val="decimal"/>
      <w:pStyle w:val="2"/>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7543D7"/>
    <w:multiLevelType w:val="multilevel"/>
    <w:tmpl w:val="677543D7"/>
    <w:lvl w:ilvl="0" w:tentative="0">
      <w:start w:val="1"/>
      <w:numFmt w:val="decimal"/>
      <w:suff w:val="space"/>
      <w:lvlText w:val="%1、"/>
      <w:lvlJc w:val="left"/>
      <w:pPr>
        <w:ind w:left="0" w:firstLine="0"/>
      </w:pPr>
      <w:rPr>
        <w:rFonts w:hint="default" w:ascii="Times New Roman" w:hAnsi="Times New Roman" w:cs="Times New Roman" w:eastAsiaTheme="minorEastAsia"/>
      </w:rPr>
    </w:lvl>
    <w:lvl w:ilvl="1" w:tentative="0">
      <w:start w:val="1"/>
      <w:numFmt w:val="lowerLetter"/>
      <w:pStyle w:val="4"/>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xq[林小强_DAC]">
    <w15:presenceInfo w15:providerId="AD" w15:userId="S-1-5-21-2531868543-1325768832-4194868076-7632"/>
  </w15:person>
  <w15:person w15:author="cqpeng">
    <w15:presenceInfo w15:providerId="None" w15:userId="cq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MzU5MzU0ZGIwM2NmYjE1M2I3ZjU1NGQ1ZDllYzEifQ=="/>
  </w:docVars>
  <w:rsids>
    <w:rsidRoot w:val="00172A27"/>
    <w:rsid w:val="000003E8"/>
    <w:rsid w:val="00006C5C"/>
    <w:rsid w:val="0000766C"/>
    <w:rsid w:val="00010405"/>
    <w:rsid w:val="00056656"/>
    <w:rsid w:val="00066C1C"/>
    <w:rsid w:val="000927EF"/>
    <w:rsid w:val="000A04C7"/>
    <w:rsid w:val="000C1D20"/>
    <w:rsid w:val="00102E1E"/>
    <w:rsid w:val="00103245"/>
    <w:rsid w:val="001120DC"/>
    <w:rsid w:val="001138BB"/>
    <w:rsid w:val="00125BCA"/>
    <w:rsid w:val="00126356"/>
    <w:rsid w:val="0013650E"/>
    <w:rsid w:val="00140E33"/>
    <w:rsid w:val="001430E2"/>
    <w:rsid w:val="00152001"/>
    <w:rsid w:val="0016184B"/>
    <w:rsid w:val="00163AAF"/>
    <w:rsid w:val="00172A27"/>
    <w:rsid w:val="00173F54"/>
    <w:rsid w:val="00192884"/>
    <w:rsid w:val="001A64AD"/>
    <w:rsid w:val="001A6854"/>
    <w:rsid w:val="001B007D"/>
    <w:rsid w:val="001B4E59"/>
    <w:rsid w:val="001C65B8"/>
    <w:rsid w:val="001E2300"/>
    <w:rsid w:val="001E564F"/>
    <w:rsid w:val="00210A8C"/>
    <w:rsid w:val="00212A2D"/>
    <w:rsid w:val="00221445"/>
    <w:rsid w:val="00235C6E"/>
    <w:rsid w:val="00235FAD"/>
    <w:rsid w:val="0024275C"/>
    <w:rsid w:val="00246D9A"/>
    <w:rsid w:val="00257CB1"/>
    <w:rsid w:val="00262427"/>
    <w:rsid w:val="00282FC8"/>
    <w:rsid w:val="002A0149"/>
    <w:rsid w:val="002A378A"/>
    <w:rsid w:val="002D0070"/>
    <w:rsid w:val="002D700E"/>
    <w:rsid w:val="002F53CC"/>
    <w:rsid w:val="00301B7F"/>
    <w:rsid w:val="003062B5"/>
    <w:rsid w:val="00307429"/>
    <w:rsid w:val="00307B68"/>
    <w:rsid w:val="00316ED8"/>
    <w:rsid w:val="00323495"/>
    <w:rsid w:val="00337938"/>
    <w:rsid w:val="00354AD6"/>
    <w:rsid w:val="00365868"/>
    <w:rsid w:val="00371494"/>
    <w:rsid w:val="003916FD"/>
    <w:rsid w:val="003C3B2C"/>
    <w:rsid w:val="003D6997"/>
    <w:rsid w:val="004145B9"/>
    <w:rsid w:val="00416672"/>
    <w:rsid w:val="004751C6"/>
    <w:rsid w:val="004804C8"/>
    <w:rsid w:val="004863AB"/>
    <w:rsid w:val="00490F1C"/>
    <w:rsid w:val="004A0962"/>
    <w:rsid w:val="004A1EC7"/>
    <w:rsid w:val="004B3FB0"/>
    <w:rsid w:val="004B7302"/>
    <w:rsid w:val="004F085F"/>
    <w:rsid w:val="004F214D"/>
    <w:rsid w:val="00500DA4"/>
    <w:rsid w:val="00501A7A"/>
    <w:rsid w:val="00513CB9"/>
    <w:rsid w:val="00533B9E"/>
    <w:rsid w:val="00534393"/>
    <w:rsid w:val="00542D40"/>
    <w:rsid w:val="005548D4"/>
    <w:rsid w:val="005551A0"/>
    <w:rsid w:val="00555B02"/>
    <w:rsid w:val="005700CE"/>
    <w:rsid w:val="00590A30"/>
    <w:rsid w:val="005B4647"/>
    <w:rsid w:val="005C03C7"/>
    <w:rsid w:val="005D3615"/>
    <w:rsid w:val="005D38D9"/>
    <w:rsid w:val="005E094F"/>
    <w:rsid w:val="005E4CCB"/>
    <w:rsid w:val="00612CC2"/>
    <w:rsid w:val="0062659E"/>
    <w:rsid w:val="00633A38"/>
    <w:rsid w:val="006462FD"/>
    <w:rsid w:val="006474D5"/>
    <w:rsid w:val="00662CDF"/>
    <w:rsid w:val="00672AD1"/>
    <w:rsid w:val="00675D1C"/>
    <w:rsid w:val="006A71C5"/>
    <w:rsid w:val="006C0A24"/>
    <w:rsid w:val="006F351C"/>
    <w:rsid w:val="007042BF"/>
    <w:rsid w:val="00705146"/>
    <w:rsid w:val="00724C9F"/>
    <w:rsid w:val="007320F2"/>
    <w:rsid w:val="007419DE"/>
    <w:rsid w:val="00742F9D"/>
    <w:rsid w:val="00763CC4"/>
    <w:rsid w:val="00783898"/>
    <w:rsid w:val="00784373"/>
    <w:rsid w:val="00790638"/>
    <w:rsid w:val="007A2BE1"/>
    <w:rsid w:val="007B6939"/>
    <w:rsid w:val="007C5F4E"/>
    <w:rsid w:val="00800070"/>
    <w:rsid w:val="00800AFC"/>
    <w:rsid w:val="00837CA0"/>
    <w:rsid w:val="008402CB"/>
    <w:rsid w:val="008479A3"/>
    <w:rsid w:val="0086233F"/>
    <w:rsid w:val="00874347"/>
    <w:rsid w:val="0089048B"/>
    <w:rsid w:val="008C2526"/>
    <w:rsid w:val="008F3F80"/>
    <w:rsid w:val="00905BF2"/>
    <w:rsid w:val="0090774A"/>
    <w:rsid w:val="00936384"/>
    <w:rsid w:val="00941E8A"/>
    <w:rsid w:val="00946A3C"/>
    <w:rsid w:val="00987306"/>
    <w:rsid w:val="009912C1"/>
    <w:rsid w:val="009A4800"/>
    <w:rsid w:val="009A54EA"/>
    <w:rsid w:val="009B79B3"/>
    <w:rsid w:val="009C1D54"/>
    <w:rsid w:val="009C490B"/>
    <w:rsid w:val="009D279A"/>
    <w:rsid w:val="009D43D9"/>
    <w:rsid w:val="009E6BD7"/>
    <w:rsid w:val="00A02045"/>
    <w:rsid w:val="00A121B7"/>
    <w:rsid w:val="00A3586D"/>
    <w:rsid w:val="00A520B9"/>
    <w:rsid w:val="00A5538F"/>
    <w:rsid w:val="00A56AE9"/>
    <w:rsid w:val="00A743D8"/>
    <w:rsid w:val="00A83D0E"/>
    <w:rsid w:val="00A85240"/>
    <w:rsid w:val="00A86D7E"/>
    <w:rsid w:val="00A93E98"/>
    <w:rsid w:val="00A94E6B"/>
    <w:rsid w:val="00A95747"/>
    <w:rsid w:val="00AA3AF5"/>
    <w:rsid w:val="00AF36CF"/>
    <w:rsid w:val="00B218F3"/>
    <w:rsid w:val="00B34068"/>
    <w:rsid w:val="00B66BDD"/>
    <w:rsid w:val="00B71CA0"/>
    <w:rsid w:val="00BE4974"/>
    <w:rsid w:val="00C0690A"/>
    <w:rsid w:val="00C15764"/>
    <w:rsid w:val="00C42952"/>
    <w:rsid w:val="00C438D2"/>
    <w:rsid w:val="00C472CF"/>
    <w:rsid w:val="00C7530A"/>
    <w:rsid w:val="00C93C0E"/>
    <w:rsid w:val="00CA26AD"/>
    <w:rsid w:val="00CC408D"/>
    <w:rsid w:val="00D20B11"/>
    <w:rsid w:val="00D327B0"/>
    <w:rsid w:val="00D337C1"/>
    <w:rsid w:val="00D46610"/>
    <w:rsid w:val="00D74F4C"/>
    <w:rsid w:val="00D75B98"/>
    <w:rsid w:val="00D76228"/>
    <w:rsid w:val="00D90015"/>
    <w:rsid w:val="00D96A5B"/>
    <w:rsid w:val="00DA3F37"/>
    <w:rsid w:val="00DA5BD8"/>
    <w:rsid w:val="00DC2560"/>
    <w:rsid w:val="00DD6D0E"/>
    <w:rsid w:val="00DE2828"/>
    <w:rsid w:val="00DE6CF3"/>
    <w:rsid w:val="00E01CD2"/>
    <w:rsid w:val="00E156EA"/>
    <w:rsid w:val="00E2638E"/>
    <w:rsid w:val="00E360AD"/>
    <w:rsid w:val="00E778A8"/>
    <w:rsid w:val="00EB3DA1"/>
    <w:rsid w:val="00EB61E0"/>
    <w:rsid w:val="00EF184C"/>
    <w:rsid w:val="00F037C5"/>
    <w:rsid w:val="00F17A25"/>
    <w:rsid w:val="00F23616"/>
    <w:rsid w:val="00F26AA6"/>
    <w:rsid w:val="00F2771F"/>
    <w:rsid w:val="00F322A8"/>
    <w:rsid w:val="00F45D08"/>
    <w:rsid w:val="00F80959"/>
    <w:rsid w:val="00F80D39"/>
    <w:rsid w:val="00FA4135"/>
    <w:rsid w:val="00FB5943"/>
    <w:rsid w:val="00FC4CA0"/>
    <w:rsid w:val="00FD18B6"/>
    <w:rsid w:val="00FE6794"/>
    <w:rsid w:val="00FF2A52"/>
    <w:rsid w:val="058E6727"/>
    <w:rsid w:val="0F3E2321"/>
    <w:rsid w:val="13477EFD"/>
    <w:rsid w:val="1D5008B3"/>
    <w:rsid w:val="1DA31714"/>
    <w:rsid w:val="21132E91"/>
    <w:rsid w:val="31E72743"/>
    <w:rsid w:val="37173053"/>
    <w:rsid w:val="3CFD757E"/>
    <w:rsid w:val="5A1563E0"/>
    <w:rsid w:val="67DD2D7C"/>
    <w:rsid w:val="68727AEC"/>
    <w:rsid w:val="6ED278A7"/>
    <w:rsid w:val="6F496736"/>
    <w:rsid w:val="7072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5"/>
    <w:qFormat/>
    <w:uiPriority w:val="9"/>
    <w:pPr>
      <w:numPr>
        <w:ilvl w:val="0"/>
        <w:numId w:val="1"/>
      </w:numPr>
      <w:spacing w:before="240" w:after="60"/>
      <w:ind w:firstLineChars="0"/>
      <w:outlineLvl w:val="0"/>
    </w:pPr>
    <w:rPr>
      <w:b/>
      <w:sz w:val="32"/>
      <w:szCs w:val="32"/>
    </w:rPr>
  </w:style>
  <w:style w:type="paragraph" w:styleId="4">
    <w:name w:val="heading 2"/>
    <w:basedOn w:val="1"/>
    <w:next w:val="1"/>
    <w:link w:val="21"/>
    <w:autoRedefine/>
    <w:qFormat/>
    <w:uiPriority w:val="0"/>
    <w:pPr>
      <w:numPr>
        <w:ilvl w:val="1"/>
        <w:numId w:val="2"/>
      </w:numPr>
      <w:spacing w:line="360" w:lineRule="auto"/>
      <w:jc w:val="left"/>
      <w:outlineLvl w:val="1"/>
    </w:pPr>
    <w:rPr>
      <w:rFonts w:ascii="Arial" w:hAnsi="Arial" w:eastAsia="宋体" w:cs="Times New Roman"/>
      <w:color w:val="000000" w:themeColor="text1"/>
      <w:sz w:val="24"/>
      <w:szCs w:val="24"/>
      <w14:textFill>
        <w14:solidFill>
          <w14:schemeClr w14:val="tx1"/>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rPr>
      <w:rFonts w:ascii="Times New Roman" w:hAnsi="Times New Roman" w:eastAsia="宋体" w:cs="Times New Roman"/>
      <w:szCs w:val="24"/>
    </w:rPr>
  </w:style>
  <w:style w:type="paragraph" w:styleId="5">
    <w:name w:val="annotation text"/>
    <w:basedOn w:val="1"/>
    <w:link w:val="22"/>
    <w:semiHidden/>
    <w:unhideWhenUsed/>
    <w:qFormat/>
    <w:uiPriority w:val="99"/>
    <w:pPr>
      <w:jc w:val="left"/>
    </w:p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left" w:pos="420"/>
        <w:tab w:val="right" w:leader="dot" w:pos="8296"/>
      </w:tabs>
      <w:spacing w:line="360" w:lineRule="auto"/>
      <w:jc w:val="left"/>
    </w:pPr>
    <w:rPr>
      <w:rFonts w:cs="Times New Roman"/>
      <w:kern w:val="0"/>
      <w:sz w:val="22"/>
    </w:rPr>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3"/>
    <w:semiHidden/>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customStyle="1" w:styleId="19">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20">
    <w:name w:val="批注框文本 Char"/>
    <w:basedOn w:val="14"/>
    <w:link w:val="7"/>
    <w:semiHidden/>
    <w:qFormat/>
    <w:uiPriority w:val="99"/>
    <w:rPr>
      <w:sz w:val="18"/>
      <w:szCs w:val="18"/>
    </w:rPr>
  </w:style>
  <w:style w:type="character" w:customStyle="1" w:styleId="21">
    <w:name w:val="标题 2 Char"/>
    <w:basedOn w:val="14"/>
    <w:link w:val="4"/>
    <w:qFormat/>
    <w:uiPriority w:val="0"/>
    <w:rPr>
      <w:rFonts w:ascii="Arial" w:hAnsi="Arial" w:eastAsia="宋体" w:cs="Times New Roman"/>
      <w:color w:val="000000" w:themeColor="text1"/>
      <w:sz w:val="24"/>
      <w:szCs w:val="24"/>
      <w14:textFill>
        <w14:solidFill>
          <w14:schemeClr w14:val="tx1"/>
        </w14:solidFill>
      </w14:textFill>
    </w:rPr>
  </w:style>
  <w:style w:type="character" w:customStyle="1" w:styleId="22">
    <w:name w:val="批注文字 Char"/>
    <w:basedOn w:val="14"/>
    <w:link w:val="5"/>
    <w:semiHidden/>
    <w:qFormat/>
    <w:uiPriority w:val="99"/>
  </w:style>
  <w:style w:type="character" w:customStyle="1" w:styleId="23">
    <w:name w:val="批注主题 Char"/>
    <w:basedOn w:val="22"/>
    <w:link w:val="12"/>
    <w:semiHidden/>
    <w:qFormat/>
    <w:uiPriority w:val="99"/>
    <w:rPr>
      <w:b/>
      <w:bCs/>
    </w:rPr>
  </w:style>
  <w:style w:type="character" w:customStyle="1" w:styleId="24">
    <w:name w:val="日期 Char"/>
    <w:basedOn w:val="14"/>
    <w:link w:val="6"/>
    <w:semiHidden/>
    <w:qFormat/>
    <w:uiPriority w:val="99"/>
  </w:style>
  <w:style w:type="character" w:customStyle="1" w:styleId="25">
    <w:name w:val="标题 1 Char"/>
    <w:basedOn w:val="14"/>
    <w:link w:val="2"/>
    <w:qFormat/>
    <w:uiPriority w:val="9"/>
    <w:rPr>
      <w:rFonts w:ascii="Times New Roman" w:hAnsi="Times New Roman" w:eastAsia="宋体" w:cs="Times New Roman"/>
      <w:b/>
      <w:sz w:val="32"/>
      <w:szCs w:val="32"/>
    </w:rPr>
  </w:style>
  <w:style w:type="paragraph" w:customStyle="1" w:styleId="26">
    <w:name w:val="TOC 标题1"/>
    <w:basedOn w:val="2"/>
    <w:next w:val="1"/>
    <w:unhideWhenUsed/>
    <w:qFormat/>
    <w:uiPriority w:val="39"/>
    <w:pPr>
      <w:widowControl/>
      <w:spacing w:after="0" w:line="259" w:lineRule="auto"/>
      <w:jc w:val="left"/>
      <w:outlineLvl w:val="9"/>
    </w:pPr>
    <w:rPr>
      <w:rFonts w:asciiTheme="majorHAnsi" w:hAnsiTheme="majorHAnsi" w:eastAsiaTheme="majorEastAsia" w:cstheme="majorBidi"/>
      <w:b w:val="0"/>
      <w:bCs/>
      <w:color w:val="2E75B6" w:themeColor="accent1" w:themeShade="BF"/>
      <w:kern w:val="0"/>
    </w:rPr>
  </w:style>
  <w:style w:type="paragraph" w:customStyle="1" w:styleId="27">
    <w:name w:val="列出段落1"/>
    <w:basedOn w:val="1"/>
    <w:qFormat/>
    <w:uiPriority w:val="0"/>
    <w:pPr>
      <w:ind w:firstLine="420" w:firstLineChars="200"/>
    </w:pPr>
    <w:rPr>
      <w:rFonts w:ascii="Times New Roman" w:hAnsi="Times New Roman" w:eastAsia="宋体" w:cs="Times New Roman"/>
      <w:szCs w:val="21"/>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44C31-A413-4400-AE89-B468E260B8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4424</Words>
  <Characters>5259</Characters>
  <Lines>46</Lines>
  <Paragraphs>13</Paragraphs>
  <TotalTime>818</TotalTime>
  <ScaleCrop>false</ScaleCrop>
  <LinksUpToDate>false</LinksUpToDate>
  <CharactersWithSpaces>5362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2023-01-16T06:13:00Z</dcterms:created>
  <dc:creator>李华彬</dc:creator>
  <cp:lastModifiedBy>cqpeng</cp:lastModifiedBy>
  <dcterms:modified xsi:type="dcterms:W3CDTF">2024-08-09T09:08:40Z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17ABB3141B994E818C5B683FEC7FB6CA_12</vt:lpwstr>
  </property>
</Properties>
</file>