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电气团队电力监控系统密码测评服务项目发包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FHC-PTCG20240731003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四年八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福建福海创石油化工有限公司电气团队电力监控系统密码测评服务项目发包（项目编号：FHC-PTCG20240731003</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项目名称：福建福海创石油化工有限公司电气团队电力监控系统密码测评服务项目发包</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详见附件1《发包说明》</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24.38</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eastAsia="宋体"/>
          <w:lang w:val="en-US" w:eastAsia="zh-CN"/>
        </w:rPr>
      </w:pPr>
      <w:r>
        <w:rPr>
          <w:rFonts w:hint="eastAsia"/>
          <w:sz w:val="24"/>
          <w:szCs w:val="24"/>
          <w:lang w:val="en-US" w:eastAsia="zh-CN"/>
        </w:rPr>
        <w:t>4.工期要求：</w:t>
      </w:r>
      <w:r>
        <w:rPr>
          <w:rFonts w:hint="eastAsia" w:hAnsi="宋体" w:cs="宋体"/>
          <w:sz w:val="24"/>
          <w:szCs w:val="24"/>
          <w:lang w:val="en-US" w:eastAsia="zh-CN" w:bidi="ar-SA"/>
        </w:rPr>
        <w:t>30天。</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pPr>
        <w:widowControl/>
        <w:spacing w:line="360" w:lineRule="auto"/>
        <w:ind w:firstLine="480" w:firstLineChars="200"/>
        <w:jc w:val="left"/>
        <w:rPr>
          <w:rFonts w:hint="eastAsia"/>
          <w:sz w:val="24"/>
          <w:szCs w:val="24"/>
          <w:lang w:eastAsia="zh-CN"/>
        </w:rPr>
      </w:pPr>
      <w:r>
        <w:rPr>
          <w:rFonts w:hint="eastAsia"/>
          <w:sz w:val="24"/>
          <w:szCs w:val="24"/>
          <w:lang w:eastAsia="zh-CN"/>
        </w:rPr>
        <w:t>2.参选人提供的项目技术经理需具备职业技能等级证书(密码安全应用员四级及以上)；</w:t>
      </w:r>
    </w:p>
    <w:p>
      <w:pPr>
        <w:widowControl/>
        <w:spacing w:line="360" w:lineRule="auto"/>
        <w:ind w:firstLine="480" w:firstLineChars="200"/>
        <w:jc w:val="left"/>
        <w:rPr>
          <w:rFonts w:hint="eastAsia"/>
          <w:sz w:val="24"/>
          <w:szCs w:val="24"/>
          <w:lang w:eastAsia="zh-CN"/>
        </w:rPr>
      </w:pPr>
      <w:r>
        <w:rPr>
          <w:rFonts w:hint="eastAsia"/>
          <w:sz w:val="24"/>
          <w:szCs w:val="24"/>
          <w:lang w:eastAsia="zh-CN"/>
        </w:rPr>
        <w:t>3.参选人商提供的技术工程师需要具备工业和信息化人才专业知识测评证书(NITS)</w:t>
      </w:r>
      <w:r>
        <w:rPr>
          <w:rFonts w:hint="eastAsia"/>
          <w:sz w:val="24"/>
          <w:szCs w:val="24"/>
          <w:lang w:val="en-US" w:eastAsia="zh-CN"/>
        </w:rPr>
        <w:t>及数据安全官证书（CCRC-DSO）</w:t>
      </w:r>
      <w:r>
        <w:rPr>
          <w:rFonts w:hint="eastAsia"/>
          <w:sz w:val="24"/>
          <w:szCs w:val="24"/>
          <w:lang w:eastAsia="zh-CN"/>
        </w:rPr>
        <w:t>；</w:t>
      </w:r>
    </w:p>
    <w:p>
      <w:pPr>
        <w:widowControl/>
        <w:spacing w:line="360" w:lineRule="auto"/>
        <w:ind w:firstLine="480" w:firstLineChars="200"/>
        <w:jc w:val="left"/>
        <w:rPr>
          <w:rFonts w:hint="eastAsia"/>
          <w:sz w:val="24"/>
          <w:szCs w:val="24"/>
          <w:lang w:eastAsia="zh-CN"/>
        </w:rPr>
      </w:pPr>
      <w:r>
        <w:rPr>
          <w:rFonts w:hint="eastAsia"/>
          <w:sz w:val="24"/>
          <w:szCs w:val="24"/>
          <w:lang w:val="en-US" w:eastAsia="zh-CN"/>
        </w:rPr>
        <w:t>4.参选人需具备安全生产许可证、电子与智能化工程专业承包贰级及以上证书；</w:t>
      </w:r>
    </w:p>
    <w:p>
      <w:pPr>
        <w:tabs>
          <w:tab w:val="left" w:pos="709"/>
        </w:tabs>
        <w:spacing w:line="360" w:lineRule="auto"/>
        <w:ind w:firstLine="480"/>
        <w:rPr>
          <w:rFonts w:hint="eastAsia"/>
          <w:sz w:val="24"/>
          <w:szCs w:val="24"/>
          <w:lang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tabs>
          <w:tab w:val="left" w:pos="709"/>
        </w:tabs>
        <w:spacing w:line="360" w:lineRule="auto"/>
        <w:ind w:firstLine="480"/>
        <w:rPr>
          <w:rFonts w:hint="eastAsia"/>
          <w:lang w:eastAsia="zh-CN"/>
        </w:rPr>
      </w:pPr>
      <w:r>
        <w:rPr>
          <w:rFonts w:hint="eastAsia"/>
          <w:sz w:val="24"/>
          <w:szCs w:val="24"/>
          <w:lang w:val="en-US" w:eastAsia="zh-CN"/>
        </w:rPr>
        <w:t>6</w:t>
      </w:r>
      <w:r>
        <w:rPr>
          <w:rFonts w:hint="eastAsia"/>
          <w:sz w:val="24"/>
          <w:szCs w:val="24"/>
          <w:lang w:eastAsia="zh-CN"/>
        </w:rPr>
        <w:t>.本项目不接受联合体投标。</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13</w:t>
      </w:r>
      <w:r>
        <w:rPr>
          <w:rFonts w:hint="eastAsia"/>
          <w:color w:val="000000" w:themeColor="text1"/>
          <w:sz w:val="24"/>
          <w:szCs w:val="24"/>
          <w:lang w:eastAsia="zh-CN"/>
        </w:rPr>
        <w:t>日至</w:t>
      </w:r>
      <w:r>
        <w:rPr>
          <w:rFonts w:hint="eastAsia"/>
          <w:color w:val="000000" w:themeColor="text1"/>
          <w:sz w:val="24"/>
          <w:szCs w:val="24"/>
          <w:lang w:val="en-US" w:eastAsia="zh-CN"/>
        </w:rPr>
        <w:t>22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提供项目技术经理职业技能等级证书(密码安全应用员四级及以上)、技术工程师工业和信息化人才专业知识测评证书(NITS)及数据安全官证书（CCRC-DSO）、企业安全生产许可证、电子与智能化工程专业承包贰级及以上证书</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autoSpaceDE/>
        <w:autoSpaceDN/>
        <w:spacing w:line="360" w:lineRule="auto"/>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asciiTheme="majorEastAsia" w:hAnsiTheme="majorEastAsia" w:eastAsiaTheme="majorEastAsia"/>
          <w:bCs/>
          <w:sz w:val="24"/>
          <w:szCs w:val="24"/>
          <w:lang w:val="en-US" w:eastAsia="zh-CN"/>
        </w:rPr>
        <w:t>2024年8月27日12时止。</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4800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电气团队电力监控系统密码测评服务项目参选保证金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lang w:val="en-US" w:eastAsia="zh-CN"/>
        </w:rPr>
        <w:t xml:space="preserve">   </w:t>
      </w:r>
      <w:r>
        <w:rPr>
          <w:rFonts w:hint="eastAsia" w:hAnsi="宋体" w:cs="宋体"/>
          <w:sz w:val="24"/>
          <w:szCs w:val="24"/>
          <w:lang w:val="en-US" w:eastAsia="zh-CN" w:bidi="ar-SA"/>
        </w:rPr>
        <w:t>技术联系人：陈重炫 电话：18350660255 邮箱：</w:t>
      </w:r>
      <w:r>
        <w:rPr>
          <w:rFonts w:hint="eastAsia" w:ascii="宋体" w:hAnsi="宋体" w:eastAsia="宋体" w:cs="宋体"/>
          <w:color w:val="000000" w:themeColor="text1"/>
          <w:sz w:val="24"/>
          <w:szCs w:val="24"/>
          <w:lang w:val="en-US" w:eastAsia="zh-CN" w:bidi="ar-SA"/>
        </w:rPr>
        <w:t>chenzx@fhcpec.com.cn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邮编：363216</w:t>
      </w:r>
    </w:p>
    <w:p>
      <w:pPr>
        <w:spacing w:line="360" w:lineRule="auto"/>
        <w:rPr>
          <w:sz w:val="24"/>
          <w:szCs w:val="24"/>
          <w:lang w:eastAsia="zh-CN"/>
        </w:rPr>
      </w:pPr>
    </w:p>
    <w:p>
      <w:pPr>
        <w:pStyle w:val="3"/>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福建福海创石油化工有限公司电气团队电力监控系统密码测评服务项目发包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1、发包说明</w:t>
      </w:r>
    </w:p>
    <w:p>
      <w:pPr>
        <w:pStyle w:val="20"/>
        <w:spacing w:line="360" w:lineRule="auto"/>
        <w:ind w:right="121"/>
        <w:jc w:val="both"/>
        <w:rPr>
          <w:color w:val="FF0000"/>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color w:val="FF0000"/>
          <w:lang w:eastAsia="zh-CN"/>
        </w:rPr>
        <w:t xml:space="preserve">  </w:t>
      </w:r>
      <w:r>
        <w:rPr>
          <w:rFonts w:hint="eastAsia"/>
          <w:lang w:eastAsia="zh-CN"/>
        </w:rPr>
        <w:t xml:space="preserve">  商务联系人：戴小玉 电话：0596-6311078 邮箱：xydai@fhcpec.com.cn</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技术联系人：陈重炫 电话：18350660255 邮箱：chenzx@fhcpec.com.cn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pPr>
        <w:tabs>
          <w:tab w:val="left" w:pos="709"/>
        </w:tabs>
        <w:spacing w:line="360" w:lineRule="auto"/>
        <w:ind w:firstLine="480"/>
        <w:rPr>
          <w:rFonts w:hint="eastAsia"/>
          <w:sz w:val="24"/>
          <w:szCs w:val="24"/>
          <w:lang w:eastAsia="zh-CN"/>
        </w:rPr>
      </w:pPr>
      <w:r>
        <w:rPr>
          <w:rFonts w:hint="eastAsia"/>
          <w:sz w:val="24"/>
          <w:szCs w:val="24"/>
          <w:lang w:eastAsia="zh-CN"/>
        </w:rPr>
        <w:t>2.参选人提供的项目技术经理需具备职业技能等级证书(密码安全应用员四级及以上)；</w:t>
      </w:r>
    </w:p>
    <w:p>
      <w:pPr>
        <w:tabs>
          <w:tab w:val="left" w:pos="709"/>
        </w:tabs>
        <w:spacing w:line="360" w:lineRule="auto"/>
        <w:ind w:firstLine="480"/>
        <w:rPr>
          <w:rFonts w:hint="eastAsia"/>
          <w:sz w:val="24"/>
          <w:szCs w:val="24"/>
          <w:lang w:eastAsia="zh-CN"/>
        </w:rPr>
      </w:pPr>
      <w:r>
        <w:rPr>
          <w:rFonts w:hint="eastAsia"/>
          <w:sz w:val="24"/>
          <w:szCs w:val="24"/>
          <w:lang w:eastAsia="zh-CN"/>
        </w:rPr>
        <w:t>3.参选人商提供的技术工程师需要具备工业和信息化人才专业知识测评证书(NITS)及数据安全官证书（CCRC-DSO）；</w:t>
      </w:r>
    </w:p>
    <w:p>
      <w:pPr>
        <w:tabs>
          <w:tab w:val="left" w:pos="709"/>
        </w:tabs>
        <w:spacing w:line="360" w:lineRule="auto"/>
        <w:ind w:firstLine="480"/>
        <w:rPr>
          <w:rFonts w:hint="eastAsia"/>
          <w:sz w:val="24"/>
          <w:szCs w:val="24"/>
          <w:lang w:eastAsia="zh-CN"/>
        </w:rPr>
      </w:pPr>
      <w:r>
        <w:rPr>
          <w:rFonts w:hint="eastAsia"/>
          <w:sz w:val="24"/>
          <w:szCs w:val="24"/>
          <w:lang w:eastAsia="zh-CN"/>
        </w:rPr>
        <w:t>4.参选人需具备安全生产许可证、电子与智能化工程专业承包贰级及以上证书；</w:t>
      </w:r>
    </w:p>
    <w:p>
      <w:pPr>
        <w:tabs>
          <w:tab w:val="left" w:pos="709"/>
        </w:tabs>
        <w:spacing w:line="360" w:lineRule="auto"/>
        <w:ind w:firstLine="480"/>
        <w:rPr>
          <w:rFonts w:hint="eastAsia"/>
          <w:sz w:val="24"/>
          <w:szCs w:val="24"/>
          <w:lang w:eastAsia="zh-CN"/>
        </w:rPr>
      </w:pPr>
      <w:r>
        <w:rPr>
          <w:rFonts w:hint="eastAsia"/>
          <w:sz w:val="24"/>
          <w:szCs w:val="24"/>
          <w:lang w:eastAsia="zh-CN"/>
        </w:rPr>
        <w:t>5.参选人与比选人无诉讼纠纷，没有失信黑名单记录（以最高院失信被执行人系统发布信息为准）；</w:t>
      </w:r>
    </w:p>
    <w:p>
      <w:pPr>
        <w:tabs>
          <w:tab w:val="left" w:pos="709"/>
        </w:tabs>
        <w:spacing w:line="360" w:lineRule="auto"/>
        <w:ind w:firstLine="480"/>
        <w:rPr>
          <w:rFonts w:hint="eastAsia"/>
          <w:color w:val="000000" w:themeColor="text1"/>
          <w:sz w:val="24"/>
          <w:szCs w:val="24"/>
          <w:lang w:val="en-US" w:eastAsia="zh-CN"/>
        </w:rPr>
      </w:pPr>
      <w:r>
        <w:rPr>
          <w:rFonts w:hint="eastAsia"/>
          <w:sz w:val="24"/>
          <w:szCs w:val="24"/>
          <w:lang w:eastAsia="zh-CN"/>
        </w:rPr>
        <w:t>6.本项目不接受联合体投标。</w:t>
      </w:r>
      <w:r>
        <w:rPr>
          <w:rFonts w:hint="eastAsia"/>
          <w:color w:val="000000" w:themeColor="text1"/>
          <w:sz w:val="24"/>
          <w:szCs w:val="24"/>
          <w:lang w:val="en-US" w:eastAsia="zh-CN"/>
        </w:rPr>
        <w:t xml:space="preserve">    </w:t>
      </w:r>
    </w:p>
    <w:p>
      <w:pPr>
        <w:pStyle w:val="20"/>
        <w:spacing w:line="360" w:lineRule="auto"/>
        <w:ind w:right="121" w:firstLine="534" w:firstLineChars="200"/>
        <w:jc w:val="both"/>
        <w:rPr>
          <w:b/>
          <w:w w:val="95"/>
          <w:sz w:val="28"/>
          <w:lang w:eastAsia="zh-CN"/>
        </w:rPr>
      </w:pP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4800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firstLine="480"/>
        <w:jc w:val="both"/>
        <w:rPr>
          <w:rFonts w:hint="eastAsia"/>
          <w:lang w:eastAsia="zh-CN"/>
        </w:rPr>
      </w:pPr>
      <w:r>
        <w:rPr>
          <w:rFonts w:hint="eastAsia"/>
          <w:color w:val="000000" w:themeColor="text1"/>
          <w:lang w:eastAsia="zh-CN"/>
        </w:rPr>
        <w:t>注明用途：</w:t>
      </w:r>
      <w:r>
        <w:rPr>
          <w:rFonts w:hint="eastAsia"/>
          <w:b w:val="0"/>
          <w:bCs/>
          <w:snapToGrid w:val="0"/>
          <w:color w:val="000000" w:themeColor="text1"/>
          <w:spacing w:val="8"/>
          <w:sz w:val="24"/>
          <w:szCs w:val="24"/>
          <w:lang w:val="en-US" w:eastAsia="zh-CN"/>
        </w:rPr>
        <w:t>电气团队电力监控系统密码测评服务项目参选保证金</w:t>
      </w:r>
      <w:r>
        <w:rPr>
          <w:rFonts w:hint="eastAsia"/>
          <w:lang w:eastAsia="zh-CN"/>
        </w:rPr>
        <w:t xml:space="preserve">    </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rFonts w:hint="eastAsia"/>
          <w:b/>
          <w:bCs/>
          <w:lang w:eastAsia="zh-CN"/>
        </w:rPr>
      </w:pPr>
      <w:r>
        <w:rPr>
          <w:rFonts w:hint="eastAsia"/>
          <w:lang w:eastAsia="zh-CN"/>
        </w:rPr>
        <w:t xml:space="preserve">    注：开户许可证上账号应与参选保证金转账回单上账号一致，否则视为未按规定提交参选保证金,所造成的一切后果由参选人自行负责。</w:t>
      </w:r>
      <w:r>
        <w:rPr>
          <w:rFonts w:hint="eastAsia"/>
          <w:b/>
          <w:bCs/>
          <w:lang w:eastAsia="zh-CN"/>
        </w:rPr>
        <w:t>参选保证金转入后，将相关凭证放在商务比选文件中。</w:t>
      </w:r>
    </w:p>
    <w:p>
      <w:pPr>
        <w:pStyle w:val="20"/>
        <w:spacing w:line="360" w:lineRule="auto"/>
        <w:ind w:right="121"/>
        <w:jc w:val="both"/>
        <w:rPr>
          <w:rFonts w:hint="eastAsia"/>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中</w:t>
      </w:r>
      <w:r>
        <w:rPr>
          <w:rFonts w:hint="eastAsia"/>
          <w:lang w:eastAsia="zh-CN"/>
        </w:rPr>
        <w:t>选者的比选保证金（无息），最迟不超过规定的比选有效期满后的</w:t>
      </w:r>
      <w:r>
        <w:rPr>
          <w:rFonts w:hint="eastAsia"/>
          <w:lang w:val="en-US" w:eastAsia="zh-CN"/>
        </w:rPr>
        <w:t>60</w:t>
      </w:r>
      <w:r>
        <w:rPr>
          <w:rFonts w:hint="eastAsia"/>
          <w:lang w:eastAsia="zh-CN"/>
        </w:rPr>
        <w:t>天；</w:t>
      </w:r>
    </w:p>
    <w:p>
      <w:pPr>
        <w:pStyle w:val="20"/>
        <w:spacing w:line="360" w:lineRule="auto"/>
        <w:ind w:right="121"/>
        <w:jc w:val="both"/>
        <w:rPr>
          <w:rFonts w:hint="eastAsia"/>
          <w:lang w:eastAsia="zh-CN"/>
        </w:rPr>
      </w:pPr>
      <w:r>
        <w:rPr>
          <w:rFonts w:hint="eastAsia"/>
          <w:lang w:eastAsia="zh-CN"/>
        </w:rPr>
        <w:t xml:space="preserve">    4.如有下列情况发生，将被没收参选保证金：</w:t>
      </w:r>
    </w:p>
    <w:p>
      <w:pPr>
        <w:pStyle w:val="20"/>
        <w:spacing w:line="360" w:lineRule="auto"/>
        <w:ind w:right="121"/>
        <w:jc w:val="both"/>
        <w:rPr>
          <w:rFonts w:hint="eastAsia"/>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2024年8月27</w:t>
      </w:r>
      <w:bookmarkStart w:id="1" w:name="_GoBack"/>
      <w:bookmarkEnd w:id="1"/>
      <w:r>
        <w:rPr>
          <w:rFonts w:hint="eastAsia"/>
          <w:b w:val="0"/>
          <w:color w:val="000000" w:themeColor="text1"/>
          <w:lang w:val="en-US" w:eastAsia="zh-CN"/>
        </w:rPr>
        <w:t>日12时止</w:t>
      </w:r>
      <w:r>
        <w:rPr>
          <w:rFonts w:hint="eastAsia"/>
          <w:b w:val="0"/>
          <w:color w:val="000000" w:themeColor="text1"/>
          <w:lang w:eastAsia="zh-CN"/>
        </w:rPr>
        <w:t>。</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0596-6311078。</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0"/>
        <w:spacing w:line="360" w:lineRule="auto"/>
        <w:ind w:right="121" w:firstLine="480" w:firstLineChars="200"/>
        <w:jc w:val="both"/>
        <w:rPr>
          <w:rFonts w:hint="default"/>
          <w:lang w:val="en-US" w:eastAsia="zh-CN"/>
        </w:rPr>
      </w:pPr>
      <w:r>
        <w:rPr>
          <w:rFonts w:hint="eastAsia"/>
          <w:lang w:val="en-US" w:eastAsia="zh-CN"/>
        </w:rPr>
        <w:t>技术文件，见附件参选文件格式，胶装或平装。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24.38</w:t>
      </w:r>
      <w:r>
        <w:rPr>
          <w:rFonts w:hint="eastAsia"/>
          <w:b/>
          <w:color w:val="FF0000"/>
          <w:lang w:eastAsia="zh-CN"/>
        </w:rPr>
        <w:t>万元整（含税）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eastAsia"/>
          <w:b/>
          <w:bCs/>
          <w:sz w:val="24"/>
          <w:szCs w:val="24"/>
        </w:rPr>
      </w:pPr>
      <w:r>
        <w:rPr>
          <w:rFonts w:hint="eastAsia" w:ascii="Times New Roman"/>
          <w:b/>
          <w:bCs/>
          <w:lang w:val="en-US" w:eastAsia="zh-CN"/>
        </w:rPr>
        <w:t>合同模板详看附件</w:t>
      </w:r>
      <w:bookmarkStart w:id="0" w:name="_Toc251742852"/>
      <w:r>
        <w:rPr>
          <w:rFonts w:hint="eastAsia" w:ascii="Times New Roman"/>
          <w:b/>
          <w:bCs/>
          <w:lang w:val="en-US" w:eastAsia="zh-CN"/>
        </w:rPr>
        <w:t>2</w:t>
      </w:r>
    </w:p>
    <w:p>
      <w:pPr>
        <w:pStyle w:val="2"/>
        <w:rPr>
          <w:rFonts w:hint="eastAsia"/>
          <w:b/>
          <w:bCs/>
          <w:sz w:val="24"/>
          <w:szCs w:val="24"/>
        </w:rPr>
      </w:pPr>
    </w:p>
    <w:p>
      <w:pPr>
        <w:pStyle w:val="2"/>
        <w:rPr>
          <w:rFonts w:hint="eastAsia"/>
          <w:b/>
          <w:bCs/>
          <w:sz w:val="24"/>
          <w:szCs w:val="24"/>
        </w:rPr>
      </w:pPr>
    </w:p>
    <w:bookmarkEnd w:id="0"/>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电气团队电力监控系统密码测评服务项目发包参选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vAlign w:val="center"/>
          </w:tcPr>
          <w:p>
            <w:pPr>
              <w:spacing w:line="500" w:lineRule="exact"/>
              <w:jc w:val="left"/>
              <w:rPr>
                <w:rFonts w:hint="eastAsia"/>
                <w:sz w:val="24"/>
              </w:rPr>
            </w:pPr>
            <w:r>
              <w:rPr>
                <w:rFonts w:hint="eastAsia"/>
                <w:sz w:val="24"/>
                <w:lang w:eastAsia="zh-CN"/>
              </w:rPr>
              <w:t>参选</w:t>
            </w:r>
            <w:r>
              <w:rPr>
                <w:rFonts w:hint="eastAsia"/>
                <w:sz w:val="24"/>
              </w:rPr>
              <w:t>书</w:t>
            </w:r>
          </w:p>
        </w:tc>
        <w:tc>
          <w:tcPr>
            <w:tcW w:w="1843" w:type="dxa"/>
            <w:vAlign w:val="center"/>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center"/>
          </w:tcPr>
          <w:p>
            <w:pPr>
              <w:spacing w:line="500" w:lineRule="exact"/>
              <w:jc w:val="left"/>
              <w:rPr>
                <w:rFonts w:hint="eastAsia"/>
                <w:sz w:val="24"/>
              </w:rPr>
            </w:pPr>
            <w:r>
              <w:rPr>
                <w:rFonts w:hint="eastAsia"/>
                <w:sz w:val="24"/>
                <w:lang w:eastAsia="zh-CN"/>
              </w:rPr>
              <w:t>法定代表人身份证复印件</w:t>
            </w:r>
          </w:p>
        </w:tc>
        <w:tc>
          <w:tcPr>
            <w:tcW w:w="1843" w:type="dxa"/>
            <w:vAlign w:val="center"/>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center"/>
          </w:tcPr>
          <w:p>
            <w:pPr>
              <w:spacing w:line="500" w:lineRule="exact"/>
              <w:jc w:val="left"/>
              <w:rPr>
                <w:rFonts w:hint="eastAsia"/>
                <w:sz w:val="24"/>
                <w:lang w:eastAsia="zh-CN"/>
              </w:rPr>
            </w:pPr>
            <w:r>
              <w:rPr>
                <w:rFonts w:hint="eastAsia"/>
                <w:sz w:val="24"/>
              </w:rPr>
              <w:t>营业执照</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center"/>
          </w:tcPr>
          <w:p>
            <w:pPr>
              <w:spacing w:line="500" w:lineRule="exact"/>
              <w:jc w:val="left"/>
              <w:rPr>
                <w:rFonts w:hint="default"/>
                <w:sz w:val="24"/>
                <w:lang w:val="en-US" w:eastAsia="zh-CN"/>
              </w:rPr>
            </w:pPr>
            <w:r>
              <w:rPr>
                <w:rFonts w:hint="eastAsia"/>
                <w:sz w:val="24"/>
                <w:lang w:val="en-US" w:eastAsia="zh-CN"/>
              </w:rPr>
              <w:t>提供项目技术经理职业技能等级证书(密码安全应用员四级及以上)、技术工程师工业和信息化人才专业知识测评证书(NITS)及数据安全官证书（CCRC-DSO）、企业安全生产许可证、电子与智能化工程专业承包贰级及以上证书（盖章复印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b/>
                <w:bCs/>
                <w:sz w:val="24"/>
                <w:lang w:val="en-US" w:eastAsia="zh-CN"/>
              </w:rPr>
            </w:pPr>
            <w:r>
              <w:rPr>
                <w:rFonts w:hint="eastAsia"/>
                <w:b/>
                <w:bCs/>
                <w:sz w:val="24"/>
                <w:lang w:val="en-US" w:eastAsia="zh-CN"/>
              </w:rPr>
              <w:t>5</w:t>
            </w:r>
          </w:p>
        </w:tc>
        <w:tc>
          <w:tcPr>
            <w:tcW w:w="6023" w:type="dxa"/>
            <w:vAlign w:val="center"/>
          </w:tcPr>
          <w:p>
            <w:pPr>
              <w:spacing w:line="500" w:lineRule="exact"/>
              <w:jc w:val="left"/>
              <w:rPr>
                <w:rFonts w:hint="eastAsia"/>
                <w:sz w:val="24"/>
                <w:lang w:val="en-US" w:eastAsia="zh-CN"/>
              </w:rPr>
            </w:pPr>
            <w:r>
              <w:rPr>
                <w:rFonts w:hint="eastAsia"/>
                <w:b/>
                <w:bCs/>
                <w:sz w:val="24"/>
              </w:rPr>
              <w:t>参选报价单</w:t>
            </w:r>
            <w:r>
              <w:rPr>
                <w:rFonts w:hint="eastAsia"/>
                <w:b/>
                <w:bCs/>
                <w:color w:val="FF0000"/>
                <w:sz w:val="24"/>
                <w:lang w:eastAsia="zh-CN"/>
              </w:rPr>
              <w:t>（</w:t>
            </w:r>
            <w:r>
              <w:rPr>
                <w:rFonts w:hint="eastAsia"/>
                <w:b/>
                <w:bCs/>
                <w:color w:val="FF0000"/>
                <w:sz w:val="24"/>
                <w:lang w:val="en-US" w:eastAsia="zh-CN"/>
              </w:rPr>
              <w:t>请单独包装，技术文件扫描件U盘放在商务文件里面</w:t>
            </w:r>
            <w:r>
              <w:rPr>
                <w:rFonts w:hint="eastAsia"/>
                <w:b/>
                <w:bCs/>
                <w:color w:val="FF0000"/>
                <w:sz w:val="24"/>
                <w:lang w:eastAsia="zh-CN"/>
              </w:rPr>
              <w:t>）</w:t>
            </w:r>
          </w:p>
        </w:tc>
        <w:tc>
          <w:tcPr>
            <w:tcW w:w="1843" w:type="dxa"/>
            <w:vAlign w:val="center"/>
          </w:tcPr>
          <w:p>
            <w:pPr>
              <w:spacing w:line="500" w:lineRule="exact"/>
              <w:jc w:val="center"/>
              <w:rPr>
                <w:rFonts w:hint="eastAsia" w:ascii="宋体" w:hAnsi="宋体" w:eastAsia="宋体" w:cs="宋体"/>
                <w:b/>
                <w:bCs/>
                <w:sz w:val="24"/>
                <w:szCs w:val="22"/>
                <w:lang w:val="en-US" w:eastAsia="zh-CN" w:bidi="ar-SA"/>
              </w:rPr>
            </w:pPr>
            <w:r>
              <w:rPr>
                <w:rFonts w:hint="eastAsia"/>
                <w:b/>
                <w:bCs/>
                <w:sz w:val="24"/>
                <w:lang w:val="en-US" w:eastAsia="zh-CN"/>
              </w:rPr>
              <w:t>商务文件</w:t>
            </w: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b/>
          <w:bCs/>
          <w:sz w:val="36"/>
          <w:szCs w:val="36"/>
          <w:lang w:val="en-US" w:eastAsia="zh-CN"/>
        </w:rPr>
      </w:pPr>
      <w:r>
        <w:rPr>
          <w:rFonts w:hint="eastAsia" w:ascii="宋体" w:hAnsi="宋体" w:eastAsia="宋体" w:cs="宋体"/>
          <w:b/>
          <w:bCs/>
          <w:sz w:val="36"/>
          <w:szCs w:val="36"/>
          <w:lang w:val="en-US" w:eastAsia="zh-CN" w:bidi="ar-SA"/>
        </w:rPr>
        <w:t>项目技术经理职业技能等级证书(密码安全应用员四级及以上)、技术工程师工业和信息化人才专业知识测评证书(NITS)及数据安全官证书（CCRC-DSO）、企业安全生产许可证、电子与智能化工程专业承包贰级及以上证书</w:t>
      </w: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hint="eastAsia"/>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电气团队电力监控系统密码测评服务项目发包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p>
    <w:tbl>
      <w:tblPr>
        <w:tblStyle w:val="47"/>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64"/>
        <w:gridCol w:w="2427"/>
        <w:gridCol w:w="1222"/>
        <w:gridCol w:w="740"/>
        <w:gridCol w:w="151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24" w:hRule="atLeast"/>
          <w:jc w:val="center"/>
        </w:trPr>
        <w:tc>
          <w:tcPr>
            <w:tcW w:w="504"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szCs w:val="24"/>
              </w:rPr>
            </w:pPr>
            <w:r>
              <w:rPr>
                <w:rFonts w:hint="eastAsia" w:ascii="宋体" w:hAnsi="宋体" w:eastAsia="宋体" w:cs="仿宋"/>
                <w:b/>
                <w:bCs/>
                <w:color w:val="000000" w:themeColor="text1"/>
                <w:kern w:val="0"/>
                <w:sz w:val="24"/>
                <w:szCs w:val="24"/>
              </w:rPr>
              <w:t>序号</w:t>
            </w:r>
          </w:p>
        </w:tc>
        <w:tc>
          <w:tcPr>
            <w:tcW w:w="1418"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szCs w:val="24"/>
              </w:rPr>
            </w:pPr>
            <w:r>
              <w:rPr>
                <w:rFonts w:hint="eastAsia" w:ascii="宋体" w:hAnsi="宋体" w:eastAsia="宋体" w:cs="仿宋"/>
                <w:b/>
                <w:bCs/>
                <w:color w:val="000000" w:themeColor="text1"/>
                <w:kern w:val="0"/>
                <w:sz w:val="24"/>
                <w:szCs w:val="24"/>
              </w:rPr>
              <w:t>产品描述</w:t>
            </w:r>
          </w:p>
        </w:tc>
        <w:tc>
          <w:tcPr>
            <w:tcW w:w="714"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szCs w:val="24"/>
              </w:rPr>
            </w:pPr>
            <w:r>
              <w:rPr>
                <w:rFonts w:hint="eastAsia" w:ascii="宋体" w:hAnsi="宋体" w:eastAsia="宋体" w:cs="仿宋"/>
                <w:b/>
                <w:bCs/>
                <w:color w:val="000000" w:themeColor="text1"/>
                <w:kern w:val="0"/>
                <w:sz w:val="24"/>
                <w:szCs w:val="24"/>
              </w:rPr>
              <w:t>数量</w:t>
            </w:r>
          </w:p>
        </w:tc>
        <w:tc>
          <w:tcPr>
            <w:tcW w:w="432"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4"/>
                <w:szCs w:val="24"/>
              </w:rPr>
            </w:pPr>
            <w:r>
              <w:rPr>
                <w:rFonts w:hint="eastAsia" w:ascii="宋体" w:hAnsi="宋体" w:eastAsia="宋体" w:cs="仿宋"/>
                <w:b/>
                <w:bCs/>
                <w:color w:val="000000" w:themeColor="text1"/>
                <w:kern w:val="0"/>
                <w:sz w:val="24"/>
                <w:szCs w:val="24"/>
              </w:rPr>
              <w:t>单位</w:t>
            </w:r>
          </w:p>
        </w:tc>
        <w:tc>
          <w:tcPr>
            <w:tcW w:w="886" w:type="pct"/>
            <w:shd w:val="clear" w:color="auto" w:fill="FFFFFF" w:themeFill="background1"/>
            <w:vAlign w:val="center"/>
          </w:tcPr>
          <w:p>
            <w:pPr>
              <w:widowControl/>
              <w:spacing w:line="360" w:lineRule="auto"/>
              <w:jc w:val="center"/>
              <w:rPr>
                <w:rFonts w:hint="eastAsia" w:cs="仿宋"/>
                <w:b/>
                <w:bCs/>
                <w:color w:val="000000" w:themeColor="text1"/>
                <w:kern w:val="0"/>
                <w:sz w:val="24"/>
                <w:szCs w:val="24"/>
                <w:lang w:val="en-US" w:eastAsia="zh-CN"/>
              </w:rPr>
            </w:pPr>
            <w:r>
              <w:rPr>
                <w:rFonts w:hint="eastAsia" w:cs="仿宋"/>
                <w:b/>
                <w:bCs/>
                <w:color w:val="000000" w:themeColor="text1"/>
                <w:kern w:val="0"/>
                <w:sz w:val="24"/>
                <w:szCs w:val="24"/>
                <w:lang w:val="en-US" w:eastAsia="zh-CN"/>
              </w:rPr>
              <w:t>单价</w:t>
            </w:r>
          </w:p>
          <w:p>
            <w:pPr>
              <w:widowControl/>
              <w:spacing w:line="360" w:lineRule="auto"/>
              <w:jc w:val="center"/>
              <w:rPr>
                <w:rFonts w:hint="eastAsia" w:ascii="宋体" w:hAnsi="宋体" w:eastAsia="宋体" w:cs="仿宋"/>
                <w:b/>
                <w:bCs/>
                <w:color w:val="000000" w:themeColor="text1"/>
                <w:kern w:val="0"/>
                <w:sz w:val="24"/>
                <w:szCs w:val="24"/>
                <w:lang w:val="en-US" w:eastAsia="zh-CN"/>
              </w:rPr>
            </w:pPr>
            <w:r>
              <w:rPr>
                <w:rFonts w:hint="eastAsia" w:cs="仿宋"/>
                <w:b/>
                <w:bCs/>
                <w:color w:val="000000" w:themeColor="text1"/>
                <w:kern w:val="0"/>
                <w:sz w:val="24"/>
                <w:szCs w:val="24"/>
                <w:lang w:val="en-US" w:eastAsia="zh-CN"/>
              </w:rPr>
              <w:t>（元/项）</w:t>
            </w:r>
          </w:p>
        </w:tc>
        <w:tc>
          <w:tcPr>
            <w:tcW w:w="1043" w:type="pct"/>
            <w:shd w:val="clear" w:color="auto" w:fill="FFFFFF" w:themeFill="background1"/>
            <w:vAlign w:val="center"/>
          </w:tcPr>
          <w:p>
            <w:pPr>
              <w:widowControl/>
              <w:spacing w:line="360" w:lineRule="auto"/>
              <w:jc w:val="center"/>
              <w:rPr>
                <w:rFonts w:hint="eastAsia" w:ascii="宋体" w:hAnsi="宋体" w:eastAsia="宋体" w:cs="仿宋"/>
                <w:b/>
                <w:bCs/>
                <w:color w:val="000000" w:themeColor="text1"/>
                <w:kern w:val="0"/>
                <w:sz w:val="24"/>
                <w:szCs w:val="24"/>
                <w:lang w:val="en-US" w:eastAsia="zh-CN"/>
              </w:rPr>
            </w:pPr>
            <w:r>
              <w:rPr>
                <w:rFonts w:hint="eastAsia" w:cs="仿宋"/>
                <w:b/>
                <w:bCs/>
                <w:color w:val="000000" w:themeColor="text1"/>
                <w:kern w:val="0"/>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504"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w:t>
            </w:r>
          </w:p>
        </w:tc>
        <w:tc>
          <w:tcPr>
            <w:tcW w:w="1418"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4"/>
                <w:szCs w:val="24"/>
              </w:rPr>
            </w:pPr>
            <w:r>
              <w:rPr>
                <w:rFonts w:hint="eastAsia" w:ascii="Times New Roman" w:hAnsi="ˎ̥"/>
                <w:color w:val="000000" w:themeColor="text1"/>
                <w:sz w:val="24"/>
                <w:szCs w:val="24"/>
                <w:u w:val="none"/>
                <w:lang w:eastAsia="zh-CN"/>
              </w:rPr>
              <w:t>电力监控系统密码测评服务</w:t>
            </w:r>
          </w:p>
        </w:tc>
        <w:tc>
          <w:tcPr>
            <w:tcW w:w="714" w:type="pct"/>
            <w:vMerge w:val="restart"/>
            <w:shd w:val="clear" w:color="auto" w:fill="FFFFFF" w:themeFill="background1"/>
            <w:noWrap/>
            <w:vAlign w:val="center"/>
          </w:tcPr>
          <w:p>
            <w:pPr>
              <w:widowControl/>
              <w:spacing w:line="360" w:lineRule="auto"/>
              <w:jc w:val="center"/>
              <w:rPr>
                <w:rFonts w:hint="eastAsia" w:ascii="宋体" w:hAnsi="宋体" w:eastAsia="宋体" w:cs="仿宋"/>
                <w:color w:val="000000" w:themeColor="text1"/>
                <w:sz w:val="24"/>
                <w:szCs w:val="24"/>
                <w:lang w:eastAsia="zh-CN"/>
              </w:rPr>
            </w:pPr>
            <w:r>
              <w:rPr>
                <w:rFonts w:hint="eastAsia" w:cs="仿宋"/>
                <w:color w:val="000000" w:themeColor="text1"/>
                <w:sz w:val="24"/>
                <w:szCs w:val="24"/>
                <w:lang w:val="en-US" w:eastAsia="zh-CN"/>
              </w:rPr>
              <w:t>1</w:t>
            </w:r>
          </w:p>
        </w:tc>
        <w:tc>
          <w:tcPr>
            <w:tcW w:w="432" w:type="pct"/>
            <w:vMerge w:val="restart"/>
            <w:shd w:val="clear" w:color="auto" w:fill="FFFFFF" w:themeFill="background1"/>
            <w:noWrap/>
            <w:vAlign w:val="center"/>
          </w:tcPr>
          <w:p>
            <w:pPr>
              <w:widowControl/>
              <w:spacing w:line="360" w:lineRule="auto"/>
              <w:jc w:val="center"/>
              <w:rPr>
                <w:rFonts w:hint="eastAsia" w:ascii="宋体" w:hAnsi="宋体" w:eastAsia="宋体" w:cs="仿宋"/>
                <w:color w:val="000000" w:themeColor="text1"/>
                <w:sz w:val="24"/>
                <w:szCs w:val="24"/>
                <w:lang w:eastAsia="zh-CN"/>
              </w:rPr>
            </w:pPr>
            <w:r>
              <w:rPr>
                <w:rFonts w:hint="eastAsia" w:cs="仿宋"/>
                <w:color w:val="000000" w:themeColor="text1"/>
                <w:sz w:val="24"/>
                <w:szCs w:val="24"/>
                <w:lang w:val="en-US" w:eastAsia="zh-CN"/>
              </w:rPr>
              <w:t>项</w:t>
            </w:r>
          </w:p>
        </w:tc>
        <w:tc>
          <w:tcPr>
            <w:tcW w:w="886" w:type="pct"/>
            <w:vMerge w:val="restart"/>
            <w:shd w:val="clear" w:color="auto" w:fill="FFFFFF" w:themeFill="background1"/>
            <w:vAlign w:val="center"/>
          </w:tcPr>
          <w:p>
            <w:pPr>
              <w:widowControl/>
              <w:spacing w:line="360" w:lineRule="auto"/>
              <w:jc w:val="left"/>
              <w:rPr>
                <w:rFonts w:hint="eastAsia" w:ascii="宋体" w:hAnsi="宋体" w:eastAsia="宋体" w:cs="仿宋"/>
                <w:color w:val="000000" w:themeColor="text1"/>
                <w:sz w:val="21"/>
                <w:szCs w:val="21"/>
              </w:rPr>
            </w:pPr>
          </w:p>
        </w:tc>
        <w:tc>
          <w:tcPr>
            <w:tcW w:w="1043" w:type="pct"/>
            <w:vMerge w:val="restart"/>
            <w:shd w:val="clear" w:color="auto" w:fill="FFFFFF" w:themeFill="background1"/>
            <w:vAlign w:val="center"/>
          </w:tcPr>
          <w:p>
            <w:pPr>
              <w:widowControl/>
              <w:spacing w:line="360" w:lineRule="auto"/>
              <w:jc w:val="left"/>
              <w:rPr>
                <w:rFonts w:hint="eastAsia"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50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50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50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50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 w:hRule="atLeast"/>
          <w:jc w:val="center"/>
        </w:trPr>
        <w:tc>
          <w:tcPr>
            <w:tcW w:w="50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 w:hRule="atLeast"/>
          <w:jc w:val="center"/>
        </w:trPr>
        <w:tc>
          <w:tcPr>
            <w:tcW w:w="50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 w:hRule="atLeast"/>
          <w:jc w:val="center"/>
        </w:trPr>
        <w:tc>
          <w:tcPr>
            <w:tcW w:w="50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2" w:hRule="atLeast"/>
          <w:jc w:val="center"/>
        </w:trPr>
        <w:tc>
          <w:tcPr>
            <w:tcW w:w="50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1418"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714"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432"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88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1043"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1" w:hRule="atLeast"/>
          <w:jc w:val="center"/>
        </w:trPr>
        <w:tc>
          <w:tcPr>
            <w:tcW w:w="3070" w:type="pct"/>
            <w:gridSpan w:val="4"/>
            <w:shd w:val="clear" w:color="auto" w:fill="FFFFFF" w:themeFill="background1"/>
            <w:noWrap/>
            <w:vAlign w:val="center"/>
          </w:tcPr>
          <w:p>
            <w:pPr>
              <w:widowControl/>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b/>
                <w:bCs/>
                <w:color w:val="000000" w:themeColor="text1"/>
                <w:sz w:val="28"/>
                <w:szCs w:val="28"/>
                <w:lang w:val="en-US" w:eastAsia="zh-CN"/>
              </w:rPr>
              <w:t>总计（元/含税</w:t>
            </w:r>
            <w:r>
              <w:rPr>
                <w:rFonts w:hint="eastAsia" w:ascii="仿宋" w:hAnsi="仿宋" w:eastAsia="仿宋" w:cs="仿宋"/>
                <w:b/>
                <w:bCs/>
                <w:color w:val="000000" w:themeColor="text1"/>
                <w:sz w:val="28"/>
                <w:szCs w:val="28"/>
                <w:u w:val="single"/>
                <w:lang w:val="en-US" w:eastAsia="zh-CN"/>
              </w:rPr>
              <w:t xml:space="preserve">  %</w:t>
            </w:r>
            <w:r>
              <w:rPr>
                <w:rFonts w:hint="eastAsia" w:ascii="仿宋" w:hAnsi="仿宋" w:eastAsia="仿宋" w:cs="仿宋"/>
                <w:b/>
                <w:bCs/>
                <w:color w:val="000000" w:themeColor="text1"/>
                <w:sz w:val="28"/>
                <w:szCs w:val="28"/>
                <w:lang w:val="en-US" w:eastAsia="zh-CN"/>
              </w:rPr>
              <w:t>）：</w:t>
            </w:r>
          </w:p>
        </w:tc>
        <w:tc>
          <w:tcPr>
            <w:tcW w:w="1929" w:type="pct"/>
            <w:gridSpan w:val="2"/>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r>
    </w:tbl>
    <w:p>
      <w:pPr>
        <w:spacing w:line="460" w:lineRule="exact"/>
        <w:rPr>
          <w:rFonts w:hint="eastAsia"/>
          <w:sz w:val="21"/>
          <w:szCs w:val="21"/>
          <w:lang w:val="en-US" w:eastAsia="zh-CN"/>
        </w:rPr>
      </w:pPr>
    </w:p>
    <w:p>
      <w:pPr>
        <w:spacing w:line="460" w:lineRule="exact"/>
        <w:rPr>
          <w:rFonts w:hint="eastAsia"/>
          <w:lang w:eastAsia="zh-CN"/>
        </w:rPr>
      </w:pPr>
      <w:r>
        <w:rPr>
          <w:rFonts w:hint="eastAsia"/>
          <w:sz w:val="21"/>
          <w:szCs w:val="21"/>
          <w:lang w:val="en-US" w:eastAsia="zh-CN"/>
        </w:rPr>
        <w:t>备注：本项目设置最高控制价24.38万元整（含税）。参选人所填报的报价高于本项目最高限价的，其参选将被比选小组予以否决。</w:t>
      </w:r>
    </w:p>
    <w:p>
      <w:pPr>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center"/>
        <w:textAlignment w:val="auto"/>
        <w:rPr>
          <w:rFonts w:hint="eastAsia"/>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center"/>
        <w:textAlignment w:val="auto"/>
        <w:rPr>
          <w:sz w:val="24"/>
          <w:szCs w:val="24"/>
          <w:u w:val="single"/>
          <w:lang w:eastAsia="zh-CN"/>
        </w:rPr>
      </w:pPr>
      <w:r>
        <w:rPr>
          <w:rFonts w:hint="eastAsia"/>
          <w:sz w:val="21"/>
          <w:szCs w:val="21"/>
          <w:lang w:val="en-US" w:eastAsia="zh-CN"/>
        </w:rPr>
        <w:t xml:space="preserve">                                   </w:t>
      </w:r>
      <w:r>
        <w:rPr>
          <w:rFonts w:hint="eastAsia"/>
          <w:sz w:val="24"/>
          <w:szCs w:val="24"/>
          <w:lang w:eastAsia="zh-CN"/>
        </w:rPr>
        <w:t>参选人：</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color w:val="00B050"/>
          <w:sz w:val="24"/>
          <w:szCs w:val="24"/>
          <w:lang w:eastAsia="zh-CN"/>
        </w:rPr>
        <w:t>（加盖参选单位章）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right"/>
        <w:textAlignment w:val="auto"/>
        <w:rPr>
          <w:rFonts w:hint="eastAsia"/>
          <w:color w:val="00B050"/>
          <w:sz w:val="24"/>
          <w:szCs w:val="24"/>
          <w:lang w:eastAsia="zh-CN"/>
        </w:rPr>
      </w:pPr>
      <w:r>
        <w:rPr>
          <w:rFonts w:hint="eastAsia"/>
          <w:sz w:val="24"/>
          <w:szCs w:val="24"/>
          <w:lang w:val="en-US" w:eastAsia="zh-CN"/>
        </w:rPr>
        <w:t xml:space="preserve">       </w:t>
      </w: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color w:val="00B050"/>
          <w:sz w:val="24"/>
          <w:szCs w:val="24"/>
          <w:lang w:eastAsia="zh-CN"/>
        </w:rPr>
      </w:pPr>
      <w:r>
        <w:rPr>
          <w:rFonts w:hint="eastAsia"/>
          <w:sz w:val="24"/>
          <w:szCs w:val="24"/>
          <w:lang w:val="en-US" w:eastAsia="zh-CN"/>
        </w:rPr>
        <w:t xml:space="preserve">      联系电话</w:t>
      </w:r>
      <w:r>
        <w:rPr>
          <w:rFonts w:hint="eastAsia"/>
          <w:sz w:val="24"/>
          <w:szCs w:val="24"/>
          <w:lang w:eastAsia="zh-CN"/>
        </w:rPr>
        <w:t>：</w:t>
      </w:r>
      <w:r>
        <w:rPr>
          <w:rFonts w:hint="eastAsia"/>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320" w:firstLineChars="1800"/>
        <w:jc w:val="both"/>
        <w:textAlignment w:val="auto"/>
        <w:rPr>
          <w:sz w:val="28"/>
          <w:u w:val="single"/>
          <w:lang w:eastAsia="zh-CN"/>
        </w:rPr>
      </w:pPr>
      <w:r>
        <w:rPr>
          <w:rFonts w:hint="eastAsia"/>
          <w:sz w:val="24"/>
          <w:szCs w:val="24"/>
          <w:lang w:eastAsia="zh-CN"/>
        </w:rPr>
        <w:t xml:space="preserve">编制时间： </w:t>
      </w:r>
      <w:r>
        <w:rPr>
          <w:rFonts w:hint="eastAsia"/>
          <w:sz w:val="24"/>
          <w:szCs w:val="24"/>
          <w:u w:val="single"/>
          <w:lang w:eastAsia="zh-CN"/>
        </w:rPr>
        <w:t xml:space="preserve"> </w:t>
      </w:r>
      <w:r>
        <w:rPr>
          <w:rFonts w:hint="eastAsia"/>
          <w:sz w:val="24"/>
          <w:szCs w:val="24"/>
          <w:u w:val="single"/>
          <w:lang w:val="en-US" w:eastAsia="zh-CN"/>
        </w:rPr>
        <w:t>2024</w:t>
      </w:r>
      <w:r>
        <w:rPr>
          <w:rFonts w:hint="eastAsia"/>
          <w:sz w:val="24"/>
          <w:szCs w:val="24"/>
          <w:u w:val="single"/>
          <w:lang w:eastAsia="zh-CN"/>
        </w:rPr>
        <w:t xml:space="preserve"> 年   月   </w:t>
      </w:r>
      <w:r>
        <w:rPr>
          <w:rFonts w:hint="eastAsia"/>
          <w:sz w:val="24"/>
          <w:szCs w:val="24"/>
          <w:u w:val="single"/>
          <w:lang w:val="en-US" w:eastAsia="zh-CN"/>
        </w:rPr>
        <w:t xml:space="preserve"> 日</w:t>
      </w:r>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E80FB7"/>
    <w:rsid w:val="0367315B"/>
    <w:rsid w:val="04E75848"/>
    <w:rsid w:val="058D1C3B"/>
    <w:rsid w:val="05F7226A"/>
    <w:rsid w:val="061139E5"/>
    <w:rsid w:val="068E4F39"/>
    <w:rsid w:val="06F50B00"/>
    <w:rsid w:val="076E1278"/>
    <w:rsid w:val="07865D28"/>
    <w:rsid w:val="08A97B07"/>
    <w:rsid w:val="08D1141D"/>
    <w:rsid w:val="092C619C"/>
    <w:rsid w:val="0AA01EB0"/>
    <w:rsid w:val="0ADF5814"/>
    <w:rsid w:val="0B296DE2"/>
    <w:rsid w:val="0D7C0C82"/>
    <w:rsid w:val="10294AA3"/>
    <w:rsid w:val="10E40CA0"/>
    <w:rsid w:val="110D7D51"/>
    <w:rsid w:val="13065DFB"/>
    <w:rsid w:val="136130D9"/>
    <w:rsid w:val="13740E08"/>
    <w:rsid w:val="13805E8A"/>
    <w:rsid w:val="141233A5"/>
    <w:rsid w:val="14762538"/>
    <w:rsid w:val="14B07324"/>
    <w:rsid w:val="15800409"/>
    <w:rsid w:val="173600E6"/>
    <w:rsid w:val="18DD4F7E"/>
    <w:rsid w:val="195B58A2"/>
    <w:rsid w:val="1989465C"/>
    <w:rsid w:val="1A107B23"/>
    <w:rsid w:val="1D931500"/>
    <w:rsid w:val="1E085A14"/>
    <w:rsid w:val="1FF43DDB"/>
    <w:rsid w:val="21933AA2"/>
    <w:rsid w:val="2216778A"/>
    <w:rsid w:val="230D2D51"/>
    <w:rsid w:val="25BF356F"/>
    <w:rsid w:val="25DB0C2D"/>
    <w:rsid w:val="25F57336"/>
    <w:rsid w:val="269469E7"/>
    <w:rsid w:val="26EF5299"/>
    <w:rsid w:val="27EE0826"/>
    <w:rsid w:val="281B3A09"/>
    <w:rsid w:val="2998140D"/>
    <w:rsid w:val="29FC3B14"/>
    <w:rsid w:val="2B0938F4"/>
    <w:rsid w:val="2B11792E"/>
    <w:rsid w:val="2CA94A2B"/>
    <w:rsid w:val="2DCB74F8"/>
    <w:rsid w:val="2F724BD0"/>
    <w:rsid w:val="30ED6941"/>
    <w:rsid w:val="30FC7E9C"/>
    <w:rsid w:val="31C54755"/>
    <w:rsid w:val="3216608C"/>
    <w:rsid w:val="33886E7E"/>
    <w:rsid w:val="34646D66"/>
    <w:rsid w:val="34CE14C6"/>
    <w:rsid w:val="34D84CEC"/>
    <w:rsid w:val="350D5E19"/>
    <w:rsid w:val="354D64B4"/>
    <w:rsid w:val="37AF5AB7"/>
    <w:rsid w:val="398A4C3B"/>
    <w:rsid w:val="3A1708FB"/>
    <w:rsid w:val="3B1C3371"/>
    <w:rsid w:val="3BD259B7"/>
    <w:rsid w:val="3CC23198"/>
    <w:rsid w:val="3D7D7AB7"/>
    <w:rsid w:val="3DC60BC9"/>
    <w:rsid w:val="3DDF4815"/>
    <w:rsid w:val="3EAD6F49"/>
    <w:rsid w:val="3FE669E5"/>
    <w:rsid w:val="41B202F8"/>
    <w:rsid w:val="439A166C"/>
    <w:rsid w:val="441B1C3E"/>
    <w:rsid w:val="45F4241B"/>
    <w:rsid w:val="462A54F2"/>
    <w:rsid w:val="470B3BF9"/>
    <w:rsid w:val="492427D8"/>
    <w:rsid w:val="49F637A6"/>
    <w:rsid w:val="4A120268"/>
    <w:rsid w:val="4A4237C6"/>
    <w:rsid w:val="4A6A5207"/>
    <w:rsid w:val="4ACD3226"/>
    <w:rsid w:val="4C7219F0"/>
    <w:rsid w:val="4CF0286F"/>
    <w:rsid w:val="4D766B0F"/>
    <w:rsid w:val="4EF75C6C"/>
    <w:rsid w:val="4F217D7F"/>
    <w:rsid w:val="50065EF0"/>
    <w:rsid w:val="50E17B07"/>
    <w:rsid w:val="50F63E28"/>
    <w:rsid w:val="512D1041"/>
    <w:rsid w:val="5221007F"/>
    <w:rsid w:val="52926B5A"/>
    <w:rsid w:val="52F74B88"/>
    <w:rsid w:val="545C5E51"/>
    <w:rsid w:val="5486175B"/>
    <w:rsid w:val="54AC6F02"/>
    <w:rsid w:val="55B90618"/>
    <w:rsid w:val="55FE54D1"/>
    <w:rsid w:val="57667D24"/>
    <w:rsid w:val="57CE5BC3"/>
    <w:rsid w:val="57E0437F"/>
    <w:rsid w:val="59C5385A"/>
    <w:rsid w:val="5A2D3E44"/>
    <w:rsid w:val="5A3260D4"/>
    <w:rsid w:val="5A8E63A0"/>
    <w:rsid w:val="5AE1516A"/>
    <w:rsid w:val="5B6A3A79"/>
    <w:rsid w:val="5C1A5F7B"/>
    <w:rsid w:val="5C291BCA"/>
    <w:rsid w:val="5D7A3273"/>
    <w:rsid w:val="5E2B4120"/>
    <w:rsid w:val="604457DC"/>
    <w:rsid w:val="628D3982"/>
    <w:rsid w:val="62E94000"/>
    <w:rsid w:val="641E084A"/>
    <w:rsid w:val="64417A81"/>
    <w:rsid w:val="645771F8"/>
    <w:rsid w:val="66CC0AF0"/>
    <w:rsid w:val="66E46C2D"/>
    <w:rsid w:val="66FD464B"/>
    <w:rsid w:val="68386690"/>
    <w:rsid w:val="693C3D94"/>
    <w:rsid w:val="6A54112D"/>
    <w:rsid w:val="6A6E5EAB"/>
    <w:rsid w:val="6A701C86"/>
    <w:rsid w:val="6AA035AE"/>
    <w:rsid w:val="6BCB034D"/>
    <w:rsid w:val="6C0E1756"/>
    <w:rsid w:val="6E0F2E14"/>
    <w:rsid w:val="6EC947D2"/>
    <w:rsid w:val="6F1E141D"/>
    <w:rsid w:val="6F5354F8"/>
    <w:rsid w:val="727810B8"/>
    <w:rsid w:val="740A2BDE"/>
    <w:rsid w:val="751839E0"/>
    <w:rsid w:val="7587683F"/>
    <w:rsid w:val="760520B2"/>
    <w:rsid w:val="76274F93"/>
    <w:rsid w:val="76AD00B6"/>
    <w:rsid w:val="774B2E04"/>
    <w:rsid w:val="783B3D73"/>
    <w:rsid w:val="79EB3F2F"/>
    <w:rsid w:val="79FD3C4B"/>
    <w:rsid w:val="7A092C73"/>
    <w:rsid w:val="7B11789E"/>
    <w:rsid w:val="7B740966"/>
    <w:rsid w:val="7C0E41A4"/>
    <w:rsid w:val="7D250FF6"/>
    <w:rsid w:val="7DC94A0A"/>
    <w:rsid w:val="7DE7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8623</Words>
  <Characters>10384</Characters>
  <Lines>115</Lines>
  <Paragraphs>32</Paragraphs>
  <TotalTime>37</TotalTime>
  <ScaleCrop>false</ScaleCrop>
  <LinksUpToDate>false</LinksUpToDate>
  <CharactersWithSpaces>11151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2024-08-12T05:48:11Z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