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微软雅黑" w:eastAsia="微软雅黑"/>
          <w:b/>
          <w:color w:val="auto"/>
          <w:w w:val="95"/>
          <w:sz w:val="48"/>
          <w:szCs w:val="48"/>
          <w:highlight w:val="none"/>
        </w:rPr>
      </w:pPr>
    </w:p>
    <w:p>
      <w:pPr>
        <w:pStyle w:val="2"/>
        <w:jc w:val="center"/>
        <w:rPr>
          <w:rFonts w:ascii="微软雅黑" w:eastAsia="微软雅黑"/>
          <w:b/>
          <w:color w:val="auto"/>
          <w:w w:val="95"/>
          <w:sz w:val="48"/>
          <w:szCs w:val="48"/>
          <w:highlight w:val="none"/>
        </w:rPr>
      </w:pPr>
      <w:r>
        <w:rPr>
          <w:rFonts w:hint="eastAsia" w:ascii="微软雅黑" w:eastAsia="微软雅黑"/>
          <w:b/>
          <w:color w:val="auto"/>
          <w:w w:val="95"/>
          <w:sz w:val="48"/>
          <w:szCs w:val="48"/>
          <w:highlight w:val="none"/>
        </w:rPr>
        <w:t>福建福海创石油化工有限公司</w:t>
      </w:r>
    </w:p>
    <w:p>
      <w:pPr>
        <w:rPr>
          <w:rFonts w:ascii="微软雅黑" w:eastAsia="微软雅黑"/>
          <w:b/>
          <w:color w:val="auto"/>
          <w:w w:val="95"/>
          <w:sz w:val="48"/>
          <w:szCs w:val="48"/>
          <w:highlight w:val="none"/>
          <w:lang w:eastAsia="zh-CN"/>
        </w:rPr>
      </w:pPr>
    </w:p>
    <w:p>
      <w:pPr>
        <w:spacing w:before="38"/>
        <w:ind w:left="172"/>
        <w:jc w:val="center"/>
        <w:rPr>
          <w:rFonts w:ascii="微软雅黑" w:eastAsia="微软雅黑"/>
          <w:b/>
          <w:color w:val="auto"/>
          <w:sz w:val="36"/>
          <w:szCs w:val="36"/>
          <w:highlight w:val="none"/>
          <w:u w:val="single"/>
          <w:lang w:eastAsia="zh-CN"/>
        </w:rPr>
      </w:pPr>
    </w:p>
    <w:p>
      <w:pPr>
        <w:pStyle w:val="85"/>
        <w:spacing w:line="720" w:lineRule="auto"/>
        <w:ind w:firstLine="163" w:firstLineChars="38"/>
        <w:jc w:val="center"/>
        <w:rPr>
          <w:rFonts w:ascii="黑体" w:hAnsi="宋体" w:eastAsia="黑体"/>
          <w:b/>
          <w:color w:val="auto"/>
          <w:spacing w:val="-6"/>
          <w:sz w:val="44"/>
          <w:szCs w:val="44"/>
          <w:highlight w:val="none"/>
        </w:rPr>
      </w:pPr>
      <w:bookmarkStart w:id="0" w:name="OLE_LINK15"/>
      <w:r>
        <w:rPr>
          <w:rFonts w:hint="eastAsia" w:ascii="黑体" w:hAnsi="宋体" w:eastAsia="黑体"/>
          <w:b/>
          <w:color w:val="auto"/>
          <w:spacing w:val="-6"/>
          <w:sz w:val="44"/>
          <w:szCs w:val="44"/>
          <w:highlight w:val="none"/>
        </w:rPr>
        <w:t>翔鹭石化(漳州)有限公司海水取水工程</w:t>
      </w:r>
    </w:p>
    <w:p>
      <w:pPr>
        <w:pStyle w:val="85"/>
        <w:spacing w:line="720" w:lineRule="auto"/>
        <w:ind w:firstLine="163" w:firstLineChars="38"/>
        <w:jc w:val="center"/>
        <w:rPr>
          <w:rFonts w:ascii="黑体" w:hAnsi="宋体" w:eastAsia="黑体"/>
          <w:b/>
          <w:color w:val="auto"/>
          <w:spacing w:val="-6"/>
          <w:sz w:val="36"/>
          <w:szCs w:val="36"/>
          <w:highlight w:val="none"/>
        </w:rPr>
      </w:pPr>
      <w:r>
        <w:rPr>
          <w:rFonts w:hint="eastAsia" w:ascii="黑体" w:hAnsi="宋体" w:eastAsia="黑体"/>
          <w:b/>
          <w:color w:val="auto"/>
          <w:spacing w:val="-6"/>
          <w:sz w:val="44"/>
          <w:szCs w:val="44"/>
          <w:highlight w:val="none"/>
        </w:rPr>
        <w:t>2024年度生态补偿增殖放流</w:t>
      </w:r>
    </w:p>
    <w:bookmarkEnd w:id="0"/>
    <w:p>
      <w:pPr>
        <w:pStyle w:val="15"/>
        <w:spacing w:before="4"/>
        <w:rPr>
          <w:rFonts w:ascii="微软雅黑"/>
          <w:b/>
          <w:color w:val="auto"/>
          <w:sz w:val="39"/>
          <w:highlight w:val="none"/>
          <w:lang w:eastAsia="zh-CN"/>
        </w:rPr>
      </w:pPr>
    </w:p>
    <w:p>
      <w:pPr>
        <w:ind w:left="169"/>
        <w:jc w:val="center"/>
        <w:rPr>
          <w:rFonts w:ascii="微软雅黑" w:eastAsia="微软雅黑"/>
          <w:b/>
          <w:color w:val="auto"/>
          <w:sz w:val="72"/>
          <w:highlight w:val="none"/>
          <w:lang w:eastAsia="zh-CN"/>
        </w:rPr>
      </w:pPr>
      <w:r>
        <w:rPr>
          <w:rFonts w:hint="eastAsia" w:ascii="微软雅黑" w:eastAsia="微软雅黑"/>
          <w:b/>
          <w:color w:val="auto"/>
          <w:sz w:val="72"/>
          <w:highlight w:val="none"/>
          <w:lang w:eastAsia="zh-CN"/>
        </w:rPr>
        <w:t>比选文件</w:t>
      </w:r>
    </w:p>
    <w:p>
      <w:pPr>
        <w:pStyle w:val="2"/>
        <w:jc w:val="center"/>
        <w:rPr>
          <w:color w:val="auto"/>
          <w:sz w:val="28"/>
          <w:szCs w:val="28"/>
          <w:highlight w:val="none"/>
        </w:rPr>
      </w:pPr>
      <w:r>
        <w:rPr>
          <w:rFonts w:hint="eastAsia"/>
          <w:color w:val="auto"/>
          <w:sz w:val="28"/>
          <w:szCs w:val="28"/>
          <w:highlight w:val="none"/>
        </w:rPr>
        <w:t>（文件编号：FHC-PTCG20240527002）</w:t>
      </w:r>
    </w:p>
    <w:p>
      <w:pPr>
        <w:pStyle w:val="15"/>
        <w:rPr>
          <w:rFonts w:ascii="微软雅黑"/>
          <w:b/>
          <w:color w:val="auto"/>
          <w:sz w:val="94"/>
          <w:highlight w:val="none"/>
          <w:lang w:eastAsia="zh-CN"/>
        </w:rPr>
      </w:pPr>
    </w:p>
    <w:p>
      <w:pPr>
        <w:pStyle w:val="15"/>
        <w:spacing w:before="7"/>
        <w:rPr>
          <w:rFonts w:ascii="微软雅黑"/>
          <w:b/>
          <w:color w:val="auto"/>
          <w:sz w:val="74"/>
          <w:highlight w:val="none"/>
          <w:lang w:eastAsia="zh-CN"/>
        </w:rPr>
      </w:pPr>
    </w:p>
    <w:p>
      <w:pPr>
        <w:spacing w:line="271" w:lineRule="auto"/>
        <w:ind w:right="612" w:firstLine="1825" w:firstLineChars="600"/>
        <w:jc w:val="center"/>
        <w:rPr>
          <w:rFonts w:ascii="微软雅黑" w:eastAsia="微软雅黑"/>
          <w:b/>
          <w:color w:val="auto"/>
          <w:w w:val="95"/>
          <w:sz w:val="32"/>
          <w:highlight w:val="none"/>
          <w:lang w:eastAsia="zh-CN"/>
        </w:rPr>
      </w:pPr>
      <w:r>
        <w:rPr>
          <w:rFonts w:hint="eastAsia" w:ascii="微软雅黑" w:eastAsia="微软雅黑"/>
          <w:b/>
          <w:color w:val="auto"/>
          <w:w w:val="95"/>
          <w:sz w:val="32"/>
          <w:highlight w:val="none"/>
          <w:lang w:eastAsia="zh-CN"/>
        </w:rPr>
        <w:t>福建福海创石油化工有限公司编制</w:t>
      </w:r>
    </w:p>
    <w:p>
      <w:pPr>
        <w:spacing w:line="271" w:lineRule="auto"/>
        <w:ind w:left="2061" w:right="1889"/>
        <w:jc w:val="center"/>
        <w:rPr>
          <w:rFonts w:ascii="微软雅黑" w:eastAsia="微软雅黑"/>
          <w:b/>
          <w:color w:val="auto"/>
          <w:sz w:val="32"/>
          <w:highlight w:val="none"/>
          <w:lang w:eastAsia="zh-CN"/>
        </w:rPr>
      </w:pPr>
      <w:r>
        <w:rPr>
          <w:rFonts w:hint="eastAsia" w:ascii="微软雅黑" w:eastAsia="微软雅黑"/>
          <w:b/>
          <w:color w:val="auto"/>
          <w:w w:val="95"/>
          <w:sz w:val="32"/>
          <w:highlight w:val="none"/>
          <w:lang w:eastAsia="zh-CN"/>
        </w:rPr>
        <w:t xml:space="preserve">     二〇二四年</w:t>
      </w:r>
      <w:r>
        <w:rPr>
          <w:rFonts w:hint="eastAsia" w:ascii="微软雅黑" w:eastAsia="微软雅黑"/>
          <w:b/>
          <w:color w:val="auto"/>
          <w:w w:val="95"/>
          <w:sz w:val="32"/>
          <w:highlight w:val="none"/>
          <w:lang w:val="en-US" w:eastAsia="zh-CN"/>
        </w:rPr>
        <w:t>六</w:t>
      </w:r>
      <w:r>
        <w:rPr>
          <w:rFonts w:hint="eastAsia" w:ascii="微软雅黑" w:eastAsia="微软雅黑"/>
          <w:b/>
          <w:color w:val="auto"/>
          <w:w w:val="95"/>
          <w:sz w:val="32"/>
          <w:highlight w:val="none"/>
          <w:lang w:eastAsia="zh-CN"/>
        </w:rPr>
        <w:t>月</w:t>
      </w:r>
    </w:p>
    <w:p>
      <w:pPr>
        <w:spacing w:line="271" w:lineRule="auto"/>
        <w:jc w:val="center"/>
        <w:rPr>
          <w:rFonts w:ascii="微软雅黑" w:eastAsia="微软雅黑"/>
          <w:color w:val="auto"/>
          <w:sz w:val="32"/>
          <w:highlight w:val="none"/>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color w:val="auto"/>
          <w:sz w:val="32"/>
          <w:highlight w:val="none"/>
          <w:lang w:eastAsia="zh-CN"/>
        </w:rPr>
      </w:pPr>
      <w:r>
        <w:rPr>
          <w:rFonts w:hint="eastAsia" w:ascii="黑体" w:eastAsia="黑体"/>
          <w:color w:val="auto"/>
          <w:sz w:val="32"/>
          <w:highlight w:val="none"/>
          <w:lang w:eastAsia="zh-CN"/>
        </w:rPr>
        <w:t>目</w:t>
      </w:r>
      <w:r>
        <w:rPr>
          <w:rFonts w:hint="eastAsia" w:ascii="黑体" w:eastAsia="黑体"/>
          <w:color w:val="auto"/>
          <w:sz w:val="32"/>
          <w:highlight w:val="none"/>
          <w:lang w:eastAsia="zh-CN"/>
        </w:rPr>
        <w:tab/>
      </w:r>
      <w:r>
        <w:rPr>
          <w:rFonts w:hint="eastAsia" w:ascii="黑体" w:eastAsia="黑体"/>
          <w:color w:val="auto"/>
          <w:sz w:val="32"/>
          <w:highlight w:val="none"/>
          <w:lang w:eastAsia="zh-CN"/>
        </w:rPr>
        <w:t>录</w:t>
      </w:r>
    </w:p>
    <w:p>
      <w:pPr>
        <w:pStyle w:val="15"/>
        <w:rPr>
          <w:rFonts w:ascii="黑体"/>
          <w:color w:val="auto"/>
          <w:sz w:val="20"/>
          <w:highlight w:val="none"/>
          <w:lang w:eastAsia="zh-CN"/>
        </w:rPr>
      </w:pPr>
    </w:p>
    <w:p>
      <w:pPr>
        <w:pStyle w:val="15"/>
        <w:rPr>
          <w:rFonts w:ascii="黑体"/>
          <w:color w:val="auto"/>
          <w:sz w:val="20"/>
          <w:highlight w:val="none"/>
          <w:lang w:eastAsia="zh-CN"/>
        </w:rPr>
      </w:pPr>
    </w:p>
    <w:p>
      <w:pPr>
        <w:pStyle w:val="15"/>
        <w:spacing w:before="9"/>
        <w:rPr>
          <w:rFonts w:ascii="黑体"/>
          <w:color w:val="auto"/>
          <w:highlight w:val="none"/>
          <w:lang w:eastAsia="zh-CN"/>
        </w:rPr>
      </w:pPr>
    </w:p>
    <w:p>
      <w:pPr>
        <w:numPr>
          <w:ilvl w:val="0"/>
          <w:numId w:val="1"/>
        </w:numPr>
        <w:tabs>
          <w:tab w:val="left" w:pos="1627"/>
        </w:tabs>
        <w:spacing w:before="15" w:line="408" w:lineRule="auto"/>
        <w:ind w:left="367" w:right="6136"/>
        <w:rPr>
          <w:color w:val="auto"/>
          <w:sz w:val="28"/>
          <w:highlight w:val="none"/>
          <w:lang w:eastAsia="zh-CN"/>
        </w:rPr>
      </w:pPr>
      <w:r>
        <w:rPr>
          <w:color w:val="auto"/>
          <w:spacing w:val="-1"/>
          <w:sz w:val="28"/>
          <w:highlight w:val="none"/>
          <w:lang w:eastAsia="zh-CN"/>
        </w:rPr>
        <w:t>比</w:t>
      </w:r>
      <w:r>
        <w:rPr>
          <w:color w:val="auto"/>
          <w:spacing w:val="-3"/>
          <w:sz w:val="28"/>
          <w:highlight w:val="none"/>
          <w:lang w:eastAsia="zh-CN"/>
        </w:rPr>
        <w:t>选</w:t>
      </w:r>
      <w:r>
        <w:rPr>
          <w:color w:val="auto"/>
          <w:spacing w:val="-1"/>
          <w:sz w:val="28"/>
          <w:highlight w:val="none"/>
          <w:lang w:eastAsia="zh-CN"/>
        </w:rPr>
        <w:t>公</w:t>
      </w:r>
      <w:r>
        <w:rPr>
          <w:color w:val="auto"/>
          <w:sz w:val="28"/>
          <w:highlight w:val="none"/>
          <w:lang w:eastAsia="zh-CN"/>
        </w:rPr>
        <w:t xml:space="preserve">告 </w:t>
      </w:r>
    </w:p>
    <w:p>
      <w:pPr>
        <w:numPr>
          <w:ilvl w:val="0"/>
          <w:numId w:val="1"/>
        </w:numPr>
        <w:tabs>
          <w:tab w:val="left" w:pos="1627"/>
        </w:tabs>
        <w:spacing w:before="15" w:line="408" w:lineRule="auto"/>
        <w:ind w:left="367" w:right="6136"/>
        <w:rPr>
          <w:color w:val="auto"/>
          <w:sz w:val="28"/>
          <w:highlight w:val="none"/>
          <w:lang w:eastAsia="zh-CN"/>
        </w:rPr>
      </w:pPr>
      <w:r>
        <w:rPr>
          <w:color w:val="auto"/>
          <w:spacing w:val="-1"/>
          <w:sz w:val="28"/>
          <w:highlight w:val="none"/>
          <w:lang w:eastAsia="zh-CN"/>
        </w:rPr>
        <w:t>比</w:t>
      </w:r>
      <w:r>
        <w:rPr>
          <w:color w:val="auto"/>
          <w:spacing w:val="-3"/>
          <w:sz w:val="28"/>
          <w:highlight w:val="none"/>
          <w:lang w:eastAsia="zh-CN"/>
        </w:rPr>
        <w:t>选</w:t>
      </w:r>
      <w:r>
        <w:rPr>
          <w:color w:val="auto"/>
          <w:spacing w:val="-1"/>
          <w:sz w:val="28"/>
          <w:highlight w:val="none"/>
          <w:lang w:eastAsia="zh-CN"/>
        </w:rPr>
        <w:t>须</w:t>
      </w:r>
      <w:r>
        <w:rPr>
          <w:color w:val="auto"/>
          <w:sz w:val="28"/>
          <w:highlight w:val="none"/>
          <w:lang w:eastAsia="zh-CN"/>
        </w:rPr>
        <w:t>知</w:t>
      </w:r>
    </w:p>
    <w:p>
      <w:pPr>
        <w:tabs>
          <w:tab w:val="left" w:pos="1627"/>
        </w:tabs>
        <w:spacing w:before="61" w:line="408" w:lineRule="auto"/>
        <w:ind w:left="367" w:right="5296"/>
        <w:rPr>
          <w:color w:val="auto"/>
          <w:sz w:val="28"/>
          <w:highlight w:val="none"/>
          <w:lang w:eastAsia="zh-CN"/>
        </w:rPr>
      </w:pPr>
      <w:r>
        <w:rPr>
          <w:color w:val="auto"/>
          <w:sz w:val="28"/>
          <w:highlight w:val="none"/>
          <w:lang w:eastAsia="zh-CN"/>
        </w:rPr>
        <w:t>第</w:t>
      </w:r>
      <w:r>
        <w:rPr>
          <w:color w:val="auto"/>
          <w:spacing w:val="-3"/>
          <w:sz w:val="28"/>
          <w:highlight w:val="none"/>
          <w:lang w:eastAsia="zh-CN"/>
        </w:rPr>
        <w:t>三</w:t>
      </w:r>
      <w:r>
        <w:rPr>
          <w:color w:val="auto"/>
          <w:sz w:val="28"/>
          <w:highlight w:val="none"/>
          <w:lang w:eastAsia="zh-CN"/>
        </w:rPr>
        <w:t>章</w:t>
      </w:r>
      <w:r>
        <w:rPr>
          <w:color w:val="auto"/>
          <w:sz w:val="28"/>
          <w:highlight w:val="none"/>
          <w:lang w:eastAsia="zh-CN"/>
        </w:rPr>
        <w:tab/>
      </w:r>
      <w:r>
        <w:rPr>
          <w:color w:val="auto"/>
          <w:spacing w:val="-1"/>
          <w:sz w:val="28"/>
          <w:highlight w:val="none"/>
          <w:lang w:eastAsia="zh-CN"/>
        </w:rPr>
        <w:t>参</w:t>
      </w:r>
      <w:r>
        <w:rPr>
          <w:color w:val="auto"/>
          <w:spacing w:val="-3"/>
          <w:sz w:val="28"/>
          <w:highlight w:val="none"/>
          <w:lang w:eastAsia="zh-CN"/>
        </w:rPr>
        <w:t>选</w:t>
      </w:r>
      <w:r>
        <w:rPr>
          <w:color w:val="auto"/>
          <w:spacing w:val="-1"/>
          <w:sz w:val="28"/>
          <w:highlight w:val="none"/>
          <w:lang w:eastAsia="zh-CN"/>
        </w:rPr>
        <w:t>文件</w:t>
      </w:r>
      <w:r>
        <w:rPr>
          <w:color w:val="auto"/>
          <w:spacing w:val="-3"/>
          <w:sz w:val="28"/>
          <w:highlight w:val="none"/>
          <w:lang w:eastAsia="zh-CN"/>
        </w:rPr>
        <w:t>的</w:t>
      </w:r>
      <w:r>
        <w:rPr>
          <w:color w:val="auto"/>
          <w:spacing w:val="-1"/>
          <w:sz w:val="28"/>
          <w:highlight w:val="none"/>
          <w:lang w:eastAsia="zh-CN"/>
        </w:rPr>
        <w:t>编</w:t>
      </w:r>
      <w:r>
        <w:rPr>
          <w:color w:val="auto"/>
          <w:sz w:val="28"/>
          <w:highlight w:val="none"/>
          <w:lang w:eastAsia="zh-CN"/>
        </w:rPr>
        <w:t xml:space="preserve">制 </w:t>
      </w:r>
    </w:p>
    <w:p>
      <w:pPr>
        <w:tabs>
          <w:tab w:val="left" w:pos="1627"/>
        </w:tabs>
        <w:spacing w:before="61" w:line="408" w:lineRule="auto"/>
        <w:ind w:left="367" w:right="5296"/>
        <w:rPr>
          <w:color w:val="auto"/>
          <w:sz w:val="28"/>
          <w:highlight w:val="none"/>
          <w:lang w:eastAsia="zh-CN"/>
        </w:rPr>
      </w:pPr>
      <w:r>
        <w:rPr>
          <w:color w:val="auto"/>
          <w:sz w:val="28"/>
          <w:highlight w:val="none"/>
          <w:lang w:eastAsia="zh-CN"/>
        </w:rPr>
        <w:t>第</w:t>
      </w:r>
      <w:r>
        <w:rPr>
          <w:color w:val="auto"/>
          <w:spacing w:val="-3"/>
          <w:sz w:val="28"/>
          <w:highlight w:val="none"/>
          <w:lang w:eastAsia="zh-CN"/>
        </w:rPr>
        <w:t>四</w:t>
      </w:r>
      <w:r>
        <w:rPr>
          <w:color w:val="auto"/>
          <w:sz w:val="28"/>
          <w:highlight w:val="none"/>
          <w:lang w:eastAsia="zh-CN"/>
        </w:rPr>
        <w:t>章</w:t>
      </w:r>
      <w:r>
        <w:rPr>
          <w:color w:val="auto"/>
          <w:sz w:val="28"/>
          <w:highlight w:val="none"/>
          <w:lang w:eastAsia="zh-CN"/>
        </w:rPr>
        <w:tab/>
      </w:r>
      <w:r>
        <w:rPr>
          <w:color w:val="auto"/>
          <w:spacing w:val="-1"/>
          <w:sz w:val="28"/>
          <w:highlight w:val="none"/>
          <w:lang w:eastAsia="zh-CN"/>
        </w:rPr>
        <w:t>评</w:t>
      </w:r>
      <w:r>
        <w:rPr>
          <w:color w:val="auto"/>
          <w:spacing w:val="-3"/>
          <w:sz w:val="28"/>
          <w:highlight w:val="none"/>
          <w:lang w:eastAsia="zh-CN"/>
        </w:rPr>
        <w:t>比</w:t>
      </w:r>
      <w:r>
        <w:rPr>
          <w:color w:val="auto"/>
          <w:spacing w:val="-1"/>
          <w:sz w:val="28"/>
          <w:highlight w:val="none"/>
          <w:lang w:eastAsia="zh-CN"/>
        </w:rPr>
        <w:t>规</w:t>
      </w:r>
      <w:r>
        <w:rPr>
          <w:color w:val="auto"/>
          <w:sz w:val="28"/>
          <w:highlight w:val="none"/>
          <w:lang w:eastAsia="zh-CN"/>
        </w:rPr>
        <w:t>则</w:t>
      </w:r>
    </w:p>
    <w:p>
      <w:pPr>
        <w:tabs>
          <w:tab w:val="left" w:pos="1627"/>
        </w:tabs>
        <w:spacing w:before="61"/>
        <w:ind w:left="367"/>
        <w:rPr>
          <w:color w:val="auto"/>
          <w:sz w:val="28"/>
          <w:highlight w:val="none"/>
          <w:lang w:eastAsia="zh-CN"/>
        </w:rPr>
      </w:pPr>
      <w:r>
        <w:rPr>
          <w:color w:val="auto"/>
          <w:sz w:val="28"/>
          <w:highlight w:val="none"/>
          <w:lang w:eastAsia="zh-CN"/>
        </w:rPr>
        <w:t>第</w:t>
      </w:r>
      <w:r>
        <w:rPr>
          <w:color w:val="auto"/>
          <w:spacing w:val="-3"/>
          <w:sz w:val="28"/>
          <w:highlight w:val="none"/>
          <w:lang w:eastAsia="zh-CN"/>
        </w:rPr>
        <w:t>五</w:t>
      </w:r>
      <w:r>
        <w:rPr>
          <w:color w:val="auto"/>
          <w:sz w:val="28"/>
          <w:highlight w:val="none"/>
          <w:lang w:eastAsia="zh-CN"/>
        </w:rPr>
        <w:t>章</w:t>
      </w:r>
      <w:r>
        <w:rPr>
          <w:color w:val="auto"/>
          <w:sz w:val="28"/>
          <w:highlight w:val="none"/>
          <w:lang w:eastAsia="zh-CN"/>
        </w:rPr>
        <w:tab/>
      </w:r>
      <w:r>
        <w:rPr>
          <w:color w:val="auto"/>
          <w:spacing w:val="-1"/>
          <w:sz w:val="28"/>
          <w:highlight w:val="none"/>
          <w:lang w:eastAsia="zh-CN"/>
        </w:rPr>
        <w:t>合</w:t>
      </w:r>
      <w:r>
        <w:rPr>
          <w:color w:val="auto"/>
          <w:spacing w:val="-3"/>
          <w:sz w:val="28"/>
          <w:highlight w:val="none"/>
          <w:lang w:eastAsia="zh-CN"/>
        </w:rPr>
        <w:t>同</w:t>
      </w:r>
      <w:r>
        <w:rPr>
          <w:color w:val="auto"/>
          <w:spacing w:val="-1"/>
          <w:sz w:val="28"/>
          <w:highlight w:val="none"/>
          <w:lang w:eastAsia="zh-CN"/>
        </w:rPr>
        <w:t>授</w:t>
      </w:r>
      <w:r>
        <w:rPr>
          <w:color w:val="auto"/>
          <w:sz w:val="28"/>
          <w:highlight w:val="none"/>
          <w:lang w:eastAsia="zh-CN"/>
        </w:rPr>
        <w:t>予</w:t>
      </w:r>
    </w:p>
    <w:p>
      <w:pPr>
        <w:pStyle w:val="15"/>
        <w:spacing w:before="8"/>
        <w:rPr>
          <w:color w:val="auto"/>
          <w:sz w:val="19"/>
          <w:highlight w:val="none"/>
          <w:lang w:eastAsia="zh-CN"/>
        </w:rPr>
      </w:pPr>
    </w:p>
    <w:p>
      <w:pPr>
        <w:numPr>
          <w:ilvl w:val="0"/>
          <w:numId w:val="2"/>
        </w:numPr>
        <w:tabs>
          <w:tab w:val="left" w:pos="1627"/>
        </w:tabs>
        <w:spacing w:before="1" w:line="408" w:lineRule="auto"/>
        <w:ind w:left="367" w:right="4737"/>
        <w:rPr>
          <w:color w:val="auto"/>
          <w:sz w:val="28"/>
          <w:highlight w:val="none"/>
          <w:lang w:eastAsia="zh-CN"/>
        </w:rPr>
      </w:pPr>
      <w:r>
        <w:rPr>
          <w:color w:val="auto"/>
          <w:spacing w:val="-1"/>
          <w:sz w:val="28"/>
          <w:highlight w:val="none"/>
          <w:lang w:eastAsia="zh-CN"/>
        </w:rPr>
        <w:t>中</w:t>
      </w:r>
      <w:r>
        <w:rPr>
          <w:color w:val="auto"/>
          <w:spacing w:val="-3"/>
          <w:sz w:val="28"/>
          <w:highlight w:val="none"/>
          <w:lang w:eastAsia="zh-CN"/>
        </w:rPr>
        <w:t>选</w:t>
      </w:r>
      <w:r>
        <w:rPr>
          <w:color w:val="auto"/>
          <w:spacing w:val="-1"/>
          <w:sz w:val="28"/>
          <w:highlight w:val="none"/>
          <w:lang w:eastAsia="zh-CN"/>
        </w:rPr>
        <w:t>后相</w:t>
      </w:r>
      <w:r>
        <w:rPr>
          <w:color w:val="auto"/>
          <w:spacing w:val="-3"/>
          <w:sz w:val="28"/>
          <w:highlight w:val="none"/>
          <w:lang w:eastAsia="zh-CN"/>
        </w:rPr>
        <w:t>关</w:t>
      </w:r>
      <w:r>
        <w:rPr>
          <w:color w:val="auto"/>
          <w:spacing w:val="-1"/>
          <w:sz w:val="28"/>
          <w:highlight w:val="none"/>
          <w:lang w:eastAsia="zh-CN"/>
        </w:rPr>
        <w:t>履约</w:t>
      </w:r>
      <w:r>
        <w:rPr>
          <w:color w:val="auto"/>
          <w:spacing w:val="-3"/>
          <w:sz w:val="28"/>
          <w:highlight w:val="none"/>
          <w:lang w:eastAsia="zh-CN"/>
        </w:rPr>
        <w:t>要</w:t>
      </w:r>
      <w:r>
        <w:rPr>
          <w:color w:val="auto"/>
          <w:sz w:val="28"/>
          <w:highlight w:val="none"/>
          <w:lang w:eastAsia="zh-CN"/>
        </w:rPr>
        <w:t xml:space="preserve">求 </w:t>
      </w:r>
    </w:p>
    <w:p>
      <w:pPr>
        <w:numPr>
          <w:ilvl w:val="0"/>
          <w:numId w:val="2"/>
        </w:numPr>
        <w:tabs>
          <w:tab w:val="left" w:pos="1627"/>
        </w:tabs>
        <w:spacing w:before="1" w:line="408" w:lineRule="auto"/>
        <w:ind w:left="367" w:right="4737"/>
        <w:rPr>
          <w:color w:val="auto"/>
          <w:sz w:val="28"/>
          <w:highlight w:val="none"/>
          <w:lang w:eastAsia="zh-CN"/>
        </w:rPr>
      </w:pPr>
      <w:r>
        <w:rPr>
          <w:color w:val="auto"/>
          <w:spacing w:val="-1"/>
          <w:sz w:val="28"/>
          <w:highlight w:val="none"/>
          <w:lang w:eastAsia="zh-CN"/>
        </w:rPr>
        <w:t>其</w:t>
      </w:r>
      <w:r>
        <w:rPr>
          <w:color w:val="auto"/>
          <w:sz w:val="28"/>
          <w:highlight w:val="none"/>
          <w:lang w:eastAsia="zh-CN"/>
        </w:rPr>
        <w:t>它</w:t>
      </w:r>
    </w:p>
    <w:p>
      <w:pPr>
        <w:pStyle w:val="15"/>
        <w:spacing w:before="10"/>
        <w:rPr>
          <w:color w:val="auto"/>
          <w:sz w:val="35"/>
          <w:highlight w:val="none"/>
          <w:lang w:eastAsia="zh-CN"/>
        </w:rPr>
      </w:pPr>
    </w:p>
    <w:p>
      <w:pPr>
        <w:tabs>
          <w:tab w:val="left" w:pos="1260"/>
          <w:tab w:val="left" w:pos="1800"/>
        </w:tabs>
        <w:spacing w:line="360" w:lineRule="auto"/>
        <w:ind w:firstLine="630" w:firstLineChars="225"/>
        <w:rPr>
          <w:color w:val="auto"/>
          <w:sz w:val="28"/>
          <w:szCs w:val="28"/>
          <w:highlight w:val="none"/>
          <w:lang w:eastAsia="zh-CN"/>
        </w:rPr>
      </w:pPr>
      <w:r>
        <w:rPr>
          <w:rFonts w:hint="eastAsia"/>
          <w:color w:val="auto"/>
          <w:sz w:val="28"/>
          <w:szCs w:val="28"/>
          <w:highlight w:val="none"/>
          <w:lang w:eastAsia="zh-CN"/>
        </w:rPr>
        <w:t>附件一：合同条款</w:t>
      </w:r>
    </w:p>
    <w:p>
      <w:pPr>
        <w:tabs>
          <w:tab w:val="left" w:pos="1260"/>
          <w:tab w:val="left" w:pos="1800"/>
        </w:tabs>
        <w:spacing w:line="360" w:lineRule="auto"/>
        <w:ind w:firstLine="630" w:firstLineChars="225"/>
        <w:rPr>
          <w:color w:val="auto"/>
          <w:sz w:val="28"/>
          <w:szCs w:val="28"/>
          <w:highlight w:val="none"/>
          <w:lang w:eastAsia="zh-CN"/>
        </w:rPr>
      </w:pPr>
      <w:r>
        <w:rPr>
          <w:rFonts w:hint="eastAsia"/>
          <w:color w:val="auto"/>
          <w:sz w:val="28"/>
          <w:szCs w:val="28"/>
          <w:highlight w:val="none"/>
          <w:lang w:eastAsia="zh-CN"/>
        </w:rPr>
        <w:t>附件二：参选文件格式</w:t>
      </w:r>
    </w:p>
    <w:p>
      <w:pPr>
        <w:spacing w:line="360" w:lineRule="auto"/>
        <w:ind w:firstLine="980" w:firstLineChars="350"/>
        <w:rPr>
          <w:color w:val="auto"/>
          <w:sz w:val="28"/>
          <w:szCs w:val="28"/>
          <w:highlight w:val="none"/>
          <w:lang w:eastAsia="zh-CN"/>
        </w:rPr>
      </w:pPr>
      <w:r>
        <w:rPr>
          <w:rFonts w:hint="eastAsia"/>
          <w:color w:val="auto"/>
          <w:sz w:val="28"/>
          <w:szCs w:val="28"/>
          <w:highlight w:val="none"/>
          <w:lang w:eastAsia="zh-CN"/>
        </w:rPr>
        <w:t>附件1：参选单位企业概况</w:t>
      </w:r>
    </w:p>
    <w:p>
      <w:pPr>
        <w:spacing w:line="360" w:lineRule="auto"/>
        <w:ind w:firstLine="980" w:firstLineChars="350"/>
        <w:rPr>
          <w:color w:val="auto"/>
          <w:sz w:val="28"/>
          <w:szCs w:val="28"/>
          <w:highlight w:val="none"/>
          <w:lang w:eastAsia="zh-CN"/>
        </w:rPr>
      </w:pPr>
      <w:r>
        <w:rPr>
          <w:rFonts w:hint="eastAsia"/>
          <w:color w:val="auto"/>
          <w:sz w:val="28"/>
          <w:szCs w:val="28"/>
          <w:highlight w:val="none"/>
          <w:lang w:eastAsia="zh-CN"/>
        </w:rPr>
        <w:t>附件2：参选书</w:t>
      </w:r>
    </w:p>
    <w:p>
      <w:pPr>
        <w:spacing w:line="360" w:lineRule="auto"/>
        <w:ind w:firstLine="980" w:firstLineChars="350"/>
        <w:rPr>
          <w:color w:val="auto"/>
          <w:sz w:val="28"/>
          <w:szCs w:val="28"/>
          <w:highlight w:val="none"/>
          <w:lang w:eastAsia="zh-CN"/>
        </w:rPr>
      </w:pPr>
      <w:r>
        <w:rPr>
          <w:rFonts w:hint="eastAsia"/>
          <w:color w:val="auto"/>
          <w:sz w:val="28"/>
          <w:szCs w:val="28"/>
          <w:highlight w:val="none"/>
          <w:lang w:eastAsia="zh-CN"/>
        </w:rPr>
        <w:t>附件3：法定代表人授权委托书</w:t>
      </w:r>
    </w:p>
    <w:p>
      <w:pPr>
        <w:spacing w:line="360" w:lineRule="auto"/>
        <w:ind w:firstLine="980" w:firstLineChars="350"/>
        <w:rPr>
          <w:color w:val="auto"/>
          <w:sz w:val="28"/>
          <w:szCs w:val="28"/>
          <w:highlight w:val="none"/>
          <w:lang w:eastAsia="zh-CN"/>
        </w:rPr>
      </w:pPr>
      <w:r>
        <w:rPr>
          <w:rFonts w:hint="eastAsia"/>
          <w:color w:val="auto"/>
          <w:sz w:val="28"/>
          <w:szCs w:val="28"/>
          <w:highlight w:val="none"/>
          <w:lang w:eastAsia="zh-CN"/>
        </w:rPr>
        <w:t>附件4：承诺函</w:t>
      </w:r>
    </w:p>
    <w:p>
      <w:pPr>
        <w:spacing w:line="360" w:lineRule="auto"/>
        <w:ind w:firstLine="980" w:firstLineChars="350"/>
        <w:rPr>
          <w:color w:val="auto"/>
          <w:sz w:val="28"/>
          <w:szCs w:val="28"/>
          <w:highlight w:val="none"/>
          <w:lang w:eastAsia="zh-CN"/>
        </w:rPr>
      </w:pPr>
      <w:r>
        <w:rPr>
          <w:rFonts w:hint="eastAsia"/>
          <w:color w:val="auto"/>
          <w:sz w:val="28"/>
          <w:szCs w:val="28"/>
          <w:highlight w:val="none"/>
          <w:lang w:eastAsia="zh-CN"/>
        </w:rPr>
        <w:t>附件5：技术偏离表</w:t>
      </w:r>
    </w:p>
    <w:p>
      <w:pPr>
        <w:spacing w:line="360" w:lineRule="auto"/>
        <w:ind w:firstLine="980" w:firstLineChars="350"/>
        <w:rPr>
          <w:color w:val="auto"/>
          <w:sz w:val="28"/>
          <w:szCs w:val="28"/>
          <w:highlight w:val="none"/>
          <w:lang w:eastAsia="zh-CN"/>
        </w:rPr>
      </w:pPr>
      <w:r>
        <w:rPr>
          <w:rFonts w:hint="eastAsia"/>
          <w:color w:val="auto"/>
          <w:sz w:val="28"/>
          <w:szCs w:val="28"/>
          <w:highlight w:val="none"/>
          <w:lang w:eastAsia="zh-CN"/>
        </w:rPr>
        <w:t>附件6：报价单</w:t>
      </w:r>
    </w:p>
    <w:p>
      <w:pPr>
        <w:pStyle w:val="2"/>
        <w:spacing w:line="360" w:lineRule="auto"/>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p>
    <w:p>
      <w:pPr>
        <w:pStyle w:val="2"/>
        <w:rPr>
          <w:color w:val="auto"/>
          <w:highlight w:val="none"/>
        </w:rPr>
        <w:sectPr>
          <w:footerReference r:id="rId3" w:type="default"/>
          <w:pgSz w:w="11910" w:h="16840"/>
          <w:pgMar w:top="1480" w:right="1340" w:bottom="740" w:left="1240" w:header="0" w:footer="551" w:gutter="0"/>
          <w:pgNumType w:start="1"/>
          <w:cols w:space="720" w:num="1"/>
        </w:sectPr>
      </w:pPr>
    </w:p>
    <w:p>
      <w:pPr>
        <w:tabs>
          <w:tab w:val="left" w:pos="1272"/>
        </w:tabs>
        <w:ind w:left="9"/>
        <w:jc w:val="center"/>
        <w:rPr>
          <w:b/>
          <w:color w:val="auto"/>
          <w:sz w:val="28"/>
          <w:highlight w:val="none"/>
          <w:lang w:eastAsia="zh-CN"/>
        </w:rPr>
      </w:pPr>
      <w:r>
        <w:rPr>
          <w:b/>
          <w:color w:val="auto"/>
          <w:sz w:val="28"/>
          <w:highlight w:val="none"/>
          <w:lang w:eastAsia="zh-CN"/>
        </w:rPr>
        <w:t>第一章</w:t>
      </w:r>
      <w:r>
        <w:rPr>
          <w:b/>
          <w:color w:val="auto"/>
          <w:sz w:val="28"/>
          <w:highlight w:val="none"/>
          <w:lang w:eastAsia="zh-CN"/>
        </w:rPr>
        <w:tab/>
      </w:r>
      <w:r>
        <w:rPr>
          <w:b/>
          <w:color w:val="auto"/>
          <w:spacing w:val="-1"/>
          <w:w w:val="95"/>
          <w:sz w:val="28"/>
          <w:highlight w:val="none"/>
          <w:lang w:eastAsia="zh-CN"/>
        </w:rPr>
        <w:t>比选公</w:t>
      </w:r>
      <w:r>
        <w:rPr>
          <w:b/>
          <w:color w:val="auto"/>
          <w:w w:val="95"/>
          <w:sz w:val="28"/>
          <w:highlight w:val="none"/>
          <w:lang w:eastAsia="zh-CN"/>
        </w:rPr>
        <w:t>告</w:t>
      </w:r>
    </w:p>
    <w:p>
      <w:pPr>
        <w:spacing w:line="400" w:lineRule="exact"/>
        <w:ind w:firstLine="300" w:firstLineChars="125"/>
        <w:rPr>
          <w:bCs/>
          <w:color w:val="auto"/>
          <w:spacing w:val="-2"/>
          <w:sz w:val="24"/>
          <w:szCs w:val="24"/>
          <w:highlight w:val="none"/>
          <w:lang w:eastAsia="zh-CN"/>
        </w:rPr>
      </w:pPr>
      <w:r>
        <w:rPr>
          <w:rFonts w:hint="eastAsia"/>
          <w:bCs/>
          <w:color w:val="auto"/>
          <w:sz w:val="24"/>
          <w:szCs w:val="24"/>
          <w:highlight w:val="none"/>
          <w:lang w:eastAsia="zh-CN"/>
        </w:rPr>
        <w:t>福建福海创石油化工有限公司拟对</w:t>
      </w:r>
      <w:r>
        <w:rPr>
          <w:rFonts w:hint="eastAsia"/>
          <w:color w:val="auto"/>
          <w:spacing w:val="-2"/>
          <w:sz w:val="24"/>
          <w:szCs w:val="24"/>
          <w:highlight w:val="none"/>
          <w:u w:val="single"/>
          <w:lang w:eastAsia="zh-CN"/>
        </w:rPr>
        <w:t>翔鹭石化(漳州)有限公司海水取水工程2024年度生态补偿增殖放流项目</w:t>
      </w:r>
      <w:r>
        <w:rPr>
          <w:rFonts w:hint="eastAsia"/>
          <w:bCs/>
          <w:color w:val="auto"/>
          <w:sz w:val="24"/>
          <w:szCs w:val="24"/>
          <w:highlight w:val="none"/>
          <w:lang w:eastAsia="zh-CN"/>
        </w:rPr>
        <w:t>进行国内公开比选，</w:t>
      </w:r>
      <w:r>
        <w:rPr>
          <w:rFonts w:hint="eastAsia"/>
          <w:bCs/>
          <w:color w:val="auto"/>
          <w:spacing w:val="-2"/>
          <w:sz w:val="24"/>
          <w:szCs w:val="24"/>
          <w:highlight w:val="none"/>
          <w:lang w:eastAsia="zh-CN"/>
        </w:rPr>
        <w:t>现欢迎国内合格参选人对该比选服务进行密封报价参选。</w:t>
      </w:r>
    </w:p>
    <w:p>
      <w:pPr>
        <w:spacing w:line="400" w:lineRule="exact"/>
        <w:rPr>
          <w:b/>
          <w:bCs/>
          <w:color w:val="auto"/>
          <w:sz w:val="24"/>
          <w:szCs w:val="24"/>
          <w:highlight w:val="none"/>
          <w:lang w:eastAsia="zh-CN"/>
        </w:rPr>
      </w:pPr>
      <w:r>
        <w:rPr>
          <w:rFonts w:hint="eastAsia"/>
          <w:b/>
          <w:bCs/>
          <w:color w:val="auto"/>
          <w:sz w:val="24"/>
          <w:szCs w:val="24"/>
          <w:highlight w:val="none"/>
          <w:lang w:eastAsia="zh-CN"/>
        </w:rPr>
        <w:t>一、主要内容：</w:t>
      </w:r>
    </w:p>
    <w:p>
      <w:pPr>
        <w:tabs>
          <w:tab w:val="left" w:pos="-1020"/>
        </w:tabs>
        <w:spacing w:line="400" w:lineRule="exact"/>
        <w:ind w:left="337" w:leftChars="-9" w:hanging="357" w:hangingChars="149"/>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1. 项目名称：翔鹭石化(漳州)有限公司海水取水工程2024年度生态补偿增殖放流项目</w:t>
      </w:r>
    </w:p>
    <w:p>
      <w:pPr>
        <w:tabs>
          <w:tab w:val="left" w:pos="-1020"/>
        </w:tabs>
        <w:spacing w:line="400" w:lineRule="exact"/>
        <w:ind w:left="337" w:leftChars="-9" w:hanging="357" w:hangingChars="149"/>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2. 增殖放流地点：浮头湾海域（含杏仔码头）</w:t>
      </w:r>
    </w:p>
    <w:p>
      <w:pPr>
        <w:tabs>
          <w:tab w:val="left" w:pos="-1020"/>
        </w:tabs>
        <w:spacing w:line="400" w:lineRule="exact"/>
        <w:ind w:left="337" w:leftChars="-9" w:hanging="357" w:hangingChars="149"/>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3.增殖放流时间：2024年6月下旬至2024年8月上旬期间。</w:t>
      </w:r>
    </w:p>
    <w:p>
      <w:pPr>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4.增殖放流金额及其放流品种、数量及规格：</w:t>
      </w:r>
    </w:p>
    <w:p>
      <w:pPr>
        <w:tabs>
          <w:tab w:val="left" w:pos="600"/>
        </w:tabs>
        <w:ind w:firstLine="240" w:firstLineChars="100"/>
        <w:rPr>
          <w:color w:val="auto"/>
          <w:highlight w:val="none"/>
          <w:lang w:eastAsia="zh-CN"/>
        </w:rPr>
      </w:pPr>
      <w:r>
        <w:rPr>
          <w:rFonts w:hint="eastAsia" w:asciiTheme="majorEastAsia" w:hAnsiTheme="majorEastAsia" w:eastAsiaTheme="majorEastAsia"/>
          <w:bCs/>
          <w:color w:val="auto"/>
          <w:sz w:val="24"/>
          <w:szCs w:val="24"/>
          <w:highlight w:val="none"/>
          <w:lang w:eastAsia="zh-CN"/>
        </w:rPr>
        <w:t>本次增殖放流拟投入资金人民币194.9万元，依古雷港经济开发区管委会农林水局批复的放流品种和投入金额,本案增殖放流项目渔业资源具体采购品种、投入金额、拟采购数量、苗体规格如下：</w:t>
      </w:r>
    </w:p>
    <w:p>
      <w:pPr>
        <w:tabs>
          <w:tab w:val="left" w:pos="600"/>
        </w:tabs>
        <w:ind w:firstLine="240" w:firstLineChars="100"/>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（1）黄鳍鲷：投入金额人民币75万元，预估数量150万尾，仔鱼5厘米及以上。</w:t>
      </w:r>
    </w:p>
    <w:p>
      <w:pPr>
        <w:tabs>
          <w:tab w:val="left" w:pos="600"/>
        </w:tabs>
        <w:ind w:firstLine="240" w:firstLineChars="100"/>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（2）大黄鱼：投入金额人民币75万元，预估数量150万尾，仔鱼5厘米及以上。</w:t>
      </w:r>
    </w:p>
    <w:p>
      <w:pPr>
        <w:tabs>
          <w:tab w:val="left" w:pos="600"/>
        </w:tabs>
        <w:ind w:firstLine="240" w:firstLineChars="100"/>
        <w:rPr>
          <w:rFonts w:asciiTheme="majorEastAsia" w:hAnsiTheme="majorEastAsia" w:eastAsiaTheme="majorEastAsia"/>
          <w:bCs/>
          <w:color w:val="auto"/>
          <w:sz w:val="24"/>
          <w:szCs w:val="24"/>
          <w:highlight w:val="none"/>
          <w:lang w:eastAsia="zh-CN"/>
        </w:rPr>
      </w:pPr>
      <w:r>
        <w:rPr>
          <w:rFonts w:hint="eastAsia" w:asciiTheme="majorEastAsia" w:hAnsiTheme="majorEastAsia" w:eastAsiaTheme="majorEastAsia"/>
          <w:bCs/>
          <w:color w:val="auto"/>
          <w:sz w:val="24"/>
          <w:szCs w:val="24"/>
          <w:highlight w:val="none"/>
          <w:lang w:eastAsia="zh-CN"/>
        </w:rPr>
        <w:t>（3）日本对虾：投入金额人民币44.9万元，预估数量</w:t>
      </w:r>
      <w:r>
        <w:rPr>
          <w:rFonts w:asciiTheme="majorEastAsia" w:hAnsiTheme="majorEastAsia" w:eastAsiaTheme="majorEastAsia"/>
          <w:bCs/>
          <w:color w:val="auto"/>
          <w:sz w:val="24"/>
          <w:szCs w:val="24"/>
          <w:highlight w:val="none"/>
          <w:lang w:eastAsia="zh-CN"/>
        </w:rPr>
        <w:t>25000</w:t>
      </w:r>
      <w:r>
        <w:rPr>
          <w:rFonts w:hint="eastAsia" w:asciiTheme="majorEastAsia" w:hAnsiTheme="majorEastAsia" w:eastAsiaTheme="majorEastAsia"/>
          <w:bCs/>
          <w:color w:val="auto"/>
          <w:sz w:val="24"/>
          <w:szCs w:val="24"/>
          <w:highlight w:val="none"/>
          <w:lang w:eastAsia="zh-CN"/>
        </w:rPr>
        <w:t>万尾，苗体0.8厘米及以上。</w:t>
      </w:r>
    </w:p>
    <w:p>
      <w:pPr>
        <w:spacing w:line="400" w:lineRule="exact"/>
        <w:rPr>
          <w:b/>
          <w:bCs/>
          <w:color w:val="auto"/>
          <w:sz w:val="24"/>
          <w:szCs w:val="24"/>
          <w:highlight w:val="none"/>
          <w:lang w:eastAsia="zh-CN"/>
        </w:rPr>
      </w:pPr>
      <w:r>
        <w:rPr>
          <w:rFonts w:hint="eastAsia"/>
          <w:b/>
          <w:bCs/>
          <w:color w:val="auto"/>
          <w:sz w:val="24"/>
          <w:szCs w:val="24"/>
          <w:highlight w:val="none"/>
          <w:lang w:eastAsia="zh-CN"/>
        </w:rPr>
        <w:t>二、参选人资格要求：</w:t>
      </w:r>
    </w:p>
    <w:p>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2.1 具备独立法人资格且有能力提供招标服务的供应商。</w:t>
      </w:r>
    </w:p>
    <w:p>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2.2 参选人应具备行政主管部门审批颁发的有效《水产苗种生产许可证》。</w:t>
      </w:r>
    </w:p>
    <w:p>
      <w:pPr>
        <w:spacing w:line="360" w:lineRule="auto"/>
        <w:ind w:left="439" w:hanging="439" w:hangingChars="183"/>
        <w:rPr>
          <w:rFonts w:asciiTheme="minorEastAsia" w:hAnsiTheme="minorEastAsia"/>
          <w:color w:val="auto"/>
          <w:sz w:val="30"/>
          <w:szCs w:val="30"/>
          <w:highlight w:val="none"/>
          <w:lang w:eastAsia="zh-CN"/>
        </w:rPr>
      </w:pPr>
      <w:r>
        <w:rPr>
          <w:rFonts w:hint="eastAsia"/>
          <w:color w:val="auto"/>
          <w:sz w:val="24"/>
          <w:szCs w:val="24"/>
          <w:highlight w:val="none"/>
          <w:lang w:eastAsia="zh-CN"/>
        </w:rPr>
        <w:t>2.3 参选人在近2年内（自本项目发布招标公告之日起向前推算，不含发布当日）至少有承揽过一次（含）以上的海洋渔业资源增殖放流项目，并履约完成验收（由区、县级（含）以上渔业行政主管部门组织）合格。</w:t>
      </w:r>
    </w:p>
    <w:p>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2.4 参选人应为正式注册的合法组织、机构或公司，且近三年内无相关违约记录和法人代表未被列入失信被执行人。</w:t>
      </w:r>
    </w:p>
    <w:p>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2.5 参选人应具备与所供苗种数量匹配的亲本数量、生产设施设备（包括尾水治理设备）。</w:t>
      </w:r>
    </w:p>
    <w:p>
      <w:pPr>
        <w:spacing w:line="360" w:lineRule="auto"/>
        <w:ind w:left="439" w:hanging="439" w:hangingChars="183"/>
        <w:rPr>
          <w:color w:val="auto"/>
          <w:sz w:val="24"/>
          <w:szCs w:val="24"/>
          <w:highlight w:val="none"/>
          <w:lang w:eastAsia="zh-CN"/>
        </w:rPr>
      </w:pPr>
      <w:r>
        <w:rPr>
          <w:rFonts w:hint="eastAsia"/>
          <w:color w:val="auto"/>
          <w:sz w:val="24"/>
          <w:szCs w:val="24"/>
          <w:highlight w:val="none"/>
          <w:lang w:eastAsia="zh-CN"/>
        </w:rPr>
        <w:t>2.6 参选人应提供海水育苗场地使用权属证明，且其大小应满足育苗数量要求。</w:t>
      </w:r>
    </w:p>
    <w:p>
      <w:pPr>
        <w:spacing w:line="360" w:lineRule="auto"/>
        <w:ind w:left="439" w:hanging="439" w:hangingChars="183"/>
        <w:rPr>
          <w:rFonts w:asciiTheme="majorEastAsia" w:hAnsiTheme="majorEastAsia"/>
          <w:color w:val="auto"/>
          <w:sz w:val="24"/>
          <w:szCs w:val="24"/>
          <w:highlight w:val="none"/>
          <w:lang w:eastAsia="zh-CN"/>
        </w:rPr>
      </w:pPr>
      <w:r>
        <w:rPr>
          <w:rFonts w:hint="eastAsia"/>
          <w:color w:val="auto"/>
          <w:sz w:val="24"/>
          <w:szCs w:val="24"/>
          <w:highlight w:val="none"/>
          <w:lang w:eastAsia="zh-CN"/>
        </w:rPr>
        <w:t>2.7 本项目</w:t>
      </w:r>
      <w:r>
        <w:rPr>
          <w:rFonts w:hint="eastAsia"/>
          <w:b/>
          <w:color w:val="auto"/>
          <w:sz w:val="24"/>
          <w:szCs w:val="24"/>
          <w:highlight w:val="none"/>
          <w:u w:val="single"/>
          <w:lang w:eastAsia="zh-CN"/>
        </w:rPr>
        <w:t>不接受</w:t>
      </w:r>
      <w:r>
        <w:rPr>
          <w:rFonts w:hint="eastAsia"/>
          <w:color w:val="auto"/>
          <w:sz w:val="24"/>
          <w:szCs w:val="24"/>
          <w:highlight w:val="none"/>
          <w:lang w:eastAsia="zh-CN"/>
        </w:rPr>
        <w:t>联合体投标。</w:t>
      </w:r>
    </w:p>
    <w:p>
      <w:pPr>
        <w:spacing w:line="276" w:lineRule="auto"/>
        <w:rPr>
          <w:rFonts w:asciiTheme="minorEastAsia" w:hAnsiTheme="minorEastAsia" w:eastAsiaTheme="minorEastAsia"/>
          <w:b/>
          <w:color w:val="auto"/>
          <w:spacing w:val="8"/>
          <w:sz w:val="24"/>
          <w:szCs w:val="24"/>
          <w:highlight w:val="none"/>
          <w:lang w:eastAsia="zh-CN"/>
        </w:rPr>
      </w:pPr>
      <w:r>
        <w:rPr>
          <w:rFonts w:hint="eastAsia" w:asciiTheme="minorEastAsia" w:hAnsiTheme="minorEastAsia" w:eastAsiaTheme="minorEastAsia"/>
          <w:b/>
          <w:color w:val="auto"/>
          <w:spacing w:val="8"/>
          <w:sz w:val="24"/>
          <w:szCs w:val="24"/>
          <w:highlight w:val="none"/>
          <w:lang w:eastAsia="zh-CN"/>
        </w:rPr>
        <w:t>三、参选报名及比选文件获取</w:t>
      </w:r>
    </w:p>
    <w:p>
      <w:pPr>
        <w:pStyle w:val="51"/>
        <w:autoSpaceDE/>
        <w:autoSpaceDN/>
        <w:spacing w:before="0" w:line="360" w:lineRule="auto"/>
        <w:ind w:left="494" w:hanging="494" w:hangingChars="206"/>
        <w:jc w:val="both"/>
        <w:rPr>
          <w:rFonts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3.1报名时间：公示之日起10天内即</w:t>
      </w:r>
      <w:r>
        <w:rPr>
          <w:rFonts w:hint="eastAsia" w:asciiTheme="minorEastAsia" w:hAnsiTheme="minorEastAsia" w:eastAsiaTheme="minorEastAsia"/>
          <w:color w:val="auto"/>
          <w:sz w:val="24"/>
          <w:szCs w:val="24"/>
          <w:highlight w:val="none"/>
          <w:lang w:eastAsia="zh-CN"/>
        </w:rPr>
        <w:t>2024年06月</w:t>
      </w:r>
      <w:r>
        <w:rPr>
          <w:rFonts w:hint="eastAsia" w:asciiTheme="minorEastAsia" w:hAnsiTheme="minorEastAsia" w:eastAsiaTheme="minorEastAsia"/>
          <w:color w:val="auto"/>
          <w:sz w:val="24"/>
          <w:szCs w:val="24"/>
          <w:highlight w:val="none"/>
          <w:lang w:val="en-US" w:eastAsia="zh-CN"/>
        </w:rPr>
        <w:t>24</w:t>
      </w:r>
      <w:r>
        <w:rPr>
          <w:rFonts w:hint="eastAsia" w:asciiTheme="minorEastAsia" w:hAnsiTheme="minorEastAsia" w:eastAsiaTheme="minorEastAsia"/>
          <w:color w:val="auto"/>
          <w:sz w:val="24"/>
          <w:szCs w:val="24"/>
          <w:highlight w:val="none"/>
          <w:lang w:eastAsia="zh-CN"/>
        </w:rPr>
        <w:t>日起至2024年0</w:t>
      </w:r>
      <w:r>
        <w:rPr>
          <w:rFonts w:hint="eastAsia" w:asciiTheme="minorEastAsia" w:hAnsiTheme="minorEastAsia" w:eastAsiaTheme="minorEastAsia"/>
          <w:color w:val="auto"/>
          <w:sz w:val="24"/>
          <w:szCs w:val="24"/>
          <w:highlight w:val="none"/>
          <w:lang w:val="en-US" w:eastAsia="zh-CN"/>
        </w:rPr>
        <w:t>7</w:t>
      </w:r>
      <w:r>
        <w:rPr>
          <w:rFonts w:hint="eastAsia" w:asciiTheme="minorEastAsia" w:hAnsiTheme="minorEastAsia" w:eastAsiaTheme="minorEastAsia"/>
          <w:color w:val="auto"/>
          <w:sz w:val="24"/>
          <w:szCs w:val="24"/>
          <w:highlight w:val="none"/>
          <w:lang w:eastAsia="zh-CN"/>
        </w:rPr>
        <w:t>月</w:t>
      </w:r>
      <w:r>
        <w:rPr>
          <w:rFonts w:hint="eastAsia" w:asciiTheme="minorEastAsia" w:hAnsiTheme="minorEastAsia" w:eastAsiaTheme="minorEastAsia"/>
          <w:color w:val="auto"/>
          <w:sz w:val="24"/>
          <w:szCs w:val="24"/>
          <w:highlight w:val="none"/>
          <w:lang w:val="en-US" w:eastAsia="zh-CN"/>
        </w:rPr>
        <w:t>03</w:t>
      </w:r>
      <w:r>
        <w:rPr>
          <w:rFonts w:hint="eastAsia" w:asciiTheme="minorEastAsia" w:hAnsiTheme="minorEastAsia" w:eastAsiaTheme="minorEastAsia"/>
          <w:color w:val="auto"/>
          <w:sz w:val="24"/>
          <w:szCs w:val="24"/>
          <w:highlight w:val="none"/>
          <w:lang w:eastAsia="zh-CN"/>
        </w:rPr>
        <w:t>日止。</w:t>
      </w:r>
    </w:p>
    <w:p>
      <w:pPr>
        <w:pStyle w:val="51"/>
        <w:autoSpaceDE/>
        <w:autoSpaceDN/>
        <w:spacing w:before="0" w:line="360" w:lineRule="auto"/>
        <w:ind w:left="494" w:hanging="494" w:hangingChars="206"/>
        <w:jc w:val="both"/>
        <w:rPr>
          <w:rFonts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3.2 报名方式：</w:t>
      </w:r>
      <w:r>
        <w:rPr>
          <w:rFonts w:hint="eastAsia" w:asciiTheme="minorEastAsia" w:hAnsiTheme="minorEastAsia" w:eastAsiaTheme="minorEastAsia"/>
          <w:color w:val="auto"/>
          <w:sz w:val="24"/>
          <w:szCs w:val="24"/>
          <w:highlight w:val="none"/>
          <w:lang w:eastAsia="zh-CN"/>
        </w:rPr>
        <w:t>以邮件附件方式发送至商务联系人邮箱huangmq@fjpec.com.cn</w:t>
      </w:r>
      <w:r>
        <w:rPr>
          <w:rFonts w:asciiTheme="minorEastAsia" w:hAnsiTheme="minorEastAsia" w:eastAsiaTheme="minorEastAsia"/>
          <w:bCs/>
          <w:color w:val="auto"/>
          <w:sz w:val="24"/>
          <w:szCs w:val="24"/>
          <w:highlight w:val="none"/>
          <w:lang w:eastAsia="zh-CN"/>
        </w:rPr>
        <w:t>登记报名，登记报名时需递交以下文件：</w:t>
      </w:r>
      <w:r>
        <w:rPr>
          <w:rFonts w:asciiTheme="minorEastAsia" w:hAnsiTheme="minorEastAsia" w:eastAsiaTheme="minorEastAsia"/>
          <w:bCs/>
          <w:color w:val="auto"/>
          <w:sz w:val="24"/>
          <w:szCs w:val="24"/>
          <w:highlight w:val="none"/>
          <w:lang w:eastAsia="zh-CN"/>
        </w:rPr>
        <w:cr/>
      </w:r>
      <w:r>
        <w:rPr>
          <w:rFonts w:asciiTheme="minorEastAsia" w:hAnsiTheme="minorEastAsia" w:eastAsiaTheme="minorEastAsia"/>
          <w:bCs/>
          <w:color w:val="auto"/>
          <w:sz w:val="24"/>
          <w:szCs w:val="24"/>
          <w:highlight w:val="none"/>
          <w:lang w:eastAsia="zh-CN"/>
        </w:rPr>
        <w:t>（1）针对本项目的法人授权委托书（格式详见参选文件附件2）；</w:t>
      </w:r>
      <w:r>
        <w:rPr>
          <w:rFonts w:asciiTheme="minorEastAsia" w:hAnsiTheme="minorEastAsia" w:eastAsiaTheme="minorEastAsia"/>
          <w:bCs/>
          <w:color w:val="auto"/>
          <w:sz w:val="24"/>
          <w:szCs w:val="24"/>
          <w:highlight w:val="none"/>
          <w:lang w:eastAsia="zh-CN"/>
        </w:rPr>
        <w:cr/>
      </w:r>
      <w:r>
        <w:rPr>
          <w:rFonts w:asciiTheme="minorEastAsia" w:hAnsiTheme="minorEastAsia" w:eastAsiaTheme="minorEastAsia"/>
          <w:bCs/>
          <w:color w:val="auto"/>
          <w:sz w:val="24"/>
          <w:szCs w:val="24"/>
          <w:highlight w:val="none"/>
          <w:lang w:eastAsia="zh-CN"/>
        </w:rPr>
        <w:t>（2）营业执照（加盖单位公章的复印件）。</w:t>
      </w:r>
    </w:p>
    <w:p>
      <w:pPr>
        <w:spacing w:line="276" w:lineRule="auto"/>
        <w:rPr>
          <w:rFonts w:asciiTheme="minorEastAsia" w:hAnsiTheme="minorEastAsia" w:eastAsiaTheme="minorEastAsia"/>
          <w:color w:val="auto"/>
          <w:spacing w:val="8"/>
          <w:sz w:val="24"/>
          <w:szCs w:val="24"/>
          <w:highlight w:val="none"/>
          <w:lang w:eastAsia="zh-CN"/>
        </w:rPr>
      </w:pPr>
      <w:r>
        <w:rPr>
          <w:rFonts w:hint="eastAsia" w:asciiTheme="minorEastAsia" w:hAnsiTheme="minorEastAsia" w:eastAsiaTheme="minorEastAsia"/>
          <w:color w:val="auto"/>
          <w:spacing w:val="8"/>
          <w:sz w:val="24"/>
          <w:szCs w:val="24"/>
          <w:highlight w:val="none"/>
          <w:lang w:eastAsia="zh-CN"/>
        </w:rPr>
        <w:t>3.3 比选文件获取</w:t>
      </w:r>
    </w:p>
    <w:p>
      <w:pPr>
        <w:spacing w:line="276" w:lineRule="auto"/>
        <w:ind w:firstLine="512" w:firstLineChars="200"/>
        <w:rPr>
          <w:rFonts w:asciiTheme="minorEastAsia" w:hAnsiTheme="minorEastAsia" w:eastAsiaTheme="minorEastAsia"/>
          <w:b/>
          <w:bCs/>
          <w:color w:val="auto"/>
          <w:spacing w:val="8"/>
          <w:sz w:val="24"/>
          <w:szCs w:val="24"/>
          <w:highlight w:val="none"/>
          <w:lang w:eastAsia="zh-CN"/>
        </w:rPr>
      </w:pPr>
      <w:r>
        <w:rPr>
          <w:rFonts w:hint="eastAsia" w:asciiTheme="minorEastAsia" w:hAnsiTheme="minorEastAsia" w:eastAsiaTheme="minorEastAsia"/>
          <w:color w:val="auto"/>
          <w:spacing w:val="8"/>
          <w:sz w:val="24"/>
          <w:szCs w:val="24"/>
          <w:highlight w:val="none"/>
          <w:lang w:eastAsia="zh-CN"/>
        </w:rPr>
        <w:t>本项目比选文件作为公告附件由参选人自行下载，不收取费用。</w:t>
      </w:r>
      <w:r>
        <w:rPr>
          <w:rFonts w:hint="eastAsia" w:asciiTheme="minorEastAsia" w:hAnsiTheme="minorEastAsia" w:eastAsiaTheme="minorEastAsia"/>
          <w:b/>
          <w:bCs/>
          <w:color w:val="auto"/>
          <w:spacing w:val="8"/>
          <w:sz w:val="24"/>
          <w:szCs w:val="24"/>
          <w:highlight w:val="none"/>
          <w:lang w:eastAsia="zh-CN"/>
        </w:rPr>
        <w:t>（特别声明：未进行登记报名的参选人，其递交的参选文件将被拒收。）</w:t>
      </w:r>
    </w:p>
    <w:p>
      <w:pPr>
        <w:spacing w:line="276" w:lineRule="auto"/>
        <w:rPr>
          <w:rFonts w:asciiTheme="minorEastAsia" w:hAnsiTheme="minorEastAsia" w:eastAsiaTheme="minorEastAsia"/>
          <w:b/>
          <w:color w:val="auto"/>
          <w:spacing w:val="8"/>
          <w:sz w:val="24"/>
          <w:szCs w:val="24"/>
          <w:highlight w:val="none"/>
          <w:lang w:eastAsia="zh-CN"/>
        </w:rPr>
      </w:pPr>
    </w:p>
    <w:p>
      <w:pPr>
        <w:spacing w:line="276" w:lineRule="auto"/>
        <w:rPr>
          <w:rFonts w:asciiTheme="minorEastAsia" w:hAnsiTheme="minorEastAsia" w:eastAsiaTheme="minorEastAsia"/>
          <w:b/>
          <w:color w:val="auto"/>
          <w:spacing w:val="8"/>
          <w:sz w:val="24"/>
          <w:szCs w:val="24"/>
          <w:highlight w:val="none"/>
          <w:lang w:eastAsia="zh-CN"/>
        </w:rPr>
      </w:pPr>
      <w:r>
        <w:rPr>
          <w:rFonts w:hint="eastAsia" w:asciiTheme="minorEastAsia" w:hAnsiTheme="minorEastAsia" w:eastAsiaTheme="minorEastAsia"/>
          <w:b/>
          <w:color w:val="auto"/>
          <w:spacing w:val="8"/>
          <w:sz w:val="24"/>
          <w:szCs w:val="24"/>
          <w:highlight w:val="none"/>
          <w:lang w:eastAsia="zh-CN"/>
        </w:rPr>
        <w:t>四、参选文件递交要求</w:t>
      </w:r>
    </w:p>
    <w:p>
      <w:pPr>
        <w:autoSpaceDE/>
        <w:autoSpaceDN/>
        <w:spacing w:line="288" w:lineRule="auto"/>
        <w:ind w:left="877" w:leftChars="199" w:hanging="439" w:hangingChars="183"/>
        <w:jc w:val="both"/>
        <w:rPr>
          <w:rFonts w:ascii="Times New Roman" w:hAnsi="Times New Roman" w:cs="Times New Roman"/>
          <w:bCs/>
          <w:color w:val="auto"/>
          <w:sz w:val="24"/>
          <w:szCs w:val="24"/>
          <w:highlight w:val="none"/>
          <w:lang w:eastAsia="zh-CN"/>
        </w:rPr>
      </w:pPr>
      <w:r>
        <w:rPr>
          <w:rFonts w:hint="eastAsia" w:ascii="Times New Roman" w:hAnsi="Times New Roman" w:cs="Times New Roman"/>
          <w:bCs/>
          <w:color w:val="auto"/>
          <w:sz w:val="24"/>
          <w:szCs w:val="24"/>
          <w:highlight w:val="none"/>
          <w:lang w:eastAsia="zh-CN"/>
        </w:rPr>
        <w:t xml:space="preserve">4.1 </w:t>
      </w:r>
      <w:r>
        <w:rPr>
          <w:rFonts w:ascii="Times New Roman" w:hAnsi="Times New Roman" w:cs="Times New Roman"/>
          <w:bCs/>
          <w:color w:val="auto"/>
          <w:sz w:val="24"/>
          <w:szCs w:val="24"/>
          <w:highlight w:val="none"/>
          <w:lang w:eastAsia="zh-CN"/>
        </w:rPr>
        <w:t>参选文件递交地点：福建省漳州市漳浦县杜浔镇杜昌路9号</w:t>
      </w:r>
    </w:p>
    <w:p>
      <w:pPr>
        <w:autoSpaceDE/>
        <w:autoSpaceDN/>
        <w:spacing w:line="360" w:lineRule="auto"/>
        <w:ind w:left="877" w:leftChars="199" w:hanging="439" w:hangingChars="183"/>
        <w:jc w:val="both"/>
        <w:rPr>
          <w:rFonts w:ascii="Times New Roman" w:hAnsi="Times New Roman" w:cs="Times New Roman"/>
          <w:bCs/>
          <w:color w:val="auto"/>
          <w:sz w:val="24"/>
          <w:szCs w:val="24"/>
          <w:highlight w:val="none"/>
          <w:lang w:eastAsia="zh-CN"/>
        </w:rPr>
      </w:pPr>
      <w:r>
        <w:rPr>
          <w:rFonts w:hint="eastAsia" w:ascii="Times New Roman" w:hAnsi="Times New Roman" w:cs="Times New Roman"/>
          <w:bCs/>
          <w:color w:val="auto"/>
          <w:sz w:val="24"/>
          <w:szCs w:val="24"/>
          <w:highlight w:val="none"/>
          <w:lang w:eastAsia="zh-CN"/>
        </w:rPr>
        <w:t>4.2 参选文件</w:t>
      </w:r>
      <w:r>
        <w:rPr>
          <w:rFonts w:ascii="Times New Roman" w:hAnsi="Times New Roman" w:cs="Times New Roman"/>
          <w:bCs/>
          <w:color w:val="auto"/>
          <w:sz w:val="24"/>
          <w:szCs w:val="24"/>
          <w:highlight w:val="none"/>
          <w:lang w:eastAsia="zh-CN"/>
        </w:rPr>
        <w:t>递交截止时间：公示之日起第1</w:t>
      </w:r>
      <w:r>
        <w:rPr>
          <w:rFonts w:hint="eastAsia" w:ascii="Times New Roman" w:hAnsi="Times New Roman" w:cs="Times New Roman"/>
          <w:bCs/>
          <w:color w:val="auto"/>
          <w:sz w:val="24"/>
          <w:szCs w:val="24"/>
          <w:highlight w:val="none"/>
          <w:lang w:eastAsia="zh-CN"/>
        </w:rPr>
        <w:t>2</w:t>
      </w:r>
      <w:r>
        <w:rPr>
          <w:rFonts w:ascii="Times New Roman" w:hAnsi="Times New Roman" w:cs="Times New Roman"/>
          <w:bCs/>
          <w:color w:val="auto"/>
          <w:sz w:val="24"/>
          <w:szCs w:val="24"/>
          <w:highlight w:val="none"/>
          <w:lang w:eastAsia="zh-CN"/>
        </w:rPr>
        <w:t>天即</w:t>
      </w:r>
      <w:r>
        <w:rPr>
          <w:rFonts w:ascii="Times New Roman" w:hAnsi="Times New Roman" w:cs="Times New Roman"/>
          <w:color w:val="auto"/>
          <w:sz w:val="24"/>
          <w:szCs w:val="24"/>
          <w:highlight w:val="none"/>
          <w:lang w:eastAsia="zh-CN"/>
        </w:rPr>
        <w:t>202</w:t>
      </w:r>
      <w:r>
        <w:rPr>
          <w:rFonts w:hint="eastAsia" w:ascii="Times New Roman" w:hAnsi="Times New Roman" w:cs="Times New Roman"/>
          <w:color w:val="auto"/>
          <w:sz w:val="24"/>
          <w:szCs w:val="24"/>
          <w:highlight w:val="none"/>
          <w:lang w:eastAsia="zh-CN"/>
        </w:rPr>
        <w:t>4</w:t>
      </w:r>
      <w:r>
        <w:rPr>
          <w:rFonts w:ascii="Times New Roman" w:hAnsi="Times New Roman" w:cs="Times New Roman"/>
          <w:color w:val="auto"/>
          <w:sz w:val="24"/>
          <w:szCs w:val="24"/>
          <w:highlight w:val="none"/>
          <w:lang w:eastAsia="zh-CN"/>
        </w:rPr>
        <w:t>年</w:t>
      </w:r>
      <w:r>
        <w:rPr>
          <w:rFonts w:hint="eastAsia" w:ascii="Times New Roman" w:hAnsi="Times New Roman" w:cs="Times New Roman"/>
          <w:color w:val="auto"/>
          <w:sz w:val="24"/>
          <w:szCs w:val="24"/>
          <w:highlight w:val="none"/>
          <w:lang w:eastAsia="zh-CN"/>
        </w:rPr>
        <w:t>0</w:t>
      </w:r>
      <w:r>
        <w:rPr>
          <w:rFonts w:hint="eastAsia" w:ascii="Times New Roman" w:hAnsi="Times New Roman" w:cs="Times New Roman"/>
          <w:color w:val="auto"/>
          <w:sz w:val="24"/>
          <w:szCs w:val="24"/>
          <w:highlight w:val="none"/>
          <w:lang w:val="en-US" w:eastAsia="zh-CN"/>
        </w:rPr>
        <w:t>7</w:t>
      </w:r>
      <w:r>
        <w:rPr>
          <w:rFonts w:ascii="Times New Roman" w:hAnsi="Times New Roman" w:cs="Times New Roman"/>
          <w:color w:val="auto"/>
          <w:sz w:val="24"/>
          <w:szCs w:val="24"/>
          <w:highlight w:val="none"/>
          <w:lang w:eastAsia="zh-CN"/>
        </w:rPr>
        <w:t>月</w:t>
      </w:r>
      <w:r>
        <w:rPr>
          <w:rFonts w:hint="eastAsia" w:ascii="Times New Roman" w:hAnsi="Times New Roman" w:cs="Times New Roman"/>
          <w:color w:val="auto"/>
          <w:sz w:val="24"/>
          <w:szCs w:val="24"/>
          <w:highlight w:val="none"/>
          <w:lang w:val="en-US" w:eastAsia="zh-CN"/>
        </w:rPr>
        <w:t>05</w:t>
      </w:r>
      <w:r>
        <w:rPr>
          <w:rFonts w:hint="eastAsia" w:ascii="Times New Roman" w:hAnsi="Times New Roman" w:cs="Times New Roman"/>
          <w:color w:val="auto"/>
          <w:sz w:val="24"/>
          <w:szCs w:val="24"/>
          <w:highlight w:val="none"/>
          <w:lang w:eastAsia="zh-CN"/>
        </w:rPr>
        <w:t xml:space="preserve"> </w:t>
      </w:r>
      <w:r>
        <w:rPr>
          <w:rFonts w:ascii="Times New Roman" w:hAnsi="Times New Roman" w:cs="Times New Roman"/>
          <w:color w:val="auto"/>
          <w:sz w:val="24"/>
          <w:szCs w:val="24"/>
          <w:highlight w:val="none"/>
          <w:lang w:eastAsia="zh-CN"/>
        </w:rPr>
        <w:t>日17:00</w:t>
      </w:r>
      <w:r>
        <w:rPr>
          <w:rFonts w:ascii="Times New Roman" w:hAnsi="Times New Roman" w:cs="Times New Roman"/>
          <w:bCs/>
          <w:color w:val="auto"/>
          <w:sz w:val="24"/>
          <w:szCs w:val="24"/>
          <w:highlight w:val="none"/>
          <w:lang w:eastAsia="zh-CN"/>
        </w:rPr>
        <w:t>将参选文件纸质原件密封送达比选人指定地点。</w:t>
      </w:r>
    </w:p>
    <w:p>
      <w:pPr>
        <w:tabs>
          <w:tab w:val="left" w:pos="709"/>
        </w:tabs>
        <w:spacing w:line="360" w:lineRule="auto"/>
        <w:rPr>
          <w:b/>
          <w:snapToGrid w:val="0"/>
          <w:color w:val="auto"/>
          <w:spacing w:val="8"/>
          <w:sz w:val="24"/>
          <w:szCs w:val="24"/>
          <w:highlight w:val="none"/>
          <w:lang w:eastAsia="zh-CN"/>
        </w:rPr>
      </w:pPr>
      <w:r>
        <w:rPr>
          <w:rFonts w:hint="eastAsia"/>
          <w:b/>
          <w:snapToGrid w:val="0"/>
          <w:color w:val="auto"/>
          <w:spacing w:val="8"/>
          <w:sz w:val="24"/>
          <w:szCs w:val="24"/>
          <w:highlight w:val="none"/>
          <w:lang w:eastAsia="zh-CN"/>
        </w:rPr>
        <w:t>五、参选保证金：38900元；</w:t>
      </w:r>
    </w:p>
    <w:p>
      <w:pPr>
        <w:pStyle w:val="84"/>
        <w:snapToGrid w:val="0"/>
        <w:spacing w:line="500" w:lineRule="exact"/>
        <w:ind w:left="498" w:hanging="514" w:hangingChars="200"/>
        <w:rPr>
          <w:color w:val="auto"/>
          <w:highlight w:val="none"/>
          <w:lang w:eastAsia="zh-CN"/>
        </w:rPr>
      </w:pPr>
      <w:r>
        <w:rPr>
          <w:rFonts w:hint="eastAsia"/>
          <w:bCs/>
          <w:snapToGrid w:val="0"/>
          <w:color w:val="auto"/>
          <w:spacing w:val="8"/>
          <w:szCs w:val="24"/>
          <w:highlight w:val="none"/>
          <w:lang w:eastAsia="zh-CN"/>
        </w:rPr>
        <w:t>六</w:t>
      </w:r>
      <w:r>
        <w:rPr>
          <w:bCs/>
          <w:snapToGrid w:val="0"/>
          <w:color w:val="auto"/>
          <w:spacing w:val="8"/>
          <w:szCs w:val="24"/>
          <w:highlight w:val="none"/>
          <w:lang w:eastAsia="zh-CN"/>
        </w:rPr>
        <w:t>、本自主比选采用综合评</w:t>
      </w:r>
      <w:r>
        <w:rPr>
          <w:rFonts w:hint="eastAsia"/>
          <w:bCs/>
          <w:snapToGrid w:val="0"/>
          <w:color w:val="auto"/>
          <w:spacing w:val="8"/>
          <w:szCs w:val="24"/>
          <w:highlight w:val="none"/>
          <w:lang w:eastAsia="zh-CN"/>
        </w:rPr>
        <w:t>分</w:t>
      </w:r>
      <w:r>
        <w:rPr>
          <w:bCs/>
          <w:snapToGrid w:val="0"/>
          <w:color w:val="auto"/>
          <w:spacing w:val="8"/>
          <w:szCs w:val="24"/>
          <w:highlight w:val="none"/>
          <w:lang w:eastAsia="zh-CN"/>
        </w:rPr>
        <w:t>办法，</w:t>
      </w:r>
      <w:r>
        <w:rPr>
          <w:rFonts w:hint="eastAsia" w:ascii="宋体" w:hAnsi="宋体"/>
          <w:b w:val="0"/>
          <w:color w:val="auto"/>
          <w:szCs w:val="24"/>
          <w:highlight w:val="none"/>
          <w:lang w:eastAsia="zh-CN"/>
        </w:rPr>
        <w:t>满分1</w:t>
      </w:r>
      <w:r>
        <w:rPr>
          <w:rFonts w:ascii="宋体" w:hAnsi="宋体"/>
          <w:b w:val="0"/>
          <w:color w:val="auto"/>
          <w:szCs w:val="24"/>
          <w:highlight w:val="none"/>
          <w:lang w:eastAsia="zh-CN"/>
        </w:rPr>
        <w:t>00分</w:t>
      </w:r>
      <w:r>
        <w:rPr>
          <w:rFonts w:hint="eastAsia" w:ascii="宋体" w:hAnsi="宋体"/>
          <w:b w:val="0"/>
          <w:color w:val="auto"/>
          <w:szCs w:val="24"/>
          <w:highlight w:val="none"/>
          <w:lang w:eastAsia="zh-CN"/>
        </w:rPr>
        <w:t>：技术部分</w:t>
      </w:r>
      <w:r>
        <w:rPr>
          <w:rFonts w:hint="eastAsia" w:ascii="宋体" w:hAnsi="宋体"/>
          <w:b w:val="0"/>
          <w:color w:val="auto"/>
          <w:szCs w:val="24"/>
          <w:highlight w:val="none"/>
          <w:lang w:val="en-US" w:eastAsia="zh-CN"/>
        </w:rPr>
        <w:t>12</w:t>
      </w:r>
      <w:r>
        <w:rPr>
          <w:rFonts w:ascii="宋体" w:hAnsi="宋体"/>
          <w:b w:val="0"/>
          <w:color w:val="auto"/>
          <w:szCs w:val="24"/>
          <w:highlight w:val="none"/>
          <w:lang w:eastAsia="zh-CN"/>
        </w:rPr>
        <w:t>分</w:t>
      </w:r>
      <w:r>
        <w:rPr>
          <w:rFonts w:hint="eastAsia" w:ascii="宋体" w:hAnsi="宋体"/>
          <w:b w:val="0"/>
          <w:color w:val="auto"/>
          <w:szCs w:val="24"/>
          <w:highlight w:val="none"/>
          <w:lang w:eastAsia="zh-CN"/>
        </w:rPr>
        <w:t>，商务部分</w:t>
      </w:r>
      <w:r>
        <w:rPr>
          <w:rFonts w:hint="eastAsia" w:ascii="宋体" w:hAnsi="宋体"/>
          <w:b w:val="0"/>
          <w:color w:val="auto"/>
          <w:szCs w:val="24"/>
          <w:highlight w:val="none"/>
          <w:lang w:val="en-US" w:eastAsia="zh-CN"/>
        </w:rPr>
        <w:t>8</w:t>
      </w:r>
      <w:r>
        <w:rPr>
          <w:rFonts w:hint="eastAsia" w:ascii="宋体" w:hAnsi="宋体"/>
          <w:b w:val="0"/>
          <w:color w:val="auto"/>
          <w:szCs w:val="24"/>
          <w:highlight w:val="none"/>
          <w:lang w:eastAsia="zh-CN"/>
        </w:rPr>
        <w:t>分，报价</w:t>
      </w:r>
      <w:r>
        <w:rPr>
          <w:rFonts w:ascii="宋体" w:hAnsi="宋体"/>
          <w:b w:val="0"/>
          <w:color w:val="auto"/>
          <w:szCs w:val="24"/>
          <w:highlight w:val="none"/>
          <w:lang w:eastAsia="zh-CN"/>
        </w:rPr>
        <w:t>部分</w:t>
      </w:r>
      <w:r>
        <w:rPr>
          <w:rFonts w:hint="eastAsia" w:ascii="宋体" w:hAnsi="宋体"/>
          <w:b w:val="0"/>
          <w:color w:val="auto"/>
          <w:szCs w:val="24"/>
          <w:highlight w:val="none"/>
          <w:lang w:val="en-US" w:eastAsia="zh-CN"/>
        </w:rPr>
        <w:t>8</w:t>
      </w:r>
      <w:r>
        <w:rPr>
          <w:rFonts w:ascii="宋体" w:hAnsi="宋体"/>
          <w:b w:val="0"/>
          <w:color w:val="auto"/>
          <w:szCs w:val="24"/>
          <w:highlight w:val="none"/>
          <w:lang w:eastAsia="zh-CN"/>
        </w:rPr>
        <w:t>0分</w:t>
      </w:r>
      <w:r>
        <w:rPr>
          <w:rFonts w:hint="eastAsia" w:ascii="宋体" w:hAnsi="宋体"/>
          <w:b w:val="0"/>
          <w:color w:val="auto"/>
          <w:szCs w:val="24"/>
          <w:highlight w:val="none"/>
          <w:lang w:eastAsia="zh-CN"/>
        </w:rPr>
        <w:t>。按综合得分从高到低依次进行排序，得分最高者为中标人。若出现综合得分相同的情况，则其中价格低排在前面。</w:t>
      </w:r>
    </w:p>
    <w:p>
      <w:pPr>
        <w:tabs>
          <w:tab w:val="left" w:pos="709"/>
        </w:tabs>
        <w:spacing w:line="360" w:lineRule="auto"/>
        <w:rPr>
          <w:color w:val="auto"/>
          <w:sz w:val="24"/>
          <w:szCs w:val="24"/>
          <w:highlight w:val="none"/>
          <w:lang w:eastAsia="zh-CN"/>
        </w:rPr>
      </w:pPr>
      <w:r>
        <w:rPr>
          <w:rFonts w:hint="eastAsia"/>
          <w:b/>
          <w:snapToGrid w:val="0"/>
          <w:color w:val="auto"/>
          <w:spacing w:val="8"/>
          <w:sz w:val="24"/>
          <w:szCs w:val="24"/>
          <w:highlight w:val="none"/>
          <w:lang w:eastAsia="zh-CN"/>
        </w:rPr>
        <w:t>七、联系人:</w:t>
      </w:r>
    </w:p>
    <w:p>
      <w:pPr>
        <w:spacing w:line="360" w:lineRule="auto"/>
        <w:ind w:firstLine="496" w:firstLineChars="207"/>
        <w:rPr>
          <w:color w:val="auto"/>
          <w:sz w:val="24"/>
          <w:szCs w:val="24"/>
          <w:highlight w:val="none"/>
          <w:lang w:eastAsia="zh-CN"/>
        </w:rPr>
      </w:pPr>
      <w:r>
        <w:rPr>
          <w:rFonts w:hint="eastAsia"/>
          <w:color w:val="auto"/>
          <w:sz w:val="24"/>
          <w:szCs w:val="24"/>
          <w:highlight w:val="none"/>
          <w:lang w:eastAsia="zh-CN"/>
        </w:rPr>
        <w:t xml:space="preserve">商务联系人：黄梅钦  0596-6311073    </w:t>
      </w:r>
      <w:r>
        <w:rPr>
          <w:color w:val="auto"/>
          <w:highlight w:val="none"/>
        </w:rPr>
        <w:fldChar w:fldCharType="begin"/>
      </w:r>
      <w:r>
        <w:rPr>
          <w:color w:val="auto"/>
          <w:highlight w:val="none"/>
        </w:rPr>
        <w:instrText xml:space="preserve"> HYPERLINK "mailto:huangmq@fjpec.com.cn" </w:instrText>
      </w:r>
      <w:r>
        <w:rPr>
          <w:color w:val="auto"/>
          <w:highlight w:val="none"/>
        </w:rPr>
        <w:fldChar w:fldCharType="separate"/>
      </w:r>
      <w:r>
        <w:rPr>
          <w:rFonts w:hint="eastAsia"/>
          <w:color w:val="auto"/>
          <w:sz w:val="24"/>
          <w:szCs w:val="24"/>
          <w:highlight w:val="none"/>
          <w:lang w:eastAsia="zh-CN"/>
        </w:rPr>
        <w:t>huangmq@fjpec.com.cn</w:t>
      </w:r>
      <w:r>
        <w:rPr>
          <w:rFonts w:hint="eastAsia"/>
          <w:color w:val="auto"/>
          <w:sz w:val="24"/>
          <w:szCs w:val="24"/>
          <w:highlight w:val="none"/>
          <w:lang w:eastAsia="zh-CN"/>
        </w:rPr>
        <w:fldChar w:fldCharType="end"/>
      </w:r>
    </w:p>
    <w:p>
      <w:pPr>
        <w:spacing w:line="360" w:lineRule="auto"/>
        <w:ind w:firstLine="496" w:firstLineChars="207"/>
        <w:rPr>
          <w:color w:val="auto"/>
          <w:sz w:val="24"/>
          <w:szCs w:val="24"/>
          <w:highlight w:val="none"/>
          <w:lang w:eastAsia="zh-CN"/>
        </w:rPr>
      </w:pPr>
      <w:r>
        <w:rPr>
          <w:rFonts w:hint="eastAsia"/>
          <w:color w:val="auto"/>
          <w:sz w:val="24"/>
          <w:szCs w:val="24"/>
          <w:highlight w:val="none"/>
          <w:lang w:eastAsia="zh-CN"/>
        </w:rPr>
        <w:t>技术联系人：郑  伟 15345929588     wzheng@fhcpec.com.cn</w:t>
      </w:r>
      <w:r>
        <w:rPr>
          <w:color w:val="auto"/>
          <w:sz w:val="24"/>
          <w:szCs w:val="24"/>
          <w:highlight w:val="none"/>
          <w:lang w:eastAsia="zh-CN"/>
        </w:rPr>
        <w:t> </w:t>
      </w:r>
    </w:p>
    <w:p>
      <w:pPr>
        <w:spacing w:line="360" w:lineRule="auto"/>
        <w:ind w:firstLine="496" w:firstLineChars="207"/>
        <w:rPr>
          <w:color w:val="auto"/>
          <w:sz w:val="24"/>
          <w:szCs w:val="24"/>
          <w:highlight w:val="none"/>
          <w:lang w:eastAsia="zh-CN"/>
        </w:rPr>
      </w:pPr>
      <w:r>
        <w:rPr>
          <w:rFonts w:hint="eastAsia"/>
          <w:color w:val="auto"/>
          <w:sz w:val="24"/>
          <w:szCs w:val="24"/>
          <w:highlight w:val="none"/>
          <w:lang w:eastAsia="zh-CN"/>
        </w:rPr>
        <w:t>纪检监察室电话：0596-6311774 </w:t>
      </w:r>
    </w:p>
    <w:p>
      <w:pPr>
        <w:spacing w:line="360" w:lineRule="auto"/>
        <w:ind w:firstLine="496" w:firstLineChars="207"/>
        <w:rPr>
          <w:color w:val="auto"/>
          <w:sz w:val="24"/>
          <w:szCs w:val="24"/>
          <w:highlight w:val="none"/>
          <w:lang w:eastAsia="zh-CN"/>
        </w:rPr>
      </w:pPr>
      <w:r>
        <w:rPr>
          <w:rFonts w:hint="eastAsia"/>
          <w:color w:val="auto"/>
          <w:sz w:val="24"/>
          <w:szCs w:val="24"/>
          <w:highlight w:val="none"/>
          <w:lang w:eastAsia="zh-CN"/>
        </w:rPr>
        <w:t>联系地址：漳州市漳浦县杜浔镇杜昌路9号（福海创办公楼三楼，设备及服务团队）</w:t>
      </w: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 xml:space="preserve">                                           </w:t>
      </w:r>
    </w:p>
    <w:p>
      <w:pPr>
        <w:spacing w:line="360" w:lineRule="auto"/>
        <w:ind w:firstLine="480" w:firstLineChars="200"/>
        <w:jc w:val="center"/>
        <w:rPr>
          <w:color w:val="auto"/>
          <w:sz w:val="24"/>
          <w:szCs w:val="24"/>
          <w:highlight w:val="none"/>
          <w:lang w:eastAsia="zh-CN"/>
        </w:rPr>
      </w:pPr>
      <w:r>
        <w:rPr>
          <w:rFonts w:hint="eastAsia"/>
          <w:color w:val="auto"/>
          <w:sz w:val="24"/>
          <w:szCs w:val="24"/>
          <w:highlight w:val="none"/>
          <w:lang w:eastAsia="zh-CN"/>
        </w:rPr>
        <w:t xml:space="preserve">                                    福建福海创石油化工有限公司 </w:t>
      </w:r>
    </w:p>
    <w:p>
      <w:pPr>
        <w:pStyle w:val="51"/>
        <w:spacing w:before="0" w:line="360" w:lineRule="auto"/>
        <w:ind w:left="360" w:firstLine="0"/>
        <w:rPr>
          <w:rFonts w:asciiTheme="majorEastAsia" w:hAnsiTheme="majorEastAsia" w:eastAsiaTheme="majorEastAsia"/>
          <w:bCs/>
          <w:color w:val="auto"/>
          <w:sz w:val="24"/>
          <w:szCs w:val="24"/>
          <w:highlight w:val="none"/>
          <w:lang w:eastAsia="zh-CN"/>
        </w:rPr>
      </w:pPr>
      <w:r>
        <w:rPr>
          <w:rFonts w:hint="eastAsia"/>
          <w:color w:val="auto"/>
          <w:sz w:val="24"/>
          <w:szCs w:val="24"/>
          <w:highlight w:val="none"/>
          <w:lang w:eastAsia="zh-CN"/>
        </w:rPr>
        <w:t xml:space="preserve">                                                  </w:t>
      </w:r>
      <w:r>
        <w:rPr>
          <w:color w:val="auto"/>
          <w:sz w:val="24"/>
          <w:szCs w:val="24"/>
          <w:highlight w:val="none"/>
          <w:lang w:eastAsia="zh-CN"/>
        </w:rPr>
        <w:t>20</w:t>
      </w:r>
      <w:r>
        <w:rPr>
          <w:rFonts w:hint="eastAsia"/>
          <w:color w:val="auto"/>
          <w:sz w:val="24"/>
          <w:szCs w:val="24"/>
          <w:highlight w:val="none"/>
          <w:lang w:eastAsia="zh-CN"/>
        </w:rPr>
        <w:t>24年0</w:t>
      </w:r>
      <w:r>
        <w:rPr>
          <w:rFonts w:hint="eastAsia"/>
          <w:color w:val="auto"/>
          <w:sz w:val="24"/>
          <w:szCs w:val="24"/>
          <w:highlight w:val="none"/>
          <w:lang w:val="en-US" w:eastAsia="zh-CN"/>
        </w:rPr>
        <w:t>6</w:t>
      </w:r>
      <w:r>
        <w:rPr>
          <w:rFonts w:hint="eastAsia"/>
          <w:color w:val="auto"/>
          <w:sz w:val="24"/>
          <w:szCs w:val="24"/>
          <w:highlight w:val="none"/>
          <w:lang w:eastAsia="zh-CN"/>
        </w:rPr>
        <w:t>月</w:t>
      </w:r>
      <w:r>
        <w:rPr>
          <w:rFonts w:hint="eastAsia"/>
          <w:color w:val="auto"/>
          <w:sz w:val="24"/>
          <w:szCs w:val="24"/>
          <w:highlight w:val="none"/>
          <w:lang w:val="en-US" w:eastAsia="zh-CN"/>
        </w:rPr>
        <w:t>24</w:t>
      </w:r>
      <w:r>
        <w:rPr>
          <w:rFonts w:hint="eastAsia"/>
          <w:color w:val="auto"/>
          <w:sz w:val="24"/>
          <w:szCs w:val="24"/>
          <w:highlight w:val="none"/>
          <w:lang w:eastAsia="zh-CN"/>
        </w:rPr>
        <w:t>日</w:t>
      </w:r>
    </w:p>
    <w:p>
      <w:pPr>
        <w:pStyle w:val="3"/>
        <w:tabs>
          <w:tab w:val="left" w:pos="1262"/>
        </w:tabs>
        <w:spacing w:line="355" w:lineRule="exact"/>
        <w:ind w:left="0" w:right="108"/>
        <w:jc w:val="center"/>
        <w:rPr>
          <w:color w:val="auto"/>
          <w:highlight w:val="none"/>
          <w:lang w:eastAsia="zh-CN"/>
        </w:rPr>
        <w:sectPr>
          <w:pgSz w:w="11910" w:h="16840"/>
          <w:pgMar w:top="1500" w:right="1020" w:bottom="740" w:left="1220" w:header="0" w:footer="551" w:gutter="0"/>
          <w:cols w:space="720" w:num="1"/>
        </w:sectPr>
      </w:pPr>
    </w:p>
    <w:p>
      <w:pPr>
        <w:pStyle w:val="3"/>
        <w:tabs>
          <w:tab w:val="left" w:pos="1262"/>
        </w:tabs>
        <w:spacing w:line="355" w:lineRule="exact"/>
        <w:ind w:left="0" w:right="108"/>
        <w:jc w:val="center"/>
        <w:rPr>
          <w:color w:val="auto"/>
          <w:highlight w:val="none"/>
          <w:lang w:eastAsia="zh-CN"/>
        </w:rPr>
      </w:pPr>
      <w:r>
        <w:rPr>
          <w:color w:val="auto"/>
          <w:highlight w:val="none"/>
          <w:lang w:eastAsia="zh-CN"/>
        </w:rPr>
        <w:t>第二章</w:t>
      </w:r>
      <w:r>
        <w:rPr>
          <w:color w:val="auto"/>
          <w:highlight w:val="none"/>
          <w:lang w:eastAsia="zh-CN"/>
        </w:rPr>
        <w:tab/>
      </w:r>
      <w:r>
        <w:rPr>
          <w:color w:val="auto"/>
          <w:spacing w:val="-1"/>
          <w:w w:val="95"/>
          <w:highlight w:val="none"/>
          <w:lang w:eastAsia="zh-CN"/>
        </w:rPr>
        <w:t>比选须</w:t>
      </w:r>
      <w:r>
        <w:rPr>
          <w:color w:val="auto"/>
          <w:w w:val="95"/>
          <w:highlight w:val="none"/>
          <w:lang w:eastAsia="zh-CN"/>
        </w:rPr>
        <w:t>知</w:t>
      </w:r>
    </w:p>
    <w:p>
      <w:pPr>
        <w:pStyle w:val="15"/>
        <w:spacing w:before="3"/>
        <w:rPr>
          <w:b/>
          <w:color w:val="auto"/>
          <w:sz w:val="26"/>
          <w:highlight w:val="none"/>
          <w:lang w:eastAsia="zh-CN"/>
        </w:rPr>
      </w:pPr>
    </w:p>
    <w:p>
      <w:pPr>
        <w:numPr>
          <w:ilvl w:val="0"/>
          <w:numId w:val="3"/>
        </w:numPr>
        <w:spacing w:after="240" w:line="312" w:lineRule="auto"/>
        <w:ind w:firstLine="534" w:firstLineChars="200"/>
        <w:rPr>
          <w:b/>
          <w:color w:val="auto"/>
          <w:w w:val="95"/>
          <w:sz w:val="28"/>
          <w:highlight w:val="none"/>
          <w:lang w:eastAsia="zh-CN"/>
        </w:rPr>
      </w:pPr>
      <w:r>
        <w:rPr>
          <w:b/>
          <w:color w:val="auto"/>
          <w:w w:val="95"/>
          <w:sz w:val="28"/>
          <w:highlight w:val="none"/>
          <w:lang w:eastAsia="zh-CN"/>
        </w:rPr>
        <w:t>比选内容</w:t>
      </w:r>
    </w:p>
    <w:p>
      <w:pPr>
        <w:pStyle w:val="15"/>
        <w:numPr>
          <w:ilvl w:val="0"/>
          <w:numId w:val="4"/>
        </w:numPr>
        <w:spacing w:before="186" w:line="312" w:lineRule="auto"/>
        <w:ind w:left="429" w:leftChars="195" w:firstLine="11"/>
        <w:rPr>
          <w:bCs/>
          <w:color w:val="auto"/>
          <w:highlight w:val="none"/>
          <w:lang w:eastAsia="zh-CN"/>
        </w:rPr>
      </w:pPr>
      <w:r>
        <w:rPr>
          <w:rFonts w:hint="eastAsia"/>
          <w:color w:val="auto"/>
          <w:highlight w:val="none"/>
          <w:lang w:eastAsia="zh-CN"/>
        </w:rPr>
        <w:t>项目</w:t>
      </w:r>
      <w:r>
        <w:rPr>
          <w:color w:val="auto"/>
          <w:highlight w:val="none"/>
          <w:lang w:eastAsia="zh-CN"/>
        </w:rPr>
        <w:t>名称：</w:t>
      </w:r>
      <w:r>
        <w:rPr>
          <w:rFonts w:hint="eastAsia"/>
          <w:color w:val="auto"/>
          <w:spacing w:val="-2"/>
          <w:highlight w:val="none"/>
          <w:u w:val="single"/>
          <w:lang w:eastAsia="zh-CN"/>
        </w:rPr>
        <w:t>翔鹭石化(漳州)有限公司海水取水工程2024年度生态补偿增殖放流项目</w:t>
      </w:r>
    </w:p>
    <w:p>
      <w:pPr>
        <w:pStyle w:val="15"/>
        <w:numPr>
          <w:ilvl w:val="0"/>
          <w:numId w:val="4"/>
        </w:numPr>
        <w:spacing w:before="186" w:line="312" w:lineRule="auto"/>
        <w:ind w:left="429" w:leftChars="195" w:firstLine="11"/>
        <w:rPr>
          <w:bCs/>
          <w:color w:val="auto"/>
          <w:highlight w:val="none"/>
          <w:lang w:eastAsia="zh-CN"/>
        </w:rPr>
      </w:pPr>
      <w:r>
        <w:rPr>
          <w:rFonts w:hint="eastAsia"/>
          <w:bCs/>
          <w:color w:val="auto"/>
          <w:highlight w:val="none"/>
          <w:lang w:eastAsia="zh-CN"/>
        </w:rPr>
        <w:t>增殖放流地点：浮头湾海域（含杏仔码头）</w:t>
      </w:r>
    </w:p>
    <w:p>
      <w:pPr>
        <w:pStyle w:val="15"/>
        <w:numPr>
          <w:ilvl w:val="0"/>
          <w:numId w:val="4"/>
        </w:numPr>
        <w:spacing w:before="186" w:line="312" w:lineRule="auto"/>
        <w:ind w:left="429" w:leftChars="195" w:firstLine="11"/>
        <w:rPr>
          <w:bCs/>
          <w:color w:val="auto"/>
          <w:highlight w:val="none"/>
          <w:lang w:eastAsia="zh-CN"/>
        </w:rPr>
      </w:pPr>
      <w:r>
        <w:rPr>
          <w:rFonts w:hint="eastAsia"/>
          <w:bCs/>
          <w:color w:val="auto"/>
          <w:highlight w:val="none"/>
          <w:lang w:eastAsia="zh-CN"/>
        </w:rPr>
        <w:t>增殖放流时间：2024年6月下旬至2024年8月上旬期间</w:t>
      </w:r>
    </w:p>
    <w:p>
      <w:pPr>
        <w:pStyle w:val="15"/>
        <w:numPr>
          <w:ilvl w:val="0"/>
          <w:numId w:val="4"/>
        </w:numPr>
        <w:spacing w:before="186" w:line="312" w:lineRule="auto"/>
        <w:ind w:left="429" w:leftChars="195" w:firstLine="11"/>
        <w:rPr>
          <w:bCs/>
          <w:color w:val="auto"/>
          <w:highlight w:val="none"/>
          <w:lang w:eastAsia="zh-CN"/>
        </w:rPr>
      </w:pPr>
      <w:r>
        <w:rPr>
          <w:rFonts w:hint="eastAsia"/>
          <w:bCs/>
          <w:color w:val="auto"/>
          <w:highlight w:val="none"/>
          <w:lang w:eastAsia="zh-CN"/>
        </w:rPr>
        <w:t>投入金额：人民币194.</w:t>
      </w:r>
      <w:r>
        <w:rPr>
          <w:rFonts w:hint="eastAsia"/>
          <w:bCs/>
          <w:color w:val="auto"/>
          <w:highlight w:val="none"/>
          <w:lang w:val="en-US" w:eastAsia="zh-CN"/>
        </w:rPr>
        <w:t>9</w:t>
      </w:r>
      <w:r>
        <w:rPr>
          <w:rFonts w:hint="eastAsia"/>
          <w:bCs/>
          <w:color w:val="auto"/>
          <w:highlight w:val="none"/>
          <w:lang w:eastAsia="zh-CN"/>
        </w:rPr>
        <w:t>0万元（含税）。</w:t>
      </w:r>
    </w:p>
    <w:p>
      <w:pPr>
        <w:pStyle w:val="15"/>
        <w:numPr>
          <w:ilvl w:val="0"/>
          <w:numId w:val="4"/>
        </w:numPr>
        <w:spacing w:before="186" w:line="312" w:lineRule="auto"/>
        <w:ind w:left="429" w:leftChars="195" w:firstLine="11"/>
        <w:rPr>
          <w:bCs/>
          <w:color w:val="auto"/>
          <w:highlight w:val="none"/>
          <w:lang w:eastAsia="zh-CN"/>
        </w:rPr>
      </w:pPr>
      <w:r>
        <w:rPr>
          <w:rFonts w:hint="eastAsia"/>
          <w:bCs/>
          <w:color w:val="auto"/>
          <w:highlight w:val="none"/>
          <w:lang w:eastAsia="zh-CN"/>
        </w:rPr>
        <w:t>采购品种、投入金额、拟采购数量、苗体规格如下；</w:t>
      </w:r>
    </w:p>
    <w:p>
      <w:pPr>
        <w:tabs>
          <w:tab w:val="left" w:pos="600"/>
        </w:tabs>
        <w:ind w:firstLine="480" w:firstLineChars="200"/>
        <w:rPr>
          <w:bCs/>
          <w:color w:val="auto"/>
          <w:sz w:val="24"/>
          <w:szCs w:val="24"/>
          <w:highlight w:val="none"/>
          <w:lang w:eastAsia="zh-CN"/>
        </w:rPr>
      </w:pPr>
      <w:r>
        <w:rPr>
          <w:rFonts w:hint="eastAsia"/>
          <w:bCs/>
          <w:color w:val="auto"/>
          <w:sz w:val="24"/>
          <w:szCs w:val="24"/>
          <w:highlight w:val="none"/>
          <w:lang w:eastAsia="zh-CN"/>
        </w:rPr>
        <w:t>（1）黄鳍鲷：人民币75万元，预估数量150万尾，仔鱼5厘米及以上。</w:t>
      </w:r>
    </w:p>
    <w:p>
      <w:pPr>
        <w:tabs>
          <w:tab w:val="left" w:pos="600"/>
        </w:tabs>
        <w:ind w:firstLine="480" w:firstLineChars="200"/>
        <w:rPr>
          <w:bCs/>
          <w:color w:val="auto"/>
          <w:sz w:val="24"/>
          <w:szCs w:val="24"/>
          <w:highlight w:val="none"/>
          <w:lang w:eastAsia="zh-CN"/>
        </w:rPr>
      </w:pPr>
      <w:r>
        <w:rPr>
          <w:rFonts w:hint="eastAsia"/>
          <w:bCs/>
          <w:color w:val="auto"/>
          <w:sz w:val="24"/>
          <w:szCs w:val="24"/>
          <w:highlight w:val="none"/>
          <w:lang w:eastAsia="zh-CN"/>
        </w:rPr>
        <w:t>（2）大黄鱼：人民币75万元，预估数量150万尾，仔鱼5厘米及以上。</w:t>
      </w:r>
    </w:p>
    <w:p>
      <w:pPr>
        <w:tabs>
          <w:tab w:val="left" w:pos="600"/>
        </w:tabs>
        <w:ind w:firstLine="480" w:firstLineChars="200"/>
        <w:rPr>
          <w:bCs/>
          <w:color w:val="auto"/>
          <w:sz w:val="24"/>
          <w:szCs w:val="24"/>
          <w:highlight w:val="none"/>
          <w:lang w:eastAsia="zh-CN"/>
        </w:rPr>
      </w:pPr>
      <w:r>
        <w:rPr>
          <w:rFonts w:hint="eastAsia"/>
          <w:bCs/>
          <w:color w:val="auto"/>
          <w:sz w:val="24"/>
          <w:szCs w:val="24"/>
          <w:highlight w:val="none"/>
          <w:lang w:eastAsia="zh-CN"/>
        </w:rPr>
        <w:t>（3）日本对虾：人民币44.9万元，预估数量</w:t>
      </w:r>
      <w:r>
        <w:rPr>
          <w:bCs/>
          <w:color w:val="auto"/>
          <w:sz w:val="24"/>
          <w:szCs w:val="24"/>
          <w:highlight w:val="none"/>
          <w:lang w:eastAsia="zh-CN"/>
        </w:rPr>
        <w:t>25000</w:t>
      </w:r>
      <w:r>
        <w:rPr>
          <w:rFonts w:hint="eastAsia"/>
          <w:bCs/>
          <w:color w:val="auto"/>
          <w:sz w:val="24"/>
          <w:szCs w:val="24"/>
          <w:highlight w:val="none"/>
          <w:lang w:eastAsia="zh-CN"/>
        </w:rPr>
        <w:t>万尾，苗体0.8厘米及以上。</w:t>
      </w:r>
    </w:p>
    <w:p>
      <w:pPr>
        <w:pStyle w:val="8"/>
        <w:spacing w:before="0" w:after="0" w:line="460" w:lineRule="exact"/>
        <w:ind w:firstLine="482" w:firstLineChars="200"/>
        <w:rPr>
          <w:rFonts w:ascii="宋体" w:hAnsi="宋体" w:eastAsia="宋体" w:cs="黑体"/>
          <w:b w:val="0"/>
          <w:color w:val="auto"/>
          <w:sz w:val="24"/>
          <w:szCs w:val="24"/>
          <w:highlight w:val="none"/>
          <w:lang w:eastAsia="zh-CN"/>
        </w:rPr>
      </w:pPr>
      <w:r>
        <w:rPr>
          <w:rFonts w:hint="eastAsia" w:cs="宋体"/>
          <w:color w:val="auto"/>
          <w:sz w:val="24"/>
          <w:szCs w:val="24"/>
          <w:highlight w:val="none"/>
          <w:lang w:eastAsia="zh-CN"/>
        </w:rPr>
        <w:t>6. 报价方式：</w:t>
      </w:r>
      <w:r>
        <w:rPr>
          <w:rFonts w:hint="eastAsia" w:ascii="宋体" w:hAnsi="宋体" w:eastAsia="宋体"/>
          <w:color w:val="auto"/>
          <w:sz w:val="24"/>
          <w:szCs w:val="24"/>
          <w:highlight w:val="none"/>
          <w:u w:val="single"/>
          <w:lang w:eastAsia="zh-CN"/>
        </w:rPr>
        <w:t>报价为投标放流数量。</w:t>
      </w:r>
    </w:p>
    <w:p>
      <w:pPr>
        <w:pStyle w:val="34"/>
        <w:ind w:left="440" w:firstLine="440"/>
        <w:rPr>
          <w:color w:val="auto"/>
          <w:highlight w:val="none"/>
          <w:lang w:eastAsia="zh-CN"/>
        </w:rPr>
      </w:pPr>
    </w:p>
    <w:p>
      <w:pPr>
        <w:pStyle w:val="3"/>
        <w:spacing w:before="18"/>
        <w:rPr>
          <w:color w:val="auto"/>
          <w:highlight w:val="none"/>
          <w:lang w:eastAsia="zh-CN"/>
        </w:rPr>
      </w:pPr>
      <w:r>
        <w:rPr>
          <w:color w:val="auto"/>
          <w:w w:val="95"/>
          <w:highlight w:val="none"/>
          <w:lang w:eastAsia="zh-CN"/>
        </w:rPr>
        <w:t>二、定义和解释</w:t>
      </w:r>
    </w:p>
    <w:p>
      <w:pPr>
        <w:pStyle w:val="15"/>
        <w:spacing w:before="186"/>
        <w:ind w:left="598"/>
        <w:rPr>
          <w:color w:val="auto"/>
          <w:highlight w:val="none"/>
          <w:lang w:eastAsia="zh-CN"/>
        </w:rPr>
      </w:pPr>
      <w:r>
        <w:rPr>
          <w:color w:val="auto"/>
          <w:highlight w:val="none"/>
          <w:lang w:eastAsia="zh-CN"/>
        </w:rPr>
        <w:t>1.“比选人”系</w:t>
      </w:r>
      <w:r>
        <w:rPr>
          <w:rFonts w:hint="eastAsia"/>
          <w:color w:val="auto"/>
          <w:highlight w:val="none"/>
          <w:lang w:eastAsia="zh-CN"/>
        </w:rPr>
        <w:t>福建福海创石油化工</w:t>
      </w:r>
      <w:r>
        <w:rPr>
          <w:color w:val="auto"/>
          <w:highlight w:val="none"/>
          <w:lang w:eastAsia="zh-CN"/>
        </w:rPr>
        <w:t>有限公司，即业主方。</w:t>
      </w:r>
    </w:p>
    <w:p>
      <w:pPr>
        <w:pStyle w:val="15"/>
        <w:spacing w:before="108" w:line="360" w:lineRule="auto"/>
        <w:ind w:left="118" w:right="222" w:firstLine="480"/>
        <w:rPr>
          <w:color w:val="auto"/>
          <w:highlight w:val="none"/>
          <w:lang w:eastAsia="zh-CN"/>
        </w:rPr>
      </w:pPr>
      <w:r>
        <w:rPr>
          <w:color w:val="auto"/>
          <w:spacing w:val="-11"/>
          <w:highlight w:val="none"/>
          <w:lang w:eastAsia="zh-CN"/>
        </w:rPr>
        <w:t>2</w:t>
      </w:r>
      <w:r>
        <w:rPr>
          <w:color w:val="auto"/>
          <w:spacing w:val="-10"/>
          <w:highlight w:val="none"/>
          <w:lang w:eastAsia="zh-CN"/>
        </w:rPr>
        <w:t>.“参选人”系指向比选人报名并接受邀请，领取比选文件，且已经提交或准备提交本次参选文件的法人。</w:t>
      </w:r>
    </w:p>
    <w:p>
      <w:pPr>
        <w:pStyle w:val="15"/>
        <w:spacing w:before="27" w:line="360" w:lineRule="auto"/>
        <w:ind w:left="118" w:right="222" w:firstLine="480"/>
        <w:rPr>
          <w:color w:val="auto"/>
          <w:highlight w:val="none"/>
          <w:lang w:eastAsia="zh-CN"/>
        </w:rPr>
      </w:pPr>
      <w:r>
        <w:rPr>
          <w:color w:val="auto"/>
          <w:spacing w:val="-14"/>
          <w:highlight w:val="none"/>
          <w:lang w:eastAsia="zh-CN"/>
        </w:rPr>
        <w:t>3</w:t>
      </w:r>
      <w:r>
        <w:rPr>
          <w:color w:val="auto"/>
          <w:spacing w:val="-10"/>
          <w:highlight w:val="none"/>
          <w:lang w:eastAsia="zh-CN"/>
        </w:rPr>
        <w:t>.“参选人代表”系指全权代表参选人参加本次比选活动并签署参选文件的人，如果参选人代表不是参选人的法定代表人，须持有《法定代表人授权委托书》详见附件</w:t>
      </w:r>
      <w:r>
        <w:rPr>
          <w:rFonts w:hint="eastAsia"/>
          <w:color w:val="auto"/>
          <w:spacing w:val="-10"/>
          <w:highlight w:val="none"/>
          <w:lang w:eastAsia="zh-CN"/>
        </w:rPr>
        <w:t>二</w:t>
      </w:r>
      <w:r>
        <w:rPr>
          <w:color w:val="auto"/>
          <w:spacing w:val="-10"/>
          <w:highlight w:val="none"/>
          <w:lang w:eastAsia="zh-CN"/>
        </w:rPr>
        <w:t>。</w:t>
      </w:r>
    </w:p>
    <w:p>
      <w:pPr>
        <w:pStyle w:val="3"/>
        <w:spacing w:before="95"/>
        <w:rPr>
          <w:color w:val="auto"/>
          <w:highlight w:val="none"/>
          <w:lang w:eastAsia="zh-CN"/>
        </w:rPr>
      </w:pPr>
      <w:r>
        <w:rPr>
          <w:color w:val="auto"/>
          <w:w w:val="95"/>
          <w:highlight w:val="none"/>
          <w:lang w:eastAsia="zh-CN"/>
        </w:rPr>
        <w:t>三、比选文件组成</w:t>
      </w:r>
    </w:p>
    <w:p>
      <w:pPr>
        <w:pStyle w:val="15"/>
        <w:spacing w:before="188"/>
        <w:ind w:left="598"/>
        <w:rPr>
          <w:color w:val="auto"/>
          <w:highlight w:val="none"/>
          <w:lang w:eastAsia="zh-CN"/>
        </w:rPr>
      </w:pPr>
      <w:r>
        <w:rPr>
          <w:color w:val="auto"/>
          <w:highlight w:val="none"/>
          <w:lang w:eastAsia="zh-CN"/>
        </w:rPr>
        <w:t>1.比选文件包括下列内容：</w:t>
      </w:r>
    </w:p>
    <w:p>
      <w:pPr>
        <w:pStyle w:val="15"/>
        <w:spacing w:before="105"/>
        <w:ind w:left="598" w:firstLine="240" w:firstLineChars="100"/>
        <w:rPr>
          <w:color w:val="auto"/>
          <w:highlight w:val="none"/>
          <w:lang w:eastAsia="zh-CN"/>
        </w:rPr>
      </w:pPr>
      <w:r>
        <w:rPr>
          <w:color w:val="auto"/>
          <w:highlight w:val="none"/>
          <w:lang w:eastAsia="zh-CN"/>
        </w:rPr>
        <w:t>比选公告、比选须知、项目内容、合同书格式、报价单、承诺函等。</w:t>
      </w:r>
    </w:p>
    <w:p>
      <w:pPr>
        <w:pStyle w:val="15"/>
        <w:spacing w:before="108" w:line="360" w:lineRule="auto"/>
        <w:ind w:left="118" w:right="212" w:firstLine="480"/>
        <w:rPr>
          <w:color w:val="auto"/>
          <w:highlight w:val="none"/>
          <w:lang w:eastAsia="zh-CN"/>
        </w:rPr>
      </w:pPr>
      <w:r>
        <w:rPr>
          <w:color w:val="auto"/>
          <w:highlight w:val="none"/>
          <w:lang w:eastAsia="zh-CN"/>
        </w:rPr>
        <w:t>2.比选文件除 1 中内容外，比选人在比选期间发出的书面文件和其他修改或补充函件，均是比选文件不可分割的组成部分。</w:t>
      </w:r>
    </w:p>
    <w:p>
      <w:pPr>
        <w:pStyle w:val="15"/>
        <w:spacing w:before="26" w:line="360" w:lineRule="auto"/>
        <w:ind w:left="598"/>
        <w:rPr>
          <w:color w:val="auto"/>
          <w:highlight w:val="none"/>
          <w:lang w:eastAsia="zh-CN"/>
        </w:rPr>
      </w:pPr>
      <w:r>
        <w:rPr>
          <w:color w:val="auto"/>
          <w:highlight w:val="none"/>
          <w:lang w:eastAsia="zh-CN"/>
        </w:rPr>
        <w:t>3.</w:t>
      </w:r>
      <w:r>
        <w:rPr>
          <w:color w:val="auto"/>
          <w:spacing w:val="-12"/>
          <w:highlight w:val="none"/>
          <w:lang w:eastAsia="zh-CN"/>
        </w:rPr>
        <w:t>参选人应认真阅读、并充分理解比选文件的全部内容</w:t>
      </w:r>
      <w:r>
        <w:rPr>
          <w:color w:val="auto"/>
          <w:highlight w:val="none"/>
          <w:lang w:eastAsia="zh-CN"/>
        </w:rPr>
        <w:t>（</w:t>
      </w:r>
      <w:r>
        <w:rPr>
          <w:color w:val="auto"/>
          <w:spacing w:val="-9"/>
          <w:highlight w:val="none"/>
          <w:lang w:eastAsia="zh-CN"/>
        </w:rPr>
        <w:t>包括所有的补充、修改内容、</w:t>
      </w:r>
    </w:p>
    <w:p>
      <w:pPr>
        <w:pStyle w:val="15"/>
        <w:spacing w:line="360" w:lineRule="auto"/>
        <w:ind w:left="118"/>
        <w:rPr>
          <w:color w:val="auto"/>
          <w:highlight w:val="none"/>
          <w:lang w:eastAsia="zh-CN"/>
        </w:rPr>
      </w:pPr>
      <w:r>
        <w:rPr>
          <w:color w:val="auto"/>
          <w:highlight w:val="none"/>
          <w:lang w:eastAsia="zh-CN"/>
        </w:rPr>
        <w:t>重要事项、格式、条款和技术规范、参数及要求等）。参选人没有按照比选文件要求提交</w:t>
      </w:r>
    </w:p>
    <w:p>
      <w:pPr>
        <w:pStyle w:val="15"/>
        <w:spacing w:line="360" w:lineRule="auto"/>
        <w:ind w:left="118" w:right="-49"/>
        <w:rPr>
          <w:color w:val="auto"/>
          <w:highlight w:val="none"/>
          <w:lang w:eastAsia="zh-CN"/>
        </w:rPr>
      </w:pPr>
      <w:r>
        <w:rPr>
          <w:color w:val="auto"/>
          <w:spacing w:val="-10"/>
          <w:highlight w:val="none"/>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color w:val="auto"/>
          <w:highlight w:val="none"/>
          <w:lang w:eastAsia="zh-CN"/>
        </w:rPr>
      </w:pPr>
      <w:r>
        <w:rPr>
          <w:color w:val="auto"/>
          <w:w w:val="95"/>
          <w:highlight w:val="none"/>
          <w:lang w:eastAsia="zh-CN"/>
        </w:rPr>
        <w:t>四、比选文件的澄清</w:t>
      </w:r>
    </w:p>
    <w:p>
      <w:pPr>
        <w:pStyle w:val="15"/>
        <w:spacing w:before="186" w:line="360" w:lineRule="auto"/>
        <w:ind w:right="92" w:firstLine="480"/>
        <w:rPr>
          <w:color w:val="auto"/>
          <w:highlight w:val="none"/>
          <w:lang w:eastAsia="zh-CN"/>
        </w:rPr>
      </w:pPr>
      <w:r>
        <w:rPr>
          <w:color w:val="auto"/>
          <w:spacing w:val="-9"/>
          <w:highlight w:val="none"/>
          <w:lang w:eastAsia="zh-CN"/>
        </w:rPr>
        <w:t>参选人获取比选文件后，应仔细检查比选文件的所有内容，如有残缺等问题应在获得</w:t>
      </w:r>
      <w:r>
        <w:rPr>
          <w:color w:val="auto"/>
          <w:spacing w:val="-20"/>
          <w:highlight w:val="none"/>
          <w:lang w:eastAsia="zh-CN"/>
        </w:rPr>
        <w:t>比选文件</w:t>
      </w:r>
      <w:r>
        <w:rPr>
          <w:color w:val="auto"/>
          <w:spacing w:val="-20"/>
          <w:highlight w:val="none"/>
          <w:u w:val="single"/>
          <w:lang w:eastAsia="zh-CN"/>
        </w:rPr>
        <w:t xml:space="preserve"> </w:t>
      </w:r>
      <w:r>
        <w:rPr>
          <w:color w:val="auto"/>
          <w:highlight w:val="none"/>
          <w:u w:val="single"/>
          <w:lang w:eastAsia="zh-CN"/>
        </w:rPr>
        <w:t>3</w:t>
      </w:r>
      <w:r>
        <w:rPr>
          <w:color w:val="auto"/>
          <w:spacing w:val="-13"/>
          <w:highlight w:val="none"/>
          <w:u w:val="single"/>
          <w:lang w:eastAsia="zh-CN"/>
        </w:rPr>
        <w:t xml:space="preserve"> </w:t>
      </w:r>
      <w:r>
        <w:rPr>
          <w:color w:val="auto"/>
          <w:spacing w:val="-13"/>
          <w:highlight w:val="none"/>
          <w:lang w:eastAsia="zh-CN"/>
        </w:rPr>
        <w:t>日内向比选人提出。参选人若对比选文件有任何疑问，应在参选截止时间前</w:t>
      </w:r>
      <w:r>
        <w:rPr>
          <w:color w:val="auto"/>
          <w:spacing w:val="-13"/>
          <w:highlight w:val="none"/>
          <w:u w:val="single"/>
          <w:lang w:eastAsia="zh-CN"/>
        </w:rPr>
        <w:t xml:space="preserve"> </w:t>
      </w:r>
      <w:r>
        <w:rPr>
          <w:color w:val="auto"/>
          <w:highlight w:val="none"/>
          <w:u w:val="single"/>
          <w:lang w:eastAsia="zh-CN"/>
        </w:rPr>
        <w:t xml:space="preserve">5 </w:t>
      </w:r>
      <w:r>
        <w:rPr>
          <w:color w:val="auto"/>
          <w:spacing w:val="-10"/>
          <w:highlight w:val="none"/>
          <w:lang w:eastAsia="zh-CN"/>
        </w:rPr>
        <w:t>日，按参选须知载明的地址以书面形式</w:t>
      </w:r>
      <w:r>
        <w:rPr>
          <w:color w:val="auto"/>
          <w:spacing w:val="-3"/>
          <w:highlight w:val="none"/>
          <w:lang w:eastAsia="zh-CN"/>
        </w:rPr>
        <w:t>（</w:t>
      </w:r>
      <w:r>
        <w:rPr>
          <w:color w:val="auto"/>
          <w:spacing w:val="-10"/>
          <w:highlight w:val="none"/>
          <w:lang w:eastAsia="zh-CN"/>
        </w:rPr>
        <w:t>包括书面、电子邮件下同</w:t>
      </w:r>
      <w:r>
        <w:rPr>
          <w:color w:val="auto"/>
          <w:spacing w:val="-49"/>
          <w:highlight w:val="none"/>
          <w:lang w:eastAsia="zh-CN"/>
        </w:rPr>
        <w:t>）</w:t>
      </w:r>
      <w:r>
        <w:rPr>
          <w:color w:val="auto"/>
          <w:highlight w:val="none"/>
          <w:lang w:eastAsia="zh-CN"/>
        </w:rPr>
        <w:t>通知到比选人。</w:t>
      </w:r>
      <w:r>
        <w:rPr>
          <w:color w:val="auto"/>
          <w:spacing w:val="-4"/>
          <w:highlight w:val="none"/>
          <w:lang w:eastAsia="zh-CN"/>
        </w:rPr>
        <w:t>比选人将视情况确定采用适当方式予以澄清或以书面形式予以答复，澄清文件作为比选文件的组成部分，具有约束作用。</w:t>
      </w:r>
    </w:p>
    <w:p>
      <w:pPr>
        <w:pStyle w:val="3"/>
        <w:spacing w:before="95"/>
        <w:ind w:left="0" w:firstLine="534" w:firstLineChars="200"/>
        <w:rPr>
          <w:color w:val="auto"/>
          <w:highlight w:val="none"/>
          <w:lang w:eastAsia="zh-CN"/>
        </w:rPr>
      </w:pPr>
      <w:r>
        <w:rPr>
          <w:color w:val="auto"/>
          <w:w w:val="95"/>
          <w:highlight w:val="none"/>
          <w:lang w:eastAsia="zh-CN"/>
        </w:rPr>
        <w:t>五、比选文件的修改、补充</w:t>
      </w:r>
    </w:p>
    <w:p>
      <w:pPr>
        <w:pStyle w:val="15"/>
        <w:spacing w:before="189" w:line="360" w:lineRule="auto"/>
        <w:ind w:right="226" w:firstLine="480"/>
        <w:jc w:val="both"/>
        <w:rPr>
          <w:color w:val="auto"/>
          <w:highlight w:val="none"/>
          <w:lang w:eastAsia="zh-CN"/>
        </w:rPr>
      </w:pPr>
      <w:r>
        <w:rPr>
          <w:color w:val="auto"/>
          <w:highlight w:val="none"/>
          <w:lang w:eastAsia="zh-CN"/>
        </w:rPr>
        <w:t>1.在参选截止日期前，比选人可主动地或依据参选人要求澄清的问题而修改比选文</w:t>
      </w:r>
      <w:r>
        <w:rPr>
          <w:color w:val="auto"/>
          <w:spacing w:val="-10"/>
          <w:highlight w:val="none"/>
          <w:lang w:eastAsia="zh-CN"/>
        </w:rPr>
        <w:t>件，并以书面形式通知所有报名参加比选项目的每一参选人，对方在收到该通知后应立即</w:t>
      </w:r>
      <w:r>
        <w:rPr>
          <w:color w:val="auto"/>
          <w:spacing w:val="-2"/>
          <w:highlight w:val="none"/>
          <w:lang w:eastAsia="zh-CN"/>
        </w:rPr>
        <w:t>以书面形式予以确认；参选人未按规定时间予以确认或未按规定时间地点领取书面文件的，视比选通知已收到。</w:t>
      </w:r>
    </w:p>
    <w:p>
      <w:pPr>
        <w:pStyle w:val="15"/>
        <w:spacing w:before="27" w:line="360" w:lineRule="auto"/>
        <w:ind w:right="222" w:firstLine="480"/>
        <w:rPr>
          <w:color w:val="auto"/>
          <w:highlight w:val="none"/>
          <w:lang w:eastAsia="zh-CN"/>
        </w:rPr>
      </w:pPr>
      <w:r>
        <w:rPr>
          <w:color w:val="auto"/>
          <w:highlight w:val="none"/>
          <w:lang w:eastAsia="zh-CN"/>
        </w:rPr>
        <w:t>2.</w:t>
      </w:r>
      <w:r>
        <w:rPr>
          <w:color w:val="auto"/>
          <w:spacing w:val="-5"/>
          <w:highlight w:val="none"/>
          <w:lang w:eastAsia="zh-CN"/>
        </w:rPr>
        <w:t>为使参选人在准备参选文件时有合理的时间考虑比选文件的修改，比选人可酌情推迟参选截止时间和开评时间，并以书面形式通知已获得比选文件的每一参选人。</w:t>
      </w:r>
    </w:p>
    <w:p>
      <w:pPr>
        <w:pStyle w:val="15"/>
        <w:spacing w:before="27" w:line="360" w:lineRule="auto"/>
        <w:ind w:firstLine="480" w:firstLineChars="200"/>
        <w:rPr>
          <w:color w:val="auto"/>
          <w:highlight w:val="none"/>
          <w:lang w:eastAsia="zh-CN"/>
        </w:rPr>
      </w:pPr>
      <w:r>
        <w:rPr>
          <w:color w:val="auto"/>
          <w:highlight w:val="none"/>
          <w:lang w:eastAsia="zh-CN"/>
        </w:rPr>
        <w:t>3.比选文件的修改书将构成比选文件的一部分，对参选人具有约束作用。</w:t>
      </w:r>
    </w:p>
    <w:p>
      <w:pPr>
        <w:pStyle w:val="15"/>
        <w:spacing w:before="27" w:line="360" w:lineRule="auto"/>
        <w:ind w:firstLine="480" w:firstLineChars="200"/>
        <w:rPr>
          <w:color w:val="auto"/>
          <w:highlight w:val="none"/>
          <w:lang w:eastAsia="zh-CN"/>
        </w:rPr>
      </w:pPr>
      <w:r>
        <w:rPr>
          <w:rFonts w:hint="eastAsia"/>
          <w:color w:val="auto"/>
          <w:highlight w:val="none"/>
          <w:lang w:eastAsia="zh-CN"/>
        </w:rPr>
        <w:t>4.比选人所作的一切有效补充、修改文件，均被视为比选文件不可分割的部分。</w:t>
      </w:r>
    </w:p>
    <w:p>
      <w:pPr>
        <w:pStyle w:val="3"/>
        <w:spacing w:line="360" w:lineRule="auto"/>
        <w:rPr>
          <w:color w:val="auto"/>
          <w:highlight w:val="none"/>
          <w:lang w:eastAsia="zh-CN"/>
        </w:rPr>
      </w:pPr>
      <w:r>
        <w:rPr>
          <w:color w:val="auto"/>
          <w:w w:val="95"/>
          <w:highlight w:val="none"/>
          <w:lang w:eastAsia="zh-CN"/>
        </w:rPr>
        <w:t>六、参选人资格</w:t>
      </w:r>
    </w:p>
    <w:p>
      <w:pPr>
        <w:spacing w:line="360" w:lineRule="auto"/>
        <w:ind w:firstLine="300" w:firstLineChars="125"/>
        <w:rPr>
          <w:color w:val="auto"/>
          <w:sz w:val="24"/>
          <w:szCs w:val="24"/>
          <w:highlight w:val="none"/>
          <w:lang w:eastAsia="zh-CN"/>
        </w:rPr>
      </w:pPr>
      <w:r>
        <w:rPr>
          <w:rFonts w:hint="eastAsia"/>
          <w:color w:val="auto"/>
          <w:sz w:val="24"/>
          <w:szCs w:val="24"/>
          <w:highlight w:val="none"/>
          <w:lang w:eastAsia="zh-CN"/>
        </w:rPr>
        <w:t>（1）具备独立法人资格且有能力提供招标服务的供应商。</w:t>
      </w:r>
    </w:p>
    <w:p>
      <w:pPr>
        <w:spacing w:line="360" w:lineRule="auto"/>
        <w:ind w:firstLine="300" w:firstLineChars="125"/>
        <w:rPr>
          <w:color w:val="auto"/>
          <w:sz w:val="24"/>
          <w:szCs w:val="24"/>
          <w:highlight w:val="none"/>
          <w:lang w:eastAsia="zh-CN"/>
        </w:rPr>
      </w:pPr>
      <w:r>
        <w:rPr>
          <w:rFonts w:hint="eastAsia"/>
          <w:color w:val="auto"/>
          <w:sz w:val="24"/>
          <w:szCs w:val="24"/>
          <w:highlight w:val="none"/>
          <w:lang w:eastAsia="zh-CN"/>
        </w:rPr>
        <w:t>（2）参选人应具备行政主管部门审批颁发的有效《水产苗种生产许可证》。</w:t>
      </w:r>
    </w:p>
    <w:p>
      <w:pPr>
        <w:spacing w:line="360" w:lineRule="auto"/>
        <w:ind w:firstLine="278" w:firstLineChars="116"/>
        <w:rPr>
          <w:rFonts w:asciiTheme="minorEastAsia" w:hAnsiTheme="minorEastAsia"/>
          <w:color w:val="auto"/>
          <w:sz w:val="30"/>
          <w:szCs w:val="30"/>
          <w:highlight w:val="none"/>
          <w:lang w:eastAsia="zh-CN"/>
        </w:rPr>
      </w:pPr>
      <w:r>
        <w:rPr>
          <w:rFonts w:hint="eastAsia"/>
          <w:color w:val="auto"/>
          <w:sz w:val="24"/>
          <w:szCs w:val="24"/>
          <w:highlight w:val="none"/>
          <w:lang w:eastAsia="zh-CN"/>
        </w:rPr>
        <w:t>（3）参选人在近2年内（自本项目发布招标公告之日起向前推算，不含发布当日）至少有承揽过一次（含）以上的海洋渔业资源增殖放流项目，并履约完成验收（由区、县级（含）以上渔业行政主管部门组织）合格。</w:t>
      </w:r>
    </w:p>
    <w:p>
      <w:pPr>
        <w:spacing w:line="360" w:lineRule="auto"/>
        <w:ind w:firstLine="300" w:firstLineChars="125"/>
        <w:rPr>
          <w:color w:val="auto"/>
          <w:sz w:val="24"/>
          <w:szCs w:val="24"/>
          <w:highlight w:val="none"/>
          <w:lang w:eastAsia="zh-CN"/>
        </w:rPr>
      </w:pPr>
      <w:r>
        <w:rPr>
          <w:rFonts w:hint="eastAsia"/>
          <w:color w:val="auto"/>
          <w:sz w:val="24"/>
          <w:szCs w:val="24"/>
          <w:highlight w:val="none"/>
          <w:lang w:eastAsia="zh-CN"/>
        </w:rPr>
        <w:t>（4）参选人应为正式注册的合法组织、机构或公司，且近三年内无相关违约记录和法人代表未被列入失信被执行人。</w:t>
      </w:r>
    </w:p>
    <w:p>
      <w:pPr>
        <w:spacing w:line="360" w:lineRule="auto"/>
        <w:ind w:firstLine="300" w:firstLineChars="125"/>
        <w:rPr>
          <w:color w:val="auto"/>
          <w:sz w:val="24"/>
          <w:szCs w:val="24"/>
          <w:highlight w:val="none"/>
          <w:lang w:eastAsia="zh-CN"/>
        </w:rPr>
      </w:pPr>
      <w:r>
        <w:rPr>
          <w:rFonts w:hint="eastAsia"/>
          <w:color w:val="auto"/>
          <w:sz w:val="24"/>
          <w:szCs w:val="24"/>
          <w:highlight w:val="none"/>
          <w:lang w:eastAsia="zh-CN"/>
        </w:rPr>
        <w:t>（5）参选人应具备与所供苗种数量匹配的亲本数量、生产设施设备（包括尾水治理设备）。</w:t>
      </w:r>
    </w:p>
    <w:p>
      <w:pPr>
        <w:spacing w:line="360" w:lineRule="auto"/>
        <w:ind w:firstLine="300" w:firstLineChars="125"/>
        <w:rPr>
          <w:color w:val="auto"/>
          <w:sz w:val="24"/>
          <w:szCs w:val="24"/>
          <w:highlight w:val="none"/>
          <w:lang w:eastAsia="zh-CN"/>
        </w:rPr>
      </w:pPr>
      <w:r>
        <w:rPr>
          <w:rFonts w:hint="eastAsia"/>
          <w:color w:val="auto"/>
          <w:sz w:val="24"/>
          <w:szCs w:val="24"/>
          <w:highlight w:val="none"/>
          <w:lang w:eastAsia="zh-CN"/>
        </w:rPr>
        <w:t>（6）参选人应提供海水育苗场地使用权属证明，且其大小应满足育苗数量要求。</w:t>
      </w:r>
    </w:p>
    <w:p>
      <w:pPr>
        <w:spacing w:line="360" w:lineRule="auto"/>
        <w:ind w:firstLine="300" w:firstLineChars="125"/>
        <w:rPr>
          <w:rFonts w:asciiTheme="majorEastAsia" w:hAnsiTheme="majorEastAsia" w:eastAsiaTheme="majorEastAsia"/>
          <w:color w:val="auto"/>
          <w:sz w:val="24"/>
          <w:szCs w:val="24"/>
          <w:highlight w:val="none"/>
          <w:lang w:eastAsia="zh-CN"/>
        </w:rPr>
      </w:pPr>
      <w:r>
        <w:rPr>
          <w:rFonts w:hint="eastAsia"/>
          <w:color w:val="auto"/>
          <w:sz w:val="24"/>
          <w:szCs w:val="24"/>
          <w:highlight w:val="none"/>
          <w:lang w:eastAsia="zh-CN"/>
        </w:rPr>
        <w:t>（7）本项目</w:t>
      </w:r>
      <w:r>
        <w:rPr>
          <w:rFonts w:hint="eastAsia"/>
          <w:b/>
          <w:color w:val="auto"/>
          <w:sz w:val="24"/>
          <w:szCs w:val="24"/>
          <w:highlight w:val="none"/>
          <w:u w:val="single"/>
          <w:lang w:eastAsia="zh-CN"/>
        </w:rPr>
        <w:t>不接受</w:t>
      </w:r>
      <w:r>
        <w:rPr>
          <w:rFonts w:hint="eastAsia"/>
          <w:color w:val="auto"/>
          <w:sz w:val="24"/>
          <w:szCs w:val="24"/>
          <w:highlight w:val="none"/>
          <w:lang w:eastAsia="zh-CN"/>
        </w:rPr>
        <w:t>联合体投标；</w:t>
      </w:r>
    </w:p>
    <w:p>
      <w:pPr>
        <w:pStyle w:val="3"/>
        <w:spacing w:line="360" w:lineRule="auto"/>
        <w:rPr>
          <w:color w:val="auto"/>
          <w:highlight w:val="none"/>
          <w:lang w:eastAsia="zh-CN"/>
        </w:rPr>
      </w:pPr>
      <w:r>
        <w:rPr>
          <w:color w:val="auto"/>
          <w:w w:val="95"/>
          <w:highlight w:val="none"/>
          <w:lang w:eastAsia="zh-CN"/>
        </w:rPr>
        <w:t>七、参选保证金</w:t>
      </w:r>
    </w:p>
    <w:p>
      <w:pPr>
        <w:pStyle w:val="15"/>
        <w:spacing w:line="360" w:lineRule="auto"/>
        <w:ind w:right="121" w:firstLine="480" w:firstLineChars="200"/>
        <w:jc w:val="both"/>
        <w:rPr>
          <w:color w:val="auto"/>
          <w:highlight w:val="none"/>
          <w:lang w:eastAsia="zh-CN"/>
        </w:rPr>
      </w:pPr>
      <w:r>
        <w:rPr>
          <w:rFonts w:hint="eastAsia"/>
          <w:color w:val="auto"/>
          <w:highlight w:val="none"/>
          <w:lang w:eastAsia="zh-CN"/>
        </w:rPr>
        <w:t>1.参选单位应缴纳参选保证金，保证金金额38900元整，参选单位应按照要求从参选单位基本账户转入比选单位的账户，比选单位账户信息如下：</w:t>
      </w:r>
    </w:p>
    <w:p>
      <w:pPr>
        <w:pStyle w:val="15"/>
        <w:spacing w:line="360" w:lineRule="auto"/>
        <w:ind w:right="121"/>
        <w:jc w:val="both"/>
        <w:rPr>
          <w:color w:val="auto"/>
          <w:highlight w:val="none"/>
          <w:lang w:eastAsia="zh-CN"/>
        </w:rPr>
      </w:pPr>
      <w:r>
        <w:rPr>
          <w:rFonts w:hint="eastAsia"/>
          <w:color w:val="auto"/>
          <w:highlight w:val="none"/>
          <w:lang w:eastAsia="zh-CN"/>
        </w:rPr>
        <w:t xml:space="preserve">    开户名称：福建福海创石油化工有限公司</w:t>
      </w:r>
    </w:p>
    <w:p>
      <w:pPr>
        <w:pStyle w:val="15"/>
        <w:spacing w:line="360" w:lineRule="auto"/>
        <w:ind w:right="121" w:firstLine="480"/>
        <w:jc w:val="both"/>
        <w:rPr>
          <w:color w:val="auto"/>
          <w:highlight w:val="none"/>
          <w:lang w:eastAsia="zh-CN"/>
        </w:rPr>
      </w:pPr>
      <w:r>
        <w:rPr>
          <w:rFonts w:hint="eastAsia"/>
          <w:color w:val="auto"/>
          <w:highlight w:val="none"/>
          <w:lang w:eastAsia="zh-CN"/>
        </w:rPr>
        <w:t>开户银行：中国银行股份有限公司漳州古雷经济开发区支行</w:t>
      </w:r>
    </w:p>
    <w:p>
      <w:pPr>
        <w:pStyle w:val="15"/>
        <w:spacing w:line="360" w:lineRule="auto"/>
        <w:ind w:right="121" w:firstLine="480"/>
        <w:jc w:val="both"/>
        <w:rPr>
          <w:color w:val="auto"/>
          <w:highlight w:val="none"/>
          <w:lang w:eastAsia="zh-CN"/>
        </w:rPr>
      </w:pPr>
      <w:r>
        <w:rPr>
          <w:rFonts w:hint="eastAsia"/>
          <w:color w:val="auto"/>
          <w:highlight w:val="none"/>
          <w:lang w:eastAsia="zh-CN"/>
        </w:rPr>
        <w:t>帐  号：406574816628</w:t>
      </w:r>
    </w:p>
    <w:p>
      <w:pPr>
        <w:pStyle w:val="85"/>
        <w:spacing w:line="720" w:lineRule="auto"/>
        <w:ind w:firstLine="569" w:firstLineChars="236"/>
        <w:jc w:val="both"/>
        <w:rPr>
          <w:b/>
          <w:bCs/>
          <w:color w:val="auto"/>
          <w:highlight w:val="none"/>
          <w:u w:val="single"/>
        </w:rPr>
      </w:pPr>
      <w:r>
        <w:rPr>
          <w:rFonts w:hint="eastAsia"/>
          <w:b/>
          <w:bCs/>
          <w:color w:val="auto"/>
          <w:highlight w:val="none"/>
          <w:u w:val="single"/>
        </w:rPr>
        <w:t>注明用途：2024年度生态补偿增殖放流项目参选</w:t>
      </w:r>
      <w:r>
        <w:rPr>
          <w:b/>
          <w:bCs/>
          <w:color w:val="auto"/>
          <w:highlight w:val="none"/>
          <w:u w:val="single"/>
        </w:rPr>
        <w:t>保证金</w:t>
      </w:r>
    </w:p>
    <w:p>
      <w:pPr>
        <w:pStyle w:val="15"/>
        <w:spacing w:line="360" w:lineRule="auto"/>
        <w:ind w:right="121"/>
        <w:jc w:val="both"/>
        <w:rPr>
          <w:color w:val="auto"/>
          <w:highlight w:val="none"/>
          <w:lang w:eastAsia="zh-CN"/>
        </w:rPr>
      </w:pPr>
      <w:r>
        <w:rPr>
          <w:rFonts w:hint="eastAsia"/>
          <w:color w:val="auto"/>
          <w:highlight w:val="none"/>
          <w:lang w:eastAsia="zh-CN"/>
        </w:rPr>
        <w:t xml:space="preserve">    参选保证金有效期：</w:t>
      </w:r>
      <w:r>
        <w:rPr>
          <w:color w:val="auto"/>
          <w:highlight w:val="none"/>
          <w:lang w:eastAsia="zh-CN"/>
        </w:rPr>
        <w:t>90</w:t>
      </w:r>
      <w:r>
        <w:rPr>
          <w:rFonts w:hint="eastAsia"/>
          <w:color w:val="auto"/>
          <w:highlight w:val="none"/>
          <w:lang w:eastAsia="zh-CN"/>
        </w:rPr>
        <w:t>日历天。</w:t>
      </w:r>
    </w:p>
    <w:p>
      <w:pPr>
        <w:pStyle w:val="15"/>
        <w:spacing w:line="360" w:lineRule="auto"/>
        <w:ind w:right="121"/>
        <w:jc w:val="both"/>
        <w:rPr>
          <w:color w:val="auto"/>
          <w:highlight w:val="none"/>
          <w:lang w:eastAsia="zh-CN"/>
        </w:rPr>
      </w:pPr>
      <w:r>
        <w:rPr>
          <w:rFonts w:hint="eastAsia"/>
          <w:color w:val="auto"/>
          <w:highlight w:val="none"/>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15"/>
        <w:spacing w:line="360" w:lineRule="auto"/>
        <w:ind w:right="121"/>
        <w:jc w:val="both"/>
        <w:rPr>
          <w:color w:val="auto"/>
          <w:highlight w:val="none"/>
          <w:lang w:eastAsia="zh-CN"/>
        </w:rPr>
      </w:pPr>
      <w:r>
        <w:rPr>
          <w:rFonts w:hint="eastAsia"/>
          <w:color w:val="auto"/>
          <w:highlight w:val="none"/>
          <w:lang w:eastAsia="zh-CN"/>
        </w:rPr>
        <w:t xml:space="preserve">    2.对于未能按要求提交保证金的参选文件，比选单位可以视为不符合上面比选要求而予以拒绝；</w:t>
      </w:r>
    </w:p>
    <w:p>
      <w:pPr>
        <w:pStyle w:val="15"/>
        <w:spacing w:line="360" w:lineRule="auto"/>
        <w:ind w:right="121"/>
        <w:jc w:val="both"/>
        <w:rPr>
          <w:color w:val="auto"/>
          <w:highlight w:val="none"/>
          <w:lang w:eastAsia="zh-CN"/>
        </w:rPr>
      </w:pPr>
      <w:r>
        <w:rPr>
          <w:rFonts w:hint="eastAsia"/>
          <w:color w:val="auto"/>
          <w:highlight w:val="none"/>
          <w:lang w:eastAsia="zh-CN"/>
        </w:rPr>
        <w:t xml:space="preserve">    3.比选结束退还未中选者的比选保证金（无息），最迟不超过规定的比选有效期满后的20天；</w:t>
      </w:r>
    </w:p>
    <w:p>
      <w:pPr>
        <w:pStyle w:val="15"/>
        <w:spacing w:line="360" w:lineRule="auto"/>
        <w:ind w:right="121"/>
        <w:jc w:val="both"/>
        <w:rPr>
          <w:color w:val="auto"/>
          <w:highlight w:val="none"/>
          <w:lang w:eastAsia="zh-CN"/>
        </w:rPr>
      </w:pPr>
      <w:r>
        <w:rPr>
          <w:rFonts w:hint="eastAsia"/>
          <w:color w:val="auto"/>
          <w:highlight w:val="none"/>
          <w:lang w:eastAsia="zh-CN"/>
        </w:rPr>
        <w:t xml:space="preserve">    4.中选者的参选保证金（无息），将在合同签订后自动转为履约保证金，将于合同周期完成后1</w:t>
      </w:r>
      <w:r>
        <w:rPr>
          <w:color w:val="auto"/>
          <w:highlight w:val="none"/>
          <w:lang w:eastAsia="zh-CN"/>
        </w:rPr>
        <w:t>5</w:t>
      </w:r>
      <w:r>
        <w:rPr>
          <w:rFonts w:hint="eastAsia"/>
          <w:color w:val="auto"/>
          <w:highlight w:val="none"/>
          <w:lang w:eastAsia="zh-CN"/>
        </w:rPr>
        <w:t>个工作日内，甲方无息退还履约保证金；</w:t>
      </w:r>
    </w:p>
    <w:p>
      <w:pPr>
        <w:pStyle w:val="15"/>
        <w:spacing w:line="360" w:lineRule="auto"/>
        <w:ind w:right="121"/>
        <w:jc w:val="both"/>
        <w:rPr>
          <w:color w:val="auto"/>
          <w:highlight w:val="none"/>
          <w:lang w:eastAsia="zh-CN"/>
        </w:rPr>
      </w:pPr>
      <w:r>
        <w:rPr>
          <w:rFonts w:hint="eastAsia"/>
          <w:color w:val="auto"/>
          <w:highlight w:val="none"/>
          <w:lang w:eastAsia="zh-CN"/>
        </w:rPr>
        <w:t xml:space="preserve">    5.如有下列情况发生，将被没收参选保证金：</w:t>
      </w:r>
    </w:p>
    <w:p>
      <w:pPr>
        <w:pStyle w:val="15"/>
        <w:spacing w:line="360" w:lineRule="auto"/>
        <w:ind w:right="121"/>
        <w:jc w:val="both"/>
        <w:rPr>
          <w:color w:val="auto"/>
          <w:highlight w:val="none"/>
          <w:lang w:eastAsia="zh-CN"/>
        </w:rPr>
      </w:pPr>
      <w:r>
        <w:rPr>
          <w:rFonts w:hint="eastAsia"/>
          <w:color w:val="auto"/>
          <w:highlight w:val="none"/>
          <w:lang w:eastAsia="zh-CN"/>
        </w:rPr>
        <w:t xml:space="preserve">   （1）参选单位在参选有效期内撤回参选文件；</w:t>
      </w:r>
    </w:p>
    <w:p>
      <w:pPr>
        <w:pStyle w:val="3"/>
        <w:spacing w:line="360" w:lineRule="auto"/>
        <w:ind w:left="0" w:firstLine="360" w:firstLineChars="150"/>
        <w:rPr>
          <w:b w:val="0"/>
          <w:color w:val="auto"/>
          <w:sz w:val="24"/>
          <w:szCs w:val="24"/>
          <w:highlight w:val="none"/>
          <w:lang w:eastAsia="zh-CN"/>
        </w:rPr>
      </w:pPr>
      <w:r>
        <w:rPr>
          <w:rFonts w:hint="eastAsia"/>
          <w:b w:val="0"/>
          <w:color w:val="auto"/>
          <w:sz w:val="24"/>
          <w:szCs w:val="24"/>
          <w:highlight w:val="none"/>
          <w:lang w:eastAsia="zh-CN"/>
        </w:rPr>
        <w:t>（2）参选单位未能按接到中标通知书后规定的时间内签定合同。</w:t>
      </w:r>
    </w:p>
    <w:p>
      <w:pPr>
        <w:pStyle w:val="3"/>
        <w:spacing w:line="360" w:lineRule="auto"/>
        <w:rPr>
          <w:color w:val="auto"/>
          <w:highlight w:val="none"/>
          <w:lang w:eastAsia="zh-CN"/>
        </w:rPr>
      </w:pPr>
      <w:r>
        <w:rPr>
          <w:color w:val="auto"/>
          <w:w w:val="95"/>
          <w:highlight w:val="none"/>
          <w:lang w:eastAsia="zh-CN"/>
        </w:rPr>
        <w:t>八、参选文件的递交</w:t>
      </w:r>
    </w:p>
    <w:p>
      <w:pPr>
        <w:pStyle w:val="4"/>
        <w:tabs>
          <w:tab w:val="left" w:pos="6879"/>
        </w:tabs>
        <w:spacing w:line="360" w:lineRule="auto"/>
        <w:ind w:left="0" w:right="106" w:firstLine="472" w:firstLineChars="196"/>
        <w:rPr>
          <w:color w:val="auto"/>
          <w:highlight w:val="none"/>
          <w:lang w:eastAsia="zh-CN"/>
        </w:rPr>
      </w:pPr>
      <w:r>
        <w:rPr>
          <w:color w:val="auto"/>
          <w:highlight w:val="none"/>
          <w:lang w:eastAsia="zh-CN"/>
        </w:rPr>
        <w:t>1.参选文件递交的截止时间：</w:t>
      </w:r>
      <w:r>
        <w:rPr>
          <w:rFonts w:hint="eastAsia"/>
          <w:color w:val="auto"/>
          <w:highlight w:val="none"/>
          <w:lang w:eastAsia="zh-CN"/>
        </w:rPr>
        <w:t>截至2024年</w:t>
      </w:r>
      <w:r>
        <w:rPr>
          <w:rFonts w:hint="eastAsia"/>
          <w:color w:val="auto"/>
          <w:highlight w:val="none"/>
          <w:lang w:val="en-US" w:eastAsia="zh-CN"/>
        </w:rPr>
        <w:t>07</w:t>
      </w:r>
      <w:r>
        <w:rPr>
          <w:rFonts w:hint="eastAsia"/>
          <w:color w:val="auto"/>
          <w:highlight w:val="none"/>
          <w:lang w:eastAsia="zh-CN"/>
        </w:rPr>
        <w:t>月</w:t>
      </w:r>
      <w:r>
        <w:rPr>
          <w:rFonts w:hint="eastAsia"/>
          <w:color w:val="auto"/>
          <w:highlight w:val="none"/>
          <w:lang w:val="en-US" w:eastAsia="zh-CN"/>
        </w:rPr>
        <w:t>05</w:t>
      </w:r>
      <w:r>
        <w:rPr>
          <w:rFonts w:hint="eastAsia"/>
          <w:color w:val="auto"/>
          <w:highlight w:val="none"/>
          <w:lang w:eastAsia="zh-CN"/>
        </w:rPr>
        <w:t>日之前。</w:t>
      </w:r>
    </w:p>
    <w:p>
      <w:pPr>
        <w:pStyle w:val="4"/>
        <w:tabs>
          <w:tab w:val="left" w:pos="6879"/>
        </w:tabs>
        <w:spacing w:line="360" w:lineRule="auto"/>
        <w:ind w:left="0" w:right="106" w:firstLine="472" w:firstLineChars="196"/>
        <w:rPr>
          <w:color w:val="auto"/>
          <w:spacing w:val="-57"/>
          <w:highlight w:val="none"/>
          <w:lang w:eastAsia="zh-CN"/>
        </w:rPr>
      </w:pPr>
      <w:r>
        <w:rPr>
          <w:color w:val="auto"/>
          <w:highlight w:val="none"/>
          <w:lang w:eastAsia="zh-CN"/>
        </w:rPr>
        <w:t>2.</w:t>
      </w:r>
      <w:r>
        <w:rPr>
          <w:color w:val="auto"/>
          <w:spacing w:val="4"/>
          <w:highlight w:val="none"/>
          <w:lang w:eastAsia="zh-CN"/>
        </w:rPr>
        <w:t>递交</w:t>
      </w:r>
      <w:r>
        <w:rPr>
          <w:color w:val="auto"/>
          <w:highlight w:val="none"/>
          <w:lang w:eastAsia="zh-CN"/>
        </w:rPr>
        <w:t>参</w:t>
      </w:r>
      <w:r>
        <w:rPr>
          <w:color w:val="auto"/>
          <w:spacing w:val="4"/>
          <w:highlight w:val="none"/>
          <w:lang w:eastAsia="zh-CN"/>
        </w:rPr>
        <w:t>选文件的地</w:t>
      </w:r>
      <w:r>
        <w:rPr>
          <w:color w:val="auto"/>
          <w:highlight w:val="none"/>
          <w:lang w:eastAsia="zh-CN"/>
        </w:rPr>
        <w:t>点</w:t>
      </w:r>
      <w:r>
        <w:rPr>
          <w:color w:val="auto"/>
          <w:spacing w:val="4"/>
          <w:highlight w:val="none"/>
          <w:lang w:eastAsia="zh-CN"/>
        </w:rPr>
        <w:t>为：</w:t>
      </w:r>
      <w:r>
        <w:rPr>
          <w:rFonts w:hint="eastAsia"/>
          <w:color w:val="auto"/>
          <w:spacing w:val="4"/>
          <w:highlight w:val="none"/>
          <w:lang w:eastAsia="zh-CN"/>
        </w:rPr>
        <w:t>漳州市漳浦县杜浔镇杜昌路9号</w:t>
      </w:r>
    </w:p>
    <w:p>
      <w:pPr>
        <w:pStyle w:val="4"/>
        <w:tabs>
          <w:tab w:val="left" w:pos="6879"/>
        </w:tabs>
        <w:spacing w:line="360" w:lineRule="auto"/>
        <w:ind w:left="119" w:leftChars="54" w:right="106" w:firstLine="834" w:firstLineChars="346"/>
        <w:rPr>
          <w:color w:val="auto"/>
          <w:spacing w:val="-6"/>
          <w:highlight w:val="none"/>
          <w:lang w:eastAsia="zh-CN"/>
        </w:rPr>
      </w:pPr>
      <w:r>
        <w:rPr>
          <w:color w:val="auto"/>
          <w:highlight w:val="none"/>
          <w:lang w:eastAsia="zh-CN"/>
        </w:rPr>
        <w:t>联</w:t>
      </w:r>
      <w:r>
        <w:rPr>
          <w:rFonts w:hint="eastAsia"/>
          <w:color w:val="auto"/>
          <w:highlight w:val="none"/>
          <w:lang w:eastAsia="zh-CN"/>
        </w:rPr>
        <w:t xml:space="preserve"> </w:t>
      </w:r>
      <w:r>
        <w:rPr>
          <w:color w:val="auto"/>
          <w:highlight w:val="none"/>
          <w:lang w:eastAsia="zh-CN"/>
        </w:rPr>
        <w:t>系</w:t>
      </w:r>
      <w:r>
        <w:rPr>
          <w:rFonts w:hint="eastAsia"/>
          <w:color w:val="auto"/>
          <w:highlight w:val="none"/>
          <w:lang w:eastAsia="zh-CN"/>
        </w:rPr>
        <w:t xml:space="preserve"> </w:t>
      </w:r>
      <w:r>
        <w:rPr>
          <w:color w:val="auto"/>
          <w:highlight w:val="none"/>
          <w:lang w:eastAsia="zh-CN"/>
        </w:rPr>
        <w:t>人</w:t>
      </w:r>
      <w:r>
        <w:rPr>
          <w:color w:val="auto"/>
          <w:spacing w:val="-56"/>
          <w:highlight w:val="none"/>
          <w:lang w:eastAsia="zh-CN"/>
        </w:rPr>
        <w:t>：</w:t>
      </w:r>
      <w:r>
        <w:rPr>
          <w:rFonts w:hint="eastAsia"/>
          <w:color w:val="auto"/>
          <w:spacing w:val="-56"/>
          <w:highlight w:val="none"/>
          <w:lang w:eastAsia="zh-CN"/>
        </w:rPr>
        <w:t>黄梅钦</w:t>
      </w:r>
      <w:r>
        <w:rPr>
          <w:rFonts w:hint="eastAsia"/>
          <w:color w:val="auto"/>
          <w:highlight w:val="none"/>
          <w:lang w:eastAsia="zh-CN"/>
        </w:rPr>
        <w:t xml:space="preserve">    </w:t>
      </w:r>
      <w:r>
        <w:rPr>
          <w:color w:val="auto"/>
          <w:spacing w:val="-6"/>
          <w:highlight w:val="none"/>
          <w:lang w:eastAsia="zh-CN"/>
        </w:rPr>
        <w:t xml:space="preserve"> </w:t>
      </w:r>
    </w:p>
    <w:p>
      <w:pPr>
        <w:pStyle w:val="4"/>
        <w:tabs>
          <w:tab w:val="left" w:pos="6879"/>
        </w:tabs>
        <w:spacing w:line="360" w:lineRule="auto"/>
        <w:ind w:left="119" w:leftChars="54" w:right="106" w:firstLine="834" w:firstLineChars="346"/>
        <w:rPr>
          <w:color w:val="auto"/>
          <w:highlight w:val="none"/>
          <w:lang w:eastAsia="zh-CN"/>
        </w:rPr>
      </w:pPr>
      <w:r>
        <w:rPr>
          <w:color w:val="auto"/>
          <w:highlight w:val="none"/>
          <w:lang w:eastAsia="zh-CN"/>
        </w:rPr>
        <w:t>联系电话</w:t>
      </w:r>
      <w:r>
        <w:rPr>
          <w:color w:val="auto"/>
          <w:spacing w:val="-4"/>
          <w:highlight w:val="none"/>
          <w:lang w:eastAsia="zh-CN"/>
        </w:rPr>
        <w:t>：</w:t>
      </w:r>
      <w:r>
        <w:rPr>
          <w:rFonts w:hint="eastAsia"/>
          <w:color w:val="auto"/>
          <w:spacing w:val="-4"/>
          <w:highlight w:val="none"/>
          <w:lang w:eastAsia="zh-CN"/>
        </w:rPr>
        <w:t xml:space="preserve">0596-6311073 </w:t>
      </w:r>
    </w:p>
    <w:p>
      <w:pPr>
        <w:spacing w:line="360" w:lineRule="auto"/>
        <w:ind w:left="598" w:leftChars="272" w:firstLine="236" w:firstLineChars="98"/>
        <w:rPr>
          <w:b/>
          <w:color w:val="auto"/>
          <w:sz w:val="24"/>
          <w:highlight w:val="none"/>
          <w:lang w:eastAsia="zh-CN"/>
        </w:rPr>
      </w:pPr>
      <w:r>
        <w:rPr>
          <w:b/>
          <w:color w:val="auto"/>
          <w:sz w:val="24"/>
          <w:highlight w:val="none"/>
          <w:lang w:eastAsia="zh-CN"/>
        </w:rPr>
        <w:t>注：请使用顺丰快递或中国邮政 EMS 快递，其他快递不能保证送达目的地。</w:t>
      </w:r>
    </w:p>
    <w:p>
      <w:pPr>
        <w:pStyle w:val="15"/>
        <w:spacing w:line="360" w:lineRule="auto"/>
        <w:ind w:firstLine="480" w:firstLineChars="200"/>
        <w:rPr>
          <w:color w:val="auto"/>
          <w:highlight w:val="none"/>
          <w:lang w:eastAsia="zh-CN"/>
        </w:rPr>
      </w:pPr>
      <w:r>
        <w:rPr>
          <w:color w:val="auto"/>
          <w:highlight w:val="none"/>
          <w:lang w:eastAsia="zh-CN"/>
        </w:rPr>
        <w:t>3.只允许参选人有一个参选方案，否则将被视为无效参选。</w:t>
      </w:r>
    </w:p>
    <w:p>
      <w:pPr>
        <w:pStyle w:val="15"/>
        <w:spacing w:line="360" w:lineRule="auto"/>
        <w:ind w:right="106" w:firstLine="480" w:firstLineChars="200"/>
        <w:jc w:val="both"/>
        <w:rPr>
          <w:color w:val="auto"/>
          <w:highlight w:val="none"/>
          <w:lang w:eastAsia="zh-CN"/>
        </w:rPr>
      </w:pPr>
      <w:r>
        <w:rPr>
          <w:color w:val="auto"/>
          <w:highlight w:val="none"/>
          <w:lang w:eastAsia="zh-CN"/>
        </w:rPr>
        <w:t>4.</w:t>
      </w:r>
      <w:r>
        <w:rPr>
          <w:color w:val="auto"/>
          <w:spacing w:val="-4"/>
          <w:highlight w:val="none"/>
          <w:lang w:eastAsia="zh-CN"/>
        </w:rPr>
        <w:t>逾期送达的或未送达指定地点或参选文件密封不符合规定要求的参选文件，比选人不予受理。参选人所提交的比选文件在评选结束后，无论中选与否都不退还。</w:t>
      </w:r>
    </w:p>
    <w:p>
      <w:pPr>
        <w:pStyle w:val="15"/>
        <w:spacing w:before="21" w:line="360" w:lineRule="auto"/>
        <w:ind w:right="106" w:firstLine="480" w:firstLineChars="200"/>
        <w:jc w:val="both"/>
        <w:rPr>
          <w:color w:val="auto"/>
          <w:highlight w:val="none"/>
          <w:lang w:eastAsia="zh-CN"/>
        </w:rPr>
      </w:pPr>
      <w:r>
        <w:rPr>
          <w:color w:val="auto"/>
          <w:highlight w:val="none"/>
          <w:lang w:eastAsia="zh-CN"/>
        </w:rPr>
        <w:t>5.</w:t>
      </w:r>
      <w:r>
        <w:rPr>
          <w:color w:val="auto"/>
          <w:spacing w:val="-9"/>
          <w:highlight w:val="none"/>
          <w:lang w:eastAsia="zh-CN"/>
        </w:rPr>
        <w:t>参选人收到比选文件后，如有疑问要澄清，请以书面形式在规定时间内报比选人汇总。</w:t>
      </w:r>
    </w:p>
    <w:p>
      <w:pPr>
        <w:pStyle w:val="15"/>
        <w:spacing w:before="24" w:line="360" w:lineRule="auto"/>
        <w:ind w:right="106" w:firstLine="480" w:firstLineChars="200"/>
        <w:jc w:val="both"/>
        <w:rPr>
          <w:color w:val="auto"/>
          <w:spacing w:val="-9"/>
          <w:highlight w:val="none"/>
          <w:lang w:eastAsia="zh-CN"/>
        </w:rPr>
      </w:pPr>
      <w:r>
        <w:rPr>
          <w:color w:val="auto"/>
          <w:highlight w:val="none"/>
          <w:lang w:eastAsia="zh-CN"/>
        </w:rPr>
        <w:t>6.</w:t>
      </w:r>
      <w:r>
        <w:rPr>
          <w:color w:val="auto"/>
          <w:spacing w:val="-6"/>
          <w:highlight w:val="none"/>
          <w:lang w:eastAsia="zh-CN"/>
        </w:rPr>
        <w:t>参选人对比选人提供的比选文件所做出的推论、解释和结论，比选人概不负责。参</w:t>
      </w:r>
      <w:r>
        <w:rPr>
          <w:color w:val="auto"/>
          <w:spacing w:val="-9"/>
          <w:highlight w:val="none"/>
          <w:lang w:eastAsia="zh-CN"/>
        </w:rPr>
        <w:t>选人由于对比选文件的任何推论和误解以及比选对有关问题的口头解释所造成的后果，均由参选人负责。</w:t>
      </w:r>
    </w:p>
    <w:p>
      <w:pPr>
        <w:pStyle w:val="3"/>
        <w:spacing w:line="360" w:lineRule="auto"/>
        <w:ind w:left="0" w:firstLine="534" w:firstLineChars="200"/>
        <w:rPr>
          <w:color w:val="auto"/>
          <w:highlight w:val="none"/>
          <w:lang w:eastAsia="zh-CN"/>
        </w:rPr>
      </w:pPr>
      <w:r>
        <w:rPr>
          <w:rFonts w:hint="eastAsia"/>
          <w:color w:val="auto"/>
          <w:w w:val="95"/>
          <w:highlight w:val="none"/>
          <w:lang w:eastAsia="zh-CN"/>
        </w:rPr>
        <w:t>九</w:t>
      </w:r>
      <w:r>
        <w:rPr>
          <w:color w:val="auto"/>
          <w:w w:val="95"/>
          <w:highlight w:val="none"/>
          <w:lang w:eastAsia="zh-CN"/>
        </w:rPr>
        <w:t>、</w:t>
      </w:r>
      <w:r>
        <w:rPr>
          <w:rFonts w:hint="eastAsia"/>
          <w:color w:val="auto"/>
          <w:w w:val="95"/>
          <w:highlight w:val="none"/>
          <w:lang w:eastAsia="zh-CN"/>
        </w:rPr>
        <w:t>异议</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olor w:val="auto"/>
          <w:sz w:val="24"/>
          <w:highlight w:val="none"/>
          <w:lang w:eastAsia="zh-CN"/>
        </w:rPr>
        <w:t>中选人确定后，比选人不对未中选人就比选过程以及未能中选的原因做出任何解释。</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潜在参选人或参选人及其他利害关系人对比选文件或比选结果有异议的，应当在规定的期限内以书面的形式向比选人提出。对比选文件有异议的，应当在参选截止时间5日前提出；对比选结果有异议的，应在本比选项目中标候选人公示期间提出。异议的内容应当包括下列内容：</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（1）异议人的名称、地址及有效联系方式；</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（2）被异议人的名称（仅适用于对比选结果的异议）；</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（3）异议事项的基本事实；</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（4）相关请求及主张；</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 xml:space="preserve">（5）有效线索和相关证明材料。 </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有下列情形之一的异议，不予受理：</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（1）对比选结果有异议的异议人不是本项目的参与者，或者与本项目无任何利害关系；</w:t>
      </w:r>
    </w:p>
    <w:p>
      <w:pPr>
        <w:pStyle w:val="23"/>
        <w:tabs>
          <w:tab w:val="left" w:pos="0"/>
          <w:tab w:val="left" w:pos="567"/>
          <w:tab w:val="left" w:pos="993"/>
          <w:tab w:val="left" w:pos="1135"/>
        </w:tabs>
        <w:spacing w:line="460" w:lineRule="exact"/>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 xml:space="preserve">（2）异议事项不具体，且未提供有效线索，难以查证的； </w:t>
      </w:r>
    </w:p>
    <w:p>
      <w:pPr>
        <w:pStyle w:val="23"/>
        <w:tabs>
          <w:tab w:val="left" w:pos="0"/>
          <w:tab w:val="left" w:pos="567"/>
          <w:tab w:val="left" w:pos="993"/>
          <w:tab w:val="left" w:pos="1135"/>
        </w:tabs>
        <w:spacing w:line="360" w:lineRule="auto"/>
        <w:ind w:firstLine="482"/>
        <w:rPr>
          <w:rFonts w:hAnsi="宋体" w:cs="宋体"/>
          <w:bCs/>
          <w:color w:val="auto"/>
          <w:sz w:val="24"/>
          <w:szCs w:val="24"/>
          <w:highlight w:val="none"/>
          <w:lang w:eastAsia="zh-CN"/>
        </w:rPr>
      </w:pPr>
      <w:r>
        <w:rPr>
          <w:rFonts w:hint="eastAsia" w:hAnsi="宋体" w:cs="宋体"/>
          <w:bCs/>
          <w:color w:val="auto"/>
          <w:sz w:val="24"/>
          <w:szCs w:val="24"/>
          <w:highlight w:val="none"/>
          <w:lang w:eastAsia="zh-CN"/>
        </w:rPr>
        <w:t>（3）异议未签署异议人真实姓名、签字和有效联系方式的；以法人名义提出异议的，异议未经法定代表人签字并加盖公章的；</w:t>
      </w:r>
    </w:p>
    <w:p>
      <w:pPr>
        <w:spacing w:line="360" w:lineRule="auto"/>
        <w:ind w:firstLine="470" w:firstLineChars="196"/>
        <w:rPr>
          <w:color w:val="auto"/>
          <w:highlight w:val="none"/>
          <w:lang w:eastAsia="zh-CN"/>
        </w:rPr>
      </w:pPr>
      <w:r>
        <w:rPr>
          <w:rFonts w:hint="eastAsia"/>
          <w:bCs/>
          <w:color w:val="auto"/>
          <w:sz w:val="24"/>
          <w:szCs w:val="24"/>
          <w:highlight w:val="none"/>
          <w:lang w:eastAsia="zh-CN"/>
        </w:rPr>
        <w:t>（4）超过异议时效的。</w:t>
      </w:r>
    </w:p>
    <w:p>
      <w:pPr>
        <w:pStyle w:val="3"/>
        <w:spacing w:line="360" w:lineRule="auto"/>
        <w:rPr>
          <w:color w:val="auto"/>
          <w:sz w:val="24"/>
          <w:szCs w:val="24"/>
          <w:highlight w:val="none"/>
          <w:lang w:eastAsia="zh-CN"/>
        </w:rPr>
      </w:pPr>
      <w:r>
        <w:rPr>
          <w:rFonts w:hint="eastAsia"/>
          <w:color w:val="auto"/>
          <w:w w:val="95"/>
          <w:highlight w:val="none"/>
          <w:lang w:eastAsia="zh-CN"/>
        </w:rPr>
        <w:t>十</w:t>
      </w:r>
      <w:r>
        <w:rPr>
          <w:color w:val="auto"/>
          <w:w w:val="95"/>
          <w:highlight w:val="none"/>
          <w:lang w:eastAsia="zh-CN"/>
        </w:rPr>
        <w:t>、</w:t>
      </w:r>
      <w:r>
        <w:rPr>
          <w:rFonts w:hint="eastAsia"/>
          <w:color w:val="auto"/>
          <w:sz w:val="24"/>
          <w:szCs w:val="24"/>
          <w:highlight w:val="none"/>
          <w:lang w:eastAsia="zh-CN"/>
        </w:rPr>
        <w:t>最高控制价</w:t>
      </w:r>
      <w:r>
        <w:rPr>
          <w:rFonts w:hint="eastAsia"/>
          <w:color w:val="auto"/>
          <w:highlight w:val="none"/>
          <w:lang w:eastAsia="zh-CN"/>
        </w:rPr>
        <w:t>及参选报价要求</w:t>
      </w:r>
    </w:p>
    <w:p>
      <w:pPr>
        <w:spacing w:line="360" w:lineRule="auto"/>
        <w:ind w:firstLine="480" w:firstLineChars="200"/>
        <w:rPr>
          <w:color w:val="auto"/>
          <w:sz w:val="24"/>
          <w:szCs w:val="24"/>
          <w:highlight w:val="none"/>
          <w:lang w:eastAsia="zh-CN"/>
        </w:rPr>
      </w:pPr>
      <w:r>
        <w:rPr>
          <w:rFonts w:hint="eastAsia"/>
          <w:bCs/>
          <w:color w:val="auto"/>
          <w:sz w:val="24"/>
          <w:szCs w:val="24"/>
          <w:highlight w:val="none"/>
          <w:lang w:eastAsia="zh-CN"/>
        </w:rPr>
        <w:t>1、本项目最高限价为人民币194.</w:t>
      </w:r>
      <w:r>
        <w:rPr>
          <w:rFonts w:hint="eastAsia"/>
          <w:bCs/>
          <w:color w:val="auto"/>
          <w:sz w:val="24"/>
          <w:szCs w:val="24"/>
          <w:highlight w:val="none"/>
          <w:lang w:val="en-US" w:eastAsia="zh-CN"/>
        </w:rPr>
        <w:t>9</w:t>
      </w:r>
      <w:r>
        <w:rPr>
          <w:rFonts w:hint="eastAsia"/>
          <w:bCs/>
          <w:color w:val="auto"/>
          <w:sz w:val="24"/>
          <w:szCs w:val="24"/>
          <w:highlight w:val="none"/>
          <w:lang w:eastAsia="zh-CN"/>
        </w:rPr>
        <w:t>0万元。参选人所填报的参选总价高于本项目最高限价的，其参选将被评标委员会予以否决</w:t>
      </w:r>
      <w:r>
        <w:rPr>
          <w:rFonts w:hint="eastAsia"/>
          <w:color w:val="auto"/>
          <w:sz w:val="24"/>
          <w:szCs w:val="24"/>
          <w:highlight w:val="none"/>
          <w:lang w:eastAsia="zh-CN"/>
        </w:rPr>
        <w:t>。</w:t>
      </w:r>
    </w:p>
    <w:p>
      <w:pPr>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2、本比选项目采用固定总价方式执行。</w:t>
      </w:r>
    </w:p>
    <w:p>
      <w:pPr>
        <w:tabs>
          <w:tab w:val="left" w:pos="0"/>
          <w:tab w:val="left" w:pos="993"/>
          <w:tab w:val="left" w:pos="1134"/>
        </w:tabs>
        <w:spacing w:line="360" w:lineRule="auto"/>
        <w:ind w:firstLine="480" w:firstLineChars="200"/>
        <w:rPr>
          <w:bCs/>
          <w:color w:val="auto"/>
          <w:sz w:val="24"/>
          <w:highlight w:val="none"/>
          <w:lang w:eastAsia="zh-CN"/>
        </w:rPr>
      </w:pPr>
      <w:r>
        <w:rPr>
          <w:rFonts w:hint="eastAsia"/>
          <w:bCs/>
          <w:color w:val="auto"/>
          <w:sz w:val="24"/>
          <w:szCs w:val="24"/>
          <w:highlight w:val="none"/>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color w:val="auto"/>
          <w:sz w:val="24"/>
          <w:highlight w:val="none"/>
          <w:lang w:eastAsia="zh-CN"/>
        </w:rPr>
        <w:t>比选文件中要求列入参选的费用，漏（缺）报的视同已含在参选总价中。</w:t>
      </w:r>
    </w:p>
    <w:p>
      <w:pPr>
        <w:pStyle w:val="2"/>
        <w:rPr>
          <w:color w:val="auto"/>
          <w:highlight w:val="none"/>
        </w:rPr>
      </w:pPr>
    </w:p>
    <w:p>
      <w:pPr>
        <w:spacing w:line="321" w:lineRule="auto"/>
        <w:rPr>
          <w:color w:val="auto"/>
          <w:highlight w:val="none"/>
          <w:lang w:eastAsia="zh-CN"/>
        </w:rPr>
        <w:sectPr>
          <w:pgSz w:w="11910" w:h="16840"/>
          <w:pgMar w:top="1420" w:right="710" w:bottom="740" w:left="1300" w:header="0" w:footer="551" w:gutter="0"/>
          <w:cols w:space="720" w:num="1"/>
        </w:sectPr>
      </w:pPr>
    </w:p>
    <w:p>
      <w:pPr>
        <w:pStyle w:val="3"/>
        <w:tabs>
          <w:tab w:val="left" w:pos="4627"/>
        </w:tabs>
        <w:spacing w:line="355" w:lineRule="exact"/>
        <w:ind w:left="3363"/>
        <w:rPr>
          <w:color w:val="auto"/>
          <w:highlight w:val="none"/>
          <w:lang w:eastAsia="zh-CN"/>
        </w:rPr>
      </w:pPr>
      <w:r>
        <w:rPr>
          <w:color w:val="auto"/>
          <w:highlight w:val="none"/>
          <w:lang w:eastAsia="zh-CN"/>
        </w:rPr>
        <w:t>第三章</w:t>
      </w:r>
      <w:r>
        <w:rPr>
          <w:color w:val="auto"/>
          <w:highlight w:val="none"/>
          <w:lang w:eastAsia="zh-CN"/>
        </w:rPr>
        <w:tab/>
      </w:r>
      <w:r>
        <w:rPr>
          <w:color w:val="auto"/>
          <w:spacing w:val="-1"/>
          <w:w w:val="95"/>
          <w:highlight w:val="none"/>
          <w:lang w:eastAsia="zh-CN"/>
        </w:rPr>
        <w:t>参选文</w:t>
      </w:r>
      <w:r>
        <w:rPr>
          <w:color w:val="auto"/>
          <w:w w:val="95"/>
          <w:highlight w:val="none"/>
          <w:lang w:eastAsia="zh-CN"/>
        </w:rPr>
        <w:t>件的编制</w:t>
      </w:r>
    </w:p>
    <w:p>
      <w:pPr>
        <w:pStyle w:val="15"/>
        <w:spacing w:before="3" w:line="360" w:lineRule="auto"/>
        <w:rPr>
          <w:color w:val="auto"/>
          <w:highlight w:val="none"/>
          <w:lang w:eastAsia="zh-CN"/>
        </w:rPr>
      </w:pPr>
    </w:p>
    <w:p>
      <w:pPr>
        <w:pStyle w:val="15"/>
        <w:spacing w:before="3" w:line="360" w:lineRule="auto"/>
        <w:ind w:firstLine="480" w:firstLineChars="200"/>
        <w:rPr>
          <w:b/>
          <w:color w:val="auto"/>
          <w:sz w:val="26"/>
          <w:highlight w:val="none"/>
          <w:lang w:eastAsia="zh-CN"/>
        </w:rPr>
      </w:pPr>
      <w:r>
        <w:rPr>
          <w:rFonts w:hint="eastAsia"/>
          <w:color w:val="auto"/>
          <w:highlight w:val="none"/>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color w:val="auto"/>
          <w:sz w:val="28"/>
          <w:highlight w:val="none"/>
          <w:lang w:eastAsia="zh-CN"/>
        </w:rPr>
      </w:pPr>
      <w:r>
        <w:rPr>
          <w:b/>
          <w:color w:val="auto"/>
          <w:w w:val="95"/>
          <w:sz w:val="28"/>
          <w:highlight w:val="none"/>
          <w:lang w:eastAsia="zh-CN"/>
        </w:rPr>
        <w:t>一、参选文件的组成：</w:t>
      </w:r>
    </w:p>
    <w:p>
      <w:pPr>
        <w:pStyle w:val="15"/>
        <w:spacing w:line="360" w:lineRule="auto"/>
        <w:ind w:right="92" w:firstLine="480"/>
        <w:rPr>
          <w:color w:val="auto"/>
          <w:highlight w:val="none"/>
          <w:lang w:eastAsia="zh-CN"/>
        </w:rPr>
      </w:pPr>
      <w:r>
        <w:rPr>
          <w:color w:val="auto"/>
          <w:highlight w:val="none"/>
          <w:lang w:eastAsia="zh-CN"/>
        </w:rPr>
        <w:t>①参选单位企业概况（企业简介、经营状况、业绩</w:t>
      </w:r>
      <w:r>
        <w:rPr>
          <w:rFonts w:hint="eastAsia"/>
          <w:color w:val="auto"/>
          <w:highlight w:val="none"/>
          <w:lang w:eastAsia="zh-CN"/>
        </w:rPr>
        <w:t>等</w:t>
      </w:r>
      <w:r>
        <w:rPr>
          <w:color w:val="auto"/>
          <w:highlight w:val="none"/>
          <w:lang w:eastAsia="zh-CN"/>
        </w:rPr>
        <w:t>）、营业执照、资质证书、组织机构代码证、税务登记证（经年检或年审合格的）等。</w:t>
      </w:r>
    </w:p>
    <w:p>
      <w:pPr>
        <w:pStyle w:val="15"/>
        <w:spacing w:before="23" w:line="360" w:lineRule="auto"/>
        <w:ind w:right="92" w:firstLine="480"/>
        <w:rPr>
          <w:color w:val="auto"/>
          <w:highlight w:val="none"/>
          <w:lang w:eastAsia="zh-CN"/>
        </w:rPr>
      </w:pPr>
      <w:r>
        <w:rPr>
          <w:color w:val="auto"/>
          <w:spacing w:val="-7"/>
          <w:highlight w:val="none"/>
          <w:lang w:eastAsia="zh-CN"/>
        </w:rPr>
        <w:t>②有良好</w:t>
      </w:r>
      <w:r>
        <w:rPr>
          <w:rFonts w:hint="eastAsia"/>
          <w:color w:val="auto"/>
          <w:spacing w:val="-7"/>
          <w:highlight w:val="none"/>
          <w:lang w:eastAsia="zh-CN"/>
        </w:rPr>
        <w:t>相似企业</w:t>
      </w:r>
      <w:r>
        <w:rPr>
          <w:color w:val="auto"/>
          <w:spacing w:val="-7"/>
          <w:highlight w:val="none"/>
          <w:lang w:eastAsia="zh-CN"/>
        </w:rPr>
        <w:t>工程</w:t>
      </w:r>
      <w:r>
        <w:rPr>
          <w:rFonts w:hint="eastAsia"/>
          <w:color w:val="auto"/>
          <w:spacing w:val="-7"/>
          <w:highlight w:val="none"/>
          <w:lang w:eastAsia="zh-CN"/>
        </w:rPr>
        <w:t>项目</w:t>
      </w:r>
      <w:r>
        <w:rPr>
          <w:color w:val="auto"/>
          <w:spacing w:val="-7"/>
          <w:highlight w:val="none"/>
          <w:lang w:eastAsia="zh-CN"/>
        </w:rPr>
        <w:t>业绩的证明</w:t>
      </w:r>
      <w:r>
        <w:rPr>
          <w:rFonts w:hint="eastAsia"/>
          <w:color w:val="auto"/>
          <w:spacing w:val="-7"/>
          <w:highlight w:val="none"/>
          <w:lang w:eastAsia="zh-CN"/>
        </w:rPr>
        <w:t>，</w:t>
      </w:r>
      <w:r>
        <w:rPr>
          <w:color w:val="auto"/>
          <w:spacing w:val="-5"/>
          <w:highlight w:val="none"/>
          <w:lang w:eastAsia="zh-CN"/>
        </w:rPr>
        <w:t>凡弄虚作假的，一经查实，比选人有权取消其中选资格。</w:t>
      </w:r>
    </w:p>
    <w:p>
      <w:pPr>
        <w:pStyle w:val="15"/>
        <w:spacing w:before="26" w:line="360" w:lineRule="auto"/>
        <w:ind w:right="222" w:firstLine="480"/>
        <w:rPr>
          <w:color w:val="auto"/>
          <w:highlight w:val="none"/>
          <w:lang w:eastAsia="zh-CN"/>
        </w:rPr>
      </w:pPr>
      <w:r>
        <w:rPr>
          <w:color w:val="auto"/>
          <w:spacing w:val="-6"/>
          <w:highlight w:val="none"/>
          <w:lang w:eastAsia="zh-CN"/>
        </w:rPr>
        <w:t>③参选单位出具业务联系人的授权代表证明，业务联系人或被授权代表变更时应取得相应的具有法律效力的证明材料</w:t>
      </w:r>
      <w:r>
        <w:rPr>
          <w:rFonts w:hint="eastAsia"/>
          <w:color w:val="auto"/>
          <w:spacing w:val="-6"/>
          <w:highlight w:val="none"/>
          <w:lang w:eastAsia="zh-CN"/>
        </w:rPr>
        <w:t>,及参选保证金银行回单（复印件）和技术偏离表。</w:t>
      </w:r>
    </w:p>
    <w:p>
      <w:pPr>
        <w:pStyle w:val="15"/>
        <w:spacing w:before="26" w:line="360" w:lineRule="auto"/>
        <w:ind w:firstLine="480" w:firstLineChars="200"/>
        <w:rPr>
          <w:color w:val="auto"/>
          <w:highlight w:val="none"/>
          <w:lang w:eastAsia="zh-CN"/>
        </w:rPr>
      </w:pPr>
      <w:r>
        <w:rPr>
          <w:color w:val="auto"/>
          <w:highlight w:val="none"/>
          <w:lang w:eastAsia="zh-CN"/>
        </w:rPr>
        <w:t>④提供参选报价表(详见附件</w:t>
      </w:r>
      <w:r>
        <w:rPr>
          <w:rFonts w:hint="eastAsia"/>
          <w:color w:val="auto"/>
          <w:highlight w:val="none"/>
          <w:lang w:eastAsia="zh-CN"/>
        </w:rPr>
        <w:t>二</w:t>
      </w:r>
      <w:r>
        <w:rPr>
          <w:color w:val="auto"/>
          <w:highlight w:val="none"/>
          <w:lang w:eastAsia="zh-CN"/>
        </w:rPr>
        <w:t>)。</w:t>
      </w:r>
    </w:p>
    <w:p>
      <w:pPr>
        <w:pStyle w:val="15"/>
        <w:spacing w:before="26" w:line="360" w:lineRule="auto"/>
        <w:ind w:firstLine="480" w:firstLineChars="200"/>
        <w:rPr>
          <w:b/>
          <w:color w:val="auto"/>
          <w:highlight w:val="none"/>
          <w:lang w:eastAsia="zh-CN"/>
        </w:rPr>
      </w:pPr>
      <w:r>
        <w:rPr>
          <w:color w:val="auto"/>
          <w:highlight w:val="none"/>
          <w:lang w:eastAsia="zh-CN"/>
        </w:rPr>
        <w:t>以上①至</w:t>
      </w:r>
      <w:r>
        <w:rPr>
          <w:color w:val="auto"/>
          <w:spacing w:val="-6"/>
          <w:highlight w:val="none"/>
          <w:lang w:eastAsia="zh-CN"/>
        </w:rPr>
        <w:t>③</w:t>
      </w:r>
      <w:r>
        <w:rPr>
          <w:color w:val="auto"/>
          <w:highlight w:val="none"/>
          <w:lang w:eastAsia="zh-CN"/>
        </w:rPr>
        <w:t>项内容</w:t>
      </w:r>
      <w:r>
        <w:rPr>
          <w:rFonts w:hint="eastAsia"/>
          <w:b/>
          <w:bCs/>
          <w:color w:val="auto"/>
          <w:highlight w:val="none"/>
          <w:lang w:eastAsia="zh-CN"/>
        </w:rPr>
        <w:t>装订</w:t>
      </w:r>
      <w:r>
        <w:rPr>
          <w:color w:val="auto"/>
          <w:highlight w:val="none"/>
          <w:lang w:eastAsia="zh-CN"/>
        </w:rPr>
        <w:t>密封并加盖公章</w:t>
      </w:r>
      <w:r>
        <w:rPr>
          <w:rFonts w:hint="eastAsia"/>
          <w:color w:val="auto"/>
          <w:highlight w:val="none"/>
          <w:lang w:eastAsia="zh-CN"/>
        </w:rPr>
        <w:t>（一正两副）</w:t>
      </w:r>
      <w:r>
        <w:rPr>
          <w:color w:val="auto"/>
          <w:highlight w:val="none"/>
          <w:lang w:eastAsia="zh-CN"/>
        </w:rPr>
        <w:t>。</w:t>
      </w:r>
      <w:r>
        <w:rPr>
          <w:rFonts w:hint="eastAsia"/>
          <w:color w:val="auto"/>
          <w:highlight w:val="none"/>
          <w:lang w:eastAsia="zh-CN"/>
        </w:rPr>
        <w:t>即</w:t>
      </w:r>
      <w:r>
        <w:rPr>
          <w:rFonts w:hint="eastAsia"/>
          <w:b/>
          <w:color w:val="auto"/>
          <w:highlight w:val="none"/>
          <w:u w:val="double"/>
          <w:lang w:eastAsia="zh-CN"/>
        </w:rPr>
        <w:t>参选文件正本及副本密封在一个信封</w:t>
      </w:r>
      <w:r>
        <w:rPr>
          <w:rFonts w:hint="eastAsia"/>
          <w:color w:val="auto"/>
          <w:highlight w:val="none"/>
          <w:lang w:eastAsia="zh-CN"/>
        </w:rPr>
        <w:t>，并标明比选编号、参选名称及正本或副本。信封上注明“于年月日时之前（指参选规定的开标日期及时间）不准启封”的字样。</w:t>
      </w:r>
      <w:r>
        <w:rPr>
          <w:rFonts w:hint="eastAsia"/>
          <w:b/>
          <w:color w:val="auto"/>
          <w:highlight w:val="none"/>
          <w:lang w:eastAsia="zh-CN"/>
        </w:rPr>
        <w:t>（注：报价表须独立盖章密封）</w:t>
      </w:r>
    </w:p>
    <w:p>
      <w:pPr>
        <w:pStyle w:val="15"/>
        <w:spacing w:before="26" w:line="360" w:lineRule="auto"/>
        <w:ind w:firstLine="482" w:firstLineChars="200"/>
        <w:rPr>
          <w:color w:val="auto"/>
          <w:highlight w:val="none"/>
          <w:lang w:eastAsia="zh-CN"/>
        </w:rPr>
      </w:pPr>
      <w:r>
        <w:rPr>
          <w:rFonts w:hint="eastAsia"/>
          <w:b/>
          <w:color w:val="auto"/>
          <w:highlight w:val="none"/>
          <w:lang w:eastAsia="zh-CN"/>
        </w:rPr>
        <w:t>须提供电子版参选文件及报价表（电子U盘存盖公章的PDF版）</w:t>
      </w:r>
    </w:p>
    <w:p>
      <w:pPr>
        <w:pStyle w:val="3"/>
        <w:ind w:left="0" w:firstLine="534" w:firstLineChars="200"/>
        <w:rPr>
          <w:color w:val="auto"/>
          <w:highlight w:val="none"/>
          <w:lang w:eastAsia="zh-CN"/>
        </w:rPr>
      </w:pPr>
      <w:r>
        <w:rPr>
          <w:color w:val="auto"/>
          <w:w w:val="95"/>
          <w:highlight w:val="none"/>
          <w:lang w:eastAsia="zh-CN"/>
        </w:rPr>
        <w:t>二、参选书格式内容</w:t>
      </w:r>
    </w:p>
    <w:p>
      <w:pPr>
        <w:pStyle w:val="15"/>
        <w:spacing w:before="240" w:line="360" w:lineRule="auto"/>
        <w:ind w:firstLine="480" w:firstLineChars="200"/>
        <w:rPr>
          <w:color w:val="auto"/>
          <w:highlight w:val="none"/>
          <w:lang w:eastAsia="zh-CN"/>
        </w:rPr>
      </w:pPr>
      <w:r>
        <w:rPr>
          <w:rFonts w:hint="eastAsia"/>
          <w:color w:val="auto"/>
          <w:highlight w:val="none"/>
          <w:lang w:eastAsia="zh-CN"/>
        </w:rPr>
        <w:t>参选人应仔细阅读比选文件的所有内容，按照比选文件的要求提交参选文件。参选文件应对比选文件的要求作出实质性响应，并保证所提供的全部资料的真实性，否则，</w:t>
      </w:r>
      <w:r>
        <w:rPr>
          <w:rFonts w:hint="eastAsia"/>
          <w:b/>
          <w:color w:val="auto"/>
          <w:highlight w:val="none"/>
          <w:lang w:eastAsia="zh-CN"/>
        </w:rPr>
        <w:t>其参选将被拒绝。</w:t>
      </w:r>
      <w:r>
        <w:rPr>
          <w:color w:val="auto"/>
          <w:highlight w:val="none"/>
          <w:lang w:eastAsia="zh-CN"/>
        </w:rPr>
        <w:t>参选人应按附件二格式内容要求进行参选</w:t>
      </w:r>
      <w:r>
        <w:rPr>
          <w:rFonts w:hint="eastAsia"/>
          <w:color w:val="auto"/>
          <w:highlight w:val="none"/>
          <w:lang w:eastAsia="zh-CN"/>
        </w:rPr>
        <w:t>文件</w:t>
      </w:r>
      <w:r>
        <w:rPr>
          <w:color w:val="auto"/>
          <w:highlight w:val="none"/>
          <w:lang w:eastAsia="zh-CN"/>
        </w:rPr>
        <w:t>的编制</w:t>
      </w:r>
      <w:r>
        <w:rPr>
          <w:rFonts w:hint="eastAsia"/>
          <w:color w:val="auto"/>
          <w:highlight w:val="none"/>
          <w:lang w:eastAsia="zh-CN"/>
        </w:rPr>
        <w:t>，完整提供比选文件附件二所规定的全部资格证明文件并按规定盖章和签署。</w:t>
      </w:r>
    </w:p>
    <w:p>
      <w:pPr>
        <w:pStyle w:val="15"/>
        <w:spacing w:line="360" w:lineRule="auto"/>
        <w:ind w:firstLine="480" w:firstLineChars="200"/>
        <w:rPr>
          <w:color w:val="auto"/>
          <w:highlight w:val="none"/>
          <w:lang w:eastAsia="zh-CN"/>
        </w:rPr>
      </w:pPr>
      <w:r>
        <w:rPr>
          <w:rFonts w:hint="eastAsia"/>
          <w:color w:val="auto"/>
          <w:highlight w:val="none"/>
          <w:lang w:eastAsia="zh-CN"/>
        </w:rPr>
        <w:t>备注：参选人应向比选人提供内容一致的</w:t>
      </w:r>
      <w:r>
        <w:rPr>
          <w:rFonts w:hint="eastAsia"/>
          <w:color w:val="auto"/>
          <w:highlight w:val="none"/>
          <w:u w:val="single"/>
          <w:lang w:eastAsia="zh-CN"/>
        </w:rPr>
        <w:t xml:space="preserve"> 3套 </w:t>
      </w:r>
      <w:r>
        <w:rPr>
          <w:rFonts w:hint="eastAsia"/>
          <w:color w:val="auto"/>
          <w:highlight w:val="none"/>
          <w:lang w:eastAsia="zh-CN"/>
        </w:rPr>
        <w:t>参选文件（含PDF电子版U盘）。</w:t>
      </w:r>
    </w:p>
    <w:p>
      <w:pPr>
        <w:pStyle w:val="3"/>
        <w:spacing w:line="360" w:lineRule="auto"/>
        <w:ind w:left="0" w:firstLine="534" w:firstLineChars="200"/>
        <w:rPr>
          <w:color w:val="auto"/>
          <w:highlight w:val="none"/>
          <w:lang w:eastAsia="zh-CN"/>
        </w:rPr>
      </w:pPr>
      <w:r>
        <w:rPr>
          <w:color w:val="auto"/>
          <w:w w:val="95"/>
          <w:highlight w:val="none"/>
          <w:lang w:eastAsia="zh-CN"/>
        </w:rPr>
        <w:t>三、参选报价</w:t>
      </w:r>
    </w:p>
    <w:p>
      <w:pPr>
        <w:pStyle w:val="15"/>
        <w:spacing w:line="360" w:lineRule="auto"/>
        <w:ind w:right="221" w:firstLine="476"/>
        <w:rPr>
          <w:color w:val="auto"/>
          <w:highlight w:val="none"/>
          <w:lang w:eastAsia="zh-CN"/>
        </w:rPr>
      </w:pPr>
      <w:r>
        <w:rPr>
          <w:color w:val="auto"/>
          <w:spacing w:val="-3"/>
          <w:highlight w:val="none"/>
          <w:lang w:eastAsia="zh-CN"/>
        </w:rPr>
        <w:t>参选人须按要求进行报价</w:t>
      </w:r>
      <w:r>
        <w:rPr>
          <w:color w:val="auto"/>
          <w:spacing w:val="-29"/>
          <w:highlight w:val="none"/>
          <w:lang w:eastAsia="zh-CN"/>
        </w:rPr>
        <w:t>，</w:t>
      </w:r>
      <w:r>
        <w:rPr>
          <w:color w:val="auto"/>
          <w:spacing w:val="-4"/>
          <w:highlight w:val="none"/>
          <w:lang w:eastAsia="zh-CN"/>
        </w:rPr>
        <w:t>对参选报价负责。参选报价应加盖参选人印章，字迹清晰，否则视为无效。</w:t>
      </w:r>
    </w:p>
    <w:p>
      <w:pPr>
        <w:pStyle w:val="3"/>
        <w:spacing w:before="30"/>
        <w:ind w:left="0" w:firstLine="534" w:firstLineChars="200"/>
        <w:rPr>
          <w:color w:val="auto"/>
          <w:highlight w:val="none"/>
          <w:lang w:eastAsia="zh-CN"/>
        </w:rPr>
      </w:pPr>
      <w:r>
        <w:rPr>
          <w:color w:val="auto"/>
          <w:w w:val="95"/>
          <w:highlight w:val="none"/>
          <w:lang w:eastAsia="zh-CN"/>
        </w:rPr>
        <w:t>四、特别说明</w:t>
      </w:r>
    </w:p>
    <w:p>
      <w:pPr>
        <w:pStyle w:val="15"/>
        <w:spacing w:before="183" w:line="360" w:lineRule="auto"/>
        <w:ind w:left="119" w:leftChars="54" w:right="222" w:firstLine="480" w:firstLineChars="200"/>
        <w:rPr>
          <w:color w:val="auto"/>
          <w:highlight w:val="none"/>
          <w:lang w:eastAsia="zh-CN"/>
        </w:rPr>
      </w:pPr>
      <w:r>
        <w:rPr>
          <w:color w:val="auto"/>
          <w:highlight w:val="none"/>
          <w:lang w:eastAsia="zh-CN"/>
        </w:rPr>
        <w:t>1.</w:t>
      </w:r>
      <w:r>
        <w:rPr>
          <w:color w:val="auto"/>
          <w:spacing w:val="-5"/>
          <w:highlight w:val="none"/>
          <w:lang w:eastAsia="zh-CN"/>
        </w:rPr>
        <w:t>参选人承担所有与准备和参加比选有关的费用。</w:t>
      </w:r>
      <w:r>
        <w:rPr>
          <w:rFonts w:hint="eastAsia"/>
          <w:color w:val="auto"/>
          <w:highlight w:val="none"/>
          <w:lang w:eastAsia="zh-CN"/>
        </w:rPr>
        <w:t>无论比选过程中的作法和结果如何，</w:t>
      </w:r>
      <w:r>
        <w:rPr>
          <w:color w:val="auto"/>
          <w:spacing w:val="-5"/>
          <w:highlight w:val="none"/>
          <w:lang w:eastAsia="zh-CN"/>
        </w:rPr>
        <w:t>比选机构和比选人均无义务和责任承担这些费用</w:t>
      </w:r>
      <w:r>
        <w:rPr>
          <w:rFonts w:hint="eastAsia"/>
          <w:color w:val="auto"/>
          <w:spacing w:val="-5"/>
          <w:highlight w:val="none"/>
          <w:lang w:eastAsia="zh-CN"/>
        </w:rPr>
        <w:t>，参选</w:t>
      </w:r>
      <w:r>
        <w:rPr>
          <w:rFonts w:hint="eastAsia"/>
          <w:color w:val="auto"/>
          <w:highlight w:val="none"/>
          <w:lang w:eastAsia="zh-CN"/>
        </w:rPr>
        <w:t>人应自行承担所有与参加投标有关的全部费用。</w:t>
      </w:r>
    </w:p>
    <w:p>
      <w:pPr>
        <w:pStyle w:val="15"/>
        <w:spacing w:line="360" w:lineRule="auto"/>
        <w:ind w:left="119" w:right="224" w:firstLine="482"/>
        <w:rPr>
          <w:color w:val="auto"/>
          <w:highlight w:val="none"/>
          <w:lang w:eastAsia="zh-CN"/>
        </w:rPr>
      </w:pPr>
      <w:r>
        <w:rPr>
          <w:color w:val="auto"/>
          <w:highlight w:val="none"/>
          <w:lang w:eastAsia="zh-CN"/>
        </w:rPr>
        <w:t>2.</w:t>
      </w:r>
      <w:r>
        <w:rPr>
          <w:color w:val="auto"/>
          <w:spacing w:val="-9"/>
          <w:highlight w:val="none"/>
          <w:lang w:eastAsia="zh-CN"/>
        </w:rPr>
        <w:t>参选</w:t>
      </w:r>
      <w:r>
        <w:rPr>
          <w:rFonts w:hint="eastAsia"/>
          <w:color w:val="auto"/>
          <w:spacing w:val="-9"/>
          <w:highlight w:val="none"/>
          <w:lang w:eastAsia="zh-CN"/>
        </w:rPr>
        <w:t>人</w:t>
      </w:r>
      <w:r>
        <w:rPr>
          <w:color w:val="auto"/>
          <w:spacing w:val="-9"/>
          <w:highlight w:val="none"/>
          <w:lang w:eastAsia="zh-CN"/>
        </w:rPr>
        <w:t>收到比选文件后，如有疑问需要澄清，请以书面形式在规定时间内报比选人汇总。</w:t>
      </w:r>
    </w:p>
    <w:p>
      <w:pPr>
        <w:pStyle w:val="15"/>
        <w:spacing w:before="35" w:line="360" w:lineRule="auto"/>
        <w:ind w:left="119" w:right="226" w:firstLine="482"/>
        <w:jc w:val="both"/>
        <w:rPr>
          <w:color w:val="auto"/>
          <w:spacing w:val="-9"/>
          <w:highlight w:val="none"/>
          <w:lang w:eastAsia="zh-CN"/>
        </w:rPr>
      </w:pPr>
      <w:r>
        <w:rPr>
          <w:color w:val="auto"/>
          <w:highlight w:val="none"/>
          <w:lang w:eastAsia="zh-CN"/>
        </w:rPr>
        <w:t>3.</w:t>
      </w:r>
      <w:r>
        <w:rPr>
          <w:color w:val="auto"/>
          <w:spacing w:val="-6"/>
          <w:highlight w:val="none"/>
          <w:lang w:eastAsia="zh-CN"/>
        </w:rPr>
        <w:t>参选人对比选人提供的比选文件所做出的推论、解释和结论，比选人概不负责。参</w:t>
      </w:r>
      <w:r>
        <w:rPr>
          <w:color w:val="auto"/>
          <w:spacing w:val="-9"/>
          <w:highlight w:val="none"/>
          <w:lang w:eastAsia="zh-CN"/>
        </w:rPr>
        <w:t>选人由于对比选文件的任何推论和误解以及比选对有关问题的口头解释所造成的后果，均由参选人负责。</w:t>
      </w:r>
    </w:p>
    <w:p>
      <w:pPr>
        <w:pStyle w:val="16"/>
        <w:spacing w:line="460" w:lineRule="exact"/>
        <w:ind w:left="0" w:leftChars="0" w:firstLine="435" w:firstLineChars="196"/>
        <w:rPr>
          <w:b/>
          <w:bCs/>
          <w:color w:val="auto"/>
          <w:sz w:val="24"/>
          <w:szCs w:val="24"/>
          <w:highlight w:val="none"/>
          <w:u w:val="double"/>
          <w:lang w:eastAsia="zh-CN"/>
        </w:rPr>
      </w:pPr>
      <w:r>
        <w:rPr>
          <w:rFonts w:hint="eastAsia"/>
          <w:color w:val="auto"/>
          <w:spacing w:val="-9"/>
          <w:sz w:val="24"/>
          <w:szCs w:val="24"/>
          <w:highlight w:val="none"/>
          <w:lang w:eastAsia="zh-CN"/>
        </w:rPr>
        <w:t>4.</w:t>
      </w:r>
      <w:r>
        <w:rPr>
          <w:rFonts w:hint="eastAsia"/>
          <w:bCs/>
          <w:color w:val="auto"/>
          <w:sz w:val="24"/>
          <w:szCs w:val="24"/>
          <w:highlight w:val="none"/>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5"/>
        <w:spacing w:before="35" w:line="360" w:lineRule="auto"/>
        <w:ind w:right="226" w:firstLine="480" w:firstLineChars="200"/>
        <w:jc w:val="both"/>
        <w:rPr>
          <w:bCs/>
          <w:color w:val="auto"/>
          <w:highlight w:val="none"/>
          <w:lang w:eastAsia="zh-CN"/>
        </w:rPr>
      </w:pPr>
      <w:r>
        <w:rPr>
          <w:rFonts w:hint="eastAsia"/>
          <w:color w:val="auto"/>
          <w:highlight w:val="none"/>
          <w:lang w:eastAsia="zh-CN"/>
        </w:rPr>
        <w:t>5.参选</w:t>
      </w:r>
      <w:r>
        <w:rPr>
          <w:rFonts w:hint="eastAsia"/>
          <w:bCs/>
          <w:color w:val="auto"/>
          <w:highlight w:val="none"/>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5"/>
        <w:spacing w:before="35" w:line="360" w:lineRule="auto"/>
        <w:ind w:right="227" w:firstLine="482"/>
        <w:jc w:val="both"/>
        <w:rPr>
          <w:color w:val="auto"/>
          <w:highlight w:val="none"/>
          <w:lang w:eastAsia="zh-CN"/>
        </w:rPr>
      </w:pPr>
      <w:r>
        <w:rPr>
          <w:rFonts w:hint="eastAsia"/>
          <w:color w:val="auto"/>
          <w:highlight w:val="none"/>
          <w:lang w:eastAsia="zh-CN"/>
        </w:rPr>
        <w:t>6. 参选文件对比选文件未提出异议的条款，均被视为参选人已接受和同意。参选文件与比选文件有差异之处，均应按“偏离表”的格式统一汇总说明。</w:t>
      </w:r>
      <w:bookmarkStart w:id="1" w:name="_Toc304357904"/>
      <w:bookmarkStart w:id="2" w:name="_Toc430490619"/>
      <w:bookmarkStart w:id="3" w:name="_Toc430488858"/>
      <w:bookmarkStart w:id="4" w:name="_Toc430492133"/>
      <w:bookmarkStart w:id="5" w:name="_Toc430489126"/>
      <w:bookmarkStart w:id="6" w:name="_Toc177186249"/>
      <w:bookmarkStart w:id="7" w:name="_Toc430422420"/>
      <w:bookmarkStart w:id="8" w:name="_Toc430488651"/>
      <w:bookmarkStart w:id="9" w:name="_Toc415567504"/>
    </w:p>
    <w:p>
      <w:pPr>
        <w:pStyle w:val="15"/>
        <w:spacing w:line="360" w:lineRule="auto"/>
        <w:ind w:right="227" w:firstLine="482"/>
        <w:jc w:val="both"/>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7. 参选报价</w:t>
      </w:r>
      <w:bookmarkEnd w:id="1"/>
      <w:bookmarkEnd w:id="2"/>
      <w:bookmarkEnd w:id="3"/>
      <w:bookmarkEnd w:id="4"/>
      <w:bookmarkEnd w:id="5"/>
      <w:bookmarkEnd w:id="6"/>
      <w:bookmarkEnd w:id="7"/>
      <w:bookmarkEnd w:id="8"/>
      <w:bookmarkEnd w:id="9"/>
    </w:p>
    <w:p>
      <w:pPr>
        <w:spacing w:line="440" w:lineRule="exact"/>
        <w:ind w:firstLine="482" w:firstLineChars="200"/>
        <w:rPr>
          <w:b/>
          <w:bCs/>
          <w:color w:val="auto"/>
          <w:sz w:val="24"/>
          <w:szCs w:val="24"/>
          <w:highlight w:val="none"/>
          <w:u w:val="double"/>
          <w:lang w:eastAsia="zh-CN"/>
        </w:rPr>
      </w:pPr>
      <w:r>
        <w:rPr>
          <w:rFonts w:hint="eastAsia"/>
          <w:b/>
          <w:bCs/>
          <w:color w:val="auto"/>
          <w:sz w:val="24"/>
          <w:szCs w:val="24"/>
          <w:highlight w:val="none"/>
          <w:u w:val="double"/>
          <w:lang w:eastAsia="zh-CN"/>
        </w:rPr>
        <w:t>7.1 本项目投入总金额为194.9万元，本金额即为合同金额，为不可竞争费用。本项目要求参选人填报各放流品种对应的数量，参选人应根据比选文件（包括技术规范书）要求，充分考虑本此投标的风险(合同实施过程中因人力成本的增加、苗种价格的上涨、国家宏观调控、经济环境变化等因素所产生费用的增加），投标单价包含且不限于苗种培育、暂养、检测、检疫、放流人工费、专家费、验收费、专用工具、放流鱼苗、食宿、交通、运输、运输保险、发票税收等与本项目相关的所有费用，且其所填报的各放流品种数量将不予调整。比选文件中要求列入投标的费用，漏（缺）报的视同已含在投标报价中。</w:t>
      </w:r>
    </w:p>
    <w:p>
      <w:pPr>
        <w:pStyle w:val="8"/>
        <w:spacing w:before="0" w:after="0" w:line="460" w:lineRule="exact"/>
        <w:ind w:left="429" w:leftChars="195"/>
        <w:rPr>
          <w:rFonts w:ascii="宋体" w:hAnsi="宋体" w:cs="黑体"/>
          <w:b w:val="0"/>
          <w:color w:val="auto"/>
          <w:sz w:val="24"/>
          <w:szCs w:val="24"/>
          <w:highlight w:val="none"/>
          <w:lang w:eastAsia="zh-CN"/>
        </w:rPr>
      </w:pPr>
      <w:r>
        <w:rPr>
          <w:rFonts w:hint="eastAsia" w:ascii="宋体" w:hAnsi="宋体"/>
          <w:color w:val="auto"/>
          <w:sz w:val="24"/>
          <w:szCs w:val="24"/>
          <w:highlight w:val="none"/>
          <w:u w:val="double"/>
          <w:lang w:eastAsia="zh-CN"/>
        </w:rPr>
        <w:t>7.2本项目投标报价为投标放流数量，且要求投标人拟放流的品种数量应满足下列数量要求，即250</w:t>
      </w:r>
      <w:r>
        <w:rPr>
          <w:rFonts w:ascii="宋体" w:hAnsi="宋体"/>
          <w:color w:val="auto"/>
          <w:sz w:val="24"/>
          <w:szCs w:val="24"/>
          <w:highlight w:val="none"/>
          <w:u w:val="double"/>
          <w:lang w:eastAsia="zh-CN"/>
        </w:rPr>
        <w:t>万尾≥</w:t>
      </w:r>
      <w:r>
        <w:rPr>
          <w:rFonts w:hint="eastAsia" w:ascii="宋体" w:hAnsi="宋体"/>
          <w:color w:val="auto"/>
          <w:sz w:val="24"/>
          <w:szCs w:val="24"/>
          <w:highlight w:val="none"/>
          <w:u w:val="double"/>
          <w:lang w:eastAsia="zh-CN"/>
        </w:rPr>
        <w:t>1-1黄鳍鲷（仔鱼5厘米及以上）≥</w:t>
      </w:r>
      <w:r>
        <w:rPr>
          <w:rFonts w:ascii="宋体" w:hAnsi="宋体"/>
          <w:color w:val="auto"/>
          <w:sz w:val="24"/>
          <w:szCs w:val="24"/>
          <w:highlight w:val="none"/>
          <w:u w:val="double"/>
          <w:lang w:eastAsia="zh-CN"/>
        </w:rPr>
        <w:t>150</w:t>
      </w:r>
      <w:r>
        <w:rPr>
          <w:rFonts w:hint="eastAsia" w:ascii="宋体" w:hAnsi="宋体"/>
          <w:color w:val="auto"/>
          <w:sz w:val="24"/>
          <w:szCs w:val="24"/>
          <w:highlight w:val="none"/>
          <w:u w:val="double"/>
          <w:lang w:eastAsia="zh-CN"/>
        </w:rPr>
        <w:t>万尾；</w:t>
      </w:r>
      <w:r>
        <w:rPr>
          <w:rFonts w:ascii="宋体" w:hAnsi="宋体"/>
          <w:color w:val="auto"/>
          <w:sz w:val="24"/>
          <w:szCs w:val="24"/>
          <w:highlight w:val="none"/>
          <w:u w:val="double"/>
          <w:lang w:eastAsia="zh-CN"/>
        </w:rPr>
        <w:t>250万尾≥</w:t>
      </w:r>
      <w:r>
        <w:rPr>
          <w:rFonts w:hint="eastAsia" w:ascii="宋体" w:hAnsi="宋体"/>
          <w:color w:val="auto"/>
          <w:sz w:val="24"/>
          <w:szCs w:val="24"/>
          <w:highlight w:val="none"/>
          <w:u w:val="double"/>
          <w:lang w:eastAsia="zh-CN"/>
        </w:rPr>
        <w:t>1-2大黄鱼（仔鱼5厘米及以上）≥</w:t>
      </w:r>
      <w:r>
        <w:rPr>
          <w:rFonts w:ascii="宋体" w:hAnsi="宋体"/>
          <w:color w:val="auto"/>
          <w:sz w:val="24"/>
          <w:szCs w:val="24"/>
          <w:highlight w:val="none"/>
          <w:u w:val="double"/>
          <w:lang w:eastAsia="zh-CN"/>
        </w:rPr>
        <w:t>150</w:t>
      </w:r>
      <w:r>
        <w:rPr>
          <w:rFonts w:hint="eastAsia" w:ascii="宋体" w:hAnsi="宋体"/>
          <w:color w:val="auto"/>
          <w:sz w:val="24"/>
          <w:szCs w:val="24"/>
          <w:highlight w:val="none"/>
          <w:u w:val="double"/>
          <w:lang w:eastAsia="zh-CN"/>
        </w:rPr>
        <w:t>万尾；</w:t>
      </w:r>
      <w:r>
        <w:rPr>
          <w:rFonts w:ascii="宋体" w:hAnsi="宋体"/>
          <w:color w:val="auto"/>
          <w:sz w:val="24"/>
          <w:szCs w:val="24"/>
          <w:highlight w:val="none"/>
          <w:u w:val="double"/>
          <w:lang w:eastAsia="zh-CN"/>
        </w:rPr>
        <w:t>35000万尾≥</w:t>
      </w:r>
      <w:r>
        <w:rPr>
          <w:rFonts w:hint="eastAsia" w:ascii="宋体" w:hAnsi="宋体"/>
          <w:color w:val="auto"/>
          <w:sz w:val="24"/>
          <w:szCs w:val="24"/>
          <w:highlight w:val="none"/>
          <w:u w:val="double"/>
          <w:lang w:eastAsia="zh-CN"/>
        </w:rPr>
        <w:t>1-3日本对虾（苗体0.8厘米及以上）≥</w:t>
      </w:r>
      <w:r>
        <w:rPr>
          <w:rFonts w:ascii="宋体" w:hAnsi="宋体"/>
          <w:color w:val="auto"/>
          <w:sz w:val="24"/>
          <w:szCs w:val="24"/>
          <w:highlight w:val="none"/>
          <w:u w:val="double"/>
          <w:lang w:eastAsia="zh-CN"/>
        </w:rPr>
        <w:t>25000</w:t>
      </w:r>
      <w:r>
        <w:rPr>
          <w:rFonts w:hint="eastAsia" w:ascii="宋体" w:hAnsi="宋体"/>
          <w:color w:val="auto"/>
          <w:sz w:val="24"/>
          <w:szCs w:val="24"/>
          <w:highlight w:val="none"/>
          <w:u w:val="double"/>
          <w:lang w:eastAsia="zh-CN"/>
        </w:rPr>
        <w:t>万尾。卖方投标价格不应严重偏离市场指导价，否则，视为未实质性响应比选文件要求，其投标将被评标委员会予以否决</w:t>
      </w:r>
      <w:r>
        <w:rPr>
          <w:rFonts w:hint="eastAsia" w:ascii="宋体" w:hAnsi="宋体"/>
          <w:color w:val="auto"/>
          <w:sz w:val="24"/>
          <w:szCs w:val="24"/>
          <w:highlight w:val="none"/>
          <w:u w:val="double"/>
          <w:shd w:val="pct10" w:color="auto" w:fill="FFFFFF"/>
          <w:lang w:eastAsia="zh-CN"/>
        </w:rPr>
        <w:t>。</w:t>
      </w:r>
    </w:p>
    <w:p>
      <w:pPr>
        <w:pStyle w:val="8"/>
        <w:spacing w:before="0" w:after="0" w:line="460" w:lineRule="exact"/>
        <w:ind w:left="429" w:leftChars="195"/>
        <w:rPr>
          <w:rFonts w:ascii="宋体" w:hAnsi="宋体" w:cs="黑体"/>
          <w:b w:val="0"/>
          <w:color w:val="auto"/>
          <w:sz w:val="24"/>
          <w:szCs w:val="24"/>
          <w:highlight w:val="none"/>
          <w:lang w:eastAsia="zh-CN"/>
        </w:rPr>
      </w:pPr>
      <w:r>
        <w:rPr>
          <w:rFonts w:hint="eastAsia" w:ascii="宋体" w:hAnsi="宋体"/>
          <w:color w:val="auto"/>
          <w:sz w:val="24"/>
          <w:szCs w:val="24"/>
          <w:highlight w:val="none"/>
          <w:lang w:eastAsia="zh-CN"/>
        </w:rPr>
        <w:t>7.3 参选人应根据比选文件的要求，进行合理优惠报价。除非比选人对比选文件予以修改，参选人应按比选文件提供的项目清单报价表中列出的项目名称和数量填报单价和合价。本项目不分包，任何有选择的报价将不被比选人接受。参选人</w:t>
      </w:r>
      <w:r>
        <w:rPr>
          <w:rFonts w:hint="eastAsia" w:ascii="宋体" w:hAnsi="宋体"/>
          <w:b w:val="0"/>
          <w:bCs w:val="0"/>
          <w:color w:val="auto"/>
          <w:sz w:val="24"/>
          <w:szCs w:val="24"/>
          <w:highlight w:val="none"/>
          <w:lang w:eastAsia="zh-CN"/>
        </w:rPr>
        <w:t>未填入单价或合价的服务项目</w:t>
      </w:r>
      <w:r>
        <w:rPr>
          <w:rFonts w:hint="eastAsia" w:ascii="宋体" w:hAnsi="宋体"/>
          <w:color w:val="auto"/>
          <w:sz w:val="24"/>
          <w:szCs w:val="24"/>
          <w:highlight w:val="none"/>
          <w:lang w:eastAsia="zh-CN"/>
        </w:rPr>
        <w:t>，将</w:t>
      </w:r>
      <w:r>
        <w:rPr>
          <w:rFonts w:hint="eastAsia" w:ascii="宋体" w:hAnsi="宋体"/>
          <w:b w:val="0"/>
          <w:bCs w:val="0"/>
          <w:color w:val="auto"/>
          <w:sz w:val="24"/>
          <w:szCs w:val="24"/>
          <w:highlight w:val="none"/>
          <w:lang w:eastAsia="zh-CN"/>
        </w:rPr>
        <w:t>视投标文件为实质上不响应招标文件的要求</w:t>
      </w:r>
      <w:r>
        <w:rPr>
          <w:rFonts w:hint="eastAsia" w:ascii="宋体" w:hAnsi="宋体"/>
          <w:color w:val="auto"/>
          <w:sz w:val="24"/>
          <w:szCs w:val="24"/>
          <w:highlight w:val="none"/>
          <w:lang w:eastAsia="zh-CN"/>
        </w:rPr>
        <w:t>。</w:t>
      </w:r>
      <w:r>
        <w:rPr>
          <w:rFonts w:hint="eastAsia" w:ascii="宋体" w:hAnsi="宋体" w:eastAsia="宋体"/>
          <w:color w:val="auto"/>
          <w:sz w:val="24"/>
          <w:szCs w:val="24"/>
          <w:highlight w:val="none"/>
          <w:u w:val="single"/>
          <w:lang w:eastAsia="zh-CN"/>
        </w:rPr>
        <w:t>（投标报价为投标放流数量)</w:t>
      </w:r>
    </w:p>
    <w:p>
      <w:pPr>
        <w:spacing w:line="480" w:lineRule="exact"/>
        <w:ind w:firstLine="480" w:firstLineChars="200"/>
        <w:rPr>
          <w:color w:val="auto"/>
          <w:sz w:val="24"/>
          <w:highlight w:val="none"/>
          <w:lang w:eastAsia="zh-CN"/>
        </w:rPr>
      </w:pPr>
      <w:r>
        <w:rPr>
          <w:rFonts w:hint="eastAsia"/>
          <w:color w:val="auto"/>
          <w:sz w:val="24"/>
          <w:highlight w:val="none"/>
          <w:lang w:eastAsia="zh-CN"/>
        </w:rPr>
        <w:t>7.4 参选报价将按照参选文件第</w:t>
      </w:r>
      <w:r>
        <w:rPr>
          <w:rFonts w:hint="eastAsia"/>
          <w:b/>
          <w:color w:val="auto"/>
          <w:sz w:val="24"/>
          <w:highlight w:val="none"/>
          <w:lang w:eastAsia="zh-CN"/>
        </w:rPr>
        <w:t>4</w:t>
      </w:r>
      <w:r>
        <w:rPr>
          <w:rFonts w:hint="eastAsia"/>
          <w:color w:val="auto"/>
          <w:sz w:val="24"/>
          <w:highlight w:val="none"/>
          <w:lang w:eastAsia="zh-CN"/>
        </w:rPr>
        <w:t>章“评选规则”的规定进行。</w:t>
      </w:r>
    </w:p>
    <w:p>
      <w:pPr>
        <w:spacing w:line="500" w:lineRule="exact"/>
        <w:ind w:firstLine="480" w:firstLineChars="200"/>
        <w:rPr>
          <w:rFonts w:cs="黑体"/>
          <w:b/>
          <w:color w:val="auto"/>
          <w:sz w:val="24"/>
          <w:szCs w:val="24"/>
          <w:highlight w:val="none"/>
          <w:lang w:eastAsia="zh-CN"/>
        </w:rPr>
      </w:pPr>
      <w:r>
        <w:rPr>
          <w:rFonts w:hint="eastAsia"/>
          <w:color w:val="auto"/>
          <w:sz w:val="24"/>
          <w:szCs w:val="24"/>
          <w:highlight w:val="none"/>
          <w:lang w:eastAsia="zh-CN"/>
        </w:rPr>
        <w:t>7.5 除非另有规定或许可，国内参选人应用人民币报价。</w:t>
      </w:r>
    </w:p>
    <w:p>
      <w:pPr>
        <w:pStyle w:val="15"/>
        <w:spacing w:before="35" w:line="360" w:lineRule="auto"/>
        <w:ind w:right="226" w:firstLine="480"/>
        <w:jc w:val="both"/>
        <w:rPr>
          <w:color w:val="auto"/>
          <w:highlight w:val="none"/>
          <w:lang w:eastAsia="zh-CN"/>
        </w:rPr>
      </w:pPr>
      <w:r>
        <w:rPr>
          <w:rFonts w:hint="eastAsia"/>
          <w:color w:val="auto"/>
          <w:highlight w:val="none"/>
          <w:lang w:eastAsia="zh-CN"/>
        </w:rPr>
        <w:t>7.6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5"/>
        <w:spacing w:before="35" w:line="360" w:lineRule="auto"/>
        <w:ind w:right="226" w:firstLine="480"/>
        <w:jc w:val="both"/>
        <w:rPr>
          <w:color w:val="auto"/>
          <w:highlight w:val="none"/>
          <w:lang w:eastAsia="zh-CN"/>
        </w:rPr>
      </w:pPr>
      <w:r>
        <w:rPr>
          <w:rFonts w:hint="eastAsia"/>
          <w:color w:val="auto"/>
          <w:highlight w:val="none"/>
          <w:lang w:eastAsia="zh-CN"/>
        </w:rPr>
        <w:t>8. 参选人必须提交证明其有资格进行参选和有能力履行合同的资格证明文件，作为参选文件的一部分。</w:t>
      </w:r>
    </w:p>
    <w:p>
      <w:pPr>
        <w:spacing w:line="360" w:lineRule="auto"/>
        <w:ind w:firstLine="440" w:firstLineChars="200"/>
        <w:rPr>
          <w:color w:val="auto"/>
          <w:sz w:val="24"/>
          <w:highlight w:val="none"/>
          <w:lang w:eastAsia="zh-CN"/>
        </w:rPr>
      </w:pPr>
      <w:r>
        <w:rPr>
          <w:rFonts w:hint="eastAsia"/>
          <w:color w:val="auto"/>
          <w:highlight w:val="none"/>
          <w:lang w:eastAsia="zh-CN"/>
        </w:rPr>
        <w:t>9.参选</w:t>
      </w:r>
      <w:r>
        <w:rPr>
          <w:rFonts w:hint="eastAsia"/>
          <w:color w:val="auto"/>
          <w:sz w:val="24"/>
          <w:highlight w:val="none"/>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5"/>
        <w:spacing w:before="35" w:line="360" w:lineRule="auto"/>
        <w:ind w:right="226" w:firstLine="480"/>
        <w:jc w:val="both"/>
        <w:rPr>
          <w:color w:val="auto"/>
          <w:highlight w:val="none"/>
          <w:lang w:eastAsia="zh-CN"/>
        </w:rPr>
      </w:pPr>
      <w:r>
        <w:rPr>
          <w:rFonts w:hint="eastAsia"/>
          <w:color w:val="auto"/>
          <w:highlight w:val="none"/>
          <w:lang w:eastAsia="zh-CN"/>
        </w:rPr>
        <w:t>10. 参选文件正本应按要求由经正式授权的参选人代表签字并加盖参选人公章。副本可以用复印件。</w:t>
      </w:r>
    </w:p>
    <w:p>
      <w:pPr>
        <w:spacing w:line="357" w:lineRule="auto"/>
        <w:jc w:val="both"/>
        <w:rPr>
          <w:color w:val="auto"/>
          <w:highlight w:val="none"/>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color w:val="auto"/>
          <w:w w:val="95"/>
          <w:highlight w:val="none"/>
          <w:lang w:eastAsia="zh-CN"/>
        </w:rPr>
      </w:pPr>
      <w:r>
        <w:rPr>
          <w:color w:val="auto"/>
          <w:highlight w:val="none"/>
          <w:lang w:eastAsia="zh-CN"/>
        </w:rPr>
        <w:t>第四章</w:t>
      </w:r>
      <w:r>
        <w:rPr>
          <w:color w:val="auto"/>
          <w:highlight w:val="none"/>
          <w:lang w:eastAsia="zh-CN"/>
        </w:rPr>
        <w:tab/>
      </w:r>
      <w:r>
        <w:rPr>
          <w:color w:val="auto"/>
          <w:spacing w:val="-1"/>
          <w:w w:val="95"/>
          <w:highlight w:val="none"/>
          <w:lang w:eastAsia="zh-CN"/>
        </w:rPr>
        <w:t>评</w:t>
      </w:r>
      <w:r>
        <w:rPr>
          <w:rFonts w:hint="eastAsia"/>
          <w:color w:val="auto"/>
          <w:spacing w:val="-1"/>
          <w:w w:val="95"/>
          <w:highlight w:val="none"/>
          <w:lang w:eastAsia="zh-CN"/>
        </w:rPr>
        <w:t>选</w:t>
      </w:r>
      <w:r>
        <w:rPr>
          <w:color w:val="auto"/>
          <w:spacing w:val="-1"/>
          <w:w w:val="95"/>
          <w:highlight w:val="none"/>
          <w:lang w:eastAsia="zh-CN"/>
        </w:rPr>
        <w:t>规</w:t>
      </w:r>
      <w:r>
        <w:rPr>
          <w:color w:val="auto"/>
          <w:w w:val="95"/>
          <w:highlight w:val="none"/>
          <w:lang w:eastAsia="zh-CN"/>
        </w:rPr>
        <w:t>则</w:t>
      </w:r>
    </w:p>
    <w:p>
      <w:pPr>
        <w:spacing w:before="15" w:line="360" w:lineRule="auto"/>
        <w:ind w:firstLine="401" w:firstLineChars="150"/>
        <w:rPr>
          <w:b/>
          <w:color w:val="auto"/>
          <w:w w:val="95"/>
          <w:sz w:val="28"/>
          <w:highlight w:val="none"/>
          <w:lang w:eastAsia="zh-CN"/>
        </w:rPr>
      </w:pPr>
      <w:r>
        <w:rPr>
          <w:b/>
          <w:color w:val="auto"/>
          <w:w w:val="95"/>
          <w:sz w:val="28"/>
          <w:highlight w:val="none"/>
          <w:lang w:eastAsia="zh-CN"/>
        </w:rPr>
        <w:t>一、规则</w:t>
      </w:r>
    </w:p>
    <w:p>
      <w:pPr>
        <w:pStyle w:val="15"/>
        <w:spacing w:line="360" w:lineRule="auto"/>
        <w:ind w:right="121" w:firstLine="480" w:firstLineChars="200"/>
        <w:jc w:val="both"/>
        <w:rPr>
          <w:color w:val="auto"/>
          <w:highlight w:val="none"/>
          <w:lang w:eastAsia="zh-CN"/>
        </w:rPr>
      </w:pPr>
      <w:bookmarkStart w:id="13" w:name="_GoBack"/>
      <w:r>
        <w:rPr>
          <w:color w:val="auto"/>
          <w:highlight w:val="none"/>
          <w:lang w:eastAsia="zh-CN"/>
        </w:rPr>
        <w:t>1.比选人将</w:t>
      </w:r>
      <w:r>
        <w:rPr>
          <w:rFonts w:hint="eastAsia"/>
          <w:color w:val="auto"/>
          <w:highlight w:val="none"/>
          <w:lang w:eastAsia="zh-CN"/>
        </w:rPr>
        <w:t>先对参选人的资质进行评选，参选人资质符合比选人要求后，方可进行下</w:t>
      </w:r>
      <w:bookmarkEnd w:id="13"/>
      <w:r>
        <w:rPr>
          <w:rFonts w:hint="eastAsia"/>
          <w:color w:val="auto"/>
          <w:highlight w:val="none"/>
          <w:lang w:eastAsia="zh-CN"/>
        </w:rPr>
        <w:t>一轮商务报价评选。</w:t>
      </w:r>
    </w:p>
    <w:p>
      <w:pPr>
        <w:pStyle w:val="15"/>
        <w:spacing w:line="360" w:lineRule="auto"/>
        <w:ind w:right="121" w:firstLine="480" w:firstLineChars="200"/>
        <w:jc w:val="both"/>
        <w:rPr>
          <w:color w:val="auto"/>
          <w:highlight w:val="none"/>
          <w:lang w:eastAsia="zh-CN"/>
        </w:rPr>
      </w:pPr>
      <w:r>
        <w:rPr>
          <w:color w:val="auto"/>
          <w:highlight w:val="none"/>
          <w:lang w:eastAsia="zh-CN"/>
        </w:rPr>
        <w:t>2.参选人串选、相互勾结故意压低标价以排挤竞争对手的公平竞争的，其参选无效。</w:t>
      </w:r>
    </w:p>
    <w:p>
      <w:pPr>
        <w:pStyle w:val="15"/>
        <w:spacing w:line="360" w:lineRule="auto"/>
        <w:ind w:right="121" w:firstLine="480" w:firstLineChars="200"/>
        <w:jc w:val="both"/>
        <w:rPr>
          <w:color w:val="auto"/>
          <w:highlight w:val="none"/>
          <w:lang w:eastAsia="zh-CN"/>
        </w:rPr>
      </w:pPr>
      <w:r>
        <w:rPr>
          <w:color w:val="auto"/>
          <w:highlight w:val="none"/>
          <w:lang w:eastAsia="zh-CN"/>
        </w:rPr>
        <w:t>3.替补候选人的设定与使用：在合同签订前，比选单位发现参选人的参选报价或</w:t>
      </w:r>
      <w:r>
        <w:rPr>
          <w:rFonts w:hint="eastAsia"/>
          <w:color w:val="auto"/>
          <w:highlight w:val="none"/>
          <w:lang w:eastAsia="zh-CN"/>
        </w:rPr>
        <w:t>服务</w:t>
      </w:r>
      <w:r>
        <w:rPr>
          <w:color w:val="auto"/>
          <w:highlight w:val="none"/>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534" w:firstLineChars="200"/>
        <w:rPr>
          <w:b/>
          <w:color w:val="auto"/>
          <w:w w:val="95"/>
          <w:sz w:val="28"/>
          <w:highlight w:val="none"/>
          <w:lang w:eastAsia="zh-CN"/>
        </w:rPr>
      </w:pPr>
      <w:r>
        <w:rPr>
          <w:b/>
          <w:color w:val="auto"/>
          <w:w w:val="95"/>
          <w:sz w:val="28"/>
          <w:highlight w:val="none"/>
          <w:lang w:eastAsia="zh-CN"/>
        </w:rPr>
        <w:t>二、资格审查</w:t>
      </w:r>
    </w:p>
    <w:p>
      <w:pPr>
        <w:pStyle w:val="15"/>
        <w:spacing w:line="360" w:lineRule="auto"/>
        <w:ind w:right="121" w:firstLine="480" w:firstLineChars="200"/>
        <w:jc w:val="both"/>
        <w:rPr>
          <w:color w:val="auto"/>
          <w:highlight w:val="none"/>
          <w:lang w:eastAsia="zh-CN"/>
        </w:rPr>
      </w:pPr>
      <w:r>
        <w:rPr>
          <w:color w:val="auto"/>
          <w:highlight w:val="none"/>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20" w:lineRule="exact"/>
        <w:jc w:val="center"/>
        <w:rPr>
          <w:b/>
          <w:bCs/>
          <w:color w:val="auto"/>
          <w:sz w:val="32"/>
          <w:szCs w:val="32"/>
          <w:highlight w:val="none"/>
          <w:lang w:eastAsia="zh-CN"/>
        </w:rPr>
      </w:pPr>
    </w:p>
    <w:p>
      <w:pPr>
        <w:spacing w:before="15" w:line="360" w:lineRule="auto"/>
        <w:ind w:firstLine="534" w:firstLineChars="200"/>
        <w:rPr>
          <w:b/>
          <w:color w:val="auto"/>
          <w:w w:val="95"/>
          <w:sz w:val="28"/>
          <w:highlight w:val="none"/>
          <w:lang w:eastAsia="zh-CN"/>
        </w:rPr>
      </w:pPr>
      <w:r>
        <w:rPr>
          <w:rFonts w:hint="eastAsia"/>
          <w:b/>
          <w:color w:val="auto"/>
          <w:w w:val="95"/>
          <w:sz w:val="28"/>
          <w:highlight w:val="none"/>
          <w:lang w:eastAsia="zh-CN"/>
        </w:rPr>
        <w:t>三、评选细则</w:t>
      </w:r>
    </w:p>
    <w:p>
      <w:pPr>
        <w:spacing w:line="460" w:lineRule="exact"/>
        <w:ind w:left="496" w:leftChars="9" w:hanging="476" w:hangingChars="202"/>
        <w:rPr>
          <w:color w:val="auto"/>
          <w:sz w:val="24"/>
          <w:szCs w:val="24"/>
          <w:highlight w:val="none"/>
          <w:lang w:eastAsia="zh-CN"/>
        </w:rPr>
      </w:pPr>
      <w:r>
        <w:rPr>
          <w:rFonts w:hint="eastAsia"/>
          <w:color w:val="auto"/>
          <w:spacing w:val="-2"/>
          <w:sz w:val="24"/>
          <w:szCs w:val="24"/>
          <w:highlight w:val="none"/>
          <w:lang w:eastAsia="zh-CN"/>
        </w:rPr>
        <w:t>3.1 评选委员会将仅对通过初步评审的投标文件，进行详细评审。</w:t>
      </w:r>
    </w:p>
    <w:p>
      <w:pPr>
        <w:spacing w:line="460" w:lineRule="exact"/>
        <w:ind w:left="504" w:leftChars="9" w:hanging="484" w:hangingChars="202"/>
        <w:rPr>
          <w:color w:val="auto"/>
          <w:sz w:val="24"/>
          <w:szCs w:val="24"/>
          <w:highlight w:val="none"/>
          <w:lang w:eastAsia="zh-CN"/>
        </w:rPr>
      </w:pPr>
      <w:r>
        <w:rPr>
          <w:rFonts w:hint="eastAsia"/>
          <w:color w:val="auto"/>
          <w:sz w:val="24"/>
          <w:szCs w:val="24"/>
          <w:highlight w:val="none"/>
          <w:lang w:eastAsia="zh-CN"/>
        </w:rPr>
        <w:t>3.2 评选委员会将根据以下评选办法和标准，对投标文件进行评审和比较：</w:t>
      </w:r>
    </w:p>
    <w:p>
      <w:pPr>
        <w:spacing w:line="460" w:lineRule="exact"/>
        <w:ind w:left="504" w:leftChars="9" w:hanging="484" w:hangingChars="202"/>
        <w:rPr>
          <w:color w:val="auto"/>
          <w:sz w:val="24"/>
          <w:szCs w:val="24"/>
          <w:highlight w:val="none"/>
          <w:lang w:eastAsia="zh-CN"/>
        </w:rPr>
      </w:pPr>
      <w:r>
        <w:rPr>
          <w:rFonts w:hint="eastAsia"/>
          <w:color w:val="auto"/>
          <w:sz w:val="24"/>
          <w:szCs w:val="24"/>
          <w:highlight w:val="none"/>
          <w:lang w:eastAsia="zh-CN"/>
        </w:rPr>
        <w:t>3.2.1评选委员会推荐的中标候选人数为1名。</w:t>
      </w:r>
    </w:p>
    <w:p>
      <w:pPr>
        <w:spacing w:line="460" w:lineRule="exact"/>
        <w:ind w:left="504" w:leftChars="9" w:hanging="484" w:hangingChars="202"/>
        <w:rPr>
          <w:color w:val="auto"/>
          <w:spacing w:val="-2"/>
          <w:sz w:val="24"/>
          <w:szCs w:val="24"/>
          <w:highlight w:val="none"/>
          <w:lang w:eastAsia="zh-CN"/>
        </w:rPr>
      </w:pPr>
      <w:r>
        <w:rPr>
          <w:rFonts w:hint="eastAsia"/>
          <w:color w:val="auto"/>
          <w:sz w:val="24"/>
          <w:szCs w:val="24"/>
          <w:highlight w:val="none"/>
          <w:lang w:eastAsia="zh-CN"/>
        </w:rPr>
        <w:t>3.2.2</w:t>
      </w:r>
      <w:r>
        <w:rPr>
          <w:rFonts w:hint="eastAsia"/>
          <w:color w:val="auto"/>
          <w:spacing w:val="-2"/>
          <w:sz w:val="24"/>
          <w:szCs w:val="24"/>
          <w:highlight w:val="none"/>
          <w:lang w:eastAsia="zh-CN"/>
        </w:rPr>
        <w:t>评选采用</w:t>
      </w:r>
      <w:r>
        <w:rPr>
          <w:rFonts w:hint="eastAsia"/>
          <w:color w:val="auto"/>
          <w:sz w:val="24"/>
          <w:szCs w:val="24"/>
          <w:highlight w:val="none"/>
          <w:lang w:eastAsia="zh-CN"/>
        </w:rPr>
        <w:t>综合评估法</w:t>
      </w:r>
      <w:r>
        <w:rPr>
          <w:rFonts w:hint="eastAsia"/>
          <w:color w:val="auto"/>
          <w:spacing w:val="-2"/>
          <w:sz w:val="24"/>
          <w:szCs w:val="24"/>
          <w:highlight w:val="none"/>
          <w:lang w:eastAsia="zh-CN"/>
        </w:rPr>
        <w:t>，评选委员会对通过初步评审的投标人按照3.3 条规定的评分标准（技术部分、商务部分和报价部分评分）进行评分；最后，评标委员会将按照合格投标人的评标总得分（即技术部分、商务部分和报价部分得分的总和）从高到低的顺序依次推荐1名中标候选人。若存在评标总得分并列的入选投标人，则其中投标价格低的投标人优先，若投标价格又相同，则由评委会采用记名投票的方法表决入选投标人的排列顺序。</w:t>
      </w:r>
    </w:p>
    <w:p>
      <w:pPr>
        <w:spacing w:line="460" w:lineRule="exact"/>
        <w:rPr>
          <w:color w:val="auto"/>
          <w:spacing w:val="-2"/>
          <w:sz w:val="24"/>
          <w:szCs w:val="24"/>
          <w:highlight w:val="none"/>
          <w:lang w:eastAsia="zh-CN"/>
        </w:rPr>
      </w:pPr>
      <w:r>
        <w:rPr>
          <w:rFonts w:hint="eastAsia"/>
          <w:color w:val="auto"/>
          <w:sz w:val="24"/>
          <w:szCs w:val="24"/>
          <w:highlight w:val="none"/>
          <w:lang w:eastAsia="zh-CN"/>
        </w:rPr>
        <w:t>3.2.3</w:t>
      </w:r>
      <w:r>
        <w:rPr>
          <w:rFonts w:hint="eastAsia"/>
          <w:color w:val="auto"/>
          <w:spacing w:val="-2"/>
          <w:sz w:val="24"/>
          <w:szCs w:val="24"/>
          <w:highlight w:val="none"/>
          <w:lang w:eastAsia="zh-CN"/>
        </w:rPr>
        <w:t>各部分评分分值分布如下：</w:t>
      </w:r>
    </w:p>
    <w:p>
      <w:pPr>
        <w:spacing w:line="460" w:lineRule="exact"/>
        <w:ind w:firstLine="590" w:firstLineChars="250"/>
        <w:rPr>
          <w:color w:val="auto"/>
          <w:spacing w:val="-2"/>
          <w:sz w:val="24"/>
          <w:szCs w:val="24"/>
          <w:highlight w:val="none"/>
          <w:lang w:eastAsia="zh-CN"/>
        </w:rPr>
      </w:pPr>
      <w:r>
        <w:rPr>
          <w:rFonts w:hint="eastAsia"/>
          <w:color w:val="auto"/>
          <w:spacing w:val="-2"/>
          <w:sz w:val="24"/>
          <w:szCs w:val="24"/>
          <w:highlight w:val="none"/>
          <w:lang w:eastAsia="zh-CN"/>
        </w:rPr>
        <w:t>PT：技术部分评分           满分</w:t>
      </w:r>
      <w:r>
        <w:rPr>
          <w:rFonts w:hint="eastAsia"/>
          <w:color w:val="auto"/>
          <w:spacing w:val="-2"/>
          <w:sz w:val="24"/>
          <w:szCs w:val="24"/>
          <w:highlight w:val="none"/>
          <w:lang w:val="en-US" w:eastAsia="zh-CN"/>
        </w:rPr>
        <w:t>12</w:t>
      </w:r>
      <w:r>
        <w:rPr>
          <w:rFonts w:hint="eastAsia"/>
          <w:color w:val="auto"/>
          <w:spacing w:val="-2"/>
          <w:sz w:val="24"/>
          <w:szCs w:val="24"/>
          <w:highlight w:val="none"/>
          <w:lang w:eastAsia="zh-CN"/>
        </w:rPr>
        <w:t>分</w:t>
      </w:r>
    </w:p>
    <w:p>
      <w:pPr>
        <w:spacing w:line="460" w:lineRule="exact"/>
        <w:ind w:firstLine="590" w:firstLineChars="250"/>
        <w:rPr>
          <w:color w:val="auto"/>
          <w:spacing w:val="-2"/>
          <w:sz w:val="24"/>
          <w:szCs w:val="24"/>
          <w:highlight w:val="none"/>
          <w:lang w:eastAsia="zh-CN"/>
        </w:rPr>
      </w:pPr>
      <w:r>
        <w:rPr>
          <w:rFonts w:hint="eastAsia"/>
          <w:color w:val="auto"/>
          <w:spacing w:val="-2"/>
          <w:sz w:val="24"/>
          <w:szCs w:val="24"/>
          <w:highlight w:val="none"/>
          <w:lang w:eastAsia="zh-CN"/>
        </w:rPr>
        <w:t>PB：商务部分评分           满分</w:t>
      </w:r>
      <w:r>
        <w:rPr>
          <w:rFonts w:hint="eastAsia"/>
          <w:color w:val="auto"/>
          <w:spacing w:val="-2"/>
          <w:sz w:val="24"/>
          <w:szCs w:val="24"/>
          <w:highlight w:val="none"/>
          <w:lang w:val="en-US" w:eastAsia="zh-CN"/>
        </w:rPr>
        <w:t>8</w:t>
      </w:r>
      <w:r>
        <w:rPr>
          <w:rFonts w:hint="eastAsia"/>
          <w:color w:val="auto"/>
          <w:spacing w:val="-2"/>
          <w:sz w:val="24"/>
          <w:szCs w:val="24"/>
          <w:highlight w:val="none"/>
          <w:lang w:eastAsia="zh-CN"/>
        </w:rPr>
        <w:t>分</w:t>
      </w:r>
    </w:p>
    <w:p>
      <w:pPr>
        <w:spacing w:line="460" w:lineRule="exact"/>
        <w:ind w:firstLine="590" w:firstLineChars="250"/>
        <w:rPr>
          <w:color w:val="auto"/>
          <w:spacing w:val="-2"/>
          <w:sz w:val="24"/>
          <w:szCs w:val="24"/>
          <w:highlight w:val="none"/>
          <w:lang w:eastAsia="zh-CN"/>
        </w:rPr>
      </w:pPr>
      <w:r>
        <w:rPr>
          <w:rFonts w:hint="eastAsia"/>
          <w:color w:val="auto"/>
          <w:spacing w:val="-2"/>
          <w:sz w:val="24"/>
          <w:szCs w:val="24"/>
          <w:highlight w:val="none"/>
          <w:lang w:eastAsia="zh-CN"/>
        </w:rPr>
        <w:t>PF：报价部分评分           满分</w:t>
      </w:r>
      <w:r>
        <w:rPr>
          <w:rFonts w:hint="eastAsia"/>
          <w:color w:val="auto"/>
          <w:spacing w:val="-2"/>
          <w:sz w:val="24"/>
          <w:szCs w:val="24"/>
          <w:highlight w:val="none"/>
          <w:lang w:val="en-US" w:eastAsia="zh-CN"/>
        </w:rPr>
        <w:t>8</w:t>
      </w:r>
      <w:r>
        <w:rPr>
          <w:rFonts w:hint="eastAsia"/>
          <w:color w:val="auto"/>
          <w:spacing w:val="-2"/>
          <w:sz w:val="24"/>
          <w:szCs w:val="24"/>
          <w:highlight w:val="none"/>
          <w:lang w:eastAsia="zh-CN"/>
        </w:rPr>
        <w:t>0分</w:t>
      </w:r>
    </w:p>
    <w:p>
      <w:pPr>
        <w:spacing w:line="460" w:lineRule="exact"/>
        <w:ind w:firstLine="590" w:firstLineChars="250"/>
        <w:rPr>
          <w:color w:val="auto"/>
          <w:spacing w:val="-2"/>
          <w:sz w:val="24"/>
          <w:szCs w:val="24"/>
          <w:highlight w:val="none"/>
          <w:lang w:eastAsia="zh-CN"/>
        </w:rPr>
      </w:pPr>
      <w:r>
        <w:rPr>
          <w:rFonts w:hint="eastAsia"/>
          <w:color w:val="auto"/>
          <w:spacing w:val="-2"/>
          <w:sz w:val="24"/>
          <w:szCs w:val="24"/>
          <w:highlight w:val="none"/>
          <w:lang w:eastAsia="zh-CN"/>
        </w:rPr>
        <w:t>注:①PT和PB部分的最终得分为各个评标委员会评分的算术平均值，并四舍五入取小数点后2位数。②评标委员会评分取小数点后1位数。</w:t>
      </w:r>
    </w:p>
    <w:p>
      <w:pPr>
        <w:spacing w:line="460" w:lineRule="exact"/>
        <w:ind w:firstLine="590" w:firstLineChars="250"/>
        <w:rPr>
          <w:color w:val="auto"/>
          <w:spacing w:val="-2"/>
          <w:sz w:val="24"/>
          <w:szCs w:val="24"/>
          <w:highlight w:val="none"/>
          <w:lang w:eastAsia="zh-CN"/>
        </w:rPr>
      </w:pPr>
      <w:r>
        <w:rPr>
          <w:rFonts w:hint="eastAsia"/>
          <w:color w:val="auto"/>
          <w:spacing w:val="-2"/>
          <w:sz w:val="24"/>
          <w:szCs w:val="24"/>
          <w:highlight w:val="none"/>
          <w:lang w:eastAsia="zh-CN"/>
        </w:rPr>
        <w:t>综合得分：P＝PT＋PB＋PF</w:t>
      </w:r>
    </w:p>
    <w:p>
      <w:pPr>
        <w:spacing w:line="460" w:lineRule="exact"/>
        <w:rPr>
          <w:color w:val="auto"/>
          <w:spacing w:val="-2"/>
          <w:sz w:val="24"/>
          <w:szCs w:val="24"/>
          <w:highlight w:val="none"/>
          <w:lang w:eastAsia="zh-CN"/>
        </w:rPr>
      </w:pPr>
      <w:r>
        <w:rPr>
          <w:rFonts w:hint="eastAsia"/>
          <w:color w:val="auto"/>
          <w:sz w:val="24"/>
          <w:szCs w:val="24"/>
          <w:highlight w:val="none"/>
          <w:lang w:eastAsia="zh-CN"/>
        </w:rPr>
        <w:t>3.3 满分100分，各部分（技术部分、商务部分、报价部分）评分办法和标准如下：</w:t>
      </w:r>
    </w:p>
    <w:p>
      <w:pPr>
        <w:spacing w:line="460" w:lineRule="exact"/>
        <w:ind w:firstLine="590" w:firstLineChars="245"/>
        <w:rPr>
          <w:b/>
          <w:bCs/>
          <w:color w:val="auto"/>
          <w:sz w:val="24"/>
          <w:szCs w:val="24"/>
          <w:highlight w:val="none"/>
          <w:lang w:eastAsia="zh-CN"/>
        </w:rPr>
      </w:pPr>
      <w:r>
        <w:rPr>
          <w:rFonts w:hint="eastAsia"/>
          <w:b/>
          <w:bCs/>
          <w:color w:val="auto"/>
          <w:sz w:val="24"/>
          <w:szCs w:val="24"/>
          <w:highlight w:val="none"/>
          <w:lang w:eastAsia="zh-CN"/>
        </w:rPr>
        <w:t>I、技术部分评分PT            满分</w:t>
      </w:r>
      <w:r>
        <w:rPr>
          <w:rFonts w:hint="eastAsia"/>
          <w:b/>
          <w:bCs/>
          <w:color w:val="auto"/>
          <w:sz w:val="24"/>
          <w:szCs w:val="24"/>
          <w:highlight w:val="none"/>
          <w:lang w:val="en-US" w:eastAsia="zh-CN"/>
        </w:rPr>
        <w:t>12</w:t>
      </w:r>
      <w:r>
        <w:rPr>
          <w:rFonts w:hint="eastAsia"/>
          <w:b/>
          <w:bCs/>
          <w:color w:val="auto"/>
          <w:sz w:val="24"/>
          <w:szCs w:val="24"/>
          <w:highlight w:val="none"/>
          <w:lang w:eastAsia="zh-CN"/>
        </w:rPr>
        <w:t>分</w:t>
      </w:r>
    </w:p>
    <w:p>
      <w:pPr>
        <w:spacing w:line="460" w:lineRule="exact"/>
        <w:ind w:firstLine="482" w:firstLineChars="200"/>
        <w:rPr>
          <w:b/>
          <w:bCs/>
          <w:color w:val="auto"/>
          <w:sz w:val="24"/>
          <w:szCs w:val="24"/>
          <w:highlight w:val="none"/>
          <w:lang w:eastAsia="zh-CN" w:bidi="ar"/>
        </w:rPr>
      </w:pPr>
      <w:r>
        <w:rPr>
          <w:rFonts w:hint="eastAsia"/>
          <w:b/>
          <w:bCs/>
          <w:color w:val="auto"/>
          <w:sz w:val="24"/>
          <w:szCs w:val="24"/>
          <w:highlight w:val="none"/>
          <w:lang w:eastAsia="zh-CN"/>
        </w:rPr>
        <w:t>（1）</w:t>
      </w:r>
      <w:r>
        <w:rPr>
          <w:rFonts w:hint="eastAsia"/>
          <w:b/>
          <w:bCs/>
          <w:color w:val="auto"/>
          <w:sz w:val="24"/>
          <w:szCs w:val="24"/>
          <w:highlight w:val="none"/>
          <w:lang w:eastAsia="zh-CN" w:bidi="ar"/>
        </w:rPr>
        <w:t>苗种培育（4</w:t>
      </w:r>
      <w:r>
        <w:rPr>
          <w:rFonts w:hint="eastAsia"/>
          <w:b/>
          <w:bCs/>
          <w:color w:val="auto"/>
          <w:sz w:val="24"/>
          <w:szCs w:val="24"/>
          <w:highlight w:val="none"/>
          <w:lang w:val="en-US" w:eastAsia="zh-CN" w:bidi="ar"/>
        </w:rPr>
        <w:t>.5</w:t>
      </w:r>
      <w:r>
        <w:rPr>
          <w:rFonts w:hint="eastAsia"/>
          <w:b/>
          <w:bCs/>
          <w:color w:val="auto"/>
          <w:sz w:val="24"/>
          <w:szCs w:val="24"/>
          <w:highlight w:val="none"/>
          <w:lang w:eastAsia="zh-CN" w:bidi="ar"/>
        </w:rPr>
        <w:t>分）</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25"/>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投标人有用于繁育增殖放流苗种的亲本，且亲本来自该物种原产地天然水域、水产种质资源保护区或省级及以上原（良）种场保育的原（良）种证明和“三项记录”台账得1.5分；②投标人提供拟放流水域的原生种亲本来源证明和“三项记录”台账得1分；③投标人提供苗种来源单位的亲本来源及苗种繁育情况证明，且符合相关条件得0.5分；其余不得分。</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bidi="ar-SA"/>
        </w:rPr>
        <w:t>备注：以上涵盖全部(三种)放流品种,每种单独评分后汇总。</w:t>
      </w:r>
      <w:r>
        <w:rPr>
          <w:rFonts w:hint="eastAsia" w:ascii="宋体" w:hAnsi="宋体" w:cs="宋体"/>
          <w:b/>
          <w:bCs/>
          <w:color w:val="auto"/>
          <w:kern w:val="0"/>
          <w:sz w:val="24"/>
          <w:szCs w:val="24"/>
          <w:highlight w:val="none"/>
          <w:lang w:val="en-US" w:eastAsia="zh-CN" w:bidi="ar-SA"/>
        </w:rPr>
        <w:t>)</w:t>
      </w:r>
    </w:p>
    <w:p>
      <w:pPr>
        <w:pStyle w:val="6"/>
        <w:rPr>
          <w:rFonts w:hint="eastAsia"/>
          <w:color w:val="auto"/>
          <w:sz w:val="24"/>
          <w:szCs w:val="24"/>
          <w:highlight w:val="none"/>
          <w:lang w:eastAsia="zh-CN"/>
        </w:rPr>
      </w:pPr>
    </w:p>
    <w:p>
      <w:pPr>
        <w:spacing w:line="460" w:lineRule="exact"/>
        <w:ind w:firstLine="482" w:firstLineChars="200"/>
        <w:rPr>
          <w:b/>
          <w:bCs/>
          <w:color w:val="auto"/>
          <w:sz w:val="24"/>
          <w:szCs w:val="24"/>
          <w:highlight w:val="none"/>
          <w:lang w:eastAsia="zh-CN" w:bidi="ar"/>
        </w:rPr>
      </w:pPr>
      <w:r>
        <w:rPr>
          <w:rFonts w:hint="eastAsia"/>
          <w:b/>
          <w:bCs/>
          <w:color w:val="auto"/>
          <w:sz w:val="24"/>
          <w:szCs w:val="24"/>
          <w:highlight w:val="none"/>
          <w:lang w:eastAsia="zh-CN" w:bidi="ar"/>
        </w:rPr>
        <w:t>（</w:t>
      </w:r>
      <w:r>
        <w:rPr>
          <w:rFonts w:hint="eastAsia"/>
          <w:b/>
          <w:bCs/>
          <w:color w:val="auto"/>
          <w:sz w:val="24"/>
          <w:szCs w:val="24"/>
          <w:highlight w:val="none"/>
          <w:lang w:val="en-US" w:eastAsia="zh-CN" w:bidi="ar"/>
        </w:rPr>
        <w:t>2</w:t>
      </w:r>
      <w:r>
        <w:rPr>
          <w:rFonts w:hint="eastAsia"/>
          <w:b/>
          <w:bCs/>
          <w:color w:val="auto"/>
          <w:sz w:val="24"/>
          <w:szCs w:val="24"/>
          <w:highlight w:val="none"/>
          <w:lang w:eastAsia="zh-CN" w:bidi="ar"/>
        </w:rPr>
        <w:t>）技术方案（1</w:t>
      </w:r>
      <w:r>
        <w:rPr>
          <w:rFonts w:hint="eastAsia"/>
          <w:b/>
          <w:bCs/>
          <w:color w:val="auto"/>
          <w:sz w:val="24"/>
          <w:szCs w:val="24"/>
          <w:highlight w:val="none"/>
          <w:lang w:val="en-US" w:eastAsia="zh-CN" w:bidi="ar"/>
        </w:rPr>
        <w:t>.5</w:t>
      </w:r>
      <w:r>
        <w:rPr>
          <w:rFonts w:hint="eastAsia"/>
          <w:b/>
          <w:bCs/>
          <w:color w:val="auto"/>
          <w:sz w:val="24"/>
          <w:szCs w:val="24"/>
          <w:highlight w:val="none"/>
          <w:lang w:eastAsia="zh-CN" w:bidi="ar"/>
        </w:rPr>
        <w:t>分）</w:t>
      </w:r>
    </w:p>
    <w:p>
      <w:pPr>
        <w:spacing w:line="460" w:lineRule="exact"/>
        <w:ind w:firstLine="480" w:firstLineChars="200"/>
        <w:rPr>
          <w:color w:val="auto"/>
          <w:sz w:val="24"/>
          <w:szCs w:val="24"/>
          <w:highlight w:val="none"/>
          <w:lang w:eastAsia="zh-CN" w:bidi="ar"/>
        </w:rPr>
      </w:pPr>
      <w:r>
        <w:rPr>
          <w:rFonts w:hint="eastAsia"/>
          <w:color w:val="auto"/>
          <w:sz w:val="24"/>
          <w:szCs w:val="24"/>
          <w:highlight w:val="none"/>
          <w:lang w:eastAsia="zh-CN" w:bidi="ar"/>
        </w:rPr>
        <w:t>投标人需根据具体放流品种提供相应的运输配送方案、放流现场组织方案，突发应急情况方案（包括自然灾害、疫病补救措施及防范措施），由评标委员会进行横向评分，</w:t>
      </w:r>
      <w:r>
        <w:rPr>
          <w:rFonts w:hint="eastAsia"/>
          <w:strike w:val="0"/>
          <w:dstrike w:val="0"/>
          <w:outline w:val="0"/>
          <w:shadow w:val="0"/>
          <w:emboss w:val="0"/>
          <w:imprint w:val="0"/>
          <w:vanish w:val="0"/>
          <w:color w:val="auto"/>
          <w:w w:val="100"/>
          <w:sz w:val="24"/>
          <w:szCs w:val="24"/>
          <w:highlight w:val="none"/>
          <w:u w:val="none"/>
          <w:lang w:eastAsia="zh-CN" w:bidi="ar"/>
        </w:rPr>
        <w:t>最优的得</w:t>
      </w:r>
      <w:r>
        <w:rPr>
          <w:rFonts w:hint="eastAsia"/>
          <w:strike w:val="0"/>
          <w:dstrike w:val="0"/>
          <w:outline w:val="0"/>
          <w:shadow w:val="0"/>
          <w:emboss w:val="0"/>
          <w:imprint w:val="0"/>
          <w:vanish w:val="0"/>
          <w:color w:val="auto"/>
          <w:w w:val="100"/>
          <w:sz w:val="24"/>
          <w:szCs w:val="24"/>
          <w:highlight w:val="none"/>
          <w:u w:val="none"/>
          <w:lang w:val="en-US" w:eastAsia="zh-CN" w:bidi="ar"/>
        </w:rPr>
        <w:t>1.5</w:t>
      </w:r>
      <w:r>
        <w:rPr>
          <w:rFonts w:hint="eastAsia"/>
          <w:strike w:val="0"/>
          <w:dstrike w:val="0"/>
          <w:outline w:val="0"/>
          <w:shadow w:val="0"/>
          <w:emboss w:val="0"/>
          <w:imprint w:val="0"/>
          <w:vanish w:val="0"/>
          <w:color w:val="auto"/>
          <w:w w:val="100"/>
          <w:sz w:val="24"/>
          <w:szCs w:val="24"/>
          <w:highlight w:val="none"/>
          <w:u w:val="none"/>
          <w:lang w:eastAsia="zh-CN" w:bidi="ar"/>
        </w:rPr>
        <w:t>分；较好的得</w:t>
      </w:r>
      <w:r>
        <w:rPr>
          <w:rFonts w:hint="eastAsia"/>
          <w:strike w:val="0"/>
          <w:dstrike w:val="0"/>
          <w:outline w:val="0"/>
          <w:shadow w:val="0"/>
          <w:emboss w:val="0"/>
          <w:imprint w:val="0"/>
          <w:vanish w:val="0"/>
          <w:color w:val="auto"/>
          <w:w w:val="100"/>
          <w:sz w:val="24"/>
          <w:szCs w:val="24"/>
          <w:highlight w:val="none"/>
          <w:u w:val="none"/>
          <w:lang w:val="en-US" w:eastAsia="zh-CN" w:bidi="ar"/>
        </w:rPr>
        <w:t>1</w:t>
      </w:r>
      <w:r>
        <w:rPr>
          <w:rFonts w:hint="eastAsia"/>
          <w:strike w:val="0"/>
          <w:dstrike w:val="0"/>
          <w:outline w:val="0"/>
          <w:shadow w:val="0"/>
          <w:emboss w:val="0"/>
          <w:imprint w:val="0"/>
          <w:vanish w:val="0"/>
          <w:color w:val="auto"/>
          <w:w w:val="100"/>
          <w:sz w:val="24"/>
          <w:szCs w:val="24"/>
          <w:highlight w:val="none"/>
          <w:u w:val="none"/>
          <w:lang w:eastAsia="zh-CN" w:bidi="ar"/>
        </w:rPr>
        <w:t>分；一般的</w:t>
      </w:r>
      <w:r>
        <w:rPr>
          <w:rFonts w:hint="eastAsia"/>
          <w:color w:val="auto"/>
          <w:sz w:val="24"/>
          <w:szCs w:val="24"/>
          <w:highlight w:val="none"/>
          <w:lang w:eastAsia="zh-CN" w:bidi="ar"/>
        </w:rPr>
        <w:t>得</w:t>
      </w:r>
      <w:r>
        <w:rPr>
          <w:rFonts w:hint="eastAsia"/>
          <w:color w:val="auto"/>
          <w:sz w:val="24"/>
          <w:szCs w:val="24"/>
          <w:highlight w:val="none"/>
          <w:lang w:val="en-US" w:eastAsia="zh-CN" w:bidi="ar"/>
        </w:rPr>
        <w:t>0.5</w:t>
      </w:r>
      <w:r>
        <w:rPr>
          <w:rFonts w:hint="eastAsia"/>
          <w:color w:val="auto"/>
          <w:sz w:val="24"/>
          <w:szCs w:val="24"/>
          <w:highlight w:val="none"/>
          <w:lang w:eastAsia="zh-CN" w:bidi="ar"/>
        </w:rPr>
        <w:t>分，未提供相关说明不得分。</w:t>
      </w:r>
    </w:p>
    <w:p>
      <w:pPr>
        <w:spacing w:line="460" w:lineRule="exact"/>
        <w:ind w:firstLine="482" w:firstLineChars="200"/>
        <w:rPr>
          <w:b/>
          <w:bCs/>
          <w:color w:val="auto"/>
          <w:sz w:val="24"/>
          <w:szCs w:val="24"/>
          <w:highlight w:val="none"/>
          <w:lang w:eastAsia="zh-CN" w:bidi="ar"/>
        </w:rPr>
      </w:pPr>
      <w:r>
        <w:rPr>
          <w:rFonts w:hint="eastAsia"/>
          <w:b/>
          <w:bCs/>
          <w:color w:val="auto"/>
          <w:sz w:val="24"/>
          <w:szCs w:val="24"/>
          <w:highlight w:val="none"/>
          <w:lang w:eastAsia="zh-CN"/>
        </w:rPr>
        <w:t>（</w:t>
      </w:r>
      <w:r>
        <w:rPr>
          <w:rFonts w:hint="eastAsia"/>
          <w:b/>
          <w:bCs/>
          <w:color w:val="auto"/>
          <w:sz w:val="24"/>
          <w:szCs w:val="24"/>
          <w:highlight w:val="none"/>
          <w:lang w:val="en-US" w:eastAsia="zh-CN"/>
        </w:rPr>
        <w:t>3</w:t>
      </w:r>
      <w:r>
        <w:rPr>
          <w:rFonts w:hint="eastAsia"/>
          <w:b/>
          <w:bCs/>
          <w:color w:val="auto"/>
          <w:sz w:val="24"/>
          <w:szCs w:val="24"/>
          <w:highlight w:val="none"/>
          <w:lang w:eastAsia="zh-CN"/>
        </w:rPr>
        <w:t>）</w:t>
      </w:r>
      <w:r>
        <w:rPr>
          <w:rFonts w:hint="eastAsia"/>
          <w:b/>
          <w:bCs/>
          <w:color w:val="auto"/>
          <w:sz w:val="24"/>
          <w:szCs w:val="24"/>
          <w:highlight w:val="none"/>
          <w:lang w:eastAsia="zh-CN" w:bidi="ar"/>
        </w:rPr>
        <w:t>检验检测能力（3分）</w:t>
      </w:r>
    </w:p>
    <w:p>
      <w:pPr>
        <w:spacing w:line="460" w:lineRule="exact"/>
        <w:ind w:firstLine="480" w:firstLineChars="200"/>
        <w:rPr>
          <w:color w:val="auto"/>
          <w:sz w:val="24"/>
          <w:szCs w:val="24"/>
          <w:highlight w:val="none"/>
          <w:lang w:eastAsia="zh-CN" w:bidi="ar"/>
        </w:rPr>
      </w:pPr>
      <w:r>
        <w:rPr>
          <w:rFonts w:hint="eastAsia"/>
          <w:color w:val="auto"/>
          <w:sz w:val="24"/>
          <w:szCs w:val="24"/>
          <w:highlight w:val="none"/>
          <w:lang w:eastAsia="zh-CN" w:bidi="ar"/>
        </w:rPr>
        <w:t>投标人具有水质、苗种检测检验基本能力，并提供相关资质或能力的证明材料、定期检测台账或记录。具有部级或省级及以上实验室（或疾病监测点）的得3分；市级实验室（或疾病监测点）得2分；其余得1分。（提供相关文本复印件加盖投标人公章，原件备查）</w:t>
      </w:r>
    </w:p>
    <w:p>
      <w:pPr>
        <w:spacing w:line="460" w:lineRule="exact"/>
        <w:ind w:firstLine="482" w:firstLineChars="200"/>
        <w:rPr>
          <w:b/>
          <w:color w:val="auto"/>
          <w:sz w:val="24"/>
          <w:szCs w:val="24"/>
          <w:highlight w:val="none"/>
          <w:lang w:eastAsia="zh-CN"/>
        </w:rPr>
      </w:pPr>
      <w:r>
        <w:rPr>
          <w:rFonts w:hint="eastAsia"/>
          <w:b/>
          <w:color w:val="auto"/>
          <w:sz w:val="24"/>
          <w:szCs w:val="24"/>
          <w:highlight w:val="none"/>
          <w:lang w:eastAsia="zh-CN"/>
        </w:rPr>
        <w:t>（</w:t>
      </w:r>
      <w:r>
        <w:rPr>
          <w:rFonts w:hint="eastAsia"/>
          <w:b/>
          <w:color w:val="auto"/>
          <w:sz w:val="24"/>
          <w:szCs w:val="24"/>
          <w:highlight w:val="none"/>
          <w:lang w:val="en-US" w:eastAsia="zh-CN"/>
        </w:rPr>
        <w:t>4</w:t>
      </w:r>
      <w:r>
        <w:rPr>
          <w:rFonts w:hint="eastAsia"/>
          <w:b/>
          <w:color w:val="auto"/>
          <w:sz w:val="24"/>
          <w:szCs w:val="24"/>
          <w:highlight w:val="none"/>
          <w:lang w:eastAsia="zh-CN"/>
        </w:rPr>
        <w:t>）尾水治理</w:t>
      </w:r>
      <w:r>
        <w:rPr>
          <w:rFonts w:hint="eastAsia"/>
          <w:b/>
          <w:bCs/>
          <w:color w:val="auto"/>
          <w:sz w:val="24"/>
          <w:szCs w:val="24"/>
          <w:highlight w:val="none"/>
          <w:lang w:eastAsia="zh-CN"/>
        </w:rPr>
        <w:t>（3分）</w:t>
      </w:r>
    </w:p>
    <w:p>
      <w:pPr>
        <w:spacing w:line="460" w:lineRule="exact"/>
        <w:ind w:firstLine="480" w:firstLineChars="200"/>
        <w:rPr>
          <w:b/>
          <w:color w:val="auto"/>
          <w:sz w:val="24"/>
          <w:szCs w:val="24"/>
          <w:highlight w:val="none"/>
          <w:lang w:eastAsia="zh-CN"/>
        </w:rPr>
      </w:pPr>
      <w:r>
        <w:rPr>
          <w:rFonts w:hint="eastAsia"/>
          <w:color w:val="auto"/>
          <w:sz w:val="24"/>
          <w:highlight w:val="none"/>
          <w:lang w:eastAsia="zh-CN"/>
        </w:rPr>
        <w:t>根据育苗企业尾水治理方案由评委会评议，内容清晰具体、治理方案科学完善、治理效果达标，得3分；内容较清晰具体、治理方案较科学完善、治理效果达标，得2分；内容不够清晰具体、治理方案不够科学完善、治理效果达标，得1分。需提供尾水处理措施照片及主管行政部门出具的近期尾水处理检验合格的佐证材料，否则不得分。</w:t>
      </w:r>
    </w:p>
    <w:p>
      <w:pPr>
        <w:spacing w:line="460" w:lineRule="exact"/>
        <w:ind w:firstLine="482" w:firstLineChars="200"/>
        <w:rPr>
          <w:color w:val="auto"/>
          <w:sz w:val="24"/>
          <w:szCs w:val="24"/>
          <w:highlight w:val="none"/>
          <w:lang w:eastAsia="zh-CN"/>
        </w:rPr>
      </w:pPr>
      <w:r>
        <w:rPr>
          <w:rFonts w:hint="eastAsia"/>
          <w:b/>
          <w:color w:val="auto"/>
          <w:sz w:val="24"/>
          <w:szCs w:val="24"/>
          <w:highlight w:val="none"/>
          <w:lang w:eastAsia="zh-CN"/>
        </w:rPr>
        <w:t>II、商务部分评分PB    满分</w:t>
      </w:r>
      <w:r>
        <w:rPr>
          <w:rFonts w:hint="eastAsia"/>
          <w:b/>
          <w:color w:val="auto"/>
          <w:sz w:val="24"/>
          <w:szCs w:val="24"/>
          <w:highlight w:val="none"/>
          <w:lang w:val="en-US" w:eastAsia="zh-CN"/>
        </w:rPr>
        <w:t>8</w:t>
      </w:r>
      <w:r>
        <w:rPr>
          <w:rFonts w:hint="eastAsia"/>
          <w:b/>
          <w:color w:val="auto"/>
          <w:sz w:val="24"/>
          <w:szCs w:val="24"/>
          <w:highlight w:val="none"/>
          <w:lang w:eastAsia="zh-CN"/>
        </w:rPr>
        <w:t>分</w:t>
      </w:r>
    </w:p>
    <w:p>
      <w:pPr>
        <w:spacing w:line="460" w:lineRule="exact"/>
        <w:ind w:left="400" w:leftChars="182"/>
        <w:rPr>
          <w:b/>
          <w:bCs/>
          <w:color w:val="auto"/>
          <w:sz w:val="24"/>
          <w:szCs w:val="24"/>
          <w:highlight w:val="none"/>
          <w:lang w:val="zh-CN" w:eastAsia="zh-CN"/>
        </w:rPr>
      </w:pPr>
      <w:r>
        <w:rPr>
          <w:rFonts w:hint="eastAsia"/>
          <w:b/>
          <w:bCs/>
          <w:color w:val="auto"/>
          <w:sz w:val="24"/>
          <w:szCs w:val="24"/>
          <w:highlight w:val="none"/>
          <w:lang w:val="zh-CN" w:eastAsia="zh-CN"/>
        </w:rPr>
        <w:t>（</w:t>
      </w:r>
      <w:r>
        <w:rPr>
          <w:rFonts w:hint="eastAsia"/>
          <w:b/>
          <w:bCs/>
          <w:color w:val="auto"/>
          <w:sz w:val="24"/>
          <w:szCs w:val="24"/>
          <w:highlight w:val="none"/>
          <w:lang w:eastAsia="zh-CN"/>
        </w:rPr>
        <w:t>1</w:t>
      </w:r>
      <w:r>
        <w:rPr>
          <w:rFonts w:hint="eastAsia"/>
          <w:b/>
          <w:bCs/>
          <w:color w:val="auto"/>
          <w:sz w:val="24"/>
          <w:szCs w:val="24"/>
          <w:highlight w:val="none"/>
          <w:lang w:val="zh-CN" w:eastAsia="zh-CN"/>
        </w:rPr>
        <w:t>）投标人</w:t>
      </w:r>
      <w:r>
        <w:rPr>
          <w:rFonts w:hint="eastAsia"/>
          <w:b/>
          <w:bCs/>
          <w:color w:val="auto"/>
          <w:sz w:val="24"/>
          <w:szCs w:val="24"/>
          <w:highlight w:val="none"/>
          <w:lang w:eastAsia="zh-CN"/>
        </w:rPr>
        <w:t>综合实力</w:t>
      </w:r>
      <w:r>
        <w:rPr>
          <w:rFonts w:hint="eastAsia"/>
          <w:b/>
          <w:bCs/>
          <w:color w:val="auto"/>
          <w:sz w:val="24"/>
          <w:szCs w:val="24"/>
          <w:highlight w:val="none"/>
          <w:lang w:val="zh-CN" w:eastAsia="zh-CN"/>
        </w:rPr>
        <w:t>（满分</w:t>
      </w:r>
      <w:r>
        <w:rPr>
          <w:rFonts w:hint="eastAsia"/>
          <w:b/>
          <w:bCs/>
          <w:color w:val="auto"/>
          <w:sz w:val="24"/>
          <w:szCs w:val="24"/>
          <w:highlight w:val="none"/>
          <w:lang w:eastAsia="zh-CN"/>
        </w:rPr>
        <w:t>3</w:t>
      </w:r>
      <w:r>
        <w:rPr>
          <w:rFonts w:hint="eastAsia"/>
          <w:b/>
          <w:bCs/>
          <w:color w:val="auto"/>
          <w:sz w:val="24"/>
          <w:szCs w:val="24"/>
          <w:highlight w:val="none"/>
          <w:lang w:val="zh-CN" w:eastAsia="zh-CN"/>
        </w:rPr>
        <w:t>分）</w:t>
      </w:r>
    </w:p>
    <w:p>
      <w:pPr>
        <w:widowControl/>
        <w:snapToGrid w:val="0"/>
        <w:spacing w:line="460" w:lineRule="exact"/>
        <w:ind w:firstLine="480" w:firstLineChars="200"/>
        <w:rPr>
          <w:color w:val="auto"/>
          <w:sz w:val="24"/>
          <w:highlight w:val="none"/>
          <w:lang w:eastAsia="zh-CN"/>
        </w:rPr>
      </w:pPr>
      <w:r>
        <w:rPr>
          <w:rFonts w:hint="eastAsia"/>
          <w:color w:val="auto"/>
          <w:sz w:val="24"/>
          <w:szCs w:val="24"/>
          <w:highlight w:val="none"/>
          <w:lang w:eastAsia="zh-CN"/>
        </w:rPr>
        <w:t>①</w:t>
      </w:r>
      <w:r>
        <w:rPr>
          <w:rFonts w:hint="eastAsia"/>
          <w:color w:val="auto"/>
          <w:sz w:val="24"/>
          <w:highlight w:val="none"/>
          <w:lang w:eastAsia="zh-CN"/>
        </w:rPr>
        <w:t>投标人获得国家级水产绿色健康养殖技术推广“五大行动”骨干基地，得3分；</w:t>
      </w:r>
    </w:p>
    <w:p>
      <w:pPr>
        <w:widowControl/>
        <w:snapToGrid w:val="0"/>
        <w:spacing w:line="460" w:lineRule="exact"/>
        <w:ind w:firstLine="480" w:firstLineChars="200"/>
        <w:rPr>
          <w:color w:val="auto"/>
          <w:sz w:val="24"/>
          <w:highlight w:val="none"/>
          <w:lang w:eastAsia="zh-CN"/>
        </w:rPr>
      </w:pPr>
      <w:r>
        <w:rPr>
          <w:rFonts w:hint="eastAsia"/>
          <w:color w:val="auto"/>
          <w:sz w:val="24"/>
          <w:szCs w:val="24"/>
          <w:highlight w:val="none"/>
          <w:lang w:eastAsia="zh-CN"/>
        </w:rPr>
        <w:t>②</w:t>
      </w:r>
      <w:r>
        <w:rPr>
          <w:rFonts w:hint="eastAsia"/>
          <w:color w:val="auto"/>
          <w:sz w:val="24"/>
          <w:highlight w:val="none"/>
          <w:lang w:eastAsia="zh-CN"/>
        </w:rPr>
        <w:t>投标人获得</w:t>
      </w:r>
      <w:r>
        <w:rPr>
          <w:rFonts w:hint="eastAsia" w:ascii="Times New Roman"/>
          <w:color w:val="auto"/>
          <w:sz w:val="24"/>
          <w:szCs w:val="20"/>
          <w:highlight w:val="none"/>
          <w:lang w:eastAsia="zh-CN"/>
        </w:rPr>
        <w:t>省级水产绿色健康养殖技术推广“五大行动”骨干基地</w:t>
      </w:r>
      <w:r>
        <w:rPr>
          <w:rFonts w:hint="eastAsia"/>
          <w:color w:val="auto"/>
          <w:sz w:val="24"/>
          <w:highlight w:val="none"/>
          <w:lang w:eastAsia="zh-CN"/>
        </w:rPr>
        <w:t>，得2分；</w:t>
      </w:r>
    </w:p>
    <w:p>
      <w:pPr>
        <w:widowControl/>
        <w:snapToGrid w:val="0"/>
        <w:spacing w:line="460" w:lineRule="exact"/>
        <w:ind w:firstLine="480" w:firstLineChars="200"/>
        <w:rPr>
          <w:color w:val="auto"/>
          <w:sz w:val="24"/>
          <w:highlight w:val="none"/>
          <w:lang w:eastAsia="zh-CN"/>
        </w:rPr>
      </w:pPr>
      <w:r>
        <w:rPr>
          <w:rFonts w:hint="eastAsia"/>
          <w:color w:val="auto"/>
          <w:sz w:val="24"/>
          <w:szCs w:val="24"/>
          <w:highlight w:val="none"/>
        </w:rPr>
        <w:fldChar w:fldCharType="begin"/>
      </w:r>
      <w:r>
        <w:rPr>
          <w:rFonts w:hint="eastAsia"/>
          <w:color w:val="auto"/>
          <w:sz w:val="24"/>
          <w:szCs w:val="24"/>
          <w:highlight w:val="none"/>
          <w:lang w:eastAsia="zh-CN"/>
        </w:rPr>
        <w:instrText xml:space="preserve"> = 3 \* GB3 \* MERGEFORMAT </w:instrText>
      </w:r>
      <w:r>
        <w:rPr>
          <w:rFonts w:hint="eastAsia"/>
          <w:color w:val="auto"/>
          <w:sz w:val="24"/>
          <w:szCs w:val="24"/>
          <w:highlight w:val="none"/>
        </w:rPr>
        <w:fldChar w:fldCharType="separate"/>
      </w:r>
      <w:r>
        <w:rPr>
          <w:rFonts w:hint="eastAsia"/>
          <w:color w:val="auto"/>
          <w:sz w:val="24"/>
          <w:szCs w:val="24"/>
          <w:highlight w:val="none"/>
          <w:lang w:eastAsia="zh-CN"/>
        </w:rPr>
        <w:t>③</w:t>
      </w:r>
      <w:r>
        <w:rPr>
          <w:rFonts w:hint="eastAsia"/>
          <w:color w:val="auto"/>
          <w:sz w:val="24"/>
          <w:szCs w:val="24"/>
          <w:highlight w:val="none"/>
        </w:rPr>
        <w:fldChar w:fldCharType="end"/>
      </w:r>
      <w:r>
        <w:rPr>
          <w:rFonts w:hint="eastAsia"/>
          <w:color w:val="auto"/>
          <w:sz w:val="24"/>
          <w:highlight w:val="none"/>
          <w:lang w:eastAsia="zh-CN"/>
        </w:rPr>
        <w:t>投标人获得</w:t>
      </w:r>
      <w:r>
        <w:rPr>
          <w:rFonts w:hint="eastAsia" w:ascii="Times New Roman"/>
          <w:color w:val="auto"/>
          <w:sz w:val="24"/>
          <w:szCs w:val="20"/>
          <w:highlight w:val="none"/>
          <w:lang w:eastAsia="zh-CN"/>
        </w:rPr>
        <w:t>市级水产绿色健康养殖技术推广“五大行动”骨干基地</w:t>
      </w:r>
      <w:r>
        <w:rPr>
          <w:rFonts w:hint="eastAsia"/>
          <w:color w:val="auto"/>
          <w:sz w:val="24"/>
          <w:highlight w:val="none"/>
          <w:lang w:eastAsia="zh-CN"/>
        </w:rPr>
        <w:t>，得1分；</w:t>
      </w:r>
    </w:p>
    <w:p>
      <w:pPr>
        <w:widowControl/>
        <w:snapToGrid w:val="0"/>
        <w:spacing w:line="460" w:lineRule="exact"/>
        <w:ind w:firstLine="480" w:firstLineChars="200"/>
        <w:rPr>
          <w:color w:val="auto"/>
          <w:sz w:val="24"/>
          <w:highlight w:val="none"/>
          <w:lang w:eastAsia="zh-CN"/>
        </w:rPr>
      </w:pPr>
      <w:r>
        <w:rPr>
          <w:rFonts w:hint="eastAsia"/>
          <w:color w:val="auto"/>
          <w:sz w:val="24"/>
          <w:szCs w:val="24"/>
          <w:highlight w:val="none"/>
        </w:rPr>
        <w:fldChar w:fldCharType="begin"/>
      </w:r>
      <w:r>
        <w:rPr>
          <w:rFonts w:hint="eastAsia"/>
          <w:color w:val="auto"/>
          <w:sz w:val="24"/>
          <w:szCs w:val="24"/>
          <w:highlight w:val="none"/>
          <w:lang w:eastAsia="zh-CN"/>
        </w:rPr>
        <w:instrText xml:space="preserve"> = 4 \* GB3 \* MERGEFORMAT </w:instrText>
      </w:r>
      <w:r>
        <w:rPr>
          <w:rFonts w:hint="eastAsia"/>
          <w:color w:val="auto"/>
          <w:sz w:val="24"/>
          <w:szCs w:val="24"/>
          <w:highlight w:val="none"/>
        </w:rPr>
        <w:fldChar w:fldCharType="separate"/>
      </w:r>
      <w:r>
        <w:rPr>
          <w:rFonts w:hint="eastAsia"/>
          <w:color w:val="auto"/>
          <w:sz w:val="24"/>
          <w:szCs w:val="24"/>
          <w:highlight w:val="none"/>
          <w:lang w:eastAsia="zh-CN"/>
        </w:rPr>
        <w:t>④</w:t>
      </w:r>
      <w:r>
        <w:rPr>
          <w:rFonts w:hint="eastAsia"/>
          <w:color w:val="auto"/>
          <w:sz w:val="24"/>
          <w:szCs w:val="24"/>
          <w:highlight w:val="none"/>
        </w:rPr>
        <w:fldChar w:fldCharType="end"/>
      </w:r>
      <w:r>
        <w:rPr>
          <w:rFonts w:hint="eastAsia"/>
          <w:color w:val="auto"/>
          <w:sz w:val="24"/>
          <w:highlight w:val="none"/>
          <w:lang w:eastAsia="zh-CN"/>
        </w:rPr>
        <w:t>没有不得分；</w:t>
      </w:r>
    </w:p>
    <w:p>
      <w:pPr>
        <w:snapToGrid w:val="0"/>
        <w:spacing w:line="460" w:lineRule="exact"/>
        <w:ind w:firstLine="480" w:firstLineChars="200"/>
        <w:rPr>
          <w:color w:val="auto"/>
          <w:sz w:val="24"/>
          <w:szCs w:val="24"/>
          <w:highlight w:val="none"/>
          <w:lang w:eastAsia="zh-CN" w:bidi="ar"/>
        </w:rPr>
      </w:pPr>
      <w:r>
        <w:rPr>
          <w:rFonts w:hint="eastAsia"/>
          <w:color w:val="auto"/>
          <w:sz w:val="24"/>
          <w:highlight w:val="none"/>
          <w:lang w:eastAsia="zh-CN"/>
        </w:rPr>
        <w:t>须提供相关证明材料复印件加盖投标人公章，原件备查。未提供或不完全不得分。</w:t>
      </w:r>
    </w:p>
    <w:p>
      <w:pPr>
        <w:pStyle w:val="23"/>
        <w:spacing w:line="460" w:lineRule="exact"/>
        <w:ind w:firstLine="482" w:firstLineChars="200"/>
        <w:rPr>
          <w:rFonts w:hAnsi="宋体" w:cs="宋体"/>
          <w:b/>
          <w:bCs/>
          <w:color w:val="auto"/>
          <w:sz w:val="24"/>
          <w:szCs w:val="24"/>
          <w:highlight w:val="none"/>
          <w:lang w:eastAsia="zh-CN"/>
        </w:rPr>
      </w:pPr>
      <w:r>
        <w:rPr>
          <w:rFonts w:hint="eastAsia" w:hAnsi="宋体" w:cs="宋体"/>
          <w:b/>
          <w:bCs/>
          <w:color w:val="auto"/>
          <w:sz w:val="24"/>
          <w:szCs w:val="24"/>
          <w:highlight w:val="none"/>
          <w:lang w:eastAsia="zh-CN"/>
        </w:rPr>
        <w:t>（2）地域/距离</w:t>
      </w:r>
      <w:r>
        <w:rPr>
          <w:rFonts w:hint="eastAsia" w:hAnsi="宋体" w:cs="宋体"/>
          <w:b/>
          <w:bCs/>
          <w:color w:val="auto"/>
          <w:sz w:val="24"/>
          <w:szCs w:val="24"/>
          <w:highlight w:val="none"/>
          <w:lang w:val="zh-CN" w:eastAsia="zh-CN"/>
        </w:rPr>
        <w:t>（满分</w:t>
      </w:r>
      <w:r>
        <w:rPr>
          <w:rFonts w:hint="eastAsia" w:hAnsi="宋体" w:cs="宋体"/>
          <w:b/>
          <w:bCs/>
          <w:color w:val="auto"/>
          <w:sz w:val="24"/>
          <w:szCs w:val="24"/>
          <w:highlight w:val="none"/>
          <w:lang w:val="en-US" w:eastAsia="zh-CN"/>
        </w:rPr>
        <w:t>2</w:t>
      </w:r>
      <w:r>
        <w:rPr>
          <w:rFonts w:hint="eastAsia" w:hAnsi="宋体" w:cs="宋体"/>
          <w:b/>
          <w:bCs/>
          <w:color w:val="auto"/>
          <w:sz w:val="24"/>
          <w:szCs w:val="24"/>
          <w:highlight w:val="none"/>
          <w:lang w:val="zh-CN" w:eastAsia="zh-CN"/>
        </w:rPr>
        <w:t>分）</w:t>
      </w:r>
    </w:p>
    <w:p>
      <w:pPr>
        <w:pStyle w:val="23"/>
        <w:spacing w:line="460" w:lineRule="exact"/>
        <w:ind w:firstLine="480" w:firstLineChars="200"/>
        <w:rPr>
          <w:rFonts w:hAnsi="宋体" w:cs="宋体"/>
          <w:b/>
          <w:bCs/>
          <w:color w:val="auto"/>
          <w:sz w:val="24"/>
          <w:szCs w:val="24"/>
          <w:highlight w:val="none"/>
          <w:lang w:eastAsia="zh-CN"/>
        </w:rPr>
      </w:pPr>
      <w:r>
        <w:rPr>
          <w:rFonts w:hint="eastAsia" w:hAnsi="宋体" w:cs="宋体"/>
          <w:color w:val="auto"/>
          <w:sz w:val="24"/>
          <w:highlight w:val="none"/>
          <w:lang w:eastAsia="zh-CN"/>
        </w:rPr>
        <w:t>为避免放流鱼苗大水域转移、缩短放流鱼苗起苗后的运输时间，确保苗种放流成活率，根据投标人育苗场地到达指定放流水域的距离评分，漳州市辖区内得</w:t>
      </w:r>
      <w:r>
        <w:rPr>
          <w:rFonts w:hint="eastAsia" w:hAnsi="宋体" w:cs="宋体"/>
          <w:color w:val="auto"/>
          <w:sz w:val="24"/>
          <w:highlight w:val="none"/>
          <w:lang w:val="en-US" w:eastAsia="zh-CN"/>
        </w:rPr>
        <w:t>2</w:t>
      </w:r>
      <w:r>
        <w:rPr>
          <w:rFonts w:hint="eastAsia" w:hAnsi="宋体" w:cs="宋体"/>
          <w:color w:val="auto"/>
          <w:sz w:val="24"/>
          <w:highlight w:val="none"/>
          <w:lang w:eastAsia="zh-CN"/>
        </w:rPr>
        <w:t>分、福建省内得</w:t>
      </w:r>
      <w:r>
        <w:rPr>
          <w:rFonts w:hint="eastAsia" w:hAnsi="宋体" w:cs="宋体"/>
          <w:color w:val="auto"/>
          <w:sz w:val="24"/>
          <w:highlight w:val="none"/>
          <w:lang w:val="en-US" w:eastAsia="zh-CN"/>
        </w:rPr>
        <w:t>1</w:t>
      </w:r>
      <w:r>
        <w:rPr>
          <w:rFonts w:hint="eastAsia" w:hAnsi="宋体" w:cs="宋体"/>
          <w:color w:val="auto"/>
          <w:sz w:val="24"/>
          <w:highlight w:val="none"/>
          <w:lang w:eastAsia="zh-CN"/>
        </w:rPr>
        <w:t>分、跨省得</w:t>
      </w:r>
      <w:r>
        <w:rPr>
          <w:rFonts w:hint="eastAsia" w:hAnsi="宋体" w:cs="宋体"/>
          <w:color w:val="auto"/>
          <w:sz w:val="24"/>
          <w:highlight w:val="none"/>
          <w:lang w:val="en-US" w:eastAsia="zh-CN"/>
        </w:rPr>
        <w:t>0</w:t>
      </w:r>
      <w:r>
        <w:rPr>
          <w:rFonts w:hint="eastAsia" w:hAnsi="宋体" w:cs="宋体"/>
          <w:color w:val="auto"/>
          <w:sz w:val="24"/>
          <w:highlight w:val="none"/>
          <w:lang w:eastAsia="zh-CN"/>
        </w:rPr>
        <w:t>分。</w:t>
      </w:r>
      <w:r>
        <w:rPr>
          <w:rFonts w:hint="eastAsia" w:hAnsi="宋体" w:cs="宋体"/>
          <w:b/>
          <w:bCs/>
          <w:color w:val="auto"/>
          <w:sz w:val="24"/>
          <w:szCs w:val="24"/>
          <w:highlight w:val="none"/>
          <w:lang w:eastAsia="zh-CN"/>
        </w:rPr>
        <w:t xml:space="preserve">    </w:t>
      </w:r>
    </w:p>
    <w:p>
      <w:pPr>
        <w:spacing w:line="460" w:lineRule="exact"/>
        <w:ind w:left="630" w:leftChars="232" w:hanging="120" w:hangingChars="50"/>
        <w:jc w:val="both"/>
        <w:rPr>
          <w:b/>
          <w:bCs/>
          <w:color w:val="auto"/>
          <w:sz w:val="24"/>
          <w:szCs w:val="24"/>
          <w:highlight w:val="none"/>
          <w:lang w:val="zh-CN" w:eastAsia="zh-CN"/>
        </w:rPr>
      </w:pPr>
      <w:r>
        <w:rPr>
          <w:rFonts w:hint="eastAsia"/>
          <w:b/>
          <w:bCs/>
          <w:color w:val="auto"/>
          <w:sz w:val="24"/>
          <w:szCs w:val="24"/>
          <w:highlight w:val="none"/>
          <w:lang w:val="zh-CN" w:eastAsia="zh-CN" w:bidi="ar"/>
        </w:rPr>
        <w:t>（</w:t>
      </w:r>
      <w:r>
        <w:rPr>
          <w:rFonts w:hint="eastAsia"/>
          <w:b/>
          <w:bCs/>
          <w:color w:val="auto"/>
          <w:sz w:val="24"/>
          <w:szCs w:val="24"/>
          <w:highlight w:val="none"/>
          <w:lang w:eastAsia="zh-CN" w:bidi="ar"/>
        </w:rPr>
        <w:t>3</w:t>
      </w:r>
      <w:r>
        <w:rPr>
          <w:rFonts w:hint="eastAsia"/>
          <w:b/>
          <w:bCs/>
          <w:color w:val="auto"/>
          <w:sz w:val="24"/>
          <w:szCs w:val="24"/>
          <w:highlight w:val="none"/>
          <w:lang w:val="zh-CN" w:eastAsia="zh-CN" w:bidi="ar"/>
        </w:rPr>
        <w:t>）</w:t>
      </w:r>
      <w:r>
        <w:rPr>
          <w:rFonts w:hint="eastAsia"/>
          <w:b/>
          <w:bCs/>
          <w:color w:val="auto"/>
          <w:sz w:val="24"/>
          <w:szCs w:val="24"/>
          <w:highlight w:val="none"/>
          <w:lang w:eastAsia="zh-CN"/>
        </w:rPr>
        <w:t>参选</w:t>
      </w:r>
      <w:r>
        <w:rPr>
          <w:rFonts w:hint="eastAsia"/>
          <w:b/>
          <w:bCs/>
          <w:color w:val="auto"/>
          <w:sz w:val="24"/>
          <w:szCs w:val="24"/>
          <w:highlight w:val="none"/>
          <w:lang w:val="zh-CN" w:eastAsia="zh-CN"/>
        </w:rPr>
        <w:t>人类似项目业绩（满分</w:t>
      </w:r>
      <w:r>
        <w:rPr>
          <w:rFonts w:hint="eastAsia"/>
          <w:b/>
          <w:bCs/>
          <w:color w:val="auto"/>
          <w:sz w:val="24"/>
          <w:szCs w:val="24"/>
          <w:highlight w:val="none"/>
          <w:lang w:eastAsia="zh-CN"/>
        </w:rPr>
        <w:t>3</w:t>
      </w:r>
      <w:r>
        <w:rPr>
          <w:rFonts w:hint="eastAsia"/>
          <w:b/>
          <w:bCs/>
          <w:color w:val="auto"/>
          <w:sz w:val="24"/>
          <w:szCs w:val="24"/>
          <w:highlight w:val="none"/>
          <w:lang w:val="zh-CN" w:eastAsia="zh-CN"/>
        </w:rPr>
        <w:t>分）</w:t>
      </w:r>
    </w:p>
    <w:p>
      <w:pPr>
        <w:pStyle w:val="23"/>
        <w:spacing w:line="460" w:lineRule="exact"/>
        <w:ind w:left="0" w:leftChars="0" w:firstLine="218" w:firstLineChars="91"/>
        <w:jc w:val="both"/>
        <w:rPr>
          <w:rFonts w:hAnsi="宋体" w:cs="宋体"/>
          <w:b/>
          <w:bCs/>
          <w:color w:val="auto"/>
          <w:sz w:val="24"/>
          <w:szCs w:val="24"/>
          <w:highlight w:val="none"/>
          <w:lang w:eastAsia="zh-CN"/>
        </w:rPr>
      </w:pPr>
      <w:r>
        <w:rPr>
          <w:rFonts w:hint="eastAsia" w:hAnsi="宋体" w:cs="宋体"/>
          <w:color w:val="auto"/>
          <w:sz w:val="24"/>
          <w:szCs w:val="24"/>
          <w:highlight w:val="none"/>
          <w:lang w:eastAsia="zh-CN" w:bidi="ar"/>
        </w:rPr>
        <w:t>根据各参选人</w:t>
      </w:r>
      <w:r>
        <w:rPr>
          <w:rFonts w:hint="eastAsia" w:hAnsi="宋体" w:cs="宋体"/>
          <w:color w:val="auto"/>
          <w:sz w:val="24"/>
          <w:szCs w:val="24"/>
          <w:highlight w:val="none"/>
          <w:lang w:eastAsia="zh-CN"/>
        </w:rPr>
        <w:t>自本项目在法定媒介发布招标公告之日的前三年内（含在法定媒介发布招标公告之日）</w:t>
      </w:r>
      <w:r>
        <w:rPr>
          <w:rFonts w:hint="eastAsia" w:hAnsi="宋体" w:cs="宋体"/>
          <w:color w:val="auto"/>
          <w:sz w:val="24"/>
          <w:szCs w:val="24"/>
          <w:highlight w:val="none"/>
          <w:lang w:eastAsia="zh-CN" w:bidi="ar"/>
        </w:rPr>
        <w:t>由参选人完成的增殖放流类似项目情况进行评分（日期以签订合同时间为准）：单项合同金额＞</w:t>
      </w:r>
      <w:r>
        <w:rPr>
          <w:rFonts w:hAnsi="宋体" w:cs="宋体"/>
          <w:color w:val="auto"/>
          <w:sz w:val="24"/>
          <w:szCs w:val="24"/>
          <w:highlight w:val="none"/>
          <w:lang w:eastAsia="zh-CN" w:bidi="ar"/>
        </w:rPr>
        <w:t>100</w:t>
      </w:r>
      <w:r>
        <w:rPr>
          <w:rFonts w:hint="eastAsia" w:hAnsi="宋体" w:cs="宋体"/>
          <w:color w:val="auto"/>
          <w:sz w:val="24"/>
          <w:szCs w:val="24"/>
          <w:highlight w:val="none"/>
          <w:lang w:eastAsia="zh-CN" w:bidi="ar"/>
        </w:rPr>
        <w:t>万元，每提供一项增殖放流合同及验收合格报告单得1分，满分3分。</w:t>
      </w:r>
      <w:r>
        <w:rPr>
          <w:rFonts w:hint="eastAsia" w:hAnsi="宋体" w:cs="宋体"/>
          <w:color w:val="auto"/>
          <w:sz w:val="24"/>
          <w:szCs w:val="24"/>
          <w:highlight w:val="none"/>
          <w:u w:val="single"/>
          <w:lang w:eastAsia="zh-CN" w:bidi="ar"/>
        </w:rPr>
        <w:t>(由区县(含)以上级渔业行政主管部门组织验收)</w:t>
      </w:r>
      <w:r>
        <w:rPr>
          <w:rFonts w:hint="eastAsia" w:hAnsi="宋体" w:cs="宋体"/>
          <w:b/>
          <w:bCs/>
          <w:color w:val="auto"/>
          <w:sz w:val="24"/>
          <w:szCs w:val="24"/>
          <w:highlight w:val="none"/>
          <w:lang w:eastAsia="zh-CN" w:bidi="ar"/>
        </w:rPr>
        <w:t>（备注：须提供采购合同文本复印件，否则，业绩不给予计分。）</w:t>
      </w:r>
    </w:p>
    <w:p>
      <w:pPr>
        <w:pStyle w:val="8"/>
        <w:pageBreakBefore w:val="0"/>
        <w:widowControl w:val="0"/>
        <w:tabs>
          <w:tab w:val="left" w:pos="425"/>
        </w:tabs>
        <w:kinsoku/>
        <w:wordWrap/>
        <w:overflowPunct/>
        <w:topLinePunct w:val="0"/>
        <w:autoSpaceDE w:val="0"/>
        <w:autoSpaceDN w:val="0"/>
        <w:bidi w:val="0"/>
        <w:adjustRightInd/>
        <w:snapToGrid/>
        <w:spacing w:line="360" w:lineRule="auto"/>
        <w:textAlignment w:val="auto"/>
        <w:rPr>
          <w:rFonts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III、</w:t>
      </w:r>
      <w:r>
        <w:rPr>
          <w:rFonts w:hint="eastAsia" w:ascii="宋体" w:hAnsi="宋体" w:eastAsia="宋体" w:cs="宋体"/>
          <w:b w:val="0"/>
          <w:bCs w:val="0"/>
          <w:color w:val="auto"/>
          <w:sz w:val="24"/>
          <w:szCs w:val="24"/>
          <w:highlight w:val="none"/>
          <w:lang w:eastAsia="zh-CN"/>
        </w:rPr>
        <w:t>报价部分评分</w:t>
      </w:r>
      <w:r>
        <w:rPr>
          <w:rFonts w:hint="eastAsia" w:ascii="宋体" w:hAnsi="宋体" w:eastAsia="宋体" w:cs="宋体"/>
          <w:color w:val="auto"/>
          <w:sz w:val="24"/>
          <w:szCs w:val="24"/>
          <w:highlight w:val="none"/>
          <w:lang w:eastAsia="zh-CN"/>
        </w:rPr>
        <w:t>（投标报价为投标放流数量)</w:t>
      </w:r>
      <w:r>
        <w:rPr>
          <w:rFonts w:hint="eastAsia" w:ascii="宋体" w:hAnsi="宋体" w:eastAsia="宋体" w:cs="宋体"/>
          <w:b w:val="0"/>
          <w:bCs w:val="0"/>
          <w:color w:val="auto"/>
          <w:sz w:val="24"/>
          <w:szCs w:val="24"/>
          <w:highlight w:val="none"/>
          <w:lang w:eastAsia="zh-CN"/>
        </w:rPr>
        <w:t xml:space="preserve">    （满分</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0分）</w:t>
      </w:r>
    </w:p>
    <w:p>
      <w:pPr>
        <w:pageBreakBefore w:val="0"/>
        <w:widowControl w:val="0"/>
        <w:kinsoku/>
        <w:wordWrap/>
        <w:overflowPunct/>
        <w:topLinePunct w:val="0"/>
        <w:autoSpaceDE w:val="0"/>
        <w:autoSpaceDN w:val="0"/>
        <w:bidi w:val="0"/>
        <w:adjustRightInd/>
        <w:snapToGrid/>
        <w:spacing w:line="360" w:lineRule="auto"/>
        <w:ind w:firstLine="436" w:firstLineChars="200"/>
        <w:textAlignment w:val="auto"/>
        <w:rPr>
          <w:color w:val="auto"/>
          <w:spacing w:val="-11"/>
          <w:sz w:val="24"/>
          <w:szCs w:val="24"/>
          <w:highlight w:val="none"/>
          <w:lang w:eastAsia="zh-CN"/>
        </w:rPr>
      </w:pPr>
      <w:r>
        <w:rPr>
          <w:rFonts w:hint="eastAsia"/>
          <w:color w:val="auto"/>
          <w:spacing w:val="-11"/>
          <w:sz w:val="24"/>
          <w:szCs w:val="24"/>
          <w:highlight w:val="none"/>
          <w:lang w:eastAsia="zh-CN"/>
        </w:rPr>
        <w:t>评选委员会将对各合格的参选人的投标总价先进行算术性错误修正，如有算术性错误需现场电话确认修正。经修正后的报价部分按照以下公式计算得分，计算分数时均四舍五入取小数点后2位数。</w:t>
      </w:r>
    </w:p>
    <w:p>
      <w:pPr>
        <w:spacing w:line="460" w:lineRule="exact"/>
        <w:ind w:firstLine="480" w:firstLineChars="200"/>
        <w:rPr>
          <w:color w:val="auto"/>
          <w:spacing w:val="-2"/>
          <w:sz w:val="24"/>
          <w:szCs w:val="24"/>
          <w:highlight w:val="none"/>
          <w:lang w:eastAsia="zh-CN"/>
        </w:rPr>
      </w:pPr>
      <w:r>
        <w:rPr>
          <w:rFonts w:hint="eastAsia"/>
          <w:color w:val="auto"/>
          <w:sz w:val="24"/>
          <w:szCs w:val="24"/>
          <w:highlight w:val="none"/>
          <w:lang w:eastAsia="zh-CN"/>
        </w:rPr>
        <w:t>合格参选人的投标总价经上述修正后，计算出报价评标价，评委将按下列方法计算合格投标人的投标部分得分，计算分数时</w:t>
      </w:r>
      <w:r>
        <w:rPr>
          <w:rFonts w:hint="eastAsia"/>
          <w:color w:val="auto"/>
          <w:spacing w:val="-2"/>
          <w:sz w:val="24"/>
          <w:szCs w:val="24"/>
          <w:highlight w:val="none"/>
          <w:lang w:eastAsia="zh-CN"/>
        </w:rPr>
        <w:t>四舍五入取小数点后2位数：</w:t>
      </w:r>
    </w:p>
    <w:p>
      <w:pPr>
        <w:tabs>
          <w:tab w:val="left" w:pos="825"/>
        </w:tabs>
        <w:adjustRightInd w:val="0"/>
        <w:snapToGrid w:val="0"/>
        <w:spacing w:line="460" w:lineRule="exact"/>
        <w:ind w:firstLine="676" w:firstLineChars="282"/>
        <w:rPr>
          <w:rFonts w:hint="eastAsia"/>
          <w:color w:val="auto"/>
          <w:sz w:val="24"/>
          <w:szCs w:val="24"/>
          <w:highlight w:val="none"/>
          <w:lang w:eastAsia="zh-CN"/>
        </w:rPr>
      </w:pPr>
      <w:r>
        <w:rPr>
          <w:rFonts w:hint="eastAsia"/>
          <w:color w:val="auto"/>
          <w:sz w:val="24"/>
          <w:szCs w:val="24"/>
          <w:highlight w:val="none"/>
          <w:lang w:eastAsia="zh-CN"/>
        </w:rPr>
        <w:t>报价部分得分</w:t>
      </w:r>
      <w:r>
        <w:rPr>
          <w:rFonts w:hint="eastAsia"/>
          <w:b/>
          <w:bCs/>
          <w:color w:val="auto"/>
          <w:sz w:val="24"/>
          <w:szCs w:val="24"/>
          <w:highlight w:val="none"/>
          <w:lang w:eastAsia="zh-CN"/>
        </w:rPr>
        <w:t>PF=</w:t>
      </w:r>
      <w:r>
        <w:rPr>
          <w:rFonts w:hint="eastAsia"/>
          <w:color w:val="auto"/>
          <w:sz w:val="24"/>
          <w:szCs w:val="24"/>
          <w:highlight w:val="none"/>
          <w:lang w:eastAsia="zh-CN"/>
        </w:rPr>
        <w:t>PF1+PF2+PF3</w:t>
      </w:r>
    </w:p>
    <w:p>
      <w:pPr>
        <w:numPr>
          <w:ilvl w:val="0"/>
          <w:numId w:val="5"/>
        </w:numPr>
        <w:tabs>
          <w:tab w:val="left" w:pos="825"/>
        </w:tabs>
        <w:adjustRightInd w:val="0"/>
        <w:snapToGrid w:val="0"/>
        <w:spacing w:line="460" w:lineRule="exact"/>
        <w:ind w:left="917" w:leftChars="0" w:firstLine="0" w:firstLineChars="0"/>
        <w:rPr>
          <w:rFonts w:hint="eastAsia"/>
          <w:b/>
          <w:bCs/>
          <w:color w:val="auto"/>
          <w:sz w:val="24"/>
          <w:szCs w:val="24"/>
          <w:highlight w:val="none"/>
          <w:lang w:eastAsia="zh-CN"/>
        </w:rPr>
      </w:pPr>
      <w:r>
        <w:rPr>
          <w:rFonts w:hint="eastAsia"/>
          <w:b/>
          <w:bCs/>
          <w:color w:val="auto"/>
          <w:sz w:val="24"/>
          <w:szCs w:val="24"/>
          <w:highlight w:val="none"/>
          <w:lang w:eastAsia="zh-CN"/>
        </w:rPr>
        <w:t>品目号1-1报价评分PF1（满分</w:t>
      </w:r>
      <w:r>
        <w:rPr>
          <w:rFonts w:hint="eastAsia"/>
          <w:b/>
          <w:bCs/>
          <w:color w:val="auto"/>
          <w:sz w:val="24"/>
          <w:szCs w:val="24"/>
          <w:highlight w:val="none"/>
          <w:lang w:val="en-US" w:eastAsia="zh-CN"/>
        </w:rPr>
        <w:t>31</w:t>
      </w:r>
      <w:r>
        <w:rPr>
          <w:rFonts w:hint="eastAsia"/>
          <w:b/>
          <w:bCs/>
          <w:color w:val="auto"/>
          <w:sz w:val="24"/>
          <w:szCs w:val="24"/>
          <w:highlight w:val="none"/>
          <w:lang w:eastAsia="zh-CN"/>
        </w:rPr>
        <w:t>分）</w:t>
      </w:r>
    </w:p>
    <w:p>
      <w:pPr>
        <w:pStyle w:val="10"/>
        <w:keepNext w:val="0"/>
        <w:keepLines w:val="0"/>
        <w:pageBreakBefore w:val="0"/>
        <w:widowControl w:val="0"/>
        <w:tabs>
          <w:tab w:val="center" w:pos="540"/>
          <w:tab w:val="center" w:pos="1080"/>
        </w:tabs>
        <w:kinsoku/>
        <w:wordWrap/>
        <w:overflowPunct/>
        <w:topLinePunct w:val="0"/>
        <w:autoSpaceDE/>
        <w:autoSpaceDN/>
        <w:bidi w:val="0"/>
        <w:adjustRightInd w:val="0"/>
        <w:snapToGrid w:val="0"/>
        <w:spacing w:line="460" w:lineRule="exact"/>
        <w:ind w:left="0" w:leftChars="0" w:right="0" w:rightChars="0" w:firstLine="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F1</w:t>
      </w:r>
      <w:r>
        <w:rPr>
          <w:rFonts w:hint="eastAsia" w:ascii="宋体" w:hAnsi="宋体" w:eastAsia="宋体" w:cs="宋体"/>
          <w:color w:val="auto"/>
          <w:sz w:val="24"/>
          <w:szCs w:val="24"/>
          <w:highlight w:val="none"/>
        </w:rPr>
        <w:t>n</w:t>
      </w:r>
    </w:p>
    <w:p>
      <w:pPr>
        <w:pStyle w:val="10"/>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480" w:firstLineChars="200"/>
        <w:jc w:val="both"/>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       PF1＝ —————×</w:t>
      </w:r>
      <w:r>
        <w:rPr>
          <w:rFonts w:hint="eastAsia" w:ascii="宋体" w:hAnsi="宋体" w:cs="宋体"/>
          <w:color w:val="auto"/>
          <w:sz w:val="24"/>
          <w:szCs w:val="24"/>
          <w:highlight w:val="none"/>
          <w:lang w:val="en-US" w:eastAsia="zh-CN"/>
        </w:rPr>
        <w:t>31</w:t>
      </w:r>
    </w:p>
    <w:p>
      <w:pPr>
        <w:pStyle w:val="10"/>
        <w:keepNext w:val="0"/>
        <w:keepLines w:val="0"/>
        <w:pageBreakBefore w:val="0"/>
        <w:widowControl w:val="0"/>
        <w:tabs>
          <w:tab w:val="center" w:pos="540"/>
          <w:tab w:val="center" w:pos="1080"/>
        </w:tabs>
        <w:kinsoku/>
        <w:wordWrap/>
        <w:overflowPunct/>
        <w:topLinePunct w:val="0"/>
        <w:autoSpaceDE/>
        <w:autoSpaceDN/>
        <w:bidi w:val="0"/>
        <w:adjustRightInd w:val="0"/>
        <w:snapToGrid w:val="0"/>
        <w:spacing w:line="460" w:lineRule="exact"/>
        <w:ind w:left="0" w:leftChars="0" w:right="0" w:rightChars="0" w:firstLine="2460" w:firstLineChars="1025"/>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F1</w:t>
      </w:r>
      <w:r>
        <w:rPr>
          <w:rFonts w:hint="eastAsia" w:ascii="宋体" w:hAnsi="宋体" w:eastAsia="宋体" w:cs="宋体"/>
          <w:color w:val="auto"/>
          <w:sz w:val="24"/>
          <w:szCs w:val="24"/>
          <w:highlight w:val="none"/>
          <w:vertAlign w:val="subscript"/>
          <w:lang w:val="en-US" w:eastAsia="zh-CN"/>
        </w:rPr>
        <w:t>高</w:t>
      </w:r>
    </w:p>
    <w:p>
      <w:pPr>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式中：①</w:t>
      </w:r>
      <w:r>
        <w:rPr>
          <w:rFonts w:hint="eastAsia" w:ascii="宋体" w:hAnsi="宋体" w:cs="宋体"/>
          <w:color w:val="auto"/>
          <w:sz w:val="24"/>
          <w:szCs w:val="24"/>
          <w:highlight w:val="none"/>
          <w:lang w:val="en-US" w:eastAsia="zh-CN"/>
        </w:rPr>
        <w:t>F1</w:t>
      </w:r>
      <w:r>
        <w:rPr>
          <w:rFonts w:hint="eastAsia" w:ascii="宋体" w:hAnsi="宋体" w:eastAsia="宋体" w:cs="宋体"/>
          <w:color w:val="auto"/>
          <w:sz w:val="24"/>
          <w:szCs w:val="24"/>
          <w:highlight w:val="none"/>
        </w:rPr>
        <w:t>n --- 进入报价部分评分的各合格投标人的</w:t>
      </w:r>
      <w:r>
        <w:rPr>
          <w:rFonts w:hint="eastAsia" w:ascii="宋体" w:hAnsi="宋体" w:eastAsia="宋体" w:cs="宋体"/>
          <w:color w:val="auto"/>
          <w:sz w:val="24"/>
          <w:szCs w:val="24"/>
          <w:highlight w:val="none"/>
          <w:lang w:val="en-US" w:eastAsia="zh-CN"/>
        </w:rPr>
        <w:t>P</w:t>
      </w:r>
      <w:r>
        <w:rPr>
          <w:rFonts w:hint="eastAsia" w:ascii="宋体" w:hAnsi="宋体" w:eastAsia="宋体" w:cs="宋体"/>
          <w:color w:val="auto"/>
          <w:sz w:val="24"/>
          <w:szCs w:val="24"/>
          <w:highlight w:val="none"/>
        </w:rPr>
        <w:t>1评标价；</w:t>
      </w:r>
    </w:p>
    <w:p>
      <w:pPr>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1200" w:firstLineChars="5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cs="宋体"/>
          <w:color w:val="auto"/>
          <w:sz w:val="24"/>
          <w:szCs w:val="24"/>
          <w:highlight w:val="none"/>
          <w:lang w:val="en-US" w:eastAsia="zh-CN"/>
        </w:rPr>
        <w:t>F1</w:t>
      </w:r>
      <w:r>
        <w:rPr>
          <w:rFonts w:hint="eastAsia" w:ascii="宋体" w:hAnsi="宋体" w:eastAsia="宋体" w:cs="宋体"/>
          <w:color w:val="auto"/>
          <w:sz w:val="24"/>
          <w:szCs w:val="24"/>
          <w:highlight w:val="none"/>
          <w:vertAlign w:val="subscript"/>
          <w:lang w:val="en-US" w:eastAsia="zh-CN"/>
        </w:rPr>
        <w:t>高</w:t>
      </w:r>
      <w:r>
        <w:rPr>
          <w:rFonts w:hint="eastAsia" w:ascii="宋体" w:hAnsi="宋体" w:eastAsia="宋体" w:cs="宋体"/>
          <w:color w:val="auto"/>
          <w:sz w:val="24"/>
          <w:szCs w:val="24"/>
          <w:highlight w:val="none"/>
        </w:rPr>
        <w:t>---进入报价部分评分的各合格投标人的</w:t>
      </w:r>
      <w:r>
        <w:rPr>
          <w:rFonts w:hint="eastAsia" w:ascii="宋体" w:hAnsi="宋体" w:eastAsia="宋体" w:cs="宋体"/>
          <w:color w:val="auto"/>
          <w:sz w:val="24"/>
          <w:szCs w:val="24"/>
          <w:highlight w:val="none"/>
          <w:lang w:val="en-US" w:eastAsia="zh-CN"/>
        </w:rPr>
        <w:t>P</w:t>
      </w:r>
      <w:r>
        <w:rPr>
          <w:rFonts w:hint="eastAsia" w:ascii="宋体" w:hAnsi="宋体" w:eastAsia="宋体" w:cs="宋体"/>
          <w:color w:val="auto"/>
          <w:sz w:val="24"/>
          <w:szCs w:val="24"/>
          <w:highlight w:val="none"/>
        </w:rPr>
        <w:t>1评标价最高值</w:t>
      </w:r>
      <w:r>
        <w:rPr>
          <w:rFonts w:hint="eastAsia" w:ascii="宋体" w:hAnsi="宋体" w:eastAsia="宋体" w:cs="宋体"/>
          <w:color w:val="auto"/>
          <w:sz w:val="24"/>
          <w:szCs w:val="24"/>
          <w:highlight w:val="none"/>
          <w:lang w:eastAsia="zh-CN"/>
        </w:rPr>
        <w:t>；</w:t>
      </w:r>
    </w:p>
    <w:p>
      <w:pPr>
        <w:keepNext w:val="0"/>
        <w:keepLines w:val="0"/>
        <w:pageBreakBefore w:val="0"/>
        <w:widowControl w:val="0"/>
        <w:tabs>
          <w:tab w:val="left" w:pos="825"/>
        </w:tabs>
        <w:kinsoku/>
        <w:wordWrap/>
        <w:overflowPunct/>
        <w:topLinePunct w:val="0"/>
        <w:autoSpaceDE/>
        <w:autoSpaceDN/>
        <w:bidi w:val="0"/>
        <w:snapToGrid w:val="0"/>
        <w:spacing w:line="460" w:lineRule="exact"/>
        <w:ind w:left="0" w:leftChars="0" w:right="0" w:rightChars="0" w:firstLine="439" w:firstLineChars="182"/>
        <w:jc w:val="both"/>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 3 \* GB3 \* MERGEFORMAT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b w:val="0"/>
          <w:bCs w:val="0"/>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P</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开标一览表中品目号1-1对应的放流数量。</w:t>
      </w:r>
    </w:p>
    <w:p>
      <w:pPr>
        <w:keepNext w:val="0"/>
        <w:keepLines w:val="0"/>
        <w:pageBreakBefore w:val="0"/>
        <w:widowControl w:val="0"/>
        <w:tabs>
          <w:tab w:val="left" w:pos="825"/>
        </w:tabs>
        <w:kinsoku/>
        <w:wordWrap/>
        <w:overflowPunct/>
        <w:topLinePunct w:val="0"/>
        <w:autoSpaceDE/>
        <w:autoSpaceDN/>
        <w:bidi w:val="0"/>
        <w:snapToGrid w:val="0"/>
        <w:spacing w:line="460" w:lineRule="exact"/>
        <w:ind w:left="0" w:leftChars="0" w:right="0" w:rightChars="0" w:firstLine="439" w:firstLineChars="182"/>
        <w:jc w:val="both"/>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品目号1-2报价评分</w:t>
      </w:r>
      <w:r>
        <w:rPr>
          <w:rFonts w:hint="eastAsia" w:ascii="宋体" w:hAnsi="宋体" w:eastAsia="宋体" w:cs="宋体"/>
          <w:b/>
          <w:bCs/>
          <w:color w:val="auto"/>
          <w:sz w:val="24"/>
          <w:szCs w:val="24"/>
          <w:highlight w:val="none"/>
        </w:rPr>
        <w:t>PF2（满分</w:t>
      </w:r>
      <w:r>
        <w:rPr>
          <w:rFonts w:hint="eastAsia"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分）：</w:t>
      </w:r>
    </w:p>
    <w:p>
      <w:pPr>
        <w:pStyle w:val="10"/>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F2</w:t>
      </w:r>
      <w:r>
        <w:rPr>
          <w:rFonts w:hint="eastAsia" w:ascii="宋体" w:hAnsi="宋体" w:eastAsia="宋体" w:cs="宋体"/>
          <w:color w:val="auto"/>
          <w:sz w:val="24"/>
          <w:szCs w:val="24"/>
          <w:highlight w:val="none"/>
        </w:rPr>
        <w:t>n</w:t>
      </w:r>
    </w:p>
    <w:p>
      <w:pPr>
        <w:pStyle w:val="10"/>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480" w:firstLineChars="200"/>
        <w:jc w:val="both"/>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       PF</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31</w:t>
      </w:r>
    </w:p>
    <w:p>
      <w:pPr>
        <w:pStyle w:val="10"/>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2580" w:firstLineChars="1075"/>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F2</w:t>
      </w:r>
      <w:r>
        <w:rPr>
          <w:rFonts w:hint="eastAsia" w:ascii="宋体" w:hAnsi="宋体" w:eastAsia="宋体" w:cs="宋体"/>
          <w:color w:val="auto"/>
          <w:sz w:val="24"/>
          <w:szCs w:val="24"/>
          <w:highlight w:val="none"/>
          <w:vertAlign w:val="subscript"/>
          <w:lang w:val="en-US" w:eastAsia="zh-CN"/>
        </w:rPr>
        <w:t>高</w:t>
      </w:r>
    </w:p>
    <w:p>
      <w:pPr>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式中：①</w:t>
      </w: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2n --- 进入报价部分评分的各合格投标人的</w:t>
      </w:r>
      <w:r>
        <w:rPr>
          <w:rFonts w:hint="eastAsia" w:ascii="宋体" w:hAnsi="宋体" w:eastAsia="宋体" w:cs="宋体"/>
          <w:color w:val="auto"/>
          <w:sz w:val="24"/>
          <w:szCs w:val="24"/>
          <w:highlight w:val="none"/>
          <w:lang w:val="en-US" w:eastAsia="zh-CN"/>
        </w:rPr>
        <w:t>P</w:t>
      </w:r>
      <w:r>
        <w:rPr>
          <w:rFonts w:hint="eastAsia" w:ascii="宋体" w:hAnsi="宋体" w:eastAsia="宋体" w:cs="宋体"/>
          <w:color w:val="auto"/>
          <w:sz w:val="24"/>
          <w:szCs w:val="24"/>
          <w:highlight w:val="none"/>
        </w:rPr>
        <w:t>2评标价；</w:t>
      </w:r>
    </w:p>
    <w:p>
      <w:pPr>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1200" w:firstLineChars="5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vertAlign w:val="subscript"/>
          <w:lang w:val="en-US" w:eastAsia="zh-CN"/>
        </w:rPr>
        <w:t>高</w:t>
      </w:r>
      <w:r>
        <w:rPr>
          <w:rFonts w:hint="eastAsia" w:ascii="宋体" w:hAnsi="宋体" w:eastAsia="宋体" w:cs="宋体"/>
          <w:color w:val="auto"/>
          <w:sz w:val="24"/>
          <w:szCs w:val="24"/>
          <w:highlight w:val="none"/>
        </w:rPr>
        <w:t>---进入报价部分评分的各合格投标人的</w:t>
      </w:r>
      <w:r>
        <w:rPr>
          <w:rFonts w:hint="eastAsia" w:ascii="宋体" w:hAnsi="宋体" w:eastAsia="宋体" w:cs="宋体"/>
          <w:color w:val="auto"/>
          <w:sz w:val="24"/>
          <w:szCs w:val="24"/>
          <w:highlight w:val="none"/>
          <w:lang w:val="en-US" w:eastAsia="zh-CN"/>
        </w:rPr>
        <w:t>P</w:t>
      </w:r>
      <w:r>
        <w:rPr>
          <w:rFonts w:hint="eastAsia" w:ascii="宋体" w:hAnsi="宋体" w:eastAsia="宋体" w:cs="宋体"/>
          <w:color w:val="auto"/>
          <w:sz w:val="24"/>
          <w:szCs w:val="24"/>
          <w:highlight w:val="none"/>
        </w:rPr>
        <w:t>2评标价最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值。</w:t>
      </w:r>
    </w:p>
    <w:p>
      <w:pPr>
        <w:keepNext w:val="0"/>
        <w:keepLines w:val="0"/>
        <w:pageBreakBefore w:val="0"/>
        <w:widowControl w:val="0"/>
        <w:tabs>
          <w:tab w:val="left" w:pos="825"/>
        </w:tabs>
        <w:kinsoku/>
        <w:wordWrap/>
        <w:overflowPunct/>
        <w:topLinePunct w:val="0"/>
        <w:autoSpaceDE/>
        <w:autoSpaceDN/>
        <w:bidi w:val="0"/>
        <w:snapToGrid w:val="0"/>
        <w:spacing w:line="460" w:lineRule="exact"/>
        <w:ind w:left="0" w:leftChars="0" w:right="0" w:rightChars="0" w:firstLine="914" w:firstLineChars="381"/>
        <w:jc w:val="both"/>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 3 \* GB3 \* MERGEFORMAT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b w:val="0"/>
          <w:bCs w:val="0"/>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P2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开标一览表中品目号1-2对应的放流数量。</w:t>
      </w:r>
    </w:p>
    <w:p>
      <w:pPr>
        <w:keepNext w:val="0"/>
        <w:keepLines w:val="0"/>
        <w:pageBreakBefore w:val="0"/>
        <w:widowControl w:val="0"/>
        <w:tabs>
          <w:tab w:val="left" w:pos="825"/>
        </w:tabs>
        <w:kinsoku/>
        <w:wordWrap/>
        <w:overflowPunct/>
        <w:topLinePunct w:val="0"/>
        <w:autoSpaceDE/>
        <w:autoSpaceDN/>
        <w:bidi w:val="0"/>
        <w:snapToGrid w:val="0"/>
        <w:spacing w:line="460" w:lineRule="exact"/>
        <w:ind w:left="0" w:leftChars="0" w:right="0" w:rightChars="0" w:firstLine="436" w:firstLineChars="182"/>
        <w:jc w:val="both"/>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品目号1-</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报价评分</w:t>
      </w:r>
      <w:r>
        <w:rPr>
          <w:rFonts w:hint="eastAsia" w:ascii="宋体" w:hAnsi="宋体" w:eastAsia="宋体" w:cs="宋体"/>
          <w:b/>
          <w:bCs/>
          <w:color w:val="auto"/>
          <w:sz w:val="24"/>
          <w:szCs w:val="24"/>
          <w:highlight w:val="none"/>
        </w:rPr>
        <w:t>PF3（满分</w:t>
      </w:r>
      <w:r>
        <w:rPr>
          <w:rFonts w:hint="eastAsia"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分）：</w:t>
      </w:r>
    </w:p>
    <w:p>
      <w:pPr>
        <w:pStyle w:val="10"/>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F3</w:t>
      </w:r>
      <w:r>
        <w:rPr>
          <w:rFonts w:hint="eastAsia" w:ascii="宋体" w:hAnsi="宋体" w:eastAsia="宋体" w:cs="宋体"/>
          <w:color w:val="auto"/>
          <w:sz w:val="24"/>
          <w:szCs w:val="24"/>
          <w:highlight w:val="none"/>
        </w:rPr>
        <w:t>n</w:t>
      </w:r>
    </w:p>
    <w:p>
      <w:pPr>
        <w:pStyle w:val="10"/>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480" w:firstLineChars="200"/>
        <w:jc w:val="both"/>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       PF</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18</w:t>
      </w:r>
    </w:p>
    <w:p>
      <w:pPr>
        <w:pStyle w:val="10"/>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right="0" w:rightChars="0" w:firstLine="2580" w:firstLineChars="1075"/>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F3</w:t>
      </w:r>
      <w:r>
        <w:rPr>
          <w:rFonts w:hint="eastAsia" w:ascii="宋体" w:hAnsi="宋体" w:eastAsia="宋体" w:cs="宋体"/>
          <w:color w:val="auto"/>
          <w:sz w:val="24"/>
          <w:szCs w:val="24"/>
          <w:highlight w:val="none"/>
          <w:vertAlign w:val="subscript"/>
          <w:lang w:val="en-US" w:eastAsia="zh-CN"/>
        </w:rPr>
        <w:t>高</w:t>
      </w:r>
    </w:p>
    <w:p>
      <w:pPr>
        <w:keepNext w:val="0"/>
        <w:keepLines w:val="0"/>
        <w:pageBreakBefore w:val="0"/>
        <w:widowControl w:val="0"/>
        <w:tabs>
          <w:tab w:val="center" w:pos="540"/>
          <w:tab w:val="center" w:pos="1080"/>
        </w:tabs>
        <w:kinsoku/>
        <w:wordWrap/>
        <w:overflowPunct/>
        <w:topLinePunct w:val="0"/>
        <w:autoSpaceDE/>
        <w:autoSpaceDN/>
        <w:bidi w:val="0"/>
        <w:snapToGrid w:val="0"/>
        <w:spacing w:line="460" w:lineRule="exact"/>
        <w:ind w:left="0" w:leftChars="0" w:right="0" w:rightChars="0"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式中：①</w:t>
      </w: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3n --- 进入报价部分评分的各合格投标人的</w:t>
      </w:r>
      <w:r>
        <w:rPr>
          <w:rFonts w:hint="eastAsia" w:ascii="宋体" w:hAnsi="宋体" w:eastAsia="宋体" w:cs="宋体"/>
          <w:color w:val="auto"/>
          <w:sz w:val="24"/>
          <w:szCs w:val="24"/>
          <w:highlight w:val="none"/>
          <w:lang w:val="en-US" w:eastAsia="zh-CN"/>
        </w:rPr>
        <w:t>P</w:t>
      </w:r>
      <w:r>
        <w:rPr>
          <w:rFonts w:hint="eastAsia" w:ascii="宋体" w:hAnsi="宋体" w:eastAsia="宋体" w:cs="宋体"/>
          <w:color w:val="auto"/>
          <w:sz w:val="24"/>
          <w:szCs w:val="24"/>
          <w:highlight w:val="none"/>
        </w:rPr>
        <w:t>3评标价；</w:t>
      </w:r>
    </w:p>
    <w:p>
      <w:pPr>
        <w:keepNext w:val="0"/>
        <w:keepLines w:val="0"/>
        <w:pageBreakBefore w:val="0"/>
        <w:widowControl w:val="0"/>
        <w:kinsoku/>
        <w:wordWrap/>
        <w:overflowPunct/>
        <w:topLinePunct w:val="0"/>
        <w:autoSpaceDE/>
        <w:autoSpaceDN/>
        <w:bidi w:val="0"/>
        <w:spacing w:line="460" w:lineRule="exact"/>
        <w:ind w:left="0" w:leftChars="0" w:right="0" w:rightChars="0" w:firstLine="1200" w:firstLineChars="5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vertAlign w:val="subscript"/>
          <w:lang w:val="en-US" w:eastAsia="zh-CN"/>
        </w:rPr>
        <w:t>高</w:t>
      </w:r>
      <w:r>
        <w:rPr>
          <w:rFonts w:hint="eastAsia" w:ascii="宋体" w:hAnsi="宋体" w:eastAsia="宋体" w:cs="宋体"/>
          <w:color w:val="auto"/>
          <w:sz w:val="24"/>
          <w:szCs w:val="24"/>
          <w:highlight w:val="none"/>
        </w:rPr>
        <w:t>---进入报价部分评分的各合格投标人的</w:t>
      </w:r>
      <w:r>
        <w:rPr>
          <w:rFonts w:hint="eastAsia" w:ascii="宋体" w:hAnsi="宋体" w:eastAsia="宋体" w:cs="宋体"/>
          <w:color w:val="auto"/>
          <w:sz w:val="24"/>
          <w:szCs w:val="24"/>
          <w:highlight w:val="none"/>
          <w:lang w:val="en-US" w:eastAsia="zh-CN"/>
        </w:rPr>
        <w:t>P</w:t>
      </w:r>
      <w:r>
        <w:rPr>
          <w:rFonts w:hint="eastAsia" w:ascii="宋体" w:hAnsi="宋体" w:eastAsia="宋体" w:cs="宋体"/>
          <w:color w:val="auto"/>
          <w:sz w:val="24"/>
          <w:szCs w:val="24"/>
          <w:highlight w:val="none"/>
        </w:rPr>
        <w:t>3评标价最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值</w:t>
      </w:r>
      <w:r>
        <w:rPr>
          <w:rFonts w:hint="eastAsia" w:ascii="宋体" w:hAnsi="宋体" w:eastAsia="宋体" w:cs="宋体"/>
          <w:color w:val="auto"/>
          <w:sz w:val="24"/>
          <w:szCs w:val="24"/>
          <w:highlight w:val="none"/>
          <w:lang w:eastAsia="zh-CN"/>
        </w:rPr>
        <w:t>。</w:t>
      </w:r>
    </w:p>
    <w:p>
      <w:pPr>
        <w:pStyle w:val="15"/>
        <w:spacing w:before="210" w:line="357" w:lineRule="auto"/>
        <w:ind w:right="222" w:firstLine="1200" w:firstLineChars="500"/>
        <w:rPr>
          <w:rFonts w:ascii="宋体" w:hAnsi="宋体" w:eastAsia="宋体" w:cs="宋体"/>
          <w:color w:val="auto"/>
          <w:spacing w:val="-11"/>
          <w:sz w:val="24"/>
          <w:szCs w:val="24"/>
          <w:highlight w:val="none"/>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 3 \* GB3 \* MERGEFORMAT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b w:val="0"/>
          <w:bCs w:val="0"/>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P3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开标一览表中品目号1-3对应的放流数量。</w:t>
      </w:r>
    </w:p>
    <w:p>
      <w:pPr>
        <w:spacing w:line="500" w:lineRule="atLeast"/>
        <w:ind w:firstLine="1200" w:firstLineChars="500"/>
        <w:rPr>
          <w:rFonts w:hint="eastAsia"/>
          <w:color w:val="auto"/>
          <w:sz w:val="24"/>
          <w:szCs w:val="24"/>
          <w:highlight w:val="none"/>
          <w:lang w:eastAsia="zh-CN"/>
        </w:rPr>
      </w:pPr>
      <w:r>
        <w:rPr>
          <w:rFonts w:hint="eastAsia"/>
          <w:color w:val="auto"/>
          <w:sz w:val="24"/>
          <w:szCs w:val="24"/>
          <w:highlight w:val="none"/>
          <w:lang w:eastAsia="zh-CN"/>
        </w:rPr>
        <w:t>备注：上述计算结果保留2位小数。</w:t>
      </w:r>
    </w:p>
    <w:p>
      <w:pPr>
        <w:pStyle w:val="2"/>
        <w:rPr>
          <w:color w:val="auto"/>
          <w:highlight w:val="none"/>
          <w:lang w:eastAsia="zh-CN"/>
        </w:rPr>
      </w:pPr>
    </w:p>
    <w:p>
      <w:pPr>
        <w:spacing w:before="15" w:line="360" w:lineRule="auto"/>
        <w:ind w:firstLine="534" w:firstLineChars="200"/>
        <w:rPr>
          <w:b/>
          <w:color w:val="auto"/>
          <w:w w:val="95"/>
          <w:sz w:val="28"/>
          <w:highlight w:val="none"/>
          <w:lang w:eastAsia="zh-CN"/>
        </w:rPr>
      </w:pPr>
      <w:r>
        <w:rPr>
          <w:b/>
          <w:color w:val="auto"/>
          <w:w w:val="95"/>
          <w:sz w:val="28"/>
          <w:highlight w:val="none"/>
          <w:lang w:eastAsia="zh-CN"/>
        </w:rPr>
        <w:t>四、以下情况作废选处理</w:t>
      </w:r>
    </w:p>
    <w:p>
      <w:pPr>
        <w:pStyle w:val="15"/>
        <w:spacing w:line="360" w:lineRule="auto"/>
        <w:ind w:right="121" w:firstLine="480" w:firstLineChars="200"/>
        <w:jc w:val="both"/>
        <w:rPr>
          <w:color w:val="auto"/>
          <w:highlight w:val="none"/>
          <w:lang w:eastAsia="zh-CN"/>
        </w:rPr>
      </w:pPr>
      <w:r>
        <w:rPr>
          <w:color w:val="auto"/>
          <w:highlight w:val="none"/>
          <w:lang w:eastAsia="zh-CN"/>
        </w:rPr>
        <w:t>1.对比选文件提出的实质性要求和条件，参选文件未能在实质上响应的。</w:t>
      </w:r>
    </w:p>
    <w:p>
      <w:pPr>
        <w:pStyle w:val="15"/>
        <w:spacing w:line="360" w:lineRule="auto"/>
        <w:ind w:right="121" w:firstLine="480" w:firstLineChars="200"/>
        <w:jc w:val="both"/>
        <w:rPr>
          <w:color w:val="auto"/>
          <w:highlight w:val="none"/>
          <w:lang w:eastAsia="zh-CN"/>
        </w:rPr>
      </w:pPr>
      <w:r>
        <w:rPr>
          <w:color w:val="auto"/>
          <w:highlight w:val="none"/>
          <w:lang w:eastAsia="zh-CN"/>
        </w:rPr>
        <w:t>2.参选文件存在重大偏差的。</w:t>
      </w:r>
    </w:p>
    <w:p>
      <w:pPr>
        <w:pStyle w:val="15"/>
        <w:spacing w:line="360" w:lineRule="auto"/>
        <w:ind w:right="121" w:firstLine="480" w:firstLineChars="200"/>
        <w:jc w:val="both"/>
        <w:rPr>
          <w:color w:val="auto"/>
          <w:highlight w:val="none"/>
          <w:lang w:eastAsia="zh-CN"/>
        </w:rPr>
      </w:pPr>
      <w:r>
        <w:rPr>
          <w:rFonts w:hint="eastAsia"/>
          <w:color w:val="auto"/>
          <w:highlight w:val="none"/>
          <w:lang w:eastAsia="zh-CN"/>
        </w:rPr>
        <w:t>3</w:t>
      </w:r>
      <w:r>
        <w:rPr>
          <w:color w:val="auto"/>
          <w:highlight w:val="none"/>
          <w:lang w:eastAsia="zh-CN"/>
        </w:rPr>
        <w:t>.违反规定影响开选评选工作或采取其他方式对比选人施加影响的。</w:t>
      </w:r>
    </w:p>
    <w:p>
      <w:pPr>
        <w:pStyle w:val="15"/>
        <w:spacing w:line="360" w:lineRule="auto"/>
        <w:ind w:right="121" w:firstLine="480" w:firstLineChars="200"/>
        <w:jc w:val="both"/>
        <w:rPr>
          <w:color w:val="auto"/>
          <w:highlight w:val="none"/>
          <w:lang w:eastAsia="zh-CN"/>
        </w:rPr>
      </w:pPr>
      <w:r>
        <w:rPr>
          <w:rFonts w:hint="eastAsia"/>
          <w:color w:val="auto"/>
          <w:highlight w:val="none"/>
          <w:lang w:eastAsia="zh-CN"/>
        </w:rPr>
        <w:t>4</w:t>
      </w:r>
      <w:r>
        <w:rPr>
          <w:color w:val="auto"/>
          <w:highlight w:val="none"/>
          <w:lang w:eastAsia="zh-CN"/>
        </w:rPr>
        <w:t>.参选人串标、相互勾结故意压低标价以排挤竞争对手的公平竞争的，其参选无效。</w:t>
      </w:r>
    </w:p>
    <w:p>
      <w:pPr>
        <w:spacing w:before="15" w:line="360" w:lineRule="auto"/>
        <w:ind w:firstLine="534" w:firstLineChars="200"/>
        <w:rPr>
          <w:b/>
          <w:color w:val="auto"/>
          <w:w w:val="95"/>
          <w:sz w:val="28"/>
          <w:highlight w:val="none"/>
          <w:lang w:eastAsia="zh-CN"/>
        </w:rPr>
      </w:pPr>
      <w:r>
        <w:rPr>
          <w:b/>
          <w:color w:val="auto"/>
          <w:w w:val="95"/>
          <w:sz w:val="28"/>
          <w:highlight w:val="none"/>
          <w:lang w:eastAsia="zh-CN"/>
        </w:rPr>
        <w:t>五、评选</w:t>
      </w:r>
    </w:p>
    <w:p>
      <w:pPr>
        <w:pStyle w:val="15"/>
        <w:spacing w:line="360" w:lineRule="auto"/>
        <w:ind w:right="121" w:firstLine="480" w:firstLineChars="200"/>
        <w:jc w:val="both"/>
        <w:rPr>
          <w:color w:val="auto"/>
          <w:highlight w:val="none"/>
          <w:lang w:eastAsia="zh-CN"/>
        </w:rPr>
      </w:pPr>
      <w:r>
        <w:rPr>
          <w:color w:val="auto"/>
          <w:highlight w:val="none"/>
          <w:lang w:eastAsia="zh-CN"/>
        </w:rPr>
        <w:t>1.比选人将在参选文件截止日期后另行择日组织比选会，参选人选定工作在比选人有关部门监督下，由比选人依法组建的评选委员会负责。</w:t>
      </w:r>
    </w:p>
    <w:p>
      <w:pPr>
        <w:pStyle w:val="15"/>
        <w:spacing w:line="360" w:lineRule="auto"/>
        <w:ind w:right="121" w:firstLine="480" w:firstLineChars="200"/>
        <w:jc w:val="both"/>
        <w:rPr>
          <w:color w:val="auto"/>
          <w:highlight w:val="none"/>
          <w:lang w:eastAsia="zh-CN"/>
        </w:rPr>
      </w:pPr>
      <w:r>
        <w:rPr>
          <w:color w:val="auto"/>
          <w:highlight w:val="none"/>
          <w:lang w:eastAsia="zh-CN"/>
        </w:rPr>
        <w:t>2.在开选时没有启封和读出的参选文件，在评选时将不予考虑。</w:t>
      </w:r>
    </w:p>
    <w:p>
      <w:pPr>
        <w:pStyle w:val="15"/>
        <w:spacing w:line="360" w:lineRule="auto"/>
        <w:ind w:right="121" w:firstLine="480" w:firstLineChars="200"/>
        <w:jc w:val="both"/>
        <w:rPr>
          <w:color w:val="auto"/>
          <w:highlight w:val="none"/>
          <w:lang w:eastAsia="zh-CN"/>
        </w:rPr>
      </w:pPr>
      <w:r>
        <w:rPr>
          <w:color w:val="auto"/>
          <w:highlight w:val="none"/>
          <w:lang w:eastAsia="zh-CN"/>
        </w:rPr>
        <w:t>3.比选人将做开选记录。</w:t>
      </w:r>
    </w:p>
    <w:p>
      <w:pPr>
        <w:pStyle w:val="15"/>
        <w:spacing w:line="360" w:lineRule="auto"/>
        <w:ind w:right="121" w:firstLine="480" w:firstLineChars="200"/>
        <w:jc w:val="both"/>
        <w:rPr>
          <w:color w:val="auto"/>
          <w:highlight w:val="none"/>
          <w:lang w:eastAsia="zh-CN"/>
        </w:rPr>
      </w:pPr>
      <w:r>
        <w:rPr>
          <w:rFonts w:hint="eastAsia"/>
          <w:color w:val="auto"/>
          <w:highlight w:val="none"/>
          <w:lang w:eastAsia="zh-CN"/>
        </w:rPr>
        <w:t>4.业主将根据评选结果与中选人签订合同。</w:t>
      </w:r>
    </w:p>
    <w:p>
      <w:pPr>
        <w:pStyle w:val="3"/>
        <w:tabs>
          <w:tab w:val="left" w:pos="1632"/>
        </w:tabs>
        <w:spacing w:line="355" w:lineRule="exact"/>
        <w:ind w:left="367" w:firstLine="3373" w:firstLineChars="1200"/>
        <w:jc w:val="both"/>
        <w:rPr>
          <w:color w:val="auto"/>
          <w:highlight w:val="none"/>
          <w:lang w:eastAsia="zh-CN"/>
        </w:rPr>
      </w:pPr>
      <w:r>
        <w:rPr>
          <w:color w:val="auto"/>
          <w:highlight w:val="none"/>
          <w:lang w:eastAsia="zh-CN"/>
        </w:rPr>
        <w:t>第五章</w:t>
      </w:r>
      <w:r>
        <w:rPr>
          <w:color w:val="auto"/>
          <w:highlight w:val="none"/>
          <w:lang w:eastAsia="zh-CN"/>
        </w:rPr>
        <w:tab/>
      </w:r>
      <w:r>
        <w:rPr>
          <w:color w:val="auto"/>
          <w:spacing w:val="-1"/>
          <w:w w:val="95"/>
          <w:highlight w:val="none"/>
          <w:lang w:eastAsia="zh-CN"/>
        </w:rPr>
        <w:t>合同授</w:t>
      </w:r>
      <w:r>
        <w:rPr>
          <w:color w:val="auto"/>
          <w:w w:val="95"/>
          <w:highlight w:val="none"/>
          <w:lang w:eastAsia="zh-CN"/>
        </w:rPr>
        <w:t>予</w:t>
      </w:r>
    </w:p>
    <w:p>
      <w:pPr>
        <w:pStyle w:val="15"/>
        <w:spacing w:before="12"/>
        <w:rPr>
          <w:b/>
          <w:color w:val="auto"/>
          <w:sz w:val="33"/>
          <w:highlight w:val="none"/>
          <w:lang w:eastAsia="zh-CN"/>
        </w:rPr>
      </w:pPr>
    </w:p>
    <w:p>
      <w:pPr>
        <w:pStyle w:val="15"/>
        <w:spacing w:line="360" w:lineRule="auto"/>
        <w:ind w:firstLine="480" w:firstLineChars="200"/>
        <w:rPr>
          <w:color w:val="auto"/>
          <w:highlight w:val="none"/>
          <w:lang w:eastAsia="zh-CN"/>
        </w:rPr>
      </w:pPr>
      <w:r>
        <w:rPr>
          <w:color w:val="auto"/>
          <w:highlight w:val="none"/>
          <w:lang w:eastAsia="zh-CN"/>
        </w:rPr>
        <w:t>1.比选人将把合同授予中选人</w:t>
      </w:r>
      <w:r>
        <w:rPr>
          <w:rFonts w:hint="eastAsia"/>
          <w:color w:val="auto"/>
          <w:highlight w:val="none"/>
          <w:lang w:eastAsia="zh-CN"/>
        </w:rPr>
        <w:t>，</w:t>
      </w:r>
      <w:r>
        <w:rPr>
          <w:color w:val="auto"/>
          <w:highlight w:val="none"/>
          <w:lang w:eastAsia="zh-CN"/>
        </w:rPr>
        <w:t>在授予前，仍需进行资格审查</w:t>
      </w:r>
      <w:r>
        <w:rPr>
          <w:rFonts w:hint="eastAsia"/>
          <w:color w:val="auto"/>
          <w:highlight w:val="none"/>
          <w:lang w:eastAsia="zh-CN"/>
        </w:rPr>
        <w:t>。</w:t>
      </w:r>
    </w:p>
    <w:p>
      <w:pPr>
        <w:pStyle w:val="15"/>
        <w:spacing w:line="360" w:lineRule="auto"/>
        <w:ind w:firstLine="480" w:firstLineChars="200"/>
        <w:rPr>
          <w:color w:val="auto"/>
          <w:highlight w:val="none"/>
          <w:lang w:eastAsia="zh-CN"/>
        </w:rPr>
      </w:pPr>
      <w:r>
        <w:rPr>
          <w:color w:val="auto"/>
          <w:highlight w:val="none"/>
          <w:lang w:eastAsia="zh-CN"/>
        </w:rPr>
        <w:t>2.中选人确定后，比选</w:t>
      </w:r>
      <w:r>
        <w:rPr>
          <w:rFonts w:hint="eastAsia"/>
          <w:color w:val="auto"/>
          <w:highlight w:val="none"/>
          <w:lang w:eastAsia="zh-CN"/>
        </w:rPr>
        <w:t>人</w:t>
      </w:r>
      <w:r>
        <w:rPr>
          <w:color w:val="auto"/>
          <w:highlight w:val="none"/>
          <w:lang w:eastAsia="zh-CN"/>
        </w:rPr>
        <w:t>将通知中选人，并将中选结果公示在比选人</w:t>
      </w:r>
      <w:r>
        <w:rPr>
          <w:rFonts w:hint="eastAsia"/>
          <w:color w:val="auto"/>
          <w:highlight w:val="none"/>
          <w:lang w:eastAsia="zh-CN"/>
        </w:rPr>
        <w:t>公司</w:t>
      </w:r>
      <w:r>
        <w:rPr>
          <w:color w:val="auto"/>
          <w:highlight w:val="none"/>
          <w:lang w:eastAsia="zh-CN"/>
        </w:rPr>
        <w:t>集团官网。</w:t>
      </w:r>
    </w:p>
    <w:p>
      <w:pPr>
        <w:pStyle w:val="15"/>
        <w:spacing w:line="360" w:lineRule="auto"/>
        <w:ind w:right="226" w:firstLine="480" w:firstLineChars="200"/>
        <w:jc w:val="both"/>
        <w:rPr>
          <w:color w:val="auto"/>
          <w:highlight w:val="none"/>
          <w:lang w:eastAsia="zh-CN"/>
        </w:rPr>
      </w:pPr>
      <w:r>
        <w:rPr>
          <w:color w:val="auto"/>
          <w:highlight w:val="none"/>
          <w:lang w:eastAsia="zh-CN"/>
        </w:rPr>
        <w:t>3.</w:t>
      </w:r>
      <w:r>
        <w:rPr>
          <w:rFonts w:hint="eastAsia"/>
          <w:color w:val="auto"/>
          <w:highlight w:val="none"/>
          <w:lang w:eastAsia="zh-CN"/>
        </w:rPr>
        <w:t>比选人将以书面形式通知中选人，确认其参选文件被接受。</w:t>
      </w:r>
      <w:r>
        <w:rPr>
          <w:color w:val="auto"/>
          <w:spacing w:val="-2"/>
          <w:highlight w:val="none"/>
          <w:lang w:eastAsia="zh-CN"/>
        </w:rPr>
        <w:t>中选通知对比选人和参选人具有法律效力。中选单位需在比选人通知中选后</w:t>
      </w:r>
      <w:r>
        <w:rPr>
          <w:rFonts w:hint="eastAsia"/>
          <w:color w:val="auto"/>
          <w:highlight w:val="none"/>
          <w:lang w:eastAsia="zh-CN"/>
        </w:rPr>
        <w:t>20</w:t>
      </w:r>
      <w:r>
        <w:rPr>
          <w:color w:val="auto"/>
          <w:spacing w:val="-30"/>
          <w:highlight w:val="none"/>
          <w:lang w:eastAsia="zh-CN"/>
        </w:rPr>
        <w:t>个</w:t>
      </w:r>
      <w:r>
        <w:rPr>
          <w:color w:val="auto"/>
          <w:spacing w:val="-4"/>
          <w:highlight w:val="none"/>
          <w:lang w:eastAsia="zh-CN"/>
        </w:rPr>
        <w:t>工作日内与比选人签订合同。若因中选单位原因未在规定的时间和地点与比选人签署合</w:t>
      </w:r>
      <w:r>
        <w:rPr>
          <w:color w:val="auto"/>
          <w:spacing w:val="-10"/>
          <w:highlight w:val="none"/>
          <w:lang w:eastAsia="zh-CN"/>
        </w:rPr>
        <w:t>同，比选人有权单方取消中选单位的资格。同时，由此给比选人造成的损失，比选人有权追究中选单位的全部责任。</w:t>
      </w:r>
    </w:p>
    <w:p>
      <w:pPr>
        <w:pStyle w:val="15"/>
        <w:spacing w:before="24" w:line="360" w:lineRule="auto"/>
        <w:ind w:right="226" w:firstLine="480" w:firstLineChars="200"/>
        <w:jc w:val="both"/>
        <w:rPr>
          <w:color w:val="auto"/>
          <w:highlight w:val="none"/>
          <w:lang w:eastAsia="zh-CN"/>
        </w:rPr>
      </w:pPr>
      <w:r>
        <w:rPr>
          <w:color w:val="auto"/>
          <w:highlight w:val="none"/>
          <w:lang w:eastAsia="zh-CN"/>
        </w:rPr>
        <w:t>4.</w:t>
      </w:r>
      <w:r>
        <w:rPr>
          <w:color w:val="auto"/>
          <w:spacing w:val="-8"/>
          <w:highlight w:val="none"/>
          <w:lang w:eastAsia="zh-CN"/>
        </w:rPr>
        <w:t>中选人签署合同后必须履行合同要求。若因中选单位原因未在规定的时间内完成</w:t>
      </w:r>
      <w:r>
        <w:rPr>
          <w:color w:val="auto"/>
          <w:spacing w:val="-14"/>
          <w:highlight w:val="none"/>
          <w:lang w:eastAsia="zh-CN"/>
        </w:rPr>
        <w:t>相关工作，则比选人有权单方面取消中选单位的资格。</w:t>
      </w:r>
      <w:r>
        <w:rPr>
          <w:color w:val="auto"/>
          <w:spacing w:val="-18"/>
          <w:highlight w:val="none"/>
          <w:lang w:eastAsia="zh-CN"/>
        </w:rPr>
        <w:t>由此给比选人造成的损失，比选人有权追究中选方的全部责任。</w:t>
      </w:r>
    </w:p>
    <w:p>
      <w:pPr>
        <w:pStyle w:val="15"/>
        <w:spacing w:before="24" w:line="360" w:lineRule="auto"/>
        <w:ind w:right="92" w:firstLine="480" w:firstLineChars="200"/>
        <w:rPr>
          <w:color w:val="auto"/>
          <w:highlight w:val="none"/>
          <w:lang w:eastAsia="zh-CN"/>
        </w:rPr>
      </w:pPr>
      <w:r>
        <w:rPr>
          <w:color w:val="auto"/>
          <w:highlight w:val="none"/>
          <w:lang w:eastAsia="zh-CN"/>
        </w:rPr>
        <w:t>5.比选文件与合同附件作为签订合同的条款，比选文件合同条款中没有规定的内容， 比选人、参选人认为有必要进行补充，可另行商定解决。</w:t>
      </w:r>
    </w:p>
    <w:p>
      <w:pPr>
        <w:pStyle w:val="15"/>
        <w:spacing w:before="24" w:line="360" w:lineRule="auto"/>
        <w:ind w:right="227" w:firstLine="480" w:firstLineChars="200"/>
        <w:jc w:val="both"/>
        <w:rPr>
          <w:color w:val="auto"/>
          <w:highlight w:val="none"/>
          <w:lang w:eastAsia="zh-CN"/>
        </w:rPr>
      </w:pPr>
      <w:r>
        <w:rPr>
          <w:color w:val="auto"/>
          <w:highlight w:val="none"/>
          <w:lang w:eastAsia="zh-CN"/>
        </w:rPr>
        <w:t>6.</w:t>
      </w:r>
      <w:r>
        <w:rPr>
          <w:color w:val="auto"/>
          <w:spacing w:val="-8"/>
          <w:highlight w:val="none"/>
          <w:lang w:eastAsia="zh-CN"/>
        </w:rPr>
        <w:t>接受和拒绝任何或所有参选的权利：比选机构和比选人保留在授标之前任何时候接</w:t>
      </w:r>
      <w:r>
        <w:rPr>
          <w:color w:val="auto"/>
          <w:spacing w:val="-13"/>
          <w:highlight w:val="none"/>
          <w:lang w:eastAsia="zh-CN"/>
        </w:rPr>
        <w:t>受或拒绝任何比选，以及宣布比选程序无效或拒绝所有参选的权利，对受影响的参选人不承担任何责任。</w:t>
      </w:r>
    </w:p>
    <w:p>
      <w:pPr>
        <w:spacing w:line="321" w:lineRule="auto"/>
        <w:ind w:firstLine="435"/>
        <w:jc w:val="both"/>
        <w:rPr>
          <w:color w:val="auto"/>
          <w:sz w:val="24"/>
          <w:szCs w:val="24"/>
          <w:highlight w:val="none"/>
          <w:lang w:eastAsia="zh-CN"/>
        </w:rPr>
      </w:pPr>
      <w:r>
        <w:rPr>
          <w:rFonts w:hint="eastAsia"/>
          <w:color w:val="auto"/>
          <w:sz w:val="24"/>
          <w:szCs w:val="24"/>
          <w:highlight w:val="none"/>
          <w:lang w:eastAsia="zh-CN"/>
        </w:rPr>
        <w:t>7．</w:t>
      </w:r>
      <w:r>
        <w:rPr>
          <w:rFonts w:hint="eastAsia"/>
          <w:bCs/>
          <w:color w:val="auto"/>
          <w:sz w:val="24"/>
          <w:szCs w:val="24"/>
          <w:highlight w:val="none"/>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color w:val="auto"/>
          <w:sz w:val="24"/>
          <w:szCs w:val="24"/>
          <w:highlight w:val="none"/>
        </w:rPr>
      </w:pPr>
      <w:r>
        <w:rPr>
          <w:rFonts w:hint="eastAsia"/>
          <w:color w:val="auto"/>
          <w:sz w:val="24"/>
          <w:szCs w:val="24"/>
          <w:highlight w:val="none"/>
        </w:rPr>
        <w:t xml:space="preserve">8. </w:t>
      </w:r>
      <w:r>
        <w:rPr>
          <w:rFonts w:hint="eastAsia" w:hAnsi="宋体"/>
          <w:color w:val="auto"/>
          <w:sz w:val="24"/>
          <w:highlight w:val="none"/>
        </w:rPr>
        <w:t>本合同将授予其参选文件在实质上响应比选文件要求和按本比选文件规定所确定的中选人。比选人在授予合同之前有权对参选人递交的参选文件资料进行核实，参选</w:t>
      </w:r>
      <w:r>
        <w:rPr>
          <w:rFonts w:hint="eastAsia" w:hAnsi="宋体"/>
          <w:b/>
          <w:color w:val="auto"/>
          <w:sz w:val="24"/>
          <w:highlight w:val="none"/>
        </w:rPr>
        <w:t>人应对参选文件资料的真实性负责</w:t>
      </w:r>
      <w:r>
        <w:rPr>
          <w:rFonts w:hint="eastAsia" w:hAnsi="宋体"/>
          <w:color w:val="auto"/>
          <w:sz w:val="24"/>
          <w:highlight w:val="none"/>
        </w:rPr>
        <w:t>，如发现其所提交的资料不真实，比选人将视其为以弄虚作假方式骗取中选，其中选无效。参选人给比选人造成损失的，应依法承担赔偿责任。</w:t>
      </w:r>
    </w:p>
    <w:p>
      <w:pPr>
        <w:pStyle w:val="2"/>
        <w:spacing w:line="360" w:lineRule="auto"/>
        <w:ind w:firstLine="437"/>
        <w:rPr>
          <w:color w:val="auto"/>
          <w:sz w:val="24"/>
          <w:szCs w:val="24"/>
          <w:highlight w:val="none"/>
        </w:rPr>
      </w:pPr>
      <w:r>
        <w:rPr>
          <w:rFonts w:hint="eastAsia"/>
          <w:color w:val="auto"/>
          <w:sz w:val="24"/>
          <w:szCs w:val="24"/>
          <w:highlight w:val="none"/>
        </w:rPr>
        <w:t>9.</w:t>
      </w:r>
      <w:r>
        <w:rPr>
          <w:rFonts w:hint="eastAsia"/>
          <w:color w:val="auto"/>
          <w:highlight w:val="none"/>
        </w:rPr>
        <w:t xml:space="preserve"> </w:t>
      </w:r>
      <w:r>
        <w:rPr>
          <w:rStyle w:val="38"/>
          <w:rFonts w:hint="eastAsia"/>
          <w:color w:val="auto"/>
          <w:sz w:val="24"/>
          <w:szCs w:val="24"/>
          <w:highlight w:val="none"/>
        </w:rPr>
        <w:t>福建福海创石油化工有限公司的权属子公司“翔鹭石化（漳州）有限公司”作为合同执行主体，将于中选通知书发出之日起20个工作日内与中选人完成合同签订事宜。</w:t>
      </w:r>
    </w:p>
    <w:p>
      <w:pPr>
        <w:pStyle w:val="2"/>
        <w:rPr>
          <w:color w:val="auto"/>
          <w:highlight w:val="none"/>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color w:val="auto"/>
          <w:highlight w:val="none"/>
          <w:lang w:eastAsia="zh-CN"/>
        </w:rPr>
      </w:pPr>
      <w:r>
        <w:rPr>
          <w:color w:val="auto"/>
          <w:highlight w:val="none"/>
          <w:lang w:eastAsia="zh-CN"/>
        </w:rPr>
        <w:t>第六章</w:t>
      </w:r>
      <w:r>
        <w:rPr>
          <w:color w:val="auto"/>
          <w:highlight w:val="none"/>
          <w:lang w:eastAsia="zh-CN"/>
        </w:rPr>
        <w:tab/>
      </w:r>
      <w:r>
        <w:rPr>
          <w:color w:val="auto"/>
          <w:spacing w:val="-1"/>
          <w:w w:val="95"/>
          <w:highlight w:val="none"/>
          <w:lang w:eastAsia="zh-CN"/>
        </w:rPr>
        <w:t>中选后相关</w:t>
      </w:r>
      <w:r>
        <w:rPr>
          <w:color w:val="auto"/>
          <w:w w:val="95"/>
          <w:highlight w:val="none"/>
          <w:lang w:eastAsia="zh-CN"/>
        </w:rPr>
        <w:t>履约要求</w:t>
      </w:r>
    </w:p>
    <w:p>
      <w:pPr>
        <w:pStyle w:val="15"/>
        <w:spacing w:before="12"/>
        <w:rPr>
          <w:b/>
          <w:color w:val="auto"/>
          <w:sz w:val="33"/>
          <w:highlight w:val="none"/>
          <w:lang w:eastAsia="zh-CN"/>
        </w:rPr>
      </w:pPr>
    </w:p>
    <w:p>
      <w:pPr>
        <w:pStyle w:val="15"/>
        <w:spacing w:line="360" w:lineRule="auto"/>
        <w:ind w:right="108" w:firstLine="480" w:firstLineChars="200"/>
        <w:jc w:val="both"/>
        <w:rPr>
          <w:color w:val="auto"/>
          <w:highlight w:val="none"/>
          <w:lang w:eastAsia="zh-CN"/>
        </w:rPr>
      </w:pPr>
      <w:r>
        <w:rPr>
          <w:color w:val="auto"/>
          <w:highlight w:val="none"/>
          <w:lang w:eastAsia="zh-CN"/>
        </w:rPr>
        <w:t>1.</w:t>
      </w:r>
      <w:r>
        <w:rPr>
          <w:color w:val="auto"/>
          <w:spacing w:val="-7"/>
          <w:highlight w:val="none"/>
          <w:lang w:eastAsia="zh-CN"/>
        </w:rPr>
        <w:t>中选单位要服从比选人的管理规定，不得影响比选人的生产运行，如有违反，取消</w:t>
      </w:r>
      <w:r>
        <w:rPr>
          <w:color w:val="auto"/>
          <w:spacing w:val="-13"/>
          <w:highlight w:val="none"/>
          <w:lang w:eastAsia="zh-CN"/>
        </w:rPr>
        <w:t>中选单位的继续履行合同的资格，同时，由此给比选人造成的损失，比选人有权追究中选单位的全部责任。</w:t>
      </w:r>
    </w:p>
    <w:p>
      <w:pPr>
        <w:pStyle w:val="15"/>
        <w:spacing w:before="26" w:line="360" w:lineRule="auto"/>
        <w:ind w:right="108" w:firstLine="480" w:firstLineChars="200"/>
        <w:jc w:val="both"/>
        <w:rPr>
          <w:color w:val="auto"/>
          <w:highlight w:val="none"/>
          <w:lang w:eastAsia="zh-CN"/>
        </w:rPr>
      </w:pPr>
      <w:r>
        <w:rPr>
          <w:color w:val="auto"/>
          <w:highlight w:val="none"/>
          <w:lang w:eastAsia="zh-CN"/>
        </w:rPr>
        <w:t>2.</w:t>
      </w:r>
      <w:r>
        <w:rPr>
          <w:color w:val="auto"/>
          <w:spacing w:val="-2"/>
          <w:highlight w:val="none"/>
          <w:lang w:eastAsia="zh-CN"/>
        </w:rPr>
        <w:t>中选单位必须严格执行</w:t>
      </w:r>
      <w:r>
        <w:rPr>
          <w:rFonts w:hint="eastAsia"/>
          <w:color w:val="auto"/>
          <w:spacing w:val="-2"/>
          <w:highlight w:val="none"/>
          <w:u w:val="single"/>
          <w:lang w:eastAsia="zh-CN"/>
        </w:rPr>
        <w:t xml:space="preserve"> 翔鹭石化(漳州)有限公司海水取水工程2024年度生态补偿增殖放流 </w:t>
      </w:r>
      <w:r>
        <w:rPr>
          <w:color w:val="auto"/>
          <w:spacing w:val="-2"/>
          <w:highlight w:val="none"/>
          <w:lang w:eastAsia="zh-CN"/>
        </w:rPr>
        <w:t>合同</w:t>
      </w:r>
      <w:r>
        <w:rPr>
          <w:color w:val="auto"/>
          <w:highlight w:val="none"/>
          <w:lang w:eastAsia="zh-CN"/>
        </w:rPr>
        <w:t>（详见附件一</w:t>
      </w:r>
      <w:r>
        <w:rPr>
          <w:color w:val="auto"/>
          <w:spacing w:val="-17"/>
          <w:highlight w:val="none"/>
          <w:lang w:eastAsia="zh-CN"/>
        </w:rPr>
        <w:t>）</w:t>
      </w:r>
      <w:r>
        <w:rPr>
          <w:color w:val="auto"/>
          <w:spacing w:val="-13"/>
          <w:highlight w:val="none"/>
          <w:lang w:eastAsia="zh-CN"/>
        </w:rPr>
        <w:t>、《承诺函》</w:t>
      </w:r>
      <w:r>
        <w:rPr>
          <w:color w:val="auto"/>
          <w:highlight w:val="none"/>
          <w:lang w:eastAsia="zh-CN"/>
        </w:rPr>
        <w:t>（详见附件二</w:t>
      </w:r>
      <w:r>
        <w:rPr>
          <w:color w:val="auto"/>
          <w:spacing w:val="-17"/>
          <w:highlight w:val="none"/>
          <w:lang w:eastAsia="zh-CN"/>
        </w:rPr>
        <w:t>）</w:t>
      </w:r>
      <w:r>
        <w:rPr>
          <w:color w:val="auto"/>
          <w:highlight w:val="none"/>
          <w:lang w:eastAsia="zh-CN"/>
        </w:rPr>
        <w:t>的规定。</w:t>
      </w:r>
    </w:p>
    <w:p>
      <w:pPr>
        <w:pStyle w:val="15"/>
        <w:spacing w:before="26" w:line="360" w:lineRule="auto"/>
        <w:ind w:right="108" w:firstLine="480" w:firstLineChars="200"/>
        <w:jc w:val="both"/>
        <w:rPr>
          <w:color w:val="auto"/>
          <w:highlight w:val="none"/>
          <w:lang w:eastAsia="zh-CN"/>
        </w:rPr>
      </w:pPr>
      <w:r>
        <w:rPr>
          <w:color w:val="auto"/>
          <w:highlight w:val="none"/>
          <w:lang w:eastAsia="zh-CN"/>
        </w:rPr>
        <w:t>3.</w:t>
      </w:r>
      <w:r>
        <w:rPr>
          <w:color w:val="auto"/>
          <w:spacing w:val="-6"/>
          <w:highlight w:val="none"/>
          <w:lang w:eastAsia="zh-CN"/>
        </w:rPr>
        <w:t>中选单位需遵守比选人的各项管理规章制度。如违反相关条例者则按</w:t>
      </w:r>
      <w:r>
        <w:rPr>
          <w:rFonts w:hint="eastAsia"/>
          <w:color w:val="auto"/>
          <w:spacing w:val="-6"/>
          <w:highlight w:val="none"/>
          <w:lang w:eastAsia="zh-CN"/>
        </w:rPr>
        <w:t>福建福海创石油化工</w:t>
      </w:r>
      <w:r>
        <w:rPr>
          <w:color w:val="auto"/>
          <w:spacing w:val="-6"/>
          <w:highlight w:val="none"/>
          <w:lang w:eastAsia="zh-CN"/>
        </w:rPr>
        <w:t>有限公司相应条款进行处罚。</w:t>
      </w:r>
    </w:p>
    <w:p>
      <w:pPr>
        <w:pStyle w:val="3"/>
        <w:tabs>
          <w:tab w:val="left" w:pos="1912"/>
        </w:tabs>
        <w:spacing w:line="355" w:lineRule="exact"/>
        <w:ind w:left="647" w:firstLine="3092" w:firstLineChars="1100"/>
        <w:jc w:val="both"/>
        <w:rPr>
          <w:color w:val="auto"/>
          <w:highlight w:val="none"/>
          <w:lang w:eastAsia="zh-CN"/>
        </w:rPr>
      </w:pPr>
    </w:p>
    <w:p>
      <w:pPr>
        <w:pStyle w:val="3"/>
        <w:tabs>
          <w:tab w:val="left" w:pos="1912"/>
        </w:tabs>
        <w:spacing w:line="355" w:lineRule="exact"/>
        <w:ind w:left="647" w:firstLine="3092" w:firstLineChars="1100"/>
        <w:jc w:val="both"/>
        <w:rPr>
          <w:color w:val="auto"/>
          <w:highlight w:val="none"/>
          <w:lang w:eastAsia="zh-CN"/>
        </w:rPr>
      </w:pPr>
      <w:r>
        <w:rPr>
          <w:color w:val="auto"/>
          <w:highlight w:val="none"/>
          <w:lang w:eastAsia="zh-CN"/>
        </w:rPr>
        <w:t>第七章</w:t>
      </w:r>
      <w:r>
        <w:rPr>
          <w:color w:val="auto"/>
          <w:highlight w:val="none"/>
          <w:lang w:eastAsia="zh-CN"/>
        </w:rPr>
        <w:tab/>
      </w:r>
      <w:r>
        <w:rPr>
          <w:color w:val="auto"/>
          <w:spacing w:val="-1"/>
          <w:w w:val="95"/>
          <w:highlight w:val="none"/>
          <w:lang w:eastAsia="zh-CN"/>
        </w:rPr>
        <w:t>其</w:t>
      </w:r>
      <w:r>
        <w:rPr>
          <w:color w:val="auto"/>
          <w:w w:val="95"/>
          <w:highlight w:val="none"/>
          <w:lang w:eastAsia="zh-CN"/>
        </w:rPr>
        <w:t>它</w:t>
      </w:r>
    </w:p>
    <w:p>
      <w:pPr>
        <w:pStyle w:val="15"/>
        <w:spacing w:line="360" w:lineRule="auto"/>
        <w:ind w:left="567"/>
        <w:rPr>
          <w:color w:val="auto"/>
          <w:highlight w:val="none"/>
          <w:lang w:eastAsia="zh-CN"/>
        </w:rPr>
      </w:pPr>
    </w:p>
    <w:p>
      <w:pPr>
        <w:pStyle w:val="15"/>
        <w:spacing w:line="360" w:lineRule="auto"/>
        <w:ind w:left="65" w:hanging="64" w:hangingChars="27"/>
        <w:rPr>
          <w:color w:val="auto"/>
          <w:highlight w:val="none"/>
          <w:lang w:eastAsia="zh-CN"/>
        </w:rPr>
      </w:pPr>
      <w:r>
        <w:rPr>
          <w:color w:val="auto"/>
          <w:highlight w:val="none"/>
          <w:lang w:eastAsia="zh-CN"/>
        </w:rPr>
        <w:t>1.</w:t>
      </w:r>
      <w:r>
        <w:rPr>
          <w:rFonts w:hint="eastAsia"/>
          <w:color w:val="auto"/>
          <w:highlight w:val="none"/>
          <w:lang w:eastAsia="zh-CN"/>
        </w:rPr>
        <w:t xml:space="preserve"> 参选人提交的文件将给予保密，</w:t>
      </w:r>
      <w:r>
        <w:rPr>
          <w:color w:val="auto"/>
          <w:highlight w:val="none"/>
          <w:lang w:eastAsia="zh-CN"/>
        </w:rPr>
        <w:t>参选人的参选文件无论其是否中选，均不退回。</w:t>
      </w:r>
    </w:p>
    <w:p>
      <w:pPr>
        <w:pStyle w:val="15"/>
        <w:spacing w:before="108" w:line="360" w:lineRule="auto"/>
        <w:rPr>
          <w:color w:val="auto"/>
          <w:highlight w:val="none"/>
          <w:lang w:eastAsia="zh-CN"/>
        </w:rPr>
      </w:pPr>
      <w:r>
        <w:rPr>
          <w:color w:val="auto"/>
          <w:highlight w:val="none"/>
          <w:lang w:eastAsia="zh-CN"/>
        </w:rPr>
        <w:t>2.</w:t>
      </w:r>
      <w:r>
        <w:rPr>
          <w:rFonts w:hint="eastAsia"/>
          <w:color w:val="auto"/>
          <w:highlight w:val="none"/>
          <w:lang w:eastAsia="zh-CN"/>
        </w:rPr>
        <w:t xml:space="preserve"> </w:t>
      </w:r>
      <w:r>
        <w:rPr>
          <w:color w:val="auto"/>
          <w:highlight w:val="none"/>
          <w:lang w:eastAsia="zh-CN"/>
        </w:rPr>
        <w:t>比选人郑重承诺：参选人所提交的参选文件及相关资料不向第三方泄露。</w:t>
      </w:r>
    </w:p>
    <w:p>
      <w:pPr>
        <w:pStyle w:val="15"/>
        <w:spacing w:before="106" w:line="360" w:lineRule="auto"/>
        <w:rPr>
          <w:color w:val="auto"/>
          <w:highlight w:val="none"/>
          <w:lang w:eastAsia="zh-CN"/>
        </w:rPr>
      </w:pPr>
      <w:r>
        <w:rPr>
          <w:color w:val="auto"/>
          <w:highlight w:val="none"/>
          <w:lang w:eastAsia="zh-CN"/>
        </w:rPr>
        <w:t>3.</w:t>
      </w:r>
      <w:r>
        <w:rPr>
          <w:rFonts w:hint="eastAsia"/>
          <w:color w:val="auto"/>
          <w:highlight w:val="none"/>
          <w:lang w:eastAsia="zh-CN"/>
        </w:rPr>
        <w:t xml:space="preserve"> </w:t>
      </w:r>
      <w:r>
        <w:rPr>
          <w:color w:val="auto"/>
          <w:highlight w:val="none"/>
          <w:lang w:eastAsia="zh-CN"/>
        </w:rPr>
        <w:t>本比选文件的解释权归</w:t>
      </w:r>
      <w:r>
        <w:rPr>
          <w:rFonts w:hint="eastAsia"/>
          <w:color w:val="auto"/>
          <w:spacing w:val="-6"/>
          <w:highlight w:val="none"/>
          <w:lang w:eastAsia="zh-CN"/>
        </w:rPr>
        <w:t>福建福海创石油化工</w:t>
      </w:r>
      <w:r>
        <w:rPr>
          <w:color w:val="auto"/>
          <w:highlight w:val="none"/>
          <w:lang w:eastAsia="zh-CN"/>
        </w:rPr>
        <w:t>有限公司。</w:t>
      </w:r>
    </w:p>
    <w:p>
      <w:pPr>
        <w:pStyle w:val="15"/>
        <w:spacing w:before="106" w:line="360" w:lineRule="auto"/>
        <w:ind w:left="567"/>
        <w:rPr>
          <w:color w:val="auto"/>
          <w:highlight w:val="none"/>
          <w:lang w:eastAsia="zh-CN"/>
        </w:rPr>
      </w:pPr>
      <w:r>
        <w:rPr>
          <w:color w:val="auto"/>
          <w:highlight w:val="none"/>
          <w:lang w:eastAsia="zh-CN"/>
        </w:rPr>
        <w:br w:type="page"/>
      </w:r>
    </w:p>
    <w:p>
      <w:pPr>
        <w:pStyle w:val="15"/>
        <w:rPr>
          <w:rFonts w:ascii="Times New Roman"/>
          <w:b/>
          <w:bCs/>
          <w:color w:val="auto"/>
          <w:highlight w:val="none"/>
          <w:lang w:eastAsia="zh-CN"/>
        </w:rPr>
      </w:pPr>
      <w:r>
        <w:rPr>
          <w:rFonts w:hint="eastAsia" w:ascii="Times New Roman"/>
          <w:b/>
          <w:bCs/>
          <w:color w:val="auto"/>
          <w:highlight w:val="none"/>
          <w:lang w:eastAsia="zh-CN"/>
        </w:rPr>
        <w:t>附件一：</w:t>
      </w:r>
    </w:p>
    <w:p>
      <w:pPr>
        <w:jc w:val="center"/>
        <w:rPr>
          <w:rFonts w:asciiTheme="majorEastAsia" w:hAnsiTheme="majorEastAsia" w:eastAsiaTheme="majorEastAsia"/>
          <w:b/>
          <w:color w:val="auto"/>
          <w:sz w:val="36"/>
          <w:szCs w:val="36"/>
          <w:highlight w:val="none"/>
          <w:lang w:eastAsia="zh-CN"/>
        </w:rPr>
      </w:pPr>
    </w:p>
    <w:p>
      <w:pPr>
        <w:pStyle w:val="2"/>
        <w:rPr>
          <w:color w:val="auto"/>
          <w:highlight w:val="none"/>
        </w:rPr>
      </w:pPr>
    </w:p>
    <w:p>
      <w:pPr>
        <w:jc w:val="center"/>
        <w:rPr>
          <w:b/>
          <w:color w:val="auto"/>
          <w:sz w:val="44"/>
          <w:szCs w:val="44"/>
          <w:highlight w:val="none"/>
          <w:lang w:eastAsia="zh-CN"/>
        </w:rPr>
      </w:pPr>
      <w:bookmarkStart w:id="10" w:name="_Toc177186409"/>
      <w:r>
        <w:rPr>
          <w:rFonts w:hint="eastAsia"/>
          <w:b/>
          <w:bCs/>
          <w:color w:val="auto"/>
          <w:sz w:val="52"/>
          <w:szCs w:val="52"/>
          <w:highlight w:val="none"/>
          <w:lang w:eastAsia="zh-CN"/>
        </w:rPr>
        <w:t>翔鹭石化(漳州)有限公司</w:t>
      </w:r>
    </w:p>
    <w:p>
      <w:pPr>
        <w:ind w:firstLine="883"/>
        <w:jc w:val="center"/>
        <w:rPr>
          <w:b/>
          <w:color w:val="auto"/>
          <w:sz w:val="44"/>
          <w:szCs w:val="44"/>
          <w:highlight w:val="none"/>
          <w:lang w:eastAsia="zh-CN"/>
        </w:rPr>
      </w:pPr>
    </w:p>
    <w:p>
      <w:pPr>
        <w:pStyle w:val="2"/>
        <w:rPr>
          <w:color w:val="auto"/>
          <w:highlight w:val="none"/>
        </w:rPr>
      </w:pPr>
    </w:p>
    <w:p>
      <w:pPr>
        <w:spacing w:line="480" w:lineRule="exact"/>
        <w:jc w:val="center"/>
        <w:rPr>
          <w:b/>
          <w:color w:val="auto"/>
          <w:sz w:val="44"/>
          <w:szCs w:val="44"/>
          <w:highlight w:val="none"/>
          <w:lang w:eastAsia="zh-CN"/>
        </w:rPr>
      </w:pPr>
      <w:r>
        <w:rPr>
          <w:rFonts w:hint="eastAsia"/>
          <w:b/>
          <w:color w:val="auto"/>
          <w:sz w:val="44"/>
          <w:szCs w:val="44"/>
          <w:highlight w:val="none"/>
          <w:lang w:eastAsia="zh-CN"/>
        </w:rPr>
        <w:t>海水冷却系统取水工程生态补偿增殖放流</w:t>
      </w:r>
    </w:p>
    <w:p>
      <w:pPr>
        <w:spacing w:line="480" w:lineRule="exact"/>
        <w:jc w:val="center"/>
        <w:rPr>
          <w:b/>
          <w:color w:val="auto"/>
          <w:sz w:val="44"/>
          <w:szCs w:val="44"/>
          <w:highlight w:val="none"/>
          <w:lang w:eastAsia="zh-CN"/>
        </w:rPr>
      </w:pPr>
      <w:r>
        <w:rPr>
          <w:rFonts w:hint="eastAsia"/>
          <w:b/>
          <w:color w:val="auto"/>
          <w:sz w:val="44"/>
          <w:szCs w:val="44"/>
          <w:highlight w:val="none"/>
          <w:lang w:eastAsia="zh-CN"/>
        </w:rPr>
        <w:t>采购合同</w:t>
      </w:r>
    </w:p>
    <w:p>
      <w:pPr>
        <w:spacing w:line="480" w:lineRule="exact"/>
        <w:ind w:firstLine="883"/>
        <w:jc w:val="center"/>
        <w:rPr>
          <w:b/>
          <w:color w:val="auto"/>
          <w:sz w:val="44"/>
          <w:szCs w:val="44"/>
          <w:highlight w:val="none"/>
          <w:lang w:eastAsia="zh-CN"/>
        </w:rPr>
      </w:pPr>
    </w:p>
    <w:p>
      <w:pPr>
        <w:jc w:val="center"/>
        <w:rPr>
          <w:color w:val="auto"/>
          <w:sz w:val="32"/>
          <w:szCs w:val="32"/>
          <w:highlight w:val="none"/>
          <w:lang w:eastAsia="zh-CN"/>
        </w:rPr>
      </w:pPr>
      <w:r>
        <w:rPr>
          <w:rFonts w:hint="eastAsia"/>
          <w:color w:val="auto"/>
          <w:sz w:val="32"/>
          <w:szCs w:val="32"/>
          <w:highlight w:val="none"/>
          <w:lang w:eastAsia="zh-CN"/>
        </w:rPr>
        <w:t>(合同编号：                  )</w:t>
      </w:r>
    </w:p>
    <w:p>
      <w:pPr>
        <w:ind w:firstLine="602"/>
        <w:rPr>
          <w:b/>
          <w:color w:val="auto"/>
          <w:sz w:val="30"/>
          <w:highlight w:val="none"/>
          <w:lang w:eastAsia="zh-CN"/>
        </w:rPr>
      </w:pPr>
    </w:p>
    <w:p>
      <w:pPr>
        <w:pStyle w:val="2"/>
        <w:rPr>
          <w:color w:val="auto"/>
          <w:highlight w:val="none"/>
        </w:rPr>
      </w:pPr>
    </w:p>
    <w:p>
      <w:pPr>
        <w:ind w:firstLine="602"/>
        <w:rPr>
          <w:b/>
          <w:color w:val="auto"/>
          <w:sz w:val="30"/>
          <w:highlight w:val="none"/>
          <w:lang w:eastAsia="zh-CN"/>
        </w:rPr>
      </w:pPr>
    </w:p>
    <w:p>
      <w:pPr>
        <w:pStyle w:val="2"/>
        <w:rPr>
          <w:color w:val="auto"/>
          <w:highlight w:val="none"/>
        </w:rPr>
      </w:pPr>
    </w:p>
    <w:p>
      <w:pPr>
        <w:ind w:firstLine="602"/>
        <w:rPr>
          <w:b/>
          <w:color w:val="auto"/>
          <w:sz w:val="30"/>
          <w:highlight w:val="none"/>
          <w:lang w:eastAsia="zh-CN"/>
        </w:rPr>
      </w:pPr>
    </w:p>
    <w:p>
      <w:pPr>
        <w:ind w:firstLine="602"/>
        <w:rPr>
          <w:b/>
          <w:color w:val="auto"/>
          <w:sz w:val="30"/>
          <w:highlight w:val="none"/>
          <w:lang w:eastAsia="zh-CN"/>
        </w:rPr>
      </w:pPr>
    </w:p>
    <w:p>
      <w:pPr>
        <w:ind w:firstLine="602"/>
        <w:rPr>
          <w:b/>
          <w:color w:val="auto"/>
          <w:sz w:val="30"/>
          <w:highlight w:val="none"/>
          <w:lang w:eastAsia="zh-CN"/>
        </w:rPr>
      </w:pPr>
    </w:p>
    <w:p>
      <w:pPr>
        <w:ind w:firstLine="602"/>
        <w:rPr>
          <w:b/>
          <w:color w:val="auto"/>
          <w:sz w:val="30"/>
          <w:highlight w:val="none"/>
          <w:lang w:eastAsia="zh-CN"/>
        </w:rPr>
      </w:pPr>
    </w:p>
    <w:p>
      <w:pPr>
        <w:ind w:firstLine="960" w:firstLineChars="300"/>
        <w:rPr>
          <w:color w:val="auto"/>
          <w:sz w:val="32"/>
          <w:szCs w:val="32"/>
          <w:highlight w:val="none"/>
          <w:lang w:eastAsia="zh-CN"/>
        </w:rPr>
      </w:pPr>
      <w:r>
        <w:rPr>
          <w:rFonts w:hint="eastAsia"/>
          <w:color w:val="auto"/>
          <w:sz w:val="32"/>
          <w:szCs w:val="32"/>
          <w:highlight w:val="none"/>
          <w:lang w:eastAsia="zh-CN"/>
        </w:rPr>
        <w:t>甲方：翔鹭石化(漳州)有限公司</w:t>
      </w:r>
    </w:p>
    <w:p>
      <w:pPr>
        <w:ind w:firstLine="960" w:firstLineChars="300"/>
        <w:rPr>
          <w:color w:val="auto"/>
          <w:sz w:val="32"/>
          <w:szCs w:val="32"/>
          <w:highlight w:val="none"/>
          <w:lang w:eastAsia="zh-CN"/>
        </w:rPr>
      </w:pPr>
      <w:r>
        <w:rPr>
          <w:rFonts w:hint="eastAsia"/>
          <w:color w:val="auto"/>
          <w:sz w:val="32"/>
          <w:szCs w:val="32"/>
          <w:highlight w:val="none"/>
          <w:lang w:eastAsia="zh-CN"/>
        </w:rPr>
        <w:t>乙方：</w:t>
      </w:r>
    </w:p>
    <w:p>
      <w:pPr>
        <w:ind w:firstLine="960" w:firstLineChars="300"/>
        <w:rPr>
          <w:color w:val="auto"/>
          <w:sz w:val="32"/>
          <w:szCs w:val="32"/>
          <w:highlight w:val="none"/>
          <w:lang w:eastAsia="zh-CN"/>
        </w:rPr>
      </w:pPr>
      <w:r>
        <w:rPr>
          <w:color w:val="auto"/>
          <w:sz w:val="32"/>
          <w:szCs w:val="32"/>
          <w:highlight w:val="none"/>
          <w:lang w:eastAsia="zh-CN"/>
        </w:rPr>
        <w:t xml:space="preserve"> </w:t>
      </w:r>
    </w:p>
    <w:p>
      <w:pPr>
        <w:ind w:firstLine="800" w:firstLineChars="250"/>
        <w:rPr>
          <w:color w:val="auto"/>
          <w:sz w:val="32"/>
          <w:szCs w:val="32"/>
          <w:highlight w:val="none"/>
          <w:lang w:eastAsia="zh-CN"/>
        </w:rPr>
      </w:pPr>
    </w:p>
    <w:p>
      <w:pPr>
        <w:tabs>
          <w:tab w:val="right" w:pos="9638"/>
        </w:tabs>
        <w:ind w:firstLine="320" w:firstLineChars="100"/>
        <w:jc w:val="center"/>
        <w:rPr>
          <w:color w:val="auto"/>
          <w:sz w:val="32"/>
          <w:szCs w:val="32"/>
          <w:highlight w:val="none"/>
          <w:lang w:eastAsia="zh-CN"/>
        </w:rPr>
      </w:pPr>
      <w:r>
        <w:rPr>
          <w:rFonts w:hint="eastAsia"/>
          <w:color w:val="auto"/>
          <w:sz w:val="32"/>
          <w:szCs w:val="32"/>
          <w:highlight w:val="none"/>
          <w:lang w:eastAsia="zh-CN"/>
        </w:rPr>
        <w:t>日  期: 2024 年  月  日</w:t>
      </w:r>
    </w:p>
    <w:p>
      <w:pPr>
        <w:tabs>
          <w:tab w:val="right" w:pos="9638"/>
        </w:tabs>
        <w:jc w:val="center"/>
        <w:rPr>
          <w:color w:val="auto"/>
          <w:sz w:val="32"/>
          <w:szCs w:val="32"/>
          <w:highlight w:val="none"/>
          <w:lang w:eastAsia="zh-CN"/>
        </w:rPr>
      </w:pPr>
    </w:p>
    <w:p>
      <w:pPr>
        <w:spacing w:line="360" w:lineRule="auto"/>
        <w:ind w:firstLine="480" w:firstLineChars="200"/>
        <w:rPr>
          <w:color w:val="auto"/>
          <w:sz w:val="24"/>
          <w:highlight w:val="none"/>
          <w:lang w:eastAsia="zh-CN"/>
        </w:rPr>
      </w:pPr>
      <w:r>
        <w:rPr>
          <w:rFonts w:hint="eastAsia"/>
          <w:color w:val="auto"/>
          <w:sz w:val="24"/>
          <w:highlight w:val="none"/>
          <w:lang w:eastAsia="zh-CN"/>
        </w:rPr>
        <w:t>根据甲方采购项目需求，经双方友好协商，就甲方向乙方采购本合同第1条所列产品相关事宜，依据《中华人民共和国民法典》及其他相关法律法规规定，双方签订如下协议：</w:t>
      </w:r>
    </w:p>
    <w:p>
      <w:pPr>
        <w:spacing w:line="360" w:lineRule="auto"/>
        <w:ind w:firstLine="480"/>
        <w:rPr>
          <w:b/>
          <w:bCs/>
          <w:color w:val="auto"/>
          <w:sz w:val="24"/>
          <w:highlight w:val="none"/>
        </w:rPr>
      </w:pPr>
      <w:r>
        <w:rPr>
          <w:rFonts w:hint="eastAsia"/>
          <w:b/>
          <w:bCs/>
          <w:color w:val="auto"/>
          <w:sz w:val="24"/>
          <w:highlight w:val="none"/>
          <w:lang w:val="en-US" w:eastAsia="zh-CN"/>
        </w:rPr>
        <w:t xml:space="preserve">第一条 </w:t>
      </w:r>
      <w:r>
        <w:rPr>
          <w:rFonts w:hint="eastAsia"/>
          <w:b/>
          <w:bCs/>
          <w:color w:val="auto"/>
          <w:sz w:val="24"/>
          <w:highlight w:val="none"/>
        </w:rPr>
        <w:t>合同标的和合同价格</w:t>
      </w:r>
    </w:p>
    <w:tbl>
      <w:tblPr>
        <w:tblStyle w:val="35"/>
        <w:tblW w:w="8938" w:type="dxa"/>
        <w:tblInd w:w="210" w:type="dxa"/>
        <w:tblLayout w:type="fixed"/>
        <w:tblCellMar>
          <w:top w:w="0" w:type="dxa"/>
          <w:left w:w="108" w:type="dxa"/>
          <w:bottom w:w="0" w:type="dxa"/>
          <w:right w:w="108" w:type="dxa"/>
        </w:tblCellMar>
      </w:tblPr>
      <w:tblGrid>
        <w:gridCol w:w="775"/>
        <w:gridCol w:w="1445"/>
        <w:gridCol w:w="2121"/>
        <w:gridCol w:w="1407"/>
        <w:gridCol w:w="1980"/>
        <w:gridCol w:w="1204"/>
        <w:gridCol w:w="6"/>
      </w:tblGrid>
      <w:tr>
        <w:tblPrEx>
          <w:tblCellMar>
            <w:top w:w="0" w:type="dxa"/>
            <w:left w:w="108" w:type="dxa"/>
            <w:bottom w:w="0" w:type="dxa"/>
            <w:right w:w="108" w:type="dxa"/>
          </w:tblCellMar>
        </w:tblPrEx>
        <w:trPr>
          <w:trHeight w:val="645" w:hRule="atLeast"/>
        </w:trPr>
        <w:tc>
          <w:tcPr>
            <w:tcW w:w="8938" w:type="dxa"/>
            <w:gridSpan w:val="7"/>
            <w:tcBorders>
              <w:top w:val="nil"/>
              <w:left w:val="nil"/>
              <w:bottom w:val="single" w:color="auto" w:sz="4" w:space="0"/>
              <w:right w:val="nil"/>
            </w:tcBorders>
            <w:vAlign w:val="center"/>
          </w:tcPr>
          <w:p>
            <w:pPr>
              <w:widowControl/>
              <w:ind w:firstLine="482"/>
              <w:jc w:val="center"/>
              <w:rPr>
                <w:b/>
                <w:bCs/>
                <w:color w:val="auto"/>
                <w:sz w:val="24"/>
                <w:szCs w:val="24"/>
                <w:highlight w:val="none"/>
                <w:lang w:eastAsia="zh-CN"/>
              </w:rPr>
            </w:pPr>
            <w:r>
              <w:rPr>
                <w:rFonts w:hint="eastAsia"/>
                <w:b/>
                <w:bCs/>
                <w:color w:val="auto"/>
                <w:sz w:val="24"/>
                <w:szCs w:val="24"/>
                <w:highlight w:val="none"/>
                <w:lang w:eastAsia="zh-CN"/>
              </w:rPr>
              <w:t>增殖放流采购价格清单</w:t>
            </w:r>
          </w:p>
        </w:tc>
      </w:tr>
      <w:tr>
        <w:tblPrEx>
          <w:tblCellMar>
            <w:top w:w="0" w:type="dxa"/>
            <w:left w:w="108" w:type="dxa"/>
            <w:bottom w:w="0" w:type="dxa"/>
            <w:right w:w="108" w:type="dxa"/>
          </w:tblCellMar>
        </w:tblPrEx>
        <w:trPr>
          <w:gridAfter w:val="1"/>
          <w:wAfter w:w="6" w:type="dxa"/>
          <w:trHeight w:val="450" w:hRule="atLeast"/>
        </w:trPr>
        <w:tc>
          <w:tcPr>
            <w:tcW w:w="775" w:type="dxa"/>
            <w:tcBorders>
              <w:top w:val="nil"/>
              <w:left w:val="single" w:color="auto" w:sz="4" w:space="0"/>
              <w:bottom w:val="single" w:color="auto" w:sz="4" w:space="0"/>
              <w:right w:val="single" w:color="auto" w:sz="4" w:space="0"/>
            </w:tcBorders>
            <w:vAlign w:val="center"/>
          </w:tcPr>
          <w:p>
            <w:pPr>
              <w:widowControl/>
              <w:rPr>
                <w:b/>
                <w:bCs/>
                <w:color w:val="auto"/>
                <w:sz w:val="24"/>
                <w:szCs w:val="24"/>
                <w:highlight w:val="none"/>
              </w:rPr>
            </w:pPr>
            <w:r>
              <w:rPr>
                <w:rFonts w:hint="eastAsia"/>
                <w:b/>
                <w:bCs/>
                <w:color w:val="auto"/>
                <w:sz w:val="24"/>
                <w:szCs w:val="24"/>
                <w:highlight w:val="none"/>
              </w:rPr>
              <w:t>序号</w:t>
            </w:r>
          </w:p>
        </w:tc>
        <w:tc>
          <w:tcPr>
            <w:tcW w:w="1445" w:type="dxa"/>
            <w:tcBorders>
              <w:top w:val="nil"/>
              <w:left w:val="nil"/>
              <w:bottom w:val="single" w:color="auto" w:sz="4" w:space="0"/>
              <w:right w:val="single" w:color="auto" w:sz="4" w:space="0"/>
            </w:tcBorders>
            <w:vAlign w:val="center"/>
          </w:tcPr>
          <w:p>
            <w:pPr>
              <w:widowControl/>
              <w:jc w:val="center"/>
              <w:rPr>
                <w:b/>
                <w:bCs/>
                <w:color w:val="auto"/>
                <w:sz w:val="24"/>
                <w:szCs w:val="24"/>
                <w:highlight w:val="none"/>
              </w:rPr>
            </w:pPr>
            <w:r>
              <w:rPr>
                <w:rFonts w:hint="eastAsia"/>
                <w:b/>
                <w:bCs/>
                <w:color w:val="auto"/>
                <w:sz w:val="24"/>
                <w:szCs w:val="24"/>
                <w:highlight w:val="none"/>
              </w:rPr>
              <w:t>品种</w:t>
            </w:r>
          </w:p>
        </w:tc>
        <w:tc>
          <w:tcPr>
            <w:tcW w:w="2121" w:type="dxa"/>
            <w:tcBorders>
              <w:top w:val="nil"/>
              <w:left w:val="nil"/>
              <w:bottom w:val="single" w:color="auto" w:sz="4" w:space="0"/>
              <w:right w:val="single" w:color="auto" w:sz="4" w:space="0"/>
            </w:tcBorders>
            <w:vAlign w:val="center"/>
          </w:tcPr>
          <w:p>
            <w:pPr>
              <w:widowControl/>
              <w:jc w:val="center"/>
              <w:rPr>
                <w:b/>
                <w:bCs/>
                <w:color w:val="auto"/>
                <w:sz w:val="24"/>
                <w:szCs w:val="24"/>
                <w:highlight w:val="none"/>
              </w:rPr>
            </w:pPr>
            <w:r>
              <w:rPr>
                <w:rFonts w:hint="eastAsia"/>
                <w:b/>
                <w:bCs/>
                <w:color w:val="auto"/>
                <w:sz w:val="24"/>
                <w:szCs w:val="24"/>
                <w:highlight w:val="none"/>
              </w:rPr>
              <w:t>规格</w:t>
            </w:r>
          </w:p>
        </w:tc>
        <w:tc>
          <w:tcPr>
            <w:tcW w:w="1407" w:type="dxa"/>
            <w:tcBorders>
              <w:top w:val="nil"/>
              <w:left w:val="nil"/>
              <w:bottom w:val="single" w:color="auto" w:sz="4" w:space="0"/>
              <w:right w:val="single" w:color="auto" w:sz="4" w:space="0"/>
            </w:tcBorders>
            <w:vAlign w:val="center"/>
          </w:tcPr>
          <w:p>
            <w:pPr>
              <w:widowControl/>
              <w:jc w:val="center"/>
              <w:rPr>
                <w:rFonts w:hint="eastAsia"/>
                <w:b/>
                <w:bCs/>
                <w:color w:val="auto"/>
                <w:sz w:val="24"/>
                <w:szCs w:val="24"/>
                <w:highlight w:val="none"/>
              </w:rPr>
            </w:pPr>
            <w:r>
              <w:rPr>
                <w:rFonts w:hint="eastAsia"/>
                <w:b/>
                <w:bCs/>
                <w:color w:val="auto"/>
                <w:sz w:val="24"/>
                <w:szCs w:val="24"/>
                <w:highlight w:val="none"/>
              </w:rPr>
              <w:t>数量</w:t>
            </w:r>
          </w:p>
          <w:p>
            <w:pPr>
              <w:widowControl/>
              <w:jc w:val="center"/>
              <w:rPr>
                <w:b/>
                <w:bCs/>
                <w:color w:val="auto"/>
                <w:sz w:val="24"/>
                <w:szCs w:val="24"/>
                <w:highlight w:val="none"/>
                <w:lang w:eastAsia="zh-CN"/>
              </w:rPr>
            </w:pPr>
            <w:r>
              <w:rPr>
                <w:rFonts w:hint="eastAsia"/>
                <w:b w:val="0"/>
                <w:bCs w:val="0"/>
                <w:color w:val="auto"/>
                <w:sz w:val="24"/>
                <w:szCs w:val="24"/>
                <w:highlight w:val="none"/>
                <w:lang w:eastAsia="zh-CN"/>
              </w:rPr>
              <w:t>（</w:t>
            </w:r>
            <w:r>
              <w:rPr>
                <w:b w:val="0"/>
                <w:bCs w:val="0"/>
                <w:color w:val="auto"/>
                <w:spacing w:val="-2"/>
                <w:sz w:val="21"/>
                <w:highlight w:val="none"/>
              </w:rPr>
              <w:t>万尾</w:t>
            </w:r>
            <w:r>
              <w:rPr>
                <w:rFonts w:hint="eastAsia"/>
                <w:b w:val="0"/>
                <w:bCs w:val="0"/>
                <w:color w:val="auto"/>
                <w:spacing w:val="-2"/>
                <w:sz w:val="21"/>
                <w:highlight w:val="none"/>
                <w:lang w:eastAsia="zh-CN"/>
              </w:rPr>
              <w:t>）</w:t>
            </w:r>
          </w:p>
        </w:tc>
        <w:tc>
          <w:tcPr>
            <w:tcW w:w="1980" w:type="dxa"/>
            <w:tcBorders>
              <w:top w:val="nil"/>
              <w:left w:val="nil"/>
              <w:bottom w:val="single" w:color="auto" w:sz="4" w:space="0"/>
              <w:right w:val="single" w:color="auto" w:sz="4" w:space="0"/>
            </w:tcBorders>
            <w:vAlign w:val="center"/>
          </w:tcPr>
          <w:p>
            <w:pPr>
              <w:widowControl/>
              <w:jc w:val="center"/>
              <w:rPr>
                <w:b/>
                <w:bCs/>
                <w:color w:val="auto"/>
                <w:sz w:val="24"/>
                <w:szCs w:val="24"/>
                <w:highlight w:val="none"/>
              </w:rPr>
            </w:pPr>
            <w:r>
              <w:rPr>
                <w:rFonts w:hint="eastAsia"/>
                <w:b/>
                <w:bCs/>
                <w:color w:val="auto"/>
                <w:sz w:val="24"/>
                <w:szCs w:val="24"/>
                <w:highlight w:val="none"/>
              </w:rPr>
              <w:t>放流时间</w:t>
            </w:r>
          </w:p>
        </w:tc>
        <w:tc>
          <w:tcPr>
            <w:tcW w:w="1204" w:type="dxa"/>
            <w:tcBorders>
              <w:top w:val="nil"/>
              <w:left w:val="nil"/>
              <w:bottom w:val="single" w:color="auto" w:sz="4" w:space="0"/>
              <w:right w:val="single" w:color="auto" w:sz="4" w:space="0"/>
            </w:tcBorders>
            <w:vAlign w:val="center"/>
          </w:tcPr>
          <w:p>
            <w:pPr>
              <w:widowControl/>
              <w:jc w:val="center"/>
              <w:rPr>
                <w:b/>
                <w:bCs/>
                <w:color w:val="auto"/>
                <w:sz w:val="24"/>
                <w:szCs w:val="24"/>
                <w:highlight w:val="none"/>
              </w:rPr>
            </w:pPr>
            <w:r>
              <w:rPr>
                <w:rFonts w:hint="eastAsia"/>
                <w:b/>
                <w:bCs/>
                <w:color w:val="auto"/>
                <w:sz w:val="24"/>
                <w:szCs w:val="24"/>
                <w:highlight w:val="none"/>
              </w:rPr>
              <w:t>备注</w:t>
            </w:r>
          </w:p>
        </w:tc>
      </w:tr>
      <w:tr>
        <w:tblPrEx>
          <w:tblCellMar>
            <w:top w:w="0" w:type="dxa"/>
            <w:left w:w="108" w:type="dxa"/>
            <w:bottom w:w="0" w:type="dxa"/>
            <w:right w:w="108" w:type="dxa"/>
          </w:tblCellMar>
        </w:tblPrEx>
        <w:trPr>
          <w:gridAfter w:val="1"/>
          <w:wAfter w:w="6" w:type="dxa"/>
          <w:trHeight w:val="420" w:hRule="atLeast"/>
        </w:trPr>
        <w:tc>
          <w:tcPr>
            <w:tcW w:w="775" w:type="dxa"/>
            <w:tcBorders>
              <w:top w:val="nil"/>
              <w:left w:val="single" w:color="auto" w:sz="4" w:space="0"/>
              <w:bottom w:val="single" w:color="auto" w:sz="4" w:space="0"/>
              <w:right w:val="single" w:color="auto" w:sz="4" w:space="0"/>
            </w:tcBorders>
            <w:vAlign w:val="center"/>
          </w:tcPr>
          <w:p>
            <w:pPr>
              <w:widowControl/>
              <w:jc w:val="center"/>
              <w:rPr>
                <w:rFonts w:hint="eastAsia"/>
                <w:color w:val="auto"/>
                <w:spacing w:val="-2"/>
                <w:sz w:val="21"/>
                <w:highlight w:val="none"/>
              </w:rPr>
            </w:pPr>
            <w:r>
              <w:rPr>
                <w:rFonts w:hint="eastAsia"/>
                <w:color w:val="auto"/>
                <w:spacing w:val="-2"/>
                <w:sz w:val="21"/>
                <w:highlight w:val="none"/>
              </w:rPr>
              <w:t>1</w:t>
            </w:r>
          </w:p>
        </w:tc>
        <w:tc>
          <w:tcPr>
            <w:tcW w:w="1445" w:type="dxa"/>
            <w:tcBorders>
              <w:top w:val="nil"/>
              <w:left w:val="nil"/>
              <w:bottom w:val="single" w:color="auto" w:sz="4" w:space="0"/>
              <w:right w:val="single" w:color="auto" w:sz="4" w:space="0"/>
            </w:tcBorders>
            <w:vAlign w:val="center"/>
          </w:tcPr>
          <w:p>
            <w:pPr>
              <w:widowControl/>
              <w:jc w:val="center"/>
              <w:rPr>
                <w:rFonts w:hint="eastAsia"/>
                <w:color w:val="auto"/>
                <w:spacing w:val="-2"/>
                <w:sz w:val="21"/>
                <w:highlight w:val="none"/>
              </w:rPr>
            </w:pPr>
            <w:r>
              <w:rPr>
                <w:rFonts w:hint="eastAsia"/>
                <w:color w:val="auto"/>
                <w:spacing w:val="-2"/>
                <w:sz w:val="21"/>
                <w:highlight w:val="none"/>
              </w:rPr>
              <w:t>黄鳍鲷</w:t>
            </w:r>
          </w:p>
        </w:tc>
        <w:tc>
          <w:tcPr>
            <w:tcW w:w="2121" w:type="dxa"/>
            <w:tcBorders>
              <w:top w:val="nil"/>
              <w:left w:val="nil"/>
              <w:bottom w:val="single" w:color="auto" w:sz="4" w:space="0"/>
              <w:right w:val="single" w:color="auto" w:sz="4" w:space="0"/>
            </w:tcBorders>
            <w:vAlign w:val="center"/>
          </w:tcPr>
          <w:p>
            <w:pPr>
              <w:widowControl/>
              <w:jc w:val="center"/>
              <w:rPr>
                <w:rFonts w:hint="eastAsia"/>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pPr>
              <w:widowControl/>
              <w:jc w:val="center"/>
              <w:rPr>
                <w:rFonts w:hint="eastAsia"/>
                <w:color w:val="auto"/>
                <w:spacing w:val="-2"/>
                <w:sz w:val="21"/>
                <w:highlight w:val="none"/>
              </w:rPr>
            </w:pPr>
          </w:p>
        </w:tc>
        <w:tc>
          <w:tcPr>
            <w:tcW w:w="1980" w:type="dxa"/>
            <w:vMerge w:val="restart"/>
            <w:tcBorders>
              <w:top w:val="nil"/>
              <w:left w:val="nil"/>
              <w:right w:val="single" w:color="auto" w:sz="4" w:space="0"/>
            </w:tcBorders>
            <w:vAlign w:val="center"/>
          </w:tcPr>
          <w:p>
            <w:pPr>
              <w:widowControl/>
              <w:jc w:val="center"/>
              <w:rPr>
                <w:rFonts w:hint="eastAsia"/>
                <w:color w:val="auto"/>
                <w:spacing w:val="-2"/>
                <w:sz w:val="21"/>
                <w:highlight w:val="none"/>
              </w:rPr>
            </w:pPr>
            <w:r>
              <w:rPr>
                <w:rFonts w:hint="eastAsia"/>
                <w:color w:val="auto"/>
                <w:spacing w:val="-2"/>
                <w:sz w:val="21"/>
                <w:highlight w:val="none"/>
              </w:rPr>
              <w:t>202</w:t>
            </w:r>
            <w:r>
              <w:rPr>
                <w:rFonts w:hint="eastAsia"/>
                <w:color w:val="auto"/>
                <w:spacing w:val="-2"/>
                <w:sz w:val="21"/>
                <w:highlight w:val="none"/>
                <w:lang w:eastAsia="zh-CN"/>
              </w:rPr>
              <w:t>4</w:t>
            </w:r>
            <w:r>
              <w:rPr>
                <w:rFonts w:hint="eastAsia"/>
                <w:color w:val="auto"/>
                <w:spacing w:val="-2"/>
                <w:sz w:val="21"/>
                <w:highlight w:val="none"/>
              </w:rPr>
              <w:t>年</w:t>
            </w:r>
            <w:r>
              <w:rPr>
                <w:rFonts w:hint="eastAsia"/>
                <w:color w:val="auto"/>
                <w:spacing w:val="-2"/>
                <w:sz w:val="21"/>
                <w:highlight w:val="none"/>
                <w:lang w:eastAsia="zh-CN"/>
              </w:rPr>
              <w:t>6</w:t>
            </w:r>
            <w:r>
              <w:rPr>
                <w:rFonts w:hint="eastAsia"/>
                <w:color w:val="auto"/>
                <w:spacing w:val="-2"/>
                <w:sz w:val="21"/>
                <w:highlight w:val="none"/>
              </w:rPr>
              <w:t>月</w:t>
            </w:r>
            <w:r>
              <w:rPr>
                <w:rFonts w:hint="eastAsia"/>
                <w:color w:val="auto"/>
                <w:spacing w:val="-2"/>
                <w:sz w:val="21"/>
                <w:highlight w:val="none"/>
                <w:lang w:val="en-US" w:eastAsia="zh-CN"/>
              </w:rPr>
              <w:t>下旬</w:t>
            </w:r>
            <w:r>
              <w:rPr>
                <w:rFonts w:hint="eastAsia"/>
                <w:color w:val="auto"/>
                <w:spacing w:val="-2"/>
                <w:sz w:val="21"/>
                <w:highlight w:val="none"/>
              </w:rPr>
              <w:t>至202</w:t>
            </w:r>
            <w:r>
              <w:rPr>
                <w:rFonts w:hint="eastAsia"/>
                <w:color w:val="auto"/>
                <w:spacing w:val="-2"/>
                <w:sz w:val="21"/>
                <w:highlight w:val="none"/>
                <w:lang w:eastAsia="zh-CN"/>
              </w:rPr>
              <w:t>4</w:t>
            </w:r>
            <w:r>
              <w:rPr>
                <w:rFonts w:hint="eastAsia"/>
                <w:color w:val="auto"/>
                <w:spacing w:val="-2"/>
                <w:sz w:val="21"/>
                <w:highlight w:val="none"/>
              </w:rPr>
              <w:t>年</w:t>
            </w:r>
            <w:r>
              <w:rPr>
                <w:rFonts w:hint="eastAsia"/>
                <w:color w:val="auto"/>
                <w:spacing w:val="-2"/>
                <w:sz w:val="21"/>
                <w:highlight w:val="none"/>
                <w:lang w:eastAsia="zh-CN"/>
              </w:rPr>
              <w:t>8</w:t>
            </w:r>
            <w:r>
              <w:rPr>
                <w:rFonts w:hint="eastAsia"/>
                <w:color w:val="auto"/>
                <w:spacing w:val="-2"/>
                <w:sz w:val="21"/>
                <w:highlight w:val="none"/>
              </w:rPr>
              <w:t>月</w:t>
            </w:r>
            <w:r>
              <w:rPr>
                <w:rFonts w:hint="eastAsia" w:ascii="宋体" w:hAnsi="宋体" w:eastAsia="宋体" w:cs="宋体"/>
                <w:color w:val="auto"/>
                <w:spacing w:val="-2"/>
                <w:sz w:val="21"/>
                <w:highlight w:val="none"/>
                <w:lang w:eastAsia="zh-CN"/>
              </w:rPr>
              <w:t>上旬</w:t>
            </w:r>
            <w:r>
              <w:rPr>
                <w:rFonts w:hint="eastAsia"/>
                <w:color w:val="auto"/>
                <w:spacing w:val="-2"/>
                <w:sz w:val="21"/>
                <w:highlight w:val="none"/>
              </w:rPr>
              <w:t>期间</w:t>
            </w:r>
          </w:p>
        </w:tc>
        <w:tc>
          <w:tcPr>
            <w:tcW w:w="1204" w:type="dxa"/>
            <w:vMerge w:val="restart"/>
            <w:tcBorders>
              <w:top w:val="nil"/>
              <w:left w:val="nil"/>
              <w:bottom w:val="single" w:color="auto" w:sz="4" w:space="0"/>
              <w:right w:val="single" w:color="auto" w:sz="4" w:space="0"/>
            </w:tcBorders>
            <w:vAlign w:val="center"/>
          </w:tcPr>
          <w:p>
            <w:pPr>
              <w:widowControl/>
              <w:jc w:val="center"/>
              <w:rPr>
                <w:rFonts w:hint="eastAsia"/>
                <w:color w:val="auto"/>
                <w:spacing w:val="-2"/>
                <w:sz w:val="21"/>
                <w:highlight w:val="none"/>
                <w:lang w:eastAsia="zh-CN"/>
              </w:rPr>
            </w:pPr>
            <w:r>
              <w:rPr>
                <w:rFonts w:hint="eastAsia"/>
                <w:color w:val="auto"/>
                <w:spacing w:val="-2"/>
                <w:sz w:val="21"/>
                <w:highlight w:val="none"/>
                <w:lang w:eastAsia="zh-CN"/>
              </w:rPr>
              <w:t>各批次可合并，但不许拆分</w:t>
            </w:r>
          </w:p>
        </w:tc>
      </w:tr>
      <w:tr>
        <w:tblPrEx>
          <w:tblCellMar>
            <w:top w:w="0" w:type="dxa"/>
            <w:left w:w="108" w:type="dxa"/>
            <w:bottom w:w="0" w:type="dxa"/>
            <w:right w:w="108" w:type="dxa"/>
          </w:tblCellMar>
        </w:tblPrEx>
        <w:trPr>
          <w:gridAfter w:val="1"/>
          <w:wAfter w:w="6" w:type="dxa"/>
          <w:trHeight w:val="420" w:hRule="atLeast"/>
        </w:trPr>
        <w:tc>
          <w:tcPr>
            <w:tcW w:w="775" w:type="dxa"/>
            <w:tcBorders>
              <w:top w:val="nil"/>
              <w:left w:val="single" w:color="auto" w:sz="4" w:space="0"/>
              <w:bottom w:val="single" w:color="auto" w:sz="4" w:space="0"/>
              <w:right w:val="single" w:color="auto" w:sz="4" w:space="0"/>
            </w:tcBorders>
            <w:vAlign w:val="center"/>
          </w:tcPr>
          <w:p>
            <w:pPr>
              <w:widowControl/>
              <w:jc w:val="center"/>
              <w:rPr>
                <w:rFonts w:hint="eastAsia"/>
                <w:color w:val="auto"/>
                <w:spacing w:val="-2"/>
                <w:sz w:val="21"/>
                <w:highlight w:val="none"/>
              </w:rPr>
            </w:pPr>
            <w:r>
              <w:rPr>
                <w:rFonts w:hint="eastAsia"/>
                <w:color w:val="auto"/>
                <w:spacing w:val="-2"/>
                <w:sz w:val="21"/>
                <w:highlight w:val="none"/>
              </w:rPr>
              <w:t>2</w:t>
            </w:r>
          </w:p>
        </w:tc>
        <w:tc>
          <w:tcPr>
            <w:tcW w:w="1445" w:type="dxa"/>
            <w:tcBorders>
              <w:top w:val="nil"/>
              <w:left w:val="nil"/>
              <w:bottom w:val="single" w:color="auto" w:sz="4" w:space="0"/>
              <w:right w:val="single" w:color="auto" w:sz="4" w:space="0"/>
            </w:tcBorders>
            <w:vAlign w:val="center"/>
          </w:tcPr>
          <w:p>
            <w:pPr>
              <w:widowControl/>
              <w:jc w:val="center"/>
              <w:rPr>
                <w:color w:val="auto"/>
                <w:spacing w:val="-2"/>
                <w:sz w:val="21"/>
                <w:highlight w:val="none"/>
              </w:rPr>
            </w:pPr>
            <w:r>
              <w:rPr>
                <w:rFonts w:hint="eastAsia"/>
                <w:color w:val="auto"/>
                <w:spacing w:val="-2"/>
                <w:sz w:val="21"/>
                <w:highlight w:val="none"/>
              </w:rPr>
              <w:t>大黄鱼</w:t>
            </w:r>
          </w:p>
        </w:tc>
        <w:tc>
          <w:tcPr>
            <w:tcW w:w="2121" w:type="dxa"/>
            <w:tcBorders>
              <w:top w:val="nil"/>
              <w:left w:val="nil"/>
              <w:bottom w:val="single" w:color="auto" w:sz="4" w:space="0"/>
              <w:right w:val="single" w:color="auto" w:sz="4" w:space="0"/>
            </w:tcBorders>
            <w:vAlign w:val="center"/>
          </w:tcPr>
          <w:p>
            <w:pPr>
              <w:widowControl/>
              <w:jc w:val="center"/>
              <w:rPr>
                <w:color w:val="auto"/>
                <w:spacing w:val="-2"/>
                <w:sz w:val="21"/>
                <w:highlight w:val="none"/>
              </w:rPr>
            </w:pPr>
            <w:r>
              <w:rPr>
                <w:rFonts w:hint="eastAsia"/>
                <w:color w:val="auto"/>
                <w:spacing w:val="-2"/>
                <w:sz w:val="21"/>
                <w:highlight w:val="none"/>
              </w:rPr>
              <w:t>不小于5CM仔鱼</w:t>
            </w:r>
          </w:p>
        </w:tc>
        <w:tc>
          <w:tcPr>
            <w:tcW w:w="1407" w:type="dxa"/>
            <w:tcBorders>
              <w:top w:val="nil"/>
              <w:left w:val="nil"/>
              <w:bottom w:val="single" w:color="auto" w:sz="4" w:space="0"/>
              <w:right w:val="single" w:color="auto" w:sz="4" w:space="0"/>
            </w:tcBorders>
            <w:vAlign w:val="center"/>
          </w:tcPr>
          <w:p>
            <w:pPr>
              <w:widowControl/>
              <w:jc w:val="center"/>
              <w:rPr>
                <w:color w:val="auto"/>
                <w:spacing w:val="-2"/>
                <w:sz w:val="21"/>
                <w:highlight w:val="none"/>
              </w:rPr>
            </w:pPr>
          </w:p>
        </w:tc>
        <w:tc>
          <w:tcPr>
            <w:tcW w:w="1980" w:type="dxa"/>
            <w:vMerge w:val="continue"/>
            <w:tcBorders>
              <w:left w:val="nil"/>
              <w:right w:val="single" w:color="auto" w:sz="4" w:space="0"/>
            </w:tcBorders>
            <w:vAlign w:val="center"/>
          </w:tcPr>
          <w:p>
            <w:pPr>
              <w:widowControl/>
              <w:jc w:val="center"/>
              <w:rPr>
                <w:color w:val="auto"/>
                <w:spacing w:val="-2"/>
                <w:sz w:val="21"/>
                <w:highlight w:val="none"/>
              </w:rPr>
            </w:pPr>
          </w:p>
        </w:tc>
        <w:tc>
          <w:tcPr>
            <w:tcW w:w="1204" w:type="dxa"/>
            <w:vMerge w:val="continue"/>
            <w:tcBorders>
              <w:top w:val="nil"/>
              <w:left w:val="nil"/>
              <w:bottom w:val="single" w:color="auto" w:sz="4" w:space="0"/>
              <w:right w:val="single" w:color="auto" w:sz="4" w:space="0"/>
            </w:tcBorders>
            <w:vAlign w:val="center"/>
          </w:tcPr>
          <w:p>
            <w:pPr>
              <w:widowControl/>
              <w:jc w:val="center"/>
              <w:rPr>
                <w:color w:val="auto"/>
                <w:spacing w:val="-2"/>
                <w:sz w:val="21"/>
                <w:highlight w:val="none"/>
              </w:rPr>
            </w:pPr>
          </w:p>
        </w:tc>
      </w:tr>
      <w:tr>
        <w:tblPrEx>
          <w:tblCellMar>
            <w:top w:w="0" w:type="dxa"/>
            <w:left w:w="108" w:type="dxa"/>
            <w:bottom w:w="0" w:type="dxa"/>
            <w:right w:w="108" w:type="dxa"/>
          </w:tblCellMar>
        </w:tblPrEx>
        <w:trPr>
          <w:gridAfter w:val="1"/>
          <w:wAfter w:w="6" w:type="dxa"/>
          <w:trHeight w:val="420" w:hRule="atLeast"/>
        </w:trPr>
        <w:tc>
          <w:tcPr>
            <w:tcW w:w="775" w:type="dxa"/>
            <w:tcBorders>
              <w:top w:val="nil"/>
              <w:left w:val="single" w:color="auto" w:sz="4" w:space="0"/>
              <w:bottom w:val="single" w:color="auto" w:sz="4" w:space="0"/>
              <w:right w:val="single" w:color="auto" w:sz="4" w:space="0"/>
            </w:tcBorders>
            <w:vAlign w:val="center"/>
          </w:tcPr>
          <w:p>
            <w:pPr>
              <w:widowControl/>
              <w:jc w:val="center"/>
              <w:rPr>
                <w:rFonts w:hint="eastAsia" w:eastAsia="宋体"/>
                <w:color w:val="auto"/>
                <w:spacing w:val="-2"/>
                <w:sz w:val="21"/>
                <w:highlight w:val="none"/>
                <w:lang w:val="en-US" w:eastAsia="zh-CN"/>
              </w:rPr>
            </w:pPr>
            <w:r>
              <w:rPr>
                <w:rFonts w:hint="eastAsia"/>
                <w:color w:val="auto"/>
                <w:spacing w:val="-2"/>
                <w:sz w:val="21"/>
                <w:highlight w:val="none"/>
                <w:lang w:val="en-US" w:eastAsia="zh-CN"/>
              </w:rPr>
              <w:t>3</w:t>
            </w:r>
          </w:p>
        </w:tc>
        <w:tc>
          <w:tcPr>
            <w:tcW w:w="1445" w:type="dxa"/>
            <w:tcBorders>
              <w:top w:val="nil"/>
              <w:left w:val="nil"/>
              <w:bottom w:val="single" w:color="auto" w:sz="4" w:space="0"/>
              <w:right w:val="single" w:color="auto" w:sz="4" w:space="0"/>
            </w:tcBorders>
            <w:vAlign w:val="center"/>
          </w:tcPr>
          <w:p>
            <w:pPr>
              <w:widowControl/>
              <w:jc w:val="center"/>
              <w:rPr>
                <w:color w:val="auto"/>
                <w:spacing w:val="-2"/>
                <w:sz w:val="21"/>
                <w:highlight w:val="none"/>
              </w:rPr>
            </w:pPr>
            <w:r>
              <w:rPr>
                <w:rFonts w:hint="eastAsia"/>
                <w:color w:val="auto"/>
                <w:spacing w:val="-2"/>
                <w:sz w:val="21"/>
                <w:highlight w:val="none"/>
              </w:rPr>
              <w:t>日本对虾</w:t>
            </w:r>
          </w:p>
        </w:tc>
        <w:tc>
          <w:tcPr>
            <w:tcW w:w="2121" w:type="dxa"/>
            <w:tcBorders>
              <w:top w:val="nil"/>
              <w:left w:val="nil"/>
              <w:bottom w:val="single" w:color="auto" w:sz="4" w:space="0"/>
              <w:right w:val="single" w:color="auto" w:sz="4" w:space="0"/>
            </w:tcBorders>
            <w:vAlign w:val="center"/>
          </w:tcPr>
          <w:p>
            <w:pPr>
              <w:widowControl/>
              <w:jc w:val="center"/>
              <w:rPr>
                <w:color w:val="auto"/>
                <w:spacing w:val="-2"/>
                <w:sz w:val="21"/>
                <w:highlight w:val="none"/>
              </w:rPr>
            </w:pPr>
            <w:r>
              <w:rPr>
                <w:color w:val="auto"/>
                <w:spacing w:val="-2"/>
                <w:sz w:val="21"/>
                <w:highlight w:val="none"/>
              </w:rPr>
              <w:t>不小于0.8CM</w:t>
            </w:r>
            <w:r>
              <w:rPr>
                <w:rFonts w:hint="eastAsia"/>
                <w:color w:val="auto"/>
                <w:spacing w:val="-2"/>
                <w:sz w:val="21"/>
                <w:highlight w:val="none"/>
              </w:rPr>
              <w:t>幼体</w:t>
            </w:r>
          </w:p>
        </w:tc>
        <w:tc>
          <w:tcPr>
            <w:tcW w:w="1407" w:type="dxa"/>
            <w:tcBorders>
              <w:top w:val="nil"/>
              <w:left w:val="nil"/>
              <w:bottom w:val="single" w:color="auto" w:sz="4" w:space="0"/>
              <w:right w:val="single" w:color="auto" w:sz="4" w:space="0"/>
            </w:tcBorders>
            <w:vAlign w:val="center"/>
          </w:tcPr>
          <w:p>
            <w:pPr>
              <w:widowControl/>
              <w:jc w:val="center"/>
              <w:rPr>
                <w:color w:val="auto"/>
                <w:spacing w:val="-2"/>
                <w:sz w:val="21"/>
                <w:highlight w:val="none"/>
              </w:rPr>
            </w:pPr>
          </w:p>
        </w:tc>
        <w:tc>
          <w:tcPr>
            <w:tcW w:w="1980" w:type="dxa"/>
            <w:vMerge w:val="continue"/>
            <w:tcBorders>
              <w:left w:val="nil"/>
              <w:bottom w:val="single" w:color="auto" w:sz="4" w:space="0"/>
              <w:right w:val="single" w:color="auto" w:sz="4" w:space="0"/>
            </w:tcBorders>
            <w:vAlign w:val="center"/>
          </w:tcPr>
          <w:p>
            <w:pPr>
              <w:widowControl/>
              <w:jc w:val="center"/>
              <w:rPr>
                <w:color w:val="auto"/>
                <w:spacing w:val="-2"/>
                <w:sz w:val="21"/>
                <w:highlight w:val="none"/>
              </w:rPr>
            </w:pPr>
          </w:p>
        </w:tc>
        <w:tc>
          <w:tcPr>
            <w:tcW w:w="1204" w:type="dxa"/>
            <w:vMerge w:val="continue"/>
            <w:tcBorders>
              <w:top w:val="nil"/>
              <w:left w:val="nil"/>
              <w:bottom w:val="single" w:color="auto" w:sz="4" w:space="0"/>
              <w:right w:val="single" w:color="auto" w:sz="4" w:space="0"/>
            </w:tcBorders>
            <w:vAlign w:val="center"/>
          </w:tcPr>
          <w:p>
            <w:pPr>
              <w:widowControl/>
              <w:rPr>
                <w:color w:val="auto"/>
                <w:highlight w:val="none"/>
              </w:rPr>
            </w:pPr>
          </w:p>
        </w:tc>
      </w:tr>
      <w:tr>
        <w:tblPrEx>
          <w:tblCellMar>
            <w:top w:w="0" w:type="dxa"/>
            <w:left w:w="108" w:type="dxa"/>
            <w:bottom w:w="0" w:type="dxa"/>
            <w:right w:w="108" w:type="dxa"/>
          </w:tblCellMar>
        </w:tblPrEx>
        <w:trPr>
          <w:trHeight w:val="420" w:hRule="atLeast"/>
        </w:trPr>
        <w:tc>
          <w:tcPr>
            <w:tcW w:w="8938" w:type="dxa"/>
            <w:gridSpan w:val="7"/>
            <w:tcBorders>
              <w:top w:val="single" w:color="auto" w:sz="4" w:space="0"/>
              <w:left w:val="single" w:color="auto" w:sz="4" w:space="0"/>
              <w:bottom w:val="single" w:color="auto" w:sz="4" w:space="0"/>
              <w:right w:val="single" w:color="000000" w:sz="4" w:space="0"/>
            </w:tcBorders>
            <w:vAlign w:val="center"/>
          </w:tcPr>
          <w:p>
            <w:pPr>
              <w:widowControl/>
              <w:ind w:right="720"/>
              <w:jc w:val="right"/>
              <w:rPr>
                <w:color w:val="auto"/>
                <w:sz w:val="24"/>
                <w:szCs w:val="24"/>
                <w:highlight w:val="none"/>
              </w:rPr>
            </w:pPr>
            <w:r>
              <w:rPr>
                <w:rFonts w:hint="eastAsia"/>
                <w:bCs/>
                <w:color w:val="auto"/>
                <w:sz w:val="24"/>
                <w:szCs w:val="24"/>
                <w:highlight w:val="none"/>
              </w:rPr>
              <w:t>合计：</w:t>
            </w:r>
            <w:r>
              <w:rPr>
                <w:bCs/>
                <w:color w:val="auto"/>
                <w:sz w:val="24"/>
                <w:szCs w:val="24"/>
                <w:highlight w:val="none"/>
              </w:rPr>
              <w:t xml:space="preserve"> </w:t>
            </w:r>
            <w:r>
              <w:rPr>
                <w:rFonts w:hint="eastAsia"/>
                <w:bCs/>
                <w:color w:val="auto"/>
                <w:sz w:val="24"/>
                <w:szCs w:val="24"/>
                <w:highlight w:val="none"/>
              </w:rPr>
              <w:t>1</w:t>
            </w:r>
            <w:r>
              <w:rPr>
                <w:bCs/>
                <w:color w:val="auto"/>
                <w:sz w:val="24"/>
                <w:szCs w:val="24"/>
                <w:highlight w:val="none"/>
              </w:rPr>
              <w:t>,</w:t>
            </w:r>
            <w:r>
              <w:rPr>
                <w:rFonts w:hint="eastAsia"/>
                <w:bCs/>
                <w:color w:val="auto"/>
                <w:sz w:val="24"/>
                <w:szCs w:val="24"/>
                <w:highlight w:val="none"/>
              </w:rPr>
              <w:t>949</w:t>
            </w:r>
            <w:r>
              <w:rPr>
                <w:bCs/>
                <w:color w:val="auto"/>
                <w:sz w:val="24"/>
                <w:szCs w:val="24"/>
                <w:highlight w:val="none"/>
              </w:rPr>
              <w:t>,</w:t>
            </w:r>
            <w:r>
              <w:rPr>
                <w:rFonts w:hint="eastAsia"/>
                <w:bCs/>
                <w:color w:val="auto"/>
                <w:sz w:val="24"/>
                <w:szCs w:val="24"/>
                <w:highlight w:val="none"/>
              </w:rPr>
              <w:t>0</w:t>
            </w:r>
            <w:r>
              <w:rPr>
                <w:bCs/>
                <w:color w:val="auto"/>
                <w:sz w:val="24"/>
                <w:szCs w:val="24"/>
                <w:highlight w:val="none"/>
              </w:rPr>
              <w:t>00.00元</w:t>
            </w:r>
            <w:r>
              <w:rPr>
                <w:rFonts w:hint="eastAsia"/>
                <w:bCs/>
                <w:color w:val="auto"/>
                <w:sz w:val="24"/>
                <w:szCs w:val="24"/>
                <w:highlight w:val="none"/>
              </w:rPr>
              <w:t>（含</w:t>
            </w:r>
            <w:r>
              <w:rPr>
                <w:rFonts w:hint="eastAsia"/>
                <w:bCs/>
                <w:color w:val="auto"/>
                <w:sz w:val="24"/>
                <w:szCs w:val="24"/>
                <w:highlight w:val="none"/>
                <w:lang w:eastAsia="zh-CN"/>
              </w:rPr>
              <w:t xml:space="preserve">   </w:t>
            </w:r>
            <w:r>
              <w:rPr>
                <w:rFonts w:hint="eastAsia"/>
                <w:bCs/>
                <w:color w:val="auto"/>
                <w:sz w:val="24"/>
                <w:szCs w:val="24"/>
                <w:highlight w:val="none"/>
              </w:rPr>
              <w:t>%税）</w:t>
            </w:r>
          </w:p>
        </w:tc>
      </w:tr>
    </w:tbl>
    <w:p>
      <w:pPr>
        <w:spacing w:line="360" w:lineRule="auto"/>
        <w:ind w:firstLine="360" w:firstLineChars="150"/>
        <w:rPr>
          <w:color w:val="auto"/>
          <w:sz w:val="24"/>
          <w:highlight w:val="none"/>
          <w:lang w:eastAsia="zh-CN"/>
        </w:rPr>
      </w:pPr>
      <w:r>
        <w:rPr>
          <w:rFonts w:hint="eastAsia"/>
          <w:color w:val="auto"/>
          <w:sz w:val="24"/>
          <w:highlight w:val="none"/>
          <w:lang w:eastAsia="zh-CN"/>
        </w:rPr>
        <w:t>本合同为固定总价合同，未税金额为：</w:t>
      </w:r>
      <w:r>
        <w:rPr>
          <w:rFonts w:hint="eastAsia"/>
          <w:color w:val="auto"/>
          <w:sz w:val="24"/>
          <w:highlight w:val="none"/>
          <w:u w:val="single"/>
          <w:lang w:eastAsia="zh-CN"/>
        </w:rPr>
        <w:t xml:space="preserve"> </w:t>
      </w:r>
      <w:r>
        <w:rPr>
          <w:rFonts w:hint="eastAsia"/>
          <w:bCs/>
          <w:color w:val="auto"/>
          <w:sz w:val="24"/>
          <w:szCs w:val="24"/>
          <w:highlight w:val="none"/>
          <w:u w:val="single"/>
          <w:lang w:eastAsia="zh-CN"/>
        </w:rPr>
        <w:t>1</w:t>
      </w:r>
      <w:r>
        <w:rPr>
          <w:bCs/>
          <w:color w:val="auto"/>
          <w:sz w:val="24"/>
          <w:szCs w:val="24"/>
          <w:highlight w:val="none"/>
          <w:u w:val="single"/>
          <w:lang w:eastAsia="zh-CN"/>
        </w:rPr>
        <w:t>,</w:t>
      </w:r>
      <w:r>
        <w:rPr>
          <w:rFonts w:hint="eastAsia"/>
          <w:bCs/>
          <w:color w:val="auto"/>
          <w:sz w:val="24"/>
          <w:szCs w:val="24"/>
          <w:highlight w:val="none"/>
          <w:u w:val="single"/>
          <w:lang w:eastAsia="zh-CN"/>
        </w:rPr>
        <w:t>949</w:t>
      </w:r>
      <w:r>
        <w:rPr>
          <w:bCs/>
          <w:color w:val="auto"/>
          <w:sz w:val="24"/>
          <w:szCs w:val="24"/>
          <w:highlight w:val="none"/>
          <w:u w:val="single"/>
          <w:lang w:eastAsia="zh-CN"/>
        </w:rPr>
        <w:t>,</w:t>
      </w:r>
      <w:r>
        <w:rPr>
          <w:rFonts w:hint="eastAsia"/>
          <w:bCs/>
          <w:color w:val="auto"/>
          <w:sz w:val="24"/>
          <w:szCs w:val="24"/>
          <w:highlight w:val="none"/>
          <w:u w:val="single"/>
          <w:lang w:eastAsia="zh-CN"/>
        </w:rPr>
        <w:t>0</w:t>
      </w:r>
      <w:r>
        <w:rPr>
          <w:bCs/>
          <w:color w:val="auto"/>
          <w:sz w:val="24"/>
          <w:szCs w:val="24"/>
          <w:highlight w:val="none"/>
          <w:u w:val="single"/>
          <w:lang w:eastAsia="zh-CN"/>
        </w:rPr>
        <w:t>00.00</w:t>
      </w:r>
      <w:r>
        <w:rPr>
          <w:color w:val="auto"/>
          <w:sz w:val="24"/>
          <w:highlight w:val="none"/>
          <w:u w:val="single"/>
          <w:lang w:eastAsia="zh-CN"/>
        </w:rPr>
        <w:t xml:space="preserve"> </w:t>
      </w:r>
      <w:r>
        <w:rPr>
          <w:color w:val="auto"/>
          <w:sz w:val="24"/>
          <w:highlight w:val="none"/>
          <w:lang w:eastAsia="zh-CN"/>
        </w:rPr>
        <w:t>元</w:t>
      </w:r>
      <w:r>
        <w:rPr>
          <w:rFonts w:hint="eastAsia"/>
          <w:color w:val="auto"/>
          <w:sz w:val="24"/>
          <w:highlight w:val="none"/>
          <w:lang w:eastAsia="zh-CN"/>
        </w:rPr>
        <w:t>，</w:t>
      </w:r>
      <w:r>
        <w:rPr>
          <w:color w:val="auto"/>
          <w:sz w:val="24"/>
          <w:highlight w:val="none"/>
          <w:lang w:eastAsia="zh-CN"/>
        </w:rPr>
        <w:t>税金为</w:t>
      </w:r>
      <w:r>
        <w:rPr>
          <w:rFonts w:hint="eastAsia"/>
          <w:color w:val="auto"/>
          <w:sz w:val="24"/>
          <w:highlight w:val="none"/>
          <w:u w:val="single"/>
          <w:lang w:eastAsia="zh-CN"/>
        </w:rPr>
        <w:t xml:space="preserve">   </w:t>
      </w:r>
      <w:r>
        <w:rPr>
          <w:color w:val="auto"/>
          <w:sz w:val="24"/>
          <w:highlight w:val="none"/>
          <w:u w:val="single"/>
          <w:lang w:eastAsia="zh-CN"/>
        </w:rPr>
        <w:t xml:space="preserve"> </w:t>
      </w:r>
      <w:r>
        <w:rPr>
          <w:color w:val="auto"/>
          <w:sz w:val="24"/>
          <w:highlight w:val="none"/>
          <w:lang w:eastAsia="zh-CN"/>
        </w:rPr>
        <w:t>元</w:t>
      </w:r>
      <w:r>
        <w:rPr>
          <w:rFonts w:hint="eastAsia"/>
          <w:color w:val="auto"/>
          <w:sz w:val="24"/>
          <w:highlight w:val="none"/>
          <w:lang w:eastAsia="zh-CN"/>
        </w:rPr>
        <w:t>。合同约定服务包含苗种培育、放流苗种、专用工具、检验、放流人工费、项目验收（含验收过程一切有关的费用，如专家费、会务费、差旅等）、运输、运输保险、发票税收等与本项目相关的所有费用。</w:t>
      </w:r>
    </w:p>
    <w:p>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第二条 </w:t>
      </w:r>
      <w:r>
        <w:rPr>
          <w:rFonts w:hint="eastAsia"/>
          <w:b/>
          <w:bCs/>
          <w:color w:val="auto"/>
          <w:sz w:val="24"/>
          <w:highlight w:val="none"/>
          <w:lang w:eastAsia="zh-CN"/>
        </w:rPr>
        <w:t>交货：</w:t>
      </w:r>
    </w:p>
    <w:p>
      <w:pPr>
        <w:spacing w:line="360" w:lineRule="auto"/>
        <w:ind w:firstLine="480" w:firstLineChars="200"/>
        <w:rPr>
          <w:color w:val="auto"/>
          <w:sz w:val="24"/>
          <w:highlight w:val="none"/>
          <w:lang w:eastAsia="zh-CN"/>
        </w:rPr>
      </w:pPr>
      <w:r>
        <w:rPr>
          <w:rFonts w:hint="eastAsia"/>
          <w:color w:val="auto"/>
          <w:sz w:val="24"/>
          <w:highlight w:val="none"/>
          <w:lang w:eastAsia="zh-CN"/>
        </w:rPr>
        <w:t>2.1交货方式：</w:t>
      </w:r>
      <w:r>
        <w:rPr>
          <w:rFonts w:hint="eastAsia"/>
          <w:color w:val="auto"/>
          <w:sz w:val="24"/>
          <w:highlight w:val="none"/>
          <w:u w:val="single"/>
          <w:lang w:eastAsia="zh-CN"/>
        </w:rPr>
        <w:t xml:space="preserve">  汽运或船运                 </w:t>
      </w:r>
    </w:p>
    <w:p>
      <w:pPr>
        <w:spacing w:line="360" w:lineRule="auto"/>
        <w:ind w:firstLine="480" w:firstLineChars="200"/>
        <w:rPr>
          <w:color w:val="auto"/>
          <w:sz w:val="24"/>
          <w:highlight w:val="none"/>
          <w:lang w:eastAsia="zh-CN"/>
        </w:rPr>
      </w:pPr>
      <w:r>
        <w:rPr>
          <w:rFonts w:hint="eastAsia"/>
          <w:color w:val="auto"/>
          <w:sz w:val="24"/>
          <w:highlight w:val="none"/>
          <w:lang w:eastAsia="zh-CN"/>
        </w:rPr>
        <w:t>2.2交货地点：运送到</w:t>
      </w:r>
      <w:r>
        <w:rPr>
          <w:rFonts w:hint="eastAsia"/>
          <w:color w:val="auto"/>
          <w:sz w:val="24"/>
          <w:highlight w:val="none"/>
          <w:u w:val="single"/>
          <w:lang w:eastAsia="zh-CN"/>
        </w:rPr>
        <w:t xml:space="preserve">翔鹭石化（漳州）有限公司指定地点  </w:t>
      </w:r>
      <w:r>
        <w:rPr>
          <w:rFonts w:hint="eastAsia"/>
          <w:color w:val="auto"/>
          <w:sz w:val="24"/>
          <w:highlight w:val="none"/>
          <w:lang w:eastAsia="zh-CN"/>
        </w:rPr>
        <w:t>（以甲方提供的送货清单和地址明细为准），甲方现场联系人：郑伟</w:t>
      </w:r>
      <w:r>
        <w:rPr>
          <w:color w:val="auto"/>
          <w:sz w:val="24"/>
          <w:highlight w:val="none"/>
          <w:lang w:eastAsia="zh-CN"/>
        </w:rPr>
        <w:t xml:space="preserve">  15345929588</w:t>
      </w:r>
    </w:p>
    <w:p>
      <w:pPr>
        <w:spacing w:line="360" w:lineRule="auto"/>
        <w:ind w:firstLine="480" w:firstLineChars="200"/>
        <w:rPr>
          <w:color w:val="auto"/>
          <w:sz w:val="24"/>
          <w:highlight w:val="none"/>
          <w:lang w:eastAsia="zh-CN"/>
        </w:rPr>
      </w:pPr>
      <w:r>
        <w:rPr>
          <w:rFonts w:hint="eastAsia"/>
          <w:color w:val="auto"/>
          <w:sz w:val="24"/>
          <w:highlight w:val="none"/>
          <w:lang w:eastAsia="zh-CN"/>
        </w:rPr>
        <w:t>2.3交货时间：</w:t>
      </w:r>
      <w:r>
        <w:rPr>
          <w:rFonts w:hint="eastAsia"/>
          <w:color w:val="auto"/>
          <w:sz w:val="24"/>
          <w:highlight w:val="none"/>
          <w:u w:val="single"/>
          <w:lang w:eastAsia="zh-CN"/>
        </w:rPr>
        <w:t xml:space="preserve">  放流时间计划</w:t>
      </w:r>
      <w:r>
        <w:rPr>
          <w:rFonts w:hint="eastAsia"/>
          <w:color w:val="auto"/>
          <w:sz w:val="24"/>
          <w:highlight w:val="none"/>
          <w:u w:val="single"/>
          <w:lang w:val="en-US" w:eastAsia="zh-CN"/>
        </w:rPr>
        <w:t>8</w:t>
      </w:r>
      <w:r>
        <w:rPr>
          <w:rFonts w:hint="eastAsia"/>
          <w:color w:val="auto"/>
          <w:sz w:val="24"/>
          <w:highlight w:val="none"/>
          <w:u w:val="single"/>
          <w:lang w:eastAsia="zh-CN"/>
        </w:rPr>
        <w:t xml:space="preserve">月份完成，具体以甲方的通知为准。 </w:t>
      </w:r>
    </w:p>
    <w:p>
      <w:pPr>
        <w:spacing w:line="360" w:lineRule="auto"/>
        <w:ind w:firstLine="480" w:firstLineChars="200"/>
        <w:rPr>
          <w:color w:val="auto"/>
          <w:sz w:val="24"/>
          <w:highlight w:val="none"/>
          <w:lang w:eastAsia="zh-CN"/>
        </w:rPr>
      </w:pPr>
      <w:r>
        <w:rPr>
          <w:rFonts w:hint="eastAsia"/>
          <w:color w:val="auto"/>
          <w:sz w:val="24"/>
          <w:highlight w:val="none"/>
          <w:lang w:eastAsia="zh-CN"/>
        </w:rPr>
        <w:t>2.4乙方应提供相应的增殖放流工具，负责增殖放流鱼苗的包装、运输和投放，并承担运输过程中发生的一切费用。在产品交付给甲方之前，相关的毁损、灭失等风险均由乙方自行承担。</w:t>
      </w:r>
    </w:p>
    <w:p>
      <w:pPr>
        <w:spacing w:line="360" w:lineRule="auto"/>
        <w:ind w:firstLine="480" w:firstLineChars="200"/>
        <w:rPr>
          <w:color w:val="auto"/>
          <w:sz w:val="24"/>
          <w:highlight w:val="none"/>
          <w:lang w:eastAsia="zh-CN"/>
        </w:rPr>
      </w:pPr>
      <w:r>
        <w:rPr>
          <w:rFonts w:hint="eastAsia"/>
          <w:color w:val="auto"/>
          <w:sz w:val="24"/>
          <w:highlight w:val="none"/>
          <w:lang w:eastAsia="zh-CN"/>
        </w:rPr>
        <w:t>2.5增殖放流所产生的交通费、运输费、人工费、住宿费、验收费等均由乙方承担。</w:t>
      </w:r>
    </w:p>
    <w:p>
      <w:pPr>
        <w:spacing w:line="360" w:lineRule="auto"/>
        <w:ind w:firstLine="480" w:firstLineChars="200"/>
        <w:rPr>
          <w:color w:val="auto"/>
          <w:sz w:val="24"/>
          <w:highlight w:val="none"/>
          <w:lang w:eastAsia="zh-CN"/>
        </w:rPr>
      </w:pPr>
      <w:r>
        <w:rPr>
          <w:rFonts w:hint="eastAsia"/>
          <w:color w:val="auto"/>
          <w:sz w:val="24"/>
          <w:highlight w:val="none"/>
          <w:lang w:eastAsia="zh-CN"/>
        </w:rPr>
        <w:t>2.6 乙方负责做好由渔业行政主管部门组织的过程监督和放流现场验收工作，并取得增殖放流项目现场验收合格报告。</w:t>
      </w:r>
    </w:p>
    <w:p>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第三条 </w:t>
      </w:r>
      <w:r>
        <w:rPr>
          <w:rFonts w:hint="eastAsia"/>
          <w:b/>
          <w:bCs/>
          <w:color w:val="auto"/>
          <w:sz w:val="24"/>
          <w:highlight w:val="none"/>
          <w:lang w:eastAsia="zh-CN"/>
        </w:rPr>
        <w:t>付款方式与条件</w:t>
      </w:r>
    </w:p>
    <w:p>
      <w:pPr>
        <w:spacing w:line="360" w:lineRule="auto"/>
        <w:ind w:firstLine="480" w:firstLineChars="200"/>
        <w:rPr>
          <w:rFonts w:hint="eastAsia"/>
          <w:color w:val="auto"/>
          <w:sz w:val="24"/>
          <w:highlight w:val="none"/>
          <w:lang w:eastAsia="zh-CN"/>
        </w:rPr>
      </w:pPr>
      <w:r>
        <w:rPr>
          <w:rFonts w:hint="eastAsia"/>
          <w:color w:val="auto"/>
          <w:sz w:val="24"/>
          <w:highlight w:val="none"/>
          <w:lang w:eastAsia="zh-CN"/>
        </w:rPr>
        <w:t>3.1 签订合同后，待增殖放流工作完成，并经渔业行政主管部门组织验收合格并取得验收报告后，甲方收到乙方提供的验收报告及合同全额纸质增值税普通发票60日内支付相应款项，乙方提供账户并确认该账户合法，甲方将款项按本合同约定汇入该账户。</w:t>
      </w:r>
    </w:p>
    <w:p>
      <w:pPr>
        <w:pStyle w:val="23"/>
        <w:spacing w:line="360" w:lineRule="auto"/>
        <w:rPr>
          <w:rFonts w:ascii="Times New Roman" w:hAnsi="Times New Roman" w:cs="Times New Roman"/>
          <w:b/>
          <w:bCs/>
          <w:color w:val="auto"/>
          <w:sz w:val="24"/>
          <w:szCs w:val="22"/>
          <w:highlight w:val="none"/>
          <w:lang w:eastAsia="zh-CN"/>
        </w:rPr>
      </w:pPr>
      <w:r>
        <w:rPr>
          <w:rFonts w:ascii="Times New Roman" w:hAnsi="Times New Roman" w:cs="Times New Roman"/>
          <w:b/>
          <w:bCs/>
          <w:color w:val="auto"/>
          <w:sz w:val="24"/>
          <w:szCs w:val="22"/>
          <w:highlight w:val="none"/>
          <w:lang w:eastAsia="zh-CN"/>
        </w:rPr>
        <w:t>第四条 履约保证</w:t>
      </w:r>
    </w:p>
    <w:p>
      <w:pPr>
        <w:pStyle w:val="23"/>
        <w:spacing w:line="360" w:lineRule="auto"/>
        <w:ind w:left="360" w:hanging="360" w:hangingChars="150"/>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4.1 合同签订后，乙方的参选保证金</w:t>
      </w:r>
      <w:r>
        <w:rPr>
          <w:rFonts w:hint="eastAsia" w:ascii="Times New Roman" w:hAnsi="Times New Roman" w:cs="Times New Roman"/>
          <w:b/>
          <w:bCs/>
          <w:color w:val="auto"/>
          <w:sz w:val="24"/>
          <w:highlight w:val="none"/>
          <w:u w:val="single"/>
          <w:lang w:eastAsia="zh-CN"/>
        </w:rPr>
        <w:t>人民币</w:t>
      </w:r>
      <w:r>
        <w:rPr>
          <w:rFonts w:hint="eastAsia" w:ascii="Times New Roman" w:hAnsi="Times New Roman" w:cs="Times New Roman"/>
          <w:b/>
          <w:bCs/>
          <w:color w:val="auto"/>
          <w:sz w:val="24"/>
          <w:highlight w:val="none"/>
          <w:u w:val="single"/>
          <w:lang w:val="en-US" w:eastAsia="zh-CN"/>
        </w:rPr>
        <w:t>389</w:t>
      </w:r>
      <w:r>
        <w:rPr>
          <w:rFonts w:hint="eastAsia" w:ascii="Times New Roman" w:hAnsi="Times New Roman" w:cs="Times New Roman"/>
          <w:b/>
          <w:bCs/>
          <w:color w:val="auto"/>
          <w:sz w:val="24"/>
          <w:highlight w:val="none"/>
          <w:u w:val="single"/>
          <w:lang w:eastAsia="zh-CN"/>
        </w:rPr>
        <w:t>00</w:t>
      </w:r>
      <w:r>
        <w:rPr>
          <w:rFonts w:ascii="Times New Roman" w:hAnsi="Times New Roman" w:cs="Times New Roman"/>
          <w:b/>
          <w:bCs/>
          <w:color w:val="auto"/>
          <w:sz w:val="24"/>
          <w:highlight w:val="none"/>
          <w:u w:val="single"/>
          <w:lang w:eastAsia="zh-CN"/>
        </w:rPr>
        <w:t>元</w:t>
      </w:r>
      <w:r>
        <w:rPr>
          <w:rFonts w:ascii="Times New Roman" w:hAnsi="Times New Roman" w:cs="Times New Roman"/>
          <w:color w:val="auto"/>
          <w:sz w:val="24"/>
          <w:highlight w:val="none"/>
          <w:lang w:eastAsia="zh-CN"/>
        </w:rPr>
        <w:t>将直接转为本合同的履约保证金，若乙方违约或发生本合同约定的其他事由的，甲方有权从履约保证金中优先扣除乙方违约金及其他应付款项；由此造成履约保证金不足的，乙方应在5日内补足，逾期每日按照应缴金额的千分之一支付违约金。</w:t>
      </w:r>
    </w:p>
    <w:p>
      <w:pPr>
        <w:pStyle w:val="23"/>
        <w:spacing w:line="360" w:lineRule="auto"/>
        <w:ind w:left="360" w:hanging="360" w:hangingChars="150"/>
        <w:rPr>
          <w:rFonts w:ascii="Times New Roman" w:hAnsi="Times New Roman" w:cs="Times New Roman"/>
          <w:color w:val="auto"/>
          <w:sz w:val="24"/>
          <w:highlight w:val="none"/>
          <w:lang w:eastAsia="zh-CN"/>
        </w:rPr>
      </w:pPr>
      <w:r>
        <w:rPr>
          <w:rFonts w:ascii="Times New Roman" w:hAnsi="Times New Roman" w:cs="Times New Roman"/>
          <w:color w:val="auto"/>
          <w:sz w:val="24"/>
          <w:highlight w:val="none"/>
          <w:lang w:eastAsia="zh-CN"/>
        </w:rPr>
        <w:t>4.2 该履约保证金在乙方全面履行完毕本合同义务后30天内无息退还。但履约保证金退还后发现任何应由乙方承担责任的行为或事件，乙方仍应承担责任。</w:t>
      </w:r>
    </w:p>
    <w:p>
      <w:pPr>
        <w:pStyle w:val="4"/>
        <w:rPr>
          <w:color w:val="auto"/>
          <w:highlight w:val="none"/>
          <w:lang w:eastAsia="zh-CN"/>
        </w:rPr>
      </w:pPr>
    </w:p>
    <w:p>
      <w:pPr>
        <w:tabs>
          <w:tab w:val="left" w:pos="381"/>
        </w:tabs>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第五条 </w:t>
      </w:r>
      <w:r>
        <w:rPr>
          <w:rFonts w:hint="eastAsia"/>
          <w:b/>
          <w:bCs/>
          <w:color w:val="auto"/>
          <w:sz w:val="24"/>
          <w:highlight w:val="none"/>
          <w:lang w:eastAsia="zh-CN"/>
        </w:rPr>
        <w:t>质量要求和技术标准</w:t>
      </w:r>
    </w:p>
    <w:p>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.1乙方提供的增殖放流的品种必须经有资质的检验单位检测合格。</w:t>
      </w:r>
    </w:p>
    <w:p>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.2乙方应提供相应的增殖放流工具，负责增殖放流鱼苗的包装、运输和投放。</w:t>
      </w:r>
    </w:p>
    <w:p>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3除合同另有规定外，乙方提供的全部苗种均应按甲方要求的标准采取保护措施进行包装。该包装应适应于远距离运输、防潮、防震、防锈和防野蛮装卸，以确保苗种安全无损运抵指定地点。由于包装不善所引起的苗种损失均由乙方承担。</w:t>
      </w:r>
    </w:p>
    <w:p>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.4乙方不按本合同约定交付产品所产生的任何费用由乙方自己承担。</w:t>
      </w:r>
    </w:p>
    <w:p>
      <w:pPr>
        <w:spacing w:line="360" w:lineRule="auto"/>
        <w:ind w:firstLine="480" w:firstLineChars="20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.5鱼苗须经有资质的检验单位检测合格，并提供投标截止时间前一个月内放流品种禁用渔药检验合格报告。</w:t>
      </w:r>
    </w:p>
    <w:p>
      <w:pPr>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.6乙方应提供的技术资料（其费用应包括在投标报价内）：苗种检测、检验合格报告（采购人组织开展）、其他相关技术资料。</w:t>
      </w:r>
    </w:p>
    <w:p>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.7甲方实行中标价格备案制度，甲方在开标后将中标情况上报上级渔业主管部门，上级渔业主管部门视情况开展督查检查或专项验收，乙方应予以配合。</w:t>
      </w:r>
    </w:p>
    <w:p>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.8、乙方应认真遵守《漳州市海洋与渔业局关于印发&lt;漳州市水生生物增殖放流指导意见&gt;的通知》（漳海渔〔2020〕27号）的有关规定，否则，乙方将承担相应的责任。</w:t>
      </w:r>
    </w:p>
    <w:p>
      <w:pPr>
        <w:spacing w:line="360" w:lineRule="auto"/>
        <w:ind w:firstLine="480"/>
        <w:rPr>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.7 其他要求见附件发包要求。</w:t>
      </w:r>
    </w:p>
    <w:p>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第六条 </w:t>
      </w:r>
      <w:r>
        <w:rPr>
          <w:rFonts w:hint="eastAsia"/>
          <w:b/>
          <w:bCs/>
          <w:color w:val="auto"/>
          <w:sz w:val="24"/>
          <w:highlight w:val="none"/>
          <w:lang w:eastAsia="zh-CN"/>
        </w:rPr>
        <w:t>验收</w:t>
      </w:r>
    </w:p>
    <w:p>
      <w:pPr>
        <w:spacing w:line="360" w:lineRule="auto"/>
        <w:ind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.1货物的货到验收包括：型号、规格、数量、质量、及货物包装是否完好。</w:t>
      </w:r>
    </w:p>
    <w:p>
      <w:pPr>
        <w:spacing w:line="360" w:lineRule="auto"/>
        <w:ind w:firstLine="48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.2乙方对增殖放流苗种验收不合格的应予以更换，承担一切与之有关的费用，并按第7条承担违约责任。</w:t>
      </w:r>
    </w:p>
    <w:p>
      <w:pPr>
        <w:spacing w:line="360" w:lineRule="auto"/>
        <w:ind w:firstLine="48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.3乙方应将所提供苗种的清单、检测合格报告等交付给甲方；乙方不能完整交付货物及本款规定的单证和工具的，视为未按合同约定交货，乙方负责补齐，因此导致逾期交付的，由乙方承担相关的违约责任。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color w:val="auto"/>
          <w:sz w:val="24"/>
          <w:highlight w:val="none"/>
          <w:lang w:eastAsia="zh-CN"/>
        </w:rPr>
      </w:pPr>
      <w:r>
        <w:rPr>
          <w:rFonts w:hint="eastAsia"/>
          <w:color w:val="auto"/>
          <w:sz w:val="24"/>
          <w:highlight w:val="none"/>
          <w:lang w:val="en-US" w:eastAsia="zh-CN"/>
        </w:rPr>
        <w:t>6</w:t>
      </w:r>
      <w:r>
        <w:rPr>
          <w:rFonts w:hint="eastAsia"/>
          <w:color w:val="auto"/>
          <w:sz w:val="24"/>
          <w:highlight w:val="none"/>
          <w:lang w:eastAsia="zh-CN"/>
        </w:rPr>
        <w:t>.4乙方负责做好由渔业行政主管部门组织的过程监督和放流现场验收工作，并取得增殖放流项目现场验收合格报告。</w:t>
      </w:r>
    </w:p>
    <w:p>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第七条 </w:t>
      </w:r>
      <w:r>
        <w:rPr>
          <w:rFonts w:hint="eastAsia"/>
          <w:b/>
          <w:bCs/>
          <w:color w:val="auto"/>
          <w:sz w:val="24"/>
          <w:highlight w:val="none"/>
          <w:lang w:eastAsia="zh-CN"/>
        </w:rPr>
        <w:t>质量保证</w:t>
      </w:r>
    </w:p>
    <w:p>
      <w:pPr>
        <w:spacing w:line="360" w:lineRule="auto"/>
        <w:ind w:firstLine="480" w:firstLineChars="200"/>
        <w:rPr>
          <w:color w:val="auto"/>
          <w:sz w:val="24"/>
          <w:highlight w:val="none"/>
          <w:lang w:eastAsia="zh-CN"/>
        </w:rPr>
      </w:pPr>
      <w:r>
        <w:rPr>
          <w:rFonts w:hint="eastAsia"/>
          <w:color w:val="auto"/>
          <w:sz w:val="24"/>
          <w:highlight w:val="none"/>
          <w:lang w:eastAsia="zh-CN"/>
        </w:rPr>
        <w:t>增殖放流的品种必须经有资质的检验单位检测合格。</w:t>
      </w:r>
    </w:p>
    <w:p>
      <w:pPr>
        <w:spacing w:line="360" w:lineRule="auto"/>
        <w:ind w:firstLine="480"/>
        <w:rPr>
          <w:b/>
          <w:bCs/>
          <w:color w:val="auto"/>
          <w:sz w:val="24"/>
          <w:highlight w:val="none"/>
          <w:lang w:eastAsia="zh-CN"/>
        </w:rPr>
      </w:pPr>
      <w:r>
        <w:rPr>
          <w:rFonts w:hint="eastAsia"/>
          <w:b/>
          <w:bCs/>
          <w:color w:val="auto"/>
          <w:sz w:val="24"/>
          <w:highlight w:val="none"/>
          <w:lang w:val="en-US" w:eastAsia="zh-CN"/>
        </w:rPr>
        <w:t xml:space="preserve">第八条 </w:t>
      </w:r>
      <w:r>
        <w:rPr>
          <w:rFonts w:hint="eastAsia"/>
          <w:b/>
          <w:bCs/>
          <w:color w:val="auto"/>
          <w:sz w:val="24"/>
          <w:highlight w:val="none"/>
          <w:lang w:eastAsia="zh-CN"/>
        </w:rPr>
        <w:t>违约责任</w:t>
      </w:r>
    </w:p>
    <w:p>
      <w:pPr>
        <w:spacing w:line="360" w:lineRule="auto"/>
        <w:ind w:firstLine="48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.1乙方逾期交货的，每日按照该批次实施金额的</w:t>
      </w:r>
      <w:r>
        <w:rPr>
          <w:rFonts w:hint="eastAsia"/>
          <w:color w:val="auto"/>
          <w:sz w:val="24"/>
          <w:highlight w:val="none"/>
          <w:u w:val="single"/>
          <w:lang w:eastAsia="zh-CN"/>
        </w:rPr>
        <w:t xml:space="preserve"> 5 </w:t>
      </w:r>
      <w:r>
        <w:rPr>
          <w:rFonts w:hint="eastAsia"/>
          <w:color w:val="auto"/>
          <w:sz w:val="24"/>
          <w:highlight w:val="none"/>
          <w:lang w:eastAsia="zh-CN"/>
        </w:rPr>
        <w:t>%向甲方支付违约金，逾期超过</w:t>
      </w:r>
      <w:r>
        <w:rPr>
          <w:rFonts w:hint="eastAsia"/>
          <w:color w:val="auto"/>
          <w:sz w:val="24"/>
          <w:highlight w:val="none"/>
          <w:u w:val="single"/>
          <w:lang w:eastAsia="zh-CN"/>
        </w:rPr>
        <w:t xml:space="preserve"> 7  </w:t>
      </w:r>
      <w:r>
        <w:rPr>
          <w:rFonts w:hint="eastAsia"/>
          <w:color w:val="auto"/>
          <w:sz w:val="24"/>
          <w:highlight w:val="none"/>
          <w:lang w:eastAsia="zh-CN"/>
        </w:rPr>
        <w:t>日的，甲方还有权解除合同，并要求乙方一次性支付合同总额</w:t>
      </w:r>
      <w:r>
        <w:rPr>
          <w:rFonts w:hint="eastAsia"/>
          <w:color w:val="auto"/>
          <w:sz w:val="24"/>
          <w:highlight w:val="none"/>
          <w:u w:val="single"/>
          <w:lang w:eastAsia="zh-CN"/>
        </w:rPr>
        <w:t xml:space="preserve"> 20  </w:t>
      </w:r>
      <w:r>
        <w:rPr>
          <w:rFonts w:hint="eastAsia"/>
          <w:color w:val="auto"/>
          <w:sz w:val="24"/>
          <w:highlight w:val="none"/>
          <w:lang w:eastAsia="zh-CN"/>
        </w:rPr>
        <w:t>%的违约金。乙方部分交货、交货不合格的，均按照逾期交货处理。</w:t>
      </w:r>
    </w:p>
    <w:p>
      <w:pPr>
        <w:spacing w:line="360" w:lineRule="auto"/>
        <w:ind w:firstLine="48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.2 乙方交付的产品经甲方验收不合格的，每次应向甲方支付违约金人民币</w:t>
      </w:r>
      <w:r>
        <w:rPr>
          <w:rFonts w:hint="eastAsia"/>
          <w:color w:val="auto"/>
          <w:sz w:val="24"/>
          <w:highlight w:val="none"/>
          <w:u w:val="single"/>
          <w:lang w:eastAsia="zh-CN"/>
        </w:rPr>
        <w:t xml:space="preserve"> 10000  </w:t>
      </w:r>
      <w:r>
        <w:rPr>
          <w:rFonts w:hint="eastAsia"/>
          <w:color w:val="auto"/>
          <w:sz w:val="24"/>
          <w:highlight w:val="none"/>
          <w:lang w:eastAsia="zh-CN"/>
        </w:rPr>
        <w:t>元，并应根据甲方要求进行更换或采取其他补救措施。累计</w:t>
      </w:r>
      <w:r>
        <w:rPr>
          <w:rFonts w:hint="eastAsia"/>
          <w:color w:val="auto"/>
          <w:sz w:val="24"/>
          <w:highlight w:val="none"/>
          <w:u w:val="single"/>
          <w:lang w:eastAsia="zh-CN"/>
        </w:rPr>
        <w:t xml:space="preserve"> 2 </w:t>
      </w:r>
      <w:r>
        <w:rPr>
          <w:rFonts w:hint="eastAsia"/>
          <w:color w:val="auto"/>
          <w:sz w:val="24"/>
          <w:highlight w:val="none"/>
          <w:lang w:eastAsia="zh-CN"/>
        </w:rPr>
        <w:t>次验收不合格的，甲方还有权解除合同、乙方应向甲方支付合同总额20%的违约金。如违约金不足以弥补给甲方造成的损失的，甲方有权向乙方追偿。</w:t>
      </w:r>
    </w:p>
    <w:p>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8</w:t>
      </w:r>
      <w:r>
        <w:rPr>
          <w:rFonts w:hint="eastAsia"/>
          <w:color w:val="auto"/>
          <w:sz w:val="24"/>
          <w:szCs w:val="24"/>
          <w:highlight w:val="none"/>
          <w:lang w:eastAsia="zh-CN"/>
        </w:rPr>
        <w:t>.3甲方在放流前，组织相关人员核查放流苗种的数量和质量，并现场抽样进行苗种质量安全检验，以确保放流苗种的质量。乙方接到甲方通知后要及时做好相关的准备工作，不得以任何理由拖延或拒绝。乙方拖延或拒绝的，甲方有权解除合同，没收履约保证金。</w:t>
      </w:r>
    </w:p>
    <w:p>
      <w:pPr>
        <w:spacing w:line="460" w:lineRule="exact"/>
        <w:ind w:firstLine="480" w:firstLineChars="200"/>
        <w:rPr>
          <w:color w:val="auto"/>
          <w:sz w:val="24"/>
          <w:szCs w:val="24"/>
          <w:highlight w:val="none"/>
          <w:lang w:eastAsia="zh-CN"/>
        </w:rPr>
      </w:pPr>
      <w:r>
        <w:rPr>
          <w:rFonts w:hint="eastAsia"/>
          <w:color w:val="auto"/>
          <w:sz w:val="24"/>
          <w:szCs w:val="24"/>
          <w:highlight w:val="none"/>
          <w:lang w:val="en-US" w:eastAsia="zh-CN"/>
        </w:rPr>
        <w:t>8</w:t>
      </w:r>
      <w:r>
        <w:rPr>
          <w:rFonts w:hint="eastAsia"/>
          <w:color w:val="auto"/>
          <w:sz w:val="24"/>
          <w:szCs w:val="24"/>
          <w:highlight w:val="none"/>
          <w:lang w:eastAsia="zh-CN"/>
        </w:rPr>
        <w:t>.4甲方若发现苗种育苗场没有或者明显育苗条件不足、数量明显不够的，甲方有权解除合同，没收履约保证金，并报政府采购监督管理部门列入失信黑名单。</w:t>
      </w:r>
    </w:p>
    <w:p>
      <w:pPr>
        <w:spacing w:line="360" w:lineRule="auto"/>
        <w:ind w:firstLine="480" w:firstLineChars="20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.5 甲方无故逾期付款的，按照全国银行间同业拆借中心公布的贷款市场报价利率支付利息。</w:t>
      </w:r>
    </w:p>
    <w:p>
      <w:pPr>
        <w:spacing w:line="360" w:lineRule="auto"/>
        <w:ind w:firstLine="360" w:firstLineChars="150"/>
        <w:rPr>
          <w:color w:val="auto"/>
          <w:sz w:val="24"/>
          <w:highlight w:val="none"/>
          <w:lang w:eastAsia="zh-CN"/>
        </w:rPr>
      </w:pPr>
      <w:r>
        <w:rPr>
          <w:rFonts w:hint="eastAsia"/>
          <w:color w:val="auto"/>
          <w:sz w:val="24"/>
          <w:highlight w:val="none"/>
          <w:lang w:val="en-US" w:eastAsia="zh-CN"/>
        </w:rPr>
        <w:t>8</w:t>
      </w:r>
      <w:r>
        <w:rPr>
          <w:rFonts w:hint="eastAsia"/>
          <w:color w:val="auto"/>
          <w:sz w:val="24"/>
          <w:highlight w:val="none"/>
          <w:lang w:eastAsia="zh-CN"/>
        </w:rPr>
        <w:t>.</w:t>
      </w:r>
      <w:r>
        <w:rPr>
          <w:color w:val="auto"/>
          <w:sz w:val="24"/>
          <w:highlight w:val="none"/>
          <w:lang w:eastAsia="zh-CN"/>
        </w:rPr>
        <w:t>6</w:t>
      </w:r>
      <w:r>
        <w:rPr>
          <w:rFonts w:hint="eastAsia"/>
          <w:color w:val="auto"/>
          <w:sz w:val="24"/>
          <w:highlight w:val="none"/>
          <w:lang w:eastAsia="zh-CN"/>
        </w:rPr>
        <w:t xml:space="preserve"> 一方的违约行为给对方造成的损失超过本合同约定的违约金数额的，超出部分，违约方应予以赔偿。</w:t>
      </w:r>
    </w:p>
    <w:p>
      <w:pPr>
        <w:spacing w:line="360" w:lineRule="auto"/>
        <w:ind w:firstLine="120" w:firstLineChars="50"/>
        <w:rPr>
          <w:b/>
          <w:bCs/>
          <w:color w:val="auto"/>
          <w:sz w:val="24"/>
          <w:highlight w:val="none"/>
          <w:lang w:eastAsia="zh-CN"/>
        </w:rPr>
      </w:pPr>
      <w:r>
        <w:rPr>
          <w:rFonts w:hint="eastAsia"/>
          <w:b/>
          <w:bCs/>
          <w:color w:val="auto"/>
          <w:sz w:val="24"/>
          <w:highlight w:val="none"/>
          <w:lang w:val="en-US" w:eastAsia="zh-CN"/>
        </w:rPr>
        <w:t xml:space="preserve">第九条 </w:t>
      </w:r>
      <w:r>
        <w:rPr>
          <w:rFonts w:hint="eastAsia"/>
          <w:b/>
          <w:bCs/>
          <w:color w:val="auto"/>
          <w:sz w:val="24"/>
          <w:highlight w:val="none"/>
          <w:lang w:eastAsia="zh-CN"/>
        </w:rPr>
        <w:t>法律的适用及争议解决方式</w:t>
      </w:r>
    </w:p>
    <w:p>
      <w:pPr>
        <w:spacing w:line="360" w:lineRule="auto"/>
        <w:ind w:firstLine="360" w:firstLineChars="150"/>
        <w:rPr>
          <w:color w:val="auto"/>
          <w:sz w:val="24"/>
          <w:highlight w:val="none"/>
          <w:lang w:eastAsia="zh-CN"/>
        </w:rPr>
      </w:pPr>
      <w:r>
        <w:rPr>
          <w:rFonts w:hint="eastAsia"/>
          <w:color w:val="auto"/>
          <w:sz w:val="24"/>
          <w:highlight w:val="none"/>
          <w:lang w:val="en-US" w:eastAsia="zh-CN"/>
        </w:rPr>
        <w:t>9</w:t>
      </w:r>
      <w:r>
        <w:rPr>
          <w:rFonts w:hint="eastAsia"/>
          <w:color w:val="auto"/>
          <w:sz w:val="24"/>
          <w:highlight w:val="none"/>
          <w:lang w:eastAsia="zh-CN"/>
        </w:rPr>
        <w:t>.1、本合同的效力、解释及履行均适用中华人民共和国法律。</w:t>
      </w:r>
    </w:p>
    <w:p>
      <w:pPr>
        <w:spacing w:line="360" w:lineRule="auto"/>
        <w:ind w:firstLine="360" w:firstLineChars="150"/>
        <w:rPr>
          <w:color w:val="auto"/>
          <w:sz w:val="24"/>
          <w:highlight w:val="none"/>
          <w:lang w:eastAsia="zh-CN"/>
        </w:rPr>
      </w:pPr>
      <w:r>
        <w:rPr>
          <w:rFonts w:hint="eastAsia"/>
          <w:color w:val="auto"/>
          <w:sz w:val="24"/>
          <w:highlight w:val="none"/>
          <w:lang w:val="en-US" w:eastAsia="zh-CN"/>
        </w:rPr>
        <w:t>9</w:t>
      </w:r>
      <w:r>
        <w:rPr>
          <w:rFonts w:hint="eastAsia"/>
          <w:color w:val="auto"/>
          <w:sz w:val="24"/>
          <w:highlight w:val="none"/>
          <w:lang w:eastAsia="zh-CN"/>
        </w:rPr>
        <w:t>.2、因本合同履行过程中引起的任何争议，双方应及时友好协商解决。协商不成的，向甲方所在地的人民法院提起诉讼。</w:t>
      </w:r>
    </w:p>
    <w:p>
      <w:pPr>
        <w:spacing w:line="360" w:lineRule="auto"/>
        <w:ind w:firstLine="120" w:firstLineChars="50"/>
        <w:rPr>
          <w:b/>
          <w:bCs/>
          <w:color w:val="auto"/>
          <w:sz w:val="24"/>
          <w:highlight w:val="none"/>
          <w:lang w:eastAsia="zh-CN"/>
        </w:rPr>
      </w:pPr>
      <w:r>
        <w:rPr>
          <w:rFonts w:hint="eastAsia"/>
          <w:b/>
          <w:bCs/>
          <w:color w:val="auto"/>
          <w:sz w:val="24"/>
          <w:highlight w:val="none"/>
          <w:lang w:val="en-US" w:eastAsia="zh-CN"/>
        </w:rPr>
        <w:t xml:space="preserve">第十条 </w:t>
      </w:r>
      <w:r>
        <w:rPr>
          <w:rFonts w:hint="eastAsia"/>
          <w:b/>
          <w:bCs/>
          <w:color w:val="auto"/>
          <w:sz w:val="24"/>
          <w:highlight w:val="none"/>
          <w:lang w:eastAsia="zh-CN"/>
        </w:rPr>
        <w:t xml:space="preserve">合同变更与解除： </w:t>
      </w:r>
    </w:p>
    <w:p>
      <w:pPr>
        <w:spacing w:line="360" w:lineRule="auto"/>
        <w:ind w:firstLine="360" w:firstLineChars="150"/>
        <w:rPr>
          <w:color w:val="auto"/>
          <w:sz w:val="24"/>
          <w:highlight w:val="none"/>
          <w:lang w:eastAsia="zh-CN"/>
        </w:rPr>
      </w:pPr>
      <w:r>
        <w:rPr>
          <w:rFonts w:hint="eastAsia"/>
          <w:color w:val="auto"/>
          <w:sz w:val="24"/>
          <w:highlight w:val="none"/>
          <w:lang w:eastAsia="zh-CN"/>
        </w:rPr>
        <w:t>除本合同另有约定或法律规定外，非经双方协商一致，任何一方均不得擅自变更或解除合同。合同变更或解除须采取书面形式。</w:t>
      </w:r>
    </w:p>
    <w:p>
      <w:pPr>
        <w:spacing w:line="360" w:lineRule="auto"/>
        <w:ind w:firstLine="480"/>
        <w:rPr>
          <w:color w:val="auto"/>
          <w:sz w:val="24"/>
          <w:highlight w:val="none"/>
          <w:lang w:eastAsia="zh-CN"/>
        </w:rPr>
      </w:pPr>
      <w:r>
        <w:rPr>
          <w:rFonts w:hint="eastAsia"/>
          <w:b/>
          <w:bCs/>
          <w:color w:val="auto"/>
          <w:sz w:val="24"/>
          <w:highlight w:val="none"/>
          <w:lang w:val="en-US" w:eastAsia="zh-CN"/>
        </w:rPr>
        <w:t>第十一条</w:t>
      </w:r>
      <w:r>
        <w:rPr>
          <w:rFonts w:hint="eastAsia"/>
          <w:color w:val="auto"/>
          <w:sz w:val="24"/>
          <w:highlight w:val="none"/>
          <w:lang w:val="en-US" w:eastAsia="zh-CN"/>
        </w:rPr>
        <w:t xml:space="preserve"> </w:t>
      </w:r>
      <w:r>
        <w:rPr>
          <w:rFonts w:hint="eastAsia"/>
          <w:color w:val="auto"/>
          <w:sz w:val="24"/>
          <w:highlight w:val="none"/>
          <w:lang w:eastAsia="zh-CN"/>
        </w:rPr>
        <w:t>本合同一式</w:t>
      </w:r>
      <w:r>
        <w:rPr>
          <w:rFonts w:hint="eastAsia"/>
          <w:color w:val="auto"/>
          <w:sz w:val="24"/>
          <w:highlight w:val="none"/>
          <w:lang w:val="en-US" w:eastAsia="zh-CN"/>
        </w:rPr>
        <w:t>陆</w:t>
      </w:r>
      <w:r>
        <w:rPr>
          <w:rFonts w:hint="eastAsia"/>
          <w:color w:val="auto"/>
          <w:sz w:val="24"/>
          <w:highlight w:val="none"/>
          <w:lang w:eastAsia="zh-CN"/>
        </w:rPr>
        <w:t>份，经双方盖章后生效，甲方执</w:t>
      </w:r>
      <w:r>
        <w:rPr>
          <w:rFonts w:hint="eastAsia"/>
          <w:color w:val="auto"/>
          <w:sz w:val="24"/>
          <w:highlight w:val="none"/>
          <w:lang w:val="en-US" w:eastAsia="zh-CN"/>
        </w:rPr>
        <w:t>肆</w:t>
      </w:r>
      <w:r>
        <w:rPr>
          <w:rFonts w:hint="eastAsia"/>
          <w:color w:val="auto"/>
          <w:sz w:val="24"/>
          <w:highlight w:val="none"/>
          <w:lang w:eastAsia="zh-CN"/>
        </w:rPr>
        <w:t>份、乙方执贰份，具有同等效力。</w:t>
      </w:r>
    </w:p>
    <w:p>
      <w:pPr>
        <w:ind w:firstLine="360" w:firstLineChars="150"/>
        <w:rPr>
          <w:color w:val="auto"/>
          <w:sz w:val="24"/>
          <w:highlight w:val="none"/>
          <w:lang w:eastAsia="zh-CN"/>
        </w:rPr>
      </w:pPr>
    </w:p>
    <w:p>
      <w:pPr>
        <w:ind w:firstLine="360" w:firstLineChars="150"/>
        <w:rPr>
          <w:color w:val="auto"/>
          <w:sz w:val="24"/>
          <w:highlight w:val="none"/>
          <w:lang w:eastAsia="zh-CN"/>
        </w:rPr>
      </w:pPr>
      <w:r>
        <w:rPr>
          <w:rFonts w:hint="eastAsia"/>
          <w:color w:val="auto"/>
          <w:sz w:val="24"/>
          <w:highlight w:val="none"/>
          <w:lang w:eastAsia="zh-CN"/>
        </w:rPr>
        <w:t>附件1、2024年度生态补偿增殖放流发包说明</w:t>
      </w:r>
    </w:p>
    <w:p>
      <w:pPr>
        <w:ind w:firstLine="360" w:firstLineChars="150"/>
        <w:rPr>
          <w:color w:val="auto"/>
          <w:sz w:val="24"/>
          <w:highlight w:val="none"/>
          <w:lang w:eastAsia="zh-CN"/>
        </w:rPr>
      </w:pPr>
      <w:r>
        <w:rPr>
          <w:rFonts w:hint="eastAsia"/>
          <w:color w:val="auto"/>
          <w:sz w:val="24"/>
          <w:highlight w:val="none"/>
          <w:lang w:eastAsia="zh-CN"/>
        </w:rPr>
        <w:t>附件2、安全环保协议书</w:t>
      </w:r>
    </w:p>
    <w:p>
      <w:pPr>
        <w:pStyle w:val="34"/>
        <w:ind w:left="0" w:leftChars="0" w:firstLine="360" w:firstLineChars="150"/>
        <w:rPr>
          <w:rFonts w:hint="eastAsia"/>
          <w:color w:val="auto"/>
          <w:sz w:val="24"/>
          <w:highlight w:val="none"/>
          <w:lang w:eastAsia="zh-CN"/>
        </w:rPr>
      </w:pPr>
      <w:r>
        <w:rPr>
          <w:rFonts w:hint="eastAsia"/>
          <w:color w:val="auto"/>
          <w:sz w:val="24"/>
          <w:highlight w:val="none"/>
          <w:lang w:eastAsia="zh-CN"/>
        </w:rPr>
        <w:t>附件3、人员、车辆入厂安全管理协议</w:t>
      </w:r>
    </w:p>
    <w:p>
      <w:pPr>
        <w:pStyle w:val="34"/>
        <w:ind w:left="0" w:leftChars="0" w:firstLine="360" w:firstLineChars="150"/>
        <w:rPr>
          <w:rFonts w:hint="eastAsia"/>
          <w:color w:val="auto"/>
          <w:sz w:val="24"/>
          <w:highlight w:val="none"/>
          <w:lang w:eastAsia="zh-CN"/>
        </w:rPr>
      </w:pPr>
    </w:p>
    <w:p>
      <w:pPr>
        <w:pStyle w:val="34"/>
        <w:ind w:left="0" w:leftChars="0" w:firstLine="360" w:firstLineChars="150"/>
        <w:rPr>
          <w:rFonts w:hint="eastAsia"/>
          <w:color w:val="auto"/>
          <w:sz w:val="24"/>
          <w:highlight w:val="none"/>
          <w:lang w:eastAsia="zh-CN"/>
        </w:rPr>
      </w:pPr>
    </w:p>
    <w:p>
      <w:pPr>
        <w:spacing w:line="360" w:lineRule="auto"/>
        <w:ind w:firstLine="480"/>
        <w:rPr>
          <w:color w:val="auto"/>
          <w:sz w:val="24"/>
          <w:highlight w:val="none"/>
          <w:lang w:eastAsia="zh-CN"/>
        </w:rPr>
      </w:pPr>
    </w:p>
    <w:tbl>
      <w:tblPr>
        <w:tblStyle w:val="35"/>
        <w:tblW w:w="9780" w:type="dxa"/>
        <w:jc w:val="center"/>
        <w:tblLayout w:type="fixed"/>
        <w:tblCellMar>
          <w:top w:w="0" w:type="dxa"/>
          <w:left w:w="108" w:type="dxa"/>
          <w:bottom w:w="0" w:type="dxa"/>
          <w:right w:w="108" w:type="dxa"/>
        </w:tblCellMar>
      </w:tblPr>
      <w:tblGrid>
        <w:gridCol w:w="5862"/>
        <w:gridCol w:w="3918"/>
      </w:tblGrid>
      <w:tr>
        <w:tblPrEx>
          <w:tblCellMar>
            <w:top w:w="0" w:type="dxa"/>
            <w:left w:w="108" w:type="dxa"/>
            <w:bottom w:w="0" w:type="dxa"/>
            <w:right w:w="108" w:type="dxa"/>
          </w:tblCellMar>
        </w:tblPrEx>
        <w:trPr>
          <w:jc w:val="center"/>
        </w:trPr>
        <w:tc>
          <w:tcPr>
            <w:tcW w:w="5862" w:type="dxa"/>
            <w:vAlign w:val="center"/>
          </w:tcPr>
          <w:p>
            <w:pPr>
              <w:spacing w:line="360" w:lineRule="auto"/>
              <w:rPr>
                <w:color w:val="auto"/>
                <w:sz w:val="24"/>
                <w:highlight w:val="none"/>
                <w:lang w:eastAsia="zh-CN"/>
              </w:rPr>
            </w:pPr>
            <w:r>
              <w:rPr>
                <w:rFonts w:hint="eastAsia"/>
                <w:color w:val="auto"/>
                <w:sz w:val="24"/>
                <w:highlight w:val="none"/>
                <w:lang w:eastAsia="zh-CN"/>
              </w:rPr>
              <w:t>甲方：翔鹭石化(漳州)有限公司</w:t>
            </w:r>
          </w:p>
        </w:tc>
        <w:tc>
          <w:tcPr>
            <w:tcW w:w="3918" w:type="dxa"/>
            <w:vAlign w:val="center"/>
          </w:tcPr>
          <w:p>
            <w:pPr>
              <w:spacing w:line="360" w:lineRule="auto"/>
              <w:rPr>
                <w:color w:val="auto"/>
                <w:sz w:val="24"/>
                <w:highlight w:val="none"/>
              </w:rPr>
            </w:pPr>
            <w:r>
              <w:rPr>
                <w:rFonts w:hint="eastAsia"/>
                <w:color w:val="auto"/>
                <w:sz w:val="24"/>
                <w:highlight w:val="none"/>
              </w:rPr>
              <w:t>乙方：</w:t>
            </w:r>
          </w:p>
        </w:tc>
      </w:tr>
      <w:tr>
        <w:tblPrEx>
          <w:tblCellMar>
            <w:top w:w="0" w:type="dxa"/>
            <w:left w:w="108" w:type="dxa"/>
            <w:bottom w:w="0" w:type="dxa"/>
            <w:right w:w="108" w:type="dxa"/>
          </w:tblCellMar>
        </w:tblPrEx>
        <w:trPr>
          <w:jc w:val="center"/>
        </w:trPr>
        <w:tc>
          <w:tcPr>
            <w:tcW w:w="5862" w:type="dxa"/>
            <w:vAlign w:val="center"/>
          </w:tcPr>
          <w:p>
            <w:pPr>
              <w:spacing w:line="360" w:lineRule="auto"/>
              <w:rPr>
                <w:color w:val="auto"/>
                <w:sz w:val="24"/>
                <w:highlight w:val="none"/>
                <w:lang w:eastAsia="zh-CN"/>
              </w:rPr>
            </w:pPr>
            <w:r>
              <w:rPr>
                <w:rFonts w:hint="eastAsia"/>
                <w:color w:val="auto"/>
                <w:sz w:val="24"/>
                <w:highlight w:val="none"/>
                <w:lang w:eastAsia="zh-CN"/>
              </w:rPr>
              <w:t>联系地址：福建省漳州市漳州古雷经济开发区腾龙路86号</w:t>
            </w:r>
          </w:p>
        </w:tc>
        <w:tc>
          <w:tcPr>
            <w:tcW w:w="3918" w:type="dxa"/>
            <w:vAlign w:val="center"/>
          </w:tcPr>
          <w:p>
            <w:pPr>
              <w:spacing w:line="360" w:lineRule="auto"/>
              <w:rPr>
                <w:color w:val="auto"/>
                <w:sz w:val="24"/>
                <w:highlight w:val="none"/>
              </w:rPr>
            </w:pPr>
            <w:r>
              <w:rPr>
                <w:rFonts w:hint="eastAsia"/>
                <w:color w:val="auto"/>
                <w:sz w:val="24"/>
                <w:highlight w:val="none"/>
              </w:rPr>
              <w:t>联系地址：</w:t>
            </w:r>
          </w:p>
        </w:tc>
      </w:tr>
      <w:tr>
        <w:tblPrEx>
          <w:tblCellMar>
            <w:top w:w="0" w:type="dxa"/>
            <w:left w:w="108" w:type="dxa"/>
            <w:bottom w:w="0" w:type="dxa"/>
            <w:right w:w="108" w:type="dxa"/>
          </w:tblCellMar>
        </w:tblPrEx>
        <w:trPr>
          <w:jc w:val="center"/>
        </w:trPr>
        <w:tc>
          <w:tcPr>
            <w:tcW w:w="5862" w:type="dxa"/>
            <w:vAlign w:val="center"/>
          </w:tcPr>
          <w:p>
            <w:pPr>
              <w:spacing w:line="360" w:lineRule="auto"/>
              <w:rPr>
                <w:color w:val="auto"/>
                <w:sz w:val="24"/>
                <w:highlight w:val="none"/>
              </w:rPr>
            </w:pPr>
            <w:r>
              <w:rPr>
                <w:rFonts w:hint="eastAsia"/>
                <w:color w:val="auto"/>
                <w:sz w:val="24"/>
                <w:highlight w:val="none"/>
              </w:rPr>
              <w:t>邮编：</w:t>
            </w:r>
          </w:p>
        </w:tc>
        <w:tc>
          <w:tcPr>
            <w:tcW w:w="3918" w:type="dxa"/>
            <w:vAlign w:val="center"/>
          </w:tcPr>
          <w:p>
            <w:pPr>
              <w:spacing w:line="360" w:lineRule="auto"/>
              <w:rPr>
                <w:color w:val="auto"/>
                <w:sz w:val="24"/>
                <w:highlight w:val="none"/>
              </w:rPr>
            </w:pPr>
            <w:r>
              <w:rPr>
                <w:rFonts w:hint="eastAsia"/>
                <w:color w:val="auto"/>
                <w:sz w:val="24"/>
                <w:highlight w:val="none"/>
              </w:rPr>
              <w:t>邮编：</w:t>
            </w:r>
          </w:p>
        </w:tc>
      </w:tr>
      <w:tr>
        <w:tblPrEx>
          <w:tblCellMar>
            <w:top w:w="0" w:type="dxa"/>
            <w:left w:w="108" w:type="dxa"/>
            <w:bottom w:w="0" w:type="dxa"/>
            <w:right w:w="108" w:type="dxa"/>
          </w:tblCellMar>
        </w:tblPrEx>
        <w:trPr>
          <w:jc w:val="center"/>
        </w:trPr>
        <w:tc>
          <w:tcPr>
            <w:tcW w:w="5862" w:type="dxa"/>
            <w:vAlign w:val="center"/>
          </w:tcPr>
          <w:p>
            <w:pPr>
              <w:spacing w:line="360" w:lineRule="auto"/>
              <w:rPr>
                <w:color w:val="auto"/>
                <w:sz w:val="24"/>
                <w:highlight w:val="none"/>
              </w:rPr>
            </w:pPr>
            <w:r>
              <w:rPr>
                <w:rFonts w:hint="eastAsia"/>
                <w:color w:val="auto"/>
                <w:sz w:val="24"/>
                <w:highlight w:val="none"/>
              </w:rPr>
              <w:t>传真：</w:t>
            </w:r>
          </w:p>
        </w:tc>
        <w:tc>
          <w:tcPr>
            <w:tcW w:w="3918" w:type="dxa"/>
            <w:vAlign w:val="center"/>
          </w:tcPr>
          <w:p>
            <w:pPr>
              <w:spacing w:line="360" w:lineRule="auto"/>
              <w:rPr>
                <w:color w:val="auto"/>
                <w:sz w:val="24"/>
                <w:highlight w:val="none"/>
              </w:rPr>
            </w:pPr>
            <w:r>
              <w:rPr>
                <w:rFonts w:hint="eastAsia"/>
                <w:color w:val="auto"/>
                <w:sz w:val="24"/>
                <w:highlight w:val="none"/>
              </w:rPr>
              <w:t>传真：</w:t>
            </w:r>
          </w:p>
        </w:tc>
      </w:tr>
      <w:tr>
        <w:tblPrEx>
          <w:tblCellMar>
            <w:top w:w="0" w:type="dxa"/>
            <w:left w:w="108" w:type="dxa"/>
            <w:bottom w:w="0" w:type="dxa"/>
            <w:right w:w="108" w:type="dxa"/>
          </w:tblCellMar>
        </w:tblPrEx>
        <w:trPr>
          <w:jc w:val="center"/>
        </w:trPr>
        <w:tc>
          <w:tcPr>
            <w:tcW w:w="5862" w:type="dxa"/>
            <w:vAlign w:val="center"/>
          </w:tcPr>
          <w:p>
            <w:pPr>
              <w:spacing w:line="360" w:lineRule="auto"/>
              <w:rPr>
                <w:color w:val="auto"/>
                <w:sz w:val="24"/>
                <w:highlight w:val="none"/>
              </w:rPr>
            </w:pPr>
            <w:r>
              <w:rPr>
                <w:rFonts w:hint="eastAsia"/>
                <w:color w:val="auto"/>
                <w:sz w:val="24"/>
                <w:highlight w:val="none"/>
              </w:rPr>
              <w:t>电子邮箱：</w:t>
            </w:r>
          </w:p>
        </w:tc>
        <w:tc>
          <w:tcPr>
            <w:tcW w:w="3918" w:type="dxa"/>
            <w:vAlign w:val="center"/>
          </w:tcPr>
          <w:p>
            <w:pPr>
              <w:spacing w:line="360" w:lineRule="auto"/>
              <w:rPr>
                <w:color w:val="auto"/>
                <w:sz w:val="24"/>
                <w:highlight w:val="none"/>
              </w:rPr>
            </w:pPr>
            <w:r>
              <w:rPr>
                <w:rFonts w:hint="eastAsia"/>
                <w:color w:val="auto"/>
                <w:sz w:val="24"/>
                <w:highlight w:val="none"/>
              </w:rPr>
              <w:t>电子邮箱：</w:t>
            </w:r>
          </w:p>
        </w:tc>
      </w:tr>
      <w:tr>
        <w:tblPrEx>
          <w:tblCellMar>
            <w:top w:w="0" w:type="dxa"/>
            <w:left w:w="108" w:type="dxa"/>
            <w:bottom w:w="0" w:type="dxa"/>
            <w:right w:w="108" w:type="dxa"/>
          </w:tblCellMar>
        </w:tblPrEx>
        <w:trPr>
          <w:jc w:val="center"/>
        </w:trPr>
        <w:tc>
          <w:tcPr>
            <w:tcW w:w="5862" w:type="dxa"/>
            <w:vAlign w:val="center"/>
          </w:tcPr>
          <w:p>
            <w:pPr>
              <w:spacing w:line="360" w:lineRule="auto"/>
              <w:rPr>
                <w:color w:val="auto"/>
                <w:sz w:val="24"/>
                <w:highlight w:val="none"/>
              </w:rPr>
            </w:pPr>
            <w:r>
              <w:rPr>
                <w:rFonts w:hint="eastAsia"/>
                <w:color w:val="auto"/>
                <w:sz w:val="24"/>
                <w:highlight w:val="none"/>
              </w:rPr>
              <w:t>委托代理人：</w:t>
            </w:r>
          </w:p>
        </w:tc>
        <w:tc>
          <w:tcPr>
            <w:tcW w:w="3918" w:type="dxa"/>
            <w:vAlign w:val="center"/>
          </w:tcPr>
          <w:p>
            <w:pPr>
              <w:spacing w:line="360" w:lineRule="auto"/>
              <w:rPr>
                <w:color w:val="auto"/>
                <w:sz w:val="24"/>
                <w:highlight w:val="none"/>
              </w:rPr>
            </w:pPr>
            <w:r>
              <w:rPr>
                <w:rFonts w:hint="eastAsia"/>
                <w:color w:val="auto"/>
                <w:sz w:val="24"/>
                <w:highlight w:val="none"/>
              </w:rPr>
              <w:t>委托代理人：</w:t>
            </w:r>
          </w:p>
        </w:tc>
      </w:tr>
      <w:tr>
        <w:tblPrEx>
          <w:tblCellMar>
            <w:top w:w="0" w:type="dxa"/>
            <w:left w:w="108" w:type="dxa"/>
            <w:bottom w:w="0" w:type="dxa"/>
            <w:right w:w="108" w:type="dxa"/>
          </w:tblCellMar>
        </w:tblPrEx>
        <w:trPr>
          <w:jc w:val="center"/>
        </w:trPr>
        <w:tc>
          <w:tcPr>
            <w:tcW w:w="5862" w:type="dxa"/>
            <w:vAlign w:val="center"/>
          </w:tcPr>
          <w:p>
            <w:pPr>
              <w:spacing w:line="360" w:lineRule="auto"/>
              <w:rPr>
                <w:color w:val="auto"/>
                <w:sz w:val="24"/>
                <w:highlight w:val="none"/>
              </w:rPr>
            </w:pPr>
            <w:r>
              <w:rPr>
                <w:rFonts w:hint="eastAsia"/>
                <w:color w:val="auto"/>
                <w:sz w:val="24"/>
                <w:highlight w:val="none"/>
              </w:rPr>
              <w:t>电话：</w:t>
            </w:r>
          </w:p>
        </w:tc>
        <w:tc>
          <w:tcPr>
            <w:tcW w:w="3918" w:type="dxa"/>
            <w:vAlign w:val="center"/>
          </w:tcPr>
          <w:p>
            <w:pPr>
              <w:spacing w:line="360" w:lineRule="auto"/>
              <w:rPr>
                <w:color w:val="auto"/>
                <w:sz w:val="24"/>
                <w:highlight w:val="none"/>
              </w:rPr>
            </w:pPr>
            <w:r>
              <w:rPr>
                <w:rFonts w:hint="eastAsia"/>
                <w:color w:val="auto"/>
                <w:sz w:val="24"/>
                <w:highlight w:val="none"/>
              </w:rPr>
              <w:t>电话：</w:t>
            </w:r>
          </w:p>
        </w:tc>
      </w:tr>
      <w:tr>
        <w:tblPrEx>
          <w:tblCellMar>
            <w:top w:w="0" w:type="dxa"/>
            <w:left w:w="108" w:type="dxa"/>
            <w:bottom w:w="0" w:type="dxa"/>
            <w:right w:w="108" w:type="dxa"/>
          </w:tblCellMar>
        </w:tblPrEx>
        <w:trPr>
          <w:jc w:val="center"/>
        </w:trPr>
        <w:tc>
          <w:tcPr>
            <w:tcW w:w="5862" w:type="dxa"/>
            <w:vAlign w:val="center"/>
          </w:tcPr>
          <w:p>
            <w:pPr>
              <w:spacing w:line="360" w:lineRule="auto"/>
              <w:rPr>
                <w:color w:val="auto"/>
                <w:sz w:val="24"/>
                <w:highlight w:val="none"/>
                <w:lang w:eastAsia="zh-CN"/>
              </w:rPr>
            </w:pPr>
            <w:r>
              <w:rPr>
                <w:rFonts w:hint="eastAsia"/>
                <w:color w:val="auto"/>
                <w:sz w:val="24"/>
                <w:highlight w:val="none"/>
                <w:lang w:eastAsia="zh-CN"/>
              </w:rPr>
              <w:t>开户银行：中国银行漳州分行</w:t>
            </w:r>
          </w:p>
        </w:tc>
        <w:tc>
          <w:tcPr>
            <w:tcW w:w="3918" w:type="dxa"/>
            <w:vAlign w:val="center"/>
          </w:tcPr>
          <w:p>
            <w:pPr>
              <w:spacing w:line="360" w:lineRule="auto"/>
              <w:rPr>
                <w:color w:val="auto"/>
                <w:sz w:val="24"/>
                <w:highlight w:val="none"/>
              </w:rPr>
            </w:pPr>
            <w:r>
              <w:rPr>
                <w:rFonts w:hint="eastAsia"/>
                <w:color w:val="auto"/>
                <w:sz w:val="24"/>
                <w:highlight w:val="none"/>
              </w:rPr>
              <w:t>开户银行：</w:t>
            </w:r>
          </w:p>
        </w:tc>
      </w:tr>
      <w:tr>
        <w:tblPrEx>
          <w:tblCellMar>
            <w:top w:w="0" w:type="dxa"/>
            <w:left w:w="108" w:type="dxa"/>
            <w:bottom w:w="0" w:type="dxa"/>
            <w:right w:w="108" w:type="dxa"/>
          </w:tblCellMar>
        </w:tblPrEx>
        <w:trPr>
          <w:jc w:val="center"/>
        </w:trPr>
        <w:tc>
          <w:tcPr>
            <w:tcW w:w="5862" w:type="dxa"/>
            <w:vAlign w:val="center"/>
          </w:tcPr>
          <w:p>
            <w:pPr>
              <w:spacing w:line="360" w:lineRule="auto"/>
              <w:rPr>
                <w:color w:val="auto"/>
                <w:sz w:val="24"/>
                <w:highlight w:val="none"/>
              </w:rPr>
            </w:pPr>
            <w:r>
              <w:rPr>
                <w:rFonts w:hint="eastAsia"/>
                <w:color w:val="auto"/>
                <w:sz w:val="24"/>
                <w:highlight w:val="none"/>
              </w:rPr>
              <w:t>账号：</w:t>
            </w:r>
            <w:r>
              <w:rPr>
                <w:color w:val="auto"/>
                <w:sz w:val="24"/>
                <w:highlight w:val="none"/>
              </w:rPr>
              <w:t>416958369985</w:t>
            </w:r>
          </w:p>
        </w:tc>
        <w:tc>
          <w:tcPr>
            <w:tcW w:w="3918" w:type="dxa"/>
            <w:vAlign w:val="center"/>
          </w:tcPr>
          <w:p>
            <w:pPr>
              <w:spacing w:line="360" w:lineRule="auto"/>
              <w:rPr>
                <w:color w:val="auto"/>
                <w:sz w:val="24"/>
                <w:highlight w:val="none"/>
              </w:rPr>
            </w:pPr>
            <w:r>
              <w:rPr>
                <w:rFonts w:hint="eastAsia"/>
                <w:color w:val="auto"/>
                <w:sz w:val="24"/>
                <w:highlight w:val="none"/>
              </w:rPr>
              <w:t>账号：</w:t>
            </w:r>
          </w:p>
        </w:tc>
      </w:tr>
      <w:bookmarkEnd w:id="10"/>
    </w:tbl>
    <w:p>
      <w:pPr>
        <w:pStyle w:val="2"/>
        <w:rPr>
          <w:rFonts w:ascii="Times New Roman" w:hAnsi="Times New Roman"/>
          <w:bCs/>
          <w:color w:val="auto"/>
          <w:sz w:val="24"/>
          <w:szCs w:val="24"/>
          <w:highlight w:val="none"/>
        </w:rPr>
      </w:pPr>
    </w:p>
    <w:p>
      <w:pPr>
        <w:rPr>
          <w:rFonts w:ascii="Times New Roman" w:hAnsi="Times New Roman"/>
          <w:bCs/>
          <w:color w:val="auto"/>
          <w:sz w:val="24"/>
          <w:szCs w:val="24"/>
          <w:highlight w:val="none"/>
        </w:rPr>
      </w:pPr>
    </w:p>
    <w:p>
      <w:pPr>
        <w:pStyle w:val="34"/>
        <w:ind w:left="440" w:firstLine="480"/>
        <w:rPr>
          <w:rFonts w:ascii="Times New Roman" w:hAnsi="Times New Roman"/>
          <w:bCs/>
          <w:color w:val="auto"/>
          <w:sz w:val="24"/>
          <w:szCs w:val="24"/>
          <w:highlight w:val="none"/>
        </w:rPr>
      </w:pPr>
    </w:p>
    <w:p>
      <w:pPr>
        <w:pStyle w:val="34"/>
        <w:ind w:left="440" w:firstLine="480"/>
        <w:rPr>
          <w:rFonts w:ascii="Times New Roman" w:hAnsi="Times New Roman"/>
          <w:bCs/>
          <w:color w:val="auto"/>
          <w:sz w:val="24"/>
          <w:szCs w:val="24"/>
          <w:highlight w:val="none"/>
        </w:rPr>
      </w:pPr>
    </w:p>
    <w:p>
      <w:pPr>
        <w:pStyle w:val="34"/>
        <w:ind w:left="440" w:firstLine="480"/>
        <w:rPr>
          <w:rFonts w:ascii="Times New Roman" w:hAnsi="Times New Roman"/>
          <w:bCs/>
          <w:color w:val="auto"/>
          <w:sz w:val="24"/>
          <w:szCs w:val="24"/>
          <w:highlight w:val="none"/>
        </w:rPr>
      </w:pPr>
    </w:p>
    <w:p>
      <w:pPr>
        <w:pStyle w:val="34"/>
        <w:ind w:left="440" w:firstLine="480"/>
        <w:rPr>
          <w:rFonts w:ascii="Times New Roman" w:hAnsi="Times New Roman"/>
          <w:bCs/>
          <w:color w:val="auto"/>
          <w:sz w:val="24"/>
          <w:szCs w:val="24"/>
          <w:highlight w:val="none"/>
        </w:rPr>
      </w:pPr>
    </w:p>
    <w:p>
      <w:pPr>
        <w:rPr>
          <w:color w:val="auto"/>
          <w:highlight w:val="none"/>
          <w:lang w:eastAsia="zh-CN"/>
        </w:rPr>
      </w:pPr>
    </w:p>
    <w:p>
      <w:pPr>
        <w:pStyle w:val="23"/>
        <w:spacing w:line="360" w:lineRule="auto"/>
        <w:rPr>
          <w:rFonts w:ascii="Times New Roman" w:hAnsi="Times New Roman" w:cs="Times New Roman"/>
          <w:color w:val="auto"/>
          <w:sz w:val="24"/>
          <w:szCs w:val="24"/>
          <w:highlight w:val="none"/>
          <w:lang w:eastAsia="zh-CN"/>
        </w:rPr>
      </w:pPr>
    </w:p>
    <w:p>
      <w:pPr>
        <w:pStyle w:val="23"/>
        <w:spacing w:line="360" w:lineRule="auto"/>
        <w:rPr>
          <w:rFonts w:ascii="Times New Roman" w:hAnsi="Times New Roman" w:cs="Times New Roman"/>
          <w:color w:val="auto"/>
          <w:sz w:val="24"/>
          <w:szCs w:val="24"/>
          <w:highlight w:val="none"/>
          <w:lang w:eastAsia="zh-CN"/>
        </w:rPr>
      </w:pPr>
    </w:p>
    <w:p>
      <w:pPr>
        <w:pStyle w:val="3"/>
        <w:spacing w:line="500" w:lineRule="exact"/>
        <w:ind w:left="573"/>
        <w:rPr>
          <w:b w:val="0"/>
          <w:bCs w:val="0"/>
          <w:color w:val="auto"/>
          <w:highlight w:val="none"/>
          <w:lang w:eastAsia="zh-CN"/>
        </w:rPr>
      </w:pPr>
    </w:p>
    <w:p>
      <w:pPr>
        <w:rPr>
          <w:color w:val="auto"/>
          <w:highlight w:val="none"/>
          <w:lang w:eastAsia="zh-CN"/>
        </w:rPr>
      </w:pPr>
    </w:p>
    <w:p>
      <w:pPr>
        <w:pStyle w:val="3"/>
        <w:spacing w:line="500" w:lineRule="exact"/>
        <w:ind w:left="573"/>
        <w:rPr>
          <w:b w:val="0"/>
          <w:bCs w:val="0"/>
          <w:color w:val="auto"/>
          <w:highlight w:val="none"/>
          <w:lang w:eastAsia="zh-CN"/>
        </w:rPr>
      </w:pPr>
    </w:p>
    <w:p>
      <w:pPr>
        <w:pStyle w:val="3"/>
        <w:spacing w:line="500" w:lineRule="exact"/>
        <w:ind w:left="573"/>
        <w:rPr>
          <w:b w:val="0"/>
          <w:bCs w:val="0"/>
          <w:color w:val="auto"/>
          <w:highlight w:val="none"/>
          <w:lang w:eastAsia="zh-CN"/>
        </w:rPr>
      </w:pPr>
    </w:p>
    <w:p>
      <w:pPr>
        <w:pStyle w:val="3"/>
        <w:spacing w:line="500" w:lineRule="exact"/>
        <w:ind w:left="573"/>
        <w:rPr>
          <w:b w:val="0"/>
          <w:bCs w:val="0"/>
          <w:color w:val="auto"/>
          <w:highlight w:val="none"/>
          <w:lang w:eastAsia="zh-CN"/>
        </w:rPr>
      </w:pPr>
    </w:p>
    <w:p>
      <w:pPr>
        <w:rPr>
          <w:color w:val="auto"/>
          <w:highlight w:val="none"/>
          <w:lang w:eastAsia="zh-CN"/>
        </w:rPr>
      </w:pPr>
    </w:p>
    <w:p>
      <w:pPr>
        <w:pStyle w:val="3"/>
        <w:spacing w:line="500" w:lineRule="exact"/>
        <w:ind w:left="0"/>
        <w:rPr>
          <w:b w:val="0"/>
          <w:bCs w:val="0"/>
          <w:color w:val="auto"/>
          <w:highlight w:val="none"/>
          <w:lang w:eastAsia="zh-CN"/>
        </w:rPr>
      </w:pPr>
      <w:r>
        <w:rPr>
          <w:rFonts w:hint="eastAsia"/>
          <w:b w:val="0"/>
          <w:bCs w:val="0"/>
          <w:color w:val="auto"/>
          <w:highlight w:val="none"/>
          <w:lang w:eastAsia="zh-CN"/>
        </w:rPr>
        <w:t>附件1</w:t>
      </w:r>
    </w:p>
    <w:p>
      <w:pPr>
        <w:spacing w:line="360" w:lineRule="auto"/>
        <w:ind w:firstLine="452" w:firstLineChars="150"/>
        <w:jc w:val="center"/>
        <w:rPr>
          <w:b/>
          <w:bCs/>
          <w:color w:val="auto"/>
          <w:sz w:val="30"/>
          <w:szCs w:val="30"/>
          <w:highlight w:val="none"/>
          <w:lang w:eastAsia="zh-CN"/>
        </w:rPr>
      </w:pPr>
      <w:r>
        <w:rPr>
          <w:rFonts w:hint="eastAsia"/>
          <w:b/>
          <w:bCs/>
          <w:color w:val="auto"/>
          <w:sz w:val="30"/>
          <w:szCs w:val="30"/>
          <w:highlight w:val="none"/>
          <w:lang w:eastAsia="zh-CN"/>
        </w:rPr>
        <w:t>翔鹭石化(漳州)有限公司海水冷却系统取水工程</w:t>
      </w:r>
    </w:p>
    <w:p>
      <w:pPr>
        <w:spacing w:line="360" w:lineRule="auto"/>
        <w:ind w:firstLine="452" w:firstLineChars="150"/>
        <w:jc w:val="center"/>
        <w:rPr>
          <w:b/>
          <w:bCs/>
          <w:color w:val="auto"/>
          <w:sz w:val="30"/>
          <w:szCs w:val="30"/>
          <w:highlight w:val="none"/>
          <w:lang w:eastAsia="zh-CN"/>
        </w:rPr>
      </w:pPr>
      <w:r>
        <w:rPr>
          <w:rFonts w:hint="eastAsia"/>
          <w:b/>
          <w:bCs/>
          <w:color w:val="auto"/>
          <w:sz w:val="30"/>
          <w:szCs w:val="30"/>
          <w:highlight w:val="none"/>
          <w:lang w:eastAsia="zh-CN"/>
        </w:rPr>
        <w:t>2024年度生态补偿增殖放流发包说明</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一、主旨</w:t>
      </w:r>
      <w:r>
        <w:rPr>
          <w:rFonts w:hint="eastAsia" w:asciiTheme="minorEastAsia" w:hAnsiTheme="minorEastAsia"/>
          <w:color w:val="auto"/>
          <w:sz w:val="24"/>
          <w:szCs w:val="24"/>
          <w:highlight w:val="none"/>
          <w:lang w:eastAsia="zh-CN"/>
        </w:rPr>
        <w:t>：</w:t>
      </w:r>
    </w:p>
    <w:p>
      <w:pPr>
        <w:spacing w:line="360" w:lineRule="auto"/>
        <w:ind w:firstLine="480" w:firstLineChars="200"/>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翔鹭石化（漳州）有限公司海水冷却系统在建设和运营期内会对用海水域造成一定的海洋生物数量损失和海洋生态影响，为补偿损失的海洋生物资源和修复海域生态环境，我司根据用海项目海洋环评报告要求和本地海域实际情况，通过渔业资源人工增殖放流的形式，开展相关的工作。</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 xml:space="preserve">    </w:t>
      </w:r>
      <w:r>
        <w:rPr>
          <w:rFonts w:asciiTheme="minorEastAsia" w:hAnsiTheme="minorEastAsia"/>
          <w:color w:val="auto"/>
          <w:sz w:val="24"/>
          <w:szCs w:val="24"/>
          <w:highlight w:val="none"/>
          <w:lang w:eastAsia="zh-CN"/>
        </w:rPr>
        <w:t>为科学指导和规范水生生物资源增殖放流活动，加强水生生物资源养护，改善水域生态环境，促进渔业可持续健康发展，根据</w:t>
      </w:r>
      <w:r>
        <w:rPr>
          <w:rFonts w:hint="eastAsia" w:asciiTheme="minorEastAsia" w:hAnsiTheme="minorEastAsia"/>
          <w:color w:val="auto"/>
          <w:sz w:val="24"/>
          <w:szCs w:val="24"/>
          <w:highlight w:val="none"/>
          <w:lang w:eastAsia="zh-CN"/>
        </w:rPr>
        <w:t>农业农村部《关于做好“十四五”水生生物增殖放流工作的指导意见》、《2024年度福建省水生生物增殖放流实施方案》、漳州市海洋渔业局《</w:t>
      </w:r>
      <w:r>
        <w:rPr>
          <w:rFonts w:asciiTheme="minorEastAsia" w:hAnsiTheme="minorEastAsia"/>
          <w:color w:val="auto"/>
          <w:sz w:val="24"/>
          <w:szCs w:val="24"/>
          <w:highlight w:val="none"/>
          <w:lang w:eastAsia="zh-CN"/>
        </w:rPr>
        <w:t>漳州市水生生物增殖放流指导意见</w:t>
      </w:r>
      <w:r>
        <w:rPr>
          <w:rFonts w:hint="eastAsia" w:asciiTheme="minorEastAsia" w:hAnsiTheme="minorEastAsia"/>
          <w:color w:val="auto"/>
          <w:sz w:val="24"/>
          <w:szCs w:val="24"/>
          <w:highlight w:val="none"/>
          <w:lang w:eastAsia="zh-CN"/>
        </w:rPr>
        <w:t>》</w:t>
      </w:r>
      <w:r>
        <w:rPr>
          <w:rFonts w:asciiTheme="minorEastAsia" w:hAnsiTheme="minorEastAsia"/>
          <w:color w:val="auto"/>
          <w:sz w:val="24"/>
          <w:szCs w:val="24"/>
          <w:highlight w:val="none"/>
          <w:lang w:eastAsia="zh-CN"/>
        </w:rPr>
        <w:t>等</w:t>
      </w:r>
      <w:r>
        <w:rPr>
          <w:rFonts w:hint="eastAsia" w:asciiTheme="minorEastAsia" w:hAnsiTheme="minorEastAsia"/>
          <w:color w:val="auto"/>
          <w:sz w:val="24"/>
          <w:szCs w:val="24"/>
          <w:highlight w:val="none"/>
          <w:lang w:eastAsia="zh-CN"/>
        </w:rPr>
        <w:t>方案或意见的</w:t>
      </w:r>
      <w:r>
        <w:rPr>
          <w:rFonts w:asciiTheme="minorEastAsia" w:hAnsiTheme="minorEastAsia"/>
          <w:color w:val="auto"/>
          <w:sz w:val="24"/>
          <w:szCs w:val="24"/>
          <w:highlight w:val="none"/>
          <w:lang w:eastAsia="zh-CN"/>
        </w:rPr>
        <w:t>精神</w:t>
      </w:r>
      <w:r>
        <w:rPr>
          <w:rFonts w:hint="eastAsia" w:asciiTheme="minorEastAsia" w:hAnsiTheme="minorEastAsia"/>
          <w:color w:val="auto"/>
          <w:sz w:val="24"/>
          <w:szCs w:val="24"/>
          <w:highlight w:val="none"/>
          <w:lang w:eastAsia="zh-CN"/>
        </w:rPr>
        <w:t>，我司对2024年度的渔业资源增殖放流活动进行公开招标，并制定本发包说明和技术文件。</w:t>
      </w:r>
    </w:p>
    <w:p>
      <w:pPr>
        <w:spacing w:line="360" w:lineRule="auto"/>
        <w:rPr>
          <w:rFonts w:asciiTheme="minorEastAsia" w:hAnsiTheme="minorEastAsia"/>
          <w:b/>
          <w:color w:val="auto"/>
          <w:sz w:val="24"/>
          <w:szCs w:val="24"/>
          <w:highlight w:val="none"/>
          <w:lang w:eastAsia="zh-CN"/>
        </w:rPr>
      </w:pPr>
      <w:r>
        <w:rPr>
          <w:rFonts w:hint="eastAsia" w:asciiTheme="minorEastAsia" w:hAnsiTheme="minorEastAsia"/>
          <w:b/>
          <w:color w:val="auto"/>
          <w:sz w:val="24"/>
          <w:szCs w:val="24"/>
          <w:highlight w:val="none"/>
          <w:lang w:eastAsia="zh-CN"/>
        </w:rPr>
        <w:t>二、增殖放流方案：</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2.1.增殖放流地点：浮头湾海域（含杏仔码头）</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2.2.增殖放流时间：2024年6月下旬至2024年8月上旬期间</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2.3.增殖放流金额及其放流品种、数量及规格：</w:t>
      </w:r>
    </w:p>
    <w:p>
      <w:pPr>
        <w:spacing w:line="360" w:lineRule="auto"/>
        <w:ind w:firstLine="480" w:firstLineChars="200"/>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本次增殖放流拟投入资金194.9万元人民币，依古雷港经济开发区管委会农林水局批复的放流品种和投入金额,放流数量参照上年度的市场化公开采购价格，我司规划本次增殖放流项目渔业资源具体采购品种、投入金额、拟采购数量、苗体规格如下；</w:t>
      </w:r>
    </w:p>
    <w:p>
      <w:pPr>
        <w:tabs>
          <w:tab w:val="left" w:pos="600"/>
        </w:tabs>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（1）黄鳍鲷：人民币75万元，150万尾，仔鱼5厘米及以上。</w:t>
      </w:r>
    </w:p>
    <w:p>
      <w:pPr>
        <w:tabs>
          <w:tab w:val="left" w:pos="600"/>
        </w:tabs>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（2）大黄鱼：人民币75万元，150万尾，仔鱼5厘米及以上。</w:t>
      </w:r>
    </w:p>
    <w:p>
      <w:pPr>
        <w:tabs>
          <w:tab w:val="left" w:pos="600"/>
        </w:tabs>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（3）日本对虾：人民币44.9万元，</w:t>
      </w:r>
      <w:r>
        <w:rPr>
          <w:rFonts w:hint="eastAsia" w:asciiTheme="minorEastAsia" w:hAnsiTheme="minorEastAsia"/>
          <w:color w:val="auto"/>
          <w:sz w:val="24"/>
          <w:szCs w:val="24"/>
          <w:highlight w:val="none"/>
          <w:lang w:val="en-US" w:eastAsia="zh-CN"/>
        </w:rPr>
        <w:t>25</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0</w:t>
      </w:r>
      <w:r>
        <w:rPr>
          <w:rFonts w:hint="eastAsia" w:asciiTheme="minorEastAsia" w:hAnsiTheme="minorEastAsia"/>
          <w:color w:val="auto"/>
          <w:sz w:val="24"/>
          <w:szCs w:val="24"/>
          <w:highlight w:val="none"/>
          <w:lang w:eastAsia="zh-CN"/>
        </w:rPr>
        <w:t>00万尾，苗体0.8厘米及以上。</w:t>
      </w:r>
    </w:p>
    <w:p>
      <w:pPr>
        <w:spacing w:line="360" w:lineRule="auto"/>
        <w:rPr>
          <w:rFonts w:asciiTheme="minorEastAsia" w:hAnsiTheme="minorEastAsia"/>
          <w:b/>
          <w:color w:val="auto"/>
          <w:sz w:val="24"/>
          <w:szCs w:val="24"/>
          <w:highlight w:val="none"/>
          <w:lang w:eastAsia="zh-CN"/>
        </w:rPr>
      </w:pPr>
      <w:r>
        <w:rPr>
          <w:rFonts w:hint="eastAsia" w:asciiTheme="minorEastAsia" w:hAnsiTheme="minorEastAsia"/>
          <w:b/>
          <w:color w:val="auto"/>
          <w:sz w:val="24"/>
          <w:szCs w:val="24"/>
          <w:highlight w:val="none"/>
          <w:lang w:eastAsia="zh-CN"/>
        </w:rPr>
        <w:t>三、投标方资质、业绩要求</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3.1.</w:t>
      </w:r>
      <w:r>
        <w:rPr>
          <w:rFonts w:asciiTheme="minorEastAsia" w:hAnsiTheme="minorEastAsia"/>
          <w:color w:val="auto"/>
          <w:sz w:val="24"/>
          <w:szCs w:val="24"/>
          <w:highlight w:val="none"/>
          <w:lang w:eastAsia="zh-CN"/>
        </w:rPr>
        <w:t>供苗单位</w:t>
      </w:r>
      <w:r>
        <w:rPr>
          <w:rFonts w:hint="eastAsia" w:asciiTheme="minorEastAsia" w:hAnsiTheme="minorEastAsia"/>
          <w:color w:val="auto"/>
          <w:sz w:val="24"/>
          <w:szCs w:val="24"/>
          <w:highlight w:val="none"/>
          <w:lang w:eastAsia="zh-CN"/>
        </w:rPr>
        <w:t>应为正式注册的合法组织、机构或公司，且近三年内无相关违约记录和法人代表未被列入失信被执行人。</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3.2.</w:t>
      </w:r>
      <w:r>
        <w:rPr>
          <w:rFonts w:asciiTheme="minorEastAsia" w:hAnsiTheme="minorEastAsia"/>
          <w:color w:val="auto"/>
          <w:sz w:val="24"/>
          <w:szCs w:val="24"/>
          <w:highlight w:val="none"/>
          <w:lang w:eastAsia="zh-CN"/>
        </w:rPr>
        <w:t>供苗单位应持有《水产苗种生产许可证》</w:t>
      </w:r>
      <w:r>
        <w:rPr>
          <w:rFonts w:hint="eastAsia" w:asciiTheme="minorEastAsia" w:hAnsiTheme="minorEastAsia"/>
          <w:color w:val="auto"/>
          <w:sz w:val="24"/>
          <w:szCs w:val="24"/>
          <w:highlight w:val="none"/>
          <w:lang w:eastAsia="zh-CN"/>
        </w:rPr>
        <w:t>。</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3.3.</w:t>
      </w:r>
      <w:r>
        <w:rPr>
          <w:rFonts w:asciiTheme="minorEastAsia" w:hAnsiTheme="minorEastAsia"/>
          <w:color w:val="auto"/>
          <w:sz w:val="24"/>
          <w:szCs w:val="24"/>
          <w:highlight w:val="none"/>
          <w:lang w:eastAsia="zh-CN"/>
        </w:rPr>
        <w:t>供苗单位应具备</w:t>
      </w:r>
      <w:r>
        <w:rPr>
          <w:rFonts w:hint="eastAsia" w:asciiTheme="minorEastAsia" w:hAnsiTheme="minorEastAsia"/>
          <w:color w:val="auto"/>
          <w:sz w:val="24"/>
          <w:szCs w:val="24"/>
          <w:highlight w:val="none"/>
          <w:lang w:eastAsia="zh-CN"/>
        </w:rPr>
        <w:t>与</w:t>
      </w:r>
      <w:r>
        <w:rPr>
          <w:rFonts w:asciiTheme="minorEastAsia" w:hAnsiTheme="minorEastAsia"/>
          <w:color w:val="auto"/>
          <w:sz w:val="24"/>
          <w:szCs w:val="24"/>
          <w:highlight w:val="none"/>
          <w:lang w:eastAsia="zh-CN"/>
        </w:rPr>
        <w:t>所供苗种数量匹配的亲本数量、生产设施设备</w:t>
      </w:r>
      <w:r>
        <w:rPr>
          <w:rFonts w:hint="eastAsia" w:asciiTheme="minorEastAsia" w:hAnsiTheme="minorEastAsia"/>
          <w:color w:val="auto"/>
          <w:sz w:val="24"/>
          <w:szCs w:val="24"/>
          <w:highlight w:val="none"/>
          <w:lang w:eastAsia="zh-CN"/>
        </w:rPr>
        <w:t>（包括尾水治理设备）</w:t>
      </w:r>
      <w:r>
        <w:rPr>
          <w:rFonts w:asciiTheme="minorEastAsia" w:hAnsiTheme="minorEastAsia"/>
          <w:color w:val="auto"/>
          <w:sz w:val="24"/>
          <w:szCs w:val="24"/>
          <w:highlight w:val="none"/>
          <w:lang w:eastAsia="zh-CN"/>
        </w:rPr>
        <w:t>。</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3.4.</w:t>
      </w:r>
      <w:r>
        <w:rPr>
          <w:rFonts w:asciiTheme="minorEastAsia" w:hAnsiTheme="minorEastAsia"/>
          <w:color w:val="auto"/>
          <w:sz w:val="24"/>
          <w:szCs w:val="24"/>
          <w:highlight w:val="none"/>
          <w:lang w:eastAsia="zh-CN"/>
        </w:rPr>
        <w:t>供苗单位</w:t>
      </w:r>
      <w:r>
        <w:rPr>
          <w:rFonts w:hint="eastAsia" w:asciiTheme="minorEastAsia" w:hAnsiTheme="minorEastAsia"/>
          <w:color w:val="auto"/>
          <w:sz w:val="24"/>
          <w:szCs w:val="24"/>
          <w:highlight w:val="none"/>
          <w:lang w:eastAsia="zh-CN"/>
        </w:rPr>
        <w:t>应</w:t>
      </w:r>
      <w:r>
        <w:rPr>
          <w:rFonts w:hint="eastAsia" w:cs="Times New Roman"/>
          <w:color w:val="auto"/>
          <w:sz w:val="24"/>
          <w:szCs w:val="24"/>
          <w:highlight w:val="none"/>
          <w:lang w:eastAsia="zh-CN"/>
        </w:rPr>
        <w:t>提供海水育苗场地使用</w:t>
      </w:r>
      <w:r>
        <w:rPr>
          <w:rFonts w:asciiTheme="minorEastAsia" w:hAnsiTheme="minorEastAsia"/>
          <w:color w:val="auto"/>
          <w:sz w:val="24"/>
          <w:szCs w:val="24"/>
          <w:highlight w:val="none"/>
          <w:lang w:eastAsia="zh-CN"/>
        </w:rPr>
        <w:t>权属证明</w:t>
      </w:r>
      <w:r>
        <w:rPr>
          <w:rFonts w:hint="eastAsia" w:cs="Times New Roman"/>
          <w:color w:val="auto"/>
          <w:sz w:val="24"/>
          <w:szCs w:val="24"/>
          <w:highlight w:val="none"/>
          <w:lang w:eastAsia="zh-CN"/>
        </w:rPr>
        <w:t>，且其大小应满足育苗数量要求。</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3.5.</w:t>
      </w:r>
      <w:r>
        <w:rPr>
          <w:rFonts w:hint="eastAsia" w:asciiTheme="minorEastAsia" w:hAnsiTheme="minorEastAsia"/>
          <w:color w:val="auto"/>
          <w:sz w:val="24"/>
          <w:szCs w:val="24"/>
          <w:highlight w:val="none"/>
          <w:lang w:eastAsia="zh-CN"/>
        </w:rPr>
        <w:t>近两年内至少有承揽过一次（含）以上的海洋渔业资源增殖放流项目，并履约完成验收（由区、县级（含）以上渔业行政主管部门组织）合格。</w:t>
      </w:r>
    </w:p>
    <w:p>
      <w:pPr>
        <w:spacing w:line="360" w:lineRule="auto"/>
        <w:rPr>
          <w:rFonts w:asciiTheme="minorEastAsia" w:hAnsiTheme="minorEastAsia"/>
          <w:b/>
          <w:color w:val="auto"/>
          <w:sz w:val="24"/>
          <w:szCs w:val="24"/>
          <w:highlight w:val="none"/>
          <w:lang w:eastAsia="zh-CN"/>
        </w:rPr>
      </w:pPr>
      <w:r>
        <w:rPr>
          <w:rFonts w:hint="eastAsia" w:asciiTheme="minorEastAsia" w:hAnsiTheme="minorEastAsia"/>
          <w:b/>
          <w:color w:val="auto"/>
          <w:sz w:val="24"/>
          <w:szCs w:val="24"/>
          <w:highlight w:val="none"/>
          <w:lang w:eastAsia="zh-CN"/>
        </w:rPr>
        <w:t>四、相关技术要求</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3.1</w:t>
      </w:r>
      <w:r>
        <w:rPr>
          <w:rFonts w:hint="eastAsia" w:asciiTheme="minorEastAsia" w:hAnsiTheme="minorEastAsia"/>
          <w:color w:val="auto"/>
          <w:sz w:val="24"/>
          <w:szCs w:val="24"/>
          <w:highlight w:val="none"/>
          <w:lang w:eastAsia="zh-CN"/>
        </w:rPr>
        <w:t>.供苗要求:</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3.1.1</w:t>
      </w:r>
      <w:r>
        <w:rPr>
          <w:rFonts w:asciiTheme="minorEastAsia" w:hAnsiTheme="minorEastAsia"/>
          <w:color w:val="auto"/>
          <w:sz w:val="24"/>
          <w:szCs w:val="24"/>
          <w:highlight w:val="none"/>
          <w:lang w:eastAsia="zh-CN"/>
        </w:rPr>
        <w:t>用于增殖放流的亲体、苗种等水生生物应当是本地物种</w:t>
      </w:r>
      <w:r>
        <w:rPr>
          <w:rFonts w:hint="eastAsia" w:asciiTheme="minorEastAsia" w:hAnsiTheme="minorEastAsia"/>
          <w:color w:val="auto"/>
          <w:sz w:val="24"/>
          <w:szCs w:val="24"/>
          <w:highlight w:val="none"/>
          <w:lang w:eastAsia="zh-CN"/>
        </w:rPr>
        <w:t>和本地培育</w:t>
      </w:r>
      <w:r>
        <w:rPr>
          <w:rFonts w:asciiTheme="minorEastAsia" w:hAnsiTheme="minorEastAsia"/>
          <w:color w:val="auto"/>
          <w:sz w:val="24"/>
          <w:szCs w:val="24"/>
          <w:highlight w:val="none"/>
          <w:lang w:eastAsia="zh-CN"/>
        </w:rPr>
        <w:t>。禁止使用外来种、杂交种、转基因种、跨大水系以及不符合生态要求水生生物物种。</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3.1.2</w:t>
      </w:r>
      <w:r>
        <w:rPr>
          <w:rFonts w:asciiTheme="minorEastAsia" w:hAnsiTheme="minorEastAsia"/>
          <w:color w:val="auto"/>
          <w:sz w:val="24"/>
          <w:szCs w:val="24"/>
          <w:highlight w:val="none"/>
          <w:lang w:eastAsia="zh-CN"/>
        </w:rPr>
        <w:t>增殖放流苗种原则为原种或者子一代 ，供苗单位应建立苗种生产亲本来源、生产过程“三项记录”等台账。</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 xml:space="preserve">3.1.3 </w:t>
      </w:r>
      <w:r>
        <w:rPr>
          <w:rFonts w:asciiTheme="minorEastAsia" w:hAnsiTheme="minorEastAsia"/>
          <w:color w:val="auto"/>
          <w:sz w:val="24"/>
          <w:szCs w:val="24"/>
          <w:highlight w:val="none"/>
          <w:lang w:eastAsia="zh-CN"/>
        </w:rPr>
        <w:t>用于增殖放流的水生生物应当依法经检验检疫合格，确保健康无病害、无禁用药物残留。</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3.2.</w:t>
      </w:r>
      <w:r>
        <w:rPr>
          <w:rFonts w:hint="eastAsia" w:asciiTheme="minorEastAsia" w:hAnsiTheme="minorEastAsia"/>
          <w:color w:val="auto"/>
          <w:sz w:val="24"/>
          <w:szCs w:val="24"/>
          <w:highlight w:val="none"/>
          <w:lang w:eastAsia="zh-CN"/>
        </w:rPr>
        <w:t>苗种包装运输要求：</w:t>
      </w:r>
    </w:p>
    <w:p>
      <w:pPr>
        <w:spacing w:line="360" w:lineRule="auto"/>
        <w:ind w:firstLine="480" w:firstLineChars="200"/>
        <w:rPr>
          <w:rFonts w:cs="KGBDJA+FangSong_GB2312-Identity" w:asciiTheme="minorEastAsia" w:hAnsiTheme="minorEastAsia"/>
          <w:color w:val="auto"/>
          <w:spacing w:val="-1"/>
          <w:sz w:val="24"/>
          <w:szCs w:val="24"/>
          <w:highlight w:val="none"/>
          <w:lang w:eastAsia="zh-CN"/>
        </w:rPr>
      </w:pPr>
      <w:r>
        <w:rPr>
          <w:rFonts w:asciiTheme="minorEastAsia" w:hAnsiTheme="minorEastAsia"/>
          <w:color w:val="auto"/>
          <w:sz w:val="24"/>
          <w:szCs w:val="24"/>
          <w:highlight w:val="none"/>
          <w:lang w:eastAsia="zh-CN"/>
        </w:rPr>
        <w:t>放流</w:t>
      </w:r>
      <w:r>
        <w:rPr>
          <w:rFonts w:hint="eastAsia" w:asciiTheme="minorEastAsia" w:hAnsiTheme="minorEastAsia"/>
          <w:color w:val="auto"/>
          <w:sz w:val="24"/>
          <w:szCs w:val="24"/>
          <w:highlight w:val="none"/>
          <w:lang w:eastAsia="zh-CN"/>
        </w:rPr>
        <w:t>品</w:t>
      </w:r>
      <w:r>
        <w:rPr>
          <w:rFonts w:asciiTheme="minorEastAsia" w:hAnsiTheme="minorEastAsia"/>
          <w:color w:val="auto"/>
          <w:sz w:val="24"/>
          <w:szCs w:val="24"/>
          <w:highlight w:val="none"/>
          <w:lang w:eastAsia="zh-CN"/>
        </w:rPr>
        <w:t>种规格、包装方式等指标应符合福建省地方标准《水生生物增殖放流技术规范》（DB35/T 1661-2017）规定</w:t>
      </w:r>
      <w:bookmarkStart w:id="11" w:name="br6"/>
      <w:bookmarkEnd w:id="11"/>
      <w:r>
        <w:rPr>
          <w:rFonts w:asciiTheme="minorEastAsia" w:hAnsiTheme="minorEastAsia"/>
          <w:color w:val="auto"/>
          <w:sz w:val="24"/>
          <w:szCs w:val="24"/>
          <w:highlight w:val="none"/>
          <w:lang w:eastAsia="zh-CN"/>
        </w:rPr>
        <w:t>要求。</w:t>
      </w:r>
    </w:p>
    <w:p>
      <w:pPr>
        <w:spacing w:line="360" w:lineRule="auto"/>
        <w:rPr>
          <w:rFonts w:cs="KGBDJA+FangSong_GB2312-Identity" w:asciiTheme="minorEastAsia" w:hAnsiTheme="minorEastAsia"/>
          <w:color w:val="auto"/>
          <w:spacing w:val="-6"/>
          <w:sz w:val="24"/>
          <w:szCs w:val="24"/>
          <w:highlight w:val="none"/>
          <w:lang w:eastAsia="zh-CN"/>
        </w:rPr>
      </w:pPr>
      <w:r>
        <w:rPr>
          <w:rFonts w:cs="KGBDJA+FangSong_GB2312-Identity" w:asciiTheme="minorEastAsia" w:hAnsiTheme="minorEastAsia"/>
          <w:color w:val="auto"/>
          <w:spacing w:val="-1"/>
          <w:sz w:val="24"/>
          <w:szCs w:val="24"/>
          <w:highlight w:val="none"/>
          <w:lang w:eastAsia="zh-CN"/>
        </w:rPr>
        <w:t>根据增殖放流水域的温度</w:t>
      </w:r>
      <w:r>
        <w:rPr>
          <w:rFonts w:asciiTheme="minorEastAsia" w:hAnsiTheme="minorEastAsia"/>
          <w:color w:val="auto"/>
          <w:spacing w:val="-71"/>
          <w:sz w:val="24"/>
          <w:szCs w:val="24"/>
          <w:highlight w:val="none"/>
          <w:lang w:eastAsia="zh-CN"/>
        </w:rPr>
        <w:t xml:space="preserve"> </w:t>
      </w:r>
      <w:r>
        <w:rPr>
          <w:rFonts w:cs="KGBDJA+FangSong_GB2312-Identity" w:asciiTheme="minorEastAsia" w:hAnsiTheme="minorEastAsia"/>
          <w:color w:val="auto"/>
          <w:spacing w:val="-9"/>
          <w:sz w:val="24"/>
          <w:szCs w:val="24"/>
          <w:highlight w:val="none"/>
          <w:lang w:eastAsia="zh-CN"/>
        </w:rPr>
        <w:t>、盐度提前</w:t>
      </w:r>
      <w:r>
        <w:rPr>
          <w:rFonts w:cs="KGBDJA+FangSong_GB2312-Identity" w:asciiTheme="minorEastAsia" w:hAnsiTheme="minorEastAsia"/>
          <w:color w:val="auto"/>
          <w:spacing w:val="-1"/>
          <w:sz w:val="24"/>
          <w:szCs w:val="24"/>
          <w:highlight w:val="none"/>
          <w:lang w:eastAsia="zh-CN"/>
        </w:rPr>
        <w:t>调节培育用水的温度</w:t>
      </w:r>
      <w:r>
        <w:rPr>
          <w:rFonts w:asciiTheme="minorEastAsia" w:hAnsiTheme="minorEastAsia"/>
          <w:color w:val="auto"/>
          <w:spacing w:val="-74"/>
          <w:sz w:val="24"/>
          <w:szCs w:val="24"/>
          <w:highlight w:val="none"/>
          <w:lang w:eastAsia="zh-CN"/>
        </w:rPr>
        <w:t xml:space="preserve"> </w:t>
      </w:r>
      <w:r>
        <w:rPr>
          <w:rFonts w:cs="KGBDJA+FangSong_GB2312-Identity" w:asciiTheme="minorEastAsia" w:hAnsiTheme="minorEastAsia"/>
          <w:color w:val="auto"/>
          <w:spacing w:val="-6"/>
          <w:sz w:val="24"/>
          <w:szCs w:val="24"/>
          <w:highlight w:val="none"/>
          <w:lang w:eastAsia="zh-CN"/>
        </w:rPr>
        <w:t>、盐度；温差≤2℃；盐差≤3；</w:t>
      </w:r>
      <w:r>
        <w:rPr>
          <w:rFonts w:hint="eastAsia" w:cs="KGBDJA+FangSong_GB2312-Identity" w:asciiTheme="minorEastAsia" w:hAnsiTheme="minorEastAsia"/>
          <w:color w:val="auto"/>
          <w:spacing w:val="-6"/>
          <w:sz w:val="24"/>
          <w:szCs w:val="24"/>
          <w:highlight w:val="none"/>
          <w:lang w:eastAsia="zh-CN"/>
        </w:rPr>
        <w:t>根据增殖放流物种的耐氧性\规格\放流日气温及运输时间\运输方式等因素,合理确定包装密度,采取必要的充氧和温控措施,虾类装苗宜控制在2~2.5万尾/袋。</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3.3.</w:t>
      </w:r>
      <w:r>
        <w:rPr>
          <w:rFonts w:hint="eastAsia" w:asciiTheme="minorEastAsia" w:hAnsiTheme="minorEastAsia"/>
          <w:color w:val="auto"/>
          <w:sz w:val="24"/>
          <w:szCs w:val="24"/>
          <w:highlight w:val="none"/>
          <w:lang w:eastAsia="zh-CN"/>
        </w:rPr>
        <w:t>投放方法：</w:t>
      </w:r>
    </w:p>
    <w:p>
      <w:pPr>
        <w:spacing w:line="360" w:lineRule="auto"/>
        <w:rPr>
          <w:rFonts w:ascii="KGBDJA+FangSong_GB2312-Identity" w:hAnsi="KGBDJA+FangSong_GB2312-Identity" w:cs="KGBDJA+FangSong_GB2312-Identity"/>
          <w:color w:val="auto"/>
          <w:spacing w:val="-6"/>
          <w:sz w:val="24"/>
          <w:szCs w:val="24"/>
          <w:highlight w:val="none"/>
          <w:lang w:eastAsia="zh-CN"/>
        </w:rPr>
      </w:pPr>
      <w:r>
        <w:rPr>
          <w:rFonts w:hint="eastAsia" w:asciiTheme="minorEastAsia" w:hAnsiTheme="minorEastAsia"/>
          <w:color w:val="auto"/>
          <w:sz w:val="24"/>
          <w:szCs w:val="24"/>
          <w:highlight w:val="none"/>
          <w:lang w:eastAsia="zh-CN"/>
        </w:rPr>
        <w:t>（1）、</w:t>
      </w:r>
      <w:r>
        <w:rPr>
          <w:rFonts w:asciiTheme="minorEastAsia" w:hAnsiTheme="minorEastAsia"/>
          <w:color w:val="auto"/>
          <w:sz w:val="24"/>
          <w:szCs w:val="24"/>
          <w:highlight w:val="none"/>
          <w:lang w:eastAsia="zh-CN"/>
        </w:rPr>
        <w:t>直接投放</w:t>
      </w:r>
      <w:r>
        <w:rPr>
          <w:rFonts w:hint="eastAsia" w:asciiTheme="minorEastAsia" w:hAnsiTheme="minorEastAsia"/>
          <w:color w:val="auto"/>
          <w:sz w:val="24"/>
          <w:szCs w:val="24"/>
          <w:highlight w:val="none"/>
          <w:lang w:eastAsia="zh-CN"/>
        </w:rPr>
        <w:t>：</w:t>
      </w:r>
      <w:r>
        <w:rPr>
          <w:rFonts w:asciiTheme="minorEastAsia" w:hAnsiTheme="minorEastAsia"/>
          <w:color w:val="auto"/>
          <w:sz w:val="24"/>
          <w:szCs w:val="24"/>
          <w:highlight w:val="none"/>
          <w:lang w:eastAsia="zh-CN"/>
        </w:rPr>
        <w:t>人工将水生生物尽可能贴近水面（距水面不超过 1m）顺风缓慢放入增殖放流水域。在船上投放时，船速小于0.5m/s。</w:t>
      </w:r>
      <w:r>
        <w:rPr>
          <w:rFonts w:hint="eastAsia" w:asciiTheme="minorEastAsia" w:hAnsiTheme="minorEastAsia"/>
          <w:color w:val="auto"/>
          <w:sz w:val="24"/>
          <w:szCs w:val="24"/>
          <w:highlight w:val="none"/>
          <w:lang w:eastAsia="zh-CN"/>
        </w:rPr>
        <w:t>（2）</w:t>
      </w:r>
      <w:r>
        <w:rPr>
          <w:rFonts w:asciiTheme="minorEastAsia" w:hAnsiTheme="minorEastAsia"/>
          <w:color w:val="auto"/>
          <w:sz w:val="24"/>
          <w:szCs w:val="24"/>
          <w:highlight w:val="none"/>
          <w:lang w:eastAsia="zh-CN"/>
        </w:rPr>
        <w:t>滑道投放</w:t>
      </w:r>
      <w:r>
        <w:rPr>
          <w:rFonts w:hint="eastAsia" w:asciiTheme="minorEastAsia" w:hAnsiTheme="minorEastAsia"/>
          <w:color w:val="auto"/>
          <w:sz w:val="24"/>
          <w:szCs w:val="24"/>
          <w:highlight w:val="none"/>
          <w:lang w:eastAsia="zh-CN"/>
        </w:rPr>
        <w:t>：</w:t>
      </w:r>
      <w:r>
        <w:rPr>
          <w:rFonts w:asciiTheme="minorEastAsia" w:hAnsiTheme="minorEastAsia"/>
          <w:color w:val="auto"/>
          <w:sz w:val="24"/>
          <w:szCs w:val="24"/>
          <w:highlight w:val="none"/>
          <w:lang w:eastAsia="zh-CN"/>
        </w:rPr>
        <w:t>滑道表面光滑，与水面夹角小于 60°，末端离水面不超过 0.5m。在船上投放时，船速小于 1m/s。</w:t>
      </w:r>
      <w:r>
        <w:rPr>
          <w:rFonts w:hint="eastAsia" w:asciiTheme="minorEastAsia" w:hAnsiTheme="minorEastAsia"/>
          <w:color w:val="auto"/>
          <w:sz w:val="24"/>
          <w:szCs w:val="24"/>
          <w:highlight w:val="none"/>
          <w:lang w:eastAsia="zh-CN"/>
        </w:rPr>
        <w:t>（3）</w:t>
      </w:r>
      <w:r>
        <w:rPr>
          <w:rFonts w:asciiTheme="minorEastAsia" w:hAnsiTheme="minorEastAsia"/>
          <w:color w:val="auto"/>
          <w:sz w:val="24"/>
          <w:szCs w:val="24"/>
          <w:highlight w:val="none"/>
          <w:lang w:eastAsia="zh-CN"/>
        </w:rPr>
        <w:t>管道投放</w:t>
      </w:r>
      <w:r>
        <w:rPr>
          <w:rFonts w:hint="eastAsia" w:asciiTheme="minorEastAsia" w:hAnsiTheme="minorEastAsia"/>
          <w:color w:val="auto"/>
          <w:sz w:val="24"/>
          <w:szCs w:val="24"/>
          <w:highlight w:val="none"/>
          <w:lang w:eastAsia="zh-CN"/>
        </w:rPr>
        <w:t>：</w:t>
      </w:r>
      <w:r>
        <w:rPr>
          <w:rFonts w:asciiTheme="minorEastAsia" w:hAnsiTheme="minorEastAsia"/>
          <w:color w:val="auto"/>
          <w:sz w:val="24"/>
          <w:szCs w:val="24"/>
          <w:highlight w:val="none"/>
          <w:lang w:eastAsia="zh-CN"/>
        </w:rPr>
        <w:t>管道内表面光滑，末端离水面不超过 0.5m。</w:t>
      </w:r>
      <w:r>
        <w:rPr>
          <w:rFonts w:hint="eastAsia" w:asciiTheme="minorEastAsia" w:hAnsiTheme="minorEastAsia"/>
          <w:color w:val="auto"/>
          <w:sz w:val="24"/>
          <w:szCs w:val="24"/>
          <w:highlight w:val="none"/>
          <w:lang w:eastAsia="zh-CN"/>
        </w:rPr>
        <w:t xml:space="preserve"> (4)</w:t>
      </w:r>
      <w:r>
        <w:rPr>
          <w:rFonts w:ascii="KGBDJA+FangSong_GB2312-Identity" w:hAnsi="KGBDJA+FangSong_GB2312-Identity" w:cs="KGBDJA+FangSong_GB2312-Identity"/>
          <w:color w:val="auto"/>
          <w:spacing w:val="-4"/>
          <w:sz w:val="24"/>
          <w:szCs w:val="24"/>
          <w:highlight w:val="none"/>
          <w:lang w:eastAsia="zh-CN"/>
        </w:rPr>
        <w:t>虾苗单批次投放量不多于</w:t>
      </w:r>
      <w:r>
        <w:rPr>
          <w:rFonts w:ascii="KGBDJA+FangSong_GB2312-Identity"/>
          <w:color w:val="auto"/>
          <w:sz w:val="24"/>
          <w:szCs w:val="24"/>
          <w:highlight w:val="none"/>
          <w:lang w:eastAsia="zh-CN"/>
        </w:rPr>
        <w:t>1</w:t>
      </w:r>
      <w:r>
        <w:rPr>
          <w:rFonts w:ascii="KGBDJA+FangSong_GB2312-Identity" w:hAnsi="KGBDJA+FangSong_GB2312-Identity" w:cs="KGBDJA+FangSong_GB2312-Identity"/>
          <w:color w:val="auto"/>
          <w:spacing w:val="-6"/>
          <w:sz w:val="24"/>
          <w:szCs w:val="24"/>
          <w:highlight w:val="none"/>
          <w:lang w:eastAsia="zh-CN"/>
        </w:rPr>
        <w:t>亿尾</w:t>
      </w:r>
      <w:r>
        <w:rPr>
          <w:rFonts w:hint="eastAsia" w:ascii="KGBDJA+FangSong_GB2312-Identity" w:hAnsi="KGBDJA+FangSong_GB2312-Identity" w:cs="KGBDJA+FangSong_GB2312-Identity"/>
          <w:color w:val="auto"/>
          <w:spacing w:val="-6"/>
          <w:sz w:val="24"/>
          <w:szCs w:val="24"/>
          <w:highlight w:val="none"/>
          <w:lang w:eastAsia="zh-CN"/>
        </w:rPr>
        <w:t>。</w:t>
      </w:r>
    </w:p>
    <w:p>
      <w:pPr>
        <w:spacing w:line="360" w:lineRule="auto"/>
        <w:ind w:firstLine="456" w:firstLineChars="200"/>
        <w:rPr>
          <w:rFonts w:asciiTheme="minorEastAsia" w:hAnsiTheme="minorEastAsia"/>
          <w:color w:val="auto"/>
          <w:sz w:val="24"/>
          <w:szCs w:val="24"/>
          <w:highlight w:val="none"/>
          <w:lang w:eastAsia="zh-CN"/>
        </w:rPr>
      </w:pPr>
      <w:r>
        <w:rPr>
          <w:rFonts w:hint="eastAsia" w:ascii="KGBDJA+FangSong_GB2312-Identity" w:hAnsi="KGBDJA+FangSong_GB2312-Identity" w:cs="KGBDJA+FangSong_GB2312-Identity"/>
          <w:color w:val="auto"/>
          <w:spacing w:val="-6"/>
          <w:sz w:val="24"/>
          <w:szCs w:val="24"/>
          <w:highlight w:val="none"/>
          <w:lang w:eastAsia="zh-CN"/>
        </w:rPr>
        <w:t>在满足上述要求的条件下，</w:t>
      </w:r>
      <w:r>
        <w:rPr>
          <w:rFonts w:hint="eastAsia" w:asciiTheme="minorEastAsia" w:hAnsiTheme="minorEastAsia"/>
          <w:color w:val="auto"/>
          <w:sz w:val="24"/>
          <w:szCs w:val="24"/>
          <w:highlight w:val="none"/>
          <w:lang w:eastAsia="zh-CN"/>
        </w:rPr>
        <w:t>供苗单位可依海域和苗种情况决定采用何种放流方式。</w:t>
      </w:r>
    </w:p>
    <w:p>
      <w:pPr>
        <w:spacing w:line="360" w:lineRule="auto"/>
        <w:rPr>
          <w:rFonts w:asciiTheme="minorEastAsia" w:hAnsiTheme="minorEastAsia"/>
          <w:b/>
          <w:color w:val="auto"/>
          <w:sz w:val="24"/>
          <w:szCs w:val="24"/>
          <w:highlight w:val="none"/>
          <w:lang w:eastAsia="zh-CN"/>
        </w:rPr>
      </w:pPr>
      <w:r>
        <w:rPr>
          <w:rFonts w:hint="eastAsia" w:asciiTheme="minorEastAsia" w:hAnsiTheme="minorEastAsia"/>
          <w:b/>
          <w:color w:val="auto"/>
          <w:sz w:val="24"/>
          <w:szCs w:val="24"/>
          <w:highlight w:val="none"/>
          <w:lang w:eastAsia="zh-CN"/>
        </w:rPr>
        <w:t>四、采购招标说明</w:t>
      </w:r>
    </w:p>
    <w:p>
      <w:pPr>
        <w:spacing w:line="360" w:lineRule="auto"/>
        <w:ind w:firstLine="480" w:firstLineChars="200"/>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依照</w:t>
      </w:r>
      <w:r>
        <w:rPr>
          <w:rFonts w:asciiTheme="minorEastAsia" w:hAnsiTheme="minorEastAsia"/>
          <w:color w:val="auto"/>
          <w:sz w:val="24"/>
          <w:szCs w:val="24"/>
          <w:highlight w:val="none"/>
          <w:lang w:eastAsia="zh-CN"/>
        </w:rPr>
        <w:t>“公开、公平、公正”的原则，通过公开招标、竞争性磋商、单一来源等方式确定供苗单位，公开招标应综合比较苗种生产单位资质、亲本情况、生产</w:t>
      </w:r>
      <w:r>
        <w:rPr>
          <w:rFonts w:hint="eastAsia" w:asciiTheme="minorEastAsia" w:hAnsiTheme="minorEastAsia"/>
          <w:color w:val="auto"/>
          <w:sz w:val="24"/>
          <w:szCs w:val="24"/>
          <w:highlight w:val="none"/>
          <w:lang w:eastAsia="zh-CN"/>
        </w:rPr>
        <w:t>设备</w:t>
      </w:r>
      <w:r>
        <w:rPr>
          <w:rFonts w:asciiTheme="minorEastAsia" w:hAnsiTheme="minorEastAsia"/>
          <w:color w:val="auto"/>
          <w:sz w:val="24"/>
          <w:szCs w:val="24"/>
          <w:highlight w:val="none"/>
          <w:lang w:eastAsia="zh-CN"/>
        </w:rPr>
        <w:t>设施、</w:t>
      </w:r>
      <w:r>
        <w:rPr>
          <w:rFonts w:hint="eastAsia" w:asciiTheme="minorEastAsia" w:hAnsiTheme="minorEastAsia"/>
          <w:color w:val="auto"/>
          <w:sz w:val="24"/>
          <w:szCs w:val="24"/>
          <w:highlight w:val="none"/>
          <w:lang w:eastAsia="zh-CN"/>
        </w:rPr>
        <w:t>尾水治理能力、</w:t>
      </w:r>
      <w:r>
        <w:rPr>
          <w:rFonts w:asciiTheme="minorEastAsia" w:hAnsiTheme="minorEastAsia"/>
          <w:color w:val="auto"/>
          <w:sz w:val="24"/>
          <w:szCs w:val="24"/>
          <w:highlight w:val="none"/>
          <w:lang w:eastAsia="zh-CN"/>
        </w:rPr>
        <w:t>技术保障能力和运输路程</w:t>
      </w:r>
      <w:r>
        <w:rPr>
          <w:rFonts w:hint="eastAsia" w:asciiTheme="minorEastAsia" w:hAnsiTheme="minorEastAsia"/>
          <w:color w:val="auto"/>
          <w:sz w:val="24"/>
          <w:szCs w:val="24"/>
          <w:highlight w:val="none"/>
          <w:lang w:eastAsia="zh-CN"/>
        </w:rPr>
        <w:t>等因素</w:t>
      </w:r>
      <w:r>
        <w:rPr>
          <w:rFonts w:asciiTheme="minorEastAsia" w:hAnsiTheme="minorEastAsia"/>
          <w:color w:val="auto"/>
          <w:sz w:val="24"/>
          <w:szCs w:val="24"/>
          <w:highlight w:val="none"/>
          <w:lang w:eastAsia="zh-CN"/>
        </w:rPr>
        <w:t>，采用技术</w:t>
      </w:r>
      <w:r>
        <w:rPr>
          <w:rFonts w:hint="eastAsia" w:asciiTheme="minorEastAsia" w:hAnsiTheme="minorEastAsia"/>
          <w:color w:val="auto"/>
          <w:sz w:val="24"/>
          <w:szCs w:val="24"/>
          <w:highlight w:val="none"/>
          <w:lang w:eastAsia="zh-CN"/>
        </w:rPr>
        <w:t>、</w:t>
      </w:r>
      <w:r>
        <w:rPr>
          <w:rFonts w:asciiTheme="minorEastAsia" w:hAnsiTheme="minorEastAsia"/>
          <w:color w:val="auto"/>
          <w:sz w:val="24"/>
          <w:szCs w:val="24"/>
          <w:highlight w:val="none"/>
          <w:lang w:eastAsia="zh-CN"/>
        </w:rPr>
        <w:t>商务</w:t>
      </w:r>
      <w:r>
        <w:rPr>
          <w:rFonts w:hint="eastAsia" w:asciiTheme="minorEastAsia" w:hAnsiTheme="minorEastAsia"/>
          <w:color w:val="auto"/>
          <w:sz w:val="24"/>
          <w:szCs w:val="24"/>
          <w:highlight w:val="none"/>
          <w:lang w:eastAsia="zh-CN"/>
        </w:rPr>
        <w:t>、</w:t>
      </w:r>
      <w:r>
        <w:rPr>
          <w:rFonts w:asciiTheme="minorEastAsia" w:hAnsiTheme="minorEastAsia"/>
          <w:color w:val="auto"/>
          <w:sz w:val="24"/>
          <w:szCs w:val="24"/>
          <w:highlight w:val="none"/>
          <w:lang w:eastAsia="zh-CN"/>
        </w:rPr>
        <w:t>价格</w:t>
      </w:r>
      <w:r>
        <w:rPr>
          <w:rFonts w:hint="eastAsia" w:asciiTheme="minorEastAsia" w:hAnsiTheme="minorEastAsia"/>
          <w:color w:val="auto"/>
          <w:sz w:val="24"/>
          <w:szCs w:val="24"/>
          <w:highlight w:val="none"/>
          <w:lang w:eastAsia="zh-CN"/>
        </w:rPr>
        <w:t>等要素的</w:t>
      </w:r>
      <w:r>
        <w:rPr>
          <w:rFonts w:asciiTheme="minorEastAsia" w:hAnsiTheme="minorEastAsia"/>
          <w:color w:val="auto"/>
          <w:sz w:val="24"/>
          <w:szCs w:val="24"/>
          <w:highlight w:val="none"/>
          <w:lang w:eastAsia="zh-CN"/>
        </w:rPr>
        <w:t>综合评</w:t>
      </w:r>
      <w:r>
        <w:rPr>
          <w:rFonts w:hint="eastAsia" w:asciiTheme="minorEastAsia" w:hAnsiTheme="minorEastAsia"/>
          <w:color w:val="auto"/>
          <w:sz w:val="24"/>
          <w:szCs w:val="24"/>
          <w:highlight w:val="none"/>
          <w:lang w:eastAsia="zh-CN"/>
        </w:rPr>
        <w:t>标</w:t>
      </w:r>
      <w:r>
        <w:rPr>
          <w:rFonts w:asciiTheme="minorEastAsia" w:hAnsiTheme="minorEastAsia"/>
          <w:color w:val="auto"/>
          <w:sz w:val="24"/>
          <w:szCs w:val="24"/>
          <w:highlight w:val="none"/>
          <w:lang w:eastAsia="zh-CN"/>
        </w:rPr>
        <w:t>法</w:t>
      </w:r>
      <w:r>
        <w:rPr>
          <w:rFonts w:hint="eastAsia" w:asciiTheme="minorEastAsia" w:hAnsiTheme="minorEastAsia"/>
          <w:color w:val="auto"/>
          <w:sz w:val="24"/>
          <w:szCs w:val="24"/>
          <w:highlight w:val="none"/>
          <w:lang w:eastAsia="zh-CN"/>
        </w:rPr>
        <w:t>评选。</w:t>
      </w:r>
    </w:p>
    <w:p>
      <w:pPr>
        <w:spacing w:line="360" w:lineRule="auto"/>
        <w:ind w:firstLine="480" w:firstLineChars="200"/>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采购总金额和三种放流品种的分配金额项为固定值，放流数量以标书拟采购数量（单价）为参考，以实际中标数量（价格）为最终放流数量，即：在固定总金额和固定各品种分配金额项下，投标三种放流品种的具体数量，且不能严重偏离市场价格。以虚假信息获得增殖放流苗种供应资格，参与增殖放流苗种采购恶意投标的,将被取消投标资格。</w:t>
      </w:r>
    </w:p>
    <w:p>
      <w:pPr>
        <w:spacing w:line="360" w:lineRule="auto"/>
        <w:rPr>
          <w:rFonts w:asciiTheme="minorEastAsia" w:hAnsiTheme="minorEastAsia"/>
          <w:b/>
          <w:color w:val="auto"/>
          <w:sz w:val="24"/>
          <w:szCs w:val="24"/>
          <w:highlight w:val="none"/>
          <w:lang w:eastAsia="zh-CN"/>
        </w:rPr>
      </w:pPr>
      <w:r>
        <w:rPr>
          <w:rFonts w:hint="eastAsia" w:asciiTheme="minorEastAsia" w:hAnsiTheme="minorEastAsia"/>
          <w:b/>
          <w:color w:val="auto"/>
          <w:sz w:val="24"/>
          <w:szCs w:val="24"/>
          <w:highlight w:val="none"/>
          <w:lang w:eastAsia="zh-CN"/>
        </w:rPr>
        <w:t>五</w:t>
      </w:r>
      <w:r>
        <w:rPr>
          <w:rFonts w:asciiTheme="minorEastAsia" w:hAnsiTheme="minorEastAsia"/>
          <w:b/>
          <w:color w:val="auto"/>
          <w:sz w:val="24"/>
          <w:szCs w:val="24"/>
          <w:highlight w:val="none"/>
          <w:lang w:eastAsia="zh-CN"/>
        </w:rPr>
        <w:t>、违规</w:t>
      </w:r>
      <w:r>
        <w:rPr>
          <w:rFonts w:hint="eastAsia" w:asciiTheme="minorEastAsia" w:hAnsiTheme="minorEastAsia"/>
          <w:b/>
          <w:color w:val="auto"/>
          <w:sz w:val="24"/>
          <w:szCs w:val="24"/>
          <w:highlight w:val="none"/>
          <w:lang w:eastAsia="zh-CN"/>
        </w:rPr>
        <w:t>责任</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5.</w:t>
      </w:r>
      <w:r>
        <w:rPr>
          <w:rFonts w:asciiTheme="minorEastAsia" w:hAnsiTheme="minorEastAsia"/>
          <w:b/>
          <w:color w:val="auto"/>
          <w:sz w:val="24"/>
          <w:szCs w:val="24"/>
          <w:highlight w:val="none"/>
          <w:lang w:eastAsia="zh-CN"/>
        </w:rPr>
        <w:t>1</w:t>
      </w:r>
      <w:r>
        <w:rPr>
          <w:rFonts w:hint="eastAsia" w:asciiTheme="minorEastAsia" w:hAnsiTheme="minorEastAsia"/>
          <w:color w:val="auto"/>
          <w:sz w:val="24"/>
          <w:szCs w:val="24"/>
          <w:highlight w:val="none"/>
          <w:lang w:eastAsia="zh-CN"/>
        </w:rPr>
        <w:t>.在增殖放流过程中存在严重弄虚作假行为，或发生其他主观故意、情节恶劣的增殖放流活动和苗种供应行为。</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5.2</w:t>
      </w:r>
      <w:r>
        <w:rPr>
          <w:rFonts w:hint="eastAsia" w:asciiTheme="minorEastAsia" w:hAnsiTheme="minorEastAsia"/>
          <w:color w:val="auto"/>
          <w:sz w:val="24"/>
          <w:szCs w:val="24"/>
          <w:highlight w:val="none"/>
          <w:lang w:eastAsia="zh-CN"/>
        </w:rPr>
        <w:t>.</w:t>
      </w:r>
      <w:r>
        <w:rPr>
          <w:rFonts w:asciiTheme="minorEastAsia" w:hAnsiTheme="minorEastAsia"/>
          <w:color w:val="auto"/>
          <w:sz w:val="24"/>
          <w:szCs w:val="24"/>
          <w:highlight w:val="none"/>
          <w:lang w:eastAsia="zh-CN"/>
        </w:rPr>
        <w:t>放流苗种质量检查或检测不合格的，县级以上渔业主管部门责令其限期整改且整改不到位的；</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5.3</w:t>
      </w:r>
      <w:r>
        <w:rPr>
          <w:rFonts w:hint="eastAsia" w:asciiTheme="minorEastAsia" w:hAnsiTheme="minorEastAsia"/>
          <w:color w:val="auto"/>
          <w:sz w:val="24"/>
          <w:szCs w:val="24"/>
          <w:highlight w:val="none"/>
          <w:lang w:eastAsia="zh-CN"/>
        </w:rPr>
        <w:t>.无法或拒绝</w:t>
      </w:r>
      <w:r>
        <w:rPr>
          <w:rFonts w:asciiTheme="minorEastAsia" w:hAnsiTheme="minorEastAsia"/>
          <w:color w:val="auto"/>
          <w:sz w:val="24"/>
          <w:szCs w:val="24"/>
          <w:highlight w:val="none"/>
          <w:lang w:eastAsia="zh-CN"/>
        </w:rPr>
        <w:t>履行合同或放流苗</w:t>
      </w:r>
      <w:r>
        <w:rPr>
          <w:rFonts w:cs="KGBDJA+FangSong_GB2312-Identity" w:asciiTheme="minorEastAsia" w:hAnsiTheme="minorEastAsia"/>
          <w:color w:val="auto"/>
          <w:spacing w:val="-1"/>
          <w:sz w:val="24"/>
          <w:szCs w:val="24"/>
          <w:highlight w:val="none"/>
          <w:lang w:eastAsia="zh-CN"/>
        </w:rPr>
        <w:t>种数量达不到</w:t>
      </w:r>
      <w:r>
        <w:rPr>
          <w:rFonts w:hint="eastAsia" w:cs="KGBDJA+FangSong_GB2312-Identity" w:asciiTheme="minorEastAsia" w:hAnsiTheme="minorEastAsia"/>
          <w:color w:val="auto"/>
          <w:spacing w:val="-1"/>
          <w:sz w:val="24"/>
          <w:szCs w:val="24"/>
          <w:highlight w:val="none"/>
          <w:lang w:eastAsia="zh-CN"/>
        </w:rPr>
        <w:t>合约</w:t>
      </w:r>
      <w:r>
        <w:rPr>
          <w:rFonts w:cs="KGBDJA+FangSong_GB2312-Identity" w:asciiTheme="minorEastAsia" w:hAnsiTheme="minorEastAsia"/>
          <w:color w:val="auto"/>
          <w:spacing w:val="-1"/>
          <w:sz w:val="24"/>
          <w:szCs w:val="24"/>
          <w:highlight w:val="none"/>
          <w:lang w:eastAsia="zh-CN"/>
        </w:rPr>
        <w:t>要求</w:t>
      </w:r>
      <w:r>
        <w:rPr>
          <w:rFonts w:hint="eastAsia" w:cs="KGBDJA+FangSong_GB2312-Identity" w:asciiTheme="minorEastAsia" w:hAnsiTheme="minorEastAsia"/>
          <w:color w:val="auto"/>
          <w:spacing w:val="-1"/>
          <w:sz w:val="24"/>
          <w:szCs w:val="24"/>
          <w:highlight w:val="none"/>
          <w:lang w:eastAsia="zh-CN"/>
        </w:rPr>
        <w:t>，负偏差大于3%</w:t>
      </w:r>
      <w:r>
        <w:rPr>
          <w:rFonts w:cs="KGBDJA+FangSong_GB2312-Identity" w:asciiTheme="minorEastAsia" w:hAnsiTheme="minorEastAsia"/>
          <w:color w:val="auto"/>
          <w:spacing w:val="-1"/>
          <w:sz w:val="24"/>
          <w:szCs w:val="24"/>
          <w:highlight w:val="none"/>
          <w:lang w:eastAsia="zh-CN"/>
        </w:rPr>
        <w:t>；</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5.4</w:t>
      </w:r>
      <w:r>
        <w:rPr>
          <w:rFonts w:hint="eastAsia" w:asciiTheme="minorEastAsia" w:hAnsiTheme="minorEastAsia"/>
          <w:color w:val="auto"/>
          <w:sz w:val="24"/>
          <w:szCs w:val="24"/>
          <w:highlight w:val="none"/>
          <w:lang w:eastAsia="zh-CN"/>
        </w:rPr>
        <w:t xml:space="preserve"> 放流过程未按约定技术要求实施，造成苗体损失或其它任何不满足验收要求等事件</w:t>
      </w:r>
    </w:p>
    <w:p>
      <w:pPr>
        <w:spacing w:line="360" w:lineRule="auto"/>
        <w:rPr>
          <w:rFonts w:asciiTheme="minorEastAsia" w:hAnsiTheme="minorEastAsia"/>
          <w:color w:val="auto"/>
          <w:sz w:val="24"/>
          <w:szCs w:val="24"/>
          <w:highlight w:val="none"/>
          <w:lang w:eastAsia="zh-CN"/>
        </w:rPr>
      </w:pPr>
      <w:r>
        <w:rPr>
          <w:rFonts w:hint="eastAsia" w:asciiTheme="minorEastAsia" w:hAnsiTheme="minorEastAsia"/>
          <w:b/>
          <w:color w:val="auto"/>
          <w:sz w:val="24"/>
          <w:szCs w:val="24"/>
          <w:highlight w:val="none"/>
          <w:lang w:eastAsia="zh-CN"/>
        </w:rPr>
        <w:t>5.5</w:t>
      </w:r>
      <w:r>
        <w:rPr>
          <w:rFonts w:hint="eastAsia" w:asciiTheme="minorEastAsia" w:hAnsiTheme="minorEastAsia"/>
          <w:color w:val="auto"/>
          <w:sz w:val="24"/>
          <w:szCs w:val="24"/>
          <w:highlight w:val="none"/>
          <w:lang w:eastAsia="zh-CN"/>
        </w:rPr>
        <w:t xml:space="preserve"> </w:t>
      </w:r>
      <w:r>
        <w:rPr>
          <w:rFonts w:asciiTheme="minorEastAsia" w:hAnsiTheme="minorEastAsia"/>
          <w:color w:val="auto"/>
          <w:sz w:val="24"/>
          <w:szCs w:val="24"/>
          <w:highlight w:val="none"/>
          <w:lang w:eastAsia="zh-CN"/>
        </w:rPr>
        <w:t>发生水生动物疫情，未清除疫情仍提供苗种用于增殖放流</w:t>
      </w:r>
      <w:r>
        <w:rPr>
          <w:rFonts w:hint="eastAsia" w:asciiTheme="minorEastAsia" w:hAnsiTheme="minorEastAsia"/>
          <w:color w:val="auto"/>
          <w:sz w:val="24"/>
          <w:szCs w:val="24"/>
          <w:highlight w:val="none"/>
          <w:lang w:eastAsia="zh-CN"/>
        </w:rPr>
        <w:t>；</w:t>
      </w:r>
    </w:p>
    <w:p>
      <w:pPr>
        <w:spacing w:line="360" w:lineRule="auto"/>
        <w:rPr>
          <w:rFonts w:asciiTheme="minorEastAsia" w:hAnsiTheme="minorEastAsia"/>
          <w:color w:val="auto"/>
          <w:sz w:val="24"/>
          <w:szCs w:val="24"/>
          <w:highlight w:val="none"/>
          <w:lang w:eastAsia="zh-CN"/>
        </w:rPr>
      </w:pPr>
    </w:p>
    <w:p>
      <w:pPr>
        <w:spacing w:line="360" w:lineRule="auto"/>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 xml:space="preserve">                                    翔鹭石化（漳州）有限公司</w:t>
      </w:r>
    </w:p>
    <w:p>
      <w:pPr>
        <w:rPr>
          <w:color w:val="auto"/>
          <w:highlight w:val="none"/>
          <w:lang w:eastAsia="zh-CN"/>
        </w:rPr>
      </w:pPr>
      <w:r>
        <w:rPr>
          <w:color w:val="auto"/>
          <w:highlight w:val="none"/>
          <w:lang w:eastAsia="zh-CN"/>
        </w:rPr>
        <w:br w:type="page"/>
      </w:r>
    </w:p>
    <w:p>
      <w:pPr>
        <w:widowControl/>
        <w:autoSpaceDE/>
        <w:autoSpaceDN/>
        <w:spacing w:after="156" w:afterLines="50" w:line="360" w:lineRule="auto"/>
        <w:jc w:val="center"/>
        <w:rPr>
          <w:rFonts w:ascii="Times New Roman" w:hAnsi="Times New Roman" w:cs="Times New Roman"/>
          <w:b/>
          <w:bCs/>
          <w:color w:val="auto"/>
          <w:sz w:val="28"/>
          <w:szCs w:val="28"/>
          <w:highlight w:val="none"/>
          <w:lang w:eastAsia="zh-CN"/>
        </w:rPr>
      </w:pPr>
      <w:r>
        <w:rPr>
          <w:rFonts w:ascii="Times New Roman" w:hAnsi="Times New Roman" w:cs="Times New Roman"/>
          <w:color w:val="auto"/>
          <w:sz w:val="28"/>
          <w:szCs w:val="28"/>
          <w:highlight w:val="none"/>
          <w:lang w:eastAsia="zh-CN"/>
        </w:rPr>
        <w:t>附件</w:t>
      </w:r>
      <w:r>
        <w:rPr>
          <w:rFonts w:hint="eastAsia" w:ascii="Times New Roman" w:hAnsi="Times New Roman" w:cs="Times New Roman"/>
          <w:color w:val="auto"/>
          <w:sz w:val="28"/>
          <w:szCs w:val="28"/>
          <w:highlight w:val="none"/>
          <w:lang w:eastAsia="zh-CN"/>
        </w:rPr>
        <w:t>2</w:t>
      </w:r>
      <w:r>
        <w:rPr>
          <w:rFonts w:ascii="Times New Roman" w:hAnsi="Times New Roman" w:cs="Times New Roman"/>
          <w:color w:val="auto"/>
          <w:sz w:val="28"/>
          <w:szCs w:val="28"/>
          <w:highlight w:val="none"/>
          <w:lang w:eastAsia="zh-CN"/>
        </w:rPr>
        <w:t>、</w:t>
      </w:r>
      <w:r>
        <w:rPr>
          <w:rFonts w:hint="eastAsia" w:ascii="Times New Roman" w:hAnsi="Times New Roman" w:cs="Times New Roman"/>
          <w:b/>
          <w:bCs/>
          <w:color w:val="auto"/>
          <w:sz w:val="28"/>
          <w:szCs w:val="28"/>
          <w:highlight w:val="none"/>
          <w:lang w:eastAsia="zh-CN"/>
        </w:rPr>
        <w:t xml:space="preserve">   </w:t>
      </w:r>
      <w:r>
        <w:rPr>
          <w:rFonts w:ascii="Times New Roman" w:hAnsi="Times New Roman" w:cs="Times New Roman"/>
          <w:b/>
          <w:bCs/>
          <w:color w:val="auto"/>
          <w:sz w:val="28"/>
          <w:szCs w:val="28"/>
          <w:highlight w:val="none"/>
          <w:lang w:eastAsia="zh-CN"/>
        </w:rPr>
        <w:t>安全环保协议书</w:t>
      </w:r>
    </w:p>
    <w:p>
      <w:pPr>
        <w:spacing w:line="360" w:lineRule="auto"/>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甲方（委托方）：</w:t>
      </w:r>
      <w:r>
        <w:rPr>
          <w:rFonts w:hint="eastAsia" w:ascii="Times New Roman" w:hAnsi="Times New Roman" w:cs="Times New Roman"/>
          <w:color w:val="auto"/>
          <w:sz w:val="24"/>
          <w:szCs w:val="24"/>
          <w:highlight w:val="none"/>
          <w:lang w:eastAsia="zh-CN"/>
        </w:rPr>
        <w:t>翔鹭石化（漳州）有限公司</w:t>
      </w:r>
      <w:r>
        <w:rPr>
          <w:rFonts w:ascii="Times New Roman" w:hAnsi="Times New Roman" w:cs="Times New Roman"/>
          <w:color w:val="auto"/>
          <w:sz w:val="24"/>
          <w:szCs w:val="24"/>
          <w:highlight w:val="none"/>
          <w:lang w:eastAsia="zh-CN"/>
        </w:rPr>
        <w:t xml:space="preserve">  </w:t>
      </w:r>
    </w:p>
    <w:p>
      <w:pPr>
        <w:widowControl/>
        <w:spacing w:before="312" w:beforeLines="100"/>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乙方（受托方）：</w:t>
      </w:r>
    </w:p>
    <w:p>
      <w:pPr>
        <w:widowControl/>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 xml:space="preserve">                      </w:t>
      </w:r>
    </w:p>
    <w:p>
      <w:pPr>
        <w:spacing w:line="360" w:lineRule="auto"/>
        <w:ind w:firstLine="720" w:firstLineChars="300"/>
        <w:rPr>
          <w:rFonts w:ascii="Times New Roman" w:hAnsi="Times New Roman" w:cs="Times New Roman"/>
          <w:color w:val="auto"/>
          <w:sz w:val="24"/>
          <w:szCs w:val="24"/>
          <w:highlight w:val="none"/>
          <w:lang w:eastAsia="zh-CN"/>
        </w:rPr>
      </w:pPr>
      <w:r>
        <w:rPr>
          <w:rFonts w:ascii="Times New Roman" w:hAnsi="Times New Roman" w:cs="Times New Roman"/>
          <w:bCs/>
          <w:color w:val="auto"/>
          <w:sz w:val="24"/>
          <w:szCs w:val="24"/>
          <w:highlight w:val="none"/>
          <w:lang w:eastAsia="zh-CN"/>
        </w:rPr>
        <w:t>甲乙双方就</w:t>
      </w:r>
      <w:r>
        <w:rPr>
          <w:rFonts w:hint="eastAsia"/>
          <w:color w:val="auto"/>
          <w:spacing w:val="-2"/>
          <w:sz w:val="24"/>
          <w:szCs w:val="24"/>
          <w:highlight w:val="none"/>
          <w:u w:val="single"/>
          <w:lang w:eastAsia="zh-CN"/>
        </w:rPr>
        <w:t>翔鹭石化(漳州)有限公司海水取水工程2024年度生态补偿增殖放流项目</w:t>
      </w:r>
      <w:r>
        <w:rPr>
          <w:rFonts w:ascii="Times New Roman" w:hAnsi="Times New Roman" w:cs="Times New Roman"/>
          <w:bCs/>
          <w:color w:val="auto"/>
          <w:sz w:val="24"/>
          <w:szCs w:val="24"/>
          <w:highlight w:val="none"/>
          <w:lang w:eastAsia="zh-CN"/>
        </w:rPr>
        <w:t>签订了技术服务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numPr>
          <w:ilvl w:val="0"/>
          <w:numId w:val="6"/>
        </w:numPr>
        <w:spacing w:line="360" w:lineRule="auto"/>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甲方的权利和义务：</w:t>
      </w:r>
    </w:p>
    <w:p>
      <w:pPr>
        <w:spacing w:line="360" w:lineRule="auto"/>
        <w:ind w:left="377" w:hanging="376" w:hangingChars="15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 甲方有权对乙方的资质进行审查，确认其符合且具备进厂条件，方可进厂施工。</w:t>
      </w:r>
    </w:p>
    <w:p>
      <w:pPr>
        <w:spacing w:line="360" w:lineRule="auto"/>
        <w:ind w:left="377" w:hanging="376" w:hangingChars="15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 甲方有权要求乙方维护好甲方相关的安全环保设施、设备和器材。</w:t>
      </w:r>
    </w:p>
    <w:p>
      <w:pPr>
        <w:tabs>
          <w:tab w:val="left" w:pos="360"/>
          <w:tab w:val="left" w:pos="840"/>
        </w:tabs>
        <w:spacing w:line="360" w:lineRule="auto"/>
        <w:ind w:left="377" w:hanging="376" w:hangingChars="15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377" w:hanging="376" w:hangingChars="15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377" w:hanging="376" w:hangingChars="15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 甲方有权对乙方不服从管理和严重违章者，驱除施工现场。</w:t>
      </w:r>
    </w:p>
    <w:p>
      <w:pPr>
        <w:tabs>
          <w:tab w:val="left" w:pos="360"/>
          <w:tab w:val="left" w:pos="840"/>
        </w:tabs>
        <w:spacing w:line="360" w:lineRule="auto"/>
        <w:ind w:left="377" w:hanging="376" w:hangingChars="15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 甲方负责对乙方进行厂级和部门级安全培训教育和考核，考核合格方可办理入厂手续。</w:t>
      </w:r>
    </w:p>
    <w:p>
      <w:pPr>
        <w:tabs>
          <w:tab w:val="left" w:pos="360"/>
          <w:tab w:val="left" w:pos="840"/>
        </w:tabs>
        <w:spacing w:line="360" w:lineRule="auto"/>
        <w:ind w:left="377" w:hanging="376" w:hangingChars="15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 甲方负责各装置的工艺处理、退料、置换、吹扫及盲板隔离工作，为本项目提供安全的施工条件。</w:t>
      </w:r>
    </w:p>
    <w:p>
      <w:pPr>
        <w:tabs>
          <w:tab w:val="left" w:pos="360"/>
          <w:tab w:val="left" w:pos="840"/>
        </w:tabs>
        <w:spacing w:line="360" w:lineRule="auto"/>
        <w:ind w:left="377" w:hanging="376" w:hangingChars="15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8、 甲方应乙方要求，向乙方提供与乙方作业相关的甲方有毒有害、易燃易爆物品的数据。</w:t>
      </w:r>
    </w:p>
    <w:p>
      <w:pPr>
        <w:tabs>
          <w:tab w:val="left" w:pos="360"/>
          <w:tab w:val="left" w:pos="840"/>
        </w:tabs>
        <w:spacing w:line="360" w:lineRule="auto"/>
        <w:ind w:left="377" w:hanging="376" w:hangingChars="15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 甲方在开工前必须对乙方进行全面的安全技术及文明施工交底。</w:t>
      </w:r>
    </w:p>
    <w:p>
      <w:pPr>
        <w:spacing w:line="360" w:lineRule="auto"/>
        <w:ind w:left="378" w:hanging="378" w:hangingChars="157"/>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二、乙方的权利和义务：</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 乙方有权对甲方安全管理工作提出合理化建议或改进措施。</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 xml:space="preserve">3、 乙方对甲方管理人员违章指挥、强令冒险作业、有权拒绝执行。对打击和报复行为有权向上级和有关部门汇报。 </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4、乙方对危及生命安全和身体健康的施工作业条件和环境，有权提出整改建议或拒绝施工作业。</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5、乙方施工过程中在发生严重危及作业人员生命安全的不可抗拒紧急情况时，有权采取必要的避险措施，并立即向管理部门报告。</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6、乙方有权要求甲方提供相关的安全资料。</w:t>
      </w:r>
    </w:p>
    <w:p>
      <w:pPr>
        <w:spacing w:line="360" w:lineRule="auto"/>
        <w:ind w:left="332" w:leftChars="-9" w:hanging="352" w:hangingChars="147"/>
        <w:rPr>
          <w:rFonts w:ascii="Times New Roman" w:hAnsi="Times New Roman" w:cs="Times New Roman"/>
          <w:b/>
          <w:color w:val="auto"/>
          <w:sz w:val="24"/>
          <w:szCs w:val="24"/>
          <w:highlight w:val="none"/>
          <w:lang w:eastAsia="zh-CN"/>
        </w:rPr>
      </w:pPr>
      <w:r>
        <w:rPr>
          <w:rFonts w:ascii="Times New Roman" w:hAnsi="Times New Roman" w:cs="Times New Roman"/>
          <w:color w:val="auto"/>
          <w:sz w:val="24"/>
          <w:szCs w:val="24"/>
          <w:highlight w:val="none"/>
          <w:lang w:eastAsia="zh-CN"/>
        </w:rPr>
        <w:t>7、乙方必须建立健全HSE管理网络、HSE保证体系和HSE责任制，成立专职HSE管理机构，依照《安全生产法》的要求配备专职或兼职安全生产管理人员；施工队伍超过50人的应按比例配足专职安全员，并佩戴明显标志；编制和实施各安全环保施工方案和专项应急预案。</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 xml:space="preserve">11、乙方应按《中华人民共和国劳动法》等法律、法规、规定用工，严禁使用未成年工和有职业禁忌的人员进行施工作业。 </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17、</w:t>
      </w:r>
      <w:r>
        <w:rPr>
          <w:rFonts w:ascii="Times New Roman" w:hAnsi="Times New Roman" w:cs="Times New Roman"/>
          <w:bCs/>
          <w:color w:val="auto"/>
          <w:sz w:val="24"/>
          <w:szCs w:val="24"/>
          <w:highlight w:val="none"/>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332" w:leftChars="-9" w:hanging="352" w:hangingChars="147"/>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 xml:space="preserve">18、 </w:t>
      </w:r>
      <w:r>
        <w:rPr>
          <w:rFonts w:ascii="Times New Roman" w:hAnsi="Times New Roman" w:cs="Times New Roman"/>
          <w:color w:val="auto"/>
          <w:sz w:val="24"/>
          <w:szCs w:val="24"/>
          <w:highlight w:val="none"/>
          <w:lang w:eastAsia="zh-CN"/>
        </w:rPr>
        <w:t>乙方</w:t>
      </w:r>
      <w:r>
        <w:rPr>
          <w:rFonts w:ascii="Times New Roman" w:hAnsi="Times New Roman" w:cs="Times New Roman"/>
          <w:bCs/>
          <w:color w:val="auto"/>
          <w:sz w:val="24"/>
          <w:szCs w:val="24"/>
          <w:highlight w:val="none"/>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ascii="Times New Roman" w:hAnsi="Times New Roman" w:cs="Times New Roman"/>
          <w:color w:val="auto"/>
          <w:sz w:val="24"/>
          <w:szCs w:val="24"/>
          <w:highlight w:val="none"/>
          <w:lang w:eastAsia="zh-CN"/>
        </w:rPr>
        <w:t>GB 2894-2008）</w:t>
      </w:r>
      <w:r>
        <w:rPr>
          <w:rFonts w:ascii="Times New Roman" w:hAnsi="Times New Roman" w:cs="Times New Roman"/>
          <w:bCs/>
          <w:color w:val="auto"/>
          <w:sz w:val="24"/>
          <w:szCs w:val="24"/>
          <w:highlight w:val="none"/>
          <w:lang w:eastAsia="zh-CN"/>
        </w:rPr>
        <w:t>的规定。</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bCs/>
          <w:color w:val="auto"/>
          <w:sz w:val="24"/>
          <w:szCs w:val="24"/>
          <w:highlight w:val="none"/>
          <w:lang w:eastAsia="zh-CN"/>
        </w:rPr>
        <w:t>19、</w:t>
      </w:r>
      <w:r>
        <w:rPr>
          <w:rFonts w:ascii="Times New Roman" w:hAnsi="Times New Roman" w:cs="Times New Roman"/>
          <w:color w:val="auto"/>
          <w:sz w:val="24"/>
          <w:szCs w:val="24"/>
          <w:highlight w:val="none"/>
          <w:lang w:eastAsia="zh-CN"/>
        </w:rPr>
        <w:t>乙方</w:t>
      </w:r>
      <w:r>
        <w:rPr>
          <w:rFonts w:ascii="Times New Roman" w:hAnsi="Times New Roman" w:cs="Times New Roman"/>
          <w:bCs/>
          <w:color w:val="auto"/>
          <w:sz w:val="24"/>
          <w:szCs w:val="24"/>
          <w:highlight w:val="none"/>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20、乙方施工产生的</w:t>
      </w:r>
      <w:r>
        <w:rPr>
          <w:rFonts w:ascii="Times New Roman" w:hAnsi="Times New Roman" w:cs="Times New Roman"/>
          <w:bCs/>
          <w:color w:val="auto"/>
          <w:sz w:val="24"/>
          <w:szCs w:val="24"/>
          <w:highlight w:val="none"/>
          <w:lang w:eastAsia="zh-CN"/>
        </w:rPr>
        <w:t>任何有毒、有害物质，油类，化学品，废水，生活污水及其它污染物绝不能排入雨边沟、地井或污染地表土，必须按国家及地方的相关规定进行妥善处置。</w:t>
      </w:r>
      <w:r>
        <w:rPr>
          <w:rFonts w:ascii="Times New Roman" w:hAnsi="Times New Roman" w:cs="Times New Roman"/>
          <w:color w:val="auto"/>
          <w:sz w:val="24"/>
          <w:szCs w:val="24"/>
          <w:highlight w:val="none"/>
          <w:lang w:eastAsia="zh-CN"/>
        </w:rPr>
        <w:t>产生的废物应进行鉴别，一般固废和危险废物应妥善包装、分类堆放，并及时清理。不能任意排放和丢弃。不依法合规处置固体废物，在厂外随意丢弃的，直接解除合同，清除出厂。</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332" w:leftChars="-9" w:hanging="352" w:hangingChars="147"/>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22、</w:t>
      </w:r>
      <w:r>
        <w:rPr>
          <w:rFonts w:ascii="Times New Roman" w:hAnsi="Times New Roman" w:cs="Times New Roman"/>
          <w:bCs/>
          <w:color w:val="auto"/>
          <w:sz w:val="24"/>
          <w:szCs w:val="24"/>
          <w:highlight w:val="none"/>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三、违约责任及处理</w:t>
      </w:r>
    </w:p>
    <w:p>
      <w:pPr>
        <w:spacing w:line="360" w:lineRule="auto"/>
        <w:ind w:left="374" w:hanging="374" w:hangingChars="156"/>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1、乙方不得转包、违法分包及挂靠等违法行为；未经福海创许可，不得将工程分包。</w:t>
      </w:r>
    </w:p>
    <w:p>
      <w:pPr>
        <w:spacing w:line="360" w:lineRule="auto"/>
        <w:ind w:left="374" w:hanging="374" w:hangingChars="156"/>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2、发生安全事故时，甲乙双方均有抢险、救灾的义务，所发生的费用由责任方承担。</w:t>
      </w:r>
    </w:p>
    <w:p>
      <w:pPr>
        <w:spacing w:line="360" w:lineRule="auto"/>
        <w:ind w:left="374" w:hanging="374" w:hangingChars="156"/>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374" w:hanging="374" w:hangingChars="156"/>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4、甲方违约造成的事故，甲方承担全部责任，并按规定追究有关人员责任及上报。</w:t>
      </w:r>
    </w:p>
    <w:p>
      <w:pPr>
        <w:spacing w:line="360" w:lineRule="auto"/>
        <w:ind w:left="374" w:hanging="374" w:hangingChars="156"/>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ind w:left="374" w:hanging="374" w:hangingChars="156"/>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374" w:hanging="374" w:hangingChars="156"/>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四、 不可抗力：</w:t>
      </w:r>
    </w:p>
    <w:p>
      <w:pPr>
        <w:spacing w:line="360" w:lineRule="auto"/>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 xml:space="preserve">    由于不可抗力造成合同项目施工作业事故及产生的损失，甲乙双方各自承担相应的损失。</w:t>
      </w:r>
    </w:p>
    <w:p>
      <w:pPr>
        <w:spacing w:line="360" w:lineRule="auto"/>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五、本协议书经双方盖章后生效。</w:t>
      </w:r>
    </w:p>
    <w:p>
      <w:pPr>
        <w:spacing w:line="360" w:lineRule="auto"/>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六、协议期限：</w:t>
      </w:r>
    </w:p>
    <w:p>
      <w:pPr>
        <w:spacing w:line="360" w:lineRule="auto"/>
        <w:ind w:firstLine="480" w:firstLineChars="200"/>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本协议期限应与主合同期限一致。如果主合同因故需要变更期限，本合同应与主同变更至相同期限。</w:t>
      </w:r>
    </w:p>
    <w:p>
      <w:pPr>
        <w:spacing w:line="360" w:lineRule="auto"/>
        <w:ind w:firstLine="723" w:firstLineChars="300"/>
        <w:rPr>
          <w:rFonts w:ascii="Times New Roman" w:hAnsi="Times New Roman" w:cs="Times New Roman"/>
          <w:b/>
          <w:bCs/>
          <w:color w:val="auto"/>
          <w:sz w:val="24"/>
          <w:szCs w:val="24"/>
          <w:highlight w:val="none"/>
          <w:lang w:eastAsia="zh-CN"/>
        </w:rPr>
      </w:pPr>
    </w:p>
    <w:p>
      <w:pPr>
        <w:spacing w:line="360" w:lineRule="auto"/>
        <w:ind w:firstLine="723" w:firstLineChars="300"/>
        <w:rPr>
          <w:rFonts w:ascii="Times New Roman" w:hAnsi="Times New Roman" w:cs="Times New Roman"/>
          <w:b/>
          <w:bCs/>
          <w:color w:val="auto"/>
          <w:sz w:val="24"/>
          <w:szCs w:val="24"/>
          <w:highlight w:val="none"/>
          <w:lang w:eastAsia="zh-CN"/>
        </w:rPr>
      </w:pPr>
      <w:r>
        <w:rPr>
          <w:rFonts w:ascii="Times New Roman" w:hAnsi="Times New Roman" w:cs="Times New Roman"/>
          <w:b/>
          <w:bCs/>
          <w:color w:val="auto"/>
          <w:sz w:val="24"/>
          <w:szCs w:val="24"/>
          <w:highlight w:val="none"/>
          <w:lang w:eastAsia="zh-CN"/>
        </w:rPr>
        <w:t>以下无正文，为合同盖章页。</w:t>
      </w:r>
    </w:p>
    <w:p>
      <w:pPr>
        <w:pStyle w:val="2"/>
        <w:rPr>
          <w:color w:val="auto"/>
          <w:highlight w:val="none"/>
        </w:rPr>
      </w:pPr>
    </w:p>
    <w:p>
      <w:pPr>
        <w:widowControl/>
        <w:spacing w:before="156" w:beforeLines="50"/>
        <w:rPr>
          <w:rFonts w:ascii="Times New Roman" w:hAnsi="Times New Roman" w:cs="Times New Roman"/>
          <w:bCs/>
          <w:color w:val="auto"/>
          <w:sz w:val="24"/>
          <w:szCs w:val="24"/>
          <w:highlight w:val="none"/>
          <w:lang w:eastAsia="zh-CN"/>
        </w:rPr>
      </w:pPr>
    </w:p>
    <w:p>
      <w:pPr>
        <w:widowControl/>
        <w:spacing w:before="156" w:beforeLines="50" w:line="480" w:lineRule="auto"/>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甲方：</w:t>
      </w:r>
      <w:r>
        <w:rPr>
          <w:rFonts w:hint="eastAsia" w:ascii="Times New Roman" w:hAnsi="Times New Roman" w:cs="Times New Roman"/>
          <w:bCs/>
          <w:color w:val="auto"/>
          <w:sz w:val="24"/>
          <w:szCs w:val="24"/>
          <w:highlight w:val="none"/>
          <w:lang w:eastAsia="zh-CN"/>
        </w:rPr>
        <w:t>翔鹭石化</w:t>
      </w:r>
      <w:r>
        <w:rPr>
          <w:rFonts w:ascii="Times New Roman" w:hAnsi="Times New Roman" w:cs="Times New Roman"/>
          <w:bCs/>
          <w:color w:val="auto"/>
          <w:sz w:val="24"/>
          <w:szCs w:val="24"/>
          <w:highlight w:val="none"/>
          <w:lang w:eastAsia="zh-CN"/>
        </w:rPr>
        <w:t xml:space="preserve">（漳州）有限公司   </w:t>
      </w:r>
      <w:r>
        <w:rPr>
          <w:rFonts w:hint="eastAsia" w:ascii="Times New Roman" w:hAnsi="Times New Roman" w:cs="Times New Roman"/>
          <w:bCs/>
          <w:color w:val="auto"/>
          <w:sz w:val="24"/>
          <w:szCs w:val="24"/>
          <w:highlight w:val="none"/>
          <w:lang w:eastAsia="zh-CN"/>
        </w:rPr>
        <w:t xml:space="preserve">      </w:t>
      </w:r>
      <w:r>
        <w:rPr>
          <w:rFonts w:ascii="Times New Roman" w:hAnsi="Times New Roman" w:cs="Times New Roman"/>
          <w:bCs/>
          <w:color w:val="auto"/>
          <w:sz w:val="24"/>
          <w:szCs w:val="24"/>
          <w:highlight w:val="none"/>
          <w:lang w:eastAsia="zh-CN"/>
        </w:rPr>
        <w:t xml:space="preserve"> 乙方：</w:t>
      </w:r>
    </w:p>
    <w:p>
      <w:pPr>
        <w:spacing w:before="156" w:beforeLines="50" w:line="480" w:lineRule="auto"/>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 xml:space="preserve">账号：            </w:t>
      </w:r>
      <w:r>
        <w:rPr>
          <w:rFonts w:hint="eastAsia" w:ascii="Times New Roman" w:hAnsi="Times New Roman" w:cs="Times New Roman"/>
          <w:bCs/>
          <w:color w:val="auto"/>
          <w:sz w:val="24"/>
          <w:szCs w:val="24"/>
          <w:highlight w:val="none"/>
          <w:lang w:eastAsia="zh-CN"/>
        </w:rPr>
        <w:t xml:space="preserve">                                             </w:t>
      </w:r>
      <w:r>
        <w:rPr>
          <w:rFonts w:ascii="Times New Roman" w:hAnsi="Times New Roman" w:cs="Times New Roman"/>
          <w:bCs/>
          <w:color w:val="auto"/>
          <w:sz w:val="24"/>
          <w:szCs w:val="24"/>
          <w:highlight w:val="none"/>
          <w:lang w:eastAsia="zh-CN"/>
        </w:rPr>
        <w:t>账号：</w:t>
      </w:r>
    </w:p>
    <w:p>
      <w:pPr>
        <w:spacing w:before="156" w:beforeLines="50" w:line="480" w:lineRule="auto"/>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开户行：</w:t>
      </w:r>
      <w:r>
        <w:rPr>
          <w:rFonts w:hint="eastAsia" w:ascii="Times New Roman" w:hAnsi="Times New Roman" w:cs="Times New Roman"/>
          <w:bCs/>
          <w:color w:val="auto"/>
          <w:sz w:val="24"/>
          <w:szCs w:val="24"/>
          <w:highlight w:val="none"/>
          <w:lang w:eastAsia="zh-CN"/>
        </w:rPr>
        <w:t xml:space="preserve">                                        </w:t>
      </w:r>
      <w:r>
        <w:rPr>
          <w:rFonts w:ascii="Times New Roman" w:hAnsi="Times New Roman" w:cs="Times New Roman"/>
          <w:bCs/>
          <w:color w:val="auto"/>
          <w:sz w:val="24"/>
          <w:szCs w:val="24"/>
          <w:highlight w:val="none"/>
          <w:lang w:eastAsia="zh-CN"/>
        </w:rPr>
        <w:t xml:space="preserve">  </w:t>
      </w:r>
      <w:r>
        <w:rPr>
          <w:rFonts w:hint="eastAsia" w:ascii="Times New Roman" w:hAnsi="Times New Roman" w:cs="Times New Roman"/>
          <w:bCs/>
          <w:color w:val="auto"/>
          <w:sz w:val="24"/>
          <w:szCs w:val="24"/>
          <w:highlight w:val="none"/>
          <w:lang w:eastAsia="zh-CN"/>
        </w:rPr>
        <w:t xml:space="preserve">          </w:t>
      </w:r>
      <w:r>
        <w:rPr>
          <w:rFonts w:ascii="Times New Roman" w:hAnsi="Times New Roman" w:cs="Times New Roman"/>
          <w:bCs/>
          <w:color w:val="auto"/>
          <w:sz w:val="24"/>
          <w:szCs w:val="24"/>
          <w:highlight w:val="none"/>
          <w:lang w:eastAsia="zh-CN"/>
        </w:rPr>
        <w:t xml:space="preserve"> 开户行：</w:t>
      </w: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2"/>
        <w:rPr>
          <w:rFonts w:ascii="Times New Roman" w:hAnsi="Times New Roman"/>
          <w:bCs/>
          <w:color w:val="auto"/>
          <w:sz w:val="24"/>
          <w:szCs w:val="24"/>
          <w:highlight w:val="none"/>
        </w:rPr>
      </w:pPr>
    </w:p>
    <w:p>
      <w:pPr>
        <w:rPr>
          <w:rFonts w:ascii="Times New Roman" w:hAnsi="Times New Roman" w:cs="Times New Roman"/>
          <w:bCs/>
          <w:color w:val="auto"/>
          <w:sz w:val="24"/>
          <w:szCs w:val="24"/>
          <w:highlight w:val="none"/>
          <w:lang w:eastAsia="zh-CN"/>
        </w:rPr>
      </w:pPr>
    </w:p>
    <w:p>
      <w:pPr>
        <w:pStyle w:val="86"/>
        <w:ind w:firstLine="0" w:firstLineChars="0"/>
        <w:jc w:val="center"/>
        <w:rPr>
          <w:b/>
          <w:bCs/>
          <w:color w:val="auto"/>
          <w:sz w:val="32"/>
          <w:szCs w:val="36"/>
          <w:highlight w:val="none"/>
          <w:lang w:eastAsia="zh-CN"/>
        </w:rPr>
      </w:pPr>
      <w:r>
        <w:rPr>
          <w:rFonts w:hint="eastAsia"/>
          <w:b/>
          <w:bCs/>
          <w:color w:val="auto"/>
          <w:sz w:val="32"/>
          <w:szCs w:val="36"/>
          <w:highlight w:val="none"/>
          <w:lang w:eastAsia="zh-CN"/>
        </w:rPr>
        <w:t>附件3、人员、车辆入厂安全管理协议</w:t>
      </w:r>
    </w:p>
    <w:p>
      <w:pPr>
        <w:pStyle w:val="86"/>
        <w:spacing w:before="156" w:beforeLines="50"/>
        <w:ind w:firstLine="0" w:firstLineChars="0"/>
        <w:rPr>
          <w:rFonts w:eastAsiaTheme="minorEastAsia" w:cstheme="minorBidi"/>
          <w:b/>
          <w:bCs/>
          <w:color w:val="auto"/>
          <w:kern w:val="2"/>
          <w:sz w:val="24"/>
          <w:szCs w:val="24"/>
          <w:highlight w:val="none"/>
          <w:u w:val="single"/>
          <w:lang w:eastAsia="zh-CN"/>
        </w:rPr>
      </w:pPr>
      <w:r>
        <w:rPr>
          <w:rFonts w:hint="eastAsia" w:eastAsiaTheme="minorEastAsia" w:cstheme="minorBidi"/>
          <w:b/>
          <w:bCs/>
          <w:color w:val="auto"/>
          <w:kern w:val="2"/>
          <w:sz w:val="24"/>
          <w:szCs w:val="24"/>
          <w:highlight w:val="none"/>
          <w:lang w:eastAsia="zh-CN"/>
        </w:rPr>
        <w:t>甲方：</w:t>
      </w:r>
      <w:r>
        <w:rPr>
          <w:rFonts w:hint="eastAsia" w:cstheme="minorBidi"/>
          <w:b/>
          <w:bCs/>
          <w:color w:val="auto"/>
          <w:kern w:val="2"/>
          <w:sz w:val="24"/>
          <w:szCs w:val="24"/>
          <w:highlight w:val="none"/>
          <w:u w:val="single"/>
          <w:lang w:eastAsia="zh-CN"/>
        </w:rPr>
        <w:t xml:space="preserve"> </w:t>
      </w:r>
      <w:r>
        <w:rPr>
          <w:rFonts w:hint="eastAsia" w:ascii="Times New Roman" w:hAnsi="Times New Roman" w:cs="Times New Roman"/>
          <w:bCs/>
          <w:color w:val="auto"/>
          <w:sz w:val="24"/>
          <w:szCs w:val="24"/>
          <w:highlight w:val="none"/>
          <w:u w:val="single"/>
          <w:lang w:eastAsia="zh-CN"/>
        </w:rPr>
        <w:t>翔鹭石化</w:t>
      </w:r>
      <w:r>
        <w:rPr>
          <w:rFonts w:ascii="Times New Roman" w:hAnsi="Times New Roman" w:cs="Times New Roman"/>
          <w:bCs/>
          <w:color w:val="auto"/>
          <w:sz w:val="24"/>
          <w:szCs w:val="24"/>
          <w:highlight w:val="none"/>
          <w:u w:val="single"/>
          <w:lang w:eastAsia="zh-CN"/>
        </w:rPr>
        <w:t>（漳州）有限公司</w:t>
      </w:r>
      <w:r>
        <w:rPr>
          <w:rFonts w:hint="eastAsia" w:cstheme="minorBidi"/>
          <w:b/>
          <w:bCs/>
          <w:color w:val="auto"/>
          <w:kern w:val="2"/>
          <w:sz w:val="24"/>
          <w:szCs w:val="24"/>
          <w:highlight w:val="none"/>
          <w:u w:val="single"/>
          <w:lang w:eastAsia="zh-CN"/>
        </w:rPr>
        <w:t xml:space="preserve">  </w:t>
      </w:r>
    </w:p>
    <w:p>
      <w:pPr>
        <w:pStyle w:val="86"/>
        <w:spacing w:after="156" w:afterLines="50"/>
        <w:ind w:firstLine="0" w:firstLineChars="0"/>
        <w:rPr>
          <w:rFonts w:eastAsiaTheme="minorEastAsia" w:cstheme="minorBidi"/>
          <w:b/>
          <w:bCs/>
          <w:color w:val="auto"/>
          <w:kern w:val="2"/>
          <w:sz w:val="24"/>
          <w:szCs w:val="24"/>
          <w:highlight w:val="none"/>
          <w:u w:val="single"/>
          <w:lang w:eastAsia="zh-CN"/>
        </w:rPr>
      </w:pPr>
      <w:r>
        <w:rPr>
          <w:rFonts w:hint="eastAsia" w:eastAsiaTheme="minorEastAsia" w:cstheme="minorBidi"/>
          <w:b/>
          <w:bCs/>
          <w:color w:val="auto"/>
          <w:kern w:val="2"/>
          <w:sz w:val="24"/>
          <w:szCs w:val="24"/>
          <w:highlight w:val="none"/>
          <w:lang w:eastAsia="zh-CN"/>
        </w:rPr>
        <w:t>乙方：</w:t>
      </w:r>
      <w:r>
        <w:rPr>
          <w:rFonts w:hint="eastAsia" w:cstheme="minorBidi"/>
          <w:b/>
          <w:bCs/>
          <w:color w:val="auto"/>
          <w:kern w:val="2"/>
          <w:sz w:val="24"/>
          <w:szCs w:val="24"/>
          <w:highlight w:val="none"/>
          <w:u w:val="single"/>
          <w:lang w:eastAsia="zh-CN"/>
        </w:rPr>
        <w:t xml:space="preserve">                           </w:t>
      </w:r>
    </w:p>
    <w:p>
      <w:pPr>
        <w:spacing w:line="360" w:lineRule="auto"/>
        <w:ind w:left="-526" w:leftChars="-239" w:firstLine="464" w:firstLineChars="211"/>
        <w:rPr>
          <w:color w:val="auto"/>
          <w:szCs w:val="21"/>
          <w:highlight w:val="none"/>
          <w:lang w:eastAsia="zh-CN"/>
        </w:rPr>
      </w:pPr>
      <w:r>
        <w:rPr>
          <w:rFonts w:hint="eastAsia"/>
          <w:color w:val="auto"/>
          <w:szCs w:val="21"/>
          <w:highlight w:val="none"/>
          <w:lang w:eastAsia="zh-CN"/>
        </w:rPr>
        <w:t>为进一步明确甲乙双方在合同履行过程中的安全生产权利和义务及责任，经双方协商，双方自愿签订本协议，作为主合同的附件。</w:t>
      </w:r>
    </w:p>
    <w:p>
      <w:pPr>
        <w:numPr>
          <w:ilvl w:val="0"/>
          <w:numId w:val="7"/>
        </w:numPr>
        <w:spacing w:line="360" w:lineRule="auto"/>
        <w:ind w:left="-526" w:leftChars="-239" w:firstLine="466" w:firstLineChars="211"/>
        <w:rPr>
          <w:b/>
          <w:bCs/>
          <w:color w:val="auto"/>
          <w:szCs w:val="21"/>
          <w:highlight w:val="none"/>
          <w:lang w:eastAsia="zh-CN"/>
        </w:rPr>
      </w:pPr>
      <w:r>
        <w:rPr>
          <w:rFonts w:hint="eastAsia"/>
          <w:b/>
          <w:bCs/>
          <w:color w:val="auto"/>
          <w:szCs w:val="21"/>
          <w:highlight w:val="none"/>
          <w:lang w:eastAsia="zh-CN"/>
        </w:rPr>
        <w:t>甲方的权利和义务</w:t>
      </w:r>
    </w:p>
    <w:p>
      <w:pPr>
        <w:numPr>
          <w:ilvl w:val="0"/>
          <w:numId w:val="8"/>
        </w:numPr>
        <w:spacing w:line="360" w:lineRule="auto"/>
        <w:ind w:left="-62" w:leftChars="-28"/>
        <w:rPr>
          <w:color w:val="auto"/>
          <w:szCs w:val="21"/>
          <w:highlight w:val="none"/>
          <w:lang w:eastAsia="zh-CN"/>
        </w:rPr>
      </w:pPr>
      <w:r>
        <w:rPr>
          <w:rFonts w:hint="eastAsia"/>
          <w:color w:val="auto"/>
          <w:szCs w:val="21"/>
          <w:highlight w:val="none"/>
          <w:lang w:eastAsia="zh-CN"/>
        </w:rPr>
        <w:t>甲方负责向乙方提供乙方需遵守的安全环保管理规定，并在入厂前向需要进入甲方厂区的人员进行安全告知。</w:t>
      </w:r>
    </w:p>
    <w:p>
      <w:pPr>
        <w:numPr>
          <w:ilvl w:val="0"/>
          <w:numId w:val="8"/>
        </w:numPr>
        <w:spacing w:line="360" w:lineRule="auto"/>
        <w:ind w:left="-62" w:leftChars="-28"/>
        <w:rPr>
          <w:color w:val="auto"/>
          <w:szCs w:val="21"/>
          <w:highlight w:val="none"/>
          <w:lang w:eastAsia="zh-CN"/>
        </w:rPr>
      </w:pPr>
      <w:r>
        <w:rPr>
          <w:rFonts w:hint="eastAsia"/>
          <w:color w:val="auto"/>
          <w:szCs w:val="21"/>
          <w:highlight w:val="none"/>
          <w:lang w:eastAsia="zh-CN"/>
        </w:rPr>
        <w:t>甲方应为乙方指定甲方厂区内的安全行车路线。</w:t>
      </w:r>
    </w:p>
    <w:p>
      <w:pPr>
        <w:numPr>
          <w:ilvl w:val="0"/>
          <w:numId w:val="8"/>
        </w:numPr>
        <w:spacing w:line="360" w:lineRule="auto"/>
        <w:ind w:left="-62" w:leftChars="-28"/>
        <w:rPr>
          <w:color w:val="auto"/>
          <w:szCs w:val="21"/>
          <w:highlight w:val="none"/>
          <w:lang w:eastAsia="zh-CN"/>
        </w:rPr>
      </w:pPr>
      <w:r>
        <w:rPr>
          <w:rFonts w:hint="eastAsia"/>
          <w:color w:val="auto"/>
          <w:szCs w:val="21"/>
          <w:highlight w:val="none"/>
          <w:lang w:eastAsia="zh-CN"/>
        </w:rPr>
        <w:t>甲方负责对乙方的入厂车辆和人员进行安全资质、车辆完好情况及人员健康情况进行检查，禁止不合格的车辆和人员入厂。</w:t>
      </w:r>
    </w:p>
    <w:p>
      <w:pPr>
        <w:numPr>
          <w:ilvl w:val="0"/>
          <w:numId w:val="8"/>
        </w:numPr>
        <w:spacing w:line="360" w:lineRule="auto"/>
        <w:ind w:left="-62" w:leftChars="-28"/>
        <w:rPr>
          <w:color w:val="auto"/>
          <w:szCs w:val="21"/>
          <w:highlight w:val="none"/>
          <w:lang w:eastAsia="zh-CN"/>
        </w:rPr>
      </w:pPr>
      <w:r>
        <w:rPr>
          <w:rFonts w:hint="eastAsia"/>
          <w:color w:val="auto"/>
          <w:szCs w:val="21"/>
          <w:highlight w:val="none"/>
          <w:lang w:eastAsia="zh-CN"/>
        </w:rPr>
        <w:t>甲方对乙方车辆在甲方厂区门口、停车场及厂区内停放和行驶情况进行监督检查，有权对违规的车辆和人员按照甲方的规定进行处罚。</w:t>
      </w:r>
    </w:p>
    <w:p>
      <w:pPr>
        <w:numPr>
          <w:ilvl w:val="0"/>
          <w:numId w:val="8"/>
        </w:numPr>
        <w:spacing w:line="360" w:lineRule="auto"/>
        <w:ind w:left="-62" w:leftChars="-28"/>
        <w:rPr>
          <w:color w:val="auto"/>
          <w:szCs w:val="21"/>
          <w:highlight w:val="none"/>
          <w:lang w:eastAsia="zh-CN"/>
        </w:rPr>
      </w:pPr>
      <w:r>
        <w:rPr>
          <w:rFonts w:hint="eastAsia"/>
          <w:color w:val="auto"/>
          <w:szCs w:val="21"/>
          <w:highlight w:val="none"/>
          <w:lang w:eastAsia="zh-CN"/>
        </w:rPr>
        <w:t>甲方业务主管部门应全程委托专门人员引导乙方车辆和人员按指定的路线进入厂区、到达指定位置。</w:t>
      </w:r>
    </w:p>
    <w:p>
      <w:pPr>
        <w:numPr>
          <w:ilvl w:val="0"/>
          <w:numId w:val="7"/>
        </w:numPr>
        <w:spacing w:line="360" w:lineRule="auto"/>
        <w:ind w:left="-526" w:leftChars="-239" w:firstLine="466" w:firstLineChars="211"/>
        <w:rPr>
          <w:b/>
          <w:bCs/>
          <w:color w:val="auto"/>
          <w:szCs w:val="21"/>
          <w:highlight w:val="none"/>
          <w:lang w:eastAsia="zh-CN"/>
        </w:rPr>
      </w:pPr>
      <w:r>
        <w:rPr>
          <w:rFonts w:hint="eastAsia"/>
          <w:b/>
          <w:bCs/>
          <w:color w:val="auto"/>
          <w:szCs w:val="21"/>
          <w:highlight w:val="none"/>
          <w:lang w:eastAsia="zh-CN"/>
        </w:rPr>
        <w:t>乙方的权利和义务</w:t>
      </w:r>
    </w:p>
    <w:p>
      <w:pPr>
        <w:numPr>
          <w:ilvl w:val="0"/>
          <w:numId w:val="9"/>
        </w:numPr>
        <w:spacing w:line="360" w:lineRule="auto"/>
        <w:ind w:left="-62" w:leftChars="-28"/>
        <w:rPr>
          <w:color w:val="auto"/>
          <w:szCs w:val="21"/>
          <w:highlight w:val="none"/>
          <w:lang w:eastAsia="zh-CN"/>
        </w:rPr>
      </w:pPr>
      <w:r>
        <w:rPr>
          <w:rFonts w:hint="eastAsia"/>
          <w:color w:val="auto"/>
          <w:szCs w:val="21"/>
          <w:highlight w:val="none"/>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pPr>
        <w:numPr>
          <w:ilvl w:val="0"/>
          <w:numId w:val="9"/>
        </w:numPr>
        <w:spacing w:line="360" w:lineRule="auto"/>
        <w:ind w:left="-62" w:leftChars="-28"/>
        <w:rPr>
          <w:color w:val="auto"/>
          <w:szCs w:val="21"/>
          <w:highlight w:val="none"/>
          <w:lang w:eastAsia="zh-CN"/>
        </w:rPr>
      </w:pPr>
      <w:r>
        <w:rPr>
          <w:rFonts w:hint="eastAsia"/>
          <w:color w:val="auto"/>
          <w:szCs w:val="21"/>
          <w:highlight w:val="none"/>
          <w:lang w:eastAsia="zh-CN"/>
        </w:rPr>
        <w:t>乙方应为需进入甲方厂区的人员提供符合甲方要求的安全帽、劳保服、劳保鞋等劳动防护用品，并督促入厂人员规范佩戴和使用。</w:t>
      </w:r>
    </w:p>
    <w:p>
      <w:pPr>
        <w:numPr>
          <w:ilvl w:val="0"/>
          <w:numId w:val="9"/>
        </w:numPr>
        <w:spacing w:line="360" w:lineRule="auto"/>
        <w:ind w:left="-62" w:leftChars="-28"/>
        <w:rPr>
          <w:color w:val="auto"/>
          <w:szCs w:val="21"/>
          <w:highlight w:val="none"/>
          <w:lang w:eastAsia="zh-CN"/>
        </w:rPr>
      </w:pPr>
      <w:r>
        <w:rPr>
          <w:rFonts w:hint="eastAsia"/>
          <w:color w:val="auto"/>
          <w:szCs w:val="21"/>
          <w:highlight w:val="none"/>
          <w:lang w:eastAsia="zh-CN"/>
        </w:rPr>
        <w:t>乙方应遵守甲方相关管理规定（以甲方发给乙方的制度内容为准），并提前向入厂人员做好宣贯，禁止入厂人员违规携带香烟、打火机、非防爆手机等器具。如按规定遭受甲方处罚时，应按期缴纳罚款。</w:t>
      </w:r>
    </w:p>
    <w:p>
      <w:pPr>
        <w:numPr>
          <w:ilvl w:val="0"/>
          <w:numId w:val="9"/>
        </w:numPr>
        <w:spacing w:line="360" w:lineRule="auto"/>
        <w:ind w:left="-62" w:leftChars="-28"/>
        <w:rPr>
          <w:color w:val="auto"/>
          <w:szCs w:val="21"/>
          <w:highlight w:val="none"/>
          <w:lang w:eastAsia="zh-CN"/>
        </w:rPr>
      </w:pPr>
      <w:r>
        <w:rPr>
          <w:rFonts w:hint="eastAsia"/>
          <w:color w:val="auto"/>
          <w:szCs w:val="21"/>
          <w:highlight w:val="none"/>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pPr>
        <w:numPr>
          <w:ilvl w:val="0"/>
          <w:numId w:val="9"/>
        </w:numPr>
        <w:spacing w:line="360" w:lineRule="auto"/>
        <w:ind w:left="-62" w:leftChars="-28"/>
        <w:rPr>
          <w:color w:val="auto"/>
          <w:szCs w:val="21"/>
          <w:highlight w:val="none"/>
          <w:lang w:eastAsia="zh-CN"/>
        </w:rPr>
      </w:pPr>
      <w:r>
        <w:rPr>
          <w:rFonts w:hint="eastAsia"/>
          <w:color w:val="auto"/>
          <w:szCs w:val="21"/>
          <w:highlight w:val="none"/>
          <w:lang w:eastAsia="zh-CN"/>
        </w:rPr>
        <w:t>在厂区内卸货过程应根据甲方的要求进行卸货，积极接受甲方的现场管理，开具相应的作业许可证，并按甲方的操作规程进行卸货及作业。</w:t>
      </w:r>
    </w:p>
    <w:p>
      <w:pPr>
        <w:numPr>
          <w:ilvl w:val="0"/>
          <w:numId w:val="9"/>
        </w:numPr>
        <w:spacing w:line="360" w:lineRule="auto"/>
        <w:ind w:left="-62" w:leftChars="-28"/>
        <w:rPr>
          <w:color w:val="auto"/>
          <w:szCs w:val="21"/>
          <w:highlight w:val="none"/>
          <w:lang w:eastAsia="zh-CN"/>
        </w:rPr>
      </w:pPr>
      <w:r>
        <w:rPr>
          <w:rFonts w:hint="eastAsia"/>
          <w:color w:val="auto"/>
          <w:szCs w:val="21"/>
          <w:highlight w:val="none"/>
          <w:lang w:eastAsia="zh-CN"/>
        </w:rPr>
        <w:t>对于甲方在安全生产监管中发现的问题，乙方应按要求落实整改。</w:t>
      </w:r>
    </w:p>
    <w:p>
      <w:pPr>
        <w:numPr>
          <w:ilvl w:val="0"/>
          <w:numId w:val="7"/>
        </w:numPr>
        <w:spacing w:line="550" w:lineRule="exact"/>
        <w:ind w:left="-526" w:leftChars="-239" w:firstLine="466" w:firstLineChars="21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违约责任及处理</w:t>
      </w:r>
    </w:p>
    <w:p>
      <w:pPr>
        <w:numPr>
          <w:ilvl w:val="0"/>
          <w:numId w:val="10"/>
        </w:numPr>
        <w:spacing w:line="550" w:lineRule="exact"/>
        <w:ind w:left="-62" w:leftChars="-28"/>
        <w:rPr>
          <w:rFonts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发生安全事故时，甲乙双方均有抢险、救灾的义务，所发生的费用由责任方承担。</w:t>
      </w:r>
    </w:p>
    <w:p>
      <w:pPr>
        <w:numPr>
          <w:ilvl w:val="0"/>
          <w:numId w:val="10"/>
        </w:numPr>
        <w:spacing w:line="550" w:lineRule="exact"/>
        <w:ind w:left="-62" w:leftChars="-28"/>
        <w:rPr>
          <w:rFonts w:asciiTheme="minorEastAsia" w:hAnsiTheme="minorEastAsia" w:eastAsiaTheme="minorEastAsia"/>
          <w:color w:val="auto"/>
          <w:szCs w:val="21"/>
          <w:highlight w:val="none"/>
          <w:lang w:eastAsia="zh-CN"/>
        </w:rPr>
      </w:pPr>
      <w:r>
        <w:rPr>
          <w:rFonts w:hint="eastAsia"/>
          <w:color w:val="auto"/>
          <w:szCs w:val="21"/>
          <w:highlight w:val="none"/>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numPr>
          <w:ilvl w:val="0"/>
          <w:numId w:val="10"/>
        </w:numPr>
        <w:spacing w:line="550" w:lineRule="exact"/>
        <w:ind w:left="-62" w:leftChars="-28"/>
        <w:rPr>
          <w:rFonts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甲方违约造成的事故，甲方承担全部责任，并按规定追究有关人员责任及上报。</w:t>
      </w:r>
    </w:p>
    <w:p>
      <w:pPr>
        <w:numPr>
          <w:ilvl w:val="0"/>
          <w:numId w:val="10"/>
        </w:numPr>
        <w:spacing w:line="550" w:lineRule="exact"/>
        <w:ind w:left="-62" w:leftChars="-28"/>
        <w:rPr>
          <w:rFonts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 xml:space="preserve"> 乙方在</w:t>
      </w:r>
      <w:r>
        <w:rPr>
          <w:rFonts w:hint="eastAsia" w:asciiTheme="minorEastAsia" w:hAnsiTheme="minorEastAsia"/>
          <w:color w:val="auto"/>
          <w:szCs w:val="21"/>
          <w:highlight w:val="none"/>
          <w:lang w:eastAsia="zh-CN"/>
        </w:rPr>
        <w:t>厂区内</w:t>
      </w:r>
      <w:r>
        <w:rPr>
          <w:rFonts w:hint="eastAsia" w:asciiTheme="minorEastAsia" w:hAnsiTheme="minorEastAsia" w:eastAsiaTheme="minorEastAsia"/>
          <w:color w:val="auto"/>
          <w:szCs w:val="21"/>
          <w:highlight w:val="none"/>
          <w:lang w:eastAsia="zh-CN"/>
        </w:rPr>
        <w:t>中如果有违法、违规和违章行为，甲方将按照按国家法律、法规和甲方的HSE管理制度进行处罚。</w:t>
      </w:r>
      <w:r>
        <w:rPr>
          <w:rFonts w:hint="eastAsia"/>
          <w:color w:val="auto"/>
          <w:szCs w:val="21"/>
          <w:highlight w:val="none"/>
          <w:lang w:eastAsia="zh-CN"/>
        </w:rPr>
        <w:t>处罚款由乙方按甲方要求交到甲方指定部门或账户，对不按时缴纳罚款的，甲方可以从乙方合同款双倍扣除。</w:t>
      </w:r>
    </w:p>
    <w:p>
      <w:pPr>
        <w:numPr>
          <w:ilvl w:val="0"/>
          <w:numId w:val="10"/>
        </w:numPr>
        <w:spacing w:line="550" w:lineRule="exact"/>
        <w:ind w:left="-62" w:leftChars="-28"/>
        <w:rPr>
          <w:rFonts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 xml:space="preserve"> 乙方违约造成的事故，乙方承担全部责任；由于乙方</w:t>
      </w:r>
      <w:r>
        <w:rPr>
          <w:rFonts w:hint="eastAsia" w:asciiTheme="minorEastAsia" w:hAnsiTheme="minorEastAsia"/>
          <w:color w:val="auto"/>
          <w:szCs w:val="21"/>
          <w:highlight w:val="none"/>
          <w:lang w:eastAsia="zh-CN"/>
        </w:rPr>
        <w:t>的</w:t>
      </w:r>
      <w:r>
        <w:rPr>
          <w:rFonts w:hint="eastAsia" w:asciiTheme="minorEastAsia" w:hAnsiTheme="minorEastAsia" w:eastAsiaTheme="minorEastAsia"/>
          <w:color w:val="auto"/>
          <w:szCs w:val="21"/>
          <w:highlight w:val="none"/>
          <w:lang w:eastAsia="zh-CN"/>
        </w:rPr>
        <w:t>服务质量及</w:t>
      </w:r>
      <w:r>
        <w:rPr>
          <w:rFonts w:hint="eastAsia" w:asciiTheme="minorEastAsia" w:hAnsiTheme="minorEastAsia"/>
          <w:color w:val="auto"/>
          <w:szCs w:val="21"/>
          <w:highlight w:val="none"/>
          <w:lang w:eastAsia="zh-CN"/>
        </w:rPr>
        <w:t>货物</w:t>
      </w:r>
      <w:r>
        <w:rPr>
          <w:rFonts w:hint="eastAsia" w:asciiTheme="minorEastAsia" w:hAnsiTheme="minorEastAsia" w:eastAsiaTheme="minorEastAsia"/>
          <w:color w:val="auto"/>
          <w:szCs w:val="21"/>
          <w:highlight w:val="none"/>
          <w:lang w:eastAsia="zh-CN"/>
        </w:rPr>
        <w:t>质量导致的事故，由乙方承担全部责任构成犯罪的，依法追究刑事责任。</w:t>
      </w:r>
    </w:p>
    <w:p>
      <w:pPr>
        <w:numPr>
          <w:ilvl w:val="0"/>
          <w:numId w:val="10"/>
        </w:numPr>
        <w:spacing w:line="550" w:lineRule="exact"/>
        <w:ind w:left="-62" w:leftChars="-28"/>
        <w:rPr>
          <w:rFonts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对乙方发生事故后弄虚作假、隐瞒不报、迟报或谎报，一经查出，按有关规定处罚</w:t>
      </w:r>
      <w:r>
        <w:rPr>
          <w:rFonts w:hint="eastAsia" w:asciiTheme="minorEastAsia" w:hAnsiTheme="minorEastAsia"/>
          <w:color w:val="auto"/>
          <w:szCs w:val="21"/>
          <w:highlight w:val="none"/>
          <w:lang w:eastAsia="zh-CN"/>
        </w:rPr>
        <w:t>，</w:t>
      </w:r>
      <w:r>
        <w:rPr>
          <w:rFonts w:hint="eastAsia" w:asciiTheme="minorEastAsia" w:hAnsiTheme="minorEastAsia" w:eastAsiaTheme="minorEastAsia"/>
          <w:color w:val="auto"/>
          <w:szCs w:val="21"/>
          <w:highlight w:val="none"/>
          <w:lang w:eastAsia="zh-CN"/>
        </w:rPr>
        <w:t>情节严重的，取消其进入甲方的市场资格。</w:t>
      </w:r>
    </w:p>
    <w:p>
      <w:pPr>
        <w:spacing w:line="550" w:lineRule="exact"/>
        <w:ind w:left="-526" w:leftChars="-239" w:firstLine="466" w:firstLineChars="211"/>
        <w:rPr>
          <w:rFonts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lang w:eastAsia="zh-CN"/>
        </w:rPr>
        <w:t>四、 不可抗力：</w:t>
      </w:r>
    </w:p>
    <w:p>
      <w:pPr>
        <w:spacing w:line="550" w:lineRule="exact"/>
        <w:ind w:left="-551" w:leftChars="-339" w:hanging="195" w:hangingChars="89"/>
        <w:rPr>
          <w:rFonts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 xml:space="preserve">   </w:t>
      </w:r>
      <w:r>
        <w:rPr>
          <w:rFonts w:hint="eastAsia" w:asciiTheme="minorEastAsia" w:hAnsiTheme="minorEastAsia"/>
          <w:color w:val="auto"/>
          <w:szCs w:val="21"/>
          <w:highlight w:val="none"/>
          <w:lang w:eastAsia="zh-CN"/>
        </w:rPr>
        <w:t xml:space="preserve">  </w:t>
      </w:r>
      <w:r>
        <w:rPr>
          <w:rFonts w:hint="eastAsia" w:asciiTheme="minorEastAsia" w:hAnsiTheme="minorEastAsia" w:eastAsiaTheme="minorEastAsia"/>
          <w:color w:val="auto"/>
          <w:szCs w:val="21"/>
          <w:highlight w:val="none"/>
          <w:lang w:eastAsia="zh-CN"/>
        </w:rPr>
        <w:t xml:space="preserve"> 由于不可抗力造成事故及产生的损失，甲乙双方各自承担相应的损失。</w:t>
      </w:r>
    </w:p>
    <w:p>
      <w:pPr>
        <w:spacing w:line="360" w:lineRule="auto"/>
        <w:ind w:left="-526" w:leftChars="-239" w:firstLine="466" w:firstLineChars="211"/>
        <w:rPr>
          <w:rFonts w:asciiTheme="minorEastAsia" w:hAnsiTheme="minorEastAsia" w:eastAsiaTheme="minorEastAsia"/>
          <w:color w:val="auto"/>
          <w:szCs w:val="21"/>
          <w:highlight w:val="none"/>
          <w:lang w:eastAsia="zh-CN"/>
        </w:rPr>
      </w:pPr>
      <w:r>
        <w:rPr>
          <w:rFonts w:hint="eastAsia" w:asciiTheme="minorEastAsia" w:hAnsiTheme="minorEastAsia" w:eastAsiaTheme="minorEastAsia"/>
          <w:b/>
          <w:color w:val="auto"/>
          <w:szCs w:val="21"/>
          <w:highlight w:val="none"/>
          <w:lang w:eastAsia="zh-CN"/>
        </w:rPr>
        <w:t>五、</w:t>
      </w:r>
      <w:r>
        <w:rPr>
          <w:rFonts w:hint="eastAsia" w:asciiTheme="minorEastAsia" w:hAnsiTheme="minorEastAsia" w:eastAsiaTheme="minorEastAsia"/>
          <w:color w:val="auto"/>
          <w:szCs w:val="21"/>
          <w:highlight w:val="none"/>
          <w:lang w:eastAsia="zh-CN"/>
        </w:rPr>
        <w:t>本协议书一式两份，甲乙双方各执一份。</w:t>
      </w:r>
    </w:p>
    <w:p>
      <w:pPr>
        <w:spacing w:line="360" w:lineRule="auto"/>
        <w:ind w:left="-526" w:leftChars="-239" w:firstLine="466" w:firstLineChars="211"/>
        <w:rPr>
          <w:rFonts w:asciiTheme="minorEastAsia" w:hAnsiTheme="minorEastAsia" w:eastAsiaTheme="minorEastAsia"/>
          <w:color w:val="auto"/>
          <w:szCs w:val="21"/>
          <w:highlight w:val="none"/>
          <w:lang w:eastAsia="zh-CN"/>
        </w:rPr>
      </w:pPr>
      <w:r>
        <w:rPr>
          <w:rFonts w:hint="eastAsia" w:asciiTheme="minorEastAsia" w:hAnsiTheme="minorEastAsia" w:eastAsiaTheme="minorEastAsia"/>
          <w:b/>
          <w:color w:val="auto"/>
          <w:szCs w:val="21"/>
          <w:highlight w:val="none"/>
          <w:lang w:eastAsia="zh-CN"/>
        </w:rPr>
        <w:t>六、</w:t>
      </w:r>
      <w:r>
        <w:rPr>
          <w:rFonts w:hint="eastAsia" w:asciiTheme="minorEastAsia" w:hAnsiTheme="minorEastAsia" w:eastAsiaTheme="minorEastAsia"/>
          <w:color w:val="auto"/>
          <w:szCs w:val="21"/>
          <w:highlight w:val="none"/>
          <w:lang w:eastAsia="zh-CN"/>
        </w:rPr>
        <w:t>本协议书经双方盖章后生效。</w:t>
      </w:r>
    </w:p>
    <w:p>
      <w:pPr>
        <w:spacing w:line="550" w:lineRule="exact"/>
        <w:ind w:left="-526" w:leftChars="-239" w:firstLine="466" w:firstLineChars="211"/>
        <w:rPr>
          <w:rFonts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lang w:eastAsia="zh-CN"/>
        </w:rPr>
        <w:t>七、协议期限：</w:t>
      </w:r>
    </w:p>
    <w:p>
      <w:pPr>
        <w:spacing w:line="550" w:lineRule="exact"/>
        <w:ind w:left="-636" w:leftChars="-289" w:firstLine="550" w:firstLineChars="250"/>
        <w:rPr>
          <w:rFonts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本协议期限应与主合同期限一致。如果主合同因故需要变更期限，本合同应与主同变更至相同期限。</w:t>
      </w:r>
    </w:p>
    <w:p>
      <w:pPr>
        <w:spacing w:line="360" w:lineRule="auto"/>
        <w:ind w:left="-551" w:leftChars="-289" w:hanging="85" w:hangingChars="39"/>
        <w:rPr>
          <w:rFonts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（以下无正文）</w:t>
      </w:r>
    </w:p>
    <w:p>
      <w:pPr>
        <w:spacing w:line="276" w:lineRule="auto"/>
        <w:ind w:left="217" w:leftChars="11" w:hanging="193" w:hangingChars="88"/>
        <w:rPr>
          <w:color w:val="auto"/>
          <w:szCs w:val="21"/>
          <w:highlight w:val="none"/>
          <w:lang w:eastAsia="zh-CN"/>
        </w:rPr>
      </w:pPr>
    </w:p>
    <w:p>
      <w:pPr>
        <w:spacing w:line="276" w:lineRule="auto"/>
        <w:ind w:left="217" w:leftChars="11" w:hanging="193" w:hangingChars="88"/>
        <w:rPr>
          <w:color w:val="auto"/>
          <w:szCs w:val="21"/>
          <w:highlight w:val="none"/>
          <w:lang w:eastAsia="zh-CN"/>
        </w:rPr>
      </w:pPr>
      <w:r>
        <w:rPr>
          <w:rFonts w:hint="eastAsia"/>
          <w:color w:val="auto"/>
          <w:szCs w:val="21"/>
          <w:highlight w:val="none"/>
          <w:lang w:eastAsia="zh-CN"/>
        </w:rPr>
        <w:t>甲方 (章)：</w:t>
      </w:r>
      <w:r>
        <w:rPr>
          <w:rFonts w:hint="eastAsia" w:ascii="Times New Roman" w:hAnsi="Times New Roman" w:cs="Times New Roman"/>
          <w:bCs/>
          <w:color w:val="auto"/>
          <w:sz w:val="24"/>
          <w:szCs w:val="24"/>
          <w:highlight w:val="none"/>
          <w:lang w:eastAsia="zh-CN"/>
        </w:rPr>
        <w:t>翔鹭石化</w:t>
      </w:r>
      <w:r>
        <w:rPr>
          <w:rFonts w:ascii="Times New Roman" w:hAnsi="Times New Roman" w:cs="Times New Roman"/>
          <w:bCs/>
          <w:color w:val="auto"/>
          <w:sz w:val="24"/>
          <w:szCs w:val="24"/>
          <w:highlight w:val="none"/>
          <w:lang w:eastAsia="zh-CN"/>
        </w:rPr>
        <w:t>（漳州）有限公司</w:t>
      </w:r>
      <w:r>
        <w:rPr>
          <w:rFonts w:hint="eastAsia"/>
          <w:color w:val="auto"/>
          <w:szCs w:val="21"/>
          <w:highlight w:val="none"/>
          <w:lang w:eastAsia="zh-CN"/>
        </w:rPr>
        <w:t xml:space="preserve">   乙方(章)：</w:t>
      </w:r>
    </w:p>
    <w:p>
      <w:pPr>
        <w:spacing w:line="276" w:lineRule="auto"/>
        <w:ind w:left="217" w:leftChars="11" w:hanging="193" w:hangingChars="88"/>
        <w:rPr>
          <w:color w:val="auto"/>
          <w:szCs w:val="21"/>
          <w:highlight w:val="none"/>
          <w:lang w:eastAsia="zh-CN"/>
        </w:rPr>
      </w:pPr>
    </w:p>
    <w:p>
      <w:pPr>
        <w:spacing w:line="276" w:lineRule="auto"/>
        <w:ind w:left="217" w:leftChars="11" w:hanging="193" w:hangingChars="88"/>
        <w:rPr>
          <w:color w:val="auto"/>
          <w:szCs w:val="21"/>
          <w:highlight w:val="none"/>
          <w:lang w:eastAsia="zh-CN"/>
        </w:rPr>
      </w:pPr>
      <w:r>
        <w:rPr>
          <w:rFonts w:hint="eastAsia"/>
          <w:color w:val="auto"/>
          <w:szCs w:val="21"/>
          <w:highlight w:val="none"/>
          <w:lang w:eastAsia="zh-CN"/>
        </w:rPr>
        <w:t>法人代表:                               法人代表:</w:t>
      </w:r>
    </w:p>
    <w:p>
      <w:pPr>
        <w:spacing w:line="276" w:lineRule="auto"/>
        <w:ind w:left="217" w:leftChars="11" w:hanging="193" w:hangingChars="88"/>
        <w:rPr>
          <w:color w:val="auto"/>
          <w:szCs w:val="21"/>
          <w:highlight w:val="none"/>
          <w:lang w:eastAsia="zh-CN"/>
        </w:rPr>
      </w:pPr>
    </w:p>
    <w:p>
      <w:pPr>
        <w:spacing w:line="276" w:lineRule="auto"/>
        <w:ind w:left="217" w:leftChars="11" w:hanging="193" w:hangingChars="88"/>
        <w:rPr>
          <w:color w:val="auto"/>
          <w:szCs w:val="21"/>
          <w:highlight w:val="none"/>
          <w:lang w:eastAsia="zh-CN"/>
        </w:rPr>
      </w:pPr>
      <w:r>
        <w:rPr>
          <w:rFonts w:hint="eastAsia"/>
          <w:color w:val="auto"/>
          <w:szCs w:val="21"/>
          <w:highlight w:val="none"/>
          <w:lang w:eastAsia="zh-CN"/>
        </w:rPr>
        <w:t>法人委托代理人 :                       法人委托代理人:</w:t>
      </w:r>
    </w:p>
    <w:p>
      <w:pPr>
        <w:spacing w:line="276" w:lineRule="auto"/>
        <w:ind w:left="217" w:leftChars="11" w:hanging="193" w:hangingChars="88"/>
        <w:rPr>
          <w:color w:val="auto"/>
          <w:szCs w:val="21"/>
          <w:highlight w:val="none"/>
          <w:lang w:eastAsia="zh-CN"/>
        </w:rPr>
      </w:pPr>
      <w:r>
        <w:rPr>
          <w:rFonts w:hint="eastAsia"/>
          <w:color w:val="auto"/>
          <w:szCs w:val="21"/>
          <w:highlight w:val="none"/>
          <w:lang w:eastAsia="zh-CN"/>
        </w:rPr>
        <w:t>签定日期：    年    月    日             年    月    日</w:t>
      </w:r>
    </w:p>
    <w:p>
      <w:pPr>
        <w:rPr>
          <w:color w:val="auto"/>
          <w:highlight w:val="none"/>
          <w:lang w:eastAsia="zh-CN"/>
        </w:rPr>
      </w:pPr>
    </w:p>
    <w:p>
      <w:pPr>
        <w:pStyle w:val="2"/>
        <w:rPr>
          <w:b/>
          <w:bCs/>
          <w:color w:val="auto"/>
          <w:sz w:val="24"/>
          <w:szCs w:val="24"/>
          <w:highlight w:val="none"/>
        </w:rPr>
      </w:pPr>
      <w:bookmarkStart w:id="12" w:name="_Toc251742852"/>
      <w:r>
        <w:rPr>
          <w:rFonts w:hint="eastAsia"/>
          <w:b/>
          <w:bCs/>
          <w:color w:val="auto"/>
          <w:sz w:val="24"/>
          <w:szCs w:val="24"/>
          <w:highlight w:val="none"/>
        </w:rPr>
        <w:t>附件二   参选文件范本</w:t>
      </w:r>
    </w:p>
    <w:p>
      <w:pPr>
        <w:pStyle w:val="23"/>
        <w:jc w:val="center"/>
        <w:rPr>
          <w:rFonts w:ascii="Times New Roman" w:hAnsi="Times New Roman"/>
          <w:b/>
          <w:color w:val="auto"/>
          <w:sz w:val="52"/>
          <w:szCs w:val="52"/>
          <w:highlight w:val="none"/>
          <w:lang w:eastAsia="zh-CN"/>
        </w:rPr>
      </w:pPr>
    </w:p>
    <w:p>
      <w:pPr>
        <w:pStyle w:val="23"/>
        <w:spacing w:line="615" w:lineRule="exact"/>
        <w:jc w:val="center"/>
        <w:rPr>
          <w:rFonts w:ascii="方正小标宋简体" w:hAnsi="方正小标宋简体" w:eastAsia="方正小标宋简体" w:cs="方正小标宋简体"/>
          <w:b/>
          <w:color w:val="auto"/>
          <w:sz w:val="36"/>
          <w:szCs w:val="36"/>
          <w:highlight w:val="none"/>
          <w:lang w:eastAsia="zh-CN"/>
        </w:rPr>
      </w:pPr>
      <w:r>
        <w:rPr>
          <w:rFonts w:hint="eastAsia" w:ascii="方正小标宋简体" w:hAnsi="方正小标宋简体" w:eastAsia="方正小标宋简体" w:cs="方正小标宋简体"/>
          <w:b/>
          <w:color w:val="auto"/>
          <w:sz w:val="36"/>
          <w:szCs w:val="36"/>
          <w:highlight w:val="none"/>
          <w:lang w:eastAsia="zh-CN"/>
        </w:rPr>
        <w:t>福建福海创石油化工有限公司</w:t>
      </w:r>
    </w:p>
    <w:p>
      <w:pPr>
        <w:pStyle w:val="23"/>
        <w:spacing w:line="615" w:lineRule="exact"/>
        <w:jc w:val="center"/>
        <w:rPr>
          <w:rFonts w:ascii="方正小标宋简体" w:hAnsi="方正小标宋简体" w:eastAsia="方正小标宋简体" w:cs="方正小标宋简体"/>
          <w:b/>
          <w:color w:val="auto"/>
          <w:sz w:val="44"/>
          <w:szCs w:val="44"/>
          <w:highlight w:val="none"/>
          <w:lang w:eastAsia="zh-CN"/>
        </w:rPr>
      </w:pPr>
    </w:p>
    <w:p>
      <w:pPr>
        <w:spacing w:before="38"/>
        <w:ind w:left="172"/>
        <w:jc w:val="center"/>
        <w:rPr>
          <w:rFonts w:ascii="微软雅黑" w:eastAsia="微软雅黑"/>
          <w:b/>
          <w:color w:val="auto"/>
          <w:sz w:val="36"/>
          <w:szCs w:val="36"/>
          <w:highlight w:val="none"/>
          <w:u w:val="single"/>
          <w:lang w:eastAsia="zh-CN"/>
        </w:rPr>
      </w:pPr>
      <w:r>
        <w:rPr>
          <w:rFonts w:hint="eastAsia" w:ascii="微软雅黑" w:eastAsia="微软雅黑"/>
          <w:b/>
          <w:color w:val="auto"/>
          <w:sz w:val="36"/>
          <w:szCs w:val="36"/>
          <w:highlight w:val="none"/>
          <w:u w:val="single"/>
          <w:lang w:eastAsia="zh-CN"/>
        </w:rPr>
        <w:t>翔鹭石化(漳州)有限公司</w:t>
      </w:r>
    </w:p>
    <w:p>
      <w:pPr>
        <w:spacing w:before="38"/>
        <w:ind w:left="172"/>
        <w:jc w:val="center"/>
        <w:rPr>
          <w:rFonts w:ascii="微软雅黑" w:eastAsia="微软雅黑"/>
          <w:b/>
          <w:color w:val="auto"/>
          <w:sz w:val="36"/>
          <w:szCs w:val="36"/>
          <w:highlight w:val="none"/>
          <w:u w:val="single"/>
          <w:lang w:eastAsia="zh-CN"/>
        </w:rPr>
      </w:pPr>
      <w:r>
        <w:rPr>
          <w:rFonts w:hint="eastAsia" w:ascii="微软雅黑" w:eastAsia="微软雅黑"/>
          <w:b/>
          <w:color w:val="auto"/>
          <w:sz w:val="36"/>
          <w:szCs w:val="36"/>
          <w:highlight w:val="none"/>
          <w:u w:val="single"/>
          <w:lang w:eastAsia="zh-CN"/>
        </w:rPr>
        <w:t>海水取水工程2024年度生态补偿增殖放流项目</w:t>
      </w:r>
    </w:p>
    <w:p>
      <w:pPr>
        <w:spacing w:before="38"/>
        <w:ind w:left="172"/>
        <w:jc w:val="center"/>
        <w:rPr>
          <w:rFonts w:ascii="微软雅黑" w:eastAsia="微软雅黑"/>
          <w:b/>
          <w:color w:val="auto"/>
          <w:sz w:val="36"/>
          <w:szCs w:val="36"/>
          <w:highlight w:val="none"/>
          <w:u w:val="single"/>
          <w:lang w:eastAsia="zh-CN"/>
        </w:rPr>
      </w:pPr>
    </w:p>
    <w:p>
      <w:pPr>
        <w:spacing w:line="1000" w:lineRule="exact"/>
        <w:jc w:val="center"/>
        <w:rPr>
          <w:b/>
          <w:color w:val="auto"/>
          <w:sz w:val="44"/>
          <w:szCs w:val="44"/>
          <w:highlight w:val="none"/>
          <w:lang w:eastAsia="zh-CN"/>
        </w:rPr>
      </w:pPr>
    </w:p>
    <w:p>
      <w:pPr>
        <w:spacing w:line="1000" w:lineRule="exact"/>
        <w:jc w:val="center"/>
        <w:rPr>
          <w:b/>
          <w:color w:val="auto"/>
          <w:sz w:val="44"/>
          <w:szCs w:val="44"/>
          <w:highlight w:val="none"/>
          <w:lang w:eastAsia="zh-CN"/>
        </w:rPr>
      </w:pPr>
    </w:p>
    <w:p>
      <w:pPr>
        <w:spacing w:line="1000" w:lineRule="exact"/>
        <w:jc w:val="center"/>
        <w:rPr>
          <w:b/>
          <w:color w:val="auto"/>
          <w:sz w:val="44"/>
          <w:szCs w:val="44"/>
          <w:highlight w:val="none"/>
          <w:lang w:eastAsia="zh-CN"/>
        </w:rPr>
      </w:pPr>
      <w:r>
        <w:rPr>
          <w:rFonts w:hint="eastAsia"/>
          <w:b/>
          <w:color w:val="auto"/>
          <w:sz w:val="44"/>
          <w:szCs w:val="44"/>
          <w:highlight w:val="none"/>
          <w:lang w:eastAsia="zh-CN"/>
        </w:rPr>
        <w:t>参选</w:t>
      </w:r>
      <w:r>
        <w:rPr>
          <w:b/>
          <w:color w:val="auto"/>
          <w:sz w:val="44"/>
          <w:szCs w:val="44"/>
          <w:highlight w:val="none"/>
          <w:lang w:eastAsia="zh-CN"/>
        </w:rPr>
        <w:t>文件</w:t>
      </w:r>
    </w:p>
    <w:p>
      <w:pPr>
        <w:pStyle w:val="2"/>
        <w:rPr>
          <w:color w:val="auto"/>
          <w:highlight w:val="none"/>
        </w:rPr>
      </w:pPr>
    </w:p>
    <w:p>
      <w:pPr>
        <w:pStyle w:val="23"/>
        <w:rPr>
          <w:rFonts w:ascii="Times New Roman" w:hAnsi="Times New Roman"/>
          <w:color w:val="auto"/>
          <w:highlight w:val="none"/>
          <w:lang w:eastAsia="zh-CN"/>
        </w:rPr>
      </w:pPr>
    </w:p>
    <w:p>
      <w:pPr>
        <w:pStyle w:val="23"/>
        <w:rPr>
          <w:rFonts w:ascii="Times New Roman" w:hAnsi="Times New Roman"/>
          <w:color w:val="auto"/>
          <w:highlight w:val="none"/>
          <w:lang w:eastAsia="zh-CN"/>
        </w:rPr>
      </w:pPr>
    </w:p>
    <w:p>
      <w:pPr>
        <w:pStyle w:val="23"/>
        <w:rPr>
          <w:rFonts w:ascii="Times New Roman" w:hAnsi="Times New Roman"/>
          <w:color w:val="auto"/>
          <w:highlight w:val="none"/>
          <w:lang w:eastAsia="zh-CN"/>
        </w:rPr>
      </w:pPr>
    </w:p>
    <w:p>
      <w:pPr>
        <w:pStyle w:val="23"/>
        <w:rPr>
          <w:rFonts w:ascii="Times New Roman" w:hAnsi="Times New Roman"/>
          <w:color w:val="auto"/>
          <w:highlight w:val="none"/>
          <w:lang w:eastAsia="zh-CN"/>
        </w:rPr>
      </w:pPr>
    </w:p>
    <w:p>
      <w:pPr>
        <w:pStyle w:val="23"/>
        <w:rPr>
          <w:rFonts w:ascii="Times New Roman" w:hAnsi="Times New Roman"/>
          <w:color w:val="auto"/>
          <w:highlight w:val="none"/>
          <w:lang w:eastAsia="zh-CN"/>
        </w:rPr>
      </w:pPr>
    </w:p>
    <w:p>
      <w:pPr>
        <w:pStyle w:val="23"/>
        <w:rPr>
          <w:rFonts w:ascii="Times New Roman" w:hAnsi="Times New Roman"/>
          <w:b/>
          <w:bCs/>
          <w:color w:val="auto"/>
          <w:sz w:val="32"/>
          <w:szCs w:val="32"/>
          <w:highlight w:val="none"/>
          <w:lang w:eastAsia="zh-CN"/>
        </w:rPr>
      </w:pPr>
    </w:p>
    <w:p>
      <w:pPr>
        <w:pStyle w:val="23"/>
        <w:rPr>
          <w:rFonts w:ascii="Times New Roman" w:hAnsi="Times New Roman"/>
          <w:b/>
          <w:bCs/>
          <w:color w:val="auto"/>
          <w:sz w:val="32"/>
          <w:szCs w:val="32"/>
          <w:highlight w:val="none"/>
          <w:lang w:eastAsia="zh-CN"/>
        </w:rPr>
      </w:pPr>
    </w:p>
    <w:p>
      <w:pPr>
        <w:pStyle w:val="23"/>
        <w:rPr>
          <w:rFonts w:ascii="Times New Roman" w:hAnsi="Times New Roman"/>
          <w:b/>
          <w:bCs/>
          <w:color w:val="auto"/>
          <w:sz w:val="32"/>
          <w:szCs w:val="32"/>
          <w:highlight w:val="none"/>
          <w:lang w:eastAsia="zh-CN"/>
        </w:rPr>
      </w:pPr>
    </w:p>
    <w:p>
      <w:pPr>
        <w:pStyle w:val="23"/>
        <w:rPr>
          <w:rFonts w:ascii="Times New Roman" w:hAnsi="Times New Roman"/>
          <w:b/>
          <w:bCs/>
          <w:color w:val="auto"/>
          <w:sz w:val="32"/>
          <w:szCs w:val="36"/>
          <w:highlight w:val="none"/>
          <w:lang w:eastAsia="zh-CN"/>
        </w:rPr>
      </w:pPr>
    </w:p>
    <w:p>
      <w:pPr>
        <w:pStyle w:val="23"/>
        <w:jc w:val="center"/>
        <w:rPr>
          <w:rFonts w:ascii="Times New Roman" w:hAnsi="Times New Roman"/>
          <w:b/>
          <w:bCs/>
          <w:color w:val="auto"/>
          <w:sz w:val="32"/>
          <w:szCs w:val="32"/>
          <w:highlight w:val="none"/>
          <w:lang w:eastAsia="zh-CN"/>
        </w:rPr>
      </w:pPr>
      <w:r>
        <w:rPr>
          <w:rFonts w:hint="eastAsia" w:ascii="Times New Roman" w:hAnsi="Times New Roman"/>
          <w:b/>
          <w:bCs/>
          <w:color w:val="auto"/>
          <w:w w:val="95"/>
          <w:sz w:val="32"/>
          <w:szCs w:val="32"/>
          <w:highlight w:val="none"/>
          <w:lang w:eastAsia="zh-CN"/>
        </w:rPr>
        <w:t>参选</w:t>
      </w:r>
      <w:r>
        <w:rPr>
          <w:rFonts w:ascii="Times New Roman" w:hAnsi="Times New Roman"/>
          <w:b/>
          <w:bCs/>
          <w:color w:val="auto"/>
          <w:w w:val="95"/>
          <w:sz w:val="32"/>
          <w:szCs w:val="32"/>
          <w:highlight w:val="none"/>
          <w:lang w:eastAsia="zh-CN"/>
        </w:rPr>
        <w:t>人：</w:t>
      </w:r>
      <w:r>
        <w:rPr>
          <w:rFonts w:hint="eastAsia" w:ascii="Times New Roman" w:hAnsi="Times New Roman"/>
          <w:b/>
          <w:bCs/>
          <w:i/>
          <w:iCs/>
          <w:color w:val="auto"/>
          <w:sz w:val="32"/>
          <w:szCs w:val="32"/>
          <w:highlight w:val="none"/>
          <w:lang w:eastAsia="zh-CN"/>
        </w:rPr>
        <w:t xml:space="preserve"> </w:t>
      </w:r>
      <w:r>
        <w:rPr>
          <w:rFonts w:hint="eastAsia" w:ascii="Times New Roman" w:hAnsi="Times New Roman"/>
          <w:b/>
          <w:bCs/>
          <w:i/>
          <w:iCs/>
          <w:color w:val="auto"/>
          <w:sz w:val="32"/>
          <w:szCs w:val="32"/>
          <w:highlight w:val="none"/>
          <w:u w:val="single"/>
          <w:lang w:eastAsia="zh-CN"/>
        </w:rPr>
        <w:t>（打印时请取消下划线）</w:t>
      </w:r>
      <w:r>
        <w:rPr>
          <w:rFonts w:hint="eastAsia" w:ascii="Times New Roman" w:hAnsi="Times New Roman"/>
          <w:b/>
          <w:bCs/>
          <w:color w:val="auto"/>
          <w:sz w:val="32"/>
          <w:szCs w:val="32"/>
          <w:highlight w:val="none"/>
          <w:lang w:eastAsia="zh-CN"/>
        </w:rPr>
        <w:t>有限公司</w:t>
      </w:r>
    </w:p>
    <w:p>
      <w:pPr>
        <w:pStyle w:val="23"/>
        <w:jc w:val="center"/>
        <w:rPr>
          <w:rFonts w:ascii="Times New Roman" w:hAnsi="Times New Roman"/>
          <w:b/>
          <w:bCs/>
          <w:color w:val="auto"/>
          <w:w w:val="95"/>
          <w:sz w:val="32"/>
          <w:highlight w:val="none"/>
          <w:lang w:eastAsia="zh-CN"/>
        </w:rPr>
      </w:pPr>
      <w:r>
        <w:rPr>
          <w:rFonts w:hint="eastAsia" w:ascii="Times New Roman" w:hAnsi="Times New Roman"/>
          <w:b/>
          <w:bCs/>
          <w:color w:val="auto"/>
          <w:w w:val="95"/>
          <w:sz w:val="32"/>
          <w:highlight w:val="none"/>
          <w:lang w:eastAsia="zh-CN"/>
        </w:rPr>
        <w:t xml:space="preserve"> 2024</w:t>
      </w:r>
      <w:r>
        <w:rPr>
          <w:rFonts w:ascii="Times New Roman" w:hAnsi="Times New Roman"/>
          <w:b/>
          <w:bCs/>
          <w:color w:val="auto"/>
          <w:w w:val="95"/>
          <w:sz w:val="32"/>
          <w:highlight w:val="none"/>
          <w:lang w:eastAsia="zh-CN"/>
        </w:rPr>
        <w:t>年</w:t>
      </w:r>
      <w:r>
        <w:rPr>
          <w:rFonts w:hint="eastAsia" w:ascii="Times New Roman" w:hAnsi="Times New Roman"/>
          <w:b/>
          <w:bCs/>
          <w:color w:val="auto"/>
          <w:w w:val="95"/>
          <w:sz w:val="32"/>
          <w:highlight w:val="none"/>
          <w:lang w:eastAsia="zh-CN"/>
        </w:rPr>
        <w:t>5</w:t>
      </w:r>
      <w:r>
        <w:rPr>
          <w:rFonts w:ascii="Times New Roman" w:hAnsi="Times New Roman"/>
          <w:b/>
          <w:bCs/>
          <w:color w:val="auto"/>
          <w:w w:val="95"/>
          <w:sz w:val="32"/>
          <w:highlight w:val="none"/>
          <w:lang w:eastAsia="zh-CN"/>
        </w:rPr>
        <w:t>月</w:t>
      </w:r>
    </w:p>
    <w:p>
      <w:pPr>
        <w:rPr>
          <w:color w:val="auto"/>
          <w:highlight w:val="none"/>
          <w:lang w:eastAsia="zh-CN"/>
        </w:rPr>
      </w:pPr>
    </w:p>
    <w:p>
      <w:pPr>
        <w:pStyle w:val="2"/>
        <w:rPr>
          <w:color w:val="auto"/>
          <w:highlight w:val="none"/>
        </w:rPr>
      </w:pPr>
    </w:p>
    <w:p>
      <w:pPr>
        <w:spacing w:line="500" w:lineRule="exact"/>
        <w:rPr>
          <w:b/>
          <w:bCs/>
          <w:color w:val="auto"/>
          <w:sz w:val="36"/>
          <w:szCs w:val="36"/>
          <w:highlight w:val="none"/>
          <w:lang w:eastAsia="zh-CN"/>
        </w:rPr>
      </w:pPr>
    </w:p>
    <w:p>
      <w:pPr>
        <w:spacing w:line="1000" w:lineRule="exact"/>
        <w:jc w:val="center"/>
        <w:rPr>
          <w:b/>
          <w:i/>
          <w:iCs/>
          <w:color w:val="auto"/>
          <w:sz w:val="44"/>
          <w:szCs w:val="44"/>
          <w:highlight w:val="none"/>
          <w:lang w:eastAsia="zh-CN"/>
        </w:rPr>
      </w:pPr>
      <w:r>
        <w:rPr>
          <w:rFonts w:hint="eastAsia"/>
          <w:b/>
          <w:i/>
          <w:iCs/>
          <w:color w:val="auto"/>
          <w:sz w:val="44"/>
          <w:szCs w:val="44"/>
          <w:highlight w:val="none"/>
          <w:lang w:eastAsia="zh-CN"/>
        </w:rPr>
        <w:t>参选文件编写说明</w:t>
      </w:r>
    </w:p>
    <w:p>
      <w:pPr>
        <w:spacing w:line="1000" w:lineRule="exact"/>
        <w:jc w:val="center"/>
        <w:rPr>
          <w:b/>
          <w:i/>
          <w:iCs/>
          <w:color w:val="auto"/>
          <w:sz w:val="44"/>
          <w:szCs w:val="44"/>
          <w:highlight w:val="none"/>
          <w:u w:val="double"/>
          <w:lang w:eastAsia="zh-CN"/>
        </w:rPr>
      </w:pPr>
      <w:r>
        <w:rPr>
          <w:rFonts w:hint="eastAsia"/>
          <w:b/>
          <w:i/>
          <w:iCs/>
          <w:color w:val="auto"/>
          <w:sz w:val="44"/>
          <w:szCs w:val="44"/>
          <w:highlight w:val="none"/>
          <w:u w:val="double"/>
          <w:lang w:eastAsia="zh-CN"/>
        </w:rPr>
        <w:t>（本页无须打印）</w:t>
      </w:r>
    </w:p>
    <w:p>
      <w:pPr>
        <w:pStyle w:val="2"/>
        <w:rPr>
          <w:color w:val="auto"/>
          <w:highlight w:val="none"/>
        </w:rPr>
      </w:pPr>
    </w:p>
    <w:p>
      <w:pPr>
        <w:pStyle w:val="53"/>
        <w:spacing w:beforeLines="0" w:afterLines="0" w:line="240" w:lineRule="auto"/>
        <w:ind w:firstLine="618" w:firstLineChars="221"/>
        <w:rPr>
          <w:rFonts w:cs="Times New Roman"/>
          <w:bCs w:val="0"/>
          <w:color w:val="auto"/>
          <w:highlight w:val="none"/>
          <w:lang w:eastAsia="zh-CN"/>
        </w:rPr>
      </w:pPr>
      <w:r>
        <w:rPr>
          <w:rFonts w:hint="eastAsia" w:cs="Times New Roman"/>
          <w:bCs w:val="0"/>
          <w:color w:val="auto"/>
          <w:highlight w:val="none"/>
          <w:lang w:eastAsia="zh-CN"/>
        </w:rPr>
        <w:t>1、参选人应按规定，向比选人递交参选文件，</w:t>
      </w:r>
      <w:r>
        <w:rPr>
          <w:rFonts w:hint="eastAsia" w:cs="Times New Roman"/>
          <w:b/>
          <w:color w:val="auto"/>
          <w:highlight w:val="none"/>
          <w:lang w:eastAsia="zh-CN"/>
        </w:rPr>
        <w:t>正本一份、副本两份</w:t>
      </w:r>
      <w:r>
        <w:rPr>
          <w:rFonts w:hint="eastAsia" w:cs="Times New Roman"/>
          <w:bCs w:val="0"/>
          <w:color w:val="auto"/>
          <w:highlight w:val="none"/>
          <w:lang w:eastAsia="zh-CN"/>
        </w:rPr>
        <w:t>，当正本与副本有不一致时，以正本为准。</w:t>
      </w:r>
    </w:p>
    <w:p>
      <w:pPr>
        <w:pStyle w:val="53"/>
        <w:spacing w:beforeLines="0" w:afterLines="0" w:line="240" w:lineRule="auto"/>
        <w:ind w:firstLine="618" w:firstLineChars="221"/>
        <w:rPr>
          <w:rFonts w:cs="Times New Roman"/>
          <w:bCs w:val="0"/>
          <w:color w:val="auto"/>
          <w:highlight w:val="none"/>
          <w:lang w:eastAsia="zh-CN"/>
        </w:rPr>
      </w:pPr>
      <w:r>
        <w:rPr>
          <w:rFonts w:hint="eastAsia" w:cs="Times New Roman"/>
          <w:bCs w:val="0"/>
          <w:color w:val="auto"/>
          <w:highlight w:val="none"/>
          <w:lang w:eastAsia="zh-CN"/>
        </w:rPr>
        <w:t>2、参选文件的正本和副本均需A4纸打印或用不褪色墨水书写，由参选人的法定代表人或其授权的代理人按规定</w:t>
      </w:r>
      <w:r>
        <w:rPr>
          <w:rFonts w:hint="eastAsia" w:cs="Times New Roman"/>
          <w:b/>
          <w:color w:val="auto"/>
          <w:highlight w:val="none"/>
          <w:lang w:eastAsia="zh-CN"/>
        </w:rPr>
        <w:t>手签，不得用签名章代替</w:t>
      </w:r>
      <w:r>
        <w:rPr>
          <w:rFonts w:hint="eastAsia" w:cs="Times New Roman"/>
          <w:bCs w:val="0"/>
          <w:color w:val="auto"/>
          <w:highlight w:val="none"/>
          <w:lang w:eastAsia="zh-CN"/>
        </w:rPr>
        <w:t>。</w:t>
      </w:r>
    </w:p>
    <w:p>
      <w:pPr>
        <w:pStyle w:val="53"/>
        <w:spacing w:beforeLines="0" w:afterLines="0" w:line="240" w:lineRule="auto"/>
        <w:rPr>
          <w:rFonts w:cs="Times New Roman"/>
          <w:bCs w:val="0"/>
          <w:color w:val="auto"/>
          <w:highlight w:val="none"/>
          <w:lang w:eastAsia="zh-CN"/>
        </w:rPr>
      </w:pPr>
      <w:r>
        <w:rPr>
          <w:rFonts w:hint="eastAsia" w:cs="Times New Roman"/>
          <w:bCs w:val="0"/>
          <w:color w:val="auto"/>
          <w:highlight w:val="none"/>
          <w:lang w:eastAsia="zh-CN"/>
        </w:rPr>
        <w:t>3、参选文件的任何一页都不应涂改，不应有行间插字或删除。如果出现上述情况，不论何种原因造成，均由参选文件签字人在改动处签字或盖法人章。</w:t>
      </w:r>
    </w:p>
    <w:p>
      <w:pPr>
        <w:pStyle w:val="53"/>
        <w:spacing w:beforeLines="0" w:afterLines="0" w:line="240" w:lineRule="auto"/>
        <w:rPr>
          <w:rFonts w:cs="Times New Roman"/>
          <w:b/>
          <w:color w:val="auto"/>
          <w:highlight w:val="none"/>
          <w:lang w:eastAsia="zh-CN"/>
        </w:rPr>
      </w:pPr>
      <w:r>
        <w:rPr>
          <w:rFonts w:hint="eastAsia" w:cs="Times New Roman"/>
          <w:bCs w:val="0"/>
          <w:color w:val="auto"/>
          <w:highlight w:val="none"/>
          <w:lang w:eastAsia="zh-CN"/>
        </w:rPr>
        <w:t>4、每包参选文件的正本与副本应分别装订成册，不得采用活页夹，</w:t>
      </w:r>
      <w:r>
        <w:rPr>
          <w:rFonts w:hint="eastAsia" w:cs="Times New Roman"/>
          <w:b/>
          <w:color w:val="auto"/>
          <w:highlight w:val="none"/>
          <w:lang w:eastAsia="zh-CN"/>
        </w:rPr>
        <w:t>必须装订，否则为无效参选文件。参选文件应编制目录，并且逐页标注连续页码。</w:t>
      </w:r>
    </w:p>
    <w:p>
      <w:pPr>
        <w:pStyle w:val="53"/>
        <w:spacing w:beforeLines="0" w:afterLines="0" w:line="240" w:lineRule="auto"/>
        <w:ind w:firstLine="618" w:firstLineChars="221"/>
        <w:rPr>
          <w:rFonts w:cs="Times New Roman"/>
          <w:bCs w:val="0"/>
          <w:color w:val="auto"/>
          <w:highlight w:val="none"/>
          <w:lang w:eastAsia="zh-CN"/>
        </w:rPr>
      </w:pPr>
      <w:r>
        <w:rPr>
          <w:rFonts w:hint="eastAsia" w:cs="Times New Roman"/>
          <w:bCs w:val="0"/>
          <w:color w:val="auto"/>
          <w:highlight w:val="none"/>
          <w:lang w:eastAsia="zh-CN"/>
        </w:rPr>
        <w:t>5、以下文件中</w:t>
      </w:r>
      <w:r>
        <w:rPr>
          <w:rFonts w:hint="eastAsia" w:cs="Times New Roman"/>
          <w:b/>
          <w:color w:val="auto"/>
          <w:highlight w:val="none"/>
          <w:lang w:eastAsia="zh-CN"/>
        </w:rPr>
        <w:t>绿色</w:t>
      </w:r>
      <w:r>
        <w:rPr>
          <w:rFonts w:hint="eastAsia" w:cs="Times New Roman"/>
          <w:bCs w:val="0"/>
          <w:color w:val="auto"/>
          <w:highlight w:val="none"/>
          <w:lang w:eastAsia="zh-CN"/>
        </w:rPr>
        <w:t>字体部分，请各参选单位根据实际情况填写后，修改为</w:t>
      </w:r>
      <w:r>
        <w:rPr>
          <w:rFonts w:hint="eastAsia" w:cs="Times New Roman"/>
          <w:b/>
          <w:color w:val="auto"/>
          <w:highlight w:val="none"/>
          <w:lang w:eastAsia="zh-CN"/>
        </w:rPr>
        <w:t>黑色（不加粗）</w:t>
      </w:r>
      <w:r>
        <w:rPr>
          <w:rFonts w:hint="eastAsia" w:cs="Times New Roman"/>
          <w:bCs w:val="0"/>
          <w:color w:val="auto"/>
          <w:highlight w:val="none"/>
          <w:lang w:eastAsia="zh-CN"/>
        </w:rPr>
        <w:t>字体打印。目录页码请根据实际情况编写。</w:t>
      </w:r>
    </w:p>
    <w:p>
      <w:pPr>
        <w:pStyle w:val="53"/>
        <w:spacing w:beforeLines="0" w:afterLines="0" w:line="240" w:lineRule="auto"/>
        <w:ind w:firstLine="621" w:firstLineChars="221"/>
        <w:rPr>
          <w:rFonts w:cs="Times New Roman"/>
          <w:b/>
          <w:color w:val="auto"/>
          <w:highlight w:val="none"/>
          <w:lang w:eastAsia="zh-CN"/>
        </w:rPr>
      </w:pPr>
      <w:r>
        <w:rPr>
          <w:rFonts w:hint="eastAsia" w:cs="Times New Roman"/>
          <w:b/>
          <w:color w:val="auto"/>
          <w:highlight w:val="none"/>
          <w:lang w:eastAsia="zh-CN"/>
        </w:rPr>
        <w:t>6、以下文件中红色字体部分，打印时请删除。</w:t>
      </w:r>
    </w:p>
    <w:p>
      <w:pPr>
        <w:spacing w:line="1000" w:lineRule="exact"/>
        <w:jc w:val="center"/>
        <w:rPr>
          <w:b/>
          <w:color w:val="auto"/>
          <w:sz w:val="44"/>
          <w:szCs w:val="44"/>
          <w:highlight w:val="none"/>
          <w:lang w:eastAsia="zh-CN"/>
        </w:rPr>
      </w:pPr>
    </w:p>
    <w:p>
      <w:pPr>
        <w:pStyle w:val="2"/>
        <w:rPr>
          <w:color w:val="auto"/>
          <w:highlight w:val="none"/>
        </w:rPr>
      </w:pPr>
    </w:p>
    <w:bookmarkEnd w:id="12"/>
    <w:p>
      <w:pPr>
        <w:spacing w:before="11" w:line="360" w:lineRule="auto"/>
        <w:rPr>
          <w:b/>
          <w:bCs/>
          <w:color w:val="auto"/>
          <w:sz w:val="24"/>
          <w:szCs w:val="24"/>
          <w:highlight w:val="none"/>
          <w:lang w:eastAsia="zh-CN"/>
        </w:rPr>
      </w:pPr>
    </w:p>
    <w:p>
      <w:pPr>
        <w:pStyle w:val="2"/>
        <w:rPr>
          <w:color w:val="auto"/>
          <w:sz w:val="24"/>
          <w:szCs w:val="24"/>
          <w:highlight w:val="none"/>
        </w:rPr>
      </w:pPr>
    </w:p>
    <w:p>
      <w:pPr>
        <w:pStyle w:val="2"/>
        <w:rPr>
          <w:color w:val="auto"/>
          <w:sz w:val="24"/>
          <w:szCs w:val="24"/>
          <w:highlight w:val="none"/>
        </w:rPr>
      </w:pPr>
      <w:r>
        <w:rPr>
          <w:rFonts w:hint="eastAsia"/>
          <w:color w:val="auto"/>
          <w:sz w:val="24"/>
          <w:szCs w:val="24"/>
          <w:highlight w:val="none"/>
        </w:rPr>
        <w:t>附件1、</w:t>
      </w:r>
    </w:p>
    <w:p>
      <w:pPr>
        <w:pStyle w:val="23"/>
        <w:jc w:val="center"/>
        <w:rPr>
          <w:rFonts w:ascii="Times New Roman" w:hAnsi="Times New Roman"/>
          <w:b/>
          <w:color w:val="auto"/>
          <w:sz w:val="52"/>
          <w:szCs w:val="52"/>
          <w:highlight w:val="none"/>
          <w:lang w:eastAsia="zh-CN"/>
        </w:rPr>
      </w:pP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color w:val="auto"/>
          <w:sz w:val="24"/>
          <w:szCs w:val="24"/>
          <w:highlight w:val="none"/>
        </w:rPr>
      </w:pPr>
      <w:r>
        <w:rPr>
          <w:rFonts w:hint="eastAsia"/>
          <w:color w:val="auto"/>
          <w:sz w:val="24"/>
          <w:szCs w:val="24"/>
          <w:highlight w:val="none"/>
        </w:rPr>
        <w:t xml:space="preserve">    </w:t>
      </w:r>
    </w:p>
    <w:p>
      <w:pPr>
        <w:spacing w:line="360" w:lineRule="auto"/>
        <w:rPr>
          <w:color w:val="auto"/>
          <w:sz w:val="24"/>
          <w:szCs w:val="24"/>
          <w:highlight w:val="none"/>
          <w:lang w:eastAsia="zh-CN"/>
        </w:rPr>
      </w:pPr>
    </w:p>
    <w:p>
      <w:pPr>
        <w:spacing w:line="520" w:lineRule="exact"/>
        <w:rPr>
          <w:i/>
          <w:color w:val="auto"/>
          <w:sz w:val="28"/>
          <w:szCs w:val="28"/>
          <w:highlight w:val="none"/>
          <w:lang w:eastAsia="zh-CN"/>
        </w:rPr>
      </w:pPr>
      <w:r>
        <w:rPr>
          <w:rFonts w:hint="eastAsia"/>
          <w:i/>
          <w:color w:val="auto"/>
          <w:sz w:val="28"/>
          <w:szCs w:val="28"/>
          <w:highlight w:val="none"/>
          <w:lang w:eastAsia="zh-CN"/>
        </w:rPr>
        <w:t>本部分内容由参选单位自行编制，不做格式要求。</w:t>
      </w: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b/>
          <w:bCs/>
          <w:color w:val="auto"/>
          <w:sz w:val="36"/>
          <w:szCs w:val="36"/>
          <w:highlight w:val="none"/>
        </w:rPr>
      </w:pPr>
    </w:p>
    <w:p>
      <w:pPr>
        <w:pStyle w:val="2"/>
        <w:rPr>
          <w:color w:val="auto"/>
          <w:sz w:val="24"/>
          <w:szCs w:val="24"/>
          <w:highlight w:val="none"/>
        </w:rPr>
      </w:pPr>
    </w:p>
    <w:p>
      <w:pPr>
        <w:pStyle w:val="2"/>
        <w:rPr>
          <w:color w:val="auto"/>
          <w:sz w:val="24"/>
          <w:szCs w:val="24"/>
          <w:highlight w:val="none"/>
        </w:rPr>
      </w:pPr>
    </w:p>
    <w:p>
      <w:pPr>
        <w:pStyle w:val="2"/>
        <w:rPr>
          <w:color w:val="auto"/>
          <w:sz w:val="24"/>
          <w:szCs w:val="24"/>
          <w:highlight w:val="none"/>
        </w:rPr>
      </w:pPr>
      <w:r>
        <w:rPr>
          <w:rFonts w:hint="eastAsia"/>
          <w:color w:val="auto"/>
          <w:sz w:val="24"/>
          <w:szCs w:val="24"/>
          <w:highlight w:val="none"/>
        </w:rPr>
        <w:t>附件2、</w:t>
      </w:r>
    </w:p>
    <w:p>
      <w:pPr>
        <w:spacing w:line="500" w:lineRule="exact"/>
        <w:jc w:val="center"/>
        <w:rPr>
          <w:b/>
          <w:bCs/>
          <w:color w:val="auto"/>
          <w:sz w:val="36"/>
          <w:szCs w:val="36"/>
          <w:highlight w:val="none"/>
          <w:lang w:eastAsia="zh-CN"/>
        </w:rPr>
      </w:pPr>
    </w:p>
    <w:p>
      <w:pPr>
        <w:spacing w:line="500" w:lineRule="exact"/>
        <w:jc w:val="center"/>
        <w:rPr>
          <w:b/>
          <w:bCs/>
          <w:color w:val="auto"/>
          <w:sz w:val="36"/>
          <w:szCs w:val="36"/>
          <w:highlight w:val="none"/>
          <w:lang w:eastAsia="zh-CN"/>
        </w:rPr>
      </w:pPr>
      <w:r>
        <w:rPr>
          <w:rFonts w:hint="eastAsia"/>
          <w:b/>
          <w:bCs/>
          <w:color w:val="auto"/>
          <w:sz w:val="36"/>
          <w:szCs w:val="36"/>
          <w:highlight w:val="none"/>
          <w:lang w:eastAsia="zh-CN"/>
        </w:rPr>
        <w:t>参选书</w:t>
      </w:r>
    </w:p>
    <w:p>
      <w:pPr>
        <w:spacing w:line="500" w:lineRule="exact"/>
        <w:rPr>
          <w:color w:val="auto"/>
          <w:sz w:val="24"/>
          <w:highlight w:val="none"/>
          <w:lang w:eastAsia="zh-CN"/>
        </w:rPr>
      </w:pPr>
    </w:p>
    <w:p>
      <w:pPr>
        <w:spacing w:line="500" w:lineRule="exact"/>
        <w:rPr>
          <w:color w:val="auto"/>
          <w:sz w:val="24"/>
          <w:highlight w:val="none"/>
          <w:lang w:eastAsia="zh-CN"/>
        </w:rPr>
      </w:pPr>
      <w:r>
        <w:rPr>
          <w:rFonts w:hint="eastAsia"/>
          <w:color w:val="auto"/>
          <w:sz w:val="24"/>
          <w:highlight w:val="none"/>
          <w:lang w:eastAsia="zh-CN"/>
        </w:rPr>
        <w:t>致：福建福海创石油化工有限公司</w:t>
      </w:r>
    </w:p>
    <w:p>
      <w:pPr>
        <w:spacing w:line="500" w:lineRule="exact"/>
        <w:ind w:firstLine="480" w:firstLineChars="200"/>
        <w:rPr>
          <w:color w:val="auto"/>
          <w:sz w:val="24"/>
          <w:highlight w:val="none"/>
          <w:lang w:eastAsia="zh-CN"/>
        </w:rPr>
      </w:pPr>
      <w:r>
        <w:rPr>
          <w:rFonts w:hint="eastAsia"/>
          <w:color w:val="auto"/>
          <w:sz w:val="24"/>
          <w:highlight w:val="none"/>
          <w:lang w:eastAsia="zh-CN"/>
        </w:rPr>
        <w:t xml:space="preserve"> 根据贵方的比选文件， </w:t>
      </w:r>
      <w:r>
        <w:rPr>
          <w:rFonts w:hint="eastAsia" w:cs="Times New Roman"/>
          <w:color w:val="auto"/>
          <w:sz w:val="28"/>
          <w:szCs w:val="28"/>
          <w:highlight w:val="none"/>
          <w:u w:val="single"/>
          <w:lang w:eastAsia="zh-CN"/>
        </w:rPr>
        <w:t>被授权代表人姓名</w:t>
      </w:r>
      <w:r>
        <w:rPr>
          <w:rFonts w:hint="eastAsia"/>
          <w:color w:val="auto"/>
          <w:sz w:val="24"/>
          <w:highlight w:val="none"/>
          <w:lang w:eastAsia="zh-CN"/>
        </w:rPr>
        <w:t>被我方正式授权并代表我公司</w:t>
      </w:r>
      <w:r>
        <w:rPr>
          <w:rFonts w:hint="eastAsia" w:cs="Times New Roman"/>
          <w:color w:val="auto"/>
          <w:sz w:val="28"/>
          <w:szCs w:val="28"/>
          <w:highlight w:val="none"/>
          <w:u w:val="single"/>
          <w:lang w:eastAsia="zh-CN"/>
        </w:rPr>
        <w:t>单位名称</w:t>
      </w:r>
      <w:r>
        <w:rPr>
          <w:rFonts w:hint="eastAsia"/>
          <w:color w:val="auto"/>
          <w:sz w:val="24"/>
          <w:highlight w:val="none"/>
          <w:lang w:eastAsia="zh-CN"/>
        </w:rPr>
        <w:t>递交下述文件，并对此负责。</w:t>
      </w:r>
    </w:p>
    <w:p>
      <w:pPr>
        <w:spacing w:line="500" w:lineRule="exact"/>
        <w:ind w:firstLine="480" w:firstLineChars="200"/>
        <w:rPr>
          <w:color w:val="auto"/>
          <w:sz w:val="24"/>
          <w:highlight w:val="none"/>
          <w:lang w:eastAsia="zh-CN"/>
        </w:rPr>
      </w:pPr>
      <w:r>
        <w:rPr>
          <w:rFonts w:hint="eastAsia"/>
          <w:color w:val="auto"/>
          <w:sz w:val="24"/>
          <w:highlight w:val="none"/>
          <w:lang w:eastAsia="zh-CN"/>
        </w:rPr>
        <w:t>（1）参选文件</w:t>
      </w:r>
    </w:p>
    <w:p>
      <w:pPr>
        <w:spacing w:line="500" w:lineRule="exact"/>
        <w:ind w:firstLine="480" w:firstLineChars="200"/>
        <w:rPr>
          <w:color w:val="auto"/>
          <w:sz w:val="24"/>
          <w:highlight w:val="none"/>
          <w:lang w:eastAsia="zh-CN"/>
        </w:rPr>
      </w:pPr>
      <w:r>
        <w:rPr>
          <w:rFonts w:hint="eastAsia"/>
          <w:color w:val="auto"/>
          <w:sz w:val="24"/>
          <w:highlight w:val="none"/>
          <w:lang w:eastAsia="zh-CN"/>
        </w:rPr>
        <w:t>（2）法定代表人授权委托书</w:t>
      </w:r>
    </w:p>
    <w:p>
      <w:pPr>
        <w:spacing w:line="500" w:lineRule="exact"/>
        <w:ind w:firstLine="480" w:firstLineChars="200"/>
        <w:rPr>
          <w:color w:val="auto"/>
          <w:sz w:val="24"/>
          <w:highlight w:val="none"/>
          <w:lang w:eastAsia="zh-CN"/>
        </w:rPr>
      </w:pPr>
      <w:r>
        <w:rPr>
          <w:rFonts w:hint="eastAsia"/>
          <w:color w:val="auto"/>
          <w:sz w:val="24"/>
          <w:highlight w:val="none"/>
          <w:lang w:eastAsia="zh-CN"/>
        </w:rPr>
        <w:t>（3）参选报价单</w:t>
      </w:r>
    </w:p>
    <w:p>
      <w:pPr>
        <w:spacing w:line="500" w:lineRule="exact"/>
        <w:ind w:firstLine="480" w:firstLineChars="200"/>
        <w:rPr>
          <w:color w:val="auto"/>
          <w:sz w:val="24"/>
          <w:highlight w:val="none"/>
          <w:lang w:eastAsia="zh-CN"/>
        </w:rPr>
      </w:pPr>
      <w:r>
        <w:rPr>
          <w:rFonts w:hint="eastAsia"/>
          <w:color w:val="auto"/>
          <w:sz w:val="24"/>
          <w:highlight w:val="none"/>
          <w:lang w:eastAsia="zh-CN"/>
        </w:rPr>
        <w:t>（4）承诺函</w:t>
      </w:r>
    </w:p>
    <w:p>
      <w:pPr>
        <w:spacing w:line="500" w:lineRule="exact"/>
        <w:ind w:firstLine="480" w:firstLineChars="200"/>
        <w:rPr>
          <w:color w:val="auto"/>
          <w:sz w:val="24"/>
          <w:highlight w:val="none"/>
          <w:lang w:eastAsia="zh-CN"/>
        </w:rPr>
      </w:pPr>
      <w:r>
        <w:rPr>
          <w:rFonts w:hint="eastAsia"/>
          <w:color w:val="auto"/>
          <w:sz w:val="24"/>
          <w:highlight w:val="none"/>
          <w:lang w:eastAsia="zh-CN"/>
        </w:rPr>
        <w:t xml:space="preserve"> 据此参选书，我公司及签字代表宣布同意如下：</w:t>
      </w:r>
    </w:p>
    <w:p>
      <w:pPr>
        <w:spacing w:line="500" w:lineRule="exact"/>
        <w:rPr>
          <w:color w:val="auto"/>
          <w:sz w:val="24"/>
          <w:highlight w:val="none"/>
          <w:lang w:eastAsia="zh-CN"/>
        </w:rPr>
      </w:pPr>
      <w:r>
        <w:rPr>
          <w:rFonts w:hint="eastAsia"/>
          <w:color w:val="auto"/>
          <w:sz w:val="24"/>
          <w:highlight w:val="none"/>
          <w:lang w:eastAsia="zh-CN"/>
        </w:rPr>
        <w:t xml:space="preserve">     1、所递交的文件真实合法有效，且不存在任何虚假陈述或记载。</w:t>
      </w:r>
    </w:p>
    <w:p>
      <w:pPr>
        <w:spacing w:line="500" w:lineRule="exact"/>
        <w:rPr>
          <w:color w:val="auto"/>
          <w:sz w:val="24"/>
          <w:highlight w:val="none"/>
          <w:lang w:eastAsia="zh-CN"/>
        </w:rPr>
      </w:pPr>
      <w:r>
        <w:rPr>
          <w:rFonts w:hint="eastAsia"/>
          <w:color w:val="auto"/>
          <w:sz w:val="24"/>
          <w:highlight w:val="none"/>
          <w:lang w:eastAsia="zh-CN"/>
        </w:rPr>
        <w:t xml:space="preserve">     2、我方将履行比选文件规定的每一项要求：如我司中选，将严格按照服务合同约定履行各项义务。</w:t>
      </w:r>
    </w:p>
    <w:p>
      <w:pPr>
        <w:spacing w:line="500" w:lineRule="exact"/>
        <w:rPr>
          <w:color w:val="auto"/>
          <w:sz w:val="24"/>
          <w:highlight w:val="none"/>
          <w:lang w:eastAsia="zh-CN"/>
        </w:rPr>
      </w:pPr>
      <w:r>
        <w:rPr>
          <w:rFonts w:hint="eastAsia"/>
          <w:color w:val="auto"/>
          <w:sz w:val="24"/>
          <w:highlight w:val="none"/>
          <w:lang w:eastAsia="zh-CN"/>
        </w:rPr>
        <w:t xml:space="preserve">     3、我公司报价有效期为比选文件收取时间截止期后30个工作日，如我司中选，有效期将延长至合同执行完毕。</w:t>
      </w:r>
    </w:p>
    <w:p>
      <w:pPr>
        <w:spacing w:line="500" w:lineRule="exact"/>
        <w:ind w:firstLine="480" w:firstLineChars="200"/>
        <w:rPr>
          <w:color w:val="auto"/>
          <w:sz w:val="24"/>
          <w:highlight w:val="none"/>
          <w:lang w:eastAsia="zh-CN"/>
        </w:rPr>
      </w:pPr>
    </w:p>
    <w:p>
      <w:pPr>
        <w:spacing w:line="500" w:lineRule="exact"/>
        <w:ind w:firstLine="480" w:firstLineChars="200"/>
        <w:rPr>
          <w:color w:val="auto"/>
          <w:sz w:val="24"/>
          <w:highlight w:val="none"/>
          <w:lang w:eastAsia="zh-CN"/>
        </w:rPr>
      </w:pPr>
    </w:p>
    <w:p>
      <w:pPr>
        <w:spacing w:line="500" w:lineRule="exact"/>
        <w:ind w:firstLine="480" w:firstLineChars="200"/>
        <w:rPr>
          <w:color w:val="auto"/>
          <w:sz w:val="24"/>
          <w:highlight w:val="none"/>
          <w:lang w:eastAsia="zh-CN"/>
        </w:rPr>
      </w:pPr>
      <w:r>
        <w:rPr>
          <w:rFonts w:hint="eastAsia"/>
          <w:color w:val="auto"/>
          <w:sz w:val="24"/>
          <w:highlight w:val="none"/>
          <w:lang w:eastAsia="zh-CN"/>
        </w:rPr>
        <w:t>被授权代表姓名：</w:t>
      </w:r>
    </w:p>
    <w:p>
      <w:pPr>
        <w:spacing w:line="500" w:lineRule="exact"/>
        <w:ind w:firstLine="480" w:firstLineChars="200"/>
        <w:rPr>
          <w:color w:val="auto"/>
          <w:sz w:val="24"/>
          <w:highlight w:val="none"/>
          <w:lang w:eastAsia="zh-CN"/>
        </w:rPr>
      </w:pPr>
      <w:r>
        <w:rPr>
          <w:rFonts w:hint="eastAsia"/>
          <w:color w:val="auto"/>
          <w:sz w:val="24"/>
          <w:highlight w:val="none"/>
          <w:lang w:eastAsia="zh-CN"/>
        </w:rPr>
        <w:t xml:space="preserve">         职务：</w:t>
      </w:r>
    </w:p>
    <w:p>
      <w:pPr>
        <w:spacing w:line="500" w:lineRule="exact"/>
        <w:ind w:firstLine="480" w:firstLineChars="200"/>
        <w:rPr>
          <w:color w:val="auto"/>
          <w:sz w:val="24"/>
          <w:highlight w:val="none"/>
          <w:lang w:eastAsia="zh-CN"/>
        </w:rPr>
      </w:pPr>
      <w:r>
        <w:rPr>
          <w:rFonts w:hint="eastAsia"/>
          <w:color w:val="auto"/>
          <w:sz w:val="24"/>
          <w:highlight w:val="none"/>
          <w:lang w:eastAsia="zh-CN"/>
        </w:rPr>
        <w:t xml:space="preserve">     联系方式：</w:t>
      </w:r>
    </w:p>
    <w:p>
      <w:pPr>
        <w:spacing w:line="500" w:lineRule="exact"/>
        <w:ind w:firstLine="480" w:firstLineChars="200"/>
        <w:rPr>
          <w:color w:val="auto"/>
          <w:sz w:val="24"/>
          <w:highlight w:val="none"/>
          <w:lang w:eastAsia="zh-CN"/>
        </w:rPr>
      </w:pPr>
    </w:p>
    <w:p>
      <w:pPr>
        <w:spacing w:line="500" w:lineRule="exact"/>
        <w:ind w:firstLine="480" w:firstLineChars="200"/>
        <w:rPr>
          <w:color w:val="auto"/>
          <w:sz w:val="24"/>
          <w:highlight w:val="none"/>
          <w:lang w:eastAsia="zh-CN"/>
        </w:rPr>
      </w:pPr>
      <w:r>
        <w:rPr>
          <w:rFonts w:hint="eastAsia"/>
          <w:color w:val="auto"/>
          <w:sz w:val="24"/>
          <w:highlight w:val="none"/>
          <w:lang w:eastAsia="zh-CN"/>
        </w:rPr>
        <w:t>被授权代表签字：</w:t>
      </w:r>
    </w:p>
    <w:p>
      <w:pPr>
        <w:pStyle w:val="2"/>
        <w:rPr>
          <w:color w:val="auto"/>
          <w:highlight w:val="none"/>
        </w:rPr>
      </w:pPr>
    </w:p>
    <w:p>
      <w:pPr>
        <w:pStyle w:val="2"/>
        <w:jc w:val="center"/>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 xml:space="preserve">                     参  选  人：</w:t>
      </w:r>
      <w:r>
        <w:rPr>
          <w:rFonts w:hint="eastAsia" w:hAnsi="宋体"/>
          <w:color w:val="auto"/>
          <w:kern w:val="2"/>
          <w:sz w:val="28"/>
          <w:szCs w:val="28"/>
          <w:highlight w:val="none"/>
        </w:rPr>
        <w:t>（单位名称）</w:t>
      </w:r>
    </w:p>
    <w:p>
      <w:pPr>
        <w:pStyle w:val="2"/>
        <w:ind w:left="3478" w:leftChars="1581"/>
        <w:jc w:val="left"/>
        <w:rPr>
          <w:rFonts w:ascii="Times New Roman" w:hAnsi="Times New Roman"/>
          <w:color w:val="auto"/>
          <w:kern w:val="2"/>
          <w:sz w:val="24"/>
          <w:szCs w:val="24"/>
          <w:highlight w:val="none"/>
        </w:rPr>
      </w:pPr>
      <w:r>
        <w:rPr>
          <w:rFonts w:hint="eastAsia" w:ascii="Times New Roman" w:hAnsi="Times New Roman"/>
          <w:color w:val="auto"/>
          <w:kern w:val="2"/>
          <w:sz w:val="24"/>
          <w:szCs w:val="24"/>
          <w:highlight w:val="none"/>
        </w:rPr>
        <w:t>法定代表人：</w:t>
      </w:r>
    </w:p>
    <w:p>
      <w:pPr>
        <w:pStyle w:val="2"/>
        <w:jc w:val="center"/>
        <w:rPr>
          <w:color w:val="auto"/>
          <w:highlight w:val="none"/>
        </w:rPr>
      </w:pPr>
    </w:p>
    <w:p>
      <w:pPr>
        <w:rPr>
          <w:color w:val="auto"/>
          <w:highlight w:val="none"/>
          <w:lang w:eastAsia="zh-CN"/>
        </w:rPr>
      </w:pPr>
    </w:p>
    <w:p>
      <w:pPr>
        <w:spacing w:line="500" w:lineRule="exact"/>
        <w:jc w:val="both"/>
        <w:rPr>
          <w:b/>
          <w:bCs/>
          <w:color w:val="auto"/>
          <w:sz w:val="36"/>
          <w:szCs w:val="36"/>
          <w:highlight w:val="none"/>
          <w:lang w:eastAsia="zh-CN"/>
        </w:rPr>
      </w:pPr>
      <w:r>
        <w:rPr>
          <w:rFonts w:hint="eastAsia"/>
          <w:color w:val="auto"/>
          <w:sz w:val="24"/>
          <w:szCs w:val="24"/>
          <w:highlight w:val="none"/>
          <w:lang w:eastAsia="zh-CN"/>
        </w:rPr>
        <w:t>附件3、</w:t>
      </w:r>
    </w:p>
    <w:p>
      <w:pPr>
        <w:spacing w:line="500" w:lineRule="exact"/>
        <w:jc w:val="center"/>
        <w:rPr>
          <w:b/>
          <w:bCs/>
          <w:color w:val="auto"/>
          <w:sz w:val="36"/>
          <w:szCs w:val="36"/>
          <w:highlight w:val="none"/>
          <w:lang w:eastAsia="zh-CN"/>
        </w:rPr>
      </w:pPr>
      <w:r>
        <w:rPr>
          <w:rFonts w:hint="eastAsia"/>
          <w:b/>
          <w:bCs/>
          <w:color w:val="auto"/>
          <w:sz w:val="36"/>
          <w:szCs w:val="36"/>
          <w:highlight w:val="none"/>
          <w:lang w:eastAsia="zh-CN"/>
        </w:rPr>
        <w:t>法定代表人授权书</w:t>
      </w:r>
    </w:p>
    <w:p>
      <w:pPr>
        <w:pStyle w:val="2"/>
        <w:jc w:val="center"/>
        <w:rPr>
          <w:color w:val="auto"/>
          <w:highlight w:val="none"/>
        </w:rPr>
      </w:pPr>
    </w:p>
    <w:p>
      <w:pPr>
        <w:spacing w:line="500" w:lineRule="exact"/>
        <w:ind w:firstLine="480" w:firstLineChars="200"/>
        <w:rPr>
          <w:color w:val="auto"/>
          <w:sz w:val="24"/>
          <w:highlight w:val="none"/>
          <w:lang w:eastAsia="zh-CN"/>
        </w:rPr>
      </w:pPr>
      <w:r>
        <w:rPr>
          <w:rFonts w:hint="eastAsia"/>
          <w:color w:val="auto"/>
          <w:sz w:val="24"/>
          <w:highlight w:val="none"/>
          <w:lang w:eastAsia="zh-CN"/>
        </w:rPr>
        <w:t>本授权书声明：注册于</w:t>
      </w:r>
      <w:r>
        <w:rPr>
          <w:rFonts w:hint="eastAsia" w:cs="Times New Roman"/>
          <w:color w:val="auto"/>
          <w:sz w:val="28"/>
          <w:szCs w:val="28"/>
          <w:highlight w:val="none"/>
          <w:u w:val="single"/>
          <w:lang w:eastAsia="zh-CN"/>
        </w:rPr>
        <w:t>注册地址</w:t>
      </w:r>
      <w:r>
        <w:rPr>
          <w:rFonts w:hint="eastAsia"/>
          <w:color w:val="auto"/>
          <w:sz w:val="24"/>
          <w:highlight w:val="none"/>
          <w:lang w:eastAsia="zh-CN"/>
        </w:rPr>
        <w:t>的</w:t>
      </w:r>
      <w:r>
        <w:rPr>
          <w:rFonts w:hint="eastAsia" w:cs="Times New Roman"/>
          <w:color w:val="auto"/>
          <w:sz w:val="28"/>
          <w:szCs w:val="28"/>
          <w:highlight w:val="none"/>
          <w:u w:val="single"/>
          <w:lang w:eastAsia="zh-CN"/>
        </w:rPr>
        <w:t>公司名称</w:t>
      </w:r>
      <w:r>
        <w:rPr>
          <w:rFonts w:hint="eastAsia"/>
          <w:color w:val="auto"/>
          <w:sz w:val="24"/>
          <w:highlight w:val="none"/>
          <w:lang w:eastAsia="zh-CN"/>
        </w:rPr>
        <w:t>的在下方签字（或签章）的</w:t>
      </w:r>
      <w:r>
        <w:rPr>
          <w:rFonts w:hint="eastAsia" w:cs="Times New Roman"/>
          <w:color w:val="auto"/>
          <w:sz w:val="28"/>
          <w:szCs w:val="28"/>
          <w:highlight w:val="none"/>
          <w:u w:val="single"/>
          <w:lang w:eastAsia="zh-CN"/>
        </w:rPr>
        <w:t>法人代表姓名</w:t>
      </w:r>
      <w:r>
        <w:rPr>
          <w:rFonts w:hint="eastAsia"/>
          <w:color w:val="auto"/>
          <w:sz w:val="24"/>
          <w:highlight w:val="none"/>
          <w:lang w:eastAsia="zh-CN"/>
        </w:rPr>
        <w:t>代表本公司授权</w:t>
      </w:r>
      <w:r>
        <w:rPr>
          <w:rFonts w:hint="eastAsia" w:cs="Times New Roman"/>
          <w:color w:val="auto"/>
          <w:sz w:val="28"/>
          <w:szCs w:val="28"/>
          <w:highlight w:val="none"/>
          <w:u w:val="single"/>
          <w:lang w:eastAsia="zh-CN"/>
        </w:rPr>
        <w:t>被授权代表人姓名、职务</w:t>
      </w:r>
      <w:r>
        <w:rPr>
          <w:rFonts w:hint="eastAsia"/>
          <w:color w:val="auto"/>
          <w:sz w:val="24"/>
          <w:highlight w:val="none"/>
          <w:lang w:eastAsia="zh-CN"/>
        </w:rPr>
        <w:t>为本公司的合法代理人，就福建福海创石油化工有限公司的</w:t>
      </w:r>
      <w:r>
        <w:rPr>
          <w:rFonts w:hint="eastAsia"/>
          <w:color w:val="auto"/>
          <w:spacing w:val="-2"/>
          <w:sz w:val="24"/>
          <w:szCs w:val="24"/>
          <w:highlight w:val="none"/>
          <w:u w:val="single"/>
          <w:lang w:eastAsia="zh-CN"/>
        </w:rPr>
        <w:t>翔鹭石化(漳州)有限公司海水取水工程2024年度生态补偿增殖放流</w:t>
      </w:r>
      <w:r>
        <w:rPr>
          <w:rFonts w:hint="eastAsia"/>
          <w:color w:val="auto"/>
          <w:sz w:val="24"/>
          <w:highlight w:val="none"/>
          <w:lang w:eastAsia="zh-CN"/>
        </w:rPr>
        <w:t>项目公开自主比选，以本公司名义参与报价、合同执行并处理与之有关的其他事务，相关责任及后果由本公司承担。</w:t>
      </w:r>
    </w:p>
    <w:p>
      <w:pPr>
        <w:spacing w:line="360" w:lineRule="auto"/>
        <w:ind w:firstLine="480" w:firstLineChars="200"/>
        <w:rPr>
          <w:color w:val="auto"/>
          <w:sz w:val="24"/>
          <w:highlight w:val="none"/>
          <w:lang w:eastAsia="zh-CN"/>
        </w:rPr>
      </w:pPr>
      <w:r>
        <w:rPr>
          <w:rFonts w:hint="eastAsia"/>
          <w:color w:val="auto"/>
          <w:sz w:val="24"/>
          <w:highlight w:val="none"/>
          <w:lang w:eastAsia="zh-CN"/>
        </w:rPr>
        <w:t>本授权书于</w:t>
      </w:r>
      <w:r>
        <w:rPr>
          <w:rFonts w:hint="eastAsia" w:cs="Times New Roman"/>
          <w:color w:val="auto"/>
          <w:sz w:val="28"/>
          <w:szCs w:val="28"/>
          <w:highlight w:val="none"/>
          <w:u w:val="single"/>
          <w:lang w:eastAsia="zh-CN"/>
        </w:rPr>
        <w:t>2024年  月   日</w:t>
      </w:r>
      <w:r>
        <w:rPr>
          <w:rFonts w:hint="eastAsia"/>
          <w:color w:val="auto"/>
          <w:sz w:val="24"/>
          <w:highlight w:val="none"/>
          <w:lang w:eastAsia="zh-CN"/>
        </w:rPr>
        <w:t>生效，本授权书有效期至此次报价，以及合同履行完毕时止。</w:t>
      </w: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代理人无转委托权，特此委托。</w:t>
      </w: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附：法定代表人身份证明</w:t>
      </w:r>
    </w:p>
    <w:tbl>
      <w:tblPr>
        <w:tblStyle w:val="36"/>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Pr>
          <w:p>
            <w:pPr>
              <w:spacing w:line="360" w:lineRule="auto"/>
              <w:jc w:val="both"/>
              <w:rPr>
                <w:color w:val="auto"/>
                <w:szCs w:val="21"/>
                <w:highlight w:val="none"/>
                <w:lang w:eastAsia="zh-CN"/>
              </w:rPr>
            </w:pPr>
          </w:p>
          <w:p>
            <w:pPr>
              <w:spacing w:line="360" w:lineRule="auto"/>
              <w:jc w:val="center"/>
              <w:rPr>
                <w:color w:val="auto"/>
                <w:szCs w:val="21"/>
                <w:highlight w:val="none"/>
              </w:rPr>
            </w:pPr>
            <w:r>
              <w:rPr>
                <w:rFonts w:hint="eastAsia"/>
                <w:color w:val="auto"/>
                <w:szCs w:val="21"/>
                <w:highlight w:val="none"/>
              </w:rPr>
              <w:t>（正面）</w:t>
            </w:r>
          </w:p>
          <w:p>
            <w:pPr>
              <w:spacing w:line="360" w:lineRule="auto"/>
              <w:jc w:val="both"/>
              <w:rPr>
                <w:color w:val="auto"/>
                <w:szCs w:val="21"/>
                <w:highlight w:val="none"/>
                <w:lang w:eastAsia="zh-CN"/>
              </w:rPr>
            </w:pPr>
          </w:p>
        </w:tc>
        <w:tc>
          <w:tcPr>
            <w:tcW w:w="4383" w:type="dxa"/>
          </w:tcPr>
          <w:p>
            <w:pPr>
              <w:spacing w:line="360" w:lineRule="auto"/>
              <w:jc w:val="both"/>
              <w:rPr>
                <w:color w:val="auto"/>
                <w:szCs w:val="21"/>
                <w:highlight w:val="none"/>
                <w:lang w:eastAsia="zh-CN"/>
              </w:rPr>
            </w:pPr>
          </w:p>
          <w:p>
            <w:pPr>
              <w:spacing w:line="360" w:lineRule="auto"/>
              <w:jc w:val="center"/>
              <w:rPr>
                <w:color w:val="auto"/>
                <w:szCs w:val="21"/>
                <w:highlight w:val="none"/>
              </w:rPr>
            </w:pPr>
            <w:r>
              <w:rPr>
                <w:rFonts w:hint="eastAsia"/>
                <w:color w:val="auto"/>
                <w:szCs w:val="21"/>
                <w:highlight w:val="none"/>
              </w:rPr>
              <w:t>（反面）</w:t>
            </w:r>
          </w:p>
        </w:tc>
      </w:tr>
    </w:tbl>
    <w:p>
      <w:pPr>
        <w:spacing w:line="276" w:lineRule="auto"/>
        <w:ind w:firstLine="420" w:firstLineChars="200"/>
        <w:rPr>
          <w:color w:val="auto"/>
          <w:sz w:val="21"/>
          <w:szCs w:val="21"/>
          <w:highlight w:val="none"/>
        </w:rPr>
      </w:pP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代  理  人：</w:t>
      </w:r>
      <w:r>
        <w:rPr>
          <w:color w:val="auto"/>
          <w:sz w:val="24"/>
          <w:szCs w:val="24"/>
          <w:highlight w:val="none"/>
          <w:u w:val="single"/>
          <w:lang w:eastAsia="zh-CN"/>
        </w:rPr>
        <w:t xml:space="preserve">  </w:t>
      </w:r>
      <w:r>
        <w:rPr>
          <w:rFonts w:hint="eastAsia"/>
          <w:color w:val="auto"/>
          <w:sz w:val="24"/>
          <w:szCs w:val="24"/>
          <w:highlight w:val="none"/>
          <w:u w:val="single"/>
          <w:lang w:eastAsia="zh-CN"/>
        </w:rPr>
        <w:t xml:space="preserve">            （签字）</w:t>
      </w:r>
      <w:r>
        <w:rPr>
          <w:rFonts w:hint="eastAsia"/>
          <w:color w:val="auto"/>
          <w:sz w:val="24"/>
          <w:szCs w:val="24"/>
          <w:highlight w:val="none"/>
          <w:lang w:eastAsia="zh-CN"/>
        </w:rPr>
        <w:t>性别：</w:t>
      </w:r>
      <w:r>
        <w:rPr>
          <w:color w:val="auto"/>
          <w:sz w:val="24"/>
          <w:szCs w:val="24"/>
          <w:highlight w:val="none"/>
          <w:u w:val="single"/>
          <w:lang w:eastAsia="zh-CN"/>
        </w:rPr>
        <w:t xml:space="preserve">      </w:t>
      </w:r>
      <w:r>
        <w:rPr>
          <w:rFonts w:hint="eastAsia"/>
          <w:color w:val="auto"/>
          <w:sz w:val="24"/>
          <w:szCs w:val="24"/>
          <w:highlight w:val="none"/>
          <w:lang w:eastAsia="zh-CN"/>
        </w:rPr>
        <w:t>年龄：</w:t>
      </w:r>
      <w:r>
        <w:rPr>
          <w:color w:val="auto"/>
          <w:sz w:val="24"/>
          <w:szCs w:val="24"/>
          <w:highlight w:val="none"/>
          <w:u w:val="single"/>
          <w:lang w:eastAsia="zh-CN"/>
        </w:rPr>
        <w:t xml:space="preserve">     </w:t>
      </w:r>
      <w:r>
        <w:rPr>
          <w:rFonts w:hint="eastAsia"/>
          <w:color w:val="auto"/>
          <w:sz w:val="24"/>
          <w:szCs w:val="24"/>
          <w:highlight w:val="none"/>
          <w:u w:val="single"/>
          <w:lang w:eastAsia="zh-CN"/>
        </w:rPr>
        <w:t xml:space="preserve"> </w:t>
      </w:r>
      <w:r>
        <w:rPr>
          <w:color w:val="auto"/>
          <w:sz w:val="24"/>
          <w:szCs w:val="24"/>
          <w:highlight w:val="none"/>
          <w:u w:val="single"/>
          <w:lang w:eastAsia="zh-CN"/>
        </w:rPr>
        <w:t xml:space="preserve">  </w:t>
      </w:r>
      <w:r>
        <w:rPr>
          <w:rFonts w:hint="eastAsia"/>
          <w:color w:val="auto"/>
          <w:sz w:val="24"/>
          <w:szCs w:val="24"/>
          <w:highlight w:val="none"/>
          <w:lang w:eastAsia="zh-CN"/>
        </w:rPr>
        <w:t>；</w:t>
      </w: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身份证号码：</w:t>
      </w:r>
      <w:r>
        <w:rPr>
          <w:color w:val="auto"/>
          <w:sz w:val="24"/>
          <w:szCs w:val="24"/>
          <w:highlight w:val="none"/>
          <w:u w:val="single"/>
          <w:lang w:eastAsia="zh-CN"/>
        </w:rPr>
        <w:t xml:space="preserve">                   </w:t>
      </w:r>
      <w:r>
        <w:rPr>
          <w:rFonts w:hint="eastAsia"/>
          <w:color w:val="auto"/>
          <w:sz w:val="24"/>
          <w:szCs w:val="24"/>
          <w:highlight w:val="none"/>
          <w:u w:val="single"/>
          <w:lang w:eastAsia="zh-CN"/>
        </w:rPr>
        <w:t xml:space="preserve">   </w:t>
      </w:r>
      <w:r>
        <w:rPr>
          <w:color w:val="auto"/>
          <w:sz w:val="24"/>
          <w:szCs w:val="24"/>
          <w:highlight w:val="none"/>
          <w:u w:val="single"/>
          <w:lang w:eastAsia="zh-CN"/>
        </w:rPr>
        <w:t xml:space="preserve">     </w:t>
      </w:r>
      <w:r>
        <w:rPr>
          <w:color w:val="auto"/>
          <w:sz w:val="24"/>
          <w:szCs w:val="24"/>
          <w:highlight w:val="none"/>
          <w:lang w:eastAsia="zh-CN"/>
        </w:rPr>
        <w:t xml:space="preserve"> </w:t>
      </w:r>
      <w:r>
        <w:rPr>
          <w:rFonts w:hint="eastAsia"/>
          <w:color w:val="auto"/>
          <w:sz w:val="24"/>
          <w:szCs w:val="24"/>
          <w:highlight w:val="none"/>
          <w:lang w:eastAsia="zh-CN"/>
        </w:rPr>
        <w:t>职务：</w:t>
      </w:r>
      <w:r>
        <w:rPr>
          <w:color w:val="auto"/>
          <w:sz w:val="24"/>
          <w:szCs w:val="24"/>
          <w:highlight w:val="none"/>
          <w:u w:val="single"/>
          <w:lang w:eastAsia="zh-CN"/>
        </w:rPr>
        <w:t xml:space="preserve">   </w:t>
      </w:r>
      <w:r>
        <w:rPr>
          <w:rFonts w:hint="eastAsia"/>
          <w:color w:val="auto"/>
          <w:sz w:val="24"/>
          <w:szCs w:val="24"/>
          <w:highlight w:val="none"/>
          <w:u w:val="single"/>
          <w:lang w:eastAsia="zh-CN"/>
        </w:rPr>
        <w:t xml:space="preserve">       </w:t>
      </w:r>
      <w:r>
        <w:rPr>
          <w:color w:val="auto"/>
          <w:sz w:val="24"/>
          <w:szCs w:val="24"/>
          <w:highlight w:val="none"/>
          <w:u w:val="single"/>
          <w:lang w:eastAsia="zh-CN"/>
        </w:rPr>
        <w:t xml:space="preserve">    </w:t>
      </w:r>
      <w:r>
        <w:rPr>
          <w:rFonts w:hint="eastAsia"/>
          <w:color w:val="auto"/>
          <w:sz w:val="24"/>
          <w:szCs w:val="24"/>
          <w:highlight w:val="none"/>
          <w:lang w:eastAsia="zh-CN"/>
        </w:rPr>
        <w:t>；</w:t>
      </w: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委托期限：</w:t>
      </w:r>
      <w:r>
        <w:rPr>
          <w:color w:val="auto"/>
          <w:sz w:val="24"/>
          <w:szCs w:val="24"/>
          <w:highlight w:val="none"/>
          <w:u w:val="single"/>
          <w:lang w:eastAsia="zh-CN"/>
        </w:rPr>
        <w:t xml:space="preserve">       </w:t>
      </w:r>
      <w:r>
        <w:rPr>
          <w:rFonts w:hint="eastAsia"/>
          <w:color w:val="auto"/>
          <w:sz w:val="24"/>
          <w:szCs w:val="24"/>
          <w:highlight w:val="none"/>
          <w:lang w:eastAsia="zh-CN"/>
        </w:rPr>
        <w:t>年</w:t>
      </w:r>
      <w:r>
        <w:rPr>
          <w:color w:val="auto"/>
          <w:sz w:val="24"/>
          <w:szCs w:val="24"/>
          <w:highlight w:val="none"/>
          <w:u w:val="single"/>
          <w:lang w:eastAsia="zh-CN"/>
        </w:rPr>
        <w:t xml:space="preserve">    </w:t>
      </w:r>
      <w:r>
        <w:rPr>
          <w:rFonts w:hint="eastAsia"/>
          <w:color w:val="auto"/>
          <w:sz w:val="24"/>
          <w:szCs w:val="24"/>
          <w:highlight w:val="none"/>
          <w:lang w:eastAsia="zh-CN"/>
        </w:rPr>
        <w:t>月</w:t>
      </w:r>
      <w:r>
        <w:rPr>
          <w:color w:val="auto"/>
          <w:sz w:val="24"/>
          <w:szCs w:val="24"/>
          <w:highlight w:val="none"/>
          <w:u w:val="single"/>
          <w:lang w:eastAsia="zh-CN"/>
        </w:rPr>
        <w:t xml:space="preserve">    </w:t>
      </w:r>
      <w:r>
        <w:rPr>
          <w:rFonts w:hint="eastAsia"/>
          <w:color w:val="auto"/>
          <w:sz w:val="24"/>
          <w:szCs w:val="24"/>
          <w:highlight w:val="none"/>
          <w:lang w:eastAsia="zh-CN"/>
        </w:rPr>
        <w:t>日至</w:t>
      </w:r>
      <w:r>
        <w:rPr>
          <w:color w:val="auto"/>
          <w:sz w:val="24"/>
          <w:szCs w:val="24"/>
          <w:highlight w:val="none"/>
          <w:u w:val="single"/>
          <w:lang w:eastAsia="zh-CN"/>
        </w:rPr>
        <w:t xml:space="preserve">    </w:t>
      </w:r>
      <w:r>
        <w:rPr>
          <w:rFonts w:hint="eastAsia"/>
          <w:color w:val="auto"/>
          <w:sz w:val="24"/>
          <w:szCs w:val="24"/>
          <w:highlight w:val="none"/>
          <w:lang w:eastAsia="zh-CN"/>
        </w:rPr>
        <w:t>年</w:t>
      </w:r>
      <w:r>
        <w:rPr>
          <w:color w:val="auto"/>
          <w:sz w:val="24"/>
          <w:szCs w:val="24"/>
          <w:highlight w:val="none"/>
          <w:u w:val="single"/>
          <w:lang w:eastAsia="zh-CN"/>
        </w:rPr>
        <w:t xml:space="preserve">    </w:t>
      </w:r>
      <w:r>
        <w:rPr>
          <w:rFonts w:hint="eastAsia"/>
          <w:color w:val="auto"/>
          <w:sz w:val="24"/>
          <w:szCs w:val="24"/>
          <w:highlight w:val="none"/>
          <w:lang w:eastAsia="zh-CN"/>
        </w:rPr>
        <w:t>月</w:t>
      </w:r>
      <w:r>
        <w:rPr>
          <w:color w:val="auto"/>
          <w:sz w:val="24"/>
          <w:szCs w:val="24"/>
          <w:highlight w:val="none"/>
          <w:u w:val="single"/>
          <w:lang w:eastAsia="zh-CN"/>
        </w:rPr>
        <w:t xml:space="preserve">    </w:t>
      </w:r>
      <w:r>
        <w:rPr>
          <w:rFonts w:hint="eastAsia"/>
          <w:color w:val="auto"/>
          <w:sz w:val="24"/>
          <w:szCs w:val="24"/>
          <w:highlight w:val="none"/>
          <w:lang w:eastAsia="zh-CN"/>
        </w:rPr>
        <w:t>日。</w:t>
      </w: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代理人电话：</w:t>
      </w:r>
      <w:r>
        <w:rPr>
          <w:color w:val="auto"/>
          <w:sz w:val="24"/>
          <w:szCs w:val="24"/>
          <w:highlight w:val="none"/>
          <w:u w:val="single"/>
          <w:lang w:eastAsia="zh-CN"/>
        </w:rPr>
        <w:t xml:space="preserve">   </w:t>
      </w:r>
      <w:r>
        <w:rPr>
          <w:rFonts w:hint="eastAsia"/>
          <w:color w:val="auto"/>
          <w:sz w:val="24"/>
          <w:szCs w:val="24"/>
          <w:highlight w:val="none"/>
          <w:u w:val="single"/>
          <w:lang w:eastAsia="zh-CN"/>
        </w:rPr>
        <w:t xml:space="preserve">        </w:t>
      </w:r>
      <w:r>
        <w:rPr>
          <w:color w:val="auto"/>
          <w:sz w:val="24"/>
          <w:szCs w:val="24"/>
          <w:highlight w:val="none"/>
          <w:u w:val="single"/>
          <w:lang w:eastAsia="zh-CN"/>
        </w:rPr>
        <w:t xml:space="preserve">    </w:t>
      </w:r>
      <w:r>
        <w:rPr>
          <w:rFonts w:hint="eastAsia"/>
          <w:color w:val="auto"/>
          <w:sz w:val="24"/>
          <w:szCs w:val="24"/>
          <w:highlight w:val="none"/>
          <w:u w:val="single"/>
          <w:lang w:eastAsia="zh-CN"/>
        </w:rPr>
        <w:t xml:space="preserve"> </w:t>
      </w:r>
      <w:r>
        <w:rPr>
          <w:rFonts w:hint="eastAsia"/>
          <w:color w:val="auto"/>
          <w:sz w:val="24"/>
          <w:szCs w:val="24"/>
          <w:highlight w:val="none"/>
          <w:lang w:eastAsia="zh-CN"/>
        </w:rPr>
        <w:t xml:space="preserve">  邮箱：</w:t>
      </w:r>
      <w:r>
        <w:rPr>
          <w:color w:val="auto"/>
          <w:sz w:val="24"/>
          <w:szCs w:val="24"/>
          <w:highlight w:val="none"/>
          <w:u w:val="single"/>
          <w:lang w:eastAsia="zh-CN"/>
        </w:rPr>
        <w:t xml:space="preserve"> </w:t>
      </w:r>
      <w:r>
        <w:rPr>
          <w:rFonts w:hint="eastAsia"/>
          <w:color w:val="auto"/>
          <w:sz w:val="24"/>
          <w:szCs w:val="24"/>
          <w:highlight w:val="none"/>
          <w:u w:val="single"/>
          <w:lang w:eastAsia="zh-CN"/>
        </w:rPr>
        <w:t xml:space="preserve">          </w:t>
      </w:r>
      <w:r>
        <w:rPr>
          <w:color w:val="auto"/>
          <w:sz w:val="24"/>
          <w:szCs w:val="24"/>
          <w:highlight w:val="none"/>
          <w:u w:val="single"/>
          <w:lang w:eastAsia="zh-CN"/>
        </w:rPr>
        <w:t xml:space="preserve"> </w:t>
      </w:r>
      <w:r>
        <w:rPr>
          <w:rFonts w:hint="eastAsia"/>
          <w:color w:val="auto"/>
          <w:sz w:val="24"/>
          <w:szCs w:val="24"/>
          <w:highlight w:val="none"/>
          <w:u w:val="single"/>
          <w:lang w:eastAsia="zh-CN"/>
        </w:rPr>
        <w:t xml:space="preserve">   </w:t>
      </w:r>
      <w:r>
        <w:rPr>
          <w:color w:val="auto"/>
          <w:sz w:val="24"/>
          <w:szCs w:val="24"/>
          <w:highlight w:val="none"/>
          <w:u w:val="single"/>
          <w:lang w:eastAsia="zh-CN"/>
        </w:rPr>
        <w:t xml:space="preserve">     </w:t>
      </w:r>
      <w:r>
        <w:rPr>
          <w:rFonts w:hint="eastAsia"/>
          <w:color w:val="auto"/>
          <w:sz w:val="24"/>
          <w:szCs w:val="24"/>
          <w:highlight w:val="none"/>
          <w:lang w:eastAsia="zh-CN"/>
        </w:rPr>
        <w:t>；</w:t>
      </w: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法定代表人：</w:t>
      </w:r>
      <w:r>
        <w:rPr>
          <w:color w:val="auto"/>
          <w:sz w:val="24"/>
          <w:szCs w:val="24"/>
          <w:highlight w:val="none"/>
          <w:u w:val="single"/>
          <w:lang w:eastAsia="zh-CN"/>
        </w:rPr>
        <w:t xml:space="preserve">                </w:t>
      </w:r>
      <w:r>
        <w:rPr>
          <w:rFonts w:hint="eastAsia"/>
          <w:color w:val="auto"/>
          <w:sz w:val="24"/>
          <w:szCs w:val="24"/>
          <w:highlight w:val="none"/>
          <w:u w:val="single"/>
          <w:lang w:eastAsia="zh-CN"/>
        </w:rPr>
        <w:t>签字）</w:t>
      </w:r>
      <w:r>
        <w:rPr>
          <w:color w:val="auto"/>
          <w:sz w:val="24"/>
          <w:szCs w:val="24"/>
          <w:highlight w:val="none"/>
          <w:u w:val="single"/>
          <w:lang w:eastAsia="zh-CN"/>
        </w:rPr>
        <w:t xml:space="preserve">  </w:t>
      </w:r>
    </w:p>
    <w:p>
      <w:pPr>
        <w:spacing w:line="360" w:lineRule="auto"/>
        <w:ind w:firstLine="480" w:firstLineChars="200"/>
        <w:rPr>
          <w:color w:val="auto"/>
          <w:sz w:val="24"/>
          <w:szCs w:val="24"/>
          <w:highlight w:val="none"/>
          <w:lang w:eastAsia="zh-CN"/>
        </w:rPr>
      </w:pP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参</w:t>
      </w:r>
      <w:r>
        <w:rPr>
          <w:color w:val="auto"/>
          <w:sz w:val="24"/>
          <w:szCs w:val="24"/>
          <w:highlight w:val="none"/>
          <w:lang w:eastAsia="zh-CN"/>
        </w:rPr>
        <w:t xml:space="preserve">  </w:t>
      </w:r>
      <w:r>
        <w:rPr>
          <w:rFonts w:hint="eastAsia"/>
          <w:color w:val="auto"/>
          <w:sz w:val="24"/>
          <w:szCs w:val="24"/>
          <w:highlight w:val="none"/>
          <w:lang w:eastAsia="zh-CN"/>
        </w:rPr>
        <w:t>选</w:t>
      </w:r>
      <w:r>
        <w:rPr>
          <w:color w:val="auto"/>
          <w:sz w:val="24"/>
          <w:szCs w:val="24"/>
          <w:highlight w:val="none"/>
          <w:lang w:eastAsia="zh-CN"/>
        </w:rPr>
        <w:t xml:space="preserve">  </w:t>
      </w:r>
      <w:r>
        <w:rPr>
          <w:rFonts w:hint="eastAsia"/>
          <w:color w:val="auto"/>
          <w:sz w:val="24"/>
          <w:szCs w:val="24"/>
          <w:highlight w:val="none"/>
          <w:lang w:eastAsia="zh-CN"/>
        </w:rPr>
        <w:t>人：</w:t>
      </w:r>
      <w:r>
        <w:rPr>
          <w:color w:val="auto"/>
          <w:sz w:val="24"/>
          <w:szCs w:val="24"/>
          <w:highlight w:val="none"/>
          <w:u w:val="single"/>
          <w:lang w:eastAsia="zh-CN"/>
        </w:rPr>
        <w:t xml:space="preserve">                            </w:t>
      </w:r>
      <w:r>
        <w:rPr>
          <w:rFonts w:hint="eastAsia"/>
          <w:color w:val="auto"/>
          <w:sz w:val="24"/>
          <w:szCs w:val="24"/>
          <w:highlight w:val="none"/>
          <w:u w:val="single"/>
          <w:lang w:eastAsia="zh-CN"/>
        </w:rPr>
        <w:t>（盖单位章）</w:t>
      </w:r>
      <w:r>
        <w:rPr>
          <w:color w:val="auto"/>
          <w:sz w:val="24"/>
          <w:szCs w:val="24"/>
          <w:highlight w:val="none"/>
          <w:u w:val="single"/>
          <w:lang w:eastAsia="zh-CN"/>
        </w:rPr>
        <w:t xml:space="preserve">  </w:t>
      </w:r>
    </w:p>
    <w:p>
      <w:pPr>
        <w:spacing w:line="360" w:lineRule="auto"/>
        <w:ind w:firstLine="480" w:firstLineChars="200"/>
        <w:rPr>
          <w:color w:val="auto"/>
          <w:sz w:val="24"/>
          <w:szCs w:val="24"/>
          <w:highlight w:val="none"/>
          <w:lang w:eastAsia="zh-CN"/>
        </w:rPr>
      </w:pPr>
      <w:r>
        <w:rPr>
          <w:color w:val="auto"/>
          <w:sz w:val="24"/>
          <w:szCs w:val="24"/>
          <w:highlight w:val="none"/>
          <w:lang w:eastAsia="zh-CN"/>
        </w:rPr>
        <w:t xml:space="preserve">                               </w:t>
      </w:r>
      <w:r>
        <w:rPr>
          <w:color w:val="auto"/>
          <w:sz w:val="24"/>
          <w:szCs w:val="24"/>
          <w:highlight w:val="none"/>
          <w:u w:val="single"/>
          <w:lang w:eastAsia="zh-CN"/>
        </w:rPr>
        <w:t xml:space="preserve">    </w:t>
      </w:r>
      <w:r>
        <w:rPr>
          <w:rFonts w:hint="eastAsia"/>
          <w:color w:val="auto"/>
          <w:sz w:val="24"/>
          <w:szCs w:val="24"/>
          <w:highlight w:val="none"/>
          <w:lang w:eastAsia="zh-CN"/>
        </w:rPr>
        <w:t>年</w:t>
      </w:r>
      <w:r>
        <w:rPr>
          <w:color w:val="auto"/>
          <w:sz w:val="24"/>
          <w:szCs w:val="24"/>
          <w:highlight w:val="none"/>
          <w:u w:val="single"/>
          <w:lang w:eastAsia="zh-CN"/>
        </w:rPr>
        <w:t xml:space="preserve">    </w:t>
      </w:r>
      <w:r>
        <w:rPr>
          <w:rFonts w:hint="eastAsia"/>
          <w:color w:val="auto"/>
          <w:sz w:val="24"/>
          <w:szCs w:val="24"/>
          <w:highlight w:val="none"/>
          <w:lang w:eastAsia="zh-CN"/>
        </w:rPr>
        <w:t>月</w:t>
      </w:r>
      <w:r>
        <w:rPr>
          <w:color w:val="auto"/>
          <w:sz w:val="24"/>
          <w:szCs w:val="24"/>
          <w:highlight w:val="none"/>
          <w:u w:val="single"/>
          <w:lang w:eastAsia="zh-CN"/>
        </w:rPr>
        <w:t xml:space="preserve">    </w:t>
      </w:r>
      <w:r>
        <w:rPr>
          <w:rFonts w:hint="eastAsia"/>
          <w:color w:val="auto"/>
          <w:sz w:val="24"/>
          <w:szCs w:val="24"/>
          <w:highlight w:val="none"/>
          <w:lang w:eastAsia="zh-CN"/>
        </w:rPr>
        <w:t>日</w:t>
      </w: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附：代理人身份证明</w:t>
      </w:r>
    </w:p>
    <w:tbl>
      <w:tblPr>
        <w:tblStyle w:val="36"/>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Pr>
          <w:p>
            <w:pPr>
              <w:spacing w:line="360" w:lineRule="auto"/>
              <w:jc w:val="both"/>
              <w:rPr>
                <w:color w:val="auto"/>
                <w:szCs w:val="21"/>
                <w:highlight w:val="none"/>
                <w:lang w:eastAsia="zh-CN"/>
              </w:rPr>
            </w:pPr>
          </w:p>
          <w:p>
            <w:pPr>
              <w:spacing w:line="360" w:lineRule="auto"/>
              <w:jc w:val="center"/>
              <w:rPr>
                <w:color w:val="auto"/>
                <w:szCs w:val="21"/>
                <w:highlight w:val="none"/>
              </w:rPr>
            </w:pPr>
            <w:r>
              <w:rPr>
                <w:rFonts w:hint="eastAsia"/>
                <w:color w:val="auto"/>
                <w:szCs w:val="21"/>
                <w:highlight w:val="none"/>
              </w:rPr>
              <w:t>（正面）</w:t>
            </w:r>
          </w:p>
          <w:p>
            <w:pPr>
              <w:spacing w:line="360" w:lineRule="auto"/>
              <w:jc w:val="both"/>
              <w:rPr>
                <w:color w:val="auto"/>
                <w:szCs w:val="21"/>
                <w:highlight w:val="none"/>
                <w:lang w:eastAsia="zh-CN"/>
              </w:rPr>
            </w:pPr>
          </w:p>
        </w:tc>
        <w:tc>
          <w:tcPr>
            <w:tcW w:w="4383" w:type="dxa"/>
          </w:tcPr>
          <w:p>
            <w:pPr>
              <w:spacing w:line="360" w:lineRule="auto"/>
              <w:jc w:val="both"/>
              <w:rPr>
                <w:color w:val="auto"/>
                <w:szCs w:val="21"/>
                <w:highlight w:val="none"/>
                <w:lang w:eastAsia="zh-CN"/>
              </w:rPr>
            </w:pPr>
          </w:p>
          <w:p>
            <w:pPr>
              <w:spacing w:line="360" w:lineRule="auto"/>
              <w:jc w:val="center"/>
              <w:rPr>
                <w:color w:val="auto"/>
                <w:szCs w:val="21"/>
                <w:highlight w:val="none"/>
              </w:rPr>
            </w:pPr>
            <w:r>
              <w:rPr>
                <w:rFonts w:hint="eastAsia"/>
                <w:color w:val="auto"/>
                <w:szCs w:val="21"/>
                <w:highlight w:val="none"/>
              </w:rPr>
              <w:t>（反面）</w:t>
            </w:r>
          </w:p>
        </w:tc>
      </w:tr>
    </w:tbl>
    <w:p>
      <w:pPr>
        <w:pStyle w:val="2"/>
        <w:rPr>
          <w:color w:val="auto"/>
          <w:kern w:val="2"/>
          <w:highlight w:val="none"/>
        </w:rPr>
      </w:pPr>
    </w:p>
    <w:p>
      <w:pPr>
        <w:pStyle w:val="2"/>
        <w:jc w:val="center"/>
        <w:rPr>
          <w:color w:val="auto"/>
          <w:kern w:val="2"/>
          <w:highlight w:val="none"/>
        </w:rPr>
      </w:pPr>
    </w:p>
    <w:p>
      <w:pPr>
        <w:spacing w:line="500" w:lineRule="exact"/>
        <w:jc w:val="both"/>
        <w:rPr>
          <w:color w:val="auto"/>
          <w:sz w:val="24"/>
          <w:szCs w:val="24"/>
          <w:highlight w:val="none"/>
          <w:lang w:eastAsia="zh-CN"/>
        </w:rPr>
      </w:pPr>
      <w:r>
        <w:rPr>
          <w:rFonts w:hint="eastAsia"/>
          <w:color w:val="auto"/>
          <w:sz w:val="24"/>
          <w:szCs w:val="24"/>
          <w:highlight w:val="none"/>
          <w:lang w:eastAsia="zh-CN"/>
        </w:rPr>
        <w:t>附件4、</w:t>
      </w:r>
    </w:p>
    <w:p>
      <w:pPr>
        <w:pStyle w:val="2"/>
        <w:rPr>
          <w:color w:val="auto"/>
          <w:highlight w:val="none"/>
        </w:rPr>
      </w:pPr>
    </w:p>
    <w:p>
      <w:pPr>
        <w:rPr>
          <w:color w:val="auto"/>
          <w:highlight w:val="none"/>
        </w:rPr>
      </w:pPr>
    </w:p>
    <w:p>
      <w:pPr>
        <w:pStyle w:val="2"/>
        <w:rPr>
          <w:color w:val="auto"/>
          <w:highlight w:val="none"/>
        </w:rPr>
      </w:pPr>
    </w:p>
    <w:p>
      <w:pPr>
        <w:pStyle w:val="53"/>
        <w:spacing w:beforeLines="0" w:afterLines="0" w:line="240" w:lineRule="auto"/>
        <w:ind w:firstLine="0" w:firstLineChars="0"/>
        <w:jc w:val="center"/>
        <w:rPr>
          <w:rFonts w:ascii="Times New Roman" w:hAnsi="Times New Roman" w:cs="Times New Roman"/>
          <w:b/>
          <w:color w:val="auto"/>
          <w:sz w:val="36"/>
          <w:szCs w:val="36"/>
          <w:highlight w:val="none"/>
          <w:lang w:eastAsia="zh-CN"/>
        </w:rPr>
      </w:pPr>
      <w:r>
        <w:rPr>
          <w:rFonts w:hint="eastAsia" w:ascii="Times New Roman" w:hAnsi="Times New Roman" w:cs="Times New Roman"/>
          <w:b/>
          <w:color w:val="auto"/>
          <w:sz w:val="36"/>
          <w:szCs w:val="36"/>
          <w:highlight w:val="none"/>
          <w:lang w:eastAsia="zh-CN"/>
        </w:rPr>
        <w:t>承诺函</w:t>
      </w:r>
    </w:p>
    <w:p>
      <w:pPr>
        <w:spacing w:line="500" w:lineRule="exact"/>
        <w:rPr>
          <w:color w:val="auto"/>
          <w:sz w:val="24"/>
          <w:highlight w:val="none"/>
          <w:lang w:eastAsia="zh-CN"/>
        </w:rPr>
      </w:pPr>
      <w:r>
        <w:rPr>
          <w:rFonts w:hint="eastAsia"/>
          <w:color w:val="auto"/>
          <w:sz w:val="24"/>
          <w:highlight w:val="none"/>
          <w:lang w:eastAsia="zh-CN"/>
        </w:rPr>
        <w:t>致：福建福海创石油化工有限公司</w:t>
      </w:r>
    </w:p>
    <w:p>
      <w:pPr>
        <w:spacing w:line="500" w:lineRule="exact"/>
        <w:ind w:firstLine="480" w:firstLineChars="200"/>
        <w:rPr>
          <w:color w:val="auto"/>
          <w:sz w:val="24"/>
          <w:highlight w:val="none"/>
          <w:lang w:eastAsia="zh-CN"/>
        </w:rPr>
      </w:pPr>
      <w:r>
        <w:rPr>
          <w:rFonts w:hint="eastAsia"/>
          <w:color w:val="auto"/>
          <w:sz w:val="24"/>
          <w:highlight w:val="none"/>
          <w:lang w:eastAsia="zh-CN"/>
        </w:rPr>
        <w:t>我公司对贵司</w:t>
      </w:r>
      <w:r>
        <w:rPr>
          <w:rFonts w:hint="eastAsia"/>
          <w:color w:val="auto"/>
          <w:spacing w:val="-2"/>
          <w:sz w:val="24"/>
          <w:szCs w:val="24"/>
          <w:highlight w:val="none"/>
          <w:u w:val="single"/>
          <w:lang w:eastAsia="zh-CN"/>
        </w:rPr>
        <w:t>翔鹭石化(漳州)有限公司海水取水工程2024年度生态补偿增殖放流</w:t>
      </w:r>
      <w:r>
        <w:rPr>
          <w:rFonts w:hint="eastAsia" w:asciiTheme="majorEastAsia" w:hAnsiTheme="majorEastAsia" w:eastAsiaTheme="majorEastAsia"/>
          <w:color w:val="auto"/>
          <w:sz w:val="24"/>
          <w:szCs w:val="24"/>
          <w:highlight w:val="none"/>
          <w:u w:val="single"/>
          <w:lang w:eastAsia="zh-CN"/>
        </w:rPr>
        <w:t xml:space="preserve"> </w:t>
      </w:r>
      <w:r>
        <w:rPr>
          <w:rFonts w:hint="eastAsia"/>
          <w:color w:val="auto"/>
          <w:sz w:val="24"/>
          <w:highlight w:val="none"/>
          <w:lang w:eastAsia="zh-CN"/>
        </w:rPr>
        <w:t>项目招标文件中有关要求完全响应，完全满足供应商合格条件。如我公司能在本次中选，我公司郑重承诺如下：</w:t>
      </w:r>
    </w:p>
    <w:p>
      <w:pPr>
        <w:spacing w:line="500" w:lineRule="exact"/>
        <w:ind w:firstLine="480" w:firstLineChars="200"/>
        <w:rPr>
          <w:color w:val="auto"/>
          <w:sz w:val="24"/>
          <w:highlight w:val="none"/>
          <w:lang w:eastAsia="zh-CN"/>
        </w:rPr>
      </w:pPr>
      <w:r>
        <w:rPr>
          <w:rFonts w:hint="eastAsia"/>
          <w:color w:val="auto"/>
          <w:sz w:val="24"/>
          <w:highlight w:val="none"/>
          <w:lang w:eastAsia="zh-CN"/>
        </w:rPr>
        <w:t>1、我公司将按照用户需求至上原则，保证提供优质的服务。</w:t>
      </w:r>
    </w:p>
    <w:p>
      <w:pPr>
        <w:spacing w:line="500" w:lineRule="exact"/>
        <w:ind w:firstLine="480" w:firstLineChars="200"/>
        <w:rPr>
          <w:color w:val="auto"/>
          <w:sz w:val="24"/>
          <w:highlight w:val="none"/>
          <w:lang w:eastAsia="zh-CN"/>
        </w:rPr>
      </w:pPr>
      <w:r>
        <w:rPr>
          <w:rFonts w:hint="eastAsia"/>
          <w:color w:val="auto"/>
          <w:sz w:val="24"/>
          <w:highlight w:val="none"/>
          <w:lang w:eastAsia="zh-CN"/>
        </w:rPr>
        <w:t>2、我公司将严格按照比选文件、参选文件及合同的要求履行自身义务。</w:t>
      </w:r>
    </w:p>
    <w:p>
      <w:pPr>
        <w:pStyle w:val="2"/>
        <w:ind w:firstLine="601" w:firstLineChars="188"/>
        <w:rPr>
          <w:rFonts w:ascii="Times New Roman" w:hAnsi="Times New Roman" w:eastAsia="仿宋_GB2312"/>
          <w:color w:val="auto"/>
          <w:kern w:val="2"/>
          <w:sz w:val="32"/>
          <w:szCs w:val="32"/>
          <w:highlight w:val="none"/>
        </w:rPr>
      </w:pPr>
    </w:p>
    <w:p>
      <w:pPr>
        <w:snapToGrid w:val="0"/>
        <w:spacing w:line="360" w:lineRule="auto"/>
        <w:rPr>
          <w:color w:val="auto"/>
          <w:sz w:val="24"/>
          <w:szCs w:val="24"/>
          <w:highlight w:val="none"/>
          <w:lang w:eastAsia="zh-CN"/>
        </w:rPr>
      </w:pPr>
      <w:r>
        <w:rPr>
          <w:color w:val="auto"/>
          <w:sz w:val="24"/>
          <w:szCs w:val="24"/>
          <w:highlight w:val="none"/>
          <w:lang w:eastAsia="zh-CN"/>
        </w:rPr>
        <w:t xml:space="preserve">               </w:t>
      </w:r>
    </w:p>
    <w:p>
      <w:pPr>
        <w:rPr>
          <w:color w:val="auto"/>
          <w:sz w:val="24"/>
          <w:szCs w:val="24"/>
          <w:highlight w:val="none"/>
          <w:lang w:eastAsia="zh-CN"/>
        </w:rPr>
      </w:pPr>
    </w:p>
    <w:p>
      <w:pPr>
        <w:pStyle w:val="2"/>
        <w:jc w:val="center"/>
        <w:rPr>
          <w:color w:val="auto"/>
          <w:highlight w:val="none"/>
        </w:rPr>
      </w:pPr>
      <w:r>
        <w:rPr>
          <w:rFonts w:hint="eastAsia"/>
          <w:color w:val="auto"/>
          <w:sz w:val="24"/>
          <w:szCs w:val="24"/>
          <w:highlight w:val="none"/>
        </w:rPr>
        <w:t xml:space="preserve">  单位名称：</w:t>
      </w:r>
      <w:r>
        <w:rPr>
          <w:rFonts w:hint="eastAsia" w:hAnsi="宋体"/>
          <w:color w:val="auto"/>
          <w:kern w:val="2"/>
          <w:sz w:val="28"/>
          <w:szCs w:val="28"/>
          <w:highlight w:val="none"/>
        </w:rPr>
        <w:t>（公章）</w:t>
      </w:r>
    </w:p>
    <w:p>
      <w:pPr>
        <w:pStyle w:val="2"/>
        <w:jc w:val="center"/>
        <w:rPr>
          <w:color w:val="auto"/>
          <w:highlight w:val="none"/>
        </w:rPr>
      </w:pPr>
    </w:p>
    <w:p>
      <w:pPr>
        <w:pStyle w:val="2"/>
        <w:jc w:val="cente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sz w:val="24"/>
          <w:szCs w:val="24"/>
          <w:highlight w:val="none"/>
        </w:rPr>
      </w:pPr>
    </w:p>
    <w:p>
      <w:pPr>
        <w:pStyle w:val="2"/>
        <w:rPr>
          <w:color w:val="auto"/>
          <w:sz w:val="24"/>
          <w:szCs w:val="24"/>
          <w:highlight w:val="none"/>
        </w:rPr>
      </w:pPr>
    </w:p>
    <w:p>
      <w:pPr>
        <w:pStyle w:val="2"/>
        <w:rPr>
          <w:color w:val="auto"/>
          <w:sz w:val="24"/>
          <w:szCs w:val="24"/>
          <w:highlight w:val="none"/>
        </w:rPr>
      </w:pPr>
      <w:r>
        <w:rPr>
          <w:rFonts w:hint="eastAsia"/>
          <w:color w:val="auto"/>
          <w:sz w:val="24"/>
          <w:szCs w:val="24"/>
          <w:highlight w:val="none"/>
        </w:rPr>
        <w:t>附件5、</w:t>
      </w:r>
    </w:p>
    <w:p>
      <w:pPr>
        <w:spacing w:line="500" w:lineRule="exact"/>
        <w:jc w:val="both"/>
        <w:rPr>
          <w:color w:val="auto"/>
          <w:sz w:val="24"/>
          <w:szCs w:val="24"/>
          <w:highlight w:val="none"/>
          <w:lang w:eastAsia="zh-CN"/>
        </w:rPr>
      </w:pPr>
    </w:p>
    <w:tbl>
      <w:tblPr>
        <w:tblStyle w:val="35"/>
        <w:tblW w:w="9014" w:type="dxa"/>
        <w:tblInd w:w="392" w:type="dxa"/>
        <w:tblLayout w:type="fixed"/>
        <w:tblCellMar>
          <w:top w:w="0" w:type="dxa"/>
          <w:left w:w="108" w:type="dxa"/>
          <w:bottom w:w="0" w:type="dxa"/>
          <w:right w:w="108" w:type="dxa"/>
        </w:tblCellMar>
      </w:tblPr>
      <w:tblGrid>
        <w:gridCol w:w="1020"/>
        <w:gridCol w:w="3516"/>
        <w:gridCol w:w="3118"/>
        <w:gridCol w:w="1360"/>
      </w:tblGrid>
      <w:tr>
        <w:tblPrEx>
          <w:tblCellMar>
            <w:top w:w="0" w:type="dxa"/>
            <w:left w:w="108" w:type="dxa"/>
            <w:bottom w:w="0" w:type="dxa"/>
            <w:right w:w="108" w:type="dxa"/>
          </w:tblCellMar>
        </w:tblPrEx>
        <w:trPr>
          <w:trHeight w:val="435" w:hRule="atLeast"/>
        </w:trPr>
        <w:tc>
          <w:tcPr>
            <w:tcW w:w="9014" w:type="dxa"/>
            <w:gridSpan w:val="4"/>
            <w:tcBorders>
              <w:top w:val="nil"/>
              <w:left w:val="nil"/>
              <w:bottom w:val="nil"/>
              <w:right w:val="nil"/>
            </w:tcBorders>
            <w:shd w:val="clear" w:color="auto" w:fill="auto"/>
            <w:vAlign w:val="center"/>
          </w:tcPr>
          <w:p>
            <w:pPr>
              <w:widowControl/>
              <w:autoSpaceDE/>
              <w:autoSpaceDN/>
              <w:jc w:val="center"/>
              <w:rPr>
                <w:rFonts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lang w:eastAsia="zh-CN"/>
              </w:rPr>
              <w:t>技术偏离表</w:t>
            </w: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vAlign w:val="center"/>
          </w:tcPr>
          <w:p>
            <w:pPr>
              <w:widowControl/>
              <w:autoSpaceDE/>
              <w:autoSpaceDN/>
              <w:rPr>
                <w:rFonts w:cs="Arial" w:asciiTheme="majorEastAsia" w:hAnsiTheme="majorEastAsia" w:eastAsiaTheme="majorEastAsia"/>
                <w:color w:val="auto"/>
                <w:sz w:val="24"/>
                <w:szCs w:val="24"/>
                <w:highlight w:val="none"/>
                <w:lang w:eastAsia="zh-CN"/>
              </w:rPr>
            </w:pPr>
            <w:r>
              <w:rPr>
                <w:rFonts w:hint="eastAsia" w:cs="Arial" w:asciiTheme="majorEastAsia" w:hAnsiTheme="majorEastAsia" w:eastAsiaTheme="majorEastAsia"/>
                <w:color w:val="auto"/>
                <w:sz w:val="24"/>
                <w:szCs w:val="24"/>
                <w:highlight w:val="none"/>
                <w:lang w:eastAsia="zh-CN"/>
              </w:rPr>
              <w:t>项目名称</w:t>
            </w:r>
            <w:r>
              <w:rPr>
                <w:rFonts w:cs="Arial" w:asciiTheme="majorEastAsia" w:hAnsiTheme="majorEastAsia" w:eastAsiaTheme="majorEastAsia"/>
                <w:color w:val="auto"/>
                <w:sz w:val="24"/>
                <w:szCs w:val="24"/>
                <w:highlight w:val="none"/>
                <w:lang w:eastAsia="zh-CN"/>
              </w:rPr>
              <w:t>:</w:t>
            </w:r>
          </w:p>
        </w:tc>
        <w:tc>
          <w:tcPr>
            <w:tcW w:w="3118" w:type="dxa"/>
            <w:tcBorders>
              <w:top w:val="nil"/>
              <w:left w:val="nil"/>
              <w:bottom w:val="nil"/>
              <w:right w:val="nil"/>
            </w:tcBorders>
            <w:shd w:val="clear" w:color="auto" w:fill="auto"/>
            <w:vAlign w:val="center"/>
          </w:tcPr>
          <w:p>
            <w:pPr>
              <w:widowControl/>
              <w:autoSpaceDE/>
              <w:autoSpaceDN/>
              <w:rPr>
                <w:rFonts w:ascii="Arial" w:hAnsi="Arial" w:cs="Arial"/>
                <w:color w:val="auto"/>
                <w:highlight w:val="none"/>
                <w:lang w:eastAsia="zh-CN"/>
              </w:rPr>
            </w:pPr>
          </w:p>
        </w:tc>
        <w:tc>
          <w:tcPr>
            <w:tcW w:w="1360" w:type="dxa"/>
            <w:tcBorders>
              <w:top w:val="nil"/>
              <w:left w:val="nil"/>
              <w:bottom w:val="nil"/>
              <w:right w:val="nil"/>
            </w:tcBorders>
            <w:shd w:val="clear" w:color="auto" w:fill="auto"/>
            <w:vAlign w:val="center"/>
          </w:tcPr>
          <w:p>
            <w:pPr>
              <w:widowControl/>
              <w:autoSpaceDE/>
              <w:autoSpaceDN/>
              <w:rPr>
                <w:rFonts w:ascii="Arial" w:hAnsi="Arial" w:cs="Arial"/>
                <w:color w:val="auto"/>
                <w:highlight w:val="none"/>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vAlign w:val="center"/>
          </w:tcPr>
          <w:p>
            <w:pPr>
              <w:widowControl/>
              <w:autoSpaceDE/>
              <w:autoSpaceDN/>
              <w:rPr>
                <w:rFonts w:cs="Arial" w:asciiTheme="majorEastAsia" w:hAnsiTheme="majorEastAsia" w:eastAsiaTheme="majorEastAsia"/>
                <w:color w:val="auto"/>
                <w:sz w:val="24"/>
                <w:szCs w:val="24"/>
                <w:highlight w:val="none"/>
                <w:lang w:eastAsia="zh-CN"/>
              </w:rPr>
            </w:pPr>
            <w:r>
              <w:rPr>
                <w:rFonts w:hint="eastAsia" w:cs="Arial" w:asciiTheme="majorEastAsia" w:hAnsiTheme="majorEastAsia" w:eastAsiaTheme="majorEastAsia"/>
                <w:color w:val="auto"/>
                <w:sz w:val="24"/>
                <w:szCs w:val="24"/>
                <w:highlight w:val="none"/>
                <w:lang w:eastAsia="zh-CN"/>
              </w:rPr>
              <w:t>发包人</w:t>
            </w:r>
            <w:r>
              <w:rPr>
                <w:rFonts w:cs="Arial" w:asciiTheme="majorEastAsia" w:hAnsiTheme="majorEastAsia" w:eastAsiaTheme="majorEastAsia"/>
                <w:color w:val="auto"/>
                <w:sz w:val="24"/>
                <w:szCs w:val="24"/>
                <w:highlight w:val="none"/>
                <w:lang w:eastAsia="zh-CN"/>
              </w:rPr>
              <w:t>:福建福海</w:t>
            </w:r>
            <w:r>
              <w:rPr>
                <w:rFonts w:hint="eastAsia" w:cs="Arial" w:asciiTheme="majorEastAsia" w:hAnsiTheme="majorEastAsia" w:eastAsiaTheme="majorEastAsia"/>
                <w:color w:val="auto"/>
                <w:sz w:val="24"/>
                <w:szCs w:val="24"/>
                <w:highlight w:val="none"/>
                <w:lang w:eastAsia="zh-CN"/>
              </w:rPr>
              <w:t>创石油化工有限公司</w:t>
            </w:r>
          </w:p>
        </w:tc>
        <w:tc>
          <w:tcPr>
            <w:tcW w:w="3118" w:type="dxa"/>
            <w:tcBorders>
              <w:top w:val="nil"/>
              <w:left w:val="nil"/>
              <w:bottom w:val="nil"/>
              <w:right w:val="nil"/>
            </w:tcBorders>
            <w:shd w:val="clear" w:color="auto" w:fill="auto"/>
            <w:vAlign w:val="center"/>
          </w:tcPr>
          <w:p>
            <w:pPr>
              <w:widowControl/>
              <w:autoSpaceDE/>
              <w:autoSpaceDN/>
              <w:rPr>
                <w:rFonts w:ascii="Arial" w:hAnsi="Arial" w:cs="Arial"/>
                <w:color w:val="auto"/>
                <w:highlight w:val="none"/>
                <w:lang w:eastAsia="zh-CN"/>
              </w:rPr>
            </w:pPr>
          </w:p>
        </w:tc>
        <w:tc>
          <w:tcPr>
            <w:tcW w:w="1360" w:type="dxa"/>
            <w:tcBorders>
              <w:top w:val="nil"/>
              <w:left w:val="nil"/>
              <w:bottom w:val="nil"/>
              <w:right w:val="nil"/>
            </w:tcBorders>
            <w:shd w:val="clear" w:color="auto" w:fill="auto"/>
            <w:vAlign w:val="center"/>
          </w:tcPr>
          <w:p>
            <w:pPr>
              <w:widowControl/>
              <w:autoSpaceDE/>
              <w:autoSpaceDN/>
              <w:rPr>
                <w:rFonts w:ascii="Arial" w:hAnsi="Arial" w:cs="Arial"/>
                <w:color w:val="auto"/>
                <w:highlight w:val="none"/>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vAlign w:val="center"/>
          </w:tcPr>
          <w:p>
            <w:pPr>
              <w:widowControl/>
              <w:autoSpaceDE/>
              <w:autoSpaceDN/>
              <w:rPr>
                <w:rFonts w:cs="Arial" w:asciiTheme="majorEastAsia" w:hAnsiTheme="majorEastAsia" w:eastAsiaTheme="majorEastAsia"/>
                <w:color w:val="auto"/>
                <w:sz w:val="24"/>
                <w:szCs w:val="24"/>
                <w:highlight w:val="none"/>
                <w:lang w:eastAsia="zh-CN"/>
              </w:rPr>
            </w:pPr>
            <w:r>
              <w:rPr>
                <w:rFonts w:hint="eastAsia" w:cs="Arial" w:asciiTheme="majorEastAsia" w:hAnsiTheme="majorEastAsia" w:eastAsiaTheme="majorEastAsia"/>
                <w:color w:val="auto"/>
                <w:sz w:val="24"/>
                <w:szCs w:val="24"/>
                <w:highlight w:val="none"/>
                <w:lang w:eastAsia="zh-CN"/>
              </w:rPr>
              <w:t>请购单号</w:t>
            </w:r>
            <w:r>
              <w:rPr>
                <w:rFonts w:cs="Arial" w:asciiTheme="majorEastAsia" w:hAnsiTheme="majorEastAsia" w:eastAsiaTheme="majorEastAsia"/>
                <w:color w:val="auto"/>
                <w:sz w:val="24"/>
                <w:szCs w:val="24"/>
                <w:highlight w:val="none"/>
                <w:lang w:eastAsia="zh-CN"/>
              </w:rPr>
              <w:t>:</w:t>
            </w:r>
          </w:p>
        </w:tc>
        <w:tc>
          <w:tcPr>
            <w:tcW w:w="3118" w:type="dxa"/>
            <w:tcBorders>
              <w:top w:val="nil"/>
              <w:left w:val="nil"/>
              <w:bottom w:val="nil"/>
              <w:right w:val="nil"/>
            </w:tcBorders>
            <w:shd w:val="clear" w:color="auto" w:fill="auto"/>
            <w:vAlign w:val="center"/>
          </w:tcPr>
          <w:p>
            <w:pPr>
              <w:widowControl/>
              <w:autoSpaceDE/>
              <w:autoSpaceDN/>
              <w:rPr>
                <w:rFonts w:ascii="Arial" w:hAnsi="Arial" w:cs="Arial"/>
                <w:color w:val="auto"/>
                <w:highlight w:val="none"/>
                <w:lang w:eastAsia="zh-CN"/>
              </w:rPr>
            </w:pPr>
          </w:p>
        </w:tc>
        <w:tc>
          <w:tcPr>
            <w:tcW w:w="1360" w:type="dxa"/>
            <w:tcBorders>
              <w:top w:val="nil"/>
              <w:left w:val="nil"/>
              <w:bottom w:val="nil"/>
              <w:right w:val="nil"/>
            </w:tcBorders>
            <w:shd w:val="clear" w:color="auto" w:fill="auto"/>
            <w:vAlign w:val="center"/>
          </w:tcPr>
          <w:p>
            <w:pPr>
              <w:widowControl/>
              <w:autoSpaceDE/>
              <w:autoSpaceDN/>
              <w:rPr>
                <w:rFonts w:ascii="Arial" w:hAnsi="Arial" w:cs="Arial"/>
                <w:color w:val="auto"/>
                <w:highlight w:val="none"/>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vAlign w:val="center"/>
          </w:tcPr>
          <w:p>
            <w:pPr>
              <w:widowControl/>
              <w:autoSpaceDE/>
              <w:autoSpaceDN/>
              <w:rPr>
                <w:rFonts w:cs="Arial" w:asciiTheme="majorEastAsia" w:hAnsiTheme="majorEastAsia" w:eastAsiaTheme="majorEastAsia"/>
                <w:color w:val="auto"/>
                <w:sz w:val="24"/>
                <w:szCs w:val="24"/>
                <w:highlight w:val="none"/>
                <w:lang w:eastAsia="zh-CN"/>
              </w:rPr>
            </w:pPr>
            <w:r>
              <w:rPr>
                <w:rFonts w:hint="eastAsia" w:cs="Arial" w:asciiTheme="majorEastAsia" w:hAnsiTheme="majorEastAsia" w:eastAsiaTheme="majorEastAsia"/>
                <w:color w:val="auto"/>
                <w:sz w:val="24"/>
                <w:szCs w:val="24"/>
                <w:highlight w:val="none"/>
                <w:lang w:eastAsia="zh-CN"/>
              </w:rPr>
              <w:t>招标文件名称</w:t>
            </w:r>
            <w:r>
              <w:rPr>
                <w:rFonts w:cs="Arial" w:asciiTheme="majorEastAsia" w:hAnsiTheme="majorEastAsia" w:eastAsiaTheme="majorEastAsia"/>
                <w:color w:val="auto"/>
                <w:sz w:val="24"/>
                <w:szCs w:val="24"/>
                <w:highlight w:val="none"/>
                <w:lang w:eastAsia="zh-CN"/>
              </w:rPr>
              <w:t>:</w:t>
            </w:r>
          </w:p>
        </w:tc>
        <w:tc>
          <w:tcPr>
            <w:tcW w:w="3118" w:type="dxa"/>
            <w:tcBorders>
              <w:top w:val="nil"/>
              <w:left w:val="nil"/>
              <w:bottom w:val="nil"/>
              <w:right w:val="nil"/>
            </w:tcBorders>
            <w:shd w:val="clear" w:color="auto" w:fill="auto"/>
            <w:vAlign w:val="center"/>
          </w:tcPr>
          <w:p>
            <w:pPr>
              <w:widowControl/>
              <w:autoSpaceDE/>
              <w:autoSpaceDN/>
              <w:rPr>
                <w:rFonts w:ascii="Arial" w:hAnsi="Arial" w:cs="Arial"/>
                <w:color w:val="auto"/>
                <w:highlight w:val="none"/>
                <w:lang w:eastAsia="zh-CN"/>
              </w:rPr>
            </w:pPr>
          </w:p>
        </w:tc>
        <w:tc>
          <w:tcPr>
            <w:tcW w:w="1360" w:type="dxa"/>
            <w:tcBorders>
              <w:top w:val="nil"/>
              <w:left w:val="nil"/>
              <w:bottom w:val="nil"/>
              <w:right w:val="nil"/>
            </w:tcBorders>
            <w:shd w:val="clear" w:color="auto" w:fill="auto"/>
            <w:vAlign w:val="center"/>
          </w:tcPr>
          <w:p>
            <w:pPr>
              <w:widowControl/>
              <w:autoSpaceDE/>
              <w:autoSpaceDN/>
              <w:rPr>
                <w:rFonts w:ascii="Arial" w:hAnsi="Arial" w:cs="Arial"/>
                <w:color w:val="auto"/>
                <w:highlight w:val="none"/>
                <w:lang w:eastAsia="zh-CN"/>
              </w:rPr>
            </w:pPr>
          </w:p>
        </w:tc>
      </w:tr>
      <w:tr>
        <w:tblPrEx>
          <w:tblCellMar>
            <w:top w:w="0" w:type="dxa"/>
            <w:left w:w="108" w:type="dxa"/>
            <w:bottom w:w="0" w:type="dxa"/>
            <w:right w:w="108" w:type="dxa"/>
          </w:tblCellMar>
        </w:tblPrEx>
        <w:trPr>
          <w:trHeight w:val="285" w:hRule="atLeast"/>
        </w:trPr>
        <w:tc>
          <w:tcPr>
            <w:tcW w:w="4536" w:type="dxa"/>
            <w:gridSpan w:val="2"/>
            <w:tcBorders>
              <w:top w:val="nil"/>
              <w:left w:val="nil"/>
              <w:bottom w:val="nil"/>
              <w:right w:val="nil"/>
            </w:tcBorders>
            <w:shd w:val="clear" w:color="auto" w:fill="auto"/>
            <w:vAlign w:val="center"/>
          </w:tcPr>
          <w:p>
            <w:pPr>
              <w:widowControl/>
              <w:autoSpaceDE/>
              <w:autoSpaceDN/>
              <w:rPr>
                <w:rFonts w:cs="Arial" w:asciiTheme="majorEastAsia" w:hAnsiTheme="majorEastAsia" w:eastAsiaTheme="majorEastAsia"/>
                <w:color w:val="auto"/>
                <w:sz w:val="24"/>
                <w:szCs w:val="24"/>
                <w:highlight w:val="none"/>
                <w:lang w:eastAsia="zh-CN"/>
              </w:rPr>
            </w:pPr>
            <w:r>
              <w:rPr>
                <w:rFonts w:cs="Arial" w:asciiTheme="majorEastAsia" w:hAnsiTheme="majorEastAsia" w:eastAsiaTheme="majorEastAsia"/>
                <w:color w:val="auto"/>
                <w:sz w:val="24"/>
                <w:szCs w:val="24"/>
                <w:highlight w:val="none"/>
                <w:lang w:eastAsia="zh-CN"/>
              </w:rPr>
              <w:t>投</w:t>
            </w:r>
            <w:r>
              <w:rPr>
                <w:rFonts w:hint="eastAsia" w:cs="Arial" w:asciiTheme="majorEastAsia" w:hAnsiTheme="majorEastAsia" w:eastAsiaTheme="majorEastAsia"/>
                <w:color w:val="auto"/>
                <w:sz w:val="24"/>
                <w:szCs w:val="24"/>
                <w:highlight w:val="none"/>
                <w:lang w:eastAsia="zh-CN"/>
              </w:rPr>
              <w:t>标人</w:t>
            </w:r>
            <w:r>
              <w:rPr>
                <w:rFonts w:cs="Arial" w:asciiTheme="majorEastAsia" w:hAnsiTheme="majorEastAsia" w:eastAsiaTheme="majorEastAsia"/>
                <w:color w:val="auto"/>
                <w:sz w:val="24"/>
                <w:szCs w:val="24"/>
                <w:highlight w:val="none"/>
                <w:lang w:eastAsia="zh-CN"/>
              </w:rPr>
              <w:t>:XXXXXXXX</w:t>
            </w:r>
          </w:p>
        </w:tc>
        <w:tc>
          <w:tcPr>
            <w:tcW w:w="3118" w:type="dxa"/>
            <w:tcBorders>
              <w:top w:val="nil"/>
              <w:left w:val="nil"/>
              <w:bottom w:val="nil"/>
              <w:right w:val="nil"/>
            </w:tcBorders>
            <w:shd w:val="clear" w:color="auto" w:fill="auto"/>
            <w:vAlign w:val="center"/>
          </w:tcPr>
          <w:p>
            <w:pPr>
              <w:widowControl/>
              <w:autoSpaceDE/>
              <w:autoSpaceDN/>
              <w:rPr>
                <w:rFonts w:ascii="Arial" w:hAnsi="Arial" w:cs="Arial"/>
                <w:color w:val="auto"/>
                <w:highlight w:val="none"/>
                <w:lang w:eastAsia="zh-CN"/>
              </w:rPr>
            </w:pPr>
          </w:p>
        </w:tc>
        <w:tc>
          <w:tcPr>
            <w:tcW w:w="1360" w:type="dxa"/>
            <w:tcBorders>
              <w:top w:val="nil"/>
              <w:left w:val="nil"/>
              <w:bottom w:val="nil"/>
              <w:right w:val="nil"/>
            </w:tcBorders>
            <w:shd w:val="clear" w:color="auto" w:fill="auto"/>
            <w:vAlign w:val="center"/>
          </w:tcPr>
          <w:p>
            <w:pPr>
              <w:widowControl/>
              <w:autoSpaceDE/>
              <w:autoSpaceDN/>
              <w:rPr>
                <w:rFonts w:ascii="Arial" w:hAnsi="Arial" w:cs="Arial"/>
                <w:color w:val="auto"/>
                <w:highlight w:val="none"/>
                <w:lang w:eastAsia="zh-CN"/>
              </w:rPr>
            </w:pPr>
          </w:p>
        </w:tc>
      </w:tr>
      <w:tr>
        <w:tblPrEx>
          <w:tblCellMar>
            <w:top w:w="0" w:type="dxa"/>
            <w:left w:w="108" w:type="dxa"/>
            <w:bottom w:w="0" w:type="dxa"/>
            <w:right w:w="108" w:type="dxa"/>
          </w:tblCellMar>
        </w:tblPrEx>
        <w:trPr>
          <w:trHeight w:val="270" w:hRule="atLeast"/>
        </w:trPr>
        <w:tc>
          <w:tcPr>
            <w:tcW w:w="102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序</w:t>
            </w:r>
            <w:r>
              <w:rPr>
                <w:rFonts w:hint="eastAsia" w:cs="Arial"/>
                <w:color w:val="auto"/>
                <w:sz w:val="20"/>
                <w:szCs w:val="20"/>
                <w:highlight w:val="none"/>
                <w:lang w:eastAsia="zh-CN"/>
              </w:rPr>
              <w:t>号</w:t>
            </w:r>
          </w:p>
        </w:tc>
        <w:tc>
          <w:tcPr>
            <w:tcW w:w="3516" w:type="dxa"/>
            <w:tcBorders>
              <w:top w:val="single" w:color="auto" w:sz="8" w:space="0"/>
              <w:left w:val="nil"/>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投</w:t>
            </w:r>
            <w:r>
              <w:rPr>
                <w:rFonts w:hint="eastAsia" w:cs="Arial"/>
                <w:color w:val="auto"/>
                <w:sz w:val="20"/>
                <w:szCs w:val="20"/>
                <w:highlight w:val="none"/>
                <w:lang w:eastAsia="zh-CN"/>
              </w:rPr>
              <w:t>标人澄清或背离意见</w:t>
            </w:r>
          </w:p>
        </w:tc>
        <w:tc>
          <w:tcPr>
            <w:tcW w:w="3118" w:type="dxa"/>
            <w:tcBorders>
              <w:top w:val="single" w:color="auto" w:sz="8" w:space="0"/>
              <w:left w:val="nil"/>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hint="eastAsia" w:cs="Arial"/>
                <w:color w:val="auto"/>
                <w:sz w:val="20"/>
                <w:szCs w:val="20"/>
                <w:highlight w:val="none"/>
                <w:lang w:eastAsia="zh-CN"/>
              </w:rPr>
              <w:t>发包人</w:t>
            </w:r>
            <w:r>
              <w:rPr>
                <w:rFonts w:ascii="Arial" w:hAnsi="Arial" w:cs="Arial"/>
                <w:color w:val="auto"/>
                <w:sz w:val="20"/>
                <w:szCs w:val="20"/>
                <w:highlight w:val="none"/>
                <w:lang w:eastAsia="zh-CN"/>
              </w:rPr>
              <w:t>回</w:t>
            </w:r>
            <w:r>
              <w:rPr>
                <w:rFonts w:hint="eastAsia" w:cs="Arial"/>
                <w:color w:val="auto"/>
                <w:sz w:val="20"/>
                <w:szCs w:val="20"/>
                <w:highlight w:val="none"/>
                <w:lang w:eastAsia="zh-CN"/>
              </w:rPr>
              <w:t>复</w:t>
            </w:r>
          </w:p>
        </w:tc>
        <w:tc>
          <w:tcPr>
            <w:tcW w:w="1360" w:type="dxa"/>
            <w:tcBorders>
              <w:top w:val="single" w:color="auto" w:sz="8" w:space="0"/>
              <w:left w:val="nil"/>
              <w:bottom w:val="single" w:color="auto" w:sz="4" w:space="0"/>
              <w:right w:val="single" w:color="auto" w:sz="8" w:space="0"/>
            </w:tcBorders>
            <w:shd w:val="clear" w:color="auto" w:fill="auto"/>
            <w:vAlign w:val="center"/>
          </w:tcPr>
          <w:p>
            <w:pPr>
              <w:widowControl/>
              <w:autoSpaceDE/>
              <w:autoSpaceDN/>
              <w:jc w:val="center"/>
              <w:rPr>
                <w:rFonts w:cs="Arial"/>
                <w:color w:val="auto"/>
                <w:sz w:val="20"/>
                <w:szCs w:val="20"/>
                <w:highlight w:val="none"/>
                <w:lang w:eastAsia="zh-CN"/>
              </w:rPr>
            </w:pPr>
            <w:r>
              <w:rPr>
                <w:rFonts w:hint="eastAsia" w:cs="Arial"/>
                <w:color w:val="auto"/>
                <w:sz w:val="20"/>
                <w:szCs w:val="20"/>
                <w:highlight w:val="none"/>
                <w:lang w:eastAsia="zh-CN"/>
              </w:rPr>
              <w:t>状态</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1</w:t>
            </w:r>
          </w:p>
        </w:tc>
        <w:tc>
          <w:tcPr>
            <w:tcW w:w="3516" w:type="dxa"/>
            <w:tcBorders>
              <w:top w:val="nil"/>
              <w:left w:val="nil"/>
              <w:bottom w:val="single" w:color="auto" w:sz="4" w:space="0"/>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nil"/>
              <w:left w:val="nil"/>
              <w:bottom w:val="single" w:color="auto" w:sz="4" w:space="0"/>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nil"/>
              <w:left w:val="nil"/>
              <w:bottom w:val="single" w:color="auto" w:sz="4" w:space="0"/>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2</w:t>
            </w:r>
          </w:p>
        </w:tc>
        <w:tc>
          <w:tcPr>
            <w:tcW w:w="3516" w:type="dxa"/>
            <w:tcBorders>
              <w:top w:val="nil"/>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nil"/>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nil"/>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3</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4</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5</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6</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7</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8</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9</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10</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11</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12</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13</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40" w:hRule="atLeast"/>
        </w:trPr>
        <w:tc>
          <w:tcPr>
            <w:tcW w:w="1020" w:type="dxa"/>
            <w:tcBorders>
              <w:top w:val="nil"/>
              <w:left w:val="single" w:color="auto" w:sz="8" w:space="0"/>
              <w:bottom w:val="nil"/>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14</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15</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285" w:hRule="atLeast"/>
        </w:trPr>
        <w:tc>
          <w:tcPr>
            <w:tcW w:w="1020" w:type="dxa"/>
            <w:tcBorders>
              <w:top w:val="nil"/>
              <w:left w:val="single" w:color="auto" w:sz="8" w:space="0"/>
              <w:bottom w:val="single" w:color="auto" w:sz="8" w:space="0"/>
              <w:right w:val="single" w:color="auto" w:sz="4"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16</w:t>
            </w:r>
          </w:p>
        </w:tc>
        <w:tc>
          <w:tcPr>
            <w:tcW w:w="3516" w:type="dxa"/>
            <w:tcBorders>
              <w:top w:val="single" w:color="auto" w:sz="4" w:space="0"/>
              <w:left w:val="nil"/>
              <w:bottom w:val="single" w:color="auto" w:sz="8" w:space="0"/>
              <w:right w:val="single" w:color="auto" w:sz="4" w:space="0"/>
            </w:tcBorders>
            <w:shd w:val="clear" w:color="auto" w:fill="auto"/>
            <w:vAlign w:val="center"/>
          </w:tcPr>
          <w:p>
            <w:pPr>
              <w:widowControl/>
              <w:autoSpaceDE/>
              <w:autoSpaceDN/>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c>
          <w:tcPr>
            <w:tcW w:w="3118" w:type="dxa"/>
            <w:tcBorders>
              <w:top w:val="single" w:color="auto" w:sz="4" w:space="0"/>
              <w:left w:val="nil"/>
              <w:bottom w:val="single" w:color="auto" w:sz="8" w:space="0"/>
              <w:right w:val="single" w:color="auto" w:sz="4" w:space="0"/>
            </w:tcBorders>
            <w:shd w:val="clear" w:color="auto" w:fill="auto"/>
            <w:vAlign w:val="center"/>
          </w:tcPr>
          <w:p>
            <w:pPr>
              <w:widowControl/>
              <w:autoSpaceDE/>
              <w:autoSpaceDN/>
              <w:rPr>
                <w:rFonts w:cs="Arial"/>
                <w:color w:val="auto"/>
                <w:sz w:val="20"/>
                <w:szCs w:val="20"/>
                <w:highlight w:val="none"/>
                <w:lang w:eastAsia="zh-CN"/>
              </w:rPr>
            </w:pPr>
            <w:r>
              <w:rPr>
                <w:rFonts w:hint="eastAsia" w:cs="Arial"/>
                <w:color w:val="auto"/>
                <w:sz w:val="20"/>
                <w:szCs w:val="20"/>
                <w:highlight w:val="none"/>
                <w:lang w:eastAsia="zh-CN"/>
              </w:rPr>
              <w:t>　</w:t>
            </w:r>
          </w:p>
        </w:tc>
        <w:tc>
          <w:tcPr>
            <w:tcW w:w="1360" w:type="dxa"/>
            <w:tcBorders>
              <w:top w:val="single" w:color="auto" w:sz="4" w:space="0"/>
              <w:left w:val="nil"/>
              <w:bottom w:val="single" w:color="auto" w:sz="8" w:space="0"/>
              <w:right w:val="single" w:color="auto" w:sz="8" w:space="0"/>
            </w:tcBorders>
            <w:shd w:val="clear" w:color="auto" w:fill="auto"/>
            <w:vAlign w:val="center"/>
          </w:tcPr>
          <w:p>
            <w:pPr>
              <w:widowControl/>
              <w:autoSpaceDE/>
              <w:autoSpaceDN/>
              <w:jc w:val="center"/>
              <w:rPr>
                <w:rFonts w:ascii="Arial" w:hAnsi="Arial" w:cs="Arial"/>
                <w:color w:val="auto"/>
                <w:sz w:val="20"/>
                <w:szCs w:val="20"/>
                <w:highlight w:val="none"/>
                <w:lang w:eastAsia="zh-CN"/>
              </w:rPr>
            </w:pPr>
            <w:r>
              <w:rPr>
                <w:rFonts w:ascii="Arial" w:hAnsi="Arial" w:cs="Arial"/>
                <w:color w:val="auto"/>
                <w:sz w:val="20"/>
                <w:szCs w:val="20"/>
                <w:highlight w:val="none"/>
                <w:lang w:eastAsia="zh-CN"/>
              </w:rPr>
              <w:t>　</w:t>
            </w:r>
          </w:p>
        </w:tc>
      </w:tr>
      <w:tr>
        <w:tblPrEx>
          <w:tblCellMar>
            <w:top w:w="0" w:type="dxa"/>
            <w:left w:w="108" w:type="dxa"/>
            <w:bottom w:w="0" w:type="dxa"/>
            <w:right w:w="108" w:type="dxa"/>
          </w:tblCellMar>
        </w:tblPrEx>
        <w:trPr>
          <w:trHeight w:val="810" w:hRule="atLeast"/>
        </w:trPr>
        <w:tc>
          <w:tcPr>
            <w:tcW w:w="1020" w:type="dxa"/>
            <w:tcBorders>
              <w:top w:val="nil"/>
              <w:left w:val="nil"/>
              <w:bottom w:val="nil"/>
              <w:right w:val="nil"/>
            </w:tcBorders>
            <w:shd w:val="clear" w:color="auto" w:fill="auto"/>
            <w:vAlign w:val="center"/>
          </w:tcPr>
          <w:p>
            <w:pPr>
              <w:widowControl/>
              <w:autoSpaceDE/>
              <w:autoSpaceDN/>
              <w:rPr>
                <w:rFonts w:ascii="Arial" w:hAnsi="Arial" w:cs="Arial"/>
                <w:color w:val="auto"/>
                <w:sz w:val="24"/>
                <w:szCs w:val="24"/>
                <w:highlight w:val="none"/>
                <w:lang w:eastAsia="zh-CN"/>
              </w:rPr>
            </w:pPr>
            <w:r>
              <w:rPr>
                <w:rFonts w:ascii="Arial" w:hAnsi="Arial" w:cs="Arial"/>
                <w:color w:val="auto"/>
                <w:sz w:val="24"/>
                <w:szCs w:val="24"/>
                <w:highlight w:val="none"/>
                <w:lang w:eastAsia="zh-CN"/>
              </w:rPr>
              <w:t>注：</w:t>
            </w:r>
          </w:p>
        </w:tc>
        <w:tc>
          <w:tcPr>
            <w:tcW w:w="7994" w:type="dxa"/>
            <w:gridSpan w:val="3"/>
            <w:tcBorders>
              <w:top w:val="nil"/>
              <w:left w:val="nil"/>
              <w:bottom w:val="nil"/>
              <w:right w:val="nil"/>
            </w:tcBorders>
            <w:shd w:val="clear" w:color="auto" w:fill="auto"/>
            <w:vAlign w:val="center"/>
          </w:tcPr>
          <w:p>
            <w:pPr>
              <w:widowControl/>
              <w:autoSpaceDE/>
              <w:autoSpaceDN/>
              <w:rPr>
                <w:rFonts w:ascii="Arial" w:hAnsi="Arial" w:cs="Arial"/>
                <w:color w:val="auto"/>
                <w:sz w:val="24"/>
                <w:szCs w:val="24"/>
                <w:highlight w:val="none"/>
                <w:lang w:eastAsia="zh-CN"/>
              </w:rPr>
            </w:pPr>
            <w:r>
              <w:rPr>
                <w:rFonts w:ascii="Arial" w:hAnsi="Arial" w:cs="Arial"/>
                <w:color w:val="auto"/>
                <w:sz w:val="24"/>
                <w:szCs w:val="24"/>
                <w:highlight w:val="none"/>
                <w:lang w:eastAsia="zh-CN"/>
              </w:rPr>
              <w:t>若投</w:t>
            </w:r>
            <w:r>
              <w:rPr>
                <w:rFonts w:hint="eastAsia" w:cs="Arial"/>
                <w:color w:val="auto"/>
                <w:sz w:val="24"/>
                <w:szCs w:val="24"/>
                <w:highlight w:val="none"/>
                <w:lang w:eastAsia="zh-CN"/>
              </w:rPr>
              <w:t>标人认为无技术偏离，此表应填写，声明与发包技术说明无技术偏离，作为技术方案的组成部分，返回发包人。</w:t>
            </w:r>
          </w:p>
        </w:tc>
      </w:tr>
    </w:tbl>
    <w:p>
      <w:pPr>
        <w:spacing w:line="500" w:lineRule="exact"/>
        <w:jc w:val="both"/>
        <w:rPr>
          <w:color w:val="auto"/>
          <w:sz w:val="24"/>
          <w:szCs w:val="24"/>
          <w:highlight w:val="none"/>
          <w:lang w:eastAsia="zh-CN"/>
        </w:rPr>
      </w:pPr>
    </w:p>
    <w:p>
      <w:pPr>
        <w:spacing w:line="500" w:lineRule="exact"/>
        <w:jc w:val="both"/>
        <w:rPr>
          <w:color w:val="auto"/>
          <w:sz w:val="24"/>
          <w:szCs w:val="24"/>
          <w:highlight w:val="none"/>
          <w:lang w:eastAsia="zh-CN"/>
        </w:rPr>
        <w:sectPr>
          <w:headerReference r:id="rId5" w:type="default"/>
          <w:footerReference r:id="rId6" w:type="default"/>
          <w:pgSz w:w="11910" w:h="16840"/>
          <w:pgMar w:top="1500" w:right="1430" w:bottom="740" w:left="1680" w:header="0" w:footer="551" w:gutter="0"/>
          <w:cols w:space="720" w:num="1"/>
          <w:docGrid w:type="lines" w:linePitch="312" w:charSpace="0"/>
        </w:sectPr>
      </w:pPr>
    </w:p>
    <w:p>
      <w:pPr>
        <w:spacing w:line="500" w:lineRule="exact"/>
        <w:jc w:val="both"/>
        <w:rPr>
          <w:color w:val="auto"/>
          <w:sz w:val="24"/>
          <w:szCs w:val="24"/>
          <w:highlight w:val="none"/>
          <w:lang w:eastAsia="zh-CN"/>
        </w:rPr>
      </w:pPr>
      <w:r>
        <w:rPr>
          <w:rFonts w:hint="eastAsia"/>
          <w:color w:val="auto"/>
          <w:sz w:val="24"/>
          <w:szCs w:val="24"/>
          <w:highlight w:val="none"/>
          <w:lang w:eastAsia="zh-CN"/>
        </w:rPr>
        <w:t>附件6、</w:t>
      </w:r>
    </w:p>
    <w:p>
      <w:pPr>
        <w:pStyle w:val="53"/>
        <w:spacing w:beforeLines="0" w:afterLines="0" w:line="240" w:lineRule="auto"/>
        <w:ind w:firstLine="0" w:firstLineChars="0"/>
        <w:jc w:val="center"/>
        <w:rPr>
          <w:rFonts w:ascii="Times New Roman" w:hAnsi="Times New Roman" w:cs="Times New Roman"/>
          <w:b/>
          <w:color w:val="auto"/>
          <w:sz w:val="36"/>
          <w:szCs w:val="36"/>
          <w:highlight w:val="none"/>
          <w:lang w:eastAsia="zh-CN"/>
        </w:rPr>
      </w:pPr>
      <w:r>
        <w:rPr>
          <w:rFonts w:hint="eastAsia" w:ascii="Times New Roman" w:hAnsi="Times New Roman" w:cs="Times New Roman"/>
          <w:b/>
          <w:color w:val="auto"/>
          <w:sz w:val="36"/>
          <w:szCs w:val="36"/>
          <w:highlight w:val="none"/>
          <w:lang w:eastAsia="zh-CN"/>
        </w:rPr>
        <w:t>参选报价单</w:t>
      </w:r>
    </w:p>
    <w:p>
      <w:pPr>
        <w:pStyle w:val="53"/>
        <w:spacing w:beforeLines="0" w:afterLines="0" w:line="480" w:lineRule="auto"/>
        <w:ind w:firstLine="354" w:firstLineChars="147"/>
        <w:rPr>
          <w:rFonts w:ascii="Times New Roman" w:hAnsi="Times New Roman" w:cs="Times New Roman"/>
          <w:b/>
          <w:color w:val="auto"/>
          <w:sz w:val="24"/>
          <w:szCs w:val="24"/>
          <w:highlight w:val="none"/>
          <w:lang w:eastAsia="zh-CN"/>
        </w:rPr>
      </w:pPr>
      <w:r>
        <w:rPr>
          <w:rFonts w:hint="eastAsia" w:ascii="Times New Roman" w:hAnsi="Times New Roman" w:cs="Times New Roman"/>
          <w:b/>
          <w:color w:val="auto"/>
          <w:sz w:val="24"/>
          <w:szCs w:val="24"/>
          <w:highlight w:val="none"/>
          <w:lang w:eastAsia="zh-CN"/>
        </w:rPr>
        <w:t>（注：本报价单和附表需单独盖章密封）</w:t>
      </w:r>
    </w:p>
    <w:p>
      <w:pPr>
        <w:pStyle w:val="53"/>
        <w:spacing w:beforeLines="0" w:afterLines="0" w:line="480" w:lineRule="auto"/>
        <w:ind w:firstLine="0" w:firstLineChars="0"/>
        <w:rPr>
          <w:rFonts w:ascii="Times New Roman" w:hAnsi="Times New Roman" w:cs="Times New Roman"/>
          <w:b/>
          <w:color w:val="auto"/>
          <w:sz w:val="24"/>
          <w:szCs w:val="24"/>
          <w:highlight w:val="none"/>
          <w:lang w:eastAsia="zh-CN"/>
        </w:rPr>
      </w:pPr>
      <w:r>
        <w:rPr>
          <w:rFonts w:hint="eastAsia"/>
          <w:color w:val="auto"/>
          <w:sz w:val="24"/>
          <w:szCs w:val="24"/>
          <w:highlight w:val="none"/>
          <w:lang w:eastAsia="zh-CN"/>
        </w:rPr>
        <w:t>参选单位：</w:t>
      </w:r>
      <w:r>
        <w:rPr>
          <w:color w:val="auto"/>
          <w:sz w:val="24"/>
          <w:szCs w:val="24"/>
          <w:highlight w:val="none"/>
          <w:lang w:eastAsia="zh-CN"/>
        </w:rPr>
        <w:t xml:space="preserve"> ____________________</w:t>
      </w:r>
    </w:p>
    <w:p>
      <w:pPr>
        <w:spacing w:line="480" w:lineRule="auto"/>
        <w:rPr>
          <w:color w:val="auto"/>
          <w:sz w:val="24"/>
          <w:szCs w:val="24"/>
          <w:highlight w:val="none"/>
          <w:u w:val="single"/>
          <w:lang w:eastAsia="zh-CN"/>
        </w:rPr>
      </w:pPr>
      <w:r>
        <w:rPr>
          <w:rFonts w:hint="eastAsia"/>
          <w:color w:val="auto"/>
          <w:sz w:val="24"/>
          <w:szCs w:val="24"/>
          <w:highlight w:val="none"/>
          <w:lang w:eastAsia="zh-CN"/>
        </w:rPr>
        <w:t>项目名称：</w:t>
      </w:r>
      <w:r>
        <w:rPr>
          <w:rFonts w:hint="eastAsia"/>
          <w:color w:val="auto"/>
          <w:spacing w:val="-2"/>
          <w:sz w:val="24"/>
          <w:szCs w:val="24"/>
          <w:highlight w:val="none"/>
          <w:u w:val="single"/>
          <w:lang w:eastAsia="zh-CN"/>
        </w:rPr>
        <w:t>翔鹭石化(漳州)有限公司海水取水工程2024年度生态补偿增殖放流</w:t>
      </w:r>
      <w:r>
        <w:rPr>
          <w:rFonts w:hint="eastAsia" w:asciiTheme="majorEastAsia" w:hAnsiTheme="majorEastAsia" w:eastAsiaTheme="majorEastAsia"/>
          <w:color w:val="auto"/>
          <w:sz w:val="24"/>
          <w:szCs w:val="24"/>
          <w:highlight w:val="none"/>
          <w:u w:val="single"/>
          <w:lang w:eastAsia="zh-CN"/>
        </w:rPr>
        <w:t xml:space="preserve">项目 </w:t>
      </w:r>
    </w:p>
    <w:p>
      <w:pPr>
        <w:pStyle w:val="2"/>
        <w:spacing w:line="480" w:lineRule="auto"/>
        <w:rPr>
          <w:color w:val="auto"/>
          <w:sz w:val="24"/>
          <w:szCs w:val="24"/>
          <w:highlight w:val="none"/>
        </w:rPr>
      </w:pPr>
      <w:r>
        <w:rPr>
          <w:rFonts w:hint="eastAsia"/>
          <w:color w:val="auto"/>
          <w:sz w:val="24"/>
          <w:szCs w:val="24"/>
          <w:highlight w:val="none"/>
        </w:rPr>
        <w:t>具体分项报价见附表“报价表”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88"/>
        <w:gridCol w:w="1733"/>
        <w:gridCol w:w="1707"/>
        <w:gridCol w:w="2175"/>
        <w:gridCol w:w="1261"/>
        <w:gridCol w:w="2489"/>
        <w:gridCol w:w="1246"/>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852" w:type="dxa"/>
            <w:tcMar>
              <w:left w:w="28" w:type="dxa"/>
              <w:right w:w="28" w:type="dxa"/>
            </w:tcMar>
            <w:vAlign w:val="center"/>
          </w:tcPr>
          <w:p>
            <w:pPr>
              <w:spacing w:line="480" w:lineRule="exact"/>
              <w:jc w:val="center"/>
              <w:rPr>
                <w:color w:val="auto"/>
                <w:sz w:val="24"/>
                <w:highlight w:val="none"/>
              </w:rPr>
            </w:pPr>
            <w:r>
              <w:rPr>
                <w:rFonts w:hint="eastAsia"/>
                <w:color w:val="auto"/>
                <w:sz w:val="24"/>
                <w:highlight w:val="none"/>
              </w:rPr>
              <w:t>合同包</w:t>
            </w:r>
          </w:p>
        </w:tc>
        <w:tc>
          <w:tcPr>
            <w:tcW w:w="788" w:type="dxa"/>
            <w:tcMar>
              <w:left w:w="28" w:type="dxa"/>
              <w:right w:w="28" w:type="dxa"/>
            </w:tcMar>
            <w:vAlign w:val="center"/>
          </w:tcPr>
          <w:p>
            <w:pPr>
              <w:spacing w:line="480" w:lineRule="exact"/>
              <w:jc w:val="center"/>
              <w:rPr>
                <w:color w:val="auto"/>
                <w:sz w:val="24"/>
                <w:highlight w:val="none"/>
              </w:rPr>
            </w:pPr>
            <w:r>
              <w:rPr>
                <w:rFonts w:hint="eastAsia"/>
                <w:color w:val="auto"/>
                <w:sz w:val="24"/>
                <w:highlight w:val="none"/>
              </w:rPr>
              <w:t>品目号</w:t>
            </w:r>
          </w:p>
        </w:tc>
        <w:tc>
          <w:tcPr>
            <w:tcW w:w="1733" w:type="dxa"/>
            <w:tcMar>
              <w:left w:w="28" w:type="dxa"/>
              <w:right w:w="28" w:type="dxa"/>
            </w:tcMar>
            <w:vAlign w:val="center"/>
          </w:tcPr>
          <w:p>
            <w:pPr>
              <w:spacing w:line="480" w:lineRule="exact"/>
              <w:jc w:val="center"/>
              <w:rPr>
                <w:color w:val="auto"/>
                <w:sz w:val="24"/>
                <w:highlight w:val="none"/>
              </w:rPr>
            </w:pPr>
            <w:r>
              <w:rPr>
                <w:rFonts w:hint="eastAsia"/>
                <w:color w:val="auto"/>
                <w:sz w:val="24"/>
                <w:highlight w:val="none"/>
              </w:rPr>
              <w:t>放流品种</w:t>
            </w:r>
          </w:p>
        </w:tc>
        <w:tc>
          <w:tcPr>
            <w:tcW w:w="1707" w:type="dxa"/>
            <w:tcMar>
              <w:left w:w="28" w:type="dxa"/>
              <w:right w:w="28" w:type="dxa"/>
            </w:tcMar>
            <w:vAlign w:val="center"/>
          </w:tcPr>
          <w:p>
            <w:pPr>
              <w:spacing w:line="480" w:lineRule="exact"/>
              <w:jc w:val="center"/>
              <w:rPr>
                <w:color w:val="auto"/>
                <w:sz w:val="24"/>
                <w:highlight w:val="none"/>
              </w:rPr>
            </w:pPr>
            <w:r>
              <w:rPr>
                <w:rFonts w:hint="eastAsia"/>
                <w:color w:val="auto"/>
                <w:sz w:val="24"/>
                <w:highlight w:val="none"/>
              </w:rPr>
              <w:t>放流数量</w:t>
            </w:r>
          </w:p>
          <w:p>
            <w:pPr>
              <w:spacing w:line="480" w:lineRule="exact"/>
              <w:jc w:val="center"/>
              <w:rPr>
                <w:color w:val="auto"/>
                <w:sz w:val="24"/>
                <w:highlight w:val="none"/>
                <w:lang w:eastAsia="zh-CN"/>
              </w:rPr>
            </w:pPr>
            <w:r>
              <w:rPr>
                <w:rFonts w:hint="eastAsia"/>
                <w:color w:val="auto"/>
                <w:sz w:val="24"/>
                <w:highlight w:val="none"/>
                <w:lang w:eastAsia="zh-CN"/>
              </w:rPr>
              <w:t>（万尾）</w:t>
            </w:r>
          </w:p>
        </w:tc>
        <w:tc>
          <w:tcPr>
            <w:tcW w:w="2175" w:type="dxa"/>
            <w:tcMar>
              <w:left w:w="28" w:type="dxa"/>
              <w:right w:w="28" w:type="dxa"/>
            </w:tcMar>
            <w:vAlign w:val="center"/>
          </w:tcPr>
          <w:p>
            <w:pPr>
              <w:spacing w:line="480" w:lineRule="exact"/>
              <w:jc w:val="center"/>
              <w:rPr>
                <w:color w:val="auto"/>
                <w:sz w:val="24"/>
                <w:highlight w:val="none"/>
              </w:rPr>
            </w:pPr>
            <w:r>
              <w:rPr>
                <w:rFonts w:hint="eastAsia"/>
                <w:color w:val="auto"/>
                <w:sz w:val="24"/>
                <w:highlight w:val="none"/>
              </w:rPr>
              <w:t>规格</w:t>
            </w:r>
          </w:p>
        </w:tc>
        <w:tc>
          <w:tcPr>
            <w:tcW w:w="1261" w:type="dxa"/>
            <w:tcMar>
              <w:left w:w="28" w:type="dxa"/>
              <w:right w:w="28" w:type="dxa"/>
            </w:tcMar>
            <w:vAlign w:val="center"/>
          </w:tcPr>
          <w:p>
            <w:pPr>
              <w:spacing w:line="480" w:lineRule="exact"/>
              <w:jc w:val="center"/>
              <w:rPr>
                <w:color w:val="auto"/>
                <w:sz w:val="24"/>
                <w:highlight w:val="none"/>
                <w:lang w:eastAsia="zh-CN"/>
              </w:rPr>
            </w:pPr>
            <w:r>
              <w:rPr>
                <w:rFonts w:hint="eastAsia"/>
                <w:color w:val="auto"/>
                <w:sz w:val="24"/>
                <w:highlight w:val="none"/>
                <w:lang w:eastAsia="zh-CN"/>
              </w:rPr>
              <w:t>金额</w:t>
            </w:r>
            <w:r>
              <w:rPr>
                <w:rFonts w:hint="eastAsia"/>
                <w:color w:val="auto"/>
                <w:sz w:val="24"/>
                <w:highlight w:val="none"/>
                <w:lang w:eastAsia="zh-CN"/>
              </w:rPr>
              <w:br w:type="textWrapping"/>
            </w:r>
            <w:r>
              <w:rPr>
                <w:rFonts w:hint="eastAsia"/>
                <w:color w:val="auto"/>
                <w:sz w:val="24"/>
                <w:highlight w:val="none"/>
                <w:lang w:eastAsia="zh-CN"/>
              </w:rPr>
              <w:t>（万元）</w:t>
            </w:r>
          </w:p>
        </w:tc>
        <w:tc>
          <w:tcPr>
            <w:tcW w:w="2489" w:type="dxa"/>
            <w:tcMar>
              <w:left w:w="28" w:type="dxa"/>
              <w:right w:w="28" w:type="dxa"/>
            </w:tcMar>
            <w:vAlign w:val="center"/>
          </w:tcPr>
          <w:p>
            <w:pPr>
              <w:pStyle w:val="87"/>
              <w:widowControl w:val="0"/>
              <w:adjustRightInd w:val="0"/>
              <w:spacing w:line="480" w:lineRule="exact"/>
              <w:textAlignment w:val="baseline"/>
              <w:rPr>
                <w:color w:val="auto"/>
                <w:szCs w:val="20"/>
                <w:highlight w:val="none"/>
              </w:rPr>
            </w:pPr>
            <w:r>
              <w:rPr>
                <w:rFonts w:hint="eastAsia"/>
                <w:color w:val="auto"/>
                <w:szCs w:val="20"/>
                <w:highlight w:val="none"/>
              </w:rPr>
              <w:t>质量标准承诺</w:t>
            </w:r>
          </w:p>
        </w:tc>
        <w:tc>
          <w:tcPr>
            <w:tcW w:w="1246" w:type="dxa"/>
            <w:tcMar>
              <w:left w:w="28" w:type="dxa"/>
              <w:right w:w="28" w:type="dxa"/>
            </w:tcMar>
            <w:vAlign w:val="center"/>
          </w:tcPr>
          <w:p>
            <w:pPr>
              <w:pStyle w:val="87"/>
              <w:widowControl w:val="0"/>
              <w:adjustRightInd w:val="0"/>
              <w:spacing w:line="480" w:lineRule="exact"/>
              <w:textAlignment w:val="baseline"/>
              <w:rPr>
                <w:color w:val="auto"/>
                <w:szCs w:val="20"/>
                <w:highlight w:val="none"/>
              </w:rPr>
            </w:pPr>
            <w:r>
              <w:rPr>
                <w:rFonts w:hint="eastAsia"/>
                <w:color w:val="auto"/>
                <w:szCs w:val="20"/>
                <w:highlight w:val="none"/>
              </w:rPr>
              <w:t>放流地点</w:t>
            </w:r>
          </w:p>
        </w:tc>
        <w:tc>
          <w:tcPr>
            <w:tcW w:w="1617" w:type="dxa"/>
            <w:vAlign w:val="center"/>
          </w:tcPr>
          <w:p>
            <w:pPr>
              <w:pStyle w:val="87"/>
              <w:widowControl w:val="0"/>
              <w:adjustRightInd w:val="0"/>
              <w:spacing w:line="480" w:lineRule="exact"/>
              <w:textAlignment w:val="baseline"/>
              <w:rPr>
                <w:color w:val="auto"/>
                <w:szCs w:val="20"/>
                <w:highlight w:val="none"/>
              </w:rPr>
            </w:pPr>
            <w:r>
              <w:rPr>
                <w:rFonts w:hint="eastAsia"/>
                <w:color w:val="auto"/>
                <w:szCs w:val="20"/>
                <w:highlight w:val="none"/>
              </w:rPr>
              <w:t>放流时间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852" w:type="dxa"/>
            <w:vMerge w:val="restart"/>
            <w:tcMar>
              <w:left w:w="28" w:type="dxa"/>
              <w:right w:w="28" w:type="dxa"/>
            </w:tcMar>
            <w:vAlign w:val="center"/>
          </w:tcPr>
          <w:p>
            <w:pPr>
              <w:spacing w:line="460" w:lineRule="exact"/>
              <w:jc w:val="center"/>
              <w:rPr>
                <w:color w:val="auto"/>
                <w:sz w:val="24"/>
                <w:szCs w:val="24"/>
                <w:highlight w:val="none"/>
              </w:rPr>
            </w:pPr>
            <w:r>
              <w:rPr>
                <w:rFonts w:hint="eastAsia"/>
                <w:color w:val="auto"/>
                <w:sz w:val="24"/>
                <w:szCs w:val="24"/>
                <w:highlight w:val="none"/>
              </w:rPr>
              <w:t>1</w:t>
            </w:r>
          </w:p>
        </w:tc>
        <w:tc>
          <w:tcPr>
            <w:tcW w:w="788" w:type="dxa"/>
            <w:tcMar>
              <w:left w:w="28" w:type="dxa"/>
              <w:right w:w="28" w:type="dxa"/>
            </w:tcMar>
            <w:vAlign w:val="center"/>
          </w:tcPr>
          <w:p>
            <w:pPr>
              <w:spacing w:line="460" w:lineRule="exact"/>
              <w:jc w:val="center"/>
              <w:rPr>
                <w:color w:val="auto"/>
                <w:sz w:val="24"/>
                <w:szCs w:val="24"/>
                <w:highlight w:val="none"/>
              </w:rPr>
            </w:pPr>
            <w:r>
              <w:rPr>
                <w:rFonts w:hint="eastAsia"/>
                <w:color w:val="auto"/>
                <w:sz w:val="24"/>
                <w:szCs w:val="24"/>
                <w:highlight w:val="none"/>
              </w:rPr>
              <w:t>1-1</w:t>
            </w:r>
          </w:p>
        </w:tc>
        <w:tc>
          <w:tcPr>
            <w:tcW w:w="1733" w:type="dxa"/>
            <w:tcMar>
              <w:left w:w="28" w:type="dxa"/>
              <w:right w:w="28" w:type="dxa"/>
            </w:tcMar>
            <w:vAlign w:val="center"/>
          </w:tcPr>
          <w:p>
            <w:pPr>
              <w:spacing w:line="460" w:lineRule="exact"/>
              <w:jc w:val="center"/>
              <w:rPr>
                <w:color w:val="auto"/>
                <w:sz w:val="24"/>
                <w:szCs w:val="24"/>
                <w:highlight w:val="none"/>
                <w:lang w:eastAsia="zh-CN"/>
              </w:rPr>
            </w:pPr>
            <w:r>
              <w:rPr>
                <w:rFonts w:hint="eastAsia"/>
                <w:color w:val="auto"/>
                <w:sz w:val="24"/>
                <w:szCs w:val="24"/>
                <w:highlight w:val="none"/>
                <w:lang w:eastAsia="zh-CN"/>
              </w:rPr>
              <w:t>黄鳍鲷</w:t>
            </w:r>
          </w:p>
        </w:tc>
        <w:tc>
          <w:tcPr>
            <w:tcW w:w="1707" w:type="dxa"/>
            <w:tcMar>
              <w:left w:w="28" w:type="dxa"/>
              <w:right w:w="28" w:type="dxa"/>
            </w:tcMar>
            <w:vAlign w:val="center"/>
          </w:tcPr>
          <w:p>
            <w:pPr>
              <w:spacing w:line="460" w:lineRule="exact"/>
              <w:rPr>
                <w:color w:val="auto"/>
                <w:sz w:val="24"/>
                <w:szCs w:val="24"/>
                <w:highlight w:val="none"/>
                <w:lang w:eastAsia="zh-CN"/>
              </w:rPr>
            </w:pPr>
            <w:r>
              <w:rPr>
                <w:rFonts w:hint="eastAsia"/>
                <w:color w:val="auto"/>
                <w:sz w:val="24"/>
                <w:szCs w:val="24"/>
                <w:highlight w:val="none"/>
                <w:lang w:eastAsia="zh-CN"/>
              </w:rPr>
              <w:t>P1：</w:t>
            </w:r>
          </w:p>
        </w:tc>
        <w:tc>
          <w:tcPr>
            <w:tcW w:w="2175" w:type="dxa"/>
            <w:tcMar>
              <w:left w:w="28" w:type="dxa"/>
              <w:right w:w="28" w:type="dxa"/>
            </w:tcMar>
            <w:vAlign w:val="center"/>
          </w:tcPr>
          <w:p>
            <w:pPr>
              <w:spacing w:line="460" w:lineRule="exact"/>
              <w:jc w:val="center"/>
              <w:rPr>
                <w:color w:val="auto"/>
                <w:sz w:val="24"/>
                <w:szCs w:val="24"/>
                <w:highlight w:val="none"/>
                <w:lang w:eastAsia="zh-CN"/>
              </w:rPr>
            </w:pPr>
            <w:r>
              <w:rPr>
                <w:rFonts w:hint="eastAsia"/>
                <w:color w:val="auto"/>
                <w:sz w:val="24"/>
                <w:szCs w:val="24"/>
                <w:highlight w:val="none"/>
                <w:lang w:eastAsia="zh-CN"/>
              </w:rPr>
              <w:t>不小于5CM仔鱼</w:t>
            </w:r>
          </w:p>
        </w:tc>
        <w:tc>
          <w:tcPr>
            <w:tcW w:w="1261" w:type="dxa"/>
            <w:tcMar>
              <w:left w:w="28" w:type="dxa"/>
              <w:right w:w="28" w:type="dxa"/>
            </w:tcMar>
            <w:vAlign w:val="center"/>
          </w:tcPr>
          <w:p>
            <w:pPr>
              <w:pStyle w:val="26"/>
              <w:jc w:val="center"/>
              <w:rPr>
                <w:color w:val="auto"/>
                <w:sz w:val="24"/>
                <w:szCs w:val="24"/>
                <w:highlight w:val="none"/>
              </w:rPr>
            </w:pPr>
          </w:p>
          <w:p>
            <w:pPr>
              <w:pStyle w:val="26"/>
              <w:jc w:val="center"/>
              <w:rPr>
                <w:color w:val="auto"/>
                <w:sz w:val="24"/>
                <w:szCs w:val="24"/>
                <w:highlight w:val="none"/>
                <w:lang w:eastAsia="zh-CN"/>
              </w:rPr>
            </w:pPr>
            <w:r>
              <w:rPr>
                <w:rFonts w:hint="eastAsia"/>
                <w:color w:val="auto"/>
                <w:sz w:val="24"/>
                <w:szCs w:val="24"/>
                <w:highlight w:val="none"/>
                <w:lang w:eastAsia="zh-CN"/>
              </w:rPr>
              <w:t>75.00</w:t>
            </w:r>
          </w:p>
          <w:p>
            <w:pPr>
              <w:pStyle w:val="26"/>
              <w:jc w:val="center"/>
              <w:rPr>
                <w:color w:val="auto"/>
                <w:sz w:val="24"/>
                <w:szCs w:val="24"/>
                <w:highlight w:val="none"/>
              </w:rPr>
            </w:pPr>
          </w:p>
        </w:tc>
        <w:tc>
          <w:tcPr>
            <w:tcW w:w="2489" w:type="dxa"/>
            <w:vMerge w:val="restart"/>
            <w:tcMar>
              <w:left w:w="28" w:type="dxa"/>
              <w:right w:w="28" w:type="dxa"/>
            </w:tcMar>
            <w:vAlign w:val="center"/>
          </w:tcPr>
          <w:p>
            <w:pPr>
              <w:spacing w:line="460" w:lineRule="exact"/>
              <w:jc w:val="center"/>
              <w:rPr>
                <w:color w:val="auto"/>
                <w:sz w:val="24"/>
                <w:szCs w:val="24"/>
                <w:highlight w:val="none"/>
                <w:lang w:eastAsia="zh-CN"/>
              </w:rPr>
            </w:pPr>
            <w:r>
              <w:rPr>
                <w:rFonts w:hint="eastAsia"/>
                <w:color w:val="auto"/>
                <w:sz w:val="24"/>
                <w:szCs w:val="24"/>
                <w:highlight w:val="none"/>
                <w:lang w:eastAsia="zh-CN"/>
              </w:rPr>
              <w:t>符合国家有关验收标准、规范及本招标项目技术规格书的要求。</w:t>
            </w:r>
          </w:p>
        </w:tc>
        <w:tc>
          <w:tcPr>
            <w:tcW w:w="1246" w:type="dxa"/>
            <w:vMerge w:val="restart"/>
            <w:tcMar>
              <w:left w:w="28" w:type="dxa"/>
              <w:right w:w="28" w:type="dxa"/>
            </w:tcMar>
            <w:vAlign w:val="center"/>
          </w:tcPr>
          <w:p>
            <w:pPr>
              <w:spacing w:line="460" w:lineRule="exact"/>
              <w:jc w:val="center"/>
              <w:rPr>
                <w:color w:val="auto"/>
                <w:sz w:val="24"/>
                <w:szCs w:val="24"/>
                <w:highlight w:val="none"/>
                <w:lang w:eastAsia="zh-CN"/>
              </w:rPr>
            </w:pPr>
            <w:r>
              <w:rPr>
                <w:rFonts w:hint="eastAsia"/>
                <w:color w:val="auto"/>
                <w:sz w:val="24"/>
                <w:szCs w:val="24"/>
                <w:highlight w:val="none"/>
                <w:lang w:eastAsia="zh-CN"/>
              </w:rPr>
              <w:t>浮头湾海域（含杏仔码头）</w:t>
            </w:r>
          </w:p>
          <w:p>
            <w:pPr>
              <w:spacing w:line="460" w:lineRule="exact"/>
              <w:jc w:val="center"/>
              <w:rPr>
                <w:color w:val="auto"/>
                <w:sz w:val="24"/>
                <w:szCs w:val="24"/>
                <w:highlight w:val="none"/>
                <w:lang w:eastAsia="zh-CN"/>
              </w:rPr>
            </w:pPr>
          </w:p>
        </w:tc>
        <w:tc>
          <w:tcPr>
            <w:tcW w:w="1617" w:type="dxa"/>
            <w:vMerge w:val="restart"/>
            <w:vAlign w:val="center"/>
          </w:tcPr>
          <w:p>
            <w:pPr>
              <w:spacing w:line="460" w:lineRule="exact"/>
              <w:jc w:val="center"/>
              <w:rPr>
                <w:color w:val="auto"/>
                <w:sz w:val="24"/>
                <w:szCs w:val="24"/>
                <w:highlight w:val="none"/>
                <w:lang w:eastAsia="zh-CN"/>
              </w:rPr>
            </w:pPr>
            <w:r>
              <w:rPr>
                <w:rFonts w:hint="eastAsia"/>
                <w:color w:val="auto"/>
                <w:sz w:val="24"/>
                <w:szCs w:val="24"/>
                <w:highlight w:val="none"/>
                <w:lang w:eastAsia="zh-CN"/>
              </w:rPr>
              <w:t>2024年6月下旬至2024年8月上旬期间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52" w:type="dxa"/>
            <w:vMerge w:val="continue"/>
            <w:tcMar>
              <w:left w:w="28" w:type="dxa"/>
              <w:right w:w="28" w:type="dxa"/>
            </w:tcMar>
            <w:vAlign w:val="center"/>
          </w:tcPr>
          <w:p>
            <w:pPr>
              <w:spacing w:line="460" w:lineRule="exact"/>
              <w:jc w:val="center"/>
              <w:rPr>
                <w:color w:val="auto"/>
                <w:sz w:val="24"/>
                <w:szCs w:val="24"/>
                <w:highlight w:val="none"/>
                <w:lang w:eastAsia="zh-CN"/>
              </w:rPr>
            </w:pPr>
          </w:p>
        </w:tc>
        <w:tc>
          <w:tcPr>
            <w:tcW w:w="788" w:type="dxa"/>
            <w:tcMar>
              <w:left w:w="28" w:type="dxa"/>
              <w:right w:w="28" w:type="dxa"/>
            </w:tcMar>
            <w:vAlign w:val="center"/>
          </w:tcPr>
          <w:p>
            <w:pPr>
              <w:spacing w:line="460" w:lineRule="exact"/>
              <w:jc w:val="center"/>
              <w:rPr>
                <w:color w:val="auto"/>
                <w:sz w:val="24"/>
                <w:szCs w:val="24"/>
                <w:highlight w:val="none"/>
              </w:rPr>
            </w:pPr>
            <w:r>
              <w:rPr>
                <w:rFonts w:hint="eastAsia"/>
                <w:color w:val="auto"/>
                <w:sz w:val="24"/>
                <w:szCs w:val="24"/>
                <w:highlight w:val="none"/>
              </w:rPr>
              <w:t>1-2</w:t>
            </w:r>
          </w:p>
        </w:tc>
        <w:tc>
          <w:tcPr>
            <w:tcW w:w="1733" w:type="dxa"/>
            <w:tcMar>
              <w:left w:w="28" w:type="dxa"/>
              <w:right w:w="28" w:type="dxa"/>
            </w:tcMar>
            <w:vAlign w:val="center"/>
          </w:tcPr>
          <w:p>
            <w:pPr>
              <w:spacing w:line="460" w:lineRule="exact"/>
              <w:jc w:val="center"/>
              <w:rPr>
                <w:color w:val="auto"/>
                <w:sz w:val="24"/>
                <w:szCs w:val="24"/>
                <w:highlight w:val="none"/>
                <w:lang w:eastAsia="zh-CN"/>
              </w:rPr>
            </w:pPr>
            <w:r>
              <w:rPr>
                <w:rFonts w:hint="eastAsia"/>
                <w:color w:val="auto"/>
                <w:sz w:val="24"/>
                <w:szCs w:val="24"/>
                <w:highlight w:val="none"/>
                <w:lang w:eastAsia="zh-CN"/>
              </w:rPr>
              <w:t>大黄鱼</w:t>
            </w:r>
          </w:p>
        </w:tc>
        <w:tc>
          <w:tcPr>
            <w:tcW w:w="1707" w:type="dxa"/>
            <w:tcMar>
              <w:left w:w="28" w:type="dxa"/>
              <w:right w:w="28" w:type="dxa"/>
            </w:tcMar>
            <w:vAlign w:val="center"/>
          </w:tcPr>
          <w:p>
            <w:pPr>
              <w:spacing w:line="460" w:lineRule="exact"/>
              <w:rPr>
                <w:color w:val="auto"/>
                <w:sz w:val="24"/>
                <w:szCs w:val="24"/>
                <w:highlight w:val="none"/>
                <w:lang w:eastAsia="zh-CN"/>
              </w:rPr>
            </w:pPr>
            <w:r>
              <w:rPr>
                <w:rFonts w:hint="eastAsia"/>
                <w:color w:val="auto"/>
                <w:sz w:val="24"/>
                <w:szCs w:val="24"/>
                <w:highlight w:val="none"/>
                <w:lang w:eastAsia="zh-CN"/>
              </w:rPr>
              <w:t>P2：</w:t>
            </w:r>
          </w:p>
        </w:tc>
        <w:tc>
          <w:tcPr>
            <w:tcW w:w="2175" w:type="dxa"/>
            <w:tcMar>
              <w:left w:w="28" w:type="dxa"/>
              <w:right w:w="28" w:type="dxa"/>
            </w:tcMar>
            <w:vAlign w:val="center"/>
          </w:tcPr>
          <w:p>
            <w:pPr>
              <w:spacing w:line="460" w:lineRule="exact"/>
              <w:jc w:val="center"/>
              <w:rPr>
                <w:color w:val="auto"/>
                <w:sz w:val="24"/>
                <w:szCs w:val="24"/>
                <w:highlight w:val="none"/>
                <w:lang w:eastAsia="zh-CN"/>
              </w:rPr>
            </w:pPr>
            <w:r>
              <w:rPr>
                <w:rFonts w:hint="eastAsia"/>
                <w:color w:val="auto"/>
                <w:sz w:val="24"/>
                <w:szCs w:val="24"/>
                <w:highlight w:val="none"/>
                <w:lang w:eastAsia="zh-CN"/>
              </w:rPr>
              <w:t>不小于5CM仔鱼</w:t>
            </w:r>
          </w:p>
        </w:tc>
        <w:tc>
          <w:tcPr>
            <w:tcW w:w="1261" w:type="dxa"/>
            <w:tcMar>
              <w:left w:w="28" w:type="dxa"/>
              <w:right w:w="28" w:type="dxa"/>
            </w:tcMar>
            <w:vAlign w:val="center"/>
          </w:tcPr>
          <w:p>
            <w:pPr>
              <w:pStyle w:val="26"/>
              <w:jc w:val="center"/>
              <w:rPr>
                <w:color w:val="auto"/>
                <w:sz w:val="24"/>
                <w:szCs w:val="24"/>
                <w:highlight w:val="none"/>
              </w:rPr>
            </w:pPr>
            <w:r>
              <w:rPr>
                <w:rFonts w:hint="eastAsia"/>
                <w:color w:val="auto"/>
                <w:sz w:val="24"/>
                <w:szCs w:val="24"/>
                <w:highlight w:val="none"/>
                <w:lang w:eastAsia="zh-CN"/>
              </w:rPr>
              <w:t>75.00</w:t>
            </w:r>
          </w:p>
        </w:tc>
        <w:tc>
          <w:tcPr>
            <w:tcW w:w="2489" w:type="dxa"/>
            <w:vMerge w:val="continue"/>
            <w:tcMar>
              <w:left w:w="28" w:type="dxa"/>
              <w:right w:w="28" w:type="dxa"/>
            </w:tcMar>
            <w:vAlign w:val="center"/>
          </w:tcPr>
          <w:p>
            <w:pPr>
              <w:spacing w:line="460" w:lineRule="exact"/>
              <w:rPr>
                <w:color w:val="auto"/>
                <w:sz w:val="24"/>
                <w:szCs w:val="24"/>
                <w:highlight w:val="none"/>
              </w:rPr>
            </w:pPr>
          </w:p>
        </w:tc>
        <w:tc>
          <w:tcPr>
            <w:tcW w:w="1246" w:type="dxa"/>
            <w:vMerge w:val="continue"/>
            <w:tcMar>
              <w:left w:w="28" w:type="dxa"/>
              <w:right w:w="28" w:type="dxa"/>
            </w:tcMar>
            <w:vAlign w:val="center"/>
          </w:tcPr>
          <w:p>
            <w:pPr>
              <w:spacing w:line="460" w:lineRule="exact"/>
              <w:jc w:val="center"/>
              <w:rPr>
                <w:color w:val="auto"/>
                <w:sz w:val="24"/>
                <w:szCs w:val="24"/>
                <w:highlight w:val="none"/>
              </w:rPr>
            </w:pPr>
          </w:p>
        </w:tc>
        <w:tc>
          <w:tcPr>
            <w:tcW w:w="1617" w:type="dxa"/>
            <w:vMerge w:val="continue"/>
            <w:vAlign w:val="center"/>
          </w:tcPr>
          <w:p>
            <w:pPr>
              <w:spacing w:line="460" w:lineRule="exac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852" w:type="dxa"/>
            <w:vMerge w:val="continue"/>
            <w:tcMar>
              <w:left w:w="28" w:type="dxa"/>
              <w:right w:w="28" w:type="dxa"/>
            </w:tcMar>
            <w:vAlign w:val="center"/>
          </w:tcPr>
          <w:p>
            <w:pPr>
              <w:spacing w:line="460" w:lineRule="exact"/>
              <w:jc w:val="center"/>
              <w:rPr>
                <w:color w:val="auto"/>
                <w:sz w:val="24"/>
                <w:szCs w:val="24"/>
                <w:highlight w:val="none"/>
              </w:rPr>
            </w:pPr>
          </w:p>
        </w:tc>
        <w:tc>
          <w:tcPr>
            <w:tcW w:w="788" w:type="dxa"/>
            <w:tcMar>
              <w:left w:w="28" w:type="dxa"/>
              <w:right w:w="28" w:type="dxa"/>
            </w:tcMar>
            <w:vAlign w:val="center"/>
          </w:tcPr>
          <w:p>
            <w:pPr>
              <w:spacing w:line="460" w:lineRule="exact"/>
              <w:jc w:val="center"/>
              <w:rPr>
                <w:color w:val="auto"/>
                <w:sz w:val="24"/>
                <w:szCs w:val="24"/>
                <w:highlight w:val="none"/>
                <w:lang w:eastAsia="zh-CN"/>
              </w:rPr>
            </w:pPr>
            <w:r>
              <w:rPr>
                <w:rFonts w:hint="eastAsia"/>
                <w:color w:val="auto"/>
                <w:sz w:val="24"/>
                <w:szCs w:val="24"/>
                <w:highlight w:val="none"/>
              </w:rPr>
              <w:t>1-</w:t>
            </w:r>
            <w:r>
              <w:rPr>
                <w:rFonts w:hint="eastAsia"/>
                <w:color w:val="auto"/>
                <w:sz w:val="24"/>
                <w:szCs w:val="24"/>
                <w:highlight w:val="none"/>
                <w:lang w:eastAsia="zh-CN"/>
              </w:rPr>
              <w:t>3</w:t>
            </w:r>
          </w:p>
        </w:tc>
        <w:tc>
          <w:tcPr>
            <w:tcW w:w="1733" w:type="dxa"/>
            <w:tcMar>
              <w:left w:w="28" w:type="dxa"/>
              <w:right w:w="28" w:type="dxa"/>
            </w:tcMar>
            <w:vAlign w:val="center"/>
          </w:tcPr>
          <w:p>
            <w:pPr>
              <w:spacing w:line="460" w:lineRule="exact"/>
              <w:jc w:val="center"/>
              <w:rPr>
                <w:color w:val="auto"/>
                <w:sz w:val="24"/>
                <w:szCs w:val="24"/>
                <w:highlight w:val="none"/>
                <w:lang w:eastAsia="zh-CN"/>
              </w:rPr>
            </w:pPr>
            <w:r>
              <w:rPr>
                <w:rFonts w:hint="eastAsia"/>
                <w:color w:val="auto"/>
                <w:sz w:val="24"/>
                <w:szCs w:val="24"/>
                <w:highlight w:val="none"/>
                <w:lang w:eastAsia="zh-CN"/>
              </w:rPr>
              <w:t>日本对虾</w:t>
            </w:r>
          </w:p>
        </w:tc>
        <w:tc>
          <w:tcPr>
            <w:tcW w:w="1707" w:type="dxa"/>
            <w:tcMar>
              <w:left w:w="28" w:type="dxa"/>
              <w:right w:w="28" w:type="dxa"/>
            </w:tcMar>
            <w:vAlign w:val="center"/>
          </w:tcPr>
          <w:p>
            <w:pPr>
              <w:spacing w:line="460" w:lineRule="exact"/>
              <w:rPr>
                <w:color w:val="auto"/>
                <w:sz w:val="24"/>
                <w:szCs w:val="24"/>
                <w:highlight w:val="none"/>
                <w:lang w:eastAsia="zh-CN"/>
              </w:rPr>
            </w:pPr>
            <w:r>
              <w:rPr>
                <w:rFonts w:hint="eastAsia"/>
                <w:color w:val="auto"/>
                <w:sz w:val="24"/>
                <w:szCs w:val="24"/>
                <w:highlight w:val="none"/>
                <w:lang w:eastAsia="zh-CN"/>
              </w:rPr>
              <w:t>P3：</w:t>
            </w:r>
          </w:p>
        </w:tc>
        <w:tc>
          <w:tcPr>
            <w:tcW w:w="2175" w:type="dxa"/>
            <w:tcMar>
              <w:left w:w="28" w:type="dxa"/>
              <w:right w:w="28" w:type="dxa"/>
            </w:tcMar>
            <w:vAlign w:val="center"/>
          </w:tcPr>
          <w:p>
            <w:pPr>
              <w:spacing w:line="460" w:lineRule="exact"/>
              <w:jc w:val="center"/>
              <w:rPr>
                <w:color w:val="auto"/>
                <w:sz w:val="24"/>
                <w:szCs w:val="24"/>
                <w:highlight w:val="none"/>
                <w:lang w:eastAsia="zh-CN"/>
              </w:rPr>
            </w:pPr>
            <w:r>
              <w:rPr>
                <w:rFonts w:hint="eastAsia"/>
                <w:color w:val="auto"/>
                <w:sz w:val="24"/>
                <w:szCs w:val="24"/>
                <w:highlight w:val="none"/>
                <w:lang w:eastAsia="zh-CN"/>
              </w:rPr>
              <w:t>不小于0.8CM幼体</w:t>
            </w:r>
          </w:p>
        </w:tc>
        <w:tc>
          <w:tcPr>
            <w:tcW w:w="1261" w:type="dxa"/>
            <w:tcMar>
              <w:left w:w="28" w:type="dxa"/>
              <w:right w:w="28" w:type="dxa"/>
            </w:tcMar>
            <w:vAlign w:val="center"/>
          </w:tcPr>
          <w:p>
            <w:pPr>
              <w:spacing w:line="460" w:lineRule="exact"/>
              <w:jc w:val="center"/>
              <w:rPr>
                <w:color w:val="auto"/>
                <w:sz w:val="24"/>
                <w:szCs w:val="24"/>
                <w:highlight w:val="none"/>
                <w:lang w:eastAsia="zh-CN"/>
              </w:rPr>
            </w:pPr>
            <w:r>
              <w:rPr>
                <w:rFonts w:hint="eastAsia"/>
                <w:color w:val="auto"/>
                <w:sz w:val="24"/>
                <w:szCs w:val="24"/>
                <w:highlight w:val="none"/>
                <w:lang w:eastAsia="zh-CN"/>
              </w:rPr>
              <w:t>44.90</w:t>
            </w:r>
          </w:p>
        </w:tc>
        <w:tc>
          <w:tcPr>
            <w:tcW w:w="2489" w:type="dxa"/>
            <w:vMerge w:val="continue"/>
            <w:tcMar>
              <w:left w:w="28" w:type="dxa"/>
              <w:right w:w="28" w:type="dxa"/>
            </w:tcMar>
            <w:vAlign w:val="center"/>
          </w:tcPr>
          <w:p>
            <w:pPr>
              <w:spacing w:line="460" w:lineRule="exact"/>
              <w:rPr>
                <w:color w:val="auto"/>
                <w:sz w:val="24"/>
                <w:szCs w:val="24"/>
                <w:highlight w:val="none"/>
              </w:rPr>
            </w:pPr>
          </w:p>
        </w:tc>
        <w:tc>
          <w:tcPr>
            <w:tcW w:w="1246" w:type="dxa"/>
            <w:vMerge w:val="continue"/>
            <w:tcMar>
              <w:left w:w="28" w:type="dxa"/>
              <w:right w:w="28" w:type="dxa"/>
            </w:tcMar>
            <w:vAlign w:val="center"/>
          </w:tcPr>
          <w:p>
            <w:pPr>
              <w:spacing w:line="460" w:lineRule="exact"/>
              <w:rPr>
                <w:color w:val="auto"/>
                <w:sz w:val="24"/>
                <w:szCs w:val="24"/>
                <w:highlight w:val="none"/>
              </w:rPr>
            </w:pPr>
          </w:p>
        </w:tc>
        <w:tc>
          <w:tcPr>
            <w:tcW w:w="1617" w:type="dxa"/>
            <w:vMerge w:val="continue"/>
            <w:vAlign w:val="center"/>
          </w:tcPr>
          <w:p>
            <w:pPr>
              <w:spacing w:line="460" w:lineRule="exact"/>
              <w:rPr>
                <w:color w:val="auto"/>
                <w:sz w:val="24"/>
                <w:szCs w:val="24"/>
                <w:highlight w:val="none"/>
                <w:u w:val="single"/>
              </w:rPr>
            </w:pPr>
          </w:p>
        </w:tc>
      </w:tr>
    </w:tbl>
    <w:p>
      <w:pPr>
        <w:snapToGrid w:val="0"/>
        <w:spacing w:line="460" w:lineRule="exact"/>
        <w:rPr>
          <w:b/>
          <w:color w:val="auto"/>
          <w:sz w:val="24"/>
          <w:szCs w:val="24"/>
          <w:highlight w:val="none"/>
          <w:u w:val="single"/>
          <w:lang w:eastAsia="zh-CN"/>
        </w:rPr>
      </w:pPr>
      <w:r>
        <w:rPr>
          <w:rFonts w:hint="eastAsia"/>
          <w:b/>
          <w:color w:val="auto"/>
          <w:sz w:val="24"/>
          <w:highlight w:val="none"/>
          <w:u w:val="single"/>
          <w:lang w:eastAsia="zh-CN"/>
        </w:rPr>
        <w:t>注</w:t>
      </w:r>
      <w:r>
        <w:rPr>
          <w:rFonts w:hint="eastAsia"/>
          <w:bCs/>
          <w:color w:val="auto"/>
          <w:sz w:val="24"/>
          <w:highlight w:val="none"/>
          <w:u w:val="single"/>
          <w:lang w:eastAsia="zh-CN"/>
        </w:rPr>
        <w:t>：</w:t>
      </w:r>
      <w:r>
        <w:rPr>
          <w:rFonts w:hint="eastAsia"/>
          <w:b/>
          <w:color w:val="auto"/>
          <w:sz w:val="24"/>
          <w:highlight w:val="none"/>
          <w:u w:val="single"/>
          <w:lang w:eastAsia="zh-CN"/>
        </w:rPr>
        <w:t>1.</w:t>
      </w:r>
      <w:r>
        <w:rPr>
          <w:rFonts w:hint="eastAsia"/>
          <w:b/>
          <w:color w:val="auto"/>
          <w:sz w:val="24"/>
          <w:szCs w:val="24"/>
          <w:highlight w:val="none"/>
          <w:u w:val="single"/>
          <w:lang w:eastAsia="zh-CN"/>
        </w:rPr>
        <w:t>投标报价应包含且不限于苗种培育、暂养、检测、检疫、放流人工费、专家费、验收费、专用工具、放流鱼苗、食宿、交通、运输、运输保险、发票税收等与本项目相关的所有费用。</w:t>
      </w:r>
    </w:p>
    <w:p>
      <w:pPr>
        <w:pStyle w:val="34"/>
        <w:ind w:left="440" w:firstLine="440"/>
        <w:rPr>
          <w:color w:val="auto"/>
          <w:highlight w:val="none"/>
          <w:lang w:eastAsia="zh-CN"/>
        </w:rPr>
      </w:pPr>
      <w:r>
        <w:rPr>
          <w:color w:val="auto"/>
          <w:highlight w:val="none"/>
          <w:lang w:eastAsia="zh-CN"/>
        </w:rPr>
        <w:t>2.</w:t>
      </w:r>
      <w:r>
        <w:rPr>
          <w:rFonts w:hint="eastAsia"/>
          <w:color w:val="auto"/>
          <w:sz w:val="24"/>
          <w:szCs w:val="24"/>
          <w:highlight w:val="none"/>
          <w:u w:val="double"/>
          <w:lang w:eastAsia="zh-CN"/>
        </w:rPr>
        <w:t xml:space="preserve"> 本项目投标报价为投标放流数量，且要求投标人拟放流的品种数量应满足下列数量要求，即250</w:t>
      </w:r>
      <w:r>
        <w:rPr>
          <w:color w:val="auto"/>
          <w:sz w:val="24"/>
          <w:szCs w:val="24"/>
          <w:highlight w:val="none"/>
          <w:u w:val="double"/>
          <w:lang w:eastAsia="zh-CN"/>
        </w:rPr>
        <w:t>万尾≥</w:t>
      </w:r>
      <w:r>
        <w:rPr>
          <w:rFonts w:hint="eastAsia"/>
          <w:color w:val="auto"/>
          <w:sz w:val="24"/>
          <w:szCs w:val="24"/>
          <w:highlight w:val="none"/>
          <w:u w:val="double"/>
          <w:lang w:eastAsia="zh-CN"/>
        </w:rPr>
        <w:t>1-1黄鳍鲷（仔鱼5厘米及以上）≥</w:t>
      </w:r>
      <w:r>
        <w:rPr>
          <w:color w:val="auto"/>
          <w:sz w:val="24"/>
          <w:szCs w:val="24"/>
          <w:highlight w:val="none"/>
          <w:u w:val="double"/>
          <w:lang w:eastAsia="zh-CN"/>
        </w:rPr>
        <w:t>150</w:t>
      </w:r>
      <w:r>
        <w:rPr>
          <w:rFonts w:hint="eastAsia"/>
          <w:color w:val="auto"/>
          <w:sz w:val="24"/>
          <w:szCs w:val="24"/>
          <w:highlight w:val="none"/>
          <w:u w:val="double"/>
          <w:lang w:eastAsia="zh-CN"/>
        </w:rPr>
        <w:t>万尾；</w:t>
      </w:r>
      <w:r>
        <w:rPr>
          <w:color w:val="auto"/>
          <w:sz w:val="24"/>
          <w:szCs w:val="24"/>
          <w:highlight w:val="none"/>
          <w:u w:val="double"/>
          <w:lang w:eastAsia="zh-CN"/>
        </w:rPr>
        <w:t>250万尾≥</w:t>
      </w:r>
      <w:r>
        <w:rPr>
          <w:rFonts w:hint="eastAsia"/>
          <w:color w:val="auto"/>
          <w:sz w:val="24"/>
          <w:szCs w:val="24"/>
          <w:highlight w:val="none"/>
          <w:u w:val="double"/>
          <w:lang w:eastAsia="zh-CN"/>
        </w:rPr>
        <w:t>1-2大黄鱼（仔鱼5厘米及以上）≥</w:t>
      </w:r>
      <w:r>
        <w:rPr>
          <w:color w:val="auto"/>
          <w:sz w:val="24"/>
          <w:szCs w:val="24"/>
          <w:highlight w:val="none"/>
          <w:u w:val="double"/>
          <w:lang w:eastAsia="zh-CN"/>
        </w:rPr>
        <w:t>150</w:t>
      </w:r>
      <w:r>
        <w:rPr>
          <w:rFonts w:hint="eastAsia"/>
          <w:color w:val="auto"/>
          <w:sz w:val="24"/>
          <w:szCs w:val="24"/>
          <w:highlight w:val="none"/>
          <w:u w:val="double"/>
          <w:lang w:eastAsia="zh-CN"/>
        </w:rPr>
        <w:t>万尾；</w:t>
      </w:r>
      <w:r>
        <w:rPr>
          <w:color w:val="auto"/>
          <w:sz w:val="24"/>
          <w:szCs w:val="24"/>
          <w:highlight w:val="none"/>
          <w:u w:val="double"/>
          <w:lang w:eastAsia="zh-CN"/>
        </w:rPr>
        <w:t>35000万尾≥</w:t>
      </w:r>
      <w:r>
        <w:rPr>
          <w:rFonts w:hint="eastAsia"/>
          <w:color w:val="auto"/>
          <w:sz w:val="24"/>
          <w:szCs w:val="24"/>
          <w:highlight w:val="none"/>
          <w:u w:val="double"/>
          <w:lang w:eastAsia="zh-CN"/>
        </w:rPr>
        <w:t>1-3日本对虾（苗体0.8厘米及以上）≥</w:t>
      </w:r>
      <w:r>
        <w:rPr>
          <w:color w:val="auto"/>
          <w:sz w:val="24"/>
          <w:szCs w:val="24"/>
          <w:highlight w:val="none"/>
          <w:u w:val="double"/>
          <w:lang w:eastAsia="zh-CN"/>
        </w:rPr>
        <w:t>25000</w:t>
      </w:r>
      <w:r>
        <w:rPr>
          <w:rFonts w:hint="eastAsia"/>
          <w:color w:val="auto"/>
          <w:sz w:val="24"/>
          <w:szCs w:val="24"/>
          <w:highlight w:val="none"/>
          <w:u w:val="double"/>
          <w:lang w:eastAsia="zh-CN"/>
        </w:rPr>
        <w:t>万尾。卖方投标价格不应严重偏离市场指导价，否则，视为未实质性响应比选文件要求，其投标将被评标委员会予以否决</w:t>
      </w:r>
      <w:r>
        <w:rPr>
          <w:rFonts w:hint="eastAsia"/>
          <w:color w:val="auto"/>
          <w:sz w:val="24"/>
          <w:szCs w:val="24"/>
          <w:highlight w:val="none"/>
          <w:u w:val="double"/>
          <w:shd w:val="pct10" w:color="auto" w:fill="FFFFFF"/>
          <w:lang w:eastAsia="zh-CN"/>
        </w:rPr>
        <w:t>。</w:t>
      </w:r>
    </w:p>
    <w:p>
      <w:pPr>
        <w:snapToGrid w:val="0"/>
        <w:spacing w:line="460" w:lineRule="exact"/>
        <w:ind w:firstLine="480"/>
        <w:rPr>
          <w:b/>
          <w:color w:val="auto"/>
          <w:sz w:val="24"/>
          <w:szCs w:val="24"/>
          <w:highlight w:val="none"/>
          <w:lang w:eastAsia="zh-CN"/>
        </w:rPr>
      </w:pPr>
      <w:r>
        <w:rPr>
          <w:rFonts w:hint="eastAsia"/>
          <w:b/>
          <w:color w:val="auto"/>
          <w:sz w:val="24"/>
          <w:szCs w:val="24"/>
          <w:highlight w:val="none"/>
          <w:lang w:eastAsia="zh-CN"/>
        </w:rPr>
        <w:t>2.各品目号放流数量（P1、P2、P3）即投标人各品目号的投标报价。</w:t>
      </w:r>
    </w:p>
    <w:p>
      <w:pPr>
        <w:spacing w:line="480" w:lineRule="auto"/>
        <w:ind w:firstLine="720" w:firstLineChars="300"/>
        <w:rPr>
          <w:color w:val="auto"/>
          <w:sz w:val="24"/>
          <w:szCs w:val="24"/>
          <w:highlight w:val="none"/>
          <w:lang w:eastAsia="zh-CN"/>
        </w:rPr>
      </w:pPr>
      <w:r>
        <w:rPr>
          <w:rFonts w:hint="eastAsia"/>
          <w:color w:val="auto"/>
          <w:sz w:val="24"/>
          <w:szCs w:val="24"/>
          <w:highlight w:val="none"/>
          <w:lang w:eastAsia="zh-CN"/>
        </w:rPr>
        <w:t>注： 1、价格为含税价，发票类型及发票税率：</w:t>
      </w:r>
      <w:r>
        <w:rPr>
          <w:rFonts w:hint="eastAsia"/>
          <w:color w:val="auto"/>
          <w:sz w:val="24"/>
          <w:szCs w:val="24"/>
          <w:highlight w:val="none"/>
          <w:u w:val="single"/>
          <w:lang w:eastAsia="zh-CN"/>
        </w:rPr>
        <w:t xml:space="preserve">    % </w:t>
      </w:r>
      <w:r>
        <w:rPr>
          <w:rFonts w:hint="eastAsia"/>
          <w:color w:val="auto"/>
          <w:sz w:val="24"/>
          <w:szCs w:val="24"/>
          <w:highlight w:val="none"/>
          <w:lang w:eastAsia="zh-CN"/>
        </w:rPr>
        <w:t xml:space="preserve"> ；</w:t>
      </w:r>
    </w:p>
    <w:p>
      <w:pPr>
        <w:spacing w:line="480" w:lineRule="auto"/>
        <w:ind w:left="1680" w:hanging="1680" w:hangingChars="700"/>
        <w:rPr>
          <w:b/>
          <w:bCs/>
          <w:color w:val="auto"/>
          <w:sz w:val="24"/>
          <w:szCs w:val="24"/>
          <w:highlight w:val="none"/>
          <w:lang w:eastAsia="zh-CN"/>
        </w:rPr>
      </w:pPr>
      <w:r>
        <w:rPr>
          <w:rFonts w:hint="eastAsia"/>
          <w:color w:val="auto"/>
          <w:sz w:val="24"/>
          <w:szCs w:val="24"/>
          <w:highlight w:val="none"/>
          <w:lang w:eastAsia="zh-CN"/>
        </w:rPr>
        <w:t xml:space="preserve">           2、付款方式：</w:t>
      </w:r>
      <w:r>
        <w:rPr>
          <w:rFonts w:hint="eastAsia"/>
          <w:color w:val="auto"/>
          <w:sz w:val="24"/>
          <w:highlight w:val="none"/>
          <w:lang w:eastAsia="zh-CN"/>
        </w:rPr>
        <w:t>本合同的增殖放流工作完成，并经渔业行政主管部门组织验收合格并取得验收报告后，甲方收到乙方提供的验收报告及合同全额纸质发票60日内支付相应款项给乙方。</w:t>
      </w:r>
    </w:p>
    <w:p>
      <w:pPr>
        <w:pStyle w:val="84"/>
        <w:snapToGrid w:val="0"/>
        <w:spacing w:line="480" w:lineRule="auto"/>
        <w:ind w:firstLine="422" w:firstLineChars="175"/>
        <w:rPr>
          <w:color w:val="auto"/>
          <w:szCs w:val="24"/>
          <w:highlight w:val="none"/>
          <w:u w:val="single"/>
          <w:lang w:eastAsia="zh-CN"/>
        </w:rPr>
      </w:pPr>
      <w:r>
        <w:rPr>
          <w:rFonts w:hint="eastAsia"/>
          <w:color w:val="auto"/>
          <w:szCs w:val="24"/>
          <w:highlight w:val="none"/>
          <w:lang w:eastAsia="zh-CN"/>
        </w:rPr>
        <w:t xml:space="preserve">           3、服务期限：</w:t>
      </w:r>
      <w:r>
        <w:rPr>
          <w:rFonts w:hint="eastAsia"/>
          <w:color w:val="auto"/>
          <w:szCs w:val="24"/>
          <w:highlight w:val="none"/>
          <w:u w:val="single"/>
          <w:lang w:eastAsia="zh-CN"/>
        </w:rPr>
        <w:t xml:space="preserve"> </w:t>
      </w:r>
      <w:r>
        <w:rPr>
          <w:rFonts w:hint="eastAsia"/>
          <w:color w:val="auto"/>
          <w:highlight w:val="none"/>
          <w:u w:val="single"/>
          <w:lang w:eastAsia="zh-CN"/>
        </w:rPr>
        <w:t xml:space="preserve"> 放流时间计划2024年6月下旬至2024年8月上旬期间内完成，具体以甲方的通知为准。</w:t>
      </w:r>
      <w:r>
        <w:rPr>
          <w:rFonts w:hint="eastAsia"/>
          <w:color w:val="auto"/>
          <w:szCs w:val="24"/>
          <w:highlight w:val="none"/>
          <w:u w:val="single"/>
          <w:lang w:eastAsia="zh-CN"/>
        </w:rPr>
        <w:t xml:space="preserve"> </w:t>
      </w:r>
    </w:p>
    <w:p>
      <w:pPr>
        <w:pStyle w:val="84"/>
        <w:snapToGrid w:val="0"/>
        <w:spacing w:line="480" w:lineRule="auto"/>
        <w:ind w:firstLine="422" w:firstLineChars="175"/>
        <w:rPr>
          <w:color w:val="auto"/>
          <w:szCs w:val="24"/>
          <w:highlight w:val="none"/>
          <w:u w:val="single"/>
          <w:lang w:eastAsia="zh-CN"/>
        </w:rPr>
      </w:pPr>
    </w:p>
    <w:p>
      <w:pPr>
        <w:pStyle w:val="2"/>
        <w:spacing w:line="480" w:lineRule="auto"/>
        <w:ind w:firstLine="480" w:firstLineChars="200"/>
        <w:rPr>
          <w:color w:val="auto"/>
          <w:sz w:val="24"/>
          <w:szCs w:val="24"/>
          <w:highlight w:val="none"/>
          <w:u w:val="single"/>
        </w:rPr>
      </w:pPr>
      <w:r>
        <w:rPr>
          <w:rFonts w:hint="eastAsia"/>
          <w:color w:val="auto"/>
          <w:sz w:val="24"/>
          <w:szCs w:val="24"/>
          <w:highlight w:val="none"/>
        </w:rPr>
        <w:t>参选人：</w:t>
      </w:r>
      <w:r>
        <w:rPr>
          <w:rFonts w:hint="eastAsia"/>
          <w:color w:val="auto"/>
          <w:sz w:val="24"/>
          <w:szCs w:val="24"/>
          <w:highlight w:val="none"/>
          <w:u w:val="single"/>
        </w:rPr>
        <w:t xml:space="preserve">      </w:t>
      </w:r>
      <w:r>
        <w:rPr>
          <w:rFonts w:hint="eastAsia"/>
          <w:color w:val="auto"/>
          <w:sz w:val="24"/>
          <w:szCs w:val="24"/>
          <w:highlight w:val="none"/>
        </w:rPr>
        <w:t>（加盖参选单位章）</w:t>
      </w:r>
    </w:p>
    <w:p>
      <w:pPr>
        <w:spacing w:line="480" w:lineRule="auto"/>
        <w:ind w:firstLine="480" w:firstLineChars="200"/>
        <w:rPr>
          <w:color w:val="auto"/>
          <w:sz w:val="24"/>
          <w:szCs w:val="24"/>
          <w:highlight w:val="none"/>
          <w:lang w:eastAsia="zh-CN"/>
        </w:rPr>
      </w:pPr>
      <w:r>
        <w:rPr>
          <w:rFonts w:hint="eastAsia"/>
          <w:color w:val="auto"/>
          <w:sz w:val="24"/>
          <w:szCs w:val="24"/>
          <w:highlight w:val="none"/>
          <w:lang w:eastAsia="zh-CN"/>
        </w:rPr>
        <w:t>法定代表人：</w:t>
      </w:r>
      <w:r>
        <w:rPr>
          <w:rFonts w:hint="eastAsia"/>
          <w:color w:val="auto"/>
          <w:sz w:val="24"/>
          <w:szCs w:val="24"/>
          <w:highlight w:val="none"/>
          <w:u w:val="single"/>
          <w:lang w:eastAsia="zh-CN"/>
        </w:rPr>
        <w:t xml:space="preserve">                 </w:t>
      </w:r>
      <w:r>
        <w:rPr>
          <w:rFonts w:hint="eastAsia"/>
          <w:color w:val="auto"/>
          <w:sz w:val="24"/>
          <w:szCs w:val="24"/>
          <w:highlight w:val="none"/>
          <w:lang w:eastAsia="zh-CN"/>
        </w:rPr>
        <w:t>（签字）</w:t>
      </w:r>
    </w:p>
    <w:p>
      <w:pPr>
        <w:spacing w:line="480" w:lineRule="auto"/>
        <w:ind w:firstLine="480" w:firstLineChars="200"/>
        <w:rPr>
          <w:color w:val="auto"/>
          <w:sz w:val="24"/>
          <w:szCs w:val="24"/>
          <w:highlight w:val="none"/>
          <w:u w:val="single"/>
          <w:lang w:eastAsia="zh-CN"/>
        </w:rPr>
      </w:pPr>
      <w:r>
        <w:rPr>
          <w:rFonts w:hint="eastAsia"/>
          <w:color w:val="auto"/>
          <w:sz w:val="24"/>
          <w:szCs w:val="24"/>
          <w:highlight w:val="none"/>
          <w:lang w:eastAsia="zh-CN"/>
        </w:rPr>
        <w:t>或其授权委托代理人：</w:t>
      </w:r>
      <w:r>
        <w:rPr>
          <w:rFonts w:hint="eastAsia"/>
          <w:color w:val="auto"/>
          <w:sz w:val="24"/>
          <w:szCs w:val="24"/>
          <w:highlight w:val="none"/>
          <w:u w:val="single"/>
          <w:lang w:eastAsia="zh-CN"/>
        </w:rPr>
        <w:t xml:space="preserve">                 </w:t>
      </w:r>
      <w:r>
        <w:rPr>
          <w:color w:val="auto"/>
          <w:sz w:val="24"/>
          <w:szCs w:val="24"/>
          <w:highlight w:val="none"/>
          <w:lang w:eastAsia="zh-CN"/>
        </w:rPr>
        <w:t>_</w:t>
      </w:r>
      <w:r>
        <w:rPr>
          <w:rFonts w:hint="eastAsia"/>
          <w:color w:val="auto"/>
          <w:sz w:val="24"/>
          <w:szCs w:val="24"/>
          <w:highlight w:val="none"/>
          <w:lang w:eastAsia="zh-CN"/>
        </w:rPr>
        <w:t>（签字）</w:t>
      </w:r>
    </w:p>
    <w:p>
      <w:pPr>
        <w:spacing w:line="480" w:lineRule="auto"/>
        <w:ind w:firstLine="480" w:firstLineChars="200"/>
        <w:rPr>
          <w:color w:val="auto"/>
          <w:sz w:val="24"/>
          <w:szCs w:val="24"/>
          <w:highlight w:val="none"/>
          <w:lang w:eastAsia="zh-CN"/>
        </w:rPr>
      </w:pPr>
      <w:r>
        <w:rPr>
          <w:rFonts w:hint="eastAsia"/>
          <w:color w:val="auto"/>
          <w:sz w:val="24"/>
          <w:szCs w:val="24"/>
          <w:highlight w:val="none"/>
          <w:lang w:eastAsia="zh-CN"/>
        </w:rPr>
        <w:t xml:space="preserve">编制时间： </w:t>
      </w:r>
      <w:r>
        <w:rPr>
          <w:rFonts w:hint="eastAsia"/>
          <w:color w:val="auto"/>
          <w:sz w:val="24"/>
          <w:szCs w:val="24"/>
          <w:highlight w:val="none"/>
          <w:u w:val="single"/>
          <w:lang w:eastAsia="zh-CN"/>
        </w:rPr>
        <w:t xml:space="preserve">      年   月   日</w:t>
      </w:r>
    </w:p>
    <w:sectPr>
      <w:pgSz w:w="16840" w:h="11910" w:orient="landscape"/>
      <w:pgMar w:top="1680" w:right="1500" w:bottom="1430" w:left="74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KGBDJA+FangSong_GB2312-Identity">
    <w:altName w:val="Segoe Print"/>
    <w:panose1 w:val="00000000000000000000"/>
    <w:charset w:val="01"/>
    <w:family w:val="auto"/>
    <w:pitch w:val="default"/>
    <w:sig w:usb0="00000000" w:usb1="00000000" w:usb2="01010101" w:usb3="01010101" w:csb0="01010101" w:csb1="01010101"/>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w:pict>
        <v:shape id="_x0000_s3073" o:spid="_x0000_s3073"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sdtPr>
    <w:sdtContent>
      <w:p>
        <w:pPr>
          <w:pStyle w:val="27"/>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1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8B50F"/>
    <w:multiLevelType w:val="singleLevel"/>
    <w:tmpl w:val="9678B50F"/>
    <w:lvl w:ilvl="0" w:tentative="0">
      <w:start w:val="6"/>
      <w:numFmt w:val="chineseCounting"/>
      <w:lvlText w:val="第%1章"/>
      <w:lvlJc w:val="left"/>
      <w:rPr>
        <w:rFonts w:hint="eastAsia"/>
      </w:rPr>
    </w:lvl>
  </w:abstractNum>
  <w:abstractNum w:abstractNumId="1">
    <w:nsid w:val="A6CA2DCC"/>
    <w:multiLevelType w:val="singleLevel"/>
    <w:tmpl w:val="A6CA2DCC"/>
    <w:lvl w:ilvl="0" w:tentative="0">
      <w:start w:val="1"/>
      <w:numFmt w:val="chineseCounting"/>
      <w:lvlText w:val="第%1章"/>
      <w:lvlJc w:val="left"/>
      <w:rPr>
        <w:rFonts w:hint="eastAsia"/>
      </w:rPr>
    </w:lvl>
  </w:abstractNum>
  <w:abstractNum w:abstractNumId="2">
    <w:nsid w:val="AE679E7A"/>
    <w:multiLevelType w:val="singleLevel"/>
    <w:tmpl w:val="AE679E7A"/>
    <w:lvl w:ilvl="0" w:tentative="0">
      <w:start w:val="1"/>
      <w:numFmt w:val="decimal"/>
      <w:suff w:val="nothing"/>
      <w:lvlText w:val="%1、"/>
      <w:lvlJc w:val="left"/>
    </w:lvl>
  </w:abstractNum>
  <w:abstractNum w:abstractNumId="3">
    <w:nsid w:val="B0B206D2"/>
    <w:multiLevelType w:val="singleLevel"/>
    <w:tmpl w:val="B0B206D2"/>
    <w:lvl w:ilvl="0" w:tentative="0">
      <w:start w:val="1"/>
      <w:numFmt w:val="decimal"/>
      <w:suff w:val="space"/>
      <w:lvlText w:val="%1."/>
      <w:lvlJc w:val="left"/>
    </w:lvl>
  </w:abstractNum>
  <w:abstractNum w:abstractNumId="4">
    <w:nsid w:val="CEB101E9"/>
    <w:multiLevelType w:val="singleLevel"/>
    <w:tmpl w:val="CEB101E9"/>
    <w:lvl w:ilvl="0" w:tentative="0">
      <w:start w:val="1"/>
      <w:numFmt w:val="chineseCounting"/>
      <w:suff w:val="nothing"/>
      <w:lvlText w:val="%1、"/>
      <w:lvlJc w:val="left"/>
      <w:rPr>
        <w:rFonts w:hint="eastAsia"/>
      </w:rPr>
    </w:lvl>
  </w:abstractNum>
  <w:abstractNum w:abstractNumId="5">
    <w:nsid w:val="F43C8E24"/>
    <w:multiLevelType w:val="singleLevel"/>
    <w:tmpl w:val="F43C8E24"/>
    <w:lvl w:ilvl="0" w:tentative="0">
      <w:start w:val="1"/>
      <w:numFmt w:val="decimal"/>
      <w:suff w:val="nothing"/>
      <w:lvlText w:val="%1、"/>
      <w:lvlJc w:val="left"/>
    </w:lvl>
  </w:abstractNum>
  <w:abstractNum w:abstractNumId="6">
    <w:nsid w:val="12E47774"/>
    <w:multiLevelType w:val="singleLevel"/>
    <w:tmpl w:val="12E47774"/>
    <w:lvl w:ilvl="0" w:tentative="0">
      <w:start w:val="1"/>
      <w:numFmt w:val="decimal"/>
      <w:suff w:val="nothing"/>
      <w:lvlText w:val="%1、"/>
      <w:lvlJc w:val="left"/>
      <w:pPr>
        <w:ind w:left="917" w:leftChars="0" w:firstLine="0" w:firstLineChars="0"/>
      </w:pPr>
    </w:lvl>
  </w:abstractNum>
  <w:abstractNum w:abstractNumId="7">
    <w:nsid w:val="263F5C3E"/>
    <w:multiLevelType w:val="singleLevel"/>
    <w:tmpl w:val="263F5C3E"/>
    <w:lvl w:ilvl="0" w:tentative="0">
      <w:start w:val="1"/>
      <w:numFmt w:val="chineseCounting"/>
      <w:suff w:val="nothing"/>
      <w:lvlText w:val="%1、"/>
      <w:lvlJc w:val="left"/>
      <w:rPr>
        <w:rFonts w:hint="eastAsia"/>
      </w:rPr>
    </w:lvl>
  </w:abstractNum>
  <w:abstractNum w:abstractNumId="8">
    <w:nsid w:val="2B86DC3C"/>
    <w:multiLevelType w:val="singleLevel"/>
    <w:tmpl w:val="2B86DC3C"/>
    <w:lvl w:ilvl="0" w:tentative="0">
      <w:start w:val="1"/>
      <w:numFmt w:val="decimal"/>
      <w:suff w:val="nothing"/>
      <w:lvlText w:val="%1、"/>
      <w:lvlJc w:val="left"/>
    </w:lvl>
  </w:abstractNum>
  <w:abstractNum w:abstractNumId="9">
    <w:nsid w:val="62E9E60D"/>
    <w:multiLevelType w:val="singleLevel"/>
    <w:tmpl w:val="62E9E60D"/>
    <w:lvl w:ilvl="0" w:tentative="0">
      <w:start w:val="1"/>
      <w:numFmt w:val="chineseCounting"/>
      <w:suff w:val="nothing"/>
      <w:lvlText w:val="%1、"/>
      <w:lvlJc w:val="left"/>
    </w:lvl>
  </w:abstractNum>
  <w:num w:numId="1">
    <w:abstractNumId w:val="1"/>
  </w:num>
  <w:num w:numId="2">
    <w:abstractNumId w:val="0"/>
  </w:num>
  <w:num w:numId="3">
    <w:abstractNumId w:val="7"/>
  </w:num>
  <w:num w:numId="4">
    <w:abstractNumId w:val="3"/>
  </w:num>
  <w:num w:numId="5">
    <w:abstractNumId w:val="6"/>
  </w:num>
  <w:num w:numId="6">
    <w:abstractNumId w:val="9"/>
  </w:num>
  <w:num w:numId="7">
    <w:abstractNumId w:val="4"/>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jI5ZTVhZThkZGM1NWY0NjU2Nzg0OWIxZmQ3NWEyY2UifQ=="/>
  </w:docVars>
  <w:rsids>
    <w:rsidRoot w:val="00967702"/>
    <w:rsid w:val="0000223B"/>
    <w:rsid w:val="00005B9E"/>
    <w:rsid w:val="0001014A"/>
    <w:rsid w:val="0001333C"/>
    <w:rsid w:val="0001534B"/>
    <w:rsid w:val="00017E0E"/>
    <w:rsid w:val="000202CA"/>
    <w:rsid w:val="00020B9A"/>
    <w:rsid w:val="00020CC3"/>
    <w:rsid w:val="00021B5D"/>
    <w:rsid w:val="00023EC0"/>
    <w:rsid w:val="00025944"/>
    <w:rsid w:val="00026E62"/>
    <w:rsid w:val="00030A03"/>
    <w:rsid w:val="000323A3"/>
    <w:rsid w:val="00041330"/>
    <w:rsid w:val="00053167"/>
    <w:rsid w:val="000539A9"/>
    <w:rsid w:val="000566C1"/>
    <w:rsid w:val="000574D8"/>
    <w:rsid w:val="00057B80"/>
    <w:rsid w:val="00061920"/>
    <w:rsid w:val="00065211"/>
    <w:rsid w:val="0007163D"/>
    <w:rsid w:val="00074021"/>
    <w:rsid w:val="00077B9D"/>
    <w:rsid w:val="00082CB7"/>
    <w:rsid w:val="00083E6F"/>
    <w:rsid w:val="00092A16"/>
    <w:rsid w:val="00094E76"/>
    <w:rsid w:val="000978A0"/>
    <w:rsid w:val="000A3EC0"/>
    <w:rsid w:val="000A7610"/>
    <w:rsid w:val="000A790C"/>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030CD"/>
    <w:rsid w:val="001116F7"/>
    <w:rsid w:val="001150E8"/>
    <w:rsid w:val="0012227C"/>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578D6"/>
    <w:rsid w:val="00160F2B"/>
    <w:rsid w:val="00162385"/>
    <w:rsid w:val="0016313A"/>
    <w:rsid w:val="00164AD8"/>
    <w:rsid w:val="001714D2"/>
    <w:rsid w:val="00173025"/>
    <w:rsid w:val="00174EC0"/>
    <w:rsid w:val="00177533"/>
    <w:rsid w:val="0018226E"/>
    <w:rsid w:val="0018241B"/>
    <w:rsid w:val="00187E02"/>
    <w:rsid w:val="00192B7D"/>
    <w:rsid w:val="00193817"/>
    <w:rsid w:val="00195099"/>
    <w:rsid w:val="001A36B1"/>
    <w:rsid w:val="001A7C6F"/>
    <w:rsid w:val="001B4666"/>
    <w:rsid w:val="001B5F95"/>
    <w:rsid w:val="001B698B"/>
    <w:rsid w:val="001C430C"/>
    <w:rsid w:val="001D129E"/>
    <w:rsid w:val="001D16B9"/>
    <w:rsid w:val="001D7B51"/>
    <w:rsid w:val="001E058A"/>
    <w:rsid w:val="001E7BAD"/>
    <w:rsid w:val="001F29F9"/>
    <w:rsid w:val="001F6DCE"/>
    <w:rsid w:val="00206E34"/>
    <w:rsid w:val="0021338D"/>
    <w:rsid w:val="0021431D"/>
    <w:rsid w:val="00222516"/>
    <w:rsid w:val="00226C0B"/>
    <w:rsid w:val="0022716A"/>
    <w:rsid w:val="00227556"/>
    <w:rsid w:val="0023436A"/>
    <w:rsid w:val="00235A02"/>
    <w:rsid w:val="00240610"/>
    <w:rsid w:val="00240817"/>
    <w:rsid w:val="002432A4"/>
    <w:rsid w:val="00243784"/>
    <w:rsid w:val="0025090F"/>
    <w:rsid w:val="00255354"/>
    <w:rsid w:val="00255631"/>
    <w:rsid w:val="00261F6C"/>
    <w:rsid w:val="00273BB9"/>
    <w:rsid w:val="0028289E"/>
    <w:rsid w:val="00283E18"/>
    <w:rsid w:val="0028469F"/>
    <w:rsid w:val="0028558B"/>
    <w:rsid w:val="00285A20"/>
    <w:rsid w:val="00295585"/>
    <w:rsid w:val="002A0C8B"/>
    <w:rsid w:val="002B0A06"/>
    <w:rsid w:val="002B256A"/>
    <w:rsid w:val="002B49F0"/>
    <w:rsid w:val="002C18CA"/>
    <w:rsid w:val="002C2748"/>
    <w:rsid w:val="002D1DAE"/>
    <w:rsid w:val="002D2646"/>
    <w:rsid w:val="002D7819"/>
    <w:rsid w:val="002E1E41"/>
    <w:rsid w:val="002E210C"/>
    <w:rsid w:val="002E35CC"/>
    <w:rsid w:val="002E6ED4"/>
    <w:rsid w:val="002F0FE0"/>
    <w:rsid w:val="002F17B5"/>
    <w:rsid w:val="003003A1"/>
    <w:rsid w:val="003045A7"/>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730D0"/>
    <w:rsid w:val="00390950"/>
    <w:rsid w:val="003914FA"/>
    <w:rsid w:val="00392AAD"/>
    <w:rsid w:val="003A1FDF"/>
    <w:rsid w:val="003A256E"/>
    <w:rsid w:val="003A327F"/>
    <w:rsid w:val="003A57FC"/>
    <w:rsid w:val="003B2BCD"/>
    <w:rsid w:val="003B2D77"/>
    <w:rsid w:val="003B3BF2"/>
    <w:rsid w:val="003B4363"/>
    <w:rsid w:val="003B57B9"/>
    <w:rsid w:val="003B6081"/>
    <w:rsid w:val="003B72C9"/>
    <w:rsid w:val="003D2806"/>
    <w:rsid w:val="003D77B7"/>
    <w:rsid w:val="003F1446"/>
    <w:rsid w:val="003F1FAC"/>
    <w:rsid w:val="003F7C2E"/>
    <w:rsid w:val="0040273C"/>
    <w:rsid w:val="00403AFA"/>
    <w:rsid w:val="0040417A"/>
    <w:rsid w:val="0040778F"/>
    <w:rsid w:val="0043796A"/>
    <w:rsid w:val="0044287E"/>
    <w:rsid w:val="00447A9E"/>
    <w:rsid w:val="004508A4"/>
    <w:rsid w:val="00453EA6"/>
    <w:rsid w:val="0045672D"/>
    <w:rsid w:val="00464030"/>
    <w:rsid w:val="00471E39"/>
    <w:rsid w:val="0047282D"/>
    <w:rsid w:val="00474FAE"/>
    <w:rsid w:val="004763D4"/>
    <w:rsid w:val="00477E26"/>
    <w:rsid w:val="0048261B"/>
    <w:rsid w:val="00482B42"/>
    <w:rsid w:val="004835AF"/>
    <w:rsid w:val="004919EE"/>
    <w:rsid w:val="0049286C"/>
    <w:rsid w:val="00494E62"/>
    <w:rsid w:val="00497CEA"/>
    <w:rsid w:val="004A2A3A"/>
    <w:rsid w:val="004A4779"/>
    <w:rsid w:val="004A68E8"/>
    <w:rsid w:val="004A6E67"/>
    <w:rsid w:val="004B4A9E"/>
    <w:rsid w:val="004C20FD"/>
    <w:rsid w:val="004C3761"/>
    <w:rsid w:val="004C4941"/>
    <w:rsid w:val="004D1023"/>
    <w:rsid w:val="004D16FD"/>
    <w:rsid w:val="004D445F"/>
    <w:rsid w:val="004D7D03"/>
    <w:rsid w:val="004E0E75"/>
    <w:rsid w:val="004F5E72"/>
    <w:rsid w:val="0050268E"/>
    <w:rsid w:val="00502ADE"/>
    <w:rsid w:val="00503354"/>
    <w:rsid w:val="00510E9C"/>
    <w:rsid w:val="00513B86"/>
    <w:rsid w:val="00524492"/>
    <w:rsid w:val="005257EA"/>
    <w:rsid w:val="00533859"/>
    <w:rsid w:val="0053396C"/>
    <w:rsid w:val="00533D5B"/>
    <w:rsid w:val="00540F71"/>
    <w:rsid w:val="0054506A"/>
    <w:rsid w:val="0054734D"/>
    <w:rsid w:val="00551549"/>
    <w:rsid w:val="00552E4D"/>
    <w:rsid w:val="00553ED7"/>
    <w:rsid w:val="00555319"/>
    <w:rsid w:val="005577D4"/>
    <w:rsid w:val="00564B7F"/>
    <w:rsid w:val="00567846"/>
    <w:rsid w:val="005722E9"/>
    <w:rsid w:val="005829E2"/>
    <w:rsid w:val="0058459A"/>
    <w:rsid w:val="00593270"/>
    <w:rsid w:val="00593EAB"/>
    <w:rsid w:val="00595392"/>
    <w:rsid w:val="00595F8F"/>
    <w:rsid w:val="005A267F"/>
    <w:rsid w:val="005A4B0B"/>
    <w:rsid w:val="005A7BB0"/>
    <w:rsid w:val="005B104C"/>
    <w:rsid w:val="005B35AA"/>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E7CDE"/>
    <w:rsid w:val="005F2E5C"/>
    <w:rsid w:val="005F63E8"/>
    <w:rsid w:val="00601441"/>
    <w:rsid w:val="0060334B"/>
    <w:rsid w:val="00605BBD"/>
    <w:rsid w:val="006103A6"/>
    <w:rsid w:val="00610D2B"/>
    <w:rsid w:val="006127B7"/>
    <w:rsid w:val="00612F3E"/>
    <w:rsid w:val="00614725"/>
    <w:rsid w:val="00623250"/>
    <w:rsid w:val="006243F4"/>
    <w:rsid w:val="00624785"/>
    <w:rsid w:val="006259C8"/>
    <w:rsid w:val="00627058"/>
    <w:rsid w:val="00627167"/>
    <w:rsid w:val="0063408F"/>
    <w:rsid w:val="00636ABF"/>
    <w:rsid w:val="00637987"/>
    <w:rsid w:val="00637A05"/>
    <w:rsid w:val="006414EB"/>
    <w:rsid w:val="00641EFE"/>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D5C20"/>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40A47"/>
    <w:rsid w:val="007425A4"/>
    <w:rsid w:val="00742673"/>
    <w:rsid w:val="007470A4"/>
    <w:rsid w:val="00751740"/>
    <w:rsid w:val="00752CBC"/>
    <w:rsid w:val="00754486"/>
    <w:rsid w:val="007563C8"/>
    <w:rsid w:val="007626D4"/>
    <w:rsid w:val="007627D8"/>
    <w:rsid w:val="007646B1"/>
    <w:rsid w:val="00764844"/>
    <w:rsid w:val="0077094C"/>
    <w:rsid w:val="007760C7"/>
    <w:rsid w:val="007868C2"/>
    <w:rsid w:val="0078787D"/>
    <w:rsid w:val="0079541F"/>
    <w:rsid w:val="007A0629"/>
    <w:rsid w:val="007A3950"/>
    <w:rsid w:val="007A7888"/>
    <w:rsid w:val="007B448E"/>
    <w:rsid w:val="007B6C5D"/>
    <w:rsid w:val="007C402C"/>
    <w:rsid w:val="007C43CE"/>
    <w:rsid w:val="007C5BFE"/>
    <w:rsid w:val="007D1BC9"/>
    <w:rsid w:val="007D4407"/>
    <w:rsid w:val="007D7C61"/>
    <w:rsid w:val="007E0CCC"/>
    <w:rsid w:val="007E72C8"/>
    <w:rsid w:val="007F139C"/>
    <w:rsid w:val="007F37A6"/>
    <w:rsid w:val="007F5584"/>
    <w:rsid w:val="0080002D"/>
    <w:rsid w:val="00800D6E"/>
    <w:rsid w:val="00805348"/>
    <w:rsid w:val="0080561F"/>
    <w:rsid w:val="00807905"/>
    <w:rsid w:val="00815E73"/>
    <w:rsid w:val="00820E36"/>
    <w:rsid w:val="00831E2E"/>
    <w:rsid w:val="0084094D"/>
    <w:rsid w:val="008427A4"/>
    <w:rsid w:val="00842866"/>
    <w:rsid w:val="00844CFA"/>
    <w:rsid w:val="008465E3"/>
    <w:rsid w:val="00853DDB"/>
    <w:rsid w:val="008736F1"/>
    <w:rsid w:val="008769E8"/>
    <w:rsid w:val="00884265"/>
    <w:rsid w:val="00884873"/>
    <w:rsid w:val="00886356"/>
    <w:rsid w:val="00892302"/>
    <w:rsid w:val="00896532"/>
    <w:rsid w:val="00897CED"/>
    <w:rsid w:val="008A4205"/>
    <w:rsid w:val="008A5545"/>
    <w:rsid w:val="008B177E"/>
    <w:rsid w:val="008C06B2"/>
    <w:rsid w:val="008C0A12"/>
    <w:rsid w:val="008C21B5"/>
    <w:rsid w:val="008C488E"/>
    <w:rsid w:val="008D05C7"/>
    <w:rsid w:val="008D4C06"/>
    <w:rsid w:val="008D7465"/>
    <w:rsid w:val="008E1DB0"/>
    <w:rsid w:val="008F1C5D"/>
    <w:rsid w:val="008F47A3"/>
    <w:rsid w:val="008F6946"/>
    <w:rsid w:val="00901C7B"/>
    <w:rsid w:val="00902CEE"/>
    <w:rsid w:val="00902D77"/>
    <w:rsid w:val="0090301E"/>
    <w:rsid w:val="00903F42"/>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443A"/>
    <w:rsid w:val="00986A43"/>
    <w:rsid w:val="00995671"/>
    <w:rsid w:val="009A0766"/>
    <w:rsid w:val="009A106C"/>
    <w:rsid w:val="009B30BD"/>
    <w:rsid w:val="009B3333"/>
    <w:rsid w:val="009B34E7"/>
    <w:rsid w:val="009C38B3"/>
    <w:rsid w:val="009C3BE2"/>
    <w:rsid w:val="009C76EB"/>
    <w:rsid w:val="009D510E"/>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36A6"/>
    <w:rsid w:val="00A54181"/>
    <w:rsid w:val="00A545E8"/>
    <w:rsid w:val="00A54A9D"/>
    <w:rsid w:val="00A638CC"/>
    <w:rsid w:val="00A66C05"/>
    <w:rsid w:val="00A7709F"/>
    <w:rsid w:val="00A77229"/>
    <w:rsid w:val="00A81C9C"/>
    <w:rsid w:val="00A84167"/>
    <w:rsid w:val="00A86721"/>
    <w:rsid w:val="00A867E8"/>
    <w:rsid w:val="00A9710D"/>
    <w:rsid w:val="00A976BF"/>
    <w:rsid w:val="00A97D0E"/>
    <w:rsid w:val="00AA062F"/>
    <w:rsid w:val="00AA6D81"/>
    <w:rsid w:val="00AB798A"/>
    <w:rsid w:val="00AC019C"/>
    <w:rsid w:val="00AE0225"/>
    <w:rsid w:val="00AE058E"/>
    <w:rsid w:val="00AE14F2"/>
    <w:rsid w:val="00AE2C37"/>
    <w:rsid w:val="00AE4B95"/>
    <w:rsid w:val="00AE4FD5"/>
    <w:rsid w:val="00AE5ABC"/>
    <w:rsid w:val="00AE5AF2"/>
    <w:rsid w:val="00AE67BB"/>
    <w:rsid w:val="00AF2AD1"/>
    <w:rsid w:val="00AF4539"/>
    <w:rsid w:val="00B002FC"/>
    <w:rsid w:val="00B01CF2"/>
    <w:rsid w:val="00B0216E"/>
    <w:rsid w:val="00B02339"/>
    <w:rsid w:val="00B065F7"/>
    <w:rsid w:val="00B152CD"/>
    <w:rsid w:val="00B15FF6"/>
    <w:rsid w:val="00B20863"/>
    <w:rsid w:val="00B26192"/>
    <w:rsid w:val="00B27085"/>
    <w:rsid w:val="00B307F2"/>
    <w:rsid w:val="00B37788"/>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DD"/>
    <w:rsid w:val="00B905D2"/>
    <w:rsid w:val="00B92675"/>
    <w:rsid w:val="00B93FAE"/>
    <w:rsid w:val="00B966DA"/>
    <w:rsid w:val="00BA0122"/>
    <w:rsid w:val="00BA29FE"/>
    <w:rsid w:val="00BA2A75"/>
    <w:rsid w:val="00BA5558"/>
    <w:rsid w:val="00BB01F8"/>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5640F"/>
    <w:rsid w:val="00C60594"/>
    <w:rsid w:val="00C61DB8"/>
    <w:rsid w:val="00C6783B"/>
    <w:rsid w:val="00C73BF4"/>
    <w:rsid w:val="00C74C62"/>
    <w:rsid w:val="00C81B27"/>
    <w:rsid w:val="00C82F68"/>
    <w:rsid w:val="00C845B7"/>
    <w:rsid w:val="00C8684E"/>
    <w:rsid w:val="00C878D8"/>
    <w:rsid w:val="00C900D2"/>
    <w:rsid w:val="00C929E9"/>
    <w:rsid w:val="00C97478"/>
    <w:rsid w:val="00CA1DD5"/>
    <w:rsid w:val="00CA2C40"/>
    <w:rsid w:val="00CB13B4"/>
    <w:rsid w:val="00CB2215"/>
    <w:rsid w:val="00CB2E01"/>
    <w:rsid w:val="00CB41BE"/>
    <w:rsid w:val="00CE1050"/>
    <w:rsid w:val="00CE26A2"/>
    <w:rsid w:val="00CF2260"/>
    <w:rsid w:val="00CF22A0"/>
    <w:rsid w:val="00CF414E"/>
    <w:rsid w:val="00CF6340"/>
    <w:rsid w:val="00D070CB"/>
    <w:rsid w:val="00D13CD0"/>
    <w:rsid w:val="00D15F34"/>
    <w:rsid w:val="00D17E3D"/>
    <w:rsid w:val="00D227E9"/>
    <w:rsid w:val="00D239A4"/>
    <w:rsid w:val="00D252B3"/>
    <w:rsid w:val="00D43086"/>
    <w:rsid w:val="00D461AC"/>
    <w:rsid w:val="00D515E9"/>
    <w:rsid w:val="00D56426"/>
    <w:rsid w:val="00D56CA5"/>
    <w:rsid w:val="00D735D2"/>
    <w:rsid w:val="00D7448B"/>
    <w:rsid w:val="00D749CB"/>
    <w:rsid w:val="00D74CF8"/>
    <w:rsid w:val="00D809BD"/>
    <w:rsid w:val="00D80BF3"/>
    <w:rsid w:val="00D8165C"/>
    <w:rsid w:val="00D81A23"/>
    <w:rsid w:val="00D84374"/>
    <w:rsid w:val="00D844C1"/>
    <w:rsid w:val="00D947D8"/>
    <w:rsid w:val="00D95908"/>
    <w:rsid w:val="00D97E3F"/>
    <w:rsid w:val="00DA72F8"/>
    <w:rsid w:val="00DA7DE4"/>
    <w:rsid w:val="00DB33D7"/>
    <w:rsid w:val="00DB4A46"/>
    <w:rsid w:val="00DB6325"/>
    <w:rsid w:val="00DC3284"/>
    <w:rsid w:val="00DC3D8A"/>
    <w:rsid w:val="00DC4D44"/>
    <w:rsid w:val="00DC5A96"/>
    <w:rsid w:val="00DC61B1"/>
    <w:rsid w:val="00DD56C2"/>
    <w:rsid w:val="00DD68F4"/>
    <w:rsid w:val="00DD7B9C"/>
    <w:rsid w:val="00DE1405"/>
    <w:rsid w:val="00DE1C6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B2E58"/>
    <w:rsid w:val="00EB672A"/>
    <w:rsid w:val="00EC6214"/>
    <w:rsid w:val="00ED0D7F"/>
    <w:rsid w:val="00ED0EB7"/>
    <w:rsid w:val="00ED4054"/>
    <w:rsid w:val="00ED63E2"/>
    <w:rsid w:val="00ED6A31"/>
    <w:rsid w:val="00ED7768"/>
    <w:rsid w:val="00EE0686"/>
    <w:rsid w:val="00EE2B7C"/>
    <w:rsid w:val="00EE735B"/>
    <w:rsid w:val="00EF0F5B"/>
    <w:rsid w:val="00EF5DFE"/>
    <w:rsid w:val="00F03A3C"/>
    <w:rsid w:val="00F060A9"/>
    <w:rsid w:val="00F06CFC"/>
    <w:rsid w:val="00F14430"/>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7405E"/>
    <w:rsid w:val="00F766F8"/>
    <w:rsid w:val="00F80742"/>
    <w:rsid w:val="00F81DC8"/>
    <w:rsid w:val="00F86A99"/>
    <w:rsid w:val="00F86B1A"/>
    <w:rsid w:val="00F904FF"/>
    <w:rsid w:val="00F97E24"/>
    <w:rsid w:val="00FA00FA"/>
    <w:rsid w:val="00FA187E"/>
    <w:rsid w:val="00FA3B06"/>
    <w:rsid w:val="00FA5E9F"/>
    <w:rsid w:val="00FA7EF2"/>
    <w:rsid w:val="00FB093C"/>
    <w:rsid w:val="00FB2BDE"/>
    <w:rsid w:val="00FB3167"/>
    <w:rsid w:val="00FB4B2B"/>
    <w:rsid w:val="00FB52E3"/>
    <w:rsid w:val="00FC0F19"/>
    <w:rsid w:val="00FC2CF1"/>
    <w:rsid w:val="00FC4D4F"/>
    <w:rsid w:val="00FD2FD3"/>
    <w:rsid w:val="00FD31B4"/>
    <w:rsid w:val="00FD5BEF"/>
    <w:rsid w:val="00FE775B"/>
    <w:rsid w:val="00FF2258"/>
    <w:rsid w:val="00FF618B"/>
    <w:rsid w:val="00FF7A44"/>
    <w:rsid w:val="02821768"/>
    <w:rsid w:val="029A717A"/>
    <w:rsid w:val="0367315B"/>
    <w:rsid w:val="03DB0B06"/>
    <w:rsid w:val="047C4414"/>
    <w:rsid w:val="061139E5"/>
    <w:rsid w:val="06F50B00"/>
    <w:rsid w:val="072B17F5"/>
    <w:rsid w:val="076E1278"/>
    <w:rsid w:val="08201A3C"/>
    <w:rsid w:val="08D1141D"/>
    <w:rsid w:val="099C78B0"/>
    <w:rsid w:val="0B296DE2"/>
    <w:rsid w:val="0B96754C"/>
    <w:rsid w:val="0C2922AC"/>
    <w:rsid w:val="0C4A0F2C"/>
    <w:rsid w:val="0D67687C"/>
    <w:rsid w:val="0DD50C78"/>
    <w:rsid w:val="0DF45193"/>
    <w:rsid w:val="0F007156"/>
    <w:rsid w:val="0FAD7681"/>
    <w:rsid w:val="10294AA3"/>
    <w:rsid w:val="10C04EC0"/>
    <w:rsid w:val="10E40CA0"/>
    <w:rsid w:val="117B2D35"/>
    <w:rsid w:val="12AE76BC"/>
    <w:rsid w:val="136130D9"/>
    <w:rsid w:val="13D63594"/>
    <w:rsid w:val="141121B2"/>
    <w:rsid w:val="1574713F"/>
    <w:rsid w:val="1605073F"/>
    <w:rsid w:val="16AE5342"/>
    <w:rsid w:val="175F7994"/>
    <w:rsid w:val="17F46418"/>
    <w:rsid w:val="18DD4F7E"/>
    <w:rsid w:val="193B3153"/>
    <w:rsid w:val="195B58A2"/>
    <w:rsid w:val="19AE3C0A"/>
    <w:rsid w:val="19C96DB4"/>
    <w:rsid w:val="1A9F75DF"/>
    <w:rsid w:val="1B0A5058"/>
    <w:rsid w:val="1B5E1983"/>
    <w:rsid w:val="1BD2374E"/>
    <w:rsid w:val="1C783C87"/>
    <w:rsid w:val="1D7F0BBC"/>
    <w:rsid w:val="1D895C83"/>
    <w:rsid w:val="1E085A14"/>
    <w:rsid w:val="1F5111EB"/>
    <w:rsid w:val="1FF43DDB"/>
    <w:rsid w:val="20D9002F"/>
    <w:rsid w:val="211121B8"/>
    <w:rsid w:val="21933AA2"/>
    <w:rsid w:val="224E03E2"/>
    <w:rsid w:val="23B00E08"/>
    <w:rsid w:val="23C6604C"/>
    <w:rsid w:val="244D30D9"/>
    <w:rsid w:val="25367020"/>
    <w:rsid w:val="25BF356F"/>
    <w:rsid w:val="25DB0C2D"/>
    <w:rsid w:val="269469E7"/>
    <w:rsid w:val="269E2889"/>
    <w:rsid w:val="274F3FE4"/>
    <w:rsid w:val="282368BB"/>
    <w:rsid w:val="29FC3B14"/>
    <w:rsid w:val="2A942CDB"/>
    <w:rsid w:val="2AE9294B"/>
    <w:rsid w:val="2B11792E"/>
    <w:rsid w:val="2B535CA3"/>
    <w:rsid w:val="2DA10705"/>
    <w:rsid w:val="31C54755"/>
    <w:rsid w:val="3216608C"/>
    <w:rsid w:val="329201FC"/>
    <w:rsid w:val="332863EF"/>
    <w:rsid w:val="333714CE"/>
    <w:rsid w:val="33BE17E5"/>
    <w:rsid w:val="34073161"/>
    <w:rsid w:val="341B6ECF"/>
    <w:rsid w:val="34CE14C6"/>
    <w:rsid w:val="34D84CEC"/>
    <w:rsid w:val="36AD0593"/>
    <w:rsid w:val="37AF5AB7"/>
    <w:rsid w:val="382E5C0C"/>
    <w:rsid w:val="394A4826"/>
    <w:rsid w:val="39BA7A1D"/>
    <w:rsid w:val="3AE97B79"/>
    <w:rsid w:val="3B1C3371"/>
    <w:rsid w:val="3CC23198"/>
    <w:rsid w:val="3CEC1B5C"/>
    <w:rsid w:val="3DB34FFA"/>
    <w:rsid w:val="3DDF4815"/>
    <w:rsid w:val="3E6240B0"/>
    <w:rsid w:val="3FE669E5"/>
    <w:rsid w:val="41CB2C2E"/>
    <w:rsid w:val="43120AF3"/>
    <w:rsid w:val="43E20B34"/>
    <w:rsid w:val="452D6D52"/>
    <w:rsid w:val="46601C8A"/>
    <w:rsid w:val="478F06A3"/>
    <w:rsid w:val="47F00AC7"/>
    <w:rsid w:val="481B1D34"/>
    <w:rsid w:val="4B09145B"/>
    <w:rsid w:val="4B2C14F6"/>
    <w:rsid w:val="4DEE0150"/>
    <w:rsid w:val="4E3B540D"/>
    <w:rsid w:val="4E9B788B"/>
    <w:rsid w:val="4F7F7ED0"/>
    <w:rsid w:val="4F850E14"/>
    <w:rsid w:val="50F63E28"/>
    <w:rsid w:val="5188200C"/>
    <w:rsid w:val="519249A4"/>
    <w:rsid w:val="5221007F"/>
    <w:rsid w:val="52926B5A"/>
    <w:rsid w:val="52A41B68"/>
    <w:rsid w:val="53164A06"/>
    <w:rsid w:val="536C1940"/>
    <w:rsid w:val="539217B5"/>
    <w:rsid w:val="545C5E51"/>
    <w:rsid w:val="5486175B"/>
    <w:rsid w:val="54BA2F74"/>
    <w:rsid w:val="55361ED1"/>
    <w:rsid w:val="555723B6"/>
    <w:rsid w:val="5696400B"/>
    <w:rsid w:val="57011FFD"/>
    <w:rsid w:val="57667D24"/>
    <w:rsid w:val="57CE5BC3"/>
    <w:rsid w:val="580A05EC"/>
    <w:rsid w:val="58FA0AC6"/>
    <w:rsid w:val="5AE1516A"/>
    <w:rsid w:val="5B5F0F7C"/>
    <w:rsid w:val="5B6A3A79"/>
    <w:rsid w:val="5C1A5F7B"/>
    <w:rsid w:val="5E797405"/>
    <w:rsid w:val="5F0B5C86"/>
    <w:rsid w:val="5F564709"/>
    <w:rsid w:val="5FB16285"/>
    <w:rsid w:val="61F824E1"/>
    <w:rsid w:val="639F5D0C"/>
    <w:rsid w:val="645771F8"/>
    <w:rsid w:val="675E01CF"/>
    <w:rsid w:val="68AB62AC"/>
    <w:rsid w:val="68B10EC3"/>
    <w:rsid w:val="6A54112D"/>
    <w:rsid w:val="6A6C6461"/>
    <w:rsid w:val="6AA035AE"/>
    <w:rsid w:val="6CD45D0C"/>
    <w:rsid w:val="6DC13C48"/>
    <w:rsid w:val="6E0F2E14"/>
    <w:rsid w:val="6F1E141D"/>
    <w:rsid w:val="6F5354F8"/>
    <w:rsid w:val="70907CBD"/>
    <w:rsid w:val="710D6F9F"/>
    <w:rsid w:val="72244829"/>
    <w:rsid w:val="726E576D"/>
    <w:rsid w:val="73CF6C60"/>
    <w:rsid w:val="740A2BDE"/>
    <w:rsid w:val="751839E0"/>
    <w:rsid w:val="76274F93"/>
    <w:rsid w:val="76F922FB"/>
    <w:rsid w:val="77171B2F"/>
    <w:rsid w:val="7803503B"/>
    <w:rsid w:val="78D50BA7"/>
    <w:rsid w:val="79C2137C"/>
    <w:rsid w:val="79EB3F2F"/>
    <w:rsid w:val="7AA57189"/>
    <w:rsid w:val="7AFB7F0D"/>
    <w:rsid w:val="7B11789E"/>
    <w:rsid w:val="7C0D7675"/>
    <w:rsid w:val="7CD2740D"/>
    <w:rsid w:val="7D52162B"/>
    <w:rsid w:val="7DC94A0A"/>
    <w:rsid w:val="7F48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99"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2"/>
    <w:qFormat/>
    <w:uiPriority w:val="0"/>
    <w:pPr>
      <w:ind w:left="538"/>
      <w:outlineLvl w:val="0"/>
    </w:pPr>
    <w:rPr>
      <w:b/>
      <w:bCs/>
      <w:sz w:val="28"/>
      <w:szCs w:val="28"/>
    </w:rPr>
  </w:style>
  <w:style w:type="paragraph" w:styleId="4">
    <w:name w:val="heading 2"/>
    <w:basedOn w:val="5"/>
    <w:next w:val="6"/>
    <w:link w:val="43"/>
    <w:qFormat/>
    <w:uiPriority w:val="0"/>
    <w:pPr>
      <w:ind w:left="629"/>
      <w:outlineLvl w:val="1"/>
    </w:pPr>
    <w:rPr>
      <w:bCs/>
      <w:sz w:val="24"/>
      <w:szCs w:val="24"/>
    </w:rPr>
  </w:style>
  <w:style w:type="paragraph" w:styleId="7">
    <w:name w:val="heading 3"/>
    <w:basedOn w:val="1"/>
    <w:next w:val="1"/>
    <w:link w:val="44"/>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4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customStyle="1" w:styleId="6">
    <w:name w:val="Char"/>
    <w:basedOn w:val="1"/>
    <w:qFormat/>
    <w:uiPriority w:val="0"/>
    <w:pPr>
      <w:autoSpaceDE/>
      <w:autoSpaceDN/>
      <w:jc w:val="both"/>
    </w:pPr>
    <w:rPr>
      <w:rFonts w:ascii="Times New Roman" w:hAnsi="Times New Roman" w:cs="Times New Roman"/>
      <w:kern w:val="2"/>
      <w:sz w:val="21"/>
      <w:szCs w:val="24"/>
      <w:lang w:eastAsia="zh-CN"/>
    </w:rPr>
  </w:style>
  <w:style w:type="paragraph" w:styleId="9">
    <w:name w:val="toc 7"/>
    <w:basedOn w:val="1"/>
    <w:next w:val="1"/>
    <w:qFormat/>
    <w:uiPriority w:val="0"/>
    <w:pPr>
      <w:ind w:left="2520" w:leftChars="1200"/>
    </w:pPr>
  </w:style>
  <w:style w:type="paragraph" w:styleId="10">
    <w:name w:val="Normal Indent"/>
    <w:basedOn w:val="1"/>
    <w:next w:val="11"/>
    <w:link w:val="88"/>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11">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Document Map"/>
    <w:basedOn w:val="1"/>
    <w:link w:val="70"/>
    <w:qFormat/>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3">
    <w:name w:val="annotation text"/>
    <w:basedOn w:val="1"/>
    <w:link w:val="62"/>
    <w:qFormat/>
    <w:uiPriority w:val="0"/>
    <w:pPr>
      <w:autoSpaceDE/>
      <w:autoSpaceDN/>
      <w:jc w:val="both"/>
    </w:pPr>
    <w:rPr>
      <w:rFonts w:ascii="Times New Roman" w:hAnsi="Times New Roman" w:cs="Times New Roman"/>
      <w:kern w:val="2"/>
      <w:sz w:val="21"/>
      <w:szCs w:val="20"/>
      <w:lang w:eastAsia="zh-CN"/>
    </w:rPr>
  </w:style>
  <w:style w:type="paragraph" w:styleId="14">
    <w:name w:val="Closing"/>
    <w:basedOn w:val="1"/>
    <w:link w:val="65"/>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5">
    <w:name w:val="Body Text"/>
    <w:basedOn w:val="1"/>
    <w:link w:val="46"/>
    <w:qFormat/>
    <w:uiPriority w:val="1"/>
    <w:rPr>
      <w:sz w:val="24"/>
      <w:szCs w:val="24"/>
    </w:rPr>
  </w:style>
  <w:style w:type="paragraph" w:styleId="16">
    <w:name w:val="Body Text Indent"/>
    <w:basedOn w:val="1"/>
    <w:next w:val="17"/>
    <w:link w:val="66"/>
    <w:qFormat/>
    <w:uiPriority w:val="0"/>
    <w:pPr>
      <w:spacing w:after="120"/>
      <w:ind w:left="420" w:leftChars="200"/>
    </w:pPr>
  </w:style>
  <w:style w:type="paragraph" w:customStyle="1" w:styleId="17">
    <w:name w:val="样式 标题 3 + (中文) 黑体 小四 非加粗 段前: 7.8 磅 段后: 0 磅 行距: 固定值 20 磅"/>
    <w:basedOn w:val="18"/>
    <w:qFormat/>
    <w:uiPriority w:val="0"/>
    <w:pPr>
      <w:spacing w:line="400" w:lineRule="exact"/>
    </w:pPr>
    <w:rPr>
      <w:rFonts w:eastAsia="黑体"/>
      <w:kern w:val="2"/>
      <w:sz w:val="24"/>
      <w:szCs w:val="20"/>
    </w:rPr>
  </w:style>
  <w:style w:type="paragraph" w:customStyle="1" w:styleId="18">
    <w:name w:val="标题 3_0"/>
    <w:basedOn w:val="19"/>
    <w:next w:val="19"/>
    <w:unhideWhenUsed/>
    <w:qFormat/>
    <w:uiPriority w:val="9"/>
    <w:pPr>
      <w:spacing w:line="310" w:lineRule="exact"/>
      <w:ind w:left="3243"/>
      <w:outlineLvl w:val="2"/>
    </w:pPr>
    <w:rPr>
      <w:i/>
      <w:sz w:val="25"/>
      <w:szCs w:val="25"/>
    </w:rPr>
  </w:style>
  <w:style w:type="paragraph" w:customStyle="1" w:styleId="19">
    <w:name w:val="正文_0"/>
    <w:basedOn w:val="1"/>
    <w:next w:val="20"/>
    <w:qFormat/>
    <w:uiPriority w:val="0"/>
    <w:rPr>
      <w:szCs w:val="21"/>
    </w:rPr>
  </w:style>
  <w:style w:type="paragraph" w:customStyle="1" w:styleId="20">
    <w:name w:val="正文首行缩进 2_0"/>
    <w:basedOn w:val="21"/>
    <w:next w:val="17"/>
    <w:unhideWhenUsed/>
    <w:qFormat/>
    <w:uiPriority w:val="99"/>
    <w:pPr>
      <w:ind w:firstLine="420" w:firstLineChars="200"/>
    </w:pPr>
  </w:style>
  <w:style w:type="paragraph" w:customStyle="1" w:styleId="21">
    <w:name w:val="正文文本缩进_0"/>
    <w:basedOn w:val="19"/>
    <w:next w:val="17"/>
    <w:unhideWhenUsed/>
    <w:qFormat/>
    <w:uiPriority w:val="99"/>
    <w:pPr>
      <w:spacing w:after="120"/>
      <w:ind w:left="420" w:leftChars="200"/>
    </w:pPr>
  </w:style>
  <w:style w:type="paragraph" w:styleId="22">
    <w:name w:val="toc 3"/>
    <w:basedOn w:val="1"/>
    <w:next w:val="1"/>
    <w:qFormat/>
    <w:uiPriority w:val="39"/>
    <w:pPr>
      <w:ind w:left="840" w:leftChars="400"/>
    </w:pPr>
  </w:style>
  <w:style w:type="paragraph" w:styleId="23">
    <w:name w:val="Plain Text"/>
    <w:basedOn w:val="1"/>
    <w:link w:val="47"/>
    <w:qFormat/>
    <w:uiPriority w:val="0"/>
    <w:rPr>
      <w:rFonts w:hAnsi="Courier New" w:cs="Courier New"/>
      <w:szCs w:val="21"/>
    </w:rPr>
  </w:style>
  <w:style w:type="paragraph" w:styleId="24">
    <w:name w:val="Date"/>
    <w:basedOn w:val="1"/>
    <w:next w:val="1"/>
    <w:link w:val="54"/>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25">
    <w:name w:val="Body Text Indent 2"/>
    <w:basedOn w:val="1"/>
    <w:link w:val="64"/>
    <w:qFormat/>
    <w:uiPriority w:val="0"/>
    <w:pPr>
      <w:spacing w:after="120" w:line="480" w:lineRule="auto"/>
      <w:ind w:left="420" w:leftChars="200"/>
    </w:pPr>
  </w:style>
  <w:style w:type="paragraph" w:styleId="26">
    <w:name w:val="Balloon Text"/>
    <w:basedOn w:val="1"/>
    <w:link w:val="58"/>
    <w:qFormat/>
    <w:uiPriority w:val="0"/>
    <w:rPr>
      <w:sz w:val="18"/>
      <w:szCs w:val="18"/>
    </w:rPr>
  </w:style>
  <w:style w:type="paragraph" w:styleId="27">
    <w:name w:val="footer"/>
    <w:basedOn w:val="1"/>
    <w:link w:val="48"/>
    <w:qFormat/>
    <w:uiPriority w:val="99"/>
    <w:pPr>
      <w:tabs>
        <w:tab w:val="center" w:pos="4153"/>
        <w:tab w:val="right" w:pos="8306"/>
      </w:tabs>
      <w:snapToGrid w:val="0"/>
    </w:pPr>
    <w:rPr>
      <w:sz w:val="18"/>
      <w:szCs w:val="18"/>
    </w:rPr>
  </w:style>
  <w:style w:type="paragraph" w:styleId="28">
    <w:name w:val="List"/>
    <w:basedOn w:val="1"/>
    <w:qFormat/>
    <w:uiPriority w:val="0"/>
    <w:pPr>
      <w:widowControl/>
      <w:autoSpaceDE/>
      <w:autoSpaceDN/>
      <w:ind w:left="420" w:hanging="420"/>
    </w:pPr>
    <w:rPr>
      <w:rFonts w:hAnsi="Times New Roman" w:cs="Times New Roman"/>
      <w:szCs w:val="20"/>
      <w:lang w:eastAsia="zh-CN"/>
    </w:rPr>
  </w:style>
  <w:style w:type="paragraph" w:styleId="29">
    <w:name w:val="Body Text Indent 3"/>
    <w:basedOn w:val="1"/>
    <w:link w:val="78"/>
    <w:qFormat/>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30">
    <w:name w:val="toc 2"/>
    <w:basedOn w:val="1"/>
    <w:next w:val="1"/>
    <w:qFormat/>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31">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32">
    <w:name w:val="index 1"/>
    <w:basedOn w:val="1"/>
    <w:next w:val="1"/>
    <w:qFormat/>
    <w:uiPriority w:val="0"/>
    <w:pPr>
      <w:autoSpaceDE/>
      <w:autoSpaceDN/>
      <w:spacing w:line="400" w:lineRule="atLeast"/>
      <w:jc w:val="both"/>
    </w:pPr>
    <w:rPr>
      <w:rFonts w:hint="eastAsia" w:cs="Times New Roman"/>
      <w:kern w:val="2"/>
      <w:sz w:val="24"/>
      <w:szCs w:val="24"/>
      <w:lang w:eastAsia="zh-CN"/>
    </w:rPr>
  </w:style>
  <w:style w:type="paragraph" w:styleId="33">
    <w:name w:val="annotation subject"/>
    <w:basedOn w:val="13"/>
    <w:next w:val="13"/>
    <w:link w:val="67"/>
    <w:qFormat/>
    <w:uiPriority w:val="0"/>
    <w:pPr>
      <w:adjustRightInd w:val="0"/>
      <w:spacing w:line="360" w:lineRule="atLeast"/>
      <w:jc w:val="left"/>
      <w:textAlignment w:val="baseline"/>
    </w:pPr>
    <w:rPr>
      <w:b/>
      <w:bCs/>
      <w:kern w:val="0"/>
      <w:sz w:val="20"/>
    </w:rPr>
  </w:style>
  <w:style w:type="paragraph" w:styleId="34">
    <w:name w:val="Body Text First Indent 2"/>
    <w:basedOn w:val="16"/>
    <w:qFormat/>
    <w:uiPriority w:val="0"/>
    <w:pPr>
      <w:tabs>
        <w:tab w:val="left" w:pos="0"/>
        <w:tab w:val="left" w:pos="993"/>
        <w:tab w:val="left" w:pos="1134"/>
      </w:tabs>
      <w:ind w:firstLine="420" w:firstLineChars="200"/>
    </w:p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Hyperlink"/>
    <w:basedOn w:val="37"/>
    <w:qFormat/>
    <w:uiPriority w:val="99"/>
    <w:rPr>
      <w:color w:val="0000FF"/>
      <w:u w:val="single"/>
    </w:rPr>
  </w:style>
  <w:style w:type="character" w:customStyle="1" w:styleId="42">
    <w:name w:val="标题 1 Char"/>
    <w:link w:val="3"/>
    <w:qFormat/>
    <w:uiPriority w:val="0"/>
    <w:rPr>
      <w:rFonts w:ascii="宋体" w:hAnsi="宋体" w:cs="宋体"/>
      <w:b/>
      <w:bCs/>
      <w:sz w:val="28"/>
      <w:szCs w:val="28"/>
      <w:lang w:eastAsia="en-US"/>
    </w:rPr>
  </w:style>
  <w:style w:type="character" w:customStyle="1" w:styleId="43">
    <w:name w:val="标题 2 Char"/>
    <w:basedOn w:val="37"/>
    <w:link w:val="4"/>
    <w:qFormat/>
    <w:uiPriority w:val="0"/>
    <w:rPr>
      <w:rFonts w:ascii="宋体" w:hAnsi="宋体" w:cs="宋体"/>
      <w:b/>
      <w:bCs/>
      <w:sz w:val="24"/>
      <w:szCs w:val="24"/>
      <w:lang w:eastAsia="en-US"/>
    </w:rPr>
  </w:style>
  <w:style w:type="character" w:customStyle="1" w:styleId="44">
    <w:name w:val="标题 3 Char"/>
    <w:basedOn w:val="37"/>
    <w:link w:val="7"/>
    <w:qFormat/>
    <w:uiPriority w:val="0"/>
    <w:rPr>
      <w:rFonts w:ascii="宋体" w:hAnsi="宋体" w:cs="宋体"/>
      <w:b/>
      <w:bCs/>
      <w:sz w:val="32"/>
      <w:szCs w:val="32"/>
      <w:lang w:eastAsia="en-US"/>
    </w:rPr>
  </w:style>
  <w:style w:type="character" w:customStyle="1" w:styleId="45">
    <w:name w:val="标题 4 Char"/>
    <w:basedOn w:val="37"/>
    <w:link w:val="8"/>
    <w:semiHidden/>
    <w:qFormat/>
    <w:uiPriority w:val="0"/>
    <w:rPr>
      <w:rFonts w:asciiTheme="majorHAnsi" w:hAnsiTheme="majorHAnsi" w:eastAsiaTheme="majorEastAsia" w:cstheme="majorBidi"/>
      <w:b/>
      <w:bCs/>
      <w:sz w:val="28"/>
      <w:szCs w:val="28"/>
      <w:lang w:eastAsia="en-US"/>
    </w:rPr>
  </w:style>
  <w:style w:type="character" w:customStyle="1" w:styleId="46">
    <w:name w:val="正文文本 Char"/>
    <w:basedOn w:val="37"/>
    <w:link w:val="15"/>
    <w:qFormat/>
    <w:uiPriority w:val="0"/>
    <w:rPr>
      <w:rFonts w:ascii="宋体" w:hAnsi="宋体" w:cs="宋体"/>
      <w:sz w:val="24"/>
      <w:szCs w:val="24"/>
      <w:lang w:eastAsia="en-US"/>
    </w:rPr>
  </w:style>
  <w:style w:type="character" w:customStyle="1" w:styleId="47">
    <w:name w:val="纯文本 Char"/>
    <w:link w:val="23"/>
    <w:qFormat/>
    <w:uiPriority w:val="0"/>
    <w:rPr>
      <w:rFonts w:ascii="宋体" w:hAnsi="Courier New" w:cs="Courier New"/>
      <w:sz w:val="22"/>
      <w:szCs w:val="21"/>
      <w:lang w:eastAsia="en-US"/>
    </w:rPr>
  </w:style>
  <w:style w:type="character" w:customStyle="1" w:styleId="48">
    <w:name w:val="页脚 Char"/>
    <w:basedOn w:val="37"/>
    <w:link w:val="27"/>
    <w:qFormat/>
    <w:uiPriority w:val="99"/>
    <w:rPr>
      <w:rFonts w:ascii="宋体" w:hAnsi="宋体" w:cs="宋体"/>
      <w:sz w:val="18"/>
      <w:szCs w:val="18"/>
      <w:lang w:eastAsia="en-US"/>
    </w:rPr>
  </w:style>
  <w:style w:type="character" w:customStyle="1" w:styleId="49">
    <w:name w:val="页眉 Char"/>
    <w:basedOn w:val="37"/>
    <w:link w:val="11"/>
    <w:qFormat/>
    <w:uiPriority w:val="0"/>
    <w:rPr>
      <w:rFonts w:ascii="宋体" w:hAnsi="宋体" w:cs="宋体"/>
      <w:sz w:val="18"/>
      <w:szCs w:val="22"/>
      <w:lang w:eastAsia="en-US"/>
    </w:rPr>
  </w:style>
  <w:style w:type="table" w:customStyle="1" w:styleId="50">
    <w:name w:val="Table Normal"/>
    <w:unhideWhenUsed/>
    <w:qFormat/>
    <w:uiPriority w:val="2"/>
    <w:tblPr>
      <w:tblCellMar>
        <w:top w:w="0" w:type="dxa"/>
        <w:left w:w="0" w:type="dxa"/>
        <w:bottom w:w="0" w:type="dxa"/>
        <w:right w:w="0" w:type="dxa"/>
      </w:tblCellMar>
    </w:tblPr>
  </w:style>
  <w:style w:type="paragraph" w:customStyle="1" w:styleId="51">
    <w:name w:val="列出段落1"/>
    <w:basedOn w:val="1"/>
    <w:qFormat/>
    <w:uiPriority w:val="34"/>
    <w:pPr>
      <w:spacing w:before="206"/>
      <w:ind w:left="959" w:hanging="361"/>
    </w:pPr>
  </w:style>
  <w:style w:type="paragraph" w:customStyle="1" w:styleId="52">
    <w:name w:val="Table Paragraph"/>
    <w:basedOn w:val="1"/>
    <w:qFormat/>
    <w:uiPriority w:val="1"/>
  </w:style>
  <w:style w:type="paragraph" w:customStyle="1" w:styleId="53">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54">
    <w:name w:val="日期 Char"/>
    <w:basedOn w:val="37"/>
    <w:link w:val="24"/>
    <w:qFormat/>
    <w:uiPriority w:val="0"/>
    <w:rPr>
      <w:rFonts w:asciiTheme="minorHAnsi" w:hAnsiTheme="minorHAnsi" w:eastAsiaTheme="minorEastAsia" w:cstheme="minorBidi"/>
      <w:kern w:val="2"/>
      <w:sz w:val="21"/>
      <w:szCs w:val="22"/>
    </w:rPr>
  </w:style>
  <w:style w:type="paragraph" w:customStyle="1" w:styleId="55">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6">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7">
    <w:name w:val="xdrichtextbox2"/>
    <w:basedOn w:val="37"/>
    <w:qFormat/>
    <w:uiPriority w:val="0"/>
    <w:rPr>
      <w:color w:val="0000FF"/>
      <w:sz w:val="18"/>
      <w:szCs w:val="18"/>
      <w:u w:val="none"/>
      <w:bdr w:val="single" w:color="DCDCDC" w:sz="8" w:space="0"/>
      <w:shd w:val="clear" w:color="auto" w:fill="FFFFFF"/>
    </w:rPr>
  </w:style>
  <w:style w:type="character" w:customStyle="1" w:styleId="58">
    <w:name w:val="批注框文本 Char"/>
    <w:basedOn w:val="37"/>
    <w:link w:val="26"/>
    <w:qFormat/>
    <w:uiPriority w:val="0"/>
    <w:rPr>
      <w:rFonts w:ascii="宋体" w:hAnsi="宋体" w:cs="宋体"/>
      <w:sz w:val="18"/>
      <w:szCs w:val="18"/>
      <w:lang w:eastAsia="en-US"/>
    </w:rPr>
  </w:style>
  <w:style w:type="paragraph" w:customStyle="1" w:styleId="59">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60">
    <w:name w:val="apple-converted-space"/>
    <w:basedOn w:val="37"/>
    <w:qFormat/>
    <w:uiPriority w:val="0"/>
  </w:style>
  <w:style w:type="paragraph" w:customStyle="1" w:styleId="61">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62">
    <w:name w:val="批注文字 Char"/>
    <w:basedOn w:val="37"/>
    <w:link w:val="13"/>
    <w:qFormat/>
    <w:uiPriority w:val="0"/>
    <w:rPr>
      <w:kern w:val="2"/>
      <w:sz w:val="21"/>
    </w:rPr>
  </w:style>
  <w:style w:type="paragraph" w:customStyle="1" w:styleId="63">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64">
    <w:name w:val="正文文本缩进 2 Char"/>
    <w:basedOn w:val="37"/>
    <w:link w:val="25"/>
    <w:qFormat/>
    <w:uiPriority w:val="0"/>
    <w:rPr>
      <w:rFonts w:ascii="宋体" w:hAnsi="宋体" w:cs="宋体"/>
      <w:sz w:val="22"/>
      <w:szCs w:val="22"/>
      <w:lang w:eastAsia="en-US"/>
    </w:rPr>
  </w:style>
  <w:style w:type="character" w:customStyle="1" w:styleId="65">
    <w:name w:val="结束语 Char"/>
    <w:basedOn w:val="37"/>
    <w:link w:val="14"/>
    <w:qFormat/>
    <w:uiPriority w:val="99"/>
    <w:rPr>
      <w:b/>
      <w:kern w:val="2"/>
      <w:sz w:val="21"/>
    </w:rPr>
  </w:style>
  <w:style w:type="character" w:customStyle="1" w:styleId="66">
    <w:name w:val="正文文本缩进 Char"/>
    <w:basedOn w:val="37"/>
    <w:link w:val="16"/>
    <w:qFormat/>
    <w:uiPriority w:val="0"/>
    <w:rPr>
      <w:rFonts w:ascii="宋体" w:hAnsi="宋体" w:cs="宋体"/>
      <w:sz w:val="22"/>
      <w:szCs w:val="22"/>
      <w:lang w:eastAsia="en-US"/>
    </w:rPr>
  </w:style>
  <w:style w:type="character" w:customStyle="1" w:styleId="67">
    <w:name w:val="批注主题 Char"/>
    <w:basedOn w:val="62"/>
    <w:link w:val="33"/>
    <w:qFormat/>
    <w:uiPriority w:val="0"/>
    <w:rPr>
      <w:b/>
      <w:bCs/>
      <w:kern w:val="2"/>
      <w:sz w:val="21"/>
    </w:rPr>
  </w:style>
  <w:style w:type="character" w:customStyle="1" w:styleId="68">
    <w:name w:val="书籍标题1"/>
    <w:basedOn w:val="37"/>
    <w:qFormat/>
    <w:uiPriority w:val="33"/>
    <w:rPr>
      <w:b/>
      <w:bCs/>
      <w:smallCaps/>
      <w:spacing w:val="5"/>
    </w:rPr>
  </w:style>
  <w:style w:type="paragraph" w:customStyle="1" w:styleId="69">
    <w:name w:val="xl26"/>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70">
    <w:name w:val="文档结构图 Char"/>
    <w:basedOn w:val="37"/>
    <w:link w:val="12"/>
    <w:qFormat/>
    <w:uiPriority w:val="0"/>
    <w:rPr>
      <w:kern w:val="2"/>
      <w:sz w:val="21"/>
      <w:szCs w:val="24"/>
      <w:shd w:val="clear" w:color="auto" w:fill="000080"/>
    </w:rPr>
  </w:style>
  <w:style w:type="paragraph" w:customStyle="1" w:styleId="71">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72">
    <w:name w:val="Char Char Char Char"/>
    <w:basedOn w:val="1"/>
    <w:qFormat/>
    <w:uiPriority w:val="0"/>
    <w:pPr>
      <w:autoSpaceDE/>
      <w:autoSpaceDN/>
      <w:jc w:val="both"/>
    </w:pPr>
    <w:rPr>
      <w:rFonts w:ascii="Times New Roman" w:hAnsi="Times New Roman" w:eastAsia="Times New Roman" w:cs="Times New Roman"/>
      <w:sz w:val="20"/>
      <w:szCs w:val="20"/>
      <w:lang w:eastAsia="zh-CN"/>
    </w:rPr>
  </w:style>
  <w:style w:type="paragraph" w:customStyle="1" w:styleId="73">
    <w:name w:val="TOC 标题1"/>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74">
    <w:name w:val="Char Char Char"/>
    <w:basedOn w:val="1"/>
    <w:qFormat/>
    <w:uiPriority w:val="0"/>
    <w:pPr>
      <w:autoSpaceDE/>
      <w:autoSpaceDN/>
      <w:jc w:val="both"/>
    </w:pPr>
    <w:rPr>
      <w:rFonts w:ascii="Tahoma" w:hAnsi="Tahoma" w:cs="Times New Roman"/>
      <w:kern w:val="2"/>
      <w:sz w:val="24"/>
      <w:szCs w:val="20"/>
      <w:lang w:eastAsia="zh-CN"/>
    </w:rPr>
  </w:style>
  <w:style w:type="paragraph" w:customStyle="1" w:styleId="75">
    <w:name w:val="样式2"/>
    <w:basedOn w:val="1"/>
    <w:qFormat/>
    <w:uiPriority w:val="0"/>
    <w:pPr>
      <w:autoSpaceDE/>
      <w:autoSpaceDN/>
      <w:spacing w:line="360" w:lineRule="auto"/>
      <w:jc w:val="both"/>
    </w:pPr>
    <w:rPr>
      <w:rFonts w:ascii="Times New Roman" w:hAnsi="Times New Roman" w:cs="Times New Roman"/>
      <w:sz w:val="28"/>
      <w:szCs w:val="20"/>
      <w:lang w:eastAsia="zh-CN"/>
    </w:rPr>
  </w:style>
  <w:style w:type="paragraph" w:customStyle="1" w:styleId="76">
    <w:name w:val="默认段落字体 Para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77">
    <w:name w:val="段落样式"/>
    <w:basedOn w:val="1"/>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8">
    <w:name w:val="正文文本缩进 3 Char"/>
    <w:basedOn w:val="37"/>
    <w:link w:val="29"/>
    <w:qFormat/>
    <w:uiPriority w:val="0"/>
    <w:rPr>
      <w:rFonts w:ascii="宋体" w:hAnsi="宋体"/>
      <w:kern w:val="2"/>
      <w:sz w:val="24"/>
      <w:szCs w:val="24"/>
    </w:rPr>
  </w:style>
  <w:style w:type="character" w:customStyle="1" w:styleId="79">
    <w:name w:val="font21"/>
    <w:qFormat/>
    <w:uiPriority w:val="0"/>
    <w:rPr>
      <w:rFonts w:hint="eastAsia" w:ascii="宋体" w:hAnsi="宋体" w:eastAsia="宋体" w:cs="宋体"/>
      <w:color w:val="000000"/>
      <w:sz w:val="20"/>
      <w:szCs w:val="20"/>
      <w:u w:val="none"/>
    </w:rPr>
  </w:style>
  <w:style w:type="character" w:customStyle="1" w:styleId="80">
    <w:name w:val="font01"/>
    <w:basedOn w:val="37"/>
    <w:qFormat/>
    <w:uiPriority w:val="0"/>
    <w:rPr>
      <w:rFonts w:hint="eastAsia" w:ascii="宋体" w:hAnsi="宋体" w:eastAsia="宋体" w:cs="宋体"/>
      <w:color w:val="000000"/>
      <w:sz w:val="24"/>
      <w:szCs w:val="24"/>
      <w:u w:val="single"/>
    </w:rPr>
  </w:style>
  <w:style w:type="character" w:customStyle="1" w:styleId="81">
    <w:name w:val="普通文字 Char2"/>
    <w:basedOn w:val="37"/>
    <w:qFormat/>
    <w:uiPriority w:val="99"/>
    <w:rPr>
      <w:rFonts w:ascii="宋体" w:hAnsi="Courier New" w:cs="Courier New"/>
      <w:sz w:val="22"/>
      <w:szCs w:val="21"/>
      <w:lang w:eastAsia="en-US"/>
    </w:rPr>
  </w:style>
  <w:style w:type="character" w:customStyle="1" w:styleId="82">
    <w:name w:val="正文文本 Char1"/>
    <w:basedOn w:val="37"/>
    <w:qFormat/>
    <w:uiPriority w:val="0"/>
    <w:rPr>
      <w:rFonts w:ascii="宋体" w:hAnsi="宋体" w:cs="宋体"/>
      <w:sz w:val="24"/>
      <w:szCs w:val="24"/>
      <w:lang w:eastAsia="en-US"/>
    </w:rPr>
  </w:style>
  <w:style w:type="paragraph" w:customStyle="1" w:styleId="83">
    <w:name w:val="列出段落11"/>
    <w:basedOn w:val="1"/>
    <w:qFormat/>
    <w:uiPriority w:val="0"/>
    <w:pPr>
      <w:ind w:firstLine="420" w:firstLineChars="200"/>
      <w:jc w:val="both"/>
    </w:pPr>
    <w:rPr>
      <w:rFonts w:ascii="Calibri" w:hAnsi="Calibri" w:cs="Calibri"/>
      <w:kern w:val="2"/>
      <w:sz w:val="21"/>
      <w:szCs w:val="21"/>
    </w:rPr>
  </w:style>
  <w:style w:type="paragraph" w:customStyle="1" w:styleId="84">
    <w:name w:val="正文缩进1"/>
    <w:basedOn w:val="1"/>
    <w:qFormat/>
    <w:uiPriority w:val="0"/>
    <w:pPr>
      <w:ind w:firstLine="420"/>
    </w:pPr>
    <w:rPr>
      <w:rFonts w:ascii="Times New Roman" w:hAnsi="Times New Roman" w:cs="Times New Roman"/>
      <w:b/>
      <w:sz w:val="24"/>
      <w:szCs w:val="20"/>
    </w:rPr>
  </w:style>
  <w:style w:type="paragraph" w:customStyle="1" w:styleId="8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6">
    <w:name w:val="List Paragraph"/>
    <w:basedOn w:val="1"/>
    <w:qFormat/>
    <w:uiPriority w:val="34"/>
    <w:pPr>
      <w:ind w:firstLine="420" w:firstLineChars="200"/>
    </w:pPr>
  </w:style>
  <w:style w:type="paragraph" w:customStyle="1" w:styleId="87">
    <w:name w:val="xl27"/>
    <w:basedOn w:val="1"/>
    <w:qFormat/>
    <w:uiPriority w:val="0"/>
    <w:pPr>
      <w:widowControl/>
      <w:spacing w:before="100" w:beforeAutospacing="1" w:after="100" w:afterAutospacing="1"/>
      <w:jc w:val="center"/>
      <w:textAlignment w:val="center"/>
    </w:pPr>
    <w:rPr>
      <w:sz w:val="24"/>
      <w:szCs w:val="24"/>
    </w:rPr>
  </w:style>
  <w:style w:type="character" w:customStyle="1" w:styleId="88">
    <w:name w:val="正文缩进 Char"/>
    <w:link w:val="10"/>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F33A39-5E3B-476D-8BAD-357795398140}">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41</Pages>
  <Words>21889</Words>
  <Characters>22862</Characters>
  <Lines>178</Lines>
  <Paragraphs>50</Paragraphs>
  <TotalTime>15</TotalTime>
  <ScaleCrop>false</ScaleCrop>
  <LinksUpToDate>false</LinksUpToDate>
  <CharactersWithSpaces>24195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2020-08-27T05:48:00Z</dcterms:created>
  <dc:creator>CGC</dc:creator>
  <cp:lastModifiedBy>郑杰鹏</cp:lastModifiedBy>
  <dcterms:modified xsi:type="dcterms:W3CDTF">2024-06-24T07:08:45Z</dcterms:modified>
  <dc:title>公开招标文件（货物服务类）</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2052-12.1.0.16929</vt:lpwstr>
  </property>
  <property fmtid="{D5CDD505-2E9C-101B-9397-08002B2CF9AE}" pid="6" name="ICV">
    <vt:lpwstr>47D93B8F91FB45E7B39BE0CFBCCFE59E</vt:lpwstr>
  </property>
</Properties>
</file>