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rPr>
        <w:t>液氨（瓶装）</w:t>
      </w:r>
    </w:p>
    <w:p>
      <w:pPr>
        <w:widowControl/>
        <w:shd w:val="clear" w:color="auto" w:fill="FFFFFF"/>
        <w:jc w:val="center"/>
        <w:rPr>
          <w:rFonts w:hint="eastAsia" w:eastAsia="宋体"/>
          <w:color w:val="000000"/>
          <w:szCs w:val="21"/>
          <w:lang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2024-FHC-液氨（瓶装）-0306</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腾龙芳烃（漳州）有限公司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w:t>
      </w:r>
      <w:r>
        <w:rPr>
          <w:rFonts w:hint="eastAsia" w:asciiTheme="minorEastAsia" w:hAnsiTheme="minorEastAsia" w:eastAsiaTheme="minorEastAsia" w:cstheme="minorEastAsia"/>
          <w:color w:val="000000"/>
          <w:kern w:val="0"/>
          <w:sz w:val="28"/>
          <w:szCs w:val="28"/>
          <w:shd w:val="clear" w:color="auto" w:fill="FFFFFF"/>
          <w:lang w:val="en-US" w:eastAsia="zh-CN"/>
        </w:rPr>
        <w:t>4</w:t>
      </w:r>
      <w:r>
        <w:rPr>
          <w:rFonts w:hint="eastAsia" w:asciiTheme="minorEastAsia" w:hAnsiTheme="minorEastAsia" w:eastAsiaTheme="minorEastAsia" w:cstheme="minorEastAsia"/>
          <w:color w:val="000000"/>
          <w:kern w:val="0"/>
          <w:sz w:val="28"/>
          <w:szCs w:val="28"/>
          <w:shd w:val="clear" w:color="auto" w:fill="FFFFFF"/>
        </w:rPr>
        <w:t>年</w:t>
      </w:r>
      <w:r>
        <w:rPr>
          <w:rFonts w:hint="eastAsia" w:asciiTheme="minorEastAsia" w:hAnsiTheme="minorEastAsia" w:eastAsiaTheme="minorEastAsia" w:cstheme="minorEastAsia"/>
          <w:color w:val="000000"/>
          <w:kern w:val="0"/>
          <w:sz w:val="28"/>
          <w:szCs w:val="28"/>
          <w:shd w:val="clear" w:color="auto" w:fill="FFFFFF"/>
          <w:lang w:val="en-US" w:eastAsia="zh-CN"/>
        </w:rPr>
        <w:t>3</w:t>
      </w:r>
      <w:r>
        <w:rPr>
          <w:rFonts w:hint="eastAsia" w:asciiTheme="minorEastAsia" w:hAnsiTheme="minorEastAsia" w:eastAsiaTheme="minorEastAsia" w:cstheme="minorEastAsia"/>
          <w:color w:val="000000"/>
          <w:kern w:val="0"/>
          <w:sz w:val="28"/>
          <w:szCs w:val="28"/>
          <w:shd w:val="clear" w:color="auto" w:fill="FFFFFF"/>
        </w:rPr>
        <w:t>月</w:t>
      </w:r>
      <w:r>
        <w:rPr>
          <w:rFonts w:hint="eastAsia" w:asciiTheme="minorEastAsia" w:hAnsiTheme="minorEastAsia" w:eastAsiaTheme="minorEastAsia" w:cstheme="minorEastAsia"/>
          <w:color w:val="000000"/>
          <w:kern w:val="0"/>
          <w:sz w:val="28"/>
          <w:szCs w:val="28"/>
          <w:shd w:val="clear" w:color="auto" w:fill="FFFFFF"/>
          <w:lang w:val="en-US" w:eastAsia="zh-CN"/>
        </w:rPr>
        <w:t>12</w:t>
      </w:r>
      <w:bookmarkStart w:id="2" w:name="_GoBack"/>
      <w:bookmarkEnd w:id="2"/>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腾龙芳烃（漳州）有限公司</w:t>
      </w:r>
    </w:p>
    <w:p>
      <w:pPr>
        <w:jc w:val="center"/>
        <w:rPr>
          <w:b/>
          <w:bCs/>
          <w:sz w:val="32"/>
        </w:rPr>
      </w:pPr>
      <w:r>
        <w:rPr>
          <w:rFonts w:hint="eastAsia"/>
          <w:b/>
          <w:bCs/>
          <w:sz w:val="32"/>
        </w:rPr>
        <w:t>液氨（瓶装）</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“液氨（瓶装）（项目编号：</w:t>
      </w:r>
      <w:r>
        <w:rPr>
          <w:rFonts w:hint="eastAsia" w:asciiTheme="minorEastAsia" w:hAnsiTheme="minorEastAsia" w:eastAsiaTheme="minorEastAsia"/>
          <w:bCs/>
          <w:sz w:val="24"/>
          <w:u w:val="single"/>
          <w:lang w:eastAsia="zh-CN"/>
        </w:rPr>
        <w:t>2024-FHC-液氨（瓶装）-0306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液氨（瓶装）</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比选项目：液氨（瓶装）采购数量、质量、货期等详见比选文件。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pPr>
        <w:pStyle w:val="9"/>
        <w:numPr>
          <w:ilvl w:val="0"/>
          <w:numId w:val="3"/>
        </w:numPr>
        <w:spacing w:before="100" w:beforeAutospacing="1" w:after="100" w:afterAutospacing="1" w:line="360" w:lineRule="auto"/>
        <w:ind w:hanging="361"/>
        <w:rPr>
          <w:rFonts w:hint="eastAsia" w:asciiTheme="minorEastAsia" w:hAnsiTheme="minorEastAsia" w:eastAsiaTheme="minorEastAsia"/>
          <w:bCs/>
          <w:sz w:val="24"/>
        </w:rPr>
      </w:pPr>
      <w:r>
        <w:rPr>
          <w:rFonts w:hint="eastAsia" w:asciiTheme="minorEastAsia" w:hAnsiTheme="minorEastAsia" w:eastAsiaTheme="minorEastAsia"/>
          <w:bCs/>
          <w:sz w:val="24"/>
        </w:rPr>
        <w:t>具备经营资质，具有生产许可证或危化品经营许可证</w:t>
      </w:r>
      <w:r>
        <w:rPr>
          <w:rFonts w:hint="eastAsia" w:asciiTheme="minorEastAsia" w:hAnsiTheme="minorEastAsia" w:eastAsiaTheme="minorEastAsia"/>
          <w:bCs/>
          <w:sz w:val="24"/>
          <w:lang w:eastAsia="zh-CN"/>
        </w:rPr>
        <w:t>；</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肆</w:t>
      </w:r>
      <w:r>
        <w:rPr>
          <w:rFonts w:hint="eastAsia" w:asciiTheme="minorEastAsia" w:hAnsiTheme="minorEastAsia" w:eastAsiaTheme="minorEastAsia"/>
          <w:bCs/>
          <w:sz w:val="24"/>
        </w:rPr>
        <w:t>仟圆整）。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报名时间：自公告日起</w:t>
      </w:r>
      <w:r>
        <w:rPr>
          <w:rFonts w:hint="eastAsia" w:asciiTheme="majorEastAsia" w:hAnsiTheme="majorEastAsia" w:eastAsiaTheme="majorEastAsia"/>
          <w:sz w:val="24"/>
        </w:rPr>
        <w:t>至202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28</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以邮件附件方式发送至商务联系人邮箱wzcgb@fjpec.com.cn</w:t>
      </w:r>
      <w:r>
        <w:rPr>
          <w:rFonts w:asciiTheme="minorEastAsia" w:hAnsiTheme="minorEastAsia" w:eastAsiaTheme="minorEastAsia"/>
          <w:bCs/>
          <w:sz w:val="24"/>
        </w:rPr>
        <w:t>登记报名，登记报名时需递交以下文件：</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、开户许可证、生产许可证或危化品经营许可证等证件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（3）至少一份液氨（瓶装）业绩材料；</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（4）保证金汇款银行水单：参选单位需缴纳参选保证金：</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000元（肆仟圆整），如中选、该保证金转为履约保证金，如不中选，在比选结束后请联系商务联系人办理无息等额退款。</w:t>
      </w:r>
    </w:p>
    <w:p>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pPr>
        <w:pStyle w:val="9"/>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福建福海创石油化工有限公司（地址：漳州市漳浦县杜浔镇杜昌路9号福海创办公大楼</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r>
        <w:rPr>
          <w:rFonts w:hint="eastAsia" w:asciiTheme="minorEastAsia" w:hAnsiTheme="minorEastAsia" w:eastAsiaTheme="minorEastAsia"/>
          <w:bCs/>
          <w:color w:val="000000" w:themeColor="text1"/>
          <w:sz w:val="24"/>
          <w:lang w:val="en-US" w:eastAsia="zh-CN"/>
          <w14:textFill>
            <w14:solidFill>
              <w14:schemeClr w14:val="tx1"/>
            </w14:solidFill>
          </w14:textFill>
        </w:rPr>
        <w:t>煤炭及辅料团队</w:t>
      </w:r>
      <w:r>
        <w:rPr>
          <w:rFonts w:hint="eastAsia" w:asciiTheme="minorEastAsia" w:hAnsiTheme="minorEastAsia" w:eastAsiaTheme="minorEastAsia"/>
          <w:bCs/>
          <w:color w:val="000000" w:themeColor="text1"/>
          <w:sz w:val="24"/>
          <w14:textFill>
            <w14:solidFill>
              <w14:schemeClr w14:val="tx1"/>
            </w14:solidFill>
          </w14:textFill>
        </w:rPr>
        <w:t>）。</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2024年4月1日15:00</w:t>
      </w:r>
    </w:p>
    <w:p>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0"/>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890" w:leftChars="424" w:firstLine="0" w:firstLineChars="0"/>
        <w:rPr>
          <w:rFonts w:hint="eastAsia" w:asciiTheme="minorEastAsia" w:hAnsiTheme="minorEastAsia"/>
          <w:sz w:val="24"/>
        </w:rPr>
      </w:pPr>
      <w:r>
        <w:rPr>
          <w:rFonts w:hint="eastAsia" w:cs="宋体" w:asciiTheme="minorEastAsia" w:hAnsiTheme="minorEastAsia"/>
          <w:bCs/>
          <w:sz w:val="24"/>
        </w:rPr>
        <w:t>技术联系人：</w:t>
      </w:r>
      <w:r>
        <w:rPr>
          <w:rFonts w:hint="eastAsia" w:cs="宋体" w:asciiTheme="minorEastAsia" w:hAnsiTheme="minorEastAsia"/>
          <w:bCs/>
          <w:sz w:val="24"/>
          <w:lang w:val="en-US" w:eastAsia="zh-CN"/>
        </w:rPr>
        <w:t>陈灿煌</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8760322327</w:t>
      </w:r>
      <w:r>
        <w:rPr>
          <w:rFonts w:hint="eastAsia" w:cs="宋体" w:asciiTheme="minorEastAsia" w:hAnsiTheme="minorEastAsia"/>
          <w:bCs/>
          <w:sz w:val="24"/>
        </w:rPr>
        <w:t xml:space="preserve">  邮箱：</w:t>
      </w:r>
      <w:r>
        <w:rPr>
          <w:rFonts w:hint="eastAsia" w:asciiTheme="minorEastAsia" w:hAnsiTheme="minorEastAsia"/>
          <w:color w:val="000000" w:themeColor="text1"/>
          <w:sz w:val="24"/>
          <w:u w:val="none"/>
          <w14:textFill>
            <w14:solidFill>
              <w14:schemeClr w14:val="tx1"/>
            </w14:solidFill>
          </w14:textFill>
        </w:rPr>
        <w:fldChar w:fldCharType="begin"/>
      </w:r>
      <w:r>
        <w:rPr>
          <w:rFonts w:hint="eastAsia" w:asciiTheme="minorEastAsia" w:hAnsiTheme="minorEastAsia"/>
          <w:color w:val="000000" w:themeColor="text1"/>
          <w:sz w:val="24"/>
          <w:u w:val="none"/>
          <w14:textFill>
            <w14:solidFill>
              <w14:schemeClr w14:val="tx1"/>
            </w14:solidFill>
          </w14:textFill>
        </w:rPr>
        <w:instrText xml:space="preserve"> HYPERLINK "mailto:chench@fhcpec.com.cn" </w:instrText>
      </w:r>
      <w:r>
        <w:rPr>
          <w:rFonts w:hint="eastAsia" w:asciiTheme="minorEastAsia" w:hAnsiTheme="minorEastAsia"/>
          <w:color w:val="000000" w:themeColor="text1"/>
          <w:sz w:val="24"/>
          <w:u w:val="none"/>
          <w14:textFill>
            <w14:solidFill>
              <w14:schemeClr w14:val="tx1"/>
            </w14:solidFill>
          </w14:textFill>
        </w:rPr>
        <w:fldChar w:fldCharType="separate"/>
      </w:r>
      <w:r>
        <w:rPr>
          <w:rStyle w:val="8"/>
          <w:rFonts w:hint="eastAsia" w:asciiTheme="minorEastAsia" w:hAnsiTheme="minorEastAsia"/>
          <w:color w:val="000000" w:themeColor="text1"/>
          <w:sz w:val="24"/>
          <w:u w:val="none"/>
          <w14:textFill>
            <w14:solidFill>
              <w14:schemeClr w14:val="tx1"/>
            </w14:solidFill>
          </w14:textFill>
        </w:rPr>
        <w:t>chench@fhcpec.com.cn</w:t>
      </w:r>
      <w:r>
        <w:rPr>
          <w:rFonts w:hint="eastAsia" w:asciiTheme="minorEastAsia" w:hAnsiTheme="minorEastAsia"/>
          <w:color w:val="000000" w:themeColor="text1"/>
          <w:sz w:val="24"/>
          <w:u w:val="none"/>
          <w14:textFill>
            <w14:solidFill>
              <w14:schemeClr w14:val="tx1"/>
            </w14:solidFill>
          </w14:textFill>
        </w:rPr>
        <w:fldChar w:fldCharType="end"/>
      </w:r>
    </w:p>
    <w:p>
      <w:pPr>
        <w:pStyle w:val="2"/>
        <w:snapToGrid w:val="0"/>
        <w:spacing w:before="100" w:beforeAutospacing="1" w:after="100" w:afterAutospacing="1" w:line="360" w:lineRule="auto"/>
        <w:ind w:left="890" w:leftChars="424" w:firstLine="0" w:firstLineChars="0"/>
        <w:rPr>
          <w:rStyle w:val="8"/>
          <w:rFonts w:hint="eastAsia" w:eastAsia="宋体" w:cs="Times New Roman" w:asciiTheme="minorEastAsia" w:hAnsiTheme="minorEastAsia"/>
          <w:color w:val="000000" w:themeColor="text1"/>
          <w:sz w:val="24"/>
          <w:u w:val="none"/>
          <w14:textFill>
            <w14:solidFill>
              <w14:schemeClr w14:val="tx1"/>
            </w14:solidFill>
          </w14:textFill>
        </w:rPr>
      </w:pPr>
      <w:r>
        <w:rPr>
          <w:rFonts w:hint="eastAsia" w:cs="宋体" w:asciiTheme="minorEastAsia" w:hAnsiTheme="minorEastAsia"/>
          <w:bCs/>
          <w:sz w:val="24"/>
        </w:rPr>
        <w:t>纪检监察室电话：0596-6311774  邮箱：</w:t>
      </w:r>
      <w:r>
        <w:rPr>
          <w:rStyle w:val="8"/>
          <w:rFonts w:hint="eastAsia" w:eastAsia="宋体" w:cs="Times New Roman" w:asciiTheme="minorEastAsia" w:hAnsiTheme="minorEastAsia"/>
          <w:color w:val="000000" w:themeColor="text1"/>
          <w:sz w:val="24"/>
          <w:u w:val="none"/>
          <w14:textFill>
            <w14:solidFill>
              <w14:schemeClr w14:val="tx1"/>
            </w14:solidFill>
          </w14:textFill>
        </w:rPr>
        <w:t>fhcjc@fhcpec.com.cn</w:t>
      </w:r>
    </w:p>
    <w:p>
      <w:pPr>
        <w:pStyle w:val="2"/>
        <w:snapToGrid w:val="0"/>
        <w:spacing w:before="100" w:beforeAutospacing="1" w:after="100" w:afterAutospacing="1" w:line="360" w:lineRule="auto"/>
        <w:ind w:left="412" w:firstLine="480" w:firstLineChars="200"/>
        <w:rPr>
          <w:rFonts w:hint="eastAsia" w:asciiTheme="minorEastAsia" w:hAnsiTheme="minorEastAsia" w:eastAsiaTheme="minorEastAsia"/>
          <w:bCs/>
          <w:sz w:val="24"/>
          <w:lang w:val="en-US" w:eastAsia="zh-CN"/>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14:textFill>
            <w14:solidFill>
              <w14:schemeClr w14:val="tx1"/>
            </w14:solidFill>
          </w14:textFill>
        </w:rPr>
        <w:t>楼</w:t>
      </w:r>
      <w:r>
        <w:rPr>
          <w:rFonts w:hint="eastAsia" w:asciiTheme="minorEastAsia" w:hAnsiTheme="minorEastAsia"/>
          <w:bCs/>
          <w:color w:val="000000" w:themeColor="text1"/>
          <w:sz w:val="24"/>
          <w:lang w:val="en-US" w:eastAsia="zh-CN"/>
          <w14:textFill>
            <w14:solidFill>
              <w14:schemeClr w14:val="tx1"/>
            </w14:solidFill>
          </w14:textFill>
        </w:rPr>
        <w:t>煤炭及辅料团队</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腾龙芳烃（漳州）有限公司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日</w:t>
      </w:r>
    </w:p>
    <w:p>
      <w:pPr>
        <w:spacing w:line="400" w:lineRule="exact"/>
        <w:jc w:val="center"/>
        <w:rPr>
          <w:rFonts w:ascii="宋体" w:hAnsi="宋体"/>
          <w:b/>
          <w:bCs/>
          <w:sz w:val="36"/>
        </w:rPr>
      </w:pPr>
    </w:p>
    <w:p>
      <w:pPr>
        <w:spacing w:line="400" w:lineRule="exact"/>
        <w:jc w:val="center"/>
        <w:rPr>
          <w:rFonts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rPr>
        <w:t>液氨（瓶装）</w:t>
      </w:r>
      <w:r>
        <w:rPr>
          <w:rFonts w:hint="eastAsia" w:ascii="宋体" w:hAnsi="宋体"/>
          <w:sz w:val="18"/>
          <w:szCs w:val="18"/>
        </w:rPr>
        <w:t>。</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（5）具备经营资质，生产许可证或危化品经营许可证等证件</w:t>
      </w:r>
      <w:r>
        <w:rPr>
          <w:rFonts w:hint="eastAsia" w:asciiTheme="minorEastAsia" w:hAnsiTheme="minorEastAsia" w:eastAsiaTheme="minorEastAsia"/>
          <w:bCs/>
          <w:color w:val="000000" w:themeColor="text1"/>
          <w:sz w:val="24"/>
          <w14:textFill>
            <w14:solidFill>
              <w14:schemeClr w14:val="tx1"/>
            </w14:solidFill>
          </w14:textFill>
        </w:rPr>
        <w:t>。</w:t>
      </w:r>
    </w:p>
    <w:p>
      <w:pPr>
        <w:spacing w:line="320" w:lineRule="exact"/>
        <w:rPr>
          <w:rFonts w:ascii="宋体"/>
          <w:sz w:val="18"/>
          <w:szCs w:val="18"/>
        </w:rPr>
      </w:pPr>
      <w:r>
        <w:rPr>
          <w:rFonts w:hint="eastAsia" w:ascii="宋体"/>
          <w:sz w:val="18"/>
          <w:szCs w:val="18"/>
        </w:rPr>
        <w:t>（6）参选保证金：</w:t>
      </w:r>
      <w:r>
        <w:rPr>
          <w:rFonts w:hint="eastAsia" w:ascii="宋体"/>
          <w:sz w:val="18"/>
          <w:szCs w:val="18"/>
          <w:lang w:val="en-US" w:eastAsia="zh-CN"/>
        </w:rPr>
        <w:t>4</w:t>
      </w:r>
      <w:r>
        <w:rPr>
          <w:rFonts w:hint="eastAsia" w:ascii="宋体"/>
          <w:sz w:val="18"/>
          <w:szCs w:val="18"/>
        </w:rPr>
        <w:t>000元（</w:t>
      </w:r>
      <w:r>
        <w:rPr>
          <w:rFonts w:hint="eastAsia" w:ascii="宋体"/>
          <w:sz w:val="18"/>
          <w:szCs w:val="18"/>
          <w:lang w:val="en-US" w:eastAsia="zh-CN"/>
        </w:rPr>
        <w:t>肆</w:t>
      </w:r>
      <w:r>
        <w:rPr>
          <w:rFonts w:hint="eastAsia" w:ascii="宋体"/>
          <w:sz w:val="18"/>
          <w:szCs w:val="18"/>
        </w:rPr>
        <w:t>仟圆整）。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（6）报价单；（7）附件1《液氨（瓶装）质量规范》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液氨（瓶装）</w:t>
      </w:r>
      <w:r>
        <w:rPr>
          <w:rFonts w:hint="eastAsia" w:ascii="宋体" w:hAnsi="宋体"/>
          <w:sz w:val="18"/>
          <w:szCs w:val="18"/>
        </w:rPr>
        <w:t>的采购价格，最低价中选。比选会议确定价格之后：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w:t>
      </w:r>
      <w:r>
        <w:rPr>
          <w:rFonts w:hint="eastAsia" w:ascii="Arial" w:hAnsi="Arial" w:cs="Arial"/>
          <w:sz w:val="18"/>
          <w:szCs w:val="18"/>
          <w:lang w:val="en-US" w:eastAsia="zh-CN"/>
        </w:rPr>
        <w:t>小组</w:t>
      </w:r>
      <w:r>
        <w:rPr>
          <w:rFonts w:hint="eastAsia" w:ascii="Arial" w:hAnsi="Arial" w:cs="Arial"/>
          <w:sz w:val="18"/>
          <w:szCs w:val="18"/>
        </w:rPr>
        <w:t>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1.公开比选会议期间，确定价格后，愿意以确定的价格供货的报价人立即或会后邮件扫描或传真《公开比选确认单》至我司，由采购部成员办理随后的订单送审手续。比选数量为总数量，以需方实际需求为准。</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宋体"/>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2024-FHC-液氨（瓶装）-0306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我公司计划采购液氨（瓶装），具体要求如下：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液氨（瓶装）采购数量：</w:t>
      </w:r>
      <w:r>
        <w:rPr>
          <w:rFonts w:hint="eastAsia" w:ascii="宋体" w:cs="宋体"/>
          <w:sz w:val="24"/>
          <w:lang w:val="en-US" w:eastAsia="zh-CN"/>
        </w:rPr>
        <w:t>2.4</w:t>
      </w:r>
      <w:r>
        <w:rPr>
          <w:rFonts w:hint="eastAsia" w:ascii="宋体" w:cs="宋体"/>
          <w:sz w:val="24"/>
        </w:rPr>
        <w:t>吨（</w:t>
      </w:r>
      <w:r>
        <w:rPr>
          <w:rFonts w:hint="eastAsia" w:ascii="宋体" w:hAnsi="宋体"/>
          <w:color w:val="000000"/>
          <w:sz w:val="24"/>
          <w:lang w:val="en-US" w:eastAsia="zh-CN"/>
        </w:rPr>
        <w:t>预计每月200kg，一年2400kg。</w:t>
      </w:r>
      <w:r>
        <w:rPr>
          <w:rFonts w:hint="eastAsia" w:ascii="宋体" w:cs="宋体"/>
          <w:sz w:val="24"/>
        </w:rPr>
        <w:t>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2.技术参数指标及接收条款详见附件1：《液氨（瓶装）质量规范》。</w:t>
      </w:r>
    </w:p>
    <w:p>
      <w:pPr>
        <w:spacing w:line="360" w:lineRule="exact"/>
        <w:jc w:val="left"/>
        <w:rPr>
          <w:rFonts w:hint="eastAsia" w:ascii="宋体" w:eastAsia="宋体" w:cs="宋体"/>
          <w:sz w:val="24"/>
          <w:lang w:eastAsia="zh-CN"/>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w:t>
      </w:r>
      <w:r>
        <w:rPr>
          <w:rFonts w:hint="eastAsia" w:ascii="宋体" w:hAnsi="宋体"/>
          <w:sz w:val="24"/>
        </w:rPr>
        <w:t>日起，具体以需方通知为准</w:t>
      </w:r>
      <w:r>
        <w:rPr>
          <w:rFonts w:hint="eastAsia" w:ascii="宋体" w:hAnsi="宋体"/>
          <w:sz w:val="24"/>
          <w:lang w:eastAsia="zh-CN"/>
        </w:rPr>
        <w:t>。</w:t>
      </w:r>
    </w:p>
    <w:p>
      <w:pPr>
        <w:spacing w:line="350" w:lineRule="exact"/>
        <w:jc w:val="left"/>
        <w:rPr>
          <w:rFonts w:ascii="宋体" w:cs="宋体"/>
          <w:sz w:val="24"/>
        </w:rPr>
      </w:pPr>
      <w:r>
        <w:rPr>
          <w:rFonts w:hint="eastAsia" w:asciiTheme="minorEastAsia" w:hAnsiTheme="minorEastAsia" w:eastAsiaTheme="minorEastAsia"/>
          <w:bCs/>
          <w:kern w:val="0"/>
          <w:sz w:val="24"/>
        </w:rPr>
        <w:t>4.报价须知：液氨（瓶装）</w:t>
      </w:r>
      <w:r>
        <w:rPr>
          <w:rFonts w:hint="eastAsia" w:ascii="宋体" w:hAnsi="宋体" w:cs="宋体"/>
          <w:sz w:val="24"/>
        </w:rPr>
        <w:t>采用含税送到价。参选人需对全部比选数量进行报价。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w:t>
      </w:r>
      <w:r>
        <w:rPr>
          <w:rFonts w:hint="eastAsia" w:ascii="宋体" w:hAnsi="宋体" w:cs="宋体"/>
          <w:sz w:val="24"/>
          <w:lang w:val="en-US" w:eastAsia="zh-CN"/>
        </w:rPr>
        <w:t>向</w:t>
      </w:r>
      <w:r>
        <w:rPr>
          <w:rFonts w:hint="eastAsia" w:ascii="宋体" w:hAnsi="宋体" w:cs="宋体"/>
          <w:sz w:val="24"/>
        </w:rPr>
        <w:t>供方</w:t>
      </w:r>
      <w:r>
        <w:rPr>
          <w:rFonts w:hint="eastAsia" w:ascii="宋体" w:hAnsi="宋体" w:cs="宋体"/>
          <w:sz w:val="24"/>
          <w:lang w:val="en-US" w:eastAsia="zh-CN"/>
        </w:rPr>
        <w:t>支付货款</w:t>
      </w:r>
      <w:r>
        <w:rPr>
          <w:rFonts w:hint="eastAsia" w:ascii="宋体" w:hAnsi="宋体" w:cs="宋体"/>
          <w:sz w:val="24"/>
        </w:rPr>
        <w:t>。</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spacing w:line="350" w:lineRule="exact"/>
        <w:jc w:val="left"/>
        <w:rPr>
          <w:rFonts w:ascii="宋体" w:hAnsi="宋体"/>
          <w:color w:val="000000"/>
          <w:sz w:val="24"/>
        </w:rPr>
      </w:pPr>
      <w:r>
        <w:rPr>
          <w:rFonts w:hint="eastAsia" w:ascii="宋体" w:hAnsi="宋体"/>
          <w:color w:val="000000"/>
          <w:sz w:val="24"/>
        </w:rPr>
        <w:t>5.3其他验收要求：</w:t>
      </w:r>
    </w:p>
    <w:p>
      <w:pPr>
        <w:spacing w:line="350" w:lineRule="exact"/>
        <w:jc w:val="left"/>
        <w:rPr>
          <w:rFonts w:hint="eastAsia" w:ascii="宋体" w:hAnsi="宋体" w:eastAsia="宋体"/>
          <w:color w:val="000000"/>
          <w:sz w:val="24"/>
          <w:lang w:eastAsia="zh-CN"/>
        </w:rPr>
      </w:pPr>
      <w:r>
        <w:rPr>
          <w:rFonts w:hint="eastAsia" w:ascii="宋体" w:hAnsi="宋体"/>
          <w:color w:val="000000"/>
          <w:sz w:val="24"/>
        </w:rPr>
        <w:t>5.3.1产品质量执行:GB/T 536-2017液体无水氨，合格品</w:t>
      </w:r>
      <w:r>
        <w:rPr>
          <w:rFonts w:hint="eastAsia" w:ascii="宋体" w:hAnsi="宋体"/>
          <w:color w:val="000000"/>
          <w:sz w:val="24"/>
          <w:lang w:eastAsia="zh-CN"/>
        </w:rPr>
        <w:t>；</w:t>
      </w:r>
    </w:p>
    <w:p>
      <w:pPr>
        <w:spacing w:line="350" w:lineRule="exact"/>
        <w:jc w:val="left"/>
        <w:rPr>
          <w:rFonts w:hint="eastAsia" w:ascii="宋体" w:hAnsi="宋体" w:eastAsia="宋体"/>
          <w:color w:val="000000"/>
          <w:sz w:val="24"/>
          <w:lang w:eastAsia="zh-CN"/>
        </w:rPr>
      </w:pPr>
      <w:r>
        <w:rPr>
          <w:rFonts w:hint="eastAsia" w:ascii="宋体" w:hAnsi="宋体"/>
          <w:color w:val="000000"/>
          <w:sz w:val="24"/>
        </w:rPr>
        <w:t>5.3.2每瓶400KG,新供应商第一次送1瓶，以后每次送1瓶，同时回收1个空</w:t>
      </w:r>
      <w:r>
        <w:rPr>
          <w:rFonts w:hint="default" w:ascii="宋体" w:hAnsi="宋体"/>
          <w:color w:val="000000"/>
          <w:sz w:val="24"/>
        </w:rPr>
        <w:t>瓶，一至二个月送一次货</w:t>
      </w:r>
      <w:r>
        <w:rPr>
          <w:rFonts w:hint="eastAsia" w:ascii="宋体" w:hAnsi="宋体"/>
          <w:color w:val="000000"/>
          <w:sz w:val="24"/>
          <w:lang w:eastAsia="zh-CN"/>
        </w:rPr>
        <w:t>；</w:t>
      </w:r>
    </w:p>
    <w:p>
      <w:pPr>
        <w:spacing w:line="350" w:lineRule="exact"/>
        <w:jc w:val="left"/>
        <w:rPr>
          <w:rFonts w:hint="eastAsia" w:ascii="宋体" w:hAnsi="宋体"/>
          <w:color w:val="000000"/>
          <w:sz w:val="24"/>
          <w:lang w:eastAsia="zh-CN"/>
        </w:rPr>
      </w:pPr>
      <w:r>
        <w:rPr>
          <w:rFonts w:hint="eastAsia" w:ascii="宋体" w:hAnsi="宋体"/>
          <w:color w:val="000000"/>
          <w:sz w:val="24"/>
        </w:rPr>
        <w:t>5.3.3瓶子的使用费包含在氨气中，不另算瓶子的使用费</w:t>
      </w:r>
      <w:r>
        <w:rPr>
          <w:rFonts w:hint="eastAsia" w:ascii="宋体" w:hAnsi="宋体"/>
          <w:color w:val="000000"/>
          <w:sz w:val="24"/>
          <w:lang w:eastAsia="zh-CN"/>
        </w:rPr>
        <w:t>。</w:t>
      </w:r>
      <w:r>
        <w:rPr>
          <w:rFonts w:hint="eastAsia" w:ascii="宋体" w:hAnsi="宋体"/>
          <w:color w:val="000000"/>
          <w:sz w:val="24"/>
        </w:rPr>
        <w:t>供方负责回收钢瓶。</w:t>
      </w:r>
      <w:r>
        <w:rPr>
          <w:rFonts w:hint="eastAsia" w:ascii="宋体" w:hAnsi="宋体"/>
          <w:color w:val="000000"/>
          <w:sz w:val="24"/>
        </w:rPr>
        <w:br w:type="textWrapping"/>
      </w:r>
      <w:r>
        <w:rPr>
          <w:rFonts w:hint="eastAsia" w:ascii="宋体" w:hAnsi="宋体"/>
          <w:color w:val="000000"/>
          <w:sz w:val="24"/>
        </w:rPr>
        <w:t>5.3.4所有送货的氨瓶必须符合钢瓶相关的质量标准，同时钢瓶外面应有2个</w:t>
      </w:r>
      <w:r>
        <w:rPr>
          <w:rFonts w:hint="default" w:ascii="宋体" w:hAnsi="宋体"/>
          <w:color w:val="000000"/>
          <w:sz w:val="24"/>
        </w:rPr>
        <w:t>橡胶圈，如橡胶圈缺失，我司不予接受</w:t>
      </w:r>
      <w:r>
        <w:rPr>
          <w:rFonts w:hint="eastAsia" w:ascii="宋体" w:hAnsi="宋体"/>
          <w:color w:val="000000"/>
          <w:sz w:val="24"/>
          <w:lang w:eastAsia="zh-CN"/>
        </w:rPr>
        <w:t>。</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运输条款：危化品</w:t>
      </w:r>
      <w:r>
        <w:rPr>
          <w:rFonts w:hint="eastAsia" w:asciiTheme="minorEastAsia" w:hAnsiTheme="minorEastAsia" w:eastAsiaTheme="minorEastAsia"/>
          <w:sz w:val="24"/>
        </w:rPr>
        <w:t>汽车运输</w:t>
      </w:r>
      <w:r>
        <w:rPr>
          <w:rFonts w:hint="eastAsia" w:asciiTheme="minorEastAsia" w:hAnsiTheme="minorEastAsia" w:eastAsiaTheme="minorEastAsia"/>
          <w:sz w:val="24"/>
          <w:lang w:eastAsia="zh-CN"/>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7.2参选文件应密封，包含比选公告、参选规定及说明、公开比选文件、参选书、法定代表人授权书、报价单，附件1《液氨（瓶装）质量规范》上述七项文件一式两份并逐页盖公章。密封处盖章。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7.3我公司快递联系方式：公司名称：腾龙芳烃（漳州）有限公司</w:t>
      </w:r>
      <w:r>
        <w:rPr>
          <w:rFonts w:ascii="宋体" w:hAnsi="宋体" w:cs="宋体"/>
          <w:sz w:val="24"/>
        </w:rPr>
        <w:t xml:space="preserve"> </w:t>
      </w:r>
    </w:p>
    <w:p>
      <w:pPr>
        <w:spacing w:line="288"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sz w:val="24"/>
        </w:rPr>
        <w:t>地址：</w:t>
      </w:r>
      <w:r>
        <w:rPr>
          <w:rFonts w:hint="eastAsia" w:ascii="宋体" w:hAnsi="宋体" w:cs="宋体"/>
          <w:color w:val="000000" w:themeColor="text1"/>
          <w:sz w:val="24"/>
          <w14:textFill>
            <w14:solidFill>
              <w14:schemeClr w14:val="tx1"/>
            </w14:solidFill>
          </w14:textFill>
        </w:rPr>
        <w:t>福建省漳州市漳浦县杜浔镇杜昌路9号福海创办公大楼</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楼</w:t>
      </w:r>
      <w:r>
        <w:rPr>
          <w:rFonts w:hint="eastAsia" w:ascii="宋体" w:hAnsi="宋体" w:cs="宋体"/>
          <w:color w:val="000000" w:themeColor="text1"/>
          <w:sz w:val="24"/>
          <w:lang w:val="en-US" w:eastAsia="zh-CN"/>
          <w14:textFill>
            <w14:solidFill>
              <w14:schemeClr w14:val="tx1"/>
            </w14:solidFill>
          </w14:textFill>
        </w:rPr>
        <w:t>煤炭及辅料团队</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手机：1</w:t>
      </w:r>
      <w:r>
        <w:rPr>
          <w:rFonts w:hint="eastAsia" w:ascii="宋体" w:hAnsi="宋体" w:cs="宋体"/>
          <w:sz w:val="24"/>
          <w:lang w:val="en-US" w:eastAsia="zh-CN"/>
        </w:rPr>
        <w:t>3015727080</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2024-FHC-液氨（瓶装）-0306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（6）附件1</w:t>
      </w:r>
      <w:r>
        <w:rPr>
          <w:rFonts w:hint="eastAsia" w:ascii="宋体" w:hAnsi="宋体" w:cs="宋体"/>
          <w:sz w:val="24"/>
        </w:rPr>
        <w:t>《液氨（瓶装）质量规范》</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w:t>
      </w:r>
      <w:r>
        <w:rPr>
          <w:rFonts w:hint="eastAsia" w:ascii="宋体" w:hAnsi="宋体"/>
          <w:sz w:val="24"/>
          <w:lang w:val="en-US" w:eastAsia="zh-CN"/>
        </w:rPr>
        <w:t>姓名</w:t>
      </w:r>
      <w:r>
        <w:rPr>
          <w:rFonts w:hint="eastAsia" w:ascii="宋体" w:hAnsi="宋体"/>
          <w:sz w:val="24"/>
        </w:rPr>
        <w:t>：</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hint="eastAsia" w:ascii="宋体" w:eastAsia="宋体"/>
          <w:sz w:val="24"/>
          <w:lang w:eastAsia="zh-CN"/>
        </w:rPr>
      </w:pPr>
      <w:r>
        <w:rPr>
          <w:rFonts w:hint="eastAsia" w:ascii="宋体" w:hAnsi="宋体"/>
          <w:sz w:val="24"/>
        </w:rPr>
        <w:t>被授权代表签字</w:t>
      </w:r>
      <w:r>
        <w:rPr>
          <w:rFonts w:hint="eastAsia" w:ascii="宋体" w:hAnsi="宋体"/>
          <w:sz w:val="24"/>
          <w:lang w:eastAsia="zh-CN"/>
        </w:rPr>
        <w:t>：</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2024-FHC-液氨（瓶装）-0306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2024-FHC-液氨（瓶装）-0306</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我公司可按贵司要求供应液氨（瓶装）：</w:t>
      </w:r>
    </w:p>
    <w:p>
      <w:pPr>
        <w:spacing w:line="500" w:lineRule="exact"/>
        <w:rPr>
          <w:rFonts w:ascii="宋体" w:hAnsi="宋体"/>
          <w:sz w:val="24"/>
          <w:u w:val="single"/>
        </w:rPr>
      </w:pPr>
      <w:r>
        <w:rPr>
          <w:rFonts w:hint="eastAsia" w:ascii="宋体" w:hAnsi="宋体"/>
          <w:sz w:val="24"/>
        </w:rPr>
        <w:t>数量：</w:t>
      </w:r>
      <w:r>
        <w:rPr>
          <w:rFonts w:hint="eastAsia" w:ascii="宋体" w:cs="宋体"/>
          <w:sz w:val="24"/>
          <w:u w:val="single"/>
          <w:lang w:val="en-US" w:eastAsia="zh-CN"/>
        </w:rPr>
        <w:t>2.4</w:t>
      </w:r>
      <w:r>
        <w:rPr>
          <w:rFonts w:hint="eastAsia" w:ascii="宋体" w:cs="宋体"/>
          <w:sz w:val="24"/>
          <w:u w:val="single"/>
        </w:rPr>
        <w:t>吨</w:t>
      </w:r>
      <w:r>
        <w:rPr>
          <w:rFonts w:hint="eastAsia" w:ascii="宋体" w:cs="宋体"/>
          <w:sz w:val="24"/>
        </w:rPr>
        <w:t>（</w:t>
      </w:r>
      <w:r>
        <w:rPr>
          <w:rFonts w:hint="eastAsia" w:ascii="宋体" w:hAnsi="宋体"/>
          <w:color w:val="000000"/>
          <w:sz w:val="24"/>
          <w:lang w:val="en-US" w:eastAsia="zh-CN"/>
        </w:rPr>
        <w:t>预计每月200kg，一年2400kg。</w:t>
      </w:r>
      <w:r>
        <w:rPr>
          <w:rFonts w:hint="eastAsia" w:ascii="宋体" w:cs="宋体"/>
          <w:sz w:val="24"/>
        </w:rPr>
        <w:t>数量为年预估量，以实际发生量为准）</w:t>
      </w:r>
      <w:r>
        <w:rPr>
          <w:rFonts w:hint="eastAsia" w:ascii="宋体" w:hAnsi="宋体"/>
          <w:sz w:val="24"/>
        </w:rPr>
        <w:t>，</w:t>
      </w:r>
    </w:p>
    <w:p>
      <w:pPr>
        <w:spacing w:line="500" w:lineRule="exact"/>
        <w:rPr>
          <w:rFonts w:ascii="宋体" w:hAnsi="宋体"/>
          <w:sz w:val="24"/>
        </w:rPr>
      </w:pPr>
      <w:r>
        <w:rPr>
          <w:rFonts w:hint="eastAsia" w:ascii="宋体" w:hAnsi="宋体"/>
          <w:sz w:val="24"/>
        </w:rPr>
        <w:t>一票含税送到单价：</w:t>
      </w:r>
      <w:r>
        <w:rPr>
          <w:rFonts w:hint="eastAsia" w:ascii="宋体" w:hAnsi="宋体"/>
          <w:sz w:val="24"/>
          <w:u w:val="single"/>
        </w:rPr>
        <w:t xml:space="preserve">      </w:t>
      </w:r>
      <w:r>
        <w:rPr>
          <w:rFonts w:hint="eastAsia" w:ascii="宋体" w:hAnsi="宋体"/>
          <w:sz w:val="24"/>
        </w:rPr>
        <w:t>元/吨，合计总价：</w:t>
      </w:r>
      <w:r>
        <w:rPr>
          <w:rFonts w:hint="eastAsia" w:ascii="宋体" w:hAnsi="宋体"/>
          <w:sz w:val="24"/>
          <w:u w:val="single"/>
        </w:rPr>
        <w:t xml:space="preserve">       </w:t>
      </w:r>
      <w:r>
        <w:rPr>
          <w:rFonts w:hint="eastAsia" w:ascii="宋体" w:hAnsi="宋体"/>
          <w:sz w:val="24"/>
        </w:rPr>
        <w:t>元</w:t>
      </w:r>
      <w:r>
        <w:rPr>
          <w:rFonts w:hint="eastAsia" w:ascii="宋体" w:hAnsi="宋体"/>
          <w:sz w:val="24"/>
          <w:lang w:eastAsia="zh-CN"/>
        </w:rPr>
        <w:t>，</w:t>
      </w:r>
      <w:r>
        <w:rPr>
          <w:rFonts w:hint="eastAsia" w:ascii="宋体" w:hAnsi="宋体"/>
          <w:sz w:val="24"/>
        </w:rPr>
        <w:t>税率</w:t>
      </w:r>
      <w:r>
        <w:rPr>
          <w:rFonts w:hint="eastAsia" w:ascii="宋体" w:hAnsi="宋体"/>
          <w:sz w:val="24"/>
          <w:u w:val="single"/>
        </w:rPr>
        <w:t xml:space="preserve">  13%  </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u w:val="single"/>
        </w:rPr>
        <w:t>以上报价中的含税送到单价，对应的增值税率为13%，在合同履行期间，如遇国家的税率调整，则，调整后的含税单价=原含税送到单价/1.13*新增值税率；</w:t>
      </w:r>
      <w:r>
        <w:rPr>
          <w:rFonts w:ascii="宋体" w:hAnsi="宋体"/>
          <w:sz w:val="24"/>
          <w:u w:val="single"/>
        </w:rPr>
        <w:t xml:space="preserve"> </w:t>
      </w:r>
    </w:p>
    <w:p>
      <w:pPr>
        <w:numPr>
          <w:ilvl w:val="0"/>
          <w:numId w:val="9"/>
        </w:numPr>
        <w:spacing w:line="312" w:lineRule="auto"/>
        <w:rPr>
          <w:rFonts w:ascii="宋体" w:hAnsi="宋体"/>
          <w:sz w:val="24"/>
        </w:rPr>
      </w:pPr>
      <w:r>
        <w:rPr>
          <w:rFonts w:hint="eastAsia" w:ascii="宋体" w:hAnsi="宋体"/>
          <w:sz w:val="24"/>
        </w:rPr>
        <w:t>质量验收标准 （详见附件1“液氨（瓶装）质量规范”）。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我公司同意在参选前缴纳保证金</w:t>
      </w:r>
      <w:r>
        <w:rPr>
          <w:rFonts w:hint="eastAsia" w:ascii="宋体" w:hAnsi="宋体"/>
          <w:sz w:val="24"/>
          <w:lang w:val="en-US" w:eastAsia="zh-CN"/>
        </w:rPr>
        <w:t>4</w:t>
      </w:r>
      <w:r>
        <w:rPr>
          <w:rFonts w:hint="eastAsia" w:ascii="宋体" w:hAnsi="宋体"/>
          <w:sz w:val="24"/>
        </w:rPr>
        <w:t>000元。</w:t>
      </w:r>
    </w:p>
    <w:p>
      <w:pPr>
        <w:spacing w:line="312" w:lineRule="auto"/>
        <w:jc w:val="left"/>
        <w:rPr>
          <w:rFonts w:ascii="宋体" w:hAnsi="宋体"/>
          <w:sz w:val="24"/>
        </w:rPr>
      </w:pPr>
      <w:r>
        <w:rPr>
          <w:rFonts w:hint="eastAsia" w:ascii="宋体" w:hAnsi="宋体"/>
          <w:sz w:val="24"/>
        </w:rPr>
        <w:t>二、到货期：</w:t>
      </w:r>
      <w:r>
        <w:rPr>
          <w:rFonts w:hint="eastAsia" w:ascii="宋体" w:hAnsi="宋体"/>
          <w:sz w:val="24"/>
          <w:lang w:val="en-US" w:eastAsia="zh-CN"/>
        </w:rPr>
        <w:t>从</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5月1</w:t>
      </w:r>
      <w:r>
        <w:rPr>
          <w:rFonts w:hint="eastAsia" w:ascii="宋体" w:hAnsi="宋体"/>
          <w:sz w:val="24"/>
        </w:rPr>
        <w:t>日</w:t>
      </w:r>
      <w:r>
        <w:rPr>
          <w:rFonts w:hint="eastAsia" w:ascii="宋体" w:hAnsi="宋体"/>
          <w:sz w:val="24"/>
          <w:lang w:val="en-US" w:eastAsia="zh-CN"/>
        </w:rPr>
        <w:t>起</w:t>
      </w:r>
      <w:r>
        <w:rPr>
          <w:rFonts w:hint="eastAsia" w:ascii="宋体" w:hAnsi="宋体" w:cs="宋体"/>
          <w:sz w:val="24"/>
        </w:rPr>
        <w:t>将货物交付需方，具体以需方通知为准。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质量验收标准：以需方质量规范验收为准。质量不合格需方有权作退货处理，质量条款</w:t>
      </w:r>
      <w:r>
        <w:rPr>
          <w:rFonts w:hint="eastAsia" w:ascii="宋体" w:hAnsi="宋体"/>
          <w:sz w:val="24"/>
        </w:rPr>
        <w:t>详见附件1：《液氨（瓶装）质量规范》</w:t>
      </w:r>
      <w:r>
        <w:rPr>
          <w:rFonts w:hint="eastAsia" w:ascii="宋体" w:hAnsi="宋体"/>
          <w:color w:val="000000"/>
          <w:sz w:val="24"/>
        </w:rPr>
        <w:t>；</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5</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腾龙芳烃（漳州）有限公司：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lang w:eastAsia="zh-CN"/>
        </w:rPr>
        <w:t>2024-FHC-液氨（瓶装）-0306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（详见附件1“液氨（瓶装）质量规范”）</w:t>
      </w:r>
      <w:bookmarkEnd w:id="1"/>
      <w:r>
        <w:rPr>
          <w:rFonts w:hint="eastAsia" w:ascii="宋体" w:hAnsi="宋体"/>
          <w:sz w:val="28"/>
          <w:szCs w:val="28"/>
        </w:rPr>
        <w:t>；数量：</w:t>
      </w:r>
      <w:r>
        <w:rPr>
          <w:rFonts w:hint="eastAsia" w:ascii="宋体" w:hAnsi="宋体"/>
          <w:sz w:val="28"/>
          <w:szCs w:val="28"/>
          <w:lang w:val="en-US" w:eastAsia="zh-CN"/>
        </w:rPr>
        <w:t>2.4</w:t>
      </w:r>
      <w:r>
        <w:rPr>
          <w:rFonts w:hint="eastAsia" w:ascii="宋体" w:hAnsi="宋体"/>
          <w:sz w:val="28"/>
          <w:szCs w:val="28"/>
        </w:rPr>
        <w:t>吨，一票含税送到单价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（详见附件“液氨（瓶装）质量规范”）</w:t>
      </w:r>
      <w:r>
        <w:rPr>
          <w:rFonts w:hint="eastAsia" w:ascii="宋体" w:hAnsi="宋体"/>
          <w:sz w:val="28"/>
          <w:szCs w:val="28"/>
        </w:rPr>
        <w:t>；数量：</w:t>
      </w:r>
      <w:r>
        <w:rPr>
          <w:rFonts w:hint="eastAsia" w:ascii="宋体" w:hAnsi="宋体"/>
          <w:sz w:val="28"/>
          <w:szCs w:val="28"/>
          <w:lang w:val="en-US" w:eastAsia="zh-CN"/>
        </w:rPr>
        <w:t>2.4</w:t>
      </w:r>
      <w:r>
        <w:rPr>
          <w:rFonts w:hint="eastAsia" w:ascii="宋体" w:hAnsi="宋体"/>
          <w:sz w:val="28"/>
          <w:szCs w:val="28"/>
        </w:rPr>
        <w:t xml:space="preserve">吨，一票含税送到单价 </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元；以汽运方式送到腾龙芳烃（漳州）有限公司，根据贵公司实际需求进度安排供货。</w:t>
      </w:r>
    </w:p>
    <w:p>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月3</w:t>
      </w:r>
      <w:r>
        <w:rPr>
          <w:rFonts w:hint="eastAsia" w:ascii="宋体" w:hAnsi="宋体"/>
          <w:sz w:val="28"/>
          <w:szCs w:val="28"/>
          <w:lang w:val="en-US" w:eastAsia="zh-CN"/>
        </w:rPr>
        <w:t>0</w:t>
      </w:r>
      <w:r>
        <w:rPr>
          <w:rFonts w:hint="eastAsia" w:ascii="宋体" w:hAnsi="宋体"/>
          <w:sz w:val="28"/>
          <w:szCs w:val="28"/>
        </w:rPr>
        <w:t>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ordWrap w:val="0"/>
        <w:jc w:val="left"/>
        <w:rPr>
          <w:rFonts w:ascii="宋体" w:hAnsi="宋体"/>
          <w:sz w:val="28"/>
          <w:szCs w:val="28"/>
        </w:rPr>
      </w:pPr>
    </w:p>
    <w:p>
      <w:pPr>
        <w:wordWrap w:val="0"/>
        <w:jc w:val="left"/>
        <w:rPr>
          <w:rFonts w:ascii="宋体" w:hAnsi="宋体"/>
          <w:sz w:val="28"/>
          <w:szCs w:val="28"/>
        </w:rPr>
      </w:pPr>
      <w:r>
        <w:rPr>
          <w:rFonts w:hint="eastAsia" w:ascii="宋体" w:hAnsi="宋体"/>
          <w:sz w:val="28"/>
          <w:szCs w:val="28"/>
        </w:rPr>
        <w:t>附件1、</w:t>
      </w:r>
    </w:p>
    <w:p>
      <w:pPr>
        <w:spacing w:line="360" w:lineRule="auto"/>
        <w:jc w:val="center"/>
        <w:rPr>
          <w:b/>
          <w:sz w:val="44"/>
          <w:szCs w:val="72"/>
        </w:rPr>
      </w:pPr>
      <w:r>
        <w:rPr>
          <w:rFonts w:hint="eastAsia" w:hAnsi="宋体"/>
          <w:b/>
          <w:sz w:val="44"/>
          <w:szCs w:val="72"/>
        </w:rPr>
        <w:t>液氨（瓶装）质量及送货要求</w:t>
      </w:r>
    </w:p>
    <w:p>
      <w:pPr>
        <w:rPr>
          <w:rFonts w:asciiTheme="minorEastAsia" w:hAnsiTheme="minorEastAsia"/>
          <w:sz w:val="24"/>
        </w:rPr>
      </w:pPr>
    </w:p>
    <w:p>
      <w:pPr>
        <w:widowControl/>
        <w:shd w:val="clear" w:color="auto" w:fill="FFFFFF"/>
        <w:ind w:left="300" w:right="300"/>
        <w:jc w:val="left"/>
        <w:rPr>
          <w:rFonts w:hint="eastAsia" w:ascii="Arial" w:hAnsi="Arial" w:eastAsia="宋体" w:cs="Arial"/>
          <w:color w:val="111111"/>
          <w:kern w:val="0"/>
          <w:sz w:val="28"/>
          <w:szCs w:val="28"/>
          <w:lang w:eastAsia="zh-CN"/>
        </w:rPr>
      </w:pPr>
      <w:r>
        <w:rPr>
          <w:rFonts w:hint="eastAsia" w:ascii="Arial" w:hAnsi="Arial" w:cs="Arial"/>
          <w:color w:val="111111"/>
          <w:kern w:val="0"/>
          <w:sz w:val="28"/>
          <w:szCs w:val="28"/>
        </w:rPr>
        <w:t>1、</w:t>
      </w:r>
      <w:r>
        <w:rPr>
          <w:rFonts w:ascii="Arial" w:hAnsi="Arial" w:eastAsia="宋体" w:cs="Arial"/>
          <w:i w:val="0"/>
          <w:iCs w:val="0"/>
          <w:caps w:val="0"/>
          <w:color w:val="111111"/>
          <w:spacing w:val="0"/>
          <w:sz w:val="27"/>
          <w:szCs w:val="27"/>
          <w:shd w:val="clear" w:fill="FFFFFF"/>
        </w:rPr>
        <w:t>产品质量执行:GB/T 536-2017液体无水氨，合格品</w:t>
      </w:r>
      <w:r>
        <w:rPr>
          <w:rFonts w:hint="eastAsia" w:ascii="Arial" w:hAnsi="Arial" w:cs="Arial"/>
          <w:i w:val="0"/>
          <w:iCs w:val="0"/>
          <w:caps w:val="0"/>
          <w:color w:val="111111"/>
          <w:spacing w:val="0"/>
          <w:sz w:val="27"/>
          <w:szCs w:val="27"/>
          <w:shd w:val="clear" w:fill="FFFFFF"/>
          <w:lang w:eastAsia="zh-CN"/>
        </w:rPr>
        <w:t>。</w:t>
      </w:r>
    </w:p>
    <w:p>
      <w:pPr>
        <w:widowControl/>
        <w:shd w:val="clear" w:color="auto" w:fill="FFFFFF"/>
        <w:spacing w:line="330" w:lineRule="atLeast"/>
        <w:ind w:left="300" w:right="300"/>
        <w:jc w:val="left"/>
        <w:rPr>
          <w:rFonts w:hint="eastAsia" w:ascii="Arial" w:hAnsi="Arial" w:eastAsia="宋体" w:cs="Arial"/>
          <w:color w:val="111111"/>
          <w:kern w:val="0"/>
          <w:sz w:val="28"/>
          <w:szCs w:val="28"/>
          <w:lang w:eastAsia="zh-CN"/>
        </w:rPr>
      </w:pPr>
      <w:r>
        <w:rPr>
          <w:rFonts w:hint="eastAsia" w:ascii="Arial" w:hAnsi="Arial" w:cs="Arial"/>
          <w:color w:val="111111"/>
          <w:kern w:val="0"/>
          <w:sz w:val="28"/>
          <w:szCs w:val="28"/>
        </w:rPr>
        <w:t>2</w:t>
      </w:r>
      <w:r>
        <w:rPr>
          <w:rFonts w:ascii="Arial" w:hAnsi="Arial" w:cs="Arial"/>
          <w:color w:val="111111"/>
          <w:kern w:val="0"/>
          <w:sz w:val="28"/>
          <w:szCs w:val="28"/>
        </w:rPr>
        <w:t>、</w:t>
      </w:r>
      <w:r>
        <w:rPr>
          <w:rFonts w:ascii="Arial" w:hAnsi="Arial" w:eastAsia="宋体" w:cs="Arial"/>
          <w:i w:val="0"/>
          <w:iCs w:val="0"/>
          <w:caps w:val="0"/>
          <w:color w:val="111111"/>
          <w:spacing w:val="0"/>
          <w:sz w:val="27"/>
          <w:szCs w:val="27"/>
          <w:shd w:val="clear" w:fill="FFFFFF"/>
        </w:rPr>
        <w:t>每瓶400KG,新供应商第一次送1瓶，以后每次送1瓶，同时回收1个空</w:t>
      </w:r>
      <w:r>
        <w:rPr>
          <w:rFonts w:hint="default" w:ascii="Arial" w:hAnsi="Arial" w:eastAsia="宋体" w:cs="Arial"/>
          <w:i w:val="0"/>
          <w:iCs w:val="0"/>
          <w:caps w:val="0"/>
          <w:color w:val="111111"/>
          <w:spacing w:val="0"/>
          <w:sz w:val="27"/>
          <w:szCs w:val="27"/>
          <w:shd w:val="clear" w:fill="FFFFFF"/>
        </w:rPr>
        <w:t>瓶，一至二个月送一次货</w:t>
      </w:r>
      <w:r>
        <w:rPr>
          <w:rFonts w:hint="eastAsia" w:ascii="Arial" w:hAnsi="Arial" w:cs="Arial"/>
          <w:i w:val="0"/>
          <w:iCs w:val="0"/>
          <w:caps w:val="0"/>
          <w:color w:val="111111"/>
          <w:spacing w:val="0"/>
          <w:sz w:val="27"/>
          <w:szCs w:val="27"/>
          <w:shd w:val="clear" w:fill="FFFFFF"/>
          <w:lang w:eastAsia="zh-CN"/>
        </w:rPr>
        <w:t>。</w:t>
      </w:r>
    </w:p>
    <w:p>
      <w:pPr>
        <w:widowControl/>
        <w:shd w:val="clear" w:color="auto" w:fill="FFFFFF"/>
        <w:spacing w:line="330" w:lineRule="atLeast"/>
        <w:ind w:left="300" w:right="300"/>
        <w:jc w:val="left"/>
        <w:rPr>
          <w:rFonts w:hint="eastAsia" w:ascii="Arial" w:hAnsi="Arial" w:eastAsia="宋体" w:cs="Arial"/>
          <w:color w:val="111111"/>
          <w:kern w:val="0"/>
          <w:sz w:val="28"/>
          <w:szCs w:val="28"/>
          <w:lang w:eastAsia="zh-CN"/>
        </w:rPr>
      </w:pPr>
      <w:r>
        <w:rPr>
          <w:rFonts w:hint="eastAsia" w:ascii="Arial" w:hAnsi="Arial" w:cs="Arial"/>
          <w:color w:val="111111"/>
          <w:kern w:val="0"/>
          <w:sz w:val="28"/>
          <w:szCs w:val="28"/>
        </w:rPr>
        <w:t>3</w:t>
      </w:r>
      <w:r>
        <w:rPr>
          <w:rFonts w:ascii="Arial" w:hAnsi="Arial" w:cs="Arial"/>
          <w:color w:val="111111"/>
          <w:kern w:val="0"/>
          <w:sz w:val="28"/>
          <w:szCs w:val="28"/>
        </w:rPr>
        <w:t>、</w:t>
      </w:r>
      <w:r>
        <w:rPr>
          <w:rFonts w:ascii="Arial" w:hAnsi="Arial" w:eastAsia="宋体" w:cs="Arial"/>
          <w:i w:val="0"/>
          <w:iCs w:val="0"/>
          <w:caps w:val="0"/>
          <w:color w:val="111111"/>
          <w:spacing w:val="0"/>
          <w:sz w:val="27"/>
          <w:szCs w:val="27"/>
          <w:shd w:val="clear" w:fill="FFFFFF"/>
        </w:rPr>
        <w:t>瓶子的使用费包含在氨气中，不另算瓶子的使用费</w:t>
      </w:r>
      <w:r>
        <w:rPr>
          <w:rFonts w:ascii="Arial" w:hAnsi="Arial" w:cs="Arial"/>
          <w:color w:val="111111"/>
          <w:kern w:val="0"/>
          <w:sz w:val="28"/>
          <w:szCs w:val="28"/>
        </w:rPr>
        <w:t>。</w:t>
      </w:r>
      <w:r>
        <w:rPr>
          <w:rFonts w:hint="eastAsia" w:ascii="Arial" w:hAnsi="Arial" w:cs="Arial"/>
          <w:color w:val="111111"/>
          <w:kern w:val="0"/>
          <w:sz w:val="28"/>
          <w:szCs w:val="28"/>
        </w:rPr>
        <w:t>供方负责回收钢瓶。</w:t>
      </w:r>
      <w:r>
        <w:rPr>
          <w:rFonts w:ascii="Arial" w:hAnsi="Arial" w:cs="Arial"/>
          <w:color w:val="111111"/>
          <w:kern w:val="0"/>
          <w:sz w:val="28"/>
          <w:szCs w:val="28"/>
        </w:rPr>
        <w:br w:type="textWrapping"/>
      </w:r>
      <w:r>
        <w:rPr>
          <w:rFonts w:hint="eastAsia" w:ascii="Arial" w:hAnsi="Arial" w:cs="Arial"/>
          <w:color w:val="111111"/>
          <w:kern w:val="0"/>
          <w:sz w:val="28"/>
          <w:szCs w:val="28"/>
        </w:rPr>
        <w:t>4</w:t>
      </w:r>
      <w:r>
        <w:rPr>
          <w:rFonts w:ascii="Arial" w:hAnsi="Arial" w:cs="Arial"/>
          <w:color w:val="111111"/>
          <w:kern w:val="0"/>
          <w:sz w:val="28"/>
          <w:szCs w:val="28"/>
        </w:rPr>
        <w:t>、</w:t>
      </w:r>
      <w:r>
        <w:rPr>
          <w:rFonts w:ascii="Arial" w:hAnsi="Arial" w:eastAsia="宋体" w:cs="Arial"/>
          <w:i w:val="0"/>
          <w:iCs w:val="0"/>
          <w:caps w:val="0"/>
          <w:color w:val="111111"/>
          <w:spacing w:val="0"/>
          <w:sz w:val="27"/>
          <w:szCs w:val="27"/>
          <w:shd w:val="clear" w:fill="FFFFFF"/>
        </w:rPr>
        <w:t>所有送货的氨瓶必须符合钢瓶相关的质量标准，同时钢瓶外面应有2个</w:t>
      </w:r>
      <w:r>
        <w:rPr>
          <w:rFonts w:hint="default" w:ascii="Arial" w:hAnsi="Arial" w:eastAsia="宋体" w:cs="Arial"/>
          <w:i w:val="0"/>
          <w:iCs w:val="0"/>
          <w:caps w:val="0"/>
          <w:color w:val="111111"/>
          <w:spacing w:val="0"/>
          <w:sz w:val="27"/>
          <w:szCs w:val="27"/>
          <w:shd w:val="clear" w:fill="FFFFFF"/>
        </w:rPr>
        <w:t>橡胶圈，如橡胶圈缺失，我司不予接受</w:t>
      </w:r>
      <w:r>
        <w:rPr>
          <w:rFonts w:hint="eastAsia" w:ascii="Arial" w:hAnsi="Arial" w:cs="Arial"/>
          <w:i w:val="0"/>
          <w:iCs w:val="0"/>
          <w:caps w:val="0"/>
          <w:color w:val="111111"/>
          <w:spacing w:val="0"/>
          <w:sz w:val="27"/>
          <w:szCs w:val="27"/>
          <w:shd w:val="clear" w:fill="FFFFFF"/>
          <w:lang w:eastAsia="zh-CN"/>
        </w:rPr>
        <w:t>。</w:t>
      </w:r>
    </w:p>
    <w:p>
      <w:pPr>
        <w:widowControl/>
        <w:shd w:val="clear" w:color="auto" w:fill="FFFFFF"/>
        <w:spacing w:line="330" w:lineRule="atLeast"/>
        <w:ind w:left="300" w:right="300"/>
        <w:jc w:val="left"/>
        <w:rPr>
          <w:rFonts w:ascii="Arial" w:hAnsi="Arial" w:cs="Arial"/>
          <w:color w:val="111111"/>
          <w:kern w:val="0"/>
          <w:sz w:val="28"/>
          <w:szCs w:val="28"/>
        </w:rPr>
      </w:pPr>
    </w:p>
    <w:p>
      <w:pPr>
        <w:widowControl/>
        <w:shd w:val="clear" w:color="auto" w:fill="FFFFFF"/>
        <w:spacing w:line="330" w:lineRule="atLeast"/>
        <w:ind w:left="300" w:right="300"/>
        <w:jc w:val="left"/>
        <w:rPr>
          <w:rFonts w:hint="eastAsia" w:ascii="Arial" w:hAnsi="Arial" w:eastAsia="宋体" w:cs="Arial"/>
          <w:color w:val="111111"/>
          <w:kern w:val="0"/>
          <w:sz w:val="28"/>
          <w:szCs w:val="28"/>
          <w:lang w:eastAsia="zh-CN"/>
        </w:rPr>
      </w:pPr>
      <w:r>
        <w:rPr>
          <w:rFonts w:hint="eastAsia" w:ascii="Arial" w:hAnsi="Arial" w:eastAsia="宋体" w:cs="Arial"/>
          <w:color w:val="111111"/>
          <w:kern w:val="0"/>
          <w:sz w:val="28"/>
          <w:szCs w:val="28"/>
          <w:lang w:eastAsia="zh-CN"/>
        </w:rPr>
        <w:drawing>
          <wp:inline distT="0" distB="0" distL="114300" distR="114300">
            <wp:extent cx="5272405" cy="3644265"/>
            <wp:effectExtent l="0" t="0" r="4445" b="13335"/>
            <wp:docPr id="1" name="图片 1" descr="液氨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液氨质量规范"/>
                    <pic:cNvPicPr>
                      <a:picLocks noChangeAspect="1"/>
                    </pic:cNvPicPr>
                  </pic:nvPicPr>
                  <pic:blipFill>
                    <a:blip r:embed="rId5"/>
                    <a:stretch>
                      <a:fillRect/>
                    </a:stretch>
                  </pic:blipFill>
                  <pic:spPr>
                    <a:xfrm>
                      <a:off x="0" y="0"/>
                      <a:ext cx="5272405" cy="3644265"/>
                    </a:xfrm>
                    <a:prstGeom prst="rect">
                      <a:avLst/>
                    </a:prstGeom>
                  </pic:spPr>
                </pic:pic>
              </a:graphicData>
            </a:graphic>
          </wp:inline>
        </w:drawing>
      </w:r>
    </w:p>
    <w:p>
      <w:pPr>
        <w:widowControl/>
        <w:shd w:val="clear" w:color="auto" w:fill="FFFFFF"/>
        <w:spacing w:line="330" w:lineRule="atLeast"/>
        <w:ind w:left="300" w:right="300"/>
        <w:jc w:val="left"/>
        <w:rPr>
          <w:rFonts w:ascii="Arial" w:hAnsi="Arial" w:cs="Arial"/>
          <w:color w:val="111111"/>
          <w:kern w:val="0"/>
          <w:sz w:val="28"/>
          <w:szCs w:val="28"/>
        </w:rPr>
      </w:pPr>
    </w:p>
    <w:p>
      <w:pPr>
        <w:widowControl/>
        <w:shd w:val="clear" w:color="auto" w:fill="FFFFFF"/>
        <w:spacing w:line="330" w:lineRule="atLeast"/>
        <w:ind w:left="300" w:right="300"/>
        <w:jc w:val="left"/>
        <w:rPr>
          <w:rFonts w:ascii="Arial" w:hAnsi="Arial" w:cs="Arial"/>
          <w:color w:val="111111"/>
          <w:kern w:val="0"/>
          <w:sz w:val="28"/>
          <w:szCs w:val="28"/>
        </w:rPr>
      </w:pPr>
    </w:p>
    <w:p>
      <w:pPr>
        <w:widowControl/>
        <w:shd w:val="clear" w:color="auto" w:fill="FFFFFF"/>
        <w:spacing w:line="330" w:lineRule="atLeast"/>
        <w:ind w:left="300" w:right="300"/>
        <w:jc w:val="left"/>
        <w:rPr>
          <w:rFonts w:ascii="Arial" w:hAnsi="Arial" w:cs="Arial"/>
          <w:color w:val="111111"/>
          <w:kern w:val="0"/>
          <w:sz w:val="28"/>
          <w:szCs w:val="28"/>
        </w:rPr>
      </w:pP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53"/>
        <w:gridCol w:w="1070"/>
        <w:gridCol w:w="834"/>
        <w:gridCol w:w="594"/>
        <w:gridCol w:w="1427"/>
        <w:gridCol w:w="154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60"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1053"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1070"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34"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594"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427"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含税单价元/吨</w:t>
            </w:r>
          </w:p>
        </w:tc>
        <w:tc>
          <w:tcPr>
            <w:tcW w:w="1547"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含税总金额（元）</w:t>
            </w:r>
          </w:p>
        </w:tc>
        <w:tc>
          <w:tcPr>
            <w:tcW w:w="1310"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60"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液氨（瓶装）</w:t>
            </w:r>
          </w:p>
        </w:tc>
        <w:tc>
          <w:tcPr>
            <w:tcW w:w="1053"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1070" w:type="dxa"/>
            <w:vAlign w:val="center"/>
          </w:tcPr>
          <w:p>
            <w:pPr>
              <w:spacing w:line="280" w:lineRule="exact"/>
              <w:jc w:val="center"/>
              <w:rPr>
                <w:rFonts w:ascii="宋体" w:hAnsi="宋体"/>
                <w:color w:val="000000"/>
                <w:sz w:val="18"/>
                <w:szCs w:val="18"/>
              </w:rPr>
            </w:pPr>
            <w:r>
              <w:rPr>
                <w:rFonts w:ascii="宋体" w:hAnsi="宋体"/>
                <w:color w:val="000000"/>
                <w:sz w:val="18"/>
                <w:szCs w:val="18"/>
              </w:rPr>
              <w:t>采用400KG瓶装</w:t>
            </w:r>
          </w:p>
        </w:tc>
        <w:tc>
          <w:tcPr>
            <w:tcW w:w="834"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594"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w:t>
            </w:r>
          </w:p>
        </w:tc>
        <w:tc>
          <w:tcPr>
            <w:tcW w:w="1427" w:type="dxa"/>
            <w:tcBorders>
              <w:tr2bl w:val="nil"/>
            </w:tcBorders>
            <w:vAlign w:val="center"/>
          </w:tcPr>
          <w:p>
            <w:pPr>
              <w:spacing w:line="280" w:lineRule="exact"/>
              <w:jc w:val="center"/>
              <w:rPr>
                <w:rFonts w:ascii="宋体" w:hAnsi="宋体"/>
                <w:color w:val="000000"/>
                <w:sz w:val="18"/>
                <w:szCs w:val="18"/>
              </w:rPr>
            </w:pPr>
          </w:p>
        </w:tc>
        <w:tc>
          <w:tcPr>
            <w:tcW w:w="1547" w:type="dxa"/>
            <w:tcBorders>
              <w:tr2bl w:val="nil"/>
            </w:tcBorders>
            <w:vAlign w:val="center"/>
          </w:tcPr>
          <w:p>
            <w:pPr>
              <w:spacing w:line="280" w:lineRule="exact"/>
              <w:jc w:val="center"/>
              <w:rPr>
                <w:rFonts w:ascii="宋体" w:hAnsi="宋体"/>
                <w:color w:val="000000"/>
                <w:sz w:val="18"/>
                <w:szCs w:val="18"/>
              </w:rPr>
            </w:pPr>
          </w:p>
        </w:tc>
        <w:tc>
          <w:tcPr>
            <w:tcW w:w="1310"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13"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6782" w:type="dxa"/>
            <w:gridSpan w:val="6"/>
            <w:vAlign w:val="center"/>
          </w:tcPr>
          <w:p>
            <w:pPr>
              <w:spacing w:line="280" w:lineRule="exact"/>
              <w:rPr>
                <w:rFonts w:ascii="宋体" w:hAnsi="宋体"/>
                <w:color w:val="000000"/>
                <w:szCs w:val="21"/>
              </w:rPr>
            </w:pPr>
            <w:r>
              <w:rPr>
                <w:rFonts w:hint="eastAsia" w:ascii="宋体" w:hAnsi="宋体"/>
                <w:color w:val="000000"/>
                <w:szCs w:val="21"/>
              </w:rPr>
              <w:t>现汇，分批到货，分批付款。</w:t>
            </w:r>
          </w:p>
        </w:tc>
      </w:tr>
    </w:tbl>
    <w:p>
      <w:pPr>
        <w:spacing w:line="500" w:lineRule="exact"/>
        <w:ind w:firstLine="210" w:firstLineChars="100"/>
        <w:rPr>
          <w:rFonts w:ascii="宋体" w:hAnsi="宋体"/>
          <w:color w:val="000000"/>
          <w:szCs w:val="21"/>
        </w:rPr>
      </w:pPr>
      <w:r>
        <w:rPr>
          <w:rFonts w:hint="eastAsia" w:ascii="宋体" w:hAnsi="宋体"/>
          <w:color w:val="000000"/>
          <w:szCs w:val="21"/>
        </w:rPr>
        <w:t>上述数量及含税总金额均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w:t>
      </w:r>
      <w:r>
        <w:rPr>
          <w:rFonts w:hint="eastAsia" w:ascii="宋体" w:hAnsi="宋体"/>
          <w:color w:val="000000"/>
          <w:szCs w:val="21"/>
          <w:u w:val="single"/>
          <w:lang w:val="en-US" w:eastAsia="zh-CN"/>
        </w:rPr>
        <w:t>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pPr>
        <w:spacing w:line="280" w:lineRule="exact"/>
        <w:ind w:firstLine="420" w:firstLineChars="200"/>
        <w:rPr>
          <w:rFonts w:ascii="宋体" w:hAnsi="宋体" w:cs="Arial"/>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rPr>
        <w:t>：</w:t>
      </w:r>
      <w:r>
        <w:rPr>
          <w:rFonts w:ascii="宋体" w:hAnsi="宋体" w:cs="Arial"/>
          <w:color w:val="000000"/>
          <w:szCs w:val="21"/>
          <w:u w:val="single"/>
        </w:rPr>
        <w:t>采用400KG瓶装，质量标准执行：液体无水氨（GB/T536-2017）中的合格品</w:t>
      </w:r>
      <w:r>
        <w:rPr>
          <w:rFonts w:hint="eastAsia" w:ascii="宋体" w:hAnsi="宋体" w:cs="Arial"/>
          <w:color w:val="000000"/>
          <w:szCs w:val="21"/>
          <w:u w:val="single"/>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ascii="宋体" w:hAnsi="宋体"/>
          <w:color w:val="000000"/>
          <w:sz w:val="18"/>
          <w:szCs w:val="18"/>
          <w:u w:val="single"/>
        </w:rPr>
        <w:t>采用400KG瓶装</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每批订单产品全部到货后，经需方或需方指定单位：</w:t>
      </w:r>
      <w:r>
        <w:rPr>
          <w:rFonts w:hint="eastAsia" w:ascii="宋体" w:hAnsi="宋体"/>
          <w:color w:val="000000"/>
          <w:szCs w:val="21"/>
          <w:u w:val="single"/>
        </w:rPr>
        <w:t xml:space="preserve">  腾龙芳烃(漳州）有限公司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5%溢短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贰  </w:t>
      </w:r>
      <w:r>
        <w:rPr>
          <w:rFonts w:hint="eastAsia" w:ascii="宋体" w:hAnsi="宋体"/>
          <w:color w:val="000000"/>
          <w:szCs w:val="21"/>
        </w:rPr>
        <w:t>份，需方执</w:t>
      </w:r>
      <w:r>
        <w:rPr>
          <w:rFonts w:hint="eastAsia" w:ascii="宋体" w:hAnsi="宋体"/>
          <w:color w:val="000000"/>
          <w:szCs w:val="21"/>
          <w:u w:val="single"/>
        </w:rPr>
        <w:t xml:space="preserve">  贰  </w:t>
      </w:r>
      <w:r>
        <w:rPr>
          <w:rFonts w:hint="eastAsia" w:ascii="宋体" w:hAnsi="宋体"/>
          <w:color w:val="000000"/>
          <w:szCs w:val="21"/>
        </w:rPr>
        <w:t>份。</w:t>
      </w:r>
    </w:p>
    <w:p>
      <w:pPr>
        <w:spacing w:line="280" w:lineRule="exact"/>
        <w:rPr>
          <w:rFonts w:ascii="宋体" w:hAnsi="宋体"/>
          <w:color w:val="000000"/>
          <w:szCs w:val="21"/>
        </w:rPr>
      </w:pPr>
    </w:p>
    <w:tbl>
      <w:tblPr>
        <w:tblStyle w:val="6"/>
        <w:tblW w:w="9943" w:type="dxa"/>
        <w:jc w:val="center"/>
        <w:tblLayout w:type="fixed"/>
        <w:tblCellMar>
          <w:top w:w="0" w:type="dxa"/>
          <w:left w:w="108" w:type="dxa"/>
          <w:bottom w:w="0" w:type="dxa"/>
          <w:right w:w="108" w:type="dxa"/>
        </w:tblCellMar>
      </w:tblPr>
      <w:tblGrid>
        <w:gridCol w:w="783"/>
        <w:gridCol w:w="192"/>
        <w:gridCol w:w="198"/>
        <w:gridCol w:w="195"/>
        <w:gridCol w:w="1170"/>
        <w:gridCol w:w="2435"/>
        <w:gridCol w:w="782"/>
        <w:gridCol w:w="195"/>
        <w:gridCol w:w="193"/>
        <w:gridCol w:w="109"/>
        <w:gridCol w:w="1258"/>
        <w:gridCol w:w="2433"/>
      </w:tblGrid>
      <w:tr>
        <w:tblPrEx>
          <w:tblCellMar>
            <w:top w:w="0" w:type="dxa"/>
            <w:left w:w="108" w:type="dxa"/>
            <w:bottom w:w="0" w:type="dxa"/>
            <w:right w:w="108" w:type="dxa"/>
          </w:tblCellMar>
        </w:tblPrEx>
        <w:trPr>
          <w:trHeight w:val="272" w:hRule="atLeast"/>
          <w:jc w:val="center"/>
        </w:trPr>
        <w:tc>
          <w:tcPr>
            <w:tcW w:w="1368" w:type="dxa"/>
            <w:gridSpan w:val="4"/>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605" w:type="dxa"/>
            <w:gridSpan w:val="2"/>
            <w:vAlign w:val="center"/>
          </w:tcPr>
          <w:p>
            <w:pPr>
              <w:spacing w:line="280" w:lineRule="exact"/>
              <w:rPr>
                <w:b/>
                <w:color w:val="000000"/>
                <w:szCs w:val="21"/>
              </w:rPr>
            </w:pPr>
          </w:p>
        </w:tc>
        <w:tc>
          <w:tcPr>
            <w:tcW w:w="1279" w:type="dxa"/>
            <w:gridSpan w:val="4"/>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691" w:type="dxa"/>
            <w:gridSpan w:val="2"/>
            <w:vAlign w:val="center"/>
          </w:tcPr>
          <w:p>
            <w:pPr>
              <w:spacing w:line="280" w:lineRule="exact"/>
              <w:rPr>
                <w:b/>
                <w:color w:val="000000"/>
                <w:szCs w:val="21"/>
              </w:rPr>
            </w:pPr>
          </w:p>
        </w:tc>
      </w:tr>
      <w:tr>
        <w:tblPrEx>
          <w:tblCellMar>
            <w:top w:w="0" w:type="dxa"/>
            <w:left w:w="108" w:type="dxa"/>
            <w:bottom w:w="0" w:type="dxa"/>
            <w:right w:w="108" w:type="dxa"/>
          </w:tblCellMar>
        </w:tblPrEx>
        <w:trPr>
          <w:trHeight w:val="272" w:hRule="atLeast"/>
          <w:jc w:val="center"/>
        </w:trPr>
        <w:tc>
          <w:tcPr>
            <w:tcW w:w="1368" w:type="dxa"/>
            <w:gridSpan w:val="4"/>
            <w:vAlign w:val="center"/>
          </w:tcPr>
          <w:p>
            <w:pPr>
              <w:spacing w:line="280" w:lineRule="exact"/>
              <w:rPr>
                <w:color w:val="000000"/>
                <w:szCs w:val="21"/>
              </w:rPr>
            </w:pPr>
            <w:r>
              <w:rPr>
                <w:rFonts w:hint="eastAsia" w:ascii="宋体" w:hAnsi="宋体"/>
                <w:color w:val="000000"/>
                <w:szCs w:val="21"/>
              </w:rPr>
              <w:t>工商注册号：</w:t>
            </w:r>
          </w:p>
        </w:tc>
        <w:tc>
          <w:tcPr>
            <w:tcW w:w="3605" w:type="dxa"/>
            <w:gridSpan w:val="2"/>
            <w:vAlign w:val="center"/>
          </w:tcPr>
          <w:p>
            <w:pPr>
              <w:spacing w:line="280" w:lineRule="exact"/>
              <w:rPr>
                <w:color w:val="000000"/>
                <w:szCs w:val="21"/>
              </w:rPr>
            </w:pPr>
          </w:p>
        </w:tc>
        <w:tc>
          <w:tcPr>
            <w:tcW w:w="1279" w:type="dxa"/>
            <w:gridSpan w:val="4"/>
            <w:vAlign w:val="center"/>
          </w:tcPr>
          <w:p>
            <w:pPr>
              <w:spacing w:line="280" w:lineRule="exact"/>
              <w:rPr>
                <w:color w:val="000000"/>
                <w:szCs w:val="21"/>
              </w:rPr>
            </w:pPr>
            <w:r>
              <w:rPr>
                <w:rFonts w:hint="eastAsia" w:ascii="宋体" w:hAnsi="宋体"/>
                <w:color w:val="000000"/>
                <w:szCs w:val="21"/>
              </w:rPr>
              <w:t>工商注册号：</w:t>
            </w:r>
          </w:p>
        </w:tc>
        <w:tc>
          <w:tcPr>
            <w:tcW w:w="3691" w:type="dxa"/>
            <w:gridSpan w:val="2"/>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地址：</w:t>
            </w:r>
          </w:p>
        </w:tc>
        <w:tc>
          <w:tcPr>
            <w:tcW w:w="4190" w:type="dxa"/>
            <w:gridSpan w:val="5"/>
            <w:vAlign w:val="center"/>
          </w:tcPr>
          <w:p>
            <w:pPr>
              <w:spacing w:line="280" w:lineRule="exact"/>
              <w:rPr>
                <w:color w:val="000000"/>
                <w:sz w:val="18"/>
                <w:szCs w:val="18"/>
              </w:rPr>
            </w:pPr>
          </w:p>
        </w:tc>
        <w:tc>
          <w:tcPr>
            <w:tcW w:w="782" w:type="dxa"/>
            <w:vAlign w:val="center"/>
          </w:tcPr>
          <w:p>
            <w:pPr>
              <w:spacing w:line="280" w:lineRule="exact"/>
              <w:rPr>
                <w:color w:val="000000"/>
                <w:szCs w:val="21"/>
              </w:rPr>
            </w:pPr>
            <w:r>
              <w:rPr>
                <w:rFonts w:hint="eastAsia" w:ascii="宋体" w:hAnsi="宋体"/>
                <w:color w:val="000000"/>
                <w:szCs w:val="21"/>
              </w:rPr>
              <w:t>地址：</w:t>
            </w:r>
          </w:p>
        </w:tc>
        <w:tc>
          <w:tcPr>
            <w:tcW w:w="4187" w:type="dxa"/>
            <w:gridSpan w:val="5"/>
            <w:vAlign w:val="center"/>
          </w:tcPr>
          <w:p>
            <w:pPr>
              <w:spacing w:line="280" w:lineRule="exact"/>
              <w:rPr>
                <w:color w:val="000000"/>
                <w:sz w:val="18"/>
                <w:szCs w:val="18"/>
              </w:rPr>
            </w:pPr>
          </w:p>
        </w:tc>
      </w:tr>
      <w:tr>
        <w:tblPrEx>
          <w:tblCellMar>
            <w:top w:w="0" w:type="dxa"/>
            <w:left w:w="108" w:type="dxa"/>
            <w:bottom w:w="0" w:type="dxa"/>
            <w:right w:w="108" w:type="dxa"/>
          </w:tblCellMar>
        </w:tblPrEx>
        <w:trPr>
          <w:trHeight w:val="272"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邮政编码：</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邮政编码：</w:t>
            </w:r>
          </w:p>
        </w:tc>
        <w:tc>
          <w:tcPr>
            <w:tcW w:w="3799"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58" w:hRule="atLeast"/>
          <w:jc w:val="center"/>
        </w:trPr>
        <w:tc>
          <w:tcPr>
            <w:tcW w:w="2538"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35" w:type="dxa"/>
            <w:vAlign w:val="center"/>
          </w:tcPr>
          <w:p>
            <w:pPr>
              <w:spacing w:line="280" w:lineRule="exact"/>
              <w:rPr>
                <w:color w:val="000000"/>
                <w:szCs w:val="21"/>
              </w:rPr>
            </w:pPr>
          </w:p>
        </w:tc>
        <w:tc>
          <w:tcPr>
            <w:tcW w:w="2537"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33" w:type="dxa"/>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975" w:type="dxa"/>
            <w:gridSpan w:val="2"/>
            <w:vAlign w:val="center"/>
          </w:tcPr>
          <w:p>
            <w:pPr>
              <w:spacing w:line="280" w:lineRule="exact"/>
              <w:rPr>
                <w:color w:val="000000"/>
                <w:szCs w:val="21"/>
              </w:rPr>
            </w:pPr>
            <w:r>
              <w:rPr>
                <w:rFonts w:hint="eastAsia" w:ascii="宋体" w:hAnsi="宋体"/>
                <w:color w:val="000000"/>
                <w:szCs w:val="21"/>
              </w:rPr>
              <w:t>经办人：</w:t>
            </w:r>
          </w:p>
        </w:tc>
        <w:tc>
          <w:tcPr>
            <w:tcW w:w="3998" w:type="dxa"/>
            <w:gridSpan w:val="4"/>
            <w:vAlign w:val="center"/>
          </w:tcPr>
          <w:p>
            <w:pPr>
              <w:spacing w:line="280" w:lineRule="exact"/>
              <w:rPr>
                <w:color w:val="000000"/>
                <w:szCs w:val="21"/>
              </w:rPr>
            </w:pPr>
          </w:p>
        </w:tc>
        <w:tc>
          <w:tcPr>
            <w:tcW w:w="977" w:type="dxa"/>
            <w:gridSpan w:val="2"/>
            <w:vAlign w:val="center"/>
          </w:tcPr>
          <w:p>
            <w:pPr>
              <w:spacing w:line="280" w:lineRule="exact"/>
              <w:rPr>
                <w:color w:val="000000"/>
                <w:szCs w:val="21"/>
              </w:rPr>
            </w:pPr>
            <w:r>
              <w:rPr>
                <w:rFonts w:hint="eastAsia" w:ascii="宋体" w:hAnsi="宋体"/>
                <w:color w:val="000000"/>
                <w:szCs w:val="21"/>
              </w:rPr>
              <w:t>经办人：</w:t>
            </w:r>
          </w:p>
        </w:tc>
        <w:tc>
          <w:tcPr>
            <w:tcW w:w="3992" w:type="dxa"/>
            <w:gridSpan w:val="4"/>
            <w:vAlign w:val="center"/>
          </w:tcPr>
          <w:p>
            <w:pPr>
              <w:spacing w:line="280" w:lineRule="exact"/>
              <w:rPr>
                <w:color w:val="000000"/>
                <w:szCs w:val="21"/>
              </w:rPr>
            </w:pPr>
          </w:p>
        </w:tc>
      </w:tr>
      <w:tr>
        <w:tblPrEx>
          <w:tblCellMar>
            <w:top w:w="0" w:type="dxa"/>
            <w:left w:w="108" w:type="dxa"/>
            <w:bottom w:w="0" w:type="dxa"/>
            <w:right w:w="108" w:type="dxa"/>
          </w:tblCellMar>
        </w:tblPrEx>
        <w:trPr>
          <w:trHeight w:val="106" w:hRule="atLeast"/>
          <w:jc w:val="center"/>
        </w:trPr>
        <w:tc>
          <w:tcPr>
            <w:tcW w:w="783" w:type="dxa"/>
            <w:vAlign w:val="center"/>
          </w:tcPr>
          <w:p>
            <w:pPr>
              <w:spacing w:line="280" w:lineRule="exact"/>
              <w:rPr>
                <w:color w:val="000000"/>
                <w:szCs w:val="21"/>
              </w:rPr>
            </w:pPr>
            <w:r>
              <w:rPr>
                <w:rFonts w:hint="eastAsia" w:ascii="宋体" w:hAnsi="宋体"/>
                <w:color w:val="000000"/>
                <w:szCs w:val="21"/>
              </w:rPr>
              <w:t>电话：</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电话：</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传真：</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传真：</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电子邮箱：</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电子邮箱：</w:t>
            </w:r>
          </w:p>
        </w:tc>
        <w:tc>
          <w:tcPr>
            <w:tcW w:w="3799" w:type="dxa"/>
            <w:gridSpan w:val="3"/>
            <w:vAlign w:val="center"/>
          </w:tcPr>
          <w:p>
            <w:pPr>
              <w:spacing w:line="280" w:lineRule="exact"/>
              <w:rPr>
                <w:color w:val="000000"/>
                <w:szCs w:val="21"/>
              </w:rPr>
            </w:pPr>
            <w:r>
              <w:rPr>
                <w:rFonts w:hint="eastAsia" w:ascii="宋体" w:hAnsi="宋体"/>
                <w:color w:val="000000"/>
                <w:sz w:val="24"/>
              </w:rPr>
              <w:t>wzcgb@fjpec.com.cn</w:t>
            </w:r>
          </w:p>
        </w:tc>
      </w:tr>
      <w:tr>
        <w:tblPrEx>
          <w:tblCellMar>
            <w:top w:w="0" w:type="dxa"/>
            <w:left w:w="108" w:type="dxa"/>
            <w:bottom w:w="0" w:type="dxa"/>
            <w:right w:w="108" w:type="dxa"/>
          </w:tblCellMar>
        </w:tblPrEx>
        <w:trPr>
          <w:trHeight w:val="258"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开户银行：</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开户银行：</w:t>
            </w:r>
          </w:p>
        </w:tc>
        <w:tc>
          <w:tcPr>
            <w:tcW w:w="3799"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帐号：</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帐号：</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税号：</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税号：</w:t>
            </w:r>
          </w:p>
        </w:tc>
        <w:tc>
          <w:tcPr>
            <w:tcW w:w="4187" w:type="dxa"/>
            <w:gridSpan w:val="5"/>
            <w:vAlign w:val="center"/>
          </w:tcPr>
          <w:p>
            <w:pPr>
              <w:spacing w:line="280" w:lineRule="exact"/>
              <w:rPr>
                <w:color w:val="000000"/>
                <w:szCs w:val="21"/>
              </w:rPr>
            </w:pPr>
          </w:p>
        </w:tc>
      </w:tr>
    </w:tbl>
    <w:p>
      <w:pPr>
        <w:spacing w:line="220" w:lineRule="exact"/>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10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叁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贰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pPr>
        <w:spacing w:line="300" w:lineRule="exact"/>
        <w:ind w:firstLine="420" w:firstLineChars="200"/>
        <w:rPr>
          <w:rFonts w:ascii="宋体" w:hAnsi="宋体"/>
          <w:color w:val="000000"/>
          <w:szCs w:val="21"/>
        </w:rPr>
      </w:pPr>
      <w:r>
        <w:rPr>
          <w:rFonts w:hint="eastAsia" w:ascii="宋体" w:hAnsi="宋体"/>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pPr>
        <w:ind w:firstLine="600" w:firstLineChars="250"/>
        <w:rPr>
          <w:rFonts w:ascii="宋体" w:hAnsi="宋体"/>
          <w:color w:val="000000"/>
          <w:sz w:val="24"/>
        </w:rPr>
      </w:pPr>
      <w:r>
        <w:rPr>
          <w:rFonts w:hint="eastAsia" w:ascii="宋体" w:hAnsi="宋体"/>
          <w:color w:val="000000"/>
          <w:sz w:val="24"/>
        </w:rPr>
        <w:t>（1）为规范供需双方业务交流，双方约定通过以下指定邮箱进行业务联系</w:t>
      </w:r>
    </w:p>
    <w:p>
      <w:pPr>
        <w:ind w:firstLine="720" w:firstLineChars="300"/>
        <w:rPr>
          <w:rFonts w:ascii="宋体" w:hAnsi="宋体"/>
          <w:color w:val="000000"/>
          <w:sz w:val="24"/>
        </w:rPr>
      </w:pPr>
      <w:r>
        <w:rPr>
          <w:rFonts w:hint="eastAsia" w:ascii="宋体" w:hAnsi="宋体"/>
          <w:color w:val="000000"/>
          <w:sz w:val="24"/>
        </w:rPr>
        <w:t xml:space="preserve">供方：               需方：wzcgb@fjpec.com.cn </w:t>
      </w:r>
    </w:p>
    <w:p>
      <w:pPr>
        <w:snapToGrid w:val="0"/>
        <w:ind w:firstLine="600" w:firstLineChars="250"/>
        <w:rPr>
          <w:rFonts w:ascii="宋体" w:hAnsi="宋体"/>
          <w:color w:val="000000"/>
          <w:sz w:val="24"/>
        </w:rPr>
      </w:pPr>
      <w:r>
        <w:rPr>
          <w:rFonts w:hint="eastAsia" w:ascii="宋体" w:hAnsi="宋体"/>
          <w:color w:val="000000"/>
          <w:sz w:val="24"/>
        </w:rPr>
        <w:t>（2）含税单价含13%增值税，含送到工厂运费，一票结算。</w:t>
      </w:r>
    </w:p>
    <w:p>
      <w:pPr>
        <w:widowControl/>
        <w:shd w:val="clear" w:color="auto" w:fill="FFFFFF"/>
        <w:ind w:left="300" w:right="300"/>
        <w:jc w:val="left"/>
        <w:rPr>
          <w:rFonts w:ascii="宋体" w:hAnsi="宋体"/>
          <w:color w:val="000000"/>
          <w:sz w:val="24"/>
        </w:rPr>
      </w:pPr>
      <w:r>
        <w:rPr>
          <w:rFonts w:hint="eastAsia" w:ascii="宋体" w:hAnsi="宋体"/>
          <w:color w:val="000000"/>
          <w:sz w:val="24"/>
        </w:rPr>
        <w:t xml:space="preserve">   （3）指标要求：</w:t>
      </w:r>
    </w:p>
    <w:p>
      <w:pPr>
        <w:widowControl/>
        <w:shd w:val="clear" w:color="auto" w:fill="FFFFFF"/>
        <w:ind w:left="300" w:right="300" w:firstLine="960" w:firstLineChars="400"/>
        <w:jc w:val="left"/>
        <w:rPr>
          <w:rFonts w:hint="eastAsia" w:ascii="宋体" w:hAnsi="宋体"/>
          <w:color w:val="000000"/>
          <w:sz w:val="24"/>
          <w:lang w:eastAsia="zh-CN"/>
        </w:rPr>
      </w:pPr>
      <w:r>
        <w:rPr>
          <w:rFonts w:hint="eastAsia" w:ascii="宋体" w:hAnsi="宋体"/>
          <w:color w:val="000000"/>
          <w:sz w:val="24"/>
        </w:rPr>
        <w:t>1、产品质量执行:GB/T 536-2017液体无水氨，合格品</w:t>
      </w:r>
      <w:r>
        <w:rPr>
          <w:rFonts w:hint="eastAsia" w:ascii="宋体" w:hAnsi="宋体"/>
          <w:color w:val="000000"/>
          <w:sz w:val="24"/>
          <w:lang w:eastAsia="zh-CN"/>
        </w:rPr>
        <w:t>。</w:t>
      </w:r>
    </w:p>
    <w:p>
      <w:pPr>
        <w:widowControl/>
        <w:shd w:val="clear" w:color="auto" w:fill="FFFFFF"/>
        <w:ind w:left="1738" w:leftChars="599" w:right="300" w:hanging="480" w:hangingChars="200"/>
        <w:jc w:val="left"/>
        <w:rPr>
          <w:rFonts w:hint="eastAsia" w:ascii="宋体" w:hAnsi="宋体"/>
          <w:color w:val="000000"/>
          <w:sz w:val="24"/>
          <w:lang w:eastAsia="zh-CN"/>
        </w:rPr>
      </w:pPr>
      <w:r>
        <w:rPr>
          <w:rFonts w:hint="eastAsia" w:ascii="宋体" w:hAnsi="宋体"/>
          <w:color w:val="000000"/>
          <w:sz w:val="24"/>
        </w:rPr>
        <w:t>2、每瓶400KG,新供应商第一次送1瓶，以后每次送1瓶，同时回收1个空</w:t>
      </w:r>
      <w:r>
        <w:rPr>
          <w:rFonts w:hint="default" w:ascii="宋体" w:hAnsi="宋体"/>
          <w:color w:val="000000"/>
          <w:sz w:val="24"/>
        </w:rPr>
        <w:t>瓶，一至二个月送一次货</w:t>
      </w:r>
      <w:r>
        <w:rPr>
          <w:rFonts w:hint="eastAsia" w:ascii="宋体" w:hAnsi="宋体"/>
          <w:color w:val="000000"/>
          <w:sz w:val="24"/>
          <w:lang w:eastAsia="zh-CN"/>
        </w:rPr>
        <w:t>。</w:t>
      </w:r>
    </w:p>
    <w:p>
      <w:pPr>
        <w:widowControl/>
        <w:shd w:val="clear" w:color="auto" w:fill="FFFFFF"/>
        <w:ind w:left="1738" w:leftChars="599" w:right="300" w:hanging="480" w:hangingChars="200"/>
        <w:jc w:val="left"/>
        <w:rPr>
          <w:rFonts w:hint="eastAsia" w:ascii="宋体" w:hAnsi="宋体"/>
          <w:color w:val="000000"/>
          <w:sz w:val="24"/>
        </w:rPr>
      </w:pPr>
      <w:r>
        <w:rPr>
          <w:rFonts w:hint="eastAsia" w:ascii="宋体" w:hAnsi="宋体"/>
          <w:color w:val="000000"/>
          <w:sz w:val="24"/>
        </w:rPr>
        <w:t>3、瓶子的使用费包含在氨气中，不另算瓶子的使用费。供方负责回收钢瓶。</w:t>
      </w:r>
    </w:p>
    <w:p>
      <w:pPr>
        <w:widowControl/>
        <w:shd w:val="clear" w:color="auto" w:fill="FFFFFF"/>
        <w:ind w:left="1738" w:leftChars="599" w:right="300" w:hanging="480" w:hangingChars="200"/>
        <w:jc w:val="left"/>
        <w:rPr>
          <w:rFonts w:ascii="宋体" w:hAnsi="宋体"/>
          <w:color w:val="000000"/>
          <w:sz w:val="24"/>
        </w:rPr>
      </w:pPr>
      <w:r>
        <w:rPr>
          <w:rFonts w:hint="eastAsia" w:ascii="宋体" w:hAnsi="宋体"/>
          <w:color w:val="000000"/>
          <w:sz w:val="24"/>
        </w:rPr>
        <w:t>4、所有送货的氨瓶必须符合钢瓶相关的质量标准，同时钢瓶外面应有2个</w:t>
      </w:r>
      <w:r>
        <w:rPr>
          <w:rFonts w:hint="default" w:ascii="宋体" w:hAnsi="宋体"/>
          <w:color w:val="000000"/>
          <w:sz w:val="24"/>
        </w:rPr>
        <w:t>橡胶圈，如橡胶圈缺失，我司不予接受</w:t>
      </w:r>
      <w:r>
        <w:rPr>
          <w:rFonts w:hint="eastAsia" w:ascii="宋体" w:hAnsi="宋体"/>
          <w:color w:val="000000"/>
          <w:sz w:val="24"/>
          <w:lang w:eastAsia="zh-CN"/>
        </w:rPr>
        <w:t>。</w:t>
      </w:r>
    </w:p>
    <w:p>
      <w:pPr>
        <w:ind w:left="630" w:hanging="630" w:hangingChars="300"/>
      </w:pPr>
      <w:r>
        <w:rPr>
          <w:rFonts w:hint="eastAsia"/>
        </w:rPr>
        <w:t xml:space="preserve">  </w:t>
      </w:r>
      <w:r>
        <w:rPr>
          <w:rFonts w:hint="eastAsia" w:ascii="宋体" w:hAnsi="宋体"/>
          <w:color w:val="000000"/>
          <w:sz w:val="24"/>
        </w:rPr>
        <w:t xml:space="preserve">  （4）如供方出现合同第二部分第十一条违约情形的，需方有权扣除履约保证金，履约保证金不足时，供应商应及时补足。履约保证金</w:t>
      </w:r>
      <w:r>
        <w:rPr>
          <w:rFonts w:hint="eastAsia" w:ascii="宋体" w:hAnsi="宋体"/>
          <w:color w:val="000000"/>
          <w:sz w:val="24"/>
          <w:lang w:val="en-US" w:eastAsia="zh-CN"/>
        </w:rPr>
        <w:t>4</w:t>
      </w:r>
      <w:r>
        <w:rPr>
          <w:rFonts w:hint="eastAsia" w:ascii="宋体" w:hAnsi="宋体"/>
          <w:color w:val="000000"/>
          <w:sz w:val="24"/>
        </w:rPr>
        <w:t>000元在合同履行完毕后予以无息退还保证金本金。</w:t>
      </w:r>
    </w:p>
    <w:p>
      <w:pPr>
        <w:spacing w:line="220" w:lineRule="exact"/>
        <w:ind w:firstLine="360" w:firstLineChars="200"/>
        <w:rPr>
          <w:color w:val="000000"/>
          <w:sz w:val="18"/>
          <w:szCs w:val="18"/>
        </w:rPr>
      </w:pPr>
    </w:p>
    <w:p/>
    <w:p>
      <w:pPr>
        <w:widowControl/>
        <w:shd w:val="clear" w:color="auto" w:fill="FFFFFF"/>
        <w:ind w:left="300" w:right="300"/>
        <w:jc w:val="left"/>
        <w:rPr>
          <w:rFonts w:ascii="Arial" w:hAnsi="Arial" w:cs="Arial"/>
          <w:color w:val="111111"/>
          <w:kern w:val="0"/>
          <w:sz w:val="28"/>
          <w:szCs w:val="28"/>
        </w:rPr>
      </w:pPr>
    </w:p>
    <w:p>
      <w:pPr>
        <w:spacing w:line="360" w:lineRule="auto"/>
        <w:jc w:val="center"/>
        <w:rPr>
          <w:rFonts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82B67"/>
    <w:rsid w:val="00092647"/>
    <w:rsid w:val="000D09B7"/>
    <w:rsid w:val="000D61A2"/>
    <w:rsid w:val="00116250"/>
    <w:rsid w:val="00120905"/>
    <w:rsid w:val="00120F78"/>
    <w:rsid w:val="00135D9F"/>
    <w:rsid w:val="001874D1"/>
    <w:rsid w:val="00192C72"/>
    <w:rsid w:val="001C0D58"/>
    <w:rsid w:val="001E1D95"/>
    <w:rsid w:val="001F6D26"/>
    <w:rsid w:val="00211FD4"/>
    <w:rsid w:val="002220DC"/>
    <w:rsid w:val="00222F26"/>
    <w:rsid w:val="002243D8"/>
    <w:rsid w:val="00231DE0"/>
    <w:rsid w:val="002509CE"/>
    <w:rsid w:val="00255FEE"/>
    <w:rsid w:val="002D4525"/>
    <w:rsid w:val="00312373"/>
    <w:rsid w:val="00313BE4"/>
    <w:rsid w:val="003427A5"/>
    <w:rsid w:val="00346315"/>
    <w:rsid w:val="00385016"/>
    <w:rsid w:val="003869EF"/>
    <w:rsid w:val="00397560"/>
    <w:rsid w:val="003F15BE"/>
    <w:rsid w:val="0042075D"/>
    <w:rsid w:val="00442DFC"/>
    <w:rsid w:val="004C7BC1"/>
    <w:rsid w:val="004E674A"/>
    <w:rsid w:val="004F11C6"/>
    <w:rsid w:val="00503A59"/>
    <w:rsid w:val="005402C4"/>
    <w:rsid w:val="00556126"/>
    <w:rsid w:val="005B3F5F"/>
    <w:rsid w:val="005D2C72"/>
    <w:rsid w:val="005F34E4"/>
    <w:rsid w:val="005F756B"/>
    <w:rsid w:val="00631BC7"/>
    <w:rsid w:val="00647CA8"/>
    <w:rsid w:val="00692D55"/>
    <w:rsid w:val="00696213"/>
    <w:rsid w:val="006B0586"/>
    <w:rsid w:val="006E3113"/>
    <w:rsid w:val="006F28AA"/>
    <w:rsid w:val="006F7FBB"/>
    <w:rsid w:val="00706707"/>
    <w:rsid w:val="00734235"/>
    <w:rsid w:val="00747AAB"/>
    <w:rsid w:val="007730F9"/>
    <w:rsid w:val="0077638E"/>
    <w:rsid w:val="00785742"/>
    <w:rsid w:val="007B7244"/>
    <w:rsid w:val="007C2890"/>
    <w:rsid w:val="007C38E6"/>
    <w:rsid w:val="007D2656"/>
    <w:rsid w:val="007D4C09"/>
    <w:rsid w:val="007F1686"/>
    <w:rsid w:val="0082748B"/>
    <w:rsid w:val="00857A27"/>
    <w:rsid w:val="0086383F"/>
    <w:rsid w:val="0087235C"/>
    <w:rsid w:val="008A20B6"/>
    <w:rsid w:val="00907692"/>
    <w:rsid w:val="00923F52"/>
    <w:rsid w:val="009358BC"/>
    <w:rsid w:val="00954D39"/>
    <w:rsid w:val="00961747"/>
    <w:rsid w:val="00976A7D"/>
    <w:rsid w:val="00984C7C"/>
    <w:rsid w:val="009950AA"/>
    <w:rsid w:val="009A1584"/>
    <w:rsid w:val="009B70FB"/>
    <w:rsid w:val="009C2A92"/>
    <w:rsid w:val="009C7655"/>
    <w:rsid w:val="009D0428"/>
    <w:rsid w:val="00A04B37"/>
    <w:rsid w:val="00A13872"/>
    <w:rsid w:val="00A45A68"/>
    <w:rsid w:val="00A52ED3"/>
    <w:rsid w:val="00A80D47"/>
    <w:rsid w:val="00AA544F"/>
    <w:rsid w:val="00AE3651"/>
    <w:rsid w:val="00B028EF"/>
    <w:rsid w:val="00B30CE7"/>
    <w:rsid w:val="00B46103"/>
    <w:rsid w:val="00B5040B"/>
    <w:rsid w:val="00B53948"/>
    <w:rsid w:val="00B724AA"/>
    <w:rsid w:val="00B74C6D"/>
    <w:rsid w:val="00B7777F"/>
    <w:rsid w:val="00B8204D"/>
    <w:rsid w:val="00B95564"/>
    <w:rsid w:val="00BB18F6"/>
    <w:rsid w:val="00BC05E9"/>
    <w:rsid w:val="00BD12E9"/>
    <w:rsid w:val="00BD38E6"/>
    <w:rsid w:val="00BE7F05"/>
    <w:rsid w:val="00BF5353"/>
    <w:rsid w:val="00C055C7"/>
    <w:rsid w:val="00C16757"/>
    <w:rsid w:val="00C62ADD"/>
    <w:rsid w:val="00C8724E"/>
    <w:rsid w:val="00C87717"/>
    <w:rsid w:val="00C94F75"/>
    <w:rsid w:val="00CB2C55"/>
    <w:rsid w:val="00CD1453"/>
    <w:rsid w:val="00D1381D"/>
    <w:rsid w:val="00D35986"/>
    <w:rsid w:val="00D436FD"/>
    <w:rsid w:val="00D577E0"/>
    <w:rsid w:val="00D679C0"/>
    <w:rsid w:val="00DB6F49"/>
    <w:rsid w:val="00DC6865"/>
    <w:rsid w:val="00DD1B37"/>
    <w:rsid w:val="00DF6F3A"/>
    <w:rsid w:val="00E25B0E"/>
    <w:rsid w:val="00E3679F"/>
    <w:rsid w:val="00E54E6F"/>
    <w:rsid w:val="00E55980"/>
    <w:rsid w:val="00E9190E"/>
    <w:rsid w:val="00EB32DE"/>
    <w:rsid w:val="00EC5BC5"/>
    <w:rsid w:val="00EF050E"/>
    <w:rsid w:val="00EF5988"/>
    <w:rsid w:val="00F22388"/>
    <w:rsid w:val="00F2653D"/>
    <w:rsid w:val="00F30784"/>
    <w:rsid w:val="00F564F6"/>
    <w:rsid w:val="00F70768"/>
    <w:rsid w:val="00F7626A"/>
    <w:rsid w:val="00F84C4A"/>
    <w:rsid w:val="00FB5EC1"/>
    <w:rsid w:val="00FE6E7A"/>
    <w:rsid w:val="012A3F69"/>
    <w:rsid w:val="032234B3"/>
    <w:rsid w:val="046E24C0"/>
    <w:rsid w:val="08973D1E"/>
    <w:rsid w:val="09CE1022"/>
    <w:rsid w:val="0E8E5325"/>
    <w:rsid w:val="177F771A"/>
    <w:rsid w:val="19A01C25"/>
    <w:rsid w:val="1DD233D6"/>
    <w:rsid w:val="21BB1C63"/>
    <w:rsid w:val="23065924"/>
    <w:rsid w:val="245F0DC4"/>
    <w:rsid w:val="2496308D"/>
    <w:rsid w:val="26873E45"/>
    <w:rsid w:val="2A3738D4"/>
    <w:rsid w:val="30071591"/>
    <w:rsid w:val="325D65E1"/>
    <w:rsid w:val="38A35BE8"/>
    <w:rsid w:val="3C8A52C7"/>
    <w:rsid w:val="3E6446BD"/>
    <w:rsid w:val="40391654"/>
    <w:rsid w:val="424D7751"/>
    <w:rsid w:val="462F233E"/>
    <w:rsid w:val="46B5377A"/>
    <w:rsid w:val="47E460F3"/>
    <w:rsid w:val="48CC307C"/>
    <w:rsid w:val="497038CD"/>
    <w:rsid w:val="499A66C3"/>
    <w:rsid w:val="4A1213AB"/>
    <w:rsid w:val="4BB63725"/>
    <w:rsid w:val="542A50A2"/>
    <w:rsid w:val="54F12277"/>
    <w:rsid w:val="566F7524"/>
    <w:rsid w:val="56732B47"/>
    <w:rsid w:val="57550741"/>
    <w:rsid w:val="579F348D"/>
    <w:rsid w:val="58CB5E3B"/>
    <w:rsid w:val="58DA20C8"/>
    <w:rsid w:val="59C41AA5"/>
    <w:rsid w:val="5A06348F"/>
    <w:rsid w:val="5A090A74"/>
    <w:rsid w:val="5A301B84"/>
    <w:rsid w:val="5C8B0489"/>
    <w:rsid w:val="5DAA0B36"/>
    <w:rsid w:val="5EBC76FA"/>
    <w:rsid w:val="608B2761"/>
    <w:rsid w:val="60A5089F"/>
    <w:rsid w:val="645C7B76"/>
    <w:rsid w:val="651A5C4B"/>
    <w:rsid w:val="65B31BCC"/>
    <w:rsid w:val="68670155"/>
    <w:rsid w:val="6A0333FA"/>
    <w:rsid w:val="6F457884"/>
    <w:rsid w:val="6F663551"/>
    <w:rsid w:val="72E24278"/>
    <w:rsid w:val="74A25915"/>
    <w:rsid w:val="75940C8C"/>
    <w:rsid w:val="76D51F02"/>
    <w:rsid w:val="77DC49F7"/>
    <w:rsid w:val="78D65F29"/>
    <w:rsid w:val="7D4940FE"/>
    <w:rsid w:val="7DCA4F70"/>
    <w:rsid w:val="7E930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autoRedefine/>
    <w:qFormat/>
    <w:uiPriority w:val="1"/>
    <w:rPr>
      <w:sz w:val="24"/>
    </w:rPr>
  </w:style>
  <w:style w:type="paragraph" w:styleId="4">
    <w:name w:val="footer"/>
    <w:basedOn w:val="1"/>
    <w:autoRedefine/>
    <w:qFormat/>
    <w:uiPriority w:val="99"/>
    <w:pPr>
      <w:tabs>
        <w:tab w:val="center" w:pos="4153"/>
        <w:tab w:val="right" w:pos="8306"/>
      </w:tabs>
      <w:snapToGrid w:val="0"/>
      <w:jc w:val="left"/>
    </w:pPr>
    <w:rPr>
      <w:kern w:val="0"/>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0"/>
    <w:rPr>
      <w:color w:val="0000FF"/>
      <w:u w:val="single"/>
    </w:rPr>
  </w:style>
  <w:style w:type="paragraph" w:customStyle="1" w:styleId="9">
    <w:name w:val="列表段落1"/>
    <w:basedOn w:val="1"/>
    <w:autoRedefine/>
    <w:qFormat/>
    <w:uiPriority w:val="34"/>
    <w:pPr>
      <w:spacing w:before="206"/>
      <w:ind w:left="959" w:hanging="361"/>
    </w:pPr>
  </w:style>
  <w:style w:type="character" w:customStyle="1" w:styleId="10">
    <w:name w:val="cd_message"/>
    <w:basedOn w:val="7"/>
    <w:autoRedefine/>
    <w:qFormat/>
    <w:uiPriority w:val="0"/>
  </w:style>
  <w:style w:type="paragraph" w:customStyle="1" w:styleId="11">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autoRedefine/>
    <w:qFormat/>
    <w:uiPriority w:val="99"/>
    <w:pPr>
      <w:ind w:firstLine="420" w:firstLineChars="200"/>
    </w:pPr>
  </w:style>
  <w:style w:type="character" w:customStyle="1" w:styleId="13">
    <w:name w:val="页眉 Char"/>
    <w:basedOn w:val="7"/>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1651</Words>
  <Characters>9415</Characters>
  <Lines>78</Lines>
  <Paragraphs>22</Paragraphs>
  <TotalTime>142</TotalTime>
  <ScaleCrop>false</ScaleCrop>
  <LinksUpToDate>false</LinksUpToDate>
  <CharactersWithSpaces>11044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2024-03-12T01:41:10Z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4FDEE1CD14A64461AD55E791C6EF88DB_13</vt:lpwstr>
  </property>
</Properties>
</file>