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0D155D">
            <w:pPr>
              <w:spacing w:line="120" w:lineRule="auto"/>
              <w:rPr>
                <w:sz w:val="24"/>
              </w:rPr>
            </w:pPr>
            <w:r w:rsidRPr="000D155D">
              <w:rPr>
                <w:rFonts w:hint="eastAsia"/>
                <w:sz w:val="24"/>
              </w:rPr>
              <w:t>腾龙芳烃（漳州）有限公司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1635790165" w:edGrp="everyone" w:colFirst="0" w:colLast="0"/>
            <w:permStart w:id="2077174035" w:edGrp="everyone" w:colFirst="1" w:colLast="1"/>
            <w:permStart w:id="608833634" w:edGrp="everyone" w:colFirst="2" w:colLast="2"/>
            <w:permStart w:id="312303655" w:edGrp="everyone" w:colFirst="3" w:colLast="3"/>
            <w:permStart w:id="399722764"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1635790165"/>
      <w:permEnd w:id="2077174035"/>
      <w:permEnd w:id="608833634"/>
      <w:permEnd w:id="312303655"/>
      <w:permEnd w:id="399722764"/>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647849900"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647849900"/>
            <w:r>
              <w:rPr>
                <w:rFonts w:ascii="宋体" w:hAnsi="宋体" w:cs="宋体" w:hint="eastAsia"/>
                <w:sz w:val="24"/>
              </w:rPr>
              <w:t xml:space="preserve">（大写） </w:t>
            </w:r>
            <w:permStart w:id="1676302817"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676302817"/>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EA5EC4" w:rsidRPr="00EA5EC4">
        <w:rPr>
          <w:rFonts w:hint="eastAsia"/>
          <w:sz w:val="24"/>
          <w:u w:val="single"/>
        </w:rPr>
        <w:t>腾龙芳烃（漳州）有限公司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002617">
        <w:rPr>
          <w:rFonts w:asciiTheme="majorEastAsia" w:eastAsiaTheme="majorEastAsia" w:hAnsiTheme="majorEastAsia"/>
          <w:sz w:val="24"/>
          <w:u w:val="single"/>
        </w:rPr>
        <w:t>90天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AD421D">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AD421D">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AD421D">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AD421D">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8D14EC" w:rsidRPr="008B2634" w:rsidTr="008D14EC">
        <w:trPr>
          <w:trHeight w:val="424"/>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地址：福建省漳州市古雷港经济开发区腾龙路8</w:t>
            </w:r>
            <w:r w:rsidRPr="008B2634">
              <w:rPr>
                <w:rFonts w:ascii="宋体" w:hAnsi="宋体"/>
                <w:color w:val="000000"/>
                <w:sz w:val="24"/>
              </w:rPr>
              <w:t>4</w:t>
            </w:r>
            <w:r w:rsidRPr="008B2634">
              <w:rPr>
                <w:rFonts w:ascii="宋体" w:hAnsi="宋体" w:hint="eastAsia"/>
                <w:color w:val="000000"/>
                <w:sz w:val="24"/>
              </w:rPr>
              <w:t>号</w:t>
            </w:r>
          </w:p>
        </w:tc>
        <w:tc>
          <w:tcPr>
            <w:tcW w:w="4768" w:type="dxa"/>
            <w:vAlign w:val="center"/>
          </w:tcPr>
          <w:p w:rsidR="008D14EC" w:rsidRDefault="008D14EC" w:rsidP="00093964">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电话：</w:t>
            </w:r>
            <w:r w:rsidRPr="008B2634">
              <w:rPr>
                <w:rFonts w:ascii="宋体" w:hAnsi="宋体"/>
                <w:color w:val="000000"/>
                <w:sz w:val="24"/>
              </w:rPr>
              <w:t>0596-6311824</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电话：</w:t>
            </w:r>
          </w:p>
        </w:tc>
      </w:tr>
      <w:tr w:rsidR="008D14EC" w:rsidRPr="008B2634" w:rsidTr="008D14EC">
        <w:trPr>
          <w:trHeight w:val="423"/>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联系人：魏彦苹</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联系人：</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开户银行：兴业银行漳州古雷支行</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开户银行：</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账号：</w:t>
            </w:r>
            <w:r w:rsidRPr="008B2634">
              <w:rPr>
                <w:rFonts w:ascii="宋体" w:hAnsi="宋体"/>
                <w:color w:val="000000"/>
                <w:sz w:val="24"/>
              </w:rPr>
              <w:t>162070100100021071</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账号：</w:t>
            </w:r>
          </w:p>
        </w:tc>
      </w:tr>
      <w:tr w:rsidR="008D14EC" w:rsidTr="008D14EC">
        <w:trPr>
          <w:trHeight w:val="80"/>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税号：</w:t>
            </w:r>
            <w:r w:rsidRPr="008B2634">
              <w:rPr>
                <w:rFonts w:ascii="宋体" w:hAnsi="宋体"/>
                <w:color w:val="000000"/>
                <w:sz w:val="24"/>
              </w:rPr>
              <w:t>91350600717866709A</w:t>
            </w:r>
          </w:p>
        </w:tc>
        <w:tc>
          <w:tcPr>
            <w:tcW w:w="4768" w:type="dxa"/>
            <w:vAlign w:val="center"/>
          </w:tcPr>
          <w:p w:rsidR="008D14EC" w:rsidRDefault="008D14EC" w:rsidP="008D14EC">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710"/>
        <w:gridCol w:w="1275"/>
        <w:gridCol w:w="1276"/>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002617">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rFonts w:hint="eastAsia"/>
                <w:b/>
                <w:bCs/>
                <w:szCs w:val="21"/>
                <w:lang w:bidi="ar"/>
              </w:rPr>
            </w:pPr>
            <w:r>
              <w:rPr>
                <w:rStyle w:val="font81"/>
                <w:rFonts w:ascii="Times New Roman" w:hAnsi="Times New Roman" w:cs="Times New Roman" w:hint="default"/>
                <w:b/>
                <w:bCs/>
                <w:sz w:val="21"/>
                <w:szCs w:val="21"/>
                <w:lang w:bidi="ar"/>
              </w:rPr>
              <w:t>存货名称</w:t>
            </w:r>
          </w:p>
        </w:tc>
        <w:tc>
          <w:tcPr>
            <w:tcW w:w="1275"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002617" w:rsidTr="0078095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002617">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widowControl/>
              <w:jc w:val="center"/>
              <w:rPr>
                <w:rFonts w:ascii="Arial" w:hAnsi="Arial" w:cs="Arial"/>
                <w:kern w:val="0"/>
                <w:sz w:val="20"/>
                <w:szCs w:val="20"/>
              </w:rPr>
            </w:pPr>
            <w:r>
              <w:rPr>
                <w:rFonts w:ascii="Arial" w:hAnsi="Arial" w:cs="Arial"/>
                <w:sz w:val="20"/>
                <w:szCs w:val="20"/>
              </w:rPr>
              <w:t>QG2402180036</w:t>
            </w:r>
          </w:p>
        </w:tc>
        <w:tc>
          <w:tcPr>
            <w:tcW w:w="1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widowControl/>
              <w:jc w:val="center"/>
              <w:rPr>
                <w:rFonts w:ascii="Arial" w:hAnsi="Arial" w:cs="Arial"/>
                <w:kern w:val="0"/>
                <w:sz w:val="20"/>
                <w:szCs w:val="20"/>
              </w:rPr>
            </w:pPr>
            <w:r>
              <w:rPr>
                <w:rFonts w:ascii="Arial" w:hAnsi="Arial" w:cs="Arial"/>
                <w:sz w:val="20"/>
                <w:szCs w:val="20"/>
              </w:rPr>
              <w:t>2719161108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jc w:val="center"/>
              <w:rPr>
                <w:rFonts w:ascii="Arial" w:hAnsi="Arial" w:cs="Arial"/>
                <w:szCs w:val="20"/>
              </w:rPr>
            </w:pPr>
            <w:r w:rsidRPr="00002617">
              <w:rPr>
                <w:rFonts w:ascii="Arial" w:hAnsi="Arial" w:cs="Arial"/>
                <w:szCs w:val="20"/>
              </w:rPr>
              <w:t>气动开关球阀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617" w:rsidRDefault="00002617" w:rsidP="00002617">
            <w:pPr>
              <w:widowControl/>
              <w:jc w:val="center"/>
              <w:rPr>
                <w:rFonts w:ascii="Arial" w:hAnsi="Arial" w:cs="Arial"/>
                <w:kern w:val="0"/>
                <w:sz w:val="20"/>
                <w:szCs w:val="20"/>
              </w:rPr>
            </w:pPr>
            <w:r>
              <w:rPr>
                <w:rFonts w:ascii="Arial" w:hAnsi="Arial" w:cs="Arial"/>
                <w:sz w:val="20"/>
                <w:szCs w:val="20"/>
              </w:rPr>
              <w:t>6" ANSI CL300 RF\</w:t>
            </w:r>
            <w:proofErr w:type="gramStart"/>
            <w:r>
              <w:rPr>
                <w:rFonts w:ascii="Arial" w:hAnsi="Arial" w:cs="Arial"/>
                <w:sz w:val="20"/>
                <w:szCs w:val="20"/>
              </w:rPr>
              <w:t>固定球</w:t>
            </w:r>
            <w:proofErr w:type="gramEnd"/>
            <w:r>
              <w:rPr>
                <w:rFonts w:ascii="Arial" w:hAnsi="Arial" w:cs="Arial"/>
                <w:sz w:val="20"/>
                <w:szCs w:val="20"/>
              </w:rPr>
              <w:t>\</w:t>
            </w:r>
            <w:r>
              <w:rPr>
                <w:rFonts w:ascii="Arial" w:hAnsi="Arial" w:cs="Arial"/>
                <w:sz w:val="20"/>
                <w:szCs w:val="20"/>
              </w:rPr>
              <w:t>硬密封</w:t>
            </w:r>
            <w:r>
              <w:rPr>
                <w:rFonts w:ascii="Arial" w:hAnsi="Arial" w:cs="Arial"/>
                <w:sz w:val="20"/>
                <w:szCs w:val="20"/>
              </w:rPr>
              <w:t>\</w:t>
            </w:r>
            <w:r>
              <w:rPr>
                <w:rFonts w:ascii="Arial" w:hAnsi="Arial" w:cs="Arial"/>
                <w:sz w:val="20"/>
                <w:szCs w:val="20"/>
              </w:rPr>
              <w:t>阀体材质</w:t>
            </w:r>
            <w:r>
              <w:rPr>
                <w:rFonts w:ascii="Arial" w:hAnsi="Arial" w:cs="Arial"/>
                <w:sz w:val="20"/>
                <w:szCs w:val="20"/>
              </w:rPr>
              <w:t>316LSS\CLASS V\FC\</w:t>
            </w:r>
            <w:r>
              <w:rPr>
                <w:rFonts w:ascii="Arial" w:hAnsi="Arial" w:cs="Arial"/>
                <w:sz w:val="20"/>
                <w:szCs w:val="20"/>
              </w:rPr>
              <w:t>详见数据表</w:t>
            </w:r>
            <w:r>
              <w:rPr>
                <w:rFonts w:ascii="Arial" w:hAnsi="Arial" w:cs="Arial"/>
                <w:sz w:val="20"/>
                <w:szCs w:val="20"/>
              </w:rPr>
              <w:t>\</w:t>
            </w:r>
            <w:r>
              <w:rPr>
                <w:rFonts w:ascii="Arial" w:hAnsi="Arial" w:cs="Arial"/>
                <w:sz w:val="20"/>
                <w:szCs w:val="20"/>
              </w:rPr>
              <w:t>技术协议</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jc w:val="center"/>
              <w:rPr>
                <w:rFonts w:ascii="Arial" w:hAnsi="Arial" w:cs="Arial"/>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002617" w:rsidRDefault="00002617" w:rsidP="00002617">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002617" w:rsidRDefault="00002617" w:rsidP="00002617">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213939" w:rsidRDefault="00002617" w:rsidP="00002617">
            <w:pPr>
              <w:widowControl/>
              <w:jc w:val="center"/>
            </w:pPr>
          </w:p>
        </w:tc>
      </w:tr>
      <w:tr w:rsidR="00002617" w:rsidTr="0078095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002617">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jc w:val="center"/>
              <w:rPr>
                <w:rFonts w:ascii="Arial" w:hAnsi="Arial" w:cs="Arial"/>
                <w:sz w:val="20"/>
                <w:szCs w:val="20"/>
              </w:rPr>
            </w:pPr>
            <w:r>
              <w:rPr>
                <w:rFonts w:ascii="Arial" w:hAnsi="Arial" w:cs="Arial"/>
                <w:sz w:val="20"/>
                <w:szCs w:val="20"/>
              </w:rPr>
              <w:t>QG2402180032</w:t>
            </w:r>
          </w:p>
        </w:tc>
        <w:tc>
          <w:tcPr>
            <w:tcW w:w="143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jc w:val="center"/>
              <w:rPr>
                <w:rFonts w:ascii="Arial" w:hAnsi="Arial" w:cs="Arial"/>
                <w:sz w:val="20"/>
                <w:szCs w:val="20"/>
              </w:rPr>
            </w:pPr>
            <w:r>
              <w:rPr>
                <w:rFonts w:ascii="Arial" w:hAnsi="Arial" w:cs="Arial"/>
                <w:sz w:val="20"/>
                <w:szCs w:val="20"/>
              </w:rPr>
              <w:t>2719220545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jc w:val="center"/>
              <w:rPr>
                <w:rFonts w:ascii="Arial" w:hAnsi="Arial" w:cs="Arial"/>
                <w:szCs w:val="20"/>
              </w:rPr>
            </w:pPr>
            <w:r w:rsidRPr="00002617">
              <w:rPr>
                <w:rFonts w:ascii="Arial" w:hAnsi="Arial" w:cs="Arial"/>
                <w:szCs w:val="20"/>
              </w:rPr>
              <w:t>电动闸阀</w:t>
            </w:r>
          </w:p>
        </w:tc>
        <w:tc>
          <w:tcPr>
            <w:tcW w:w="2551" w:type="dxa"/>
            <w:gridSpan w:val="2"/>
            <w:tcBorders>
              <w:top w:val="nil"/>
              <w:left w:val="single" w:sz="4" w:space="0" w:color="auto"/>
              <w:bottom w:val="single" w:sz="4" w:space="0" w:color="auto"/>
              <w:right w:val="single" w:sz="4" w:space="0" w:color="auto"/>
            </w:tcBorders>
            <w:shd w:val="clear" w:color="auto" w:fill="auto"/>
            <w:vAlign w:val="center"/>
          </w:tcPr>
          <w:p w:rsidR="00002617" w:rsidRDefault="00002617" w:rsidP="00002617">
            <w:pPr>
              <w:jc w:val="center"/>
              <w:rPr>
                <w:rFonts w:ascii="Arial" w:hAnsi="Arial" w:cs="Arial"/>
                <w:sz w:val="20"/>
                <w:szCs w:val="20"/>
              </w:rPr>
            </w:pPr>
            <w:r>
              <w:rPr>
                <w:rFonts w:ascii="Arial" w:hAnsi="Arial" w:cs="Arial"/>
                <w:sz w:val="20"/>
                <w:szCs w:val="20"/>
              </w:rPr>
              <w:t>6" ANSI CL300 RF\</w:t>
            </w:r>
            <w:r>
              <w:rPr>
                <w:rFonts w:ascii="Arial" w:hAnsi="Arial" w:cs="Arial"/>
                <w:sz w:val="20"/>
                <w:szCs w:val="20"/>
              </w:rPr>
              <w:t>平行式双闸板闸阀</w:t>
            </w:r>
            <w:r>
              <w:rPr>
                <w:rFonts w:ascii="Arial" w:hAnsi="Arial" w:cs="Arial"/>
                <w:sz w:val="20"/>
                <w:szCs w:val="20"/>
              </w:rPr>
              <w:t>\</w:t>
            </w:r>
            <w:r>
              <w:rPr>
                <w:rFonts w:ascii="Arial" w:hAnsi="Arial" w:cs="Arial"/>
                <w:sz w:val="20"/>
                <w:szCs w:val="20"/>
              </w:rPr>
              <w:t>阀体材质</w:t>
            </w:r>
            <w:r>
              <w:rPr>
                <w:rFonts w:ascii="Arial" w:hAnsi="Arial" w:cs="Arial"/>
                <w:sz w:val="20"/>
                <w:szCs w:val="20"/>
              </w:rPr>
              <w:t>316L\CLASS V\FC\FF\</w:t>
            </w:r>
            <w:r>
              <w:rPr>
                <w:rFonts w:ascii="Arial" w:hAnsi="Arial" w:cs="Arial"/>
                <w:sz w:val="20"/>
                <w:szCs w:val="20"/>
              </w:rPr>
              <w:t>详见数据表</w:t>
            </w:r>
            <w:r>
              <w:rPr>
                <w:rFonts w:ascii="Arial" w:hAnsi="Arial" w:cs="Arial"/>
                <w:sz w:val="20"/>
                <w:szCs w:val="20"/>
              </w:rPr>
              <w:t>\</w:t>
            </w:r>
            <w:r>
              <w:rPr>
                <w:rFonts w:ascii="Arial" w:hAnsi="Arial" w:cs="Arial"/>
                <w:sz w:val="20"/>
                <w:szCs w:val="20"/>
              </w:rPr>
              <w:t>技术协议</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002617" w:rsidRDefault="00002617" w:rsidP="00002617">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002617" w:rsidRDefault="00002617" w:rsidP="00002617">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002617" w:rsidRDefault="00002617" w:rsidP="00002617">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213939" w:rsidRDefault="00002617" w:rsidP="00002617">
            <w:pPr>
              <w:widowControl/>
              <w:jc w:val="center"/>
            </w:pPr>
          </w:p>
        </w:tc>
      </w:tr>
      <w:tr w:rsidR="00C93EEB" w:rsidTr="00C93EEB">
        <w:trPr>
          <w:trHeight w:val="974"/>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EA5EC4" w:rsidRDefault="00C93EEB"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Pr="00EA5EC4">
              <w:rPr>
                <w:rStyle w:val="font121"/>
                <w:rFonts w:ascii="Times New Roman" w:hAnsi="Times New Roman" w:cs="Times New Roman" w:hint="default"/>
                <w:b w:val="0"/>
                <w:bCs/>
                <w:sz w:val="24"/>
                <w:szCs w:val="24"/>
                <w:lang w:bidi="ar"/>
              </w:rPr>
              <w:t>福建省漳州市漳浦县古雷开发区腾龙路（福海创石油化工有限公司</w:t>
            </w:r>
            <w:r w:rsidRPr="00EA5EC4">
              <w:rPr>
                <w:rStyle w:val="font121"/>
                <w:rFonts w:ascii="Times New Roman" w:hAnsi="Times New Roman" w:cs="Times New Roman" w:hint="default"/>
                <w:b w:val="0"/>
                <w:bCs/>
                <w:sz w:val="24"/>
                <w:szCs w:val="24"/>
                <w:lang w:bidi="ar"/>
              </w:rPr>
              <w:t xml:space="preserve"> </w:t>
            </w:r>
            <w:r w:rsidRPr="00EA5EC4">
              <w:rPr>
                <w:rStyle w:val="font121"/>
                <w:rFonts w:ascii="Times New Roman" w:hAnsi="Times New Roman" w:cs="Times New Roman" w:hint="default"/>
                <w:b w:val="0"/>
                <w:bCs/>
                <w:sz w:val="24"/>
                <w:szCs w:val="24"/>
                <w:lang w:bidi="ar"/>
              </w:rPr>
              <w:t>腾龙芳烃工厂）</w:t>
            </w:r>
          </w:p>
          <w:p w:rsidR="00C93EEB" w:rsidRPr="00093964" w:rsidRDefault="00C93EEB" w:rsidP="00002617">
            <w:pPr>
              <w:widowControl/>
              <w:jc w:val="center"/>
              <w:textAlignment w:val="center"/>
              <w:rPr>
                <w:rStyle w:val="font121"/>
                <w:rFonts w:ascii="Times New Roman" w:hAnsi="Times New Roman" w:cs="Times New Roman"/>
                <w:b w:val="0"/>
                <w:bCs/>
                <w:sz w:val="24"/>
                <w:szCs w:val="24"/>
                <w:lang w:bidi="ar"/>
              </w:rPr>
            </w:pPr>
            <w:r w:rsidRPr="00EA5EC4">
              <w:rPr>
                <w:rStyle w:val="font121"/>
                <w:rFonts w:ascii="Times New Roman" w:hAnsi="Times New Roman" w:cs="Times New Roman" w:hint="default"/>
                <w:b w:val="0"/>
                <w:bCs/>
                <w:sz w:val="24"/>
                <w:szCs w:val="24"/>
                <w:lang w:bidi="ar"/>
              </w:rPr>
              <w:t>收货联系人：</w:t>
            </w:r>
            <w:proofErr w:type="gramStart"/>
            <w:r w:rsidRPr="00EA5EC4">
              <w:rPr>
                <w:rStyle w:val="font121"/>
                <w:rFonts w:ascii="Times New Roman" w:hAnsi="Times New Roman" w:cs="Times New Roman" w:hint="default"/>
                <w:b w:val="0"/>
                <w:bCs/>
                <w:sz w:val="24"/>
                <w:szCs w:val="24"/>
                <w:lang w:bidi="ar"/>
              </w:rPr>
              <w:t>赵靖辉</w:t>
            </w:r>
            <w:proofErr w:type="gramEnd"/>
            <w:r w:rsidRPr="00EA5EC4">
              <w:rPr>
                <w:rStyle w:val="font121"/>
                <w:rFonts w:ascii="Times New Roman" w:hAnsi="Times New Roman" w:cs="Times New Roman" w:hint="default"/>
                <w:b w:val="0"/>
                <w:bCs/>
                <w:sz w:val="24"/>
                <w:szCs w:val="24"/>
                <w:lang w:bidi="ar"/>
              </w:rPr>
              <w:t>0596-6311364</w:t>
            </w:r>
            <w:r w:rsidRPr="00EA5EC4">
              <w:rPr>
                <w:rStyle w:val="font121"/>
                <w:rFonts w:ascii="Times New Roman" w:hAnsi="Times New Roman" w:cs="Times New Roman" w:hint="default"/>
                <w:b w:val="0"/>
                <w:bCs/>
                <w:sz w:val="24"/>
                <w:szCs w:val="24"/>
                <w:lang w:bidi="ar"/>
              </w:rPr>
              <w:t>（厂内）</w:t>
            </w:r>
          </w:p>
        </w:tc>
      </w:tr>
      <w:tr w:rsidR="00093964"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bookmarkStart w:id="0" w:name="_GoBack"/>
            <w:bookmarkEnd w:id="0"/>
          </w:p>
        </w:tc>
      </w:tr>
      <w:tr w:rsidR="00093964"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Default="00B41D6D">
      <w:pPr>
        <w:pStyle w:val="1"/>
      </w:pPr>
    </w:p>
    <w:sectPr w:rsidR="00B41D6D"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1D" w:rsidRDefault="00AD421D">
      <w:r>
        <w:separator/>
      </w:r>
    </w:p>
  </w:endnote>
  <w:endnote w:type="continuationSeparator" w:id="0">
    <w:p w:rsidR="00AD421D" w:rsidRDefault="00AD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02617">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02617">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02617">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02617">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1D" w:rsidRDefault="00AD421D">
      <w:r>
        <w:separator/>
      </w:r>
    </w:p>
  </w:footnote>
  <w:footnote w:type="continuationSeparator" w:id="0">
    <w:p w:rsidR="00AD421D" w:rsidRDefault="00AD4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39D0"/>
    <w:rsid w:val="006050CB"/>
    <w:rsid w:val="00610567"/>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4714"/>
    <w:rsid w:val="007C28DB"/>
    <w:rsid w:val="007C34F9"/>
    <w:rsid w:val="007C41B4"/>
    <w:rsid w:val="007C4AD8"/>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578</Words>
  <Characters>3297</Characters>
  <Application>Microsoft Office Word</Application>
  <DocSecurity>0</DocSecurity>
  <Lines>27</Lines>
  <Paragraphs>7</Paragraphs>
  <ScaleCrop>false</ScaleCrop>
  <Company>lenovo</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43</cp:revision>
  <cp:lastPrinted>2023-08-22T07:35:00Z</cp:lastPrinted>
  <dcterms:created xsi:type="dcterms:W3CDTF">2023-03-09T09:13:00Z</dcterms:created>
  <dcterms:modified xsi:type="dcterms:W3CDTF">2024-02-19T03:03:00Z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