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903F9">
      <w:pPr>
        <w:pStyle w:val="9"/>
        <w:rPr>
          <w:rFonts w:ascii="Times New Roman"/>
          <w:sz w:val="20"/>
          <w:lang w:eastAsia="zh-CN"/>
        </w:rPr>
      </w:pPr>
    </w:p>
    <w:p w14:paraId="0933BEA4">
      <w:pPr>
        <w:pStyle w:val="9"/>
        <w:rPr>
          <w:rFonts w:ascii="Times New Roman"/>
          <w:sz w:val="20"/>
        </w:rPr>
      </w:pPr>
    </w:p>
    <w:p w14:paraId="6A9CE660">
      <w:pPr>
        <w:pStyle w:val="9"/>
        <w:rPr>
          <w:rFonts w:ascii="Times New Roman"/>
          <w:sz w:val="20"/>
        </w:rPr>
      </w:pPr>
    </w:p>
    <w:p w14:paraId="735F0AEB">
      <w:pPr>
        <w:pStyle w:val="9"/>
        <w:rPr>
          <w:rFonts w:ascii="Times New Roman"/>
          <w:sz w:val="20"/>
        </w:rPr>
      </w:pPr>
    </w:p>
    <w:p w14:paraId="282B44DC">
      <w:pPr>
        <w:pStyle w:val="9"/>
        <w:rPr>
          <w:rFonts w:ascii="Times New Roman"/>
          <w:sz w:val="20"/>
        </w:rPr>
      </w:pPr>
    </w:p>
    <w:p w14:paraId="7338B9DE">
      <w:pPr>
        <w:pStyle w:val="9"/>
        <w:spacing w:before="5"/>
        <w:rPr>
          <w:rFonts w:ascii="Times New Roman"/>
          <w:sz w:val="20"/>
        </w:rPr>
      </w:pPr>
    </w:p>
    <w:p w14:paraId="5E122EBC">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14:paraId="50247FF7">
      <w:pPr>
        <w:spacing w:before="38"/>
        <w:ind w:left="172"/>
        <w:jc w:val="center"/>
        <w:rPr>
          <w:rFonts w:ascii="微软雅黑" w:eastAsia="微软雅黑"/>
          <w:b/>
          <w:sz w:val="36"/>
          <w:szCs w:val="36"/>
          <w:u w:val="single"/>
          <w:lang w:eastAsia="zh-CN"/>
        </w:rPr>
      </w:pPr>
    </w:p>
    <w:p w14:paraId="3CCD98CB">
      <w:pPr>
        <w:pStyle w:val="35"/>
        <w:rPr>
          <w:lang w:eastAsia="zh-CN"/>
        </w:rPr>
      </w:pPr>
    </w:p>
    <w:p w14:paraId="300403DD">
      <w:pPr>
        <w:spacing w:before="38"/>
        <w:ind w:left="172"/>
        <w:jc w:val="center"/>
        <w:rPr>
          <w:rFonts w:hint="default" w:ascii="微软雅黑" w:eastAsia="微软雅黑"/>
          <w:b/>
          <w:sz w:val="44"/>
          <w:szCs w:val="44"/>
          <w:lang w:val="en-US" w:eastAsia="zh-CN"/>
        </w:rPr>
      </w:pPr>
      <w:r>
        <w:rPr>
          <w:rFonts w:hint="eastAsia" w:ascii="微软雅黑" w:eastAsia="微软雅黑"/>
          <w:b/>
          <w:sz w:val="44"/>
          <w:szCs w:val="44"/>
          <w:lang w:eastAsia="zh-CN"/>
        </w:rPr>
        <w:t>风向杆、风向袋</w:t>
      </w:r>
      <w:r>
        <w:rPr>
          <w:rFonts w:hint="eastAsia" w:ascii="微软雅黑" w:eastAsia="微软雅黑"/>
          <w:b/>
          <w:sz w:val="44"/>
          <w:szCs w:val="44"/>
          <w:lang w:val="en-US" w:eastAsia="zh-CN"/>
        </w:rPr>
        <w:t>年度采购项目</w:t>
      </w:r>
    </w:p>
    <w:p w14:paraId="01925945">
      <w:pPr>
        <w:pStyle w:val="9"/>
        <w:rPr>
          <w:rFonts w:ascii="微软雅黑"/>
          <w:b/>
          <w:sz w:val="68"/>
          <w:lang w:eastAsia="zh-CN"/>
        </w:rPr>
      </w:pPr>
    </w:p>
    <w:p w14:paraId="2E76CA96">
      <w:pPr>
        <w:pStyle w:val="9"/>
        <w:spacing w:before="4"/>
        <w:rPr>
          <w:rFonts w:ascii="微软雅黑"/>
          <w:b/>
          <w:sz w:val="39"/>
          <w:lang w:eastAsia="zh-CN"/>
        </w:rPr>
      </w:pPr>
    </w:p>
    <w:p w14:paraId="191B595B">
      <w:pPr>
        <w:ind w:left="169"/>
        <w:jc w:val="center"/>
        <w:rPr>
          <w:rFonts w:ascii="微软雅黑" w:eastAsia="微软雅黑"/>
          <w:b/>
          <w:sz w:val="72"/>
          <w:lang w:eastAsia="zh-CN"/>
        </w:rPr>
      </w:pPr>
      <w:r>
        <w:rPr>
          <w:rFonts w:hint="eastAsia" w:ascii="微软雅黑" w:eastAsia="微软雅黑"/>
          <w:b/>
          <w:sz w:val="72"/>
          <w:lang w:eastAsia="zh-CN"/>
        </w:rPr>
        <w:t>比选文件</w:t>
      </w:r>
    </w:p>
    <w:p w14:paraId="65AF51B6">
      <w:pPr>
        <w:pStyle w:val="35"/>
        <w:jc w:val="center"/>
        <w:rPr>
          <w:sz w:val="30"/>
          <w:szCs w:val="30"/>
        </w:rPr>
      </w:pPr>
      <w:r>
        <w:rPr>
          <w:rFonts w:hint="eastAsia"/>
          <w:sz w:val="30"/>
          <w:szCs w:val="30"/>
        </w:rPr>
        <w:t>（文件编号：</w:t>
      </w:r>
      <w:r>
        <w:rPr>
          <w:rFonts w:hint="eastAsia"/>
          <w:sz w:val="30"/>
          <w:szCs w:val="30"/>
          <w:lang w:eastAsia="zh-CN"/>
        </w:rPr>
        <w:t>FHC-PTCG20241016005</w:t>
      </w:r>
      <w:r>
        <w:rPr>
          <w:rFonts w:hint="eastAsia"/>
          <w:sz w:val="30"/>
          <w:szCs w:val="30"/>
        </w:rPr>
        <w:t>）</w:t>
      </w:r>
    </w:p>
    <w:p w14:paraId="52848499">
      <w:pPr>
        <w:pStyle w:val="9"/>
        <w:rPr>
          <w:rFonts w:ascii="微软雅黑"/>
          <w:b/>
          <w:sz w:val="94"/>
          <w:lang w:eastAsia="zh-CN"/>
        </w:rPr>
      </w:pPr>
    </w:p>
    <w:p w14:paraId="36D75CEB">
      <w:pPr>
        <w:pStyle w:val="9"/>
        <w:rPr>
          <w:rFonts w:ascii="微软雅黑"/>
          <w:b/>
          <w:sz w:val="94"/>
          <w:lang w:eastAsia="zh-CN"/>
        </w:rPr>
      </w:pPr>
    </w:p>
    <w:p w14:paraId="3A18761D">
      <w:pPr>
        <w:pStyle w:val="9"/>
        <w:spacing w:before="7"/>
        <w:rPr>
          <w:rFonts w:ascii="微软雅黑"/>
          <w:b/>
          <w:sz w:val="74"/>
          <w:lang w:eastAsia="zh-CN"/>
        </w:rPr>
      </w:pPr>
    </w:p>
    <w:p w14:paraId="2D196726">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14:paraId="16684D7D">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十</w:t>
      </w:r>
      <w:r>
        <w:rPr>
          <w:rFonts w:hint="eastAsia" w:ascii="微软雅黑" w:eastAsia="微软雅黑"/>
          <w:b/>
          <w:w w:val="95"/>
          <w:sz w:val="32"/>
          <w:lang w:eastAsia="zh-CN"/>
        </w:rPr>
        <w:t>月</w:t>
      </w:r>
    </w:p>
    <w:p w14:paraId="3929F88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14:paraId="02FD850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3848E494">
      <w:pPr>
        <w:pStyle w:val="9"/>
        <w:rPr>
          <w:rFonts w:ascii="黑体"/>
          <w:sz w:val="20"/>
          <w:lang w:eastAsia="zh-CN"/>
        </w:rPr>
      </w:pPr>
    </w:p>
    <w:p w14:paraId="555D13AC">
      <w:pPr>
        <w:pStyle w:val="9"/>
        <w:rPr>
          <w:rFonts w:ascii="黑体"/>
          <w:sz w:val="20"/>
          <w:lang w:eastAsia="zh-CN"/>
        </w:rPr>
      </w:pPr>
    </w:p>
    <w:p w14:paraId="304FCA11">
      <w:pPr>
        <w:pStyle w:val="9"/>
        <w:spacing w:before="9"/>
        <w:rPr>
          <w:rFonts w:ascii="黑体"/>
          <w:lang w:eastAsia="zh-CN"/>
        </w:rPr>
      </w:pPr>
    </w:p>
    <w:p w14:paraId="274444D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14:paraId="2EFDD73F">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201BEECF">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14:paraId="40FDE7D4">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6536638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33A7757">
      <w:pPr>
        <w:pStyle w:val="9"/>
        <w:spacing w:before="8"/>
        <w:rPr>
          <w:sz w:val="19"/>
          <w:lang w:eastAsia="zh-CN"/>
        </w:rPr>
      </w:pPr>
    </w:p>
    <w:p w14:paraId="2E6494B6">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14:paraId="0A2F4DDB">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64E4734B">
      <w:pPr>
        <w:pStyle w:val="9"/>
        <w:spacing w:before="10"/>
        <w:rPr>
          <w:sz w:val="35"/>
          <w:lang w:eastAsia="zh-CN"/>
        </w:rPr>
      </w:pPr>
    </w:p>
    <w:p w14:paraId="3DCC5D83">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14:paraId="13D9B9B0">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14:paraId="2172A773">
      <w:pPr>
        <w:spacing w:line="360" w:lineRule="auto"/>
        <w:ind w:left="360" w:firstLine="560" w:firstLineChars="200"/>
        <w:rPr>
          <w:sz w:val="28"/>
          <w:szCs w:val="28"/>
          <w:lang w:eastAsia="zh-CN"/>
        </w:rPr>
      </w:pPr>
      <w:r>
        <w:rPr>
          <w:rFonts w:hint="eastAsia"/>
          <w:sz w:val="28"/>
          <w:szCs w:val="28"/>
          <w:lang w:eastAsia="zh-CN"/>
        </w:rPr>
        <w:t>附件1：参选单位企业概况</w:t>
      </w:r>
    </w:p>
    <w:p w14:paraId="320B3FF7">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14:paraId="283A0A3F">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14:paraId="0BEC510D">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14:paraId="4D203683">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14:paraId="4375D345">
      <w:pPr>
        <w:spacing w:line="360" w:lineRule="auto"/>
        <w:ind w:firstLine="980" w:firstLineChars="350"/>
        <w:rPr>
          <w:sz w:val="28"/>
          <w:szCs w:val="28"/>
          <w:lang w:eastAsia="zh-CN"/>
        </w:rPr>
      </w:pPr>
    </w:p>
    <w:p w14:paraId="6D36705D">
      <w:pPr>
        <w:tabs>
          <w:tab w:val="left" w:pos="1272"/>
        </w:tabs>
        <w:spacing w:line="360" w:lineRule="auto"/>
        <w:ind w:left="9"/>
        <w:jc w:val="center"/>
        <w:rPr>
          <w:b/>
          <w:sz w:val="28"/>
          <w:lang w:eastAsia="zh-CN"/>
        </w:rPr>
      </w:pPr>
    </w:p>
    <w:p w14:paraId="2F2871E8">
      <w:pPr>
        <w:pStyle w:val="35"/>
      </w:pPr>
    </w:p>
    <w:p w14:paraId="09D5F3DD">
      <w:pPr>
        <w:pStyle w:val="35"/>
      </w:pPr>
    </w:p>
    <w:p w14:paraId="43DD0591">
      <w:pPr>
        <w:pStyle w:val="35"/>
      </w:pPr>
    </w:p>
    <w:p w14:paraId="5E1982FB">
      <w:pPr>
        <w:pStyle w:val="35"/>
      </w:pPr>
    </w:p>
    <w:p w14:paraId="3A8ECB71">
      <w:pPr>
        <w:pStyle w:val="35"/>
      </w:pPr>
    </w:p>
    <w:p w14:paraId="4B705E5A">
      <w:pPr>
        <w:pStyle w:val="35"/>
      </w:pPr>
    </w:p>
    <w:p w14:paraId="0ADAC0D8">
      <w:pPr>
        <w:pStyle w:val="35"/>
      </w:pPr>
    </w:p>
    <w:p w14:paraId="65424F68">
      <w:pPr>
        <w:pStyle w:val="37"/>
        <w:numPr>
          <w:ilvl w:val="0"/>
          <w:numId w:val="1"/>
        </w:numPr>
        <w:tabs>
          <w:tab w:val="left" w:pos="1272"/>
        </w:tabs>
        <w:spacing w:line="360" w:lineRule="auto"/>
        <w:jc w:val="center"/>
        <w:rPr>
          <w:rFonts w:hint="default" w:ascii="Times New Roman" w:hAnsi="Times New Roman" w:eastAsia="宋体" w:cs="Times New Roman"/>
          <w:sz w:val="24"/>
          <w:szCs w:val="24"/>
          <w:u w:val="none"/>
          <w:lang w:val="en-US" w:eastAsia="zh-CN" w:bidi="ar-SA"/>
        </w:rPr>
      </w:pPr>
      <w:r>
        <w:rPr>
          <w:rFonts w:hint="default" w:ascii="Times New Roman" w:hAnsi="Times New Roman" w:eastAsia="宋体" w:cs="Times New Roman"/>
          <w:b/>
          <w:spacing w:val="-1"/>
          <w:w w:val="95"/>
          <w:sz w:val="24"/>
          <w:szCs w:val="24"/>
          <w:lang w:eastAsia="zh-CN"/>
        </w:rPr>
        <w:t>比选公</w:t>
      </w:r>
      <w:r>
        <w:rPr>
          <w:rFonts w:hint="default" w:ascii="Times New Roman" w:hAnsi="Times New Roman" w:eastAsia="宋体" w:cs="Times New Roman"/>
          <w:b/>
          <w:w w:val="95"/>
          <w:sz w:val="24"/>
          <w:szCs w:val="24"/>
          <w:lang w:eastAsia="zh-CN"/>
        </w:rPr>
        <w:t>告</w:t>
      </w:r>
    </w:p>
    <w:p w14:paraId="07ECAFB0">
      <w:pPr>
        <w:pStyle w:val="9"/>
        <w:spacing w:line="360" w:lineRule="auto"/>
        <w:ind w:left="118" w:right="121" w:firstLine="51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u w:val="none"/>
          <w:lang w:val="en-US" w:eastAsia="zh-CN" w:bidi="ar-SA"/>
        </w:rPr>
        <w:t>福建福海创石油化工有限公司拟对本公司</w:t>
      </w:r>
      <w:r>
        <w:rPr>
          <w:rFonts w:hint="eastAsia" w:ascii="Times New Roman" w:hAnsi="Times New Roman" w:eastAsia="宋体" w:cs="Times New Roman"/>
          <w:sz w:val="24"/>
          <w:szCs w:val="24"/>
          <w:u w:val="none"/>
          <w:lang w:val="en-US" w:eastAsia="zh-CN" w:bidi="ar-SA"/>
        </w:rPr>
        <w:t>2025</w:t>
      </w:r>
      <w:r>
        <w:rPr>
          <w:rFonts w:hint="eastAsia" w:ascii="Times New Roman" w:hAnsi="Times New Roman" w:cs="Times New Roman"/>
          <w:sz w:val="24"/>
          <w:szCs w:val="24"/>
          <w:u w:val="none"/>
          <w:lang w:val="en-US" w:eastAsia="zh-CN" w:bidi="ar-SA"/>
        </w:rPr>
        <w:t>~</w:t>
      </w:r>
      <w:r>
        <w:rPr>
          <w:rFonts w:hint="eastAsia" w:ascii="Times New Roman" w:hAnsi="Times New Roman" w:eastAsia="宋体" w:cs="Times New Roman"/>
          <w:sz w:val="24"/>
          <w:szCs w:val="24"/>
          <w:u w:val="none"/>
          <w:lang w:val="en-US" w:eastAsia="zh-CN" w:bidi="ar-SA"/>
        </w:rPr>
        <w:t>2026年</w:t>
      </w:r>
      <w:r>
        <w:rPr>
          <w:rFonts w:hint="eastAsia" w:ascii="Times New Roman" w:hAnsi="Times New Roman" w:cs="Times New Roman"/>
          <w:sz w:val="24"/>
          <w:szCs w:val="24"/>
          <w:u w:val="none"/>
          <w:lang w:val="en-US" w:eastAsia="zh-CN" w:bidi="ar-SA"/>
        </w:rPr>
        <w:t>风向杆、风向袋年度采购</w:t>
      </w:r>
      <w:r>
        <w:rPr>
          <w:rFonts w:hint="default" w:ascii="Times New Roman" w:hAnsi="Times New Roman" w:eastAsia="宋体" w:cs="Times New Roman"/>
          <w:sz w:val="24"/>
          <w:szCs w:val="24"/>
          <w:u w:val="none"/>
          <w:lang w:val="en-US" w:eastAsia="zh-CN" w:bidi="ar-SA"/>
        </w:rPr>
        <w:t>项目（项目编号：</w:t>
      </w:r>
      <w:r>
        <w:rPr>
          <w:rFonts w:hint="eastAsia" w:ascii="Times New Roman" w:hAnsi="Times New Roman" w:cs="Times New Roman"/>
          <w:sz w:val="24"/>
          <w:szCs w:val="24"/>
          <w:u w:val="none"/>
          <w:lang w:val="en-US" w:eastAsia="zh-CN" w:bidi="ar-SA"/>
        </w:rPr>
        <w:t>FHC-PTCG20241016005）</w:t>
      </w:r>
      <w:r>
        <w:rPr>
          <w:rFonts w:hint="default" w:ascii="Times New Roman" w:hAnsi="Times New Roman" w:eastAsia="宋体" w:cs="Times New Roman"/>
          <w:sz w:val="24"/>
          <w:szCs w:val="24"/>
          <w:u w:val="none"/>
          <w:lang w:eastAsia="zh-CN"/>
        </w:rPr>
        <w:t>进行国内公开比选。为了“公开、公平、公正、透明”，引导参选人进行正确参选，</w:t>
      </w:r>
      <w:r>
        <w:rPr>
          <w:rFonts w:hint="default" w:ascii="Times New Roman" w:hAnsi="Times New Roman" w:eastAsia="宋体" w:cs="Times New Roman"/>
          <w:sz w:val="24"/>
          <w:szCs w:val="24"/>
          <w:lang w:eastAsia="zh-CN"/>
        </w:rPr>
        <w:t>特制定本规定文件，欢迎国内符合条件的供应商积极参选。</w:t>
      </w:r>
    </w:p>
    <w:p w14:paraId="26B6ADB9">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一、项目概况</w:t>
      </w:r>
    </w:p>
    <w:p w14:paraId="40AA1455">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1. 项目名称： </w:t>
      </w:r>
      <w:r>
        <w:rPr>
          <w:rFonts w:hint="eastAsia" w:ascii="Times New Roman" w:hAnsi="Times New Roman" w:eastAsia="宋体" w:cs="Times New Roman"/>
          <w:sz w:val="24"/>
          <w:szCs w:val="24"/>
          <w:lang w:val="en-US" w:eastAsia="zh-CN"/>
        </w:rPr>
        <w:t>2025年-2026年风向杆、风向袋</w:t>
      </w:r>
      <w:r>
        <w:rPr>
          <w:rFonts w:hint="eastAsia" w:ascii="Times New Roman" w:hAnsi="Times New Roman" w:cs="Times New Roman"/>
          <w:sz w:val="24"/>
          <w:szCs w:val="24"/>
          <w:lang w:val="en-US" w:eastAsia="zh-CN"/>
        </w:rPr>
        <w:t>年度</w:t>
      </w:r>
      <w:r>
        <w:rPr>
          <w:rFonts w:hint="eastAsia" w:ascii="Times New Roman" w:hAnsi="Times New Roman" w:eastAsia="宋体" w:cs="Times New Roman"/>
          <w:sz w:val="24"/>
          <w:szCs w:val="24"/>
          <w:lang w:val="en-US" w:eastAsia="zh-CN"/>
        </w:rPr>
        <w:t>采购</w:t>
      </w:r>
      <w:r>
        <w:rPr>
          <w:rFonts w:hint="default" w:ascii="Times New Roman" w:hAnsi="Times New Roman" w:eastAsia="宋体" w:cs="Times New Roman"/>
          <w:sz w:val="24"/>
          <w:szCs w:val="24"/>
          <w:lang w:eastAsia="zh-CN"/>
        </w:rPr>
        <w:t xml:space="preserve"> </w:t>
      </w:r>
    </w:p>
    <w:p w14:paraId="3987829F">
      <w:pPr>
        <w:ind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 xml:space="preserve">2. </w:t>
      </w:r>
      <w:r>
        <w:rPr>
          <w:rFonts w:hint="eastAsia" w:ascii="Times New Roman" w:hAnsi="Times New Roman" w:eastAsia="宋体" w:cs="Times New Roman"/>
          <w:sz w:val="24"/>
          <w:szCs w:val="24"/>
          <w:lang w:val="en-US" w:eastAsia="zh-CN"/>
        </w:rPr>
        <w:t>项目要求：</w:t>
      </w:r>
      <w:r>
        <w:rPr>
          <w:rFonts w:hint="eastAsia" w:ascii="Times New Roman" w:hAnsi="Times New Roman" w:cs="Times New Roman"/>
          <w:sz w:val="24"/>
          <w:szCs w:val="24"/>
          <w:lang w:val="en-US" w:eastAsia="zh-CN"/>
        </w:rPr>
        <w:t>详见附件6《2025年-2026年风向杆、风向袋发包说明》</w:t>
      </w:r>
    </w:p>
    <w:p w14:paraId="63CB326C">
      <w:pPr>
        <w:widowControl/>
        <w:autoSpaceDE/>
        <w:autoSpaceDN/>
        <w:spacing w:line="360" w:lineRule="auto"/>
        <w:ind w:firstLine="960" w:firstLineChars="4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风向杆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40套）</w:t>
      </w:r>
      <w:r>
        <w:rPr>
          <w:rFonts w:hint="eastAsia" w:ascii="Times New Roman" w:hAnsi="Times New Roman" w:cs="Times New Roman"/>
          <w:sz w:val="24"/>
          <w:szCs w:val="24"/>
          <w:lang w:val="en-US" w:eastAsia="zh-CN"/>
        </w:rPr>
        <w:t>：</w:t>
      </w:r>
      <w:r>
        <w:rPr>
          <w:rFonts w:hint="eastAsia" w:ascii="宋体" w:hAnsi="宋体" w:eastAsia="宋体" w:cs="宋体"/>
          <w:sz w:val="24"/>
          <w:szCs w:val="24"/>
          <w:lang w:val="en-US" w:eastAsia="zh-CN"/>
        </w:rPr>
        <w:t>需出样图确认合格方可</w:t>
      </w:r>
      <w:r>
        <w:rPr>
          <w:rFonts w:hint="eastAsia" w:ascii="Times New Roman" w:hAnsi="Times New Roman" w:cs="Times New Roman"/>
          <w:sz w:val="24"/>
          <w:szCs w:val="24"/>
          <w:lang w:val="en-US" w:eastAsia="zh-CN"/>
        </w:rPr>
        <w:t>报价</w:t>
      </w:r>
      <w:r>
        <w:rPr>
          <w:rFonts w:hint="eastAsia" w:ascii="宋体" w:hAnsi="宋体" w:eastAsia="宋体" w:cs="宋体"/>
          <w:sz w:val="24"/>
          <w:szCs w:val="24"/>
          <w:lang w:val="en-US" w:eastAsia="zh-CN"/>
        </w:rPr>
        <w:t>。</w:t>
      </w:r>
    </w:p>
    <w:p w14:paraId="2C44448B">
      <w:pPr>
        <w:widowControl/>
        <w:autoSpaceDE/>
        <w:autoSpaceDN/>
        <w:spacing w:line="360" w:lineRule="auto"/>
        <w:ind w:firstLine="960" w:firstLineChars="4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风向袋（400个）</w:t>
      </w:r>
      <w:r>
        <w:rPr>
          <w:rFonts w:hint="eastAsia" w:ascii="Times New Roman" w:hAnsi="Times New Roman" w:cs="Times New Roman"/>
          <w:sz w:val="24"/>
          <w:szCs w:val="24"/>
          <w:lang w:val="en-US" w:eastAsia="zh-CN"/>
        </w:rPr>
        <w:t>：</w:t>
      </w:r>
      <w:r>
        <w:rPr>
          <w:rFonts w:hint="eastAsia" w:ascii="宋体" w:hAnsi="宋体" w:eastAsia="宋体" w:cs="宋体"/>
          <w:kern w:val="2"/>
          <w:sz w:val="24"/>
          <w:szCs w:val="24"/>
          <w:lang w:val="en-US" w:eastAsia="zh-CN" w:bidi="ar-SA"/>
        </w:rPr>
        <w:t>需送样确认合格后方可报价</w:t>
      </w:r>
    </w:p>
    <w:p w14:paraId="64408607">
      <w:pPr>
        <w:widowControl/>
        <w:autoSpaceDE/>
        <w:autoSpaceDN/>
        <w:spacing w:line="360" w:lineRule="auto"/>
        <w:ind w:firstLine="960" w:firstLineChars="4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风向袋（带挂钩）（800个）</w:t>
      </w:r>
      <w:r>
        <w:rPr>
          <w:rFonts w:hint="eastAsia" w:ascii="Times New Roman" w:hAnsi="Times New Roman" w:cs="Times New Roman"/>
          <w:sz w:val="24"/>
          <w:szCs w:val="24"/>
          <w:lang w:val="en-US" w:eastAsia="zh-CN"/>
        </w:rPr>
        <w:t>：</w:t>
      </w:r>
      <w:r>
        <w:rPr>
          <w:rFonts w:hint="eastAsia" w:ascii="宋体" w:hAnsi="宋体" w:eastAsia="宋体" w:cs="宋体"/>
          <w:kern w:val="2"/>
          <w:sz w:val="24"/>
          <w:szCs w:val="24"/>
          <w:lang w:val="en-US" w:eastAsia="zh-CN" w:bidi="ar-SA"/>
        </w:rPr>
        <w:t>需送样确认合格后方可报价。</w:t>
      </w:r>
      <w:bookmarkStart w:id="10" w:name="_GoBack"/>
      <w:bookmarkEnd w:id="10"/>
    </w:p>
    <w:p w14:paraId="0B772849">
      <w:pPr>
        <w:pStyle w:val="3"/>
        <w:spacing w:line="360" w:lineRule="auto"/>
        <w:ind w:left="0" w:leftChars="0"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lang w:eastAsia="zh-CN"/>
        </w:rPr>
        <w:t>. 项目控制价格：</w:t>
      </w:r>
      <w:r>
        <w:rPr>
          <w:rFonts w:hint="eastAsia" w:ascii="Times New Roman" w:hAnsi="Times New Roman" w:cs="Times New Roman"/>
          <w:b w:val="0"/>
          <w:bCs/>
          <w:sz w:val="24"/>
          <w:szCs w:val="24"/>
          <w:lang w:val="en-US" w:eastAsia="zh-CN"/>
        </w:rPr>
        <w:t>72,000</w:t>
      </w:r>
      <w:r>
        <w:rPr>
          <w:rFonts w:hint="default" w:ascii="Times New Roman" w:hAnsi="Times New Roman" w:eastAsia="宋体" w:cs="Times New Roman"/>
          <w:b w:val="0"/>
          <w:bCs/>
          <w:sz w:val="24"/>
          <w:szCs w:val="24"/>
          <w:lang w:eastAsia="zh-CN"/>
        </w:rPr>
        <w:t>元（</w:t>
      </w:r>
      <w:r>
        <w:rPr>
          <w:rFonts w:hint="eastAsia" w:ascii="Times New Roman" w:hAnsi="Times New Roman" w:cs="Times New Roman"/>
          <w:b w:val="0"/>
          <w:bCs/>
          <w:sz w:val="24"/>
          <w:szCs w:val="24"/>
          <w:lang w:val="en-US" w:eastAsia="zh-CN"/>
        </w:rPr>
        <w:t>含</w:t>
      </w:r>
      <w:r>
        <w:rPr>
          <w:rFonts w:hint="default" w:ascii="Times New Roman" w:hAnsi="Times New Roman" w:eastAsia="宋体" w:cs="Times New Roman"/>
          <w:b w:val="0"/>
          <w:bCs/>
          <w:sz w:val="24"/>
          <w:szCs w:val="24"/>
          <w:lang w:eastAsia="zh-CN"/>
        </w:rPr>
        <w:t>税价</w:t>
      </w:r>
      <w:r>
        <w:rPr>
          <w:rFonts w:hint="eastAsia" w:ascii="Times New Roman" w:hAnsi="Times New Roman" w:cs="Times New Roman"/>
          <w:b w:val="0"/>
          <w:bCs/>
          <w:sz w:val="24"/>
          <w:szCs w:val="24"/>
          <w:lang w:eastAsia="zh-CN"/>
        </w:rPr>
        <w:t>）</w:t>
      </w:r>
    </w:p>
    <w:p w14:paraId="1ADE7B93">
      <w:pPr>
        <w:pStyle w:val="3"/>
        <w:spacing w:line="360" w:lineRule="auto"/>
        <w:ind w:left="0"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二、参选人资格要求：</w:t>
      </w:r>
    </w:p>
    <w:p w14:paraId="39776DC9">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14:paraId="48419908">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cs="Times New Roman"/>
          <w:sz w:val="24"/>
          <w:szCs w:val="24"/>
          <w:lang w:val="en-US" w:eastAsia="zh-CN" w:bidi="ar-SA"/>
        </w:rPr>
        <w:t xml:space="preserve"> </w:t>
      </w:r>
      <w:r>
        <w:rPr>
          <w:rFonts w:hint="eastAsia" w:ascii="Times New Roman" w:hAnsi="Times New Roman" w:eastAsia="宋体" w:cs="Times New Roman"/>
          <w:sz w:val="24"/>
          <w:szCs w:val="24"/>
          <w:lang w:val="en-US" w:eastAsia="zh-CN" w:bidi="ar-SA"/>
        </w:rPr>
        <w:t>承揽商需具有独立法人资格和履行合同能力，有良好的信誉和售后服务能力。</w:t>
      </w:r>
    </w:p>
    <w:p w14:paraId="4216EE92">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14:paraId="7F53D1CA">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与比选人无诉讼纠纷。</w:t>
      </w:r>
    </w:p>
    <w:p w14:paraId="15B34EDB">
      <w:pPr>
        <w:pStyle w:val="35"/>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 本项目不接受联合体投标。</w:t>
      </w:r>
    </w:p>
    <w:p w14:paraId="6A1F1E18">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三、报名要求</w:t>
      </w:r>
    </w:p>
    <w:p w14:paraId="7B9D68B0">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报名时间：</w:t>
      </w:r>
      <w:r>
        <w:rPr>
          <w:rFonts w:hint="default" w:ascii="Times New Roman" w:hAnsi="Times New Roman" w:eastAsia="宋体" w:cs="Times New Roman"/>
          <w:sz w:val="24"/>
          <w:szCs w:val="24"/>
          <w:lang w:eastAsia="zh-CN"/>
        </w:rPr>
        <w:t>202</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年</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日至</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日（共</w:t>
      </w:r>
      <w:r>
        <w:rPr>
          <w:rFonts w:hint="eastAsia" w:ascii="Times New Roman" w:hAnsi="Times New Roman" w:cs="Times New Roman"/>
          <w:sz w:val="24"/>
          <w:szCs w:val="24"/>
          <w:lang w:val="en-US" w:eastAsia="zh-CN"/>
        </w:rPr>
        <w:t>12</w:t>
      </w:r>
      <w:r>
        <w:rPr>
          <w:rFonts w:hint="default" w:ascii="Times New Roman" w:hAnsi="Times New Roman" w:eastAsia="宋体" w:cs="Times New Roman"/>
          <w:sz w:val="24"/>
          <w:szCs w:val="24"/>
          <w:lang w:eastAsia="zh-CN"/>
        </w:rPr>
        <w:t>天）</w:t>
      </w:r>
    </w:p>
    <w:p w14:paraId="0FEBA6D7">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default" w:ascii="Times New Roman" w:hAnsi="Times New Roman" w:eastAsia="宋体" w:cs="Times New Roman"/>
          <w:bCs/>
          <w:sz w:val="24"/>
          <w:szCs w:val="24"/>
          <w:lang w:eastAsia="zh-CN"/>
        </w:rPr>
        <w:t>2. 报名方式：邮件报名（须同时提交盖公章的法定代表人授权书及营业执照扫描件），邮件发至：</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"mailto:hzji@fhcpec.com.cn" </w:instrText>
      </w:r>
      <w:r>
        <w:rPr>
          <w:rFonts w:hint="default"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xrshen@fhcpec.com.cn</w:t>
      </w:r>
      <w:r>
        <w:rPr>
          <w:rFonts w:hint="default" w:ascii="Times New Roman" w:hAnsi="Times New Roman" w:cs="Times New Roman"/>
          <w:sz w:val="24"/>
          <w:szCs w:val="24"/>
          <w:lang w:val="en-US" w:eastAsia="zh-CN"/>
        </w:rPr>
        <w:fldChar w:fldCharType="end"/>
      </w:r>
      <w:r>
        <w:rPr>
          <w:rFonts w:hint="eastAsia" w:ascii="Times New Roman" w:hAnsi="Times New Roman" w:cs="Times New Roman"/>
          <w:sz w:val="24"/>
          <w:szCs w:val="24"/>
          <w:lang w:val="en-US" w:eastAsia="zh-CN"/>
        </w:rPr>
        <w:t>，</w:t>
      </w:r>
      <w:r>
        <w:rPr>
          <w:rFonts w:hint="eastAsia"/>
          <w:color w:val="000000" w:themeColor="text1"/>
          <w:sz w:val="24"/>
          <w:szCs w:val="24"/>
          <w:lang w:eastAsia="zh-CN"/>
          <w14:textFill>
            <w14:solidFill>
              <w14:schemeClr w14:val="tx1"/>
            </w14:solidFill>
          </w14:textFill>
        </w:rPr>
        <w:t>参选项目名称、参选单位和商务联系人及联系方式（邮件内容上填写即可），报名文件包含：</w:t>
      </w:r>
    </w:p>
    <w:p w14:paraId="5E962268">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14:paraId="2D50C75D">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14:paraId="1B3BD0C8">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14:paraId="02F74E81">
      <w:pPr>
        <w:autoSpaceDE/>
        <w:autoSpaceDN/>
        <w:spacing w:line="360" w:lineRule="auto"/>
        <w:ind w:firstLine="480" w:firstLineChars="200"/>
        <w:jc w:val="both"/>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Cs/>
          <w:sz w:val="24"/>
          <w:szCs w:val="24"/>
          <w:lang w:eastAsia="zh-CN"/>
        </w:rPr>
        <w:t>. 有意向参选人请于公示期间进行</w:t>
      </w:r>
      <w:r>
        <w:rPr>
          <w:rFonts w:hint="default" w:ascii="Times New Roman" w:hAnsi="Times New Roman" w:eastAsia="宋体" w:cs="Times New Roman"/>
          <w:bCs/>
          <w:sz w:val="24"/>
          <w:szCs w:val="24"/>
          <w:lang w:val="en-US" w:eastAsia="zh-CN"/>
        </w:rPr>
        <w:t>报名，并请在</w:t>
      </w:r>
      <w:r>
        <w:rPr>
          <w:rFonts w:hint="default" w:ascii="Times New Roman" w:hAnsi="Times New Roman" w:eastAsia="宋体" w:cs="Times New Roman"/>
          <w:bCs/>
          <w:sz w:val="24"/>
          <w:szCs w:val="24"/>
          <w:lang w:eastAsia="zh-CN"/>
        </w:rPr>
        <w:t>公示之日起</w:t>
      </w:r>
      <w:r>
        <w:rPr>
          <w:rFonts w:hint="eastAsia" w:ascii="Times New Roman" w:hAnsi="Times New Roman" w:cs="Times New Roman"/>
          <w:bCs/>
          <w:sz w:val="24"/>
          <w:szCs w:val="24"/>
          <w:lang w:val="en-US" w:eastAsia="zh-CN"/>
        </w:rPr>
        <w:t>12</w:t>
      </w:r>
      <w:r>
        <w:rPr>
          <w:rFonts w:hint="default" w:ascii="Times New Roman" w:hAnsi="Times New Roman" w:eastAsia="宋体" w:cs="Times New Roman"/>
          <w:bCs/>
          <w:sz w:val="24"/>
          <w:szCs w:val="24"/>
          <w:lang w:eastAsia="zh-CN"/>
        </w:rPr>
        <w:t>天</w:t>
      </w:r>
      <w:r>
        <w:rPr>
          <w:rFonts w:hint="default" w:ascii="Times New Roman" w:hAnsi="Times New Roman" w:eastAsia="宋体" w:cs="Times New Roman"/>
          <w:bCs/>
          <w:sz w:val="24"/>
          <w:szCs w:val="24"/>
          <w:lang w:val="en-US" w:eastAsia="zh-CN"/>
        </w:rPr>
        <w:t>内</w:t>
      </w:r>
      <w:r>
        <w:rPr>
          <w:rFonts w:hint="default" w:ascii="Times New Roman" w:hAnsi="Times New Roman" w:eastAsia="宋体" w:cs="Times New Roman"/>
          <w:bCs/>
          <w:sz w:val="24"/>
          <w:szCs w:val="24"/>
          <w:lang w:eastAsia="zh-CN"/>
        </w:rPr>
        <w:t>将</w:t>
      </w:r>
      <w:r>
        <w:rPr>
          <w:rFonts w:hint="eastAsia" w:ascii="Times New Roman" w:hAnsi="Times New Roman" w:cs="Times New Roman"/>
          <w:bCs/>
          <w:sz w:val="24"/>
          <w:szCs w:val="24"/>
          <w:lang w:val="en-US" w:eastAsia="zh-CN"/>
        </w:rPr>
        <w:t>样品</w:t>
      </w:r>
      <w:r>
        <w:rPr>
          <w:rFonts w:hint="default" w:ascii="Times New Roman" w:hAnsi="Times New Roman" w:eastAsia="宋体" w:cs="Times New Roman"/>
          <w:bCs/>
          <w:sz w:val="24"/>
          <w:szCs w:val="24"/>
          <w:lang w:eastAsia="zh-CN"/>
        </w:rPr>
        <w:t>送达比选人指定地点。</w:t>
      </w:r>
      <w:r>
        <w:rPr>
          <w:rFonts w:hint="eastAsia"/>
          <w:color w:val="000000" w:themeColor="text1"/>
          <w:sz w:val="24"/>
          <w:szCs w:val="24"/>
          <w:lang w:eastAsia="zh-CN"/>
          <w14:textFill>
            <w14:solidFill>
              <w14:schemeClr w14:val="tx1"/>
            </w14:solidFill>
          </w14:textFill>
        </w:rPr>
        <w:t>经比选人技术人员确认合格后，参选人</w:t>
      </w:r>
      <w:r>
        <w:rPr>
          <w:rFonts w:hint="eastAsia"/>
          <w:color w:val="000000" w:themeColor="text1"/>
          <w:sz w:val="24"/>
          <w:szCs w:val="24"/>
          <w:lang w:val="en-US" w:eastAsia="zh-CN"/>
          <w14:textFill>
            <w14:solidFill>
              <w14:schemeClr w14:val="tx1"/>
            </w14:solidFill>
          </w14:textFill>
        </w:rPr>
        <w:t>收到报价通知后5日内将参选文件按要求密封送达指定地点参加</w:t>
      </w:r>
      <w:r>
        <w:rPr>
          <w:rFonts w:hint="eastAsia"/>
          <w:color w:val="000000" w:themeColor="text1"/>
          <w:sz w:val="24"/>
          <w:szCs w:val="24"/>
          <w:lang w:eastAsia="zh-CN"/>
          <w14:textFill>
            <w14:solidFill>
              <w14:schemeClr w14:val="tx1"/>
            </w14:solidFill>
          </w14:textFill>
        </w:rPr>
        <w:t>后续比选；未进行报名和技术交流确认，未</w:t>
      </w:r>
      <w:r>
        <w:rPr>
          <w:rFonts w:hint="eastAsia"/>
          <w:color w:val="000000" w:themeColor="text1"/>
          <w:sz w:val="24"/>
          <w:szCs w:val="24"/>
          <w:lang w:val="en-US" w:eastAsia="zh-CN"/>
          <w14:textFill>
            <w14:solidFill>
              <w14:schemeClr w14:val="tx1"/>
            </w14:solidFill>
          </w14:textFill>
        </w:rPr>
        <w:t>按要求寄样品</w:t>
      </w:r>
      <w:r>
        <w:rPr>
          <w:rFonts w:hint="eastAsia"/>
          <w:color w:val="000000" w:themeColor="text1"/>
          <w:sz w:val="24"/>
          <w:szCs w:val="24"/>
          <w:lang w:eastAsia="zh-CN"/>
          <w14:textFill>
            <w14:solidFill>
              <w14:schemeClr w14:val="tx1"/>
            </w14:solidFill>
          </w14:textFill>
        </w:rPr>
        <w:t>的参选人不能参加比选。</w:t>
      </w:r>
    </w:p>
    <w:p w14:paraId="3275FA4A">
      <w:pPr>
        <w:autoSpaceDE/>
        <w:autoSpaceDN/>
        <w:spacing w:line="360" w:lineRule="auto"/>
        <w:ind w:firstLine="480" w:firstLineChars="200"/>
        <w:jc w:val="both"/>
        <w:rPr>
          <w:rFonts w:hint="eastAsia"/>
          <w:color w:val="000000" w:themeColor="text1"/>
          <w:sz w:val="24"/>
          <w:szCs w:val="24"/>
          <w:lang w:val="en-US" w:eastAsia="zh-CN"/>
          <w14:textFill>
            <w14:solidFill>
              <w14:schemeClr w14:val="tx1"/>
            </w14:solidFill>
          </w14:textFill>
        </w:rPr>
      </w:pPr>
    </w:p>
    <w:p w14:paraId="1DE3A8AD">
      <w:pPr>
        <w:autoSpaceDE/>
        <w:autoSpaceDN/>
        <w:spacing w:line="360" w:lineRule="auto"/>
        <w:ind w:firstLine="480" w:firstLineChars="200"/>
        <w:jc w:val="both"/>
        <w:rPr>
          <w:rFonts w:hint="eastAsia"/>
          <w:color w:val="000000" w:themeColor="text1"/>
          <w:sz w:val="24"/>
          <w:szCs w:val="24"/>
          <w:lang w:val="en-US" w:eastAsia="zh-CN"/>
          <w14:textFill>
            <w14:solidFill>
              <w14:schemeClr w14:val="tx1"/>
            </w14:solidFill>
          </w14:textFill>
        </w:rPr>
      </w:pPr>
    </w:p>
    <w:p w14:paraId="63BA971B">
      <w:pPr>
        <w:autoSpaceDE/>
        <w:autoSpaceDN/>
        <w:spacing w:line="360" w:lineRule="auto"/>
        <w:ind w:firstLine="480" w:firstLineChars="200"/>
        <w:jc w:val="both"/>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送样要求</w:t>
      </w:r>
    </w:p>
    <w:tbl>
      <w:tblPr>
        <w:tblStyle w:val="24"/>
        <w:tblW w:w="10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540"/>
        <w:gridCol w:w="5400"/>
        <w:gridCol w:w="2276"/>
      </w:tblGrid>
      <w:tr w14:paraId="1486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6" w:type="dxa"/>
            <w:noWrap w:val="0"/>
            <w:vAlign w:val="center"/>
          </w:tcPr>
          <w:p w14:paraId="241FD9A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40" w:type="dxa"/>
            <w:noWrap w:val="0"/>
            <w:vAlign w:val="center"/>
          </w:tcPr>
          <w:p w14:paraId="407E2F2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400" w:type="dxa"/>
            <w:noWrap w:val="0"/>
            <w:vAlign w:val="center"/>
          </w:tcPr>
          <w:p w14:paraId="54184CC9">
            <w:pPr>
              <w:spacing w:line="360" w:lineRule="auto"/>
              <w:jc w:val="center"/>
              <w:rPr>
                <w:rFonts w:hint="eastAsia" w:ascii="宋体" w:hAnsi="宋体" w:eastAsia="宋体" w:cs="宋体"/>
                <w:b/>
                <w:sz w:val="24"/>
                <w:szCs w:val="24"/>
              </w:rPr>
            </w:pPr>
            <w:r>
              <w:rPr>
                <w:rFonts w:hint="eastAsia" w:cs="宋体"/>
                <w:b/>
                <w:sz w:val="24"/>
                <w:szCs w:val="24"/>
                <w:lang w:val="en-US" w:eastAsia="zh-CN"/>
              </w:rPr>
              <w:t>技术</w:t>
            </w:r>
            <w:r>
              <w:rPr>
                <w:rFonts w:hint="eastAsia" w:ascii="宋体" w:hAnsi="宋体" w:eastAsia="宋体" w:cs="宋体"/>
                <w:b/>
                <w:sz w:val="24"/>
                <w:szCs w:val="24"/>
                <w:lang w:eastAsia="zh-CN"/>
              </w:rPr>
              <w:t>要求</w:t>
            </w:r>
          </w:p>
        </w:tc>
        <w:tc>
          <w:tcPr>
            <w:tcW w:w="2276" w:type="dxa"/>
            <w:noWrap w:val="0"/>
            <w:vAlign w:val="center"/>
          </w:tcPr>
          <w:p w14:paraId="78C4DAAD">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报价要求</w:t>
            </w:r>
          </w:p>
        </w:tc>
      </w:tr>
      <w:tr w14:paraId="3F04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1D0237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40" w:type="dxa"/>
            <w:noWrap w:val="0"/>
            <w:vAlign w:val="center"/>
          </w:tcPr>
          <w:p w14:paraId="4EA08899">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风向杆</w:t>
            </w:r>
          </w:p>
        </w:tc>
        <w:tc>
          <w:tcPr>
            <w:tcW w:w="5400" w:type="dxa"/>
            <w:noWrap w:val="0"/>
            <w:vAlign w:val="center"/>
          </w:tcPr>
          <w:p w14:paraId="0B7A5AF4">
            <w:pPr>
              <w:pStyle w:val="37"/>
              <w:numPr>
                <w:ilvl w:val="0"/>
                <w:numId w:val="0"/>
              </w:numPr>
              <w:spacing w:line="360" w:lineRule="auto"/>
              <w:ind w:leftChars="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材质为304不锈钢材质。风向杆总高1.2m，管径不小于40mm，厚度不小于2mm；顶部球直径不小于43.2mm；底座不小于：12.5cm×12.5cm，厚度不小于8mm，四角打孔并配套 304 不锈钢膨胀螺栓用。含轴承旋转部分，风向杆可随风向自由灵活旋转。</w:t>
            </w:r>
          </w:p>
        </w:tc>
        <w:tc>
          <w:tcPr>
            <w:tcW w:w="2276" w:type="dxa"/>
            <w:noWrap w:val="0"/>
            <w:vAlign w:val="center"/>
          </w:tcPr>
          <w:p w14:paraId="65D7F04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需出样图确认</w:t>
            </w:r>
          </w:p>
        </w:tc>
      </w:tr>
      <w:tr w14:paraId="1C249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CF7873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540" w:type="dxa"/>
            <w:noWrap w:val="0"/>
            <w:vAlign w:val="center"/>
          </w:tcPr>
          <w:p w14:paraId="035784F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风向袋</w:t>
            </w:r>
          </w:p>
        </w:tc>
        <w:tc>
          <w:tcPr>
            <w:tcW w:w="5400" w:type="dxa"/>
            <w:noWrap w:val="0"/>
            <w:vAlign w:val="center"/>
          </w:tcPr>
          <w:p w14:paraId="47D42B92">
            <w:pPr>
              <w:pStyle w:val="37"/>
              <w:numPr>
                <w:ilvl w:val="0"/>
                <w:numId w:val="0"/>
              </w:numPr>
              <w:spacing w:line="360" w:lineRule="auto"/>
              <w:ind w:lef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颜色为橙红色；进风口钻6个孔；进风口直径400mm；出风口直径200mm；长度1000mm；布袋有3条反光条，能够防水防污；布料不易褪色，经久耐用。</w:t>
            </w:r>
          </w:p>
        </w:tc>
        <w:tc>
          <w:tcPr>
            <w:tcW w:w="2276" w:type="dxa"/>
            <w:noWrap w:val="0"/>
            <w:vAlign w:val="center"/>
          </w:tcPr>
          <w:p w14:paraId="758D717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需送样确认合格后方可报价</w:t>
            </w:r>
          </w:p>
        </w:tc>
      </w:tr>
      <w:tr w14:paraId="293D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E0207C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40" w:type="dxa"/>
            <w:noWrap w:val="0"/>
            <w:vAlign w:val="center"/>
          </w:tcPr>
          <w:p w14:paraId="6AC64AC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风向袋</w:t>
            </w:r>
          </w:p>
          <w:p w14:paraId="6C95AA7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（带挂钩）</w:t>
            </w:r>
          </w:p>
        </w:tc>
        <w:tc>
          <w:tcPr>
            <w:tcW w:w="5400" w:type="dxa"/>
            <w:noWrap w:val="0"/>
            <w:vAlign w:val="center"/>
          </w:tcPr>
          <w:p w14:paraId="2DED7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颜色为橙红色；带挂钩；进风口直径400mm；出风口直径200mm；长度1000mm；布袋有3条反光条，布料为牛津布，能够防水防污；布料不易褪色，经久耐用。</w:t>
            </w:r>
          </w:p>
        </w:tc>
        <w:tc>
          <w:tcPr>
            <w:tcW w:w="2276" w:type="dxa"/>
            <w:noWrap w:val="0"/>
            <w:vAlign w:val="center"/>
          </w:tcPr>
          <w:p w14:paraId="6E37257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需送样确认合格后方可报价</w:t>
            </w:r>
          </w:p>
        </w:tc>
      </w:tr>
    </w:tbl>
    <w:p w14:paraId="6AC26807">
      <w:pPr>
        <w:pStyle w:val="35"/>
        <w:rPr>
          <w:rFonts w:hint="default"/>
          <w:lang w:eastAsia="zh-CN"/>
        </w:rPr>
      </w:pPr>
    </w:p>
    <w:p w14:paraId="057C8D45">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四、参选文件递交要求</w:t>
      </w:r>
    </w:p>
    <w:p w14:paraId="4BE7CEA6">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  沈学荣</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 xml:space="preserve">18159613129  </w:t>
      </w:r>
    </w:p>
    <w:p w14:paraId="3C4C5581">
      <w:pPr>
        <w:tabs>
          <w:tab w:val="left" w:pos="709"/>
        </w:tabs>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2. </w:t>
      </w:r>
      <w:r>
        <w:rPr>
          <w:rFonts w:hint="eastAsia"/>
          <w:color w:val="000000" w:themeColor="text1"/>
          <w:sz w:val="24"/>
          <w:szCs w:val="24"/>
          <w:lang w:val="en-US" w:eastAsia="zh-CN"/>
          <w14:textFill>
            <w14:solidFill>
              <w14:schemeClr w14:val="tx1"/>
            </w14:solidFill>
          </w14:textFill>
        </w:rPr>
        <w:t>样品送达</w:t>
      </w:r>
      <w:r>
        <w:rPr>
          <w:rFonts w:hint="eastAsia"/>
          <w:color w:val="000000" w:themeColor="text1"/>
          <w:sz w:val="24"/>
          <w:szCs w:val="24"/>
          <w:lang w:eastAsia="zh-CN"/>
          <w14:textFill>
            <w14:solidFill>
              <w14:schemeClr w14:val="tx1"/>
            </w14:solidFill>
          </w14:textFill>
        </w:rPr>
        <w:t>截止时间：</w:t>
      </w:r>
      <w:r>
        <w:rPr>
          <w:rFonts w:hint="eastAsia"/>
          <w:color w:val="000000" w:themeColor="text1"/>
          <w:sz w:val="24"/>
          <w:szCs w:val="24"/>
          <w:lang w:val="en-US" w:eastAsia="zh-CN"/>
          <w14:textFill>
            <w14:solidFill>
              <w14:schemeClr w14:val="tx1"/>
            </w14:solidFill>
          </w14:textFill>
        </w:rPr>
        <w:t>样品送达</w:t>
      </w:r>
      <w:r>
        <w:rPr>
          <w:rFonts w:hint="eastAsia"/>
          <w:color w:val="000000" w:themeColor="text1"/>
          <w:sz w:val="24"/>
          <w:szCs w:val="24"/>
          <w:lang w:eastAsia="zh-CN"/>
          <w14:textFill>
            <w14:solidFill>
              <w14:schemeClr w14:val="tx1"/>
            </w14:solidFill>
          </w14:textFill>
        </w:rPr>
        <w:t>截止时间（以送达时间为准）：</w:t>
      </w:r>
      <w:r>
        <w:rPr>
          <w:rFonts w:hint="eastAsia"/>
          <w:color w:val="000000" w:themeColor="text1"/>
          <w:sz w:val="24"/>
          <w:szCs w:val="24"/>
          <w:lang w:val="en-US" w:eastAsia="zh-CN"/>
          <w14:textFill>
            <w14:solidFill>
              <w14:schemeClr w14:val="tx1"/>
            </w14:solidFill>
          </w14:textFill>
        </w:rPr>
        <w:t>2024年10月  日 14:00之前</w:t>
      </w:r>
    </w:p>
    <w:p w14:paraId="08A42658">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3.样品递交地点：漳州市古雷经济开发区腾龙路84号，福建福海创石油化工有限公司，收件人  黄小玲  15260561396</w:t>
      </w:r>
    </w:p>
    <w:p w14:paraId="4CD54DDB">
      <w:pPr>
        <w:autoSpaceDE/>
        <w:autoSpaceDN/>
        <w:spacing w:line="360" w:lineRule="auto"/>
        <w:ind w:firstLine="472" w:firstLineChars="196"/>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五、联系方式</w:t>
      </w:r>
    </w:p>
    <w:p w14:paraId="228D7A8E">
      <w:pPr>
        <w:pStyle w:val="6"/>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eastAsia" w:cs="Times New Roman"/>
          <w:bCs/>
          <w:sz w:val="24"/>
          <w:szCs w:val="24"/>
          <w:lang w:val="en-US" w:eastAsia="zh-CN"/>
        </w:rPr>
        <w:t>沈学荣</w:t>
      </w:r>
      <w:r>
        <w:rPr>
          <w:rFonts w:hint="default" w:ascii="Times New Roman" w:hAnsi="Times New Roman" w:eastAsia="宋体" w:cs="Times New Roman"/>
          <w:bCs/>
          <w:sz w:val="24"/>
          <w:szCs w:val="24"/>
        </w:rPr>
        <w:t xml:space="preserve">  电话：</w:t>
      </w:r>
      <w:r>
        <w:rPr>
          <w:rFonts w:hint="eastAsia" w:cs="Times New Roman"/>
          <w:bCs/>
          <w:sz w:val="24"/>
          <w:szCs w:val="24"/>
          <w:lang w:val="en-US" w:eastAsia="zh-CN"/>
        </w:rPr>
        <w:t>18159613129</w:t>
      </w:r>
      <w:r>
        <w:rPr>
          <w:rFonts w:hint="default" w:ascii="Times New Roman" w:hAnsi="Times New Roman" w:eastAsia="宋体" w:cs="Times New Roman"/>
          <w:bCs/>
          <w:sz w:val="24"/>
          <w:szCs w:val="24"/>
        </w:rPr>
        <w:t xml:space="preserve">  邮箱：</w:t>
      </w:r>
      <w:r>
        <w:rPr>
          <w:rFonts w:hint="eastAsia" w:cs="Times New Roman"/>
          <w:bCs/>
          <w:sz w:val="24"/>
          <w:szCs w:val="24"/>
          <w:lang w:val="en-US" w:eastAsia="zh-CN"/>
        </w:rPr>
        <w:t>xrshen@fhcpec.com.cn</w:t>
      </w:r>
    </w:p>
    <w:p w14:paraId="36ACB502">
      <w:pPr>
        <w:pStyle w:val="6"/>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纪检监察室电话：0596-6311</w:t>
      </w:r>
      <w:r>
        <w:rPr>
          <w:rFonts w:hint="default" w:ascii="Times New Roman" w:hAnsi="Times New Roman" w:eastAsia="宋体" w:cs="Times New Roman"/>
          <w:bCs/>
          <w:sz w:val="24"/>
          <w:szCs w:val="24"/>
          <w:lang w:val="en-US" w:eastAsia="zh-CN"/>
        </w:rPr>
        <w:t>774</w:t>
      </w:r>
    </w:p>
    <w:p w14:paraId="596FABE5">
      <w:pPr>
        <w:pStyle w:val="6"/>
        <w:snapToGrid w:val="0"/>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邮    编：363216</w:t>
      </w:r>
    </w:p>
    <w:p w14:paraId="3BEA96BA">
      <w:pPr>
        <w:tabs>
          <w:tab w:val="left" w:pos="1272"/>
        </w:tabs>
        <w:spacing w:line="360"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福建福海创石油化工有限公司</w:t>
      </w:r>
    </w:p>
    <w:p w14:paraId="4F0E415B">
      <w:pPr>
        <w:numPr>
          <w:ilvl w:val="0"/>
          <w:numId w:val="2"/>
        </w:numPr>
        <w:spacing w:line="360" w:lineRule="auto"/>
        <w:ind w:firstLine="5760" w:firstLineChars="2400"/>
        <w:rPr>
          <w:rFonts w:hint="default" w:ascii="Times New Roman" w:hAnsi="Times New Roman" w:eastAsia="宋体" w:cs="Times New Roman"/>
          <w:sz w:val="24"/>
          <w:szCs w:val="24"/>
          <w:lang w:eastAsia="zh-CN"/>
        </w:rPr>
        <w:sectPr>
          <w:footerReference r:id="rId4" w:type="default"/>
          <w:pgSz w:w="11910" w:h="16840"/>
          <w:pgMar w:top="1500" w:right="1020" w:bottom="740" w:left="860" w:header="0" w:footer="551" w:gutter="0"/>
          <w:pgNumType w:fmt="decimal"/>
          <w:cols w:space="720" w:num="1"/>
        </w:sectPr>
      </w:pPr>
      <w:r>
        <w:rPr>
          <w:rFonts w:hint="eastAsia" w:ascii="Times New Roman" w:hAnsi="Times New Roman" w:cs="Times New Roman"/>
          <w:sz w:val="24"/>
          <w:szCs w:val="24"/>
          <w:lang w:val="en-US" w:eastAsia="zh-CN"/>
        </w:rPr>
        <w:t xml:space="preserve">10 </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25</w:t>
      </w:r>
    </w:p>
    <w:p w14:paraId="4C1117B1">
      <w:pPr>
        <w:pStyle w:val="2"/>
        <w:tabs>
          <w:tab w:val="left" w:pos="1262"/>
        </w:tabs>
        <w:spacing w:line="355" w:lineRule="exact"/>
        <w:ind w:left="0" w:right="108"/>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比选须</w:t>
      </w:r>
      <w:r>
        <w:rPr>
          <w:rFonts w:hint="default" w:ascii="Times New Roman" w:hAnsi="Times New Roman" w:eastAsia="宋体" w:cs="Times New Roman"/>
          <w:w w:val="95"/>
          <w:sz w:val="24"/>
          <w:szCs w:val="24"/>
          <w:lang w:eastAsia="zh-CN"/>
        </w:rPr>
        <w:t>知</w:t>
      </w:r>
    </w:p>
    <w:p w14:paraId="5C95A8A2">
      <w:pPr>
        <w:spacing w:line="360" w:lineRule="auto"/>
        <w:ind w:firstLine="458"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14:paraId="47BB362E">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(一)项目名称：</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single"/>
          <w:lang w:val="en-US" w:eastAsia="zh-CN"/>
        </w:rPr>
        <w:t>2025年-2026年风向杆、风向袋年度采购</w:t>
      </w:r>
      <w:r>
        <w:rPr>
          <w:rFonts w:hint="default" w:ascii="Times New Roman" w:hAnsi="Times New Roman" w:eastAsia="宋体" w:cs="Times New Roman"/>
          <w:sz w:val="24"/>
          <w:szCs w:val="24"/>
          <w:u w:val="single"/>
          <w:lang w:eastAsia="zh-CN"/>
        </w:rPr>
        <w:t xml:space="preserve">  </w:t>
      </w:r>
    </w:p>
    <w:p w14:paraId="4AAA85F5">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(二)项目地点：漳州市漳浦县古雷开发区腾龙路8</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号</w:t>
      </w:r>
    </w:p>
    <w:p w14:paraId="0BC87E5C">
      <w:pPr>
        <w:pStyle w:val="9"/>
        <w:spacing w:line="360" w:lineRule="auto"/>
        <w:ind w:left="2164" w:leftChars="220" w:hanging="1680" w:hangingChars="7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(三)承包方式：</w:t>
      </w:r>
      <w:r>
        <w:rPr>
          <w:rFonts w:hint="default" w:ascii="Times New Roman" w:hAnsi="Times New Roman" w:eastAsia="宋体" w:cs="Times New Roman"/>
          <w:bCs/>
          <w:snapToGrid w:val="0"/>
          <w:spacing w:val="8"/>
          <w:sz w:val="24"/>
          <w:szCs w:val="24"/>
          <w:lang w:eastAsia="zh-CN"/>
        </w:rPr>
        <w:t>采用总价包干的</w:t>
      </w:r>
      <w:r>
        <w:rPr>
          <w:rFonts w:hint="default" w:ascii="Times New Roman" w:hAnsi="Times New Roman" w:eastAsia="宋体" w:cs="Times New Roman"/>
          <w:sz w:val="24"/>
          <w:szCs w:val="24"/>
          <w:lang w:eastAsia="zh-CN"/>
        </w:rPr>
        <w:t>方式。</w:t>
      </w:r>
    </w:p>
    <w:p w14:paraId="067D84A4">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(四)比选范围：</w:t>
      </w:r>
    </w:p>
    <w:p w14:paraId="640438FE">
      <w:pPr>
        <w:spacing w:line="360" w:lineRule="auto"/>
        <w:ind w:firstLine="480" w:firstLineChars="200"/>
        <w:rPr>
          <w:rFonts w:hint="default" w:ascii="Times New Roman" w:hAnsi="Times New Roman" w:eastAsia="宋体" w:cs="Times New Roman"/>
          <w:snapToGrid w:val="0"/>
          <w:spacing w:val="8"/>
          <w:sz w:val="24"/>
          <w:szCs w:val="24"/>
          <w:u w:val="single"/>
          <w:lang w:val="en-US" w:eastAsia="zh-CN"/>
        </w:rPr>
      </w:pPr>
      <w:r>
        <w:rPr>
          <w:rFonts w:hint="default" w:ascii="Times New Roman" w:hAnsi="Times New Roman" w:eastAsia="宋体" w:cs="Times New Roman"/>
          <w:sz w:val="24"/>
          <w:szCs w:val="24"/>
          <w:lang w:eastAsia="zh-CN"/>
        </w:rPr>
        <w:t>1.项目概况：</w:t>
      </w:r>
      <w:r>
        <w:rPr>
          <w:rFonts w:hint="default" w:ascii="Times New Roman" w:hAnsi="Times New Roman" w:eastAsia="宋体" w:cs="Times New Roman"/>
          <w:snapToGrid w:val="0"/>
          <w:spacing w:val="8"/>
          <w:sz w:val="24"/>
          <w:szCs w:val="24"/>
          <w:u w:val="single"/>
          <w:lang w:eastAsia="zh-CN"/>
        </w:rPr>
        <w:t xml:space="preserve"> </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2025年-2026年风向杆、风向袋年度采购</w:t>
      </w:r>
    </w:p>
    <w:p w14:paraId="4D22CBB2">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bidi="ar-SA"/>
        </w:rPr>
        <w:t>2.项目范围及内容：</w:t>
      </w:r>
      <w:r>
        <w:rPr>
          <w:rFonts w:hint="eastAsia" w:ascii="Times New Roman" w:hAnsi="Times New Roman" w:eastAsia="宋体" w:cs="Times New Roman"/>
          <w:sz w:val="24"/>
          <w:szCs w:val="24"/>
          <w:lang w:val="en-US" w:eastAsia="zh-CN"/>
        </w:rPr>
        <w:t>风向杆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40套）</w:t>
      </w:r>
    </w:p>
    <w:p w14:paraId="178ECF2D">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要求：</w:t>
      </w:r>
      <w:r>
        <w:rPr>
          <w:rFonts w:hint="eastAsia" w:ascii="Times New Roman" w:hAnsi="Times New Roman" w:eastAsia="宋体" w:cs="Times New Roman"/>
          <w:sz w:val="24"/>
          <w:szCs w:val="24"/>
          <w:lang w:val="en-US" w:eastAsia="zh-CN"/>
        </w:rPr>
        <w:t>材质为304不锈钢材质。风向杆总高1.2m，管径不小于40mm，厚度不小于2mm；顶部球直径不小于43.2mm；底座不小于：12.5cm×12.5cm，厚度不小于8mm，四角打孔并配套 304 不锈钢膨胀螺栓用。含轴承旋转部分，风向杆可随风向自由灵活旋转。</w:t>
      </w:r>
    </w:p>
    <w:p w14:paraId="0388FA2B">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风向袋（400个）</w:t>
      </w:r>
    </w:p>
    <w:p w14:paraId="52A587F6">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要求：颜色为橙红色；进风口钻6个孔；进风口直径400mm；出风口直径200mm；长度1000mm；布袋有3条反光条，能够防水防污；布料不易褪色，经久耐用。</w:t>
      </w:r>
    </w:p>
    <w:p w14:paraId="1BB87E05">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风向袋（带挂钩）（800个）</w:t>
      </w:r>
    </w:p>
    <w:p w14:paraId="132B98D7">
      <w:pPr>
        <w:widowControl/>
        <w:autoSpaceDE/>
        <w:autoSpaceDN/>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Times New Roman" w:hAnsi="Times New Roman" w:eastAsia="宋体" w:cs="Times New Roman"/>
          <w:sz w:val="24"/>
          <w:szCs w:val="24"/>
          <w:lang w:val="en-US" w:eastAsia="zh-CN"/>
        </w:rPr>
        <w:t>要求：颜色为橙红色；</w:t>
      </w:r>
      <w:r>
        <w:rPr>
          <w:rFonts w:hint="eastAsia" w:ascii="宋体" w:hAnsi="宋体" w:eastAsia="宋体" w:cs="宋体"/>
          <w:kern w:val="2"/>
          <w:sz w:val="24"/>
          <w:szCs w:val="24"/>
          <w:lang w:val="en-US" w:eastAsia="zh-CN" w:bidi="ar-SA"/>
        </w:rPr>
        <w:t>带挂钩；进风口直径400mm；出风口直径200mm；长度1000mm；布袋有3条反光条，布料为牛津布，能够防水防污；布料不易褪色，经久耐用。</w:t>
      </w:r>
    </w:p>
    <w:p w14:paraId="519D5336">
      <w:pPr>
        <w:spacing w:line="360" w:lineRule="auto"/>
        <w:ind w:firstLine="480" w:firstLineChars="20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(五)产品质量：请按产品相关质量规范要求执行。</w:t>
      </w:r>
    </w:p>
    <w:p w14:paraId="137FF68E">
      <w:pPr>
        <w:pStyle w:val="2"/>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14:paraId="1E12AF3A">
      <w:pPr>
        <w:pStyle w:val="9"/>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1.“比选人”系福建福海创石油化工有限公司，即业主方。</w:t>
      </w:r>
    </w:p>
    <w:p w14:paraId="1B657EEA">
      <w:pPr>
        <w:pStyle w:val="9"/>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lang w:eastAsia="zh-CN"/>
        </w:rPr>
        <w:t>2</w:t>
      </w:r>
      <w:r>
        <w:rPr>
          <w:rFonts w:hint="default" w:ascii="Times New Roman" w:hAnsi="Times New Roman" w:eastAsia="宋体" w:cs="Times New Roman"/>
          <w:spacing w:val="-10"/>
          <w:sz w:val="24"/>
          <w:szCs w:val="24"/>
          <w:lang w:eastAsia="zh-CN"/>
        </w:rPr>
        <w:t>.“参选人”系指向比选人报名并接受邀请，领取比选文件，且已经提交或准备提交本次参选文件的法人。</w:t>
      </w:r>
    </w:p>
    <w:p w14:paraId="7383FD1F">
      <w:pPr>
        <w:pStyle w:val="9"/>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4"/>
          <w:sz w:val="24"/>
          <w:szCs w:val="24"/>
          <w:lang w:eastAsia="zh-CN"/>
        </w:rPr>
        <w:t>3</w:t>
      </w:r>
      <w:r>
        <w:rPr>
          <w:rFonts w:hint="default" w:ascii="Times New Roman" w:hAnsi="Times New Roman" w:eastAsia="宋体" w:cs="Times New Roman"/>
          <w:spacing w:val="-10"/>
          <w:sz w:val="24"/>
          <w:szCs w:val="24"/>
          <w:lang w:eastAsia="zh-CN"/>
        </w:rPr>
        <w:t>.“参选人代表”系指全权代表参选人参加本次比选活动并签署参选文件的人，如果参选人代表不是参选人的法定代表人，须持有《法定代表人授权委托书》详见附件二。</w:t>
      </w:r>
    </w:p>
    <w:p w14:paraId="01A06CF2">
      <w:pPr>
        <w:pStyle w:val="2"/>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14:paraId="2D9E14AF">
      <w:pPr>
        <w:pStyle w:val="9"/>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1.比选文件包括下列内容：</w:t>
      </w:r>
    </w:p>
    <w:p w14:paraId="787F9F44">
      <w:pPr>
        <w:pStyle w:val="9"/>
        <w:spacing w:line="360" w:lineRule="auto"/>
        <w:ind w:left="59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比选公告、比选须知、项目内容、合同书格式、报价单、承诺函等。</w:t>
      </w:r>
    </w:p>
    <w:p w14:paraId="4718A434">
      <w:pPr>
        <w:pStyle w:val="9"/>
        <w:spacing w:line="360" w:lineRule="auto"/>
        <w:ind w:right="21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2.比选文件除 1 中内容外，比选人在比选期间发出的书面文件和其他修改或补充函件，均是比选文件不可分割的组成部分。</w:t>
      </w:r>
    </w:p>
    <w:p w14:paraId="735E88E5">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12"/>
          <w:sz w:val="24"/>
          <w:szCs w:val="24"/>
          <w:lang w:eastAsia="zh-CN"/>
        </w:rPr>
        <w:t>参选人应认真阅读、并充分理解比选文件的全部内容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9"/>
          <w:sz w:val="24"/>
          <w:szCs w:val="24"/>
          <w:lang w:eastAsia="zh-CN"/>
        </w:rPr>
        <w:t>包括所有的补充、修改内容、</w:t>
      </w:r>
      <w:r>
        <w:rPr>
          <w:rFonts w:hint="default" w:ascii="Times New Roman" w:hAnsi="Times New Roman" w:eastAsia="宋体" w:cs="Times New Roman"/>
          <w:sz w:val="24"/>
          <w:szCs w:val="24"/>
          <w:lang w:eastAsia="zh-CN"/>
        </w:rPr>
        <w:t>重要事项、格式、条款和技术规范、参数及要求等）。参选人没有按照比选文件要求提交</w:t>
      </w:r>
      <w:r>
        <w:rPr>
          <w:rFonts w:hint="default" w:ascii="Times New Roman" w:hAnsi="Times New Roman" w:eastAsia="宋体" w:cs="Times New Roman"/>
          <w:spacing w:val="-10"/>
          <w:sz w:val="24"/>
          <w:szCs w:val="24"/>
          <w:lang w:eastAsia="zh-CN"/>
        </w:rPr>
        <w:t>全部资料，或者没有对比选文件在各方面都做出实质性响应是参选人的风险，有可能导致其参选被拒绝，或被认定为无效参选或被确定为参选无效。</w:t>
      </w:r>
    </w:p>
    <w:p w14:paraId="241129BD">
      <w:pPr>
        <w:pStyle w:val="2"/>
        <w:spacing w:line="360" w:lineRule="auto"/>
        <w:ind w:left="68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14:paraId="181661E0">
      <w:pPr>
        <w:pStyle w:val="9"/>
        <w:spacing w:line="360" w:lineRule="auto"/>
        <w:ind w:right="91"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9"/>
          <w:sz w:val="24"/>
          <w:szCs w:val="24"/>
          <w:lang w:eastAsia="zh-CN"/>
        </w:rPr>
        <w:t>参选人获取比选文件后，应仔细检查比选文件的所有内容，如有残缺等问题应在获得</w:t>
      </w:r>
      <w:r>
        <w:rPr>
          <w:rFonts w:hint="default" w:ascii="Times New Roman" w:hAnsi="Times New Roman" w:eastAsia="宋体" w:cs="Times New Roman"/>
          <w:spacing w:val="-20"/>
          <w:sz w:val="24"/>
          <w:szCs w:val="24"/>
          <w:lang w:eastAsia="zh-CN"/>
        </w:rPr>
        <w:t>比选文件</w:t>
      </w:r>
      <w:r>
        <w:rPr>
          <w:rFonts w:hint="default" w:ascii="Times New Roman" w:hAnsi="Times New Roman" w:eastAsia="宋体" w:cs="Times New Roman"/>
          <w:spacing w:val="-20"/>
          <w:sz w:val="24"/>
          <w:szCs w:val="24"/>
          <w:u w:val="single"/>
          <w:lang w:eastAsia="zh-CN"/>
        </w:rPr>
        <w:t xml:space="preserve"> </w:t>
      </w:r>
      <w:r>
        <w:rPr>
          <w:rFonts w:hint="default" w:ascii="Times New Roman" w:hAnsi="Times New Roman" w:eastAsia="宋体" w:cs="Times New Roman"/>
          <w:sz w:val="24"/>
          <w:szCs w:val="24"/>
          <w:u w:val="single"/>
          <w:lang w:eastAsia="zh-CN"/>
        </w:rPr>
        <w:t>3</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pacing w:val="-13"/>
          <w:sz w:val="24"/>
          <w:szCs w:val="24"/>
          <w:lang w:eastAsia="zh-CN"/>
        </w:rPr>
        <w:t>日内向比选人提出。参选人若对比选文件有任何疑问，应在参选截止时间前</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z w:val="24"/>
          <w:szCs w:val="24"/>
          <w:u w:val="single"/>
          <w:lang w:eastAsia="zh-CN"/>
        </w:rPr>
        <w:t xml:space="preserve">5 </w:t>
      </w:r>
      <w:r>
        <w:rPr>
          <w:rFonts w:hint="default" w:ascii="Times New Roman" w:hAnsi="Times New Roman" w:eastAsia="宋体" w:cs="Times New Roman"/>
          <w:spacing w:val="-10"/>
          <w:sz w:val="24"/>
          <w:szCs w:val="24"/>
          <w:lang w:eastAsia="zh-CN"/>
        </w:rPr>
        <w:t>日，按参选须知载明的地址以书面形式</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10"/>
          <w:sz w:val="24"/>
          <w:szCs w:val="24"/>
          <w:lang w:eastAsia="zh-CN"/>
        </w:rPr>
        <w:t>包括书面、电子邮件下同</w:t>
      </w:r>
      <w:r>
        <w:rPr>
          <w:rFonts w:hint="default" w:ascii="Times New Roman" w:hAnsi="Times New Roman" w:eastAsia="宋体" w:cs="Times New Roman"/>
          <w:spacing w:val="-49"/>
          <w:sz w:val="24"/>
          <w:szCs w:val="24"/>
          <w:lang w:eastAsia="zh-CN"/>
        </w:rPr>
        <w:t>）</w:t>
      </w:r>
      <w:r>
        <w:rPr>
          <w:rFonts w:hint="default" w:ascii="Times New Roman" w:hAnsi="Times New Roman" w:eastAsia="宋体" w:cs="Times New Roman"/>
          <w:sz w:val="24"/>
          <w:szCs w:val="24"/>
          <w:lang w:eastAsia="zh-CN"/>
        </w:rPr>
        <w:t>通知到比选人。</w:t>
      </w:r>
      <w:r>
        <w:rPr>
          <w:rFonts w:hint="default" w:ascii="Times New Roman" w:hAnsi="Times New Roman" w:eastAsia="宋体" w:cs="Times New Roman"/>
          <w:spacing w:val="-4"/>
          <w:sz w:val="24"/>
          <w:szCs w:val="24"/>
          <w:lang w:eastAsia="zh-CN"/>
        </w:rPr>
        <w:t>比选人将视情况确定采用适当方式予以澄清或以书面形式予以答复，澄清文件作为比选文件的组成部分，具有约束作用。</w:t>
      </w:r>
    </w:p>
    <w:p w14:paraId="160E5C21">
      <w:pPr>
        <w:pStyle w:val="2"/>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14:paraId="00C18809">
      <w:pPr>
        <w:pStyle w:val="9"/>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1.在参选截止日期前，比选人可主动地或依据参选人要求澄清的问题而修改比选文</w:t>
      </w:r>
      <w:r>
        <w:rPr>
          <w:rFonts w:hint="default" w:ascii="Times New Roman" w:hAnsi="Times New Roman" w:eastAsia="宋体" w:cs="Times New Roman"/>
          <w:spacing w:val="-10"/>
          <w:sz w:val="24"/>
          <w:szCs w:val="24"/>
          <w:lang w:eastAsia="zh-CN"/>
        </w:rPr>
        <w:t>件，并以书面形式通知所有报名参加比选项目的每一参选人，对方在收到该通知后应立即</w:t>
      </w:r>
      <w:r>
        <w:rPr>
          <w:rFonts w:hint="default" w:ascii="Times New Roman" w:hAnsi="Times New Roman" w:eastAsia="宋体" w:cs="Times New Roman"/>
          <w:spacing w:val="-2"/>
          <w:sz w:val="24"/>
          <w:szCs w:val="24"/>
          <w:lang w:eastAsia="zh-CN"/>
        </w:rPr>
        <w:t>以书面形式予以确认；参选人未按规定时间予以确认或未按规定时间地点领取书面文件的，视比选通知已收到。</w:t>
      </w:r>
    </w:p>
    <w:p w14:paraId="39C58482">
      <w:pPr>
        <w:pStyle w:val="9"/>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14:paraId="1CA4C142">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3.比选文件的修改书将构成比选文件的一部分，对参选人具有约束作用。</w:t>
      </w:r>
    </w:p>
    <w:p w14:paraId="5495D0F0">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4.比选人所作的一切有效补充、修改文件，均被视为比选文件不可分割部分。</w:t>
      </w:r>
    </w:p>
    <w:p w14:paraId="11449592">
      <w:pPr>
        <w:pStyle w:val="2"/>
        <w:spacing w:line="360" w:lineRule="auto"/>
        <w:ind w:left="539"/>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14:paraId="27A04DF8">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14:paraId="118C337B">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cs="Times New Roman"/>
          <w:sz w:val="24"/>
          <w:szCs w:val="24"/>
          <w:lang w:val="en-US" w:eastAsia="zh-CN" w:bidi="ar-SA"/>
        </w:rPr>
        <w:t xml:space="preserve"> </w:t>
      </w:r>
      <w:r>
        <w:rPr>
          <w:rFonts w:hint="eastAsia" w:ascii="Times New Roman" w:hAnsi="Times New Roman" w:eastAsia="宋体" w:cs="Times New Roman"/>
          <w:sz w:val="24"/>
          <w:szCs w:val="24"/>
          <w:lang w:val="en-US" w:eastAsia="zh-CN" w:bidi="ar-SA"/>
        </w:rPr>
        <w:t>承揽商需具有独立法人资格和履行合同能力，有良好的信誉和售后服务能力。</w:t>
      </w:r>
    </w:p>
    <w:p w14:paraId="4DC824CC">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14:paraId="5A07EDB4">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与比选人无诉讼纠纷。</w:t>
      </w:r>
    </w:p>
    <w:p w14:paraId="1FC6C08B">
      <w:pPr>
        <w:pStyle w:val="35"/>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 本项目不接受联合体投标。</w:t>
      </w:r>
    </w:p>
    <w:p w14:paraId="5CD50651">
      <w:pPr>
        <w:pStyle w:val="2"/>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七、参选保证金</w:t>
      </w:r>
    </w:p>
    <w:p w14:paraId="3420F291">
      <w:pPr>
        <w:pStyle w:val="9"/>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 参选单位应缴纳参选保证金，</w:t>
      </w:r>
      <w:r>
        <w:rPr>
          <w:rFonts w:hint="default" w:ascii="Times New Roman" w:hAnsi="Times New Roman" w:eastAsia="宋体" w:cs="Times New Roman"/>
          <w:b/>
          <w:bCs/>
          <w:sz w:val="24"/>
          <w:szCs w:val="24"/>
          <w:lang w:val="en-US" w:eastAsia="zh-CN" w:bidi="ar-SA"/>
        </w:rPr>
        <w:t>保证金金额</w:t>
      </w:r>
      <w:r>
        <w:rPr>
          <w:rFonts w:hint="eastAsia" w:ascii="Times New Roman" w:hAnsi="Times New Roman" w:cs="Times New Roman"/>
          <w:b/>
          <w:bCs/>
          <w:sz w:val="24"/>
          <w:szCs w:val="24"/>
          <w:lang w:val="en-US" w:eastAsia="zh-CN" w:bidi="ar-SA"/>
        </w:rPr>
        <w:t>1440</w:t>
      </w:r>
      <w:r>
        <w:rPr>
          <w:rFonts w:hint="default" w:ascii="Times New Roman" w:hAnsi="Times New Roman" w:eastAsia="宋体" w:cs="Times New Roman"/>
          <w:b/>
          <w:bCs/>
          <w:sz w:val="24"/>
          <w:szCs w:val="24"/>
          <w:lang w:val="en-US" w:eastAsia="zh-CN" w:bidi="ar-SA"/>
        </w:rPr>
        <w:t>元整</w:t>
      </w:r>
      <w:r>
        <w:rPr>
          <w:rFonts w:hint="default" w:ascii="Times New Roman" w:hAnsi="Times New Roman" w:eastAsia="宋体" w:cs="Times New Roman"/>
          <w:sz w:val="24"/>
          <w:szCs w:val="24"/>
          <w:lang w:val="en-US" w:eastAsia="zh-CN" w:bidi="ar-SA"/>
        </w:rPr>
        <w:t>，参选单位应按照要求从参选单位基本账户转入比选单位的账户，比选单位账户信息如下：</w:t>
      </w:r>
    </w:p>
    <w:p w14:paraId="74E58267">
      <w:pPr>
        <w:pStyle w:val="9"/>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开户名称：</w:t>
      </w:r>
      <w:r>
        <w:rPr>
          <w:rFonts w:hint="default" w:ascii="Times New Roman" w:hAnsi="Times New Roman" w:eastAsia="宋体" w:cs="Times New Roman"/>
          <w:sz w:val="24"/>
          <w:szCs w:val="24"/>
          <w:lang w:val="en-US" w:eastAsia="zh-CN" w:bidi="ar-SA"/>
        </w:rPr>
        <w:t>福建福海创石油化工有限公司</w:t>
      </w:r>
    </w:p>
    <w:p w14:paraId="6CB1D1E9">
      <w:pPr>
        <w:pStyle w:val="9"/>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开户银行：</w:t>
      </w:r>
      <w:r>
        <w:rPr>
          <w:rFonts w:hint="default" w:ascii="Times New Roman" w:hAnsi="Times New Roman" w:eastAsia="宋体" w:cs="Times New Roman"/>
          <w:sz w:val="24"/>
          <w:szCs w:val="24"/>
          <w:lang w:val="en-US" w:eastAsia="zh-CN" w:bidi="ar-SA"/>
        </w:rPr>
        <w:t>中国银行股份有限公司漳州古雷经济开发区支行</w:t>
      </w:r>
    </w:p>
    <w:p w14:paraId="3A70811D">
      <w:pPr>
        <w:pStyle w:val="9"/>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帐  号：</w:t>
      </w:r>
      <w:r>
        <w:rPr>
          <w:rFonts w:hint="default" w:ascii="Times New Roman" w:hAnsi="Times New Roman" w:eastAsia="宋体" w:cs="Times New Roman"/>
          <w:sz w:val="24"/>
          <w:szCs w:val="24"/>
          <w:lang w:val="en-US" w:eastAsia="zh-CN" w:bidi="ar-SA"/>
        </w:rPr>
        <w:t>406574816628</w:t>
      </w:r>
    </w:p>
    <w:p w14:paraId="319861A2">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t>注明用途：</w:t>
      </w:r>
      <w:r>
        <w:rPr>
          <w:rFonts w:hint="default" w:ascii="Times New Roman" w:hAnsi="Times New Roman" w:eastAsia="宋体" w:cs="Times New Roman"/>
          <w:bCs/>
          <w:sz w:val="24"/>
          <w:szCs w:val="24"/>
          <w:u w:val="none"/>
          <w:lang w:eastAsia="zh-CN"/>
        </w:rPr>
        <w:t xml:space="preserve"> </w:t>
      </w:r>
      <w:r>
        <w:rPr>
          <w:rFonts w:hint="eastAsia" w:ascii="Times New Roman" w:hAnsi="Times New Roman" w:cs="Times New Roman"/>
          <w:sz w:val="24"/>
          <w:szCs w:val="24"/>
          <w:u w:val="none"/>
          <w:lang w:val="en-US" w:eastAsia="zh-CN"/>
        </w:rPr>
        <w:t>2025年-2026年风向杆、风向袋年度采购</w:t>
      </w:r>
      <w:r>
        <w:rPr>
          <w:rFonts w:hint="default" w:ascii="Times New Roman" w:hAnsi="Times New Roman" w:eastAsia="宋体" w:cs="Times New Roman"/>
          <w:sz w:val="24"/>
          <w:szCs w:val="24"/>
          <w:u w:val="none"/>
          <w:lang w:val="en-US" w:eastAsia="zh-CN"/>
        </w:rPr>
        <w:t>项</w:t>
      </w:r>
      <w:r>
        <w:rPr>
          <w:rFonts w:hint="default" w:ascii="Times New Roman" w:hAnsi="Times New Roman" w:eastAsia="宋体" w:cs="Times New Roman"/>
          <w:sz w:val="24"/>
          <w:szCs w:val="24"/>
          <w:u w:val="single"/>
          <w:lang w:val="en-US" w:eastAsia="zh-CN"/>
        </w:rPr>
        <w:t>目</w:t>
      </w:r>
      <w:r>
        <w:rPr>
          <w:rFonts w:hint="default" w:ascii="Times New Roman" w:hAnsi="Times New Roman" w:eastAsia="宋体" w:cs="Times New Roman"/>
          <w:sz w:val="24"/>
          <w:szCs w:val="24"/>
          <w:lang w:val="en-US" w:eastAsia="zh-CN" w:bidi="ar-SA"/>
        </w:rPr>
        <w:t>参选保证金</w:t>
      </w:r>
    </w:p>
    <w:p w14:paraId="6F0E6976">
      <w:pPr>
        <w:pStyle w:val="9"/>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参选保证金有效期：90日历天。</w:t>
      </w:r>
    </w:p>
    <w:p w14:paraId="4E5BFC6B">
      <w:pPr>
        <w:pStyle w:val="9"/>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541F339C">
      <w:pPr>
        <w:pStyle w:val="9"/>
        <w:spacing w:line="360" w:lineRule="auto"/>
        <w:ind w:left="1067" w:leftChars="254" w:right="121" w:hanging="508" w:hangingChars="212"/>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sz w:val="24"/>
          <w:szCs w:val="24"/>
          <w:lang w:val="en-US" w:eastAsia="zh-CN" w:bidi="ar-SA"/>
        </w:rPr>
        <w:t xml:space="preserve">    2.</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对于未能按要求提交保证金的参选文件，比选单位可以视为不符合上面比选要求</w:t>
      </w:r>
      <w:r>
        <w:rPr>
          <w:rFonts w:hint="default" w:ascii="Times New Roman" w:hAnsi="Times New Roman" w:eastAsia="宋体" w:cs="Times New Roman"/>
          <w:color w:val="auto"/>
          <w:sz w:val="24"/>
          <w:szCs w:val="24"/>
          <w:lang w:val="en-US" w:eastAsia="zh-CN" w:bidi="ar-SA"/>
        </w:rPr>
        <w:t>而予以拒绝；</w:t>
      </w:r>
    </w:p>
    <w:p w14:paraId="21FA0A89">
      <w:pPr>
        <w:pStyle w:val="9"/>
        <w:spacing w:line="360" w:lineRule="auto"/>
        <w:ind w:left="1067" w:leftChars="254" w:right="121" w:hanging="508" w:hangingChars="212"/>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 xml:space="preserve">    3.</w:t>
      </w:r>
      <w:r>
        <w:rPr>
          <w:rFonts w:hint="eastAsia" w:ascii="Times New Roman" w:hAnsi="Times New Roman" w:cs="Times New Roman"/>
          <w:color w:val="auto"/>
          <w:sz w:val="24"/>
          <w:szCs w:val="24"/>
          <w:lang w:val="en-US" w:eastAsia="zh-CN" w:bidi="ar-SA"/>
        </w:rPr>
        <w:t xml:space="preserve"> </w:t>
      </w:r>
      <w:r>
        <w:rPr>
          <w:rFonts w:hint="default" w:ascii="Times New Roman" w:hAnsi="Times New Roman" w:eastAsia="宋体" w:cs="Times New Roman"/>
          <w:color w:val="auto"/>
          <w:sz w:val="24"/>
          <w:szCs w:val="24"/>
          <w:lang w:val="en-US" w:eastAsia="zh-CN" w:bidi="ar-SA"/>
        </w:rPr>
        <w:t>比选结束退还</w:t>
      </w:r>
      <w:r>
        <w:rPr>
          <w:rFonts w:hint="default" w:ascii="Times New Roman" w:hAnsi="Times New Roman" w:eastAsia="宋体" w:cs="Times New Roman"/>
          <w:color w:val="auto"/>
          <w:sz w:val="24"/>
          <w:szCs w:val="24"/>
          <w:highlight w:val="none"/>
          <w:lang w:val="en-US" w:eastAsia="zh-CN" w:bidi="ar-SA"/>
        </w:rPr>
        <w:t>未中</w:t>
      </w:r>
      <w:r>
        <w:rPr>
          <w:rFonts w:hint="default" w:ascii="Times New Roman" w:hAnsi="Times New Roman" w:eastAsia="宋体" w:cs="Times New Roman"/>
          <w:color w:val="auto"/>
          <w:sz w:val="24"/>
          <w:szCs w:val="24"/>
          <w:lang w:val="en-US" w:eastAsia="zh-CN" w:bidi="ar-SA"/>
        </w:rPr>
        <w:t>选者的比选保证金（无息），最迟不超过规定的比选有效期满后的20天；</w:t>
      </w:r>
    </w:p>
    <w:p w14:paraId="25D7C36B">
      <w:pPr>
        <w:pStyle w:val="9"/>
        <w:spacing w:line="360" w:lineRule="auto"/>
        <w:ind w:left="1067" w:leftChars="254" w:right="121" w:hanging="508" w:hangingChars="212"/>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 xml:space="preserve">    4.</w:t>
      </w:r>
      <w:r>
        <w:rPr>
          <w:rFonts w:hint="eastAsia" w:ascii="Times New Roman" w:hAnsi="Times New Roman" w:cs="Times New Roman"/>
          <w:color w:val="auto"/>
          <w:sz w:val="24"/>
          <w:szCs w:val="24"/>
          <w:lang w:val="en-US" w:eastAsia="zh-CN" w:bidi="ar-SA"/>
        </w:rPr>
        <w:t xml:space="preserve"> </w:t>
      </w:r>
      <w:r>
        <w:rPr>
          <w:rFonts w:hint="default" w:ascii="Times New Roman" w:hAnsi="Times New Roman" w:eastAsia="宋体" w:cs="Times New Roman"/>
          <w:color w:val="auto"/>
          <w:sz w:val="24"/>
          <w:szCs w:val="24"/>
          <w:lang w:val="en-US" w:eastAsia="zh-CN" w:bidi="ar-SA"/>
        </w:rPr>
        <w:t>中选者的参选保证金（无息），将在合同签订后自动转为履约保证金，将于合同周期完成后15个工作日内，甲方无息退还履约保证金；</w:t>
      </w:r>
    </w:p>
    <w:p w14:paraId="1B8B899E">
      <w:pPr>
        <w:pStyle w:val="9"/>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如有下列情况发生，将被没收参选保证金：</w:t>
      </w:r>
    </w:p>
    <w:p w14:paraId="6E7671D4">
      <w:pPr>
        <w:pStyle w:val="9"/>
        <w:spacing w:line="360" w:lineRule="auto"/>
        <w:ind w:left="1187" w:leftChars="336" w:right="121" w:hanging="448" w:hangingChars="187"/>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（1）参选单位在参选有效期内撤回参选文件；</w:t>
      </w:r>
    </w:p>
    <w:p w14:paraId="050BEB1B">
      <w:pPr>
        <w:pStyle w:val="2"/>
        <w:spacing w:line="360" w:lineRule="auto"/>
        <w:ind w:left="1308" w:leftChars="300" w:hanging="648" w:hangingChars="27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（2）参选单位未能按接到中标通知书后规定的时间内签定合同。</w:t>
      </w:r>
    </w:p>
    <w:p w14:paraId="77F4E946">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539" w:leftChars="0" w:right="0" w:rightChars="0" w:firstLine="0" w:firstLineChars="0"/>
        <w:jc w:val="left"/>
        <w:textAlignment w:val="auto"/>
        <w:outlineLvl w:val="0"/>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b/>
          <w:bCs/>
          <w:sz w:val="24"/>
          <w:szCs w:val="24"/>
          <w:lang w:val="en-US" w:eastAsia="zh-CN" w:bidi="ar-SA"/>
        </w:rPr>
        <w:t>八、参选文件的递交</w:t>
      </w:r>
    </w:p>
    <w:p w14:paraId="7817231C">
      <w:pPr>
        <w:pStyle w:val="3"/>
        <w:tabs>
          <w:tab w:val="left" w:pos="6879"/>
        </w:tabs>
        <w:spacing w:line="360" w:lineRule="auto"/>
        <w:ind w:left="0" w:right="106"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1.参选文件递交的截止时间：见比选公告</w:t>
      </w:r>
    </w:p>
    <w:p w14:paraId="48A70CFA">
      <w:pPr>
        <w:pStyle w:val="3"/>
        <w:tabs>
          <w:tab w:val="left" w:pos="6879"/>
        </w:tabs>
        <w:spacing w:line="360" w:lineRule="auto"/>
        <w:ind w:left="0" w:right="106" w:firstLine="472" w:firstLineChars="196"/>
        <w:rPr>
          <w:rFonts w:hint="default" w:ascii="Times New Roman" w:hAnsi="Times New Roman" w:eastAsia="宋体" w:cs="Times New Roman"/>
          <w:spacing w:val="-57"/>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4"/>
          <w:sz w:val="24"/>
          <w:szCs w:val="24"/>
          <w:lang w:eastAsia="zh-CN"/>
        </w:rPr>
        <w:t>递交</w:t>
      </w:r>
      <w:r>
        <w:rPr>
          <w:rFonts w:hint="default" w:ascii="Times New Roman" w:hAnsi="Times New Roman" w:eastAsia="宋体" w:cs="Times New Roman"/>
          <w:sz w:val="24"/>
          <w:szCs w:val="24"/>
          <w:lang w:eastAsia="zh-CN"/>
        </w:rPr>
        <w:t>参</w:t>
      </w:r>
      <w:r>
        <w:rPr>
          <w:rFonts w:hint="default" w:ascii="Times New Roman" w:hAnsi="Times New Roman" w:eastAsia="宋体" w:cs="Times New Roman"/>
          <w:spacing w:val="4"/>
          <w:sz w:val="24"/>
          <w:szCs w:val="24"/>
          <w:lang w:eastAsia="zh-CN"/>
        </w:rPr>
        <w:t>选文件的地</w:t>
      </w:r>
      <w:r>
        <w:rPr>
          <w:rFonts w:hint="default" w:ascii="Times New Roman" w:hAnsi="Times New Roman" w:eastAsia="宋体" w:cs="Times New Roman"/>
          <w:sz w:val="24"/>
          <w:szCs w:val="24"/>
          <w:lang w:eastAsia="zh-CN"/>
        </w:rPr>
        <w:t>点</w:t>
      </w:r>
      <w:r>
        <w:rPr>
          <w:rFonts w:hint="default" w:ascii="Times New Roman" w:hAnsi="Times New Roman" w:eastAsia="宋体" w:cs="Times New Roman"/>
          <w:spacing w:val="4"/>
          <w:sz w:val="24"/>
          <w:szCs w:val="24"/>
          <w:lang w:eastAsia="zh-CN"/>
        </w:rPr>
        <w:t>为：漳州市漳浦县杜浔镇杜昌路9号</w:t>
      </w:r>
    </w:p>
    <w:p w14:paraId="7BD77983">
      <w:pPr>
        <w:pStyle w:val="9"/>
        <w:spacing w:line="360" w:lineRule="auto"/>
        <w:ind w:right="121" w:firstLine="482" w:firstLineChars="200"/>
        <w:jc w:val="both"/>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b/>
          <w:bCs/>
          <w:sz w:val="24"/>
          <w:szCs w:val="24"/>
          <w:lang w:val="en-US" w:eastAsia="zh-CN" w:bidi="ar-SA"/>
        </w:rPr>
        <w:t>商务联系人：</w:t>
      </w:r>
      <w:r>
        <w:rPr>
          <w:rFonts w:hint="eastAsia" w:ascii="Times New Roman" w:hAnsi="Times New Roman" w:eastAsia="宋体" w:cs="Times New Roman"/>
          <w:b/>
          <w:bCs/>
          <w:sz w:val="24"/>
          <w:szCs w:val="24"/>
          <w:lang w:val="en-US" w:eastAsia="zh-CN" w:bidi="ar-SA"/>
        </w:rPr>
        <w:t>沈学荣</w:t>
      </w:r>
      <w:r>
        <w:rPr>
          <w:rFonts w:hint="default" w:ascii="Times New Roman" w:hAnsi="Times New Roman" w:eastAsia="宋体" w:cs="Times New Roman"/>
          <w:b/>
          <w:bCs/>
          <w:sz w:val="24"/>
          <w:szCs w:val="24"/>
          <w:lang w:val="en-US" w:eastAsia="zh-CN" w:bidi="ar-SA"/>
        </w:rPr>
        <w:t xml:space="preserve">   电话：</w:t>
      </w:r>
      <w:r>
        <w:rPr>
          <w:rFonts w:hint="eastAsia" w:ascii="Times New Roman" w:hAnsi="Times New Roman" w:eastAsia="宋体" w:cs="Times New Roman"/>
          <w:b/>
          <w:bCs/>
          <w:sz w:val="24"/>
          <w:szCs w:val="24"/>
          <w:lang w:val="en-US" w:eastAsia="zh-CN" w:bidi="ar-SA"/>
        </w:rPr>
        <w:t>18159613129</w:t>
      </w:r>
      <w:r>
        <w:rPr>
          <w:rFonts w:hint="default" w:ascii="Times New Roman" w:hAnsi="Times New Roman" w:eastAsia="宋体" w:cs="Times New Roman"/>
          <w:b/>
          <w:bCs/>
          <w:sz w:val="24"/>
          <w:szCs w:val="24"/>
          <w:lang w:val="en-US" w:eastAsia="zh-CN" w:bidi="ar-SA"/>
        </w:rPr>
        <w:t>，</w:t>
      </w:r>
      <w:r>
        <w:rPr>
          <w:rFonts w:hint="eastAsia" w:ascii="Times New Roman" w:hAnsi="Times New Roman" w:eastAsia="宋体" w:cs="Times New Roman"/>
          <w:b/>
          <w:bCs/>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fldChar w:fldCharType="begin"/>
      </w:r>
      <w:r>
        <w:rPr>
          <w:rFonts w:hint="default" w:ascii="Times New Roman" w:hAnsi="Times New Roman" w:eastAsia="宋体" w:cs="Times New Roman"/>
          <w:b/>
          <w:bCs/>
          <w:sz w:val="24"/>
          <w:szCs w:val="24"/>
          <w:lang w:val="en-US" w:eastAsia="zh-CN" w:bidi="ar-SA"/>
        </w:rPr>
        <w:instrText xml:space="preserve"> HYPERLINK "mailto:hgchen@fhcpec.com.cn" </w:instrText>
      </w:r>
      <w:r>
        <w:rPr>
          <w:rFonts w:hint="default" w:ascii="Times New Roman" w:hAnsi="Times New Roman" w:eastAsia="宋体" w:cs="Times New Roman"/>
          <w:b/>
          <w:bCs/>
          <w:sz w:val="24"/>
          <w:szCs w:val="24"/>
          <w:lang w:val="en-US" w:eastAsia="zh-CN" w:bidi="ar-SA"/>
        </w:rPr>
        <w:fldChar w:fldCharType="separate"/>
      </w:r>
      <w:r>
        <w:rPr>
          <w:rFonts w:hint="eastAsia" w:ascii="Times New Roman" w:hAnsi="Times New Roman" w:eastAsia="宋体" w:cs="Times New Roman"/>
          <w:b/>
          <w:bCs/>
          <w:sz w:val="24"/>
          <w:szCs w:val="24"/>
          <w:lang w:val="en-US" w:eastAsia="zh-CN" w:bidi="ar-SA"/>
        </w:rPr>
        <w:t>xrshen@fhcpec.com.cn</w:t>
      </w:r>
      <w:r>
        <w:rPr>
          <w:rFonts w:hint="default" w:ascii="Times New Roman" w:hAnsi="Times New Roman" w:eastAsia="宋体" w:cs="Times New Roman"/>
          <w:b/>
          <w:bCs/>
          <w:sz w:val="24"/>
          <w:szCs w:val="24"/>
          <w:lang w:val="en-US" w:eastAsia="zh-CN" w:bidi="ar-SA"/>
        </w:rPr>
        <w:fldChar w:fldCharType="end"/>
      </w:r>
    </w:p>
    <w:p w14:paraId="27C05283">
      <w:pPr>
        <w:pStyle w:val="3"/>
        <w:tabs>
          <w:tab w:val="left" w:pos="6879"/>
        </w:tabs>
        <w:spacing w:line="360" w:lineRule="auto"/>
        <w:ind w:left="0" w:leftChars="0" w:right="106" w:firstLine="482" w:firstLineChars="200"/>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b/>
          <w:bCs/>
          <w:sz w:val="24"/>
          <w:szCs w:val="24"/>
          <w:lang w:val="en-US" w:eastAsia="zh-CN" w:bidi="ar-SA"/>
        </w:rPr>
        <w:t>技术联系人：</w:t>
      </w:r>
      <w:r>
        <w:rPr>
          <w:rFonts w:hint="eastAsia" w:ascii="Times New Roman" w:hAnsi="Times New Roman" w:eastAsia="宋体" w:cs="Times New Roman"/>
          <w:b/>
          <w:bCs/>
          <w:sz w:val="24"/>
          <w:szCs w:val="24"/>
          <w:lang w:val="en-US" w:eastAsia="zh-CN" w:bidi="ar-SA"/>
        </w:rPr>
        <w:t>黄小玲</w:t>
      </w:r>
      <w:r>
        <w:rPr>
          <w:rFonts w:hint="eastAsia" w:ascii="Times New Roman" w:hAnsi="Times New Roman" w:cs="Times New Roman"/>
          <w:b/>
          <w:bCs/>
          <w:sz w:val="24"/>
          <w:szCs w:val="24"/>
          <w:lang w:val="en-US" w:eastAsia="zh-CN" w:bidi="ar-SA"/>
        </w:rPr>
        <w:t xml:space="preserve">  </w:t>
      </w:r>
      <w:r>
        <w:rPr>
          <w:rFonts w:hint="eastAsia" w:ascii="Times New Roman" w:hAnsi="Times New Roman" w:eastAsia="宋体" w:cs="Times New Roman"/>
          <w:b/>
          <w:bCs/>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t>电话：</w:t>
      </w:r>
      <w:r>
        <w:rPr>
          <w:rFonts w:hint="eastAsia" w:ascii="Times New Roman" w:hAnsi="Times New Roman" w:eastAsia="宋体" w:cs="Times New Roman"/>
          <w:b/>
          <w:bCs/>
          <w:sz w:val="24"/>
          <w:szCs w:val="24"/>
          <w:lang w:val="en-US" w:eastAsia="zh-CN" w:bidi="ar-SA"/>
        </w:rPr>
        <w:t xml:space="preserve"> 0596-6311101 ，xlhuang@fhcpec.com.cn</w:t>
      </w:r>
    </w:p>
    <w:p w14:paraId="4717A1E7">
      <w:pPr>
        <w:spacing w:line="360" w:lineRule="auto"/>
        <w:ind w:firstLine="482"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注：请使用顺丰快递或中国邮政( EMS) 快递，其他快递不能保证送达目的地。</w:t>
      </w:r>
    </w:p>
    <w:p w14:paraId="2A497C5D">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Fonts w:hint="default" w:ascii="Times New Roman" w:hAnsi="Times New Roman" w:eastAsia="宋体" w:cs="Times New Roman"/>
          <w:spacing w:val="-9"/>
          <w:sz w:val="24"/>
          <w:szCs w:val="24"/>
          <w:lang w:eastAsia="zh-CN"/>
        </w:rPr>
        <w:t>参选人收到比选文件后，如有疑问要澄清，请以书面形式在规定时间内报比选人汇总。</w:t>
      </w:r>
    </w:p>
    <w:p w14:paraId="418F4677">
      <w:pPr>
        <w:pStyle w:val="9"/>
        <w:spacing w:line="360" w:lineRule="auto"/>
        <w:ind w:right="10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4. </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14:paraId="10917D75">
      <w:pPr>
        <w:pStyle w:val="2"/>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14:paraId="63EF73BA">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中选人确定后，比选人不对未中选人就比选过程以及未能中选的原因做出任何解释。</w:t>
      </w:r>
    </w:p>
    <w:p w14:paraId="2B7FEB02">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sz w:val="24"/>
          <w:szCs w:val="24"/>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14:paraId="703040CB">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（1）异议人的名称、地址及有效联系方式；</w:t>
      </w:r>
    </w:p>
    <w:p w14:paraId="42DBD4E0">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（2）被异议人的名称（仅适用于对比选结果的异议）；</w:t>
      </w:r>
    </w:p>
    <w:p w14:paraId="11EE0BA8">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（3）异议事项的基本事实；</w:t>
      </w:r>
    </w:p>
    <w:p w14:paraId="37AAC908">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（4）相关请求及主张；</w:t>
      </w:r>
    </w:p>
    <w:p w14:paraId="19143ADD">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 xml:space="preserve">（5）有效线索和相关证明材料。 </w:t>
      </w:r>
    </w:p>
    <w:p w14:paraId="64090196">
      <w:pPr>
        <w:pStyle w:val="12"/>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14:paraId="2695700A">
      <w:pPr>
        <w:pStyle w:val="12"/>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有下列情形之一的异议，不予受理：</w:t>
      </w:r>
    </w:p>
    <w:p w14:paraId="4CCC7E59">
      <w:pPr>
        <w:pStyle w:val="12"/>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（1）</w:t>
      </w:r>
      <w:r>
        <w:rPr>
          <w:rFonts w:hint="default" w:ascii="Times New Roman" w:hAnsi="Times New Roman" w:eastAsia="宋体" w:cs="Times New Roman"/>
          <w:bCs/>
          <w:sz w:val="24"/>
          <w:szCs w:val="24"/>
          <w:lang w:eastAsia="zh-CN"/>
        </w:rPr>
        <w:t>对比选结果有异议的异议人不是本项目的参与者，或者与本项目无任何利害关系；</w:t>
      </w:r>
    </w:p>
    <w:p w14:paraId="27483A7C">
      <w:pPr>
        <w:pStyle w:val="12"/>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（2）</w:t>
      </w:r>
      <w:r>
        <w:rPr>
          <w:rFonts w:hint="default" w:ascii="Times New Roman" w:hAnsi="Times New Roman" w:eastAsia="宋体" w:cs="Times New Roman"/>
          <w:bCs/>
          <w:sz w:val="24"/>
          <w:szCs w:val="24"/>
          <w:lang w:eastAsia="zh-CN"/>
        </w:rPr>
        <w:t xml:space="preserve">异议事项不具体，且未提供有效线索，难以查证的； </w:t>
      </w:r>
    </w:p>
    <w:p w14:paraId="354F0BB5">
      <w:pPr>
        <w:pStyle w:val="12"/>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（3）</w:t>
      </w:r>
      <w:r>
        <w:rPr>
          <w:rFonts w:hint="default" w:ascii="Times New Roman" w:hAnsi="Times New Roman" w:eastAsia="宋体" w:cs="Times New Roman"/>
          <w:bCs/>
          <w:sz w:val="24"/>
          <w:szCs w:val="24"/>
          <w:lang w:eastAsia="zh-CN"/>
        </w:rPr>
        <w:t>异议未签署异议人真实姓名、签字和有效联系方式的；以法人名义提出异议的，异议未经法定代表人签字并加盖公章的；</w:t>
      </w:r>
    </w:p>
    <w:p w14:paraId="3833D757">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bCs/>
          <w:color w:val="000000"/>
          <w:sz w:val="24"/>
          <w:szCs w:val="24"/>
          <w:lang w:eastAsia="zh-CN"/>
        </w:rPr>
        <w:t>（4）</w:t>
      </w:r>
      <w:r>
        <w:rPr>
          <w:rFonts w:hint="default" w:ascii="Times New Roman" w:hAnsi="Times New Roman" w:eastAsia="宋体" w:cs="Times New Roman"/>
          <w:bCs/>
          <w:sz w:val="24"/>
          <w:szCs w:val="24"/>
          <w:lang w:eastAsia="zh-CN"/>
        </w:rPr>
        <w:t>超过异议时效的。</w:t>
      </w:r>
    </w:p>
    <w:p w14:paraId="72D48639">
      <w:pPr>
        <w:pStyle w:val="2"/>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14:paraId="3034BF16">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1、本项目最高限价为人民币</w:t>
      </w:r>
      <w:r>
        <w:rPr>
          <w:rFonts w:hint="eastAsia" w:ascii="Times New Roman" w:hAnsi="Times New Roman" w:cs="Times New Roman"/>
          <w:b/>
          <w:bCs/>
          <w:sz w:val="24"/>
          <w:szCs w:val="24"/>
          <w:lang w:val="en-US" w:eastAsia="zh-CN"/>
        </w:rPr>
        <w:t>72</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eastAsia="zh-CN"/>
        </w:rPr>
        <w:t>000</w:t>
      </w:r>
      <w:r>
        <w:rPr>
          <w:rFonts w:hint="default" w:ascii="Times New Roman" w:hAnsi="Times New Roman" w:eastAsia="宋体" w:cs="Times New Roman"/>
          <w:b/>
          <w:bCs/>
          <w:sz w:val="24"/>
          <w:szCs w:val="24"/>
          <w:lang w:val="en-US" w:eastAsia="zh-CN"/>
        </w:rPr>
        <w:t>.00</w:t>
      </w:r>
      <w:r>
        <w:rPr>
          <w:rFonts w:hint="default" w:ascii="Times New Roman" w:hAnsi="Times New Roman" w:eastAsia="宋体" w:cs="Times New Roman"/>
          <w:b/>
          <w:bCs/>
          <w:sz w:val="24"/>
          <w:szCs w:val="24"/>
          <w:lang w:eastAsia="zh-CN"/>
        </w:rPr>
        <w:t>元</w:t>
      </w:r>
      <w:r>
        <w:rPr>
          <w:rFonts w:hint="default" w:ascii="Times New Roman" w:hAnsi="Times New Roman" w:eastAsia="宋体" w:cs="Times New Roman"/>
          <w:b/>
          <w:sz w:val="24"/>
          <w:szCs w:val="24"/>
          <w:lang w:eastAsia="zh-CN"/>
        </w:rPr>
        <w:t>（</w:t>
      </w:r>
      <w:r>
        <w:rPr>
          <w:rFonts w:hint="eastAsia" w:ascii="Times New Roman" w:hAnsi="Times New Roman" w:cs="Times New Roman"/>
          <w:b/>
          <w:sz w:val="24"/>
          <w:szCs w:val="24"/>
          <w:lang w:val="en-US" w:eastAsia="zh-CN"/>
        </w:rPr>
        <w:t>含</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bCs/>
          <w:sz w:val="24"/>
          <w:szCs w:val="24"/>
          <w:lang w:eastAsia="zh-CN"/>
        </w:rPr>
        <w:t>。参选人所填报的参选</w:t>
      </w:r>
      <w:r>
        <w:rPr>
          <w:rFonts w:hint="eastAsia" w:ascii="Times New Roman" w:hAnsi="Times New Roman" w:cs="Times New Roman"/>
          <w:bCs/>
          <w:sz w:val="24"/>
          <w:szCs w:val="24"/>
          <w:lang w:val="en-US" w:eastAsia="zh-CN"/>
        </w:rPr>
        <w:t>未</w:t>
      </w:r>
      <w:r>
        <w:rPr>
          <w:rFonts w:hint="default" w:ascii="Times New Roman" w:hAnsi="Times New Roman" w:eastAsia="宋体" w:cs="Times New Roman"/>
          <w:bCs/>
          <w:sz w:val="24"/>
          <w:szCs w:val="24"/>
          <w:lang w:val="en-US" w:eastAsia="zh-CN"/>
        </w:rPr>
        <w:t>税</w:t>
      </w:r>
      <w:r>
        <w:rPr>
          <w:rFonts w:hint="default" w:ascii="Times New Roman" w:hAnsi="Times New Roman" w:eastAsia="宋体" w:cs="Times New Roman"/>
          <w:bCs/>
          <w:sz w:val="24"/>
          <w:szCs w:val="24"/>
          <w:lang w:eastAsia="zh-CN"/>
        </w:rPr>
        <w:t>总价高于本项目最高限价的，其参选将被评标委员会予以否决</w:t>
      </w:r>
      <w:r>
        <w:rPr>
          <w:rFonts w:hint="default" w:ascii="Times New Roman" w:hAnsi="Times New Roman" w:eastAsia="宋体" w:cs="Times New Roman"/>
          <w:sz w:val="24"/>
          <w:szCs w:val="24"/>
          <w:lang w:eastAsia="zh-CN"/>
        </w:rPr>
        <w:t>。</w:t>
      </w:r>
    </w:p>
    <w:p w14:paraId="6E368683">
      <w:pPr>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2、本比选项目采用总价包干方式执行。</w:t>
      </w:r>
    </w:p>
    <w:p w14:paraId="110F3D70">
      <w:pPr>
        <w:tabs>
          <w:tab w:val="left" w:pos="0"/>
          <w:tab w:val="left" w:pos="993"/>
          <w:tab w:val="left" w:pos="1134"/>
        </w:tabs>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14:paraId="3CA9BD6E">
      <w:pPr>
        <w:pStyle w:val="35"/>
        <w:spacing w:line="360" w:lineRule="auto"/>
        <w:ind w:firstLine="472" w:firstLineChars="200"/>
        <w:rPr>
          <w:rFonts w:hint="default" w:ascii="Times New Roman" w:hAnsi="Times New Roman" w:eastAsia="宋体" w:cs="Times New Roman"/>
          <w:sz w:val="24"/>
          <w:szCs w:val="24"/>
        </w:rPr>
      </w:pPr>
      <w:r>
        <w:rPr>
          <w:rFonts w:hint="default" w:ascii="Times New Roman" w:hAnsi="Times New Roman" w:eastAsia="宋体" w:cs="Times New Roman"/>
          <w:bCs/>
          <w:spacing w:val="-2"/>
          <w:sz w:val="24"/>
          <w:szCs w:val="24"/>
        </w:rPr>
        <w:t>备注：如依据我国法律法规及税收政策，本合同项下服务所涉及的增值税税率发生调整，双方一致同意按照调整后的增值税税率相应调整合同价款。</w:t>
      </w:r>
    </w:p>
    <w:p w14:paraId="536BFE3E">
      <w:pPr>
        <w:pStyle w:val="2"/>
        <w:tabs>
          <w:tab w:val="left" w:pos="4627"/>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第三章   </w:t>
      </w:r>
      <w:r>
        <w:rPr>
          <w:rFonts w:hint="default" w:ascii="Times New Roman" w:hAnsi="Times New Roman" w:eastAsia="宋体" w:cs="Times New Roman"/>
          <w:spacing w:val="-1"/>
          <w:w w:val="95"/>
          <w:sz w:val="28"/>
          <w:szCs w:val="28"/>
          <w:lang w:eastAsia="zh-CN"/>
        </w:rPr>
        <w:t>参选文</w:t>
      </w:r>
      <w:r>
        <w:rPr>
          <w:rFonts w:hint="default" w:ascii="Times New Roman" w:hAnsi="Times New Roman" w:eastAsia="宋体" w:cs="Times New Roman"/>
          <w:w w:val="95"/>
          <w:sz w:val="28"/>
          <w:szCs w:val="28"/>
          <w:lang w:eastAsia="zh-CN"/>
        </w:rPr>
        <w:t>件的编制</w:t>
      </w:r>
    </w:p>
    <w:p w14:paraId="5C3DD813">
      <w:pPr>
        <w:pStyle w:val="9"/>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4404AAFB">
      <w:pPr>
        <w:pStyle w:val="37"/>
        <w:numPr>
          <w:ilvl w:val="0"/>
          <w:numId w:val="3"/>
        </w:numPr>
        <w:spacing w:before="0" w:line="360" w:lineRule="auto"/>
        <w:ind w:left="993" w:leftChars="-18" w:hanging="1033" w:firstLineChars="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14:paraId="50DD3C09">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1）参选书及附录；</w:t>
      </w:r>
    </w:p>
    <w:p w14:paraId="79461098">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2）参选承诺书；</w:t>
      </w:r>
    </w:p>
    <w:p w14:paraId="09072313">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3）法定代表人及企业资格证明书；</w:t>
      </w:r>
    </w:p>
    <w:p w14:paraId="616684C2">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4）授权委托书；</w:t>
      </w:r>
    </w:p>
    <w:p w14:paraId="3CF64A8D">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5）企业简况；</w:t>
      </w:r>
    </w:p>
    <w:p w14:paraId="779F8EE3">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6）按本须知规定提供的其它资料。</w:t>
      </w:r>
    </w:p>
    <w:p w14:paraId="0FCE2A8B">
      <w:pPr>
        <w:pStyle w:val="9"/>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以上各项内容</w:t>
      </w:r>
      <w:r>
        <w:rPr>
          <w:rFonts w:hint="default" w:ascii="Times New Roman" w:hAnsi="Times New Roman" w:eastAsia="宋体" w:cs="Times New Roman"/>
          <w:b/>
          <w:bCs/>
          <w:sz w:val="24"/>
          <w:szCs w:val="24"/>
          <w:lang w:eastAsia="zh-CN"/>
        </w:rPr>
        <w:t>装订成册</w:t>
      </w:r>
      <w:r>
        <w:rPr>
          <w:rFonts w:hint="default" w:ascii="Times New Roman" w:hAnsi="Times New Roman" w:eastAsia="宋体" w:cs="Times New Roman"/>
          <w:sz w:val="24"/>
          <w:szCs w:val="24"/>
          <w:lang w:eastAsia="zh-CN"/>
        </w:rPr>
        <w:t>密封并加盖公章（一正两副）。即</w:t>
      </w:r>
      <w:r>
        <w:rPr>
          <w:rFonts w:hint="default" w:ascii="Times New Roman" w:hAnsi="Times New Roman" w:eastAsia="宋体" w:cs="Times New Roman"/>
          <w:b/>
          <w:sz w:val="24"/>
          <w:szCs w:val="24"/>
          <w:u w:val="double"/>
          <w:lang w:eastAsia="zh-CN"/>
        </w:rPr>
        <w:t>参选文件正本及副本密封在一个信封</w:t>
      </w:r>
      <w:r>
        <w:rPr>
          <w:rFonts w:hint="default" w:ascii="Times New Roman" w:hAnsi="Times New Roman" w:eastAsia="宋体" w:cs="Times New Roman"/>
          <w:sz w:val="24"/>
          <w:szCs w:val="24"/>
          <w:lang w:eastAsia="zh-CN"/>
        </w:rPr>
        <w:t>，并标明比选编号、参选名称及正本或副本。信封上注明“于年月日时之前（指参选规定的开标日期及时间）不准启封”的字样。</w:t>
      </w:r>
    </w:p>
    <w:p w14:paraId="00F03752">
      <w:pPr>
        <w:pStyle w:val="9"/>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lang w:eastAsia="zh-CN"/>
        </w:rPr>
        <w:t>注：需提供参选文件及报价表电子版一份</w:t>
      </w:r>
      <w:r>
        <w:rPr>
          <w:rFonts w:hint="default" w:ascii="Times New Roman" w:hAnsi="Times New Roman" w:eastAsia="宋体" w:cs="Times New Roman"/>
          <w:b/>
          <w:sz w:val="24"/>
          <w:szCs w:val="24"/>
          <w:highlight w:val="yellow"/>
          <w:lang w:eastAsia="zh-CN"/>
        </w:rPr>
        <w:t>（</w:t>
      </w:r>
      <w:r>
        <w:rPr>
          <w:rFonts w:hint="eastAsia" w:ascii="Times New Roman" w:hAnsi="Times New Roman" w:cs="Times New Roman"/>
          <w:b/>
          <w:sz w:val="24"/>
          <w:szCs w:val="24"/>
          <w:highlight w:val="yellow"/>
          <w:lang w:val="en-US" w:eastAsia="zh-CN"/>
        </w:rPr>
        <w:t>U盘存</w:t>
      </w:r>
      <w:r>
        <w:rPr>
          <w:rFonts w:hint="default" w:ascii="Times New Roman" w:hAnsi="Times New Roman" w:eastAsia="宋体" w:cs="Times New Roman"/>
          <w:b/>
          <w:sz w:val="24"/>
          <w:szCs w:val="24"/>
          <w:highlight w:val="yellow"/>
          <w:lang w:eastAsia="zh-CN"/>
        </w:rPr>
        <w:t>盖章PDF版）</w:t>
      </w:r>
      <w:r>
        <w:rPr>
          <w:rFonts w:hint="default" w:ascii="Times New Roman" w:hAnsi="Times New Roman" w:eastAsia="宋体" w:cs="Times New Roman"/>
          <w:b/>
          <w:sz w:val="24"/>
          <w:szCs w:val="24"/>
          <w:lang w:eastAsia="zh-CN"/>
        </w:rPr>
        <w:t>，报价表须独立盖章密封</w:t>
      </w:r>
      <w:r>
        <w:rPr>
          <w:rFonts w:hint="eastAsia" w:ascii="Times New Roman" w:hAnsi="Times New Roman" w:cs="Times New Roman"/>
          <w:b/>
          <w:sz w:val="24"/>
          <w:szCs w:val="24"/>
          <w:lang w:eastAsia="zh-CN"/>
        </w:rPr>
        <w:t>。</w:t>
      </w:r>
    </w:p>
    <w:p w14:paraId="278C0037">
      <w:pPr>
        <w:pStyle w:val="2"/>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14:paraId="262F3362">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sz w:val="24"/>
          <w:szCs w:val="24"/>
          <w:lang w:eastAsia="zh-CN"/>
        </w:rPr>
        <w:t>其参选将被拒绝。</w:t>
      </w:r>
      <w:r>
        <w:rPr>
          <w:rFonts w:hint="default" w:ascii="Times New Roman" w:hAnsi="Times New Roman" w:eastAsia="宋体" w:cs="Times New Roman"/>
          <w:sz w:val="24"/>
          <w:szCs w:val="24"/>
          <w:lang w:eastAsia="zh-CN"/>
        </w:rPr>
        <w:t>参选人应按附件二格式内容要求进行参选文件的编制，完整提供比选文件附件二所规定的全部资格证明文件并按规定盖章和签署。</w:t>
      </w:r>
    </w:p>
    <w:p w14:paraId="387400C9">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备注：参选人应向比选人提供内容一致的</w:t>
      </w:r>
      <w:r>
        <w:rPr>
          <w:rFonts w:hint="default" w:ascii="Times New Roman" w:hAnsi="Times New Roman" w:eastAsia="宋体" w:cs="Times New Roman"/>
          <w:sz w:val="24"/>
          <w:szCs w:val="24"/>
          <w:u w:val="single"/>
          <w:lang w:eastAsia="zh-CN"/>
        </w:rPr>
        <w:t xml:space="preserve"> 3套 </w:t>
      </w:r>
      <w:r>
        <w:rPr>
          <w:rFonts w:hint="default" w:ascii="Times New Roman" w:hAnsi="Times New Roman" w:eastAsia="宋体" w:cs="Times New Roman"/>
          <w:sz w:val="24"/>
          <w:szCs w:val="24"/>
          <w:lang w:eastAsia="zh-CN"/>
        </w:rPr>
        <w:t>参选文件。</w:t>
      </w:r>
    </w:p>
    <w:p w14:paraId="2EA04904">
      <w:pPr>
        <w:pStyle w:val="2"/>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14:paraId="517FE041">
      <w:pPr>
        <w:pStyle w:val="9"/>
        <w:spacing w:line="360" w:lineRule="auto"/>
        <w:ind w:right="221" w:firstLine="476"/>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参选人须按要求进行报价</w:t>
      </w:r>
      <w:r>
        <w:rPr>
          <w:rFonts w:hint="default" w:ascii="Times New Roman" w:hAnsi="Times New Roman" w:eastAsia="宋体" w:cs="Times New Roman"/>
          <w:spacing w:val="-29"/>
          <w:sz w:val="24"/>
          <w:szCs w:val="24"/>
          <w:lang w:eastAsia="zh-CN"/>
        </w:rPr>
        <w:t>，</w:t>
      </w:r>
      <w:r>
        <w:rPr>
          <w:rFonts w:hint="default" w:ascii="Times New Roman" w:hAnsi="Times New Roman" w:eastAsia="宋体" w:cs="Times New Roman"/>
          <w:spacing w:val="-4"/>
          <w:sz w:val="24"/>
          <w:szCs w:val="24"/>
          <w:lang w:eastAsia="zh-CN"/>
        </w:rPr>
        <w:t>对参选报价负责。参选报价应加盖参选人印章，字迹清晰，否则视为无效。</w:t>
      </w:r>
    </w:p>
    <w:p w14:paraId="75E77B5F">
      <w:pPr>
        <w:pStyle w:val="2"/>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14:paraId="0C3B1BDB">
      <w:pPr>
        <w:pStyle w:val="9"/>
        <w:spacing w:line="360" w:lineRule="auto"/>
        <w:ind w:left="119" w:leftChars="54"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5"/>
          <w:sz w:val="24"/>
          <w:szCs w:val="24"/>
          <w:lang w:eastAsia="zh-CN"/>
        </w:rPr>
        <w:t>参选人承担所有与准备和参加比选有关的费用。</w:t>
      </w:r>
      <w:r>
        <w:rPr>
          <w:rFonts w:hint="default" w:ascii="Times New Roman" w:hAnsi="Times New Roman" w:eastAsia="宋体" w:cs="Times New Roman"/>
          <w:sz w:val="24"/>
          <w:szCs w:val="24"/>
          <w:lang w:eastAsia="zh-CN"/>
        </w:rPr>
        <w:t>无论比选过程中的作法和结果如何，</w:t>
      </w:r>
      <w:r>
        <w:rPr>
          <w:rFonts w:hint="default" w:ascii="Times New Roman" w:hAnsi="Times New Roman" w:eastAsia="宋体" w:cs="Times New Roman"/>
          <w:spacing w:val="-5"/>
          <w:sz w:val="24"/>
          <w:szCs w:val="24"/>
          <w:lang w:eastAsia="zh-CN"/>
        </w:rPr>
        <w:t>比选机构和比选人均无义务和责任承担这些费用，参选</w:t>
      </w:r>
      <w:r>
        <w:rPr>
          <w:rFonts w:hint="default" w:ascii="Times New Roman" w:hAnsi="Times New Roman" w:eastAsia="宋体" w:cs="Times New Roman"/>
          <w:sz w:val="24"/>
          <w:szCs w:val="24"/>
          <w:lang w:eastAsia="zh-CN"/>
        </w:rPr>
        <w:t>人应自行承担所有与参加投标有关的全部费用。</w:t>
      </w:r>
    </w:p>
    <w:p w14:paraId="38F4A04E">
      <w:pPr>
        <w:pStyle w:val="9"/>
        <w:spacing w:line="360" w:lineRule="auto"/>
        <w:ind w:left="119" w:right="224"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9"/>
          <w:sz w:val="24"/>
          <w:szCs w:val="24"/>
          <w:lang w:eastAsia="zh-CN"/>
        </w:rPr>
        <w:t>参选人收到比选文件后，如有疑问需要澄清，请以书面形式在规定时间内报比选人汇总。</w:t>
      </w:r>
    </w:p>
    <w:p w14:paraId="06BC845A">
      <w:pPr>
        <w:pStyle w:val="9"/>
        <w:spacing w:line="360" w:lineRule="auto"/>
        <w:ind w:left="119" w:right="226" w:firstLine="482"/>
        <w:jc w:val="both"/>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14:paraId="20B70A47">
      <w:pPr>
        <w:pStyle w:val="10"/>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6661059A">
      <w:pPr>
        <w:pStyle w:val="9"/>
        <w:spacing w:line="360" w:lineRule="auto"/>
        <w:ind w:right="226"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5.参选</w:t>
      </w:r>
      <w:r>
        <w:rPr>
          <w:rFonts w:hint="default" w:ascii="Times New Roman" w:hAnsi="Times New Roman" w:eastAsia="宋体" w:cs="Times New Roman"/>
          <w:bCs/>
          <w:sz w:val="24"/>
          <w:szCs w:val="24"/>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2EEDE35E">
      <w:pPr>
        <w:pStyle w:val="9"/>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22420"/>
      <w:bookmarkStart w:id="2" w:name="_Toc304357904"/>
      <w:bookmarkStart w:id="3" w:name="_Toc430488651"/>
      <w:bookmarkStart w:id="4" w:name="_Toc430488858"/>
      <w:bookmarkStart w:id="5" w:name="_Toc430492133"/>
      <w:bookmarkStart w:id="6" w:name="_Toc430489126"/>
      <w:bookmarkStart w:id="7" w:name="_Toc177186249"/>
      <w:bookmarkStart w:id="8" w:name="_Toc430490619"/>
    </w:p>
    <w:p w14:paraId="12A11C1C">
      <w:pPr>
        <w:pStyle w:val="9"/>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参选报价</w:t>
      </w:r>
      <w:bookmarkEnd w:id="0"/>
      <w:bookmarkEnd w:id="1"/>
      <w:bookmarkEnd w:id="2"/>
      <w:bookmarkEnd w:id="3"/>
      <w:bookmarkEnd w:id="4"/>
      <w:bookmarkEnd w:id="5"/>
      <w:bookmarkEnd w:id="6"/>
      <w:bookmarkEnd w:id="7"/>
      <w:bookmarkEnd w:id="8"/>
    </w:p>
    <w:p w14:paraId="4D3F9D65">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14:paraId="71B60E26">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14:paraId="6DD3D6F8">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14:paraId="7696174B">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14:paraId="4DF4B71A">
      <w:pPr>
        <w:pStyle w:val="9"/>
        <w:spacing w:line="360" w:lineRule="auto"/>
        <w:ind w:right="226" w:firstLine="480"/>
        <w:jc w:val="both"/>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lang w:eastAsia="zh-CN"/>
        </w:rPr>
        <w:t xml:space="preserve">7.5 </w:t>
      </w:r>
      <w:r>
        <w:rPr>
          <w:rFonts w:hint="default" w:ascii="Times New Roman" w:hAnsi="Times New Roman" w:eastAsia="宋体" w:cs="Times New Roman"/>
          <w:sz w:val="24"/>
          <w:szCs w:val="24"/>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215B57AF">
      <w:pPr>
        <w:pStyle w:val="9"/>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参选文件的正本和副本均需打（复）印或使用不褪色的蓝、黑墨水笔书写，字迹应清晰易于辨认，并应在投标文件封面上清楚的注明“正本”或“副本”。正本与副本如有不一致之处，则以正本为准。</w:t>
      </w:r>
    </w:p>
    <w:p w14:paraId="08C3C84C">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14:paraId="23496E06">
      <w:pPr>
        <w:pStyle w:val="35"/>
        <w:rPr>
          <w:rFonts w:hint="default" w:ascii="Times New Roman" w:hAnsi="Times New Roman" w:eastAsia="宋体" w:cs="Times New Roman"/>
          <w:b/>
          <w:sz w:val="24"/>
          <w:szCs w:val="24"/>
        </w:rPr>
      </w:pPr>
    </w:p>
    <w:p w14:paraId="13CF3056">
      <w:pPr>
        <w:pStyle w:val="2"/>
        <w:tabs>
          <w:tab w:val="left" w:pos="1488"/>
        </w:tabs>
        <w:spacing w:line="355" w:lineRule="exact"/>
        <w:ind w:left="365"/>
        <w:jc w:val="center"/>
        <w:rPr>
          <w:rFonts w:hint="default" w:ascii="Times New Roman" w:hAnsi="Times New Roman" w:eastAsia="宋体" w:cs="Times New Roman"/>
          <w:w w:val="95"/>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评选规</w:t>
      </w:r>
      <w:r>
        <w:rPr>
          <w:rFonts w:hint="default" w:ascii="Times New Roman" w:hAnsi="Times New Roman" w:eastAsia="宋体" w:cs="Times New Roman"/>
          <w:w w:val="95"/>
          <w:sz w:val="28"/>
          <w:szCs w:val="28"/>
          <w:lang w:eastAsia="zh-CN"/>
        </w:rPr>
        <w:t>则</w:t>
      </w:r>
    </w:p>
    <w:p w14:paraId="5A91970A">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14:paraId="5F332314">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1.比选人将先对参选人的资质进行评选，参选人资质符合比选人要求后，方可进行下一轮商务报价评选。</w:t>
      </w:r>
    </w:p>
    <w:p w14:paraId="50F6F42C">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14:paraId="307FBE12">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14:paraId="4FF20657">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14:paraId="1205C664">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6AA8692E">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14:paraId="37E3CBA7">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本项目设置最高控制价</w:t>
      </w:r>
      <w:r>
        <w:rPr>
          <w:rFonts w:hint="eastAsia" w:ascii="Times New Roman" w:hAnsi="Times New Roman" w:cs="Times New Roman"/>
          <w:b w:val="0"/>
          <w:bCs w:val="0"/>
          <w:sz w:val="24"/>
          <w:szCs w:val="24"/>
          <w:lang w:val="en-US" w:eastAsia="zh-CN"/>
        </w:rPr>
        <w:t>72</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000</w:t>
      </w:r>
      <w:r>
        <w:rPr>
          <w:rFonts w:hint="default" w:ascii="Times New Roman" w:hAnsi="Times New Roman" w:eastAsia="宋体" w:cs="Times New Roman"/>
          <w:b w:val="0"/>
          <w:bCs w:val="0"/>
          <w:sz w:val="24"/>
          <w:szCs w:val="24"/>
          <w:lang w:val="en-US" w:eastAsia="zh-CN"/>
        </w:rPr>
        <w:t>.00</w:t>
      </w:r>
      <w:r>
        <w:rPr>
          <w:rFonts w:hint="default" w:ascii="Times New Roman" w:hAnsi="Times New Roman" w:eastAsia="宋体" w:cs="Times New Roman"/>
          <w:b w:val="0"/>
          <w:bCs w:val="0"/>
          <w:sz w:val="24"/>
          <w:szCs w:val="24"/>
          <w:lang w:eastAsia="zh-CN"/>
        </w:rPr>
        <w:t>元</w:t>
      </w:r>
      <w:r>
        <w:rPr>
          <w:rFonts w:hint="default" w:ascii="Times New Roman" w:hAnsi="Times New Roman" w:eastAsia="宋体" w:cs="Times New Roman"/>
          <w:sz w:val="24"/>
          <w:szCs w:val="24"/>
          <w:lang w:eastAsia="zh-CN"/>
        </w:rPr>
        <w:t>。参选人所填报的</w:t>
      </w:r>
      <w:r>
        <w:rPr>
          <w:rFonts w:hint="default" w:ascii="Times New Roman" w:hAnsi="Times New Roman" w:eastAsia="宋体" w:cs="Times New Roman"/>
          <w:sz w:val="24"/>
          <w:szCs w:val="24"/>
          <w:lang w:val="en-US" w:eastAsia="zh-CN"/>
        </w:rPr>
        <w:t>包干未</w:t>
      </w:r>
      <w:r>
        <w:rPr>
          <w:rFonts w:hint="default" w:ascii="Times New Roman" w:hAnsi="Times New Roman" w:eastAsia="宋体" w:cs="Times New Roman"/>
          <w:sz w:val="24"/>
          <w:szCs w:val="24"/>
          <w:highlight w:val="none"/>
          <w:lang w:val="en-US" w:eastAsia="zh-CN"/>
        </w:rPr>
        <w:t>税</w:t>
      </w:r>
      <w:r>
        <w:rPr>
          <w:rFonts w:hint="default" w:ascii="Times New Roman" w:hAnsi="Times New Roman" w:eastAsia="宋体" w:cs="Times New Roman"/>
          <w:sz w:val="24"/>
          <w:szCs w:val="24"/>
          <w:lang w:eastAsia="zh-CN"/>
        </w:rPr>
        <w:t>报价高于本项目最高限价的，其参选将被比选小组予以否决。</w:t>
      </w:r>
    </w:p>
    <w:p w14:paraId="0E98C9B5">
      <w:pPr>
        <w:pStyle w:val="9"/>
        <w:spacing w:line="360" w:lineRule="auto"/>
        <w:ind w:left="120"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本项目采用商务报价决标的评标办法，评选委员会将对通过资格的各合格参选人，进行商务报价的评选，</w:t>
      </w:r>
      <w:r>
        <w:rPr>
          <w:rFonts w:hint="default" w:ascii="Times New Roman" w:hAnsi="Times New Roman" w:eastAsia="宋体" w:cs="Times New Roman"/>
          <w:b/>
          <w:bCs/>
          <w:sz w:val="24"/>
          <w:szCs w:val="24"/>
          <w:lang w:eastAsia="zh-CN"/>
        </w:rPr>
        <w:t>未税总价最低者作为中选单位。</w:t>
      </w:r>
    </w:p>
    <w:p w14:paraId="7AF0F4F2">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14:paraId="09C27FFA">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14:paraId="46BB203B">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14:paraId="4D9D2744">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14:paraId="053FFA3D">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14:paraId="5A6928ED">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14:paraId="256C3A86">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1.比选人将在参选文件截止日期后组织比选会，参选人选定工作在比选人有关部门监督下，由比选人依法组建的评选委员会负责。</w:t>
      </w:r>
    </w:p>
    <w:p w14:paraId="082E4BCC">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14:paraId="107BFC43">
      <w:pPr>
        <w:pStyle w:val="9"/>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14:paraId="4F3C1A3B">
      <w:pPr>
        <w:pStyle w:val="35"/>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4.业主将根据评选结果与中选人签订合同。</w:t>
      </w:r>
    </w:p>
    <w:p w14:paraId="1DF71F2D">
      <w:pPr>
        <w:pStyle w:val="2"/>
        <w:tabs>
          <w:tab w:val="left" w:pos="1632"/>
        </w:tabs>
        <w:spacing w:line="360" w:lineRule="auto"/>
        <w:ind w:left="0"/>
        <w:jc w:val="center"/>
        <w:rPr>
          <w:rFonts w:hint="default" w:ascii="Times New Roman" w:hAnsi="Times New Roman" w:eastAsia="宋体" w:cs="Times New Roman"/>
          <w:sz w:val="24"/>
          <w:szCs w:val="24"/>
          <w:lang w:eastAsia="zh-CN"/>
        </w:rPr>
      </w:pPr>
    </w:p>
    <w:p w14:paraId="3F3446C6">
      <w:pPr>
        <w:pStyle w:val="2"/>
        <w:tabs>
          <w:tab w:val="left" w:pos="1632"/>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合同授</w:t>
      </w:r>
      <w:r>
        <w:rPr>
          <w:rFonts w:hint="default" w:ascii="Times New Roman" w:hAnsi="Times New Roman" w:eastAsia="宋体" w:cs="Times New Roman"/>
          <w:w w:val="95"/>
          <w:sz w:val="28"/>
          <w:szCs w:val="28"/>
          <w:lang w:eastAsia="zh-CN"/>
        </w:rPr>
        <w:t>予</w:t>
      </w:r>
    </w:p>
    <w:p w14:paraId="32206D92">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14:paraId="53871B89">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2.中选人确定后，比选人将通知中选人，并将中选结果公示在比选人公司集团官网。</w:t>
      </w:r>
    </w:p>
    <w:p w14:paraId="2987B26F">
      <w:pPr>
        <w:pStyle w:val="9"/>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3.比选人将以书面形式通知中选人，确认其参选文件被接受。</w:t>
      </w:r>
      <w:r>
        <w:rPr>
          <w:rFonts w:hint="default" w:ascii="Times New Roman" w:hAnsi="Times New Roman" w:eastAsia="宋体" w:cs="Times New Roman"/>
          <w:spacing w:val="-2"/>
          <w:sz w:val="24"/>
          <w:szCs w:val="24"/>
          <w:lang w:eastAsia="zh-CN"/>
        </w:rPr>
        <w:t>中选通知对比选人和参选人具有法律效力。</w:t>
      </w:r>
      <w:r>
        <w:rPr>
          <w:rStyle w:val="26"/>
          <w:rFonts w:hint="eastAsia"/>
          <w:color w:val="000000" w:themeColor="text1"/>
          <w:lang w:eastAsia="zh-CN"/>
          <w14:textFill>
            <w14:solidFill>
              <w14:schemeClr w14:val="tx1"/>
            </w14:solidFill>
          </w14:textFill>
        </w:rPr>
        <w:t>福建福海创石油化工有限公司指定其权属子公司“腾龙芳烃（漳州）有限公司”</w:t>
      </w:r>
      <w:r>
        <w:rPr>
          <w:rFonts w:hint="eastAsia" w:ascii="宋体" w:hAnsi="宋体" w:eastAsia="宋体" w:cs="宋体"/>
          <w:sz w:val="24"/>
          <w:szCs w:val="24"/>
          <w:lang w:eastAsia="zh-CN"/>
        </w:rPr>
        <w:t>、</w:t>
      </w:r>
      <w:r>
        <w:rPr>
          <w:rStyle w:val="26"/>
          <w:rFonts w:hint="eastAsia"/>
          <w:color w:val="000000" w:themeColor="text1"/>
          <w:lang w:eastAsia="zh-CN"/>
          <w14:textFill>
            <w14:solidFill>
              <w14:schemeClr w14:val="tx1"/>
            </w14:solidFill>
          </w14:textFill>
        </w:rPr>
        <w:t>“</w:t>
      </w:r>
      <w:r>
        <w:rPr>
          <w:rStyle w:val="26"/>
          <w:rFonts w:hint="eastAsia" w:ascii="Times New Roman" w:hAnsi="Times New Roman" w:cs="Times New Roman"/>
          <w:color w:val="000000" w:themeColor="text1"/>
          <w:lang w:eastAsia="zh-CN"/>
          <w14:textFill>
            <w14:solidFill>
              <w14:schemeClr w14:val="tx1"/>
            </w14:solidFill>
          </w14:textFill>
        </w:rPr>
        <w:t>翔鹭码头投资管理（漳州）有限公司”</w:t>
      </w:r>
      <w:r>
        <w:rPr>
          <w:rFonts w:hint="eastAsia" w:ascii="宋体" w:hAnsi="宋体" w:eastAsia="宋体" w:cs="宋体"/>
          <w:sz w:val="24"/>
          <w:szCs w:val="24"/>
          <w:lang w:eastAsia="zh-CN"/>
        </w:rPr>
        <w:t>、</w:t>
      </w:r>
      <w:r>
        <w:rPr>
          <w:rStyle w:val="26"/>
          <w:rFonts w:hint="eastAsia"/>
          <w:color w:val="000000" w:themeColor="text1"/>
          <w:lang w:eastAsia="zh-CN"/>
          <w14:textFill>
            <w14:solidFill>
              <w14:schemeClr w14:val="tx1"/>
            </w14:solidFill>
          </w14:textFill>
        </w:rPr>
        <w:t>“翔鹭石化（漳州）有限公司”</w:t>
      </w:r>
      <w:r>
        <w:rPr>
          <w:rStyle w:val="26"/>
          <w:rFonts w:hint="eastAsia"/>
          <w:color w:val="000000" w:themeColor="text1"/>
          <w:lang w:val="en-US" w:eastAsia="zh-CN"/>
          <w14:textFill>
            <w14:solidFill>
              <w14:schemeClr w14:val="tx1"/>
            </w14:solidFill>
          </w14:textFill>
        </w:rPr>
        <w:t>和</w:t>
      </w:r>
      <w:r>
        <w:rPr>
          <w:rStyle w:val="26"/>
          <w:rFonts w:hint="eastAsia"/>
          <w:color w:val="000000" w:themeColor="text1"/>
          <w:lang w:eastAsia="zh-CN"/>
          <w14:textFill>
            <w14:solidFill>
              <w14:schemeClr w14:val="tx1"/>
            </w14:solidFill>
          </w14:textFill>
        </w:rPr>
        <w:t>“</w:t>
      </w:r>
      <w:r>
        <w:rPr>
          <w:rStyle w:val="26"/>
          <w:rFonts w:hint="eastAsia"/>
          <w:color w:val="000000" w:themeColor="text1"/>
          <w:lang w:val="en-US" w:eastAsia="zh-CN"/>
          <w14:textFill>
            <w14:solidFill>
              <w14:schemeClr w14:val="tx1"/>
            </w14:solidFill>
          </w14:textFill>
        </w:rPr>
        <w:t>福建福海创石油化工有限公司</w:t>
      </w:r>
      <w:r>
        <w:rPr>
          <w:rStyle w:val="26"/>
          <w:rFonts w:hint="eastAsia"/>
          <w:color w:val="000000" w:themeColor="text1"/>
          <w:lang w:eastAsia="zh-CN"/>
          <w14:textFill>
            <w14:solidFill>
              <w14:schemeClr w14:val="tx1"/>
            </w14:solidFill>
          </w14:textFill>
        </w:rPr>
        <w:t>”一并作为合同执行主体，</w:t>
      </w:r>
      <w:r>
        <w:rPr>
          <w:rFonts w:hint="default" w:ascii="Times New Roman" w:hAnsi="Times New Roman" w:eastAsia="宋体" w:cs="Times New Roman"/>
          <w:spacing w:val="-2"/>
          <w:sz w:val="24"/>
          <w:szCs w:val="24"/>
          <w:lang w:eastAsia="zh-CN"/>
        </w:rPr>
        <w:t>中选单位需在比选人通知中选后</w:t>
      </w:r>
      <w:r>
        <w:rPr>
          <w:rFonts w:hint="default" w:ascii="Times New Roman" w:hAnsi="Times New Roman" w:eastAsia="宋体" w:cs="Times New Roman"/>
          <w:sz w:val="24"/>
          <w:szCs w:val="24"/>
          <w:lang w:eastAsia="zh-CN"/>
        </w:rPr>
        <w:t>30</w:t>
      </w:r>
      <w:r>
        <w:rPr>
          <w:rFonts w:hint="default" w:ascii="Times New Roman" w:hAnsi="Times New Roman" w:eastAsia="宋体" w:cs="Times New Roman"/>
          <w:spacing w:val="-30"/>
          <w:sz w:val="24"/>
          <w:szCs w:val="24"/>
          <w:lang w:eastAsia="zh-CN"/>
        </w:rPr>
        <w:t>个</w:t>
      </w:r>
      <w:r>
        <w:rPr>
          <w:rFonts w:hint="default" w:ascii="Times New Roman" w:hAnsi="Times New Roman" w:eastAsia="宋体" w:cs="Times New Roman"/>
          <w:spacing w:val="-4"/>
          <w:sz w:val="24"/>
          <w:szCs w:val="24"/>
          <w:lang w:eastAsia="zh-CN"/>
        </w:rPr>
        <w:t>工作日内与比选人签订合同。若因中选单位原因未在规定的时间和地点与比选人签署合</w:t>
      </w:r>
      <w:r>
        <w:rPr>
          <w:rFonts w:hint="default" w:ascii="Times New Roman" w:hAnsi="Times New Roman" w:eastAsia="宋体" w:cs="Times New Roman"/>
          <w:spacing w:val="-10"/>
          <w:sz w:val="24"/>
          <w:szCs w:val="24"/>
          <w:lang w:eastAsia="zh-CN"/>
        </w:rPr>
        <w:t>同，比选人有权单方取消中选单位的资格。同时，由此给比选人造成的损失，比选人有权追究中选单位的全部责任。</w:t>
      </w:r>
    </w:p>
    <w:p w14:paraId="596D2C42">
      <w:pPr>
        <w:pStyle w:val="9"/>
        <w:spacing w:before="24" w:line="360" w:lineRule="auto"/>
        <w:ind w:right="22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中选人签署合同后必须履行合同要求。若因中选单位原因未在规定的时间内完成</w:t>
      </w:r>
      <w:r>
        <w:rPr>
          <w:rFonts w:hint="default" w:ascii="Times New Roman" w:hAnsi="Times New Roman" w:eastAsia="宋体" w:cs="Times New Roman"/>
          <w:spacing w:val="-14"/>
          <w:sz w:val="24"/>
          <w:szCs w:val="24"/>
          <w:lang w:eastAsia="zh-CN"/>
        </w:rPr>
        <w:t>相关工作，则比选人有权单方面取消中选单位的资格。</w:t>
      </w:r>
      <w:r>
        <w:rPr>
          <w:rFonts w:hint="default" w:ascii="Times New Roman" w:hAnsi="Times New Roman" w:eastAsia="宋体" w:cs="Times New Roman"/>
          <w:spacing w:val="-18"/>
          <w:sz w:val="24"/>
          <w:szCs w:val="24"/>
          <w:lang w:eastAsia="zh-CN"/>
        </w:rPr>
        <w:t>由此给比选人造成的损失，比选人有权追究中选方的全部责任。</w:t>
      </w:r>
    </w:p>
    <w:p w14:paraId="5C67387C">
      <w:pPr>
        <w:pStyle w:val="9"/>
        <w:spacing w:before="24" w:line="360" w:lineRule="auto"/>
        <w:ind w:right="9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14:paraId="67AB77F7">
      <w:pPr>
        <w:pStyle w:val="9"/>
        <w:spacing w:before="24" w:line="360" w:lineRule="auto"/>
        <w:ind w:right="227"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14:paraId="55734AB8">
      <w:pPr>
        <w:spacing w:line="321" w:lineRule="auto"/>
        <w:ind w:firstLine="43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default" w:ascii="Times New Roman" w:hAnsi="Times New Roman" w:eastAsia="宋体" w:cs="Times New Roman"/>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7EE9D258">
      <w:pPr>
        <w:pStyle w:val="35"/>
        <w:spacing w:line="360" w:lineRule="auto"/>
        <w:ind w:firstLine="43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8. 本合同将授予其参选文件在实质上响应比选文件要求和按本比选文件规定所确定的中选人。比选人在授予合同之前有权对参选人递交的参选文件资料进行核实，参选</w:t>
      </w:r>
      <w:r>
        <w:rPr>
          <w:rFonts w:hint="default" w:ascii="Times New Roman" w:hAnsi="Times New Roman" w:eastAsia="宋体" w:cs="Times New Roman"/>
          <w:b/>
          <w:sz w:val="24"/>
          <w:szCs w:val="24"/>
        </w:rPr>
        <w:t>人应对参选文件资料的真实性负责</w:t>
      </w:r>
      <w:r>
        <w:rPr>
          <w:rFonts w:hint="default" w:ascii="Times New Roman" w:hAnsi="Times New Roman" w:eastAsia="宋体" w:cs="Times New Roman"/>
          <w:sz w:val="24"/>
          <w:szCs w:val="24"/>
        </w:rPr>
        <w:t>，如发现其所提交的资料不真实，比选人将视其为以弄虚作假方式骗取中选，其中选无效。参选人给比选人造成损失的，应依法承担赔偿责任。</w:t>
      </w:r>
    </w:p>
    <w:p w14:paraId="20554AE7">
      <w:pPr>
        <w:pStyle w:val="2"/>
        <w:tabs>
          <w:tab w:val="left" w:pos="4344"/>
        </w:tabs>
        <w:spacing w:line="355" w:lineRule="exact"/>
        <w:ind w:left="3082"/>
        <w:rPr>
          <w:rFonts w:hint="default" w:ascii="Times New Roman" w:hAnsi="Times New Roman" w:eastAsia="宋体" w:cs="Times New Roman"/>
          <w:sz w:val="24"/>
          <w:szCs w:val="24"/>
          <w:lang w:eastAsia="zh-CN"/>
        </w:rPr>
      </w:pPr>
    </w:p>
    <w:p w14:paraId="1E0CCA69">
      <w:pPr>
        <w:pStyle w:val="2"/>
        <w:tabs>
          <w:tab w:val="left" w:pos="4344"/>
        </w:tabs>
        <w:spacing w:line="355" w:lineRule="exact"/>
        <w:ind w:left="3082"/>
        <w:rPr>
          <w:rFonts w:hint="default" w:ascii="Times New Roman" w:hAnsi="Times New Roman" w:eastAsia="宋体" w:cs="Times New Roman"/>
          <w:b w:val="0"/>
          <w:bCs w:val="0"/>
          <w:sz w:val="28"/>
          <w:szCs w:val="28"/>
          <w:lang w:eastAsia="zh-CN"/>
        </w:rPr>
      </w:pPr>
    </w:p>
    <w:p w14:paraId="4B039A14">
      <w:pPr>
        <w:pStyle w:val="2"/>
        <w:tabs>
          <w:tab w:val="left" w:pos="4344"/>
        </w:tabs>
        <w:spacing w:line="360" w:lineRule="auto"/>
        <w:ind w:left="0"/>
        <w:jc w:val="center"/>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 xml:space="preserve">第六章    </w:t>
      </w:r>
      <w:r>
        <w:rPr>
          <w:rFonts w:hint="default" w:ascii="Times New Roman" w:hAnsi="Times New Roman" w:eastAsia="宋体" w:cs="Times New Roman"/>
          <w:spacing w:val="-1"/>
          <w:w w:val="95"/>
          <w:sz w:val="28"/>
          <w:szCs w:val="28"/>
          <w:highlight w:val="none"/>
          <w:lang w:eastAsia="zh-CN"/>
        </w:rPr>
        <w:t>中选后相关</w:t>
      </w:r>
      <w:r>
        <w:rPr>
          <w:rFonts w:hint="default" w:ascii="Times New Roman" w:hAnsi="Times New Roman" w:eastAsia="宋体" w:cs="Times New Roman"/>
          <w:w w:val="95"/>
          <w:sz w:val="28"/>
          <w:szCs w:val="28"/>
          <w:highlight w:val="none"/>
          <w:lang w:eastAsia="zh-CN"/>
        </w:rPr>
        <w:t>履约要求</w:t>
      </w:r>
    </w:p>
    <w:p w14:paraId="673DC7A8">
      <w:pPr>
        <w:pStyle w:val="9"/>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7"/>
          <w:sz w:val="24"/>
          <w:szCs w:val="24"/>
          <w:lang w:eastAsia="zh-CN"/>
        </w:rPr>
        <w:t>中选单位要服从比选人的管理规定，如有违反，取消</w:t>
      </w:r>
      <w:r>
        <w:rPr>
          <w:rFonts w:hint="default" w:ascii="Times New Roman" w:hAnsi="Times New Roman" w:eastAsia="宋体" w:cs="Times New Roman"/>
          <w:spacing w:val="-13"/>
          <w:sz w:val="24"/>
          <w:szCs w:val="24"/>
          <w:lang w:eastAsia="zh-CN"/>
        </w:rPr>
        <w:t>中选单位的继续履行合同的资格，同时，由此给比选人造成的损失，比选人有权追究中选单位的全部责任。</w:t>
      </w:r>
    </w:p>
    <w:p w14:paraId="0A406DED">
      <w:pPr>
        <w:pStyle w:val="9"/>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2"/>
          <w:sz w:val="24"/>
          <w:szCs w:val="24"/>
          <w:lang w:eastAsia="zh-CN"/>
        </w:rPr>
        <w:t>中选单位必须严格执行</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single"/>
          <w:lang w:val="en-US" w:eastAsia="zh-CN"/>
        </w:rPr>
        <w:t>2025年-2026年风向杆、风向袋年度采购</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pacing w:val="-2"/>
          <w:sz w:val="24"/>
          <w:szCs w:val="24"/>
          <w:lang w:eastAsia="zh-CN"/>
        </w:rPr>
        <w:t>合同</w:t>
      </w:r>
      <w:r>
        <w:rPr>
          <w:rFonts w:hint="default" w:ascii="Times New Roman" w:hAnsi="Times New Roman" w:eastAsia="宋体" w:cs="Times New Roman"/>
          <w:sz w:val="24"/>
          <w:szCs w:val="24"/>
          <w:lang w:eastAsia="zh-CN"/>
        </w:rPr>
        <w:t>（详见附件一</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pacing w:val="-13"/>
          <w:sz w:val="24"/>
          <w:szCs w:val="24"/>
          <w:lang w:eastAsia="zh-CN"/>
        </w:rPr>
        <w:t>、《承诺函》</w:t>
      </w:r>
      <w:r>
        <w:rPr>
          <w:rFonts w:hint="default" w:ascii="Times New Roman" w:hAnsi="Times New Roman" w:eastAsia="宋体" w:cs="Times New Roman"/>
          <w:sz w:val="24"/>
          <w:szCs w:val="24"/>
          <w:lang w:eastAsia="zh-CN"/>
        </w:rPr>
        <w:t>（详见附件二</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z w:val="24"/>
          <w:szCs w:val="24"/>
          <w:lang w:eastAsia="zh-CN"/>
        </w:rPr>
        <w:t>的规定。</w:t>
      </w:r>
    </w:p>
    <w:p w14:paraId="1813C716">
      <w:pPr>
        <w:pStyle w:val="9"/>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中选单位需遵守比选人的各项管理规章制度。如违反相关条例者则按福建福海创石油化工有限公司相应条款进行处罚。</w:t>
      </w:r>
    </w:p>
    <w:p w14:paraId="2F9D2657">
      <w:pPr>
        <w:pStyle w:val="2"/>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14:paraId="4A6E4683">
      <w:pPr>
        <w:pStyle w:val="2"/>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14:paraId="3466FEA8">
      <w:pPr>
        <w:pStyle w:val="2"/>
        <w:tabs>
          <w:tab w:val="left" w:pos="1912"/>
        </w:tabs>
        <w:spacing w:line="355"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其</w:t>
      </w:r>
      <w:r>
        <w:rPr>
          <w:rFonts w:hint="default" w:ascii="Times New Roman" w:hAnsi="Times New Roman" w:eastAsia="宋体" w:cs="Times New Roman"/>
          <w:w w:val="95"/>
          <w:sz w:val="24"/>
          <w:szCs w:val="24"/>
          <w:lang w:eastAsia="zh-CN"/>
        </w:rPr>
        <w:t>它</w:t>
      </w:r>
    </w:p>
    <w:p w14:paraId="57F31C7C">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参选人提交的文件将给予保密，参选人的参选文件无论其是否中选，均不退回。</w:t>
      </w:r>
    </w:p>
    <w:p w14:paraId="4AB2FAA3">
      <w:pPr>
        <w:pStyle w:val="9"/>
        <w:spacing w:before="108"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14:paraId="1DF5254C">
      <w:pPr>
        <w:pStyle w:val="9"/>
        <w:spacing w:before="106"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w:t>
      </w:r>
      <w:r>
        <w:rPr>
          <w:rFonts w:hint="default" w:ascii="Times New Roman" w:hAnsi="Times New Roman" w:eastAsia="宋体" w:cs="Times New Roman"/>
          <w:spacing w:val="-6"/>
          <w:sz w:val="24"/>
          <w:szCs w:val="24"/>
          <w:lang w:eastAsia="zh-CN"/>
        </w:rPr>
        <w:t>福建福海创石油化工</w:t>
      </w:r>
      <w:r>
        <w:rPr>
          <w:rFonts w:hint="default" w:ascii="Times New Roman" w:hAnsi="Times New Roman" w:eastAsia="宋体" w:cs="Times New Roman"/>
          <w:sz w:val="24"/>
          <w:szCs w:val="24"/>
          <w:lang w:eastAsia="zh-CN"/>
        </w:rPr>
        <w:t>有限公司。</w:t>
      </w:r>
    </w:p>
    <w:p w14:paraId="7DA999CF">
      <w:pPr>
        <w:pStyle w:val="9"/>
        <w:spacing w:before="106" w:line="360" w:lineRule="auto"/>
        <w:ind w:left="567"/>
        <w:rPr>
          <w:lang w:eastAsia="zh-CN"/>
        </w:rPr>
      </w:pPr>
      <w:r>
        <w:rPr>
          <w:lang w:eastAsia="zh-CN"/>
        </w:rPr>
        <w:br w:type="page"/>
      </w:r>
    </w:p>
    <w:p w14:paraId="75EC8DE4">
      <w:pPr>
        <w:pStyle w:val="9"/>
        <w:rPr>
          <w:rFonts w:ascii="Times New Roman"/>
          <w:b/>
          <w:bCs/>
          <w:lang w:eastAsia="zh-CN"/>
        </w:rPr>
      </w:pPr>
      <w:r>
        <w:rPr>
          <w:rFonts w:hint="eastAsia" w:ascii="Times New Roman"/>
          <w:b/>
          <w:bCs/>
          <w:lang w:eastAsia="zh-CN"/>
        </w:rPr>
        <w:t>附件一、</w:t>
      </w:r>
    </w:p>
    <w:p w14:paraId="1A4CA614">
      <w:pPr>
        <w:spacing w:line="440" w:lineRule="exact"/>
        <w:jc w:val="center"/>
        <w:rPr>
          <w:rFonts w:hint="default" w:ascii="宋体" w:hAnsi="Calibri" w:eastAsia="宋体" w:cs="Times New Roman"/>
          <w:b/>
          <w:sz w:val="32"/>
          <w:szCs w:val="32"/>
          <w:lang w:val="en-US" w:eastAsia="zh-CN" w:bidi="ar-SA"/>
        </w:rPr>
      </w:pPr>
      <w:bookmarkStart w:id="9" w:name="_Toc251742852"/>
      <w:r>
        <w:rPr>
          <w:rFonts w:hint="default" w:ascii="宋体" w:hAnsi="Calibri" w:eastAsia="宋体" w:cs="Times New Roman"/>
          <w:b/>
          <w:sz w:val="32"/>
          <w:szCs w:val="32"/>
          <w:lang w:val="en-US" w:eastAsia="zh-CN" w:bidi="ar-SA"/>
        </w:rPr>
        <w:t>翔鹭码头投资管理（漳州）有限公司</w:t>
      </w:r>
    </w:p>
    <w:p w14:paraId="30D380C1">
      <w:pPr>
        <w:pStyle w:val="35"/>
        <w:spacing w:line="440" w:lineRule="exact"/>
        <w:jc w:val="center"/>
        <w:rPr>
          <w:b/>
          <w:sz w:val="32"/>
          <w:szCs w:val="32"/>
        </w:rPr>
      </w:pPr>
      <w:r>
        <w:rPr>
          <w:rFonts w:hint="default" w:cs="Times New Roman"/>
          <w:b/>
          <w:sz w:val="32"/>
          <w:szCs w:val="32"/>
          <w:u w:val="single"/>
          <w:lang w:eastAsia="zh-CN"/>
        </w:rPr>
        <w:t xml:space="preserve"> </w:t>
      </w:r>
      <w:r>
        <w:rPr>
          <w:rFonts w:hint="eastAsia" w:cs="Times New Roman"/>
          <w:b/>
          <w:sz w:val="32"/>
          <w:szCs w:val="32"/>
          <w:u w:val="single"/>
          <w:lang w:val="en-US" w:eastAsia="zh-CN"/>
        </w:rPr>
        <w:t>2025年-2026年风向杆、风向袋年度采购</w:t>
      </w:r>
      <w:r>
        <w:rPr>
          <w:rFonts w:hint="eastAsia"/>
          <w:b/>
          <w:sz w:val="32"/>
          <w:szCs w:val="32"/>
        </w:rPr>
        <w:t>合同</w:t>
      </w:r>
    </w:p>
    <w:tbl>
      <w:tblPr>
        <w:tblStyle w:val="24"/>
        <w:tblW w:w="9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8"/>
        <w:gridCol w:w="1418"/>
        <w:gridCol w:w="3399"/>
      </w:tblGrid>
      <w:tr w14:paraId="12B7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8" w:type="dxa"/>
            <w:shd w:val="clear" w:color="auto" w:fill="auto"/>
            <w:vAlign w:val="top"/>
          </w:tcPr>
          <w:p w14:paraId="271C2DDB">
            <w:pPr>
              <w:spacing w:line="440" w:lineRule="exact"/>
              <w:jc w:val="both"/>
              <w:rPr>
                <w:rFonts w:hint="default" w:ascii="宋体" w:hAnsi="Calibri" w:eastAsia="宋体" w:cs="Times New Roman"/>
                <w:b w:val="0"/>
                <w:bCs/>
                <w:sz w:val="24"/>
                <w:szCs w:val="24"/>
                <w:lang w:val="en-US" w:eastAsia="zh-CN" w:bidi="ar-SA"/>
              </w:rPr>
            </w:pPr>
            <w:r>
              <w:rPr>
                <w:rFonts w:hint="eastAsia" w:ascii="宋体" w:hAnsi="Calibri" w:eastAsia="宋体" w:cs="Times New Roman"/>
                <w:b/>
                <w:bCs w:val="0"/>
                <w:sz w:val="24"/>
                <w:szCs w:val="24"/>
                <w:lang w:val="en-US" w:eastAsia="zh-CN" w:bidi="ar-SA"/>
              </w:rPr>
              <w:t>甲方：</w:t>
            </w:r>
            <w:r>
              <w:rPr>
                <w:rFonts w:hint="eastAsia" w:ascii="宋体" w:hAnsi="Calibri" w:eastAsia="宋体" w:cs="Times New Roman"/>
                <w:b w:val="0"/>
                <w:bCs/>
                <w:sz w:val="24"/>
                <w:szCs w:val="24"/>
                <w:lang w:val="en-US" w:eastAsia="zh-CN" w:bidi="ar-SA"/>
              </w:rPr>
              <w:t>福建福海创石油化工有限公司</w:t>
            </w:r>
            <w:r>
              <w:rPr>
                <w:rFonts w:hint="eastAsia" w:hAnsi="Calibri" w:cs="Times New Roman"/>
                <w:b w:val="0"/>
                <w:bCs/>
                <w:sz w:val="24"/>
                <w:szCs w:val="24"/>
                <w:lang w:val="en-US" w:eastAsia="zh-CN" w:bidi="ar-SA"/>
              </w:rPr>
              <w:t xml:space="preserve">  </w:t>
            </w:r>
          </w:p>
        </w:tc>
        <w:tc>
          <w:tcPr>
            <w:tcW w:w="1418" w:type="dxa"/>
          </w:tcPr>
          <w:p w14:paraId="44852F8B">
            <w:pPr>
              <w:spacing w:line="440" w:lineRule="exact"/>
              <w:jc w:val="both"/>
              <w:rPr>
                <w:rFonts w:hint="eastAsia" w:ascii="宋体" w:hAnsi="Calibri" w:eastAsia="宋体" w:cs="Times New Roman"/>
                <w:b w:val="0"/>
                <w:bCs/>
                <w:sz w:val="24"/>
                <w:szCs w:val="24"/>
                <w:lang w:val="en-US" w:eastAsia="zh-CN" w:bidi="ar-SA"/>
              </w:rPr>
            </w:pPr>
            <w:r>
              <w:rPr>
                <w:rFonts w:hint="eastAsia" w:ascii="宋体" w:hAnsi="Calibri" w:eastAsia="宋体" w:cs="Times New Roman"/>
                <w:b w:val="0"/>
                <w:bCs/>
                <w:sz w:val="24"/>
                <w:szCs w:val="24"/>
                <w:lang w:val="en-US" w:eastAsia="zh-CN" w:bidi="ar-SA"/>
              </w:rPr>
              <w:t>合同编号：</w:t>
            </w:r>
          </w:p>
        </w:tc>
        <w:tc>
          <w:tcPr>
            <w:tcW w:w="3399" w:type="dxa"/>
          </w:tcPr>
          <w:p w14:paraId="7F75CC9E">
            <w:pPr>
              <w:spacing w:line="440" w:lineRule="exact"/>
              <w:ind w:left="0" w:leftChars="0" w:firstLine="698" w:firstLineChars="291"/>
              <w:jc w:val="both"/>
              <w:rPr>
                <w:rFonts w:hint="eastAsia" w:ascii="宋体" w:hAnsi="Calibri" w:eastAsia="宋体" w:cs="Times New Roman"/>
                <w:b w:val="0"/>
                <w:bCs/>
                <w:sz w:val="24"/>
                <w:szCs w:val="24"/>
                <w:lang w:val="en-US" w:eastAsia="zh-CN" w:bidi="ar-SA"/>
              </w:rPr>
            </w:pPr>
          </w:p>
        </w:tc>
      </w:tr>
      <w:tr w14:paraId="57D6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8" w:type="dxa"/>
            <w:shd w:val="clear" w:color="auto" w:fill="auto"/>
            <w:vAlign w:val="top"/>
          </w:tcPr>
          <w:p w14:paraId="1CCAAFC6">
            <w:pPr>
              <w:spacing w:line="440" w:lineRule="exact"/>
              <w:ind w:left="0" w:leftChars="0" w:firstLine="698" w:firstLineChars="291"/>
              <w:jc w:val="both"/>
              <w:rPr>
                <w:rFonts w:hint="default" w:ascii="宋体" w:hAnsi="Calibri" w:eastAsia="宋体" w:cs="Times New Roman"/>
                <w:b w:val="0"/>
                <w:bCs/>
                <w:sz w:val="24"/>
                <w:szCs w:val="24"/>
                <w:lang w:val="en-US" w:eastAsia="zh-CN" w:bidi="ar-SA"/>
              </w:rPr>
            </w:pPr>
            <w:r>
              <w:rPr>
                <w:rFonts w:hint="eastAsia" w:ascii="宋体" w:hAnsi="Calibri" w:eastAsia="宋体" w:cs="Times New Roman"/>
                <w:b w:val="0"/>
                <w:bCs/>
                <w:sz w:val="24"/>
                <w:szCs w:val="24"/>
                <w:lang w:val="en-US" w:eastAsia="zh-CN" w:bidi="ar-SA"/>
              </w:rPr>
              <w:t>腾龙芳烃（漳州）有限公司</w:t>
            </w:r>
          </w:p>
        </w:tc>
        <w:tc>
          <w:tcPr>
            <w:tcW w:w="1418" w:type="dxa"/>
          </w:tcPr>
          <w:p w14:paraId="03FE3797">
            <w:pPr>
              <w:spacing w:line="440" w:lineRule="exact"/>
              <w:jc w:val="both"/>
              <w:rPr>
                <w:rFonts w:hint="eastAsia" w:ascii="宋体" w:hAnsi="Calibri" w:eastAsia="宋体" w:cs="Times New Roman"/>
                <w:b w:val="0"/>
                <w:bCs/>
                <w:sz w:val="24"/>
                <w:szCs w:val="24"/>
                <w:lang w:val="en-US" w:eastAsia="zh-CN" w:bidi="ar-SA"/>
              </w:rPr>
            </w:pPr>
            <w:r>
              <w:rPr>
                <w:rFonts w:hint="eastAsia" w:ascii="宋体" w:hAnsi="Calibri" w:eastAsia="宋体" w:cs="Times New Roman"/>
                <w:b w:val="0"/>
                <w:bCs/>
                <w:sz w:val="24"/>
                <w:szCs w:val="24"/>
                <w:lang w:val="en-US" w:eastAsia="zh-CN" w:bidi="ar-SA"/>
              </w:rPr>
              <w:t>签订地点：</w:t>
            </w:r>
          </w:p>
        </w:tc>
        <w:tc>
          <w:tcPr>
            <w:tcW w:w="3399" w:type="dxa"/>
          </w:tcPr>
          <w:p w14:paraId="607721E4">
            <w:pPr>
              <w:spacing w:line="440" w:lineRule="exact"/>
              <w:ind w:left="0" w:leftChars="0" w:firstLine="698" w:firstLineChars="291"/>
              <w:jc w:val="both"/>
              <w:rPr>
                <w:rFonts w:hint="eastAsia" w:ascii="宋体" w:hAnsi="Calibri" w:eastAsia="宋体" w:cs="Times New Roman"/>
                <w:b w:val="0"/>
                <w:bCs/>
                <w:sz w:val="24"/>
                <w:szCs w:val="24"/>
                <w:lang w:val="en-US" w:eastAsia="zh-CN" w:bidi="ar-SA"/>
              </w:rPr>
            </w:pPr>
          </w:p>
        </w:tc>
      </w:tr>
      <w:tr w14:paraId="2ACA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8" w:type="dxa"/>
            <w:shd w:val="clear" w:color="auto" w:fill="auto"/>
            <w:vAlign w:val="top"/>
          </w:tcPr>
          <w:p w14:paraId="3AEEA5BA">
            <w:pPr>
              <w:spacing w:line="440" w:lineRule="exact"/>
              <w:ind w:firstLine="720" w:firstLineChars="300"/>
              <w:jc w:val="both"/>
              <w:rPr>
                <w:rFonts w:hint="default" w:ascii="宋体" w:hAnsi="Calibri" w:eastAsia="宋体" w:cs="Times New Roman"/>
                <w:b w:val="0"/>
                <w:bCs/>
                <w:sz w:val="24"/>
                <w:szCs w:val="24"/>
                <w:lang w:val="en-US" w:eastAsia="zh-CN" w:bidi="ar-SA"/>
              </w:rPr>
            </w:pPr>
            <w:r>
              <w:rPr>
                <w:rFonts w:hint="eastAsia" w:ascii="宋体" w:hAnsi="Calibri" w:eastAsia="宋体" w:cs="Times New Roman"/>
                <w:b w:val="0"/>
                <w:bCs/>
                <w:sz w:val="24"/>
                <w:szCs w:val="24"/>
                <w:lang w:val="en-US" w:eastAsia="zh-CN" w:bidi="ar-SA"/>
              </w:rPr>
              <w:t>翔鹭石化（漳州）有限公司</w:t>
            </w:r>
          </w:p>
        </w:tc>
        <w:tc>
          <w:tcPr>
            <w:tcW w:w="1418" w:type="dxa"/>
          </w:tcPr>
          <w:p w14:paraId="45BD6FFC">
            <w:pPr>
              <w:spacing w:line="440" w:lineRule="exact"/>
              <w:jc w:val="both"/>
              <w:rPr>
                <w:rFonts w:hint="eastAsia" w:ascii="宋体" w:hAnsi="Calibri" w:eastAsia="宋体" w:cs="Times New Roman"/>
                <w:b w:val="0"/>
                <w:bCs/>
                <w:sz w:val="24"/>
                <w:szCs w:val="24"/>
                <w:lang w:val="en-US" w:eastAsia="zh-CN" w:bidi="ar-SA"/>
              </w:rPr>
            </w:pPr>
            <w:r>
              <w:rPr>
                <w:rFonts w:hint="eastAsia" w:ascii="宋体" w:hAnsi="Calibri" w:eastAsia="宋体" w:cs="Times New Roman"/>
                <w:b w:val="0"/>
                <w:bCs/>
                <w:sz w:val="24"/>
                <w:szCs w:val="24"/>
                <w:lang w:val="en-US" w:eastAsia="zh-CN" w:bidi="ar-SA"/>
              </w:rPr>
              <w:t>签订日期：</w:t>
            </w:r>
          </w:p>
        </w:tc>
        <w:tc>
          <w:tcPr>
            <w:tcW w:w="3399" w:type="dxa"/>
          </w:tcPr>
          <w:p w14:paraId="7206470D">
            <w:pPr>
              <w:spacing w:line="440" w:lineRule="exact"/>
              <w:ind w:left="0" w:leftChars="0" w:firstLine="698" w:firstLineChars="291"/>
              <w:jc w:val="both"/>
              <w:rPr>
                <w:rFonts w:hint="eastAsia" w:ascii="宋体" w:hAnsi="Calibri" w:eastAsia="宋体" w:cs="Times New Roman"/>
                <w:b w:val="0"/>
                <w:bCs/>
                <w:sz w:val="24"/>
                <w:szCs w:val="24"/>
                <w:lang w:val="en-US" w:eastAsia="zh-CN" w:bidi="ar-SA"/>
              </w:rPr>
            </w:pPr>
          </w:p>
        </w:tc>
      </w:tr>
      <w:tr w14:paraId="460C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8" w:type="dxa"/>
            <w:shd w:val="clear" w:color="auto" w:fill="auto"/>
            <w:vAlign w:val="top"/>
          </w:tcPr>
          <w:p w14:paraId="4DB365D2">
            <w:pPr>
              <w:spacing w:line="360" w:lineRule="auto"/>
              <w:ind w:firstLine="720" w:firstLineChars="300"/>
              <w:jc w:val="both"/>
              <w:rPr>
                <w:rFonts w:hint="eastAsia" w:ascii="宋体" w:hAnsi="宋体" w:eastAsia="宋体" w:cs="宋体"/>
                <w:b w:val="0"/>
                <w:bCs/>
                <w:sz w:val="24"/>
                <w:szCs w:val="22"/>
                <w:lang w:val="en-US" w:eastAsia="zh-CN" w:bidi="ar-SA"/>
              </w:rPr>
            </w:pPr>
            <w:r>
              <w:rPr>
                <w:rFonts w:hint="eastAsia"/>
                <w:b w:val="0"/>
                <w:bCs/>
                <w:sz w:val="24"/>
                <w:lang w:eastAsia="zh-CN"/>
              </w:rPr>
              <w:t>翔鹭码头投资管理（漳州）有限公司</w:t>
            </w:r>
          </w:p>
        </w:tc>
        <w:tc>
          <w:tcPr>
            <w:tcW w:w="1418" w:type="dxa"/>
          </w:tcPr>
          <w:p w14:paraId="24074EEE">
            <w:pPr>
              <w:spacing w:line="360" w:lineRule="auto"/>
              <w:jc w:val="both"/>
              <w:rPr>
                <w:rFonts w:hint="eastAsia"/>
                <w:szCs w:val="21"/>
              </w:rPr>
            </w:pPr>
          </w:p>
        </w:tc>
        <w:tc>
          <w:tcPr>
            <w:tcW w:w="3399" w:type="dxa"/>
          </w:tcPr>
          <w:p w14:paraId="38EE84FC">
            <w:pPr>
              <w:spacing w:line="360" w:lineRule="auto"/>
              <w:jc w:val="both"/>
              <w:rPr>
                <w:sz w:val="24"/>
              </w:rPr>
            </w:pPr>
          </w:p>
        </w:tc>
      </w:tr>
      <w:tr w14:paraId="2962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8" w:type="dxa"/>
            <w:shd w:val="clear" w:color="auto" w:fill="auto"/>
            <w:vAlign w:val="top"/>
          </w:tcPr>
          <w:p w14:paraId="43D85D12">
            <w:pPr>
              <w:spacing w:line="360" w:lineRule="auto"/>
              <w:jc w:val="both"/>
              <w:rPr>
                <w:rFonts w:hint="eastAsia" w:ascii="宋体" w:hAnsi="宋体" w:eastAsia="宋体" w:cs="宋体"/>
                <w:b/>
                <w:bCs/>
                <w:sz w:val="24"/>
                <w:szCs w:val="22"/>
                <w:lang w:val="en-US" w:eastAsia="zh-CN" w:bidi="ar-SA"/>
              </w:rPr>
            </w:pPr>
            <w:r>
              <w:rPr>
                <w:rFonts w:hint="eastAsia"/>
                <w:b/>
                <w:bCs/>
                <w:sz w:val="24"/>
                <w:lang w:val="en-US" w:eastAsia="zh-CN"/>
              </w:rPr>
              <w:t>乙方</w:t>
            </w:r>
            <w:r>
              <w:rPr>
                <w:rFonts w:hint="eastAsia"/>
                <w:b/>
                <w:bCs/>
                <w:sz w:val="24"/>
                <w:lang w:eastAsia="zh-CN"/>
              </w:rPr>
              <w:t>：</w:t>
            </w:r>
          </w:p>
        </w:tc>
        <w:tc>
          <w:tcPr>
            <w:tcW w:w="1418" w:type="dxa"/>
          </w:tcPr>
          <w:p w14:paraId="67C5E700">
            <w:pPr>
              <w:spacing w:line="360" w:lineRule="auto"/>
              <w:jc w:val="both"/>
              <w:rPr>
                <w:rFonts w:hint="eastAsia"/>
                <w:szCs w:val="21"/>
              </w:rPr>
            </w:pPr>
          </w:p>
        </w:tc>
        <w:tc>
          <w:tcPr>
            <w:tcW w:w="3399" w:type="dxa"/>
          </w:tcPr>
          <w:p w14:paraId="7BC0FC1A">
            <w:pPr>
              <w:spacing w:line="360" w:lineRule="auto"/>
              <w:jc w:val="both"/>
              <w:rPr>
                <w:sz w:val="24"/>
              </w:rPr>
            </w:pPr>
          </w:p>
        </w:tc>
      </w:tr>
    </w:tbl>
    <w:p w14:paraId="44218907">
      <w:pPr>
        <w:spacing w:line="360" w:lineRule="auto"/>
        <w:ind w:firstLine="480" w:firstLineChars="200"/>
        <w:rPr>
          <w:rFonts w:hint="eastAsia" w:asciiTheme="majorEastAsia" w:hAnsiTheme="majorEastAsia" w:eastAsiaTheme="majorEastAsia"/>
          <w:sz w:val="24"/>
          <w:lang w:eastAsia="zh-CN"/>
        </w:rPr>
      </w:pPr>
    </w:p>
    <w:p w14:paraId="7F5B1BDB">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23"/>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291"/>
        <w:gridCol w:w="3266"/>
        <w:gridCol w:w="684"/>
        <w:gridCol w:w="700"/>
        <w:gridCol w:w="1216"/>
        <w:gridCol w:w="883"/>
        <w:gridCol w:w="1140"/>
      </w:tblGrid>
      <w:tr w14:paraId="0FF32ED3">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92C5687">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291" w:type="dxa"/>
            <w:tcBorders>
              <w:top w:val="single" w:color="auto" w:sz="4" w:space="0"/>
              <w:left w:val="nil"/>
              <w:bottom w:val="single" w:color="auto" w:sz="4" w:space="0"/>
              <w:right w:val="single" w:color="auto" w:sz="4" w:space="0"/>
            </w:tcBorders>
            <w:shd w:val="clear" w:color="auto" w:fill="auto"/>
            <w:vAlign w:val="center"/>
          </w:tcPr>
          <w:p w14:paraId="7F1A12BE">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3266" w:type="dxa"/>
            <w:tcBorders>
              <w:top w:val="single" w:color="auto" w:sz="4" w:space="0"/>
              <w:left w:val="nil"/>
              <w:bottom w:val="single" w:color="auto" w:sz="4" w:space="0"/>
              <w:right w:val="single" w:color="auto" w:sz="4" w:space="0"/>
            </w:tcBorders>
            <w:shd w:val="clear" w:color="auto" w:fill="auto"/>
            <w:vAlign w:val="center"/>
          </w:tcPr>
          <w:p w14:paraId="7B9E18F5">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684" w:type="dxa"/>
            <w:tcBorders>
              <w:top w:val="single" w:color="auto" w:sz="4" w:space="0"/>
              <w:left w:val="nil"/>
              <w:bottom w:val="single" w:color="auto" w:sz="4" w:space="0"/>
              <w:right w:val="single" w:color="auto" w:sz="4" w:space="0"/>
            </w:tcBorders>
            <w:shd w:val="clear" w:color="auto" w:fill="auto"/>
            <w:vAlign w:val="center"/>
          </w:tcPr>
          <w:p w14:paraId="5CE2C9AE">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14:paraId="5982B6DA">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1216" w:type="dxa"/>
            <w:tcBorders>
              <w:top w:val="single" w:color="auto" w:sz="4" w:space="0"/>
              <w:left w:val="nil"/>
              <w:bottom w:val="single" w:color="auto" w:sz="4" w:space="0"/>
              <w:right w:val="single" w:color="auto" w:sz="4" w:space="0"/>
            </w:tcBorders>
            <w:shd w:val="clear" w:color="auto" w:fill="auto"/>
            <w:vAlign w:val="top"/>
          </w:tcPr>
          <w:p w14:paraId="5BBE67F3">
            <w:pPr>
              <w:widowControl/>
              <w:autoSpaceDE/>
              <w:autoSpaceDN/>
              <w:jc w:val="center"/>
              <w:rPr>
                <w:rFonts w:asciiTheme="majorEastAsia" w:hAnsiTheme="majorEastAsia" w:eastAsiaTheme="majorEastAsia"/>
                <w:b w:val="0"/>
                <w:bCs w:val="0"/>
                <w:sz w:val="21"/>
                <w:szCs w:val="21"/>
                <w:lang w:eastAsia="zh-CN"/>
              </w:rPr>
            </w:pPr>
            <w:r>
              <w:rPr>
                <w:rFonts w:hint="eastAsia" w:asciiTheme="majorEastAsia" w:hAnsiTheme="majorEastAsia" w:eastAsiaTheme="majorEastAsia"/>
                <w:b w:val="0"/>
                <w:bCs w:val="0"/>
                <w:sz w:val="21"/>
                <w:szCs w:val="21"/>
                <w:lang w:eastAsia="zh-CN"/>
              </w:rPr>
              <w:t>单价</w:t>
            </w:r>
          </w:p>
          <w:p w14:paraId="2B5AC599">
            <w:pPr>
              <w:pStyle w:val="35"/>
              <w:jc w:val="center"/>
              <w:rPr>
                <w:rFonts w:asciiTheme="majorEastAsia" w:hAnsiTheme="majorEastAsia" w:eastAsiaTheme="majorEastAsia"/>
                <w:sz w:val="21"/>
                <w:szCs w:val="21"/>
              </w:rPr>
            </w:pPr>
            <w:r>
              <w:rPr>
                <w:rFonts w:hint="eastAsia" w:cs="宋体" w:asciiTheme="majorEastAsia" w:hAnsiTheme="majorEastAsia" w:eastAsiaTheme="majorEastAsia"/>
                <w:b w:val="0"/>
                <w:bCs w:val="0"/>
                <w:sz w:val="21"/>
                <w:szCs w:val="21"/>
                <w:lang w:val="en-US" w:eastAsia="zh-CN" w:bidi="ar-SA"/>
              </w:rPr>
              <w:t>（元/张）</w:t>
            </w:r>
          </w:p>
        </w:tc>
        <w:tc>
          <w:tcPr>
            <w:tcW w:w="883" w:type="dxa"/>
            <w:tcBorders>
              <w:top w:val="single" w:color="auto" w:sz="4" w:space="0"/>
              <w:left w:val="nil"/>
              <w:bottom w:val="single" w:color="auto" w:sz="4" w:space="0"/>
              <w:right w:val="single" w:color="auto" w:sz="4" w:space="0"/>
            </w:tcBorders>
            <w:shd w:val="clear" w:color="auto" w:fill="auto"/>
            <w:vAlign w:val="center"/>
          </w:tcPr>
          <w:p w14:paraId="4C1CD24A">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14:paraId="4BDE6C35">
            <w:pPr>
              <w:pStyle w:val="35"/>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140" w:type="dxa"/>
            <w:tcBorders>
              <w:top w:val="single" w:color="auto" w:sz="4" w:space="0"/>
              <w:left w:val="nil"/>
              <w:bottom w:val="single" w:color="auto" w:sz="4" w:space="0"/>
              <w:right w:val="single" w:color="auto" w:sz="4" w:space="0"/>
            </w:tcBorders>
            <w:shd w:val="clear" w:color="auto" w:fill="auto"/>
            <w:vAlign w:val="center"/>
          </w:tcPr>
          <w:p w14:paraId="22FC849B">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14:paraId="666FBA7A">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CAF612E">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w:t>
            </w:r>
          </w:p>
        </w:tc>
        <w:tc>
          <w:tcPr>
            <w:tcW w:w="1291" w:type="dxa"/>
            <w:tcBorders>
              <w:top w:val="single" w:color="auto" w:sz="4" w:space="0"/>
              <w:left w:val="nil"/>
              <w:bottom w:val="single" w:color="auto" w:sz="4" w:space="0"/>
              <w:right w:val="single" w:color="auto" w:sz="4" w:space="0"/>
            </w:tcBorders>
            <w:shd w:val="clear" w:color="auto" w:fill="auto"/>
            <w:vAlign w:val="center"/>
          </w:tcPr>
          <w:p w14:paraId="61606BF1">
            <w:pPr>
              <w:widowControl/>
              <w:autoSpaceDE/>
              <w:autoSpaceDN/>
              <w:jc w:val="center"/>
              <w:rPr>
                <w:rFonts w:hint="eastAsia" w:asciiTheme="majorEastAsia" w:hAnsiTheme="majorEastAsia" w:eastAsiaTheme="majorEastAsia"/>
                <w:sz w:val="21"/>
                <w:szCs w:val="21"/>
                <w:lang w:eastAsia="zh-CN"/>
              </w:rPr>
            </w:pPr>
            <w:r>
              <w:rPr>
                <w:rFonts w:hint="eastAsia" w:ascii="宋体" w:hAnsi="宋体" w:eastAsia="宋体" w:cs="宋体"/>
                <w:sz w:val="21"/>
                <w:szCs w:val="21"/>
                <w:lang w:val="en-US" w:eastAsia="zh-CN"/>
              </w:rPr>
              <w:t>风向杆</w:t>
            </w:r>
          </w:p>
        </w:tc>
        <w:tc>
          <w:tcPr>
            <w:tcW w:w="3266" w:type="dxa"/>
            <w:tcBorders>
              <w:top w:val="single" w:color="auto" w:sz="4" w:space="0"/>
              <w:left w:val="nil"/>
              <w:bottom w:val="single" w:color="auto" w:sz="4" w:space="0"/>
              <w:right w:val="single" w:color="auto" w:sz="4" w:space="0"/>
            </w:tcBorders>
            <w:shd w:val="clear" w:color="auto" w:fill="auto"/>
            <w:vAlign w:val="center"/>
          </w:tcPr>
          <w:p w14:paraId="24431417">
            <w:pPr>
              <w:widowControl/>
              <w:autoSpaceDE/>
              <w:autoSpaceDN/>
              <w:jc w:val="center"/>
              <w:rPr>
                <w:rFonts w:hint="eastAsia" w:asciiTheme="majorEastAsia" w:hAnsiTheme="majorEastAsia" w:eastAsiaTheme="majorEastAsia"/>
                <w:sz w:val="21"/>
                <w:szCs w:val="21"/>
                <w:lang w:eastAsia="zh-CN"/>
              </w:rPr>
            </w:pPr>
            <w:r>
              <w:rPr>
                <w:rFonts w:hint="eastAsia" w:ascii="宋体" w:hAnsi="宋体" w:eastAsia="宋体" w:cs="宋体"/>
                <w:kern w:val="2"/>
                <w:sz w:val="21"/>
                <w:szCs w:val="21"/>
                <w:lang w:val="en-US" w:eastAsia="zh-CN" w:bidi="ar-SA"/>
              </w:rPr>
              <w:t>总高1.2m，管径不小于40mm，厚度不小于2mm；顶部球直径不小于43.2mm；底座不小于：12.5cm×12.5cm，厚度不小于8mm</w:t>
            </w:r>
          </w:p>
        </w:tc>
        <w:tc>
          <w:tcPr>
            <w:tcW w:w="684" w:type="dxa"/>
            <w:tcBorders>
              <w:top w:val="single" w:color="auto" w:sz="4" w:space="0"/>
              <w:left w:val="nil"/>
              <w:bottom w:val="single" w:color="auto" w:sz="4" w:space="0"/>
              <w:right w:val="single" w:color="auto" w:sz="4" w:space="0"/>
            </w:tcBorders>
            <w:shd w:val="clear" w:color="auto" w:fill="auto"/>
            <w:vAlign w:val="center"/>
          </w:tcPr>
          <w:p w14:paraId="3579873D">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套</w:t>
            </w:r>
          </w:p>
        </w:tc>
        <w:tc>
          <w:tcPr>
            <w:tcW w:w="700" w:type="dxa"/>
            <w:tcBorders>
              <w:top w:val="single" w:color="auto" w:sz="4" w:space="0"/>
              <w:left w:val="nil"/>
              <w:bottom w:val="single" w:color="auto" w:sz="4" w:space="0"/>
              <w:right w:val="single" w:color="auto" w:sz="4" w:space="0"/>
            </w:tcBorders>
            <w:shd w:val="clear" w:color="auto" w:fill="auto"/>
            <w:vAlign w:val="center"/>
          </w:tcPr>
          <w:p w14:paraId="6C1728AB">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40</w:t>
            </w:r>
          </w:p>
        </w:tc>
        <w:tc>
          <w:tcPr>
            <w:tcW w:w="1216" w:type="dxa"/>
            <w:tcBorders>
              <w:top w:val="single" w:color="auto" w:sz="4" w:space="0"/>
              <w:left w:val="nil"/>
              <w:bottom w:val="single" w:color="auto" w:sz="4" w:space="0"/>
              <w:right w:val="single" w:color="auto" w:sz="4" w:space="0"/>
            </w:tcBorders>
            <w:shd w:val="clear" w:color="auto" w:fill="auto"/>
            <w:vAlign w:val="top"/>
          </w:tcPr>
          <w:p w14:paraId="32F7FEF4">
            <w:pPr>
              <w:pStyle w:val="35"/>
              <w:jc w:val="center"/>
              <w:rPr>
                <w:rFonts w:hint="eastAsia" w:asciiTheme="majorEastAsia" w:hAnsiTheme="majorEastAsia" w:eastAsiaTheme="majorEastAsia"/>
                <w:b w:val="0"/>
                <w:bCs w:val="0"/>
                <w:sz w:val="18"/>
                <w:szCs w:val="18"/>
              </w:rPr>
            </w:pPr>
          </w:p>
        </w:tc>
        <w:tc>
          <w:tcPr>
            <w:tcW w:w="883" w:type="dxa"/>
            <w:tcBorders>
              <w:top w:val="single" w:color="auto" w:sz="4" w:space="0"/>
              <w:left w:val="nil"/>
              <w:bottom w:val="single" w:color="auto" w:sz="4" w:space="0"/>
              <w:right w:val="single" w:color="auto" w:sz="4" w:space="0"/>
            </w:tcBorders>
            <w:shd w:val="clear" w:color="auto" w:fill="auto"/>
            <w:vAlign w:val="center"/>
          </w:tcPr>
          <w:p w14:paraId="780D4582">
            <w:pPr>
              <w:pStyle w:val="35"/>
              <w:jc w:val="center"/>
              <w:rPr>
                <w:rFonts w:hint="eastAsia" w:asciiTheme="majorEastAsia" w:hAnsiTheme="majorEastAsia" w:eastAsiaTheme="majorEastAsia"/>
                <w:sz w:val="21"/>
                <w:szCs w:val="21"/>
              </w:rPr>
            </w:pPr>
          </w:p>
        </w:tc>
        <w:tc>
          <w:tcPr>
            <w:tcW w:w="1140" w:type="dxa"/>
            <w:vMerge w:val="restart"/>
            <w:tcBorders>
              <w:top w:val="single" w:color="auto" w:sz="4" w:space="0"/>
              <w:left w:val="nil"/>
              <w:right w:val="single" w:color="auto" w:sz="4" w:space="0"/>
            </w:tcBorders>
            <w:shd w:val="clear" w:color="auto" w:fill="auto"/>
            <w:vAlign w:val="center"/>
          </w:tcPr>
          <w:p w14:paraId="42B4C1AE">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请按要求分批次送货到指定地点</w:t>
            </w:r>
          </w:p>
        </w:tc>
      </w:tr>
      <w:tr w14:paraId="3FC55726">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63B232E">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w:t>
            </w:r>
          </w:p>
        </w:tc>
        <w:tc>
          <w:tcPr>
            <w:tcW w:w="1291" w:type="dxa"/>
            <w:tcBorders>
              <w:top w:val="single" w:color="auto" w:sz="4" w:space="0"/>
              <w:left w:val="nil"/>
              <w:bottom w:val="single" w:color="auto" w:sz="4" w:space="0"/>
              <w:right w:val="single" w:color="auto" w:sz="4" w:space="0"/>
            </w:tcBorders>
            <w:shd w:val="clear" w:color="auto" w:fill="auto"/>
            <w:vAlign w:val="center"/>
          </w:tcPr>
          <w:p w14:paraId="35950A3C">
            <w:pPr>
              <w:widowControl/>
              <w:autoSpaceDE/>
              <w:autoSpaceDN/>
              <w:jc w:val="center"/>
              <w:rPr>
                <w:rFonts w:hint="default" w:cs="宋体" w:asciiTheme="majorEastAsia" w:hAnsiTheme="majorEastAsia" w:eastAsiaTheme="majorEastAsia"/>
                <w:sz w:val="21"/>
                <w:szCs w:val="21"/>
                <w:lang w:val="en-US" w:eastAsia="zh-CN" w:bidi="ar-SA"/>
              </w:rPr>
            </w:pPr>
            <w:r>
              <w:rPr>
                <w:rFonts w:hint="eastAsia" w:ascii="宋体" w:hAnsi="宋体" w:eastAsia="宋体" w:cs="宋体"/>
                <w:sz w:val="21"/>
                <w:szCs w:val="21"/>
                <w:lang w:val="en-US" w:eastAsia="zh-CN"/>
              </w:rPr>
              <w:t>风向袋</w:t>
            </w:r>
          </w:p>
        </w:tc>
        <w:tc>
          <w:tcPr>
            <w:tcW w:w="3266" w:type="dxa"/>
            <w:tcBorders>
              <w:top w:val="single" w:color="auto" w:sz="4" w:space="0"/>
              <w:left w:val="nil"/>
              <w:bottom w:val="single" w:color="auto" w:sz="4" w:space="0"/>
              <w:right w:val="single" w:color="auto" w:sz="4" w:space="0"/>
            </w:tcBorders>
            <w:shd w:val="clear" w:color="auto" w:fill="auto"/>
            <w:vAlign w:val="center"/>
          </w:tcPr>
          <w:p w14:paraId="2E1D0C52">
            <w:pPr>
              <w:widowControl/>
              <w:autoSpaceDE/>
              <w:autoSpaceDN/>
              <w:jc w:val="center"/>
              <w:rPr>
                <w:rFonts w:hint="default" w:cs="宋体" w:asciiTheme="majorEastAsia" w:hAnsiTheme="majorEastAsia" w:eastAsiaTheme="majorEastAsia"/>
                <w:sz w:val="21"/>
                <w:szCs w:val="21"/>
                <w:lang w:val="en-US" w:eastAsia="zh-CN" w:bidi="ar-SA"/>
              </w:rPr>
            </w:pPr>
            <w:r>
              <w:rPr>
                <w:rFonts w:hint="eastAsia" w:ascii="宋体" w:hAnsi="宋体" w:eastAsia="宋体" w:cs="宋体"/>
                <w:kern w:val="2"/>
                <w:sz w:val="21"/>
                <w:szCs w:val="21"/>
                <w:lang w:val="en-US" w:eastAsia="zh-CN" w:bidi="ar-SA"/>
              </w:rPr>
              <w:t>进风口钻6个孔；进风口直径400mm；出风口直径200mm；长度1000mm；布袋有3条反光条</w:t>
            </w:r>
          </w:p>
        </w:tc>
        <w:tc>
          <w:tcPr>
            <w:tcW w:w="684" w:type="dxa"/>
            <w:tcBorders>
              <w:top w:val="single" w:color="auto" w:sz="4" w:space="0"/>
              <w:left w:val="nil"/>
              <w:bottom w:val="single" w:color="auto" w:sz="4" w:space="0"/>
              <w:right w:val="single" w:color="auto" w:sz="4" w:space="0"/>
            </w:tcBorders>
            <w:shd w:val="clear" w:color="auto" w:fill="auto"/>
            <w:vAlign w:val="center"/>
          </w:tcPr>
          <w:p w14:paraId="2544CCB1">
            <w:pPr>
              <w:widowControl/>
              <w:autoSpaceDE/>
              <w:autoSpaceDN/>
              <w:jc w:val="center"/>
              <w:rPr>
                <w:rFonts w:hint="default" w:cs="宋体" w:asciiTheme="majorEastAsia" w:hAnsiTheme="majorEastAsia" w:eastAsiaTheme="majorEastAsia"/>
                <w:sz w:val="21"/>
                <w:szCs w:val="21"/>
                <w:lang w:val="en-US" w:eastAsia="zh-CN" w:bidi="ar-SA"/>
              </w:rPr>
            </w:pPr>
            <w:r>
              <w:rPr>
                <w:rFonts w:hint="eastAsia" w:asciiTheme="majorEastAsia" w:hAnsiTheme="majorEastAsia" w:eastAsiaTheme="majorEastAsia"/>
                <w:sz w:val="21"/>
                <w:szCs w:val="21"/>
                <w:lang w:val="en-US" w:eastAsia="zh-CN"/>
              </w:rPr>
              <w:t>个</w:t>
            </w:r>
          </w:p>
        </w:tc>
        <w:tc>
          <w:tcPr>
            <w:tcW w:w="700" w:type="dxa"/>
            <w:tcBorders>
              <w:top w:val="single" w:color="auto" w:sz="4" w:space="0"/>
              <w:left w:val="nil"/>
              <w:bottom w:val="single" w:color="auto" w:sz="4" w:space="0"/>
              <w:right w:val="single" w:color="auto" w:sz="4" w:space="0"/>
            </w:tcBorders>
            <w:shd w:val="clear" w:color="auto" w:fill="auto"/>
            <w:vAlign w:val="center"/>
          </w:tcPr>
          <w:p w14:paraId="15557AAA">
            <w:pPr>
              <w:widowControl/>
              <w:autoSpaceDE/>
              <w:autoSpaceDN/>
              <w:jc w:val="center"/>
              <w:rPr>
                <w:rFonts w:hint="eastAsia" w:cs="宋体" w:asciiTheme="majorEastAsia" w:hAnsiTheme="majorEastAsia" w:eastAsiaTheme="majorEastAsia"/>
                <w:sz w:val="21"/>
                <w:szCs w:val="21"/>
                <w:lang w:val="en-US" w:eastAsia="zh-CN" w:bidi="ar-SA"/>
              </w:rPr>
            </w:pPr>
            <w:r>
              <w:rPr>
                <w:rFonts w:hint="eastAsia" w:asciiTheme="majorEastAsia" w:hAnsiTheme="majorEastAsia" w:eastAsiaTheme="majorEastAsia"/>
                <w:sz w:val="21"/>
                <w:szCs w:val="21"/>
                <w:lang w:val="en-US" w:eastAsia="zh-CN"/>
              </w:rPr>
              <w:t>400</w:t>
            </w:r>
          </w:p>
        </w:tc>
        <w:tc>
          <w:tcPr>
            <w:tcW w:w="1216" w:type="dxa"/>
            <w:tcBorders>
              <w:top w:val="single" w:color="auto" w:sz="4" w:space="0"/>
              <w:left w:val="nil"/>
              <w:bottom w:val="single" w:color="auto" w:sz="4" w:space="0"/>
              <w:right w:val="single" w:color="auto" w:sz="4" w:space="0"/>
            </w:tcBorders>
            <w:shd w:val="clear" w:color="auto" w:fill="auto"/>
            <w:vAlign w:val="center"/>
          </w:tcPr>
          <w:p w14:paraId="3D142AB6">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883" w:type="dxa"/>
            <w:tcBorders>
              <w:top w:val="single" w:color="auto" w:sz="4" w:space="0"/>
              <w:left w:val="nil"/>
              <w:bottom w:val="single" w:color="auto" w:sz="4" w:space="0"/>
              <w:right w:val="single" w:color="auto" w:sz="4" w:space="0"/>
            </w:tcBorders>
            <w:shd w:val="clear" w:color="auto" w:fill="auto"/>
            <w:vAlign w:val="center"/>
          </w:tcPr>
          <w:p w14:paraId="2B80D116">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140" w:type="dxa"/>
            <w:vMerge w:val="continue"/>
            <w:tcBorders>
              <w:left w:val="nil"/>
              <w:right w:val="single" w:color="auto" w:sz="4" w:space="0"/>
            </w:tcBorders>
            <w:shd w:val="clear" w:color="auto" w:fill="auto"/>
            <w:vAlign w:val="center"/>
          </w:tcPr>
          <w:p w14:paraId="47B61EC1">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r>
      <w:tr w14:paraId="145B6F4C">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9EC0F9A">
            <w:pPr>
              <w:widowControl/>
              <w:autoSpaceDE/>
              <w:autoSpaceDN/>
              <w:jc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3</w:t>
            </w:r>
          </w:p>
        </w:tc>
        <w:tc>
          <w:tcPr>
            <w:tcW w:w="1291" w:type="dxa"/>
            <w:tcBorders>
              <w:top w:val="single" w:color="auto" w:sz="4" w:space="0"/>
              <w:left w:val="nil"/>
              <w:bottom w:val="single" w:color="auto" w:sz="4" w:space="0"/>
              <w:right w:val="single" w:color="auto" w:sz="4" w:space="0"/>
            </w:tcBorders>
            <w:shd w:val="clear" w:color="auto" w:fill="auto"/>
            <w:vAlign w:val="center"/>
          </w:tcPr>
          <w:p w14:paraId="4F6F82AA">
            <w:pPr>
              <w:pStyle w:val="35"/>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风向袋</w:t>
            </w:r>
          </w:p>
          <w:p w14:paraId="4948CB1F">
            <w:pPr>
              <w:pStyle w:val="35"/>
              <w:jc w:val="center"/>
              <w:rPr>
                <w:rFonts w:hint="eastAsia" w:cs="宋体" w:asciiTheme="majorEastAsia" w:hAnsiTheme="majorEastAsia" w:eastAsiaTheme="majorEastAsia"/>
                <w:sz w:val="21"/>
                <w:szCs w:val="21"/>
                <w:lang w:val="en-US" w:eastAsia="zh-CN" w:bidi="ar-SA"/>
              </w:rPr>
            </w:pPr>
            <w:r>
              <w:rPr>
                <w:rFonts w:hint="eastAsia" w:ascii="宋体" w:hAnsi="宋体" w:eastAsia="宋体" w:cs="宋体"/>
                <w:color w:val="000000"/>
                <w:sz w:val="21"/>
                <w:szCs w:val="21"/>
              </w:rPr>
              <w:t>（带挂钩）</w:t>
            </w:r>
          </w:p>
        </w:tc>
        <w:tc>
          <w:tcPr>
            <w:tcW w:w="3266" w:type="dxa"/>
            <w:tcBorders>
              <w:top w:val="single" w:color="auto" w:sz="4" w:space="0"/>
              <w:left w:val="nil"/>
              <w:bottom w:val="single" w:color="auto" w:sz="4" w:space="0"/>
              <w:right w:val="single" w:color="auto" w:sz="4" w:space="0"/>
            </w:tcBorders>
            <w:shd w:val="clear" w:color="auto" w:fill="auto"/>
            <w:vAlign w:val="center"/>
          </w:tcPr>
          <w:p w14:paraId="206AC782">
            <w:pPr>
              <w:pStyle w:val="3"/>
              <w:spacing w:line="360" w:lineRule="auto"/>
              <w:ind w:left="9" w:leftChars="0" w:firstLine="11" w:firstLineChars="0"/>
              <w:jc w:val="center"/>
              <w:rPr>
                <w:rFonts w:hint="eastAsia" w:cs="宋体" w:asciiTheme="majorEastAsia" w:hAnsiTheme="majorEastAsia" w:eastAsiaTheme="majorEastAsia"/>
                <w:b w:val="0"/>
                <w:bCs w:val="0"/>
                <w:sz w:val="21"/>
                <w:szCs w:val="21"/>
                <w:lang w:val="en-US" w:eastAsia="en-US" w:bidi="ar-SA"/>
              </w:rPr>
            </w:pPr>
            <w:r>
              <w:rPr>
                <w:rFonts w:hint="eastAsia" w:ascii="宋体" w:hAnsi="宋体" w:eastAsia="宋体" w:cs="宋体"/>
                <w:b w:val="0"/>
                <w:bCs w:val="0"/>
                <w:kern w:val="2"/>
                <w:sz w:val="21"/>
                <w:szCs w:val="21"/>
                <w:lang w:val="en-US" w:eastAsia="zh-CN" w:bidi="ar-SA"/>
              </w:rPr>
              <w:t>带挂钩；进风口直径400mm；出风口直径200mm；长度1000mm；布袋有3条反光条</w:t>
            </w:r>
          </w:p>
        </w:tc>
        <w:tc>
          <w:tcPr>
            <w:tcW w:w="684" w:type="dxa"/>
            <w:tcBorders>
              <w:top w:val="single" w:color="auto" w:sz="4" w:space="0"/>
              <w:left w:val="nil"/>
              <w:bottom w:val="single" w:color="auto" w:sz="4" w:space="0"/>
              <w:right w:val="single" w:color="auto" w:sz="4" w:space="0"/>
            </w:tcBorders>
            <w:shd w:val="clear" w:color="auto" w:fill="auto"/>
            <w:vAlign w:val="center"/>
          </w:tcPr>
          <w:p w14:paraId="5C4A8401">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个</w:t>
            </w:r>
          </w:p>
        </w:tc>
        <w:tc>
          <w:tcPr>
            <w:tcW w:w="700" w:type="dxa"/>
            <w:tcBorders>
              <w:top w:val="single" w:color="auto" w:sz="4" w:space="0"/>
              <w:left w:val="nil"/>
              <w:bottom w:val="single" w:color="auto" w:sz="4" w:space="0"/>
              <w:right w:val="single" w:color="auto" w:sz="4" w:space="0"/>
            </w:tcBorders>
            <w:shd w:val="clear" w:color="auto" w:fill="auto"/>
            <w:vAlign w:val="center"/>
          </w:tcPr>
          <w:p w14:paraId="33DC6955">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800</w:t>
            </w:r>
          </w:p>
        </w:tc>
        <w:tc>
          <w:tcPr>
            <w:tcW w:w="1216" w:type="dxa"/>
            <w:tcBorders>
              <w:top w:val="single" w:color="auto" w:sz="4" w:space="0"/>
              <w:left w:val="nil"/>
              <w:bottom w:val="single" w:color="auto" w:sz="4" w:space="0"/>
              <w:right w:val="single" w:color="auto" w:sz="4" w:space="0"/>
            </w:tcBorders>
            <w:shd w:val="clear" w:color="auto" w:fill="auto"/>
            <w:vAlign w:val="center"/>
          </w:tcPr>
          <w:p w14:paraId="44AC1DD0">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883" w:type="dxa"/>
            <w:tcBorders>
              <w:top w:val="single" w:color="auto" w:sz="4" w:space="0"/>
              <w:left w:val="nil"/>
              <w:bottom w:val="single" w:color="auto" w:sz="4" w:space="0"/>
              <w:right w:val="single" w:color="auto" w:sz="4" w:space="0"/>
            </w:tcBorders>
            <w:shd w:val="clear" w:color="auto" w:fill="auto"/>
            <w:vAlign w:val="center"/>
          </w:tcPr>
          <w:p w14:paraId="6B94C78C">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140" w:type="dxa"/>
            <w:vMerge w:val="continue"/>
            <w:tcBorders>
              <w:left w:val="nil"/>
              <w:bottom w:val="single" w:color="auto" w:sz="4" w:space="0"/>
              <w:right w:val="single" w:color="auto" w:sz="4" w:space="0"/>
            </w:tcBorders>
            <w:shd w:val="clear" w:color="auto" w:fill="auto"/>
            <w:vAlign w:val="center"/>
          </w:tcPr>
          <w:p w14:paraId="16CABF7C">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r>
      <w:tr w14:paraId="0D04A36C">
        <w:tblPrEx>
          <w:tblCellMar>
            <w:top w:w="0" w:type="dxa"/>
            <w:left w:w="108" w:type="dxa"/>
            <w:bottom w:w="0" w:type="dxa"/>
            <w:right w:w="108" w:type="dxa"/>
          </w:tblCellMar>
        </w:tblPrEx>
        <w:trPr>
          <w:trHeight w:val="539" w:hRule="atLeast"/>
        </w:trPr>
        <w:tc>
          <w:tcPr>
            <w:tcW w:w="49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5911B1">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r>
              <w:rPr>
                <w:rFonts w:hint="eastAsia" w:asciiTheme="majorEastAsia" w:hAnsiTheme="majorEastAsia" w:eastAsiaTheme="majorEastAsia"/>
                <w:sz w:val="21"/>
                <w:szCs w:val="21"/>
                <w:lang w:val="en-US" w:eastAsia="zh-CN"/>
              </w:rPr>
              <w:t>(人民币：      元，含   %专票）</w:t>
            </w:r>
          </w:p>
        </w:tc>
        <w:tc>
          <w:tcPr>
            <w:tcW w:w="46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E19F93">
            <w:pPr>
              <w:widowControl/>
              <w:autoSpaceDE/>
              <w:autoSpaceDN/>
              <w:ind w:right="420"/>
              <w:rPr>
                <w:rFonts w:asciiTheme="majorEastAsia" w:hAnsiTheme="majorEastAsia" w:eastAsiaTheme="majorEastAsia"/>
                <w:b/>
                <w:bCs/>
                <w:sz w:val="21"/>
                <w:szCs w:val="21"/>
                <w:lang w:eastAsia="zh-CN"/>
              </w:rPr>
            </w:pPr>
          </w:p>
        </w:tc>
      </w:tr>
    </w:tbl>
    <w:p w14:paraId="7C42EEA0">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360" w:lineRule="auto"/>
        <w:ind w:leftChars="0" w:right="0" w:right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第一条 </w:t>
      </w:r>
      <w:r>
        <w:rPr>
          <w:rFonts w:hint="eastAsia" w:asciiTheme="majorEastAsia" w:hAnsiTheme="majorEastAsia" w:eastAsiaTheme="majorEastAsia"/>
          <w:b/>
          <w:bCs/>
          <w:sz w:val="24"/>
          <w:lang w:eastAsia="zh-CN"/>
        </w:rPr>
        <w:t>合同标的和合同价格</w:t>
      </w:r>
    </w:p>
    <w:p w14:paraId="3854E8CF">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w:t>
      </w:r>
      <w:r>
        <w:rPr>
          <w:rFonts w:hint="eastAsia" w:asciiTheme="majorEastAsia" w:hAnsiTheme="majorEastAsia" w:eastAsiaTheme="majorEastAsia"/>
          <w:sz w:val="24"/>
          <w:lang w:val="en-US" w:eastAsia="zh-CN"/>
        </w:rPr>
        <w:t>暂估总</w:t>
      </w:r>
      <w:r>
        <w:rPr>
          <w:rFonts w:hint="eastAsia" w:asciiTheme="majorEastAsia" w:hAnsiTheme="majorEastAsia" w:eastAsiaTheme="majorEastAsia"/>
          <w:sz w:val="24"/>
          <w:lang w:eastAsia="zh-CN"/>
        </w:rPr>
        <w:t>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元（含</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增值税发票）</w:t>
      </w:r>
      <w:r>
        <w:rPr>
          <w:rFonts w:hint="eastAsia" w:asciiTheme="majorEastAsia" w:hAnsiTheme="majorEastAsia" w:eastAsiaTheme="majorEastAsia"/>
          <w:sz w:val="24"/>
          <w:lang w:eastAsia="zh-CN"/>
        </w:rPr>
        <w:t>，</w:t>
      </w:r>
      <w:r>
        <w:rPr>
          <w:rFonts w:hint="eastAsia" w:asciiTheme="majorEastAsia" w:hAnsiTheme="majorEastAsia" w:eastAsiaTheme="majorEastAsia"/>
          <w:sz w:val="24"/>
          <w:lang w:val="en-US" w:eastAsia="zh-CN"/>
        </w:rPr>
        <w:t>本合同分批次送货，每批次按合同固定单价据实结算。</w:t>
      </w:r>
    </w:p>
    <w:p w14:paraId="3B51C09F">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14:paraId="7F4C15D5">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第二条 </w:t>
      </w:r>
      <w:r>
        <w:rPr>
          <w:rFonts w:hint="eastAsia" w:asciiTheme="majorEastAsia" w:hAnsiTheme="majorEastAsia" w:eastAsiaTheme="majorEastAsia"/>
          <w:b/>
          <w:bCs/>
          <w:sz w:val="24"/>
          <w:lang w:eastAsia="zh-CN"/>
        </w:rPr>
        <w:t>交货</w:t>
      </w:r>
      <w:r>
        <w:rPr>
          <w:rFonts w:hint="eastAsia" w:asciiTheme="majorEastAsia" w:hAnsiTheme="majorEastAsia" w:eastAsiaTheme="majorEastAsia"/>
          <w:b/>
          <w:bCs/>
          <w:sz w:val="24"/>
          <w:lang w:val="en-US" w:eastAsia="zh-CN"/>
        </w:rPr>
        <w:t xml:space="preserve"> </w:t>
      </w:r>
    </w:p>
    <w:p w14:paraId="3B5ACA26">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14:paraId="6354D3E1">
      <w:pPr>
        <w:snapToGrid w:val="0"/>
        <w:spacing w:line="360" w:lineRule="auto"/>
        <w:rPr>
          <w:rFonts w:hint="default" w:asciiTheme="majorEastAsia" w:hAnsiTheme="majorEastAsia" w:eastAsiaTheme="majorEastAsia"/>
          <w:sz w:val="24"/>
          <w:u w:val="single"/>
          <w:lang w:val="en-US" w:eastAsia="zh-CN"/>
        </w:rPr>
      </w:pPr>
      <w:r>
        <w:rPr>
          <w:rFonts w:hint="eastAsia" w:asciiTheme="majorEastAsia" w:hAnsiTheme="majorEastAsia" w:eastAsiaTheme="majorEastAsia"/>
          <w:sz w:val="24"/>
          <w:lang w:eastAsia="zh-CN"/>
        </w:rPr>
        <w:t>2.2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交货地点：运送到</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 xml:space="preserve"> </w:t>
      </w:r>
      <w:r>
        <w:rPr>
          <w:rFonts w:hint="eastAsia" w:cs="宋体" w:asciiTheme="majorEastAsia" w:hAnsiTheme="majorEastAsia" w:eastAsiaTheme="majorEastAsia"/>
          <w:sz w:val="24"/>
          <w:szCs w:val="22"/>
          <w:u w:val="single"/>
          <w:lang w:val="en-US" w:eastAsia="zh-CN" w:bidi="ar-SA"/>
        </w:rPr>
        <w:t>甲方指定的地点</w:t>
      </w:r>
      <w:r>
        <w:rPr>
          <w:rFonts w:hint="eastAsia"/>
          <w:szCs w:val="21"/>
          <w:u w:val="single"/>
          <w:lang w:val="en-US" w:eastAsia="zh-CN"/>
        </w:rPr>
        <w:t xml:space="preserve">  </w:t>
      </w:r>
    </w:p>
    <w:p w14:paraId="6EA4624A">
      <w:pPr>
        <w:spacing w:line="288" w:lineRule="auto"/>
        <w:ind w:left="439" w:leftChars="0" w:hanging="439" w:hangingChars="183"/>
        <w:jc w:val="both"/>
        <w:rPr>
          <w:rFonts w:asciiTheme="majorEastAsia" w:hAnsiTheme="majorEastAsia" w:eastAsiaTheme="majorEastAsia"/>
          <w:color w:val="auto"/>
          <w:sz w:val="24"/>
          <w:highlight w:val="none"/>
          <w:u w:val="single"/>
          <w:lang w:eastAsia="zh-CN"/>
        </w:rPr>
      </w:pPr>
      <w:r>
        <w:rPr>
          <w:rFonts w:hint="eastAsia" w:asciiTheme="majorEastAsia" w:hAnsiTheme="majorEastAsia" w:eastAsiaTheme="majorEastAsia"/>
          <w:color w:val="auto"/>
          <w:sz w:val="24"/>
          <w:lang w:eastAsia="zh-CN"/>
        </w:rPr>
        <w:t>2.3</w:t>
      </w:r>
      <w:r>
        <w:rPr>
          <w:rFonts w:hint="eastAsia" w:asciiTheme="majorEastAsia" w:hAnsiTheme="majorEastAsia" w:eastAsiaTheme="majorEastAsia"/>
          <w:color w:val="auto"/>
          <w:sz w:val="24"/>
          <w:lang w:val="en-US" w:eastAsia="zh-CN"/>
        </w:rPr>
        <w:t xml:space="preserve"> 合同期限</w:t>
      </w:r>
      <w:r>
        <w:rPr>
          <w:rFonts w:hint="eastAsia" w:asciiTheme="majorEastAsia" w:hAnsiTheme="majorEastAsia" w:eastAsiaTheme="majorEastAsia"/>
          <w:color w:val="auto"/>
          <w:sz w:val="24"/>
          <w:highlight w:val="none"/>
          <w:u w:val="single"/>
          <w:lang w:eastAsia="zh-CN"/>
        </w:rPr>
        <w:t>：</w:t>
      </w:r>
      <w:r>
        <w:rPr>
          <w:rFonts w:hint="eastAsia" w:asciiTheme="majorEastAsia" w:hAnsiTheme="majorEastAsia" w:eastAsiaTheme="majorEastAsia"/>
          <w:color w:val="auto"/>
          <w:sz w:val="24"/>
          <w:highlight w:val="none"/>
          <w:u w:val="single"/>
          <w:lang w:val="en-US" w:eastAsia="zh-CN"/>
        </w:rPr>
        <w:t>自2025年1月1日至2026年12月31日止</w:t>
      </w:r>
      <w:r>
        <w:rPr>
          <w:rFonts w:hint="eastAsia" w:ascii="宋体" w:hAnsi="宋体"/>
          <w:color w:val="auto"/>
          <w:sz w:val="24"/>
          <w:szCs w:val="24"/>
          <w:highlight w:val="none"/>
          <w:u w:val="single"/>
          <w:lang w:eastAsia="zh-CN"/>
        </w:rPr>
        <w:t>。</w:t>
      </w:r>
    </w:p>
    <w:p w14:paraId="0C040BAC">
      <w:pPr>
        <w:spacing w:line="360" w:lineRule="auto"/>
        <w:ind w:left="439" w:leftChars="0" w:hanging="439" w:hangingChars="183"/>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lang w:eastAsia="zh-CN"/>
        </w:rPr>
        <w:t>2.4</w:t>
      </w:r>
      <w:r>
        <w:rPr>
          <w:rFonts w:hint="eastAsia" w:asciiTheme="majorEastAsia" w:hAnsiTheme="majorEastAsia" w:eastAsiaTheme="majorEastAsia"/>
          <w:color w:val="auto"/>
          <w:sz w:val="24"/>
          <w:highlight w:val="none"/>
          <w:lang w:val="en-US" w:eastAsia="zh-CN"/>
        </w:rPr>
        <w:t xml:space="preserve"> </w:t>
      </w:r>
      <w:r>
        <w:rPr>
          <w:rFonts w:hint="eastAsia" w:asciiTheme="majorEastAsia" w:hAnsiTheme="majorEastAsia" w:eastAsiaTheme="majorEastAsia"/>
          <w:color w:val="auto"/>
          <w:sz w:val="24"/>
          <w:highlight w:val="none"/>
          <w:lang w:eastAsia="zh-CN"/>
        </w:rPr>
        <w:t>乙方提供产品并承担运输过程中发生的一切费用。在产品交付给甲方之前，相关的毁损、灭失等风险均由乙方自行承担。</w:t>
      </w:r>
    </w:p>
    <w:p w14:paraId="59B62118">
      <w:pPr>
        <w:spacing w:line="360" w:lineRule="auto"/>
        <w:ind w:left="439" w:leftChars="0" w:hanging="439" w:hangingChars="183"/>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lang w:val="en-US" w:eastAsia="zh-CN"/>
        </w:rPr>
        <w:t>2.5 甲方联系人：黄小玲 0596-6311101 邮箱:xlhuang@fhcpec.com.cn;</w:t>
      </w:r>
    </w:p>
    <w:p w14:paraId="380B70C5">
      <w:pPr>
        <w:spacing w:line="360" w:lineRule="auto"/>
        <w:ind w:left="480" w:leftChars="218" w:firstLine="0" w:firstLineChars="0"/>
        <w:rPr>
          <w:rFonts w:hint="default" w:asciiTheme="majorEastAsia" w:hAnsiTheme="majorEastAsia" w:eastAsiaTheme="majorEastAsia"/>
          <w:color w:val="FF0000"/>
          <w:sz w:val="24"/>
          <w:highlight w:val="none"/>
          <w:lang w:val="en-US" w:eastAsia="zh-CN"/>
        </w:rPr>
      </w:pPr>
      <w:r>
        <w:rPr>
          <w:rFonts w:hint="eastAsia" w:asciiTheme="majorEastAsia" w:hAnsiTheme="majorEastAsia" w:eastAsiaTheme="majorEastAsia"/>
          <w:color w:val="FF0000"/>
          <w:sz w:val="24"/>
          <w:highlight w:val="none"/>
          <w:lang w:val="en-US" w:eastAsia="zh-CN"/>
        </w:rPr>
        <w:t xml:space="preserve">乙方联系人：  </w:t>
      </w:r>
    </w:p>
    <w:p w14:paraId="0EBC6AAE">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第三条 </w:t>
      </w:r>
      <w:r>
        <w:rPr>
          <w:rFonts w:hint="eastAsia" w:asciiTheme="majorEastAsia" w:hAnsiTheme="majorEastAsia" w:eastAsiaTheme="majorEastAsia"/>
          <w:b/>
          <w:bCs/>
          <w:sz w:val="24"/>
          <w:lang w:eastAsia="zh-CN"/>
        </w:rPr>
        <w:t>付款方式与条件</w:t>
      </w:r>
    </w:p>
    <w:p w14:paraId="05D826D0">
      <w:pPr>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14:paraId="719480A1">
      <w:pPr>
        <w:spacing w:line="360" w:lineRule="auto"/>
        <w:rPr>
          <w:rFonts w:hint="default" w:cs="宋体" w:asciiTheme="majorEastAsia" w:hAnsiTheme="majorEastAsia" w:eastAsiaTheme="majorEastAsia"/>
          <w:sz w:val="24"/>
          <w:szCs w:val="22"/>
          <w:lang w:val="en-US" w:eastAsia="zh-CN" w:bidi="ar-SA"/>
        </w:rPr>
      </w:pPr>
      <w:r>
        <w:rPr>
          <w:rFonts w:hint="default" w:cs="宋体" w:asciiTheme="majorEastAsia" w:hAnsiTheme="majorEastAsia" w:eastAsiaTheme="majorEastAsia"/>
          <w:sz w:val="24"/>
          <w:szCs w:val="22"/>
          <w:lang w:val="en-US" w:eastAsia="zh-CN" w:bidi="ar-SA"/>
        </w:rPr>
        <w:t>3.2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w:t>
      </w:r>
      <w:r>
        <w:rPr>
          <w:rFonts w:hint="eastAsia" w:asciiTheme="majorEastAsia" w:hAnsiTheme="majorEastAsia" w:eastAsiaTheme="majorEastAsia"/>
          <w:sz w:val="24"/>
          <w:lang w:val="en-US" w:eastAsia="zh-CN"/>
        </w:rPr>
        <w:t>按甲方要求分批次送货，每批次按合同固定单价据实结算。</w:t>
      </w:r>
      <w:r>
        <w:rPr>
          <w:rFonts w:hint="default" w:ascii="Times New Roman" w:hAnsi="Times New Roman" w:eastAsia="宋体" w:cs="Times New Roman"/>
          <w:sz w:val="24"/>
        </w:rPr>
        <w:t>货到现场，按合同约定标准经甲方验收合格，</w:t>
      </w:r>
      <w:r>
        <w:rPr>
          <w:rFonts w:hint="default" w:ascii="Times New Roman" w:hAnsi="Times New Roman" w:eastAsia="宋体" w:cs="Times New Roman"/>
          <w:sz w:val="24"/>
          <w:lang w:eastAsia="zh-CN"/>
        </w:rPr>
        <w:t>乙方开具</w:t>
      </w:r>
      <w:r>
        <w:rPr>
          <w:rFonts w:hint="eastAsia" w:ascii="Times New Roman" w:hAnsi="Times New Roman" w:cs="Times New Roman"/>
          <w:sz w:val="24"/>
          <w:lang w:val="en-US" w:eastAsia="zh-CN"/>
        </w:rPr>
        <w:t>相应批次</w:t>
      </w:r>
      <w:r>
        <w:rPr>
          <w:rFonts w:hint="default" w:ascii="Times New Roman" w:hAnsi="Times New Roman" w:eastAsia="宋体" w:cs="Times New Roman"/>
          <w:sz w:val="24"/>
          <w:lang w:val="en-US" w:eastAsia="zh-CN"/>
        </w:rPr>
        <w:t>全额</w:t>
      </w:r>
      <w:r>
        <w:rPr>
          <w:rFonts w:hint="default" w:ascii="Times New Roman" w:hAnsi="Times New Roman" w:eastAsia="宋体" w:cs="Times New Roman"/>
          <w:sz w:val="24"/>
          <w:lang w:eastAsia="zh-CN"/>
        </w:rPr>
        <w:t>增值税专用发票，甲方收到相应</w:t>
      </w:r>
      <w:r>
        <w:rPr>
          <w:rFonts w:hint="default" w:cs="宋体" w:asciiTheme="majorEastAsia" w:hAnsiTheme="majorEastAsia" w:eastAsiaTheme="majorEastAsia"/>
          <w:sz w:val="24"/>
          <w:szCs w:val="22"/>
          <w:lang w:val="en-US" w:eastAsia="zh-CN" w:bidi="ar-SA"/>
        </w:rPr>
        <w:t>发票原件后60日内</w:t>
      </w:r>
      <w:r>
        <w:rPr>
          <w:rFonts w:hint="eastAsia" w:cs="宋体" w:asciiTheme="majorEastAsia" w:hAnsiTheme="majorEastAsia" w:eastAsiaTheme="majorEastAsia"/>
          <w:sz w:val="24"/>
          <w:szCs w:val="22"/>
          <w:lang w:val="en-US" w:eastAsia="zh-CN" w:bidi="ar-SA"/>
        </w:rPr>
        <w:t>支付</w:t>
      </w:r>
      <w:r>
        <w:rPr>
          <w:rFonts w:hint="default" w:cs="宋体" w:asciiTheme="majorEastAsia" w:hAnsiTheme="majorEastAsia" w:eastAsiaTheme="majorEastAsia"/>
          <w:sz w:val="24"/>
          <w:szCs w:val="22"/>
          <w:lang w:val="en-US" w:eastAsia="zh-CN" w:bidi="ar-SA"/>
        </w:rPr>
        <w:t>货款。</w:t>
      </w:r>
    </w:p>
    <w:p w14:paraId="246BD747">
      <w:pPr>
        <w:pStyle w:val="12"/>
        <w:spacing w:line="360" w:lineRule="auto"/>
        <w:ind w:left="434" w:leftChars="0" w:hanging="434" w:hangingChars="181"/>
        <w:rPr>
          <w:rFonts w:asciiTheme="majorEastAsia" w:hAnsiTheme="majorEastAsia" w:eastAsiaTheme="majorEastAsia"/>
          <w:sz w:val="24"/>
          <w:lang w:eastAsia="zh-CN"/>
        </w:rPr>
      </w:pPr>
      <w:r>
        <w:rPr>
          <w:rFonts w:hint="eastAsia" w:cs="宋体" w:asciiTheme="majorEastAsia" w:hAnsiTheme="majorEastAsia" w:eastAsiaTheme="majorEastAsia"/>
          <w:sz w:val="24"/>
          <w:szCs w:val="22"/>
          <w:lang w:val="en-US" w:eastAsia="zh-CN" w:bidi="ar-SA"/>
        </w:rPr>
        <w:t>说明：如未来国家税率变动，应在不</w:t>
      </w:r>
      <w:r>
        <w:rPr>
          <w:rFonts w:hint="eastAsia" w:asciiTheme="majorEastAsia" w:hAnsiTheme="majorEastAsia" w:eastAsiaTheme="majorEastAsia"/>
          <w:sz w:val="24"/>
          <w:lang w:eastAsia="zh-CN"/>
        </w:rPr>
        <w:t>含税金额的基础上以新税率调整含税金额后进行付款。</w:t>
      </w:r>
    </w:p>
    <w:p w14:paraId="0F1ED28D">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第四条 </w:t>
      </w:r>
      <w:r>
        <w:rPr>
          <w:rFonts w:hint="eastAsia" w:asciiTheme="majorEastAsia" w:hAnsiTheme="majorEastAsia" w:eastAsiaTheme="majorEastAsia"/>
          <w:b/>
          <w:bCs/>
          <w:sz w:val="24"/>
          <w:lang w:eastAsia="zh-CN"/>
        </w:rPr>
        <w:t>质量要求和技术标准</w:t>
      </w:r>
    </w:p>
    <w:p w14:paraId="7AEB1157">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14:paraId="42BB3199">
      <w:pPr>
        <w:pStyle w:val="35"/>
        <w:spacing w:line="360" w:lineRule="auto"/>
        <w:ind w:left="480" w:leftChars="0" w:hanging="480" w:hangingChars="2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月）内，乙方应当对其交付的产品承担质量保证责任，所需费用由乙方承担。</w:t>
      </w:r>
    </w:p>
    <w:p w14:paraId="11D11C43">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14:paraId="76C596C9">
      <w:pPr>
        <w:spacing w:line="360" w:lineRule="auto"/>
        <w:ind w:left="480" w:leftChars="0" w:hanging="480" w:hanging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4.4 乙方不按本合同约定交付产品所产生的任何费用由乙方自己承担。</w:t>
      </w:r>
    </w:p>
    <w:p w14:paraId="131391A7">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第五条 </w:t>
      </w:r>
      <w:r>
        <w:rPr>
          <w:rFonts w:hint="eastAsia" w:asciiTheme="majorEastAsia" w:hAnsiTheme="majorEastAsia" w:eastAsiaTheme="majorEastAsia"/>
          <w:b/>
          <w:bCs/>
          <w:sz w:val="24"/>
          <w:lang w:eastAsia="zh-CN"/>
        </w:rPr>
        <w:t>安装调试、技术服务、人员培训及技术资料</w:t>
      </w:r>
    </w:p>
    <w:p w14:paraId="3365E2CF">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14:paraId="208E4D10">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hint="eastAsia" w:asciiTheme="majorEastAsia" w:hAnsiTheme="majorEastAsia" w:eastAsiaTheme="majorEastAsia"/>
          <w:sz w:val="24"/>
          <w:u w:val="single"/>
          <w:lang w:eastAsia="zh-CN"/>
        </w:rPr>
        <w:t xml:space="preserve"> </w:t>
      </w:r>
    </w:p>
    <w:p w14:paraId="0C658306">
      <w:pPr>
        <w:spacing w:line="360" w:lineRule="auto"/>
        <w:ind w:left="0" w:leftChars="0" w:firstLine="158" w:firstLineChars="66"/>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14:paraId="6F36938B">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14:paraId="7B9A38EC">
      <w:pPr>
        <w:spacing w:line="288" w:lineRule="auto"/>
        <w:ind w:left="0" w:leftChars="0" w:firstLine="158" w:firstLineChars="66"/>
        <w:jc w:val="left"/>
        <w:rPr>
          <w:rFonts w:hint="eastAsia"/>
          <w:sz w:val="24"/>
          <w:szCs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w:t>
      </w:r>
      <w:r>
        <w:rPr>
          <w:rFonts w:hint="eastAsia"/>
          <w:sz w:val="24"/>
          <w:szCs w:val="24"/>
          <w:lang w:val="en-US" w:eastAsia="zh-CN"/>
        </w:rPr>
        <w:t>产品质量合格证明书</w:t>
      </w:r>
      <w:r>
        <w:rPr>
          <w:rFonts w:hint="eastAsia" w:ascii="宋体" w:hAnsi="宋体"/>
          <w:sz w:val="24"/>
          <w:szCs w:val="24"/>
          <w:lang w:eastAsia="zh-CN"/>
        </w:rPr>
        <w:t>。</w:t>
      </w:r>
      <w:r>
        <w:rPr>
          <w:rFonts w:hint="eastAsia"/>
          <w:sz w:val="24"/>
          <w:szCs w:val="24"/>
          <w:lang w:eastAsia="zh-CN"/>
        </w:rPr>
        <w:t>）</w:t>
      </w:r>
    </w:p>
    <w:p w14:paraId="79A65DF4">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第六条 </w:t>
      </w:r>
      <w:r>
        <w:rPr>
          <w:rFonts w:hint="eastAsia" w:asciiTheme="majorEastAsia" w:hAnsiTheme="majorEastAsia" w:eastAsiaTheme="majorEastAsia"/>
          <w:b/>
          <w:bCs/>
          <w:sz w:val="24"/>
          <w:lang w:eastAsia="zh-CN"/>
        </w:rPr>
        <w:t>验收</w:t>
      </w:r>
    </w:p>
    <w:p w14:paraId="7BA2D08C">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14:paraId="3E656DF5">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14:paraId="428CBC87">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14:paraId="6516298E">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14:paraId="712EDB36">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14:paraId="7ECE324B">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14:paraId="3C700DE2">
      <w:pPr>
        <w:pStyle w:val="35"/>
        <w:keepNext w:val="0"/>
        <w:keepLines w:val="0"/>
        <w:pageBreakBefore w:val="0"/>
        <w:widowControl w:val="0"/>
        <w:kinsoku/>
        <w:wordWrap/>
        <w:overflowPunct/>
        <w:topLinePunct w:val="0"/>
        <w:autoSpaceDE/>
        <w:autoSpaceDN/>
        <w:bidi w:val="0"/>
        <w:adjustRightInd w:val="0"/>
        <w:snapToGrid/>
        <w:spacing w:before="157" w:beforeLines="50" w:line="360" w:lineRule="auto"/>
        <w:ind w:left="501" w:leftChars="0" w:right="0" w:rightChars="0" w:hanging="501" w:hangingChars="208"/>
        <w:jc w:val="both"/>
        <w:textAlignment w:val="baseline"/>
        <w:outlineLvl w:val="9"/>
        <w:rPr>
          <w:rFonts w:hint="eastAsia" w:ascii="Times New Roman" w:hAnsi="Times New Roman" w:cs="Times New Roman"/>
          <w:b/>
          <w:bCs w:val="0"/>
          <w:sz w:val="24"/>
          <w:szCs w:val="24"/>
          <w:lang w:val="en-US" w:eastAsia="zh-CN"/>
        </w:rPr>
      </w:pPr>
      <w:r>
        <w:rPr>
          <w:rFonts w:hint="eastAsia" w:hAnsi="宋体" w:cs="宋体"/>
          <w:b/>
          <w:bCs w:val="0"/>
          <w:sz w:val="24"/>
          <w:szCs w:val="22"/>
          <w:lang w:val="en-US" w:eastAsia="zh-CN" w:bidi="ar-SA"/>
        </w:rPr>
        <w:t xml:space="preserve">第七条 </w:t>
      </w:r>
      <w:r>
        <w:rPr>
          <w:rFonts w:hint="eastAsia" w:ascii="Times New Roman" w:hAnsi="Times New Roman" w:cs="Times New Roman"/>
          <w:b/>
          <w:bCs w:val="0"/>
          <w:sz w:val="24"/>
          <w:szCs w:val="24"/>
          <w:lang w:val="en-US" w:eastAsia="zh-CN"/>
        </w:rPr>
        <w:t>履约保证</w:t>
      </w:r>
      <w:r>
        <w:rPr>
          <w:rFonts w:hint="eastAsia" w:hAnsi="宋体" w:cs="宋体"/>
          <w:b/>
          <w:bCs w:val="0"/>
          <w:sz w:val="24"/>
          <w:szCs w:val="22"/>
          <w:lang w:val="en-US" w:eastAsia="zh-CN" w:bidi="ar-SA"/>
        </w:rPr>
        <w:t>金</w:t>
      </w:r>
    </w:p>
    <w:p w14:paraId="32B44C2C">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 xml:space="preserve">7.1 </w:t>
      </w:r>
      <w:r>
        <w:rPr>
          <w:rFonts w:hint="default" w:ascii="Times New Roman" w:hAnsi="Times New Roman" w:eastAsia="宋体" w:cs="Times New Roman"/>
          <w:sz w:val="24"/>
          <w:szCs w:val="24"/>
          <w:lang w:eastAsia="zh-CN"/>
        </w:rPr>
        <w:t>合同签订后，乙方的参选保证金</w:t>
      </w:r>
      <w:r>
        <w:rPr>
          <w:rFonts w:hint="eastAsia" w:ascii="Times New Roman" w:hAnsi="Times New Roman" w:eastAsia="宋体" w:cs="Times New Roman"/>
          <w:sz w:val="24"/>
          <w:szCs w:val="24"/>
          <w:lang w:val="en-US" w:eastAsia="zh-CN"/>
        </w:rPr>
        <w:t>人民币</w:t>
      </w:r>
      <w:r>
        <w:rPr>
          <w:rFonts w:hint="eastAsia" w:ascii="Times New Roman" w:hAnsi="Times New Roman" w:cs="Times New Roman"/>
          <w:sz w:val="24"/>
          <w:szCs w:val="24"/>
          <w:u w:val="single"/>
          <w:lang w:val="en-US" w:eastAsia="zh-CN"/>
        </w:rPr>
        <w:t>1,440</w:t>
      </w:r>
      <w:r>
        <w:rPr>
          <w:rFonts w:hint="eastAsia" w:ascii="Times New Roman" w:hAnsi="Times New Roman" w:eastAsia="宋体" w:cs="Times New Roman"/>
          <w:b w:val="0"/>
          <w:bCs w:val="0"/>
          <w:sz w:val="24"/>
          <w:szCs w:val="24"/>
          <w:u w:val="single"/>
          <w:lang w:val="en-US" w:eastAsia="zh-CN"/>
        </w:rPr>
        <w:t xml:space="preserve">.00 </w:t>
      </w:r>
      <w:r>
        <w:rPr>
          <w:rFonts w:hint="default" w:ascii="Times New Roman" w:hAnsi="Times New Roman" w:eastAsia="宋体" w:cs="Times New Roman"/>
          <w:sz w:val="24"/>
          <w:szCs w:val="24"/>
          <w:lang w:eastAsia="zh-CN"/>
        </w:rPr>
        <w:t>元将直接转为本合同的履约保证金，</w:t>
      </w:r>
      <w:r>
        <w:rPr>
          <w:rFonts w:hint="eastAsia" w:ascii="Times New Roman" w:hAnsi="Times New Roman" w:cs="Times New Roman"/>
          <w:sz w:val="24"/>
          <w:szCs w:val="24"/>
          <w:lang w:val="en-US" w:eastAsia="zh-CN"/>
        </w:rPr>
        <w:t>若乙方违约或发生本合同约定的其他事由的，甲方有权从履约保证金中优先扣除乙方违约金及其他应付款项；由此造成履约保证金不足的，乙方应在5日内补足，逾期每日按照应缴金额的千分之一支付违约金。</w:t>
      </w:r>
    </w:p>
    <w:p w14:paraId="4D9E0FAE">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lang w:val="en-US" w:eastAsia="zh-CN"/>
        </w:rPr>
        <w:t>该履约保证金</w:t>
      </w:r>
      <w:r>
        <w:rPr>
          <w:rFonts w:hint="eastAsia" w:ascii="Times New Roman" w:hAnsi="Times New Roman" w:cs="Times New Roman"/>
          <w:sz w:val="24"/>
          <w:szCs w:val="24"/>
          <w:lang w:val="en-US" w:eastAsia="zh-CN"/>
        </w:rPr>
        <w:t>在乙方全面履行完毕本</w:t>
      </w:r>
      <w:r>
        <w:rPr>
          <w:rFonts w:hint="default" w:ascii="Times New Roman" w:hAnsi="Times New Roman" w:cs="Times New Roman"/>
          <w:sz w:val="24"/>
          <w:szCs w:val="24"/>
          <w:lang w:val="en-US" w:eastAsia="zh-CN"/>
        </w:rPr>
        <w:t>合同</w:t>
      </w:r>
      <w:r>
        <w:rPr>
          <w:rFonts w:hint="eastAsia" w:ascii="Times New Roman" w:hAnsi="Times New Roman" w:cs="Times New Roman"/>
          <w:sz w:val="24"/>
          <w:szCs w:val="24"/>
          <w:lang w:val="en-US" w:eastAsia="zh-CN"/>
        </w:rPr>
        <w:t>义务后30天</w:t>
      </w:r>
      <w:r>
        <w:rPr>
          <w:rFonts w:hint="default" w:ascii="Times New Roman" w:hAnsi="Times New Roman" w:cs="Times New Roman"/>
          <w:sz w:val="24"/>
          <w:szCs w:val="24"/>
          <w:lang w:val="en-US" w:eastAsia="zh-CN"/>
        </w:rPr>
        <w:t>内</w:t>
      </w:r>
      <w:r>
        <w:rPr>
          <w:rFonts w:hint="eastAsia" w:ascii="Times New Roman" w:hAnsi="Times New Roman" w:cs="Times New Roman"/>
          <w:sz w:val="24"/>
          <w:szCs w:val="24"/>
          <w:lang w:val="en-US" w:eastAsia="zh-CN"/>
        </w:rPr>
        <w:t>无息退还。但履约保证金退还后发现任何应由乙方承担责任的行为或事件，乙方仍应承担责任。</w:t>
      </w:r>
    </w:p>
    <w:p w14:paraId="62EBB431">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第八条 </w:t>
      </w:r>
      <w:r>
        <w:rPr>
          <w:rFonts w:hint="eastAsia" w:asciiTheme="majorEastAsia" w:hAnsiTheme="majorEastAsia" w:eastAsiaTheme="majorEastAsia"/>
          <w:b/>
          <w:bCs/>
          <w:sz w:val="24"/>
          <w:lang w:eastAsia="zh-CN"/>
        </w:rPr>
        <w:t>质量保证</w:t>
      </w:r>
    </w:p>
    <w:p w14:paraId="114958EC">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14:paraId="6387B79A">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第九条 </w:t>
      </w:r>
      <w:r>
        <w:rPr>
          <w:rFonts w:hint="eastAsia" w:asciiTheme="majorEastAsia" w:hAnsiTheme="majorEastAsia" w:eastAsiaTheme="majorEastAsia"/>
          <w:b/>
          <w:bCs/>
          <w:sz w:val="24"/>
          <w:lang w:eastAsia="zh-CN"/>
        </w:rPr>
        <w:t>违约责任</w:t>
      </w:r>
    </w:p>
    <w:p w14:paraId="567C5478">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14:paraId="50FA7750">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14:paraId="1D401865">
      <w:pPr>
        <w:spacing w:line="360" w:lineRule="auto"/>
        <w:ind w:left="494" w:leftChars="0" w:hanging="494" w:hangingChars="206"/>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 xml:space="preserve">.3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14:paraId="56A1F416">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.4 一方的违约行为给对方造成的损失超过本合同约定的违约金数额的，超出部分，违约方应予以赔偿。</w:t>
      </w:r>
    </w:p>
    <w:p w14:paraId="5DE89613">
      <w:pPr>
        <w:pStyle w:val="35"/>
        <w:spacing w:line="360" w:lineRule="auto"/>
        <w:ind w:left="494" w:leftChars="0" w:hanging="494" w:hangingChars="206"/>
        <w:rPr>
          <w:sz w:val="24"/>
          <w:szCs w:val="24"/>
        </w:rPr>
      </w:pPr>
      <w:r>
        <w:rPr>
          <w:rFonts w:hint="eastAsia"/>
          <w:sz w:val="24"/>
          <w:szCs w:val="24"/>
          <w:lang w:val="en-US" w:eastAsia="zh-CN"/>
        </w:rPr>
        <w:t>9</w:t>
      </w:r>
      <w:r>
        <w:rPr>
          <w:rFonts w:hint="eastAsia"/>
          <w:sz w:val="24"/>
          <w:szCs w:val="24"/>
        </w:rPr>
        <w:t>.5甲方已就本合同项下涉及乙方重大利害关系的条款向乙方作出详细说明，乙方充分理解上述条款含义，并自愿签订本合同。</w:t>
      </w:r>
    </w:p>
    <w:p w14:paraId="12F7ABA2">
      <w:pPr>
        <w:keepNext w:val="0"/>
        <w:keepLines w:val="0"/>
        <w:pageBreakBefore w:val="0"/>
        <w:widowControl w:val="0"/>
        <w:kinsoku/>
        <w:wordWrap/>
        <w:overflowPunct/>
        <w:topLinePunct w:val="0"/>
        <w:autoSpaceDE w:val="0"/>
        <w:autoSpaceDN w:val="0"/>
        <w:bidi w:val="0"/>
        <w:adjustRightInd/>
        <w:snapToGrid/>
        <w:spacing w:before="157" w:beforeLines="50" w:line="360" w:lineRule="auto"/>
        <w:ind w:right="0" w:right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第十条  </w:t>
      </w:r>
      <w:r>
        <w:rPr>
          <w:rFonts w:hint="eastAsia" w:asciiTheme="majorEastAsia" w:hAnsiTheme="majorEastAsia" w:eastAsiaTheme="majorEastAsia"/>
          <w:b/>
          <w:bCs/>
          <w:sz w:val="24"/>
          <w:lang w:eastAsia="zh-CN"/>
        </w:rPr>
        <w:t>法律的适用及争议解决方式</w:t>
      </w:r>
    </w:p>
    <w:p w14:paraId="4811244D">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本合同的效力、解释及履行均适用中华人民共和国法律。</w:t>
      </w:r>
    </w:p>
    <w:p w14:paraId="7950FEE1">
      <w:pPr>
        <w:spacing w:line="360" w:lineRule="auto"/>
        <w:ind w:left="48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因本合同履行过程中引起的任何争议，双方应及时友好协商解决。协商不成的，向甲方所在地的人民法院提起诉讼。</w:t>
      </w:r>
    </w:p>
    <w:p w14:paraId="12F4BF31">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第十一条</w:t>
      </w:r>
      <w:r>
        <w:rPr>
          <w:rFonts w:hint="eastAsia" w:asciiTheme="majorEastAsia" w:hAnsiTheme="majorEastAsia" w:eastAsiaTheme="majorEastAsia"/>
          <w:b/>
          <w:bCs/>
          <w:sz w:val="24"/>
          <w:lang w:eastAsia="zh-CN"/>
        </w:rPr>
        <w:t xml:space="preserve"> 合同变更与解除 </w:t>
      </w:r>
    </w:p>
    <w:p w14:paraId="59E7BAA5">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14:paraId="560C4548">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第十二条 </w:t>
      </w:r>
      <w:r>
        <w:rPr>
          <w:rFonts w:hint="eastAsia" w:asciiTheme="majorEastAsia" w:hAnsiTheme="majorEastAsia" w:eastAsiaTheme="majorEastAsia"/>
          <w:b/>
          <w:bCs/>
          <w:sz w:val="24"/>
          <w:lang w:eastAsia="zh-CN"/>
        </w:rPr>
        <w:t>通知</w:t>
      </w:r>
    </w:p>
    <w:p w14:paraId="249DEFB6">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08BDE09">
      <w:pPr>
        <w:spacing w:line="360" w:lineRule="auto"/>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第十三条</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本合同一式陆份，经双方盖章后生效，甲方执肆份、乙方执贰份，合同与附件具有同等效力。</w:t>
      </w:r>
    </w:p>
    <w:p w14:paraId="46131316">
      <w:pPr>
        <w:spacing w:line="360" w:lineRule="auto"/>
        <w:rPr>
          <w:rFonts w:cs="Arial"/>
          <w:b/>
          <w:sz w:val="24"/>
          <w:lang w:eastAsia="zh-CN"/>
        </w:rPr>
      </w:pPr>
      <w:r>
        <w:rPr>
          <w:rFonts w:hint="eastAsia" w:cs="Arial"/>
          <w:b/>
          <w:sz w:val="24"/>
          <w:lang w:eastAsia="zh-CN"/>
        </w:rPr>
        <w:t>（本页为签署栏，无正文）</w:t>
      </w:r>
    </w:p>
    <w:p w14:paraId="52402D56">
      <w:pPr>
        <w:pStyle w:val="35"/>
        <w:spacing w:line="360" w:lineRule="auto"/>
        <w:rPr>
          <w:sz w:val="24"/>
          <w:szCs w:val="24"/>
        </w:rPr>
      </w:pPr>
    </w:p>
    <w:tbl>
      <w:tblPr>
        <w:tblStyle w:val="24"/>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14:paraId="1E35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74FDE8D">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1</w:t>
            </w:r>
            <w:r>
              <w:rPr>
                <w:rFonts w:hint="eastAsia" w:asciiTheme="majorEastAsia" w:hAnsiTheme="majorEastAsia" w:eastAsiaTheme="majorEastAsia"/>
                <w:b/>
                <w:sz w:val="24"/>
                <w:lang w:eastAsia="zh-CN"/>
              </w:rPr>
              <w:t>：</w:t>
            </w:r>
            <w:r>
              <w:rPr>
                <w:rFonts w:hint="eastAsia"/>
                <w:lang w:val="en-US" w:eastAsia="zh-CN"/>
              </w:rPr>
              <w:t>福建福海创石油化工</w:t>
            </w:r>
            <w:r>
              <w:rPr>
                <w:rFonts w:hint="eastAsia"/>
                <w:lang w:eastAsia="zh-CN"/>
              </w:rPr>
              <w:t>有限公司</w:t>
            </w:r>
          </w:p>
        </w:tc>
        <w:tc>
          <w:tcPr>
            <w:tcW w:w="4821" w:type="dxa"/>
            <w:vAlign w:val="center"/>
          </w:tcPr>
          <w:p w14:paraId="67CB1027">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14:paraId="3EFB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4960" w:type="dxa"/>
            <w:vAlign w:val="center"/>
          </w:tcPr>
          <w:p w14:paraId="0576518C">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地址：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w:t>
            </w:r>
            <w:r>
              <w:rPr>
                <w:rFonts w:hint="eastAsia" w:ascii="Times New Roman" w:hAnsi="Times New Roman" w:cs="Times New Roman"/>
                <w:sz w:val="24"/>
                <w:szCs w:val="24"/>
                <w:lang w:val="en-US" w:eastAsia="zh-CN"/>
              </w:rPr>
              <w:t>4</w:t>
            </w:r>
            <w:r>
              <w:rPr>
                <w:rFonts w:ascii="Times New Roman" w:hAnsi="Times New Roman" w:cs="Times New Roman"/>
                <w:sz w:val="24"/>
                <w:szCs w:val="24"/>
                <w:lang w:eastAsia="zh-CN"/>
              </w:rPr>
              <w:t>号</w:t>
            </w:r>
          </w:p>
        </w:tc>
        <w:tc>
          <w:tcPr>
            <w:tcW w:w="4821" w:type="dxa"/>
            <w:vAlign w:val="center"/>
          </w:tcPr>
          <w:p w14:paraId="2CD7BA3B">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地址：</w:t>
            </w:r>
            <w:r>
              <w:rPr>
                <w:rFonts w:ascii="Times New Roman" w:hAnsi="Times New Roman" w:cs="Times New Roman"/>
                <w:sz w:val="24"/>
                <w:szCs w:val="24"/>
                <w:lang w:eastAsia="zh-CN"/>
              </w:rPr>
              <w:t xml:space="preserve"> </w:t>
            </w:r>
          </w:p>
        </w:tc>
      </w:tr>
      <w:tr w14:paraId="09B5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625786F">
            <w:pPr>
              <w:spacing w:line="360" w:lineRule="auto"/>
              <w:ind w:left="720" w:hanging="720" w:hangingChars="3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电话：0596-</w:t>
            </w:r>
            <w:r>
              <w:rPr>
                <w:rFonts w:hint="eastAsia" w:ascii="Times New Roman" w:hAnsi="Times New Roman" w:cs="Times New Roman"/>
                <w:sz w:val="24"/>
                <w:szCs w:val="24"/>
                <w:lang w:val="en-US" w:eastAsia="zh-CN"/>
              </w:rPr>
              <w:t>6311101</w:t>
            </w:r>
          </w:p>
        </w:tc>
        <w:tc>
          <w:tcPr>
            <w:tcW w:w="4821" w:type="dxa"/>
            <w:vAlign w:val="center"/>
          </w:tcPr>
          <w:p w14:paraId="5D659CF8">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电话：</w:t>
            </w:r>
          </w:p>
        </w:tc>
      </w:tr>
      <w:tr w14:paraId="0EC6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EF232B9">
            <w:pPr>
              <w:spacing w:line="360" w:lineRule="auto"/>
              <w:ind w:left="72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开户银行：</w:t>
            </w:r>
            <w:r>
              <w:rPr>
                <w:rFonts w:hint="eastAsia" w:ascii="Times New Roman" w:hAnsi="Times New Roman" w:cs="Times New Roman"/>
                <w:sz w:val="24"/>
                <w:szCs w:val="24"/>
                <w:lang w:eastAsia="zh-CN"/>
              </w:rPr>
              <w:t>中国银行股份有限公司漳州古雷经济开发区支行</w:t>
            </w:r>
          </w:p>
        </w:tc>
        <w:tc>
          <w:tcPr>
            <w:tcW w:w="4821" w:type="dxa"/>
            <w:vAlign w:val="center"/>
          </w:tcPr>
          <w:p w14:paraId="38D847C8">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开户银行：</w:t>
            </w:r>
            <w:r>
              <w:rPr>
                <w:rFonts w:ascii="Times New Roman" w:hAnsi="Times New Roman" w:cs="Times New Roman"/>
                <w:sz w:val="24"/>
                <w:szCs w:val="24"/>
                <w:lang w:eastAsia="zh-CN"/>
              </w:rPr>
              <w:t xml:space="preserve"> </w:t>
            </w:r>
          </w:p>
        </w:tc>
      </w:tr>
      <w:tr w14:paraId="11B1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3871D34">
            <w:pPr>
              <w:spacing w:line="360" w:lineRule="auto"/>
              <w:ind w:left="72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账号：</w:t>
            </w:r>
            <w:r>
              <w:rPr>
                <w:rFonts w:hint="eastAsia" w:ascii="Times New Roman" w:hAnsi="Times New Roman" w:cs="Times New Roman"/>
                <w:sz w:val="24"/>
                <w:szCs w:val="24"/>
                <w:lang w:eastAsia="zh-CN"/>
              </w:rPr>
              <w:t>406574816628</w:t>
            </w:r>
          </w:p>
        </w:tc>
        <w:tc>
          <w:tcPr>
            <w:tcW w:w="4821" w:type="dxa"/>
            <w:vAlign w:val="center"/>
          </w:tcPr>
          <w:p w14:paraId="77FB4F03">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账号：</w:t>
            </w:r>
          </w:p>
        </w:tc>
      </w:tr>
      <w:tr w14:paraId="37E6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960" w:type="dxa"/>
            <w:vAlign w:val="center"/>
          </w:tcPr>
          <w:p w14:paraId="77400971">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税号：91350600MA2YNG3G0P</w:t>
            </w:r>
          </w:p>
        </w:tc>
        <w:tc>
          <w:tcPr>
            <w:tcW w:w="4821" w:type="dxa"/>
            <w:vAlign w:val="center"/>
          </w:tcPr>
          <w:p w14:paraId="15132826">
            <w:pPr>
              <w:spacing w:line="360" w:lineRule="auto"/>
              <w:ind w:left="72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税号：</w:t>
            </w:r>
          </w:p>
        </w:tc>
      </w:tr>
      <w:bookmarkEnd w:id="9"/>
    </w:tbl>
    <w:tbl>
      <w:tblPr>
        <w:tblStyle w:val="23"/>
        <w:tblpPr w:leftFromText="180" w:rightFromText="180" w:vertAnchor="text" w:horzAnchor="page" w:tblpX="1455" w:tblpY="-1230"/>
        <w:tblOverlap w:val="never"/>
        <w:tblW w:w="5000" w:type="dxa"/>
        <w:tblInd w:w="0" w:type="dxa"/>
        <w:tblLayout w:type="fixed"/>
        <w:tblCellMar>
          <w:top w:w="0" w:type="dxa"/>
          <w:left w:w="108" w:type="dxa"/>
          <w:bottom w:w="0" w:type="dxa"/>
          <w:right w:w="108" w:type="dxa"/>
        </w:tblCellMar>
      </w:tblPr>
      <w:tblGrid>
        <w:gridCol w:w="5000"/>
      </w:tblGrid>
      <w:tr w14:paraId="3BEA704A">
        <w:tblPrEx>
          <w:tblCellMar>
            <w:top w:w="0" w:type="dxa"/>
            <w:left w:w="108" w:type="dxa"/>
            <w:bottom w:w="0" w:type="dxa"/>
            <w:right w:w="108" w:type="dxa"/>
          </w:tblCellMar>
        </w:tblPrEx>
        <w:tc>
          <w:tcPr>
            <w:tcW w:w="5000" w:type="dxa"/>
            <w:shd w:val="clear" w:color="auto" w:fill="auto"/>
            <w:vAlign w:val="center"/>
          </w:tcPr>
          <w:p w14:paraId="3D60DECF">
            <w:pPr>
              <w:spacing w:line="360" w:lineRule="auto"/>
              <w:ind w:left="723" w:leftChars="0" w:hanging="723" w:hangingChars="300"/>
              <w:jc w:val="both"/>
              <w:rPr>
                <w:rFonts w:ascii="Times New Roman" w:hAnsi="Times New Roman" w:cs="Times New Roman"/>
                <w:sz w:val="24"/>
                <w:szCs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2</w:t>
            </w:r>
            <w:r>
              <w:rPr>
                <w:rFonts w:hint="eastAsia" w:ascii="Times New Roman" w:hAnsi="Times New Roman" w:cs="Times New Roman"/>
                <w:sz w:val="24"/>
                <w:szCs w:val="24"/>
                <w:lang w:eastAsia="zh-CN"/>
              </w:rPr>
              <w:t>：腾龙芳烃（漳州）有限公司</w:t>
            </w:r>
          </w:p>
        </w:tc>
      </w:tr>
      <w:tr w14:paraId="2A4D2200">
        <w:tblPrEx>
          <w:tblCellMar>
            <w:top w:w="0" w:type="dxa"/>
            <w:left w:w="108" w:type="dxa"/>
            <w:bottom w:w="0" w:type="dxa"/>
            <w:right w:w="108" w:type="dxa"/>
          </w:tblCellMar>
        </w:tblPrEx>
        <w:tc>
          <w:tcPr>
            <w:tcW w:w="5000" w:type="dxa"/>
            <w:shd w:val="clear" w:color="auto" w:fill="auto"/>
            <w:vAlign w:val="center"/>
          </w:tcPr>
          <w:p w14:paraId="61AC2AE5">
            <w:pPr>
              <w:spacing w:line="360" w:lineRule="auto"/>
              <w:ind w:left="720" w:leftChars="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地址：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w:t>
            </w:r>
            <w:r>
              <w:rPr>
                <w:rFonts w:hint="eastAsia" w:ascii="Times New Roman" w:hAnsi="Times New Roman" w:cs="Times New Roman"/>
                <w:sz w:val="24"/>
                <w:szCs w:val="24"/>
                <w:lang w:val="en-US" w:eastAsia="zh-CN"/>
              </w:rPr>
              <w:t>4</w:t>
            </w:r>
            <w:r>
              <w:rPr>
                <w:rFonts w:ascii="Times New Roman" w:hAnsi="Times New Roman" w:cs="Times New Roman"/>
                <w:sz w:val="24"/>
                <w:szCs w:val="24"/>
                <w:lang w:eastAsia="zh-CN"/>
              </w:rPr>
              <w:t>号</w:t>
            </w:r>
          </w:p>
        </w:tc>
      </w:tr>
      <w:tr w14:paraId="598E1730">
        <w:tblPrEx>
          <w:tblCellMar>
            <w:top w:w="0" w:type="dxa"/>
            <w:left w:w="108" w:type="dxa"/>
            <w:bottom w:w="0" w:type="dxa"/>
            <w:right w:w="108" w:type="dxa"/>
          </w:tblCellMar>
        </w:tblPrEx>
        <w:tc>
          <w:tcPr>
            <w:tcW w:w="5000" w:type="dxa"/>
            <w:shd w:val="clear" w:color="auto" w:fill="auto"/>
            <w:vAlign w:val="center"/>
          </w:tcPr>
          <w:p w14:paraId="550908F5">
            <w:pPr>
              <w:spacing w:line="360" w:lineRule="auto"/>
              <w:ind w:left="720" w:leftChars="0" w:hanging="720" w:hangingChars="3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电话：0596-</w:t>
            </w:r>
            <w:r>
              <w:rPr>
                <w:rFonts w:hint="eastAsia" w:ascii="Times New Roman" w:hAnsi="Times New Roman" w:cs="Times New Roman"/>
                <w:sz w:val="24"/>
                <w:szCs w:val="24"/>
                <w:lang w:val="en-US" w:eastAsia="zh-CN"/>
              </w:rPr>
              <w:t>6311101</w:t>
            </w:r>
          </w:p>
        </w:tc>
      </w:tr>
      <w:tr w14:paraId="04FE2817">
        <w:tblPrEx>
          <w:tblCellMar>
            <w:top w:w="0" w:type="dxa"/>
            <w:left w:w="108" w:type="dxa"/>
            <w:bottom w:w="0" w:type="dxa"/>
            <w:right w:w="108" w:type="dxa"/>
          </w:tblCellMar>
        </w:tblPrEx>
        <w:tc>
          <w:tcPr>
            <w:tcW w:w="5000" w:type="dxa"/>
            <w:shd w:val="clear" w:color="auto" w:fill="auto"/>
            <w:vAlign w:val="center"/>
          </w:tcPr>
          <w:p w14:paraId="238CEDEA">
            <w:pPr>
              <w:spacing w:line="360" w:lineRule="auto"/>
              <w:ind w:left="720" w:leftChars="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开户银行：</w:t>
            </w:r>
            <w:r>
              <w:rPr>
                <w:rFonts w:hint="eastAsia" w:ascii="Times New Roman" w:hAnsi="Times New Roman" w:cs="Times New Roman"/>
                <w:sz w:val="24"/>
                <w:szCs w:val="24"/>
                <w:lang w:eastAsia="zh-CN"/>
              </w:rPr>
              <w:t>兴业银行</w:t>
            </w:r>
            <w:r>
              <w:rPr>
                <w:rFonts w:ascii="Times New Roman" w:hAnsi="Times New Roman" w:cs="Times New Roman"/>
                <w:sz w:val="24"/>
                <w:szCs w:val="24"/>
                <w:lang w:eastAsia="zh-CN"/>
              </w:rPr>
              <w:t>漳州古雷支行</w:t>
            </w:r>
          </w:p>
        </w:tc>
      </w:tr>
      <w:tr w14:paraId="12640CBF">
        <w:tblPrEx>
          <w:tblCellMar>
            <w:top w:w="0" w:type="dxa"/>
            <w:left w:w="108" w:type="dxa"/>
            <w:bottom w:w="0" w:type="dxa"/>
            <w:right w:w="108" w:type="dxa"/>
          </w:tblCellMar>
        </w:tblPrEx>
        <w:tc>
          <w:tcPr>
            <w:tcW w:w="5000" w:type="dxa"/>
            <w:shd w:val="clear" w:color="auto" w:fill="auto"/>
            <w:vAlign w:val="center"/>
          </w:tcPr>
          <w:p w14:paraId="0CA34736">
            <w:pPr>
              <w:spacing w:line="360" w:lineRule="auto"/>
              <w:ind w:left="720" w:leftChars="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账号：</w:t>
            </w:r>
            <w:r>
              <w:rPr>
                <w:rFonts w:ascii="Times New Roman" w:hAnsi="Times New Roman" w:cs="Times New Roman"/>
                <w:sz w:val="24"/>
                <w:szCs w:val="24"/>
                <w:lang w:eastAsia="zh-CN"/>
              </w:rPr>
              <w:t>162070100100021071</w:t>
            </w:r>
          </w:p>
        </w:tc>
      </w:tr>
      <w:tr w14:paraId="4170BAFC">
        <w:tblPrEx>
          <w:tblCellMar>
            <w:top w:w="0" w:type="dxa"/>
            <w:left w:w="108" w:type="dxa"/>
            <w:bottom w:w="0" w:type="dxa"/>
            <w:right w:w="108" w:type="dxa"/>
          </w:tblCellMar>
        </w:tblPrEx>
        <w:tc>
          <w:tcPr>
            <w:tcW w:w="5000" w:type="dxa"/>
            <w:shd w:val="clear" w:color="auto" w:fill="auto"/>
            <w:vAlign w:val="center"/>
          </w:tcPr>
          <w:p w14:paraId="0AFEB947">
            <w:pPr>
              <w:spacing w:line="360" w:lineRule="auto"/>
              <w:ind w:left="72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税号：91350600717866709A</w:t>
            </w:r>
          </w:p>
        </w:tc>
      </w:tr>
      <w:tr w14:paraId="32273541">
        <w:tblPrEx>
          <w:tblCellMar>
            <w:top w:w="0" w:type="dxa"/>
            <w:left w:w="108" w:type="dxa"/>
            <w:bottom w:w="0" w:type="dxa"/>
            <w:right w:w="108" w:type="dxa"/>
          </w:tblCellMar>
        </w:tblPrEx>
        <w:tc>
          <w:tcPr>
            <w:tcW w:w="5000" w:type="dxa"/>
            <w:shd w:val="clear" w:color="auto" w:fill="auto"/>
            <w:vAlign w:val="center"/>
          </w:tcPr>
          <w:tbl>
            <w:tblPr>
              <w:tblStyle w:val="23"/>
              <w:tblpPr w:leftFromText="180" w:rightFromText="180" w:vertAnchor="text" w:horzAnchor="page" w:tblpX="17" w:tblpY="-3174"/>
              <w:tblOverlap w:val="never"/>
              <w:tblW w:w="4984" w:type="dxa"/>
              <w:tblInd w:w="0" w:type="dxa"/>
              <w:tblLayout w:type="fixed"/>
              <w:tblCellMar>
                <w:top w:w="0" w:type="dxa"/>
                <w:left w:w="108" w:type="dxa"/>
                <w:bottom w:w="0" w:type="dxa"/>
                <w:right w:w="108" w:type="dxa"/>
              </w:tblCellMar>
            </w:tblPr>
            <w:tblGrid>
              <w:gridCol w:w="4984"/>
            </w:tblGrid>
            <w:tr w14:paraId="634E5B87">
              <w:tblPrEx>
                <w:tblCellMar>
                  <w:top w:w="0" w:type="dxa"/>
                  <w:left w:w="108" w:type="dxa"/>
                  <w:bottom w:w="0" w:type="dxa"/>
                  <w:right w:w="108" w:type="dxa"/>
                </w:tblCellMar>
              </w:tblPrEx>
              <w:trPr>
                <w:trHeight w:val="368" w:hRule="atLeast"/>
              </w:trPr>
              <w:tc>
                <w:tcPr>
                  <w:tcW w:w="4984" w:type="dxa"/>
                  <w:shd w:val="clear" w:color="auto" w:fill="auto"/>
                  <w:vAlign w:val="center"/>
                </w:tcPr>
                <w:p w14:paraId="41B16A8E">
                  <w:pPr>
                    <w:spacing w:line="360" w:lineRule="auto"/>
                    <w:ind w:left="723" w:leftChars="0" w:hanging="723" w:hangingChars="300"/>
                    <w:jc w:val="both"/>
                    <w:rPr>
                      <w:rFonts w:ascii="Times New Roman" w:hAnsi="Times New Roman" w:cs="Times New Roman"/>
                      <w:sz w:val="24"/>
                      <w:szCs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3</w:t>
                  </w:r>
                  <w:r>
                    <w:rPr>
                      <w:rFonts w:hint="eastAsia" w:ascii="Times New Roman" w:hAnsi="Times New Roman" w:cs="Times New Roman"/>
                      <w:sz w:val="24"/>
                      <w:szCs w:val="24"/>
                      <w:lang w:eastAsia="zh-CN"/>
                    </w:rPr>
                    <w:t>：翔鹭石化（漳州）有限公司</w:t>
                  </w:r>
                </w:p>
              </w:tc>
            </w:tr>
            <w:tr w14:paraId="5694391A">
              <w:tblPrEx>
                <w:tblCellMar>
                  <w:top w:w="0" w:type="dxa"/>
                  <w:left w:w="108" w:type="dxa"/>
                  <w:bottom w:w="0" w:type="dxa"/>
                  <w:right w:w="108" w:type="dxa"/>
                </w:tblCellMar>
              </w:tblPrEx>
              <w:tc>
                <w:tcPr>
                  <w:tcW w:w="4984" w:type="dxa"/>
                  <w:shd w:val="clear" w:color="auto" w:fill="auto"/>
                  <w:vAlign w:val="center"/>
                </w:tcPr>
                <w:p w14:paraId="4FCD647D">
                  <w:pPr>
                    <w:spacing w:line="360" w:lineRule="auto"/>
                    <w:ind w:left="720" w:leftChars="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地址：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w:t>
                  </w: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号</w:t>
                  </w:r>
                </w:p>
              </w:tc>
            </w:tr>
            <w:tr w14:paraId="28929F55">
              <w:tblPrEx>
                <w:tblCellMar>
                  <w:top w:w="0" w:type="dxa"/>
                  <w:left w:w="108" w:type="dxa"/>
                  <w:bottom w:w="0" w:type="dxa"/>
                  <w:right w:w="108" w:type="dxa"/>
                </w:tblCellMar>
              </w:tblPrEx>
              <w:tc>
                <w:tcPr>
                  <w:tcW w:w="4984" w:type="dxa"/>
                  <w:shd w:val="clear" w:color="auto" w:fill="auto"/>
                  <w:vAlign w:val="center"/>
                </w:tcPr>
                <w:p w14:paraId="07871A6A">
                  <w:pPr>
                    <w:spacing w:line="360" w:lineRule="auto"/>
                    <w:ind w:left="720" w:leftChars="0" w:hanging="720" w:hangingChars="3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电话：0596-</w:t>
                  </w:r>
                  <w:r>
                    <w:rPr>
                      <w:rFonts w:hint="eastAsia" w:ascii="Times New Roman" w:hAnsi="Times New Roman" w:cs="Times New Roman"/>
                      <w:sz w:val="24"/>
                      <w:szCs w:val="24"/>
                      <w:lang w:val="en-US" w:eastAsia="zh-CN"/>
                    </w:rPr>
                    <w:t>6311101</w:t>
                  </w:r>
                </w:p>
              </w:tc>
            </w:tr>
            <w:tr w14:paraId="51FAC7AC">
              <w:tblPrEx>
                <w:tblCellMar>
                  <w:top w:w="0" w:type="dxa"/>
                  <w:left w:w="108" w:type="dxa"/>
                  <w:bottom w:w="0" w:type="dxa"/>
                  <w:right w:w="108" w:type="dxa"/>
                </w:tblCellMar>
              </w:tblPrEx>
              <w:tc>
                <w:tcPr>
                  <w:tcW w:w="4984" w:type="dxa"/>
                  <w:shd w:val="clear" w:color="auto" w:fill="auto"/>
                  <w:vAlign w:val="center"/>
                </w:tcPr>
                <w:p w14:paraId="46921AB1">
                  <w:pPr>
                    <w:spacing w:line="360" w:lineRule="auto"/>
                    <w:ind w:left="720" w:leftChars="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开户银行：</w:t>
                  </w:r>
                  <w:r>
                    <w:rPr>
                      <w:rFonts w:hint="eastAsia" w:ascii="Times New Roman" w:hAnsi="Times New Roman" w:cs="Times New Roman"/>
                      <w:sz w:val="24"/>
                      <w:szCs w:val="24"/>
                      <w:lang w:eastAsia="zh-CN"/>
                    </w:rPr>
                    <w:t>中国银行漳州分行</w:t>
                  </w:r>
                </w:p>
              </w:tc>
            </w:tr>
            <w:tr w14:paraId="24A7F374">
              <w:tblPrEx>
                <w:tblCellMar>
                  <w:top w:w="0" w:type="dxa"/>
                  <w:left w:w="108" w:type="dxa"/>
                  <w:bottom w:w="0" w:type="dxa"/>
                  <w:right w:w="108" w:type="dxa"/>
                </w:tblCellMar>
              </w:tblPrEx>
              <w:tc>
                <w:tcPr>
                  <w:tcW w:w="4984" w:type="dxa"/>
                  <w:shd w:val="clear" w:color="auto" w:fill="auto"/>
                  <w:vAlign w:val="center"/>
                </w:tcPr>
                <w:p w14:paraId="70AE9B44">
                  <w:pPr>
                    <w:spacing w:line="360" w:lineRule="auto"/>
                    <w:ind w:left="720" w:leftChars="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账号：</w:t>
                  </w:r>
                  <w:r>
                    <w:rPr>
                      <w:rFonts w:hint="eastAsia" w:ascii="Times New Roman" w:hAnsi="Times New Roman" w:cs="Times New Roman"/>
                      <w:sz w:val="24"/>
                      <w:szCs w:val="24"/>
                      <w:lang w:eastAsia="zh-CN"/>
                    </w:rPr>
                    <w:t>416958369985</w:t>
                  </w:r>
                </w:p>
              </w:tc>
            </w:tr>
            <w:tr w14:paraId="22361CF2">
              <w:tblPrEx>
                <w:tblCellMar>
                  <w:top w:w="0" w:type="dxa"/>
                  <w:left w:w="108" w:type="dxa"/>
                  <w:bottom w:w="0" w:type="dxa"/>
                  <w:right w:w="108" w:type="dxa"/>
                </w:tblCellMar>
              </w:tblPrEx>
              <w:tc>
                <w:tcPr>
                  <w:tcW w:w="4984" w:type="dxa"/>
                  <w:shd w:val="clear" w:color="auto" w:fill="auto"/>
                  <w:vAlign w:val="center"/>
                </w:tcPr>
                <w:p w14:paraId="196B477A">
                  <w:pPr>
                    <w:spacing w:line="360" w:lineRule="auto"/>
                    <w:ind w:left="720" w:leftChars="0" w:hanging="720" w:hangingChars="300"/>
                    <w:jc w:val="both"/>
                    <w:rPr>
                      <w:rFonts w:ascii="Times New Roman" w:hAnsi="Times New Roman" w:cs="Times New Roman"/>
                      <w:sz w:val="24"/>
                      <w:szCs w:val="24"/>
                      <w:lang w:val="en-US" w:eastAsia="zh-CN"/>
                    </w:rPr>
                  </w:pPr>
                  <w:r>
                    <w:rPr>
                      <w:rFonts w:hint="eastAsia" w:ascii="Times New Roman" w:hAnsi="Times New Roman" w:cs="Times New Roman"/>
                      <w:sz w:val="24"/>
                      <w:szCs w:val="24"/>
                      <w:lang w:eastAsia="zh-CN"/>
                    </w:rPr>
                    <w:t>税号：913506006765392255</w:t>
                  </w:r>
                </w:p>
              </w:tc>
            </w:tr>
          </w:tbl>
          <w:p w14:paraId="2940B6F1">
            <w:pPr>
              <w:spacing w:line="360" w:lineRule="auto"/>
              <w:ind w:left="720" w:leftChars="0" w:hanging="720" w:hangingChars="300"/>
              <w:jc w:val="both"/>
              <w:rPr>
                <w:rFonts w:ascii="Times New Roman" w:hAnsi="Times New Roman" w:cs="Times New Roman"/>
                <w:sz w:val="24"/>
                <w:szCs w:val="24"/>
                <w:lang w:val="en-US" w:eastAsia="zh-CN"/>
              </w:rPr>
            </w:pPr>
          </w:p>
        </w:tc>
      </w:tr>
    </w:tbl>
    <w:p w14:paraId="0143508F">
      <w:pPr>
        <w:spacing w:line="360" w:lineRule="auto"/>
        <w:ind w:left="720" w:leftChars="0" w:hanging="720" w:hangingChars="300"/>
        <w:jc w:val="both"/>
        <w:rPr>
          <w:rFonts w:ascii="Times New Roman" w:hAnsi="Times New Roman" w:cs="Times New Roman"/>
          <w:sz w:val="24"/>
          <w:szCs w:val="24"/>
          <w:lang w:eastAsia="zh-CN"/>
        </w:rPr>
      </w:pPr>
    </w:p>
    <w:p w14:paraId="1C96AA1B">
      <w:pPr>
        <w:spacing w:line="360" w:lineRule="auto"/>
        <w:ind w:left="720" w:leftChars="0" w:hanging="720" w:hangingChars="300"/>
        <w:jc w:val="both"/>
        <w:rPr>
          <w:rFonts w:ascii="Times New Roman" w:hAnsi="Times New Roman" w:cs="Times New Roman"/>
          <w:sz w:val="24"/>
          <w:szCs w:val="24"/>
          <w:lang w:eastAsia="zh-CN"/>
        </w:rPr>
      </w:pPr>
    </w:p>
    <w:p w14:paraId="2562EB23">
      <w:pPr>
        <w:spacing w:line="360" w:lineRule="auto"/>
        <w:ind w:left="720" w:leftChars="0" w:hanging="720" w:hangingChars="300"/>
        <w:jc w:val="both"/>
        <w:rPr>
          <w:rFonts w:ascii="Times New Roman" w:hAnsi="Times New Roman" w:cs="Times New Roman"/>
          <w:sz w:val="24"/>
          <w:szCs w:val="24"/>
          <w:lang w:eastAsia="zh-CN"/>
        </w:rPr>
      </w:pPr>
    </w:p>
    <w:p w14:paraId="75980A27">
      <w:pPr>
        <w:spacing w:line="360" w:lineRule="auto"/>
        <w:ind w:left="720" w:leftChars="0" w:hanging="720" w:hangingChars="300"/>
        <w:jc w:val="both"/>
        <w:rPr>
          <w:rFonts w:ascii="Times New Roman" w:hAnsi="Times New Roman" w:cs="Times New Roman"/>
          <w:sz w:val="24"/>
          <w:szCs w:val="24"/>
          <w:lang w:eastAsia="zh-CN"/>
        </w:rPr>
      </w:pPr>
    </w:p>
    <w:p w14:paraId="541D7279">
      <w:pPr>
        <w:spacing w:line="360" w:lineRule="auto"/>
        <w:ind w:left="720" w:leftChars="0" w:hanging="720" w:hangingChars="300"/>
        <w:jc w:val="both"/>
        <w:rPr>
          <w:rFonts w:ascii="Times New Roman" w:hAnsi="Times New Roman" w:cs="Times New Roman"/>
          <w:sz w:val="24"/>
          <w:szCs w:val="24"/>
          <w:lang w:eastAsia="zh-CN"/>
        </w:rPr>
      </w:pPr>
    </w:p>
    <w:p w14:paraId="59C8D714">
      <w:pPr>
        <w:spacing w:line="360" w:lineRule="auto"/>
        <w:ind w:left="720" w:leftChars="0" w:hanging="720" w:hangingChars="300"/>
        <w:jc w:val="both"/>
        <w:rPr>
          <w:rFonts w:ascii="Times New Roman" w:hAnsi="Times New Roman" w:cs="Times New Roman"/>
          <w:sz w:val="24"/>
          <w:szCs w:val="24"/>
          <w:lang w:eastAsia="zh-CN"/>
        </w:rPr>
      </w:pPr>
    </w:p>
    <w:p w14:paraId="60E8B151">
      <w:pPr>
        <w:spacing w:line="360" w:lineRule="auto"/>
        <w:ind w:left="720" w:leftChars="0" w:hanging="720" w:hangingChars="300"/>
        <w:jc w:val="both"/>
        <w:rPr>
          <w:rFonts w:ascii="Times New Roman" w:hAnsi="Times New Roman" w:cs="Times New Roman"/>
          <w:sz w:val="24"/>
          <w:szCs w:val="24"/>
          <w:lang w:eastAsia="zh-CN"/>
        </w:rPr>
      </w:pPr>
    </w:p>
    <w:p w14:paraId="594419F9">
      <w:pPr>
        <w:spacing w:line="360" w:lineRule="auto"/>
        <w:ind w:left="720" w:leftChars="0" w:hanging="720" w:hangingChars="300"/>
        <w:jc w:val="both"/>
        <w:rPr>
          <w:rFonts w:ascii="Times New Roman" w:hAnsi="Times New Roman" w:cs="Times New Roman"/>
          <w:sz w:val="24"/>
          <w:szCs w:val="24"/>
          <w:lang w:eastAsia="zh-CN"/>
        </w:rPr>
      </w:pPr>
    </w:p>
    <w:tbl>
      <w:tblPr>
        <w:tblStyle w:val="23"/>
        <w:tblpPr w:leftFromText="180" w:rightFromText="180" w:vertAnchor="text" w:horzAnchor="page" w:tblpX="1455" w:tblpY="579"/>
        <w:tblOverlap w:val="never"/>
        <w:tblW w:w="5016" w:type="dxa"/>
        <w:tblInd w:w="0" w:type="dxa"/>
        <w:tblLayout w:type="fixed"/>
        <w:tblCellMar>
          <w:top w:w="0" w:type="dxa"/>
          <w:left w:w="108" w:type="dxa"/>
          <w:bottom w:w="0" w:type="dxa"/>
          <w:right w:w="108" w:type="dxa"/>
        </w:tblCellMar>
      </w:tblPr>
      <w:tblGrid>
        <w:gridCol w:w="5016"/>
      </w:tblGrid>
      <w:tr w14:paraId="3B404A4C">
        <w:tblPrEx>
          <w:tblCellMar>
            <w:top w:w="0" w:type="dxa"/>
            <w:left w:w="108" w:type="dxa"/>
            <w:bottom w:w="0" w:type="dxa"/>
            <w:right w:w="108" w:type="dxa"/>
          </w:tblCellMar>
        </w:tblPrEx>
        <w:tc>
          <w:tcPr>
            <w:tcW w:w="5016" w:type="dxa"/>
            <w:shd w:val="clear" w:color="auto" w:fill="auto"/>
            <w:vAlign w:val="center"/>
          </w:tcPr>
          <w:p w14:paraId="256788A0">
            <w:pPr>
              <w:spacing w:line="360" w:lineRule="auto"/>
              <w:ind w:left="723" w:leftChars="0" w:hanging="723" w:hangingChars="300"/>
              <w:jc w:val="both"/>
              <w:rPr>
                <w:rFonts w:ascii="Times New Roman" w:hAnsi="Times New Roman" w:cs="Times New Roman"/>
                <w:sz w:val="24"/>
                <w:szCs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4</w:t>
            </w:r>
            <w:r>
              <w:rPr>
                <w:rFonts w:hint="eastAsia" w:ascii="Times New Roman" w:hAnsi="Times New Roman" w:cs="Times New Roman"/>
                <w:sz w:val="24"/>
                <w:szCs w:val="24"/>
                <w:lang w:eastAsia="zh-CN"/>
              </w:rPr>
              <w:t>：翔鹭码头投资管理（漳州）有限公司</w:t>
            </w:r>
          </w:p>
        </w:tc>
      </w:tr>
      <w:tr w14:paraId="5A5ADADE">
        <w:tblPrEx>
          <w:tblCellMar>
            <w:top w:w="0" w:type="dxa"/>
            <w:left w:w="108" w:type="dxa"/>
            <w:bottom w:w="0" w:type="dxa"/>
            <w:right w:w="108" w:type="dxa"/>
          </w:tblCellMar>
        </w:tblPrEx>
        <w:tc>
          <w:tcPr>
            <w:tcW w:w="5016" w:type="dxa"/>
            <w:shd w:val="clear" w:color="auto" w:fill="auto"/>
            <w:vAlign w:val="center"/>
          </w:tcPr>
          <w:p w14:paraId="3FD6F83F">
            <w:pPr>
              <w:spacing w:line="360" w:lineRule="auto"/>
              <w:ind w:left="720" w:leftChars="0" w:hanging="720" w:hanging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地址：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w:t>
            </w: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号</w:t>
            </w:r>
          </w:p>
        </w:tc>
      </w:tr>
      <w:tr w14:paraId="644859B2">
        <w:tblPrEx>
          <w:tblCellMar>
            <w:top w:w="0" w:type="dxa"/>
            <w:left w:w="108" w:type="dxa"/>
            <w:bottom w:w="0" w:type="dxa"/>
            <w:right w:w="108" w:type="dxa"/>
          </w:tblCellMar>
        </w:tblPrEx>
        <w:tc>
          <w:tcPr>
            <w:tcW w:w="5016" w:type="dxa"/>
            <w:shd w:val="clear" w:color="auto" w:fill="auto"/>
            <w:vAlign w:val="center"/>
          </w:tcPr>
          <w:p w14:paraId="1EE8FA24">
            <w:pPr>
              <w:spacing w:line="360" w:lineRule="auto"/>
              <w:ind w:left="720" w:leftChars="0" w:hanging="720" w:hangingChars="3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电话：0596-</w:t>
            </w:r>
            <w:r>
              <w:rPr>
                <w:rFonts w:hint="eastAsia" w:ascii="Times New Roman" w:hAnsi="Times New Roman" w:cs="Times New Roman"/>
                <w:sz w:val="24"/>
                <w:szCs w:val="24"/>
                <w:lang w:val="en-US" w:eastAsia="zh-CN"/>
              </w:rPr>
              <w:t>6311101</w:t>
            </w:r>
          </w:p>
        </w:tc>
      </w:tr>
      <w:tr w14:paraId="2EB44078">
        <w:tblPrEx>
          <w:tblCellMar>
            <w:top w:w="0" w:type="dxa"/>
            <w:left w:w="108" w:type="dxa"/>
            <w:bottom w:w="0" w:type="dxa"/>
            <w:right w:w="108" w:type="dxa"/>
          </w:tblCellMar>
        </w:tblPrEx>
        <w:tc>
          <w:tcPr>
            <w:tcW w:w="5016" w:type="dxa"/>
            <w:shd w:val="clear" w:color="auto" w:fill="auto"/>
            <w:vAlign w:val="center"/>
          </w:tcPr>
          <w:p w14:paraId="407B9BE5">
            <w:pPr>
              <w:spacing w:line="360" w:lineRule="auto"/>
              <w:ind w:left="720" w:leftChars="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开户银行：</w:t>
            </w:r>
            <w:r>
              <w:rPr>
                <w:rFonts w:hint="eastAsia" w:ascii="Times New Roman" w:hAnsi="Times New Roman" w:cs="Times New Roman"/>
                <w:sz w:val="24"/>
                <w:szCs w:val="24"/>
                <w:lang w:eastAsia="zh-CN"/>
              </w:rPr>
              <w:t>中国银行漳浦支行</w:t>
            </w:r>
          </w:p>
        </w:tc>
      </w:tr>
      <w:tr w14:paraId="7AEA8B6E">
        <w:tblPrEx>
          <w:tblCellMar>
            <w:top w:w="0" w:type="dxa"/>
            <w:left w:w="108" w:type="dxa"/>
            <w:bottom w:w="0" w:type="dxa"/>
            <w:right w:w="108" w:type="dxa"/>
          </w:tblCellMar>
        </w:tblPrEx>
        <w:tc>
          <w:tcPr>
            <w:tcW w:w="5016" w:type="dxa"/>
            <w:shd w:val="clear" w:color="auto" w:fill="auto"/>
            <w:vAlign w:val="center"/>
          </w:tcPr>
          <w:p w14:paraId="11627B15">
            <w:pPr>
              <w:spacing w:line="360" w:lineRule="auto"/>
              <w:ind w:left="720" w:leftChars="0" w:hanging="720" w:hangingChars="3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账号：</w:t>
            </w:r>
            <w:r>
              <w:rPr>
                <w:rFonts w:hint="eastAsia" w:ascii="Times New Roman" w:hAnsi="Times New Roman" w:cs="Times New Roman"/>
                <w:sz w:val="24"/>
                <w:szCs w:val="24"/>
                <w:lang w:eastAsia="zh-CN"/>
              </w:rPr>
              <w:t>423467650735</w:t>
            </w:r>
          </w:p>
        </w:tc>
      </w:tr>
      <w:tr w14:paraId="61E2738A">
        <w:tblPrEx>
          <w:tblCellMar>
            <w:top w:w="0" w:type="dxa"/>
            <w:left w:w="108" w:type="dxa"/>
            <w:bottom w:w="0" w:type="dxa"/>
            <w:right w:w="108" w:type="dxa"/>
          </w:tblCellMar>
        </w:tblPrEx>
        <w:tc>
          <w:tcPr>
            <w:tcW w:w="5016" w:type="dxa"/>
            <w:shd w:val="clear" w:color="auto" w:fill="auto"/>
            <w:vAlign w:val="center"/>
          </w:tcPr>
          <w:p w14:paraId="007C1008">
            <w:pPr>
              <w:spacing w:line="360" w:lineRule="auto"/>
              <w:ind w:left="720" w:leftChars="0" w:hanging="720" w:hangingChars="300"/>
              <w:jc w:val="both"/>
              <w:rPr>
                <w:rFonts w:ascii="Times New Roman" w:hAnsi="Times New Roman" w:cs="Times New Roman"/>
                <w:sz w:val="24"/>
                <w:szCs w:val="24"/>
                <w:lang w:val="en-US" w:eastAsia="zh-CN"/>
              </w:rPr>
            </w:pPr>
            <w:r>
              <w:rPr>
                <w:rFonts w:hint="eastAsia" w:ascii="Times New Roman" w:hAnsi="Times New Roman" w:cs="Times New Roman"/>
                <w:sz w:val="24"/>
                <w:szCs w:val="24"/>
                <w:lang w:eastAsia="zh-CN"/>
              </w:rPr>
              <w:t>税号：91</w:t>
            </w:r>
            <w:r>
              <w:rPr>
                <w:rFonts w:ascii="Times New Roman" w:hAnsi="Times New Roman" w:cs="Times New Roman"/>
                <w:sz w:val="24"/>
                <w:szCs w:val="24"/>
                <w:lang w:eastAsia="zh-CN"/>
              </w:rPr>
              <w:t>350</w:t>
            </w:r>
            <w:r>
              <w:rPr>
                <w:rFonts w:hint="eastAsia" w:ascii="Times New Roman" w:hAnsi="Times New Roman" w:cs="Times New Roman"/>
                <w:sz w:val="24"/>
                <w:szCs w:val="24"/>
                <w:lang w:eastAsia="zh-CN"/>
              </w:rPr>
              <w:t>623098275001C</w:t>
            </w:r>
          </w:p>
        </w:tc>
      </w:tr>
    </w:tbl>
    <w:p w14:paraId="5FEFF52A">
      <w:pPr>
        <w:spacing w:line="360" w:lineRule="auto"/>
        <w:ind w:left="720" w:leftChars="0" w:hanging="720" w:hangingChars="300"/>
        <w:jc w:val="both"/>
        <w:rPr>
          <w:rFonts w:ascii="Times New Roman" w:hAnsi="Times New Roman" w:cs="Times New Roman"/>
          <w:sz w:val="24"/>
          <w:szCs w:val="24"/>
          <w:lang w:eastAsia="zh-CN"/>
        </w:rPr>
      </w:pPr>
    </w:p>
    <w:p w14:paraId="32FAAF35">
      <w:pPr>
        <w:spacing w:line="360" w:lineRule="auto"/>
        <w:ind w:left="720" w:leftChars="0" w:hanging="720" w:hangingChars="300"/>
        <w:jc w:val="both"/>
        <w:rPr>
          <w:rFonts w:ascii="Times New Roman" w:hAnsi="Times New Roman" w:cs="Times New Roman"/>
          <w:sz w:val="24"/>
          <w:szCs w:val="24"/>
          <w:lang w:eastAsia="zh-CN"/>
        </w:rPr>
      </w:pPr>
    </w:p>
    <w:p w14:paraId="3FF386B4">
      <w:pPr>
        <w:spacing w:line="360" w:lineRule="auto"/>
        <w:ind w:left="720" w:leftChars="0" w:hanging="720" w:hangingChars="300"/>
        <w:jc w:val="both"/>
        <w:rPr>
          <w:rFonts w:ascii="Times New Roman" w:hAnsi="Times New Roman" w:cs="Times New Roman"/>
          <w:sz w:val="24"/>
          <w:szCs w:val="24"/>
          <w:lang w:eastAsia="zh-CN"/>
        </w:rPr>
      </w:pPr>
    </w:p>
    <w:p w14:paraId="1EE6A172">
      <w:pPr>
        <w:spacing w:line="360" w:lineRule="auto"/>
        <w:ind w:left="720" w:leftChars="0" w:hanging="720" w:hangingChars="300"/>
        <w:jc w:val="both"/>
        <w:rPr>
          <w:rFonts w:ascii="Times New Roman" w:hAnsi="Times New Roman" w:cs="Times New Roman"/>
          <w:sz w:val="24"/>
          <w:szCs w:val="24"/>
          <w:lang w:eastAsia="zh-CN"/>
        </w:rPr>
      </w:pPr>
    </w:p>
    <w:p w14:paraId="6B5ECA4B">
      <w:pPr>
        <w:spacing w:line="360" w:lineRule="auto"/>
        <w:ind w:left="720" w:leftChars="0" w:hanging="720" w:hangingChars="300"/>
        <w:jc w:val="both"/>
        <w:rPr>
          <w:rFonts w:ascii="Times New Roman" w:hAnsi="Times New Roman" w:cs="Times New Roman"/>
          <w:sz w:val="24"/>
          <w:szCs w:val="24"/>
          <w:lang w:eastAsia="zh-CN"/>
        </w:rPr>
      </w:pPr>
    </w:p>
    <w:p w14:paraId="3D727F35">
      <w:pPr>
        <w:spacing w:line="360" w:lineRule="auto"/>
        <w:ind w:left="720" w:leftChars="0" w:hanging="720" w:hangingChars="300"/>
        <w:jc w:val="both"/>
        <w:rPr>
          <w:rFonts w:ascii="Times New Roman" w:hAnsi="Times New Roman" w:cs="Times New Roman"/>
          <w:sz w:val="24"/>
          <w:szCs w:val="24"/>
          <w:lang w:eastAsia="zh-CN"/>
        </w:rPr>
      </w:pPr>
    </w:p>
    <w:p w14:paraId="23E7BAB1">
      <w:pPr>
        <w:spacing w:line="360" w:lineRule="auto"/>
        <w:ind w:left="720" w:leftChars="0" w:hanging="720" w:hangingChars="300"/>
        <w:jc w:val="both"/>
        <w:rPr>
          <w:rFonts w:ascii="Times New Roman" w:hAnsi="Times New Roman" w:cs="Times New Roman"/>
          <w:sz w:val="24"/>
          <w:szCs w:val="24"/>
          <w:lang w:eastAsia="zh-CN"/>
        </w:rPr>
      </w:pPr>
    </w:p>
    <w:p w14:paraId="21537663">
      <w:pPr>
        <w:pStyle w:val="35"/>
        <w:rPr>
          <w:b/>
          <w:sz w:val="28"/>
          <w:szCs w:val="28"/>
        </w:rPr>
      </w:pPr>
    </w:p>
    <w:p w14:paraId="4629662D">
      <w:pPr>
        <w:pStyle w:val="35"/>
        <w:rPr>
          <w:b/>
          <w:sz w:val="28"/>
          <w:szCs w:val="28"/>
        </w:rPr>
      </w:pPr>
    </w:p>
    <w:p w14:paraId="30623B50">
      <w:pPr>
        <w:pStyle w:val="35"/>
        <w:rPr>
          <w:b/>
          <w:sz w:val="28"/>
          <w:szCs w:val="28"/>
        </w:rPr>
      </w:pPr>
    </w:p>
    <w:p w14:paraId="4C4CC61F">
      <w:pPr>
        <w:pStyle w:val="35"/>
        <w:rPr>
          <w:b/>
          <w:sz w:val="28"/>
          <w:szCs w:val="28"/>
        </w:rPr>
      </w:pPr>
    </w:p>
    <w:p w14:paraId="29E8C0AD">
      <w:pPr>
        <w:pStyle w:val="35"/>
        <w:rPr>
          <w:b/>
          <w:sz w:val="28"/>
          <w:szCs w:val="28"/>
        </w:rPr>
      </w:pPr>
    </w:p>
    <w:p w14:paraId="41734AC1">
      <w:pPr>
        <w:pStyle w:val="35"/>
        <w:rPr>
          <w:b/>
          <w:sz w:val="28"/>
          <w:szCs w:val="28"/>
        </w:rPr>
      </w:pPr>
    </w:p>
    <w:p w14:paraId="54E037D5">
      <w:pPr>
        <w:pStyle w:val="35"/>
        <w:rPr>
          <w:b/>
          <w:sz w:val="28"/>
          <w:szCs w:val="28"/>
        </w:rPr>
      </w:pPr>
    </w:p>
    <w:p w14:paraId="2BF49108">
      <w:pPr>
        <w:pStyle w:val="35"/>
        <w:rPr>
          <w:b/>
          <w:sz w:val="28"/>
          <w:szCs w:val="28"/>
        </w:rPr>
      </w:pPr>
    </w:p>
    <w:p w14:paraId="0C7044EF">
      <w:pPr>
        <w:pStyle w:val="35"/>
        <w:rPr>
          <w:b/>
          <w:sz w:val="28"/>
          <w:szCs w:val="28"/>
        </w:rPr>
      </w:pPr>
    </w:p>
    <w:p w14:paraId="1B955B48">
      <w:pPr>
        <w:pStyle w:val="35"/>
        <w:rPr>
          <w:b/>
          <w:sz w:val="28"/>
          <w:szCs w:val="28"/>
        </w:rPr>
      </w:pPr>
    </w:p>
    <w:p w14:paraId="6C8D52EC">
      <w:pPr>
        <w:tabs>
          <w:tab w:val="left" w:pos="1260"/>
          <w:tab w:val="left" w:pos="1800"/>
        </w:tabs>
        <w:spacing w:line="360" w:lineRule="auto"/>
        <w:ind w:firstLine="723" w:firstLineChars="225"/>
        <w:rPr>
          <w:rFonts w:hint="eastAsia"/>
          <w:b/>
          <w:color w:val="000000"/>
          <w:sz w:val="32"/>
          <w:szCs w:val="32"/>
          <w:lang w:eastAsia="zh-CN"/>
        </w:rPr>
      </w:pPr>
    </w:p>
    <w:p w14:paraId="6356F54A">
      <w:pPr>
        <w:tabs>
          <w:tab w:val="left" w:pos="1260"/>
          <w:tab w:val="left" w:pos="1800"/>
        </w:tabs>
        <w:spacing w:line="360" w:lineRule="auto"/>
        <w:ind w:firstLine="723" w:firstLineChars="225"/>
        <w:rPr>
          <w:rFonts w:hint="eastAsia"/>
          <w:b/>
          <w:color w:val="000000"/>
          <w:sz w:val="32"/>
          <w:szCs w:val="32"/>
          <w:lang w:eastAsia="zh-CN"/>
        </w:rPr>
      </w:pPr>
    </w:p>
    <w:p w14:paraId="7BC75879">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14:paraId="64CDDB42">
      <w:pPr>
        <w:pStyle w:val="35"/>
        <w:rPr>
          <w:b/>
          <w:bCs/>
          <w:sz w:val="36"/>
          <w:szCs w:val="36"/>
        </w:rPr>
      </w:pPr>
    </w:p>
    <w:p w14:paraId="4DDD49B2">
      <w:pPr>
        <w:pStyle w:val="12"/>
        <w:spacing w:line="615" w:lineRule="exact"/>
        <w:jc w:val="center"/>
        <w:rPr>
          <w:rFonts w:ascii="Times New Roman" w:hAnsi="Times New Roman" w:cs="Times New Roman"/>
          <w:b/>
          <w:sz w:val="44"/>
          <w:szCs w:val="44"/>
          <w:lang w:eastAsia="zh-CN"/>
        </w:rPr>
      </w:pPr>
    </w:p>
    <w:p w14:paraId="46FF2665">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14:paraId="57A233C4">
      <w:pPr>
        <w:pStyle w:val="12"/>
        <w:spacing w:line="615" w:lineRule="exact"/>
        <w:jc w:val="center"/>
        <w:rPr>
          <w:rFonts w:ascii="Times New Roman" w:hAnsi="Times New Roman" w:cs="Times New Roman"/>
          <w:b/>
          <w:sz w:val="44"/>
          <w:szCs w:val="44"/>
          <w:lang w:eastAsia="zh-CN"/>
        </w:rPr>
      </w:pPr>
    </w:p>
    <w:p w14:paraId="71952F69">
      <w:pPr>
        <w:pStyle w:val="12"/>
        <w:spacing w:line="615" w:lineRule="exact"/>
        <w:jc w:val="center"/>
        <w:rPr>
          <w:rFonts w:ascii="Times New Roman" w:hAnsi="Times New Roman" w:cs="Times New Roman"/>
          <w:b/>
          <w:sz w:val="36"/>
          <w:szCs w:val="36"/>
          <w:lang w:eastAsia="zh-CN"/>
        </w:rPr>
      </w:pPr>
    </w:p>
    <w:p w14:paraId="087EB5D8">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val="en-US" w:eastAsia="zh-CN"/>
        </w:rPr>
        <w:t>2025年-2026年风向杆、风向袋年度采购</w:t>
      </w:r>
      <w:r>
        <w:rPr>
          <w:rFonts w:hint="eastAsia" w:ascii="Times New Roman" w:hAnsi="Times New Roman" w:cs="Times New Roman"/>
          <w:b/>
          <w:bCs/>
          <w:sz w:val="44"/>
          <w:szCs w:val="44"/>
          <w:lang w:val="en-US" w:eastAsia="zh-CN"/>
        </w:rPr>
        <w:t>项目</w:t>
      </w:r>
    </w:p>
    <w:p w14:paraId="48952842">
      <w:pPr>
        <w:spacing w:line="1000" w:lineRule="exact"/>
        <w:jc w:val="center"/>
        <w:rPr>
          <w:rFonts w:ascii="Times New Roman" w:hAnsi="Times New Roman" w:cs="Times New Roman"/>
          <w:b/>
          <w:bCs/>
          <w:sz w:val="44"/>
          <w:szCs w:val="44"/>
          <w:lang w:eastAsia="zh-CN"/>
        </w:rPr>
      </w:pPr>
    </w:p>
    <w:p w14:paraId="149196A9">
      <w:pPr>
        <w:spacing w:line="1000" w:lineRule="exact"/>
        <w:jc w:val="center"/>
        <w:rPr>
          <w:rFonts w:ascii="Times New Roman" w:hAnsi="Times New Roman" w:cs="Times New Roman"/>
          <w:b/>
          <w:bCs/>
          <w:sz w:val="44"/>
          <w:szCs w:val="44"/>
          <w:lang w:eastAsia="zh-CN"/>
        </w:rPr>
      </w:pPr>
    </w:p>
    <w:p w14:paraId="71AE61C1">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14:paraId="4DBBF1E7">
      <w:pPr>
        <w:pStyle w:val="35"/>
        <w:rPr>
          <w:rFonts w:ascii="Times New Roman" w:hAnsi="Times New Roman"/>
        </w:rPr>
      </w:pPr>
    </w:p>
    <w:p w14:paraId="7B7568C7">
      <w:pPr>
        <w:pStyle w:val="12"/>
        <w:rPr>
          <w:rFonts w:ascii="Times New Roman" w:hAnsi="Times New Roman" w:cs="Times New Roman"/>
          <w:lang w:eastAsia="zh-CN"/>
        </w:rPr>
      </w:pPr>
    </w:p>
    <w:p w14:paraId="77680C39">
      <w:pPr>
        <w:pStyle w:val="12"/>
        <w:rPr>
          <w:rFonts w:ascii="Times New Roman" w:hAnsi="Times New Roman" w:cs="Times New Roman"/>
          <w:b/>
          <w:bCs/>
          <w:sz w:val="32"/>
          <w:szCs w:val="32"/>
          <w:lang w:eastAsia="zh-CN"/>
        </w:rPr>
      </w:pPr>
    </w:p>
    <w:p w14:paraId="2084FECA">
      <w:pPr>
        <w:pStyle w:val="12"/>
        <w:rPr>
          <w:rFonts w:ascii="Times New Roman" w:hAnsi="Times New Roman" w:cs="Times New Roman"/>
          <w:b/>
          <w:bCs/>
          <w:sz w:val="32"/>
          <w:szCs w:val="32"/>
          <w:lang w:eastAsia="zh-CN"/>
        </w:rPr>
      </w:pPr>
    </w:p>
    <w:p w14:paraId="3E2E8917">
      <w:pPr>
        <w:pStyle w:val="12"/>
        <w:rPr>
          <w:rFonts w:ascii="Times New Roman" w:hAnsi="Times New Roman" w:cs="Times New Roman"/>
          <w:b/>
          <w:bCs/>
          <w:sz w:val="32"/>
          <w:szCs w:val="32"/>
          <w:lang w:eastAsia="zh-CN"/>
        </w:rPr>
      </w:pPr>
    </w:p>
    <w:p w14:paraId="72C4214D">
      <w:pPr>
        <w:pStyle w:val="12"/>
        <w:rPr>
          <w:rFonts w:ascii="Times New Roman" w:hAnsi="Times New Roman" w:cs="Times New Roman"/>
          <w:b/>
          <w:bCs/>
          <w:sz w:val="32"/>
          <w:szCs w:val="36"/>
          <w:lang w:eastAsia="zh-CN"/>
        </w:rPr>
      </w:pPr>
    </w:p>
    <w:p w14:paraId="50682FA7">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14:paraId="7A05DCDD">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10</w:t>
      </w:r>
      <w:r>
        <w:rPr>
          <w:rFonts w:ascii="Times New Roman" w:hAnsi="Times New Roman" w:cs="Times New Roman"/>
          <w:b/>
          <w:bCs/>
          <w:w w:val="95"/>
          <w:sz w:val="32"/>
          <w:lang w:eastAsia="zh-CN"/>
        </w:rPr>
        <w:t>月</w:t>
      </w:r>
    </w:p>
    <w:p w14:paraId="5E73B14E">
      <w:pPr>
        <w:rPr>
          <w:rFonts w:ascii="Times New Roman" w:hAnsi="Times New Roman" w:cs="Times New Roman"/>
          <w:lang w:eastAsia="zh-CN"/>
        </w:rPr>
      </w:pPr>
    </w:p>
    <w:p w14:paraId="5964478A">
      <w:pPr>
        <w:pStyle w:val="35"/>
        <w:rPr>
          <w:rFonts w:ascii="Times New Roman" w:hAnsi="Times New Roman"/>
        </w:rPr>
      </w:pPr>
    </w:p>
    <w:p w14:paraId="2DF36968">
      <w:pPr>
        <w:pStyle w:val="35"/>
        <w:rPr>
          <w:rFonts w:ascii="Times New Roman" w:hAnsi="Times New Roman"/>
        </w:rPr>
      </w:pPr>
    </w:p>
    <w:p w14:paraId="440898D4">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14:paraId="36A66059">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14:paraId="31392079">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14:paraId="159E76DD">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14:paraId="45B99121">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14:paraId="2F45A0B7">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14:paraId="3AA746E4">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69E78BA1">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14:paraId="738079CD">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0C3E9EB9">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1A0291F">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46C28267">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1787A7AA">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28C53AED">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0FEE0880">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8900BE7">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0C3E9EB9">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1A0291F">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46C28267">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1787A7AA">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28C53AED">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0FEE0880">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8900BE7">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572C3F0C">
      <w:pPr>
        <w:rPr>
          <w:rFonts w:ascii="Times New Roman" w:hAnsi="Times New Roman" w:cs="Times New Roman"/>
          <w:szCs w:val="21"/>
          <w:lang w:eastAsia="zh-CN"/>
        </w:rPr>
      </w:pPr>
    </w:p>
    <w:p w14:paraId="274DF3F9">
      <w:pPr>
        <w:rPr>
          <w:rFonts w:ascii="Times New Roman" w:hAnsi="Times New Roman" w:cs="Times New Roman"/>
          <w:szCs w:val="21"/>
          <w:lang w:eastAsia="zh-CN"/>
        </w:rPr>
      </w:pPr>
    </w:p>
    <w:p w14:paraId="55D2F933">
      <w:pPr>
        <w:rPr>
          <w:rFonts w:ascii="Times New Roman" w:hAnsi="Times New Roman" w:cs="Times New Roman"/>
          <w:szCs w:val="21"/>
          <w:lang w:eastAsia="zh-CN"/>
        </w:rPr>
      </w:pPr>
    </w:p>
    <w:p w14:paraId="01665B44">
      <w:pPr>
        <w:rPr>
          <w:rFonts w:ascii="Times New Roman" w:hAnsi="Times New Roman" w:cs="Times New Roman"/>
          <w:szCs w:val="21"/>
          <w:lang w:eastAsia="zh-CN"/>
        </w:rPr>
      </w:pPr>
    </w:p>
    <w:p w14:paraId="4092D406">
      <w:pPr>
        <w:rPr>
          <w:rFonts w:ascii="Times New Roman" w:hAnsi="Times New Roman" w:cs="Times New Roman"/>
          <w:szCs w:val="21"/>
          <w:lang w:eastAsia="zh-CN"/>
        </w:rPr>
      </w:pPr>
    </w:p>
    <w:p w14:paraId="2060A1EF">
      <w:pPr>
        <w:rPr>
          <w:rFonts w:ascii="Times New Roman" w:hAnsi="Times New Roman" w:cs="Times New Roman"/>
          <w:szCs w:val="21"/>
          <w:lang w:eastAsia="zh-CN"/>
        </w:rPr>
      </w:pPr>
    </w:p>
    <w:p w14:paraId="0670D65C">
      <w:pPr>
        <w:rPr>
          <w:rFonts w:ascii="Times New Roman" w:hAnsi="Times New Roman" w:cs="Times New Roman"/>
          <w:szCs w:val="21"/>
          <w:lang w:eastAsia="zh-CN"/>
        </w:rPr>
      </w:pPr>
    </w:p>
    <w:p w14:paraId="75CEF380">
      <w:pPr>
        <w:pStyle w:val="39"/>
        <w:spacing w:beforeLines="0" w:afterLines="0" w:line="240" w:lineRule="auto"/>
        <w:ind w:firstLine="618" w:firstLineChars="221"/>
        <w:rPr>
          <w:rFonts w:ascii="Times New Roman" w:hAnsi="Times New Roman" w:cs="Times New Roman"/>
          <w:bCs w:val="0"/>
          <w:color w:val="C00000"/>
          <w:lang w:eastAsia="zh-CN"/>
        </w:rPr>
      </w:pPr>
    </w:p>
    <w:p w14:paraId="121BCFD0">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14:paraId="27606ABB">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14:paraId="63B2F857">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14:paraId="3B0D6877">
      <w:pPr>
        <w:pStyle w:val="35"/>
        <w:rPr>
          <w:rFonts w:ascii="Times New Roman" w:hAnsi="Times New Roman"/>
        </w:rPr>
      </w:pPr>
    </w:p>
    <w:p w14:paraId="23EBF796">
      <w:pPr>
        <w:spacing w:line="1000" w:lineRule="exact"/>
        <w:jc w:val="center"/>
        <w:rPr>
          <w:rFonts w:ascii="Times New Roman" w:hAnsi="Times New Roman" w:cs="Times New Roman"/>
          <w:b/>
          <w:sz w:val="44"/>
          <w:szCs w:val="44"/>
        </w:rPr>
      </w:pPr>
    </w:p>
    <w:p w14:paraId="23A7C598">
      <w:pPr>
        <w:pStyle w:val="35"/>
      </w:pPr>
    </w:p>
    <w:p w14:paraId="662F723F">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14:paraId="09C2CF4C">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FF4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519BABB">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14:paraId="03E519D7">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14:paraId="505DABA1">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14:paraId="34B0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D95FF2E">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14:paraId="6433156A">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14:paraId="35105B1A">
            <w:pPr>
              <w:spacing w:line="500" w:lineRule="exact"/>
              <w:jc w:val="center"/>
              <w:rPr>
                <w:rFonts w:ascii="Times New Roman" w:hAnsi="Times New Roman" w:cs="Times New Roman"/>
                <w:sz w:val="24"/>
              </w:rPr>
            </w:pPr>
          </w:p>
        </w:tc>
      </w:tr>
      <w:tr w14:paraId="5CBC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C18B1DA">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14:paraId="755C1BE4">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14:paraId="0F36B426">
            <w:pPr>
              <w:spacing w:line="500" w:lineRule="exact"/>
              <w:jc w:val="center"/>
              <w:rPr>
                <w:rFonts w:ascii="Times New Roman" w:hAnsi="Times New Roman" w:cs="Times New Roman"/>
                <w:sz w:val="24"/>
              </w:rPr>
            </w:pPr>
          </w:p>
        </w:tc>
      </w:tr>
      <w:tr w14:paraId="334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4C536EF">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14:paraId="699597E3">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14:paraId="28475B2A">
            <w:pPr>
              <w:spacing w:line="500" w:lineRule="exact"/>
              <w:jc w:val="center"/>
              <w:rPr>
                <w:rFonts w:ascii="Times New Roman" w:hAnsi="Times New Roman" w:cs="Times New Roman"/>
                <w:sz w:val="24"/>
                <w:lang w:eastAsia="zh-CN"/>
              </w:rPr>
            </w:pPr>
          </w:p>
        </w:tc>
      </w:tr>
      <w:tr w14:paraId="6AEA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D297D0">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14:paraId="2030C349">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14:paraId="4E9138EC">
            <w:pPr>
              <w:spacing w:line="500" w:lineRule="exact"/>
              <w:jc w:val="center"/>
              <w:rPr>
                <w:rFonts w:ascii="Times New Roman" w:hAnsi="Times New Roman" w:cs="Times New Roman"/>
                <w:sz w:val="24"/>
                <w:lang w:eastAsia="zh-CN"/>
              </w:rPr>
            </w:pPr>
          </w:p>
        </w:tc>
      </w:tr>
      <w:tr w14:paraId="5DC5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F5D6AC1">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14:paraId="3EE0D74A">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14:paraId="73AAA3FD">
            <w:pPr>
              <w:spacing w:line="500" w:lineRule="exact"/>
              <w:jc w:val="center"/>
              <w:rPr>
                <w:rFonts w:ascii="Times New Roman" w:hAnsi="Times New Roman" w:cs="Times New Roman"/>
                <w:sz w:val="24"/>
                <w:lang w:eastAsia="zh-CN"/>
              </w:rPr>
            </w:pPr>
          </w:p>
        </w:tc>
      </w:tr>
      <w:tr w14:paraId="283E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620F8E2">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14:paraId="52D2E239">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14:paraId="35F7DF85">
            <w:pPr>
              <w:spacing w:line="500" w:lineRule="exact"/>
              <w:jc w:val="center"/>
              <w:rPr>
                <w:rFonts w:ascii="Times New Roman" w:hAnsi="Times New Roman" w:cs="Times New Roman"/>
                <w:sz w:val="24"/>
              </w:rPr>
            </w:pPr>
          </w:p>
        </w:tc>
      </w:tr>
      <w:tr w14:paraId="5DA6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D61CED">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14:paraId="2E189E85">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14:paraId="2D769E42">
            <w:pPr>
              <w:spacing w:line="500" w:lineRule="exact"/>
              <w:jc w:val="center"/>
              <w:rPr>
                <w:rFonts w:ascii="Times New Roman" w:hAnsi="Times New Roman" w:cs="Times New Roman"/>
                <w:sz w:val="24"/>
              </w:rPr>
            </w:pPr>
          </w:p>
        </w:tc>
      </w:tr>
      <w:tr w14:paraId="4738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117E160">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14:paraId="149E3113">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14:paraId="762632A5">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14:paraId="735E89DB">
      <w:pPr>
        <w:pStyle w:val="35"/>
        <w:rPr>
          <w:b/>
          <w:bCs/>
          <w:sz w:val="36"/>
          <w:szCs w:val="36"/>
        </w:rPr>
      </w:pPr>
    </w:p>
    <w:p w14:paraId="595679BD">
      <w:pPr>
        <w:pStyle w:val="35"/>
        <w:rPr>
          <w:b/>
          <w:bCs/>
          <w:sz w:val="36"/>
          <w:szCs w:val="36"/>
        </w:rPr>
      </w:pPr>
    </w:p>
    <w:p w14:paraId="28D38CDD">
      <w:pPr>
        <w:pStyle w:val="35"/>
        <w:rPr>
          <w:b/>
          <w:bCs/>
          <w:sz w:val="36"/>
          <w:szCs w:val="36"/>
        </w:rPr>
      </w:pPr>
    </w:p>
    <w:p w14:paraId="53506FA0">
      <w:pPr>
        <w:pStyle w:val="35"/>
        <w:rPr>
          <w:b/>
          <w:bCs/>
          <w:sz w:val="36"/>
          <w:szCs w:val="36"/>
        </w:rPr>
      </w:pPr>
    </w:p>
    <w:p w14:paraId="7FBFD578">
      <w:pPr>
        <w:pStyle w:val="35"/>
        <w:rPr>
          <w:b/>
          <w:bCs/>
          <w:sz w:val="36"/>
          <w:szCs w:val="36"/>
        </w:rPr>
      </w:pPr>
    </w:p>
    <w:p w14:paraId="74711649">
      <w:pPr>
        <w:pStyle w:val="35"/>
        <w:rPr>
          <w:b/>
          <w:bCs/>
          <w:sz w:val="36"/>
          <w:szCs w:val="36"/>
        </w:rPr>
      </w:pPr>
    </w:p>
    <w:p w14:paraId="5C8230C0">
      <w:pPr>
        <w:pStyle w:val="35"/>
        <w:rPr>
          <w:b/>
          <w:bCs/>
          <w:sz w:val="36"/>
          <w:szCs w:val="36"/>
        </w:rPr>
      </w:pPr>
    </w:p>
    <w:p w14:paraId="1757DF81">
      <w:pPr>
        <w:pStyle w:val="35"/>
        <w:rPr>
          <w:b/>
          <w:bCs/>
          <w:sz w:val="36"/>
          <w:szCs w:val="36"/>
        </w:rPr>
      </w:pPr>
    </w:p>
    <w:p w14:paraId="1236259E">
      <w:pPr>
        <w:pStyle w:val="35"/>
        <w:rPr>
          <w:b/>
          <w:bCs/>
          <w:sz w:val="36"/>
          <w:szCs w:val="36"/>
        </w:rPr>
      </w:pPr>
    </w:p>
    <w:p w14:paraId="52099F2B">
      <w:pPr>
        <w:pStyle w:val="35"/>
        <w:rPr>
          <w:b/>
          <w:bCs/>
          <w:sz w:val="36"/>
          <w:szCs w:val="36"/>
        </w:rPr>
      </w:pPr>
    </w:p>
    <w:p w14:paraId="0F39801D">
      <w:pPr>
        <w:pStyle w:val="35"/>
        <w:rPr>
          <w:b/>
          <w:bCs/>
          <w:sz w:val="36"/>
          <w:szCs w:val="36"/>
        </w:rPr>
      </w:pPr>
    </w:p>
    <w:p w14:paraId="69AF77D7">
      <w:pPr>
        <w:pStyle w:val="35"/>
        <w:rPr>
          <w:b/>
          <w:bCs/>
          <w:sz w:val="36"/>
          <w:szCs w:val="36"/>
        </w:rPr>
      </w:pPr>
    </w:p>
    <w:p w14:paraId="2B669EDB">
      <w:pPr>
        <w:spacing w:line="500" w:lineRule="exact"/>
        <w:jc w:val="center"/>
        <w:rPr>
          <w:rFonts w:hint="eastAsia"/>
          <w:b/>
          <w:bCs/>
          <w:sz w:val="36"/>
          <w:szCs w:val="36"/>
          <w:lang w:val="en-US" w:eastAsia="zh-CN"/>
        </w:rPr>
      </w:pPr>
    </w:p>
    <w:p w14:paraId="2F0BA8E6">
      <w:pPr>
        <w:spacing w:line="500" w:lineRule="exact"/>
        <w:jc w:val="left"/>
        <w:rPr>
          <w:rFonts w:hint="eastAsia" w:eastAsia="宋体"/>
          <w:b/>
          <w:bCs/>
          <w:sz w:val="36"/>
          <w:szCs w:val="36"/>
          <w:lang w:eastAsia="zh-CN"/>
        </w:rPr>
      </w:pPr>
      <w:r>
        <w:rPr>
          <w:rFonts w:hint="eastAsia"/>
          <w:b/>
          <w:bCs/>
          <w:sz w:val="36"/>
          <w:szCs w:val="36"/>
          <w:lang w:val="en-US" w:eastAsia="zh-CN"/>
        </w:rPr>
        <w:t>附件2</w:t>
      </w:r>
    </w:p>
    <w:p w14:paraId="5E747169">
      <w:pPr>
        <w:spacing w:line="500" w:lineRule="exact"/>
        <w:jc w:val="center"/>
        <w:rPr>
          <w:b/>
          <w:bCs/>
          <w:sz w:val="36"/>
          <w:szCs w:val="36"/>
          <w:lang w:eastAsia="zh-CN"/>
        </w:rPr>
      </w:pPr>
      <w:r>
        <w:rPr>
          <w:rFonts w:hint="eastAsia"/>
          <w:b/>
          <w:bCs/>
          <w:sz w:val="36"/>
          <w:szCs w:val="36"/>
          <w:lang w:eastAsia="zh-CN"/>
        </w:rPr>
        <w:t>参选书</w:t>
      </w:r>
    </w:p>
    <w:p w14:paraId="52C5EA3C">
      <w:pPr>
        <w:spacing w:line="500" w:lineRule="exact"/>
        <w:rPr>
          <w:sz w:val="24"/>
          <w:lang w:eastAsia="zh-CN"/>
        </w:rPr>
      </w:pPr>
    </w:p>
    <w:p w14:paraId="5A6320F7">
      <w:pPr>
        <w:spacing w:line="500" w:lineRule="exact"/>
        <w:rPr>
          <w:sz w:val="24"/>
          <w:lang w:eastAsia="zh-CN"/>
        </w:rPr>
      </w:pPr>
      <w:r>
        <w:rPr>
          <w:rFonts w:hint="eastAsia"/>
          <w:sz w:val="24"/>
          <w:lang w:eastAsia="zh-CN"/>
        </w:rPr>
        <w:t>致：福建福海创石油化工有限公司</w:t>
      </w:r>
    </w:p>
    <w:p w14:paraId="66D901ED">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4BD5026C">
      <w:pPr>
        <w:spacing w:line="500" w:lineRule="exact"/>
        <w:ind w:firstLine="480" w:firstLineChars="200"/>
        <w:rPr>
          <w:sz w:val="24"/>
          <w:lang w:eastAsia="zh-CN"/>
        </w:rPr>
      </w:pPr>
      <w:r>
        <w:rPr>
          <w:rFonts w:hint="eastAsia"/>
          <w:sz w:val="24"/>
          <w:lang w:eastAsia="zh-CN"/>
        </w:rPr>
        <w:t>（1）参选文件</w:t>
      </w:r>
    </w:p>
    <w:p w14:paraId="17EFDA19">
      <w:pPr>
        <w:spacing w:line="500" w:lineRule="exact"/>
        <w:ind w:firstLine="480" w:firstLineChars="200"/>
        <w:rPr>
          <w:sz w:val="24"/>
          <w:lang w:eastAsia="zh-CN"/>
        </w:rPr>
      </w:pPr>
      <w:r>
        <w:rPr>
          <w:rFonts w:hint="eastAsia"/>
          <w:sz w:val="24"/>
          <w:lang w:eastAsia="zh-CN"/>
        </w:rPr>
        <w:t>（2）法定代表人授权委托书</w:t>
      </w:r>
    </w:p>
    <w:p w14:paraId="4E9710A8">
      <w:pPr>
        <w:spacing w:line="500" w:lineRule="exact"/>
        <w:ind w:firstLine="480" w:firstLineChars="200"/>
        <w:rPr>
          <w:sz w:val="24"/>
          <w:lang w:eastAsia="zh-CN"/>
        </w:rPr>
      </w:pPr>
      <w:r>
        <w:rPr>
          <w:rFonts w:hint="eastAsia"/>
          <w:sz w:val="24"/>
          <w:lang w:eastAsia="zh-CN"/>
        </w:rPr>
        <w:t>（3）参选报价单</w:t>
      </w:r>
    </w:p>
    <w:p w14:paraId="070F12B4">
      <w:pPr>
        <w:spacing w:line="500" w:lineRule="exact"/>
        <w:ind w:firstLine="480" w:firstLineChars="200"/>
        <w:rPr>
          <w:sz w:val="24"/>
          <w:lang w:eastAsia="zh-CN"/>
        </w:rPr>
      </w:pPr>
      <w:r>
        <w:rPr>
          <w:rFonts w:hint="eastAsia"/>
          <w:sz w:val="24"/>
          <w:lang w:eastAsia="zh-CN"/>
        </w:rPr>
        <w:t>（4）承诺函</w:t>
      </w:r>
    </w:p>
    <w:p w14:paraId="3D9B91F6">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06DBE509">
      <w:pPr>
        <w:spacing w:line="500" w:lineRule="exact"/>
        <w:rPr>
          <w:sz w:val="24"/>
          <w:lang w:eastAsia="zh-CN"/>
        </w:rPr>
      </w:pPr>
      <w:r>
        <w:rPr>
          <w:rFonts w:hint="eastAsia"/>
          <w:sz w:val="24"/>
          <w:lang w:eastAsia="zh-CN"/>
        </w:rPr>
        <w:t xml:space="preserve">     1、所递交的文件真实合法有效，且不存在任何虚假陈述或记载。</w:t>
      </w:r>
    </w:p>
    <w:p w14:paraId="16BE4023">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081AD285">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30CD9FC3">
      <w:pPr>
        <w:spacing w:line="500" w:lineRule="exact"/>
        <w:ind w:firstLine="480" w:firstLineChars="200"/>
        <w:rPr>
          <w:sz w:val="24"/>
          <w:lang w:eastAsia="zh-CN"/>
        </w:rPr>
      </w:pPr>
    </w:p>
    <w:p w14:paraId="4E6B455C">
      <w:pPr>
        <w:spacing w:line="500" w:lineRule="exact"/>
        <w:ind w:firstLine="480" w:firstLineChars="200"/>
        <w:rPr>
          <w:sz w:val="24"/>
          <w:lang w:eastAsia="zh-CN"/>
        </w:rPr>
      </w:pPr>
    </w:p>
    <w:p w14:paraId="373509D7">
      <w:pPr>
        <w:spacing w:line="500" w:lineRule="exact"/>
        <w:ind w:firstLine="480" w:firstLineChars="200"/>
        <w:rPr>
          <w:sz w:val="24"/>
          <w:lang w:eastAsia="zh-CN"/>
        </w:rPr>
      </w:pPr>
      <w:r>
        <w:rPr>
          <w:rFonts w:hint="eastAsia"/>
          <w:sz w:val="24"/>
          <w:lang w:eastAsia="zh-CN"/>
        </w:rPr>
        <w:t>被授权代表姓名：</w:t>
      </w:r>
    </w:p>
    <w:p w14:paraId="75903466">
      <w:pPr>
        <w:spacing w:line="500" w:lineRule="exact"/>
        <w:ind w:firstLine="480" w:firstLineChars="200"/>
        <w:rPr>
          <w:sz w:val="24"/>
          <w:lang w:eastAsia="zh-CN"/>
        </w:rPr>
      </w:pPr>
      <w:r>
        <w:rPr>
          <w:rFonts w:hint="eastAsia"/>
          <w:sz w:val="24"/>
          <w:lang w:eastAsia="zh-CN"/>
        </w:rPr>
        <w:t xml:space="preserve">        职务：</w:t>
      </w:r>
    </w:p>
    <w:p w14:paraId="54635F72">
      <w:pPr>
        <w:spacing w:line="500" w:lineRule="exact"/>
        <w:ind w:firstLine="480" w:firstLineChars="200"/>
        <w:rPr>
          <w:sz w:val="24"/>
          <w:lang w:eastAsia="zh-CN"/>
        </w:rPr>
      </w:pPr>
      <w:r>
        <w:rPr>
          <w:rFonts w:hint="eastAsia"/>
          <w:sz w:val="24"/>
          <w:lang w:eastAsia="zh-CN"/>
        </w:rPr>
        <w:t xml:space="preserve">    联系方式：</w:t>
      </w:r>
    </w:p>
    <w:p w14:paraId="1F932691">
      <w:pPr>
        <w:spacing w:line="500" w:lineRule="exact"/>
        <w:ind w:firstLine="480" w:firstLineChars="200"/>
        <w:rPr>
          <w:sz w:val="24"/>
          <w:lang w:eastAsia="zh-CN"/>
        </w:rPr>
      </w:pPr>
    </w:p>
    <w:p w14:paraId="5442EF4B">
      <w:pPr>
        <w:spacing w:line="500" w:lineRule="exact"/>
        <w:ind w:firstLine="480" w:firstLineChars="200"/>
        <w:rPr>
          <w:sz w:val="24"/>
          <w:lang w:eastAsia="zh-CN"/>
        </w:rPr>
      </w:pPr>
      <w:r>
        <w:rPr>
          <w:rFonts w:hint="eastAsia"/>
          <w:sz w:val="24"/>
          <w:lang w:eastAsia="zh-CN"/>
        </w:rPr>
        <w:t>被授权代表签字：</w:t>
      </w:r>
    </w:p>
    <w:p w14:paraId="191C9FCA">
      <w:pPr>
        <w:pStyle w:val="35"/>
      </w:pPr>
    </w:p>
    <w:p w14:paraId="626722E2">
      <w:pPr>
        <w:pStyle w:val="35"/>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14:paraId="6845B3D9">
      <w:pPr>
        <w:pStyle w:val="35"/>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14:paraId="3F0AE430">
      <w:pPr>
        <w:spacing w:line="500" w:lineRule="exact"/>
        <w:jc w:val="both"/>
        <w:rPr>
          <w:b/>
          <w:sz w:val="28"/>
          <w:szCs w:val="28"/>
          <w:lang w:eastAsia="zh-CN"/>
        </w:rPr>
      </w:pPr>
    </w:p>
    <w:p w14:paraId="1BCA5429">
      <w:pPr>
        <w:spacing w:line="500" w:lineRule="exact"/>
        <w:jc w:val="both"/>
        <w:rPr>
          <w:rFonts w:hint="eastAsia"/>
          <w:b/>
          <w:sz w:val="28"/>
          <w:szCs w:val="28"/>
          <w:lang w:eastAsia="zh-CN"/>
        </w:rPr>
      </w:pPr>
    </w:p>
    <w:p w14:paraId="5F99E765">
      <w:pPr>
        <w:spacing w:line="500" w:lineRule="exact"/>
        <w:jc w:val="both"/>
        <w:rPr>
          <w:rFonts w:hint="eastAsia"/>
          <w:b/>
          <w:sz w:val="28"/>
          <w:szCs w:val="28"/>
          <w:lang w:eastAsia="zh-CN"/>
        </w:rPr>
      </w:pPr>
    </w:p>
    <w:p w14:paraId="0969B3D2">
      <w:pPr>
        <w:spacing w:line="500" w:lineRule="exact"/>
        <w:jc w:val="both"/>
        <w:rPr>
          <w:b/>
          <w:bCs/>
          <w:sz w:val="28"/>
          <w:szCs w:val="28"/>
          <w:lang w:val="en-US" w:eastAsia="zh-CN"/>
        </w:rPr>
      </w:pPr>
      <w:r>
        <w:rPr>
          <w:rFonts w:hint="eastAsia"/>
          <w:b/>
          <w:bCs/>
          <w:sz w:val="28"/>
          <w:szCs w:val="28"/>
          <w:lang w:val="en-US" w:eastAsia="zh-CN"/>
        </w:rPr>
        <w:t>附件3</w:t>
      </w:r>
    </w:p>
    <w:p w14:paraId="79FAAF61">
      <w:pPr>
        <w:spacing w:line="500" w:lineRule="exact"/>
        <w:jc w:val="center"/>
        <w:rPr>
          <w:b/>
          <w:bCs/>
          <w:sz w:val="36"/>
          <w:szCs w:val="36"/>
          <w:lang w:eastAsia="zh-CN"/>
        </w:rPr>
      </w:pPr>
      <w:r>
        <w:rPr>
          <w:rFonts w:hint="eastAsia"/>
          <w:b/>
          <w:bCs/>
          <w:sz w:val="36"/>
          <w:szCs w:val="36"/>
          <w:lang w:eastAsia="zh-CN"/>
        </w:rPr>
        <w:t>法定代表人授权书</w:t>
      </w:r>
    </w:p>
    <w:p w14:paraId="32649CAE">
      <w:pPr>
        <w:pStyle w:val="35"/>
        <w:jc w:val="center"/>
      </w:pPr>
    </w:p>
    <w:p w14:paraId="0BB1B703">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b/>
          <w:bCs/>
          <w:sz w:val="24"/>
          <w:szCs w:val="24"/>
          <w:u w:val="single"/>
          <w:lang w:val="en-US" w:eastAsia="zh-CN"/>
        </w:rPr>
        <w:t>2025年-2026年风向杆、风向袋年度采购</w:t>
      </w:r>
      <w:r>
        <w:rPr>
          <w:rFonts w:hint="eastAsia"/>
          <w:sz w:val="24"/>
          <w:lang w:eastAsia="zh-CN"/>
        </w:rPr>
        <w:t>公开自主比选，以本公司名义参与报价、合同执行并处理与之有关的其他事务，相关责任及后果由本公司承担。</w:t>
      </w:r>
    </w:p>
    <w:p w14:paraId="205228F2">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14:paraId="5FA24B83">
      <w:pPr>
        <w:spacing w:line="360" w:lineRule="auto"/>
        <w:ind w:firstLine="480" w:firstLineChars="200"/>
        <w:rPr>
          <w:sz w:val="24"/>
          <w:szCs w:val="24"/>
          <w:lang w:eastAsia="zh-CN"/>
        </w:rPr>
      </w:pPr>
      <w:r>
        <w:rPr>
          <w:rFonts w:hint="eastAsia"/>
          <w:sz w:val="24"/>
          <w:szCs w:val="24"/>
          <w:lang w:eastAsia="zh-CN"/>
        </w:rPr>
        <w:t>代理人无转委托权，特此委托。</w:t>
      </w:r>
    </w:p>
    <w:p w14:paraId="6C2F50AA">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14:paraId="5DAB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14:paraId="3AC07A51">
            <w:pPr>
              <w:spacing w:line="360" w:lineRule="auto"/>
              <w:jc w:val="both"/>
              <w:rPr>
                <w:color w:val="000000"/>
                <w:szCs w:val="21"/>
                <w:lang w:eastAsia="zh-CN"/>
              </w:rPr>
            </w:pPr>
          </w:p>
          <w:p w14:paraId="1BDC0F49">
            <w:pPr>
              <w:spacing w:line="360" w:lineRule="auto"/>
              <w:jc w:val="center"/>
              <w:rPr>
                <w:color w:val="000000"/>
                <w:szCs w:val="21"/>
              </w:rPr>
            </w:pPr>
            <w:r>
              <w:rPr>
                <w:rFonts w:hint="eastAsia"/>
                <w:color w:val="000000"/>
                <w:szCs w:val="21"/>
              </w:rPr>
              <w:t>（正面）</w:t>
            </w:r>
          </w:p>
          <w:p w14:paraId="6EA55EFE">
            <w:pPr>
              <w:spacing w:line="360" w:lineRule="auto"/>
              <w:jc w:val="both"/>
              <w:rPr>
                <w:color w:val="000000"/>
                <w:szCs w:val="21"/>
                <w:lang w:eastAsia="zh-CN"/>
              </w:rPr>
            </w:pPr>
          </w:p>
        </w:tc>
        <w:tc>
          <w:tcPr>
            <w:tcW w:w="4383" w:type="dxa"/>
          </w:tcPr>
          <w:p w14:paraId="3F24CFAB">
            <w:pPr>
              <w:spacing w:line="360" w:lineRule="auto"/>
              <w:jc w:val="both"/>
              <w:rPr>
                <w:color w:val="000000"/>
                <w:szCs w:val="21"/>
                <w:lang w:eastAsia="zh-CN"/>
              </w:rPr>
            </w:pPr>
          </w:p>
          <w:p w14:paraId="098311A4">
            <w:pPr>
              <w:spacing w:line="360" w:lineRule="auto"/>
              <w:jc w:val="center"/>
              <w:rPr>
                <w:color w:val="000000"/>
                <w:szCs w:val="21"/>
              </w:rPr>
            </w:pPr>
            <w:r>
              <w:rPr>
                <w:rFonts w:hint="eastAsia"/>
                <w:color w:val="000000"/>
                <w:szCs w:val="21"/>
              </w:rPr>
              <w:t>（反面）</w:t>
            </w:r>
          </w:p>
        </w:tc>
      </w:tr>
    </w:tbl>
    <w:p w14:paraId="5CCAE53E">
      <w:pPr>
        <w:spacing w:line="276" w:lineRule="auto"/>
        <w:ind w:firstLine="420" w:firstLineChars="200"/>
        <w:rPr>
          <w:color w:val="000000"/>
          <w:sz w:val="21"/>
          <w:szCs w:val="21"/>
        </w:rPr>
      </w:pPr>
    </w:p>
    <w:p w14:paraId="2CE63501">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53A5584">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56DC56EF">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441CF7DA">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004BA1DF">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60873074">
      <w:pPr>
        <w:spacing w:line="360" w:lineRule="auto"/>
        <w:ind w:firstLine="480" w:firstLineChars="200"/>
        <w:rPr>
          <w:color w:val="000000"/>
          <w:sz w:val="24"/>
          <w:szCs w:val="24"/>
          <w:lang w:eastAsia="zh-CN"/>
        </w:rPr>
      </w:pPr>
    </w:p>
    <w:p w14:paraId="52EF19A3">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7D24E96A">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1B751AFA">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14:paraId="1BA2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3" w:type="dxa"/>
          </w:tcPr>
          <w:p w14:paraId="19486580">
            <w:pPr>
              <w:spacing w:line="360" w:lineRule="auto"/>
              <w:jc w:val="both"/>
              <w:rPr>
                <w:color w:val="000000"/>
                <w:szCs w:val="21"/>
                <w:lang w:eastAsia="zh-CN"/>
              </w:rPr>
            </w:pPr>
          </w:p>
          <w:p w14:paraId="2BC183E1">
            <w:pPr>
              <w:spacing w:line="360" w:lineRule="auto"/>
              <w:jc w:val="center"/>
              <w:rPr>
                <w:color w:val="000000"/>
                <w:szCs w:val="21"/>
              </w:rPr>
            </w:pPr>
            <w:r>
              <w:rPr>
                <w:rFonts w:hint="eastAsia"/>
                <w:color w:val="000000"/>
                <w:szCs w:val="21"/>
              </w:rPr>
              <w:t>（正面）</w:t>
            </w:r>
          </w:p>
          <w:p w14:paraId="22AB6629">
            <w:pPr>
              <w:spacing w:line="360" w:lineRule="auto"/>
              <w:jc w:val="both"/>
              <w:rPr>
                <w:color w:val="000000"/>
                <w:szCs w:val="21"/>
                <w:lang w:eastAsia="zh-CN"/>
              </w:rPr>
            </w:pPr>
          </w:p>
        </w:tc>
        <w:tc>
          <w:tcPr>
            <w:tcW w:w="4383" w:type="dxa"/>
          </w:tcPr>
          <w:p w14:paraId="111EB202">
            <w:pPr>
              <w:spacing w:line="360" w:lineRule="auto"/>
              <w:jc w:val="both"/>
              <w:rPr>
                <w:color w:val="000000"/>
                <w:szCs w:val="21"/>
                <w:lang w:eastAsia="zh-CN"/>
              </w:rPr>
            </w:pPr>
          </w:p>
          <w:p w14:paraId="4D333282">
            <w:pPr>
              <w:spacing w:line="360" w:lineRule="auto"/>
              <w:jc w:val="center"/>
              <w:rPr>
                <w:color w:val="000000"/>
                <w:szCs w:val="21"/>
              </w:rPr>
            </w:pPr>
            <w:r>
              <w:rPr>
                <w:rFonts w:hint="eastAsia"/>
                <w:color w:val="000000"/>
                <w:szCs w:val="21"/>
              </w:rPr>
              <w:t>（反面）</w:t>
            </w:r>
          </w:p>
        </w:tc>
      </w:tr>
    </w:tbl>
    <w:p w14:paraId="134B9B44">
      <w:pPr>
        <w:pStyle w:val="35"/>
        <w:rPr>
          <w:color w:val="0000FF"/>
          <w:kern w:val="2"/>
        </w:rPr>
      </w:pPr>
    </w:p>
    <w:p w14:paraId="56E97C76">
      <w:pPr>
        <w:pStyle w:val="35"/>
        <w:jc w:val="center"/>
        <w:rPr>
          <w:color w:val="0000FF"/>
          <w:kern w:val="2"/>
        </w:rPr>
      </w:pPr>
    </w:p>
    <w:p w14:paraId="69F6B2BC">
      <w:pPr>
        <w:pStyle w:val="35"/>
        <w:jc w:val="center"/>
        <w:rPr>
          <w:color w:val="0000FF"/>
          <w:kern w:val="2"/>
        </w:rPr>
      </w:pPr>
    </w:p>
    <w:p w14:paraId="41006D37">
      <w:pPr>
        <w:pStyle w:val="35"/>
      </w:pPr>
      <w:r>
        <w:rPr>
          <w:rFonts w:hint="eastAsia"/>
          <w:b/>
          <w:sz w:val="28"/>
          <w:szCs w:val="28"/>
          <w:lang w:val="en-US" w:eastAsia="zh-CN"/>
        </w:rPr>
        <w:t>附件4</w:t>
      </w:r>
    </w:p>
    <w:p w14:paraId="5BC4A71F">
      <w:pPr>
        <w:pStyle w:val="35"/>
      </w:pPr>
    </w:p>
    <w:p w14:paraId="3C76E76A">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1296BE13">
      <w:pPr>
        <w:spacing w:line="500" w:lineRule="exact"/>
        <w:rPr>
          <w:rFonts w:hint="eastAsia"/>
          <w:b/>
          <w:bCs/>
          <w:sz w:val="28"/>
          <w:szCs w:val="28"/>
          <w:lang w:eastAsia="zh-CN"/>
        </w:rPr>
      </w:pPr>
      <w:r>
        <w:rPr>
          <w:rFonts w:hint="eastAsia"/>
          <w:b/>
          <w:bCs/>
          <w:sz w:val="28"/>
          <w:szCs w:val="28"/>
          <w:lang w:eastAsia="zh-CN"/>
        </w:rPr>
        <w:t>致：福建福海创石油化工有限公司</w:t>
      </w:r>
    </w:p>
    <w:p w14:paraId="1C917398">
      <w:pPr>
        <w:pStyle w:val="35"/>
        <w:rPr>
          <w:lang w:eastAsia="zh-CN"/>
        </w:rPr>
      </w:pPr>
    </w:p>
    <w:p w14:paraId="45F8A467">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2025年-2026年风向杆、风向袋年度采购</w:t>
      </w:r>
      <w:r>
        <w:rPr>
          <w:rFonts w:hint="eastAsia"/>
          <w:sz w:val="24"/>
          <w:lang w:eastAsia="zh-CN"/>
        </w:rPr>
        <w:t>招标文件中有关要求完全响应，完全满足供应商合格条件。如我公司能在本次中选，我公司郑重承诺如下：</w:t>
      </w:r>
    </w:p>
    <w:p w14:paraId="06A318D6">
      <w:pPr>
        <w:spacing w:line="500" w:lineRule="exact"/>
        <w:ind w:firstLine="480" w:firstLineChars="200"/>
        <w:rPr>
          <w:sz w:val="24"/>
          <w:lang w:eastAsia="zh-CN"/>
        </w:rPr>
      </w:pPr>
      <w:r>
        <w:rPr>
          <w:rFonts w:hint="eastAsia"/>
          <w:sz w:val="24"/>
          <w:lang w:eastAsia="zh-CN"/>
        </w:rPr>
        <w:t>1、我公司将按照用户需求至上原则，保证提供优质的服务。</w:t>
      </w:r>
    </w:p>
    <w:p w14:paraId="1C00E9C0">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14:paraId="115C5D7B">
      <w:pPr>
        <w:pStyle w:val="35"/>
        <w:ind w:firstLine="601" w:firstLineChars="188"/>
        <w:rPr>
          <w:rFonts w:ascii="Times New Roman" w:hAnsi="Times New Roman" w:eastAsia="仿宋_GB2312"/>
          <w:kern w:val="2"/>
          <w:sz w:val="32"/>
          <w:szCs w:val="32"/>
        </w:rPr>
      </w:pPr>
    </w:p>
    <w:p w14:paraId="5F7222B1">
      <w:pPr>
        <w:snapToGrid w:val="0"/>
        <w:spacing w:line="360" w:lineRule="auto"/>
        <w:rPr>
          <w:sz w:val="24"/>
          <w:szCs w:val="24"/>
          <w:lang w:eastAsia="zh-CN"/>
        </w:rPr>
      </w:pPr>
      <w:r>
        <w:rPr>
          <w:sz w:val="24"/>
          <w:szCs w:val="24"/>
          <w:lang w:eastAsia="zh-CN"/>
        </w:rPr>
        <w:t xml:space="preserve">               </w:t>
      </w:r>
    </w:p>
    <w:p w14:paraId="16ED7590">
      <w:pPr>
        <w:rPr>
          <w:color w:val="000000"/>
          <w:sz w:val="24"/>
          <w:szCs w:val="24"/>
          <w:lang w:eastAsia="zh-CN"/>
        </w:rPr>
      </w:pPr>
    </w:p>
    <w:p w14:paraId="4F708CF4">
      <w:pPr>
        <w:pStyle w:val="35"/>
        <w:jc w:val="center"/>
        <w:rPr>
          <w:color w:val="4E6127"/>
        </w:rPr>
      </w:pPr>
      <w:r>
        <w:rPr>
          <w:rFonts w:hint="eastAsia"/>
          <w:sz w:val="24"/>
          <w:szCs w:val="24"/>
        </w:rPr>
        <w:t xml:space="preserve">  单位名称：</w:t>
      </w:r>
      <w:r>
        <w:rPr>
          <w:rFonts w:hint="eastAsia" w:hAnsi="宋体"/>
          <w:color w:val="00B050"/>
          <w:kern w:val="2"/>
          <w:sz w:val="28"/>
          <w:szCs w:val="28"/>
        </w:rPr>
        <w:t>（公章）</w:t>
      </w:r>
    </w:p>
    <w:p w14:paraId="610F0BAF">
      <w:pPr>
        <w:pStyle w:val="35"/>
        <w:jc w:val="center"/>
        <w:rPr>
          <w:color w:val="4E6127"/>
        </w:rPr>
      </w:pPr>
    </w:p>
    <w:p w14:paraId="57373CF6">
      <w:pPr>
        <w:pStyle w:val="35"/>
        <w:jc w:val="center"/>
      </w:pPr>
    </w:p>
    <w:p w14:paraId="6E957E25">
      <w:pPr>
        <w:pStyle w:val="35"/>
      </w:pPr>
    </w:p>
    <w:p w14:paraId="71133C75">
      <w:pPr>
        <w:pStyle w:val="35"/>
      </w:pPr>
    </w:p>
    <w:p w14:paraId="06B75C35">
      <w:pPr>
        <w:pStyle w:val="35"/>
      </w:pPr>
    </w:p>
    <w:p w14:paraId="23E12DB8">
      <w:pPr>
        <w:pStyle w:val="35"/>
      </w:pPr>
    </w:p>
    <w:p w14:paraId="6B0C8174">
      <w:pPr>
        <w:pStyle w:val="35"/>
      </w:pPr>
    </w:p>
    <w:p w14:paraId="1FA4A106">
      <w:pPr>
        <w:pStyle w:val="35"/>
      </w:pPr>
    </w:p>
    <w:p w14:paraId="266FB95F">
      <w:pPr>
        <w:pStyle w:val="35"/>
      </w:pPr>
    </w:p>
    <w:p w14:paraId="3C62B493">
      <w:pPr>
        <w:pStyle w:val="35"/>
      </w:pPr>
    </w:p>
    <w:p w14:paraId="4D06F458">
      <w:pPr>
        <w:pStyle w:val="35"/>
      </w:pPr>
    </w:p>
    <w:p w14:paraId="4638A6BD">
      <w:pPr>
        <w:pStyle w:val="35"/>
      </w:pPr>
    </w:p>
    <w:p w14:paraId="3D0CB4A9">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14:paraId="3DB1659E">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14:paraId="47872E48">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14:paraId="52CD41D8">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14:paraId="772E671F">
      <w:pPr>
        <w:spacing w:line="360" w:lineRule="auto"/>
        <w:ind w:firstLine="480" w:firstLineChars="200"/>
        <w:rPr>
          <w:b/>
          <w:bCs/>
          <w:color w:val="auto"/>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u w:val="single"/>
          <w:lang w:val="en-US" w:eastAsia="zh-CN"/>
        </w:rPr>
        <w:t xml:space="preserve">2025年-2026年风向杆、风向袋年度采购 </w:t>
      </w:r>
    </w:p>
    <w:p w14:paraId="01688FBA">
      <w:pPr>
        <w:spacing w:line="360" w:lineRule="auto"/>
        <w:ind w:left="1920" w:leftChars="218" w:hanging="1440" w:hangingChars="600"/>
        <w:rPr>
          <w:rFonts w:hint="eastAsia"/>
          <w:b/>
          <w:bCs/>
          <w:sz w:val="24"/>
          <w:u w:val="none"/>
          <w:lang w:val="en-US" w:eastAsia="zh-CN"/>
        </w:rPr>
      </w:pPr>
      <w:r>
        <w:rPr>
          <w:rFonts w:hint="eastAsia"/>
          <w:sz w:val="24"/>
          <w:szCs w:val="24"/>
          <w:lang w:eastAsia="zh-CN"/>
        </w:rPr>
        <w:t>参选报价：</w:t>
      </w:r>
      <w:r>
        <w:rPr>
          <w:rFonts w:hint="eastAsia" w:ascii="宋体" w:hAnsi="宋体" w:eastAsia="宋体" w:cs="宋体"/>
          <w:sz w:val="24"/>
          <w:szCs w:val="24"/>
          <w:u w:val="single"/>
          <w:lang w:val="en-US" w:eastAsia="zh-CN"/>
        </w:rPr>
        <w:t>风向杆</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/套，</w:t>
      </w:r>
      <w:r>
        <w:rPr>
          <w:rFonts w:hint="eastAsia" w:ascii="宋体" w:hAnsi="宋体" w:eastAsia="宋体" w:cs="宋体"/>
          <w:sz w:val="24"/>
          <w:szCs w:val="24"/>
          <w:u w:val="single"/>
          <w:lang w:val="en-US" w:eastAsia="zh-CN"/>
        </w:rPr>
        <w:t>风向袋</w:t>
      </w:r>
      <w:r>
        <w:rPr>
          <w:rFonts w:hint="eastAsia"/>
          <w:b/>
          <w:bCs/>
          <w:sz w:val="24"/>
          <w:u w:val="single"/>
          <w:lang w:val="en-US" w:eastAsia="zh-CN"/>
        </w:rPr>
        <w:t xml:space="preserve">    </w:t>
      </w:r>
      <w:r>
        <w:rPr>
          <w:rFonts w:hint="eastAsia"/>
          <w:sz w:val="24"/>
          <w:szCs w:val="24"/>
          <w:u w:val="single"/>
          <w:lang w:val="en-US" w:eastAsia="zh-CN"/>
        </w:rPr>
        <w:t xml:space="preserve">        </w:t>
      </w:r>
      <w:r>
        <w:rPr>
          <w:rFonts w:hint="eastAsia"/>
          <w:b/>
          <w:bCs/>
          <w:sz w:val="24"/>
          <w:u w:val="none"/>
          <w:lang w:val="en-US" w:eastAsia="zh-CN"/>
        </w:rPr>
        <w:t>元/个；</w:t>
      </w:r>
    </w:p>
    <w:p w14:paraId="3A39845E">
      <w:pPr>
        <w:spacing w:line="360" w:lineRule="auto"/>
        <w:ind w:left="1919" w:leftChars="763" w:hanging="240" w:hangingChars="100"/>
        <w:rPr>
          <w:sz w:val="24"/>
          <w:szCs w:val="24"/>
          <w:lang w:eastAsia="zh-CN"/>
        </w:rPr>
      </w:pPr>
      <w:r>
        <w:rPr>
          <w:rFonts w:hint="eastAsia" w:ascii="宋体" w:hAnsi="宋体" w:eastAsia="宋体" w:cs="宋体"/>
          <w:color w:val="000000"/>
          <w:sz w:val="24"/>
          <w:szCs w:val="24"/>
          <w:u w:val="single"/>
        </w:rPr>
        <w:t>风向袋（带挂钩）</w:t>
      </w:r>
      <w:r>
        <w:rPr>
          <w:rFonts w:hint="eastAsia"/>
          <w:b/>
          <w:bCs/>
          <w:sz w:val="24"/>
          <w:u w:val="single"/>
          <w:lang w:val="en-US" w:eastAsia="zh-CN"/>
        </w:rPr>
        <w:t xml:space="preserve">  </w:t>
      </w:r>
      <w:r>
        <w:rPr>
          <w:rFonts w:hint="eastAsia"/>
          <w:sz w:val="24"/>
          <w:szCs w:val="24"/>
          <w:u w:val="single"/>
          <w:lang w:val="en-US" w:eastAsia="zh-CN"/>
        </w:rPr>
        <w:t xml:space="preserve">        </w:t>
      </w:r>
      <w:r>
        <w:rPr>
          <w:rFonts w:hint="eastAsia"/>
          <w:b/>
          <w:bCs/>
          <w:sz w:val="24"/>
          <w:u w:val="none"/>
          <w:lang w:val="en-US" w:eastAsia="zh-CN"/>
        </w:rPr>
        <w:t>元/个；</w:t>
      </w:r>
      <w:r>
        <w:rPr>
          <w:rFonts w:hint="eastAsia"/>
          <w:sz w:val="24"/>
          <w:szCs w:val="24"/>
          <w:lang w:val="en-US" w:eastAsia="zh-CN"/>
        </w:rPr>
        <w:t>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14:paraId="759A826B">
      <w:pPr>
        <w:pStyle w:val="35"/>
        <w:spacing w:line="360" w:lineRule="auto"/>
        <w:rPr>
          <w:sz w:val="24"/>
          <w:szCs w:val="24"/>
        </w:rPr>
      </w:pPr>
      <w:r>
        <w:rPr>
          <w:rFonts w:hint="eastAsia"/>
        </w:rPr>
        <w:t xml:space="preserve">       </w:t>
      </w:r>
      <w:r>
        <w:rPr>
          <w:rFonts w:hint="eastAsia"/>
          <w:sz w:val="24"/>
          <w:szCs w:val="24"/>
        </w:rPr>
        <w:t>具体分项报价见附表“报价表”</w:t>
      </w:r>
    </w:p>
    <w:p w14:paraId="709D2EB8">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增值税专用发票</w:t>
      </w:r>
      <w:r>
        <w:rPr>
          <w:rFonts w:hint="eastAsia"/>
          <w:sz w:val="24"/>
          <w:szCs w:val="24"/>
          <w:lang w:eastAsia="zh-CN"/>
        </w:rPr>
        <w:t xml:space="preserve"> ；</w:t>
      </w:r>
    </w:p>
    <w:p w14:paraId="4E11171A">
      <w:pPr>
        <w:pStyle w:val="35"/>
        <w:spacing w:line="360" w:lineRule="auto"/>
        <w:rPr>
          <w:sz w:val="24"/>
          <w:szCs w:val="24"/>
        </w:rPr>
      </w:pPr>
      <w:r>
        <w:rPr>
          <w:rFonts w:hint="eastAsia"/>
          <w:sz w:val="24"/>
          <w:szCs w:val="24"/>
        </w:rPr>
        <w:t xml:space="preserve">           2、付款方式：1）无预付款 ；</w:t>
      </w:r>
    </w:p>
    <w:p w14:paraId="4FBABB4F">
      <w:pPr>
        <w:spacing w:line="360" w:lineRule="auto"/>
        <w:ind w:firstLine="360" w:firstLineChars="150"/>
        <w:rPr>
          <w:rFonts w:hint="default" w:ascii="Times New Roman" w:hAnsi="Times New Roman" w:eastAsia="宋体" w:cs="Times New Roman"/>
          <w:sz w:val="24"/>
          <w:lang w:eastAsia="zh-CN"/>
        </w:rPr>
      </w:pPr>
      <w:r>
        <w:rPr>
          <w:rFonts w:hint="eastAsia"/>
          <w:sz w:val="24"/>
          <w:szCs w:val="24"/>
        </w:rPr>
        <w:t xml:space="preserve">                     </w:t>
      </w:r>
      <w:r>
        <w:rPr>
          <w:rFonts w:hint="eastAsia"/>
          <w:sz w:val="24"/>
          <w:szCs w:val="24"/>
          <w:highlight w:val="none"/>
        </w:rPr>
        <w:t>2）</w:t>
      </w:r>
      <w:r>
        <w:rPr>
          <w:rFonts w:hint="eastAsia" w:asciiTheme="majorEastAsia" w:hAnsiTheme="majorEastAsia" w:eastAsiaTheme="majorEastAsia"/>
          <w:sz w:val="24"/>
          <w:lang w:val="en-US" w:eastAsia="zh-CN"/>
        </w:rPr>
        <w:t>本合同分批次送货，每批次按合同固定单价据实结算。</w:t>
      </w:r>
    </w:p>
    <w:p w14:paraId="7BB20379">
      <w:pPr>
        <w:spacing w:line="288" w:lineRule="auto"/>
        <w:ind w:left="439" w:leftChars="0" w:hanging="439" w:hangingChars="183"/>
        <w:jc w:val="both"/>
        <w:rPr>
          <w:sz w:val="24"/>
          <w:szCs w:val="24"/>
          <w:u w:val="single"/>
        </w:rPr>
      </w:pPr>
      <w:r>
        <w:rPr>
          <w:rFonts w:hint="eastAsia"/>
          <w:sz w:val="24"/>
          <w:szCs w:val="24"/>
        </w:rPr>
        <w:t xml:space="preserve">           3、</w:t>
      </w:r>
      <w:r>
        <w:rPr>
          <w:rFonts w:hint="eastAsia"/>
          <w:sz w:val="24"/>
          <w:szCs w:val="24"/>
          <w:lang w:val="en-US" w:eastAsia="zh-CN"/>
        </w:rPr>
        <w:t>合同期限</w:t>
      </w:r>
      <w:r>
        <w:rPr>
          <w:rFonts w:hint="eastAsia"/>
          <w:sz w:val="24"/>
          <w:szCs w:val="24"/>
        </w:rPr>
        <w:t>：</w:t>
      </w:r>
      <w:r>
        <w:rPr>
          <w:rFonts w:hint="eastAsia" w:asciiTheme="majorEastAsia" w:hAnsiTheme="majorEastAsia" w:eastAsiaTheme="majorEastAsia"/>
          <w:color w:val="auto"/>
          <w:sz w:val="24"/>
          <w:highlight w:val="none"/>
          <w:u w:val="single"/>
          <w:lang w:val="en-US" w:eastAsia="zh-CN"/>
        </w:rPr>
        <w:t>自2025年1月1日至2026年12月31日止</w:t>
      </w:r>
      <w:r>
        <w:rPr>
          <w:rFonts w:hint="eastAsia" w:ascii="宋体" w:hAnsi="宋体"/>
          <w:color w:val="auto"/>
          <w:sz w:val="24"/>
          <w:szCs w:val="24"/>
          <w:highlight w:val="none"/>
          <w:u w:val="single"/>
          <w:lang w:eastAsia="zh-CN"/>
        </w:rPr>
        <w:t>。</w:t>
      </w:r>
    </w:p>
    <w:p w14:paraId="37D68A03">
      <w:pPr>
        <w:pStyle w:val="35"/>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14:paraId="468056EC">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0D45A670">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7E8116C8">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14:paraId="6F8A1F7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3"/>
        <w:tblpPr w:leftFromText="180" w:rightFromText="180" w:vertAnchor="text" w:horzAnchor="margin" w:tblpXSpec="center" w:tblpY="377"/>
        <w:tblW w:w="9990" w:type="dxa"/>
        <w:tblInd w:w="-384" w:type="dxa"/>
        <w:tblLayout w:type="fixed"/>
        <w:tblCellMar>
          <w:top w:w="0" w:type="dxa"/>
          <w:left w:w="108" w:type="dxa"/>
          <w:bottom w:w="0" w:type="dxa"/>
          <w:right w:w="108" w:type="dxa"/>
        </w:tblCellMar>
      </w:tblPr>
      <w:tblGrid>
        <w:gridCol w:w="791"/>
        <w:gridCol w:w="1450"/>
        <w:gridCol w:w="3434"/>
        <w:gridCol w:w="650"/>
        <w:gridCol w:w="700"/>
        <w:gridCol w:w="1033"/>
        <w:gridCol w:w="1067"/>
        <w:gridCol w:w="865"/>
      </w:tblGrid>
      <w:tr w14:paraId="199FE4DE">
        <w:tblPrEx>
          <w:tblCellMar>
            <w:top w:w="0" w:type="dxa"/>
            <w:left w:w="108" w:type="dxa"/>
            <w:bottom w:w="0" w:type="dxa"/>
            <w:right w:w="108" w:type="dxa"/>
          </w:tblCellMar>
        </w:tblPrEx>
        <w:trPr>
          <w:trHeight w:val="488" w:hRule="atLeast"/>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7278EE3">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序号</w:t>
            </w:r>
          </w:p>
        </w:tc>
        <w:tc>
          <w:tcPr>
            <w:tcW w:w="1450" w:type="dxa"/>
            <w:tcBorders>
              <w:top w:val="single" w:color="auto" w:sz="4" w:space="0"/>
              <w:left w:val="nil"/>
              <w:bottom w:val="single" w:color="auto" w:sz="4" w:space="0"/>
              <w:right w:val="single" w:color="auto" w:sz="4" w:space="0"/>
            </w:tcBorders>
            <w:shd w:val="clear" w:color="auto" w:fill="auto"/>
            <w:vAlign w:val="center"/>
          </w:tcPr>
          <w:p w14:paraId="1F2A586D">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名称</w:t>
            </w:r>
          </w:p>
        </w:tc>
        <w:tc>
          <w:tcPr>
            <w:tcW w:w="3434" w:type="dxa"/>
            <w:tcBorders>
              <w:top w:val="single" w:color="auto" w:sz="4" w:space="0"/>
              <w:left w:val="nil"/>
              <w:bottom w:val="single" w:color="auto" w:sz="4" w:space="0"/>
              <w:right w:val="single" w:color="auto" w:sz="4" w:space="0"/>
            </w:tcBorders>
            <w:shd w:val="clear" w:color="auto" w:fill="auto"/>
            <w:vAlign w:val="center"/>
          </w:tcPr>
          <w:p w14:paraId="7153D42C">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规格与型号</w:t>
            </w:r>
          </w:p>
        </w:tc>
        <w:tc>
          <w:tcPr>
            <w:tcW w:w="650" w:type="dxa"/>
            <w:tcBorders>
              <w:top w:val="single" w:color="auto" w:sz="4" w:space="0"/>
              <w:left w:val="nil"/>
              <w:bottom w:val="single" w:color="auto" w:sz="4" w:space="0"/>
              <w:right w:val="single" w:color="auto" w:sz="4" w:space="0"/>
            </w:tcBorders>
            <w:shd w:val="clear" w:color="auto" w:fill="auto"/>
            <w:vAlign w:val="center"/>
          </w:tcPr>
          <w:p w14:paraId="5E83BC1E">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14:paraId="5C8BA93E">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数量</w:t>
            </w:r>
          </w:p>
        </w:tc>
        <w:tc>
          <w:tcPr>
            <w:tcW w:w="1033" w:type="dxa"/>
            <w:tcBorders>
              <w:top w:val="single" w:color="auto" w:sz="4" w:space="0"/>
              <w:left w:val="nil"/>
              <w:bottom w:val="single" w:color="auto" w:sz="4" w:space="0"/>
              <w:right w:val="single" w:color="auto" w:sz="4" w:space="0"/>
            </w:tcBorders>
            <w:shd w:val="clear" w:color="auto" w:fill="auto"/>
            <w:vAlign w:val="center"/>
          </w:tcPr>
          <w:p w14:paraId="537754E4">
            <w:pPr>
              <w:widowControl/>
              <w:autoSpaceDE/>
              <w:autoSpaceDN/>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单价</w:t>
            </w:r>
          </w:p>
          <w:p w14:paraId="4F3DC8A8">
            <w:pPr>
              <w:pStyle w:val="35"/>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（元/张）</w:t>
            </w:r>
          </w:p>
        </w:tc>
        <w:tc>
          <w:tcPr>
            <w:tcW w:w="1067" w:type="dxa"/>
            <w:tcBorders>
              <w:top w:val="single" w:color="auto" w:sz="4" w:space="0"/>
              <w:left w:val="nil"/>
              <w:bottom w:val="single" w:color="auto" w:sz="4" w:space="0"/>
              <w:right w:val="single" w:color="auto" w:sz="4" w:space="0"/>
            </w:tcBorders>
            <w:shd w:val="clear" w:color="auto" w:fill="auto"/>
            <w:vAlign w:val="center"/>
          </w:tcPr>
          <w:p w14:paraId="7FFFE244">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合计</w:t>
            </w:r>
          </w:p>
          <w:p w14:paraId="31E2665D">
            <w:pPr>
              <w:pStyle w:val="35"/>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w:t>
            </w:r>
          </w:p>
        </w:tc>
        <w:tc>
          <w:tcPr>
            <w:tcW w:w="865" w:type="dxa"/>
            <w:tcBorders>
              <w:top w:val="single" w:color="auto" w:sz="4" w:space="0"/>
              <w:left w:val="nil"/>
              <w:bottom w:val="single" w:color="auto" w:sz="4" w:space="0"/>
              <w:right w:val="single" w:color="auto" w:sz="4" w:space="0"/>
            </w:tcBorders>
            <w:shd w:val="clear" w:color="auto" w:fill="auto"/>
            <w:vAlign w:val="center"/>
          </w:tcPr>
          <w:p w14:paraId="4E19C4A0">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最高单价限价（元）</w:t>
            </w:r>
          </w:p>
        </w:tc>
      </w:tr>
      <w:tr w14:paraId="3FE714BB">
        <w:tblPrEx>
          <w:tblCellMar>
            <w:top w:w="0" w:type="dxa"/>
            <w:left w:w="108" w:type="dxa"/>
            <w:bottom w:w="0" w:type="dxa"/>
            <w:right w:w="108" w:type="dxa"/>
          </w:tblCellMar>
        </w:tblPrEx>
        <w:trPr>
          <w:trHeight w:val="1707" w:hRule="atLeast"/>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6F58D08">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1</w:t>
            </w:r>
          </w:p>
        </w:tc>
        <w:tc>
          <w:tcPr>
            <w:tcW w:w="1450" w:type="dxa"/>
            <w:tcBorders>
              <w:top w:val="single" w:color="auto" w:sz="4" w:space="0"/>
              <w:left w:val="nil"/>
              <w:bottom w:val="single" w:color="auto" w:sz="4" w:space="0"/>
              <w:right w:val="single" w:color="auto" w:sz="4" w:space="0"/>
            </w:tcBorders>
            <w:shd w:val="clear" w:color="auto" w:fill="auto"/>
            <w:vAlign w:val="center"/>
          </w:tcPr>
          <w:p w14:paraId="470B640C">
            <w:pPr>
              <w:widowControl/>
              <w:autoSpaceDE/>
              <w:autoSpaceDN/>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eastAsia="宋体" w:cs="宋体"/>
                <w:sz w:val="24"/>
                <w:szCs w:val="24"/>
                <w:lang w:val="en-US" w:eastAsia="zh-CN"/>
              </w:rPr>
              <w:t>风向杆</w:t>
            </w:r>
          </w:p>
        </w:tc>
        <w:tc>
          <w:tcPr>
            <w:tcW w:w="3434" w:type="dxa"/>
            <w:tcBorders>
              <w:top w:val="single" w:color="auto" w:sz="4" w:space="0"/>
              <w:left w:val="nil"/>
              <w:bottom w:val="single" w:color="auto" w:sz="4" w:space="0"/>
              <w:right w:val="single" w:color="auto" w:sz="4" w:space="0"/>
            </w:tcBorders>
            <w:shd w:val="clear" w:color="auto" w:fill="auto"/>
            <w:vAlign w:val="center"/>
          </w:tcPr>
          <w:p w14:paraId="1DFA3484">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总高1.2m，</w:t>
            </w:r>
          </w:p>
          <w:p w14:paraId="2EA73915">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管径不小于40mm，</w:t>
            </w:r>
          </w:p>
          <w:p w14:paraId="4E477617">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厚度不小于2mm；</w:t>
            </w:r>
          </w:p>
          <w:p w14:paraId="7FC98CAC">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顶部球直径不小于43.2mm；</w:t>
            </w:r>
          </w:p>
          <w:p w14:paraId="08B85CCC">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底座不小于：12.5cm×12.5cm，</w:t>
            </w:r>
          </w:p>
          <w:p w14:paraId="4D65F0B6">
            <w:pPr>
              <w:widowControl/>
              <w:autoSpaceDE/>
              <w:autoSpaceDN/>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eastAsia="宋体" w:cs="宋体"/>
                <w:kern w:val="2"/>
                <w:sz w:val="21"/>
                <w:szCs w:val="21"/>
                <w:lang w:val="en-US" w:eastAsia="zh-CN" w:bidi="ar-SA"/>
              </w:rPr>
              <w:t>厚度不小于8mm</w:t>
            </w:r>
          </w:p>
        </w:tc>
        <w:tc>
          <w:tcPr>
            <w:tcW w:w="650" w:type="dxa"/>
            <w:tcBorders>
              <w:top w:val="single" w:color="auto" w:sz="4" w:space="0"/>
              <w:left w:val="nil"/>
              <w:bottom w:val="single" w:color="auto" w:sz="4" w:space="0"/>
              <w:right w:val="single" w:color="auto" w:sz="4" w:space="0"/>
            </w:tcBorders>
            <w:shd w:val="clear" w:color="auto" w:fill="auto"/>
            <w:vAlign w:val="center"/>
          </w:tcPr>
          <w:p w14:paraId="446DBEC8">
            <w:pPr>
              <w:widowControl/>
              <w:tabs>
                <w:tab w:val="center" w:pos="337"/>
                <w:tab w:val="left" w:pos="525"/>
              </w:tabs>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套</w:t>
            </w:r>
          </w:p>
        </w:tc>
        <w:tc>
          <w:tcPr>
            <w:tcW w:w="700" w:type="dxa"/>
            <w:tcBorders>
              <w:top w:val="single" w:color="auto" w:sz="4" w:space="0"/>
              <w:left w:val="nil"/>
              <w:bottom w:val="single" w:color="auto" w:sz="4" w:space="0"/>
              <w:right w:val="single" w:color="auto" w:sz="4" w:space="0"/>
            </w:tcBorders>
            <w:shd w:val="clear" w:color="auto" w:fill="auto"/>
            <w:vAlign w:val="center"/>
          </w:tcPr>
          <w:p w14:paraId="31B0BB26">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40</w:t>
            </w:r>
          </w:p>
        </w:tc>
        <w:tc>
          <w:tcPr>
            <w:tcW w:w="1033" w:type="dxa"/>
            <w:tcBorders>
              <w:top w:val="single" w:color="auto" w:sz="4" w:space="0"/>
              <w:left w:val="nil"/>
              <w:bottom w:val="single" w:color="auto" w:sz="4" w:space="0"/>
              <w:right w:val="single" w:color="auto" w:sz="4" w:space="0"/>
            </w:tcBorders>
            <w:shd w:val="clear" w:color="auto" w:fill="auto"/>
            <w:vAlign w:val="center"/>
          </w:tcPr>
          <w:p w14:paraId="79700890">
            <w:pPr>
              <w:pStyle w:val="35"/>
              <w:ind w:left="-59" w:leftChars="-27" w:right="-114" w:rightChars="-52" w:firstLine="0" w:firstLineChars="0"/>
              <w:jc w:val="center"/>
              <w:rPr>
                <w:rFonts w:hint="eastAsia" w:cs="宋体" w:asciiTheme="majorEastAsia" w:hAnsiTheme="majorEastAsia" w:eastAsiaTheme="majorEastAsia"/>
                <w:b w:val="0"/>
                <w:bCs w:val="0"/>
                <w:sz w:val="18"/>
                <w:szCs w:val="18"/>
                <w:shd w:val="clear" w:color="auto" w:fill="FFFFFF"/>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3745DDA">
            <w:pPr>
              <w:pStyle w:val="35"/>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865" w:type="dxa"/>
            <w:tcBorders>
              <w:top w:val="single" w:color="auto" w:sz="4" w:space="0"/>
              <w:left w:val="nil"/>
              <w:bottom w:val="single" w:color="auto" w:sz="4" w:space="0"/>
              <w:right w:val="single" w:color="auto" w:sz="4" w:space="0"/>
            </w:tcBorders>
            <w:shd w:val="clear" w:color="auto" w:fill="auto"/>
            <w:vAlign w:val="center"/>
          </w:tcPr>
          <w:p w14:paraId="5F60205F">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450</w:t>
            </w:r>
          </w:p>
        </w:tc>
      </w:tr>
      <w:tr w14:paraId="6709AD92">
        <w:tblPrEx>
          <w:tblCellMar>
            <w:top w:w="0" w:type="dxa"/>
            <w:left w:w="108" w:type="dxa"/>
            <w:bottom w:w="0" w:type="dxa"/>
            <w:right w:w="108" w:type="dxa"/>
          </w:tblCellMar>
        </w:tblPrEx>
        <w:trPr>
          <w:trHeight w:val="1434" w:hRule="atLeast"/>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4DD29AD">
            <w:pPr>
              <w:widowControl/>
              <w:autoSpaceDE/>
              <w:autoSpaceDN/>
              <w:jc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w:t>
            </w:r>
          </w:p>
        </w:tc>
        <w:tc>
          <w:tcPr>
            <w:tcW w:w="1450" w:type="dxa"/>
            <w:tcBorders>
              <w:top w:val="single" w:color="auto" w:sz="4" w:space="0"/>
              <w:left w:val="nil"/>
              <w:bottom w:val="single" w:color="auto" w:sz="4" w:space="0"/>
              <w:right w:val="single" w:color="auto" w:sz="4" w:space="0"/>
            </w:tcBorders>
            <w:shd w:val="clear" w:color="auto" w:fill="auto"/>
            <w:vAlign w:val="center"/>
          </w:tcPr>
          <w:p w14:paraId="37230EB3">
            <w:pPr>
              <w:widowControl/>
              <w:autoSpaceDE/>
              <w:autoSpaceDN/>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eastAsia="宋体" w:cs="宋体"/>
                <w:sz w:val="24"/>
                <w:szCs w:val="24"/>
                <w:lang w:val="en-US" w:eastAsia="zh-CN"/>
              </w:rPr>
              <w:t>风向袋</w:t>
            </w:r>
          </w:p>
        </w:tc>
        <w:tc>
          <w:tcPr>
            <w:tcW w:w="3434" w:type="dxa"/>
            <w:tcBorders>
              <w:top w:val="single" w:color="auto" w:sz="4" w:space="0"/>
              <w:left w:val="nil"/>
              <w:bottom w:val="single" w:color="auto" w:sz="4" w:space="0"/>
              <w:right w:val="single" w:color="auto" w:sz="4" w:space="0"/>
            </w:tcBorders>
            <w:shd w:val="clear" w:color="auto" w:fill="auto"/>
            <w:vAlign w:val="center"/>
          </w:tcPr>
          <w:p w14:paraId="3ED605A5">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进风口钻6个孔；</w:t>
            </w:r>
          </w:p>
          <w:p w14:paraId="06328525">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进风口直径400mm；</w:t>
            </w:r>
          </w:p>
          <w:p w14:paraId="2DA3DE36">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出风口直径200mm；</w:t>
            </w:r>
          </w:p>
          <w:p w14:paraId="019066CF">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长度1000mm；</w:t>
            </w:r>
          </w:p>
          <w:p w14:paraId="671C0C66">
            <w:pPr>
              <w:widowControl/>
              <w:autoSpaceDE/>
              <w:autoSpaceDN/>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eastAsia="宋体" w:cs="宋体"/>
                <w:kern w:val="2"/>
                <w:sz w:val="21"/>
                <w:szCs w:val="21"/>
                <w:lang w:val="en-US" w:eastAsia="zh-CN" w:bidi="ar-SA"/>
              </w:rPr>
              <w:t>布袋有3条反光条</w:t>
            </w:r>
          </w:p>
        </w:tc>
        <w:tc>
          <w:tcPr>
            <w:tcW w:w="650" w:type="dxa"/>
            <w:tcBorders>
              <w:top w:val="single" w:color="auto" w:sz="4" w:space="0"/>
              <w:left w:val="nil"/>
              <w:bottom w:val="single" w:color="auto" w:sz="4" w:space="0"/>
              <w:right w:val="single" w:color="auto" w:sz="4" w:space="0"/>
            </w:tcBorders>
            <w:shd w:val="clear" w:color="auto" w:fill="auto"/>
            <w:vAlign w:val="center"/>
          </w:tcPr>
          <w:p w14:paraId="7C83B42E">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个</w:t>
            </w:r>
          </w:p>
        </w:tc>
        <w:tc>
          <w:tcPr>
            <w:tcW w:w="700" w:type="dxa"/>
            <w:tcBorders>
              <w:top w:val="single" w:color="auto" w:sz="4" w:space="0"/>
              <w:left w:val="nil"/>
              <w:bottom w:val="single" w:color="auto" w:sz="4" w:space="0"/>
              <w:right w:val="single" w:color="auto" w:sz="4" w:space="0"/>
            </w:tcBorders>
            <w:shd w:val="clear" w:color="auto" w:fill="auto"/>
            <w:vAlign w:val="center"/>
          </w:tcPr>
          <w:p w14:paraId="104277C4">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400</w:t>
            </w:r>
          </w:p>
        </w:tc>
        <w:tc>
          <w:tcPr>
            <w:tcW w:w="1033" w:type="dxa"/>
            <w:tcBorders>
              <w:top w:val="single" w:color="auto" w:sz="4" w:space="0"/>
              <w:left w:val="nil"/>
              <w:bottom w:val="single" w:color="auto" w:sz="4" w:space="0"/>
              <w:right w:val="single" w:color="auto" w:sz="4" w:space="0"/>
            </w:tcBorders>
            <w:shd w:val="clear" w:color="auto" w:fill="auto"/>
            <w:vAlign w:val="center"/>
          </w:tcPr>
          <w:p w14:paraId="0560159B">
            <w:pPr>
              <w:pStyle w:val="35"/>
              <w:ind w:left="-59" w:leftChars="-27" w:right="-114" w:rightChars="-52" w:firstLine="0" w:firstLineChars="0"/>
              <w:jc w:val="center"/>
              <w:rPr>
                <w:rFonts w:hint="eastAsia" w:cs="宋体" w:asciiTheme="majorEastAsia" w:hAnsiTheme="majorEastAsia" w:eastAsiaTheme="majorEastAsia"/>
                <w:b w:val="0"/>
                <w:bCs w:val="0"/>
                <w:sz w:val="18"/>
                <w:szCs w:val="18"/>
                <w:shd w:val="clear" w:color="auto" w:fill="FFFFFF"/>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E799E2E">
            <w:pPr>
              <w:pStyle w:val="35"/>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865" w:type="dxa"/>
            <w:tcBorders>
              <w:top w:val="single" w:color="auto" w:sz="4" w:space="0"/>
              <w:left w:val="nil"/>
              <w:bottom w:val="single" w:color="auto" w:sz="4" w:space="0"/>
              <w:right w:val="single" w:color="auto" w:sz="4" w:space="0"/>
            </w:tcBorders>
            <w:shd w:val="clear" w:color="auto" w:fill="auto"/>
            <w:vAlign w:val="center"/>
          </w:tcPr>
          <w:p w14:paraId="2C01F90F">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45</w:t>
            </w:r>
          </w:p>
        </w:tc>
      </w:tr>
      <w:tr w14:paraId="77D16AED">
        <w:tblPrEx>
          <w:tblCellMar>
            <w:top w:w="0" w:type="dxa"/>
            <w:left w:w="108" w:type="dxa"/>
            <w:bottom w:w="0" w:type="dxa"/>
            <w:right w:w="108" w:type="dxa"/>
          </w:tblCellMar>
        </w:tblPrEx>
        <w:trPr>
          <w:trHeight w:val="1212" w:hRule="atLeast"/>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CE7A823">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w:t>
            </w:r>
          </w:p>
        </w:tc>
        <w:tc>
          <w:tcPr>
            <w:tcW w:w="1450" w:type="dxa"/>
            <w:tcBorders>
              <w:top w:val="single" w:color="auto" w:sz="4" w:space="0"/>
              <w:left w:val="nil"/>
              <w:bottom w:val="single" w:color="auto" w:sz="4" w:space="0"/>
              <w:right w:val="single" w:color="auto" w:sz="4" w:space="0"/>
            </w:tcBorders>
            <w:shd w:val="clear" w:color="auto" w:fill="auto"/>
            <w:vAlign w:val="center"/>
          </w:tcPr>
          <w:p w14:paraId="31AC73F0">
            <w:pPr>
              <w:pStyle w:val="35"/>
              <w:jc w:val="left"/>
              <w:rPr>
                <w:rFonts w:hint="eastAsia" w:ascii="宋体" w:hAnsi="宋体" w:eastAsia="宋体" w:cs="宋体"/>
                <w:color w:val="000000"/>
                <w:sz w:val="24"/>
                <w:szCs w:val="24"/>
              </w:rPr>
            </w:pPr>
            <w:r>
              <w:rPr>
                <w:rFonts w:hint="eastAsia" w:ascii="宋体" w:hAnsi="宋体" w:eastAsia="宋体" w:cs="宋体"/>
                <w:color w:val="000000"/>
                <w:sz w:val="24"/>
                <w:szCs w:val="24"/>
              </w:rPr>
              <w:t>风向袋</w:t>
            </w:r>
          </w:p>
          <w:p w14:paraId="46C1B963">
            <w:pPr>
              <w:pStyle w:val="35"/>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eastAsia="宋体" w:cs="宋体"/>
                <w:color w:val="000000"/>
                <w:sz w:val="24"/>
                <w:szCs w:val="24"/>
              </w:rPr>
              <w:t>（带挂钩）</w:t>
            </w:r>
          </w:p>
        </w:tc>
        <w:tc>
          <w:tcPr>
            <w:tcW w:w="3434" w:type="dxa"/>
            <w:tcBorders>
              <w:top w:val="single" w:color="auto" w:sz="4" w:space="0"/>
              <w:left w:val="nil"/>
              <w:bottom w:val="single" w:color="auto" w:sz="4" w:space="0"/>
              <w:right w:val="single" w:color="auto" w:sz="4" w:space="0"/>
            </w:tcBorders>
            <w:shd w:val="clear" w:color="auto" w:fill="auto"/>
            <w:vAlign w:val="center"/>
          </w:tcPr>
          <w:p w14:paraId="3D0BA023">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带挂钩；进风口直径400mm；</w:t>
            </w:r>
          </w:p>
          <w:p w14:paraId="4A93896A">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出风口直径200mm；</w:t>
            </w:r>
          </w:p>
          <w:p w14:paraId="625FB1AA">
            <w:pPr>
              <w:widowControl/>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长度1000mm；</w:t>
            </w:r>
          </w:p>
          <w:p w14:paraId="7B399D54">
            <w:pPr>
              <w:widowControl/>
              <w:autoSpaceDE/>
              <w:autoSpaceDN/>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eastAsia="宋体" w:cs="宋体"/>
                <w:kern w:val="2"/>
                <w:sz w:val="21"/>
                <w:szCs w:val="21"/>
                <w:lang w:val="en-US" w:eastAsia="zh-CN" w:bidi="ar-SA"/>
              </w:rPr>
              <w:t>布袋有3条反光条</w:t>
            </w:r>
          </w:p>
        </w:tc>
        <w:tc>
          <w:tcPr>
            <w:tcW w:w="650" w:type="dxa"/>
            <w:tcBorders>
              <w:top w:val="single" w:color="auto" w:sz="4" w:space="0"/>
              <w:left w:val="nil"/>
              <w:bottom w:val="single" w:color="auto" w:sz="4" w:space="0"/>
              <w:right w:val="single" w:color="auto" w:sz="4" w:space="0"/>
            </w:tcBorders>
            <w:shd w:val="clear" w:color="auto" w:fill="auto"/>
            <w:vAlign w:val="center"/>
          </w:tcPr>
          <w:p w14:paraId="7B810BF7">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个</w:t>
            </w:r>
          </w:p>
        </w:tc>
        <w:tc>
          <w:tcPr>
            <w:tcW w:w="700" w:type="dxa"/>
            <w:tcBorders>
              <w:top w:val="single" w:color="auto" w:sz="4" w:space="0"/>
              <w:left w:val="nil"/>
              <w:bottom w:val="single" w:color="auto" w:sz="4" w:space="0"/>
              <w:right w:val="single" w:color="auto" w:sz="4" w:space="0"/>
            </w:tcBorders>
            <w:shd w:val="clear" w:color="auto" w:fill="auto"/>
            <w:vAlign w:val="center"/>
          </w:tcPr>
          <w:p w14:paraId="2299A1EA">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800</w:t>
            </w:r>
          </w:p>
        </w:tc>
        <w:tc>
          <w:tcPr>
            <w:tcW w:w="1033" w:type="dxa"/>
            <w:tcBorders>
              <w:top w:val="single" w:color="auto" w:sz="4" w:space="0"/>
              <w:left w:val="nil"/>
              <w:bottom w:val="single" w:color="auto" w:sz="4" w:space="0"/>
              <w:right w:val="single" w:color="auto" w:sz="4" w:space="0"/>
            </w:tcBorders>
            <w:shd w:val="clear" w:color="auto" w:fill="auto"/>
            <w:vAlign w:val="center"/>
          </w:tcPr>
          <w:p w14:paraId="4DF5B67C">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DCB0F3C">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865" w:type="dxa"/>
            <w:tcBorders>
              <w:top w:val="single" w:color="auto" w:sz="4" w:space="0"/>
              <w:left w:val="nil"/>
              <w:bottom w:val="single" w:color="auto" w:sz="4" w:space="0"/>
              <w:right w:val="single" w:color="auto" w:sz="4" w:space="0"/>
            </w:tcBorders>
            <w:shd w:val="clear" w:color="auto" w:fill="auto"/>
            <w:vAlign w:val="center"/>
          </w:tcPr>
          <w:p w14:paraId="7D1111B3">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45</w:t>
            </w:r>
          </w:p>
        </w:tc>
      </w:tr>
      <w:tr w14:paraId="5654CA62">
        <w:tblPrEx>
          <w:tblCellMar>
            <w:top w:w="0" w:type="dxa"/>
            <w:left w:w="108" w:type="dxa"/>
            <w:bottom w:w="0" w:type="dxa"/>
            <w:right w:w="108" w:type="dxa"/>
          </w:tblCellMar>
        </w:tblPrEx>
        <w:trPr>
          <w:trHeight w:val="487" w:hRule="atLeast"/>
        </w:trPr>
        <w:tc>
          <w:tcPr>
            <w:tcW w:w="63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690110">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r>
              <w:rPr>
                <w:rFonts w:hint="eastAsia" w:asciiTheme="majorEastAsia" w:hAnsiTheme="majorEastAsia" w:eastAsiaTheme="majorEastAsia"/>
                <w:sz w:val="21"/>
                <w:szCs w:val="21"/>
                <w:lang w:val="en-US" w:eastAsia="zh-CN"/>
              </w:rPr>
              <w:t>(人民币：      元，</w:t>
            </w:r>
            <w:r>
              <w:rPr>
                <w:rFonts w:hint="eastAsia" w:asciiTheme="majorEastAsia" w:hAnsiTheme="majorEastAsia" w:eastAsiaTheme="majorEastAsia"/>
                <w:b/>
                <w:bCs/>
                <w:sz w:val="21"/>
                <w:szCs w:val="21"/>
                <w:u w:val="single"/>
                <w:lang w:val="en-US" w:eastAsia="zh-CN"/>
              </w:rPr>
              <w:t>含   %专票</w:t>
            </w:r>
            <w:r>
              <w:rPr>
                <w:rFonts w:hint="eastAsia" w:asciiTheme="majorEastAsia" w:hAnsiTheme="majorEastAsia" w:eastAsiaTheme="majorEastAsia"/>
                <w:sz w:val="21"/>
                <w:szCs w:val="21"/>
                <w:lang w:val="en-US" w:eastAsia="zh-CN"/>
              </w:rPr>
              <w:t>）</w:t>
            </w:r>
          </w:p>
        </w:tc>
        <w:tc>
          <w:tcPr>
            <w:tcW w:w="36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923026">
            <w:pPr>
              <w:widowControl/>
              <w:autoSpaceDE/>
              <w:autoSpaceDN/>
              <w:ind w:right="420"/>
              <w:rPr>
                <w:rFonts w:hint="eastAsia" w:ascii="宋体" w:hAnsi="宋体" w:eastAsia="宋体" w:cs="宋体"/>
                <w:b/>
                <w:bCs/>
                <w:sz w:val="24"/>
                <w:szCs w:val="24"/>
                <w:lang w:eastAsia="zh-CN"/>
              </w:rPr>
            </w:pPr>
          </w:p>
        </w:tc>
      </w:tr>
    </w:tbl>
    <w:p w14:paraId="1BC30AA3">
      <w:pPr>
        <w:pStyle w:val="39"/>
        <w:spacing w:beforeLines="0" w:afterLines="0"/>
        <w:ind w:firstLine="0" w:firstLineChars="0"/>
        <w:rPr>
          <w:rFonts w:ascii="Times New Roman"/>
          <w:bCs w:val="0"/>
          <w:sz w:val="24"/>
          <w:szCs w:val="24"/>
          <w:lang w:eastAsia="zh-CN"/>
        </w:rPr>
      </w:pPr>
    </w:p>
    <w:p w14:paraId="08B33FAA">
      <w:pPr>
        <w:spacing w:line="600" w:lineRule="exact"/>
        <w:jc w:val="both"/>
        <w:rPr>
          <w:rFonts w:hint="eastAsia" w:ascii="宋体" w:hAnsi="宋体"/>
          <w:b/>
          <w:sz w:val="32"/>
          <w:szCs w:val="32"/>
          <w:lang w:val="en-US" w:eastAsia="zh-CN"/>
        </w:rPr>
      </w:pPr>
      <w:r>
        <w:rPr>
          <w:rFonts w:hint="eastAsia" w:ascii="宋体" w:hAnsi="宋体"/>
          <w:b/>
          <w:sz w:val="32"/>
          <w:szCs w:val="32"/>
          <w:lang w:val="en-US" w:eastAsia="zh-CN"/>
        </w:rPr>
        <w:t>附件6：</w:t>
      </w:r>
    </w:p>
    <w:p w14:paraId="1AECE927">
      <w:pPr>
        <w:spacing w:line="600" w:lineRule="exact"/>
        <w:jc w:val="center"/>
        <w:rPr>
          <w:rFonts w:ascii="宋体" w:hAnsi="宋体"/>
          <w:b/>
          <w:sz w:val="32"/>
          <w:szCs w:val="32"/>
        </w:rPr>
      </w:pPr>
      <w:r>
        <w:rPr>
          <w:rFonts w:hint="eastAsia" w:ascii="宋体" w:hAnsi="宋体"/>
          <w:b/>
          <w:sz w:val="32"/>
          <w:szCs w:val="32"/>
        </w:rPr>
        <w:t>福建福海创石油化工有限公司</w:t>
      </w:r>
    </w:p>
    <w:p w14:paraId="6116CB17">
      <w:pPr>
        <w:jc w:val="center"/>
        <w:rPr>
          <w:rFonts w:hint="eastAsia"/>
          <w:b/>
          <w:sz w:val="44"/>
          <w:szCs w:val="44"/>
        </w:rPr>
      </w:pPr>
      <w:r>
        <w:rPr>
          <w:rFonts w:hint="eastAsia"/>
          <w:b/>
          <w:sz w:val="32"/>
          <w:szCs w:val="32"/>
          <w:lang w:val="en-US" w:eastAsia="zh-CN"/>
        </w:rPr>
        <w:t>2025年-2026年</w:t>
      </w:r>
      <w:r>
        <w:rPr>
          <w:rFonts w:hint="eastAsia"/>
          <w:b/>
          <w:sz w:val="32"/>
          <w:szCs w:val="32"/>
          <w:lang w:eastAsia="zh-CN"/>
        </w:rPr>
        <w:t>风向杆、风向袋</w:t>
      </w:r>
      <w:r>
        <w:rPr>
          <w:rFonts w:hint="eastAsia"/>
          <w:b/>
          <w:sz w:val="32"/>
          <w:szCs w:val="32"/>
        </w:rPr>
        <w:t>发包说明</w:t>
      </w:r>
    </w:p>
    <w:p w14:paraId="17E7D9FF">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合同年约项目</w:t>
      </w:r>
    </w:p>
    <w:tbl>
      <w:tblPr>
        <w:tblStyle w:val="24"/>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2866"/>
        <w:gridCol w:w="510"/>
        <w:gridCol w:w="1137"/>
        <w:gridCol w:w="936"/>
        <w:gridCol w:w="955"/>
        <w:gridCol w:w="3131"/>
      </w:tblGrid>
      <w:tr w14:paraId="4B585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noWrap w:val="0"/>
            <w:vAlign w:val="center"/>
          </w:tcPr>
          <w:p w14:paraId="3C8C9A3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866" w:type="dxa"/>
            <w:noWrap w:val="0"/>
            <w:vAlign w:val="center"/>
          </w:tcPr>
          <w:p w14:paraId="22BD5FD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0" w:type="dxa"/>
            <w:noWrap w:val="0"/>
            <w:vAlign w:val="center"/>
          </w:tcPr>
          <w:p w14:paraId="55DC755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137" w:type="dxa"/>
            <w:noWrap w:val="0"/>
            <w:vAlign w:val="center"/>
          </w:tcPr>
          <w:p w14:paraId="6F82189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两年</w:t>
            </w:r>
            <w:r>
              <w:rPr>
                <w:rFonts w:hint="eastAsia" w:ascii="宋体" w:hAnsi="宋体" w:eastAsia="宋体" w:cs="宋体"/>
                <w:b/>
                <w:sz w:val="24"/>
                <w:szCs w:val="24"/>
              </w:rPr>
              <w:t>预估数量</w:t>
            </w:r>
          </w:p>
        </w:tc>
        <w:tc>
          <w:tcPr>
            <w:tcW w:w="936" w:type="dxa"/>
            <w:noWrap w:val="0"/>
            <w:vAlign w:val="center"/>
          </w:tcPr>
          <w:p w14:paraId="5AC83776">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起订量</w:t>
            </w:r>
          </w:p>
        </w:tc>
        <w:tc>
          <w:tcPr>
            <w:tcW w:w="955" w:type="dxa"/>
            <w:noWrap w:val="0"/>
            <w:vAlign w:val="center"/>
          </w:tcPr>
          <w:p w14:paraId="674C1182">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控制</w:t>
            </w:r>
          </w:p>
          <w:p w14:paraId="48EFF4F9">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单价</w:t>
            </w:r>
          </w:p>
        </w:tc>
        <w:tc>
          <w:tcPr>
            <w:tcW w:w="3131" w:type="dxa"/>
            <w:noWrap w:val="0"/>
            <w:vAlign w:val="center"/>
          </w:tcPr>
          <w:p w14:paraId="621B4A7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3B1E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noWrap w:val="0"/>
            <w:vAlign w:val="top"/>
          </w:tcPr>
          <w:p w14:paraId="26A498B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6" w:type="dxa"/>
            <w:noWrap w:val="0"/>
            <w:vAlign w:val="top"/>
          </w:tcPr>
          <w:p w14:paraId="4F3FC82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风向杆</w:t>
            </w:r>
          </w:p>
        </w:tc>
        <w:tc>
          <w:tcPr>
            <w:tcW w:w="510" w:type="dxa"/>
            <w:noWrap w:val="0"/>
            <w:vAlign w:val="center"/>
          </w:tcPr>
          <w:p w14:paraId="19159E0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137" w:type="dxa"/>
            <w:noWrap w:val="0"/>
            <w:vAlign w:val="top"/>
          </w:tcPr>
          <w:p w14:paraId="50ED02C2">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36" w:type="dxa"/>
            <w:noWrap w:val="0"/>
            <w:vAlign w:val="top"/>
          </w:tcPr>
          <w:p w14:paraId="2AB8ED7F">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55" w:type="dxa"/>
            <w:noWrap w:val="0"/>
            <w:vAlign w:val="center"/>
          </w:tcPr>
          <w:p w14:paraId="033A19C5">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450</w:t>
            </w:r>
          </w:p>
        </w:tc>
        <w:tc>
          <w:tcPr>
            <w:tcW w:w="3131" w:type="dxa"/>
            <w:vMerge w:val="restart"/>
            <w:noWrap w:val="0"/>
            <w:vAlign w:val="center"/>
          </w:tcPr>
          <w:p w14:paraId="19FB921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数量仅为预估量，</w:t>
            </w:r>
            <w:r>
              <w:rPr>
                <w:rFonts w:hint="eastAsia" w:ascii="宋体" w:hAnsi="宋体" w:eastAsia="宋体" w:cs="宋体"/>
                <w:sz w:val="24"/>
                <w:szCs w:val="24"/>
              </w:rPr>
              <w:t>按实际需求交货</w:t>
            </w:r>
          </w:p>
        </w:tc>
      </w:tr>
      <w:tr w14:paraId="16C4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noWrap w:val="0"/>
            <w:vAlign w:val="top"/>
          </w:tcPr>
          <w:p w14:paraId="614958F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6" w:type="dxa"/>
            <w:noWrap w:val="0"/>
            <w:vAlign w:val="top"/>
          </w:tcPr>
          <w:p w14:paraId="399D0E6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风向袋</w:t>
            </w:r>
          </w:p>
        </w:tc>
        <w:tc>
          <w:tcPr>
            <w:tcW w:w="510" w:type="dxa"/>
            <w:noWrap w:val="0"/>
            <w:vAlign w:val="center"/>
          </w:tcPr>
          <w:p w14:paraId="3370B1D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137" w:type="dxa"/>
            <w:noWrap w:val="0"/>
            <w:vAlign w:val="top"/>
          </w:tcPr>
          <w:p w14:paraId="3AFFE29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400</w:t>
            </w:r>
          </w:p>
        </w:tc>
        <w:tc>
          <w:tcPr>
            <w:tcW w:w="936" w:type="dxa"/>
            <w:noWrap w:val="0"/>
            <w:vAlign w:val="top"/>
          </w:tcPr>
          <w:p w14:paraId="29008A8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955" w:type="dxa"/>
            <w:noWrap w:val="0"/>
            <w:vAlign w:val="top"/>
          </w:tcPr>
          <w:p w14:paraId="5F0F6B5D">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3131" w:type="dxa"/>
            <w:vMerge w:val="continue"/>
            <w:noWrap w:val="0"/>
            <w:vAlign w:val="top"/>
          </w:tcPr>
          <w:p w14:paraId="09ED3EA1">
            <w:pPr>
              <w:spacing w:line="360" w:lineRule="auto"/>
              <w:jc w:val="center"/>
              <w:rPr>
                <w:rFonts w:hint="eastAsia" w:ascii="宋体" w:hAnsi="宋体" w:eastAsia="宋体" w:cs="宋体"/>
                <w:kern w:val="2"/>
                <w:sz w:val="24"/>
                <w:szCs w:val="24"/>
                <w:lang w:val="en-US" w:eastAsia="zh-CN" w:bidi="ar-SA"/>
              </w:rPr>
            </w:pPr>
          </w:p>
        </w:tc>
      </w:tr>
      <w:tr w14:paraId="68D3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0" w:type="dxa"/>
            <w:noWrap w:val="0"/>
            <w:vAlign w:val="top"/>
          </w:tcPr>
          <w:p w14:paraId="313A8DA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6" w:type="dxa"/>
            <w:noWrap w:val="0"/>
            <w:vAlign w:val="top"/>
          </w:tcPr>
          <w:p w14:paraId="234B1B91">
            <w:pPr>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风向袋（带挂钩）</w:t>
            </w:r>
          </w:p>
        </w:tc>
        <w:tc>
          <w:tcPr>
            <w:tcW w:w="510" w:type="dxa"/>
            <w:noWrap w:val="0"/>
            <w:vAlign w:val="center"/>
          </w:tcPr>
          <w:p w14:paraId="1097353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137" w:type="dxa"/>
            <w:noWrap w:val="0"/>
            <w:vAlign w:val="top"/>
          </w:tcPr>
          <w:p w14:paraId="2EB95C25">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936" w:type="dxa"/>
            <w:noWrap w:val="0"/>
            <w:vAlign w:val="top"/>
          </w:tcPr>
          <w:p w14:paraId="70EF70A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955" w:type="dxa"/>
            <w:noWrap w:val="0"/>
            <w:vAlign w:val="top"/>
          </w:tcPr>
          <w:p w14:paraId="384BD70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3131" w:type="dxa"/>
            <w:vMerge w:val="continue"/>
            <w:noWrap w:val="0"/>
            <w:vAlign w:val="top"/>
          </w:tcPr>
          <w:p w14:paraId="50831F4B">
            <w:pPr>
              <w:spacing w:line="360" w:lineRule="auto"/>
              <w:jc w:val="center"/>
              <w:rPr>
                <w:rFonts w:hint="eastAsia" w:ascii="宋体" w:hAnsi="宋体" w:eastAsia="宋体" w:cs="宋体"/>
                <w:kern w:val="2"/>
                <w:sz w:val="24"/>
                <w:szCs w:val="24"/>
                <w:lang w:val="en-US" w:eastAsia="zh-CN" w:bidi="ar-SA"/>
              </w:rPr>
            </w:pPr>
          </w:p>
        </w:tc>
      </w:tr>
    </w:tbl>
    <w:p w14:paraId="6CDF1482">
      <w:pPr>
        <w:spacing w:before="156" w:beforeLines="50" w:line="360" w:lineRule="auto"/>
        <w:jc w:val="left"/>
        <w:rPr>
          <w:rFonts w:hint="eastAsia" w:ascii="宋体" w:hAnsi="宋体" w:eastAsia="宋体" w:cs="宋体"/>
          <w:b/>
          <w:sz w:val="24"/>
          <w:szCs w:val="24"/>
        </w:rPr>
      </w:pPr>
      <w:r>
        <w:rPr>
          <w:rFonts w:hint="eastAsia" w:ascii="宋体" w:hAnsi="宋体" w:eastAsia="宋体" w:cs="宋体"/>
          <w:b/>
          <w:sz w:val="24"/>
          <w:szCs w:val="24"/>
        </w:rPr>
        <w:t>二、合同签订公司</w:t>
      </w:r>
    </w:p>
    <w:p w14:paraId="5F6B82AF">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福建福海创石油化工有限公司、</w:t>
      </w:r>
      <w:r>
        <w:rPr>
          <w:rFonts w:hint="eastAsia" w:ascii="宋体" w:hAnsi="宋体" w:eastAsia="宋体" w:cs="宋体"/>
          <w:sz w:val="24"/>
          <w:szCs w:val="24"/>
        </w:rPr>
        <w:t>腾龙芳烃（漳州）有限公司、翔鹭石化（漳州）有限公司、翔鹭码头投资管理（漳州）有限公司</w:t>
      </w:r>
    </w:p>
    <w:p w14:paraId="37085392">
      <w:pPr>
        <w:spacing w:line="360" w:lineRule="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三、合同签订期限</w:t>
      </w:r>
    </w:p>
    <w:p w14:paraId="5CCB2727">
      <w:pPr>
        <w:spacing w:line="360"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2025年1月1日-2026年12月31日</w:t>
      </w:r>
      <w:r>
        <w:rPr>
          <w:rFonts w:hint="eastAsia" w:ascii="宋体" w:hAnsi="宋体" w:eastAsia="宋体" w:cs="宋体"/>
          <w:color w:val="000000"/>
          <w:sz w:val="24"/>
          <w:szCs w:val="24"/>
          <w:shd w:val="clear" w:color="auto" w:fill="FFFFFF"/>
        </w:rPr>
        <w:t>。</w:t>
      </w:r>
    </w:p>
    <w:p w14:paraId="69C8B31D">
      <w:pPr>
        <w:spacing w:line="360" w:lineRule="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四、技术要求</w:t>
      </w:r>
    </w:p>
    <w:p w14:paraId="3399935C">
      <w:pPr>
        <w:pStyle w:val="37"/>
        <w:spacing w:line="360" w:lineRule="auto"/>
        <w:ind w:firstLine="422"/>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、风向</w:t>
      </w:r>
      <w:r>
        <w:rPr>
          <w:rFonts w:hint="eastAsia" w:ascii="宋体" w:hAnsi="宋体" w:eastAsia="宋体" w:cs="宋体"/>
          <w:b/>
          <w:sz w:val="24"/>
          <w:szCs w:val="24"/>
          <w:lang w:eastAsia="zh-CN"/>
        </w:rPr>
        <w:t>杆</w:t>
      </w:r>
      <w:r>
        <w:rPr>
          <w:rFonts w:hint="eastAsia" w:ascii="宋体" w:hAnsi="宋体" w:eastAsia="宋体" w:cs="宋体"/>
          <w:b/>
          <w:sz w:val="24"/>
          <w:szCs w:val="24"/>
        </w:rPr>
        <w:t>：</w:t>
      </w:r>
    </w:p>
    <w:p w14:paraId="70B00097">
      <w:pPr>
        <w:pStyle w:val="37"/>
        <w:spacing w:line="360" w:lineRule="auto"/>
        <w:ind w:firstLine="422"/>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）样式</w:t>
      </w:r>
    </w:p>
    <w:p w14:paraId="739F36D8">
      <w:pPr>
        <w:pStyle w:val="37"/>
        <w:spacing w:line="360" w:lineRule="auto"/>
        <w:ind w:firstLine="422"/>
        <w:rPr>
          <w:rFonts w:hint="eastAsia" w:ascii="宋体" w:hAnsi="宋体" w:eastAsia="宋体" w:cs="宋体"/>
          <w:b/>
          <w:sz w:val="24"/>
          <w:szCs w:val="24"/>
          <w:lang w:eastAsia="zh-CN"/>
        </w:rPr>
      </w:pPr>
      <w:r>
        <w:rPr>
          <w:rFonts w:hint="eastAsia" w:ascii="宋体" w:hAnsi="宋体" w:eastAsia="宋体" w:cs="宋体"/>
          <w:b/>
          <w:sz w:val="24"/>
          <w:szCs w:val="24"/>
          <w:lang w:eastAsia="zh-CN"/>
        </w:rPr>
        <w:drawing>
          <wp:inline distT="0" distB="0" distL="114300" distR="114300">
            <wp:extent cx="1369695" cy="2737485"/>
            <wp:effectExtent l="0" t="0" r="1905" b="5715"/>
            <wp:docPr id="5" name="图片 1" descr="456427686ce8b276537116e2050c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456427686ce8b276537116e2050ccd2"/>
                    <pic:cNvPicPr>
                      <a:picLocks noChangeAspect="1"/>
                    </pic:cNvPicPr>
                  </pic:nvPicPr>
                  <pic:blipFill>
                    <a:blip r:embed="rId7"/>
                    <a:stretch>
                      <a:fillRect/>
                    </a:stretch>
                  </pic:blipFill>
                  <pic:spPr>
                    <a:xfrm>
                      <a:off x="0" y="0"/>
                      <a:ext cx="1369695" cy="2737485"/>
                    </a:xfrm>
                    <a:prstGeom prst="rect">
                      <a:avLst/>
                    </a:prstGeom>
                    <a:noFill/>
                    <a:ln>
                      <a:noFill/>
                    </a:ln>
                  </pic:spPr>
                </pic:pic>
              </a:graphicData>
            </a:graphic>
          </wp:inline>
        </w:drawing>
      </w:r>
    </w:p>
    <w:p w14:paraId="5BA85538">
      <w:pPr>
        <w:pStyle w:val="37"/>
        <w:spacing w:line="360" w:lineRule="auto"/>
        <w:ind w:firstLine="422"/>
        <w:rPr>
          <w:rFonts w:hint="eastAsia" w:ascii="宋体" w:hAnsi="宋体" w:eastAsia="宋体" w:cs="宋体"/>
          <w:b/>
          <w:sz w:val="24"/>
          <w:szCs w:val="24"/>
          <w:lang w:eastAsia="zh-CN"/>
        </w:rPr>
      </w:pPr>
    </w:p>
    <w:p w14:paraId="1809EFBD">
      <w:pPr>
        <w:pStyle w:val="37"/>
        <w:numPr>
          <w:ilvl w:val="0"/>
          <w:numId w:val="4"/>
        </w:numPr>
        <w:spacing w:line="360" w:lineRule="auto"/>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技术要求</w:t>
      </w:r>
    </w:p>
    <w:p w14:paraId="58C3C797">
      <w:pPr>
        <w:pStyle w:val="37"/>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材质为304不锈钢材质。风向杆总高1.2m，管径不小于40mm，厚度不小于2mm；顶部球直径不小于43.2mm；底座不小于：12.5cm×12.5cm，厚度不小于8mm，四角打孔并配套 304 不锈钢膨胀螺栓用。含轴承旋转部分，风向杆可随风向自由灵活旋转。</w:t>
      </w:r>
    </w:p>
    <w:p w14:paraId="03D0B809">
      <w:pPr>
        <w:pStyle w:val="37"/>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风向</w:t>
      </w:r>
      <w:r>
        <w:rPr>
          <w:rFonts w:hint="eastAsia" w:ascii="宋体" w:hAnsi="宋体" w:eastAsia="宋体" w:cs="宋体"/>
          <w:b/>
          <w:sz w:val="24"/>
          <w:szCs w:val="24"/>
          <w:lang w:eastAsia="zh-CN"/>
        </w:rPr>
        <w:t>袋</w:t>
      </w:r>
      <w:r>
        <w:rPr>
          <w:rFonts w:hint="eastAsia" w:ascii="宋体" w:hAnsi="宋体" w:eastAsia="宋体" w:cs="宋体"/>
          <w:b/>
          <w:sz w:val="24"/>
          <w:szCs w:val="24"/>
        </w:rPr>
        <w:t>：</w:t>
      </w:r>
    </w:p>
    <w:p w14:paraId="1C07071A">
      <w:pPr>
        <w:pStyle w:val="37"/>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）样式</w:t>
      </w:r>
    </w:p>
    <w:p w14:paraId="1F951A7B">
      <w:pPr>
        <w:pStyle w:val="37"/>
        <w:spacing w:line="360" w:lineRule="auto"/>
        <w:ind w:left="420" w:firstLine="0" w:firstLineChars="0"/>
        <w:rPr>
          <w:rFonts w:hint="eastAsia" w:ascii="宋体" w:hAnsi="宋体" w:eastAsia="宋体" w:cs="宋体"/>
          <w:b/>
          <w:sz w:val="24"/>
          <w:szCs w:val="24"/>
        </w:rPr>
      </w:pPr>
      <w:r>
        <w:rPr>
          <w:rFonts w:hint="eastAsia" w:ascii="宋体" w:hAnsi="宋体" w:eastAsia="宋体" w:cs="宋体"/>
          <w:b/>
          <w:sz w:val="24"/>
          <w:szCs w:val="24"/>
        </w:rPr>
        <w:drawing>
          <wp:inline distT="0" distB="0" distL="114300" distR="114300">
            <wp:extent cx="2783205" cy="2083435"/>
            <wp:effectExtent l="0" t="0" r="17145" b="12065"/>
            <wp:docPr id="7" name="图片 2" descr="IMG_20161111_0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0161111_092804"/>
                    <pic:cNvPicPr>
                      <a:picLocks noChangeAspect="1"/>
                    </pic:cNvPicPr>
                  </pic:nvPicPr>
                  <pic:blipFill>
                    <a:blip r:embed="rId8"/>
                    <a:stretch>
                      <a:fillRect/>
                    </a:stretch>
                  </pic:blipFill>
                  <pic:spPr>
                    <a:xfrm>
                      <a:off x="0" y="0"/>
                      <a:ext cx="2783205" cy="2083435"/>
                    </a:xfrm>
                    <a:prstGeom prst="rect">
                      <a:avLst/>
                    </a:prstGeom>
                    <a:noFill/>
                    <a:ln>
                      <a:noFill/>
                    </a:ln>
                  </pic:spPr>
                </pic:pic>
              </a:graphicData>
            </a:graphic>
          </wp:inline>
        </w:drawing>
      </w:r>
    </w:p>
    <w:p w14:paraId="18B82279">
      <w:pPr>
        <w:pStyle w:val="37"/>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）技术要求</w:t>
      </w:r>
    </w:p>
    <w:p w14:paraId="1BFB5A8F">
      <w:pPr>
        <w:pStyle w:val="37"/>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颜色为橙红色；进风口钻6个孔；进风口直径400mm；出风口直径200mm；长度1000mm；布袋有3条反光条，能够防水防污；布料不易褪色，经久耐用。</w:t>
      </w:r>
    </w:p>
    <w:p w14:paraId="67F5F45E">
      <w:pPr>
        <w:pStyle w:val="37"/>
        <w:numPr>
          <w:ilvl w:val="0"/>
          <w:numId w:val="0"/>
        </w:num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风向袋（带挂钩）</w:t>
      </w:r>
    </w:p>
    <w:p w14:paraId="2208C0AD">
      <w:pPr>
        <w:pStyle w:val="37"/>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）样式</w:t>
      </w:r>
    </w:p>
    <w:p w14:paraId="42A93884">
      <w:pPr>
        <w:pStyle w:val="37"/>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rPr>
        <w:drawing>
          <wp:inline distT="0" distB="0" distL="114300" distR="114300">
            <wp:extent cx="1701800" cy="3493135"/>
            <wp:effectExtent l="0" t="0" r="12065" b="12700"/>
            <wp:docPr id="6" name="图片 3" descr="C:\Users\xlhuang\AppData\Local\Temp\WeChat Files\76a7632db78cb28528ff104c4573d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xlhuang\AppData\Local\Temp\WeChat Files\76a7632db78cb28528ff104c4573db5.jpg"/>
                    <pic:cNvPicPr>
                      <a:picLocks noChangeAspect="1"/>
                    </pic:cNvPicPr>
                  </pic:nvPicPr>
                  <pic:blipFill>
                    <a:blip r:embed="rId9"/>
                    <a:stretch>
                      <a:fillRect/>
                    </a:stretch>
                  </pic:blipFill>
                  <pic:spPr>
                    <a:xfrm rot="-5400000">
                      <a:off x="0" y="0"/>
                      <a:ext cx="1701800" cy="3493135"/>
                    </a:xfrm>
                    <a:prstGeom prst="rect">
                      <a:avLst/>
                    </a:prstGeom>
                    <a:noFill/>
                    <a:ln>
                      <a:noFill/>
                    </a:ln>
                  </pic:spPr>
                </pic:pic>
              </a:graphicData>
            </a:graphic>
          </wp:inline>
        </w:drawing>
      </w:r>
    </w:p>
    <w:p w14:paraId="581E2D0B">
      <w:pPr>
        <w:pStyle w:val="37"/>
        <w:numPr>
          <w:ilvl w:val="0"/>
          <w:numId w:val="0"/>
        </w:numPr>
        <w:spacing w:line="360" w:lineRule="auto"/>
        <w:rPr>
          <w:rFonts w:hint="eastAsia" w:ascii="宋体" w:hAnsi="宋体" w:eastAsia="宋体" w:cs="宋体"/>
          <w:b/>
          <w:bCs/>
          <w:sz w:val="24"/>
          <w:szCs w:val="24"/>
          <w:lang w:eastAsia="zh-CN"/>
        </w:rPr>
      </w:pPr>
    </w:p>
    <w:p w14:paraId="56B5A115">
      <w:pPr>
        <w:pStyle w:val="37"/>
        <w:numPr>
          <w:ilvl w:val="0"/>
          <w:numId w:val="0"/>
        </w:numPr>
        <w:spacing w:line="360" w:lineRule="auto"/>
        <w:rPr>
          <w:rFonts w:hint="eastAsia" w:ascii="宋体" w:hAnsi="宋体" w:eastAsia="宋体" w:cs="宋体"/>
          <w:b/>
          <w:bCs/>
          <w:sz w:val="24"/>
          <w:szCs w:val="24"/>
          <w:lang w:eastAsia="zh-CN"/>
        </w:rPr>
      </w:pPr>
    </w:p>
    <w:p w14:paraId="5A1FE2F3">
      <w:pPr>
        <w:pStyle w:val="37"/>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）技术要求</w:t>
      </w:r>
    </w:p>
    <w:p w14:paraId="61028C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颜色为橙红色；带挂钩；进风口直径400mm；出风口直径200mm；长度1000mm；布袋有3条反光条，布料为牛津布，能够防水防污；布料不易褪色，经久耐用。</w:t>
      </w:r>
    </w:p>
    <w:p w14:paraId="41C99BF3">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五</w:t>
      </w:r>
      <w:r>
        <w:rPr>
          <w:rFonts w:hint="eastAsia" w:ascii="宋体" w:hAnsi="宋体" w:eastAsia="宋体" w:cs="宋体"/>
          <w:b/>
          <w:sz w:val="24"/>
          <w:szCs w:val="24"/>
        </w:rPr>
        <w:t>、</w:t>
      </w:r>
      <w:r>
        <w:rPr>
          <w:rFonts w:hint="eastAsia" w:ascii="宋体" w:hAnsi="宋体" w:eastAsia="宋体" w:cs="宋体"/>
          <w:b/>
          <w:sz w:val="24"/>
          <w:szCs w:val="24"/>
          <w:lang w:eastAsia="zh-CN"/>
        </w:rPr>
        <w:t>送样要求</w:t>
      </w:r>
    </w:p>
    <w:tbl>
      <w:tblPr>
        <w:tblStyle w:val="24"/>
        <w:tblW w:w="6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866"/>
        <w:gridCol w:w="3175"/>
      </w:tblGrid>
      <w:tr w14:paraId="46766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DBC388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866" w:type="dxa"/>
            <w:noWrap w:val="0"/>
            <w:vAlign w:val="center"/>
          </w:tcPr>
          <w:p w14:paraId="523B1FC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3175" w:type="dxa"/>
            <w:noWrap w:val="0"/>
            <w:vAlign w:val="center"/>
          </w:tcPr>
          <w:p w14:paraId="08003D0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报价要求</w:t>
            </w:r>
          </w:p>
        </w:tc>
      </w:tr>
      <w:tr w14:paraId="2AD3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top"/>
          </w:tcPr>
          <w:p w14:paraId="0AB2FA0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6" w:type="dxa"/>
            <w:noWrap w:val="0"/>
            <w:vAlign w:val="top"/>
          </w:tcPr>
          <w:p w14:paraId="73DCE16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风向杆</w:t>
            </w:r>
          </w:p>
        </w:tc>
        <w:tc>
          <w:tcPr>
            <w:tcW w:w="3175" w:type="dxa"/>
            <w:noWrap w:val="0"/>
            <w:vAlign w:val="top"/>
          </w:tcPr>
          <w:p w14:paraId="3A4133F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需出样图确认</w:t>
            </w:r>
          </w:p>
        </w:tc>
      </w:tr>
      <w:tr w14:paraId="2FC9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top"/>
          </w:tcPr>
          <w:p w14:paraId="09BB80B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2866" w:type="dxa"/>
            <w:noWrap w:val="0"/>
            <w:vAlign w:val="top"/>
          </w:tcPr>
          <w:p w14:paraId="5A48417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风向袋</w:t>
            </w:r>
          </w:p>
        </w:tc>
        <w:tc>
          <w:tcPr>
            <w:tcW w:w="3175" w:type="dxa"/>
            <w:noWrap w:val="0"/>
            <w:vAlign w:val="top"/>
          </w:tcPr>
          <w:p w14:paraId="042D49B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需送样确认合格后方可报价</w:t>
            </w:r>
          </w:p>
        </w:tc>
      </w:tr>
      <w:tr w14:paraId="6D18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top"/>
          </w:tcPr>
          <w:p w14:paraId="60D55F2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6" w:type="dxa"/>
            <w:noWrap w:val="0"/>
            <w:vAlign w:val="top"/>
          </w:tcPr>
          <w:p w14:paraId="29922DF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风向袋（带挂钩）</w:t>
            </w:r>
          </w:p>
        </w:tc>
        <w:tc>
          <w:tcPr>
            <w:tcW w:w="3175" w:type="dxa"/>
            <w:noWrap w:val="0"/>
            <w:vAlign w:val="top"/>
          </w:tcPr>
          <w:p w14:paraId="0A9BA59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需送样确认合格后方可报价</w:t>
            </w:r>
          </w:p>
        </w:tc>
      </w:tr>
    </w:tbl>
    <w:p w14:paraId="10268281">
      <w:pPr>
        <w:pStyle w:val="39"/>
        <w:spacing w:beforeLines="0" w:afterLines="0"/>
        <w:ind w:firstLine="0" w:firstLineChars="0"/>
        <w:rPr>
          <w:rFonts w:ascii="Times New Roman"/>
          <w:bCs w:val="0"/>
          <w:sz w:val="24"/>
          <w:szCs w:val="24"/>
          <w:lang w:eastAsia="zh-CN"/>
        </w:rPr>
      </w:pPr>
    </w:p>
    <w:sectPr>
      <w:headerReference r:id="rId5" w:type="default"/>
      <w:pgSz w:w="11910" w:h="16840"/>
      <w:pgMar w:top="1280" w:right="770" w:bottom="740" w:left="146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4897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93DB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293DB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ADE1">
    <w:pPr>
      <w:pStyle w:val="9"/>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E9F74">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7E9F74">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14:paraId="7270E340">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14:paraId="7270E340">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E0F9">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0BF6B"/>
    <w:multiLevelType w:val="singleLevel"/>
    <w:tmpl w:val="B330BF6B"/>
    <w:lvl w:ilvl="0" w:tentative="0">
      <w:start w:val="2024"/>
      <w:numFmt w:val="decimal"/>
      <w:suff w:val="space"/>
      <w:lvlText w:val="%1."/>
      <w:lvlJc w:val="left"/>
    </w:lvl>
  </w:abstractNum>
  <w:abstractNum w:abstractNumId="1">
    <w:nsid w:val="F871BB2B"/>
    <w:multiLevelType w:val="singleLevel"/>
    <w:tmpl w:val="F871BB2B"/>
    <w:lvl w:ilvl="0" w:tentative="0">
      <w:start w:val="2"/>
      <w:numFmt w:val="decimal"/>
      <w:suff w:val="nothing"/>
      <w:lvlText w:val="（%1）"/>
      <w:lvlJc w:val="left"/>
    </w:lvl>
  </w:abstractNum>
  <w:abstractNum w:abstractNumId="2">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12D41F4"/>
    <w:rsid w:val="029D7B85"/>
    <w:rsid w:val="0367315B"/>
    <w:rsid w:val="03863E76"/>
    <w:rsid w:val="056972C3"/>
    <w:rsid w:val="061139E5"/>
    <w:rsid w:val="06F50B00"/>
    <w:rsid w:val="076E1278"/>
    <w:rsid w:val="08CE47CD"/>
    <w:rsid w:val="08D1141D"/>
    <w:rsid w:val="0AD1137F"/>
    <w:rsid w:val="0B296DE2"/>
    <w:rsid w:val="0CEC2637"/>
    <w:rsid w:val="0D704EEE"/>
    <w:rsid w:val="0EEC5213"/>
    <w:rsid w:val="0FBB2AA9"/>
    <w:rsid w:val="10294AA3"/>
    <w:rsid w:val="10E40CA0"/>
    <w:rsid w:val="11A728EF"/>
    <w:rsid w:val="12AE4BCD"/>
    <w:rsid w:val="136130D9"/>
    <w:rsid w:val="13C160F3"/>
    <w:rsid w:val="15342061"/>
    <w:rsid w:val="1571589E"/>
    <w:rsid w:val="164500FE"/>
    <w:rsid w:val="1736707A"/>
    <w:rsid w:val="18D85DB9"/>
    <w:rsid w:val="18DD4F7E"/>
    <w:rsid w:val="195B58A2"/>
    <w:rsid w:val="1BA85F41"/>
    <w:rsid w:val="1BBB7A1C"/>
    <w:rsid w:val="1BD626C2"/>
    <w:rsid w:val="1D5C1EEB"/>
    <w:rsid w:val="1E085A14"/>
    <w:rsid w:val="1E6B768F"/>
    <w:rsid w:val="1EB71B1C"/>
    <w:rsid w:val="1EE21CAD"/>
    <w:rsid w:val="1FA4685B"/>
    <w:rsid w:val="1FF43DDB"/>
    <w:rsid w:val="20E43EB1"/>
    <w:rsid w:val="21933AA2"/>
    <w:rsid w:val="22AA7317"/>
    <w:rsid w:val="25B378AE"/>
    <w:rsid w:val="25BF356F"/>
    <w:rsid w:val="25DB0C2D"/>
    <w:rsid w:val="269469E7"/>
    <w:rsid w:val="29FC3B14"/>
    <w:rsid w:val="2B11792E"/>
    <w:rsid w:val="2CA57894"/>
    <w:rsid w:val="2F5842F5"/>
    <w:rsid w:val="306C6CAE"/>
    <w:rsid w:val="31C54755"/>
    <w:rsid w:val="3216608C"/>
    <w:rsid w:val="34CE14C6"/>
    <w:rsid w:val="34D84CEC"/>
    <w:rsid w:val="36F83867"/>
    <w:rsid w:val="37AF5AB7"/>
    <w:rsid w:val="38862A8D"/>
    <w:rsid w:val="3B1C3371"/>
    <w:rsid w:val="3B9226EA"/>
    <w:rsid w:val="3CC23198"/>
    <w:rsid w:val="3D350415"/>
    <w:rsid w:val="3DDF4815"/>
    <w:rsid w:val="3E267EE1"/>
    <w:rsid w:val="3FE669E5"/>
    <w:rsid w:val="401874FC"/>
    <w:rsid w:val="45E318B1"/>
    <w:rsid w:val="46146261"/>
    <w:rsid w:val="481114D8"/>
    <w:rsid w:val="49A31EDC"/>
    <w:rsid w:val="4C3D698C"/>
    <w:rsid w:val="4EF44FD3"/>
    <w:rsid w:val="500F48EF"/>
    <w:rsid w:val="50F63E28"/>
    <w:rsid w:val="52105747"/>
    <w:rsid w:val="5221007F"/>
    <w:rsid w:val="52926B5A"/>
    <w:rsid w:val="545C5E51"/>
    <w:rsid w:val="5486175B"/>
    <w:rsid w:val="57667D24"/>
    <w:rsid w:val="57CE5BC3"/>
    <w:rsid w:val="57EC47C2"/>
    <w:rsid w:val="58F36D41"/>
    <w:rsid w:val="59F5351B"/>
    <w:rsid w:val="5A7E4D4D"/>
    <w:rsid w:val="5AAD4756"/>
    <w:rsid w:val="5AE1516A"/>
    <w:rsid w:val="5B6A3A79"/>
    <w:rsid w:val="5C1A5F7B"/>
    <w:rsid w:val="5C8277EA"/>
    <w:rsid w:val="5E88034A"/>
    <w:rsid w:val="5F80189A"/>
    <w:rsid w:val="60544ACC"/>
    <w:rsid w:val="627C4924"/>
    <w:rsid w:val="62911DF7"/>
    <w:rsid w:val="63737671"/>
    <w:rsid w:val="645771F8"/>
    <w:rsid w:val="680B7EFF"/>
    <w:rsid w:val="68B757AA"/>
    <w:rsid w:val="6925554D"/>
    <w:rsid w:val="69953F6F"/>
    <w:rsid w:val="6A54112D"/>
    <w:rsid w:val="6AA035AE"/>
    <w:rsid w:val="6D670C8B"/>
    <w:rsid w:val="6E0F2E14"/>
    <w:rsid w:val="6E1A1323"/>
    <w:rsid w:val="6F1E141D"/>
    <w:rsid w:val="6F5354F8"/>
    <w:rsid w:val="739A7787"/>
    <w:rsid w:val="739B4E51"/>
    <w:rsid w:val="740A2BDE"/>
    <w:rsid w:val="751839E0"/>
    <w:rsid w:val="76274F93"/>
    <w:rsid w:val="771E0858"/>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99"/>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8"/>
    <w:qFormat/>
    <w:uiPriority w:val="1"/>
    <w:rPr>
      <w:sz w:val="24"/>
      <w:szCs w:val="24"/>
    </w:rPr>
  </w:style>
  <w:style w:type="paragraph" w:styleId="10">
    <w:name w:val="Body Text Indent"/>
    <w:basedOn w:val="1"/>
    <w:link w:val="62"/>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4"/>
    <w:qFormat/>
    <w:uiPriority w:val="99"/>
    <w:rPr>
      <w:rFonts w:hAnsi="Courier New" w:cs="Courier New"/>
      <w:szCs w:val="21"/>
    </w:rPr>
  </w:style>
  <w:style w:type="paragraph" w:styleId="13">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3"/>
    <w:qFormat/>
    <w:uiPriority w:val="0"/>
    <w:pPr>
      <w:spacing w:after="120" w:line="480" w:lineRule="auto"/>
      <w:ind w:left="420" w:leftChars="200"/>
    </w:pPr>
  </w:style>
  <w:style w:type="paragraph" w:styleId="15">
    <w:name w:val="Balloon Text"/>
    <w:basedOn w:val="1"/>
    <w:link w:val="44"/>
    <w:qFormat/>
    <w:uiPriority w:val="99"/>
    <w:rPr>
      <w:sz w:val="18"/>
      <w:szCs w:val="18"/>
    </w:rPr>
  </w:style>
  <w:style w:type="paragraph" w:styleId="16">
    <w:name w:val="footer"/>
    <w:basedOn w:val="1"/>
    <w:link w:val="45"/>
    <w:qFormat/>
    <w:uiPriority w:val="99"/>
    <w:pPr>
      <w:tabs>
        <w:tab w:val="center" w:pos="4153"/>
        <w:tab w:val="right" w:pos="8306"/>
      </w:tabs>
      <w:snapToGrid w:val="0"/>
    </w:pPr>
    <w:rPr>
      <w:sz w:val="18"/>
      <w:szCs w:val="18"/>
    </w:rPr>
  </w:style>
  <w:style w:type="paragraph" w:styleId="17">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2"/>
    <w:qFormat/>
    <w:uiPriority w:val="0"/>
    <w:pPr>
      <w:spacing w:after="120" w:line="480" w:lineRule="auto"/>
    </w:pPr>
  </w:style>
  <w:style w:type="paragraph" w:styleId="22">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Emphasis"/>
    <w:basedOn w:val="25"/>
    <w:qFormat/>
    <w:uiPriority w:val="20"/>
    <w:rPr>
      <w:i/>
      <w:iCs/>
    </w:rPr>
  </w:style>
  <w:style w:type="character" w:styleId="30">
    <w:name w:val="HTML Definition"/>
    <w:basedOn w:val="25"/>
    <w:qFormat/>
    <w:uiPriority w:val="0"/>
  </w:style>
  <w:style w:type="character" w:styleId="31">
    <w:name w:val="HTML Variable"/>
    <w:basedOn w:val="25"/>
    <w:qFormat/>
    <w:uiPriority w:val="0"/>
  </w:style>
  <w:style w:type="character" w:styleId="32">
    <w:name w:val="Hyperlink"/>
    <w:basedOn w:val="25"/>
    <w:qFormat/>
    <w:uiPriority w:val="99"/>
    <w:rPr>
      <w:color w:val="0000FF"/>
      <w:u w:val="single"/>
    </w:rPr>
  </w:style>
  <w:style w:type="character" w:styleId="33">
    <w:name w:val="HTML Code"/>
    <w:basedOn w:val="25"/>
    <w:qFormat/>
    <w:uiPriority w:val="0"/>
    <w:rPr>
      <w:rFonts w:ascii="Courier New" w:hAnsi="Courier New"/>
      <w:sz w:val="20"/>
    </w:rPr>
  </w:style>
  <w:style w:type="character" w:styleId="34">
    <w:name w:val="HTML Cite"/>
    <w:basedOn w:val="25"/>
    <w:qFormat/>
    <w:uiPriority w:val="0"/>
  </w:style>
  <w:style w:type="paragraph" w:customStyle="1" w:styleId="35">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6">
    <w:name w:val="Table Normal"/>
    <w:unhideWhenUsed/>
    <w:qFormat/>
    <w:uiPriority w:val="2"/>
    <w:tblPr>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5"/>
    <w:link w:val="13"/>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5"/>
    <w:qFormat/>
    <w:uiPriority w:val="0"/>
    <w:rPr>
      <w:color w:val="0000FF"/>
      <w:sz w:val="18"/>
      <w:szCs w:val="18"/>
      <w:u w:val="none"/>
      <w:bdr w:val="single" w:color="DCDCDC" w:sz="8" w:space="0"/>
      <w:shd w:val="clear" w:color="auto" w:fill="FFFFFF"/>
    </w:rPr>
  </w:style>
  <w:style w:type="character" w:customStyle="1" w:styleId="44">
    <w:name w:val="批注框文本 Char"/>
    <w:basedOn w:val="25"/>
    <w:link w:val="15"/>
    <w:qFormat/>
    <w:uiPriority w:val="99"/>
    <w:rPr>
      <w:rFonts w:ascii="宋体" w:hAnsi="宋体" w:cs="宋体"/>
      <w:sz w:val="18"/>
      <w:szCs w:val="18"/>
      <w:lang w:eastAsia="en-US"/>
    </w:rPr>
  </w:style>
  <w:style w:type="character" w:customStyle="1" w:styleId="45">
    <w:name w:val="页脚 Char"/>
    <w:basedOn w:val="25"/>
    <w:link w:val="16"/>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5"/>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5"/>
    <w:link w:val="4"/>
    <w:qFormat/>
    <w:uiPriority w:val="0"/>
    <w:rPr>
      <w:rFonts w:ascii="宋体" w:hAnsi="宋体" w:cs="宋体"/>
      <w:b/>
      <w:bCs/>
      <w:sz w:val="32"/>
      <w:szCs w:val="32"/>
      <w:lang w:eastAsia="en-US"/>
    </w:rPr>
  </w:style>
  <w:style w:type="character" w:customStyle="1" w:styleId="50">
    <w:name w:val="批注文字 Char"/>
    <w:basedOn w:val="25"/>
    <w:link w:val="8"/>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5"/>
    <w:link w:val="21"/>
    <w:qFormat/>
    <w:uiPriority w:val="0"/>
    <w:rPr>
      <w:rFonts w:ascii="宋体" w:hAnsi="宋体" w:cs="宋体"/>
      <w:sz w:val="22"/>
      <w:szCs w:val="22"/>
      <w:lang w:eastAsia="en-US"/>
    </w:rPr>
  </w:style>
  <w:style w:type="character" w:customStyle="1" w:styleId="53">
    <w:name w:val="正文文本缩进 2 Char"/>
    <w:basedOn w:val="25"/>
    <w:link w:val="14"/>
    <w:qFormat/>
    <w:uiPriority w:val="0"/>
    <w:rPr>
      <w:rFonts w:ascii="宋体" w:hAnsi="宋体" w:cs="宋体"/>
      <w:sz w:val="22"/>
      <w:szCs w:val="22"/>
      <w:lang w:eastAsia="en-US"/>
    </w:rPr>
  </w:style>
  <w:style w:type="character" w:customStyle="1" w:styleId="54">
    <w:name w:val="纯文本 Char1"/>
    <w:basedOn w:val="25"/>
    <w:link w:val="12"/>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5"/>
    <w:link w:val="3"/>
    <w:qFormat/>
    <w:uiPriority w:val="0"/>
    <w:rPr>
      <w:rFonts w:ascii="宋体" w:hAnsi="宋体" w:cs="宋体"/>
      <w:b/>
      <w:bCs/>
      <w:sz w:val="24"/>
      <w:szCs w:val="24"/>
      <w:lang w:eastAsia="en-US"/>
    </w:rPr>
  </w:style>
  <w:style w:type="character" w:customStyle="1" w:styleId="57">
    <w:name w:val="正文缩进 Char"/>
    <w:link w:val="6"/>
    <w:qFormat/>
    <w:uiPriority w:val="0"/>
    <w:rPr>
      <w:sz w:val="24"/>
    </w:rPr>
  </w:style>
  <w:style w:type="character" w:customStyle="1" w:styleId="58">
    <w:name w:val="正文文本 Char"/>
    <w:basedOn w:val="25"/>
    <w:link w:val="9"/>
    <w:qFormat/>
    <w:uiPriority w:val="0"/>
    <w:rPr>
      <w:rFonts w:ascii="宋体" w:hAnsi="宋体" w:cs="宋体"/>
      <w:sz w:val="24"/>
      <w:szCs w:val="24"/>
      <w:lang w:eastAsia="en-US"/>
    </w:rPr>
  </w:style>
  <w:style w:type="character" w:customStyle="1" w:styleId="59">
    <w:name w:val="普通文字 Char2"/>
    <w:basedOn w:val="25"/>
    <w:qFormat/>
    <w:uiPriority w:val="0"/>
    <w:rPr>
      <w:rFonts w:ascii="宋体" w:hAnsi="Courier New" w:cs="Courier New"/>
      <w:sz w:val="22"/>
      <w:szCs w:val="21"/>
      <w:lang w:eastAsia="en-US"/>
    </w:rPr>
  </w:style>
  <w:style w:type="character" w:customStyle="1" w:styleId="60">
    <w:name w:val="标题 1 Char"/>
    <w:link w:val="2"/>
    <w:qFormat/>
    <w:uiPriority w:val="99"/>
    <w:rPr>
      <w:rFonts w:ascii="宋体" w:hAnsi="宋体" w:cs="宋体"/>
      <w:b/>
      <w:bCs/>
      <w:sz w:val="28"/>
      <w:szCs w:val="28"/>
      <w:lang w:eastAsia="en-US"/>
    </w:rPr>
  </w:style>
  <w:style w:type="character" w:customStyle="1" w:styleId="61">
    <w:name w:val="正文1 Char"/>
    <w:basedOn w:val="25"/>
    <w:link w:val="35"/>
    <w:qFormat/>
    <w:locked/>
    <w:uiPriority w:val="0"/>
    <w:rPr>
      <w:rFonts w:ascii="宋体" w:hAnsi="Calibri"/>
      <w:sz w:val="34"/>
      <w:szCs w:val="22"/>
    </w:rPr>
  </w:style>
  <w:style w:type="character" w:customStyle="1" w:styleId="62">
    <w:name w:val="正文文本缩进 Char"/>
    <w:basedOn w:val="25"/>
    <w:link w:val="10"/>
    <w:qFormat/>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5"/>
    <w:link w:val="5"/>
    <w:qFormat/>
    <w:uiPriority w:val="99"/>
    <w:rPr>
      <w:rFonts w:ascii="Arial" w:hAnsi="Arial" w:eastAsia="黑体"/>
      <w:b/>
      <w:bCs/>
      <w:kern w:val="2"/>
      <w:sz w:val="28"/>
      <w:szCs w:val="28"/>
    </w:rPr>
  </w:style>
  <w:style w:type="character" w:customStyle="1" w:styleId="65">
    <w:name w:val="文档结构图 Char"/>
    <w:basedOn w:val="25"/>
    <w:link w:val="7"/>
    <w:qFormat/>
    <w:uiPriority w:val="99"/>
    <w:rPr>
      <w:rFonts w:ascii="宋体"/>
      <w:kern w:val="2"/>
      <w:sz w:val="18"/>
      <w:szCs w:val="18"/>
    </w:rPr>
  </w:style>
  <w:style w:type="character" w:customStyle="1" w:styleId="66">
    <w:name w:val="副标题 Char"/>
    <w:basedOn w:val="25"/>
    <w:link w:val="19"/>
    <w:qFormat/>
    <w:uiPriority w:val="99"/>
    <w:rPr>
      <w:rFonts w:ascii="Cambria" w:hAnsi="Cambria"/>
      <w:b/>
      <w:bCs/>
      <w:kern w:val="28"/>
      <w:sz w:val="32"/>
      <w:szCs w:val="32"/>
    </w:rPr>
  </w:style>
  <w:style w:type="character" w:customStyle="1" w:styleId="67">
    <w:name w:val="标题 Char"/>
    <w:basedOn w:val="25"/>
    <w:link w:val="22"/>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5"/>
    <w:link w:val="17"/>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choosename"/>
    <w:basedOn w:val="25"/>
    <w:qFormat/>
    <w:uiPriority w:val="0"/>
  </w:style>
  <w:style w:type="character" w:customStyle="1" w:styleId="77">
    <w:name w:val="edit_class"/>
    <w:basedOn w:val="25"/>
    <w:qFormat/>
    <w:uiPriority w:val="0"/>
  </w:style>
  <w:style w:type="character" w:customStyle="1" w:styleId="78">
    <w:name w:val="hover4"/>
    <w:basedOn w:val="25"/>
    <w:qFormat/>
    <w:uiPriority w:val="0"/>
    <w:rPr>
      <w:color w:val="FFFFFF"/>
    </w:rPr>
  </w:style>
  <w:style w:type="character" w:customStyle="1" w:styleId="79">
    <w:name w:val="active"/>
    <w:basedOn w:val="25"/>
    <w:qFormat/>
    <w:uiPriority w:val="0"/>
    <w:rPr>
      <w:shd w:val="clear" w:fill="EC3535"/>
    </w:rPr>
  </w:style>
  <w:style w:type="character" w:customStyle="1" w:styleId="80">
    <w:name w:val="xdrichtextbox4"/>
    <w:basedOn w:val="25"/>
    <w:qFormat/>
    <w:uiPriority w:val="0"/>
  </w:style>
  <w:style w:type="character" w:customStyle="1" w:styleId="81">
    <w:name w:val="design_class"/>
    <w:basedOn w:val="25"/>
    <w:qFormat/>
    <w:uiPriority w:val="0"/>
  </w:style>
  <w:style w:type="character" w:customStyle="1" w:styleId="82">
    <w:name w:val="biggerthanmax"/>
    <w:basedOn w:val="25"/>
    <w:qFormat/>
    <w:uiPriority w:val="0"/>
    <w:rPr>
      <w:shd w:val="clear" w:fill="FFFF00"/>
    </w:rPr>
  </w:style>
  <w:style w:type="character" w:customStyle="1" w:styleId="83">
    <w:name w:val="w32"/>
    <w:basedOn w:val="25"/>
    <w:qFormat/>
    <w:uiPriority w:val="0"/>
  </w:style>
  <w:style w:type="character" w:customStyle="1" w:styleId="84">
    <w:name w:val="cdropleft"/>
    <w:basedOn w:val="25"/>
    <w:qFormat/>
    <w:uiPriority w:val="0"/>
  </w:style>
  <w:style w:type="character" w:customStyle="1" w:styleId="85">
    <w:name w:val="button"/>
    <w:basedOn w:val="25"/>
    <w:qFormat/>
    <w:uiPriority w:val="0"/>
  </w:style>
  <w:style w:type="character" w:customStyle="1" w:styleId="86">
    <w:name w:val="first-child"/>
    <w:basedOn w:val="25"/>
    <w:qFormat/>
    <w:uiPriority w:val="0"/>
  </w:style>
  <w:style w:type="character" w:customStyle="1" w:styleId="87">
    <w:name w:val="cdropright"/>
    <w:basedOn w:val="25"/>
    <w:qFormat/>
    <w:uiPriority w:val="0"/>
  </w:style>
  <w:style w:type="character" w:customStyle="1" w:styleId="88">
    <w:name w:val="drapbtn"/>
    <w:basedOn w:val="25"/>
    <w:qFormat/>
    <w:uiPriority w:val="0"/>
  </w:style>
  <w:style w:type="character" w:customStyle="1" w:styleId="89">
    <w:name w:val="active5"/>
    <w:basedOn w:val="25"/>
    <w:qFormat/>
    <w:uiPriority w:val="0"/>
    <w:rPr>
      <w:color w:val="00FF00"/>
      <w:shd w:val="clear" w:fill="111111"/>
    </w:rPr>
  </w:style>
  <w:style w:type="character" w:customStyle="1" w:styleId="90">
    <w:name w:val="active6"/>
    <w:basedOn w:val="25"/>
    <w:qFormat/>
    <w:uiPriority w:val="0"/>
    <w:rPr>
      <w:shd w:val="clear" w:fill="EC3535"/>
    </w:rPr>
  </w:style>
  <w:style w:type="character" w:customStyle="1" w:styleId="91">
    <w:name w:val="hilite6"/>
    <w:basedOn w:val="25"/>
    <w:qFormat/>
    <w:uiPriority w:val="0"/>
    <w:rPr>
      <w:color w:val="FFFFFF"/>
      <w:shd w:val="clear" w:fill="666666"/>
    </w:rPr>
  </w:style>
  <w:style w:type="character" w:customStyle="1" w:styleId="92">
    <w:name w:val="layui-layer-tabnow"/>
    <w:basedOn w:val="25"/>
    <w:qFormat/>
    <w:uiPriority w:val="0"/>
    <w:rPr>
      <w:bdr w:val="single" w:color="CCCCCC" w:sz="6" w:space="0"/>
      <w:shd w:val="clear" w:fill="FFFFFF"/>
    </w:rPr>
  </w:style>
  <w:style w:type="character" w:customStyle="1" w:styleId="93">
    <w:name w:val="hover11"/>
    <w:basedOn w:val="25"/>
    <w:qFormat/>
    <w:uiPriority w:val="0"/>
    <w:rPr>
      <w:color w:val="FFFFFF"/>
    </w:rPr>
  </w:style>
  <w:style w:type="character" w:customStyle="1" w:styleId="94">
    <w:name w:val="associateddata"/>
    <w:basedOn w:val="25"/>
    <w:qFormat/>
    <w:uiPriority w:val="0"/>
    <w:rPr>
      <w:shd w:val="clear" w:fill="50A6F9"/>
    </w:rPr>
  </w:style>
  <w:style w:type="character" w:customStyle="1" w:styleId="95">
    <w:name w:val="icontext1"/>
    <w:basedOn w:val="25"/>
    <w:qFormat/>
    <w:uiPriority w:val="0"/>
  </w:style>
  <w:style w:type="character" w:customStyle="1" w:styleId="96">
    <w:name w:val="icontext11"/>
    <w:basedOn w:val="25"/>
    <w:qFormat/>
    <w:uiPriority w:val="0"/>
  </w:style>
  <w:style w:type="character" w:customStyle="1" w:styleId="97">
    <w:name w:val="after"/>
    <w:basedOn w:val="25"/>
    <w:qFormat/>
    <w:uiPriority w:val="0"/>
    <w:rPr>
      <w:sz w:val="0"/>
      <w:szCs w:val="0"/>
    </w:rPr>
  </w:style>
  <w:style w:type="character" w:customStyle="1" w:styleId="98">
    <w:name w:val="hover41"/>
    <w:basedOn w:val="25"/>
    <w:qFormat/>
    <w:uiPriority w:val="0"/>
    <w:rPr>
      <w:color w:val="FFFFFF"/>
    </w:rPr>
  </w:style>
  <w:style w:type="character" w:customStyle="1" w:styleId="99">
    <w:name w:val="icontext3"/>
    <w:basedOn w:val="25"/>
    <w:qFormat/>
    <w:uiPriority w:val="0"/>
  </w:style>
  <w:style w:type="character" w:customStyle="1" w:styleId="100">
    <w:name w:val="iconline2"/>
    <w:basedOn w:val="25"/>
    <w:qFormat/>
    <w:uiPriority w:val="0"/>
  </w:style>
  <w:style w:type="character" w:customStyle="1" w:styleId="101">
    <w:name w:val="iconline21"/>
    <w:basedOn w:val="25"/>
    <w:qFormat/>
    <w:uiPriority w:val="0"/>
  </w:style>
  <w:style w:type="character" w:customStyle="1" w:styleId="102">
    <w:name w:val="ico1654"/>
    <w:basedOn w:val="25"/>
    <w:qFormat/>
    <w:uiPriority w:val="0"/>
  </w:style>
  <w:style w:type="character" w:customStyle="1" w:styleId="103">
    <w:name w:val="ico1655"/>
    <w:basedOn w:val="25"/>
    <w:qFormat/>
    <w:uiPriority w:val="0"/>
  </w:style>
  <w:style w:type="character" w:customStyle="1" w:styleId="104">
    <w:name w:val="tmpztreemove_arrow"/>
    <w:basedOn w:val="25"/>
    <w:qFormat/>
    <w:uiPriority w:val="0"/>
  </w:style>
  <w:style w:type="character" w:customStyle="1" w:styleId="105">
    <w:name w:val="pagechatarealistclose_box"/>
    <w:basedOn w:val="25"/>
    <w:qFormat/>
    <w:uiPriority w:val="0"/>
  </w:style>
  <w:style w:type="character" w:customStyle="1" w:styleId="106">
    <w:name w:val="pagechatarealistclose_box1"/>
    <w:basedOn w:val="25"/>
    <w:qFormat/>
    <w:uiPriority w:val="0"/>
  </w:style>
  <w:style w:type="character" w:customStyle="1" w:styleId="107">
    <w:name w:val="cy"/>
    <w:basedOn w:val="25"/>
    <w:qFormat/>
    <w:uiPriority w:val="0"/>
  </w:style>
  <w:style w:type="character" w:customStyle="1" w:styleId="108">
    <w:name w:val="icontext2"/>
    <w:basedOn w:val="25"/>
    <w:qFormat/>
    <w:uiPriority w:val="0"/>
  </w:style>
  <w:style w:type="character" w:customStyle="1" w:styleId="109">
    <w:name w:val="active7"/>
    <w:basedOn w:val="25"/>
    <w:qFormat/>
    <w:uiPriority w:val="0"/>
    <w:rPr>
      <w:color w:val="00FF00"/>
      <w:shd w:val="clear" w:fill="111111"/>
    </w:rPr>
  </w:style>
  <w:style w:type="character" w:customStyle="1" w:styleId="110">
    <w:name w:val="active8"/>
    <w:basedOn w:val="25"/>
    <w:qFormat/>
    <w:uiPriority w:val="0"/>
    <w:rPr>
      <w:shd w:val="clear" w:fill="EC3535"/>
    </w:rPr>
  </w:style>
  <w:style w:type="character" w:customStyle="1" w:styleId="111">
    <w:name w:val="button4"/>
    <w:basedOn w:val="25"/>
    <w:qFormat/>
    <w:uiPriority w:val="0"/>
  </w:style>
  <w:style w:type="character" w:customStyle="1" w:styleId="112">
    <w:name w:val="hilite"/>
    <w:basedOn w:val="25"/>
    <w:qFormat/>
    <w:uiPriority w:val="0"/>
    <w:rPr>
      <w:color w:val="FFFFFF"/>
      <w:shd w:val="clear" w:fill="666666"/>
    </w:rPr>
  </w:style>
  <w:style w:type="character" w:customStyle="1" w:styleId="113">
    <w:name w:val="icontext12"/>
    <w:basedOn w:val="25"/>
    <w:qFormat/>
    <w:uiPriority w:val="0"/>
  </w:style>
  <w:style w:type="character" w:customStyle="1" w:styleId="114">
    <w:name w:val="hover40"/>
    <w:basedOn w:val="25"/>
    <w:qFormat/>
    <w:uiPriority w:val="0"/>
    <w:rPr>
      <w:color w:val="FFFFFF"/>
    </w:rPr>
  </w:style>
  <w:style w:type="character" w:customStyle="1" w:styleId="115">
    <w:name w:val="ico16"/>
    <w:basedOn w:val="25"/>
    <w:qFormat/>
    <w:uiPriority w:val="0"/>
  </w:style>
  <w:style w:type="character" w:customStyle="1" w:styleId="116">
    <w:name w:val="ico161"/>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13057</Words>
  <Characters>14111</Characters>
  <Lines>146</Lines>
  <Paragraphs>41</Paragraphs>
  <TotalTime>20</TotalTime>
  <ScaleCrop>false</ScaleCrop>
  <LinksUpToDate>false</LinksUpToDate>
  <CharactersWithSpaces>14907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GM9</cp:lastModifiedBy>
  <dcterms:modified xsi:type="dcterms:W3CDTF">2024-10-25T07:58:07Z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885705F1D81643348F1712CB9713C561</vt:lpwstr>
  </property>
</Properties>
</file>