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附件1</w:t>
      </w:r>
    </w:p>
    <w:p>
      <w:pPr>
        <w:autoSpaceDE w:val="0"/>
        <w:autoSpaceDN w:val="0"/>
        <w:adjustRightInd w:val="0"/>
        <w:spacing w:line="440" w:lineRule="exact"/>
        <w:jc w:val="center"/>
        <w:rPr>
          <w:rFonts w:ascii="宋体" w:hAnsi="宋体" w:cs="宋体"/>
          <w:b/>
          <w:color w:val="000000"/>
          <w:kern w:val="0"/>
          <w:sz w:val="32"/>
          <w:szCs w:val="32"/>
        </w:rPr>
      </w:pPr>
      <w:r>
        <w:rPr>
          <w:rFonts w:hint="eastAsia" w:ascii="宋体" w:hAnsi="宋体" w:cs="宋体"/>
          <w:b/>
          <w:color w:val="000000"/>
          <w:kern w:val="0"/>
          <w:sz w:val="32"/>
          <w:szCs w:val="32"/>
        </w:rPr>
        <w:t>福海创PTA厂区海水变电所</w:t>
      </w:r>
    </w:p>
    <w:p>
      <w:pPr>
        <w:autoSpaceDE w:val="0"/>
        <w:autoSpaceDN w:val="0"/>
        <w:adjustRightInd w:val="0"/>
        <w:spacing w:line="440" w:lineRule="exact"/>
        <w:jc w:val="center"/>
        <w:rPr>
          <w:rFonts w:ascii="宋体" w:hAnsi="宋体" w:cs="宋体"/>
          <w:b/>
          <w:color w:val="000000"/>
          <w:kern w:val="0"/>
          <w:sz w:val="32"/>
          <w:szCs w:val="32"/>
        </w:rPr>
      </w:pPr>
      <w:r>
        <w:rPr>
          <w:rFonts w:hint="eastAsia" w:ascii="宋体" w:hAnsi="宋体" w:cs="宋体"/>
          <w:b/>
          <w:color w:val="000000"/>
          <w:kern w:val="0"/>
          <w:sz w:val="32"/>
          <w:szCs w:val="32"/>
        </w:rPr>
        <w:t>35kV区域变6kV侧送电线路共箱母线技术改造</w:t>
      </w:r>
    </w:p>
    <w:p>
      <w:pPr>
        <w:autoSpaceDE w:val="0"/>
        <w:autoSpaceDN w:val="0"/>
        <w:adjustRightInd w:val="0"/>
        <w:spacing w:line="440" w:lineRule="exact"/>
        <w:jc w:val="center"/>
        <w:rPr>
          <w:rFonts w:ascii="宋体" w:hAnsi="宋体" w:cs="宋体"/>
          <w:b/>
          <w:color w:val="000000"/>
          <w:kern w:val="0"/>
          <w:sz w:val="32"/>
          <w:szCs w:val="32"/>
        </w:rPr>
      </w:pPr>
      <w:r>
        <w:rPr>
          <w:rFonts w:hint="eastAsia" w:ascii="宋体" w:hAnsi="宋体" w:cs="宋体"/>
          <w:b/>
          <w:color w:val="000000"/>
          <w:kern w:val="0"/>
          <w:sz w:val="32"/>
          <w:szCs w:val="32"/>
        </w:rPr>
        <w:t>发包说明</w:t>
      </w:r>
    </w:p>
    <w:p>
      <w:pPr>
        <w:numPr>
          <w:ilvl w:val="0"/>
          <w:numId w:val="2"/>
        </w:numPr>
        <w:autoSpaceDE w:val="0"/>
        <w:autoSpaceDN w:val="0"/>
        <w:adjustRightInd w:val="0"/>
        <w:spacing w:line="360" w:lineRule="auto"/>
        <w:ind w:left="567" w:hanging="567"/>
        <w:jc w:val="left"/>
        <w:rPr>
          <w:rFonts w:ascii="宋体" w:hAnsi="宋体" w:cs="宋体"/>
          <w:b/>
          <w:color w:val="000000"/>
          <w:kern w:val="0"/>
          <w:sz w:val="28"/>
          <w:szCs w:val="28"/>
        </w:rPr>
      </w:pPr>
      <w:r>
        <w:rPr>
          <w:rFonts w:hint="eastAsia" w:ascii="宋体" w:hAnsi="宋体" w:cs="宋体"/>
          <w:b/>
          <w:color w:val="000000"/>
          <w:kern w:val="0"/>
          <w:sz w:val="28"/>
          <w:szCs w:val="28"/>
        </w:rPr>
        <w:t>项目说明</w:t>
      </w:r>
    </w:p>
    <w:p>
      <w:pPr>
        <w:widowControl/>
        <w:spacing w:line="360" w:lineRule="auto"/>
        <w:ind w:firstLine="540" w:firstLineChars="225"/>
        <w:jc w:val="left"/>
        <w:rPr>
          <w:rFonts w:ascii="宋体" w:hAnsi="宋体" w:cs="宋体"/>
          <w:sz w:val="24"/>
        </w:rPr>
      </w:pPr>
      <w:r>
        <w:rPr>
          <w:rFonts w:hint="eastAsia" w:ascii="宋体" w:hAnsi="宋体" w:cs="宋体"/>
          <w:sz w:val="24"/>
        </w:rPr>
        <w:t>PTA厂区</w:t>
      </w:r>
      <w:r>
        <w:rPr>
          <w:rFonts w:ascii="宋体" w:hAnsi="宋体" w:cs="宋体"/>
          <w:sz w:val="24"/>
        </w:rPr>
        <w:t>海水变电所35kV区域变6kV侧送电线路现有安装的共箱母线密封性能较差，外部潮湿空气极易进入箱内。受到潮气影响，箱内支撑绝缘子表面会吸潮或结露，导致绝缘子绝缘性能下降</w:t>
      </w:r>
      <w:r>
        <w:rPr>
          <w:rFonts w:hint="eastAsia" w:ascii="宋体" w:hAnsi="宋体" w:cs="宋体"/>
          <w:sz w:val="24"/>
        </w:rPr>
        <w:t>。为了</w:t>
      </w:r>
      <w:r>
        <w:rPr>
          <w:rFonts w:ascii="宋体" w:hAnsi="宋体" w:cs="宋体"/>
          <w:sz w:val="24"/>
        </w:rPr>
        <w:t>提高母线的绝缘性能，保证母线处于正常运行状态</w:t>
      </w:r>
      <w:r>
        <w:rPr>
          <w:rFonts w:hint="eastAsia" w:ascii="宋体" w:hAnsi="宋体" w:cs="宋体"/>
          <w:sz w:val="24"/>
        </w:rPr>
        <w:t>，拟</w:t>
      </w:r>
      <w:r>
        <w:rPr>
          <w:rFonts w:ascii="宋体" w:hAnsi="宋体" w:cs="宋体"/>
          <w:sz w:val="24"/>
        </w:rPr>
        <w:t>将海水变电所35kV区域变6kV侧送电线路共箱母线改造为铜管母线</w:t>
      </w:r>
      <w:r>
        <w:rPr>
          <w:rFonts w:hint="eastAsia" w:ascii="宋体" w:hAnsi="宋体" w:cs="宋体"/>
          <w:sz w:val="24"/>
        </w:rPr>
        <w:t>。</w:t>
      </w:r>
    </w:p>
    <w:p>
      <w:pPr>
        <w:widowControl/>
        <w:tabs>
          <w:tab w:val="left" w:pos="142"/>
        </w:tabs>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rPr>
        <w:t>二、项目内容</w:t>
      </w:r>
    </w:p>
    <w:p>
      <w:pPr>
        <w:widowControl/>
        <w:spacing w:line="360" w:lineRule="auto"/>
        <w:ind w:firstLine="566" w:firstLineChars="236"/>
        <w:jc w:val="left"/>
        <w:rPr>
          <w:rFonts w:ascii="宋体" w:hAnsi="宋体" w:cs="宋体"/>
          <w:sz w:val="24"/>
        </w:rPr>
      </w:pPr>
      <w:r>
        <w:rPr>
          <w:rFonts w:hint="eastAsia" w:ascii="宋体" w:hAnsi="宋体" w:cs="宋体"/>
          <w:sz w:val="24"/>
        </w:rPr>
        <w:t>1、原共箱母线参数</w:t>
      </w:r>
    </w:p>
    <w:tbl>
      <w:tblPr>
        <w:tblStyle w:val="11"/>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2160"/>
        <w:gridCol w:w="949"/>
        <w:gridCol w:w="992"/>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tcPr>
          <w:p>
            <w:pPr>
              <w:spacing w:line="360" w:lineRule="auto"/>
              <w:jc w:val="center"/>
              <w:rPr>
                <w:rFonts w:ascii="宋体" w:hAnsi="宋体" w:cs="宋体"/>
                <w:sz w:val="18"/>
                <w:szCs w:val="18"/>
              </w:rPr>
            </w:pPr>
            <w:r>
              <w:rPr>
                <w:rFonts w:hint="eastAsia" w:ascii="宋体" w:hAnsi="宋体" w:cs="宋体"/>
                <w:sz w:val="18"/>
                <w:szCs w:val="18"/>
              </w:rPr>
              <w:t>名称</w:t>
            </w:r>
          </w:p>
        </w:tc>
        <w:tc>
          <w:tcPr>
            <w:tcW w:w="2160" w:type="dxa"/>
          </w:tcPr>
          <w:p>
            <w:pPr>
              <w:spacing w:line="360" w:lineRule="auto"/>
              <w:jc w:val="center"/>
              <w:rPr>
                <w:rFonts w:ascii="宋体" w:hAnsi="宋体" w:cs="宋体"/>
                <w:sz w:val="18"/>
                <w:szCs w:val="18"/>
              </w:rPr>
            </w:pPr>
            <w:r>
              <w:rPr>
                <w:rFonts w:hint="eastAsia" w:ascii="宋体" w:hAnsi="宋体" w:cs="宋体"/>
                <w:sz w:val="18"/>
                <w:szCs w:val="18"/>
              </w:rPr>
              <w:t>型号</w:t>
            </w:r>
          </w:p>
        </w:tc>
        <w:tc>
          <w:tcPr>
            <w:tcW w:w="949" w:type="dxa"/>
          </w:tcPr>
          <w:p>
            <w:pPr>
              <w:spacing w:line="360" w:lineRule="auto"/>
              <w:jc w:val="center"/>
              <w:rPr>
                <w:rFonts w:ascii="宋体" w:hAnsi="宋体" w:cs="宋体"/>
                <w:sz w:val="18"/>
                <w:szCs w:val="18"/>
              </w:rPr>
            </w:pPr>
            <w:r>
              <w:rPr>
                <w:rFonts w:hint="eastAsia" w:ascii="宋体" w:hAnsi="宋体" w:cs="宋体"/>
                <w:sz w:val="18"/>
                <w:szCs w:val="18"/>
              </w:rPr>
              <w:t>标称电压</w:t>
            </w:r>
          </w:p>
        </w:tc>
        <w:tc>
          <w:tcPr>
            <w:tcW w:w="992" w:type="dxa"/>
          </w:tcPr>
          <w:p>
            <w:pPr>
              <w:spacing w:line="360" w:lineRule="auto"/>
              <w:rPr>
                <w:rFonts w:ascii="宋体" w:hAnsi="宋体" w:cs="宋体"/>
                <w:sz w:val="18"/>
                <w:szCs w:val="18"/>
              </w:rPr>
            </w:pPr>
            <w:r>
              <w:rPr>
                <w:rFonts w:hint="eastAsia" w:ascii="宋体" w:hAnsi="宋体" w:cs="宋体"/>
                <w:sz w:val="18"/>
                <w:szCs w:val="18"/>
              </w:rPr>
              <w:t>额定电流</w:t>
            </w:r>
          </w:p>
        </w:tc>
        <w:tc>
          <w:tcPr>
            <w:tcW w:w="2276" w:type="dxa"/>
          </w:tcPr>
          <w:p>
            <w:pPr>
              <w:spacing w:line="360" w:lineRule="auto"/>
              <w:jc w:val="center"/>
              <w:rPr>
                <w:rFonts w:ascii="宋体" w:hAnsi="宋体" w:cs="宋体"/>
                <w:sz w:val="18"/>
                <w:szCs w:val="18"/>
              </w:rPr>
            </w:pPr>
            <w:r>
              <w:rPr>
                <w:rFonts w:hint="eastAsia" w:ascii="宋体" w:hAnsi="宋体" w:cs="宋体"/>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778" w:type="dxa"/>
            <w:vAlign w:val="center"/>
          </w:tcPr>
          <w:p>
            <w:pPr>
              <w:jc w:val="center"/>
              <w:rPr>
                <w:rFonts w:ascii="宋体" w:hAnsi="宋体" w:cs="宋体"/>
                <w:sz w:val="24"/>
              </w:rPr>
            </w:pPr>
            <w:r>
              <w:rPr>
                <w:rFonts w:hint="eastAsia" w:ascii="宋体" w:hAnsi="宋体" w:cs="宋体"/>
                <w:sz w:val="24"/>
              </w:rPr>
              <w:t>35kV区域变6kV侧送电线路共箱母线</w:t>
            </w:r>
          </w:p>
        </w:tc>
        <w:tc>
          <w:tcPr>
            <w:tcW w:w="2160" w:type="dxa"/>
            <w:vAlign w:val="center"/>
          </w:tcPr>
          <w:p>
            <w:pPr>
              <w:spacing w:line="360" w:lineRule="auto"/>
              <w:jc w:val="center"/>
              <w:rPr>
                <w:rFonts w:ascii="宋体" w:hAnsi="宋体" w:cs="宋体"/>
                <w:sz w:val="24"/>
              </w:rPr>
            </w:pPr>
            <w:r>
              <w:rPr>
                <w:rFonts w:hint="eastAsia" w:ascii="宋体" w:hAnsi="宋体" w:cs="宋体"/>
                <w:sz w:val="24"/>
              </w:rPr>
              <w:t>6-FM-6kV/2500A</w:t>
            </w:r>
          </w:p>
        </w:tc>
        <w:tc>
          <w:tcPr>
            <w:tcW w:w="949" w:type="dxa"/>
            <w:vAlign w:val="center"/>
          </w:tcPr>
          <w:p>
            <w:pPr>
              <w:spacing w:line="360" w:lineRule="auto"/>
              <w:jc w:val="center"/>
              <w:rPr>
                <w:rFonts w:ascii="宋体" w:hAnsi="宋体" w:cs="宋体"/>
                <w:sz w:val="24"/>
              </w:rPr>
            </w:pPr>
            <w:r>
              <w:rPr>
                <w:rFonts w:hint="eastAsia" w:ascii="宋体" w:hAnsi="宋体" w:cs="宋体"/>
                <w:sz w:val="24"/>
              </w:rPr>
              <w:t>6kV</w:t>
            </w:r>
          </w:p>
        </w:tc>
        <w:tc>
          <w:tcPr>
            <w:tcW w:w="992" w:type="dxa"/>
            <w:vAlign w:val="center"/>
          </w:tcPr>
          <w:p>
            <w:pPr>
              <w:spacing w:line="360" w:lineRule="auto"/>
              <w:ind w:firstLine="120" w:firstLineChars="50"/>
              <w:rPr>
                <w:rFonts w:ascii="宋体" w:hAnsi="宋体" w:cs="宋体"/>
                <w:sz w:val="24"/>
              </w:rPr>
            </w:pPr>
            <w:r>
              <w:rPr>
                <w:rFonts w:hint="eastAsia" w:ascii="宋体" w:hAnsi="宋体" w:cs="宋体"/>
                <w:sz w:val="24"/>
              </w:rPr>
              <w:t>2500A</w:t>
            </w:r>
          </w:p>
        </w:tc>
        <w:tc>
          <w:tcPr>
            <w:tcW w:w="2276" w:type="dxa"/>
            <w:vAlign w:val="center"/>
          </w:tcPr>
          <w:p>
            <w:pPr>
              <w:ind w:left="120" w:hanging="120" w:hangingChars="50"/>
              <w:jc w:val="center"/>
              <w:rPr>
                <w:rFonts w:ascii="宋体" w:hAnsi="宋体" w:cs="宋体"/>
                <w:sz w:val="24"/>
              </w:rPr>
            </w:pPr>
            <w:r>
              <w:rPr>
                <w:rFonts w:hint="eastAsia" w:ascii="宋体" w:hAnsi="宋体" w:cs="宋体"/>
                <w:sz w:val="24"/>
              </w:rPr>
              <w:t>190米（为预估3相总长，以实测为准）</w:t>
            </w:r>
          </w:p>
        </w:tc>
      </w:tr>
    </w:tbl>
    <w:p>
      <w:pPr>
        <w:pStyle w:val="25"/>
        <w:widowControl/>
        <w:spacing w:line="360" w:lineRule="auto"/>
        <w:ind w:firstLine="0" w:firstLineChars="0"/>
        <w:jc w:val="left"/>
        <w:rPr>
          <w:rFonts w:ascii="宋体" w:hAnsi="宋体" w:cs="宋体"/>
          <w:sz w:val="24"/>
        </w:rPr>
      </w:pPr>
      <w:r>
        <w:rPr>
          <w:rFonts w:hint="eastAsia" w:ascii="宋体" w:hAnsi="宋体" w:cs="宋体"/>
          <w:sz w:val="24"/>
        </w:rPr>
        <w:t>说明：以上母线长度190米为三相预估长度，仅供报价参考，承包商所供母线以实际测量为准。</w:t>
      </w:r>
    </w:p>
    <w:p>
      <w:pPr>
        <w:pStyle w:val="25"/>
        <w:widowControl/>
        <w:numPr>
          <w:ilvl w:val="0"/>
          <w:numId w:val="3"/>
        </w:numPr>
        <w:spacing w:line="360" w:lineRule="auto"/>
        <w:ind w:firstLineChars="0"/>
        <w:jc w:val="left"/>
        <w:rPr>
          <w:rFonts w:ascii="宋体" w:hAnsi="宋体" w:cs="宋体"/>
          <w:sz w:val="24"/>
        </w:rPr>
      </w:pPr>
      <w:r>
        <w:rPr>
          <w:rFonts w:ascii="宋体" w:hAnsi="宋体" w:cs="宋体"/>
          <w:sz w:val="24"/>
        </w:rPr>
        <w:t>技术</w:t>
      </w:r>
      <w:r>
        <w:rPr>
          <w:rFonts w:hint="eastAsia" w:ascii="宋体" w:hAnsi="宋体" w:cs="宋体"/>
          <w:sz w:val="24"/>
        </w:rPr>
        <w:t>改造内容</w:t>
      </w:r>
    </w:p>
    <w:p>
      <w:pPr>
        <w:tabs>
          <w:tab w:val="left" w:pos="1134"/>
          <w:tab w:val="left" w:pos="1701"/>
        </w:tabs>
        <w:spacing w:line="360" w:lineRule="auto"/>
        <w:ind w:firstLine="424" w:firstLineChars="177"/>
        <w:rPr>
          <w:rFonts w:ascii="宋体" w:hAnsi="宋体" w:cs="宋体"/>
          <w:sz w:val="24"/>
        </w:rPr>
      </w:pPr>
      <w:r>
        <w:rPr>
          <w:rFonts w:hint="eastAsia" w:ascii="宋体" w:hAnsi="宋体" w:cs="宋体"/>
          <w:sz w:val="24"/>
        </w:rPr>
        <w:t xml:space="preserve">（1） </w:t>
      </w:r>
      <w:r>
        <w:rPr>
          <w:rFonts w:ascii="宋体" w:hAnsi="宋体" w:cs="宋体"/>
          <w:sz w:val="24"/>
        </w:rPr>
        <w:t>供货：</w:t>
      </w:r>
      <w:r>
        <w:rPr>
          <w:rFonts w:hint="eastAsia" w:ascii="宋体" w:hAnsi="宋体" w:cs="宋体"/>
          <w:sz w:val="24"/>
        </w:rPr>
        <w:t>承包商提供符合本项目要求的铜管母线及附属配件、安装材料。</w:t>
      </w:r>
    </w:p>
    <w:p>
      <w:pPr>
        <w:spacing w:line="360" w:lineRule="auto"/>
        <w:ind w:left="424" w:leftChars="202"/>
        <w:rPr>
          <w:rFonts w:ascii="宋体" w:hAnsi="宋体" w:cs="宋体"/>
          <w:sz w:val="24"/>
        </w:rPr>
      </w:pPr>
      <w:r>
        <w:rPr>
          <w:rFonts w:hint="eastAsia" w:ascii="宋体" w:hAnsi="宋体" w:cs="宋体"/>
          <w:sz w:val="24"/>
        </w:rPr>
        <w:t>（2）</w:t>
      </w:r>
      <w:r>
        <w:rPr>
          <w:rFonts w:ascii="宋体" w:hAnsi="宋体" w:cs="宋体"/>
          <w:sz w:val="24"/>
        </w:rPr>
        <w:t>安装</w:t>
      </w:r>
      <w:r>
        <w:rPr>
          <w:rFonts w:hint="eastAsia" w:ascii="宋体" w:hAnsi="宋体" w:cs="宋体"/>
          <w:sz w:val="24"/>
        </w:rPr>
        <w:t>：</w:t>
      </w:r>
      <w:r>
        <w:rPr>
          <w:rFonts w:ascii="宋体" w:hAnsi="宋体" w:cs="宋体"/>
          <w:sz w:val="24"/>
        </w:rPr>
        <w:t>拆除原有共箱母线</w:t>
      </w:r>
      <w:r>
        <w:rPr>
          <w:rFonts w:hint="eastAsia" w:ascii="宋体" w:hAnsi="宋体" w:cs="宋体"/>
          <w:sz w:val="24"/>
        </w:rPr>
        <w:t>,</w:t>
      </w:r>
      <w:r>
        <w:rPr>
          <w:rFonts w:ascii="宋体" w:hAnsi="宋体" w:cs="宋体"/>
          <w:sz w:val="24"/>
        </w:rPr>
        <w:t>安装</w:t>
      </w:r>
      <w:r>
        <w:rPr>
          <w:rFonts w:hint="eastAsia" w:ascii="宋体" w:hAnsi="宋体" w:cs="宋体"/>
          <w:sz w:val="24"/>
        </w:rPr>
        <w:t>所供的</w:t>
      </w:r>
      <w:r>
        <w:rPr>
          <w:rFonts w:ascii="宋体" w:hAnsi="宋体" w:cs="宋体"/>
          <w:sz w:val="24"/>
        </w:rPr>
        <w:t>铜管母线</w:t>
      </w:r>
      <w:r>
        <w:rPr>
          <w:rFonts w:hint="eastAsia" w:ascii="宋体" w:hAnsi="宋体" w:cs="宋体"/>
          <w:sz w:val="24"/>
        </w:rPr>
        <w:t>。</w:t>
      </w:r>
    </w:p>
    <w:p>
      <w:pPr>
        <w:spacing w:line="360" w:lineRule="auto"/>
        <w:ind w:firstLine="400" w:firstLineChars="167"/>
        <w:rPr>
          <w:rFonts w:ascii="宋体" w:hAnsi="宋体" w:cs="宋体"/>
          <w:sz w:val="24"/>
        </w:rPr>
      </w:pPr>
      <w:r>
        <w:rPr>
          <w:rFonts w:hint="eastAsia" w:ascii="宋体" w:hAnsi="宋体" w:cs="宋体"/>
          <w:sz w:val="24"/>
        </w:rPr>
        <w:t>（3）</w:t>
      </w:r>
      <w:r>
        <w:rPr>
          <w:rFonts w:ascii="宋体" w:hAnsi="宋体" w:cs="宋体"/>
          <w:sz w:val="24"/>
        </w:rPr>
        <w:t>试验：</w:t>
      </w:r>
      <w:r>
        <w:rPr>
          <w:rFonts w:hint="eastAsia" w:ascii="宋体" w:hAnsi="宋体" w:cs="宋体"/>
          <w:sz w:val="24"/>
        </w:rPr>
        <w:t>按最新颁布的国家及行业标准中有关试验项目的要求进行试验。</w:t>
      </w:r>
    </w:p>
    <w:p>
      <w:pPr>
        <w:tabs>
          <w:tab w:val="left" w:pos="851"/>
        </w:tabs>
        <w:spacing w:line="360" w:lineRule="auto"/>
        <w:ind w:left="568"/>
        <w:rPr>
          <w:rFonts w:ascii="宋体" w:hAnsi="宋体" w:cs="宋体"/>
          <w:sz w:val="24"/>
        </w:rPr>
      </w:pPr>
      <w:r>
        <w:rPr>
          <w:rFonts w:hint="eastAsia" w:ascii="宋体" w:hAnsi="宋体" w:cs="宋体"/>
          <w:sz w:val="24"/>
        </w:rPr>
        <w:t>3、铜管母线技术及性能要求：</w:t>
      </w:r>
    </w:p>
    <w:p>
      <w:pPr>
        <w:pStyle w:val="25"/>
        <w:tabs>
          <w:tab w:val="left" w:pos="568"/>
        </w:tabs>
        <w:snapToGrid w:val="0"/>
        <w:spacing w:line="360" w:lineRule="auto"/>
        <w:ind w:firstLine="424" w:firstLineChars="177"/>
        <w:rPr>
          <w:rFonts w:ascii="宋体" w:hAnsi="宋体" w:cs="宋体"/>
          <w:color w:val="FF0000"/>
          <w:sz w:val="24"/>
        </w:rPr>
      </w:pPr>
      <w:r>
        <w:rPr>
          <w:rFonts w:hint="eastAsia" w:ascii="宋体" w:hAnsi="宋体" w:cs="宋体"/>
          <w:sz w:val="24"/>
        </w:rPr>
        <w:t>（1）全绝缘复合绝缘母线：铜管材质选用T2Y紫铜</w:t>
      </w:r>
      <w:r>
        <w:rPr>
          <w:rFonts w:hint="eastAsia" w:ascii="宋体" w:hAnsi="宋体" w:cs="宋体"/>
          <w:color w:val="FF0000"/>
          <w:sz w:val="24"/>
        </w:rPr>
        <w:t>（</w:t>
      </w:r>
      <w:r>
        <w:rPr>
          <w:rFonts w:ascii="宋体" w:hAnsi="宋体" w:cs="宋体"/>
          <w:color w:val="000000" w:themeColor="text1"/>
          <w:sz w:val="24"/>
        </w:rPr>
        <w:t>铜含量纯度</w:t>
      </w:r>
      <w:r>
        <w:rPr>
          <w:rFonts w:hint="eastAsia" w:ascii="宋体" w:hAnsi="宋体" w:cs="宋体"/>
          <w:color w:val="000000" w:themeColor="text1"/>
          <w:sz w:val="24"/>
        </w:rPr>
        <w:t>≧</w:t>
      </w:r>
      <w:r>
        <w:rPr>
          <w:rFonts w:ascii="宋体" w:hAnsi="宋体" w:cs="宋体"/>
          <w:color w:val="000000" w:themeColor="text1"/>
          <w:sz w:val="24"/>
        </w:rPr>
        <w:t>99.9%</w:t>
      </w:r>
      <w:r>
        <w:rPr>
          <w:rFonts w:hint="eastAsia" w:ascii="宋体" w:hAnsi="宋体" w:cs="宋体"/>
          <w:sz w:val="24"/>
        </w:rPr>
        <w:t>），性能应符合GB/T 5231及GB/T 19850的规定。导体的结构尺寸、表面粗糙度、外观质量应满足相关标准要求。</w:t>
      </w:r>
    </w:p>
    <w:p>
      <w:pPr>
        <w:tabs>
          <w:tab w:val="left" w:pos="426"/>
          <w:tab w:val="left" w:pos="568"/>
        </w:tabs>
        <w:snapToGrid w:val="0"/>
        <w:spacing w:line="360" w:lineRule="auto"/>
        <w:ind w:firstLine="424" w:firstLineChars="177"/>
        <w:rPr>
          <w:rFonts w:ascii="宋体" w:hAnsi="宋体" w:cs="宋体"/>
          <w:sz w:val="24"/>
        </w:rPr>
      </w:pPr>
      <w:r>
        <w:rPr>
          <w:rFonts w:hint="eastAsia" w:ascii="宋体" w:hAnsi="宋体" w:cs="宋体"/>
          <w:sz w:val="24"/>
        </w:rPr>
        <w:t>（2）采用三层共挤工艺，母线本体包括管型导体、导体屏蔽层、固体绝缘层、绝缘屏蔽层、金属屏蔽层、外护层，绝缘材料采用优质三元乙丙橡胶，母线系统的防护等级不低于IP65。</w:t>
      </w:r>
    </w:p>
    <w:p>
      <w:pPr>
        <w:tabs>
          <w:tab w:val="left" w:pos="567"/>
        </w:tabs>
        <w:spacing w:line="360" w:lineRule="auto"/>
        <w:ind w:firstLine="424" w:firstLineChars="177"/>
        <w:rPr>
          <w:rFonts w:ascii="宋体" w:hAnsi="宋体" w:cs="宋体"/>
          <w:sz w:val="24"/>
        </w:rPr>
      </w:pPr>
      <w:r>
        <w:rPr>
          <w:rFonts w:hint="eastAsia" w:ascii="宋体" w:hAnsi="宋体" w:cs="宋体"/>
          <w:sz w:val="24"/>
        </w:rPr>
        <w:t>（3）铜管母线中间接头与铜管母线必需为同一厂商生产，满足通流和温升要求，接头处的绝缘形式和铜管母线相同，采用预制式连接，外部加预制式绝缘冷缩套结构，应确保整相母线表面电位为零，满足人体能安全触摸的要求，以保证运行维护的安全。</w:t>
      </w:r>
    </w:p>
    <w:p>
      <w:pPr>
        <w:tabs>
          <w:tab w:val="left" w:pos="0"/>
        </w:tabs>
        <w:spacing w:line="360" w:lineRule="auto"/>
        <w:ind w:firstLine="424" w:firstLineChars="177"/>
        <w:rPr>
          <w:rFonts w:ascii="宋体" w:hAnsi="宋体" w:cs="宋体"/>
          <w:sz w:val="24"/>
        </w:rPr>
      </w:pPr>
      <w:r>
        <w:rPr>
          <w:rFonts w:hint="eastAsia" w:ascii="宋体" w:hAnsi="宋体" w:cs="宋体"/>
          <w:sz w:val="24"/>
        </w:rPr>
        <w:t>（4）电气参数要求：</w:t>
      </w:r>
    </w:p>
    <w:p>
      <w:pPr>
        <w:tabs>
          <w:tab w:val="left" w:pos="993"/>
        </w:tabs>
        <w:snapToGrid w:val="0"/>
        <w:spacing w:line="360" w:lineRule="auto"/>
        <w:ind w:firstLine="600" w:firstLineChars="250"/>
        <w:rPr>
          <w:rFonts w:ascii="宋体" w:hAnsi="宋体" w:cs="宋体"/>
          <w:sz w:val="24"/>
        </w:rPr>
      </w:pPr>
      <w:r>
        <w:rPr>
          <w:rFonts w:hint="eastAsia" w:ascii="宋体" w:hAnsi="宋体" w:cs="宋体"/>
          <w:sz w:val="24"/>
        </w:rPr>
        <w:t xml:space="preserve">标称电压（Un）：10kV </w:t>
      </w:r>
    </w:p>
    <w:p>
      <w:pPr>
        <w:snapToGrid w:val="0"/>
        <w:spacing w:line="360" w:lineRule="auto"/>
        <w:ind w:firstLine="600" w:firstLineChars="250"/>
        <w:rPr>
          <w:rFonts w:ascii="宋体" w:hAnsi="宋体" w:cs="宋体"/>
          <w:sz w:val="24"/>
        </w:rPr>
      </w:pPr>
      <w:r>
        <w:rPr>
          <w:rFonts w:hint="eastAsia" w:ascii="宋体" w:hAnsi="宋体" w:cs="宋体"/>
          <w:sz w:val="24"/>
        </w:rPr>
        <w:t>最高运行电压（Um）：12kV</w:t>
      </w:r>
    </w:p>
    <w:p>
      <w:pPr>
        <w:snapToGrid w:val="0"/>
        <w:spacing w:line="360" w:lineRule="auto"/>
        <w:ind w:firstLine="600" w:firstLineChars="250"/>
        <w:rPr>
          <w:rFonts w:ascii="宋体" w:hAnsi="宋体" w:cs="宋体"/>
          <w:sz w:val="24"/>
        </w:rPr>
      </w:pPr>
      <w:r>
        <w:rPr>
          <w:rFonts w:hint="eastAsia" w:ascii="宋体" w:hAnsi="宋体" w:cs="宋体"/>
          <w:sz w:val="24"/>
        </w:rPr>
        <w:t>额定频率 50Hz</w:t>
      </w:r>
    </w:p>
    <w:p>
      <w:pPr>
        <w:snapToGrid w:val="0"/>
        <w:spacing w:line="360" w:lineRule="auto"/>
        <w:ind w:firstLine="600" w:firstLineChars="250"/>
        <w:rPr>
          <w:rFonts w:ascii="宋体" w:hAnsi="宋体" w:cs="宋体"/>
          <w:sz w:val="24"/>
        </w:rPr>
      </w:pPr>
      <w:r>
        <w:rPr>
          <w:rFonts w:hint="eastAsia" w:ascii="宋体" w:hAnsi="宋体" w:cs="宋体"/>
          <w:sz w:val="24"/>
        </w:rPr>
        <w:t>额定电流： 2500 A</w:t>
      </w:r>
    </w:p>
    <w:p>
      <w:pPr>
        <w:snapToGrid w:val="0"/>
        <w:spacing w:line="360" w:lineRule="auto"/>
        <w:ind w:firstLine="600" w:firstLineChars="250"/>
        <w:rPr>
          <w:rFonts w:ascii="宋体" w:hAnsi="宋体" w:cs="宋体"/>
          <w:sz w:val="24"/>
        </w:rPr>
      </w:pPr>
      <w:r>
        <w:rPr>
          <w:rFonts w:hint="eastAsia" w:ascii="宋体" w:hAnsi="宋体" w:cs="宋体"/>
          <w:sz w:val="24"/>
        </w:rPr>
        <w:t>额定热稳定电流（4s）： 50kA</w:t>
      </w:r>
    </w:p>
    <w:p>
      <w:pPr>
        <w:snapToGrid w:val="0"/>
        <w:spacing w:line="360" w:lineRule="auto"/>
        <w:ind w:firstLine="600" w:firstLineChars="250"/>
        <w:rPr>
          <w:rFonts w:ascii="宋体" w:hAnsi="宋体" w:cs="宋体"/>
          <w:sz w:val="24"/>
        </w:rPr>
      </w:pPr>
      <w:r>
        <w:rPr>
          <w:rFonts w:hint="eastAsia" w:ascii="宋体" w:hAnsi="宋体" w:cs="宋体"/>
          <w:sz w:val="24"/>
        </w:rPr>
        <w:t>额定动稳定电流（峰值）： 125kA</w:t>
      </w:r>
    </w:p>
    <w:p>
      <w:pPr>
        <w:snapToGrid w:val="0"/>
        <w:spacing w:line="360" w:lineRule="auto"/>
        <w:ind w:firstLine="600" w:firstLineChars="250"/>
        <w:rPr>
          <w:rFonts w:ascii="宋体" w:hAnsi="宋体" w:cs="宋体"/>
          <w:sz w:val="24"/>
        </w:rPr>
      </w:pPr>
      <w:r>
        <w:rPr>
          <w:rFonts w:hint="eastAsia" w:ascii="宋体" w:hAnsi="宋体" w:cs="宋体"/>
          <w:sz w:val="24"/>
        </w:rPr>
        <w:t>雷电冲击耐压（1.2/50μs，峰值）： 75kV</w:t>
      </w:r>
    </w:p>
    <w:p>
      <w:pPr>
        <w:snapToGrid w:val="0"/>
        <w:spacing w:line="360" w:lineRule="auto"/>
        <w:ind w:firstLine="600" w:firstLineChars="250"/>
        <w:rPr>
          <w:rFonts w:ascii="宋体" w:hAnsi="宋体" w:cs="宋体"/>
          <w:sz w:val="24"/>
        </w:rPr>
      </w:pPr>
      <w:r>
        <w:rPr>
          <w:rFonts w:hint="eastAsia" w:ascii="宋体" w:hAnsi="宋体" w:cs="宋体"/>
          <w:sz w:val="24"/>
        </w:rPr>
        <w:t>对地1min工频耐受电压： 42kV</w:t>
      </w:r>
    </w:p>
    <w:p>
      <w:pPr>
        <w:snapToGrid w:val="0"/>
        <w:spacing w:line="360" w:lineRule="auto"/>
        <w:ind w:firstLine="600" w:firstLineChars="250"/>
        <w:rPr>
          <w:rFonts w:ascii="宋体" w:hAnsi="宋体" w:cs="宋体"/>
          <w:sz w:val="24"/>
        </w:rPr>
      </w:pPr>
      <w:r>
        <w:rPr>
          <w:rFonts w:hint="eastAsia" w:ascii="宋体" w:hAnsi="宋体" w:cs="宋体"/>
          <w:sz w:val="24"/>
        </w:rPr>
        <w:t>对地绝缘(耐压试验前/后)： &gt;10000MΩ，耐压试验前后绝缘不变。</w:t>
      </w:r>
    </w:p>
    <w:p>
      <w:pPr>
        <w:snapToGrid w:val="0"/>
        <w:spacing w:line="360" w:lineRule="auto"/>
        <w:ind w:firstLine="424" w:firstLineChars="177"/>
        <w:rPr>
          <w:rFonts w:ascii="宋体" w:hAnsi="宋体" w:cs="宋体"/>
          <w:sz w:val="24"/>
        </w:rPr>
      </w:pPr>
      <w:r>
        <w:rPr>
          <w:rFonts w:hint="eastAsia" w:ascii="宋体" w:hAnsi="宋体" w:cs="宋体"/>
          <w:sz w:val="24"/>
        </w:rPr>
        <w:t>（5）产品的介质损耗因数</w:t>
      </w:r>
    </w:p>
    <w:p>
      <w:pPr>
        <w:pStyle w:val="25"/>
        <w:snapToGrid w:val="0"/>
        <w:spacing w:line="360" w:lineRule="auto"/>
        <w:ind w:firstLine="566" w:firstLineChars="236"/>
        <w:rPr>
          <w:rFonts w:ascii="宋体" w:hAnsi="宋体" w:cs="宋体"/>
          <w:sz w:val="24"/>
        </w:rPr>
      </w:pPr>
      <w:r>
        <w:rPr>
          <w:rFonts w:hint="eastAsia" w:ascii="宋体" w:hAnsi="宋体" w:cs="宋体"/>
          <w:sz w:val="24"/>
        </w:rPr>
        <w:t xml:space="preserve">在温度为10～40℃，试验电压不小于10kV,tanδ不得大于0.01， tanδ增值不得大于0.001。           </w:t>
      </w:r>
    </w:p>
    <w:p>
      <w:pPr>
        <w:pStyle w:val="25"/>
        <w:numPr>
          <w:ilvl w:val="0"/>
          <w:numId w:val="4"/>
        </w:numPr>
        <w:snapToGrid w:val="0"/>
        <w:spacing w:line="360" w:lineRule="auto"/>
        <w:ind w:firstLineChars="0"/>
        <w:rPr>
          <w:rFonts w:ascii="宋体" w:hAnsi="宋体" w:cs="宋体"/>
          <w:sz w:val="24"/>
        </w:rPr>
      </w:pPr>
      <w:r>
        <w:rPr>
          <w:rFonts w:hint="eastAsia" w:ascii="宋体" w:hAnsi="宋体" w:cs="宋体"/>
          <w:sz w:val="24"/>
        </w:rPr>
        <w:t>接地屏蔽层和地之间 1min 工频耐受电压 3kV（有效值）。</w:t>
      </w:r>
    </w:p>
    <w:p>
      <w:pPr>
        <w:tabs>
          <w:tab w:val="left" w:pos="568"/>
          <w:tab w:val="left" w:pos="851"/>
        </w:tabs>
        <w:spacing w:line="360" w:lineRule="auto"/>
        <w:ind w:left="425"/>
        <w:rPr>
          <w:rFonts w:ascii="宋体" w:hAnsi="宋体" w:cs="宋体"/>
          <w:sz w:val="24"/>
        </w:rPr>
      </w:pPr>
      <w:r>
        <w:rPr>
          <w:rFonts w:hint="eastAsia" w:ascii="宋体" w:hAnsi="宋体" w:cs="宋体"/>
          <w:sz w:val="24"/>
        </w:rPr>
        <w:t>（7）产品在12kV电压下的局部放电量不大于10pC。</w:t>
      </w:r>
    </w:p>
    <w:p>
      <w:pPr>
        <w:tabs>
          <w:tab w:val="left" w:pos="568"/>
          <w:tab w:val="left" w:pos="851"/>
        </w:tabs>
        <w:spacing w:line="360" w:lineRule="auto"/>
        <w:ind w:left="1" w:firstLine="424" w:firstLineChars="177"/>
        <w:rPr>
          <w:rFonts w:ascii="宋体" w:hAnsi="宋体" w:cs="宋体"/>
          <w:sz w:val="24"/>
        </w:rPr>
      </w:pPr>
      <w:r>
        <w:rPr>
          <w:rFonts w:hint="eastAsia" w:ascii="宋体" w:hAnsi="宋体" w:cs="宋体"/>
          <w:sz w:val="24"/>
        </w:rPr>
        <w:t>（8）导体截面由承包商根据现场实际使用条件计算确定，并提交详细的载 流量计算报告。</w:t>
      </w:r>
    </w:p>
    <w:p>
      <w:pPr>
        <w:tabs>
          <w:tab w:val="left" w:pos="567"/>
        </w:tabs>
        <w:spacing w:line="360" w:lineRule="auto"/>
        <w:ind w:firstLine="424" w:firstLineChars="177"/>
        <w:rPr>
          <w:rFonts w:ascii="宋体" w:hAnsi="宋体" w:cs="宋体"/>
          <w:sz w:val="24"/>
        </w:rPr>
      </w:pPr>
      <w:r>
        <w:rPr>
          <w:rFonts w:hint="eastAsia" w:ascii="宋体" w:hAnsi="宋体" w:cs="宋体"/>
          <w:sz w:val="24"/>
        </w:rPr>
        <w:t>（9）铜管母线悬空最大跨距不大于 6m，母线相间中心距离 ≧275mm。</w:t>
      </w:r>
      <w:r>
        <w:rPr>
          <w:rFonts w:ascii="宋体" w:hAnsi="宋体" w:cs="宋体"/>
          <w:sz w:val="24"/>
        </w:rPr>
        <w:t>母线外壳外表面涂色漆</w:t>
      </w:r>
      <w:r>
        <w:rPr>
          <w:rFonts w:hint="eastAsia" w:ascii="宋体" w:hAnsi="宋体" w:cs="宋体"/>
          <w:sz w:val="24"/>
        </w:rPr>
        <w:t>或分色</w:t>
      </w:r>
      <w:r>
        <w:rPr>
          <w:rFonts w:ascii="宋体" w:hAnsi="宋体" w:cs="宋体"/>
          <w:sz w:val="24"/>
        </w:rPr>
        <w:t>包覆层，满足</w:t>
      </w:r>
      <w:r>
        <w:rPr>
          <w:rFonts w:hint="eastAsia" w:ascii="宋体" w:hAnsi="宋体" w:cs="宋体"/>
          <w:sz w:val="24"/>
        </w:rPr>
        <w:t>本</w:t>
      </w:r>
      <w:r>
        <w:rPr>
          <w:rFonts w:ascii="宋体" w:hAnsi="宋体" w:cs="宋体"/>
          <w:sz w:val="24"/>
        </w:rPr>
        <w:t>地特殊环境的要求</w:t>
      </w:r>
      <w:r>
        <w:rPr>
          <w:rFonts w:hint="eastAsia" w:ascii="宋体" w:hAnsi="宋体" w:cs="宋体"/>
          <w:sz w:val="24"/>
        </w:rPr>
        <w:t>，绝缘铜管母线三相分色方式：A相黄色、B相绿色、C相红色。接地屏的绝缘外护层应能可靠防止水和潮气的侵入。可采用热缩绝缘套管，其颜色和相色（黄、绿、红）应一致,接口处（如果有）搭接长度不小于100mm。</w:t>
      </w:r>
    </w:p>
    <w:p>
      <w:pPr>
        <w:tabs>
          <w:tab w:val="left" w:pos="567"/>
        </w:tabs>
        <w:spacing w:line="360" w:lineRule="auto"/>
        <w:ind w:firstLine="424" w:firstLineChars="177"/>
        <w:rPr>
          <w:rFonts w:ascii="宋体" w:hAnsi="宋体" w:cs="宋体"/>
          <w:sz w:val="24"/>
        </w:rPr>
      </w:pPr>
      <w:r>
        <w:rPr>
          <w:rFonts w:hint="eastAsia" w:ascii="宋体" w:hAnsi="宋体" w:cs="宋体"/>
          <w:sz w:val="24"/>
        </w:rPr>
        <w:t>（10）金属屏蔽层应可靠接地，引出线采用带绝缘护套的铜接地线，有效截面积应不小于25mm²。</w:t>
      </w:r>
    </w:p>
    <w:p>
      <w:pPr>
        <w:tabs>
          <w:tab w:val="left" w:pos="851"/>
        </w:tabs>
        <w:spacing w:line="360" w:lineRule="auto"/>
        <w:ind w:firstLine="424" w:firstLineChars="177"/>
        <w:rPr>
          <w:rFonts w:ascii="宋体" w:hAnsi="宋体" w:cs="宋体"/>
          <w:sz w:val="24"/>
        </w:rPr>
      </w:pPr>
      <w:r>
        <w:rPr>
          <w:rFonts w:hint="eastAsia" w:ascii="宋体" w:hAnsi="宋体" w:cs="宋体"/>
          <w:sz w:val="24"/>
        </w:rPr>
        <w:t>（11）铜管端部需作倒圆角处理，铜管端部连接面应镀银，确保具有低的接触电阻及防腐蚀功能。</w:t>
      </w:r>
    </w:p>
    <w:p>
      <w:pPr>
        <w:tabs>
          <w:tab w:val="left" w:pos="568"/>
          <w:tab w:val="left" w:pos="851"/>
        </w:tabs>
        <w:spacing w:line="360" w:lineRule="auto"/>
        <w:ind w:firstLine="424" w:firstLineChars="177"/>
        <w:rPr>
          <w:rFonts w:ascii="宋体" w:hAnsi="宋体" w:cs="宋体"/>
          <w:sz w:val="24"/>
        </w:rPr>
      </w:pPr>
      <w:r>
        <w:rPr>
          <w:rFonts w:hint="eastAsia" w:ascii="宋体" w:hAnsi="宋体" w:cs="宋体"/>
          <w:sz w:val="24"/>
        </w:rPr>
        <w:t>（12）母线终端绝缘处理采用预制式绝缘冷缩套结构，与设备连接方式为铜质软连接，</w:t>
      </w:r>
      <w:r>
        <w:rPr>
          <w:rFonts w:ascii="宋体" w:hAnsi="宋体" w:cs="宋体"/>
          <w:sz w:val="24"/>
        </w:rPr>
        <w:t>软连接的绝缘处理采用热缩套管制作成绝缘护套盒，检修时可以方便打开</w:t>
      </w:r>
      <w:r>
        <w:rPr>
          <w:rFonts w:hint="eastAsia" w:ascii="宋体" w:hAnsi="宋体" w:cs="宋体"/>
          <w:sz w:val="24"/>
        </w:rPr>
        <w:t>。连接端子要求镀银处理，螺栓开孔位置尺寸与设备铜排一致。</w:t>
      </w:r>
    </w:p>
    <w:p>
      <w:pPr>
        <w:tabs>
          <w:tab w:val="left" w:pos="426"/>
          <w:tab w:val="left" w:pos="567"/>
        </w:tabs>
        <w:spacing w:line="360" w:lineRule="auto"/>
        <w:ind w:firstLine="424" w:firstLineChars="177"/>
        <w:rPr>
          <w:rFonts w:ascii="宋体" w:hAnsi="宋体" w:cs="宋体"/>
          <w:sz w:val="24"/>
        </w:rPr>
      </w:pPr>
      <w:r>
        <w:rPr>
          <w:rFonts w:hint="eastAsia" w:ascii="宋体" w:hAnsi="宋体" w:cs="宋体"/>
          <w:sz w:val="24"/>
        </w:rPr>
        <w:t>（13）</w:t>
      </w:r>
      <w:r>
        <w:rPr>
          <w:rFonts w:ascii="宋体" w:hAnsi="宋体" w:cs="宋体"/>
          <w:sz w:val="24"/>
        </w:rPr>
        <w:t>具备自然散热功能，</w:t>
      </w:r>
      <w:r>
        <w:rPr>
          <w:rFonts w:hint="eastAsia" w:ascii="宋体" w:hAnsi="宋体" w:cs="宋体"/>
          <w:sz w:val="24"/>
        </w:rPr>
        <w:t>所有连接部位温升不能高于母线导体(包括管母线与管母线中间连接及管母线与设备连接)。在环境温度 40℃以下时，额定电流下，导体温升不高于50k，正常运行时铜管母线的长期工作温度不超过 90℃。</w:t>
      </w:r>
    </w:p>
    <w:p>
      <w:pPr>
        <w:tabs>
          <w:tab w:val="left" w:pos="567"/>
        </w:tabs>
        <w:spacing w:line="360" w:lineRule="auto"/>
        <w:ind w:firstLine="424" w:firstLineChars="177"/>
        <w:rPr>
          <w:rFonts w:ascii="宋体" w:hAnsi="宋体" w:cs="宋体"/>
          <w:sz w:val="24"/>
        </w:rPr>
      </w:pPr>
      <w:r>
        <w:rPr>
          <w:rFonts w:hint="eastAsia" w:ascii="宋体" w:hAnsi="宋体" w:cs="宋体"/>
          <w:sz w:val="24"/>
        </w:rPr>
        <w:t>（14）承包商需要根据现场情况测量、生产、制作及安装</w:t>
      </w:r>
      <w:r>
        <w:rPr>
          <w:rFonts w:ascii="宋体" w:hAnsi="宋体" w:cs="宋体"/>
          <w:sz w:val="24"/>
        </w:rPr>
        <w:t>全绝缘</w:t>
      </w:r>
      <w:r>
        <w:rPr>
          <w:rFonts w:hint="eastAsia" w:ascii="宋体" w:hAnsi="宋体" w:cs="宋体"/>
          <w:sz w:val="24"/>
        </w:rPr>
        <w:t>铜</w:t>
      </w:r>
      <w:r>
        <w:rPr>
          <w:rFonts w:ascii="宋体" w:hAnsi="宋体" w:cs="宋体"/>
          <w:sz w:val="24"/>
        </w:rPr>
        <w:t>管母线</w:t>
      </w:r>
      <w:r>
        <w:rPr>
          <w:rFonts w:hint="eastAsia" w:ascii="宋体" w:hAnsi="宋体" w:cs="宋体"/>
          <w:sz w:val="24"/>
        </w:rPr>
        <w:t>，保证与开关柜及变压器的安全可靠连接。</w:t>
      </w:r>
    </w:p>
    <w:p>
      <w:pPr>
        <w:pStyle w:val="29"/>
        <w:tabs>
          <w:tab w:val="left" w:pos="568"/>
        </w:tabs>
        <w:ind w:firstLine="436" w:firstLineChars="182"/>
        <w:rPr>
          <w:rFonts w:ascii="宋体" w:hAnsi="宋体" w:cs="宋体"/>
          <w:szCs w:val="24"/>
        </w:rPr>
      </w:pPr>
      <w:r>
        <w:rPr>
          <w:rFonts w:hint="eastAsia" w:ascii="宋体" w:hAnsi="宋体" w:cs="宋体"/>
          <w:szCs w:val="24"/>
        </w:rPr>
        <w:t>（15）</w:t>
      </w:r>
      <w:r>
        <w:rPr>
          <w:rFonts w:ascii="宋体" w:hAnsi="宋体" w:cs="宋体"/>
          <w:szCs w:val="24"/>
        </w:rPr>
        <w:t>绝缘铜管母线外表面应光洁无伤痕、无机械损伤。</w:t>
      </w:r>
    </w:p>
    <w:p>
      <w:pPr>
        <w:pStyle w:val="29"/>
        <w:tabs>
          <w:tab w:val="left" w:pos="568"/>
        </w:tabs>
        <w:ind w:firstLine="436" w:firstLineChars="182"/>
        <w:rPr>
          <w:rFonts w:ascii="宋体" w:hAnsi="宋体" w:cs="宋体"/>
        </w:rPr>
      </w:pPr>
      <w:r>
        <w:rPr>
          <w:rFonts w:hint="eastAsia" w:ascii="宋体" w:hAnsi="宋体" w:cs="宋体"/>
          <w:szCs w:val="24"/>
        </w:rPr>
        <w:t>（16）</w:t>
      </w:r>
      <w:r>
        <w:rPr>
          <w:rFonts w:ascii="宋体" w:hAnsi="宋体" w:cs="宋体"/>
          <w:szCs w:val="24"/>
        </w:rPr>
        <w:t>绝缘铜管母线在室内外连接部位的穿墙处（预留孔洞）应</w:t>
      </w:r>
      <w:r>
        <w:rPr>
          <w:rFonts w:hint="eastAsia" w:ascii="宋体" w:hAnsi="宋体" w:cs="宋体"/>
          <w:szCs w:val="24"/>
        </w:rPr>
        <w:t>做</w:t>
      </w:r>
      <w:r>
        <w:rPr>
          <w:rFonts w:ascii="宋体" w:hAnsi="宋体" w:cs="宋体"/>
          <w:szCs w:val="24"/>
        </w:rPr>
        <w:t>可靠、密实</w:t>
      </w:r>
      <w:r>
        <w:rPr>
          <w:rFonts w:hint="eastAsia" w:ascii="宋体" w:hAnsi="宋体" w:cs="宋体"/>
          <w:szCs w:val="24"/>
        </w:rPr>
        <w:t>的</w:t>
      </w:r>
      <w:r>
        <w:rPr>
          <w:rFonts w:ascii="宋体" w:hAnsi="宋体" w:cs="宋体"/>
          <w:szCs w:val="24"/>
        </w:rPr>
        <w:t>绝缘封堵，防止灰尘、雨水进入室内</w:t>
      </w:r>
      <w:r>
        <w:rPr>
          <w:rFonts w:hint="eastAsia" w:ascii="宋体" w:hAnsi="宋体" w:cs="宋体"/>
          <w:szCs w:val="24"/>
        </w:rPr>
        <w:t>。</w:t>
      </w:r>
    </w:p>
    <w:p>
      <w:pPr>
        <w:pStyle w:val="29"/>
        <w:tabs>
          <w:tab w:val="left" w:pos="568"/>
        </w:tabs>
        <w:ind w:firstLine="436" w:firstLineChars="182"/>
        <w:rPr>
          <w:rFonts w:ascii="宋体" w:hAnsi="宋体" w:cs="宋体"/>
        </w:rPr>
      </w:pPr>
      <w:r>
        <w:rPr>
          <w:rFonts w:hint="eastAsia" w:ascii="宋体" w:hAnsi="宋体"/>
        </w:rPr>
        <w:t>（17）母线支/吊架、固定金具及穿墙板等应采用非导磁性材料。所有暴露在大气中的金属部件为304不锈钢或热浸镀锌材质，现场施工金属焊接处应作防锈处理，施工用螺栓同样须采用热镀锌</w:t>
      </w:r>
      <w:r>
        <w:rPr>
          <w:rFonts w:hint="eastAsia" w:ascii="宋体"/>
        </w:rPr>
        <w:t>或304不锈钢材质，</w:t>
      </w:r>
      <w:r>
        <w:rPr>
          <w:rFonts w:hint="eastAsia" w:ascii="宋体" w:hAnsi="宋体"/>
        </w:rPr>
        <w:t>抱箍采用铝合金材料制成。</w:t>
      </w:r>
    </w:p>
    <w:p>
      <w:pPr>
        <w:pStyle w:val="29"/>
        <w:tabs>
          <w:tab w:val="left" w:pos="420"/>
        </w:tabs>
        <w:ind w:firstLine="436" w:firstLineChars="182"/>
        <w:rPr>
          <w:rFonts w:ascii="宋体" w:hAnsi="宋体" w:cs="宋体"/>
        </w:rPr>
      </w:pPr>
      <w:r>
        <w:rPr>
          <w:rFonts w:hint="eastAsia" w:ascii="宋体"/>
        </w:rPr>
        <w:t>（18）</w:t>
      </w:r>
      <w:r>
        <w:rPr>
          <w:rFonts w:ascii="宋体"/>
        </w:rPr>
        <w:t>母线全套安装</w:t>
      </w:r>
      <w:r>
        <w:rPr>
          <w:rFonts w:hint="eastAsia" w:ascii="宋体"/>
        </w:rPr>
        <w:t>支架均需要不少于两点与主接地网接地</w:t>
      </w:r>
      <w:r>
        <w:rPr>
          <w:rFonts w:hint="eastAsia" w:ascii="宋体" w:hAnsi="宋体"/>
          <w:bCs/>
          <w:kern w:val="0"/>
          <w:szCs w:val="21"/>
        </w:rPr>
        <w:t>。</w:t>
      </w:r>
    </w:p>
    <w:p>
      <w:pPr>
        <w:pStyle w:val="29"/>
        <w:tabs>
          <w:tab w:val="left" w:pos="568"/>
        </w:tabs>
        <w:ind w:firstLine="436" w:firstLineChars="182"/>
        <w:rPr>
          <w:rFonts w:ascii="宋体" w:hAnsi="宋体"/>
        </w:rPr>
      </w:pPr>
      <w:r>
        <w:rPr>
          <w:rFonts w:hint="eastAsia" w:ascii="宋体" w:hAnsi="宋体"/>
        </w:rPr>
        <w:t>（19）铜管母线及其附件产品都必须有明显的永久性标志，在运输、储存和正常安装中字迹仍应保持清楚。产品标志包含下列内容：产品生产执行的标准编号 、产品名称、型号规格、热稳定电流及时间（KA, s)、动稳定电流（kA)、生产厂名称(或商标)、地址、出厂日期（或批号）。</w:t>
      </w:r>
    </w:p>
    <w:p>
      <w:pPr>
        <w:pStyle w:val="29"/>
        <w:ind w:firstLine="0" w:firstLineChars="0"/>
        <w:rPr>
          <w:rFonts w:ascii="宋体" w:hAnsi="宋体" w:cs="宋体"/>
        </w:rPr>
      </w:pPr>
      <w:r>
        <w:rPr>
          <w:rFonts w:hint="eastAsia"/>
        </w:rPr>
        <w:t>三、</w:t>
      </w:r>
      <w:r>
        <w:rPr>
          <w:rFonts w:ascii="宋体" w:hAnsi="宋体" w:cs="宋体"/>
          <w:b/>
          <w:color w:val="000000"/>
          <w:kern w:val="0"/>
          <w:sz w:val="28"/>
          <w:szCs w:val="28"/>
        </w:rPr>
        <w:t>服务界限</w:t>
      </w:r>
    </w:p>
    <w:p>
      <w:pPr>
        <w:pStyle w:val="29"/>
        <w:tabs>
          <w:tab w:val="left" w:pos="420"/>
        </w:tabs>
        <w:ind w:firstLine="566" w:firstLineChars="236"/>
        <w:rPr>
          <w:rFonts w:ascii="宋体" w:hAnsi="宋体" w:cs="宋体"/>
          <w:szCs w:val="24"/>
        </w:rPr>
      </w:pPr>
      <w:r>
        <w:rPr>
          <w:rFonts w:hint="eastAsia" w:ascii="宋体" w:hAnsi="宋体" w:cs="宋体"/>
          <w:szCs w:val="24"/>
        </w:rPr>
        <w:t>1、本项目</w:t>
      </w:r>
      <w:r>
        <w:rPr>
          <w:rFonts w:ascii="宋体" w:hAnsi="宋体" w:cs="宋体"/>
          <w:szCs w:val="24"/>
        </w:rPr>
        <w:t>所需的</w:t>
      </w:r>
      <w:r>
        <w:rPr>
          <w:rFonts w:hint="eastAsia" w:ascii="宋体" w:hAnsi="宋体" w:cs="宋体"/>
          <w:szCs w:val="24"/>
        </w:rPr>
        <w:t>铜管</w:t>
      </w:r>
      <w:r>
        <w:rPr>
          <w:rFonts w:ascii="宋体" w:hAnsi="宋体" w:cs="宋体"/>
          <w:szCs w:val="24"/>
        </w:rPr>
        <w:t>母线及其附件</w:t>
      </w:r>
      <w:r>
        <w:rPr>
          <w:rFonts w:hint="eastAsia" w:ascii="宋体" w:hAnsi="宋体" w:cs="宋体"/>
          <w:szCs w:val="24"/>
        </w:rPr>
        <w:t>、安装所需的材料</w:t>
      </w:r>
      <w:r>
        <w:rPr>
          <w:rFonts w:ascii="宋体" w:hAnsi="宋体" w:cs="宋体"/>
          <w:szCs w:val="24"/>
        </w:rPr>
        <w:t>均由</w:t>
      </w:r>
      <w:r>
        <w:rPr>
          <w:rFonts w:hint="eastAsia" w:ascii="宋体" w:hAnsi="宋体" w:cs="宋体"/>
          <w:szCs w:val="24"/>
        </w:rPr>
        <w:t>承包商</w:t>
      </w:r>
      <w:r>
        <w:rPr>
          <w:rFonts w:ascii="宋体" w:hAnsi="宋体" w:cs="宋体"/>
          <w:szCs w:val="24"/>
        </w:rPr>
        <w:t>提供</w:t>
      </w:r>
      <w:r>
        <w:rPr>
          <w:rFonts w:hint="eastAsia" w:ascii="宋体" w:hAnsi="宋体" w:cs="宋体"/>
          <w:szCs w:val="24"/>
        </w:rPr>
        <w:t>，</w:t>
      </w:r>
      <w:r>
        <w:rPr>
          <w:rFonts w:ascii="宋体" w:hAnsi="宋体" w:cs="宋体"/>
          <w:szCs w:val="24"/>
        </w:rPr>
        <w:t>地面到管母之间的竖直方向的钢立柱或水泥混凝土立柱以及水平方向的大跨度钢结构支架也由</w:t>
      </w:r>
      <w:r>
        <w:rPr>
          <w:rFonts w:hint="eastAsia" w:ascii="宋体" w:hAnsi="宋体" w:cs="宋体"/>
          <w:szCs w:val="24"/>
        </w:rPr>
        <w:t>承包商</w:t>
      </w:r>
      <w:r>
        <w:rPr>
          <w:rFonts w:ascii="宋体" w:hAnsi="宋体" w:cs="宋体"/>
          <w:szCs w:val="24"/>
        </w:rPr>
        <w:t>提供</w:t>
      </w:r>
      <w:r>
        <w:rPr>
          <w:rFonts w:hint="eastAsia" w:ascii="宋体" w:hAnsi="宋体" w:cs="宋体"/>
          <w:szCs w:val="24"/>
        </w:rPr>
        <w:t>。原共箱母线的支撑立柱可利旧部分，可优先选择利旧。</w:t>
      </w:r>
    </w:p>
    <w:p>
      <w:pPr>
        <w:pStyle w:val="29"/>
        <w:tabs>
          <w:tab w:val="left" w:pos="420"/>
        </w:tabs>
        <w:ind w:firstLine="600" w:firstLineChars="250"/>
      </w:pPr>
      <w:r>
        <w:rPr>
          <w:rFonts w:hint="eastAsia" w:ascii="宋体" w:hAnsi="宋体" w:cs="宋体"/>
          <w:szCs w:val="24"/>
        </w:rPr>
        <w:t>2、承包商负责原有共箱母线及附件、多余立柱的拆除，并转运到甲方指定的存放地点，本工程拆除的所有材料全部归甲方所有。新的铜管母线及其附件、安装所需的材料</w:t>
      </w:r>
      <w:r>
        <w:t>从</w:t>
      </w:r>
      <w:r>
        <w:rPr>
          <w:rFonts w:hint="eastAsia"/>
        </w:rPr>
        <w:t>承包商</w:t>
      </w:r>
      <w:r>
        <w:t>制造工厂至项目所在地的运输</w:t>
      </w:r>
      <w:r>
        <w:rPr>
          <w:rFonts w:hint="eastAsia"/>
        </w:rPr>
        <w:t>、</w:t>
      </w:r>
      <w:r>
        <w:t>货物保管</w:t>
      </w:r>
      <w:r>
        <w:rPr>
          <w:rFonts w:hint="eastAsia"/>
        </w:rPr>
        <w:t>、安装</w:t>
      </w:r>
      <w:r>
        <w:t>工作全部由</w:t>
      </w:r>
      <w:r>
        <w:rPr>
          <w:rFonts w:hint="eastAsia"/>
        </w:rPr>
        <w:t>承包商</w:t>
      </w:r>
      <w:r>
        <w:t>完成</w:t>
      </w:r>
      <w:r>
        <w:rPr>
          <w:rFonts w:hint="eastAsia"/>
        </w:rPr>
        <w:t>。</w:t>
      </w:r>
    </w:p>
    <w:p>
      <w:pPr>
        <w:pStyle w:val="29"/>
        <w:tabs>
          <w:tab w:val="left" w:pos="420"/>
        </w:tabs>
        <w:ind w:firstLine="556" w:firstLineChars="232"/>
        <w:rPr>
          <w:rFonts w:ascii="宋体" w:hAnsi="宋体" w:cs="宋体"/>
          <w:szCs w:val="24"/>
        </w:rPr>
      </w:pPr>
      <w:r>
        <w:rPr>
          <w:rFonts w:hint="eastAsia" w:ascii="宋体" w:hAnsi="宋体" w:cs="宋体"/>
          <w:szCs w:val="24"/>
        </w:rPr>
        <w:t>3、</w:t>
      </w:r>
      <w:r>
        <w:rPr>
          <w:rFonts w:hint="eastAsia"/>
        </w:rPr>
        <w:t>施工过程所需的辅助措施，如：脚手架、吊车、土建等施工均由承包商负责。</w:t>
      </w:r>
    </w:p>
    <w:p>
      <w:pPr>
        <w:widowControl/>
        <w:spacing w:line="360" w:lineRule="auto"/>
        <w:ind w:firstLine="600" w:firstLineChars="250"/>
        <w:jc w:val="left"/>
        <w:rPr>
          <w:rFonts w:ascii="宋体" w:hAnsi="宋体" w:cs="宋体"/>
          <w:sz w:val="24"/>
        </w:rPr>
      </w:pPr>
      <w:r>
        <w:rPr>
          <w:rFonts w:hint="eastAsia" w:ascii="宋体" w:hAnsi="宋体" w:cs="宋体"/>
          <w:sz w:val="24"/>
        </w:rPr>
        <w:t>4、承包商必须对所改造设备的设计、材料的选择、设备的制造、技术性能、可适用性、可靠性等负全部责任。为确保设备正确的安装、维修，承包商应提供所有必须的或附加的设备、专用工具和备件的清单。</w:t>
      </w:r>
    </w:p>
    <w:p>
      <w:pPr>
        <w:snapToGrid w:val="0"/>
        <w:spacing w:line="360" w:lineRule="auto"/>
        <w:ind w:firstLine="600" w:firstLineChars="250"/>
        <w:rPr>
          <w:rFonts w:ascii="宋体" w:hAnsi="宋体" w:cs="宋体"/>
          <w:b/>
          <w:sz w:val="24"/>
        </w:rPr>
      </w:pPr>
      <w:r>
        <w:rPr>
          <w:rFonts w:hint="eastAsia" w:ascii="宋体" w:hAnsi="宋体" w:cs="宋体"/>
          <w:sz w:val="24"/>
        </w:rPr>
        <w:t>5、承包商需在甲方通知的施工时间前5天提供安装基础图、设备安装布置图、载流量计算报告等资料。</w:t>
      </w:r>
    </w:p>
    <w:p>
      <w:pPr>
        <w:autoSpaceDE w:val="0"/>
        <w:autoSpaceDN w:val="0"/>
        <w:adjustRightInd w:val="0"/>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rPr>
        <w:t>四、项目验收</w:t>
      </w:r>
    </w:p>
    <w:p>
      <w:pPr>
        <w:pStyle w:val="25"/>
        <w:snapToGrid w:val="0"/>
        <w:spacing w:line="360" w:lineRule="auto"/>
        <w:ind w:firstLine="566" w:firstLineChars="236"/>
        <w:rPr>
          <w:rFonts w:ascii="宋体" w:hAnsi="宋体" w:cs="宋体"/>
          <w:sz w:val="24"/>
        </w:rPr>
      </w:pPr>
      <w:r>
        <w:rPr>
          <w:rFonts w:hint="eastAsia" w:ascii="宋体" w:hAnsi="宋体" w:cs="宋体"/>
          <w:sz w:val="24"/>
        </w:rPr>
        <w:t>1、验收标准：本发包说明提出的是最低限度的技术要求，并未对所有技术细节作出规定，除发包方在本发包说明中规定的特别要求外，承揽商提供的设备还应满足以下标准的最新版本，包含但不限于：</w:t>
      </w:r>
    </w:p>
    <w:p>
      <w:pPr>
        <w:pStyle w:val="25"/>
        <w:snapToGrid w:val="0"/>
        <w:spacing w:line="360" w:lineRule="auto"/>
        <w:ind w:firstLine="566" w:firstLineChars="236"/>
        <w:rPr>
          <w:rFonts w:ascii="宋体" w:hAnsi="宋体" w:cs="宋体"/>
          <w:sz w:val="24"/>
        </w:rPr>
      </w:pPr>
      <w:r>
        <w:rPr>
          <w:rFonts w:hint="eastAsia" w:ascii="宋体" w:hAnsi="宋体" w:cs="宋体"/>
          <w:sz w:val="24"/>
        </w:rPr>
        <w:t>DL/T 1658-2016 35kV及以下固体绝缘管型母线；</w:t>
      </w:r>
    </w:p>
    <w:p>
      <w:pPr>
        <w:pStyle w:val="25"/>
        <w:snapToGrid w:val="0"/>
        <w:spacing w:line="360" w:lineRule="auto"/>
        <w:ind w:firstLine="566" w:firstLineChars="236"/>
        <w:rPr>
          <w:rFonts w:ascii="宋体" w:hAnsi="宋体" w:cs="宋体"/>
          <w:sz w:val="24"/>
        </w:rPr>
      </w:pPr>
      <w:r>
        <w:rPr>
          <w:rFonts w:hint="eastAsia" w:ascii="宋体" w:hAnsi="宋体" w:cs="宋体"/>
          <w:sz w:val="24"/>
        </w:rPr>
        <w:t>Q/GDW 11646-2016 7.2kV-40.5kV绝缘管型母线技术规范。</w:t>
      </w:r>
    </w:p>
    <w:p>
      <w:pPr>
        <w:pStyle w:val="25"/>
        <w:snapToGrid w:val="0"/>
        <w:spacing w:line="360" w:lineRule="auto"/>
        <w:ind w:firstLine="566" w:firstLineChars="236"/>
        <w:rPr>
          <w:rFonts w:ascii="宋体" w:hAnsi="宋体" w:cs="宋体"/>
          <w:sz w:val="24"/>
        </w:rPr>
      </w:pPr>
      <w:r>
        <w:rPr>
          <w:rFonts w:hint="eastAsia" w:ascii="宋体" w:hAnsi="宋体" w:cs="宋体"/>
          <w:sz w:val="24"/>
        </w:rPr>
        <w:t>如以上规范中存在相同条款要求且存在差异，则按照较高标准要求执行，若没达到标准要求，将予以退货，所有费用由承包商承担。</w:t>
      </w:r>
    </w:p>
    <w:p>
      <w:pPr>
        <w:snapToGrid w:val="0"/>
        <w:spacing w:line="360" w:lineRule="auto"/>
        <w:ind w:firstLine="360" w:firstLineChars="150"/>
        <w:rPr>
          <w:rFonts w:ascii="宋体" w:hAnsi="宋体" w:cs="宋体"/>
          <w:sz w:val="24"/>
        </w:rPr>
      </w:pPr>
      <w:r>
        <w:rPr>
          <w:rFonts w:hint="eastAsia" w:ascii="宋体" w:hAnsi="宋体" w:cs="宋体"/>
          <w:sz w:val="24"/>
        </w:rPr>
        <w:t>（1）出厂试验</w:t>
      </w:r>
    </w:p>
    <w:p>
      <w:pPr>
        <w:snapToGrid w:val="0"/>
        <w:spacing w:line="360" w:lineRule="auto"/>
        <w:ind w:firstLine="480" w:firstLineChars="200"/>
        <w:rPr>
          <w:rFonts w:ascii="宋体" w:hAnsi="宋体" w:cs="宋体"/>
          <w:sz w:val="24"/>
        </w:rPr>
      </w:pPr>
      <w:r>
        <w:rPr>
          <w:rFonts w:hint="eastAsia" w:ascii="宋体" w:hAnsi="宋体" w:cs="宋体"/>
          <w:sz w:val="24"/>
        </w:rPr>
        <w:t>产品经出厂检验合格后方能出厂，并应附产品质量合格证明，提供出厂检验报告。</w:t>
      </w:r>
    </w:p>
    <w:p>
      <w:pPr>
        <w:snapToGrid w:val="0"/>
        <w:spacing w:line="360" w:lineRule="auto"/>
        <w:ind w:firstLine="360" w:firstLineChars="150"/>
        <w:rPr>
          <w:rFonts w:ascii="宋体" w:hAnsi="宋体" w:cs="宋体"/>
          <w:sz w:val="24"/>
        </w:rPr>
      </w:pPr>
      <w:r>
        <w:rPr>
          <w:rFonts w:hint="eastAsia" w:ascii="宋体" w:hAnsi="宋体" w:cs="宋体"/>
          <w:sz w:val="24"/>
        </w:rPr>
        <w:t>（2）交接试验：</w:t>
      </w:r>
    </w:p>
    <w:p>
      <w:pPr>
        <w:snapToGrid w:val="0"/>
        <w:spacing w:line="360" w:lineRule="auto"/>
        <w:ind w:firstLine="480" w:firstLineChars="200"/>
        <w:rPr>
          <w:rFonts w:ascii="宋体" w:hAnsi="宋体" w:cs="宋体"/>
          <w:sz w:val="24"/>
        </w:rPr>
      </w:pPr>
      <w:r>
        <w:rPr>
          <w:rFonts w:hint="eastAsia" w:ascii="宋体" w:hAnsi="宋体" w:cs="宋体"/>
          <w:sz w:val="24"/>
        </w:rPr>
        <w:t>现场整体安装完成后，应进行现场交接试验，以检查产品的性能。试验项目按最新颁布的国家及行业标准中有关试验项目的要求执行，由承包商负责。</w:t>
      </w:r>
    </w:p>
    <w:p>
      <w:pPr>
        <w:snapToGrid w:val="0"/>
        <w:spacing w:line="360" w:lineRule="auto"/>
        <w:ind w:firstLine="544" w:firstLineChars="227"/>
        <w:rPr>
          <w:rFonts w:ascii="宋体" w:hAnsi="宋体" w:cs="宋体"/>
          <w:sz w:val="24"/>
        </w:rPr>
      </w:pPr>
      <w:r>
        <w:rPr>
          <w:rFonts w:hint="eastAsia" w:ascii="宋体" w:hAnsi="宋体" w:cs="宋体"/>
          <w:sz w:val="24"/>
        </w:rPr>
        <w:t>2、资料文件提交，包含但不限于：</w:t>
      </w:r>
    </w:p>
    <w:p>
      <w:pPr>
        <w:tabs>
          <w:tab w:val="left" w:pos="851"/>
        </w:tabs>
        <w:spacing w:line="360" w:lineRule="auto"/>
        <w:ind w:firstLine="360" w:firstLineChars="150"/>
        <w:rPr>
          <w:rFonts w:ascii="宋体" w:hAnsi="宋体" w:cs="宋体"/>
          <w:sz w:val="24"/>
        </w:rPr>
      </w:pPr>
      <w:r>
        <w:rPr>
          <w:rFonts w:hint="eastAsia" w:ascii="宋体" w:hAnsi="宋体" w:cs="宋体"/>
          <w:sz w:val="24"/>
        </w:rPr>
        <w:t>（1）铜管母线及附件的合格证明文件、出厂检验报告。</w:t>
      </w:r>
    </w:p>
    <w:p>
      <w:pPr>
        <w:tabs>
          <w:tab w:val="left" w:pos="851"/>
        </w:tabs>
        <w:spacing w:line="360" w:lineRule="auto"/>
        <w:ind w:firstLine="360" w:firstLineChars="150"/>
        <w:rPr>
          <w:rFonts w:ascii="宋体" w:hAnsi="宋体" w:cs="宋体"/>
          <w:sz w:val="24"/>
        </w:rPr>
      </w:pPr>
      <w:r>
        <w:rPr>
          <w:rFonts w:hint="eastAsia" w:ascii="宋体" w:hAnsi="宋体" w:cs="宋体"/>
          <w:sz w:val="24"/>
        </w:rPr>
        <w:t>（2）元器件清单：显示所有可更换部件的完整再订购信息，这些信息必须与所列装置上的标识一致。</w:t>
      </w:r>
    </w:p>
    <w:p>
      <w:pPr>
        <w:tabs>
          <w:tab w:val="left" w:pos="851"/>
        </w:tabs>
        <w:spacing w:line="360" w:lineRule="auto"/>
        <w:ind w:firstLine="360" w:firstLineChars="150"/>
        <w:rPr>
          <w:rFonts w:ascii="宋体" w:hAnsi="宋体" w:cs="宋体"/>
          <w:sz w:val="24"/>
        </w:rPr>
      </w:pPr>
      <w:r>
        <w:rPr>
          <w:rFonts w:hint="eastAsia" w:ascii="宋体" w:hAnsi="宋体" w:cs="宋体"/>
          <w:sz w:val="24"/>
        </w:rPr>
        <w:t>（3）元器件合格证、说明书。</w:t>
      </w:r>
    </w:p>
    <w:p>
      <w:pPr>
        <w:tabs>
          <w:tab w:val="left" w:pos="851"/>
        </w:tabs>
        <w:spacing w:line="360" w:lineRule="auto"/>
        <w:ind w:firstLine="360" w:firstLineChars="150"/>
        <w:rPr>
          <w:rFonts w:ascii="宋体" w:hAnsi="宋体" w:cs="宋体"/>
          <w:sz w:val="24"/>
        </w:rPr>
      </w:pPr>
      <w:r>
        <w:rPr>
          <w:rFonts w:hint="eastAsia" w:ascii="宋体" w:hAnsi="宋体" w:cs="宋体"/>
          <w:sz w:val="24"/>
        </w:rPr>
        <w:t>（4）安装和维护说明书。</w:t>
      </w:r>
    </w:p>
    <w:p>
      <w:pPr>
        <w:tabs>
          <w:tab w:val="left" w:pos="851"/>
        </w:tabs>
        <w:spacing w:line="360" w:lineRule="auto"/>
        <w:ind w:firstLine="360" w:firstLineChars="150"/>
        <w:rPr>
          <w:rFonts w:ascii="宋体" w:hAnsi="宋体" w:cs="宋体"/>
          <w:sz w:val="24"/>
        </w:rPr>
      </w:pPr>
      <w:r>
        <w:rPr>
          <w:rFonts w:hint="eastAsia" w:ascii="宋体" w:hAnsi="宋体" w:cs="宋体"/>
          <w:sz w:val="24"/>
        </w:rPr>
        <w:t>（5）安装检查记录。</w:t>
      </w:r>
    </w:p>
    <w:p>
      <w:pPr>
        <w:tabs>
          <w:tab w:val="left" w:pos="851"/>
        </w:tabs>
        <w:spacing w:line="360" w:lineRule="auto"/>
        <w:ind w:firstLine="360" w:firstLineChars="150"/>
        <w:rPr>
          <w:rFonts w:ascii="宋体" w:hAnsi="宋体" w:cs="宋体"/>
          <w:sz w:val="24"/>
        </w:rPr>
      </w:pPr>
      <w:r>
        <w:rPr>
          <w:rFonts w:hint="eastAsia" w:ascii="宋体" w:hAnsi="宋体" w:cs="宋体"/>
          <w:sz w:val="24"/>
        </w:rPr>
        <w:t>（6）交接试验报告。</w:t>
      </w:r>
    </w:p>
    <w:p>
      <w:pPr>
        <w:tabs>
          <w:tab w:val="left" w:pos="851"/>
        </w:tabs>
        <w:spacing w:line="360" w:lineRule="auto"/>
        <w:ind w:firstLine="360" w:firstLineChars="150"/>
        <w:rPr>
          <w:rFonts w:ascii="宋体" w:hAnsi="宋体" w:cs="宋体"/>
          <w:sz w:val="24"/>
        </w:rPr>
      </w:pPr>
      <w:r>
        <w:rPr>
          <w:rFonts w:hint="eastAsia" w:ascii="宋体" w:hAnsi="宋体" w:cs="宋体"/>
          <w:sz w:val="24"/>
        </w:rPr>
        <w:t>（7）图纸：电子档CAD+PDF，纸质版1册。</w:t>
      </w:r>
    </w:p>
    <w:p>
      <w:pPr>
        <w:tabs>
          <w:tab w:val="left" w:pos="851"/>
        </w:tabs>
        <w:spacing w:line="360" w:lineRule="auto"/>
        <w:ind w:firstLine="360" w:firstLineChars="150"/>
        <w:rPr>
          <w:rFonts w:ascii="宋体" w:hAnsi="宋体" w:cs="宋体"/>
          <w:sz w:val="24"/>
        </w:rPr>
      </w:pPr>
      <w:r>
        <w:rPr>
          <w:rFonts w:hint="eastAsia" w:ascii="宋体" w:hAnsi="宋体" w:cs="宋体"/>
          <w:sz w:val="24"/>
        </w:rPr>
        <w:t>（8）项目竣工文件归档案卷。</w:t>
      </w:r>
    </w:p>
    <w:p>
      <w:pPr>
        <w:pStyle w:val="25"/>
        <w:numPr>
          <w:ilvl w:val="0"/>
          <w:numId w:val="5"/>
        </w:numPr>
        <w:tabs>
          <w:tab w:val="left" w:pos="851"/>
        </w:tabs>
        <w:spacing w:line="360" w:lineRule="auto"/>
        <w:ind w:firstLineChars="0"/>
        <w:rPr>
          <w:rFonts w:ascii="宋体" w:hAnsi="宋体" w:cs="宋体"/>
          <w:b/>
          <w:sz w:val="24"/>
        </w:rPr>
      </w:pPr>
      <w:r>
        <w:rPr>
          <w:rFonts w:hint="eastAsia" w:ascii="宋体" w:hAnsi="宋体" w:cs="宋体"/>
          <w:b/>
          <w:sz w:val="24"/>
        </w:rPr>
        <w:t>品牌要求</w:t>
      </w:r>
    </w:p>
    <w:p>
      <w:pPr>
        <w:spacing w:line="360" w:lineRule="auto"/>
        <w:ind w:firstLine="482" w:firstLineChars="200"/>
        <w:rPr>
          <w:rFonts w:ascii="宋体" w:hAnsi="宋体" w:cs="宋体"/>
          <w:b/>
          <w:bCs/>
          <w:sz w:val="24"/>
        </w:rPr>
      </w:pPr>
      <w:r>
        <w:rPr>
          <w:rFonts w:hint="eastAsia" w:ascii="宋体" w:hAnsi="宋体" w:cs="宋体"/>
          <w:b/>
          <w:bCs/>
          <w:sz w:val="24"/>
        </w:rPr>
        <w:t>铜管母线生产厂家：山东泰开电缆有限公司、山东中泰阳光电气科技有限公司、湖北兴和电力新材料股份有限公司。</w:t>
      </w:r>
    </w:p>
    <w:p>
      <w:pPr>
        <w:rPr>
          <w:rFonts w:ascii="宋体" w:hAnsi="宋体" w:cs="宋体"/>
          <w:sz w:val="24"/>
        </w:rPr>
      </w:pPr>
      <w:r>
        <w:rPr>
          <w:rFonts w:hint="eastAsia" w:ascii="宋体" w:hAnsi="宋体" w:cs="宋体"/>
          <w:b/>
          <w:sz w:val="24"/>
        </w:rPr>
        <w:t>六、</w:t>
      </w:r>
      <w:r>
        <w:rPr>
          <w:rFonts w:hint="eastAsia" w:ascii="宋体" w:hAnsi="宋体" w:cs="宋体"/>
          <w:b/>
          <w:color w:val="000000"/>
          <w:kern w:val="0"/>
          <w:sz w:val="28"/>
          <w:szCs w:val="28"/>
        </w:rPr>
        <w:t>资质要求</w:t>
      </w:r>
    </w:p>
    <w:p>
      <w:pPr>
        <w:tabs>
          <w:tab w:val="left" w:pos="567"/>
          <w:tab w:val="left" w:pos="709"/>
        </w:tabs>
        <w:spacing w:line="360" w:lineRule="auto"/>
        <w:ind w:left="420" w:leftChars="200" w:firstLine="146" w:firstLineChars="61"/>
        <w:rPr>
          <w:rFonts w:ascii="宋体" w:hAnsi="宋体" w:cs="宋体"/>
          <w:sz w:val="24"/>
        </w:rPr>
      </w:pPr>
      <w:r>
        <w:rPr>
          <w:rFonts w:hint="eastAsia" w:ascii="宋体" w:hAnsi="宋体" w:cs="宋体"/>
          <w:sz w:val="24"/>
        </w:rPr>
        <w:t>1、</w:t>
      </w:r>
      <w:r>
        <w:rPr>
          <w:rFonts w:hint="eastAsia" w:ascii="宋体" w:hAnsi="宋体" w:cs="宋体"/>
          <w:sz w:val="24"/>
          <w:lang w:val="en-US" w:eastAsia="zh-CN"/>
        </w:rPr>
        <w:t>参选</w:t>
      </w:r>
      <w:r>
        <w:rPr>
          <w:rFonts w:hint="eastAsia" w:ascii="宋体" w:hAnsi="宋体" w:cs="宋体"/>
          <w:sz w:val="24"/>
        </w:rPr>
        <w:t>单位具有独立法人资格。</w:t>
      </w:r>
    </w:p>
    <w:p>
      <w:pPr>
        <w:tabs>
          <w:tab w:val="left" w:pos="420"/>
          <w:tab w:val="left" w:pos="709"/>
        </w:tabs>
        <w:spacing w:line="360" w:lineRule="auto"/>
        <w:ind w:firstLine="566" w:firstLineChars="236"/>
        <w:rPr>
          <w:rFonts w:ascii="宋体" w:hAnsi="宋体" w:cs="宋体"/>
          <w:sz w:val="24"/>
        </w:rPr>
      </w:pPr>
      <w:r>
        <w:rPr>
          <w:rFonts w:hint="eastAsia" w:ascii="宋体" w:hAnsi="宋体" w:cs="宋体"/>
          <w:sz w:val="24"/>
        </w:rPr>
        <w:t>2、安装单位具有铜管母线类设备安装施工经验，须提供资质及相关业绩证明文件（含发票复印件）。如无铜管母线类设备安装施工经验，则视为不合格投标商。</w:t>
      </w:r>
    </w:p>
    <w:p>
      <w:pPr>
        <w:tabs>
          <w:tab w:val="left" w:pos="709"/>
        </w:tabs>
        <w:spacing w:line="360" w:lineRule="auto"/>
        <w:ind w:left="567"/>
        <w:rPr>
          <w:rFonts w:ascii="宋体" w:hAnsi="宋体" w:cs="宋体"/>
          <w:sz w:val="24"/>
        </w:rPr>
      </w:pPr>
      <w:r>
        <w:rPr>
          <w:rFonts w:hint="eastAsia" w:ascii="宋体" w:hAnsi="宋体" w:cs="宋体"/>
          <w:sz w:val="24"/>
        </w:rPr>
        <w:t>3、本项目接受联合体投标，安装单位应具有以下资质中的一种：</w:t>
      </w:r>
    </w:p>
    <w:p>
      <w:pPr>
        <w:numPr>
          <w:ilvl w:val="0"/>
          <w:numId w:val="6"/>
        </w:numPr>
        <w:spacing w:line="360" w:lineRule="auto"/>
        <w:ind w:firstLine="420"/>
        <w:rPr>
          <w:rFonts w:ascii="宋体" w:hAnsi="宋体" w:cs="宋体"/>
          <w:sz w:val="24"/>
        </w:rPr>
      </w:pPr>
      <w:r>
        <w:rPr>
          <w:rFonts w:hint="eastAsia" w:ascii="宋体" w:hAnsi="宋体" w:cs="宋体"/>
          <w:sz w:val="24"/>
        </w:rPr>
        <w:t>电力工程施工总承包三级及以上；</w:t>
      </w:r>
    </w:p>
    <w:p>
      <w:pPr>
        <w:numPr>
          <w:ilvl w:val="0"/>
          <w:numId w:val="6"/>
        </w:numPr>
        <w:spacing w:line="360" w:lineRule="auto"/>
        <w:ind w:firstLine="420"/>
        <w:rPr>
          <w:rFonts w:ascii="宋体" w:hAnsi="宋体" w:cs="宋体"/>
          <w:sz w:val="24"/>
        </w:rPr>
      </w:pPr>
      <w:r>
        <w:rPr>
          <w:rFonts w:hint="eastAsia" w:ascii="宋体" w:hAnsi="宋体" w:cs="宋体"/>
          <w:sz w:val="24"/>
        </w:rPr>
        <w:t>机电工程施工总承包三级及以上；</w:t>
      </w:r>
    </w:p>
    <w:p>
      <w:pPr>
        <w:numPr>
          <w:ilvl w:val="0"/>
          <w:numId w:val="6"/>
        </w:numPr>
        <w:spacing w:line="360" w:lineRule="auto"/>
        <w:ind w:firstLine="420"/>
        <w:rPr>
          <w:rFonts w:ascii="宋体" w:hAnsi="宋体" w:cs="宋体"/>
          <w:sz w:val="24"/>
        </w:rPr>
      </w:pPr>
      <w:r>
        <w:rPr>
          <w:rFonts w:hint="eastAsia" w:ascii="宋体" w:hAnsi="宋体" w:cs="宋体"/>
          <w:sz w:val="24"/>
        </w:rPr>
        <w:t>输变电工程专业承包三级及以上；</w:t>
      </w:r>
    </w:p>
    <w:p>
      <w:pPr>
        <w:numPr>
          <w:ilvl w:val="0"/>
          <w:numId w:val="6"/>
        </w:numPr>
        <w:spacing w:line="360" w:lineRule="auto"/>
        <w:ind w:firstLine="420"/>
        <w:rPr>
          <w:rFonts w:ascii="宋体" w:hAnsi="宋体" w:cs="宋体"/>
          <w:sz w:val="24"/>
        </w:rPr>
      </w:pPr>
      <w:r>
        <w:rPr>
          <w:rFonts w:hint="eastAsia" w:ascii="宋体" w:hAnsi="宋体" w:cs="宋体"/>
          <w:sz w:val="24"/>
        </w:rPr>
        <w:t>承装（修、试）电力设施许可证五级及以上。</w:t>
      </w:r>
    </w:p>
    <w:p>
      <w:pPr>
        <w:numPr>
          <w:ilvl w:val="0"/>
          <w:numId w:val="6"/>
        </w:numPr>
        <w:spacing w:line="360" w:lineRule="auto"/>
        <w:ind w:firstLine="420"/>
        <w:rPr>
          <w:rFonts w:ascii="宋体" w:hAnsi="宋体" w:cs="宋体"/>
          <w:sz w:val="24"/>
        </w:rPr>
      </w:pPr>
      <w:r>
        <w:rPr>
          <w:rFonts w:hint="eastAsia" w:ascii="宋体" w:hAnsi="宋体" w:cs="宋体"/>
          <w:b/>
          <w:sz w:val="24"/>
        </w:rPr>
        <w:t>若采用联合投标，铜管母线生产厂家人员需全程现场参与本项目的施工过程，控制施工质量，直至施工验收合格。</w:t>
      </w:r>
    </w:p>
    <w:p>
      <w:pPr>
        <w:spacing w:line="360" w:lineRule="auto"/>
        <w:ind w:firstLine="567"/>
        <w:rPr>
          <w:rFonts w:ascii="宋体" w:hAnsi="宋体" w:cs="宋体"/>
          <w:sz w:val="24"/>
        </w:rPr>
      </w:pPr>
      <w:r>
        <w:rPr>
          <w:rFonts w:hint="eastAsia" w:ascii="宋体" w:hAnsi="宋体" w:cs="宋体"/>
          <w:sz w:val="24"/>
        </w:rPr>
        <w:t>4、施工作业人员应具有高压电工作业证，试验人员应具有电气试验作业证。</w:t>
      </w:r>
    </w:p>
    <w:p>
      <w:pPr>
        <w:widowControl/>
        <w:shd w:val="clear" w:color="auto" w:fill="FFFFFF"/>
        <w:spacing w:line="276" w:lineRule="auto"/>
        <w:ind w:left="565" w:hanging="565" w:hangingChars="201"/>
        <w:rPr>
          <w:rFonts w:ascii="宋体" w:hAnsi="宋体" w:cs="宋体"/>
          <w:b/>
          <w:bCs/>
          <w:sz w:val="28"/>
          <w:szCs w:val="28"/>
        </w:rPr>
      </w:pPr>
      <w:r>
        <w:rPr>
          <w:rFonts w:hint="eastAsia" w:ascii="宋体" w:hAnsi="宋体" w:cs="宋体"/>
          <w:b/>
          <w:bCs/>
          <w:sz w:val="28"/>
          <w:szCs w:val="28"/>
        </w:rPr>
        <w:t>七、报价注意事项</w:t>
      </w:r>
    </w:p>
    <w:p>
      <w:pPr>
        <w:numPr>
          <w:ilvl w:val="0"/>
          <w:numId w:val="7"/>
        </w:numPr>
        <w:tabs>
          <w:tab w:val="left" w:pos="709"/>
        </w:tabs>
        <w:spacing w:line="360" w:lineRule="auto"/>
        <w:ind w:left="5" w:firstLine="562"/>
        <w:rPr>
          <w:rFonts w:ascii="宋体" w:hAnsi="宋体" w:cs="宋体"/>
          <w:sz w:val="24"/>
        </w:rPr>
      </w:pPr>
      <w:r>
        <w:rPr>
          <w:rFonts w:hint="eastAsia" w:ascii="宋体" w:hAnsi="宋体" w:cs="宋体"/>
          <w:sz w:val="24"/>
          <w:lang w:val="en-US" w:eastAsia="zh-CN"/>
        </w:rPr>
        <w:t>参选</w:t>
      </w:r>
      <w:r>
        <w:rPr>
          <w:rFonts w:hint="eastAsia" w:ascii="宋体" w:hAnsi="宋体" w:cs="宋体"/>
          <w:sz w:val="24"/>
        </w:rPr>
        <w:t>文件应严格符合本项目发包文件中列出的所有条款，除已特殊说明的条款外，报价文件中所提供的服务应保证完全符合发包文件所需要技术指标，否则，由此而产生的问题均由承包商负责。</w:t>
      </w:r>
    </w:p>
    <w:p>
      <w:pPr>
        <w:numPr>
          <w:ilvl w:val="0"/>
          <w:numId w:val="7"/>
        </w:numPr>
        <w:tabs>
          <w:tab w:val="left" w:pos="709"/>
        </w:tabs>
        <w:spacing w:line="360" w:lineRule="auto"/>
        <w:ind w:left="5" w:firstLine="562"/>
        <w:rPr>
          <w:rFonts w:ascii="宋体" w:hAnsi="宋体" w:cs="宋体"/>
          <w:sz w:val="24"/>
        </w:rPr>
      </w:pPr>
      <w:r>
        <w:rPr>
          <w:rFonts w:hint="eastAsia" w:ascii="宋体" w:hAnsi="宋体" w:cs="宋体"/>
          <w:sz w:val="24"/>
        </w:rPr>
        <w:t>承包商报价前须了解现场实际情况，确定清楚施工材料数量、施工工作量，进行技术澄清，如有异议须在投标前提出。施工过程中产生的所有工作量以及所需的施工材料均含于报价内，决购后不得以任何理由要求追加。</w:t>
      </w:r>
    </w:p>
    <w:p>
      <w:pPr>
        <w:numPr>
          <w:ilvl w:val="0"/>
          <w:numId w:val="7"/>
        </w:numPr>
        <w:tabs>
          <w:tab w:val="left" w:pos="709"/>
        </w:tabs>
        <w:spacing w:line="360" w:lineRule="auto"/>
        <w:ind w:left="5" w:firstLine="562"/>
        <w:rPr>
          <w:rFonts w:ascii="宋体" w:hAnsi="宋体" w:cs="宋体"/>
          <w:sz w:val="24"/>
        </w:rPr>
      </w:pPr>
      <w:r>
        <w:rPr>
          <w:rFonts w:hint="eastAsia" w:ascii="宋体" w:hAnsi="宋体" w:cs="宋体"/>
          <w:sz w:val="24"/>
        </w:rPr>
        <w:t>承包商参与</w:t>
      </w:r>
      <w:r>
        <w:rPr>
          <w:rFonts w:hint="eastAsia" w:ascii="宋体" w:hAnsi="宋体" w:cs="宋体"/>
          <w:sz w:val="24"/>
          <w:lang w:val="en-US" w:eastAsia="zh-CN"/>
        </w:rPr>
        <w:t>比选</w:t>
      </w:r>
      <w:r>
        <w:rPr>
          <w:rFonts w:hint="eastAsia" w:ascii="宋体" w:hAnsi="宋体" w:cs="宋体"/>
          <w:sz w:val="24"/>
        </w:rPr>
        <w:t>即视为已充分了解现场情况、技术要求、福海创公司《外包工程承包商工安、环保管理规定》和《作业安全管理规定》等安全要求。</w:t>
      </w:r>
    </w:p>
    <w:p>
      <w:pPr>
        <w:numPr>
          <w:ilvl w:val="0"/>
          <w:numId w:val="7"/>
        </w:numPr>
        <w:tabs>
          <w:tab w:val="left" w:pos="709"/>
        </w:tabs>
        <w:spacing w:line="360" w:lineRule="auto"/>
        <w:ind w:left="5" w:firstLine="562"/>
        <w:rPr>
          <w:rFonts w:ascii="宋体" w:hAnsi="宋体" w:cs="宋体"/>
          <w:sz w:val="24"/>
        </w:rPr>
      </w:pPr>
      <w:r>
        <w:rPr>
          <w:rFonts w:hint="eastAsia" w:ascii="宋体" w:hAnsi="宋体" w:cs="宋体"/>
          <w:sz w:val="24"/>
        </w:rPr>
        <w:t>承包商</w:t>
      </w:r>
      <w:r>
        <w:rPr>
          <w:rFonts w:hint="eastAsia" w:ascii="宋体" w:hAnsi="宋体" w:cs="宋体"/>
          <w:sz w:val="24"/>
          <w:lang w:val="en-US" w:eastAsia="zh-CN"/>
        </w:rPr>
        <w:t>参选文件</w:t>
      </w:r>
      <w:r>
        <w:rPr>
          <w:rFonts w:hint="eastAsia" w:ascii="宋体" w:hAnsi="宋体" w:cs="宋体"/>
          <w:sz w:val="24"/>
        </w:rPr>
        <w:t>须包含具体施工方案，包括但不限于各设备详细试验项目和试验仪器、工具、机具、消耗品清单，以及人力配置和施工进度计划。</w:t>
      </w:r>
    </w:p>
    <w:p>
      <w:pPr>
        <w:numPr>
          <w:ilvl w:val="0"/>
          <w:numId w:val="7"/>
        </w:numPr>
        <w:tabs>
          <w:tab w:val="left" w:pos="709"/>
        </w:tabs>
        <w:spacing w:line="360" w:lineRule="auto"/>
        <w:ind w:left="5" w:firstLine="562"/>
        <w:rPr>
          <w:rFonts w:ascii="宋体" w:hAnsi="宋体" w:cs="宋体"/>
          <w:sz w:val="24"/>
        </w:rPr>
      </w:pPr>
      <w:r>
        <w:rPr>
          <w:rFonts w:hint="eastAsia" w:ascii="宋体" w:hAnsi="宋体" w:cs="宋体"/>
          <w:sz w:val="24"/>
        </w:rPr>
        <w:t>本项目承包商施工前自行评估施工方案的可行性、安全性，提出安全施工的防护措施及应急方案。承包商须承担因施工危险因素考虑不周而产生后果的一切责任，所涉及的安全费用、责任风险费用均含于报价内。</w:t>
      </w:r>
    </w:p>
    <w:p>
      <w:pPr>
        <w:numPr>
          <w:ilvl w:val="0"/>
          <w:numId w:val="7"/>
        </w:numPr>
        <w:tabs>
          <w:tab w:val="left" w:pos="709"/>
        </w:tabs>
        <w:spacing w:line="360" w:lineRule="auto"/>
        <w:ind w:left="5" w:firstLine="562"/>
        <w:rPr>
          <w:rFonts w:ascii="宋体" w:hAnsi="宋体" w:cs="宋体"/>
          <w:sz w:val="24"/>
        </w:rPr>
      </w:pPr>
      <w:r>
        <w:rPr>
          <w:rFonts w:hint="eastAsia" w:ascii="宋体" w:hAnsi="宋体" w:cs="宋体"/>
          <w:sz w:val="24"/>
        </w:rPr>
        <w:t>本项目合同签订后，至施工完成的周期内，任何原因导致本项目成本增加，均由承包商承担，不予追加。</w:t>
      </w:r>
    </w:p>
    <w:p>
      <w:pPr>
        <w:autoSpaceDE w:val="0"/>
        <w:autoSpaceDN w:val="0"/>
        <w:adjustRightInd w:val="0"/>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rPr>
        <w:t>八、工期、质保要求</w:t>
      </w:r>
    </w:p>
    <w:p>
      <w:pPr>
        <w:numPr>
          <w:ilvl w:val="0"/>
          <w:numId w:val="8"/>
        </w:numPr>
        <w:tabs>
          <w:tab w:val="left" w:pos="709"/>
        </w:tabs>
        <w:spacing w:line="360" w:lineRule="auto"/>
        <w:ind w:left="5" w:firstLine="562"/>
        <w:rPr>
          <w:rFonts w:ascii="宋体" w:hAnsi="宋体" w:cs="宋体"/>
          <w:sz w:val="24"/>
        </w:rPr>
      </w:pPr>
      <w:r>
        <w:rPr>
          <w:rFonts w:hint="eastAsia" w:ascii="宋体" w:hAnsi="宋体" w:cs="宋体"/>
          <w:sz w:val="24"/>
        </w:rPr>
        <w:t>开工日期：2025年，以甲方通知时间为准</w:t>
      </w:r>
    </w:p>
    <w:p>
      <w:pPr>
        <w:numPr>
          <w:ilvl w:val="0"/>
          <w:numId w:val="8"/>
        </w:numPr>
        <w:tabs>
          <w:tab w:val="left" w:pos="709"/>
        </w:tabs>
        <w:spacing w:line="360" w:lineRule="auto"/>
        <w:ind w:left="5" w:firstLine="562"/>
        <w:rPr>
          <w:rFonts w:ascii="宋体" w:hAnsi="宋体" w:cs="宋体"/>
          <w:sz w:val="24"/>
        </w:rPr>
      </w:pPr>
      <w:r>
        <w:rPr>
          <w:rFonts w:hint="eastAsia" w:ascii="宋体" w:hAnsi="宋体" w:cs="宋体"/>
          <w:sz w:val="24"/>
        </w:rPr>
        <w:t>完工日期：30天（甲方通知时间次日起算）</w:t>
      </w:r>
    </w:p>
    <w:p>
      <w:pPr>
        <w:numPr>
          <w:ilvl w:val="0"/>
          <w:numId w:val="8"/>
        </w:numPr>
        <w:tabs>
          <w:tab w:val="left" w:pos="709"/>
        </w:tabs>
        <w:spacing w:line="360" w:lineRule="auto"/>
        <w:ind w:left="5" w:firstLine="562"/>
        <w:rPr>
          <w:rFonts w:ascii="宋体" w:hAnsi="宋体" w:cs="宋体"/>
          <w:sz w:val="24"/>
        </w:rPr>
      </w:pPr>
      <w:r>
        <w:rPr>
          <w:rFonts w:hint="eastAsia" w:ascii="宋体" w:hAnsi="宋体" w:cs="宋体"/>
          <w:sz w:val="24"/>
        </w:rPr>
        <w:t>铜管母线自安装验收投用正常之日起保修1年，并提供终身技术支持及设备维修，完整售后服务功能。</w:t>
      </w:r>
    </w:p>
    <w:p>
      <w:pPr>
        <w:widowControl/>
        <w:shd w:val="clear" w:color="auto" w:fill="FFFFFF"/>
        <w:spacing w:line="276" w:lineRule="auto"/>
        <w:jc w:val="left"/>
        <w:rPr>
          <w:rFonts w:ascii="宋体" w:hAnsi="宋体" w:cs="宋体"/>
          <w:b/>
          <w:bCs/>
          <w:sz w:val="28"/>
          <w:szCs w:val="28"/>
        </w:rPr>
      </w:pPr>
      <w:r>
        <w:rPr>
          <w:rFonts w:hint="eastAsia" w:ascii="宋体" w:hAnsi="宋体" w:cs="宋体"/>
          <w:b/>
          <w:bCs/>
          <w:sz w:val="28"/>
          <w:szCs w:val="28"/>
        </w:rPr>
        <w:t>九、承包商职责</w:t>
      </w:r>
    </w:p>
    <w:p>
      <w:pPr>
        <w:pStyle w:val="25"/>
        <w:numPr>
          <w:ilvl w:val="0"/>
          <w:numId w:val="9"/>
        </w:numPr>
        <w:spacing w:line="360" w:lineRule="auto"/>
        <w:ind w:left="5" w:firstLine="562" w:firstLineChars="0"/>
        <w:jc w:val="left"/>
        <w:rPr>
          <w:rFonts w:ascii="宋体" w:hAnsi="宋体" w:cs="宋体"/>
          <w:sz w:val="24"/>
        </w:rPr>
      </w:pPr>
      <w:r>
        <w:rPr>
          <w:rFonts w:hint="eastAsia" w:ascii="宋体" w:hAnsi="宋体" w:cs="宋体"/>
          <w:sz w:val="24"/>
        </w:rPr>
        <w:t>施工设备、机具、工具、作业平台、消耗品、劳保用品等由承包商自备。</w:t>
      </w:r>
    </w:p>
    <w:p>
      <w:pPr>
        <w:pStyle w:val="25"/>
        <w:numPr>
          <w:ilvl w:val="0"/>
          <w:numId w:val="9"/>
        </w:numPr>
        <w:spacing w:line="360" w:lineRule="auto"/>
        <w:ind w:left="5" w:firstLine="562" w:firstLineChars="0"/>
        <w:jc w:val="left"/>
        <w:rPr>
          <w:rFonts w:ascii="宋体" w:hAnsi="宋体" w:cs="宋体"/>
          <w:sz w:val="24"/>
        </w:rPr>
      </w:pPr>
      <w:r>
        <w:rPr>
          <w:rFonts w:hint="eastAsia" w:ascii="宋体" w:hAnsi="宋体" w:cs="宋体"/>
          <w:sz w:val="24"/>
        </w:rPr>
        <w:t>承包商施工时不得损坏现场设备，否则造成的损失须负责赔偿。</w:t>
      </w:r>
    </w:p>
    <w:p>
      <w:pPr>
        <w:pStyle w:val="25"/>
        <w:numPr>
          <w:ilvl w:val="0"/>
          <w:numId w:val="9"/>
        </w:numPr>
        <w:spacing w:line="360" w:lineRule="auto"/>
        <w:ind w:left="5" w:firstLine="562" w:firstLineChars="0"/>
        <w:jc w:val="left"/>
        <w:rPr>
          <w:rFonts w:ascii="宋体" w:hAnsi="宋体" w:cs="宋体"/>
          <w:sz w:val="24"/>
        </w:rPr>
      </w:pPr>
      <w:r>
        <w:rPr>
          <w:rFonts w:hint="eastAsia" w:ascii="宋体" w:hAnsi="宋体" w:cs="宋体"/>
          <w:sz w:val="24"/>
        </w:rPr>
        <w:t>当天施工产生的垃圾须及时运送至指定地点存放，不得随意丢弃。每天施工结束时要做到“工完、料尽、场地清”。</w:t>
      </w:r>
    </w:p>
    <w:p>
      <w:pPr>
        <w:pStyle w:val="25"/>
        <w:numPr>
          <w:ilvl w:val="0"/>
          <w:numId w:val="9"/>
        </w:numPr>
        <w:spacing w:line="360" w:lineRule="auto"/>
        <w:ind w:left="5" w:firstLine="562" w:firstLineChars="0"/>
        <w:jc w:val="left"/>
        <w:rPr>
          <w:rFonts w:ascii="宋体" w:hAnsi="宋体" w:cs="宋体"/>
          <w:sz w:val="24"/>
        </w:rPr>
      </w:pPr>
      <w:r>
        <w:rPr>
          <w:rFonts w:hint="eastAsia" w:ascii="宋体" w:hAnsi="宋体" w:cs="宋体"/>
          <w:sz w:val="24"/>
        </w:rPr>
        <w:t>施工过程发现的问题须及时向发包方项目负责人通报。</w:t>
      </w:r>
    </w:p>
    <w:p>
      <w:pPr>
        <w:pStyle w:val="25"/>
        <w:numPr>
          <w:ilvl w:val="0"/>
          <w:numId w:val="9"/>
        </w:numPr>
        <w:spacing w:line="360" w:lineRule="auto"/>
        <w:ind w:left="5" w:firstLine="562" w:firstLineChars="0"/>
        <w:jc w:val="left"/>
        <w:rPr>
          <w:rFonts w:ascii="宋体" w:hAnsi="宋体" w:cs="宋体"/>
          <w:sz w:val="24"/>
        </w:rPr>
      </w:pPr>
      <w:r>
        <w:rPr>
          <w:rFonts w:hint="eastAsia" w:ascii="宋体" w:hAnsi="宋体" w:cs="宋体"/>
          <w:sz w:val="24"/>
        </w:rPr>
        <w:t>承包商施工期间不允许进入与施工无关的区域，在指定的地点休息。</w:t>
      </w:r>
    </w:p>
    <w:p>
      <w:pPr>
        <w:pStyle w:val="25"/>
        <w:numPr>
          <w:ilvl w:val="0"/>
          <w:numId w:val="9"/>
        </w:numPr>
        <w:spacing w:line="360" w:lineRule="auto"/>
        <w:ind w:left="5" w:firstLine="562" w:firstLineChars="0"/>
        <w:jc w:val="left"/>
        <w:rPr>
          <w:rFonts w:ascii="宋体" w:hAnsi="宋体" w:cs="宋体"/>
          <w:sz w:val="24"/>
        </w:rPr>
      </w:pPr>
      <w:r>
        <w:rPr>
          <w:rFonts w:hint="eastAsia" w:ascii="宋体" w:hAnsi="宋体" w:cs="宋体"/>
          <w:sz w:val="24"/>
        </w:rPr>
        <w:t>承包商入厂备案需提供包含但不限于如下资料：</w:t>
      </w:r>
    </w:p>
    <w:p>
      <w:pPr>
        <w:spacing w:line="360" w:lineRule="auto"/>
        <w:ind w:left="363" w:leftChars="173" w:firstLine="120" w:firstLineChars="50"/>
        <w:jc w:val="left"/>
        <w:rPr>
          <w:rFonts w:ascii="宋体" w:hAnsi="宋体" w:cs="宋体"/>
          <w:sz w:val="24"/>
        </w:rPr>
      </w:pPr>
      <w:r>
        <w:rPr>
          <w:rFonts w:hint="eastAsia" w:ascii="宋体" w:hAnsi="宋体" w:cs="宋体"/>
          <w:sz w:val="24"/>
        </w:rPr>
        <w:t>（1）安全生产许可证复印件、营业执照复印件。</w:t>
      </w:r>
    </w:p>
    <w:p>
      <w:pPr>
        <w:spacing w:line="360" w:lineRule="auto"/>
        <w:ind w:firstLine="480" w:firstLineChars="200"/>
        <w:jc w:val="left"/>
        <w:rPr>
          <w:rFonts w:ascii="宋体" w:hAnsi="宋体" w:cs="宋体"/>
          <w:sz w:val="24"/>
        </w:rPr>
      </w:pPr>
      <w:r>
        <w:rPr>
          <w:rFonts w:hint="eastAsia" w:ascii="宋体" w:hAnsi="宋体" w:cs="宋体"/>
          <w:sz w:val="24"/>
        </w:rPr>
        <w:t>（2）施工安全生产组织机构+安全生产责任制。</w:t>
      </w:r>
    </w:p>
    <w:p>
      <w:pPr>
        <w:spacing w:line="360" w:lineRule="auto"/>
        <w:ind w:firstLine="480" w:firstLineChars="200"/>
        <w:jc w:val="left"/>
        <w:rPr>
          <w:rFonts w:ascii="宋体" w:hAnsi="宋体" w:cs="宋体"/>
          <w:sz w:val="24"/>
        </w:rPr>
      </w:pPr>
      <w:r>
        <w:rPr>
          <w:rFonts w:hint="eastAsia" w:ascii="宋体" w:hAnsi="宋体" w:cs="宋体"/>
          <w:sz w:val="24"/>
        </w:rPr>
        <w:t xml:space="preserve">（3）人员资质证复印件（项目经理资质为建造师、建安B，安全员资质为注册安全工程师、建安C）。 </w:t>
      </w:r>
    </w:p>
    <w:p>
      <w:pPr>
        <w:spacing w:line="360" w:lineRule="auto"/>
        <w:ind w:firstLine="480" w:firstLineChars="200"/>
        <w:jc w:val="left"/>
        <w:rPr>
          <w:rFonts w:ascii="宋体" w:hAnsi="宋体" w:cs="宋体"/>
          <w:sz w:val="24"/>
        </w:rPr>
      </w:pPr>
      <w:r>
        <w:rPr>
          <w:rFonts w:hint="eastAsia" w:ascii="宋体" w:hAnsi="宋体" w:cs="宋体"/>
          <w:sz w:val="24"/>
        </w:rPr>
        <w:t>（4）施工安全规章制度（必须</w:t>
      </w:r>
      <w:r>
        <w:rPr>
          <w:rFonts w:ascii="宋体" w:hAnsi="宋体" w:cs="宋体"/>
          <w:sz w:val="24"/>
        </w:rPr>
        <w:t>包含</w:t>
      </w:r>
      <w:r>
        <w:rPr>
          <w:rFonts w:hint="eastAsia" w:ascii="宋体" w:hAnsi="宋体" w:cs="宋体"/>
          <w:sz w:val="24"/>
        </w:rPr>
        <w:t>现场</w:t>
      </w:r>
      <w:r>
        <w:rPr>
          <w:rFonts w:ascii="宋体" w:hAnsi="宋体" w:cs="宋体"/>
          <w:sz w:val="24"/>
        </w:rPr>
        <w:t>安全管理</w:t>
      </w:r>
      <w:r>
        <w:rPr>
          <w:rFonts w:hint="eastAsia" w:ascii="宋体" w:hAnsi="宋体" w:cs="宋体"/>
          <w:sz w:val="24"/>
        </w:rPr>
        <w:t>制度</w:t>
      </w:r>
      <w:r>
        <w:rPr>
          <w:rFonts w:ascii="宋体" w:hAnsi="宋体" w:cs="宋体"/>
          <w:sz w:val="24"/>
        </w:rPr>
        <w:t>、培训管理要求、责任制</w:t>
      </w:r>
      <w:r>
        <w:rPr>
          <w:rFonts w:hint="eastAsia" w:ascii="宋体" w:hAnsi="宋体" w:cs="宋体"/>
          <w:sz w:val="24"/>
        </w:rPr>
        <w:t>、</w:t>
      </w:r>
      <w:r>
        <w:rPr>
          <w:rFonts w:ascii="宋体" w:hAnsi="宋体" w:cs="宋体"/>
          <w:sz w:val="24"/>
        </w:rPr>
        <w:t>安全生产费用管理要求</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（5）安全培训制度及培训落实情况。</w:t>
      </w:r>
    </w:p>
    <w:p>
      <w:pPr>
        <w:spacing w:line="360" w:lineRule="auto"/>
        <w:ind w:left="359" w:leftChars="171" w:firstLine="120" w:firstLineChars="50"/>
        <w:jc w:val="left"/>
        <w:rPr>
          <w:rFonts w:ascii="宋体" w:hAnsi="宋体" w:cs="宋体"/>
          <w:sz w:val="24"/>
        </w:rPr>
      </w:pPr>
      <w:r>
        <w:rPr>
          <w:rFonts w:hint="eastAsia" w:ascii="宋体" w:hAnsi="宋体" w:cs="宋体"/>
          <w:sz w:val="24"/>
        </w:rPr>
        <w:t>（6）承包商HSE承诺书、入厂告知书 （需签字</w:t>
      </w:r>
      <w:r>
        <w:rPr>
          <w:rFonts w:ascii="宋体" w:hAnsi="宋体" w:cs="宋体"/>
          <w:sz w:val="24"/>
        </w:rPr>
        <w:t>盖章</w:t>
      </w:r>
      <w:r>
        <w:rPr>
          <w:rFonts w:hint="eastAsia" w:ascii="宋体" w:hAnsi="宋体" w:cs="宋体"/>
          <w:sz w:val="24"/>
        </w:rPr>
        <w:t>）。</w:t>
      </w:r>
    </w:p>
    <w:p>
      <w:pPr>
        <w:spacing w:line="360" w:lineRule="auto"/>
        <w:ind w:left="359" w:leftChars="171" w:firstLine="120" w:firstLineChars="50"/>
        <w:jc w:val="left"/>
        <w:rPr>
          <w:rFonts w:ascii="宋体" w:hAnsi="宋体" w:cs="宋体"/>
          <w:sz w:val="24"/>
        </w:rPr>
      </w:pPr>
      <w:r>
        <w:rPr>
          <w:rFonts w:hint="eastAsia" w:ascii="宋体" w:hAnsi="宋体" w:cs="宋体"/>
          <w:sz w:val="24"/>
        </w:rPr>
        <w:t xml:space="preserve">（7）承包商安全协议书。 </w:t>
      </w:r>
    </w:p>
    <w:p>
      <w:pPr>
        <w:spacing w:line="360" w:lineRule="auto"/>
        <w:ind w:left="359" w:leftChars="171" w:firstLine="120" w:firstLineChars="50"/>
        <w:jc w:val="left"/>
        <w:rPr>
          <w:rFonts w:ascii="宋体" w:hAnsi="宋体" w:cs="宋体"/>
          <w:sz w:val="24"/>
        </w:rPr>
      </w:pPr>
      <w:r>
        <w:rPr>
          <w:rFonts w:hint="eastAsia" w:ascii="宋体" w:hAnsi="宋体" w:cs="宋体"/>
          <w:sz w:val="24"/>
        </w:rPr>
        <w:t xml:space="preserve">（8）合同复印件（含安全环保协议）。 </w:t>
      </w:r>
    </w:p>
    <w:p>
      <w:pPr>
        <w:pStyle w:val="25"/>
        <w:spacing w:line="360" w:lineRule="auto"/>
        <w:ind w:left="120" w:leftChars="57" w:firstLine="360" w:firstLineChars="150"/>
        <w:jc w:val="left"/>
        <w:rPr>
          <w:rFonts w:ascii="宋体" w:hAnsi="宋体" w:cs="宋体"/>
          <w:sz w:val="24"/>
        </w:rPr>
      </w:pPr>
      <w:r>
        <w:rPr>
          <w:rFonts w:hint="eastAsia" w:ascii="宋体" w:hAnsi="宋体" w:cs="宋体"/>
          <w:sz w:val="24"/>
        </w:rPr>
        <w:t>（9）意外险或工伤保险（意外伤害保险责任额度不低于100万/人，工伤保险应加上23万/人的意外伤害险），必须由</w:t>
      </w:r>
      <w:r>
        <w:rPr>
          <w:rFonts w:ascii="宋体" w:hAnsi="宋体" w:cs="宋体"/>
          <w:sz w:val="24"/>
        </w:rPr>
        <w:t>备案公司购买</w:t>
      </w:r>
      <w:r>
        <w:rPr>
          <w:rFonts w:hint="eastAsia" w:ascii="宋体" w:hAnsi="宋体" w:cs="宋体"/>
          <w:sz w:val="24"/>
        </w:rPr>
        <w:t>。</w:t>
      </w:r>
    </w:p>
    <w:p>
      <w:pPr>
        <w:spacing w:line="360" w:lineRule="auto"/>
        <w:ind w:firstLine="424" w:firstLineChars="177"/>
        <w:jc w:val="left"/>
        <w:rPr>
          <w:rFonts w:ascii="宋体" w:hAnsi="宋体" w:cs="宋体"/>
          <w:sz w:val="24"/>
        </w:rPr>
      </w:pPr>
      <w:r>
        <w:rPr>
          <w:rFonts w:hint="eastAsia" w:ascii="宋体" w:hAnsi="宋体" w:cs="宋体"/>
          <w:sz w:val="24"/>
        </w:rPr>
        <w:t xml:space="preserve">（10）职业健康体检记录（高处作业、起重作业、餐饮岗位人员应提供）。 </w:t>
      </w:r>
    </w:p>
    <w:p>
      <w:pPr>
        <w:tabs>
          <w:tab w:val="left" w:pos="426"/>
        </w:tabs>
        <w:spacing w:line="360" w:lineRule="auto"/>
        <w:ind w:firstLine="424" w:firstLineChars="177"/>
        <w:jc w:val="left"/>
        <w:rPr>
          <w:rFonts w:ascii="宋体" w:hAnsi="宋体" w:cs="宋体"/>
          <w:sz w:val="24"/>
        </w:rPr>
      </w:pPr>
      <w:r>
        <w:rPr>
          <w:rFonts w:hint="eastAsia" w:ascii="宋体" w:hAnsi="宋体" w:cs="宋体"/>
          <w:sz w:val="24"/>
        </w:rPr>
        <w:t>（11）劳保发放记录（要有施工人员签收记录）， 根据施工项目配备相关劳保用品及防护用品。</w:t>
      </w:r>
    </w:p>
    <w:p>
      <w:pPr>
        <w:spacing w:line="360" w:lineRule="auto"/>
        <w:ind w:firstLine="424" w:firstLineChars="177"/>
        <w:jc w:val="left"/>
        <w:rPr>
          <w:rFonts w:ascii="宋体" w:hAnsi="宋体" w:cs="宋体"/>
          <w:sz w:val="24"/>
        </w:rPr>
      </w:pPr>
      <w:r>
        <w:rPr>
          <w:rFonts w:hint="eastAsia" w:ascii="宋体" w:hAnsi="宋体" w:cs="宋体"/>
          <w:sz w:val="24"/>
        </w:rPr>
        <w:t xml:space="preserve">（12）施工方案（应经承包商、工程主管部门审批签字）。 </w:t>
      </w:r>
    </w:p>
    <w:p>
      <w:pPr>
        <w:spacing w:line="360" w:lineRule="auto"/>
        <w:ind w:left="239" w:leftChars="114" w:firstLine="184" w:firstLineChars="77"/>
        <w:jc w:val="left"/>
        <w:rPr>
          <w:rFonts w:ascii="宋体" w:hAnsi="宋体" w:cs="宋体"/>
          <w:sz w:val="24"/>
        </w:rPr>
      </w:pPr>
      <w:r>
        <w:rPr>
          <w:rFonts w:hint="eastAsia" w:ascii="宋体" w:hAnsi="宋体" w:cs="宋体"/>
          <w:sz w:val="24"/>
        </w:rPr>
        <w:t xml:space="preserve">（13）事故应急预案（应经承包商、工程主管部门审批签字）。 </w:t>
      </w:r>
    </w:p>
    <w:p>
      <w:pPr>
        <w:spacing w:line="360" w:lineRule="auto"/>
        <w:ind w:left="239" w:leftChars="114" w:firstLine="160" w:firstLineChars="67"/>
        <w:jc w:val="left"/>
        <w:rPr>
          <w:rFonts w:ascii="宋体" w:hAnsi="宋体" w:cs="宋体"/>
          <w:sz w:val="24"/>
        </w:rPr>
      </w:pPr>
      <w:r>
        <w:rPr>
          <w:rFonts w:hint="eastAsia" w:ascii="宋体" w:hAnsi="宋体" w:cs="宋体"/>
          <w:sz w:val="24"/>
        </w:rPr>
        <w:t>（14）施工机具清单、合格证、完好性检查记录 。</w:t>
      </w:r>
    </w:p>
    <w:p>
      <w:pPr>
        <w:spacing w:line="360" w:lineRule="auto"/>
        <w:ind w:firstLine="420" w:firstLineChars="175"/>
        <w:jc w:val="left"/>
        <w:rPr>
          <w:rFonts w:ascii="宋体" w:hAnsi="宋体" w:cs="宋体"/>
          <w:sz w:val="24"/>
        </w:rPr>
      </w:pPr>
      <w:r>
        <w:rPr>
          <w:rFonts w:hint="eastAsia" w:ascii="宋体" w:hAnsi="宋体" w:cs="宋体"/>
          <w:sz w:val="24"/>
        </w:rPr>
        <w:t>（1</w:t>
      </w:r>
      <w:r>
        <w:rPr>
          <w:rFonts w:ascii="宋体" w:hAnsi="宋体" w:cs="宋体"/>
          <w:sz w:val="24"/>
        </w:rPr>
        <w:t>5</w:t>
      </w:r>
      <w:r>
        <w:rPr>
          <w:rFonts w:hint="eastAsia" w:ascii="宋体" w:hAnsi="宋体" w:cs="宋体"/>
          <w:sz w:val="24"/>
        </w:rPr>
        <w:t>）符合安全技术标准的其他方面。</w:t>
      </w:r>
    </w:p>
    <w:p>
      <w:pPr>
        <w:pStyle w:val="2"/>
        <w:numPr>
          <w:ilvl w:val="0"/>
          <w:numId w:val="0"/>
        </w:numPr>
      </w:pPr>
      <w:r>
        <w:rPr>
          <w:rFonts w:hint="eastAsia" w:ascii="宋体" w:hAnsi="宋体" w:cs="宋体"/>
          <w:bCs/>
          <w:sz w:val="28"/>
          <w:szCs w:val="28"/>
        </w:rPr>
        <w:t>十、</w:t>
      </w:r>
      <w:bookmarkStart w:id="0" w:name="_Toc74743002"/>
      <w:r>
        <w:rPr>
          <w:rFonts w:hint="eastAsia"/>
        </w:rPr>
        <w:t>违约解除条款</w:t>
      </w:r>
      <w:bookmarkEnd w:id="0"/>
    </w:p>
    <w:p>
      <w:pPr>
        <w:pStyle w:val="25"/>
        <w:numPr>
          <w:ilvl w:val="0"/>
          <w:numId w:val="10"/>
        </w:numPr>
        <w:spacing w:line="360" w:lineRule="auto"/>
        <w:ind w:left="5" w:firstLine="562" w:firstLineChars="0"/>
        <w:jc w:val="left"/>
        <w:rPr>
          <w:rFonts w:ascii="宋体" w:hAnsi="宋体" w:cs="宋体"/>
          <w:sz w:val="24"/>
        </w:rPr>
      </w:pPr>
      <w:r>
        <w:rPr>
          <w:rFonts w:hint="eastAsia" w:ascii="宋体" w:hAnsi="宋体" w:cs="宋体"/>
          <w:sz w:val="24"/>
        </w:rPr>
        <w:t>承包商方有下列情形之一，发包方可终止或解除本合同：</w:t>
      </w:r>
    </w:p>
    <w:p>
      <w:pPr>
        <w:pStyle w:val="25"/>
        <w:numPr>
          <w:ilvl w:val="0"/>
          <w:numId w:val="11"/>
        </w:numPr>
        <w:spacing w:line="360" w:lineRule="auto"/>
        <w:ind w:hanging="5" w:firstLineChars="0"/>
        <w:jc w:val="left"/>
        <w:rPr>
          <w:rFonts w:ascii="宋体" w:hAnsi="宋体" w:cs="宋体"/>
          <w:sz w:val="24"/>
        </w:rPr>
      </w:pPr>
      <w:r>
        <w:rPr>
          <w:rFonts w:hint="eastAsia" w:ascii="宋体" w:hAnsi="宋体" w:cs="宋体"/>
          <w:sz w:val="24"/>
        </w:rPr>
        <w:t>承包商技术服务人员、施工作业人员、机具设备不足，发包方认为不能依合同完工时。</w:t>
      </w:r>
    </w:p>
    <w:p>
      <w:pPr>
        <w:pStyle w:val="25"/>
        <w:numPr>
          <w:ilvl w:val="0"/>
          <w:numId w:val="11"/>
        </w:numPr>
        <w:spacing w:line="360" w:lineRule="auto"/>
        <w:ind w:hanging="5" w:firstLineChars="0"/>
        <w:jc w:val="left"/>
        <w:rPr>
          <w:rFonts w:ascii="宋体" w:hAnsi="宋体" w:cs="宋体"/>
          <w:sz w:val="24"/>
        </w:rPr>
      </w:pPr>
      <w:r>
        <w:rPr>
          <w:rFonts w:hint="eastAsia" w:ascii="宋体" w:hAnsi="宋体" w:cs="宋体"/>
          <w:sz w:val="24"/>
        </w:rPr>
        <w:t>承包商违反本合同条款规定或发生事故不能履行合约。</w:t>
      </w:r>
    </w:p>
    <w:p>
      <w:pPr>
        <w:pStyle w:val="25"/>
        <w:numPr>
          <w:ilvl w:val="0"/>
          <w:numId w:val="11"/>
        </w:numPr>
        <w:spacing w:line="360" w:lineRule="auto"/>
        <w:ind w:hanging="5" w:firstLineChars="0"/>
        <w:jc w:val="left"/>
        <w:rPr>
          <w:rFonts w:ascii="宋体" w:hAnsi="宋体" w:cs="宋体"/>
          <w:sz w:val="24"/>
        </w:rPr>
      </w:pPr>
      <w:r>
        <w:rPr>
          <w:rFonts w:hint="eastAsia" w:ascii="宋体" w:hAnsi="宋体" w:cs="宋体"/>
          <w:sz w:val="24"/>
        </w:rPr>
        <w:t>承包商人员有偷窃、破坏甲方财产等违章、违法行为时。</w:t>
      </w:r>
    </w:p>
    <w:p>
      <w:pPr>
        <w:pStyle w:val="25"/>
        <w:numPr>
          <w:ilvl w:val="0"/>
          <w:numId w:val="11"/>
        </w:numPr>
        <w:spacing w:line="360" w:lineRule="auto"/>
        <w:ind w:hanging="5" w:firstLineChars="0"/>
        <w:jc w:val="left"/>
        <w:rPr>
          <w:rFonts w:ascii="宋体" w:hAnsi="宋体" w:cs="宋体"/>
          <w:sz w:val="24"/>
        </w:rPr>
      </w:pPr>
      <w:r>
        <w:rPr>
          <w:rFonts w:hint="eastAsia" w:ascii="宋体" w:hAnsi="宋体" w:cs="宋体"/>
          <w:sz w:val="24"/>
        </w:rPr>
        <w:t>承包商有其他违反约定的行为3次以上。</w:t>
      </w:r>
    </w:p>
    <w:p>
      <w:pPr>
        <w:pStyle w:val="25"/>
        <w:numPr>
          <w:ilvl w:val="0"/>
          <w:numId w:val="11"/>
        </w:numPr>
        <w:spacing w:line="360" w:lineRule="auto"/>
        <w:ind w:hanging="5" w:firstLineChars="0"/>
        <w:jc w:val="left"/>
        <w:rPr>
          <w:rFonts w:ascii="宋体" w:hAnsi="宋体" w:cs="宋体"/>
          <w:sz w:val="24"/>
        </w:rPr>
      </w:pPr>
      <w:r>
        <w:rPr>
          <w:rFonts w:hint="eastAsia" w:ascii="宋体" w:hAnsi="宋体" w:cs="宋体"/>
          <w:sz w:val="24"/>
        </w:rPr>
        <w:t>承包商提供的设备、材料严重不符约定标准，经两次纠正仍达不到标准时。</w:t>
      </w:r>
    </w:p>
    <w:p>
      <w:pPr>
        <w:pStyle w:val="25"/>
        <w:numPr>
          <w:ilvl w:val="0"/>
          <w:numId w:val="11"/>
        </w:numPr>
        <w:spacing w:line="360" w:lineRule="auto"/>
        <w:ind w:hanging="5" w:firstLineChars="0"/>
        <w:jc w:val="left"/>
        <w:rPr>
          <w:rFonts w:ascii="宋体" w:hAnsi="宋体" w:cs="宋体"/>
          <w:sz w:val="24"/>
        </w:rPr>
      </w:pPr>
      <w:r>
        <w:rPr>
          <w:rFonts w:hint="eastAsia" w:ascii="宋体" w:hAnsi="宋体" w:cs="宋体"/>
          <w:sz w:val="24"/>
        </w:rPr>
        <w:t>承包商不执行合同约定的义务。</w:t>
      </w:r>
    </w:p>
    <w:p>
      <w:pPr>
        <w:pStyle w:val="25"/>
        <w:numPr>
          <w:ilvl w:val="0"/>
          <w:numId w:val="11"/>
        </w:numPr>
        <w:spacing w:line="360" w:lineRule="auto"/>
        <w:ind w:hanging="5" w:firstLineChars="0"/>
        <w:jc w:val="left"/>
        <w:rPr>
          <w:rFonts w:ascii="宋体" w:hAnsi="宋体" w:cs="宋体"/>
          <w:sz w:val="24"/>
        </w:rPr>
      </w:pPr>
      <w:r>
        <w:rPr>
          <w:rFonts w:hint="eastAsia" w:ascii="宋体" w:hAnsi="宋体" w:cs="宋体"/>
          <w:sz w:val="24"/>
        </w:rPr>
        <w:t>承包商未能按时提供质保服务，给发包方遭受人身或经济损失的。</w:t>
      </w:r>
    </w:p>
    <w:p>
      <w:pPr>
        <w:pStyle w:val="25"/>
        <w:numPr>
          <w:ilvl w:val="0"/>
          <w:numId w:val="11"/>
        </w:numPr>
        <w:spacing w:line="360" w:lineRule="auto"/>
        <w:ind w:hanging="5" w:firstLineChars="0"/>
        <w:jc w:val="left"/>
        <w:rPr>
          <w:rFonts w:ascii="宋体" w:hAnsi="宋体" w:cs="宋体"/>
          <w:sz w:val="24"/>
        </w:rPr>
      </w:pPr>
      <w:r>
        <w:rPr>
          <w:rFonts w:hint="eastAsia" w:ascii="宋体" w:hAnsi="宋体" w:cs="宋体"/>
          <w:sz w:val="24"/>
        </w:rPr>
        <w:t>承包商违反福海创相关管理规定。</w:t>
      </w:r>
    </w:p>
    <w:p>
      <w:pPr>
        <w:pStyle w:val="25"/>
        <w:spacing w:line="360" w:lineRule="auto"/>
        <w:ind w:firstLine="567" w:firstLineChars="0"/>
        <w:jc w:val="left"/>
        <w:rPr>
          <w:rFonts w:ascii="宋体" w:hAnsi="宋体" w:cs="宋体"/>
          <w:sz w:val="24"/>
        </w:rPr>
      </w:pPr>
      <w:r>
        <w:rPr>
          <w:rFonts w:hint="eastAsia" w:ascii="宋体" w:hAnsi="宋体" w:cs="宋体"/>
          <w:sz w:val="24"/>
        </w:rPr>
        <w:t>承包商若因上述原因被终止或解除合约时，在福海创书面通知中止合同后，承包商必须无条件配合交接，否则造成的一切损失由承包商承担。</w:t>
      </w:r>
    </w:p>
    <w:p>
      <w:pPr>
        <w:pStyle w:val="25"/>
        <w:numPr>
          <w:ilvl w:val="0"/>
          <w:numId w:val="10"/>
        </w:numPr>
        <w:spacing w:line="360" w:lineRule="auto"/>
        <w:ind w:left="5" w:firstLine="562" w:firstLineChars="0"/>
        <w:jc w:val="left"/>
        <w:rPr>
          <w:rFonts w:ascii="宋体" w:hAnsi="宋体" w:cs="宋体"/>
          <w:sz w:val="24"/>
        </w:rPr>
      </w:pPr>
      <w:r>
        <w:rPr>
          <w:rFonts w:hint="eastAsia" w:ascii="宋体" w:hAnsi="宋体" w:cs="宋体"/>
          <w:sz w:val="24"/>
        </w:rPr>
        <w:t>承包商方有下列情形（包含但不限于）之一，按发包方《承包商安全管理规定》进行考核处罚：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828"/>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spacing w:line="360" w:lineRule="auto"/>
              <w:jc w:val="left"/>
              <w:rPr>
                <w:rFonts w:ascii="宋体" w:hAnsi="宋体" w:cs="宋体"/>
                <w:sz w:val="24"/>
              </w:rPr>
            </w:pPr>
            <w:r>
              <w:rPr>
                <w:rFonts w:hint="eastAsia" w:ascii="宋体" w:hAnsi="宋体" w:cs="宋体"/>
                <w:sz w:val="24"/>
              </w:rPr>
              <w:t xml:space="preserve">  序号</w:t>
            </w:r>
          </w:p>
        </w:tc>
        <w:tc>
          <w:tcPr>
            <w:tcW w:w="3828" w:type="dxa"/>
          </w:tcPr>
          <w:p>
            <w:pPr>
              <w:spacing w:line="360" w:lineRule="auto"/>
              <w:jc w:val="left"/>
              <w:rPr>
                <w:rFonts w:ascii="宋体" w:hAnsi="宋体" w:cs="宋体"/>
                <w:sz w:val="24"/>
              </w:rPr>
            </w:pPr>
            <w:r>
              <w:rPr>
                <w:rFonts w:hint="eastAsia" w:ascii="宋体" w:hAnsi="宋体" w:cs="宋体"/>
                <w:sz w:val="24"/>
              </w:rPr>
              <w:t xml:space="preserve">             违规事项</w:t>
            </w:r>
          </w:p>
        </w:tc>
        <w:tc>
          <w:tcPr>
            <w:tcW w:w="3452" w:type="dxa"/>
          </w:tcPr>
          <w:p>
            <w:pPr>
              <w:spacing w:line="360" w:lineRule="auto"/>
              <w:ind w:firstLine="1200" w:firstLineChars="500"/>
              <w:jc w:val="left"/>
              <w:rPr>
                <w:rFonts w:ascii="宋体" w:hAnsi="宋体" w:cs="宋体"/>
                <w:sz w:val="24"/>
              </w:rPr>
            </w:pPr>
            <w:r>
              <w:rPr>
                <w:rFonts w:hint="eastAsia" w:ascii="宋体" w:hAnsi="宋体" w:cs="宋体"/>
                <w:sz w:val="24"/>
              </w:rPr>
              <w:t>处罚措施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242" w:type="dxa"/>
          </w:tcPr>
          <w:p>
            <w:pPr>
              <w:spacing w:line="360" w:lineRule="auto"/>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1</w:t>
            </w:r>
          </w:p>
        </w:tc>
        <w:tc>
          <w:tcPr>
            <w:tcW w:w="3828" w:type="dxa"/>
          </w:tcPr>
          <w:p>
            <w:pPr>
              <w:spacing w:line="360" w:lineRule="auto"/>
              <w:jc w:val="left"/>
              <w:rPr>
                <w:rFonts w:ascii="宋体" w:hAnsi="宋体" w:cs="宋体"/>
                <w:sz w:val="24"/>
              </w:rPr>
            </w:pPr>
            <w:r>
              <w:rPr>
                <w:rFonts w:hint="eastAsia" w:ascii="宋体" w:hAnsi="宋体" w:cs="宋体"/>
                <w:sz w:val="24"/>
              </w:rPr>
              <w:t>全厂生产区域严禁吸烟，禁止携带香烟、打火机进生产区域</w:t>
            </w:r>
          </w:p>
        </w:tc>
        <w:tc>
          <w:tcPr>
            <w:tcW w:w="3452" w:type="dxa"/>
          </w:tcPr>
          <w:p>
            <w:pPr>
              <w:spacing w:line="360" w:lineRule="auto"/>
              <w:jc w:val="left"/>
              <w:rPr>
                <w:rFonts w:ascii="宋体" w:hAnsi="宋体" w:cs="宋体"/>
                <w:sz w:val="24"/>
              </w:rPr>
            </w:pPr>
            <w:r>
              <w:rPr>
                <w:rFonts w:hint="eastAsia" w:ascii="宋体" w:hAnsi="宋体" w:cs="宋体"/>
                <w:sz w:val="24"/>
              </w:rPr>
              <w:t>第一次罚款</w:t>
            </w:r>
            <w:r>
              <w:rPr>
                <w:rFonts w:ascii="宋体" w:hAnsi="宋体" w:cs="宋体"/>
                <w:sz w:val="24"/>
              </w:rPr>
              <w:t>5000</w:t>
            </w:r>
            <w:r>
              <w:rPr>
                <w:rFonts w:hint="eastAsia" w:ascii="宋体" w:hAnsi="宋体" w:cs="宋体"/>
                <w:sz w:val="24"/>
              </w:rPr>
              <w:t>元，第二次清理出厂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42" w:type="dxa"/>
          </w:tcPr>
          <w:p>
            <w:pPr>
              <w:spacing w:line="360" w:lineRule="auto"/>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2</w:t>
            </w:r>
          </w:p>
        </w:tc>
        <w:tc>
          <w:tcPr>
            <w:tcW w:w="3828" w:type="dxa"/>
          </w:tcPr>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施工人员酒后上岗</w:t>
            </w:r>
          </w:p>
        </w:tc>
        <w:tc>
          <w:tcPr>
            <w:tcW w:w="3452" w:type="dxa"/>
          </w:tcPr>
          <w:p>
            <w:pPr>
              <w:spacing w:line="360" w:lineRule="auto"/>
              <w:jc w:val="left"/>
              <w:rPr>
                <w:rFonts w:ascii="宋体" w:hAnsi="宋体" w:cs="宋体"/>
                <w:sz w:val="24"/>
              </w:rPr>
            </w:pPr>
            <w:r>
              <w:rPr>
                <w:rFonts w:hint="eastAsia" w:ascii="宋体" w:hAnsi="宋体" w:cs="宋体"/>
                <w:sz w:val="24"/>
              </w:rPr>
              <w:t>清理出厂，列入黑名单，处罚</w:t>
            </w:r>
            <w:r>
              <w:rPr>
                <w:rFonts w:ascii="宋体" w:hAnsi="宋体" w:cs="宋体"/>
                <w:sz w:val="24"/>
              </w:rPr>
              <w:t xml:space="preserve"> 2000 </w:t>
            </w:r>
            <w:r>
              <w:rPr>
                <w:rFonts w:hint="eastAsia" w:ascii="宋体" w:hAnsi="宋体" w:cs="宋体"/>
                <w:sz w:val="24"/>
              </w:rPr>
              <w:t>元</w:t>
            </w:r>
            <w:r>
              <w:rPr>
                <w:rFonts w:ascii="宋体" w:hAnsi="宋体" w:cs="宋体"/>
                <w:sz w:val="24"/>
              </w:rPr>
              <w:t>/</w:t>
            </w:r>
            <w:r>
              <w:rPr>
                <w:rFonts w:hint="eastAsia" w:ascii="宋体" w:hAnsi="宋体" w:cs="宋体"/>
                <w:sz w:val="24"/>
              </w:rPr>
              <w:t>人次（同一单位再次发生翻倍处罚）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jc w:val="left"/>
              <w:rPr>
                <w:rFonts w:ascii="宋体" w:hAnsi="宋体" w:cs="宋体"/>
                <w:sz w:val="24"/>
              </w:rPr>
            </w:pPr>
            <w:r>
              <w:rPr>
                <w:rFonts w:hint="eastAsia" w:ascii="宋体" w:hAnsi="宋体" w:cs="宋体"/>
                <w:sz w:val="24"/>
              </w:rPr>
              <w:t xml:space="preserve">    3</w:t>
            </w:r>
          </w:p>
        </w:tc>
        <w:tc>
          <w:tcPr>
            <w:tcW w:w="3828" w:type="dxa"/>
          </w:tcPr>
          <w:p>
            <w:pPr>
              <w:spacing w:line="360" w:lineRule="auto"/>
              <w:jc w:val="left"/>
              <w:rPr>
                <w:rFonts w:ascii="宋体" w:hAnsi="宋体" w:cs="宋体"/>
                <w:sz w:val="24"/>
              </w:rPr>
            </w:pPr>
            <w:r>
              <w:rPr>
                <w:rFonts w:hint="eastAsia" w:ascii="宋体" w:hAnsi="宋体" w:cs="宋体"/>
                <w:sz w:val="24"/>
              </w:rPr>
              <w:t>一般作业时不符合安全规定的</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500—1000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42" w:type="dxa"/>
          </w:tcPr>
          <w:p>
            <w:pPr>
              <w:spacing w:line="360" w:lineRule="auto"/>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4</w:t>
            </w:r>
          </w:p>
        </w:tc>
        <w:tc>
          <w:tcPr>
            <w:tcW w:w="3828" w:type="dxa"/>
          </w:tcPr>
          <w:p>
            <w:pPr>
              <w:spacing w:line="360" w:lineRule="auto"/>
              <w:jc w:val="left"/>
              <w:rPr>
                <w:rFonts w:ascii="宋体" w:hAnsi="宋体" w:cs="宋体"/>
                <w:sz w:val="24"/>
              </w:rPr>
            </w:pPr>
            <w:r>
              <w:rPr>
                <w:rFonts w:hint="eastAsia" w:ascii="宋体" w:hAnsi="宋体" w:cs="宋体"/>
                <w:sz w:val="24"/>
              </w:rPr>
              <w:t>无安全技术措施或安全方案进行施工</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5000—10000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242" w:type="dxa"/>
          </w:tcPr>
          <w:p>
            <w:pPr>
              <w:spacing w:line="360" w:lineRule="auto"/>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5</w:t>
            </w:r>
          </w:p>
        </w:tc>
        <w:tc>
          <w:tcPr>
            <w:tcW w:w="3828" w:type="dxa"/>
          </w:tcPr>
          <w:p>
            <w:pPr>
              <w:spacing w:line="360" w:lineRule="auto"/>
              <w:jc w:val="left"/>
              <w:rPr>
                <w:rFonts w:ascii="宋体" w:hAnsi="宋体" w:cs="宋体"/>
                <w:sz w:val="24"/>
              </w:rPr>
            </w:pPr>
            <w:r>
              <w:rPr>
                <w:rFonts w:hint="eastAsia" w:ascii="宋体" w:hAnsi="宋体" w:cs="宋体"/>
                <w:sz w:val="24"/>
              </w:rPr>
              <w:t>未按审批方案或违反安全规定、安全措施不落实施工</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3000—5000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42" w:type="dxa"/>
          </w:tcPr>
          <w:p>
            <w:pPr>
              <w:spacing w:line="360" w:lineRule="auto"/>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6</w:t>
            </w:r>
          </w:p>
        </w:tc>
        <w:tc>
          <w:tcPr>
            <w:tcW w:w="3828" w:type="dxa"/>
          </w:tcPr>
          <w:p>
            <w:pPr>
              <w:spacing w:line="360" w:lineRule="auto"/>
              <w:jc w:val="left"/>
              <w:rPr>
                <w:rFonts w:ascii="宋体" w:hAnsi="宋体" w:cs="宋体"/>
                <w:sz w:val="24"/>
              </w:rPr>
            </w:pPr>
            <w:r>
              <w:rPr>
                <w:rFonts w:hint="eastAsia" w:ascii="宋体" w:hAnsi="宋体" w:cs="宋体"/>
                <w:sz w:val="24"/>
              </w:rPr>
              <w:t>工程项目未经施工资质和</w:t>
            </w:r>
            <w:r>
              <w:rPr>
                <w:rFonts w:ascii="宋体" w:hAnsi="宋体" w:cs="宋体"/>
                <w:sz w:val="24"/>
              </w:rPr>
              <w:t xml:space="preserve"> HSE </w:t>
            </w:r>
            <w:r>
              <w:rPr>
                <w:rFonts w:hint="eastAsia" w:ascii="宋体" w:hAnsi="宋体" w:cs="宋体"/>
                <w:sz w:val="24"/>
              </w:rPr>
              <w:t>资质审查，擅自开工</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5000—10000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42" w:type="dxa"/>
          </w:tcPr>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7</w:t>
            </w:r>
          </w:p>
        </w:tc>
        <w:tc>
          <w:tcPr>
            <w:tcW w:w="3828" w:type="dxa"/>
          </w:tcPr>
          <w:p>
            <w:pPr>
              <w:spacing w:line="360" w:lineRule="auto"/>
              <w:jc w:val="left"/>
              <w:rPr>
                <w:rFonts w:ascii="宋体" w:hAnsi="宋体" w:cs="宋体"/>
                <w:sz w:val="24"/>
              </w:rPr>
            </w:pPr>
            <w:r>
              <w:rPr>
                <w:rFonts w:hint="eastAsia" w:ascii="宋体" w:hAnsi="宋体" w:cs="宋体"/>
                <w:sz w:val="24"/>
              </w:rPr>
              <w:t>拒不接受</w:t>
            </w:r>
            <w:r>
              <w:rPr>
                <w:rFonts w:ascii="宋体" w:hAnsi="宋体" w:cs="宋体"/>
                <w:sz w:val="24"/>
              </w:rPr>
              <w:t xml:space="preserve"> HSE </w:t>
            </w:r>
            <w:r>
              <w:rPr>
                <w:rFonts w:hint="eastAsia" w:ascii="宋体" w:hAnsi="宋体" w:cs="宋体"/>
                <w:sz w:val="24"/>
              </w:rPr>
              <w:t>管理人员监督检查管理</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5000—10000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ind w:firstLine="480" w:firstLineChars="200"/>
              <w:jc w:val="left"/>
              <w:rPr>
                <w:rFonts w:ascii="宋体" w:hAnsi="宋体" w:cs="宋体"/>
                <w:sz w:val="24"/>
              </w:rPr>
            </w:pPr>
            <w:r>
              <w:rPr>
                <w:rFonts w:hint="eastAsia" w:ascii="宋体" w:hAnsi="宋体" w:cs="宋体"/>
                <w:sz w:val="24"/>
              </w:rPr>
              <w:t>8</w:t>
            </w:r>
          </w:p>
        </w:tc>
        <w:tc>
          <w:tcPr>
            <w:tcW w:w="3828" w:type="dxa"/>
          </w:tcPr>
          <w:p>
            <w:pPr>
              <w:spacing w:line="360" w:lineRule="auto"/>
              <w:jc w:val="left"/>
              <w:rPr>
                <w:rFonts w:ascii="宋体" w:hAnsi="宋体" w:cs="宋体"/>
                <w:sz w:val="24"/>
              </w:rPr>
            </w:pPr>
            <w:r>
              <w:rPr>
                <w:rFonts w:hint="eastAsia" w:ascii="宋体" w:hAnsi="宋体" w:cs="宋体"/>
                <w:sz w:val="24"/>
              </w:rPr>
              <w:t>未经批准擅自使用消防水、电、气、风</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5000—10000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ind w:firstLine="480" w:firstLineChars="200"/>
              <w:jc w:val="left"/>
              <w:rPr>
                <w:rFonts w:ascii="宋体" w:hAnsi="宋体" w:cs="宋体"/>
                <w:sz w:val="24"/>
              </w:rPr>
            </w:pPr>
            <w:r>
              <w:rPr>
                <w:rFonts w:hint="eastAsia" w:ascii="宋体" w:hAnsi="宋体" w:cs="宋体"/>
                <w:sz w:val="24"/>
              </w:rPr>
              <w:t>9</w:t>
            </w:r>
          </w:p>
        </w:tc>
        <w:tc>
          <w:tcPr>
            <w:tcW w:w="3828" w:type="dxa"/>
          </w:tcPr>
          <w:p>
            <w:pPr>
              <w:spacing w:line="360" w:lineRule="auto"/>
              <w:jc w:val="left"/>
              <w:rPr>
                <w:rFonts w:ascii="宋体" w:hAnsi="宋体" w:cs="宋体"/>
                <w:sz w:val="24"/>
              </w:rPr>
            </w:pPr>
            <w:r>
              <w:rPr>
                <w:rFonts w:hint="eastAsia" w:ascii="宋体" w:hAnsi="宋体" w:cs="宋体"/>
                <w:sz w:val="24"/>
              </w:rPr>
              <w:t>未经批准擅自拆除消防设施、通讯设施或损坏消防、通讯设施</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5000—10000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ind w:firstLine="424" w:firstLineChars="177"/>
              <w:jc w:val="left"/>
              <w:rPr>
                <w:rFonts w:ascii="宋体" w:hAnsi="宋体" w:cs="宋体"/>
                <w:sz w:val="24"/>
              </w:rPr>
            </w:pPr>
            <w:r>
              <w:rPr>
                <w:rFonts w:hint="eastAsia" w:ascii="宋体" w:hAnsi="宋体" w:cs="宋体"/>
                <w:sz w:val="24"/>
              </w:rPr>
              <w:t>10</w:t>
            </w:r>
          </w:p>
        </w:tc>
        <w:tc>
          <w:tcPr>
            <w:tcW w:w="3828" w:type="dxa"/>
          </w:tcPr>
          <w:p>
            <w:pPr>
              <w:spacing w:line="360" w:lineRule="auto"/>
              <w:jc w:val="left"/>
              <w:rPr>
                <w:rFonts w:ascii="宋体" w:hAnsi="宋体" w:cs="宋体"/>
                <w:sz w:val="24"/>
              </w:rPr>
            </w:pPr>
            <w:r>
              <w:rPr>
                <w:rFonts w:hint="eastAsia" w:ascii="宋体" w:hAnsi="宋体" w:cs="宋体"/>
                <w:sz w:val="24"/>
              </w:rPr>
              <w:t>未持所属福海创公司批准的特殊作业许可证或使用无效特殊作业许可证，擅自在施工现场进行特殊作业</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5000—10000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ind w:firstLine="424" w:firstLineChars="177"/>
              <w:jc w:val="left"/>
              <w:rPr>
                <w:rFonts w:ascii="宋体" w:hAnsi="宋体" w:cs="宋体"/>
                <w:sz w:val="24"/>
              </w:rPr>
            </w:pPr>
            <w:r>
              <w:rPr>
                <w:rFonts w:hint="eastAsia" w:ascii="宋体" w:hAnsi="宋体" w:cs="宋体"/>
                <w:sz w:val="24"/>
              </w:rPr>
              <w:t>11</w:t>
            </w:r>
          </w:p>
        </w:tc>
        <w:tc>
          <w:tcPr>
            <w:tcW w:w="3828" w:type="dxa"/>
          </w:tcPr>
          <w:p>
            <w:pPr>
              <w:spacing w:line="360" w:lineRule="auto"/>
              <w:jc w:val="left"/>
              <w:rPr>
                <w:rFonts w:ascii="宋体" w:hAnsi="宋体" w:cs="宋体"/>
                <w:sz w:val="24"/>
              </w:rPr>
            </w:pPr>
            <w:r>
              <w:rPr>
                <w:rFonts w:hint="eastAsia" w:ascii="宋体" w:hAnsi="宋体" w:cs="宋体"/>
                <w:sz w:val="24"/>
              </w:rPr>
              <w:t>承包商在厂内发生偷窃、非法侵占公司财物、打架斗殴、扰乱正常生产秩序等其他违法行为</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3000—5000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ind w:firstLine="424" w:firstLineChars="177"/>
              <w:jc w:val="left"/>
              <w:rPr>
                <w:rFonts w:ascii="宋体" w:hAnsi="宋体" w:cs="宋体"/>
                <w:sz w:val="24"/>
              </w:rPr>
            </w:pPr>
            <w:r>
              <w:rPr>
                <w:rFonts w:hint="eastAsia" w:ascii="宋体" w:hAnsi="宋体" w:cs="宋体"/>
                <w:sz w:val="24"/>
              </w:rPr>
              <w:t>12</w:t>
            </w:r>
          </w:p>
        </w:tc>
        <w:tc>
          <w:tcPr>
            <w:tcW w:w="3828" w:type="dxa"/>
          </w:tcPr>
          <w:p>
            <w:pPr>
              <w:spacing w:line="360" w:lineRule="auto"/>
              <w:jc w:val="left"/>
              <w:rPr>
                <w:rFonts w:ascii="宋体" w:hAnsi="宋体" w:cs="宋体"/>
                <w:sz w:val="24"/>
              </w:rPr>
            </w:pPr>
            <w:r>
              <w:rPr>
                <w:rFonts w:hint="eastAsia" w:ascii="宋体" w:hAnsi="宋体" w:cs="宋体"/>
                <w:sz w:val="24"/>
              </w:rPr>
              <w:t>特殊作业（高处、动火、临时用电、吊装作业等），不符合安全规范</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3000—5000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ind w:firstLine="424" w:firstLineChars="177"/>
              <w:jc w:val="left"/>
              <w:rPr>
                <w:rFonts w:ascii="宋体" w:hAnsi="宋体" w:cs="宋体"/>
                <w:sz w:val="24"/>
              </w:rPr>
            </w:pPr>
            <w:r>
              <w:rPr>
                <w:rFonts w:hint="eastAsia" w:ascii="宋体" w:hAnsi="宋体" w:cs="宋体"/>
                <w:sz w:val="24"/>
              </w:rPr>
              <w:t>13</w:t>
            </w:r>
          </w:p>
        </w:tc>
        <w:tc>
          <w:tcPr>
            <w:tcW w:w="3828" w:type="dxa"/>
          </w:tcPr>
          <w:p>
            <w:pPr>
              <w:spacing w:line="360" w:lineRule="auto"/>
              <w:jc w:val="left"/>
              <w:rPr>
                <w:rFonts w:ascii="宋体" w:hAnsi="宋体" w:cs="宋体"/>
                <w:sz w:val="24"/>
              </w:rPr>
            </w:pPr>
            <w:r>
              <w:rPr>
                <w:rFonts w:hint="eastAsia" w:ascii="宋体" w:hAnsi="宋体" w:cs="宋体"/>
                <w:sz w:val="24"/>
              </w:rPr>
              <w:t>在厂内随意丢弃固体废物（第二次违章）</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3000—5000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ind w:firstLine="424" w:firstLineChars="177"/>
              <w:jc w:val="left"/>
              <w:rPr>
                <w:rFonts w:ascii="宋体" w:hAnsi="宋体" w:cs="宋体"/>
                <w:sz w:val="24"/>
              </w:rPr>
            </w:pPr>
            <w:r>
              <w:rPr>
                <w:rFonts w:hint="eastAsia" w:ascii="宋体" w:hAnsi="宋体" w:cs="宋体"/>
                <w:sz w:val="24"/>
              </w:rPr>
              <w:t>14</w:t>
            </w:r>
          </w:p>
        </w:tc>
        <w:tc>
          <w:tcPr>
            <w:tcW w:w="3828" w:type="dxa"/>
          </w:tcPr>
          <w:p>
            <w:pPr>
              <w:spacing w:line="360" w:lineRule="auto"/>
              <w:jc w:val="left"/>
              <w:rPr>
                <w:rFonts w:ascii="宋体" w:hAnsi="宋体" w:cs="宋体"/>
                <w:sz w:val="24"/>
              </w:rPr>
            </w:pPr>
            <w:r>
              <w:rPr>
                <w:rFonts w:hint="eastAsia" w:ascii="宋体" w:hAnsi="宋体" w:cs="宋体"/>
                <w:sz w:val="24"/>
              </w:rPr>
              <w:t>从高空抛掷施工机具、杂物等</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 xml:space="preserve"> 3000—5000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360" w:lineRule="auto"/>
              <w:ind w:firstLine="424" w:firstLineChars="177"/>
              <w:jc w:val="left"/>
              <w:rPr>
                <w:rFonts w:ascii="宋体" w:hAnsi="宋体" w:cs="宋体"/>
                <w:sz w:val="24"/>
              </w:rPr>
            </w:pPr>
            <w:r>
              <w:rPr>
                <w:rFonts w:hint="eastAsia" w:ascii="宋体" w:hAnsi="宋体" w:cs="宋体"/>
                <w:sz w:val="24"/>
              </w:rPr>
              <w:t>15</w:t>
            </w:r>
          </w:p>
        </w:tc>
        <w:tc>
          <w:tcPr>
            <w:tcW w:w="3828" w:type="dxa"/>
          </w:tcPr>
          <w:p>
            <w:pPr>
              <w:spacing w:line="360" w:lineRule="auto"/>
              <w:jc w:val="left"/>
              <w:rPr>
                <w:rFonts w:ascii="宋体" w:hAnsi="宋体" w:cs="宋体"/>
                <w:sz w:val="24"/>
              </w:rPr>
            </w:pPr>
            <w:r>
              <w:rPr>
                <w:rFonts w:hint="eastAsia" w:ascii="宋体" w:hAnsi="宋体" w:cs="宋体"/>
                <w:sz w:val="24"/>
              </w:rPr>
              <w:t>施工垃圾、生活垃圾应未分类存放，随意倾倒、抛洒或者堆放垃圾</w:t>
            </w:r>
          </w:p>
        </w:tc>
        <w:tc>
          <w:tcPr>
            <w:tcW w:w="3452" w:type="dxa"/>
          </w:tcPr>
          <w:p>
            <w:pPr>
              <w:spacing w:line="360" w:lineRule="auto"/>
              <w:jc w:val="left"/>
              <w:rPr>
                <w:rFonts w:ascii="宋体" w:hAnsi="宋体" w:cs="宋体"/>
                <w:sz w:val="24"/>
              </w:rPr>
            </w:pPr>
            <w:r>
              <w:rPr>
                <w:rFonts w:hint="eastAsia" w:ascii="宋体" w:hAnsi="宋体" w:cs="宋体"/>
                <w:sz w:val="24"/>
              </w:rPr>
              <w:t>罚款</w:t>
            </w:r>
            <w:r>
              <w:rPr>
                <w:rFonts w:ascii="宋体" w:hAnsi="宋体" w:cs="宋体"/>
                <w:sz w:val="24"/>
              </w:rPr>
              <w:t>100</w:t>
            </w:r>
            <w:r>
              <w:rPr>
                <w:rFonts w:hint="eastAsia" w:ascii="宋体" w:hAnsi="宋体" w:cs="宋体"/>
                <w:sz w:val="24"/>
              </w:rPr>
              <w:t>～</w:t>
            </w:r>
            <w:r>
              <w:rPr>
                <w:rFonts w:ascii="宋体" w:hAnsi="宋体" w:cs="宋体"/>
                <w:sz w:val="24"/>
              </w:rPr>
              <w:t>500</w:t>
            </w:r>
            <w:r>
              <w:rPr>
                <w:rFonts w:hint="eastAsia" w:ascii="宋体" w:hAnsi="宋体" w:cs="宋体"/>
                <w:sz w:val="24"/>
              </w:rPr>
              <w:t>元</w:t>
            </w:r>
            <w:r>
              <w:rPr>
                <w:rFonts w:ascii="宋体" w:hAnsi="宋体" w:cs="宋体"/>
                <w:sz w:val="24"/>
              </w:rPr>
              <w:t>/</w:t>
            </w:r>
            <w:r>
              <w:rPr>
                <w:rFonts w:hint="eastAsia" w:ascii="宋体" w:hAnsi="宋体" w:cs="宋体"/>
                <w:sz w:val="24"/>
              </w:rPr>
              <w:t>项</w:t>
            </w:r>
          </w:p>
        </w:tc>
      </w:tr>
    </w:tbl>
    <w:p>
      <w:pPr>
        <w:spacing w:line="360" w:lineRule="auto"/>
        <w:jc w:val="left"/>
        <w:rPr>
          <w:b/>
          <w:kern w:val="44"/>
          <w:sz w:val="30"/>
        </w:rPr>
      </w:pPr>
      <w:r>
        <w:rPr>
          <w:rFonts w:hint="eastAsia"/>
          <w:b/>
          <w:kern w:val="44"/>
          <w:sz w:val="30"/>
        </w:rPr>
        <w:t>十一、评审标准</w:t>
      </w:r>
    </w:p>
    <w:p>
      <w:pPr>
        <w:tabs>
          <w:tab w:val="left" w:pos="525"/>
        </w:tabs>
        <w:spacing w:line="360" w:lineRule="auto"/>
        <w:jc w:val="left"/>
        <w:rPr>
          <w:rFonts w:ascii="宋体" w:hAnsi="宋体" w:cs="宋体"/>
          <w:sz w:val="24"/>
        </w:rPr>
      </w:pPr>
      <w:r>
        <w:rPr>
          <w:rFonts w:hint="eastAsia" w:ascii="宋体" w:hAnsi="宋体" w:cs="宋体"/>
          <w:sz w:val="24"/>
        </w:rPr>
        <w:tab/>
      </w:r>
      <w:r>
        <w:rPr>
          <w:rFonts w:hint="eastAsia" w:ascii="宋体" w:hAnsi="宋体" w:cs="宋体"/>
          <w:sz w:val="24"/>
        </w:rPr>
        <w:t>本案采取综合评审方式，资质符合要求且经详细评审技术标与商务标综合得分最高的</w:t>
      </w:r>
      <w:r>
        <w:rPr>
          <w:rFonts w:hint="eastAsia" w:ascii="宋体" w:hAnsi="宋体" w:cs="宋体"/>
          <w:sz w:val="24"/>
          <w:lang w:val="en-US" w:eastAsia="zh-CN"/>
        </w:rPr>
        <w:t>参选</w:t>
      </w:r>
      <w:r>
        <w:rPr>
          <w:rFonts w:hint="eastAsia" w:ascii="宋体" w:hAnsi="宋体" w:cs="宋体"/>
          <w:sz w:val="24"/>
        </w:rPr>
        <w:t>人作为</w:t>
      </w:r>
      <w:r>
        <w:rPr>
          <w:rFonts w:hint="eastAsia" w:ascii="宋体" w:hAnsi="宋体" w:cs="宋体"/>
          <w:sz w:val="24"/>
          <w:lang w:val="en-US" w:eastAsia="zh-CN"/>
        </w:rPr>
        <w:t>中选人</w:t>
      </w:r>
      <w:r>
        <w:rPr>
          <w:rFonts w:hint="eastAsia" w:ascii="宋体" w:hAnsi="宋体" w:cs="宋体"/>
          <w:sz w:val="24"/>
        </w:rPr>
        <w:t>。资格（含资质）审查不合格的</w:t>
      </w:r>
      <w:r>
        <w:rPr>
          <w:rFonts w:hint="eastAsia" w:ascii="宋体" w:hAnsi="宋体" w:cs="宋体"/>
          <w:sz w:val="24"/>
          <w:lang w:val="en-US" w:eastAsia="zh-CN"/>
        </w:rPr>
        <w:t>参选</w:t>
      </w:r>
      <w:r>
        <w:rPr>
          <w:rFonts w:hint="eastAsia" w:ascii="宋体" w:hAnsi="宋体" w:cs="宋体"/>
          <w:sz w:val="24"/>
        </w:rPr>
        <w:t>人，不进入详细评审。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1399"/>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firstLine="90" w:firstLineChars="50"/>
              <w:rPr>
                <w:rFonts w:ascii="宋体" w:hAnsi="宋体" w:cs="宋体"/>
                <w:sz w:val="18"/>
                <w:szCs w:val="18"/>
              </w:rPr>
            </w:pPr>
            <w:r>
              <w:rPr>
                <w:rFonts w:hint="eastAsia" w:ascii="宋体" w:hAnsi="宋体" w:cs="宋体"/>
                <w:sz w:val="18"/>
                <w:szCs w:val="18"/>
              </w:rPr>
              <w:t>序号</w:t>
            </w:r>
          </w:p>
        </w:tc>
        <w:tc>
          <w:tcPr>
            <w:tcW w:w="1559" w:type="dxa"/>
            <w:vAlign w:val="center"/>
          </w:tcPr>
          <w:p>
            <w:pPr>
              <w:spacing w:line="360" w:lineRule="auto"/>
              <w:ind w:firstLine="180" w:firstLineChars="100"/>
              <w:rPr>
                <w:rFonts w:ascii="宋体" w:hAnsi="宋体" w:cs="宋体"/>
                <w:sz w:val="18"/>
                <w:szCs w:val="18"/>
              </w:rPr>
            </w:pPr>
            <w:r>
              <w:rPr>
                <w:rFonts w:hint="eastAsia" w:ascii="宋体" w:hAnsi="宋体" w:cs="宋体"/>
                <w:sz w:val="18"/>
                <w:szCs w:val="18"/>
              </w:rPr>
              <w:t>评议内容</w:t>
            </w:r>
          </w:p>
        </w:tc>
        <w:tc>
          <w:tcPr>
            <w:tcW w:w="1399" w:type="dxa"/>
            <w:vAlign w:val="center"/>
          </w:tcPr>
          <w:p>
            <w:pPr>
              <w:spacing w:line="360" w:lineRule="auto"/>
              <w:ind w:firstLine="90" w:firstLineChars="50"/>
              <w:rPr>
                <w:rFonts w:ascii="宋体" w:hAnsi="宋体" w:cs="宋体"/>
                <w:sz w:val="18"/>
                <w:szCs w:val="18"/>
              </w:rPr>
            </w:pPr>
            <w:r>
              <w:rPr>
                <w:rFonts w:hint="eastAsia" w:ascii="宋体" w:hAnsi="宋体" w:cs="宋体"/>
                <w:sz w:val="18"/>
                <w:szCs w:val="18"/>
              </w:rPr>
              <w:t>分值</w:t>
            </w:r>
          </w:p>
        </w:tc>
        <w:tc>
          <w:tcPr>
            <w:tcW w:w="4329" w:type="dxa"/>
            <w:vAlign w:val="center"/>
          </w:tcPr>
          <w:p>
            <w:pPr>
              <w:spacing w:line="360" w:lineRule="auto"/>
              <w:ind w:firstLine="1620" w:firstLineChars="900"/>
              <w:rPr>
                <w:rFonts w:ascii="宋体" w:hAnsi="宋体" w:cs="宋体"/>
                <w:sz w:val="18"/>
                <w:szCs w:val="18"/>
              </w:rPr>
            </w:pPr>
            <w:r>
              <w:rPr>
                <w:rFonts w:hint="eastAsia" w:ascii="宋体" w:hAnsi="宋体" w:cs="宋体"/>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8" w:type="dxa"/>
            <w:gridSpan w:val="4"/>
            <w:vAlign w:val="center"/>
          </w:tcPr>
          <w:p>
            <w:pPr>
              <w:spacing w:line="360" w:lineRule="auto"/>
              <w:rPr>
                <w:rFonts w:ascii="宋体" w:hAnsi="宋体" w:cs="宋体"/>
                <w:sz w:val="18"/>
                <w:szCs w:val="18"/>
              </w:rPr>
            </w:pPr>
            <w:r>
              <w:rPr>
                <w:rFonts w:hint="eastAsia" w:ascii="宋体" w:hAnsi="宋体" w:cs="宋体"/>
                <w:sz w:val="18"/>
                <w:szCs w:val="18"/>
              </w:rPr>
              <w:t>技术标（满分30分）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01" w:type="dxa"/>
            <w:vAlign w:val="center"/>
          </w:tcPr>
          <w:p>
            <w:pPr>
              <w:spacing w:line="360" w:lineRule="auto"/>
              <w:jc w:val="center"/>
              <w:rPr>
                <w:rFonts w:ascii="宋体" w:hAnsi="宋体" w:cs="宋体"/>
                <w:sz w:val="18"/>
                <w:szCs w:val="18"/>
              </w:rPr>
            </w:pPr>
            <w:r>
              <w:rPr>
                <w:rFonts w:hint="eastAsia" w:ascii="宋体" w:hAnsi="宋体" w:cs="宋体"/>
                <w:sz w:val="18"/>
                <w:szCs w:val="18"/>
              </w:rPr>
              <w:t>1</w:t>
            </w:r>
          </w:p>
        </w:tc>
        <w:tc>
          <w:tcPr>
            <w:tcW w:w="1559" w:type="dxa"/>
            <w:vAlign w:val="center"/>
          </w:tcPr>
          <w:p>
            <w:pPr>
              <w:spacing w:line="360" w:lineRule="auto"/>
              <w:ind w:firstLine="450" w:firstLineChars="250"/>
              <w:rPr>
                <w:rFonts w:ascii="宋体" w:hAnsi="宋体" w:cs="宋体"/>
                <w:sz w:val="18"/>
                <w:szCs w:val="18"/>
              </w:rPr>
            </w:pPr>
            <w:r>
              <w:rPr>
                <w:rFonts w:hint="eastAsia" w:ascii="宋体" w:hAnsi="宋体" w:cs="宋体"/>
                <w:sz w:val="18"/>
                <w:szCs w:val="18"/>
              </w:rPr>
              <w:t>信誉</w:t>
            </w:r>
          </w:p>
        </w:tc>
        <w:tc>
          <w:tcPr>
            <w:tcW w:w="1399" w:type="dxa"/>
            <w:vAlign w:val="center"/>
          </w:tcPr>
          <w:p>
            <w:pPr>
              <w:spacing w:line="360" w:lineRule="auto"/>
              <w:ind w:firstLine="540" w:firstLineChars="300"/>
              <w:rPr>
                <w:rFonts w:ascii="宋体" w:hAnsi="宋体" w:cs="宋体"/>
                <w:sz w:val="18"/>
                <w:szCs w:val="18"/>
              </w:rPr>
            </w:pPr>
            <w:r>
              <w:rPr>
                <w:rFonts w:hint="eastAsia" w:ascii="宋体" w:hAnsi="宋体" w:cs="宋体"/>
                <w:sz w:val="18"/>
                <w:szCs w:val="18"/>
              </w:rPr>
              <w:t>2</w:t>
            </w:r>
          </w:p>
        </w:tc>
        <w:tc>
          <w:tcPr>
            <w:tcW w:w="4329" w:type="dxa"/>
            <w:vAlign w:val="center"/>
          </w:tcPr>
          <w:p>
            <w:pPr>
              <w:rPr>
                <w:rFonts w:ascii="宋体" w:hAnsi="宋体" w:cs="宋体"/>
                <w:sz w:val="18"/>
                <w:szCs w:val="18"/>
              </w:rPr>
            </w:pPr>
            <w:r>
              <w:rPr>
                <w:rFonts w:hint="eastAsia" w:ascii="宋体" w:hAnsi="宋体" w:cs="宋体"/>
                <w:sz w:val="18"/>
                <w:szCs w:val="18"/>
              </w:rPr>
              <w:t>在国家企业信息公示系统查询未有行政处罚信息的得2分，有</w:t>
            </w:r>
            <w:r>
              <w:rPr>
                <w:rFonts w:hint="eastAsia" w:ascii="宋体" w:hAnsi="宋体" w:eastAsia="宋体" w:cs="宋体"/>
                <w:sz w:val="18"/>
                <w:szCs w:val="18"/>
              </w:rPr>
              <w:t>行政处罚信息或未提供得0分。</w:t>
            </w:r>
            <w:r>
              <w:rPr>
                <w:rFonts w:hint="eastAsia" w:ascii="宋体" w:hAnsi="宋体" w:eastAsia="宋体" w:cs="宋体"/>
                <w:sz w:val="18"/>
                <w:szCs w:val="18"/>
                <w:lang w:val="en-US" w:eastAsia="zh-CN"/>
              </w:rPr>
              <w:t>需提供网址查询截图。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101" w:type="dxa"/>
            <w:vAlign w:val="center"/>
          </w:tcPr>
          <w:p>
            <w:pPr>
              <w:spacing w:line="360" w:lineRule="auto"/>
              <w:rPr>
                <w:rFonts w:ascii="宋体" w:hAnsi="宋体" w:cs="宋体"/>
                <w:sz w:val="18"/>
                <w:szCs w:val="18"/>
              </w:rPr>
            </w:pPr>
          </w:p>
          <w:p>
            <w:pPr>
              <w:spacing w:line="360" w:lineRule="auto"/>
              <w:ind w:firstLine="424" w:firstLineChars="236"/>
              <w:rPr>
                <w:rFonts w:ascii="宋体" w:hAnsi="宋体" w:cs="宋体"/>
                <w:sz w:val="18"/>
                <w:szCs w:val="18"/>
              </w:rPr>
            </w:pPr>
            <w:r>
              <w:rPr>
                <w:rFonts w:hint="eastAsia" w:ascii="宋体" w:hAnsi="宋体" w:cs="宋体"/>
                <w:sz w:val="18"/>
                <w:szCs w:val="18"/>
              </w:rPr>
              <w:t>2</w:t>
            </w:r>
          </w:p>
        </w:tc>
        <w:tc>
          <w:tcPr>
            <w:tcW w:w="1559" w:type="dxa"/>
            <w:vAlign w:val="center"/>
          </w:tcPr>
          <w:p>
            <w:pPr>
              <w:spacing w:line="360" w:lineRule="auto"/>
              <w:rPr>
                <w:rFonts w:ascii="宋体" w:hAnsi="宋体" w:cs="宋体"/>
                <w:sz w:val="18"/>
                <w:szCs w:val="18"/>
              </w:rPr>
            </w:pPr>
            <w:r>
              <w:rPr>
                <w:rFonts w:hint="eastAsia" w:ascii="宋体" w:hAnsi="宋体" w:cs="宋体"/>
                <w:sz w:val="18"/>
                <w:szCs w:val="18"/>
              </w:rPr>
              <w:t>铜管母线类项目施工经验与业绩</w:t>
            </w:r>
          </w:p>
        </w:tc>
        <w:tc>
          <w:tcPr>
            <w:tcW w:w="1399" w:type="dxa"/>
            <w:vAlign w:val="center"/>
          </w:tcPr>
          <w:p>
            <w:pPr>
              <w:spacing w:line="360" w:lineRule="auto"/>
              <w:ind w:firstLine="270" w:firstLineChars="150"/>
              <w:jc w:val="center"/>
              <w:rPr>
                <w:rFonts w:ascii="宋体" w:hAnsi="宋体" w:cs="宋体"/>
                <w:sz w:val="18"/>
                <w:szCs w:val="18"/>
                <w:highlight w:val="none"/>
              </w:rPr>
            </w:pPr>
          </w:p>
          <w:p>
            <w:pPr>
              <w:spacing w:line="360" w:lineRule="auto"/>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1</w:t>
            </w:r>
            <w:r>
              <w:rPr>
                <w:rFonts w:hint="eastAsia" w:ascii="宋体" w:hAnsi="宋体" w:cs="宋体"/>
                <w:sz w:val="18"/>
                <w:szCs w:val="18"/>
                <w:highlight w:val="none"/>
                <w:lang w:val="en-US" w:eastAsia="zh-CN"/>
              </w:rPr>
              <w:t>0</w:t>
            </w:r>
          </w:p>
        </w:tc>
        <w:tc>
          <w:tcPr>
            <w:tcW w:w="4329" w:type="dxa"/>
            <w:vAlign w:val="center"/>
          </w:tcPr>
          <w:p>
            <w:pPr>
              <w:rPr>
                <w:rFonts w:ascii="宋体" w:hAnsi="宋体" w:cs="宋体"/>
                <w:sz w:val="18"/>
                <w:szCs w:val="18"/>
                <w:highlight w:val="none"/>
              </w:rPr>
            </w:pPr>
            <w:r>
              <w:rPr>
                <w:rFonts w:hint="eastAsia" w:ascii="宋体" w:hAnsi="宋体" w:cs="宋体"/>
                <w:sz w:val="18"/>
                <w:szCs w:val="18"/>
                <w:highlight w:val="none"/>
              </w:rPr>
              <w:t>安装单位近3年完成的铜管母线类施工项目，提供1个合同得2分，最高得1</w:t>
            </w:r>
            <w:r>
              <w:rPr>
                <w:rFonts w:hint="eastAsia" w:ascii="宋体" w:hAnsi="宋体" w:cs="宋体"/>
                <w:sz w:val="18"/>
                <w:szCs w:val="18"/>
                <w:highlight w:val="none"/>
                <w:lang w:val="en-US" w:eastAsia="zh-CN"/>
              </w:rPr>
              <w:t>0</w:t>
            </w:r>
            <w:r>
              <w:rPr>
                <w:rFonts w:hint="eastAsia" w:ascii="宋体" w:hAnsi="宋体" w:cs="宋体"/>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trPr>
        <w:tc>
          <w:tcPr>
            <w:tcW w:w="1101" w:type="dxa"/>
            <w:vAlign w:val="center"/>
          </w:tcPr>
          <w:p>
            <w:pPr>
              <w:spacing w:line="360" w:lineRule="auto"/>
              <w:rPr>
                <w:rFonts w:ascii="宋体" w:hAnsi="宋体" w:cs="宋体"/>
                <w:sz w:val="18"/>
                <w:szCs w:val="18"/>
              </w:rPr>
            </w:pPr>
          </w:p>
          <w:p>
            <w:pPr>
              <w:spacing w:line="360" w:lineRule="auto"/>
              <w:ind w:firstLine="424" w:firstLineChars="236"/>
              <w:rPr>
                <w:rFonts w:ascii="宋体" w:hAnsi="宋体" w:cs="宋体"/>
                <w:sz w:val="18"/>
                <w:szCs w:val="18"/>
              </w:rPr>
            </w:pPr>
            <w:r>
              <w:rPr>
                <w:rFonts w:hint="eastAsia" w:ascii="宋体" w:hAnsi="宋体" w:cs="宋体"/>
                <w:sz w:val="18"/>
                <w:szCs w:val="18"/>
              </w:rPr>
              <w:t>3</w:t>
            </w:r>
          </w:p>
        </w:tc>
        <w:tc>
          <w:tcPr>
            <w:tcW w:w="1559" w:type="dxa"/>
            <w:vAlign w:val="center"/>
          </w:tcPr>
          <w:p>
            <w:pPr>
              <w:spacing w:line="360" w:lineRule="auto"/>
              <w:ind w:left="239" w:leftChars="114"/>
              <w:rPr>
                <w:rFonts w:ascii="宋体" w:hAnsi="宋体" w:cs="宋体"/>
                <w:sz w:val="18"/>
                <w:szCs w:val="18"/>
              </w:rPr>
            </w:pPr>
            <w:r>
              <w:rPr>
                <w:rFonts w:hint="eastAsia" w:ascii="宋体" w:hAnsi="宋体" w:cs="宋体"/>
                <w:sz w:val="18"/>
                <w:szCs w:val="18"/>
                <w:lang w:val="en-US" w:eastAsia="zh-CN"/>
              </w:rPr>
              <w:t>技术</w:t>
            </w:r>
            <w:r>
              <w:rPr>
                <w:rFonts w:hint="eastAsia" w:ascii="宋体" w:hAnsi="宋体" w:cs="宋体"/>
                <w:sz w:val="18"/>
                <w:szCs w:val="18"/>
              </w:rPr>
              <w:t>方案</w:t>
            </w:r>
          </w:p>
        </w:tc>
        <w:tc>
          <w:tcPr>
            <w:tcW w:w="1399" w:type="dxa"/>
            <w:vAlign w:val="center"/>
          </w:tcPr>
          <w:p>
            <w:pPr>
              <w:spacing w:line="360" w:lineRule="auto"/>
              <w:ind w:left="360" w:hanging="360" w:hangingChars="20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rPr>
              <w:t>1</w:t>
            </w:r>
            <w:r>
              <w:rPr>
                <w:rFonts w:hint="eastAsia" w:ascii="宋体" w:hAnsi="宋体" w:cs="宋体"/>
                <w:sz w:val="18"/>
                <w:szCs w:val="18"/>
                <w:highlight w:val="none"/>
                <w:lang w:val="en-US" w:eastAsia="zh-CN"/>
              </w:rPr>
              <w:t>8</w:t>
            </w:r>
          </w:p>
        </w:tc>
        <w:tc>
          <w:tcPr>
            <w:tcW w:w="4329" w:type="dxa"/>
            <w:vAlign w:val="center"/>
          </w:tcPr>
          <w:p>
            <w:pPr>
              <w:rPr>
                <w:rFonts w:ascii="宋体" w:hAnsi="宋体" w:cs="宋体"/>
                <w:sz w:val="18"/>
                <w:szCs w:val="18"/>
                <w:highlight w:val="none"/>
              </w:rPr>
            </w:pPr>
            <w:r>
              <w:rPr>
                <w:rFonts w:hint="eastAsia" w:ascii="宋体" w:hAnsi="宋体" w:cs="宋体"/>
                <w:sz w:val="18"/>
                <w:szCs w:val="18"/>
                <w:highlight w:val="none"/>
              </w:rPr>
              <w:t>根据</w:t>
            </w:r>
            <w:r>
              <w:rPr>
                <w:rFonts w:hint="eastAsia" w:ascii="宋体" w:hAnsi="宋体" w:cs="宋体"/>
                <w:sz w:val="18"/>
                <w:szCs w:val="18"/>
                <w:highlight w:val="none"/>
                <w:lang w:val="en-US" w:eastAsia="zh-CN"/>
              </w:rPr>
              <w:t>参选</w:t>
            </w:r>
            <w:r>
              <w:rPr>
                <w:rFonts w:hint="eastAsia" w:ascii="宋体" w:hAnsi="宋体" w:cs="宋体"/>
                <w:sz w:val="18"/>
                <w:szCs w:val="18"/>
                <w:highlight w:val="none"/>
              </w:rPr>
              <w:t>人的技术方案横向比较综合评审：</w:t>
            </w:r>
          </w:p>
          <w:p>
            <w:pPr>
              <w:rPr>
                <w:rFonts w:ascii="宋体" w:hAnsi="宋体" w:cs="宋体"/>
                <w:sz w:val="18"/>
                <w:szCs w:val="18"/>
                <w:highlight w:val="none"/>
              </w:rPr>
            </w:pPr>
            <w:r>
              <w:rPr>
                <w:rFonts w:ascii="宋体" w:hAnsi="宋体" w:cs="宋体"/>
                <w:sz w:val="18"/>
                <w:szCs w:val="18"/>
                <w:highlight w:val="none"/>
              </w:rPr>
              <w:fldChar w:fldCharType="begin"/>
            </w:r>
            <w:r>
              <w:rPr>
                <w:rFonts w:ascii="宋体" w:hAnsi="宋体" w:cs="宋体"/>
                <w:sz w:val="18"/>
                <w:szCs w:val="18"/>
                <w:highlight w:val="none"/>
              </w:rPr>
              <w:instrText xml:space="preserve"> </w:instrText>
            </w:r>
            <w:r>
              <w:rPr>
                <w:rFonts w:hint="eastAsia" w:ascii="宋体" w:hAnsi="宋体" w:cs="宋体"/>
                <w:sz w:val="18"/>
                <w:szCs w:val="18"/>
                <w:highlight w:val="none"/>
              </w:rPr>
              <w:instrText xml:space="preserve">eq \o\ac(○,</w:instrText>
            </w:r>
            <w:r>
              <w:rPr>
                <w:rFonts w:hint="eastAsia" w:ascii="宋体" w:hAnsi="宋体" w:cs="宋体"/>
                <w:position w:val="2"/>
                <w:sz w:val="12"/>
                <w:szCs w:val="18"/>
                <w:highlight w:val="none"/>
              </w:rPr>
              <w:instrText xml:space="preserve">1</w:instrText>
            </w:r>
            <w:r>
              <w:rPr>
                <w:rFonts w:hint="eastAsia" w:ascii="宋体" w:hAnsi="宋体" w:cs="宋体"/>
                <w:sz w:val="18"/>
                <w:szCs w:val="18"/>
                <w:highlight w:val="none"/>
              </w:rPr>
              <w:instrText xml:space="preserve">)</w:instrText>
            </w:r>
            <w:r>
              <w:rPr>
                <w:rFonts w:ascii="宋体" w:hAnsi="宋体" w:cs="宋体"/>
                <w:sz w:val="18"/>
                <w:szCs w:val="18"/>
                <w:highlight w:val="none"/>
              </w:rPr>
              <w:fldChar w:fldCharType="end"/>
            </w:r>
            <w:r>
              <w:rPr>
                <w:rFonts w:hint="eastAsia" w:ascii="宋体" w:hAnsi="宋体" w:cs="宋体"/>
                <w:sz w:val="18"/>
                <w:szCs w:val="18"/>
                <w:highlight w:val="none"/>
              </w:rPr>
              <w:t>、项目目标明确，包括要解决的问题以及项目的限定条件。最高得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分，最低0分；</w:t>
            </w:r>
          </w:p>
          <w:p>
            <w:pPr>
              <w:rPr>
                <w:rFonts w:ascii="宋体" w:hAnsi="宋体" w:cs="宋体"/>
                <w:sz w:val="18"/>
                <w:szCs w:val="18"/>
                <w:highlight w:val="none"/>
              </w:rPr>
            </w:pPr>
            <w:r>
              <w:rPr>
                <w:rFonts w:ascii="宋体" w:hAnsi="宋体" w:cs="宋体"/>
                <w:sz w:val="18"/>
                <w:szCs w:val="18"/>
                <w:highlight w:val="none"/>
              </w:rPr>
              <w:fldChar w:fldCharType="begin"/>
            </w:r>
            <w:r>
              <w:rPr>
                <w:rFonts w:ascii="宋体" w:hAnsi="宋体" w:cs="宋体"/>
                <w:sz w:val="18"/>
                <w:szCs w:val="18"/>
                <w:highlight w:val="none"/>
              </w:rPr>
              <w:instrText xml:space="preserve"> </w:instrText>
            </w:r>
            <w:r>
              <w:rPr>
                <w:rFonts w:hint="eastAsia" w:ascii="宋体" w:hAnsi="宋体" w:cs="宋体"/>
                <w:sz w:val="18"/>
                <w:szCs w:val="18"/>
                <w:highlight w:val="none"/>
              </w:rPr>
              <w:instrText xml:space="preserve">eq \o\ac(○,</w:instrText>
            </w:r>
            <w:r>
              <w:rPr>
                <w:rFonts w:hint="eastAsia" w:ascii="宋体" w:hAnsi="宋体" w:cs="宋体"/>
                <w:position w:val="2"/>
                <w:sz w:val="12"/>
                <w:szCs w:val="18"/>
                <w:highlight w:val="none"/>
              </w:rPr>
              <w:instrText xml:space="preserve">2</w:instrText>
            </w:r>
            <w:r>
              <w:rPr>
                <w:rFonts w:hint="eastAsia" w:ascii="宋体" w:hAnsi="宋体" w:cs="宋体"/>
                <w:sz w:val="18"/>
                <w:szCs w:val="18"/>
                <w:highlight w:val="none"/>
              </w:rPr>
              <w:instrText xml:space="preserve">)</w:instrText>
            </w:r>
            <w:r>
              <w:rPr>
                <w:rFonts w:ascii="宋体" w:hAnsi="宋体" w:cs="宋体"/>
                <w:sz w:val="18"/>
                <w:szCs w:val="18"/>
                <w:highlight w:val="none"/>
              </w:rPr>
              <w:fldChar w:fldCharType="end"/>
            </w:r>
            <w:r>
              <w:rPr>
                <w:rFonts w:hint="eastAsia" w:ascii="宋体" w:hAnsi="宋体" w:cs="宋体"/>
                <w:sz w:val="18"/>
                <w:szCs w:val="18"/>
                <w:highlight w:val="none"/>
              </w:rPr>
              <w:t>、列出项目团队人员的姓名、职位和相关经验，明确各个角色的职责和沟通渠道。最高得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分，最低得0分；</w:t>
            </w:r>
          </w:p>
          <w:p>
            <w:pPr>
              <w:rPr>
                <w:rFonts w:ascii="宋体" w:hAnsi="宋体" w:cs="宋体"/>
                <w:sz w:val="18"/>
                <w:szCs w:val="18"/>
                <w:highlight w:val="none"/>
              </w:rPr>
            </w:pPr>
            <w:r>
              <w:rPr>
                <w:rFonts w:ascii="宋体" w:hAnsi="宋体" w:cs="宋体"/>
                <w:sz w:val="18"/>
                <w:szCs w:val="18"/>
                <w:highlight w:val="none"/>
              </w:rPr>
              <w:fldChar w:fldCharType="begin"/>
            </w:r>
            <w:r>
              <w:rPr>
                <w:rFonts w:ascii="宋体" w:hAnsi="宋体" w:cs="宋体"/>
                <w:sz w:val="18"/>
                <w:szCs w:val="18"/>
                <w:highlight w:val="none"/>
              </w:rPr>
              <w:instrText xml:space="preserve"> </w:instrText>
            </w:r>
            <w:r>
              <w:rPr>
                <w:rFonts w:hint="eastAsia" w:ascii="宋体" w:hAnsi="宋体" w:cs="宋体"/>
                <w:sz w:val="18"/>
                <w:szCs w:val="18"/>
                <w:highlight w:val="none"/>
              </w:rPr>
              <w:instrText xml:space="preserve">eq \o\ac(○,</w:instrText>
            </w:r>
            <w:r>
              <w:rPr>
                <w:rFonts w:hint="eastAsia" w:ascii="宋体" w:hAnsi="宋体" w:cs="宋体"/>
                <w:position w:val="2"/>
                <w:sz w:val="12"/>
                <w:szCs w:val="18"/>
                <w:highlight w:val="none"/>
              </w:rPr>
              <w:instrText xml:space="preserve">3</w:instrText>
            </w:r>
            <w:r>
              <w:rPr>
                <w:rFonts w:hint="eastAsia" w:ascii="宋体" w:hAnsi="宋体" w:cs="宋体"/>
                <w:sz w:val="18"/>
                <w:szCs w:val="18"/>
                <w:highlight w:val="none"/>
              </w:rPr>
              <w:instrText xml:space="preserve">)</w:instrText>
            </w:r>
            <w:r>
              <w:rPr>
                <w:rFonts w:ascii="宋体" w:hAnsi="宋体" w:cs="宋体"/>
                <w:sz w:val="18"/>
                <w:szCs w:val="18"/>
                <w:highlight w:val="none"/>
              </w:rPr>
              <w:fldChar w:fldCharType="end"/>
            </w:r>
            <w:r>
              <w:rPr>
                <w:rFonts w:hint="eastAsia" w:ascii="宋体" w:hAnsi="宋体" w:cs="宋体"/>
                <w:sz w:val="18"/>
                <w:szCs w:val="18"/>
                <w:highlight w:val="none"/>
              </w:rPr>
              <w:t>、根据项目需求，制定详尽的施工计划，包含完善的施工步骤、工器具的</w:t>
            </w:r>
            <w:bookmarkStart w:id="1" w:name="_GoBack"/>
            <w:bookmarkEnd w:id="1"/>
            <w:r>
              <w:rPr>
                <w:rFonts w:hint="eastAsia" w:ascii="宋体" w:hAnsi="宋体" w:cs="宋体"/>
                <w:sz w:val="18"/>
                <w:szCs w:val="18"/>
                <w:highlight w:val="none"/>
              </w:rPr>
              <w:t>准备、人力安排等。最高得</w:t>
            </w:r>
            <w:r>
              <w:rPr>
                <w:rFonts w:hint="eastAsia" w:ascii="宋体" w:hAnsi="宋体" w:cs="宋体"/>
                <w:sz w:val="18"/>
                <w:szCs w:val="18"/>
                <w:highlight w:val="none"/>
                <w:lang w:val="en-US" w:eastAsia="zh-CN"/>
              </w:rPr>
              <w:t>6</w:t>
            </w:r>
            <w:r>
              <w:rPr>
                <w:rFonts w:hint="eastAsia" w:ascii="宋体" w:hAnsi="宋体" w:cs="宋体"/>
                <w:sz w:val="18"/>
                <w:szCs w:val="18"/>
                <w:highlight w:val="none"/>
              </w:rPr>
              <w:t>分，最低得0分。</w:t>
            </w:r>
          </w:p>
          <w:p>
            <w:pPr>
              <w:rPr>
                <w:rFonts w:ascii="宋体" w:hAnsi="宋体" w:cs="宋体"/>
                <w:sz w:val="18"/>
                <w:szCs w:val="18"/>
                <w:highlight w:val="none"/>
              </w:rPr>
            </w:pPr>
            <w:r>
              <w:rPr>
                <w:rFonts w:ascii="宋体" w:hAnsi="宋体" w:cs="宋体"/>
                <w:sz w:val="18"/>
                <w:szCs w:val="18"/>
                <w:highlight w:val="none"/>
              </w:rPr>
              <w:fldChar w:fldCharType="begin"/>
            </w:r>
            <w:r>
              <w:rPr>
                <w:rFonts w:ascii="宋体" w:hAnsi="宋体" w:cs="宋体"/>
                <w:sz w:val="18"/>
                <w:szCs w:val="18"/>
                <w:highlight w:val="none"/>
              </w:rPr>
              <w:instrText xml:space="preserve"> </w:instrText>
            </w:r>
            <w:r>
              <w:rPr>
                <w:rFonts w:hint="eastAsia" w:ascii="宋体" w:hAnsi="宋体" w:cs="宋体"/>
                <w:sz w:val="18"/>
                <w:szCs w:val="18"/>
                <w:highlight w:val="none"/>
              </w:rPr>
              <w:instrText xml:space="preserve">eq \o\ac(○,</w:instrText>
            </w:r>
            <w:r>
              <w:rPr>
                <w:rFonts w:hint="eastAsia" w:ascii="宋体" w:hAnsi="宋体" w:cs="宋体"/>
                <w:position w:val="2"/>
                <w:sz w:val="12"/>
                <w:szCs w:val="18"/>
                <w:highlight w:val="none"/>
              </w:rPr>
              <w:instrText xml:space="preserve">4</w:instrText>
            </w:r>
            <w:r>
              <w:rPr>
                <w:rFonts w:hint="eastAsia" w:ascii="宋体" w:hAnsi="宋体" w:cs="宋体"/>
                <w:sz w:val="18"/>
                <w:szCs w:val="18"/>
                <w:highlight w:val="none"/>
              </w:rPr>
              <w:instrText xml:space="preserve">)</w:instrText>
            </w:r>
            <w:r>
              <w:rPr>
                <w:rFonts w:ascii="宋体" w:hAnsi="宋体" w:cs="宋体"/>
                <w:sz w:val="18"/>
                <w:szCs w:val="18"/>
                <w:highlight w:val="none"/>
              </w:rPr>
              <w:fldChar w:fldCharType="end"/>
            </w:r>
            <w:r>
              <w:rPr>
                <w:rFonts w:hint="eastAsia" w:ascii="宋体" w:hAnsi="宋体" w:cs="宋体"/>
                <w:sz w:val="18"/>
                <w:szCs w:val="18"/>
                <w:highlight w:val="none"/>
              </w:rPr>
              <w:t>、制定详细的项目时间计划，以监控项目的进展。最高得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分，最低得0分；</w:t>
            </w:r>
          </w:p>
          <w:p>
            <w:pPr>
              <w:rPr>
                <w:rFonts w:ascii="宋体" w:hAnsi="宋体" w:cs="宋体"/>
                <w:sz w:val="18"/>
                <w:szCs w:val="18"/>
                <w:highlight w:val="none"/>
              </w:rPr>
            </w:pPr>
            <w:r>
              <w:rPr>
                <w:rFonts w:ascii="宋体" w:hAnsi="宋体" w:cs="宋体"/>
                <w:sz w:val="18"/>
                <w:szCs w:val="18"/>
                <w:highlight w:val="none"/>
              </w:rPr>
              <w:fldChar w:fldCharType="begin"/>
            </w:r>
            <w:r>
              <w:rPr>
                <w:rFonts w:ascii="宋体" w:hAnsi="宋体" w:cs="宋体"/>
                <w:sz w:val="18"/>
                <w:szCs w:val="18"/>
                <w:highlight w:val="none"/>
              </w:rPr>
              <w:instrText xml:space="preserve"> </w:instrText>
            </w:r>
            <w:r>
              <w:rPr>
                <w:rFonts w:hint="eastAsia" w:ascii="宋体" w:hAnsi="宋体" w:cs="宋体"/>
                <w:sz w:val="18"/>
                <w:szCs w:val="18"/>
                <w:highlight w:val="none"/>
              </w:rPr>
              <w:instrText xml:space="preserve">eq \o\ac(○,</w:instrText>
            </w:r>
            <w:r>
              <w:rPr>
                <w:rFonts w:hint="eastAsia" w:ascii="宋体" w:hAnsi="宋体" w:cs="宋体"/>
                <w:position w:val="2"/>
                <w:sz w:val="12"/>
                <w:szCs w:val="18"/>
                <w:highlight w:val="none"/>
              </w:rPr>
              <w:instrText xml:space="preserve">5</w:instrText>
            </w:r>
            <w:r>
              <w:rPr>
                <w:rFonts w:hint="eastAsia" w:ascii="宋体" w:hAnsi="宋体" w:cs="宋体"/>
                <w:sz w:val="18"/>
                <w:szCs w:val="18"/>
                <w:highlight w:val="none"/>
              </w:rPr>
              <w:instrText xml:space="preserve">)</w:instrText>
            </w:r>
            <w:r>
              <w:rPr>
                <w:rFonts w:ascii="宋体" w:hAnsi="宋体" w:cs="宋体"/>
                <w:sz w:val="18"/>
                <w:szCs w:val="18"/>
                <w:highlight w:val="none"/>
              </w:rPr>
              <w:fldChar w:fldCharType="end"/>
            </w:r>
            <w:r>
              <w:rPr>
                <w:rFonts w:hint="eastAsia" w:ascii="宋体" w:hAnsi="宋体" w:cs="宋体"/>
                <w:sz w:val="18"/>
                <w:szCs w:val="18"/>
                <w:highlight w:val="none"/>
              </w:rPr>
              <w:t>、根据项目可能面临的风险，制定相应的风险管控措施。最高得</w:t>
            </w:r>
            <w:r>
              <w:rPr>
                <w:rFonts w:hint="eastAsia" w:ascii="宋体" w:hAnsi="宋体" w:cs="宋体"/>
                <w:sz w:val="18"/>
                <w:szCs w:val="18"/>
                <w:highlight w:val="none"/>
                <w:lang w:val="en-US" w:eastAsia="zh-CN"/>
              </w:rPr>
              <w:t>3</w:t>
            </w:r>
            <w:r>
              <w:rPr>
                <w:rFonts w:hint="eastAsia" w:ascii="宋体" w:hAnsi="宋体" w:cs="宋体"/>
                <w:sz w:val="18"/>
                <w:szCs w:val="18"/>
                <w:highlight w:val="none"/>
              </w:rPr>
              <w:t>分，最低得0分。</w:t>
            </w:r>
          </w:p>
          <w:p>
            <w:pPr>
              <w:rPr>
                <w:rFonts w:ascii="宋体" w:hAnsi="宋体" w:cs="宋体"/>
                <w:sz w:val="18"/>
                <w:szCs w:val="18"/>
                <w:highlight w:val="none"/>
              </w:rPr>
            </w:pPr>
          </w:p>
          <w:p>
            <w:pPr>
              <w:rPr>
                <w:rFonts w:ascii="宋体" w:hAnsi="宋体" w:cs="宋体"/>
                <w:sz w:val="18"/>
                <w:szCs w:val="18"/>
                <w:highlight w:val="none"/>
              </w:rPr>
            </w:pPr>
          </w:p>
        </w:tc>
      </w:tr>
    </w:tbl>
    <w:p>
      <w:pPr>
        <w:spacing w:line="360" w:lineRule="auto"/>
        <w:jc w:val="left"/>
        <w:rPr>
          <w:rFonts w:ascii="宋体" w:hAnsi="宋体" w:cs="宋体"/>
          <w:bCs/>
          <w:sz w:val="24"/>
        </w:rPr>
      </w:pPr>
      <w:r>
        <w:rPr>
          <w:rFonts w:hint="eastAsia" w:ascii="宋体" w:hAnsi="宋体" w:cs="宋体"/>
          <w:sz w:val="24"/>
        </w:rPr>
        <w:t xml:space="preserve">   以上报价不完整的、超过最高限价的，均视为无效</w:t>
      </w:r>
      <w:r>
        <w:rPr>
          <w:rFonts w:hint="eastAsia" w:ascii="宋体" w:hAnsi="宋体" w:cs="宋体"/>
          <w:sz w:val="24"/>
          <w:lang w:val="en-US" w:eastAsia="zh-CN"/>
        </w:rPr>
        <w:t>参选</w:t>
      </w:r>
      <w:r>
        <w:rPr>
          <w:rFonts w:hint="eastAsia" w:ascii="宋体" w:hAnsi="宋体" w:cs="宋体"/>
          <w:sz w:val="24"/>
        </w:rPr>
        <w:t>。</w:t>
      </w:r>
    </w:p>
    <w:p>
      <w:pPr>
        <w:widowControl/>
        <w:tabs>
          <w:tab w:val="left" w:pos="709"/>
        </w:tabs>
        <w:spacing w:line="720" w:lineRule="auto"/>
        <w:ind w:right="525" w:rightChars="250"/>
        <w:jc w:val="left"/>
        <w:rPr>
          <w:rFonts w:ascii="宋体" w:hAnsi="宋体" w:cs="宋体"/>
          <w:color w:val="000000"/>
          <w:kern w:val="0"/>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rPr>
        <w:sz w:val="21"/>
        <w:szCs w:val="21"/>
      </w:rPr>
    </w:pPr>
    <w:r>
      <w:rPr>
        <w:rFonts w:hint="eastAsia"/>
        <w:sz w:val="21"/>
        <w:szCs w:val="21"/>
      </w:rPr>
      <w:t>福建福海创石油化工有限公司</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FDDCA"/>
    <w:multiLevelType w:val="singleLevel"/>
    <w:tmpl w:val="A51FDDCA"/>
    <w:lvl w:ilvl="0" w:tentative="0">
      <w:start w:val="1"/>
      <w:numFmt w:val="bullet"/>
      <w:lvlText w:val=""/>
      <w:lvlJc w:val="left"/>
      <w:pPr>
        <w:ind w:left="420" w:hanging="420"/>
      </w:pPr>
      <w:rPr>
        <w:rFonts w:hint="default" w:ascii="Wingdings" w:hAnsi="Wingdings"/>
      </w:rPr>
    </w:lvl>
  </w:abstractNum>
  <w:abstractNum w:abstractNumId="1">
    <w:nsid w:val="B71AA5C2"/>
    <w:multiLevelType w:val="singleLevel"/>
    <w:tmpl w:val="B71AA5C2"/>
    <w:lvl w:ilvl="0" w:tentative="0">
      <w:start w:val="1"/>
      <w:numFmt w:val="decimal"/>
      <w:lvlText w:val="%1."/>
      <w:lvlJc w:val="left"/>
      <w:pPr>
        <w:ind w:left="1560" w:hanging="425"/>
      </w:pPr>
      <w:rPr>
        <w:rFonts w:hint="default"/>
      </w:rPr>
    </w:lvl>
  </w:abstractNum>
  <w:abstractNum w:abstractNumId="2">
    <w:nsid w:val="DFF58B53"/>
    <w:multiLevelType w:val="singleLevel"/>
    <w:tmpl w:val="DFF58B53"/>
    <w:lvl w:ilvl="0" w:tentative="0">
      <w:start w:val="1"/>
      <w:numFmt w:val="decimal"/>
      <w:lvlText w:val="(%1)"/>
      <w:lvlJc w:val="left"/>
      <w:pPr>
        <w:ind w:left="425" w:hanging="425"/>
      </w:pPr>
      <w:rPr>
        <w:rFonts w:hint="default"/>
      </w:rPr>
    </w:lvl>
  </w:abstractNum>
  <w:abstractNum w:abstractNumId="3">
    <w:nsid w:val="28B64CB0"/>
    <w:multiLevelType w:val="singleLevel"/>
    <w:tmpl w:val="28B64CB0"/>
    <w:lvl w:ilvl="0" w:tentative="0">
      <w:start w:val="1"/>
      <w:numFmt w:val="decimal"/>
      <w:lvlText w:val="%1."/>
      <w:lvlJc w:val="left"/>
      <w:pPr>
        <w:ind w:left="1560" w:hanging="425"/>
      </w:pPr>
      <w:rPr>
        <w:rFonts w:hint="default"/>
      </w:rPr>
    </w:lvl>
  </w:abstractNum>
  <w:abstractNum w:abstractNumId="4">
    <w:nsid w:val="3F1B3980"/>
    <w:multiLevelType w:val="multilevel"/>
    <w:tmpl w:val="3F1B3980"/>
    <w:lvl w:ilvl="0" w:tentative="0">
      <w:start w:val="2"/>
      <w:numFmt w:val="decimal"/>
      <w:lvlText w:val="%1、"/>
      <w:lvlJc w:val="left"/>
      <w:pPr>
        <w:ind w:left="926" w:hanging="36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53037308"/>
    <w:multiLevelType w:val="multilevel"/>
    <w:tmpl w:val="53037308"/>
    <w:lvl w:ilvl="0" w:tentative="0">
      <w:start w:val="5"/>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DC547A"/>
    <w:multiLevelType w:val="multilevel"/>
    <w:tmpl w:val="53DC547A"/>
    <w:lvl w:ilvl="0" w:tentative="0">
      <w:start w:val="1"/>
      <w:numFmt w:val="chineseCountingThousand"/>
      <w:pStyle w:val="2"/>
      <w:lvlText w:val="%1、"/>
      <w:lvlJc w:val="left"/>
      <w:pPr>
        <w:ind w:left="845" w:hanging="420"/>
      </w:pPr>
      <w:rPr>
        <w:rFonts w:cs="Times New Roman"/>
        <w:b w:val="0"/>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567" w:hanging="567"/>
      </w:pPr>
      <w:rPr>
        <w:rFonts w:hint="eastAsia"/>
      </w:rPr>
    </w:lvl>
    <w:lvl w:ilvl="2" w:tentative="0">
      <w:start w:val="1"/>
      <w:numFmt w:val="decimal"/>
      <w:lvlText w:val="%1.%2.%3."/>
      <w:lvlJc w:val="left"/>
      <w:pPr>
        <w:ind w:left="7372" w:hanging="709"/>
      </w:pPr>
      <w:rPr>
        <w:rFonts w:hint="eastAsia"/>
        <w:lang w:val="en-U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7EE16B9"/>
    <w:multiLevelType w:val="multilevel"/>
    <w:tmpl w:val="57EE16B9"/>
    <w:lvl w:ilvl="0" w:tentative="0">
      <w:start w:val="1"/>
      <w:numFmt w:val="japaneseCounting"/>
      <w:lvlText w:val="%1、"/>
      <w:lvlJc w:val="left"/>
      <w:pPr>
        <w:ind w:left="720" w:hanging="720"/>
      </w:pPr>
      <w:rPr>
        <w:rFonts w:hint="default" w:hAnsi="Times New Roman" w:cs="Times New Roman"/>
        <w:b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A6AB982"/>
    <w:multiLevelType w:val="singleLevel"/>
    <w:tmpl w:val="6A6AB982"/>
    <w:lvl w:ilvl="0" w:tentative="0">
      <w:start w:val="1"/>
      <w:numFmt w:val="decimal"/>
      <w:lvlText w:val="%1."/>
      <w:lvlJc w:val="left"/>
      <w:pPr>
        <w:ind w:left="425" w:hanging="425"/>
      </w:pPr>
      <w:rPr>
        <w:rFonts w:hint="default"/>
      </w:rPr>
    </w:lvl>
  </w:abstractNum>
  <w:abstractNum w:abstractNumId="9">
    <w:nsid w:val="732D2006"/>
    <w:multiLevelType w:val="singleLevel"/>
    <w:tmpl w:val="732D2006"/>
    <w:lvl w:ilvl="0" w:tentative="0">
      <w:start w:val="1"/>
      <w:numFmt w:val="decimal"/>
      <w:lvlText w:val="%1."/>
      <w:lvlJc w:val="left"/>
      <w:pPr>
        <w:ind w:left="425" w:hanging="425"/>
      </w:pPr>
      <w:rPr>
        <w:rFonts w:hint="default"/>
      </w:rPr>
    </w:lvl>
  </w:abstractNum>
  <w:abstractNum w:abstractNumId="10">
    <w:nsid w:val="7F541832"/>
    <w:multiLevelType w:val="multilevel"/>
    <w:tmpl w:val="7F541832"/>
    <w:lvl w:ilvl="0" w:tentative="0">
      <w:start w:val="6"/>
      <w:numFmt w:val="decimal"/>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6"/>
  </w:num>
  <w:num w:numId="2">
    <w:abstractNumId w:val="7"/>
  </w:num>
  <w:num w:numId="3">
    <w:abstractNumId w:val="4"/>
  </w:num>
  <w:num w:numId="4">
    <w:abstractNumId w:val="10"/>
  </w:num>
  <w:num w:numId="5">
    <w:abstractNumId w:val="5"/>
  </w:num>
  <w:num w:numId="6">
    <w:abstractNumId w:val="0"/>
  </w:num>
  <w:num w:numId="7">
    <w:abstractNumId w:val="8"/>
  </w:num>
  <w:num w:numId="8">
    <w:abstractNumId w:val="9"/>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JiOTkyNDYyMmY1ODBhNThjZjRlMGY1NWRjZjdjZWEifQ=="/>
  </w:docVars>
  <w:rsids>
    <w:rsidRoot w:val="00312A1A"/>
    <w:rsid w:val="00000E5B"/>
    <w:rsid w:val="000018FD"/>
    <w:rsid w:val="0000290C"/>
    <w:rsid w:val="00004B75"/>
    <w:rsid w:val="00005CA6"/>
    <w:rsid w:val="00010829"/>
    <w:rsid w:val="00013B42"/>
    <w:rsid w:val="00014E7B"/>
    <w:rsid w:val="000166D8"/>
    <w:rsid w:val="00017363"/>
    <w:rsid w:val="000230C9"/>
    <w:rsid w:val="00024EB8"/>
    <w:rsid w:val="00025644"/>
    <w:rsid w:val="00025748"/>
    <w:rsid w:val="000306E1"/>
    <w:rsid w:val="00032762"/>
    <w:rsid w:val="000362C3"/>
    <w:rsid w:val="000372C6"/>
    <w:rsid w:val="00037B05"/>
    <w:rsid w:val="00037FC2"/>
    <w:rsid w:val="00043020"/>
    <w:rsid w:val="000501F4"/>
    <w:rsid w:val="000505AF"/>
    <w:rsid w:val="00050943"/>
    <w:rsid w:val="000511CA"/>
    <w:rsid w:val="00054FB6"/>
    <w:rsid w:val="00061213"/>
    <w:rsid w:val="00063CBC"/>
    <w:rsid w:val="00065494"/>
    <w:rsid w:val="00070126"/>
    <w:rsid w:val="000711F1"/>
    <w:rsid w:val="000753A5"/>
    <w:rsid w:val="00075996"/>
    <w:rsid w:val="00080665"/>
    <w:rsid w:val="00081ED0"/>
    <w:rsid w:val="000858FA"/>
    <w:rsid w:val="00091C57"/>
    <w:rsid w:val="000923BF"/>
    <w:rsid w:val="00096219"/>
    <w:rsid w:val="00096757"/>
    <w:rsid w:val="00096A76"/>
    <w:rsid w:val="000A37B8"/>
    <w:rsid w:val="000A44A9"/>
    <w:rsid w:val="000A5EA9"/>
    <w:rsid w:val="000B6ADF"/>
    <w:rsid w:val="000C059B"/>
    <w:rsid w:val="000C0AC9"/>
    <w:rsid w:val="000C0F6F"/>
    <w:rsid w:val="000C186D"/>
    <w:rsid w:val="000C2D22"/>
    <w:rsid w:val="000C3350"/>
    <w:rsid w:val="000C6E33"/>
    <w:rsid w:val="000D0AED"/>
    <w:rsid w:val="000D7FA4"/>
    <w:rsid w:val="000E0B88"/>
    <w:rsid w:val="000E3339"/>
    <w:rsid w:val="000E58E4"/>
    <w:rsid w:val="000E648B"/>
    <w:rsid w:val="000E76A0"/>
    <w:rsid w:val="000F0B63"/>
    <w:rsid w:val="000F187D"/>
    <w:rsid w:val="000F1D21"/>
    <w:rsid w:val="000F483E"/>
    <w:rsid w:val="000F4CD1"/>
    <w:rsid w:val="000F6218"/>
    <w:rsid w:val="001012FA"/>
    <w:rsid w:val="00104474"/>
    <w:rsid w:val="001046B2"/>
    <w:rsid w:val="00106D0B"/>
    <w:rsid w:val="001107E5"/>
    <w:rsid w:val="001122C0"/>
    <w:rsid w:val="001133C1"/>
    <w:rsid w:val="00114695"/>
    <w:rsid w:val="00114769"/>
    <w:rsid w:val="00115633"/>
    <w:rsid w:val="0011725A"/>
    <w:rsid w:val="0012247E"/>
    <w:rsid w:val="00125F2D"/>
    <w:rsid w:val="001266EC"/>
    <w:rsid w:val="00131C5C"/>
    <w:rsid w:val="0014014C"/>
    <w:rsid w:val="00141E1A"/>
    <w:rsid w:val="00143A7A"/>
    <w:rsid w:val="00144A8F"/>
    <w:rsid w:val="0014558F"/>
    <w:rsid w:val="0014704F"/>
    <w:rsid w:val="00150C6D"/>
    <w:rsid w:val="0015145F"/>
    <w:rsid w:val="00152FF6"/>
    <w:rsid w:val="001547F2"/>
    <w:rsid w:val="00154985"/>
    <w:rsid w:val="0015502B"/>
    <w:rsid w:val="00155601"/>
    <w:rsid w:val="001564CB"/>
    <w:rsid w:val="00161CAE"/>
    <w:rsid w:val="00161F92"/>
    <w:rsid w:val="00163A7B"/>
    <w:rsid w:val="00164CBE"/>
    <w:rsid w:val="001651EB"/>
    <w:rsid w:val="001658C7"/>
    <w:rsid w:val="00165EBF"/>
    <w:rsid w:val="00166565"/>
    <w:rsid w:val="00171505"/>
    <w:rsid w:val="0017389D"/>
    <w:rsid w:val="00174ED8"/>
    <w:rsid w:val="00176F99"/>
    <w:rsid w:val="00177321"/>
    <w:rsid w:val="00184864"/>
    <w:rsid w:val="001849EE"/>
    <w:rsid w:val="00185968"/>
    <w:rsid w:val="00190F4F"/>
    <w:rsid w:val="001961CC"/>
    <w:rsid w:val="001972C2"/>
    <w:rsid w:val="00197641"/>
    <w:rsid w:val="001A0722"/>
    <w:rsid w:val="001A3506"/>
    <w:rsid w:val="001A3AAE"/>
    <w:rsid w:val="001A4F69"/>
    <w:rsid w:val="001B0915"/>
    <w:rsid w:val="001B12B9"/>
    <w:rsid w:val="001C6ED4"/>
    <w:rsid w:val="001D06B8"/>
    <w:rsid w:val="001D16E4"/>
    <w:rsid w:val="001D65E9"/>
    <w:rsid w:val="001D717F"/>
    <w:rsid w:val="001E097A"/>
    <w:rsid w:val="001E1E8D"/>
    <w:rsid w:val="001E4481"/>
    <w:rsid w:val="001E490C"/>
    <w:rsid w:val="001E6988"/>
    <w:rsid w:val="001F0AA2"/>
    <w:rsid w:val="001F0B96"/>
    <w:rsid w:val="001F2F6F"/>
    <w:rsid w:val="001F69B4"/>
    <w:rsid w:val="001F749F"/>
    <w:rsid w:val="00200BB2"/>
    <w:rsid w:val="002034C1"/>
    <w:rsid w:val="00203DA1"/>
    <w:rsid w:val="002066E9"/>
    <w:rsid w:val="0020782B"/>
    <w:rsid w:val="00207A54"/>
    <w:rsid w:val="0021216E"/>
    <w:rsid w:val="002140CF"/>
    <w:rsid w:val="00216842"/>
    <w:rsid w:val="00216E8D"/>
    <w:rsid w:val="002225A3"/>
    <w:rsid w:val="00222838"/>
    <w:rsid w:val="00223012"/>
    <w:rsid w:val="002230F4"/>
    <w:rsid w:val="00223443"/>
    <w:rsid w:val="00223572"/>
    <w:rsid w:val="00223620"/>
    <w:rsid w:val="00223DB7"/>
    <w:rsid w:val="00224B84"/>
    <w:rsid w:val="00225BAD"/>
    <w:rsid w:val="00225D09"/>
    <w:rsid w:val="002269CC"/>
    <w:rsid w:val="0022716C"/>
    <w:rsid w:val="0022717A"/>
    <w:rsid w:val="00230D2A"/>
    <w:rsid w:val="0023110E"/>
    <w:rsid w:val="002331E7"/>
    <w:rsid w:val="0023431D"/>
    <w:rsid w:val="002343B8"/>
    <w:rsid w:val="00241A24"/>
    <w:rsid w:val="00241AF8"/>
    <w:rsid w:val="00241BD7"/>
    <w:rsid w:val="00241CAA"/>
    <w:rsid w:val="0024294F"/>
    <w:rsid w:val="00243F36"/>
    <w:rsid w:val="002446C2"/>
    <w:rsid w:val="00244EC2"/>
    <w:rsid w:val="00251119"/>
    <w:rsid w:val="00257144"/>
    <w:rsid w:val="002573FF"/>
    <w:rsid w:val="00263F6D"/>
    <w:rsid w:val="00264C2C"/>
    <w:rsid w:val="002713A1"/>
    <w:rsid w:val="00277523"/>
    <w:rsid w:val="00281135"/>
    <w:rsid w:val="0028159C"/>
    <w:rsid w:val="00281C0D"/>
    <w:rsid w:val="00283764"/>
    <w:rsid w:val="00285955"/>
    <w:rsid w:val="00290E76"/>
    <w:rsid w:val="0029175C"/>
    <w:rsid w:val="002925E2"/>
    <w:rsid w:val="002927C9"/>
    <w:rsid w:val="00292C8F"/>
    <w:rsid w:val="00293183"/>
    <w:rsid w:val="00293713"/>
    <w:rsid w:val="002A058F"/>
    <w:rsid w:val="002A1515"/>
    <w:rsid w:val="002A3917"/>
    <w:rsid w:val="002A5E3E"/>
    <w:rsid w:val="002B3061"/>
    <w:rsid w:val="002B329E"/>
    <w:rsid w:val="002B6D0C"/>
    <w:rsid w:val="002B7D8F"/>
    <w:rsid w:val="002C00B4"/>
    <w:rsid w:val="002C3789"/>
    <w:rsid w:val="002C39BD"/>
    <w:rsid w:val="002D07C7"/>
    <w:rsid w:val="002D2CA5"/>
    <w:rsid w:val="002D36C6"/>
    <w:rsid w:val="002D3F75"/>
    <w:rsid w:val="002E24C5"/>
    <w:rsid w:val="002E705E"/>
    <w:rsid w:val="002E7B3F"/>
    <w:rsid w:val="002F1C44"/>
    <w:rsid w:val="002F224B"/>
    <w:rsid w:val="002F4748"/>
    <w:rsid w:val="003007F6"/>
    <w:rsid w:val="00304679"/>
    <w:rsid w:val="0030646E"/>
    <w:rsid w:val="0031144D"/>
    <w:rsid w:val="00312A1A"/>
    <w:rsid w:val="00314272"/>
    <w:rsid w:val="00315D99"/>
    <w:rsid w:val="00315F40"/>
    <w:rsid w:val="00325FED"/>
    <w:rsid w:val="00333B29"/>
    <w:rsid w:val="00333C23"/>
    <w:rsid w:val="00334440"/>
    <w:rsid w:val="003346C2"/>
    <w:rsid w:val="00334B9D"/>
    <w:rsid w:val="00336130"/>
    <w:rsid w:val="00336660"/>
    <w:rsid w:val="00337E27"/>
    <w:rsid w:val="0034186F"/>
    <w:rsid w:val="003432E7"/>
    <w:rsid w:val="003436CA"/>
    <w:rsid w:val="00347935"/>
    <w:rsid w:val="00350432"/>
    <w:rsid w:val="003515FA"/>
    <w:rsid w:val="00354E09"/>
    <w:rsid w:val="00357BA3"/>
    <w:rsid w:val="003642E9"/>
    <w:rsid w:val="00370955"/>
    <w:rsid w:val="00372C3D"/>
    <w:rsid w:val="003733C3"/>
    <w:rsid w:val="00377312"/>
    <w:rsid w:val="00377893"/>
    <w:rsid w:val="00377944"/>
    <w:rsid w:val="003819D6"/>
    <w:rsid w:val="00385EAB"/>
    <w:rsid w:val="0038690E"/>
    <w:rsid w:val="0038728F"/>
    <w:rsid w:val="003912C6"/>
    <w:rsid w:val="0039393C"/>
    <w:rsid w:val="00397373"/>
    <w:rsid w:val="003A11D8"/>
    <w:rsid w:val="003A2235"/>
    <w:rsid w:val="003A369B"/>
    <w:rsid w:val="003A40B4"/>
    <w:rsid w:val="003A4F4D"/>
    <w:rsid w:val="003A4F86"/>
    <w:rsid w:val="003A76FB"/>
    <w:rsid w:val="003B2F2D"/>
    <w:rsid w:val="003B2FE6"/>
    <w:rsid w:val="003B73C9"/>
    <w:rsid w:val="003B73E4"/>
    <w:rsid w:val="003B77E5"/>
    <w:rsid w:val="003C2471"/>
    <w:rsid w:val="003C440C"/>
    <w:rsid w:val="003C457B"/>
    <w:rsid w:val="003C4CD6"/>
    <w:rsid w:val="003C5E1E"/>
    <w:rsid w:val="003C6BF2"/>
    <w:rsid w:val="003C7FF6"/>
    <w:rsid w:val="003D0DC0"/>
    <w:rsid w:val="003D290B"/>
    <w:rsid w:val="003D3E94"/>
    <w:rsid w:val="003D49AD"/>
    <w:rsid w:val="003D64D2"/>
    <w:rsid w:val="003D6959"/>
    <w:rsid w:val="003D72EB"/>
    <w:rsid w:val="003D7CA5"/>
    <w:rsid w:val="003D7FA2"/>
    <w:rsid w:val="003E180B"/>
    <w:rsid w:val="003E19D0"/>
    <w:rsid w:val="003E3DA5"/>
    <w:rsid w:val="003E48D8"/>
    <w:rsid w:val="003E4D1D"/>
    <w:rsid w:val="003E66F7"/>
    <w:rsid w:val="003E7DE9"/>
    <w:rsid w:val="003F0C97"/>
    <w:rsid w:val="003F14C3"/>
    <w:rsid w:val="003F1F37"/>
    <w:rsid w:val="003F33BA"/>
    <w:rsid w:val="003F51F0"/>
    <w:rsid w:val="003F6BB5"/>
    <w:rsid w:val="003F7399"/>
    <w:rsid w:val="003F7FA6"/>
    <w:rsid w:val="00404D32"/>
    <w:rsid w:val="004109ED"/>
    <w:rsid w:val="00412EDC"/>
    <w:rsid w:val="004155A4"/>
    <w:rsid w:val="0041586E"/>
    <w:rsid w:val="00420D33"/>
    <w:rsid w:val="00421677"/>
    <w:rsid w:val="004226A1"/>
    <w:rsid w:val="0042575B"/>
    <w:rsid w:val="004259C1"/>
    <w:rsid w:val="004266AA"/>
    <w:rsid w:val="004352A6"/>
    <w:rsid w:val="0043532C"/>
    <w:rsid w:val="0043722B"/>
    <w:rsid w:val="004522DF"/>
    <w:rsid w:val="00461164"/>
    <w:rsid w:val="00461D0E"/>
    <w:rsid w:val="004648F1"/>
    <w:rsid w:val="00465270"/>
    <w:rsid w:val="00466AA0"/>
    <w:rsid w:val="00467B8B"/>
    <w:rsid w:val="00471EC3"/>
    <w:rsid w:val="00472783"/>
    <w:rsid w:val="00473048"/>
    <w:rsid w:val="00473ED0"/>
    <w:rsid w:val="00475110"/>
    <w:rsid w:val="004818FE"/>
    <w:rsid w:val="00481C2A"/>
    <w:rsid w:val="0048712F"/>
    <w:rsid w:val="00487384"/>
    <w:rsid w:val="004876B5"/>
    <w:rsid w:val="004914A6"/>
    <w:rsid w:val="00492C78"/>
    <w:rsid w:val="0049682F"/>
    <w:rsid w:val="004977BA"/>
    <w:rsid w:val="004A0DF6"/>
    <w:rsid w:val="004A0E0D"/>
    <w:rsid w:val="004A39C6"/>
    <w:rsid w:val="004A3D2E"/>
    <w:rsid w:val="004A4B32"/>
    <w:rsid w:val="004A5084"/>
    <w:rsid w:val="004B0589"/>
    <w:rsid w:val="004C0F27"/>
    <w:rsid w:val="004C33B8"/>
    <w:rsid w:val="004C54B9"/>
    <w:rsid w:val="004C7EC2"/>
    <w:rsid w:val="004D0C82"/>
    <w:rsid w:val="004D3EC0"/>
    <w:rsid w:val="004D6547"/>
    <w:rsid w:val="004E0A1E"/>
    <w:rsid w:val="004E3FB9"/>
    <w:rsid w:val="004E4EAE"/>
    <w:rsid w:val="004E5F58"/>
    <w:rsid w:val="004F0AAD"/>
    <w:rsid w:val="004F206D"/>
    <w:rsid w:val="004F33D1"/>
    <w:rsid w:val="005008E6"/>
    <w:rsid w:val="00507C07"/>
    <w:rsid w:val="005133B7"/>
    <w:rsid w:val="00515615"/>
    <w:rsid w:val="00516A56"/>
    <w:rsid w:val="00522D34"/>
    <w:rsid w:val="0052414F"/>
    <w:rsid w:val="005304C7"/>
    <w:rsid w:val="0053062B"/>
    <w:rsid w:val="00531D0B"/>
    <w:rsid w:val="00532374"/>
    <w:rsid w:val="00534025"/>
    <w:rsid w:val="00534545"/>
    <w:rsid w:val="00534CF8"/>
    <w:rsid w:val="0054102D"/>
    <w:rsid w:val="0054176E"/>
    <w:rsid w:val="0054234F"/>
    <w:rsid w:val="00544A95"/>
    <w:rsid w:val="00545256"/>
    <w:rsid w:val="00546903"/>
    <w:rsid w:val="0055085A"/>
    <w:rsid w:val="005514E0"/>
    <w:rsid w:val="00553329"/>
    <w:rsid w:val="00554719"/>
    <w:rsid w:val="005547E4"/>
    <w:rsid w:val="00555DA6"/>
    <w:rsid w:val="005561E7"/>
    <w:rsid w:val="0055684D"/>
    <w:rsid w:val="005634BD"/>
    <w:rsid w:val="00565775"/>
    <w:rsid w:val="005658E4"/>
    <w:rsid w:val="00565BCD"/>
    <w:rsid w:val="005674A1"/>
    <w:rsid w:val="00572055"/>
    <w:rsid w:val="00572334"/>
    <w:rsid w:val="00572507"/>
    <w:rsid w:val="005828CF"/>
    <w:rsid w:val="005849D8"/>
    <w:rsid w:val="00584F7C"/>
    <w:rsid w:val="00586DC2"/>
    <w:rsid w:val="005919A5"/>
    <w:rsid w:val="00592EDC"/>
    <w:rsid w:val="005940F6"/>
    <w:rsid w:val="00594B99"/>
    <w:rsid w:val="005A2D9B"/>
    <w:rsid w:val="005A6663"/>
    <w:rsid w:val="005A6867"/>
    <w:rsid w:val="005A6CE6"/>
    <w:rsid w:val="005A7F58"/>
    <w:rsid w:val="005B11FC"/>
    <w:rsid w:val="005B2148"/>
    <w:rsid w:val="005B326E"/>
    <w:rsid w:val="005B7ADA"/>
    <w:rsid w:val="005C1A7E"/>
    <w:rsid w:val="005C6925"/>
    <w:rsid w:val="005C6C71"/>
    <w:rsid w:val="005D1592"/>
    <w:rsid w:val="005D170B"/>
    <w:rsid w:val="005D1B2E"/>
    <w:rsid w:val="005E332F"/>
    <w:rsid w:val="005E50E7"/>
    <w:rsid w:val="005E5E0E"/>
    <w:rsid w:val="005E6023"/>
    <w:rsid w:val="005E72D5"/>
    <w:rsid w:val="005E7E57"/>
    <w:rsid w:val="005F2970"/>
    <w:rsid w:val="005F634D"/>
    <w:rsid w:val="00600841"/>
    <w:rsid w:val="006027F3"/>
    <w:rsid w:val="00604C34"/>
    <w:rsid w:val="00607059"/>
    <w:rsid w:val="00612900"/>
    <w:rsid w:val="00615E30"/>
    <w:rsid w:val="00620722"/>
    <w:rsid w:val="00621B46"/>
    <w:rsid w:val="00622D9D"/>
    <w:rsid w:val="0063325C"/>
    <w:rsid w:val="0063411F"/>
    <w:rsid w:val="0063650A"/>
    <w:rsid w:val="00636EAD"/>
    <w:rsid w:val="00640CD1"/>
    <w:rsid w:val="0064328A"/>
    <w:rsid w:val="006450A8"/>
    <w:rsid w:val="0064633D"/>
    <w:rsid w:val="00646F9D"/>
    <w:rsid w:val="00646FF7"/>
    <w:rsid w:val="00653095"/>
    <w:rsid w:val="00656FF3"/>
    <w:rsid w:val="0065705E"/>
    <w:rsid w:val="0065720F"/>
    <w:rsid w:val="00660DB5"/>
    <w:rsid w:val="00661302"/>
    <w:rsid w:val="00662C22"/>
    <w:rsid w:val="00666F73"/>
    <w:rsid w:val="00667829"/>
    <w:rsid w:val="0067403B"/>
    <w:rsid w:val="00675418"/>
    <w:rsid w:val="00677BE6"/>
    <w:rsid w:val="006819D4"/>
    <w:rsid w:val="0068237B"/>
    <w:rsid w:val="006828AF"/>
    <w:rsid w:val="006838FC"/>
    <w:rsid w:val="00684813"/>
    <w:rsid w:val="00685168"/>
    <w:rsid w:val="00685703"/>
    <w:rsid w:val="00685771"/>
    <w:rsid w:val="00686636"/>
    <w:rsid w:val="00690E8B"/>
    <w:rsid w:val="00691997"/>
    <w:rsid w:val="006943F5"/>
    <w:rsid w:val="00694BA6"/>
    <w:rsid w:val="00695068"/>
    <w:rsid w:val="006A10FD"/>
    <w:rsid w:val="006B2ACF"/>
    <w:rsid w:val="006B7EA0"/>
    <w:rsid w:val="006C00F1"/>
    <w:rsid w:val="006C1BA0"/>
    <w:rsid w:val="006C4AF8"/>
    <w:rsid w:val="006C4E59"/>
    <w:rsid w:val="006C5E91"/>
    <w:rsid w:val="006C6531"/>
    <w:rsid w:val="006C6867"/>
    <w:rsid w:val="006C7553"/>
    <w:rsid w:val="006C7661"/>
    <w:rsid w:val="006C76C7"/>
    <w:rsid w:val="006D0CF5"/>
    <w:rsid w:val="006D3935"/>
    <w:rsid w:val="006D50CB"/>
    <w:rsid w:val="006E0312"/>
    <w:rsid w:val="006E3B23"/>
    <w:rsid w:val="006F0D44"/>
    <w:rsid w:val="006F0FF1"/>
    <w:rsid w:val="006F4AB1"/>
    <w:rsid w:val="006F56B4"/>
    <w:rsid w:val="006F78BC"/>
    <w:rsid w:val="007013B5"/>
    <w:rsid w:val="00701725"/>
    <w:rsid w:val="00705D9E"/>
    <w:rsid w:val="00706A79"/>
    <w:rsid w:val="00712E29"/>
    <w:rsid w:val="00712E95"/>
    <w:rsid w:val="0071490E"/>
    <w:rsid w:val="007162E4"/>
    <w:rsid w:val="00716668"/>
    <w:rsid w:val="0071669A"/>
    <w:rsid w:val="0071697F"/>
    <w:rsid w:val="00720A66"/>
    <w:rsid w:val="00720FB3"/>
    <w:rsid w:val="00721BC7"/>
    <w:rsid w:val="00723C62"/>
    <w:rsid w:val="007262CA"/>
    <w:rsid w:val="00727F74"/>
    <w:rsid w:val="00730E1B"/>
    <w:rsid w:val="007320CE"/>
    <w:rsid w:val="007368D9"/>
    <w:rsid w:val="00737596"/>
    <w:rsid w:val="0074217A"/>
    <w:rsid w:val="00743087"/>
    <w:rsid w:val="00743771"/>
    <w:rsid w:val="00743A7E"/>
    <w:rsid w:val="007445C5"/>
    <w:rsid w:val="0074490E"/>
    <w:rsid w:val="00745C14"/>
    <w:rsid w:val="00746A11"/>
    <w:rsid w:val="0074713C"/>
    <w:rsid w:val="00750DAC"/>
    <w:rsid w:val="0075382E"/>
    <w:rsid w:val="00753B9D"/>
    <w:rsid w:val="007542CF"/>
    <w:rsid w:val="00754357"/>
    <w:rsid w:val="00754907"/>
    <w:rsid w:val="007607F0"/>
    <w:rsid w:val="00761E9B"/>
    <w:rsid w:val="007669E2"/>
    <w:rsid w:val="0077470E"/>
    <w:rsid w:val="00776FD1"/>
    <w:rsid w:val="00777A63"/>
    <w:rsid w:val="00777D00"/>
    <w:rsid w:val="0078401C"/>
    <w:rsid w:val="00790633"/>
    <w:rsid w:val="007913EF"/>
    <w:rsid w:val="00791B3D"/>
    <w:rsid w:val="00791FED"/>
    <w:rsid w:val="00796C51"/>
    <w:rsid w:val="007971AF"/>
    <w:rsid w:val="007A0FE5"/>
    <w:rsid w:val="007A5B6B"/>
    <w:rsid w:val="007B122E"/>
    <w:rsid w:val="007C1809"/>
    <w:rsid w:val="007C4CCB"/>
    <w:rsid w:val="007C7833"/>
    <w:rsid w:val="007D0DA8"/>
    <w:rsid w:val="007D611A"/>
    <w:rsid w:val="007E05F3"/>
    <w:rsid w:val="007E1F82"/>
    <w:rsid w:val="007E303B"/>
    <w:rsid w:val="007E52D0"/>
    <w:rsid w:val="007E5BD8"/>
    <w:rsid w:val="007F072D"/>
    <w:rsid w:val="007F19C2"/>
    <w:rsid w:val="007F1F5C"/>
    <w:rsid w:val="007F389F"/>
    <w:rsid w:val="007F4527"/>
    <w:rsid w:val="0080023D"/>
    <w:rsid w:val="00800C4C"/>
    <w:rsid w:val="00801BCB"/>
    <w:rsid w:val="00805600"/>
    <w:rsid w:val="008058B4"/>
    <w:rsid w:val="00805AFC"/>
    <w:rsid w:val="00806395"/>
    <w:rsid w:val="0080682C"/>
    <w:rsid w:val="008103D9"/>
    <w:rsid w:val="008136A1"/>
    <w:rsid w:val="00814655"/>
    <w:rsid w:val="00814FA9"/>
    <w:rsid w:val="00815B3C"/>
    <w:rsid w:val="0081676F"/>
    <w:rsid w:val="008169E6"/>
    <w:rsid w:val="00816EF5"/>
    <w:rsid w:val="00817DEE"/>
    <w:rsid w:val="00817E55"/>
    <w:rsid w:val="00820D2E"/>
    <w:rsid w:val="008215B7"/>
    <w:rsid w:val="00823237"/>
    <w:rsid w:val="008254F4"/>
    <w:rsid w:val="00834EBE"/>
    <w:rsid w:val="00836B51"/>
    <w:rsid w:val="00837743"/>
    <w:rsid w:val="008404BF"/>
    <w:rsid w:val="00840EFC"/>
    <w:rsid w:val="00841846"/>
    <w:rsid w:val="008424B7"/>
    <w:rsid w:val="00845935"/>
    <w:rsid w:val="008463D1"/>
    <w:rsid w:val="00846840"/>
    <w:rsid w:val="008470D7"/>
    <w:rsid w:val="00847249"/>
    <w:rsid w:val="008530E2"/>
    <w:rsid w:val="008531B3"/>
    <w:rsid w:val="008549AF"/>
    <w:rsid w:val="008562D1"/>
    <w:rsid w:val="00863D5A"/>
    <w:rsid w:val="008644DA"/>
    <w:rsid w:val="00864FB2"/>
    <w:rsid w:val="00865790"/>
    <w:rsid w:val="008665B4"/>
    <w:rsid w:val="008668AA"/>
    <w:rsid w:val="00866C24"/>
    <w:rsid w:val="00873550"/>
    <w:rsid w:val="008737AA"/>
    <w:rsid w:val="00873B31"/>
    <w:rsid w:val="0087530E"/>
    <w:rsid w:val="0087567C"/>
    <w:rsid w:val="008759BC"/>
    <w:rsid w:val="00875B96"/>
    <w:rsid w:val="008772B2"/>
    <w:rsid w:val="00877E4A"/>
    <w:rsid w:val="0088004B"/>
    <w:rsid w:val="00880B89"/>
    <w:rsid w:val="00886DBE"/>
    <w:rsid w:val="00887A98"/>
    <w:rsid w:val="0089497C"/>
    <w:rsid w:val="00894DA4"/>
    <w:rsid w:val="008951A5"/>
    <w:rsid w:val="00897E4D"/>
    <w:rsid w:val="008A09A4"/>
    <w:rsid w:val="008A2E3B"/>
    <w:rsid w:val="008A33F4"/>
    <w:rsid w:val="008A587D"/>
    <w:rsid w:val="008A6309"/>
    <w:rsid w:val="008A6D2D"/>
    <w:rsid w:val="008B0426"/>
    <w:rsid w:val="008B0955"/>
    <w:rsid w:val="008C7B3C"/>
    <w:rsid w:val="008D105B"/>
    <w:rsid w:val="008E15BD"/>
    <w:rsid w:val="008E3002"/>
    <w:rsid w:val="008E7E57"/>
    <w:rsid w:val="008F1598"/>
    <w:rsid w:val="008F2DFF"/>
    <w:rsid w:val="008F5B64"/>
    <w:rsid w:val="00900DDE"/>
    <w:rsid w:val="00902649"/>
    <w:rsid w:val="009055C1"/>
    <w:rsid w:val="00910EDF"/>
    <w:rsid w:val="00911819"/>
    <w:rsid w:val="00912BAF"/>
    <w:rsid w:val="00916B40"/>
    <w:rsid w:val="00920FD4"/>
    <w:rsid w:val="00922B83"/>
    <w:rsid w:val="00924DFF"/>
    <w:rsid w:val="00926ECB"/>
    <w:rsid w:val="00927A73"/>
    <w:rsid w:val="009326EC"/>
    <w:rsid w:val="009363CF"/>
    <w:rsid w:val="009367D5"/>
    <w:rsid w:val="009379C4"/>
    <w:rsid w:val="00944C9B"/>
    <w:rsid w:val="00945FB6"/>
    <w:rsid w:val="00945FCE"/>
    <w:rsid w:val="00951530"/>
    <w:rsid w:val="00951876"/>
    <w:rsid w:val="00956108"/>
    <w:rsid w:val="00956F03"/>
    <w:rsid w:val="00960C7D"/>
    <w:rsid w:val="00964675"/>
    <w:rsid w:val="0096565B"/>
    <w:rsid w:val="009657E4"/>
    <w:rsid w:val="009679CF"/>
    <w:rsid w:val="009711AE"/>
    <w:rsid w:val="009738A6"/>
    <w:rsid w:val="00974B86"/>
    <w:rsid w:val="00977F99"/>
    <w:rsid w:val="00980585"/>
    <w:rsid w:val="00981E62"/>
    <w:rsid w:val="00982F5B"/>
    <w:rsid w:val="00984B45"/>
    <w:rsid w:val="00987662"/>
    <w:rsid w:val="00992BD9"/>
    <w:rsid w:val="009954FB"/>
    <w:rsid w:val="009A082A"/>
    <w:rsid w:val="009A2E01"/>
    <w:rsid w:val="009A4A10"/>
    <w:rsid w:val="009A52C5"/>
    <w:rsid w:val="009B10CC"/>
    <w:rsid w:val="009B24F7"/>
    <w:rsid w:val="009B5487"/>
    <w:rsid w:val="009C2136"/>
    <w:rsid w:val="009C3763"/>
    <w:rsid w:val="009C40AA"/>
    <w:rsid w:val="009D0A33"/>
    <w:rsid w:val="009D35F9"/>
    <w:rsid w:val="009D528C"/>
    <w:rsid w:val="009E320A"/>
    <w:rsid w:val="009E3A8C"/>
    <w:rsid w:val="009E6B48"/>
    <w:rsid w:val="009F1966"/>
    <w:rsid w:val="009F501D"/>
    <w:rsid w:val="009F5888"/>
    <w:rsid w:val="00A01244"/>
    <w:rsid w:val="00A0556F"/>
    <w:rsid w:val="00A05888"/>
    <w:rsid w:val="00A1018B"/>
    <w:rsid w:val="00A10779"/>
    <w:rsid w:val="00A15DF9"/>
    <w:rsid w:val="00A20132"/>
    <w:rsid w:val="00A2182C"/>
    <w:rsid w:val="00A22A6A"/>
    <w:rsid w:val="00A233F0"/>
    <w:rsid w:val="00A2558D"/>
    <w:rsid w:val="00A25B45"/>
    <w:rsid w:val="00A269D7"/>
    <w:rsid w:val="00A26AFA"/>
    <w:rsid w:val="00A3231B"/>
    <w:rsid w:val="00A32957"/>
    <w:rsid w:val="00A332E9"/>
    <w:rsid w:val="00A34337"/>
    <w:rsid w:val="00A365A3"/>
    <w:rsid w:val="00A374AE"/>
    <w:rsid w:val="00A4255E"/>
    <w:rsid w:val="00A431A0"/>
    <w:rsid w:val="00A45A35"/>
    <w:rsid w:val="00A46EB2"/>
    <w:rsid w:val="00A475AA"/>
    <w:rsid w:val="00A52D30"/>
    <w:rsid w:val="00A6205A"/>
    <w:rsid w:val="00A62D04"/>
    <w:rsid w:val="00A671C9"/>
    <w:rsid w:val="00A722B3"/>
    <w:rsid w:val="00A72F97"/>
    <w:rsid w:val="00A74DAF"/>
    <w:rsid w:val="00A76D67"/>
    <w:rsid w:val="00A77948"/>
    <w:rsid w:val="00A80257"/>
    <w:rsid w:val="00A84172"/>
    <w:rsid w:val="00A84246"/>
    <w:rsid w:val="00A865B4"/>
    <w:rsid w:val="00A871C0"/>
    <w:rsid w:val="00A87735"/>
    <w:rsid w:val="00A87E94"/>
    <w:rsid w:val="00A87EE1"/>
    <w:rsid w:val="00A92500"/>
    <w:rsid w:val="00A94630"/>
    <w:rsid w:val="00A97FB0"/>
    <w:rsid w:val="00AA0060"/>
    <w:rsid w:val="00AA1DDC"/>
    <w:rsid w:val="00AA25F3"/>
    <w:rsid w:val="00AA30F9"/>
    <w:rsid w:val="00AA459D"/>
    <w:rsid w:val="00AA605D"/>
    <w:rsid w:val="00AA630D"/>
    <w:rsid w:val="00AB062D"/>
    <w:rsid w:val="00AB1FDF"/>
    <w:rsid w:val="00AB2086"/>
    <w:rsid w:val="00AB38A2"/>
    <w:rsid w:val="00AB4163"/>
    <w:rsid w:val="00AB752C"/>
    <w:rsid w:val="00AC53E0"/>
    <w:rsid w:val="00AC7B46"/>
    <w:rsid w:val="00AC7D29"/>
    <w:rsid w:val="00AD0291"/>
    <w:rsid w:val="00AD2133"/>
    <w:rsid w:val="00AD29C9"/>
    <w:rsid w:val="00AD30C0"/>
    <w:rsid w:val="00AD6061"/>
    <w:rsid w:val="00AE1322"/>
    <w:rsid w:val="00AE37BE"/>
    <w:rsid w:val="00AE6F3B"/>
    <w:rsid w:val="00AE73DA"/>
    <w:rsid w:val="00AF2CF5"/>
    <w:rsid w:val="00AF65A4"/>
    <w:rsid w:val="00B0244D"/>
    <w:rsid w:val="00B0475F"/>
    <w:rsid w:val="00B05EAF"/>
    <w:rsid w:val="00B0663F"/>
    <w:rsid w:val="00B10420"/>
    <w:rsid w:val="00B115AE"/>
    <w:rsid w:val="00B13CDB"/>
    <w:rsid w:val="00B145A5"/>
    <w:rsid w:val="00B14D72"/>
    <w:rsid w:val="00B17E4E"/>
    <w:rsid w:val="00B22969"/>
    <w:rsid w:val="00B2420D"/>
    <w:rsid w:val="00B2422B"/>
    <w:rsid w:val="00B307E6"/>
    <w:rsid w:val="00B30D15"/>
    <w:rsid w:val="00B30E92"/>
    <w:rsid w:val="00B310A0"/>
    <w:rsid w:val="00B31535"/>
    <w:rsid w:val="00B31DDF"/>
    <w:rsid w:val="00B32B81"/>
    <w:rsid w:val="00B33C18"/>
    <w:rsid w:val="00B41E86"/>
    <w:rsid w:val="00B42213"/>
    <w:rsid w:val="00B454AA"/>
    <w:rsid w:val="00B4700C"/>
    <w:rsid w:val="00B50007"/>
    <w:rsid w:val="00B5038A"/>
    <w:rsid w:val="00B50727"/>
    <w:rsid w:val="00B52844"/>
    <w:rsid w:val="00B53D57"/>
    <w:rsid w:val="00B54747"/>
    <w:rsid w:val="00B65654"/>
    <w:rsid w:val="00B72D43"/>
    <w:rsid w:val="00B767D9"/>
    <w:rsid w:val="00B77AAF"/>
    <w:rsid w:val="00B803CF"/>
    <w:rsid w:val="00B81EEC"/>
    <w:rsid w:val="00B8207F"/>
    <w:rsid w:val="00B97607"/>
    <w:rsid w:val="00B97AB0"/>
    <w:rsid w:val="00BA1A4D"/>
    <w:rsid w:val="00BA2C63"/>
    <w:rsid w:val="00BA4949"/>
    <w:rsid w:val="00BA4A7C"/>
    <w:rsid w:val="00BA5D6D"/>
    <w:rsid w:val="00BB05FD"/>
    <w:rsid w:val="00BB37C2"/>
    <w:rsid w:val="00BB4ABA"/>
    <w:rsid w:val="00BB522E"/>
    <w:rsid w:val="00BC1274"/>
    <w:rsid w:val="00BC1A74"/>
    <w:rsid w:val="00BC1E81"/>
    <w:rsid w:val="00BC2FE4"/>
    <w:rsid w:val="00BC3357"/>
    <w:rsid w:val="00BC3812"/>
    <w:rsid w:val="00BC5DDB"/>
    <w:rsid w:val="00BD2772"/>
    <w:rsid w:val="00BD4714"/>
    <w:rsid w:val="00BD5AC1"/>
    <w:rsid w:val="00BD674A"/>
    <w:rsid w:val="00BD7ECC"/>
    <w:rsid w:val="00BE5ABE"/>
    <w:rsid w:val="00C006C5"/>
    <w:rsid w:val="00C02557"/>
    <w:rsid w:val="00C103FB"/>
    <w:rsid w:val="00C1097E"/>
    <w:rsid w:val="00C13879"/>
    <w:rsid w:val="00C13D6A"/>
    <w:rsid w:val="00C201E4"/>
    <w:rsid w:val="00C22D57"/>
    <w:rsid w:val="00C247BF"/>
    <w:rsid w:val="00C25B65"/>
    <w:rsid w:val="00C27FD7"/>
    <w:rsid w:val="00C33C3E"/>
    <w:rsid w:val="00C33D91"/>
    <w:rsid w:val="00C3586C"/>
    <w:rsid w:val="00C35AFB"/>
    <w:rsid w:val="00C36C77"/>
    <w:rsid w:val="00C41462"/>
    <w:rsid w:val="00C425A9"/>
    <w:rsid w:val="00C4279A"/>
    <w:rsid w:val="00C453FD"/>
    <w:rsid w:val="00C47AD3"/>
    <w:rsid w:val="00C53809"/>
    <w:rsid w:val="00C541F8"/>
    <w:rsid w:val="00C54DAD"/>
    <w:rsid w:val="00C57944"/>
    <w:rsid w:val="00C63C49"/>
    <w:rsid w:val="00C6466A"/>
    <w:rsid w:val="00C64F27"/>
    <w:rsid w:val="00C663EB"/>
    <w:rsid w:val="00C70CF5"/>
    <w:rsid w:val="00C7303D"/>
    <w:rsid w:val="00C741E9"/>
    <w:rsid w:val="00C760E5"/>
    <w:rsid w:val="00C777A4"/>
    <w:rsid w:val="00C8270B"/>
    <w:rsid w:val="00C837AB"/>
    <w:rsid w:val="00C842B0"/>
    <w:rsid w:val="00C86F32"/>
    <w:rsid w:val="00C902F4"/>
    <w:rsid w:val="00C90CF2"/>
    <w:rsid w:val="00C91D54"/>
    <w:rsid w:val="00C943DF"/>
    <w:rsid w:val="00C96DDE"/>
    <w:rsid w:val="00CA01B4"/>
    <w:rsid w:val="00CA0457"/>
    <w:rsid w:val="00CA1A80"/>
    <w:rsid w:val="00CA2690"/>
    <w:rsid w:val="00CA2DE7"/>
    <w:rsid w:val="00CA73AE"/>
    <w:rsid w:val="00CB20C9"/>
    <w:rsid w:val="00CB2480"/>
    <w:rsid w:val="00CB3478"/>
    <w:rsid w:val="00CB654D"/>
    <w:rsid w:val="00CB7379"/>
    <w:rsid w:val="00CC021A"/>
    <w:rsid w:val="00CC14FF"/>
    <w:rsid w:val="00CD0130"/>
    <w:rsid w:val="00CD1212"/>
    <w:rsid w:val="00CD2089"/>
    <w:rsid w:val="00CD2862"/>
    <w:rsid w:val="00CD37DA"/>
    <w:rsid w:val="00CD5F92"/>
    <w:rsid w:val="00CD6794"/>
    <w:rsid w:val="00CE02A6"/>
    <w:rsid w:val="00CE2F78"/>
    <w:rsid w:val="00CE65E2"/>
    <w:rsid w:val="00CF0303"/>
    <w:rsid w:val="00CF04A2"/>
    <w:rsid w:val="00CF1F01"/>
    <w:rsid w:val="00CF4275"/>
    <w:rsid w:val="00CF5793"/>
    <w:rsid w:val="00CF6477"/>
    <w:rsid w:val="00D06C75"/>
    <w:rsid w:val="00D06FE0"/>
    <w:rsid w:val="00D10018"/>
    <w:rsid w:val="00D1010E"/>
    <w:rsid w:val="00D10CCF"/>
    <w:rsid w:val="00D12AC7"/>
    <w:rsid w:val="00D13F30"/>
    <w:rsid w:val="00D153F0"/>
    <w:rsid w:val="00D16C95"/>
    <w:rsid w:val="00D17311"/>
    <w:rsid w:val="00D22FD4"/>
    <w:rsid w:val="00D23B22"/>
    <w:rsid w:val="00D246FB"/>
    <w:rsid w:val="00D2540F"/>
    <w:rsid w:val="00D30D5C"/>
    <w:rsid w:val="00D32FDB"/>
    <w:rsid w:val="00D36666"/>
    <w:rsid w:val="00D36D49"/>
    <w:rsid w:val="00D410C9"/>
    <w:rsid w:val="00D418FF"/>
    <w:rsid w:val="00D448D9"/>
    <w:rsid w:val="00D464A1"/>
    <w:rsid w:val="00D46A94"/>
    <w:rsid w:val="00D47E0A"/>
    <w:rsid w:val="00D47F87"/>
    <w:rsid w:val="00D525EC"/>
    <w:rsid w:val="00D52DD9"/>
    <w:rsid w:val="00D543F8"/>
    <w:rsid w:val="00D559D3"/>
    <w:rsid w:val="00D56264"/>
    <w:rsid w:val="00D56CA3"/>
    <w:rsid w:val="00D5707B"/>
    <w:rsid w:val="00D575FF"/>
    <w:rsid w:val="00D57843"/>
    <w:rsid w:val="00D60677"/>
    <w:rsid w:val="00D6106F"/>
    <w:rsid w:val="00D62A07"/>
    <w:rsid w:val="00D644D2"/>
    <w:rsid w:val="00D65454"/>
    <w:rsid w:val="00D6571E"/>
    <w:rsid w:val="00D65C10"/>
    <w:rsid w:val="00D67010"/>
    <w:rsid w:val="00D716AE"/>
    <w:rsid w:val="00D7538B"/>
    <w:rsid w:val="00D767A5"/>
    <w:rsid w:val="00D83866"/>
    <w:rsid w:val="00D84966"/>
    <w:rsid w:val="00D85637"/>
    <w:rsid w:val="00D85A81"/>
    <w:rsid w:val="00D90C72"/>
    <w:rsid w:val="00D90F7A"/>
    <w:rsid w:val="00D95F93"/>
    <w:rsid w:val="00DA5B76"/>
    <w:rsid w:val="00DA5D0F"/>
    <w:rsid w:val="00DA719C"/>
    <w:rsid w:val="00DB077B"/>
    <w:rsid w:val="00DB228D"/>
    <w:rsid w:val="00DB27B2"/>
    <w:rsid w:val="00DB3B3C"/>
    <w:rsid w:val="00DB3FE5"/>
    <w:rsid w:val="00DB40E7"/>
    <w:rsid w:val="00DB4490"/>
    <w:rsid w:val="00DB4CBB"/>
    <w:rsid w:val="00DB5A04"/>
    <w:rsid w:val="00DB6CE7"/>
    <w:rsid w:val="00DC2BBD"/>
    <w:rsid w:val="00DC32DD"/>
    <w:rsid w:val="00DD4BC6"/>
    <w:rsid w:val="00DD4C07"/>
    <w:rsid w:val="00DD4D5A"/>
    <w:rsid w:val="00DD58FD"/>
    <w:rsid w:val="00DD793B"/>
    <w:rsid w:val="00DE32C3"/>
    <w:rsid w:val="00DE400E"/>
    <w:rsid w:val="00DE479A"/>
    <w:rsid w:val="00DE5289"/>
    <w:rsid w:val="00DE751D"/>
    <w:rsid w:val="00DF0ADD"/>
    <w:rsid w:val="00DF20D3"/>
    <w:rsid w:val="00DF24F8"/>
    <w:rsid w:val="00DF250C"/>
    <w:rsid w:val="00DF4789"/>
    <w:rsid w:val="00DF4C14"/>
    <w:rsid w:val="00DF7509"/>
    <w:rsid w:val="00E000DB"/>
    <w:rsid w:val="00E00DED"/>
    <w:rsid w:val="00E03C04"/>
    <w:rsid w:val="00E1066B"/>
    <w:rsid w:val="00E11243"/>
    <w:rsid w:val="00E12E6A"/>
    <w:rsid w:val="00E20C27"/>
    <w:rsid w:val="00E214B3"/>
    <w:rsid w:val="00E23B07"/>
    <w:rsid w:val="00E243F5"/>
    <w:rsid w:val="00E24F5A"/>
    <w:rsid w:val="00E2532F"/>
    <w:rsid w:val="00E2779F"/>
    <w:rsid w:val="00E30014"/>
    <w:rsid w:val="00E3101D"/>
    <w:rsid w:val="00E32229"/>
    <w:rsid w:val="00E3464F"/>
    <w:rsid w:val="00E35E68"/>
    <w:rsid w:val="00E362B5"/>
    <w:rsid w:val="00E36CB1"/>
    <w:rsid w:val="00E42FFE"/>
    <w:rsid w:val="00E44554"/>
    <w:rsid w:val="00E45CDD"/>
    <w:rsid w:val="00E46C2E"/>
    <w:rsid w:val="00E51375"/>
    <w:rsid w:val="00E5534A"/>
    <w:rsid w:val="00E55CB1"/>
    <w:rsid w:val="00E570D9"/>
    <w:rsid w:val="00E576B0"/>
    <w:rsid w:val="00E6293B"/>
    <w:rsid w:val="00E647C1"/>
    <w:rsid w:val="00E65C04"/>
    <w:rsid w:val="00E66951"/>
    <w:rsid w:val="00E70939"/>
    <w:rsid w:val="00E73451"/>
    <w:rsid w:val="00E75344"/>
    <w:rsid w:val="00E82511"/>
    <w:rsid w:val="00E82693"/>
    <w:rsid w:val="00E85342"/>
    <w:rsid w:val="00E85B8B"/>
    <w:rsid w:val="00E86C22"/>
    <w:rsid w:val="00E90A4B"/>
    <w:rsid w:val="00E93486"/>
    <w:rsid w:val="00E97681"/>
    <w:rsid w:val="00EA1CBE"/>
    <w:rsid w:val="00EA5989"/>
    <w:rsid w:val="00EB34F5"/>
    <w:rsid w:val="00EB48C6"/>
    <w:rsid w:val="00EB6C33"/>
    <w:rsid w:val="00EB74F2"/>
    <w:rsid w:val="00EC125E"/>
    <w:rsid w:val="00EC31D8"/>
    <w:rsid w:val="00EC40AE"/>
    <w:rsid w:val="00ED0B54"/>
    <w:rsid w:val="00ED0C8C"/>
    <w:rsid w:val="00ED73A6"/>
    <w:rsid w:val="00ED7ACE"/>
    <w:rsid w:val="00ED7EB7"/>
    <w:rsid w:val="00EE118B"/>
    <w:rsid w:val="00EE4B1E"/>
    <w:rsid w:val="00EE7823"/>
    <w:rsid w:val="00EE7BC7"/>
    <w:rsid w:val="00EF0A94"/>
    <w:rsid w:val="00EF5805"/>
    <w:rsid w:val="00EF77BC"/>
    <w:rsid w:val="00F006DD"/>
    <w:rsid w:val="00F02F82"/>
    <w:rsid w:val="00F03FCC"/>
    <w:rsid w:val="00F04739"/>
    <w:rsid w:val="00F04C10"/>
    <w:rsid w:val="00F06D69"/>
    <w:rsid w:val="00F105E8"/>
    <w:rsid w:val="00F10B4F"/>
    <w:rsid w:val="00F12086"/>
    <w:rsid w:val="00F12E21"/>
    <w:rsid w:val="00F13149"/>
    <w:rsid w:val="00F13FE9"/>
    <w:rsid w:val="00F14B74"/>
    <w:rsid w:val="00F21E1D"/>
    <w:rsid w:val="00F22D07"/>
    <w:rsid w:val="00F25204"/>
    <w:rsid w:val="00F25A25"/>
    <w:rsid w:val="00F272C6"/>
    <w:rsid w:val="00F27715"/>
    <w:rsid w:val="00F33880"/>
    <w:rsid w:val="00F35B59"/>
    <w:rsid w:val="00F36E1C"/>
    <w:rsid w:val="00F413EC"/>
    <w:rsid w:val="00F443AD"/>
    <w:rsid w:val="00F4543D"/>
    <w:rsid w:val="00F46E5A"/>
    <w:rsid w:val="00F50E7F"/>
    <w:rsid w:val="00F514B4"/>
    <w:rsid w:val="00F52FBC"/>
    <w:rsid w:val="00F536EF"/>
    <w:rsid w:val="00F54208"/>
    <w:rsid w:val="00F54CB3"/>
    <w:rsid w:val="00F604E8"/>
    <w:rsid w:val="00F60BA2"/>
    <w:rsid w:val="00F60FDD"/>
    <w:rsid w:val="00F614EB"/>
    <w:rsid w:val="00F63F7D"/>
    <w:rsid w:val="00F64737"/>
    <w:rsid w:val="00F66C1B"/>
    <w:rsid w:val="00F67C67"/>
    <w:rsid w:val="00F703C6"/>
    <w:rsid w:val="00F70D3F"/>
    <w:rsid w:val="00F71589"/>
    <w:rsid w:val="00F7177E"/>
    <w:rsid w:val="00F73A7E"/>
    <w:rsid w:val="00F80331"/>
    <w:rsid w:val="00F85EB5"/>
    <w:rsid w:val="00F85EE8"/>
    <w:rsid w:val="00F933A7"/>
    <w:rsid w:val="00F93862"/>
    <w:rsid w:val="00F955B9"/>
    <w:rsid w:val="00F9660D"/>
    <w:rsid w:val="00F967A1"/>
    <w:rsid w:val="00F9794A"/>
    <w:rsid w:val="00FA3869"/>
    <w:rsid w:val="00FA792D"/>
    <w:rsid w:val="00FB0AFD"/>
    <w:rsid w:val="00FB18A4"/>
    <w:rsid w:val="00FB293F"/>
    <w:rsid w:val="00FC07CD"/>
    <w:rsid w:val="00FC46B7"/>
    <w:rsid w:val="00FC4D8F"/>
    <w:rsid w:val="00FC4F08"/>
    <w:rsid w:val="00FD063E"/>
    <w:rsid w:val="00FD2CB1"/>
    <w:rsid w:val="00FD306C"/>
    <w:rsid w:val="00FD4A73"/>
    <w:rsid w:val="00FD6F7C"/>
    <w:rsid w:val="00FE1347"/>
    <w:rsid w:val="00FE7F96"/>
    <w:rsid w:val="00FF309F"/>
    <w:rsid w:val="00FF33EF"/>
    <w:rsid w:val="00FF423E"/>
    <w:rsid w:val="00FF53BC"/>
    <w:rsid w:val="01874DBE"/>
    <w:rsid w:val="0196601E"/>
    <w:rsid w:val="01B67601"/>
    <w:rsid w:val="01C012ED"/>
    <w:rsid w:val="02EA2298"/>
    <w:rsid w:val="030516AD"/>
    <w:rsid w:val="03FE4B43"/>
    <w:rsid w:val="04153231"/>
    <w:rsid w:val="041D47D5"/>
    <w:rsid w:val="05D032DC"/>
    <w:rsid w:val="06205821"/>
    <w:rsid w:val="06247C27"/>
    <w:rsid w:val="063A0FE6"/>
    <w:rsid w:val="06803B3D"/>
    <w:rsid w:val="06982838"/>
    <w:rsid w:val="069B3D99"/>
    <w:rsid w:val="06A92474"/>
    <w:rsid w:val="06D3500C"/>
    <w:rsid w:val="06E25698"/>
    <w:rsid w:val="06EC7CEA"/>
    <w:rsid w:val="073562D9"/>
    <w:rsid w:val="074C7E41"/>
    <w:rsid w:val="077D4224"/>
    <w:rsid w:val="07852DBD"/>
    <w:rsid w:val="07875A23"/>
    <w:rsid w:val="084E7652"/>
    <w:rsid w:val="08AE6343"/>
    <w:rsid w:val="092B7994"/>
    <w:rsid w:val="0A1E2986"/>
    <w:rsid w:val="0A4D7C25"/>
    <w:rsid w:val="0AA07F0D"/>
    <w:rsid w:val="0AB42690"/>
    <w:rsid w:val="0B057D70"/>
    <w:rsid w:val="0B1F443B"/>
    <w:rsid w:val="0BB246CE"/>
    <w:rsid w:val="0BBD09BE"/>
    <w:rsid w:val="0C2C7643"/>
    <w:rsid w:val="0C2E1B8E"/>
    <w:rsid w:val="0C965756"/>
    <w:rsid w:val="0CCB0EB2"/>
    <w:rsid w:val="0D7174E0"/>
    <w:rsid w:val="0E2303A5"/>
    <w:rsid w:val="0E6A6868"/>
    <w:rsid w:val="0E7D246C"/>
    <w:rsid w:val="0E962F4E"/>
    <w:rsid w:val="0F455B48"/>
    <w:rsid w:val="114F4C15"/>
    <w:rsid w:val="119C3003"/>
    <w:rsid w:val="11E64458"/>
    <w:rsid w:val="120668A8"/>
    <w:rsid w:val="126307C1"/>
    <w:rsid w:val="133228BF"/>
    <w:rsid w:val="13481CD1"/>
    <w:rsid w:val="135F300E"/>
    <w:rsid w:val="136F6008"/>
    <w:rsid w:val="13BC28A0"/>
    <w:rsid w:val="13FC3064"/>
    <w:rsid w:val="14151024"/>
    <w:rsid w:val="141F78B8"/>
    <w:rsid w:val="143F60A1"/>
    <w:rsid w:val="14665D24"/>
    <w:rsid w:val="15463467"/>
    <w:rsid w:val="15DC2480"/>
    <w:rsid w:val="15FF1F8C"/>
    <w:rsid w:val="161865F8"/>
    <w:rsid w:val="16825412"/>
    <w:rsid w:val="16B42D3E"/>
    <w:rsid w:val="17B94CCD"/>
    <w:rsid w:val="17C56CFB"/>
    <w:rsid w:val="17E80129"/>
    <w:rsid w:val="18C759A2"/>
    <w:rsid w:val="192F4936"/>
    <w:rsid w:val="194F4FD8"/>
    <w:rsid w:val="19511F41"/>
    <w:rsid w:val="196361B0"/>
    <w:rsid w:val="19B62313"/>
    <w:rsid w:val="19C46786"/>
    <w:rsid w:val="19E216B0"/>
    <w:rsid w:val="1A6D5B83"/>
    <w:rsid w:val="1AF84F97"/>
    <w:rsid w:val="1AFE1550"/>
    <w:rsid w:val="1B893B46"/>
    <w:rsid w:val="1BD3499D"/>
    <w:rsid w:val="1C31300F"/>
    <w:rsid w:val="1C316C17"/>
    <w:rsid w:val="1CBA34E0"/>
    <w:rsid w:val="1CBD494F"/>
    <w:rsid w:val="1CC730D8"/>
    <w:rsid w:val="1D063C00"/>
    <w:rsid w:val="1DD65CC8"/>
    <w:rsid w:val="1DF667FD"/>
    <w:rsid w:val="1F132C77"/>
    <w:rsid w:val="1F226F40"/>
    <w:rsid w:val="1F404A8E"/>
    <w:rsid w:val="1F7532BF"/>
    <w:rsid w:val="1FFF16E3"/>
    <w:rsid w:val="208270BF"/>
    <w:rsid w:val="210C37AF"/>
    <w:rsid w:val="21182154"/>
    <w:rsid w:val="212B30CA"/>
    <w:rsid w:val="21DA38AD"/>
    <w:rsid w:val="21DF40AF"/>
    <w:rsid w:val="22E873C5"/>
    <w:rsid w:val="230A586E"/>
    <w:rsid w:val="23662313"/>
    <w:rsid w:val="238B4E5F"/>
    <w:rsid w:val="23A35ADA"/>
    <w:rsid w:val="23CE11F0"/>
    <w:rsid w:val="244C0D79"/>
    <w:rsid w:val="24575689"/>
    <w:rsid w:val="248B6E36"/>
    <w:rsid w:val="24941E97"/>
    <w:rsid w:val="24A54EAB"/>
    <w:rsid w:val="24EB7410"/>
    <w:rsid w:val="25124E71"/>
    <w:rsid w:val="254A6641"/>
    <w:rsid w:val="26103D41"/>
    <w:rsid w:val="26226372"/>
    <w:rsid w:val="264C4538"/>
    <w:rsid w:val="265F42E9"/>
    <w:rsid w:val="269B2361"/>
    <w:rsid w:val="269F6FE5"/>
    <w:rsid w:val="2725381D"/>
    <w:rsid w:val="27ED4EFA"/>
    <w:rsid w:val="27F57E8A"/>
    <w:rsid w:val="280177A8"/>
    <w:rsid w:val="28506677"/>
    <w:rsid w:val="28A55630"/>
    <w:rsid w:val="29657F00"/>
    <w:rsid w:val="296855E3"/>
    <w:rsid w:val="29712DA1"/>
    <w:rsid w:val="29B33362"/>
    <w:rsid w:val="29C55BD3"/>
    <w:rsid w:val="29E10EE6"/>
    <w:rsid w:val="2A0B4F4C"/>
    <w:rsid w:val="2AB95C9D"/>
    <w:rsid w:val="2AC05358"/>
    <w:rsid w:val="2B1E0CAF"/>
    <w:rsid w:val="2BDD3CFB"/>
    <w:rsid w:val="2BEF4D47"/>
    <w:rsid w:val="2BFB4B4C"/>
    <w:rsid w:val="2C493B09"/>
    <w:rsid w:val="2C5C1A8E"/>
    <w:rsid w:val="2CA60F5C"/>
    <w:rsid w:val="2CF779B1"/>
    <w:rsid w:val="2D4612AF"/>
    <w:rsid w:val="2DA74ACD"/>
    <w:rsid w:val="2DAA0960"/>
    <w:rsid w:val="2DB82AFD"/>
    <w:rsid w:val="2DDA5D8A"/>
    <w:rsid w:val="2E374561"/>
    <w:rsid w:val="2E637093"/>
    <w:rsid w:val="2EA80FBB"/>
    <w:rsid w:val="2EFF5362"/>
    <w:rsid w:val="2F6E6408"/>
    <w:rsid w:val="2F827A5E"/>
    <w:rsid w:val="304C5976"/>
    <w:rsid w:val="30530C82"/>
    <w:rsid w:val="3058256D"/>
    <w:rsid w:val="3095731D"/>
    <w:rsid w:val="30962A4A"/>
    <w:rsid w:val="311C2004"/>
    <w:rsid w:val="313D37CC"/>
    <w:rsid w:val="31405882"/>
    <w:rsid w:val="316D7DE6"/>
    <w:rsid w:val="31C809FB"/>
    <w:rsid w:val="31C83976"/>
    <w:rsid w:val="31E8433B"/>
    <w:rsid w:val="32096846"/>
    <w:rsid w:val="32325BB0"/>
    <w:rsid w:val="32574CB2"/>
    <w:rsid w:val="32AF6C3F"/>
    <w:rsid w:val="32F51BC2"/>
    <w:rsid w:val="33854BAB"/>
    <w:rsid w:val="33CB5EC6"/>
    <w:rsid w:val="33F06B8C"/>
    <w:rsid w:val="354A3431"/>
    <w:rsid w:val="35DA720A"/>
    <w:rsid w:val="36355DF7"/>
    <w:rsid w:val="368E28DA"/>
    <w:rsid w:val="36DB7A54"/>
    <w:rsid w:val="370E7E29"/>
    <w:rsid w:val="373C4996"/>
    <w:rsid w:val="38603EBA"/>
    <w:rsid w:val="38782890"/>
    <w:rsid w:val="388F691E"/>
    <w:rsid w:val="38FD59EE"/>
    <w:rsid w:val="39874DAF"/>
    <w:rsid w:val="3A4A4A07"/>
    <w:rsid w:val="3AA961C0"/>
    <w:rsid w:val="3AAA7E69"/>
    <w:rsid w:val="3AB31639"/>
    <w:rsid w:val="3AC52EF5"/>
    <w:rsid w:val="3AD273C0"/>
    <w:rsid w:val="3B312338"/>
    <w:rsid w:val="3CCA3AC8"/>
    <w:rsid w:val="3D114EF1"/>
    <w:rsid w:val="3DA70690"/>
    <w:rsid w:val="3DE42D3B"/>
    <w:rsid w:val="3E1D65C5"/>
    <w:rsid w:val="3E207E24"/>
    <w:rsid w:val="3E5D51F2"/>
    <w:rsid w:val="3E79027E"/>
    <w:rsid w:val="3EF422DB"/>
    <w:rsid w:val="3EF7239A"/>
    <w:rsid w:val="3F397A0D"/>
    <w:rsid w:val="3F7F666B"/>
    <w:rsid w:val="3F8312A1"/>
    <w:rsid w:val="3F84512C"/>
    <w:rsid w:val="3FB62E0C"/>
    <w:rsid w:val="3FEB34CD"/>
    <w:rsid w:val="3FEE54FA"/>
    <w:rsid w:val="40064000"/>
    <w:rsid w:val="40511239"/>
    <w:rsid w:val="40CE34D6"/>
    <w:rsid w:val="40EA5463"/>
    <w:rsid w:val="41220ED4"/>
    <w:rsid w:val="41306BEE"/>
    <w:rsid w:val="415E3D91"/>
    <w:rsid w:val="41B57F6A"/>
    <w:rsid w:val="42315CD2"/>
    <w:rsid w:val="44094A47"/>
    <w:rsid w:val="441B1DD7"/>
    <w:rsid w:val="4447741F"/>
    <w:rsid w:val="44D83825"/>
    <w:rsid w:val="45433394"/>
    <w:rsid w:val="45B05575"/>
    <w:rsid w:val="4615116B"/>
    <w:rsid w:val="46437360"/>
    <w:rsid w:val="465D0C9D"/>
    <w:rsid w:val="46993E16"/>
    <w:rsid w:val="46C10A14"/>
    <w:rsid w:val="47B265AF"/>
    <w:rsid w:val="47B71E17"/>
    <w:rsid w:val="47F54EE5"/>
    <w:rsid w:val="47FD5DF2"/>
    <w:rsid w:val="48126F55"/>
    <w:rsid w:val="484E763E"/>
    <w:rsid w:val="496036AF"/>
    <w:rsid w:val="4998024C"/>
    <w:rsid w:val="49A77222"/>
    <w:rsid w:val="49A84495"/>
    <w:rsid w:val="49C373CD"/>
    <w:rsid w:val="4A086416"/>
    <w:rsid w:val="4A4126C0"/>
    <w:rsid w:val="4A60631F"/>
    <w:rsid w:val="4A7B7BF1"/>
    <w:rsid w:val="4A8A6AE3"/>
    <w:rsid w:val="4AEE7FF3"/>
    <w:rsid w:val="4B3D2633"/>
    <w:rsid w:val="4BA733DB"/>
    <w:rsid w:val="4BB943B0"/>
    <w:rsid w:val="4BFF5B3B"/>
    <w:rsid w:val="4C147838"/>
    <w:rsid w:val="4D350341"/>
    <w:rsid w:val="4D3F6B37"/>
    <w:rsid w:val="4D4C5F59"/>
    <w:rsid w:val="4D725F25"/>
    <w:rsid w:val="4D761E2D"/>
    <w:rsid w:val="4DC82688"/>
    <w:rsid w:val="4DD03645"/>
    <w:rsid w:val="4DF12EFC"/>
    <w:rsid w:val="4E165AE9"/>
    <w:rsid w:val="4E393586"/>
    <w:rsid w:val="4E577EB0"/>
    <w:rsid w:val="4ECF5C98"/>
    <w:rsid w:val="4ED074F8"/>
    <w:rsid w:val="4F4077D2"/>
    <w:rsid w:val="4F730D1A"/>
    <w:rsid w:val="4FCE5F50"/>
    <w:rsid w:val="4FF77255"/>
    <w:rsid w:val="504A437F"/>
    <w:rsid w:val="51856AE2"/>
    <w:rsid w:val="51C273F1"/>
    <w:rsid w:val="521E1A19"/>
    <w:rsid w:val="52393987"/>
    <w:rsid w:val="524646C2"/>
    <w:rsid w:val="524D112C"/>
    <w:rsid w:val="525F5585"/>
    <w:rsid w:val="526C1A30"/>
    <w:rsid w:val="52D73DB9"/>
    <w:rsid w:val="53761B3F"/>
    <w:rsid w:val="53824741"/>
    <w:rsid w:val="538441C8"/>
    <w:rsid w:val="53CF4891"/>
    <w:rsid w:val="53DC59F3"/>
    <w:rsid w:val="53F71F19"/>
    <w:rsid w:val="54011CDF"/>
    <w:rsid w:val="545B6D5C"/>
    <w:rsid w:val="545D1EBE"/>
    <w:rsid w:val="54C142D5"/>
    <w:rsid w:val="54C94F38"/>
    <w:rsid w:val="55555BF1"/>
    <w:rsid w:val="559C6B8F"/>
    <w:rsid w:val="55F464FA"/>
    <w:rsid w:val="56481E38"/>
    <w:rsid w:val="567515C5"/>
    <w:rsid w:val="567A6EB9"/>
    <w:rsid w:val="56B934B6"/>
    <w:rsid w:val="56F16DEB"/>
    <w:rsid w:val="57770032"/>
    <w:rsid w:val="5860716A"/>
    <w:rsid w:val="588F60C3"/>
    <w:rsid w:val="589C2A78"/>
    <w:rsid w:val="58B55649"/>
    <w:rsid w:val="592A7AF8"/>
    <w:rsid w:val="593C50F5"/>
    <w:rsid w:val="59AA20D5"/>
    <w:rsid w:val="5A1B041B"/>
    <w:rsid w:val="5A20527D"/>
    <w:rsid w:val="5A5F3EF3"/>
    <w:rsid w:val="5ADF7C2B"/>
    <w:rsid w:val="5B7756EE"/>
    <w:rsid w:val="5B7B11C8"/>
    <w:rsid w:val="5B8A71CF"/>
    <w:rsid w:val="5BEB233A"/>
    <w:rsid w:val="5C127C57"/>
    <w:rsid w:val="5C186080"/>
    <w:rsid w:val="5C43646F"/>
    <w:rsid w:val="5CBB00EB"/>
    <w:rsid w:val="5DF27EF8"/>
    <w:rsid w:val="5E1C19D8"/>
    <w:rsid w:val="5F103E8F"/>
    <w:rsid w:val="5F84662B"/>
    <w:rsid w:val="60E5261B"/>
    <w:rsid w:val="61305C61"/>
    <w:rsid w:val="614D0F93"/>
    <w:rsid w:val="6152309A"/>
    <w:rsid w:val="61797B48"/>
    <w:rsid w:val="619B7F78"/>
    <w:rsid w:val="61A126EB"/>
    <w:rsid w:val="624978DE"/>
    <w:rsid w:val="62886432"/>
    <w:rsid w:val="62937930"/>
    <w:rsid w:val="63771075"/>
    <w:rsid w:val="63864720"/>
    <w:rsid w:val="63BB2532"/>
    <w:rsid w:val="64056CA7"/>
    <w:rsid w:val="64335AFC"/>
    <w:rsid w:val="651D4F04"/>
    <w:rsid w:val="65385EEE"/>
    <w:rsid w:val="65FE78C8"/>
    <w:rsid w:val="660D17AA"/>
    <w:rsid w:val="66326DE1"/>
    <w:rsid w:val="66502407"/>
    <w:rsid w:val="665C5C0C"/>
    <w:rsid w:val="66623861"/>
    <w:rsid w:val="666A4347"/>
    <w:rsid w:val="66A00348"/>
    <w:rsid w:val="67851522"/>
    <w:rsid w:val="67C577E1"/>
    <w:rsid w:val="681C6F01"/>
    <w:rsid w:val="691427CE"/>
    <w:rsid w:val="69434E61"/>
    <w:rsid w:val="69745F80"/>
    <w:rsid w:val="69842192"/>
    <w:rsid w:val="69AC5CA1"/>
    <w:rsid w:val="69C0402D"/>
    <w:rsid w:val="69F951FB"/>
    <w:rsid w:val="6A085D17"/>
    <w:rsid w:val="6A326CF9"/>
    <w:rsid w:val="6AEF6B3F"/>
    <w:rsid w:val="6AF723A7"/>
    <w:rsid w:val="6B170353"/>
    <w:rsid w:val="6B2E3123"/>
    <w:rsid w:val="6B6A054F"/>
    <w:rsid w:val="6B6E08BB"/>
    <w:rsid w:val="6B9628DF"/>
    <w:rsid w:val="6BBB5183"/>
    <w:rsid w:val="6BEB61B9"/>
    <w:rsid w:val="6C631CAA"/>
    <w:rsid w:val="6C94417C"/>
    <w:rsid w:val="6C9F4AA4"/>
    <w:rsid w:val="6CAC1067"/>
    <w:rsid w:val="6CE54BAD"/>
    <w:rsid w:val="6D1A237D"/>
    <w:rsid w:val="6D7F2265"/>
    <w:rsid w:val="6D8D7FAB"/>
    <w:rsid w:val="6DAA3429"/>
    <w:rsid w:val="6E0E3696"/>
    <w:rsid w:val="6ECC2C12"/>
    <w:rsid w:val="6FD74384"/>
    <w:rsid w:val="6FF9271D"/>
    <w:rsid w:val="7012558D"/>
    <w:rsid w:val="70332C0A"/>
    <w:rsid w:val="70653487"/>
    <w:rsid w:val="709E2D62"/>
    <w:rsid w:val="70D95624"/>
    <w:rsid w:val="71350B4F"/>
    <w:rsid w:val="714B1F75"/>
    <w:rsid w:val="71A05546"/>
    <w:rsid w:val="71A212BE"/>
    <w:rsid w:val="71A84C65"/>
    <w:rsid w:val="723E2669"/>
    <w:rsid w:val="72B60308"/>
    <w:rsid w:val="731901E9"/>
    <w:rsid w:val="73602239"/>
    <w:rsid w:val="736769C7"/>
    <w:rsid w:val="738323FE"/>
    <w:rsid w:val="73DF02AE"/>
    <w:rsid w:val="741517CB"/>
    <w:rsid w:val="742A4A8A"/>
    <w:rsid w:val="74B150D4"/>
    <w:rsid w:val="74BB52E3"/>
    <w:rsid w:val="752E4C17"/>
    <w:rsid w:val="75435567"/>
    <w:rsid w:val="758944DB"/>
    <w:rsid w:val="75FE0F51"/>
    <w:rsid w:val="762054BF"/>
    <w:rsid w:val="76277FE4"/>
    <w:rsid w:val="76CF41D8"/>
    <w:rsid w:val="77216056"/>
    <w:rsid w:val="77446974"/>
    <w:rsid w:val="778925D9"/>
    <w:rsid w:val="77D44674"/>
    <w:rsid w:val="78961451"/>
    <w:rsid w:val="79134850"/>
    <w:rsid w:val="7951644D"/>
    <w:rsid w:val="79554E68"/>
    <w:rsid w:val="7957164B"/>
    <w:rsid w:val="797F645C"/>
    <w:rsid w:val="79986B03"/>
    <w:rsid w:val="7A0F2FEA"/>
    <w:rsid w:val="7A7B08FF"/>
    <w:rsid w:val="7ADD38EA"/>
    <w:rsid w:val="7AF0130D"/>
    <w:rsid w:val="7B216173"/>
    <w:rsid w:val="7B642776"/>
    <w:rsid w:val="7B6E3FBF"/>
    <w:rsid w:val="7B846D71"/>
    <w:rsid w:val="7BCD7553"/>
    <w:rsid w:val="7C1D7794"/>
    <w:rsid w:val="7CCC4BB2"/>
    <w:rsid w:val="7CE73518"/>
    <w:rsid w:val="7D0F1C56"/>
    <w:rsid w:val="7D2B5F2E"/>
    <w:rsid w:val="7D354FCB"/>
    <w:rsid w:val="7DC115D8"/>
    <w:rsid w:val="7E1B1FB1"/>
    <w:rsid w:val="7EED5B43"/>
    <w:rsid w:val="7EF944E8"/>
    <w:rsid w:val="7F043E25"/>
    <w:rsid w:val="7F234754"/>
    <w:rsid w:val="7F791E0A"/>
    <w:rsid w:val="7F86713B"/>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0"/>
      <w:jc w:val="left"/>
      <w:outlineLvl w:val="0"/>
    </w:pPr>
    <w:rPr>
      <w:b/>
      <w:kern w:val="44"/>
      <w:sz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unhideWhenUsed/>
    <w:qFormat/>
    <w:uiPriority w:val="0"/>
    <w:rPr>
      <w:rFonts w:ascii="宋体" w:hAnsi="Courier New"/>
      <w:szCs w:val="20"/>
    </w:rPr>
  </w:style>
  <w:style w:type="paragraph" w:styleId="4">
    <w:name w:val="Date"/>
    <w:basedOn w:val="1"/>
    <w:next w:val="1"/>
    <w:link w:val="20"/>
    <w:qFormat/>
    <w:uiPriority w:val="0"/>
    <w:pPr>
      <w:ind w:left="100" w:leftChars="2500"/>
    </w:pPr>
  </w:style>
  <w:style w:type="paragraph" w:styleId="5">
    <w:name w:val="Balloon Text"/>
    <w:basedOn w:val="1"/>
    <w:link w:val="22"/>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Title"/>
    <w:basedOn w:val="1"/>
    <w:next w:val="1"/>
    <w:link w:val="23"/>
    <w:qFormat/>
    <w:uiPriority w:val="0"/>
    <w:pPr>
      <w:spacing w:before="240" w:after="60"/>
      <w:jc w:val="center"/>
      <w:outlineLvl w:val="0"/>
    </w:pPr>
    <w:rPr>
      <w:rFonts w:asciiTheme="majorHAnsi" w:hAnsiTheme="majorHAnsi" w:cstheme="majorBidi"/>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lin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basedOn w:val="12"/>
    <w:link w:val="7"/>
    <w:qFormat/>
    <w:uiPriority w:val="0"/>
    <w:rPr>
      <w:kern w:val="2"/>
      <w:sz w:val="18"/>
      <w:szCs w:val="18"/>
    </w:rPr>
  </w:style>
  <w:style w:type="character" w:customStyle="1" w:styleId="16">
    <w:name w:val="页脚 Char"/>
    <w:basedOn w:val="12"/>
    <w:link w:val="6"/>
    <w:qFormat/>
    <w:uiPriority w:val="99"/>
    <w:rPr>
      <w:kern w:val="2"/>
      <w:sz w:val="18"/>
      <w:szCs w:val="18"/>
    </w:rPr>
  </w:style>
  <w:style w:type="character" w:customStyle="1" w:styleId="17">
    <w:name w:val="纯文本 Char"/>
    <w:basedOn w:val="12"/>
    <w:link w:val="3"/>
    <w:qFormat/>
    <w:uiPriority w:val="0"/>
    <w:rPr>
      <w:rFonts w:ascii="宋体" w:hAnsi="Courier New"/>
      <w:kern w:val="2"/>
      <w:sz w:val="21"/>
    </w:rPr>
  </w:style>
  <w:style w:type="character" w:customStyle="1" w:styleId="18">
    <w:name w:val="apple-converted-space"/>
    <w:basedOn w:val="12"/>
    <w:qFormat/>
    <w:uiPriority w:val="0"/>
  </w:style>
  <w:style w:type="character" w:customStyle="1" w:styleId="19">
    <w:name w:val="HTML 预设格式 Char"/>
    <w:basedOn w:val="12"/>
    <w:link w:val="8"/>
    <w:qFormat/>
    <w:uiPriority w:val="99"/>
    <w:rPr>
      <w:rFonts w:ascii="宋体" w:hAnsi="宋体" w:cs="宋体"/>
      <w:sz w:val="24"/>
      <w:szCs w:val="24"/>
    </w:rPr>
  </w:style>
  <w:style w:type="character" w:customStyle="1" w:styleId="20">
    <w:name w:val="日期 Char"/>
    <w:basedOn w:val="12"/>
    <w:link w:val="4"/>
    <w:qFormat/>
    <w:uiPriority w:val="0"/>
    <w:rPr>
      <w:kern w:val="2"/>
      <w:sz w:val="21"/>
      <w:szCs w:val="24"/>
    </w:rPr>
  </w:style>
  <w:style w:type="paragraph" w:customStyle="1" w:styleId="21">
    <w:name w:val="Char"/>
    <w:basedOn w:val="1"/>
    <w:semiHidden/>
    <w:qFormat/>
    <w:uiPriority w:val="0"/>
    <w:rPr>
      <w:rFonts w:ascii="Tahoma" w:hAnsi="Tahoma"/>
      <w:sz w:val="24"/>
      <w:szCs w:val="20"/>
    </w:rPr>
  </w:style>
  <w:style w:type="character" w:customStyle="1" w:styleId="22">
    <w:name w:val="批注框文本 Char"/>
    <w:basedOn w:val="12"/>
    <w:link w:val="5"/>
    <w:qFormat/>
    <w:uiPriority w:val="0"/>
    <w:rPr>
      <w:kern w:val="2"/>
      <w:sz w:val="18"/>
      <w:szCs w:val="18"/>
    </w:rPr>
  </w:style>
  <w:style w:type="character" w:customStyle="1" w:styleId="23">
    <w:name w:val="标题 Char"/>
    <w:basedOn w:val="12"/>
    <w:link w:val="9"/>
    <w:qFormat/>
    <w:uiPriority w:val="0"/>
    <w:rPr>
      <w:rFonts w:asciiTheme="majorHAnsi" w:hAnsiTheme="majorHAnsi" w:cstheme="majorBidi"/>
      <w:b/>
      <w:bCs/>
      <w:kern w:val="2"/>
      <w:sz w:val="32"/>
      <w:szCs w:val="32"/>
    </w:rPr>
  </w:style>
  <w:style w:type="table" w:customStyle="1" w:styleId="2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25">
    <w:name w:val="List Paragraph"/>
    <w:basedOn w:val="1"/>
    <w:qFormat/>
    <w:uiPriority w:val="34"/>
    <w:pPr>
      <w:ind w:firstLine="420" w:firstLineChars="200"/>
    </w:pPr>
  </w:style>
  <w:style w:type="character" w:customStyle="1" w:styleId="26">
    <w:name w:val="font31"/>
    <w:basedOn w:val="12"/>
    <w:qFormat/>
    <w:uiPriority w:val="0"/>
    <w:rPr>
      <w:rFonts w:ascii="Calibri" w:hAnsi="Calibri" w:cs="Calibri"/>
      <w:color w:val="000000"/>
      <w:sz w:val="24"/>
      <w:szCs w:val="24"/>
      <w:u w:val="none"/>
    </w:rPr>
  </w:style>
  <w:style w:type="character" w:customStyle="1" w:styleId="27">
    <w:name w:val="font11"/>
    <w:basedOn w:val="12"/>
    <w:qFormat/>
    <w:uiPriority w:val="0"/>
    <w:rPr>
      <w:rFonts w:hint="eastAsia" w:ascii="宋体" w:hAnsi="宋体" w:eastAsia="宋体" w:cs="宋体"/>
      <w:color w:val="000000"/>
      <w:sz w:val="24"/>
      <w:szCs w:val="24"/>
      <w:u w:val="none"/>
    </w:rPr>
  </w:style>
  <w:style w:type="paragraph" w:customStyle="1" w:styleId="28">
    <w:name w:val="Char Char Char Char Char Char"/>
    <w:basedOn w:val="1"/>
    <w:qFormat/>
    <w:uiPriority w:val="0"/>
    <w:rPr>
      <w:szCs w:val="20"/>
    </w:rPr>
  </w:style>
  <w:style w:type="paragraph" w:customStyle="1" w:styleId="29">
    <w:name w:val="ＹＨ　正文"/>
    <w:basedOn w:val="1"/>
    <w:link w:val="30"/>
    <w:qFormat/>
    <w:uiPriority w:val="0"/>
    <w:pPr>
      <w:spacing w:line="360" w:lineRule="auto"/>
      <w:ind w:firstLine="200" w:firstLineChars="200"/>
    </w:pPr>
    <w:rPr>
      <w:rFonts w:cs="Mongolian Baiti"/>
      <w:sz w:val="24"/>
      <w:szCs w:val="22"/>
    </w:rPr>
  </w:style>
  <w:style w:type="character" w:customStyle="1" w:styleId="30">
    <w:name w:val="ＹＨ　正文 Char"/>
    <w:link w:val="29"/>
    <w:qFormat/>
    <w:uiPriority w:val="0"/>
    <w:rPr>
      <w:rFonts w:cs="Mongolian Baiti"/>
      <w:kern w:val="2"/>
      <w:sz w:val="24"/>
      <w:szCs w:val="22"/>
    </w:rPr>
  </w:style>
  <w:style w:type="paragraph" w:customStyle="1" w:styleId="31">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192C-90CC-4176-973E-631DB1097B72}">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5431</Words>
  <Characters>787</Characters>
  <Lines>6</Lines>
  <Paragraphs>12</Paragraphs>
  <TotalTime>0</TotalTime>
  <ScaleCrop>false</ScaleCrop>
  <LinksUpToDate>false</LinksUpToDate>
  <CharactersWithSpaces>6206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2024-06-20T02:56:00Z</dcterms:created>
  <dc:creator>YlmF</dc:creator>
  <cp:lastModifiedBy>GM10</cp:lastModifiedBy>
  <cp:lastPrinted>2023-03-15T02:00:00Z</cp:lastPrinted>
  <dcterms:modified xsi:type="dcterms:W3CDTF">2024-10-18T05:54:10Z</dcterms:modified>
  <dc:title>电气组安全教育考试题</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8026829CCAE8462DA7BEBE217E41DF75_13</vt:lpwstr>
  </property>
</Properties>
</file>