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rPr>
          <w:rFonts w:ascii="Times New Roman"/>
          <w:sz w:val="20"/>
        </w:rPr>
      </w:pPr>
    </w:p>
    <w:p>
      <w:pPr>
        <w:pStyle w:val="20"/>
        <w:keepNext w:val="0"/>
        <w:keepLines w:val="0"/>
        <w:pageBreakBefore w:val="0"/>
        <w:widowControl w:val="0"/>
        <w:kinsoku/>
        <w:wordWrap/>
        <w:overflowPunct/>
        <w:topLinePunct w:val="0"/>
        <w:bidi w:val="0"/>
        <w:snapToGrid/>
        <w:spacing w:before="5" w:line="360" w:lineRule="auto"/>
        <w:rPr>
          <w:rFonts w:ascii="Times New Roman"/>
          <w:sz w:val="20"/>
        </w:rPr>
      </w:pP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2023年仪表团队1台电磁流量计采购发包比选文件</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QG2307060007</w:t>
      </w:r>
      <w:r>
        <w:rPr>
          <w:rFonts w:hint="eastAsia"/>
          <w:color w:val="000000" w:themeColor="text1"/>
          <w:sz w:val="28"/>
          <w:szCs w:val="28"/>
        </w:rPr>
        <w:t>）</w:t>
      </w: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pPr>
        <w:pStyle w:val="20"/>
        <w:keepNext w:val="0"/>
        <w:keepLines w:val="0"/>
        <w:pageBreakBefore w:val="0"/>
        <w:widowControl w:val="0"/>
        <w:kinsoku/>
        <w:wordWrap/>
        <w:overflowPunct/>
        <w:topLinePunct w:val="0"/>
        <w:bidi w:val="0"/>
        <w:snapToGrid/>
        <w:spacing w:before="9" w:line="360" w:lineRule="auto"/>
        <w:rPr>
          <w:rFonts w:ascii="黑体"/>
          <w:lang w:eastAsia="zh-CN"/>
        </w:rPr>
      </w:pPr>
    </w:p>
    <w:p>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w:t>
      </w:r>
      <w:r>
        <w:rPr>
          <w:rFonts w:hint="eastAsia"/>
          <w:color w:val="000000" w:themeColor="text1"/>
          <w:u w:val="single"/>
          <w:lang w:val="en-US" w:eastAsia="zh-CN"/>
        </w:rPr>
        <w:t>3年仪表团队1台电磁流量计采购</w:t>
      </w:r>
      <w:r>
        <w:rPr>
          <w:rFonts w:hint="eastAsia"/>
          <w:color w:val="000000" w:themeColor="text1"/>
          <w:u w:val="single"/>
          <w:lang w:eastAsia="zh-CN"/>
        </w:rPr>
        <w:t>发包（项目编号：QG2307060007）</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项目名称：福建福海创石油化工有限公司2023年仪表团队1台电磁流量计采购发包</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1台电磁阀流量计，具体规格型号详见附件1技术规格书</w:t>
      </w:r>
      <w:r>
        <w:rPr>
          <w:rFonts w:hint="eastAsia"/>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val="en-US" w:eastAsia="zh-CN"/>
        </w:rPr>
      </w:pPr>
      <w:r>
        <w:rPr>
          <w:sz w:val="24"/>
          <w:szCs w:val="24"/>
          <w:lang w:eastAsia="zh-CN"/>
        </w:rPr>
        <w:t>3.</w:t>
      </w:r>
      <w:r>
        <w:rPr>
          <w:rFonts w:hint="eastAsia"/>
          <w:sz w:val="24"/>
          <w:szCs w:val="24"/>
          <w:lang w:val="en-US" w:eastAsia="zh-CN"/>
        </w:rPr>
        <w:t>采购品牌：Rosemount、YOKOGAWA、KROHNE。</w:t>
      </w:r>
    </w:p>
    <w:p>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4.比选控制价：3万元（不含税）。</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26</w:t>
      </w:r>
      <w:r>
        <w:rPr>
          <w:rFonts w:hint="eastAsia"/>
          <w:color w:val="000000" w:themeColor="text1"/>
          <w:sz w:val="24"/>
          <w:szCs w:val="24"/>
          <w:lang w:eastAsia="zh-CN"/>
        </w:rPr>
        <w:t>日至</w:t>
      </w:r>
      <w:r>
        <w:rPr>
          <w:rFonts w:hint="eastAsia"/>
          <w:color w:val="000000" w:themeColor="text1"/>
          <w:sz w:val="24"/>
          <w:szCs w:val="24"/>
          <w:lang w:val="en-US" w:eastAsia="zh-CN"/>
        </w:rPr>
        <w:t>8月4</w:t>
      </w:r>
      <w:bookmarkStart w:id="1" w:name="_GoBack"/>
      <w:bookmarkEnd w:id="1"/>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（3）资质业绩</w:t>
      </w:r>
      <w:r>
        <w:rPr>
          <w:rFonts w:hint="eastAsia"/>
          <w:color w:val="000000" w:themeColor="text1"/>
          <w:sz w:val="24"/>
          <w:szCs w:val="24"/>
          <w:lang w:val="en-US" w:eastAsia="zh-CN"/>
        </w:rPr>
        <w:t>相关文件</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五、</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电话：15259629857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技术联系人：王志刚 电话：13599910286  邮箱：wangzg@fhcpec.com.cn</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pPr>
        <w:keepNext w:val="0"/>
        <w:keepLines w:val="0"/>
        <w:pageBreakBefore w:val="0"/>
        <w:widowControl w:val="0"/>
        <w:kinsoku/>
        <w:wordWrap/>
        <w:overflowPunct/>
        <w:topLinePunct w:val="0"/>
        <w:bidi w:val="0"/>
        <w:snapToGrid/>
        <w:spacing w:line="360" w:lineRule="auto"/>
        <w:rPr>
          <w:sz w:val="24"/>
          <w:szCs w:val="24"/>
          <w:lang w:eastAsia="zh-CN"/>
        </w:rPr>
      </w:pPr>
    </w:p>
    <w:p>
      <w:pPr>
        <w:keepNext w:val="0"/>
        <w:keepLines w:val="0"/>
        <w:pageBreakBefore w:val="0"/>
        <w:widowControl w:val="0"/>
        <w:kinsoku/>
        <w:wordWrap/>
        <w:overflowPunct/>
        <w:topLinePunct w:val="0"/>
        <w:bidi w:val="0"/>
        <w:snapToGrid/>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sz w:val="24"/>
          <w:szCs w:val="24"/>
          <w:lang w:eastAsia="zh-CN"/>
        </w:rPr>
      </w:pPr>
    </w:p>
    <w:p>
      <w:pPr>
        <w:keepNext w:val="0"/>
        <w:keepLines w:val="0"/>
        <w:pageBreakBefore w:val="0"/>
        <w:widowControl w:val="0"/>
        <w:kinsoku/>
        <w:wordWrap/>
        <w:overflowPunct/>
        <w:topLinePunct w:val="0"/>
        <w:bidi w:val="0"/>
        <w:snapToGrid/>
        <w:spacing w:line="360" w:lineRule="auto"/>
        <w:rPr>
          <w:lang w:eastAsia="zh-CN"/>
        </w:rPr>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2"/>
        <w:keepNext w:val="0"/>
        <w:keepLines w:val="0"/>
        <w:pageBreakBefore w:val="0"/>
        <w:widowControl w:val="0"/>
        <w:kinsoku/>
        <w:wordWrap/>
        <w:overflowPunct/>
        <w:topLinePunct w:val="0"/>
        <w:bidi w:val="0"/>
        <w:snapToGrid/>
        <w:spacing w:line="360" w:lineRule="auto"/>
      </w:pPr>
    </w:p>
    <w:p>
      <w:pPr>
        <w:pStyle w:val="3"/>
        <w:keepNext w:val="0"/>
        <w:keepLines w:val="0"/>
        <w:pageBreakBefore w:val="0"/>
        <w:widowControl w:val="0"/>
        <w:tabs>
          <w:tab w:val="left" w:pos="1262"/>
        </w:tabs>
        <w:kinsoku/>
        <w:wordWrap/>
        <w:overflowPunct/>
        <w:topLinePunct w:val="0"/>
        <w:bidi w:val="0"/>
        <w:snapToGrid/>
        <w:spacing w:line="360" w:lineRule="auto"/>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keepNext w:val="0"/>
        <w:keepLines w:val="0"/>
        <w:pageBreakBefore w:val="0"/>
        <w:widowControl w:val="0"/>
        <w:kinsoku/>
        <w:wordWrap/>
        <w:overflowPunct/>
        <w:topLinePunct w:val="0"/>
        <w:bidi w:val="0"/>
        <w:snapToGrid/>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1.项目</w:t>
      </w:r>
      <w:r>
        <w:rPr>
          <w:lang w:eastAsia="zh-CN"/>
        </w:rPr>
        <w:t>名称：</w:t>
      </w:r>
      <w:r>
        <w:rPr>
          <w:rFonts w:hint="eastAsia"/>
          <w:color w:val="000000" w:themeColor="text1"/>
          <w:lang w:eastAsia="zh-CN"/>
        </w:rPr>
        <w:t>2023年仪表团队1台电磁流量计采购发包</w:t>
      </w:r>
      <w:r>
        <w:rPr>
          <w:rFonts w:hint="eastAsia"/>
          <w:lang w:eastAsia="zh-CN"/>
        </w:rPr>
        <w:t xml:space="preserve">    </w:t>
      </w:r>
    </w:p>
    <w:p>
      <w:pPr>
        <w:pStyle w:val="20"/>
        <w:keepNext w:val="0"/>
        <w:keepLines w:val="0"/>
        <w:pageBreakBefore w:val="0"/>
        <w:widowControl w:val="0"/>
        <w:kinsoku/>
        <w:wordWrap/>
        <w:overflowPunct/>
        <w:topLinePunct w:val="0"/>
        <w:bidi w:val="0"/>
        <w:snapToGrid/>
        <w:spacing w:line="360" w:lineRule="auto"/>
        <w:ind w:right="121" w:firstLine="480"/>
        <w:jc w:val="both"/>
        <w:rPr>
          <w:lang w:eastAsia="zh-CN"/>
        </w:rPr>
      </w:pPr>
      <w:r>
        <w:rPr>
          <w:rFonts w:hint="eastAsia"/>
          <w:lang w:eastAsia="zh-CN"/>
        </w:rPr>
        <w:t>2.项目</w:t>
      </w:r>
      <w:r>
        <w:rPr>
          <w:lang w:eastAsia="zh-CN"/>
        </w:rPr>
        <w:t>地点：</w:t>
      </w:r>
      <w:r>
        <w:rPr>
          <w:rFonts w:hint="eastAsia"/>
          <w:lang w:val="en-US" w:eastAsia="zh-CN"/>
        </w:rPr>
        <w:t>腾龙芳烃（漳州）</w:t>
      </w:r>
      <w:r>
        <w:rPr>
          <w:rFonts w:hint="eastAsia"/>
          <w:lang w:eastAsia="zh-CN"/>
        </w:rPr>
        <w:t>有限公司</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3.承包方式：固定单价</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4.项目工作范围及技术要求：见附件报价单及验收要求</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5.项目联系人</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eastAsia="zh-CN"/>
        </w:rPr>
      </w:pPr>
      <w:r>
        <w:rPr>
          <w:rFonts w:hint="eastAsia"/>
          <w:lang w:eastAsia="zh-CN"/>
        </w:rPr>
        <w:t xml:space="preserve">商务联系人：戴小玉 </w:t>
      </w:r>
      <w:r>
        <w:rPr>
          <w:rFonts w:hint="eastAsia"/>
          <w:lang w:val="en-US" w:eastAsia="zh-CN"/>
        </w:rPr>
        <w:t>电话：</w:t>
      </w:r>
      <w:r>
        <w:rPr>
          <w:rFonts w:hint="eastAsia"/>
          <w:lang w:eastAsia="zh-CN"/>
        </w:rPr>
        <w:t>15259629857</w:t>
      </w:r>
      <w:r>
        <w:rPr>
          <w:rFonts w:hint="eastAsia"/>
          <w:lang w:val="en-US" w:eastAsia="zh-CN"/>
        </w:rPr>
        <w:t xml:space="preserve"> 邮箱：</w:t>
      </w:r>
      <w:r>
        <w:rPr>
          <w:rFonts w:hint="eastAsia"/>
          <w:lang w:eastAsia="zh-CN"/>
        </w:rPr>
        <w:t>xydai@fhcpec.com.cn</w:t>
      </w:r>
    </w:p>
    <w:p>
      <w:pPr>
        <w:pStyle w:val="20"/>
        <w:keepNext w:val="0"/>
        <w:keepLines w:val="0"/>
        <w:pageBreakBefore w:val="0"/>
        <w:widowControl w:val="0"/>
        <w:kinsoku/>
        <w:wordWrap/>
        <w:overflowPunct/>
        <w:topLinePunct w:val="0"/>
        <w:bidi w:val="0"/>
        <w:snapToGrid/>
        <w:spacing w:line="360" w:lineRule="auto"/>
        <w:ind w:right="121" w:firstLine="480"/>
        <w:jc w:val="both"/>
        <w:rPr>
          <w:rFonts w:hint="eastAsia"/>
          <w:lang w:val="en-US" w:eastAsia="zh-CN"/>
        </w:rPr>
      </w:pPr>
      <w:r>
        <w:rPr>
          <w:rFonts w:hint="eastAsia"/>
          <w:lang w:val="en-US" w:eastAsia="zh-CN"/>
        </w:rPr>
        <w:t>技术联系人：王志刚 电话：13599910286  邮箱：wangzg@fhcpec.com.cn</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keepNext w:val="0"/>
        <w:keepLines w:val="0"/>
        <w:pageBreakBefore w:val="0"/>
        <w:widowControl w:val="0"/>
        <w:kinsoku/>
        <w:wordWrap/>
        <w:overflowPunct/>
        <w:topLinePunct w:val="0"/>
        <w:bidi w:val="0"/>
        <w:snapToGrid/>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eastAsia="zh-CN"/>
        </w:rPr>
        <w:t>4.</w:t>
      </w:r>
      <w:r>
        <w:rPr>
          <w:rFonts w:hint="eastAsia"/>
          <w:color w:val="000000" w:themeColor="text1"/>
          <w:sz w:val="24"/>
          <w:szCs w:val="24"/>
          <w:lang w:val="en-US" w:eastAsia="zh-CN"/>
        </w:rPr>
        <w:t>参选人需有近五年石油化工行业相关销售业绩(以合同签订时间为准，需提供对应合同扫描件及发票）。</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七、参选文件的递交</w:t>
      </w:r>
      <w:r>
        <w:rPr>
          <w:rFonts w:hint="eastAsia"/>
          <w:b/>
          <w:w w:val="95"/>
          <w:sz w:val="28"/>
          <w:lang w:eastAsia="zh-CN"/>
        </w:rPr>
        <w:t>：</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firstLine="482" w:firstLineChars="200"/>
        <w:rPr>
          <w:lang w:eastAsia="zh-CN"/>
        </w:rPr>
      </w:pPr>
      <w:r>
        <w:rPr>
          <w:lang w:eastAsia="zh-CN"/>
        </w:rPr>
        <w:t>1.参选文件递交的截止时间</w:t>
      </w:r>
      <w:r>
        <w:rPr>
          <w:rFonts w:hint="eastAsia"/>
          <w:color w:val="000000" w:themeColor="text1"/>
          <w:lang w:eastAsia="zh-CN"/>
        </w:rPr>
        <w:t>：根据技术交流情况，技术合格单位后续统一通知报价。</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戴小玉  </w:t>
      </w:r>
      <w:r>
        <w:rPr>
          <w:spacing w:val="-6"/>
          <w:lang w:eastAsia="zh-CN"/>
        </w:rPr>
        <w:t xml:space="preserve"> </w:t>
      </w:r>
      <w:r>
        <w:rPr>
          <w:lang w:eastAsia="zh-CN"/>
        </w:rPr>
        <w:t>联系电话</w:t>
      </w:r>
      <w:r>
        <w:rPr>
          <w:spacing w:val="-4"/>
          <w:lang w:eastAsia="zh-CN"/>
        </w:rPr>
        <w:t>：</w:t>
      </w:r>
      <w:r>
        <w:rPr>
          <w:rFonts w:hint="eastAsia"/>
          <w:spacing w:val="-4"/>
          <w:lang w:eastAsia="zh-CN"/>
        </w:rPr>
        <w:t>15259629857 。</w:t>
      </w:r>
    </w:p>
    <w:p>
      <w:pPr>
        <w:pStyle w:val="4"/>
        <w:keepNext w:val="0"/>
        <w:keepLines w:val="0"/>
        <w:pageBreakBefore w:val="0"/>
        <w:widowControl w:val="0"/>
        <w:tabs>
          <w:tab w:val="left" w:pos="6879"/>
        </w:tabs>
        <w:kinsoku/>
        <w:wordWrap/>
        <w:overflowPunct/>
        <w:topLinePunct w:val="0"/>
        <w:bidi w:val="0"/>
        <w:snapToGrid/>
        <w:spacing w:before="107" w:line="360"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before="15" w:line="360" w:lineRule="auto"/>
        <w:rPr>
          <w:lang w:eastAsia="zh-CN"/>
        </w:rPr>
        <w:sectPr>
          <w:pgSz w:w="11910" w:h="16840"/>
          <w:pgMar w:top="1420" w:right="1140" w:bottom="740" w:left="1300" w:header="0" w:footer="551" w:gutter="0"/>
          <w:cols w:space="720" w:num="1"/>
        </w:sectPr>
      </w:pPr>
    </w:p>
    <w:p>
      <w:pPr>
        <w:pStyle w:val="3"/>
        <w:keepNext w:val="0"/>
        <w:keepLines w:val="0"/>
        <w:pageBreakBefore w:val="0"/>
        <w:widowControl w:val="0"/>
        <w:tabs>
          <w:tab w:val="left" w:pos="4627"/>
        </w:tabs>
        <w:kinsoku/>
        <w:wordWrap/>
        <w:overflowPunct/>
        <w:topLinePunct w:val="0"/>
        <w:bidi w:val="0"/>
        <w:snapToGrid/>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keepNext w:val="0"/>
        <w:keepLines w:val="0"/>
        <w:pageBreakBefore w:val="0"/>
        <w:widowControl w:val="0"/>
        <w:kinsoku/>
        <w:wordWrap/>
        <w:overflowPunct/>
        <w:topLinePunct w:val="0"/>
        <w:bidi w:val="0"/>
        <w:snapToGrid/>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二、参选书格式内容</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参选人应按附件二格式内容要求进行参选书的编制。</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三、参选报价</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四、特别说明</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val="0"/>
        <w:kinsoku/>
        <w:wordWrap/>
        <w:overflowPunct/>
        <w:topLinePunct w:val="0"/>
        <w:bidi w:val="0"/>
        <w:snapToGrid/>
        <w:spacing w:line="360" w:lineRule="auto"/>
        <w:jc w:val="both"/>
        <w:rPr>
          <w:lang w:eastAsia="zh-CN"/>
        </w:rPr>
        <w:sectPr>
          <w:pgSz w:w="11910" w:h="16840"/>
          <w:pgMar w:top="1500" w:right="1020" w:bottom="740" w:left="1300" w:header="0" w:footer="551" w:gutter="0"/>
          <w:cols w:space="720" w:num="1"/>
        </w:sectPr>
      </w:pPr>
    </w:p>
    <w:p>
      <w:pPr>
        <w:pStyle w:val="3"/>
        <w:keepNext w:val="0"/>
        <w:keepLines w:val="0"/>
        <w:pageBreakBefore w:val="0"/>
        <w:widowControl w:val="0"/>
        <w:tabs>
          <w:tab w:val="left" w:pos="1488"/>
        </w:tabs>
        <w:kinsoku/>
        <w:wordWrap/>
        <w:overflowPunct/>
        <w:topLinePunct w:val="0"/>
        <w:bidi w:val="0"/>
        <w:snapToGrid/>
        <w:spacing w:line="360" w:lineRule="auto"/>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keepNext w:val="0"/>
        <w:keepLines w:val="0"/>
        <w:pageBreakBefore w:val="0"/>
        <w:widowControl w:val="0"/>
        <w:kinsoku/>
        <w:wordWrap/>
        <w:overflowPunct/>
        <w:topLinePunct w:val="0"/>
        <w:bidi w:val="0"/>
        <w:snapToGrid/>
        <w:spacing w:before="15" w:line="360" w:lineRule="auto"/>
        <w:ind w:firstLine="401" w:firstLineChars="150"/>
        <w:rPr>
          <w:b/>
          <w:w w:val="95"/>
          <w:sz w:val="28"/>
          <w:lang w:eastAsia="zh-CN"/>
        </w:rPr>
      </w:pPr>
      <w:r>
        <w:rPr>
          <w:b/>
          <w:w w:val="95"/>
          <w:sz w:val="28"/>
          <w:lang w:eastAsia="zh-CN"/>
        </w:rPr>
        <w:t>一、规则</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三、评选办法</w:t>
      </w:r>
    </w:p>
    <w:p>
      <w:pPr>
        <w:pStyle w:val="20"/>
        <w:keepNext w:val="0"/>
        <w:keepLines w:val="0"/>
        <w:pageBreakBefore w:val="0"/>
        <w:widowControl w:val="0"/>
        <w:kinsoku/>
        <w:wordWrap/>
        <w:overflowPunct/>
        <w:topLinePunct w:val="0"/>
        <w:bidi w:val="0"/>
        <w:snapToGrid/>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四、以下情况作废选处理</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2.参选文件存在重大偏差的。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keepNext w:val="0"/>
        <w:keepLines w:val="0"/>
        <w:pageBreakBefore w:val="0"/>
        <w:widowControl w:val="0"/>
        <w:kinsoku/>
        <w:wordWrap/>
        <w:overflowPunct/>
        <w:topLinePunct w:val="0"/>
        <w:bidi w:val="0"/>
        <w:snapToGrid/>
        <w:spacing w:before="15" w:line="360" w:lineRule="auto"/>
        <w:ind w:firstLine="534" w:firstLineChars="200"/>
        <w:rPr>
          <w:b/>
          <w:w w:val="95"/>
          <w:sz w:val="28"/>
          <w:lang w:eastAsia="zh-CN"/>
        </w:rPr>
      </w:pPr>
      <w:r>
        <w:rPr>
          <w:b/>
          <w:w w:val="95"/>
          <w:sz w:val="28"/>
          <w:lang w:eastAsia="zh-CN"/>
        </w:rPr>
        <w:t>五、评选</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2.在开选时没有启封和读出的参选文件，在评选时将不予考虑。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3.比选人将做开选记录。</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4.业主将根据评选结果与中选人签订合同。</w:t>
      </w:r>
    </w:p>
    <w:p>
      <w:pPr>
        <w:keepNext w:val="0"/>
        <w:keepLines w:val="0"/>
        <w:pageBreakBefore w:val="0"/>
        <w:widowControl w:val="0"/>
        <w:kinsoku/>
        <w:wordWrap/>
        <w:overflowPunct/>
        <w:topLinePunct w:val="0"/>
        <w:bidi w:val="0"/>
        <w:snapToGrid/>
        <w:spacing w:line="360" w:lineRule="auto"/>
        <w:rPr>
          <w:lang w:eastAsia="zh-CN"/>
        </w:rPr>
      </w:pPr>
    </w:p>
    <w:p>
      <w:pPr>
        <w:pStyle w:val="20"/>
        <w:keepNext w:val="0"/>
        <w:keepLines w:val="0"/>
        <w:pageBreakBefore w:val="0"/>
        <w:widowControl w:val="0"/>
        <w:kinsoku/>
        <w:wordWrap/>
        <w:overflowPunct/>
        <w:topLinePunct w:val="0"/>
        <w:bidi w:val="0"/>
        <w:snapToGrid/>
        <w:spacing w:before="23" w:line="360" w:lineRule="auto"/>
        <w:ind w:left="598"/>
        <w:rPr>
          <w:lang w:eastAsia="zh-CN"/>
        </w:rPr>
        <w:sectPr>
          <w:pgSz w:w="11910" w:h="16840"/>
          <w:pgMar w:top="1500" w:right="1140" w:bottom="740" w:left="1300" w:header="0" w:footer="551" w:gutter="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第五章  合同授予</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1.比选人将把合同授予中选人；在授予前，仍需进行资格审查。</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腾龙芳烃</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widowControl w:val="0"/>
        <w:kinsoku/>
        <w:wordWrap/>
        <w:overflowPunct/>
        <w:topLinePunct w:val="0"/>
        <w:bidi w:val="0"/>
        <w:snapToGrid/>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keepNext w:val="0"/>
        <w:keepLines w:val="0"/>
        <w:pageBreakBefore w:val="0"/>
        <w:widowControl w:val="0"/>
        <w:kinsoku/>
        <w:wordWrap/>
        <w:overflowPunct/>
        <w:topLinePunct w:val="0"/>
        <w:bidi w:val="0"/>
        <w:snapToGrid/>
        <w:spacing w:before="26" w:line="360" w:lineRule="auto"/>
        <w:ind w:left="118" w:right="106" w:firstLine="48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3"/>
        <w:keepNext w:val="0"/>
        <w:keepLines w:val="0"/>
        <w:pageBreakBefore w:val="0"/>
        <w:widowControl w:val="0"/>
        <w:tabs>
          <w:tab w:val="left" w:pos="1912"/>
        </w:tabs>
        <w:kinsoku/>
        <w:wordWrap/>
        <w:overflowPunct/>
        <w:topLinePunct w:val="0"/>
        <w:bidi w:val="0"/>
        <w:snapToGrid/>
        <w:spacing w:line="360" w:lineRule="auto"/>
        <w:ind w:left="647" w:firstLine="3092" w:firstLineChars="1100"/>
        <w:jc w:val="both"/>
        <w:rPr>
          <w:lang w:eastAsia="zh-CN"/>
        </w:rPr>
      </w:pPr>
    </w:p>
    <w:p>
      <w:pPr>
        <w:pStyle w:val="2"/>
        <w:keepNext w:val="0"/>
        <w:keepLines w:val="0"/>
        <w:pageBreakBefore w:val="0"/>
        <w:widowControl w:val="0"/>
        <w:kinsoku/>
        <w:wordWrap/>
        <w:overflowPunct/>
        <w:topLinePunct w:val="0"/>
        <w:bidi w:val="0"/>
        <w:snapToGrid/>
        <w:spacing w:line="360" w:lineRule="auto"/>
      </w:pPr>
    </w:p>
    <w:p>
      <w:pPr>
        <w:keepNext w:val="0"/>
        <w:keepLines w:val="0"/>
        <w:pageBreakBefore w:val="0"/>
        <w:widowControl w:val="0"/>
        <w:kinsoku/>
        <w:wordWrap/>
        <w:overflowPunct/>
        <w:topLinePunct w:val="0"/>
        <w:bidi w:val="0"/>
        <w:snapToGrid/>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1.参选人的参选文件无论其是否中选，均不退回。</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lang w:eastAsia="zh-CN"/>
        </w:rPr>
        <w:t>3.本比选文件的解释权归福建福海创石油化工有限公司。</w:t>
      </w:r>
    </w:p>
    <w:p>
      <w:pPr>
        <w:pStyle w:val="20"/>
        <w:keepNext w:val="0"/>
        <w:keepLines w:val="0"/>
        <w:pageBreakBefore w:val="0"/>
        <w:widowControl w:val="0"/>
        <w:kinsoku/>
        <w:wordWrap/>
        <w:overflowPunct/>
        <w:topLinePunct w:val="0"/>
        <w:bidi w:val="0"/>
        <w:snapToGrid/>
        <w:spacing w:line="360" w:lineRule="auto"/>
        <w:ind w:left="215"/>
        <w:rPr>
          <w:lang w:eastAsia="zh-CN"/>
        </w:rPr>
      </w:pPr>
      <w:r>
        <w:rPr>
          <w:lang w:eastAsia="zh-CN"/>
        </w:rPr>
        <w:br w:type="page"/>
      </w:r>
    </w:p>
    <w:p>
      <w:pPr>
        <w:pStyle w:val="20"/>
        <w:keepNext w:val="0"/>
        <w:keepLines w:val="0"/>
        <w:pageBreakBefore w:val="0"/>
        <w:widowControl w:val="0"/>
        <w:kinsoku/>
        <w:wordWrap/>
        <w:overflowPunct/>
        <w:topLinePunct w:val="0"/>
        <w:bidi w:val="0"/>
        <w:snapToGrid/>
        <w:spacing w:line="360" w:lineRule="auto"/>
        <w:rPr>
          <w:rFonts w:hint="default" w:ascii="Times New Roman"/>
          <w:b/>
          <w:bCs/>
          <w:lang w:val="en-US" w:eastAsia="zh-CN"/>
        </w:rPr>
      </w:pPr>
      <w:r>
        <w:rPr>
          <w:rFonts w:hint="eastAsia" w:ascii="Times New Roman"/>
          <w:b/>
          <w:bCs/>
          <w:lang w:eastAsia="zh-CN"/>
        </w:rPr>
        <w:t>附件一、</w:t>
      </w:r>
      <w:r>
        <w:rPr>
          <w:rFonts w:hint="eastAsia" w:ascii="Times New Roman"/>
          <w:b/>
          <w:bCs/>
          <w:lang w:val="en-US" w:eastAsia="zh-CN"/>
        </w:rPr>
        <w:t>采购合同模板详见附件2</w:t>
      </w: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bookmarkStart w:id="0" w:name="_Toc251742852"/>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hint="eastAsia"/>
          <w:b/>
          <w:bCs/>
          <w:sz w:val="24"/>
          <w:szCs w:val="24"/>
        </w:rPr>
      </w:pPr>
    </w:p>
    <w:p>
      <w:pPr>
        <w:pStyle w:val="2"/>
        <w:keepNext w:val="0"/>
        <w:keepLines w:val="0"/>
        <w:pageBreakBefore w:val="0"/>
        <w:widowControl w:val="0"/>
        <w:kinsoku/>
        <w:wordWrap/>
        <w:overflowPunct/>
        <w:topLinePunct w:val="0"/>
        <w:bidi w:val="0"/>
        <w:snapToGrid/>
        <w:spacing w:line="360" w:lineRule="auto"/>
        <w:rPr>
          <w:rFonts w:ascii="Times New Roman" w:hAnsi="Times New Roman"/>
          <w:b/>
          <w:bCs/>
          <w:kern w:val="2"/>
          <w:sz w:val="36"/>
          <w:szCs w:val="36"/>
        </w:rPr>
      </w:pPr>
      <w:r>
        <w:rPr>
          <w:rFonts w:hint="eastAsia"/>
          <w:b/>
          <w:bCs/>
          <w:sz w:val="24"/>
          <w:szCs w:val="24"/>
        </w:rPr>
        <w:t>附件二、参选文件范本</w:t>
      </w:r>
    </w:p>
    <w:bookmarkEnd w:id="0"/>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仪表</w:t>
      </w:r>
      <w:r>
        <w:rPr>
          <w:rFonts w:hint="eastAsia" w:ascii="Times New Roman" w:hAnsi="ˎ̥"/>
          <w:sz w:val="28"/>
          <w:szCs w:val="28"/>
          <w:u w:val="single"/>
          <w:lang w:eastAsia="zh-CN"/>
        </w:rPr>
        <w:t>团队</w:t>
      </w:r>
      <w:r>
        <w:rPr>
          <w:rFonts w:hint="eastAsia" w:ascii="Times New Roman" w:hAnsi="ˎ̥"/>
          <w:sz w:val="28"/>
          <w:szCs w:val="28"/>
          <w:u w:val="single"/>
          <w:lang w:val="en-US" w:eastAsia="zh-CN"/>
        </w:rPr>
        <w:t>1台电磁流量计</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8880" w:type="dxa"/>
        <w:tblInd w:w="-515" w:type="dxa"/>
        <w:tblLayout w:type="fixed"/>
        <w:tblCellMar>
          <w:top w:w="15" w:type="dxa"/>
          <w:left w:w="15" w:type="dxa"/>
          <w:bottom w:w="15" w:type="dxa"/>
          <w:right w:w="15" w:type="dxa"/>
        </w:tblCellMar>
      </w:tblPr>
      <w:tblGrid>
        <w:gridCol w:w="984"/>
        <w:gridCol w:w="2294"/>
        <w:gridCol w:w="1505"/>
        <w:gridCol w:w="583"/>
        <w:gridCol w:w="593"/>
        <w:gridCol w:w="1001"/>
        <w:gridCol w:w="1920"/>
      </w:tblGrid>
      <w:tr>
        <w:tblPrEx>
          <w:tblCellMar>
            <w:top w:w="15" w:type="dxa"/>
            <w:left w:w="15" w:type="dxa"/>
            <w:bottom w:w="15" w:type="dxa"/>
            <w:right w:w="15" w:type="dxa"/>
          </w:tblCellMar>
        </w:tblPrEx>
        <w:trPr>
          <w:trHeight w:val="64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21"/>
                <w:szCs w:val="21"/>
                <w:lang w:val="en-US" w:eastAsia="zh-CN"/>
              </w:rPr>
            </w:pPr>
            <w:r>
              <w:rPr>
                <w:rFonts w:hint="eastAsia"/>
                <w:color w:val="000000"/>
                <w:sz w:val="21"/>
                <w:szCs w:val="21"/>
                <w:lang w:val="en-US" w:eastAsia="zh-CN"/>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电磁流量计</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21"/>
                <w:szCs w:val="21"/>
                <w:lang w:val="en-US" w:eastAsia="zh-CN"/>
              </w:rPr>
              <w:t>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rPr>
          <w:trHeight w:val="86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7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5000" w:type="pct"/>
        <w:tblInd w:w="0" w:type="dxa"/>
        <w:tblLayout w:type="autofit"/>
        <w:tblCellMar>
          <w:top w:w="0" w:type="dxa"/>
          <w:left w:w="108" w:type="dxa"/>
          <w:bottom w:w="0" w:type="dxa"/>
          <w:right w:w="108" w:type="dxa"/>
        </w:tblCellMar>
      </w:tblPr>
      <w:tblGrid>
        <w:gridCol w:w="8770"/>
      </w:tblGrid>
      <w:tr>
        <w:tblPrEx>
          <w:tblCellMar>
            <w:top w:w="0" w:type="dxa"/>
            <w:left w:w="108" w:type="dxa"/>
            <w:bottom w:w="0" w:type="dxa"/>
            <w:right w:w="108" w:type="dxa"/>
          </w:tblCellMar>
        </w:tblPrEx>
        <w:trPr>
          <w:trHeight w:val="604" w:hRule="atLeast"/>
        </w:trPr>
        <w:tc>
          <w:tcPr>
            <w:tcW w:w="5000" w:type="pct"/>
            <w:shd w:val="clear" w:color="auto" w:fill="auto"/>
            <w:noWrap/>
            <w:vAlign w:val="center"/>
          </w:tcPr>
          <w:p>
            <w:pPr>
              <w:spacing w:line="500" w:lineRule="exact"/>
              <w:rPr>
                <w:lang w:eastAsia="zh-CN"/>
              </w:rPr>
            </w:pPr>
            <w:r>
              <w:rPr>
                <w:rFonts w:hint="eastAsia"/>
                <w:lang w:eastAsia="zh-CN"/>
              </w:rPr>
              <w:t>价格说明：</w:t>
            </w:r>
          </w:p>
          <w:p>
            <w:pPr>
              <w:pStyle w:val="41"/>
              <w:shd w:val="clear" w:color="auto" w:fill="FFFFFF"/>
              <w:spacing w:before="0" w:beforeAutospacing="0" w:after="0" w:afterAutospacing="0" w:line="432" w:lineRule="atLeast"/>
            </w:pPr>
            <w:r>
              <w:rPr>
                <w:rFonts w:hint="eastAsia"/>
              </w:rPr>
              <w:t>A、报价单“</w:t>
            </w:r>
            <w:r>
              <w:rPr>
                <w:rFonts w:hint="eastAsia"/>
                <w:lang w:eastAsia="zh-CN"/>
              </w:rPr>
              <w:t>仪表团队1台电磁流量计</w:t>
            </w:r>
            <w:r>
              <w:rPr>
                <w:rFonts w:hint="eastAsia"/>
              </w:rPr>
              <w:t>”询价说明：</w:t>
            </w:r>
          </w:p>
          <w:p>
            <w:pPr>
              <w:pStyle w:val="41"/>
              <w:spacing w:before="0" w:beforeAutospacing="0" w:after="0" w:afterAutospacing="0" w:line="432" w:lineRule="atLeast"/>
            </w:pPr>
            <w:r>
              <w:t>1</w:t>
            </w:r>
            <w:r>
              <w:rPr>
                <w:rFonts w:hint="eastAsia"/>
              </w:rPr>
              <w:t>.</w:t>
            </w:r>
            <w:r>
              <w:t>具体事宜</w:t>
            </w:r>
            <w:r>
              <w:rPr>
                <w:rFonts w:hint="eastAsia"/>
              </w:rPr>
              <w:t>以</w:t>
            </w:r>
            <w:r>
              <w:t>技术协议</w:t>
            </w:r>
            <w:r>
              <w:rPr>
                <w:rFonts w:hint="eastAsia"/>
              </w:rPr>
              <w:t>为准</w:t>
            </w:r>
            <w:r>
              <w:t>。</w:t>
            </w:r>
          </w:p>
          <w:p>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pPr>
              <w:numPr>
                <w:ilvl w:val="255"/>
                <w:numId w:val="0"/>
              </w:numPr>
              <w:spacing w:line="500" w:lineRule="exact"/>
              <w:rPr>
                <w:lang w:eastAsia="zh-CN"/>
              </w:rPr>
            </w:pPr>
            <w:r>
              <w:rPr>
                <w:rFonts w:hint="eastAsia"/>
                <w:lang w:eastAsia="zh-CN"/>
              </w:rPr>
              <w:t>C、付款方式：全部货款均以现汇方式支付，货到验收合格后付</w:t>
            </w:r>
            <w:r>
              <w:rPr>
                <w:rFonts w:hint="eastAsia"/>
                <w:u w:val="single"/>
                <w:lang w:val="en-US" w:eastAsia="zh-CN"/>
              </w:rPr>
              <w:t xml:space="preserve">    </w:t>
            </w:r>
            <w:r>
              <w:rPr>
                <w:rFonts w:hint="eastAsia"/>
                <w:lang w:eastAsia="zh-CN"/>
              </w:rPr>
              <w:t>%,留</w:t>
            </w:r>
            <w:r>
              <w:rPr>
                <w:rFonts w:hint="eastAsia"/>
                <w:u w:val="single"/>
                <w:lang w:val="en-US" w:eastAsia="zh-CN"/>
              </w:rPr>
              <w:t xml:space="preserve">   </w:t>
            </w:r>
            <w:r>
              <w:rPr>
                <w:rFonts w:hint="eastAsia"/>
                <w:lang w:eastAsia="zh-CN"/>
              </w:rPr>
              <w:t>%质保金（质保期：</w:t>
            </w:r>
            <w:r>
              <w:rPr>
                <w:rFonts w:hint="eastAsia"/>
                <w:lang w:val="en-US" w:eastAsia="zh-CN"/>
              </w:rPr>
              <w:t>以技术协议为准</w:t>
            </w:r>
            <w:r>
              <w:rPr>
                <w:rFonts w:hint="eastAsia"/>
                <w:lang w:eastAsia="zh-CN"/>
              </w:rPr>
              <w:t>）</w:t>
            </w:r>
            <w:r>
              <w:rPr>
                <w:lang w:eastAsia="zh-CN"/>
              </w:rPr>
              <w:t>。</w:t>
            </w:r>
          </w:p>
          <w:p>
            <w:pPr>
              <w:spacing w:line="500" w:lineRule="exact"/>
              <w:rPr>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pPr>
              <w:spacing w:line="360" w:lineRule="exact"/>
              <w:rPr>
                <w:rFonts w:hint="eastAsia"/>
                <w:lang w:eastAsia="zh-CN"/>
              </w:rPr>
            </w:pPr>
            <w:r>
              <w:rPr>
                <w:rFonts w:hint="eastAsia"/>
                <w:lang w:eastAsia="zh-CN"/>
              </w:rPr>
              <w:t>四、其它约定以双方签订合同为准。</w:t>
            </w:r>
          </w:p>
          <w:p>
            <w:pPr>
              <w:pStyle w:val="2"/>
              <w:rPr>
                <w:rFonts w:hint="default"/>
                <w:lang w:val="en-US" w:eastAsia="zh-CN"/>
              </w:rPr>
            </w:pPr>
            <w:r>
              <w:rPr>
                <w:rFonts w:hint="eastAsia" w:ascii="宋体" w:hAnsi="宋体" w:eastAsia="宋体" w:cs="宋体"/>
                <w:sz w:val="22"/>
                <w:szCs w:val="22"/>
                <w:lang w:val="en-US" w:eastAsia="zh-CN" w:bidi="ar-SA"/>
              </w:rPr>
              <w:t>五、</w:t>
            </w:r>
            <w:r>
              <w:rPr>
                <w:rFonts w:hint="eastAsia" w:ascii="宋体" w:hAnsi="宋体" w:eastAsia="宋体" w:cs="宋体"/>
                <w:b/>
                <w:bCs/>
                <w:sz w:val="22"/>
                <w:szCs w:val="22"/>
                <w:lang w:val="en-US" w:eastAsia="zh-CN" w:bidi="ar-SA"/>
              </w:rPr>
              <w:t>本项目设置最高控制价</w:t>
            </w:r>
            <w:r>
              <w:rPr>
                <w:rFonts w:hint="eastAsia" w:hAnsi="宋体" w:cs="宋体"/>
                <w:b/>
                <w:bCs/>
                <w:sz w:val="22"/>
                <w:szCs w:val="22"/>
                <w:lang w:val="en-US" w:eastAsia="zh-CN" w:bidi="ar-SA"/>
              </w:rPr>
              <w:t>3</w:t>
            </w:r>
            <w:r>
              <w:rPr>
                <w:rFonts w:hint="eastAsia" w:ascii="宋体" w:hAnsi="宋体" w:eastAsia="宋体" w:cs="宋体"/>
                <w:b/>
                <w:bCs/>
                <w:sz w:val="22"/>
                <w:szCs w:val="22"/>
                <w:lang w:val="en-US" w:eastAsia="zh-CN" w:bidi="ar-SA"/>
              </w:rPr>
              <w:t>万元整（不含税）。</w:t>
            </w:r>
            <w:r>
              <w:rPr>
                <w:rFonts w:hint="eastAsia" w:ascii="宋体" w:hAnsi="宋体" w:eastAsia="宋体" w:cs="宋体"/>
                <w:sz w:val="22"/>
                <w:szCs w:val="22"/>
                <w:lang w:val="en-US" w:eastAsia="zh-CN" w:bidi="ar-SA"/>
              </w:rPr>
              <w:t>参选人所填报的报价高于本项目最高限价的，其参选将被比选小组予以否决。</w:t>
            </w:r>
          </w:p>
        </w:tc>
      </w:tr>
    </w:tbl>
    <w:p>
      <w:pPr>
        <w:spacing w:line="460" w:lineRule="exact"/>
        <w:ind w:firstLine="560" w:firstLineChars="200"/>
        <w:rPr>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keepNext w:val="0"/>
        <w:keepLines w:val="0"/>
        <w:pageBreakBefore w:val="0"/>
        <w:widowControl w:val="0"/>
        <w:kinsoku/>
        <w:wordWrap/>
        <w:overflowPunct/>
        <w:topLinePunct w:val="0"/>
        <w:bidi w:val="0"/>
        <w:snapToGrid/>
        <w:spacing w:line="360" w:lineRule="auto"/>
        <w:ind w:firstLine="2800" w:firstLineChars="10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keepNext w:val="0"/>
        <w:keepLines w:val="0"/>
        <w:pageBreakBefore w:val="0"/>
        <w:widowControl w:val="0"/>
        <w:kinsoku/>
        <w:wordWrap/>
        <w:overflowPunct/>
        <w:topLinePunct w:val="0"/>
        <w:bidi w:val="0"/>
        <w:snapToGrid/>
        <w:spacing w:line="360" w:lineRule="auto"/>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2023</w:t>
      </w:r>
      <w:r>
        <w:rPr>
          <w:rFonts w:hint="eastAsia"/>
          <w:sz w:val="28"/>
          <w:u w:val="single"/>
          <w:lang w:eastAsia="zh-CN"/>
        </w:rPr>
        <w:t>年   月   日</w:t>
      </w:r>
    </w:p>
    <w:sectPr>
      <w:footerReference r:id="rId6"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367315B"/>
    <w:rsid w:val="052E194E"/>
    <w:rsid w:val="059E63BF"/>
    <w:rsid w:val="061139E5"/>
    <w:rsid w:val="06F50B00"/>
    <w:rsid w:val="076E1278"/>
    <w:rsid w:val="08D1141D"/>
    <w:rsid w:val="09311615"/>
    <w:rsid w:val="094A7BA5"/>
    <w:rsid w:val="09610811"/>
    <w:rsid w:val="0B296DE2"/>
    <w:rsid w:val="0B4F0FFE"/>
    <w:rsid w:val="0B555FF1"/>
    <w:rsid w:val="10294AA3"/>
    <w:rsid w:val="109B279F"/>
    <w:rsid w:val="10E40CA0"/>
    <w:rsid w:val="136130D9"/>
    <w:rsid w:val="13CE320B"/>
    <w:rsid w:val="158161EB"/>
    <w:rsid w:val="158E1ADE"/>
    <w:rsid w:val="1682251C"/>
    <w:rsid w:val="18DD4F7E"/>
    <w:rsid w:val="195B58A2"/>
    <w:rsid w:val="19F253E3"/>
    <w:rsid w:val="1A3A6DF2"/>
    <w:rsid w:val="1AE958CE"/>
    <w:rsid w:val="1C217EAF"/>
    <w:rsid w:val="1E085A14"/>
    <w:rsid w:val="1E0F594A"/>
    <w:rsid w:val="1FF43DDB"/>
    <w:rsid w:val="21933AA2"/>
    <w:rsid w:val="22095F53"/>
    <w:rsid w:val="24DC0EEC"/>
    <w:rsid w:val="25BF356F"/>
    <w:rsid w:val="25DB0C2D"/>
    <w:rsid w:val="263478BF"/>
    <w:rsid w:val="26886A55"/>
    <w:rsid w:val="269469E7"/>
    <w:rsid w:val="281153C3"/>
    <w:rsid w:val="28FD301E"/>
    <w:rsid w:val="29FC3B14"/>
    <w:rsid w:val="2B11792E"/>
    <w:rsid w:val="2C9B48A1"/>
    <w:rsid w:val="2CD22518"/>
    <w:rsid w:val="2DE57862"/>
    <w:rsid w:val="2E9D453A"/>
    <w:rsid w:val="31C54755"/>
    <w:rsid w:val="320B25D2"/>
    <w:rsid w:val="3216608C"/>
    <w:rsid w:val="32E0343B"/>
    <w:rsid w:val="34606647"/>
    <w:rsid w:val="34CE14C6"/>
    <w:rsid w:val="34D84CEC"/>
    <w:rsid w:val="356D4FAD"/>
    <w:rsid w:val="37AF5AB7"/>
    <w:rsid w:val="37F824E3"/>
    <w:rsid w:val="395A672D"/>
    <w:rsid w:val="3B1C3371"/>
    <w:rsid w:val="3CC23198"/>
    <w:rsid w:val="3DDF4815"/>
    <w:rsid w:val="3E1C0833"/>
    <w:rsid w:val="3ED80D7C"/>
    <w:rsid w:val="3FB11C04"/>
    <w:rsid w:val="3FE669E5"/>
    <w:rsid w:val="40FD77F3"/>
    <w:rsid w:val="423D79BD"/>
    <w:rsid w:val="43DD7FE4"/>
    <w:rsid w:val="493350F2"/>
    <w:rsid w:val="4946347D"/>
    <w:rsid w:val="499B72BF"/>
    <w:rsid w:val="4C3D436D"/>
    <w:rsid w:val="4D7472E9"/>
    <w:rsid w:val="4E844153"/>
    <w:rsid w:val="4F34472E"/>
    <w:rsid w:val="4F7033BA"/>
    <w:rsid w:val="4FB40925"/>
    <w:rsid w:val="50F63E28"/>
    <w:rsid w:val="5221007F"/>
    <w:rsid w:val="52926B5A"/>
    <w:rsid w:val="545C5E51"/>
    <w:rsid w:val="5486175B"/>
    <w:rsid w:val="550C121E"/>
    <w:rsid w:val="55952173"/>
    <w:rsid w:val="5604432E"/>
    <w:rsid w:val="56782911"/>
    <w:rsid w:val="57667D24"/>
    <w:rsid w:val="57CE5BC3"/>
    <w:rsid w:val="586D6C9A"/>
    <w:rsid w:val="5AE1516A"/>
    <w:rsid w:val="5B1B1D6B"/>
    <w:rsid w:val="5B6A3A79"/>
    <w:rsid w:val="5C1A5F7B"/>
    <w:rsid w:val="5C57586D"/>
    <w:rsid w:val="5EF92A9F"/>
    <w:rsid w:val="5F953B47"/>
    <w:rsid w:val="62084B2E"/>
    <w:rsid w:val="62397FD0"/>
    <w:rsid w:val="645771F8"/>
    <w:rsid w:val="65304BCB"/>
    <w:rsid w:val="6699700C"/>
    <w:rsid w:val="66FD5367"/>
    <w:rsid w:val="68A37498"/>
    <w:rsid w:val="6A54112D"/>
    <w:rsid w:val="6AA035AE"/>
    <w:rsid w:val="6E0F2E14"/>
    <w:rsid w:val="6EBB75BF"/>
    <w:rsid w:val="6F1E141D"/>
    <w:rsid w:val="6F5354F8"/>
    <w:rsid w:val="72DE4E13"/>
    <w:rsid w:val="73F3359E"/>
    <w:rsid w:val="73F36024"/>
    <w:rsid w:val="740A2BDE"/>
    <w:rsid w:val="74B45F33"/>
    <w:rsid w:val="751839E0"/>
    <w:rsid w:val="75D56EB3"/>
    <w:rsid w:val="76274F93"/>
    <w:rsid w:val="798823D7"/>
    <w:rsid w:val="79EB3F2F"/>
    <w:rsid w:val="7A442103"/>
    <w:rsid w:val="7A536E9B"/>
    <w:rsid w:val="7B11789E"/>
    <w:rsid w:val="7BEA2D8E"/>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qFormat/>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qFormat/>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qFormat/>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qFormat/>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qFormat/>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qFormat/>
    <w:uiPriority w:val="0"/>
    <w:rPr>
      <w:rFonts w:ascii="宋体" w:hAnsi="宋体" w:cs="宋体"/>
      <w:sz w:val="22"/>
      <w:szCs w:val="22"/>
      <w:lang w:eastAsia="en-US"/>
    </w:rPr>
  </w:style>
  <w:style w:type="character" w:customStyle="1" w:styleId="125">
    <w:name w:val="标题 Char1"/>
    <w:basedOn w:val="48"/>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8912</Words>
  <Characters>9435</Characters>
  <Lines>81</Lines>
  <Paragraphs>23</Paragraphs>
  <TotalTime>7</TotalTime>
  <ScaleCrop>false</ScaleCrop>
  <LinksUpToDate>false</LinksUpToDate>
  <CharactersWithSpaces>10706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gaof</cp:lastModifiedBy>
  <dcterms:modified xsi:type="dcterms:W3CDTF">2023-07-25T03:21:31Z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2052-12.1.0.15066</vt:lpwstr>
  </property>
  <property fmtid="{D5CDD505-2E9C-101B-9397-08002B2CF9AE}" pid="6" name="ICV">
    <vt:lpwstr>511846C62397469E96EEBA845481C5DD</vt:lpwstr>
  </property>
</Properties>
</file>