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锅炉照明电源箱采购</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QG2305170037</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锅炉照明电源箱</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锅炉照明电源箱</w:t>
      </w:r>
      <w:r>
        <w:rPr>
          <w:rFonts w:hint="eastAsia"/>
          <w:color w:val="000000" w:themeColor="text1"/>
          <w:u w:val="single"/>
          <w:lang w:eastAsia="zh-CN"/>
        </w:rPr>
        <w:t>采购项目（项目编号：QG2305170037）</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锅炉照明电源箱</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val="en-US" w:eastAsia="zh-CN"/>
        </w:rPr>
        <w:t xml:space="preserve">锅炉照明电源箱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3.比选控制价：8800元（含税价）。</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4.合同付款方式：到货后，甲方依据本合同约定的质量、数量标准验收合格后，乙方提供合同总额的税率为 13% 的增值税专用发票以及结算所需的各类清单，甲方收到并确认无误后30个工作日支付100%的货款。</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4.本标不接受联合体投标；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spacing w:before="15" w:line="360" w:lineRule="auto"/>
        <w:ind w:firstLine="480" w:firstLineChars="200"/>
        <w:rPr>
          <w:lang w:eastAsia="zh-CN"/>
        </w:rPr>
      </w:pPr>
      <w:r>
        <w:rPr>
          <w:rFonts w:hint="eastAsia"/>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15</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锅炉照明电源箱采购项目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lang w:val="en-US" w:eastAsia="zh-CN"/>
        </w:rPr>
        <w:t>席中山</w:t>
      </w:r>
      <w:r>
        <w:rPr>
          <w:rFonts w:hint="eastAsia"/>
          <w:color w:val="000000" w:themeColor="text1"/>
          <w:sz w:val="24"/>
          <w:szCs w:val="24"/>
          <w:lang w:val="en-US" w:eastAsia="zh-CN"/>
        </w:rPr>
        <w:t xml:space="preserve"> 19959614207, xizhshan@163.com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4.本标不接受联合体投标；</w:t>
      </w:r>
    </w:p>
    <w:p>
      <w:pPr>
        <w:pStyle w:val="20"/>
        <w:spacing w:line="360" w:lineRule="auto"/>
        <w:ind w:right="121" w:firstLine="480"/>
        <w:jc w:val="both"/>
        <w:rPr>
          <w:b/>
          <w:w w:val="95"/>
          <w:sz w:val="28"/>
          <w:lang w:eastAsia="zh-CN"/>
        </w:rPr>
      </w:pPr>
      <w:r>
        <w:rPr>
          <w:b/>
          <w:w w:val="95"/>
          <w:sz w:val="28"/>
          <w:lang w:eastAsia="zh-CN"/>
        </w:rPr>
        <w:t>七、参选保证金</w:t>
      </w:r>
    </w:p>
    <w:p>
      <w:pPr>
        <w:spacing w:before="15" w:line="360" w:lineRule="auto"/>
        <w:ind w:firstLine="480" w:firstLineChars="200"/>
        <w:rPr>
          <w:rFonts w:hint="eastAsia"/>
          <w:b/>
          <w:w w:val="95"/>
          <w:sz w:val="28"/>
          <w:lang w:eastAsia="zh-CN"/>
        </w:rPr>
      </w:pPr>
      <w:r>
        <w:rPr>
          <w:rFonts w:hint="eastAsia"/>
          <w:sz w:val="24"/>
          <w:szCs w:val="24"/>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8800</w:t>
      </w:r>
      <w:r>
        <w:rPr>
          <w:rFonts w:hint="eastAsia"/>
          <w:b/>
          <w:color w:val="FF0000"/>
          <w:lang w:eastAsia="zh-CN"/>
        </w:rPr>
        <w:t>元整（</w:t>
      </w:r>
      <w:r>
        <w:rPr>
          <w:rFonts w:hint="eastAsia"/>
          <w:b/>
          <w:color w:val="FF0000"/>
          <w:lang w:val="en-US" w:eastAsia="zh-CN"/>
        </w:rPr>
        <w:t>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（1）付款条件：到货后，甲方依据本合同约定的质量、数量标准验收合格后，乙方提供合同总额的税率为 13% 的增值税专用发票以及结算所需的各类清单，甲方收到并确认无误后30个工作日支付100%的货款。</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bookmarkStart w:id="1" w:name="_Toc385779252"/>
      <w:bookmarkStart w:id="2" w:name="_Toc10991"/>
      <w:bookmarkStart w:id="3" w:name="_Toc4114"/>
      <w:bookmarkStart w:id="4" w:name="_Toc27787"/>
      <w:bookmarkStart w:id="5" w:name="_Toc20273"/>
      <w:bookmarkStart w:id="6" w:name="_Toc23434"/>
      <w:bookmarkStart w:id="7" w:name="_Toc14171"/>
      <w:bookmarkStart w:id="8" w:name="_Toc17959"/>
      <w:bookmarkStart w:id="9" w:name="_Toc2239"/>
      <w:bookmarkStart w:id="10" w:name="_Toc31173"/>
      <w:bookmarkStart w:id="11" w:name="_Toc18049"/>
      <w:bookmarkStart w:id="12" w:name="_Toc8520"/>
      <w:bookmarkStart w:id="13" w:name="_Toc352146655"/>
      <w:bookmarkStart w:id="14" w:name="_Toc31402"/>
      <w:bookmarkStart w:id="15" w:name="_Toc20180"/>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719"/>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5" w:type="dxa"/>
          </w:tcPr>
          <w:p>
            <w:pPr>
              <w:spacing w:line="120" w:lineRule="auto"/>
              <w:rPr>
                <w:sz w:val="24"/>
              </w:rPr>
            </w:pPr>
            <w:r>
              <w:rPr>
                <w:rFonts w:hint="eastAsia"/>
                <w:sz w:val="24"/>
              </w:rPr>
              <w:t xml:space="preserve">                                                                                      </w:t>
            </w:r>
          </w:p>
        </w:tc>
        <w:tc>
          <w:tcPr>
            <w:tcW w:w="3640" w:type="dxa"/>
          </w:tcPr>
          <w:p>
            <w:pPr>
              <w:spacing w:line="120" w:lineRule="auto"/>
              <w:rPr>
                <w:sz w:val="24"/>
              </w:rPr>
            </w:pPr>
          </w:p>
        </w:tc>
        <w:tc>
          <w:tcPr>
            <w:tcW w:w="1719" w:type="dxa"/>
          </w:tcPr>
          <w:p>
            <w:pPr>
              <w:spacing w:line="120" w:lineRule="auto"/>
              <w:rPr>
                <w:sz w:val="24"/>
              </w:rPr>
            </w:pPr>
            <w:r>
              <w:rPr>
                <w:rFonts w:hint="eastAsia"/>
                <w:sz w:val="24"/>
              </w:rPr>
              <w:t>合同编号：</w:t>
            </w:r>
          </w:p>
        </w:tc>
        <w:tc>
          <w:tcPr>
            <w:tcW w:w="2502"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 w:type="dxa"/>
          </w:tcPr>
          <w:p>
            <w:pPr>
              <w:spacing w:line="120" w:lineRule="auto"/>
              <w:rPr>
                <w:sz w:val="24"/>
              </w:rPr>
            </w:pPr>
            <w:r>
              <w:rPr>
                <w:rFonts w:hint="eastAsia"/>
                <w:sz w:val="24"/>
              </w:rPr>
              <w:t>甲方：</w:t>
            </w:r>
          </w:p>
        </w:tc>
        <w:tc>
          <w:tcPr>
            <w:tcW w:w="3640"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719" w:type="dxa"/>
          </w:tcPr>
          <w:p>
            <w:pPr>
              <w:spacing w:line="120" w:lineRule="auto"/>
              <w:rPr>
                <w:sz w:val="24"/>
              </w:rPr>
            </w:pPr>
            <w:r>
              <w:rPr>
                <w:rFonts w:hint="eastAsia"/>
                <w:sz w:val="24"/>
              </w:rPr>
              <w:t>签订地点：</w:t>
            </w:r>
          </w:p>
        </w:tc>
        <w:tc>
          <w:tcPr>
            <w:tcW w:w="2502"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 w:type="dxa"/>
          </w:tcPr>
          <w:p>
            <w:pPr>
              <w:spacing w:line="120" w:lineRule="auto"/>
              <w:rPr>
                <w:sz w:val="24"/>
              </w:rPr>
            </w:pPr>
            <w:r>
              <w:rPr>
                <w:rFonts w:hint="eastAsia"/>
                <w:sz w:val="24"/>
              </w:rPr>
              <w:t>乙方：</w:t>
            </w:r>
          </w:p>
        </w:tc>
        <w:tc>
          <w:tcPr>
            <w:tcW w:w="3640" w:type="dxa"/>
          </w:tcPr>
          <w:p>
            <w:pPr>
              <w:spacing w:line="120" w:lineRule="auto"/>
              <w:rPr>
                <w:sz w:val="24"/>
              </w:rPr>
            </w:pPr>
          </w:p>
        </w:tc>
        <w:tc>
          <w:tcPr>
            <w:tcW w:w="1719" w:type="dxa"/>
          </w:tcPr>
          <w:p>
            <w:pPr>
              <w:spacing w:line="120" w:lineRule="auto"/>
              <w:rPr>
                <w:sz w:val="24"/>
              </w:rPr>
            </w:pPr>
            <w:r>
              <w:rPr>
                <w:rFonts w:hint="eastAsia"/>
                <w:sz w:val="24"/>
              </w:rPr>
              <w:t>签订日期：</w:t>
            </w:r>
          </w:p>
        </w:tc>
        <w:tc>
          <w:tcPr>
            <w:tcW w:w="2502"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eastAsia"/>
                <w:sz w:val="24"/>
                <w:lang w:val="en-US" w:eastAsia="zh-CN"/>
              </w:rPr>
              <w:t>锅炉照明电源箱</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箱体为户外型、不锈钢材质、柜门采用手柄锁，外形尺寸：30cm*55cm*14cm、安装固定尺寸：34cm*40cm</w:t>
            </w:r>
            <w:r>
              <w:rPr>
                <w:rFonts w:hint="eastAsia"/>
                <w:sz w:val="24"/>
                <w:lang w:val="en-US" w:eastAsia="zh-CN"/>
              </w:rPr>
              <w:t>/</w:t>
            </w:r>
          </w:p>
          <w:p>
            <w:pPr>
              <w:spacing w:line="120" w:lineRule="auto"/>
              <w:jc w:val="center"/>
              <w:rPr>
                <w:rFonts w:hint="default" w:eastAsia="宋体"/>
                <w:sz w:val="24"/>
                <w:lang w:val="en-US" w:eastAsia="zh-CN"/>
              </w:rPr>
            </w:pPr>
            <w:r>
              <w:rPr>
                <w:rFonts w:hint="default" w:eastAsia="宋体"/>
                <w:sz w:val="24"/>
                <w:lang w:val="en-US" w:eastAsia="zh-CN"/>
              </w:rPr>
              <w:t>其他见规格书</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16</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lang w:eastAsia="zh-CN"/>
        </w:rPr>
      </w:pPr>
      <w:r>
        <w:rPr>
          <w:rFonts w:hint="eastAsia"/>
          <w:sz w:val="24"/>
          <w:lang w:val="en-US" w:eastAsia="zh-CN"/>
        </w:rPr>
        <w:t>3.2</w:t>
      </w:r>
      <w:r>
        <w:rPr>
          <w:rFonts w:hint="eastAsia"/>
          <w:sz w:val="24"/>
          <w:lang w:eastAsia="zh-CN"/>
        </w:rPr>
        <w:t>到货后，甲方依据本合同约定的质量、数量标准验收合格后，乙方提供合同总额的税率为 13% 的增值税专用发票以及结算所需的各类清单，甲方收到并确认无误后30个工作日支付100%的货款。</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锅炉照明电源箱</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锅炉照明电源箱</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锅炉照明电源箱</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3272"/>
        <w:gridCol w:w="1838"/>
        <w:gridCol w:w="1223"/>
        <w:gridCol w:w="827"/>
        <w:gridCol w:w="1050"/>
        <w:gridCol w:w="1321"/>
      </w:tblGrid>
      <w:tr>
        <w:tblPrEx>
          <w:tblCellMar>
            <w:top w:w="15" w:type="dxa"/>
            <w:left w:w="15" w:type="dxa"/>
            <w:bottom w:w="15" w:type="dxa"/>
            <w:right w:w="15" w:type="dxa"/>
          </w:tblCellMar>
        </w:tblPrEx>
        <w:trPr>
          <w:trHeight w:val="645"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28"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锅炉照明电源箱</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箱体为户外型、不锈钢材质、柜门采用手柄锁，外形尺寸：30cm*55cm*14cm、安装固定尺寸：34cm*40cm/</w:t>
            </w:r>
          </w:p>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其他见规格书</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1、报价单随附“锅炉照明电源箱”询价说明：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ascii="宋体" w:hAnsi="宋体"/>
                <w:b w:val="0"/>
                <w:bCs w:val="0"/>
                <w:sz w:val="24"/>
                <w:lang w:eastAsia="zh-CN"/>
              </w:rPr>
              <w:t xml:space="preserve">到货后，甲方依据本合同约定的质量、数量标准验收合格后，乙方提供合同总额的税率为 </w:t>
            </w:r>
            <w:r>
              <w:rPr>
                <w:rFonts w:hint="eastAsia"/>
                <w:b w:val="0"/>
                <w:bCs w:val="0"/>
                <w:sz w:val="24"/>
                <w:lang w:val="en-US" w:eastAsia="zh-CN"/>
              </w:rPr>
              <w:t xml:space="preserve">  </w:t>
            </w:r>
            <w:r>
              <w:rPr>
                <w:rFonts w:hint="eastAsia" w:ascii="宋体" w:hAnsi="宋体"/>
                <w:b w:val="0"/>
                <w:bCs w:val="0"/>
                <w:sz w:val="24"/>
                <w:lang w:eastAsia="zh-CN"/>
              </w:rPr>
              <w:t>% 的增值税专用发票以及结算所需的各类清单，甲方收到并确认无误后30个工作日支付100%的货款</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w:t>
            </w:r>
            <w:r>
              <w:rPr>
                <w:rFonts w:hint="eastAsia"/>
                <w:b w:val="0"/>
                <w:bCs w:val="0"/>
                <w:sz w:val="24"/>
                <w:u w:val="single"/>
                <w:lang w:val="en-US" w:eastAsia="zh-CN"/>
              </w:rPr>
              <w:t xml:space="preserve">         </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pPr>
        <w:pStyle w:val="2"/>
        <w:rPr>
          <w:rFonts w:hint="eastAsia"/>
          <w:sz w:val="28"/>
          <w:u w:val="single"/>
          <w:lang w:eastAsia="zh-CN"/>
        </w:rPr>
      </w:pPr>
    </w:p>
    <w:p>
      <w:pPr>
        <w:pStyle w:val="2"/>
        <w:rPr>
          <w:rFonts w:hint="eastAsia"/>
          <w:sz w:val="28"/>
          <w:u w:val="single"/>
          <w:lang w:eastAsia="zh-CN"/>
        </w:rPr>
      </w:pPr>
    </w:p>
    <w:p>
      <w:pPr>
        <w:pStyle w:val="2"/>
        <w:rPr>
          <w:rFonts w:hint="eastAsia"/>
          <w:sz w:val="28"/>
          <w:u w:val="single"/>
          <w:lang w:eastAsia="zh-CN"/>
        </w:rPr>
      </w:pPr>
    </w:p>
    <w:p>
      <w:pPr>
        <w:pStyle w:val="2"/>
        <w:rPr>
          <w:rFonts w:hint="default"/>
          <w:sz w:val="28"/>
          <w:u w:val="single"/>
          <w:lang w:val="en-US"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A3C6CD2"/>
    <w:rsid w:val="1A9C22EF"/>
    <w:rsid w:val="1B6947A7"/>
    <w:rsid w:val="1C7D47AE"/>
    <w:rsid w:val="1CC40373"/>
    <w:rsid w:val="1E085A14"/>
    <w:rsid w:val="1E657D90"/>
    <w:rsid w:val="1ED93E25"/>
    <w:rsid w:val="1F351ED7"/>
    <w:rsid w:val="1FF43DDB"/>
    <w:rsid w:val="20625E24"/>
    <w:rsid w:val="21156B08"/>
    <w:rsid w:val="21933AA2"/>
    <w:rsid w:val="21BE0F4D"/>
    <w:rsid w:val="22B76993"/>
    <w:rsid w:val="22E07B9F"/>
    <w:rsid w:val="231F5346"/>
    <w:rsid w:val="23224AF6"/>
    <w:rsid w:val="2333574E"/>
    <w:rsid w:val="2414680F"/>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5C4E76"/>
    <w:rsid w:val="34CE14C6"/>
    <w:rsid w:val="34D84CEC"/>
    <w:rsid w:val="35DC515B"/>
    <w:rsid w:val="37AF5AB7"/>
    <w:rsid w:val="38B844F1"/>
    <w:rsid w:val="399C3DF7"/>
    <w:rsid w:val="39E568DF"/>
    <w:rsid w:val="3A387F18"/>
    <w:rsid w:val="3AC225C0"/>
    <w:rsid w:val="3B1C3371"/>
    <w:rsid w:val="3C5D58F8"/>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3047819"/>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74B6ABC"/>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9200</Words>
  <Characters>9662</Characters>
  <Lines>79</Lines>
  <Paragraphs>22</Paragraphs>
  <TotalTime>51</TotalTime>
  <ScaleCrop>false</ScaleCrop>
  <LinksUpToDate>false</LinksUpToDate>
  <CharactersWithSpaces>10590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2023-06-15T01:26:21Z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