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1台涡街流量计</w:t>
      </w:r>
      <w:r>
        <w:rPr>
          <w:rFonts w:hint="eastAsia" w:ascii="微软雅黑" w:eastAsia="微软雅黑"/>
          <w:b/>
          <w:sz w:val="52"/>
          <w:szCs w:val="22"/>
          <w:u w:val="single"/>
          <w:lang w:val="en-US" w:eastAsia="zh-CN"/>
        </w:rPr>
        <w:t>采购</w:t>
      </w:r>
      <w:r>
        <w:rPr>
          <w:rFonts w:hint="eastAsia" w:ascii="微软雅黑" w:eastAsia="微软雅黑"/>
          <w:b/>
          <w:sz w:val="52"/>
          <w:szCs w:val="22"/>
          <w:u w:val="single"/>
          <w:lang w:eastAsia="zh-CN"/>
        </w:rPr>
        <w:t>项目</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6"/>
        <w:jc w:val="center"/>
        <w:rPr>
          <w:color w:val="000000" w:themeColor="text1"/>
          <w:sz w:val="28"/>
          <w:szCs w:val="28"/>
        </w:rPr>
      </w:pPr>
      <w:r>
        <w:rPr>
          <w:rFonts w:hint="eastAsia"/>
          <w:color w:val="000000" w:themeColor="text1"/>
          <w:sz w:val="28"/>
          <w:szCs w:val="28"/>
        </w:rPr>
        <w:t>（文件编号：QG2304170063）</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56"/>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pPr>
    </w:p>
    <w:p>
      <w:pPr>
        <w:keepNext w:val="0"/>
        <w:keepLines w:val="0"/>
        <w:pageBreakBefore w:val="0"/>
        <w:kinsoku/>
        <w:wordWrap/>
        <w:overflowPunct/>
        <w:topLinePunct w:val="0"/>
        <w:bidi w:val="0"/>
        <w:snapToGrid/>
        <w:spacing w:line="600" w:lineRule="exact"/>
        <w:ind w:right="0" w:firstLine="643" w:firstLineChars="200"/>
        <w:jc w:val="center"/>
        <w:rPr>
          <w:b/>
          <w:bCs/>
          <w:sz w:val="32"/>
          <w:lang w:eastAsia="zh-CN"/>
        </w:rPr>
      </w:pPr>
      <w:r>
        <w:rPr>
          <w:rFonts w:hint="eastAsia"/>
          <w:b/>
          <w:bCs/>
          <w:sz w:val="32"/>
          <w:lang w:eastAsia="zh-CN"/>
        </w:rPr>
        <w:t>福建福海创石油化工有限公司1台涡街流量计</w:t>
      </w:r>
      <w:r>
        <w:rPr>
          <w:rFonts w:hint="eastAsia"/>
          <w:b/>
          <w:bCs/>
          <w:sz w:val="32"/>
          <w:lang w:val="en-US" w:eastAsia="zh-CN"/>
        </w:rPr>
        <w:t>采购</w:t>
      </w:r>
      <w:r>
        <w:rPr>
          <w:rFonts w:hint="eastAsia"/>
          <w:b/>
          <w:bCs/>
          <w:sz w:val="32"/>
          <w:lang w:eastAsia="zh-CN"/>
        </w:rPr>
        <w:t>项</w:t>
      </w:r>
      <w:r>
        <w:rPr>
          <w:b/>
          <w:bCs/>
          <w:sz w:val="32"/>
          <w:lang w:eastAsia="zh-CN"/>
        </w:rPr>
        <w:t>目</w:t>
      </w:r>
      <w:r>
        <w:rPr>
          <w:rFonts w:hint="eastAsia"/>
          <w:b/>
          <w:bCs/>
          <w:sz w:val="32"/>
          <w:lang w:eastAsia="zh-CN"/>
        </w:rPr>
        <w:t>比选公告</w:t>
      </w:r>
    </w:p>
    <w:p>
      <w:pPr>
        <w:pStyle w:val="19"/>
        <w:keepNext w:val="0"/>
        <w:keepLines w:val="0"/>
        <w:pageBreakBefore w:val="0"/>
        <w:kinsoku/>
        <w:wordWrap/>
        <w:overflowPunct/>
        <w:topLinePunct w:val="0"/>
        <w:bidi w:val="0"/>
        <w:snapToGrid/>
        <w:spacing w:line="600" w:lineRule="exact"/>
        <w:ind w:right="0" w:firstLine="562" w:firstLineChars="200"/>
        <w:jc w:val="both"/>
        <w:rPr>
          <w:b/>
          <w:sz w:val="28"/>
          <w:lang w:eastAsia="zh-CN"/>
        </w:rPr>
      </w:pPr>
    </w:p>
    <w:p>
      <w:pPr>
        <w:pStyle w:val="19"/>
        <w:keepNext w:val="0"/>
        <w:keepLines w:val="0"/>
        <w:pageBreakBefore w:val="0"/>
        <w:kinsoku/>
        <w:wordWrap/>
        <w:overflowPunct/>
        <w:topLinePunct w:val="0"/>
        <w:bidi w:val="0"/>
        <w:adjustRightInd/>
        <w:snapToGrid/>
        <w:spacing w:line="600" w:lineRule="exact"/>
        <w:ind w:right="0"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福建福海创石油化工有限公司1台涡街流量计</w:t>
      </w:r>
      <w:r>
        <w:rPr>
          <w:rFonts w:hint="eastAsia"/>
          <w:color w:val="000000" w:themeColor="text1"/>
          <w:u w:val="single"/>
          <w:lang w:val="en-US" w:eastAsia="zh-CN"/>
        </w:rPr>
        <w:t>采购</w:t>
      </w:r>
      <w:r>
        <w:rPr>
          <w:rFonts w:hint="eastAsia"/>
          <w:color w:val="000000" w:themeColor="text1"/>
          <w:u w:val="single"/>
          <w:lang w:eastAsia="zh-CN"/>
        </w:rPr>
        <w:t>项目（项目编号：QG2304170063）”</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项目名称：福建福海创石油化工有限公司1台涡街流量计</w:t>
      </w:r>
      <w:r>
        <w:rPr>
          <w:rFonts w:hint="eastAsia"/>
          <w:sz w:val="24"/>
          <w:szCs w:val="24"/>
          <w:lang w:val="en-US" w:eastAsia="zh-CN"/>
        </w:rPr>
        <w:t>采购</w:t>
      </w:r>
      <w:r>
        <w:rPr>
          <w:rFonts w:hint="eastAsia"/>
          <w:sz w:val="24"/>
          <w:szCs w:val="24"/>
          <w:lang w:eastAsia="zh-CN"/>
        </w:rPr>
        <w:t>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default"/>
          <w:lang w:val="en-US" w:eastAsia="zh-CN"/>
        </w:rPr>
      </w:pPr>
      <w:r>
        <w:rPr>
          <w:sz w:val="24"/>
          <w:szCs w:val="24"/>
          <w:lang w:eastAsia="zh-CN"/>
        </w:rPr>
        <w:t>2.</w:t>
      </w:r>
      <w:r>
        <w:rPr>
          <w:rFonts w:hint="eastAsia"/>
          <w:sz w:val="24"/>
          <w:szCs w:val="24"/>
          <w:lang w:eastAsia="zh-CN"/>
        </w:rPr>
        <w:t>比选项目说明：</w:t>
      </w:r>
      <w:r>
        <w:rPr>
          <w:rFonts w:hint="eastAsia" w:ascii="宋体" w:hAnsi="宋体" w:eastAsia="宋体" w:cs="宋体"/>
          <w:sz w:val="24"/>
          <w:szCs w:val="24"/>
          <w:lang w:eastAsia="zh-CN"/>
        </w:rPr>
        <w:t>1台涡街流量计</w:t>
      </w:r>
      <w:r>
        <w:rPr>
          <w:rFonts w:hint="eastAsia" w:ascii="宋体" w:hAnsi="宋体" w:eastAsia="宋体" w:cs="宋体"/>
          <w:sz w:val="24"/>
          <w:szCs w:val="24"/>
          <w:lang w:val="en-US" w:eastAsia="zh-CN"/>
        </w:rPr>
        <w:t>，</w:t>
      </w:r>
      <w:r>
        <w:rPr>
          <w:rFonts w:hint="eastAsia"/>
          <w:sz w:val="24"/>
          <w:szCs w:val="24"/>
          <w:lang w:eastAsia="zh-CN"/>
        </w:rPr>
        <w:t>具体见附件《涡街流量计规格书》及</w:t>
      </w:r>
      <w:r>
        <w:rPr>
          <w:rFonts w:hint="eastAsia"/>
          <w:sz w:val="24"/>
          <w:szCs w:val="24"/>
          <w:lang w:val="en-US" w:eastAsia="zh-CN"/>
        </w:rPr>
        <w:t>比选文件中的</w:t>
      </w:r>
      <w:r>
        <w:rPr>
          <w:rFonts w:hint="eastAsia"/>
          <w:sz w:val="24"/>
          <w:szCs w:val="24"/>
          <w:lang w:eastAsia="zh-CN"/>
        </w:rPr>
        <w:t>《商务报价函》</w:t>
      </w:r>
      <w:r>
        <w:rPr>
          <w:rFonts w:hint="eastAsia" w:ascii="宋体" w:hAnsi="宋体" w:eastAsia="宋体" w:cs="宋体"/>
          <w:color w:val="000000"/>
          <w:sz w:val="24"/>
          <w:szCs w:val="24"/>
          <w:lang w:eastAsia="zh-CN"/>
        </w:rPr>
        <w:t>。</w:t>
      </w:r>
    </w:p>
    <w:p>
      <w:pPr>
        <w:keepNext w:val="0"/>
        <w:keepLines w:val="0"/>
        <w:pageBreakBefore w:val="0"/>
        <w:numPr>
          <w:ilvl w:val="0"/>
          <w:numId w:val="7"/>
        </w:numPr>
        <w:tabs>
          <w:tab w:val="left" w:pos="709"/>
          <w:tab w:val="clear" w:pos="312"/>
        </w:tabs>
        <w:kinsoku/>
        <w:wordWrap/>
        <w:overflowPunct/>
        <w:topLinePunct w:val="0"/>
        <w:bidi w:val="0"/>
        <w:adjustRightInd/>
        <w:snapToGrid/>
        <w:spacing w:line="600" w:lineRule="exact"/>
        <w:ind w:right="0" w:firstLine="240" w:firstLineChars="100"/>
        <w:jc w:val="both"/>
        <w:rPr>
          <w:rFonts w:hint="eastAsia" w:ascii="宋体" w:hAnsi="宋体"/>
          <w:b w:val="0"/>
          <w:bCs w:val="0"/>
          <w:sz w:val="24"/>
        </w:rPr>
      </w:pP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bookmarkStart w:id="16" w:name="_GoBack"/>
      <w:bookmarkEnd w:id="16"/>
    </w:p>
    <w:p>
      <w:pPr>
        <w:keepNext w:val="0"/>
        <w:keepLines w:val="0"/>
        <w:pageBreakBefore w:val="0"/>
        <w:numPr>
          <w:ilvl w:val="0"/>
          <w:numId w:val="7"/>
        </w:numPr>
        <w:tabs>
          <w:tab w:val="left" w:pos="709"/>
          <w:tab w:val="clear" w:pos="312"/>
        </w:tabs>
        <w:kinsoku/>
        <w:wordWrap/>
        <w:overflowPunct/>
        <w:topLinePunct w:val="0"/>
        <w:bidi w:val="0"/>
        <w:adjustRightInd/>
        <w:snapToGrid/>
        <w:spacing w:line="600" w:lineRule="exact"/>
        <w:ind w:right="0" w:firstLine="240" w:firstLineChars="100"/>
        <w:jc w:val="both"/>
        <w:rPr>
          <w:rFonts w:hint="default"/>
          <w:lang w:val="en-US" w:eastAsia="zh-CN"/>
        </w:rPr>
      </w:pPr>
      <w:r>
        <w:rPr>
          <w:rFonts w:hint="eastAsia" w:ascii="宋体" w:hAnsi="宋体"/>
          <w:b w:val="0"/>
          <w:bCs w:val="0"/>
          <w:sz w:val="24"/>
          <w:lang w:eastAsia="zh-CN"/>
        </w:rPr>
        <w:t>本项目设置最高</w:t>
      </w:r>
      <w:r>
        <w:rPr>
          <w:rFonts w:hint="eastAsia" w:ascii="宋体" w:hAnsi="宋体"/>
          <w:b w:val="0"/>
          <w:bCs w:val="0"/>
          <w:sz w:val="24"/>
          <w:lang w:val="en-US" w:eastAsia="zh-CN"/>
        </w:rPr>
        <w:t>限</w:t>
      </w:r>
      <w:r>
        <w:rPr>
          <w:rFonts w:hint="eastAsia" w:ascii="宋体" w:hAnsi="宋体"/>
          <w:b w:val="0"/>
          <w:bCs w:val="0"/>
          <w:sz w:val="24"/>
          <w:lang w:eastAsia="zh-CN"/>
        </w:rPr>
        <w:t>价</w:t>
      </w:r>
      <w:r>
        <w:rPr>
          <w:rFonts w:hint="eastAsia"/>
          <w:b w:val="0"/>
          <w:bCs w:val="0"/>
          <w:sz w:val="24"/>
          <w:lang w:eastAsia="zh-CN"/>
        </w:rPr>
        <w:t>：</w:t>
      </w:r>
      <w:r>
        <w:rPr>
          <w:rFonts w:hint="eastAsia"/>
          <w:b w:val="0"/>
          <w:bCs w:val="0"/>
          <w:sz w:val="24"/>
          <w:lang w:val="en-US" w:eastAsia="zh-CN"/>
        </w:rPr>
        <w:t>未税总价4.5</w:t>
      </w:r>
      <w:r>
        <w:rPr>
          <w:rFonts w:hint="eastAsia" w:ascii="宋体" w:hAnsi="宋体"/>
          <w:b w:val="0"/>
          <w:bCs w:val="0"/>
          <w:sz w:val="24"/>
          <w:lang w:eastAsia="zh-CN"/>
        </w:rPr>
        <w:t>万元整。</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3.本项目不接受联合体投标。</w:t>
      </w:r>
    </w:p>
    <w:p>
      <w:pPr>
        <w:keepNext w:val="0"/>
        <w:keepLines w:val="0"/>
        <w:pageBreakBefore w:val="0"/>
        <w:tabs>
          <w:tab w:val="left" w:pos="709"/>
        </w:tabs>
        <w:kinsoku/>
        <w:wordWrap/>
        <w:overflowPunct/>
        <w:topLinePunct w:val="0"/>
        <w:bidi w:val="0"/>
        <w:adjustRightInd/>
        <w:snapToGrid/>
        <w:spacing w:line="600" w:lineRule="exact"/>
        <w:ind w:right="0"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  月  日至202</w:t>
      </w:r>
      <w:r>
        <w:rPr>
          <w:rFonts w:hint="eastAsia"/>
          <w:color w:val="000000" w:themeColor="text1"/>
          <w:sz w:val="24"/>
          <w:szCs w:val="24"/>
          <w:lang w:val="en-US" w:eastAsia="zh-CN"/>
        </w:rPr>
        <w:t>3</w:t>
      </w:r>
      <w:r>
        <w:rPr>
          <w:rFonts w:hint="eastAsia"/>
          <w:color w:val="000000" w:themeColor="text1"/>
          <w:sz w:val="24"/>
          <w:szCs w:val="24"/>
          <w:lang w:eastAsia="zh-CN"/>
        </w:rPr>
        <w:t>年  月  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480" w:firstLineChars="20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报名成功后，参选人须与现场技术人员进行前期技术交流，需详细阅读比选项目说明，并按照相关要求提供相关方案。技术交流后经比选人技术人员确认合格</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签订技术协议书后，参选人方可参与后续比选，未进行报名和技术交流确认</w:t>
      </w:r>
      <w:r>
        <w:rPr>
          <w:rFonts w:hint="eastAsia" w:cs="宋体"/>
          <w:color w:val="000000" w:themeColor="text1"/>
          <w:sz w:val="24"/>
          <w:szCs w:val="24"/>
          <w:lang w:val="en-US" w:eastAsia="zh-CN"/>
        </w:rPr>
        <w:t>或</w:t>
      </w:r>
      <w:r>
        <w:rPr>
          <w:rFonts w:hint="eastAsia" w:ascii="宋体" w:hAnsi="宋体" w:eastAsia="宋体" w:cs="宋体"/>
          <w:color w:val="000000" w:themeColor="text1"/>
          <w:sz w:val="24"/>
          <w:szCs w:val="24"/>
          <w:lang w:val="en-US" w:eastAsia="zh-CN"/>
        </w:rPr>
        <w:t>未签订技术协议书的参选人不能参加比选。技术交流及技术协议签订时间暂定为报名截止后15天内完成。</w:t>
      </w:r>
    </w:p>
    <w:p>
      <w:pPr>
        <w:keepNext w:val="0"/>
        <w:keepLines w:val="0"/>
        <w:pageBreakBefore w:val="0"/>
        <w:widowControl w:val="0"/>
        <w:numPr>
          <w:ilvl w:val="0"/>
          <w:numId w:val="8"/>
        </w:numPr>
        <w:tabs>
          <w:tab w:val="left" w:pos="709"/>
          <w:tab w:val="clear" w:pos="312"/>
        </w:tabs>
        <w:kinsoku/>
        <w:wordWrap/>
        <w:overflowPunct/>
        <w:topLinePunct w:val="0"/>
        <w:autoSpaceDE w:val="0"/>
        <w:autoSpaceDN w:val="0"/>
        <w:bidi w:val="0"/>
        <w:adjustRightInd/>
        <w:snapToGrid/>
        <w:spacing w:line="600" w:lineRule="exact"/>
        <w:ind w:left="-40" w:leftChars="0" w:firstLine="480" w:firstLineChars="0"/>
        <w:jc w:val="both"/>
        <w:textAlignment w:val="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lang w:val="en-US" w:eastAsia="zh-CN"/>
        </w:rPr>
        <w:t>获取比选文件：本项目比选文件待比选人确认合格的参选人后统一邮件发送，不合格的参选人不予发送。</w:t>
      </w:r>
    </w:p>
    <w:p>
      <w:pPr>
        <w:keepNext w:val="0"/>
        <w:keepLines w:val="0"/>
        <w:pageBreakBefore w:val="0"/>
        <w:widowControl w:val="0"/>
        <w:tabs>
          <w:tab w:val="left" w:pos="709"/>
        </w:tabs>
        <w:kinsoku/>
        <w:wordWrap/>
        <w:overflowPunct/>
        <w:topLinePunct w:val="0"/>
        <w:autoSpaceDE w:val="0"/>
        <w:autoSpaceDN w:val="0"/>
        <w:bidi w:val="0"/>
        <w:adjustRightInd/>
        <w:snapToGrid/>
        <w:spacing w:line="600" w:lineRule="exact"/>
        <w:ind w:firstLine="257" w:firstLineChars="100"/>
        <w:jc w:val="both"/>
        <w:textAlignment w:val="auto"/>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val="en-US" w:eastAsia="zh-CN"/>
        </w:rPr>
        <w:t>四</w:t>
      </w:r>
      <w:r>
        <w:rPr>
          <w:rFonts w:hint="eastAsia"/>
          <w:b/>
          <w:snapToGrid w:val="0"/>
          <w:color w:val="000000" w:themeColor="text1"/>
          <w:spacing w:val="8"/>
          <w:sz w:val="24"/>
          <w:szCs w:val="24"/>
          <w:lang w:eastAsia="zh-CN"/>
        </w:rPr>
        <w:t>、</w:t>
      </w:r>
      <w:r>
        <w:rPr>
          <w:rFonts w:hint="eastAsia"/>
          <w:b/>
          <w:snapToGrid w:val="0"/>
          <w:color w:val="000000" w:themeColor="text1"/>
          <w:spacing w:val="8"/>
          <w:sz w:val="24"/>
          <w:szCs w:val="24"/>
          <w:lang w:val="en-US" w:eastAsia="zh-CN"/>
        </w:rPr>
        <w:t>评选方法：</w:t>
      </w:r>
    </w:p>
    <w:p>
      <w:pPr>
        <w:pStyle w:val="19"/>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119" w:rightChars="0" w:firstLine="240" w:firstLineChars="100"/>
        <w:jc w:val="both"/>
        <w:textAlignment w:val="auto"/>
        <w:rPr>
          <w:rFonts w:hint="default" w:ascii="宋体" w:hAnsi="宋体" w:eastAsia="宋体" w:cs="宋体"/>
          <w:color w:val="000000" w:themeColor="text1"/>
          <w:sz w:val="24"/>
          <w:szCs w:val="24"/>
          <w:lang w:val="en-US" w:eastAsia="zh-CN" w:bidi="ar-SA"/>
        </w:rPr>
      </w:pPr>
      <w:r>
        <w:rPr>
          <w:rFonts w:hint="eastAsia" w:ascii="宋体" w:hAnsi="宋体" w:eastAsia="宋体" w:cs="宋体"/>
          <w:color w:val="000000" w:themeColor="text1"/>
          <w:sz w:val="24"/>
          <w:szCs w:val="24"/>
          <w:lang w:val="en-US" w:eastAsia="zh-CN" w:bidi="ar-SA"/>
        </w:rPr>
        <w:t>采用商务报价决标评选的方式，从价格和付款方式两方面进行评选，满足</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（1）付款条件：货到验收合格付90%，留10%质保；</w:t>
      </w:r>
      <w:r>
        <w:rPr>
          <w:rFonts w:hint="eastAsia" w:ascii="宋体" w:hAnsi="宋体" w:eastAsia="宋体" w:cs="宋体"/>
          <w:color w:val="000000" w:themeColor="text1"/>
          <w:sz w:val="24"/>
          <w:szCs w:val="24"/>
          <w:lang w:val="en-US" w:eastAsia="zh-CN" w:bidi="ar-SA"/>
        </w:rPr>
        <w:br w:type="textWrapping"/>
      </w:r>
      <w:r>
        <w:rPr>
          <w:rFonts w:hint="eastAsia" w:ascii="宋体" w:hAnsi="宋体" w:eastAsia="宋体" w:cs="宋体"/>
          <w:color w:val="000000" w:themeColor="text1"/>
          <w:sz w:val="24"/>
          <w:szCs w:val="24"/>
          <w:lang w:val="en-US" w:eastAsia="zh-CN" w:bidi="ar-SA"/>
        </w:rPr>
        <w:t>（2）未税总价最低者作为第一中选人，以此类推。</w:t>
      </w:r>
    </w:p>
    <w:p>
      <w:pPr>
        <w:keepNext w:val="0"/>
        <w:keepLines w:val="0"/>
        <w:pageBreakBefore w:val="0"/>
        <w:tabs>
          <w:tab w:val="left" w:pos="709"/>
        </w:tabs>
        <w:kinsoku/>
        <w:wordWrap/>
        <w:overflowPunct/>
        <w:topLinePunct w:val="0"/>
        <w:bidi w:val="0"/>
        <w:adjustRightInd/>
        <w:snapToGrid/>
        <w:spacing w:line="600" w:lineRule="exact"/>
        <w:ind w:right="0" w:firstLine="257" w:firstLineChars="1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keepNext w:val="0"/>
        <w:keepLines w:val="0"/>
        <w:pageBreakBefore w:val="0"/>
        <w:tabs>
          <w:tab w:val="left" w:pos="709"/>
        </w:tabs>
        <w:kinsoku/>
        <w:wordWrap/>
        <w:overflowPunct/>
        <w:topLinePunct w:val="0"/>
        <w:bidi w:val="0"/>
        <w:adjustRightInd/>
        <w:snapToGrid/>
        <w:spacing w:line="600" w:lineRule="exact"/>
        <w:ind w:right="0" w:firstLine="257" w:firstLineChars="100"/>
        <w:jc w:val="both"/>
        <w:rPr>
          <w:rFonts w:hint="default" w:ascii="宋体" w:hAnsi="宋体" w:eastAsia="宋体" w:cs="宋体"/>
          <w:b/>
          <w:snapToGrid w:val="0"/>
          <w:color w:val="000000" w:themeColor="text1"/>
          <w:spacing w:val="8"/>
          <w:sz w:val="24"/>
          <w:szCs w:val="24"/>
          <w:lang w:val="en-US" w:eastAsia="zh-CN"/>
        </w:rPr>
      </w:pPr>
      <w:r>
        <w:rPr>
          <w:rFonts w:hint="eastAsia" w:ascii="宋体" w:hAnsi="宋体" w:eastAsia="宋体" w:cs="宋体"/>
          <w:b/>
          <w:snapToGrid w:val="0"/>
          <w:color w:val="000000" w:themeColor="text1"/>
          <w:spacing w:val="8"/>
          <w:sz w:val="24"/>
          <w:szCs w:val="24"/>
          <w:lang w:val="en-US" w:eastAsia="zh-CN"/>
        </w:rPr>
        <w:t>六</w:t>
      </w:r>
      <w:r>
        <w:rPr>
          <w:rFonts w:hint="eastAsia" w:ascii="宋体" w:hAnsi="宋体" w:eastAsia="宋体" w:cs="宋体"/>
          <w:b/>
          <w:snapToGrid w:val="0"/>
          <w:color w:val="000000" w:themeColor="text1"/>
          <w:spacing w:val="8"/>
          <w:sz w:val="24"/>
          <w:szCs w:val="24"/>
          <w:lang w:eastAsia="zh-CN"/>
        </w:rPr>
        <w:t>、参选保证金</w:t>
      </w:r>
    </w:p>
    <w:p>
      <w:pPr>
        <w:tabs>
          <w:tab w:val="left" w:pos="709"/>
        </w:tabs>
        <w:spacing w:line="360" w:lineRule="auto"/>
        <w:ind w:firstLine="480" w:firstLineChars="200"/>
        <w:rPr>
          <w:lang w:eastAsia="zh-CN"/>
        </w:rPr>
      </w:pP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keepNext w:val="0"/>
        <w:keepLines w:val="0"/>
        <w:pageBreakBefore w:val="0"/>
        <w:kinsoku/>
        <w:wordWrap/>
        <w:overflowPunct/>
        <w:topLinePunct w:val="0"/>
        <w:bidi w:val="0"/>
        <w:adjustRightInd/>
        <w:snapToGrid/>
        <w:spacing w:line="600" w:lineRule="exact"/>
        <w:ind w:right="0" w:firstLine="514" w:firstLineChars="200"/>
        <w:jc w:val="both"/>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color w:val="000000" w:themeColor="text1"/>
          <w:sz w:val="24"/>
          <w:szCs w:val="24"/>
          <w:lang w:val="en-US"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HYPERLINK "mailto:xumx@fhcpec.com.cn" </w:instrText>
      </w:r>
      <w:r>
        <w:rPr>
          <w:rFonts w:hint="eastAsia"/>
          <w:color w:val="000000" w:themeColor="text1"/>
          <w:sz w:val="24"/>
          <w:szCs w:val="24"/>
          <w:lang w:val="en-US" w:eastAsia="zh-CN"/>
        </w:rPr>
        <w:fldChar w:fldCharType="separate"/>
      </w:r>
      <w:r>
        <w:rPr>
          <w:rStyle w:val="54"/>
          <w:rFonts w:hint="eastAsia"/>
          <w:sz w:val="24"/>
          <w:szCs w:val="24"/>
          <w:lang w:val="en-US" w:eastAsia="zh-CN"/>
        </w:rPr>
        <w:t>xumx</w:t>
      </w:r>
      <w:r>
        <w:rPr>
          <w:rStyle w:val="54"/>
          <w:rFonts w:hint="eastAsia"/>
          <w:sz w:val="24"/>
          <w:szCs w:val="24"/>
          <w:lang w:eastAsia="zh-CN"/>
        </w:rPr>
        <w:t>@fhcpec.com.cn</w:t>
      </w:r>
      <w:r>
        <w:rPr>
          <w:rFonts w:hint="eastAsia"/>
          <w:color w:val="000000" w:themeColor="text1"/>
          <w:sz w:val="24"/>
          <w:szCs w:val="24"/>
          <w:lang w:val="en-US" w:eastAsia="zh-CN"/>
        </w:rPr>
        <w:fldChar w:fldCharType="end"/>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rFonts w:hint="eastAsia"/>
          <w:color w:val="000000" w:themeColor="text1"/>
          <w:sz w:val="24"/>
          <w:szCs w:val="24"/>
          <w:lang w:eastAsia="zh-CN"/>
        </w:rPr>
      </w:pPr>
      <w:r>
        <w:rPr>
          <w:rFonts w:hint="eastAsia"/>
          <w:color w:val="000000" w:themeColor="text1"/>
          <w:sz w:val="24"/>
          <w:szCs w:val="24"/>
          <w:lang w:val="en-US" w:eastAsia="zh-CN"/>
        </w:rPr>
        <w:t xml:space="preserve">技术联系人：唐凤玉 </w:t>
      </w:r>
      <w:r>
        <w:rPr>
          <w:rFonts w:hint="eastAsia"/>
          <w:color w:val="000000" w:themeColor="text1"/>
          <w:sz w:val="24"/>
          <w:szCs w:val="24"/>
          <w:lang w:eastAsia="zh-CN"/>
        </w:rPr>
        <w:t>电话：</w:t>
      </w:r>
      <w:r>
        <w:rPr>
          <w:rFonts w:hint="eastAsia"/>
          <w:color w:val="000000" w:themeColor="text1"/>
          <w:sz w:val="24"/>
          <w:szCs w:val="24"/>
          <w:lang w:val="en-US" w:eastAsia="zh-CN"/>
        </w:rPr>
        <w:t>15059611803</w:t>
      </w:r>
      <w:r>
        <w:rPr>
          <w:rFonts w:hint="eastAsia"/>
          <w:color w:val="000000" w:themeColor="text1"/>
          <w:sz w:val="24"/>
          <w:szCs w:val="24"/>
          <w:lang w:eastAsia="zh-CN"/>
        </w:rPr>
        <w:t>邮箱：</w:t>
      </w:r>
      <w:r>
        <w:rPr>
          <w:rFonts w:hint="eastAsia"/>
          <w:color w:val="000000" w:themeColor="text1"/>
          <w:sz w:val="24"/>
          <w:szCs w:val="24"/>
          <w:lang w:val="en-US" w:eastAsia="zh-CN"/>
        </w:rPr>
        <w:t xml:space="preserve"> fytang@fhcpec.com.cn</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adjustRightInd/>
        <w:snapToGrid/>
        <w:spacing w:line="600" w:lineRule="exact"/>
        <w:ind w:right="0"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w:t>
      </w:r>
    </w:p>
    <w:p>
      <w:pPr>
        <w:pStyle w:val="56"/>
        <w:keepNext w:val="0"/>
        <w:keepLines w:val="0"/>
        <w:pageBreakBefore w:val="0"/>
        <w:kinsoku/>
        <w:wordWrap/>
        <w:overflowPunct/>
        <w:topLinePunct w:val="0"/>
        <w:bidi w:val="0"/>
        <w:snapToGrid/>
        <w:spacing w:line="600" w:lineRule="exact"/>
        <w:ind w:right="0" w:firstLine="680" w:firstLineChars="200"/>
        <w:jc w:val="both"/>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福建福海创石油化工有限公司1台涡街流量计</w:t>
      </w:r>
      <w:r>
        <w:rPr>
          <w:rFonts w:hint="eastAsia"/>
          <w:sz w:val="24"/>
          <w:szCs w:val="24"/>
          <w:lang w:val="en-US" w:eastAsia="zh-CN"/>
        </w:rPr>
        <w:t>采购项目</w:t>
      </w:r>
      <w:r>
        <w:rPr>
          <w:rFonts w:hint="eastAsia"/>
          <w:sz w:val="24"/>
          <w:szCs w:val="24"/>
          <w:lang w:eastAsia="zh-CN"/>
        </w:rPr>
        <w:t>。</w:t>
      </w:r>
    </w:p>
    <w:p>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19"/>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19"/>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firstLine="480" w:firstLineChars="200"/>
        <w:jc w:val="both"/>
        <w:rPr>
          <w:rFonts w:hint="eastAsia"/>
          <w:lang w:val="en-US" w:eastAsia="zh-CN"/>
        </w:rPr>
      </w:pPr>
      <w:r>
        <w:rPr>
          <w:rFonts w:hint="eastAsia"/>
          <w:color w:val="000000" w:themeColor="text1"/>
          <w:sz w:val="24"/>
          <w:szCs w:val="24"/>
          <w:lang w:val="en-US" w:eastAsia="zh-CN"/>
        </w:rPr>
        <w:t>技术联系人：唐凤玉15059611803，fytang@fhcpec.com.cn</w:t>
      </w:r>
      <w:r>
        <w:rPr>
          <w:rFonts w:hint="eastAsia"/>
          <w:lang w:val="en-US" w:eastAsia="zh-CN"/>
        </w:rPr>
        <w:t> </w:t>
      </w:r>
    </w:p>
    <w:p>
      <w:pPr>
        <w:pStyle w:val="19"/>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w:t>
      </w:r>
      <w:r>
        <w:rPr>
          <w:rFonts w:hint="eastAsia"/>
          <w:lang w:eastAsia="zh-CN"/>
        </w:rPr>
        <w:t xml:space="preserve"> </w:t>
      </w:r>
      <w:r>
        <w:rPr>
          <w:rFonts w:hint="eastAsia"/>
          <w:lang w:val="en-US" w:eastAsia="zh-CN"/>
        </w:rPr>
        <w:t>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tabs>
          <w:tab w:val="left" w:pos="709"/>
        </w:tabs>
        <w:kinsoku/>
        <w:wordWrap/>
        <w:overflowPunct/>
        <w:topLinePunct w:val="0"/>
        <w:bidi w:val="0"/>
        <w:adjustRightInd/>
        <w:snapToGrid/>
        <w:spacing w:line="600" w:lineRule="exact"/>
        <w:ind w:right="0"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color w:val="000000" w:themeColor="text1"/>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203"/>
        <w:keepNext w:val="0"/>
        <w:keepLines w:val="0"/>
        <w:pageBreakBefore w:val="0"/>
        <w:kinsoku/>
        <w:wordWrap/>
        <w:overflowPunct/>
        <w:topLinePunct w:val="0"/>
        <w:bidi w:val="0"/>
        <w:adjustRightInd/>
        <w:snapToGrid/>
        <w:spacing w:line="600" w:lineRule="exact"/>
        <w:ind w:right="0" w:firstLine="480" w:firstLineChars="200"/>
        <w:jc w:val="both"/>
        <w:rPr>
          <w:rFonts w:hint="eastAsia" w:eastAsia="宋体"/>
          <w:sz w:val="24"/>
          <w:szCs w:val="24"/>
          <w:lang w:val="en-US" w:eastAsia="zh-CN"/>
        </w:rPr>
      </w:pPr>
      <w:r>
        <w:rPr>
          <w:rFonts w:hint="eastAsia" w:eastAsia="宋体"/>
          <w:sz w:val="24"/>
          <w:szCs w:val="24"/>
          <w:lang w:val="en-US" w:eastAsia="zh-CN"/>
        </w:rPr>
        <w:t>3.本项目不接受联合体投标。</w:t>
      </w:r>
    </w:p>
    <w:p>
      <w:pPr>
        <w:pStyle w:val="19"/>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tabs>
          <w:tab w:val="left" w:pos="709"/>
        </w:tabs>
        <w:spacing w:line="360" w:lineRule="auto"/>
        <w:ind w:firstLine="440" w:firstLineChars="200"/>
        <w:rPr>
          <w:lang w:eastAsia="zh-CN"/>
        </w:rPr>
      </w:pPr>
      <w:r>
        <w:rPr>
          <w:rFonts w:hint="eastAsia"/>
          <w:lang w:eastAsia="zh-CN"/>
        </w:rPr>
        <w:t xml:space="preserve">    </w:t>
      </w:r>
      <w:r>
        <w:rPr>
          <w:rFonts w:hint="eastAsia"/>
          <w:color w:val="000000" w:themeColor="text1"/>
          <w:sz w:val="24"/>
          <w:szCs w:val="24"/>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1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1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1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19"/>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2"/>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未税总价4.5</w:t>
      </w:r>
      <w:r>
        <w:rPr>
          <w:rFonts w:hint="eastAsia"/>
          <w:b/>
          <w:color w:val="FF0000"/>
          <w:lang w:eastAsia="zh-CN"/>
        </w:rPr>
        <w:t>万元。</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xumx</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“腾龙芳烃（漳州）有限公司”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pPr>
      <w:r>
        <w:rPr>
          <w:lang w:eastAsia="zh-CN"/>
        </w:rPr>
        <w:t>3.本比选文件的解释权归福建福海创石油化工有限公司。</w:t>
      </w:r>
    </w:p>
    <w:p>
      <w:pPr>
        <w:pStyle w:val="19"/>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19"/>
        <w:spacing w:line="360" w:lineRule="auto"/>
        <w:rPr>
          <w:lang w:eastAsia="zh-CN"/>
        </w:rPr>
      </w:pPr>
    </w:p>
    <w:p>
      <w:pPr>
        <w:pStyle w:val="19"/>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19"/>
        <w:rPr>
          <w:rFonts w:hint="default" w:ascii="Times New Roman"/>
          <w:b/>
          <w:bCs/>
          <w:lang w:val="en-US" w:eastAsia="zh-CN"/>
        </w:rPr>
      </w:pPr>
    </w:p>
    <w:p>
      <w:pPr>
        <w:spacing w:line="120" w:lineRule="auto"/>
        <w:ind w:firstLine="4357" w:firstLineChars="1550"/>
        <w:rPr>
          <w:b/>
          <w:sz w:val="28"/>
          <w:szCs w:val="28"/>
        </w:rPr>
      </w:pPr>
      <w:bookmarkStart w:id="1" w:name="_Toc8520"/>
      <w:bookmarkStart w:id="2" w:name="_Toc20180"/>
      <w:bookmarkStart w:id="3" w:name="_Toc4114"/>
      <w:bookmarkStart w:id="4" w:name="_Toc17959"/>
      <w:bookmarkStart w:id="5" w:name="_Toc18049"/>
      <w:bookmarkStart w:id="6" w:name="_Toc31173"/>
      <w:bookmarkStart w:id="7" w:name="_Toc20273"/>
      <w:bookmarkStart w:id="8" w:name="_Toc14171"/>
      <w:bookmarkStart w:id="9" w:name="_Toc27787"/>
      <w:bookmarkStart w:id="10" w:name="_Toc23434"/>
      <w:bookmarkStart w:id="11" w:name="_Toc352146655"/>
      <w:bookmarkStart w:id="12" w:name="_Toc10991"/>
      <w:bookmarkStart w:id="13" w:name="_Toc385779252"/>
      <w:bookmarkStart w:id="14" w:name="_Toc2239"/>
      <w:bookmarkStart w:id="15" w:name="_Toc31402"/>
      <w:r>
        <w:rPr>
          <w:rFonts w:hint="eastAsia"/>
          <w:b/>
          <w:sz w:val="28"/>
          <w:szCs w:val="28"/>
        </w:rPr>
        <w:t>采购合同</w:t>
      </w:r>
    </w:p>
    <w:tbl>
      <w:tblPr>
        <w:tblStyle w:val="48"/>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19"/>
        <w:rPr>
          <w:rFonts w:hint="eastAsia" w:ascii="Times New Roman"/>
          <w:b/>
          <w:bCs/>
          <w:lang w:val="en-US" w:eastAsia="zh-CN"/>
        </w:rPr>
      </w:pPr>
    </w:p>
    <w:p>
      <w:pPr>
        <w:pStyle w:val="19"/>
        <w:rPr>
          <w:rFonts w:hint="eastAsia" w:ascii="Times New Roman"/>
          <w:b/>
          <w:bCs/>
          <w:lang w:val="en-US" w:eastAsia="zh-CN"/>
        </w:rPr>
      </w:pPr>
    </w:p>
    <w:p>
      <w:pPr>
        <w:pStyle w:val="19"/>
        <w:rPr>
          <w:rFonts w:hint="eastAsia" w:ascii="Times New Roman"/>
          <w:b/>
          <w:bCs/>
          <w:lang w:val="en-US" w:eastAsia="zh-CN"/>
        </w:rPr>
      </w:pPr>
    </w:p>
    <w:p>
      <w:pPr>
        <w:pStyle w:val="19"/>
        <w:rPr>
          <w:rFonts w:hint="default" w:ascii="Times New Roman"/>
          <w:b/>
          <w:bCs/>
          <w:lang w:val="en-US" w:eastAsia="zh-CN"/>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rFonts w:hint="eastAsia" w:eastAsia="宋体"/>
          <w:b/>
          <w:bCs/>
          <w:sz w:val="24"/>
          <w:szCs w:val="24"/>
          <w:lang w:val="en-US" w:eastAsia="zh-CN"/>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6"/>
        <w:rPr>
          <w:b/>
          <w:bCs/>
          <w:sz w:val="24"/>
          <w:szCs w:val="24"/>
        </w:rPr>
      </w:pPr>
      <w:r>
        <w:rPr>
          <w:rFonts w:hint="eastAsia"/>
          <w:b/>
          <w:bCs/>
          <w:sz w:val="24"/>
          <w:szCs w:val="24"/>
        </w:rPr>
        <w:t>附件二、参选文件范本</w:t>
      </w:r>
    </w:p>
    <w:p>
      <w:pPr>
        <w:pStyle w:val="24"/>
        <w:jc w:val="center"/>
        <w:rPr>
          <w:rFonts w:ascii="Times New Roman" w:hAnsi="Times New Roman"/>
          <w:b/>
          <w:sz w:val="52"/>
          <w:szCs w:val="52"/>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4"/>
        <w:spacing w:line="615" w:lineRule="exact"/>
        <w:jc w:val="center"/>
        <w:rPr>
          <w:rFonts w:ascii="方正小标宋简体" w:hAnsi="方正小标宋简体" w:eastAsia="方正小标宋简体" w:cs="方正小标宋简体"/>
          <w:b/>
          <w:sz w:val="44"/>
          <w:szCs w:val="44"/>
          <w:lang w:eastAsia="zh-CN"/>
        </w:rPr>
      </w:pPr>
    </w:p>
    <w:p>
      <w:pPr>
        <w:pStyle w:val="24"/>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1台涡街流量计</w:t>
      </w:r>
      <w:r>
        <w:rPr>
          <w:rFonts w:hint="eastAsia" w:ascii="方正小标宋简体" w:hAnsi="方正小标宋简体" w:eastAsia="方正小标宋简体" w:cs="方正小标宋简体"/>
          <w:b/>
          <w:color w:val="000000" w:themeColor="text1"/>
          <w:sz w:val="44"/>
          <w:szCs w:val="44"/>
          <w:lang w:val="en-US" w:eastAsia="zh-CN"/>
        </w:rPr>
        <w:t>采购</w:t>
      </w:r>
      <w:r>
        <w:rPr>
          <w:rFonts w:ascii="方正小标宋简体" w:hAnsi="方正小标宋简体" w:eastAsia="方正小标宋简体" w:cs="方正小标宋简体"/>
          <w:b/>
          <w:color w:val="000000" w:themeColor="text1"/>
          <w:sz w:val="44"/>
          <w:szCs w:val="44"/>
          <w:lang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56"/>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2"/>
          <w:lang w:eastAsia="zh-CN"/>
        </w:rPr>
      </w:pPr>
    </w:p>
    <w:p>
      <w:pPr>
        <w:pStyle w:val="24"/>
        <w:rPr>
          <w:rFonts w:ascii="Times New Roman" w:hAnsi="Times New Roman"/>
          <w:b/>
          <w:bCs/>
          <w:sz w:val="32"/>
          <w:szCs w:val="36"/>
          <w:lang w:eastAsia="zh-CN"/>
        </w:rPr>
      </w:pPr>
    </w:p>
    <w:p>
      <w:pPr>
        <w:pStyle w:val="24"/>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4"/>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56"/>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4"/>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5.商务文件密封包装后邮寄，参选文件均需提供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4"/>
        <w:spacing w:beforeLines="0" w:afterLines="0" w:line="240" w:lineRule="auto"/>
        <w:ind w:firstLine="618" w:firstLineChars="221"/>
        <w:rPr>
          <w:rFonts w:cs="Times New Roman"/>
          <w:bCs w:val="0"/>
          <w:color w:val="C00000"/>
          <w:lang w:eastAsia="zh-CN"/>
        </w:rPr>
      </w:pPr>
    </w:p>
    <w:p>
      <w:pPr>
        <w:pStyle w:val="74"/>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4"/>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56"/>
      </w:pPr>
    </w:p>
    <w:p>
      <w:pPr>
        <w:pStyle w:val="56"/>
      </w:pPr>
    </w:p>
    <w:p>
      <w:pPr>
        <w:pStyle w:val="56"/>
      </w:pPr>
    </w:p>
    <w:p>
      <w:pPr>
        <w:pStyle w:val="56"/>
      </w:pPr>
    </w:p>
    <w:p>
      <w:pPr>
        <w:pStyle w:val="56"/>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56"/>
        <w:rPr>
          <w:b/>
          <w:bCs/>
          <w:sz w:val="36"/>
          <w:szCs w:val="36"/>
        </w:rPr>
      </w:pPr>
    </w:p>
    <w:p>
      <w:pPr>
        <w:pStyle w:val="56"/>
        <w:rPr>
          <w:b/>
          <w:bCs/>
          <w:sz w:val="36"/>
          <w:szCs w:val="36"/>
        </w:rPr>
      </w:pPr>
    </w:p>
    <w:p>
      <w:pPr>
        <w:pStyle w:val="56"/>
        <w:rPr>
          <w:b/>
          <w:bCs/>
          <w:sz w:val="36"/>
          <w:szCs w:val="36"/>
        </w:rPr>
      </w:pPr>
    </w:p>
    <w:p>
      <w:pPr>
        <w:spacing w:line="500" w:lineRule="exact"/>
        <w:rPr>
          <w:b/>
          <w:bCs/>
          <w:sz w:val="36"/>
          <w:szCs w:val="36"/>
          <w:lang w:eastAsia="zh-CN"/>
        </w:rPr>
      </w:pPr>
    </w:p>
    <w:p>
      <w:pPr>
        <w:pStyle w:val="56"/>
        <w:rPr>
          <w:b/>
          <w:bCs/>
          <w:sz w:val="36"/>
          <w:szCs w:val="36"/>
        </w:rPr>
      </w:pPr>
    </w:p>
    <w:p>
      <w:pPr>
        <w:pStyle w:val="56"/>
        <w:rPr>
          <w:b/>
          <w:bCs/>
          <w:sz w:val="36"/>
          <w:szCs w:val="36"/>
        </w:rPr>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pStyle w:val="56"/>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56"/>
      </w:pPr>
    </w:p>
    <w:p>
      <w:pPr>
        <w:pStyle w:val="56"/>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56"/>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56"/>
        <w:jc w:val="center"/>
      </w:pPr>
    </w:p>
    <w:p>
      <w:pPr>
        <w:pStyle w:val="56"/>
        <w:jc w:val="center"/>
      </w:pPr>
    </w:p>
    <w:p>
      <w:pPr>
        <w:pStyle w:val="56"/>
        <w:jc w:val="center"/>
      </w:pPr>
    </w:p>
    <w:p>
      <w:pPr>
        <w:pStyle w:val="56"/>
        <w:jc w:val="center"/>
      </w:pPr>
    </w:p>
    <w:p>
      <w:pPr>
        <w:pStyle w:val="56"/>
        <w:jc w:val="center"/>
      </w:pPr>
    </w:p>
    <w:p>
      <w:pPr>
        <w:pStyle w:val="56"/>
      </w:pPr>
    </w:p>
    <w:p>
      <w:pPr>
        <w:pStyle w:val="56"/>
      </w:pPr>
    </w:p>
    <w:p>
      <w:pPr>
        <w:pStyle w:val="56"/>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pStyle w:val="56"/>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56"/>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56"/>
      </w:pPr>
    </w:p>
    <w:p>
      <w:pPr>
        <w:pStyle w:val="56"/>
      </w:pPr>
    </w:p>
    <w:p>
      <w:pPr>
        <w:pStyle w:val="56"/>
      </w:pPr>
    </w:p>
    <w:p>
      <w:pPr>
        <w:pStyle w:val="56"/>
      </w:pPr>
    </w:p>
    <w:p>
      <w:pPr>
        <w:spacing w:line="500" w:lineRule="exact"/>
        <w:jc w:val="center"/>
        <w:rPr>
          <w:b/>
          <w:bCs/>
          <w:sz w:val="36"/>
          <w:szCs w:val="36"/>
          <w:lang w:eastAsia="zh-CN"/>
        </w:rPr>
      </w:pPr>
      <w:r>
        <w:rPr>
          <w:rFonts w:hint="eastAsia"/>
          <w:b/>
          <w:bCs/>
          <w:sz w:val="36"/>
          <w:szCs w:val="36"/>
          <w:lang w:eastAsia="zh-CN"/>
        </w:rPr>
        <w:t>营业执照复印件</w:t>
      </w: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pStyle w:val="56"/>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center"/>
      </w:pPr>
    </w:p>
    <w:p>
      <w:pPr>
        <w:pStyle w:val="56"/>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s="宋体"/>
          <w:sz w:val="28"/>
          <w:szCs w:val="28"/>
          <w:lang w:eastAsia="zh-CN"/>
        </w:rPr>
        <w:t>1台涡街流量计</w:t>
      </w:r>
      <w:r>
        <w:rPr>
          <w:rFonts w:hint="eastAsia" w:ascii="Times New Roman" w:hAnsi="ˎ̥" w:cs="宋体"/>
          <w:sz w:val="28"/>
          <w:szCs w:val="28"/>
          <w:lang w:val="en-US" w:eastAsia="zh-CN"/>
        </w:rPr>
        <w:t>采购项目</w:t>
      </w:r>
      <w:r>
        <w:rPr>
          <w:rFonts w:hint="eastAsia" w:ascii="Times New Roman" w:hAnsi="ˎ̥" w:eastAsia="宋体" w:cs="宋体"/>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lang w:eastAsia="zh-CN"/>
        </w:rPr>
      </w:pPr>
      <w:r>
        <w:rPr>
          <w:rFonts w:hint="eastAsia"/>
          <w:b/>
          <w:bCs/>
          <w:sz w:val="24"/>
          <w:szCs w:val="24"/>
          <w:lang w:eastAsia="zh-CN"/>
        </w:rPr>
        <w:t>1台涡街流量计</w:t>
      </w:r>
      <w:r>
        <w:rPr>
          <w:rFonts w:hint="eastAsia"/>
          <w:b/>
          <w:bCs/>
          <w:sz w:val="24"/>
          <w:szCs w:val="24"/>
          <w:lang w:val="en-US" w:eastAsia="zh-CN"/>
        </w:rPr>
        <w:t>采购</w:t>
      </w:r>
      <w:r>
        <w:rPr>
          <w:rFonts w:hint="eastAsia"/>
          <w:b/>
          <w:bCs/>
          <w:sz w:val="24"/>
          <w:szCs w:val="24"/>
          <w:lang w:eastAsia="zh-CN"/>
        </w:rPr>
        <w:t>项目价格清单</w:t>
      </w:r>
    </w:p>
    <w:tbl>
      <w:tblPr>
        <w:tblStyle w:val="47"/>
        <w:tblpPr w:leftFromText="180" w:rightFromText="180" w:vertAnchor="text" w:horzAnchor="page" w:tblpXSpec="center" w:tblpY="287"/>
        <w:tblOverlap w:val="never"/>
        <w:tblW w:w="10486" w:type="dxa"/>
        <w:tblInd w:w="-383" w:type="dxa"/>
        <w:tblLayout w:type="fixed"/>
        <w:tblCellMar>
          <w:top w:w="15" w:type="dxa"/>
          <w:left w:w="15" w:type="dxa"/>
          <w:bottom w:w="15" w:type="dxa"/>
          <w:right w:w="15" w:type="dxa"/>
        </w:tblCellMar>
      </w:tblPr>
      <w:tblGrid>
        <w:gridCol w:w="1008"/>
        <w:gridCol w:w="1257"/>
        <w:gridCol w:w="1137"/>
        <w:gridCol w:w="3954"/>
        <w:gridCol w:w="546"/>
        <w:gridCol w:w="478"/>
        <w:gridCol w:w="1052"/>
        <w:gridCol w:w="1054"/>
      </w:tblGrid>
      <w:tr>
        <w:tblPrEx>
          <w:tblCellMar>
            <w:top w:w="15" w:type="dxa"/>
            <w:left w:w="15" w:type="dxa"/>
            <w:bottom w:w="15" w:type="dxa"/>
            <w:right w:w="15" w:type="dxa"/>
          </w:tblCellMar>
        </w:tblPrEx>
        <w:trPr>
          <w:trHeight w:val="64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395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645"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bidi="ar"/>
              </w:rPr>
            </w:pPr>
            <w:r>
              <w:rPr>
                <w:rFonts w:hint="eastAsia" w:ascii="宋体" w:hAnsi="宋体" w:eastAsia="宋体" w:cs="宋体"/>
                <w:i w:val="0"/>
                <w:iCs w:val="0"/>
                <w:color w:val="000000"/>
                <w:kern w:val="0"/>
                <w:sz w:val="20"/>
                <w:szCs w:val="20"/>
                <w:u w:val="none"/>
                <w:lang w:val="en-US" w:eastAsia="zh-CN" w:bidi="ar"/>
              </w:rPr>
              <w:t>QG2304170063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2705990244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涡街流量计</w:t>
            </w:r>
          </w:p>
        </w:tc>
        <w:tc>
          <w:tcPr>
            <w:tcW w:w="395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0~12000Nm/h\±1%FS\4~20mA+HART\DN200\ANSI CL300\ RF\ExdⅡBT4\IP65</w:t>
            </w:r>
            <w:r>
              <w:rPr>
                <w:rFonts w:hint="eastAsia" w:cs="宋体"/>
                <w:color w:val="000000"/>
                <w:kern w:val="0"/>
                <w:sz w:val="18"/>
                <w:szCs w:val="18"/>
                <w:lang w:val="en-US" w:eastAsia="zh-CN" w:bidi="ar"/>
              </w:rPr>
              <w:t>\EMERSON、YOKOGAWA、ABB\详见规格书\最终以双方签定的技术协议为准。</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600" w:lineRule="exact"/>
              <w:ind w:right="0" w:rightChars="0" w:firstLine="180" w:firstLineChars="100"/>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p>
        </w:tc>
      </w:tr>
      <w:tr>
        <w:tblPrEx>
          <w:tblCellMar>
            <w:top w:w="15" w:type="dxa"/>
            <w:left w:w="15" w:type="dxa"/>
            <w:bottom w:w="15" w:type="dxa"/>
            <w:right w:w="15" w:type="dxa"/>
          </w:tblCellMar>
        </w:tblPrEx>
        <w:trPr>
          <w:trHeight w:val="600" w:hRule="atLeast"/>
        </w:trPr>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82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086" w:tblpY="333"/>
        <w:tblOverlap w:val="never"/>
        <w:tblW w:w="9499" w:type="dxa"/>
        <w:tblInd w:w="0" w:type="dxa"/>
        <w:tblLayout w:type="fixed"/>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56"/>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w:t>
            </w:r>
            <w:r>
              <w:rPr>
                <w:rFonts w:hint="eastAsia" w:cs="Arial" w:asciiTheme="minorEastAsia" w:hAnsiTheme="minorEastAsia" w:eastAsiaTheme="minorEastAsia"/>
                <w:b w:val="0"/>
                <w:bCs w:val="0"/>
                <w:sz w:val="24"/>
                <w:szCs w:val="24"/>
                <w:lang w:val="en-US" w:eastAsia="zh-CN"/>
              </w:rPr>
              <w:t>腾龙芳烃</w:t>
            </w:r>
            <w:r>
              <w:rPr>
                <w:rFonts w:hint="eastAsia" w:cs="Arial" w:asciiTheme="minorEastAsia" w:hAnsiTheme="minorEastAsia" w:eastAsiaTheme="minorEastAsia"/>
                <w:b w:val="0"/>
                <w:bCs w:val="0"/>
                <w:sz w:val="24"/>
                <w:szCs w:val="24"/>
                <w:lang w:eastAsia="zh-CN"/>
              </w:rPr>
              <w:t xml:space="preserve">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6FC4D"/>
    <w:multiLevelType w:val="singleLevel"/>
    <w:tmpl w:val="B416FC4D"/>
    <w:lvl w:ilvl="0" w:tentative="0">
      <w:start w:val="3"/>
      <w:numFmt w:val="decimal"/>
      <w:lvlText w:val="%1."/>
      <w:lvlJc w:val="left"/>
      <w:pPr>
        <w:tabs>
          <w:tab w:val="left" w:pos="312"/>
        </w:tabs>
        <w:ind w:left="-40"/>
      </w:pPr>
    </w:lvl>
  </w:abstractNum>
  <w:abstractNum w:abstractNumId="1">
    <w:nsid w:val="CE881D03"/>
    <w:multiLevelType w:val="singleLevel"/>
    <w:tmpl w:val="CE881D03"/>
    <w:lvl w:ilvl="0" w:tentative="0">
      <w:start w:val="3"/>
      <w:numFmt w:val="decimal"/>
      <w:lvlText w:val="%1."/>
      <w:lvlJc w:val="left"/>
      <w:pPr>
        <w:tabs>
          <w:tab w:val="left" w:pos="312"/>
        </w:tabs>
      </w:pPr>
    </w:lvl>
  </w:abstractNum>
  <w:abstractNum w:abstractNumId="2">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17E71B3"/>
    <w:rsid w:val="01B74444"/>
    <w:rsid w:val="02E828A9"/>
    <w:rsid w:val="0367315B"/>
    <w:rsid w:val="039452D6"/>
    <w:rsid w:val="054D2E98"/>
    <w:rsid w:val="061139E5"/>
    <w:rsid w:val="06F50B00"/>
    <w:rsid w:val="076A1B96"/>
    <w:rsid w:val="076E1278"/>
    <w:rsid w:val="081A08AE"/>
    <w:rsid w:val="081D6F74"/>
    <w:rsid w:val="087D5A4F"/>
    <w:rsid w:val="08D1141D"/>
    <w:rsid w:val="09130765"/>
    <w:rsid w:val="0B296DE2"/>
    <w:rsid w:val="0B721453"/>
    <w:rsid w:val="0D0126E0"/>
    <w:rsid w:val="0D2B3FF7"/>
    <w:rsid w:val="0D6E4A21"/>
    <w:rsid w:val="0EFD592E"/>
    <w:rsid w:val="0FB5725B"/>
    <w:rsid w:val="0FB7670E"/>
    <w:rsid w:val="10294AA3"/>
    <w:rsid w:val="10823482"/>
    <w:rsid w:val="10E40CA0"/>
    <w:rsid w:val="12584C20"/>
    <w:rsid w:val="136130D9"/>
    <w:rsid w:val="13805E8A"/>
    <w:rsid w:val="14762538"/>
    <w:rsid w:val="14D568B5"/>
    <w:rsid w:val="153A3533"/>
    <w:rsid w:val="15800409"/>
    <w:rsid w:val="15AD01BA"/>
    <w:rsid w:val="169D7EC1"/>
    <w:rsid w:val="16AE1C29"/>
    <w:rsid w:val="16B72867"/>
    <w:rsid w:val="16F33791"/>
    <w:rsid w:val="173600E6"/>
    <w:rsid w:val="18297794"/>
    <w:rsid w:val="186655E7"/>
    <w:rsid w:val="18DD4F7E"/>
    <w:rsid w:val="19544509"/>
    <w:rsid w:val="195B58A2"/>
    <w:rsid w:val="1989465C"/>
    <w:rsid w:val="19CC44B4"/>
    <w:rsid w:val="1A2360C8"/>
    <w:rsid w:val="1B6947A7"/>
    <w:rsid w:val="1CC40373"/>
    <w:rsid w:val="1E085A14"/>
    <w:rsid w:val="1E657D90"/>
    <w:rsid w:val="1ED93E25"/>
    <w:rsid w:val="1FF43DDB"/>
    <w:rsid w:val="20625E24"/>
    <w:rsid w:val="21933AA2"/>
    <w:rsid w:val="22B76993"/>
    <w:rsid w:val="22E07B9F"/>
    <w:rsid w:val="23105A61"/>
    <w:rsid w:val="231F5346"/>
    <w:rsid w:val="2333574E"/>
    <w:rsid w:val="25BF356F"/>
    <w:rsid w:val="25DB0C2D"/>
    <w:rsid w:val="26173D8C"/>
    <w:rsid w:val="267F6210"/>
    <w:rsid w:val="269469E7"/>
    <w:rsid w:val="26EF5299"/>
    <w:rsid w:val="27981585"/>
    <w:rsid w:val="27E149AB"/>
    <w:rsid w:val="27EE0826"/>
    <w:rsid w:val="280E42B1"/>
    <w:rsid w:val="280F47C0"/>
    <w:rsid w:val="2998140D"/>
    <w:rsid w:val="29FC3B14"/>
    <w:rsid w:val="2A056A4F"/>
    <w:rsid w:val="2B11792E"/>
    <w:rsid w:val="2E666BF4"/>
    <w:rsid w:val="2F5961A3"/>
    <w:rsid w:val="2F724BD0"/>
    <w:rsid w:val="2FC5779A"/>
    <w:rsid w:val="306A51FE"/>
    <w:rsid w:val="31C54755"/>
    <w:rsid w:val="31D23053"/>
    <w:rsid w:val="3216608C"/>
    <w:rsid w:val="328F13DA"/>
    <w:rsid w:val="346534AA"/>
    <w:rsid w:val="34CE14C6"/>
    <w:rsid w:val="34D84CEC"/>
    <w:rsid w:val="35345793"/>
    <w:rsid w:val="35DC515B"/>
    <w:rsid w:val="36332128"/>
    <w:rsid w:val="37AF5AB7"/>
    <w:rsid w:val="39E568DF"/>
    <w:rsid w:val="3A387F18"/>
    <w:rsid w:val="3A614714"/>
    <w:rsid w:val="3B1C3371"/>
    <w:rsid w:val="3CAE3A33"/>
    <w:rsid w:val="3CC23198"/>
    <w:rsid w:val="3D2623AB"/>
    <w:rsid w:val="3DDF4815"/>
    <w:rsid w:val="3E3E5597"/>
    <w:rsid w:val="3FB53B9D"/>
    <w:rsid w:val="3FE669E5"/>
    <w:rsid w:val="401A1419"/>
    <w:rsid w:val="42C84A21"/>
    <w:rsid w:val="44B33DBE"/>
    <w:rsid w:val="44B70186"/>
    <w:rsid w:val="459C39D0"/>
    <w:rsid w:val="462A54F2"/>
    <w:rsid w:val="486C4718"/>
    <w:rsid w:val="48BC1E8C"/>
    <w:rsid w:val="4A286FFC"/>
    <w:rsid w:val="4A344C53"/>
    <w:rsid w:val="4A6A5207"/>
    <w:rsid w:val="4B3B68BB"/>
    <w:rsid w:val="4B410375"/>
    <w:rsid w:val="4B876203"/>
    <w:rsid w:val="4D6C542D"/>
    <w:rsid w:val="4E9D335D"/>
    <w:rsid w:val="50F63E28"/>
    <w:rsid w:val="51C55ED2"/>
    <w:rsid w:val="5221007F"/>
    <w:rsid w:val="52250502"/>
    <w:rsid w:val="52926B5A"/>
    <w:rsid w:val="52B7258B"/>
    <w:rsid w:val="52F74B88"/>
    <w:rsid w:val="545C5E51"/>
    <w:rsid w:val="5486175B"/>
    <w:rsid w:val="56A70955"/>
    <w:rsid w:val="570C1972"/>
    <w:rsid w:val="57667D24"/>
    <w:rsid w:val="57C67347"/>
    <w:rsid w:val="57CE5BC3"/>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5D57404"/>
    <w:rsid w:val="66CC0AF0"/>
    <w:rsid w:val="67CE38BB"/>
    <w:rsid w:val="67DC2403"/>
    <w:rsid w:val="68246BFD"/>
    <w:rsid w:val="693C3D94"/>
    <w:rsid w:val="69962A8F"/>
    <w:rsid w:val="6A3E5143"/>
    <w:rsid w:val="6A54112D"/>
    <w:rsid w:val="6A701C86"/>
    <w:rsid w:val="6A9109B8"/>
    <w:rsid w:val="6AA035AE"/>
    <w:rsid w:val="6BCB034D"/>
    <w:rsid w:val="6C0E1756"/>
    <w:rsid w:val="6C2B2406"/>
    <w:rsid w:val="6D1B5A5A"/>
    <w:rsid w:val="6E0F2E14"/>
    <w:rsid w:val="6E3B6A4F"/>
    <w:rsid w:val="6E71313D"/>
    <w:rsid w:val="6F1E141D"/>
    <w:rsid w:val="6F5354F8"/>
    <w:rsid w:val="6F774298"/>
    <w:rsid w:val="71D648EC"/>
    <w:rsid w:val="727810B8"/>
    <w:rsid w:val="7293546A"/>
    <w:rsid w:val="72E05B2C"/>
    <w:rsid w:val="73A5660F"/>
    <w:rsid w:val="740A2BDE"/>
    <w:rsid w:val="74C27582"/>
    <w:rsid w:val="751839E0"/>
    <w:rsid w:val="756178E9"/>
    <w:rsid w:val="75A1093B"/>
    <w:rsid w:val="75BE7C69"/>
    <w:rsid w:val="76274F93"/>
    <w:rsid w:val="76742AFE"/>
    <w:rsid w:val="771E2411"/>
    <w:rsid w:val="78B64168"/>
    <w:rsid w:val="79670CA0"/>
    <w:rsid w:val="79EB3F2F"/>
    <w:rsid w:val="79FD3C4B"/>
    <w:rsid w:val="7A1D7427"/>
    <w:rsid w:val="7B11789E"/>
    <w:rsid w:val="7C9B1C9E"/>
    <w:rsid w:val="7D250FF6"/>
    <w:rsid w:val="7D602708"/>
    <w:rsid w:val="7DC94A0A"/>
    <w:rsid w:val="7E604868"/>
    <w:rsid w:val="7E703836"/>
    <w:rsid w:val="7F226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0"/>
    <w:pPr>
      <w:ind w:left="538"/>
      <w:outlineLvl w:val="0"/>
    </w:pPr>
    <w:rPr>
      <w:b/>
      <w:bCs/>
      <w:sz w:val="28"/>
      <w:szCs w:val="28"/>
    </w:rPr>
  </w:style>
  <w:style w:type="paragraph" w:styleId="3">
    <w:name w:val="heading 2"/>
    <w:basedOn w:val="1"/>
    <w:next w:val="1"/>
    <w:link w:val="58"/>
    <w:qFormat/>
    <w:uiPriority w:val="0"/>
    <w:pPr>
      <w:ind w:left="629"/>
      <w:outlineLvl w:val="1"/>
    </w:pPr>
    <w:rPr>
      <w:b/>
      <w:bCs/>
      <w:sz w:val="24"/>
      <w:szCs w:val="24"/>
    </w:rPr>
  </w:style>
  <w:style w:type="paragraph" w:styleId="4">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7"/>
    <w:qFormat/>
    <w:uiPriority w:val="1"/>
    <w:rPr>
      <w:sz w:val="24"/>
      <w:szCs w:val="24"/>
    </w:rPr>
  </w:style>
  <w:style w:type="paragraph" w:styleId="20">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8"/>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9"/>
    <w:qFormat/>
    <w:uiPriority w:val="99"/>
    <w:pPr>
      <w:tabs>
        <w:tab w:val="center" w:pos="4153"/>
        <w:tab w:val="right" w:pos="8306"/>
      </w:tabs>
      <w:snapToGrid w:val="0"/>
    </w:pPr>
    <w:rPr>
      <w:sz w:val="18"/>
      <w:szCs w:val="18"/>
    </w:rPr>
  </w:style>
  <w:style w:type="paragraph" w:styleId="30">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100"/>
    <w:qFormat/>
    <w:uiPriority w:val="0"/>
    <w:pPr>
      <w:widowControl/>
    </w:pPr>
    <w:rPr>
      <w:b/>
      <w:bCs/>
      <w:sz w:val="24"/>
      <w:szCs w:val="24"/>
    </w:rPr>
  </w:style>
  <w:style w:type="paragraph" w:styleId="45">
    <w:name w:val="Body Text First Indent"/>
    <w:basedOn w:val="19"/>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46">
    <w:name w:val="Body Text First Indent 2"/>
    <w:basedOn w:val="20"/>
    <w:next w:val="1"/>
    <w:qFormat/>
    <w:uiPriority w:val="0"/>
    <w:pPr>
      <w:ind w:firstLine="420" w:firstLineChars="20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2490F8"/>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2"/>
    <w:qFormat/>
    <w:uiPriority w:val="0"/>
    <w:rPr>
      <w:rFonts w:ascii="宋体" w:hAnsi="宋体" w:cs="宋体"/>
      <w:b/>
      <w:bCs/>
      <w:sz w:val="28"/>
      <w:szCs w:val="28"/>
      <w:lang w:eastAsia="en-US"/>
    </w:rPr>
  </w:style>
  <w:style w:type="character" w:customStyle="1" w:styleId="58">
    <w:name w:val="标题 2 Char"/>
    <w:basedOn w:val="49"/>
    <w:link w:val="3"/>
    <w:qFormat/>
    <w:uiPriority w:val="0"/>
    <w:rPr>
      <w:rFonts w:ascii="宋体" w:hAnsi="宋体" w:cs="宋体"/>
      <w:b/>
      <w:bCs/>
      <w:sz w:val="24"/>
      <w:szCs w:val="24"/>
      <w:lang w:eastAsia="en-US"/>
    </w:rPr>
  </w:style>
  <w:style w:type="character" w:customStyle="1" w:styleId="59">
    <w:name w:val="标题 3 Char"/>
    <w:basedOn w:val="49"/>
    <w:link w:val="4"/>
    <w:qFormat/>
    <w:uiPriority w:val="0"/>
    <w:rPr>
      <w:b/>
      <w:bCs/>
      <w:kern w:val="2"/>
      <w:sz w:val="32"/>
      <w:szCs w:val="32"/>
    </w:rPr>
  </w:style>
  <w:style w:type="character" w:customStyle="1" w:styleId="60">
    <w:name w:val="标题 4 Char"/>
    <w:basedOn w:val="49"/>
    <w:link w:val="5"/>
    <w:qFormat/>
    <w:uiPriority w:val="0"/>
    <w:rPr>
      <w:b/>
      <w:kern w:val="2"/>
      <w:sz w:val="24"/>
      <w:szCs w:val="24"/>
    </w:rPr>
  </w:style>
  <w:style w:type="character" w:customStyle="1" w:styleId="61">
    <w:name w:val="标题 5 Char"/>
    <w:basedOn w:val="49"/>
    <w:link w:val="6"/>
    <w:qFormat/>
    <w:uiPriority w:val="0"/>
    <w:rPr>
      <w:b/>
      <w:bCs/>
      <w:kern w:val="2"/>
      <w:sz w:val="28"/>
      <w:szCs w:val="28"/>
    </w:rPr>
  </w:style>
  <w:style w:type="character" w:customStyle="1" w:styleId="62">
    <w:name w:val="标题 6 Char"/>
    <w:basedOn w:val="49"/>
    <w:link w:val="7"/>
    <w:qFormat/>
    <w:uiPriority w:val="0"/>
    <w:rPr>
      <w:b/>
      <w:sz w:val="24"/>
    </w:rPr>
  </w:style>
  <w:style w:type="character" w:customStyle="1" w:styleId="63">
    <w:name w:val="正文缩进 Char"/>
    <w:basedOn w:val="49"/>
    <w:link w:val="9"/>
    <w:qFormat/>
    <w:uiPriority w:val="0"/>
    <w:rPr>
      <w:sz w:val="24"/>
    </w:rPr>
  </w:style>
  <w:style w:type="character" w:customStyle="1" w:styleId="64">
    <w:name w:val="标题 7 Char"/>
    <w:basedOn w:val="49"/>
    <w:link w:val="8"/>
    <w:qFormat/>
    <w:uiPriority w:val="0"/>
    <w:rPr>
      <w:b/>
      <w:kern w:val="2"/>
      <w:sz w:val="24"/>
    </w:rPr>
  </w:style>
  <w:style w:type="character" w:customStyle="1" w:styleId="65">
    <w:name w:val="标题 8 Char"/>
    <w:basedOn w:val="49"/>
    <w:link w:val="10"/>
    <w:qFormat/>
    <w:uiPriority w:val="0"/>
    <w:rPr>
      <w:rFonts w:ascii="Arial" w:hAnsi="Arial" w:eastAsia="黑体"/>
      <w:kern w:val="2"/>
      <w:sz w:val="24"/>
    </w:rPr>
  </w:style>
  <w:style w:type="character" w:customStyle="1" w:styleId="66">
    <w:name w:val="标题 9 Char"/>
    <w:basedOn w:val="49"/>
    <w:link w:val="11"/>
    <w:qFormat/>
    <w:uiPriority w:val="0"/>
    <w:rPr>
      <w:rFonts w:ascii="Arial" w:hAnsi="Arial" w:eastAsia="黑体"/>
      <w:kern w:val="2"/>
      <w:sz w:val="21"/>
    </w:rPr>
  </w:style>
  <w:style w:type="character" w:customStyle="1" w:styleId="67">
    <w:name w:val="正文文本 Char1"/>
    <w:basedOn w:val="49"/>
    <w:link w:val="19"/>
    <w:qFormat/>
    <w:uiPriority w:val="1"/>
    <w:rPr>
      <w:rFonts w:ascii="宋体" w:hAnsi="宋体" w:cs="宋体"/>
      <w:sz w:val="24"/>
      <w:szCs w:val="24"/>
      <w:lang w:eastAsia="en-US"/>
    </w:rPr>
  </w:style>
  <w:style w:type="character" w:customStyle="1" w:styleId="68">
    <w:name w:val="纯文本 Char"/>
    <w:basedOn w:val="49"/>
    <w:link w:val="24"/>
    <w:qFormat/>
    <w:uiPriority w:val="0"/>
    <w:rPr>
      <w:rFonts w:ascii="宋体" w:hAnsi="Courier New" w:cs="Courier New"/>
      <w:sz w:val="22"/>
      <w:szCs w:val="21"/>
      <w:lang w:eastAsia="en-US"/>
    </w:rPr>
  </w:style>
  <w:style w:type="character" w:customStyle="1" w:styleId="69">
    <w:name w:val="页脚 Char"/>
    <w:basedOn w:val="49"/>
    <w:link w:val="29"/>
    <w:qFormat/>
    <w:uiPriority w:val="99"/>
    <w:rPr>
      <w:rFonts w:ascii="宋体" w:hAnsi="宋体" w:cs="宋体"/>
      <w:sz w:val="18"/>
      <w:szCs w:val="18"/>
      <w:lang w:eastAsia="en-US"/>
    </w:rPr>
  </w:style>
  <w:style w:type="character" w:customStyle="1" w:styleId="70">
    <w:name w:val="页眉 Char"/>
    <w:basedOn w:val="49"/>
    <w:link w:val="30"/>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18"/>
    <w:qFormat/>
    <w:uiPriority w:val="0"/>
    <w:rPr>
      <w:b/>
      <w:kern w:val="2"/>
      <w:sz w:val="21"/>
    </w:rPr>
  </w:style>
  <w:style w:type="character" w:customStyle="1" w:styleId="78">
    <w:name w:val="普通(网站) Char"/>
    <w:basedOn w:val="49"/>
    <w:link w:val="41"/>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6"/>
    <w:qFormat/>
    <w:uiPriority w:val="0"/>
    <w:rPr>
      <w:kern w:val="2"/>
      <w:sz w:val="21"/>
    </w:rPr>
  </w:style>
  <w:style w:type="character" w:customStyle="1" w:styleId="84">
    <w:name w:val="批注框文本 Char"/>
    <w:basedOn w:val="49"/>
    <w:link w:val="28"/>
    <w:qFormat/>
    <w:uiPriority w:val="0"/>
    <w:rPr>
      <w:kern w:val="2"/>
      <w:sz w:val="18"/>
      <w:szCs w:val="18"/>
    </w:rPr>
  </w:style>
  <w:style w:type="character" w:customStyle="1" w:styleId="85">
    <w:name w:val="正文文本缩进 3 Char"/>
    <w:basedOn w:val="49"/>
    <w:link w:val="35"/>
    <w:qFormat/>
    <w:uiPriority w:val="0"/>
    <w:rPr>
      <w:kern w:val="2"/>
      <w:sz w:val="28"/>
    </w:rPr>
  </w:style>
  <w:style w:type="character" w:customStyle="1" w:styleId="86">
    <w:name w:val="正文文本缩进 2 Char"/>
    <w:basedOn w:val="49"/>
    <w:link w:val="27"/>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3"/>
    <w:qFormat/>
    <w:uiPriority w:val="0"/>
    <w:rPr>
      <w:rFonts w:ascii="Arial" w:hAnsi="Arial" w:cs="Arial"/>
      <w:b/>
      <w:bCs/>
      <w:sz w:val="44"/>
      <w:szCs w:val="32"/>
    </w:rPr>
  </w:style>
  <w:style w:type="character" w:customStyle="1" w:styleId="91">
    <w:name w:val="正文文本缩进 Char"/>
    <w:basedOn w:val="49"/>
    <w:link w:val="20"/>
    <w:qFormat/>
    <w:uiPriority w:val="0"/>
    <w:rPr>
      <w:i/>
      <w:iCs/>
      <w:kern w:val="2"/>
      <w:sz w:val="21"/>
    </w:rPr>
  </w:style>
  <w:style w:type="character" w:customStyle="1" w:styleId="92">
    <w:name w:val="正文文本 3 Char"/>
    <w:basedOn w:val="49"/>
    <w:link w:val="17"/>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0"/>
    <w:qFormat/>
    <w:uiPriority w:val="0"/>
    <w:rPr>
      <w:rFonts w:ascii="Arial Unicode MS" w:hAnsi="Arial Unicode MS" w:eastAsia="Courier New" w:cs="Courier New"/>
    </w:rPr>
  </w:style>
  <w:style w:type="character" w:customStyle="1" w:styleId="96">
    <w:name w:val="文档结构图 Char"/>
    <w:basedOn w:val="49"/>
    <w:link w:val="15"/>
    <w:qFormat/>
    <w:uiPriority w:val="0"/>
    <w:rPr>
      <w:rFonts w:ascii="宋体"/>
      <w:sz w:val="28"/>
      <w:shd w:val="clear" w:color="auto" w:fill="000080"/>
    </w:rPr>
  </w:style>
  <w:style w:type="character" w:customStyle="1" w:styleId="97">
    <w:name w:val="日期 Char"/>
    <w:basedOn w:val="49"/>
    <w:link w:val="26"/>
    <w:qFormat/>
    <w:uiPriority w:val="0"/>
    <w:rPr>
      <w:kern w:val="2"/>
      <w:sz w:val="21"/>
      <w:szCs w:val="24"/>
    </w:rPr>
  </w:style>
  <w:style w:type="character" w:customStyle="1" w:styleId="98">
    <w:name w:val="正文文本 2 Char"/>
    <w:basedOn w:val="49"/>
    <w:link w:val="38"/>
    <w:qFormat/>
    <w:uiPriority w:val="0"/>
    <w:rPr>
      <w:kern w:val="2"/>
      <w:sz w:val="21"/>
      <w:szCs w:val="24"/>
    </w:rPr>
  </w:style>
  <w:style w:type="character" w:customStyle="1" w:styleId="99">
    <w:name w:val="正文首行缩进 Char"/>
    <w:basedOn w:val="87"/>
    <w:link w:val="45"/>
    <w:qFormat/>
    <w:uiPriority w:val="0"/>
    <w:rPr>
      <w:rFonts w:eastAsia="宋体"/>
      <w:sz w:val="21"/>
      <w:szCs w:val="21"/>
      <w:lang w:val="en-US" w:eastAsia="zh-CN" w:bidi="ar-SA"/>
    </w:rPr>
  </w:style>
  <w:style w:type="character" w:customStyle="1" w:styleId="100">
    <w:name w:val="批注主题 Char"/>
    <w:basedOn w:val="83"/>
    <w:link w:val="44"/>
    <w:qFormat/>
    <w:uiPriority w:val="0"/>
    <w:rPr>
      <w:b/>
      <w:bCs/>
      <w:kern w:val="2"/>
      <w:sz w:val="24"/>
      <w:szCs w:val="24"/>
    </w:rPr>
  </w:style>
  <w:style w:type="paragraph" w:customStyle="1" w:styleId="101">
    <w:name w:val="标题3(小3号)"/>
    <w:basedOn w:val="4"/>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39"/>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4"/>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3"/>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2"/>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4"/>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4"/>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4"/>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3"/>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2"/>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3"/>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2"/>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2"/>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2"/>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3"/>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3"/>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3"/>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 w:type="character" w:customStyle="1" w:styleId="216">
    <w:name w:val="cdropright"/>
    <w:basedOn w:val="49"/>
    <w:qFormat/>
    <w:uiPriority w:val="0"/>
  </w:style>
  <w:style w:type="character" w:customStyle="1" w:styleId="217">
    <w:name w:val="drapbtn"/>
    <w:basedOn w:val="49"/>
    <w:qFormat/>
    <w:uiPriority w:val="0"/>
  </w:style>
  <w:style w:type="character" w:customStyle="1" w:styleId="218">
    <w:name w:val="cdropleft"/>
    <w:basedOn w:val="49"/>
    <w:qFormat/>
    <w:uiPriority w:val="0"/>
  </w:style>
  <w:style w:type="character" w:customStyle="1" w:styleId="219">
    <w:name w:val="tmpztreemove_arrow"/>
    <w:basedOn w:val="49"/>
    <w:qFormat/>
    <w:uiPriority w:val="0"/>
  </w:style>
  <w:style w:type="character" w:customStyle="1" w:styleId="220">
    <w:name w:val="layui-layer-tabnow"/>
    <w:basedOn w:val="49"/>
    <w:qFormat/>
    <w:uiPriority w:val="0"/>
    <w:rPr>
      <w:bdr w:val="single" w:color="CCCCCC" w:sz="6" w:space="0"/>
      <w:shd w:val="clear" w:fill="FFFFFF"/>
    </w:rPr>
  </w:style>
  <w:style w:type="character" w:customStyle="1" w:styleId="221">
    <w:name w:val="button"/>
    <w:basedOn w:val="49"/>
    <w:qFormat/>
    <w:uiPriority w:val="0"/>
  </w:style>
  <w:style w:type="character" w:customStyle="1" w:styleId="222">
    <w:name w:val="first-child"/>
    <w:basedOn w:val="49"/>
    <w:qFormat/>
    <w:uiPriority w:val="0"/>
  </w:style>
  <w:style w:type="character" w:customStyle="1" w:styleId="223">
    <w:name w:val="icontext1"/>
    <w:basedOn w:val="49"/>
    <w:qFormat/>
    <w:uiPriority w:val="0"/>
  </w:style>
  <w:style w:type="character" w:customStyle="1" w:styleId="224">
    <w:name w:val="icontext11"/>
    <w:basedOn w:val="49"/>
    <w:qFormat/>
    <w:uiPriority w:val="0"/>
  </w:style>
  <w:style w:type="character" w:customStyle="1" w:styleId="225">
    <w:name w:val="icontext12"/>
    <w:basedOn w:val="49"/>
    <w:qFormat/>
    <w:uiPriority w:val="0"/>
  </w:style>
  <w:style w:type="character" w:customStyle="1" w:styleId="226">
    <w:name w:val="design_class"/>
    <w:basedOn w:val="49"/>
    <w:qFormat/>
    <w:uiPriority w:val="0"/>
  </w:style>
  <w:style w:type="character" w:customStyle="1" w:styleId="227">
    <w:name w:val="active5"/>
    <w:basedOn w:val="49"/>
    <w:qFormat/>
    <w:uiPriority w:val="0"/>
    <w:rPr>
      <w:color w:val="00FF00"/>
      <w:shd w:val="clear" w:fill="111111"/>
    </w:rPr>
  </w:style>
  <w:style w:type="character" w:customStyle="1" w:styleId="228">
    <w:name w:val="active6"/>
    <w:basedOn w:val="49"/>
    <w:qFormat/>
    <w:uiPriority w:val="0"/>
    <w:rPr>
      <w:shd w:val="clear" w:fill="EC3535"/>
    </w:rPr>
  </w:style>
  <w:style w:type="character" w:customStyle="1" w:styleId="229">
    <w:name w:val="hilite"/>
    <w:basedOn w:val="49"/>
    <w:qFormat/>
    <w:uiPriority w:val="0"/>
    <w:rPr>
      <w:color w:val="FFFFFF"/>
      <w:shd w:val="clear" w:fill="666666"/>
    </w:rPr>
  </w:style>
  <w:style w:type="character" w:customStyle="1" w:styleId="230">
    <w:name w:val="pagechatarealistclose_box"/>
    <w:basedOn w:val="49"/>
    <w:qFormat/>
    <w:uiPriority w:val="0"/>
  </w:style>
  <w:style w:type="character" w:customStyle="1" w:styleId="231">
    <w:name w:val="pagechatarealistclose_box1"/>
    <w:basedOn w:val="49"/>
    <w:qFormat/>
    <w:uiPriority w:val="0"/>
  </w:style>
  <w:style w:type="character" w:customStyle="1" w:styleId="232">
    <w:name w:val="hover40"/>
    <w:basedOn w:val="49"/>
    <w:qFormat/>
    <w:uiPriority w:val="0"/>
    <w:rPr>
      <w:color w:val="FFFFFF"/>
    </w:rPr>
  </w:style>
  <w:style w:type="character" w:customStyle="1" w:styleId="233">
    <w:name w:val="associateddata"/>
    <w:basedOn w:val="49"/>
    <w:qFormat/>
    <w:uiPriority w:val="0"/>
    <w:rPr>
      <w:shd w:val="clear" w:fill="50A6F9"/>
    </w:rPr>
  </w:style>
  <w:style w:type="character" w:customStyle="1" w:styleId="234">
    <w:name w:val="choosename"/>
    <w:basedOn w:val="49"/>
    <w:qFormat/>
    <w:uiPriority w:val="0"/>
  </w:style>
  <w:style w:type="character" w:customStyle="1" w:styleId="235">
    <w:name w:val="iconline2"/>
    <w:basedOn w:val="49"/>
    <w:qFormat/>
    <w:uiPriority w:val="0"/>
  </w:style>
  <w:style w:type="character" w:customStyle="1" w:styleId="236">
    <w:name w:val="iconline21"/>
    <w:basedOn w:val="49"/>
    <w:qFormat/>
    <w:uiPriority w:val="0"/>
  </w:style>
  <w:style w:type="character" w:customStyle="1" w:styleId="237">
    <w:name w:val="icontext2"/>
    <w:basedOn w:val="49"/>
    <w:qFormat/>
    <w:uiPriority w:val="0"/>
  </w:style>
  <w:style w:type="character" w:customStyle="1" w:styleId="238">
    <w:name w:val="icontext3"/>
    <w:basedOn w:val="49"/>
    <w:qFormat/>
    <w:uiPriority w:val="0"/>
  </w:style>
  <w:style w:type="character" w:customStyle="1" w:styleId="239">
    <w:name w:val="ico1652"/>
    <w:basedOn w:val="49"/>
    <w:qFormat/>
    <w:uiPriority w:val="0"/>
  </w:style>
  <w:style w:type="character" w:customStyle="1" w:styleId="240">
    <w:name w:val="ico1653"/>
    <w:basedOn w:val="49"/>
    <w:qFormat/>
    <w:uiPriority w:val="0"/>
  </w:style>
  <w:style w:type="character" w:customStyle="1" w:styleId="241">
    <w:name w:val="cy"/>
    <w:basedOn w:val="49"/>
    <w:qFormat/>
    <w:uiPriority w:val="0"/>
  </w:style>
  <w:style w:type="character" w:customStyle="1" w:styleId="242">
    <w:name w:val="after"/>
    <w:basedOn w:val="49"/>
    <w:qFormat/>
    <w:uiPriority w:val="0"/>
    <w:rPr>
      <w:sz w:val="0"/>
      <w:szCs w:val="0"/>
    </w:rPr>
  </w:style>
  <w:style w:type="character" w:customStyle="1" w:styleId="243">
    <w:name w:val="biggerthanmax"/>
    <w:basedOn w:val="49"/>
    <w:qFormat/>
    <w:uiPriority w:val="0"/>
    <w:rPr>
      <w:shd w:val="clear" w:fill="FFFF00"/>
    </w:rPr>
  </w:style>
  <w:style w:type="character" w:customStyle="1" w:styleId="244">
    <w:name w:val="w32"/>
    <w:basedOn w:val="49"/>
    <w:qFormat/>
    <w:uiPriority w:val="0"/>
  </w:style>
  <w:style w:type="character" w:customStyle="1" w:styleId="245">
    <w:name w:val="xdrichtextbox"/>
    <w:basedOn w:val="49"/>
    <w:qFormat/>
    <w:uiPriority w:val="0"/>
    <w:rPr>
      <w:color w:val="auto"/>
      <w:u w:val="none"/>
      <w:bdr w:val="single" w:color="DCDCDC" w:sz="8" w:space="0"/>
      <w:shd w:val="clear" w:fill="auto"/>
    </w:rPr>
  </w:style>
  <w:style w:type="character" w:customStyle="1" w:styleId="246">
    <w:name w:val="edit_class"/>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9063</Words>
  <Characters>9594</Characters>
  <Lines>79</Lines>
  <Paragraphs>22</Paragraphs>
  <TotalTime>2</TotalTime>
  <ScaleCrop>false</ScaleCrop>
  <LinksUpToDate>false</LinksUpToDate>
  <CharactersWithSpaces>10528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本色</cp:lastModifiedBy>
  <dcterms:modified xsi:type="dcterms:W3CDTF">2023-06-01T09:18:28Z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