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在线硫比值分析仪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QG2305180040</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福建福海创石油化工有限公司在线硫比值</w:t>
      </w:r>
      <w:r>
        <w:rPr>
          <w:rFonts w:hint="eastAsia"/>
          <w:b/>
          <w:bCs/>
          <w:sz w:val="32"/>
          <w:lang w:val="en-US" w:eastAsia="zh-CN"/>
        </w:rPr>
        <w:t>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福建福海创石油化工有限公司在线硫比值</w:t>
      </w:r>
      <w:r>
        <w:rPr>
          <w:rFonts w:hint="eastAsia"/>
          <w:color w:val="000000" w:themeColor="text1"/>
          <w:u w:val="single"/>
          <w:lang w:val="en-US" w:eastAsia="zh-CN"/>
        </w:rPr>
        <w:t>分析仪</w:t>
      </w:r>
      <w:r>
        <w:rPr>
          <w:rFonts w:hint="eastAsia"/>
          <w:color w:val="000000" w:themeColor="text1"/>
          <w:u w:val="single"/>
          <w:lang w:eastAsia="zh-CN"/>
        </w:rPr>
        <w:t>采购项目（项目编号：</w:t>
      </w:r>
      <w:r>
        <w:rPr>
          <w:rFonts w:hint="eastAsia"/>
          <w:color w:val="000000" w:themeColor="text1"/>
          <w:u w:val="single"/>
          <w:lang w:val="en-US" w:eastAsia="zh-CN"/>
        </w:rPr>
        <w:t>QG2305180040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项目名称：福建福海创石油化工有限公司在线硫比值</w:t>
      </w:r>
      <w:r>
        <w:rPr>
          <w:rFonts w:hint="eastAsia"/>
          <w:sz w:val="24"/>
          <w:szCs w:val="24"/>
          <w:lang w:val="en-US" w:eastAsia="zh-CN"/>
        </w:rPr>
        <w:t>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eastAsia="zh-CN"/>
        </w:rPr>
        <w:t>在线硫比值</w:t>
      </w:r>
      <w:r>
        <w:rPr>
          <w:rFonts w:hint="eastAsia"/>
          <w:sz w:val="24"/>
          <w:szCs w:val="24"/>
          <w:lang w:val="en-US" w:eastAsia="zh-CN"/>
        </w:rPr>
        <w:t xml:space="preserve">分析仪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3.比选控制价：60万（不含税）。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rPr>
          <w:rFonts w:hint="eastAsia"/>
          <w:b w:val="0"/>
          <w:bCs w:val="0"/>
          <w:sz w:val="24"/>
          <w:szCs w:val="24"/>
          <w:lang w:val="en-US" w:eastAsia="zh-CN"/>
        </w:rPr>
      </w:pPr>
      <w:r>
        <w:rPr>
          <w:rFonts w:hint="eastAsia"/>
          <w:b w:val="0"/>
          <w:bCs w:val="0"/>
          <w:sz w:val="24"/>
          <w:szCs w:val="24"/>
          <w:lang w:val="en-US" w:eastAsia="zh-CN"/>
        </w:rPr>
        <w:t>2.若参选人为供应商的，所提供本批仪表是符合技术标准要求、制造精良、经过实际应用考验并能满足石油化工企业生产过程测量的产品。提供的本批仪表安全、可靠，</w:t>
      </w:r>
      <w:r>
        <w:rPr>
          <w:rFonts w:hint="eastAsia"/>
          <w:sz w:val="24"/>
          <w:szCs w:val="24"/>
          <w:lang w:val="en-US" w:eastAsia="zh-CN"/>
        </w:rPr>
        <w:t>并提供产品质量及售后服务承诺；</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3.发包说明提供本批仪表最近3年内在国内大型石化、炼油装置中的应用业绩。</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4.没有失信黑名单记录（以最高院失信被执行人系统发布信息为准）；</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5.与比选人无诉讼纠纷；</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6.本标不接受联合体投标；</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7.供应商限定为：Ametek/AAI/Gaivanic。</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8</w:t>
      </w:r>
      <w:bookmarkStart w:id="16" w:name="_GoBack"/>
      <w:bookmarkEnd w:id="16"/>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w:t>
      </w:r>
      <w:r>
        <w:rPr>
          <w:rFonts w:hint="eastAsia" w:cs="Arial" w:asciiTheme="majorEastAsia" w:hAnsiTheme="majorEastAsia" w:eastAsiaTheme="majorEastAsia"/>
          <w:color w:val="333333"/>
          <w:sz w:val="24"/>
          <w:szCs w:val="24"/>
          <w:lang w:val="en-US" w:eastAsia="zh-CN"/>
        </w:rPr>
        <w:t>贰仟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12000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eastAsia="zh-CN"/>
        </w:rPr>
        <w:t>在线硫比值</w:t>
      </w:r>
      <w:r>
        <w:rPr>
          <w:rFonts w:hint="eastAsia" w:cs="Arial" w:asciiTheme="majorEastAsia" w:hAnsiTheme="majorEastAsia" w:eastAsiaTheme="majorEastAsia"/>
          <w:b/>
          <w:bCs/>
          <w:color w:val="333333"/>
          <w:sz w:val="24"/>
          <w:szCs w:val="24"/>
          <w:lang w:val="en-US" w:eastAsia="zh-CN"/>
        </w:rPr>
        <w:t>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福建福海创石油化工有限公司在线硫比值</w:t>
      </w:r>
      <w:r>
        <w:rPr>
          <w:rFonts w:hint="eastAsia"/>
          <w:sz w:val="24"/>
          <w:szCs w:val="24"/>
          <w:lang w:val="en-US" w:eastAsia="zh-CN"/>
        </w:rPr>
        <w:t>分析仪采购项目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rPr>
          <w:rFonts w:hint="eastAsia"/>
          <w:b w:val="0"/>
          <w:bCs w:val="0"/>
          <w:sz w:val="24"/>
          <w:szCs w:val="24"/>
          <w:lang w:val="en-US" w:eastAsia="zh-CN"/>
        </w:rPr>
      </w:pPr>
      <w:r>
        <w:rPr>
          <w:rFonts w:hint="eastAsia"/>
          <w:b w:val="0"/>
          <w:bCs w:val="0"/>
          <w:sz w:val="24"/>
          <w:szCs w:val="24"/>
          <w:lang w:val="en-US" w:eastAsia="zh-CN"/>
        </w:rPr>
        <w:t>2.若参选人为供应商的，所提供本批仪表是符合技术标准要求、制造精良、经过实际应用考验并能满足石油化工企业生产过程测量的产品。提供的本批仪表安全、可靠，</w:t>
      </w:r>
      <w:r>
        <w:rPr>
          <w:rFonts w:hint="eastAsia"/>
          <w:sz w:val="24"/>
          <w:szCs w:val="24"/>
          <w:lang w:val="en-US" w:eastAsia="zh-CN"/>
        </w:rPr>
        <w:t>并提供产品质量及售后服务承诺；</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3.发包说明提供本批仪表最近3年内在国内大型石化、炼油装置中的应用业绩。</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4.没有失信黑名单记录（以最高院失信被执行人系统发布信息为准）；</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5.与比选人无诉讼纠纷；</w:t>
      </w:r>
    </w:p>
    <w:p>
      <w:pPr>
        <w:tabs>
          <w:tab w:val="left" w:pos="709"/>
        </w:tabs>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6.本标不接受联合体投标；</w:t>
      </w:r>
    </w:p>
    <w:p>
      <w:pPr>
        <w:tabs>
          <w:tab w:val="left" w:pos="709"/>
        </w:tabs>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7.供应商限定为：Ametek/AAI/Gaivanic。</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w:t>
      </w:r>
      <w:r>
        <w:rPr>
          <w:rFonts w:hint="eastAsia" w:cs="Arial" w:asciiTheme="majorEastAsia" w:hAnsiTheme="majorEastAsia" w:eastAsiaTheme="majorEastAsia"/>
          <w:color w:val="333333"/>
          <w:sz w:val="24"/>
          <w:szCs w:val="24"/>
          <w:lang w:eastAsia="zh-CN"/>
        </w:rPr>
        <w:t>万</w:t>
      </w:r>
      <w:r>
        <w:rPr>
          <w:rFonts w:hint="eastAsia" w:cs="Arial" w:asciiTheme="majorEastAsia" w:hAnsiTheme="majorEastAsia" w:eastAsiaTheme="majorEastAsia"/>
          <w:color w:val="333333"/>
          <w:sz w:val="24"/>
          <w:szCs w:val="24"/>
          <w:lang w:val="en-US" w:eastAsia="zh-CN"/>
        </w:rPr>
        <w:t>贰仟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12000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b/>
          <w:bCs/>
          <w:i w:val="0"/>
          <w:iCs w:val="0"/>
          <w:sz w:val="24"/>
          <w:szCs w:val="24"/>
          <w:lang w:eastAsia="zh-CN"/>
        </w:rPr>
        <w:t>在线硫比值</w:t>
      </w:r>
      <w:r>
        <w:rPr>
          <w:rFonts w:hint="eastAsia" w:cs="Arial" w:asciiTheme="majorEastAsia" w:hAnsiTheme="majorEastAsia" w:eastAsiaTheme="majorEastAsia"/>
          <w:b/>
          <w:bCs/>
          <w:color w:val="333333"/>
          <w:sz w:val="24"/>
          <w:szCs w:val="24"/>
          <w:lang w:val="en-US" w:eastAsia="zh-CN"/>
        </w:rPr>
        <w:t>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12</w:t>
      </w:r>
      <w:r>
        <w:rPr>
          <w:rFonts w:hint="default" w:asciiTheme="majorEastAsia" w:hAnsiTheme="majorEastAsia" w:eastAsiaTheme="majorEastAsia"/>
          <w:lang w:val="en-US" w:eastAsia="zh-CN"/>
        </w:rPr>
        <w:t>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60</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950"/>
        <w:gridCol w:w="813"/>
        <w:gridCol w:w="112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14" w:type="dxa"/>
            <w:vAlign w:val="center"/>
          </w:tcPr>
          <w:p>
            <w:pPr>
              <w:spacing w:line="120" w:lineRule="auto"/>
              <w:jc w:val="center"/>
              <w:rPr>
                <w:b/>
                <w:sz w:val="24"/>
              </w:rPr>
            </w:pPr>
            <w:r>
              <w:rPr>
                <w:rFonts w:hint="eastAsia"/>
                <w:b/>
                <w:sz w:val="24"/>
              </w:rPr>
              <w:t>产品名称</w:t>
            </w:r>
          </w:p>
        </w:tc>
        <w:tc>
          <w:tcPr>
            <w:tcW w:w="5950" w:type="dxa"/>
            <w:vAlign w:val="center"/>
          </w:tcPr>
          <w:p>
            <w:pPr>
              <w:spacing w:line="120" w:lineRule="auto"/>
              <w:jc w:val="center"/>
              <w:rPr>
                <w:b/>
                <w:sz w:val="24"/>
              </w:rPr>
            </w:pPr>
            <w:r>
              <w:rPr>
                <w:rFonts w:hint="eastAsia"/>
                <w:b/>
                <w:sz w:val="24"/>
              </w:rPr>
              <w:t>规格型号</w:t>
            </w:r>
          </w:p>
        </w:tc>
        <w:tc>
          <w:tcPr>
            <w:tcW w:w="813" w:type="dxa"/>
            <w:vAlign w:val="center"/>
          </w:tcPr>
          <w:p>
            <w:pPr>
              <w:spacing w:line="120" w:lineRule="auto"/>
              <w:jc w:val="center"/>
              <w:rPr>
                <w:b/>
                <w:sz w:val="24"/>
              </w:rPr>
            </w:pPr>
            <w:r>
              <w:rPr>
                <w:rFonts w:hint="eastAsia"/>
                <w:b/>
                <w:sz w:val="24"/>
              </w:rPr>
              <w:t>数量</w:t>
            </w:r>
          </w:p>
        </w:tc>
        <w:tc>
          <w:tcPr>
            <w:tcW w:w="1125" w:type="dxa"/>
            <w:vAlign w:val="center"/>
          </w:tcPr>
          <w:p>
            <w:pPr>
              <w:spacing w:line="120" w:lineRule="auto"/>
              <w:jc w:val="center"/>
              <w:rPr>
                <w:b/>
                <w:sz w:val="24"/>
              </w:rPr>
            </w:pPr>
            <w:r>
              <w:rPr>
                <w:rFonts w:hint="eastAsia"/>
                <w:b/>
                <w:sz w:val="24"/>
              </w:rPr>
              <w:t>单价/元</w:t>
            </w:r>
          </w:p>
        </w:tc>
        <w:tc>
          <w:tcPr>
            <w:tcW w:w="109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314" w:type="dxa"/>
            <w:vAlign w:val="center"/>
          </w:tcPr>
          <w:p>
            <w:pPr>
              <w:spacing w:line="120" w:lineRule="auto"/>
              <w:jc w:val="center"/>
              <w:rPr>
                <w:rFonts w:hint="eastAsia"/>
                <w:sz w:val="24"/>
                <w:lang w:val="en-US" w:eastAsia="zh-CN"/>
              </w:rPr>
            </w:pPr>
            <w:permStart w:id="0" w:edGrp="everyone"/>
            <w:r>
              <w:rPr>
                <w:rFonts w:hint="eastAsia"/>
                <w:sz w:val="24"/>
                <w:lang w:val="en-US" w:eastAsia="zh-CN"/>
              </w:rPr>
              <w:t>在线硫比值分析仪</w:t>
            </w:r>
          </w:p>
        </w:tc>
        <w:tc>
          <w:tcPr>
            <w:tcW w:w="5950" w:type="dxa"/>
            <w:vAlign w:val="center"/>
          </w:tcPr>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原理：紫外光法\220V/防爆等级ExdⅡCT4/IP65/见规格书</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测量范围：H2S:0-3%（可调）精度：满量程的±1%</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SO2:0-1.5%VOL(可调）精度：满量程的±1%</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H2S-2S02:-5~5%VOL(可调）精度：满量程的±0.2%</w:t>
            </w:r>
          </w:p>
          <w:p>
            <w:pPr>
              <w:keepNext w:val="0"/>
              <w:keepLines w:val="0"/>
              <w:widowControl/>
              <w:suppressLineNumbers w:val="0"/>
              <w:jc w:val="both"/>
              <w:textAlignment w:val="top"/>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H2S/SO2:0~5(可调)</w:t>
            </w:r>
          </w:p>
          <w:p>
            <w:pPr>
              <w:keepNext w:val="0"/>
              <w:keepLines w:val="0"/>
              <w:widowControl/>
              <w:suppressLineNumbers w:val="0"/>
              <w:jc w:val="both"/>
              <w:textAlignment w:val="top"/>
              <w:rPr>
                <w:rFonts w:hint="default" w:ascii="宋体" w:hAnsi="宋体" w:eastAsia="宋体" w:cs="宋体"/>
                <w:i w:val="0"/>
                <w:iCs w:val="0"/>
                <w:color w:val="000000"/>
                <w:kern w:val="0"/>
                <w:sz w:val="18"/>
                <w:szCs w:val="18"/>
                <w:u w:val="none"/>
                <w:lang w:val="en-US" w:eastAsia="zh-CN" w:bidi="ar"/>
              </w:rPr>
            </w:pPr>
          </w:p>
        </w:tc>
        <w:tc>
          <w:tcPr>
            <w:tcW w:w="813" w:type="dxa"/>
            <w:vAlign w:val="center"/>
          </w:tcPr>
          <w:p>
            <w:pPr>
              <w:spacing w:line="120" w:lineRule="auto"/>
              <w:jc w:val="center"/>
              <w:rPr>
                <w:rFonts w:hint="default"/>
                <w:sz w:val="24"/>
                <w:lang w:val="en-US" w:eastAsia="zh-CN"/>
              </w:rPr>
            </w:pPr>
            <w:r>
              <w:rPr>
                <w:rFonts w:hint="eastAsia"/>
                <w:sz w:val="24"/>
                <w:lang w:val="en-US" w:eastAsia="zh-CN"/>
              </w:rPr>
              <w:t>1</w:t>
            </w:r>
          </w:p>
        </w:tc>
        <w:tc>
          <w:tcPr>
            <w:tcW w:w="1125" w:type="dxa"/>
            <w:vAlign w:val="center"/>
          </w:tcPr>
          <w:p>
            <w:pPr>
              <w:spacing w:line="120" w:lineRule="auto"/>
              <w:jc w:val="center"/>
              <w:rPr>
                <w:sz w:val="24"/>
              </w:rPr>
            </w:pPr>
          </w:p>
        </w:tc>
        <w:tc>
          <w:tcPr>
            <w:tcW w:w="1096" w:type="dxa"/>
            <w:vAlign w:val="center"/>
          </w:tcPr>
          <w:p>
            <w:pPr>
              <w:spacing w:line="120" w:lineRule="auto"/>
              <w:jc w:val="center"/>
              <w:rPr>
                <w:sz w:val="24"/>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14" w:type="dxa"/>
            <w:vAlign w:val="center"/>
          </w:tcPr>
          <w:p>
            <w:pPr>
              <w:spacing w:line="120" w:lineRule="auto"/>
              <w:jc w:val="center"/>
              <w:rPr>
                <w:sz w:val="24"/>
              </w:rPr>
            </w:pPr>
            <w:r>
              <w:rPr>
                <w:rFonts w:hint="eastAsia"/>
                <w:sz w:val="24"/>
              </w:rPr>
              <w:t>合同金额合计</w:t>
            </w:r>
          </w:p>
        </w:tc>
        <w:tc>
          <w:tcPr>
            <w:tcW w:w="8984"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10991"/>
      <w:bookmarkStart w:id="2" w:name="_Toc18049"/>
      <w:bookmarkStart w:id="3" w:name="_Toc8520"/>
      <w:bookmarkStart w:id="4" w:name="_Toc17959"/>
      <w:bookmarkStart w:id="5" w:name="_Toc31173"/>
      <w:bookmarkStart w:id="6" w:name="_Toc27787"/>
      <w:bookmarkStart w:id="7" w:name="_Toc4114"/>
      <w:bookmarkStart w:id="8" w:name="_Toc20180"/>
      <w:bookmarkStart w:id="9" w:name="_Toc23434"/>
      <w:bookmarkStart w:id="10" w:name="_Toc352146655"/>
      <w:bookmarkStart w:id="11" w:name="_Toc31402"/>
      <w:bookmarkStart w:id="12" w:name="_Toc14171"/>
      <w:bookmarkStart w:id="13" w:name="_Toc385779252"/>
      <w:bookmarkStart w:id="14" w:name="_Toc20273"/>
      <w:bookmarkStart w:id="15" w:name="_Toc2239"/>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在线硫比值分析仪</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在线硫比值分析仪</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在线硫比值分析仪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QG2305180040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2709990085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在线硫比值分析仪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"电源：220VAC,50Hz 防爆等级：Ex dIICT4 防护等级：IP65 输出信号： 4-20m 1拖5，需带6个AO卡 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1、报价单随附“在线硫比值分析仪”询价说明：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b w:val="0"/>
                <w:bCs w:val="0"/>
                <w:sz w:val="24"/>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9F6EFF"/>
    <w:rsid w:val="09CF6571"/>
    <w:rsid w:val="0A0E3912"/>
    <w:rsid w:val="0B296DE2"/>
    <w:rsid w:val="0B721453"/>
    <w:rsid w:val="0CD8087F"/>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A9C22EF"/>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1F585B"/>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10420</Words>
  <Characters>11032</Characters>
  <Lines>79</Lines>
  <Paragraphs>22</Paragraphs>
  <TotalTime>4</TotalTime>
  <ScaleCrop>false</ScaleCrop>
  <LinksUpToDate>false</LinksUpToDate>
  <CharactersWithSpaces>12004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2023-06-27T07:08:35Z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