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rFonts w:hint="eastAsia" w:ascii="宋体" w:hAnsi="宋体" w:cs="宋体"/>
          <w:kern w:val="0"/>
          <w:sz w:val="72"/>
          <w:szCs w:val="72"/>
          <w:shd w:val="clear" w:color="auto" w:fill="FFFFFF"/>
        </w:rPr>
      </w:pPr>
    </w:p>
    <w:p>
      <w:pPr>
        <w:widowControl/>
        <w:shd w:val="clear" w:color="auto" w:fill="FFFFFF"/>
        <w:jc w:val="center"/>
        <w:rPr>
          <w:szCs w:val="21"/>
        </w:rPr>
      </w:pPr>
      <w:r>
        <w:rPr>
          <w:rFonts w:hint="eastAsia" w:ascii="宋体" w:hAnsi="宋体" w:cs="宋体"/>
          <w:kern w:val="0"/>
          <w:sz w:val="72"/>
          <w:szCs w:val="72"/>
          <w:shd w:val="clear" w:color="auto" w:fill="FFFFFF"/>
        </w:rPr>
        <w:t>公开比选文件</w:t>
      </w:r>
    </w:p>
    <w:p>
      <w:pPr>
        <w:widowControl/>
        <w:shd w:val="clear" w:color="auto" w:fill="FFFFFF"/>
        <w:jc w:val="center"/>
        <w:rPr>
          <w:szCs w:val="21"/>
        </w:rPr>
      </w:pPr>
      <w:r>
        <w:rPr>
          <w:kern w:val="0"/>
          <w:sz w:val="52"/>
          <w:szCs w:val="52"/>
          <w:shd w:val="clear" w:color="auto" w:fill="FFFFFF"/>
        </w:rPr>
        <w:t> </w:t>
      </w:r>
    </w:p>
    <w:p>
      <w:pPr>
        <w:widowControl/>
        <w:shd w:val="clear" w:color="auto" w:fill="FFFFFF"/>
        <w:jc w:val="center"/>
        <w:rPr>
          <w:szCs w:val="21"/>
        </w:rPr>
      </w:pPr>
      <w:r>
        <w:rPr>
          <w:kern w:val="0"/>
          <w:sz w:val="52"/>
          <w:szCs w:val="52"/>
          <w:shd w:val="clear" w:color="auto" w:fill="FFFFFF"/>
        </w:rPr>
        <w:t> </w:t>
      </w:r>
    </w:p>
    <w:p>
      <w:pPr>
        <w:widowControl/>
        <w:shd w:val="clear" w:color="auto" w:fill="FFFFFF"/>
        <w:jc w:val="center"/>
        <w:rPr>
          <w:szCs w:val="21"/>
        </w:rPr>
      </w:pPr>
      <w:r>
        <w:rPr>
          <w:kern w:val="0"/>
          <w:sz w:val="52"/>
          <w:szCs w:val="52"/>
          <w:shd w:val="clear" w:color="auto" w:fill="FFFFFF"/>
        </w:rPr>
        <w:t> </w:t>
      </w:r>
    </w:p>
    <w:p>
      <w:pPr>
        <w:widowControl/>
        <w:shd w:val="clear" w:color="auto" w:fill="FFFFFF"/>
        <w:jc w:val="center"/>
        <w:rPr>
          <w:szCs w:val="21"/>
        </w:rPr>
      </w:pPr>
      <w:r>
        <w:rPr>
          <w:kern w:val="0"/>
          <w:sz w:val="52"/>
          <w:szCs w:val="52"/>
          <w:shd w:val="clear" w:color="auto" w:fill="FFFFFF"/>
        </w:rPr>
        <w:t> </w:t>
      </w:r>
    </w:p>
    <w:p>
      <w:pPr>
        <w:widowControl/>
        <w:shd w:val="clear" w:color="auto" w:fill="FFFFFF"/>
        <w:jc w:val="center"/>
        <w:rPr>
          <w:rFonts w:ascii="宋体" w:hAnsi="宋体" w:cs="宋体"/>
          <w:kern w:val="0"/>
          <w:sz w:val="36"/>
          <w:szCs w:val="36"/>
          <w:shd w:val="clear" w:color="auto" w:fill="FFFFFF"/>
        </w:rPr>
      </w:pPr>
    </w:p>
    <w:p>
      <w:pPr>
        <w:widowControl/>
        <w:shd w:val="clear" w:color="auto" w:fill="FFFFFF"/>
        <w:jc w:val="center"/>
        <w:rPr>
          <w:rFonts w:hint="default" w:eastAsia="宋体"/>
          <w:kern w:val="0"/>
          <w:sz w:val="36"/>
          <w:szCs w:val="36"/>
          <w:shd w:val="clear" w:color="auto" w:fill="FFFFFF"/>
          <w:lang w:val="en-US" w:eastAsia="zh-CN"/>
        </w:rPr>
      </w:pPr>
      <w:r>
        <w:rPr>
          <w:rFonts w:hint="eastAsia" w:ascii="宋体" w:hAnsi="宋体" w:cs="宋体"/>
          <w:kern w:val="0"/>
          <w:sz w:val="36"/>
          <w:szCs w:val="36"/>
          <w:shd w:val="clear" w:color="auto" w:fill="FFFFFF"/>
        </w:rPr>
        <w:t>比选项目：加氢裂化装置水溶性中和缓蚀剂</w:t>
      </w:r>
    </w:p>
    <w:p>
      <w:pPr>
        <w:widowControl/>
        <w:shd w:val="clear" w:color="auto" w:fill="FFFFFF"/>
        <w:jc w:val="center"/>
        <w:rPr>
          <w:rFonts w:hint="default" w:eastAsia="宋体"/>
          <w:sz w:val="36"/>
          <w:szCs w:val="36"/>
          <w:lang w:val="en-US" w:eastAsia="zh-CN"/>
        </w:rPr>
      </w:pPr>
      <w:r>
        <w:rPr>
          <w:rFonts w:hint="eastAsia" w:ascii="宋体" w:hAnsi="宋体" w:cs="宋体"/>
          <w:kern w:val="0"/>
          <w:sz w:val="36"/>
          <w:szCs w:val="36"/>
          <w:shd w:val="clear" w:color="auto" w:fill="FFFFFF"/>
        </w:rPr>
        <w:t>项目编号：</w:t>
      </w:r>
      <w:r>
        <w:rPr>
          <w:rFonts w:hint="eastAsia" w:ascii="宋体" w:hAnsi="宋体" w:cs="宋体"/>
          <w:kern w:val="0"/>
          <w:sz w:val="36"/>
          <w:szCs w:val="36"/>
          <w:shd w:val="clear" w:color="auto" w:fill="FFFFFF"/>
          <w:lang w:eastAsia="zh-CN"/>
        </w:rPr>
        <w:t>2023-FHC-</w:t>
      </w:r>
      <w:r>
        <w:rPr>
          <w:rFonts w:hint="eastAsia" w:ascii="宋体" w:hAnsi="宋体" w:cs="宋体"/>
          <w:kern w:val="0"/>
          <w:sz w:val="36"/>
          <w:szCs w:val="36"/>
          <w:shd w:val="clear" w:color="auto" w:fill="FFFFFF"/>
        </w:rPr>
        <w:t>水溶性中和缓蚀剂</w:t>
      </w:r>
      <w:r>
        <w:rPr>
          <w:rFonts w:hint="eastAsia" w:ascii="宋体" w:hAnsi="宋体" w:cs="宋体"/>
          <w:kern w:val="0"/>
          <w:sz w:val="36"/>
          <w:szCs w:val="36"/>
          <w:shd w:val="clear" w:color="auto" w:fill="FFFFFF"/>
          <w:lang w:eastAsia="zh-CN"/>
        </w:rPr>
        <w:t>-0</w:t>
      </w:r>
      <w:r>
        <w:rPr>
          <w:rFonts w:hint="eastAsia" w:ascii="宋体" w:hAnsi="宋体" w:cs="宋体"/>
          <w:kern w:val="0"/>
          <w:sz w:val="36"/>
          <w:szCs w:val="36"/>
          <w:shd w:val="clear" w:color="auto" w:fill="FFFFFF"/>
          <w:lang w:val="en-US" w:eastAsia="zh-CN"/>
        </w:rPr>
        <w:t>510</w:t>
      </w:r>
    </w:p>
    <w:p>
      <w:pPr>
        <w:widowControl/>
        <w:shd w:val="clear" w:color="auto" w:fill="FFFFFF"/>
        <w:rPr>
          <w:sz w:val="36"/>
          <w:szCs w:val="36"/>
        </w:rPr>
      </w:pPr>
    </w:p>
    <w:p>
      <w:pPr>
        <w:widowControl/>
        <w:shd w:val="clear" w:color="auto" w:fill="FFFFFF"/>
        <w:rPr>
          <w:szCs w:val="21"/>
        </w:rPr>
      </w:pPr>
      <w:r>
        <w:rPr>
          <w:kern w:val="0"/>
          <w:sz w:val="52"/>
          <w:szCs w:val="52"/>
          <w:shd w:val="clear" w:color="auto" w:fill="FFFFFF"/>
        </w:rPr>
        <w:t> </w:t>
      </w:r>
    </w:p>
    <w:p>
      <w:pPr>
        <w:widowControl/>
        <w:shd w:val="clear" w:color="auto" w:fill="FFFFFF"/>
        <w:rPr>
          <w:kern w:val="0"/>
          <w:sz w:val="52"/>
          <w:szCs w:val="52"/>
          <w:shd w:val="clear" w:color="auto" w:fill="FFFFFF"/>
        </w:rPr>
      </w:pPr>
      <w:r>
        <w:rPr>
          <w:kern w:val="0"/>
          <w:sz w:val="52"/>
          <w:szCs w:val="52"/>
          <w:shd w:val="clear" w:color="auto" w:fill="FFFFFF"/>
        </w:rPr>
        <w:t> </w:t>
      </w:r>
    </w:p>
    <w:p>
      <w:pPr>
        <w:widowControl/>
        <w:shd w:val="clear" w:color="auto" w:fill="FFFFFF"/>
        <w:rPr>
          <w:kern w:val="0"/>
          <w:sz w:val="52"/>
          <w:szCs w:val="52"/>
          <w:shd w:val="clear" w:color="auto" w:fill="FFFFFF"/>
        </w:rPr>
      </w:pPr>
    </w:p>
    <w:p>
      <w:pPr>
        <w:widowControl/>
        <w:shd w:val="clear" w:color="auto" w:fill="FFFFFF"/>
        <w:rPr>
          <w:kern w:val="0"/>
          <w:sz w:val="52"/>
          <w:szCs w:val="52"/>
          <w:shd w:val="clear" w:color="auto" w:fill="FFFFFF"/>
        </w:rPr>
      </w:pPr>
    </w:p>
    <w:p>
      <w:pPr>
        <w:widowControl/>
        <w:shd w:val="clear" w:color="auto" w:fill="FFFFFF"/>
        <w:rPr>
          <w:kern w:val="0"/>
          <w:sz w:val="52"/>
          <w:szCs w:val="52"/>
          <w:shd w:val="clear" w:color="auto" w:fill="FFFFFF"/>
        </w:rPr>
      </w:pPr>
      <w:r>
        <w:rPr>
          <w:kern w:val="0"/>
          <w:sz w:val="52"/>
          <w:szCs w:val="52"/>
          <w:shd w:val="clear" w:color="auto" w:fill="FFFFFF"/>
        </w:rPr>
        <w:t> </w:t>
      </w:r>
      <w:bookmarkStart w:id="2" w:name="_GoBack"/>
      <w:bookmarkEnd w:id="2"/>
    </w:p>
    <w:p>
      <w:pPr>
        <w:widowControl/>
        <w:shd w:val="clear" w:color="auto" w:fill="FFFFFF"/>
        <w:rPr>
          <w:kern w:val="0"/>
          <w:sz w:val="52"/>
          <w:szCs w:val="52"/>
          <w:shd w:val="clear" w:color="auto" w:fill="FFFFFF"/>
        </w:rPr>
      </w:pPr>
    </w:p>
    <w:p>
      <w:pPr>
        <w:widowControl/>
        <w:shd w:val="clear" w:color="auto" w:fill="FFFFFF"/>
        <w:jc w:val="right"/>
        <w:rPr>
          <w:szCs w:val="21"/>
        </w:rPr>
      </w:pPr>
      <w:r>
        <w:rPr>
          <w:kern w:val="0"/>
          <w:sz w:val="52"/>
          <w:szCs w:val="52"/>
          <w:shd w:val="clear" w:color="auto" w:fill="FFFFFF"/>
        </w:rPr>
        <w:t> </w:t>
      </w:r>
    </w:p>
    <w:p>
      <w:pPr>
        <w:widowControl/>
        <w:shd w:val="clear" w:color="auto" w:fill="FFFFFF"/>
        <w:jc w:val="center"/>
        <w:rPr>
          <w:szCs w:val="21"/>
        </w:rPr>
      </w:pPr>
      <w:r>
        <w:rPr>
          <w:rFonts w:hint="eastAsia" w:ascii="宋体" w:hAnsi="宋体" w:cs="宋体"/>
          <w:kern w:val="0"/>
          <w:sz w:val="28"/>
          <w:szCs w:val="28"/>
          <w:shd w:val="clear" w:color="auto" w:fill="FFFFFF"/>
        </w:rPr>
        <w:t xml:space="preserve">                                    </w:t>
      </w:r>
      <w:r>
        <w:rPr>
          <w:rFonts w:hint="eastAsia" w:ascii="宋体" w:hAnsi="宋体" w:cs="宋体"/>
          <w:kern w:val="0"/>
          <w:sz w:val="28"/>
          <w:szCs w:val="28"/>
          <w:shd w:val="clear" w:color="auto" w:fill="FFFFFF"/>
          <w:lang w:eastAsia="zh-CN"/>
        </w:rPr>
        <w:t>腾龙芳烃（漳州）有限公司</w:t>
      </w:r>
      <w:r>
        <w:rPr>
          <w:kern w:val="0"/>
          <w:sz w:val="28"/>
          <w:szCs w:val="28"/>
          <w:shd w:val="clear" w:color="auto" w:fill="FFFFFF"/>
        </w:rPr>
        <w:t> </w:t>
      </w:r>
    </w:p>
    <w:p>
      <w:pPr>
        <w:widowControl/>
        <w:shd w:val="clear" w:color="auto" w:fill="FFFFFF"/>
        <w:ind w:right="560"/>
        <w:jc w:val="right"/>
        <w:rPr>
          <w:szCs w:val="21"/>
        </w:rPr>
      </w:pPr>
      <w:r>
        <w:rPr>
          <w:kern w:val="0"/>
          <w:sz w:val="28"/>
          <w:szCs w:val="28"/>
          <w:shd w:val="clear" w:color="auto" w:fill="FFFFFF"/>
        </w:rPr>
        <w:t>                                     </w:t>
      </w:r>
      <w:r>
        <w:rPr>
          <w:rFonts w:hint="eastAsia" w:asciiTheme="minorEastAsia" w:hAnsiTheme="minorEastAsia" w:eastAsiaTheme="minorEastAsia" w:cstheme="minorEastAsia"/>
          <w:kern w:val="0"/>
          <w:sz w:val="28"/>
          <w:szCs w:val="28"/>
          <w:shd w:val="clear" w:color="auto" w:fill="FFFFFF"/>
        </w:rPr>
        <w:t>   202</w:t>
      </w:r>
      <w:r>
        <w:rPr>
          <w:rFonts w:hint="eastAsia" w:asciiTheme="minorEastAsia" w:hAnsiTheme="minorEastAsia" w:eastAsiaTheme="minorEastAsia" w:cstheme="minorEastAsia"/>
          <w:kern w:val="0"/>
          <w:sz w:val="28"/>
          <w:szCs w:val="28"/>
          <w:shd w:val="clear" w:color="auto" w:fill="FFFFFF"/>
          <w:lang w:val="en-US" w:eastAsia="zh-CN"/>
        </w:rPr>
        <w:t>3</w:t>
      </w:r>
      <w:r>
        <w:rPr>
          <w:rFonts w:hint="eastAsia" w:asciiTheme="minorEastAsia" w:hAnsiTheme="minorEastAsia" w:eastAsiaTheme="minorEastAsia" w:cstheme="minorEastAsia"/>
          <w:kern w:val="0"/>
          <w:sz w:val="28"/>
          <w:szCs w:val="28"/>
          <w:shd w:val="clear" w:color="auto" w:fill="FFFFFF"/>
        </w:rPr>
        <w:t>年</w:t>
      </w:r>
      <w:r>
        <w:rPr>
          <w:rFonts w:hint="eastAsia" w:asciiTheme="minorEastAsia" w:hAnsiTheme="minorEastAsia" w:eastAsiaTheme="minorEastAsia" w:cstheme="minorEastAsia"/>
          <w:kern w:val="0"/>
          <w:sz w:val="28"/>
          <w:szCs w:val="28"/>
          <w:shd w:val="clear" w:color="auto" w:fill="FFFFFF"/>
          <w:lang w:val="en-US" w:eastAsia="zh-CN"/>
        </w:rPr>
        <w:t>5</w:t>
      </w:r>
      <w:r>
        <w:rPr>
          <w:rFonts w:hint="eastAsia" w:asciiTheme="minorEastAsia" w:hAnsiTheme="minorEastAsia" w:eastAsiaTheme="minorEastAsia" w:cstheme="minorEastAsia"/>
          <w:kern w:val="0"/>
          <w:sz w:val="28"/>
          <w:szCs w:val="28"/>
          <w:shd w:val="clear" w:color="auto" w:fill="FFFFFF"/>
        </w:rPr>
        <w:t>月</w:t>
      </w:r>
      <w:r>
        <w:rPr>
          <w:rFonts w:hint="eastAsia" w:asciiTheme="minorEastAsia" w:hAnsiTheme="minorEastAsia" w:eastAsiaTheme="minorEastAsia" w:cstheme="minorEastAsia"/>
          <w:kern w:val="0"/>
          <w:sz w:val="28"/>
          <w:szCs w:val="28"/>
          <w:shd w:val="clear" w:color="auto" w:fill="FFFFFF"/>
          <w:lang w:val="en-US" w:eastAsia="zh-CN"/>
        </w:rPr>
        <w:t>15</w:t>
      </w:r>
      <w:r>
        <w:rPr>
          <w:rFonts w:hint="eastAsia" w:ascii="宋体" w:hAnsi="宋体" w:cs="宋体"/>
          <w:kern w:val="0"/>
          <w:sz w:val="28"/>
          <w:szCs w:val="28"/>
          <w:shd w:val="clear" w:color="auto" w:fill="FFFFFF"/>
        </w:rPr>
        <w:t>日</w:t>
      </w:r>
    </w:p>
    <w:p>
      <w:pPr>
        <w:widowControl/>
        <w:shd w:val="clear" w:color="auto" w:fill="FFFFFF"/>
        <w:rPr>
          <w:szCs w:val="21"/>
        </w:rPr>
      </w:pPr>
      <w:r>
        <w:rPr>
          <w:kern w:val="0"/>
          <w:szCs w:val="21"/>
          <w:shd w:val="clear" w:color="auto" w:fill="FFFFFF"/>
        </w:rPr>
        <w:t> </w:t>
      </w:r>
    </w:p>
    <w:p>
      <w:pPr>
        <w:spacing w:line="400" w:lineRule="exact"/>
        <w:jc w:val="center"/>
        <w:rPr>
          <w:rFonts w:ascii="宋体"/>
          <w:b/>
          <w:bCs/>
          <w:sz w:val="36"/>
        </w:rPr>
      </w:pPr>
    </w:p>
    <w:p>
      <w:pPr>
        <w:widowControl/>
        <w:jc w:val="left"/>
        <w:rPr>
          <w:rFonts w:ascii="宋体"/>
          <w:b/>
          <w:bCs/>
          <w:sz w:val="36"/>
        </w:rPr>
      </w:pPr>
    </w:p>
    <w:p>
      <w:pPr>
        <w:spacing w:line="300" w:lineRule="auto"/>
        <w:jc w:val="center"/>
        <w:rPr>
          <w:rFonts w:hint="eastAsia"/>
          <w:b/>
          <w:bCs/>
          <w:sz w:val="36"/>
          <w:szCs w:val="36"/>
          <w:lang w:val="en-US" w:eastAsia="zh-CN"/>
        </w:rPr>
      </w:pPr>
      <w:r>
        <w:rPr>
          <w:rFonts w:hint="eastAsia"/>
          <w:b/>
          <w:bCs/>
          <w:sz w:val="36"/>
          <w:szCs w:val="36"/>
          <w:lang w:val="en-US" w:eastAsia="zh-CN"/>
        </w:rPr>
        <w:t>一、比选公告</w:t>
      </w:r>
    </w:p>
    <w:p>
      <w:pPr>
        <w:spacing w:line="300" w:lineRule="auto"/>
        <w:jc w:val="center"/>
        <w:rPr>
          <w:rFonts w:hint="eastAsia" w:eastAsia="宋体"/>
          <w:b/>
          <w:bCs/>
          <w:sz w:val="32"/>
          <w:lang w:eastAsia="zh-CN"/>
        </w:rPr>
      </w:pPr>
      <w:r>
        <w:rPr>
          <w:rFonts w:hint="eastAsia"/>
          <w:b/>
          <w:bCs/>
          <w:sz w:val="32"/>
          <w:lang w:eastAsia="zh-CN"/>
        </w:rPr>
        <w:t>腾龙芳烃（漳州）有限公司</w:t>
      </w:r>
    </w:p>
    <w:p>
      <w:pPr>
        <w:spacing w:line="300" w:lineRule="auto"/>
        <w:jc w:val="center"/>
        <w:rPr>
          <w:rFonts w:hint="eastAsia"/>
          <w:b/>
          <w:bCs/>
          <w:sz w:val="32"/>
        </w:rPr>
      </w:pPr>
      <w:r>
        <w:rPr>
          <w:rFonts w:hint="eastAsia"/>
          <w:b/>
          <w:bCs/>
          <w:sz w:val="32"/>
        </w:rPr>
        <w:t>加氢裂化装置水溶性中和缓蚀剂</w:t>
      </w:r>
    </w:p>
    <w:p>
      <w:pPr>
        <w:spacing w:line="300" w:lineRule="auto"/>
        <w:jc w:val="center"/>
        <w:rPr>
          <w:bCs/>
          <w:szCs w:val="21"/>
        </w:rPr>
      </w:pPr>
      <w:r>
        <w:rPr>
          <w:rFonts w:hint="eastAsia"/>
          <w:b/>
          <w:bCs/>
          <w:sz w:val="32"/>
        </w:rPr>
        <w:t>采购比选公告</w:t>
      </w:r>
    </w:p>
    <w:p>
      <w:pPr>
        <w:spacing w:before="100" w:beforeAutospacing="1" w:after="100" w:afterAutospacing="1" w:line="300" w:lineRule="auto"/>
        <w:ind w:firstLine="600" w:firstLineChars="250"/>
        <w:rPr>
          <w:rFonts w:asciiTheme="minorEastAsia" w:hAnsiTheme="minorEastAsia" w:eastAsiaTheme="minorEastAsia"/>
          <w:bCs/>
          <w:sz w:val="24"/>
        </w:rPr>
      </w:pPr>
      <w:r>
        <w:rPr>
          <w:rFonts w:hint="eastAsia" w:asciiTheme="minorEastAsia" w:hAnsiTheme="minorEastAsia" w:eastAsiaTheme="minorEastAsia"/>
          <w:bCs/>
          <w:sz w:val="24"/>
          <w:lang w:eastAsia="zh-CN"/>
        </w:rPr>
        <w:t>腾龙芳烃（漳州）有限公司</w:t>
      </w:r>
      <w:r>
        <w:rPr>
          <w:rFonts w:hint="eastAsia" w:asciiTheme="minorEastAsia" w:hAnsiTheme="minorEastAsia" w:eastAsiaTheme="minorEastAsia"/>
          <w:bCs/>
          <w:sz w:val="24"/>
        </w:rPr>
        <w:t>就</w:t>
      </w:r>
      <w:r>
        <w:rPr>
          <w:rFonts w:hint="eastAsia" w:asciiTheme="minorEastAsia" w:hAnsiTheme="minorEastAsia" w:eastAsiaTheme="minorEastAsia"/>
          <w:bCs/>
          <w:sz w:val="24"/>
          <w:u w:val="single"/>
        </w:rPr>
        <w:t>“加氢裂化装置水溶性中和缓蚀剂（项目编号：</w:t>
      </w:r>
      <w:r>
        <w:rPr>
          <w:rFonts w:hint="eastAsia" w:asciiTheme="minorEastAsia" w:hAnsiTheme="minorEastAsia" w:eastAsiaTheme="minorEastAsia"/>
          <w:bCs/>
          <w:sz w:val="24"/>
          <w:u w:val="single"/>
          <w:lang w:eastAsia="zh-CN"/>
        </w:rPr>
        <w:t>2023-FHC-</w:t>
      </w:r>
      <w:r>
        <w:rPr>
          <w:rFonts w:hint="eastAsia" w:asciiTheme="minorEastAsia" w:hAnsiTheme="minorEastAsia" w:eastAsiaTheme="minorEastAsia"/>
          <w:bCs/>
          <w:sz w:val="24"/>
          <w:u w:val="single"/>
          <w:lang w:val="en-US" w:eastAsia="zh-CN"/>
        </w:rPr>
        <w:t>水溶性中和缓蚀剂</w:t>
      </w:r>
      <w:r>
        <w:rPr>
          <w:rFonts w:hint="eastAsia" w:asciiTheme="minorEastAsia" w:hAnsiTheme="minorEastAsia" w:eastAsiaTheme="minorEastAsia"/>
          <w:bCs/>
          <w:sz w:val="24"/>
          <w:u w:val="single"/>
          <w:lang w:eastAsia="zh-CN"/>
        </w:rPr>
        <w:t>-0</w:t>
      </w:r>
      <w:r>
        <w:rPr>
          <w:rFonts w:hint="eastAsia" w:asciiTheme="minorEastAsia" w:hAnsiTheme="minorEastAsia" w:eastAsiaTheme="minorEastAsia"/>
          <w:bCs/>
          <w:sz w:val="24"/>
          <w:u w:val="single"/>
          <w:lang w:val="en-US" w:eastAsia="zh-CN"/>
        </w:rPr>
        <w:t>510</w:t>
      </w:r>
      <w:r>
        <w:rPr>
          <w:rFonts w:hint="eastAsia" w:asciiTheme="minorEastAsia" w:hAnsiTheme="minorEastAsia" w:eastAsiaTheme="minorEastAsia"/>
          <w:bCs/>
          <w:sz w:val="24"/>
          <w:u w:val="single"/>
        </w:rPr>
        <w:t>）”</w:t>
      </w:r>
      <w:r>
        <w:rPr>
          <w:rFonts w:hint="eastAsia" w:asciiTheme="minorEastAsia" w:hAnsiTheme="minorEastAsia" w:eastAsiaTheme="minorEastAsia"/>
          <w:bCs/>
          <w:sz w:val="24"/>
        </w:rPr>
        <w:t>进行国内公开比选，</w:t>
      </w:r>
      <w:r>
        <w:rPr>
          <w:rFonts w:hint="eastAsia" w:asciiTheme="minorEastAsia" w:hAnsiTheme="minorEastAsia" w:eastAsiaTheme="minorEastAsia"/>
          <w:bCs/>
          <w:spacing w:val="-2"/>
          <w:sz w:val="24"/>
        </w:rPr>
        <w:t>欢迎国内符合条件且有同类业绩的供应商积极参选。</w:t>
      </w:r>
    </w:p>
    <w:p>
      <w:pPr>
        <w:ind w:firstLine="472" w:firstLineChars="196"/>
        <w:rPr>
          <w:b/>
          <w:bCs/>
          <w:sz w:val="24"/>
        </w:rPr>
      </w:pPr>
      <w:r>
        <w:rPr>
          <w:rFonts w:hint="eastAsia"/>
          <w:b/>
          <w:bCs/>
          <w:sz w:val="24"/>
        </w:rPr>
        <w:t>一、项目概况</w:t>
      </w:r>
    </w:p>
    <w:p>
      <w:pPr>
        <w:pStyle w:val="16"/>
        <w:numPr>
          <w:ilvl w:val="0"/>
          <w:numId w:val="1"/>
        </w:numPr>
        <w:spacing w:before="100" w:beforeAutospacing="1" w:after="100" w:afterAutospacing="1" w:line="300" w:lineRule="auto"/>
        <w:rPr>
          <w:rFonts w:asciiTheme="minorEastAsia" w:hAnsiTheme="minorEastAsia" w:eastAsiaTheme="minorEastAsia"/>
          <w:bCs/>
          <w:sz w:val="24"/>
        </w:rPr>
      </w:pPr>
      <w:r>
        <w:rPr>
          <w:rFonts w:hint="eastAsia" w:asciiTheme="minorEastAsia" w:hAnsiTheme="minorEastAsia" w:eastAsiaTheme="minorEastAsia"/>
          <w:bCs/>
          <w:sz w:val="24"/>
        </w:rPr>
        <w:t>项</w:t>
      </w:r>
      <w:r>
        <w:rPr>
          <w:rFonts w:hint="eastAsia" w:ascii="宋体" w:hAnsi="宋体" w:cs="宋体" w:eastAsiaTheme="minorEastAsia"/>
          <w:sz w:val="24"/>
        </w:rPr>
        <w:t>目名称：</w:t>
      </w:r>
      <w:r>
        <w:rPr>
          <w:rFonts w:hint="eastAsia" w:ascii="宋体" w:hAnsi="宋体" w:cs="宋体" w:eastAsiaTheme="minorEastAsia"/>
          <w:sz w:val="24"/>
          <w:lang w:eastAsia="zh-CN"/>
        </w:rPr>
        <w:t>加氢裂化装置水溶性中和缓蚀剂</w:t>
      </w:r>
      <w:r>
        <w:rPr>
          <w:rFonts w:hint="eastAsia" w:ascii="宋体" w:hAnsi="宋体" w:cs="宋体" w:eastAsiaTheme="minorEastAsia"/>
          <w:sz w:val="24"/>
        </w:rPr>
        <w:t>。</w:t>
      </w:r>
    </w:p>
    <w:p>
      <w:pPr>
        <w:pStyle w:val="16"/>
        <w:numPr>
          <w:ilvl w:val="0"/>
          <w:numId w:val="1"/>
        </w:numPr>
        <w:spacing w:before="100" w:beforeAutospacing="1" w:after="100" w:afterAutospacing="1" w:line="300" w:lineRule="auto"/>
        <w:rPr>
          <w:rFonts w:asciiTheme="minorEastAsia" w:hAnsiTheme="minorEastAsia" w:eastAsiaTheme="minorEastAsia"/>
          <w:bCs/>
          <w:sz w:val="24"/>
        </w:rPr>
      </w:pPr>
      <w:r>
        <w:rPr>
          <w:rFonts w:hint="eastAsia" w:asciiTheme="minorEastAsia" w:hAnsiTheme="minorEastAsia" w:eastAsiaTheme="minorEastAsia"/>
          <w:bCs/>
          <w:sz w:val="24"/>
        </w:rPr>
        <w:t>比选项目：</w:t>
      </w:r>
      <w:r>
        <w:rPr>
          <w:rFonts w:hint="eastAsia" w:ascii="宋体" w:hAnsi="宋体" w:cs="宋体" w:eastAsiaTheme="minorEastAsia"/>
          <w:sz w:val="24"/>
          <w:lang w:eastAsia="zh-CN"/>
        </w:rPr>
        <w:t>加氢裂化装置水溶性中和缓蚀剂</w:t>
      </w:r>
      <w:r>
        <w:rPr>
          <w:rFonts w:hint="eastAsia" w:asciiTheme="minorEastAsia" w:hAnsiTheme="minorEastAsia" w:eastAsiaTheme="minorEastAsia"/>
          <w:bCs/>
          <w:sz w:val="24"/>
        </w:rPr>
        <w:t>采购数量、质量、货期、服务等要求详见比选文件</w:t>
      </w:r>
      <w:r>
        <w:rPr>
          <w:rFonts w:hint="eastAsia" w:asciiTheme="minorEastAsia" w:hAnsiTheme="minorEastAsia" w:eastAsiaTheme="minorEastAsia"/>
          <w:bCs/>
          <w:sz w:val="24"/>
          <w:lang w:val="en-US" w:eastAsia="zh-CN"/>
        </w:rPr>
        <w:t>及技术要求</w:t>
      </w:r>
      <w:r>
        <w:rPr>
          <w:rFonts w:hint="eastAsia" w:asciiTheme="minorEastAsia" w:hAnsiTheme="minorEastAsia" w:eastAsiaTheme="minorEastAsia"/>
          <w:bCs/>
          <w:sz w:val="24"/>
        </w:rPr>
        <w:t>。</w:t>
      </w:r>
    </w:p>
    <w:p>
      <w:pPr>
        <w:pStyle w:val="16"/>
        <w:spacing w:before="100" w:beforeAutospacing="1" w:after="100" w:afterAutospacing="1"/>
        <w:ind w:left="414" w:firstLine="0"/>
        <w:rPr>
          <w:rFonts w:asciiTheme="minorEastAsia" w:hAnsiTheme="minorEastAsia" w:eastAsiaTheme="minorEastAsia"/>
          <w:b/>
          <w:bCs/>
          <w:sz w:val="24"/>
        </w:rPr>
      </w:pPr>
      <w:r>
        <w:rPr>
          <w:rFonts w:hint="eastAsia" w:asciiTheme="minorEastAsia" w:hAnsiTheme="minorEastAsia" w:eastAsiaTheme="minorEastAsia"/>
          <w:b/>
          <w:bCs/>
          <w:sz w:val="24"/>
        </w:rPr>
        <w:t>二、参选人资格要求</w:t>
      </w:r>
    </w:p>
    <w:p>
      <w:pPr>
        <w:pStyle w:val="16"/>
        <w:numPr>
          <w:ilvl w:val="0"/>
          <w:numId w:val="2"/>
        </w:numPr>
        <w:spacing w:before="100" w:beforeAutospacing="1" w:after="100" w:afterAutospacing="1" w:line="300" w:lineRule="auto"/>
        <w:rPr>
          <w:rFonts w:hint="eastAsia" w:asciiTheme="minorEastAsia" w:hAnsiTheme="minorEastAsia" w:eastAsiaTheme="minorEastAsia"/>
          <w:bCs/>
          <w:sz w:val="24"/>
        </w:rPr>
      </w:pPr>
      <w:r>
        <w:rPr>
          <w:rFonts w:hint="eastAsia" w:asciiTheme="minorEastAsia" w:hAnsiTheme="minorEastAsia" w:eastAsiaTheme="minorEastAsia"/>
          <w:bCs/>
          <w:sz w:val="24"/>
        </w:rPr>
        <w:t>具备独立法人资格、具备有效的企业法人营业执照。</w:t>
      </w:r>
    </w:p>
    <w:p>
      <w:pPr>
        <w:pStyle w:val="16"/>
        <w:numPr>
          <w:ilvl w:val="0"/>
          <w:numId w:val="2"/>
        </w:numPr>
        <w:spacing w:before="100" w:beforeAutospacing="1" w:after="100" w:afterAutospacing="1" w:line="300" w:lineRule="auto"/>
        <w:rPr>
          <w:rFonts w:asciiTheme="minorEastAsia" w:hAnsiTheme="minorEastAsia" w:eastAsiaTheme="minorEastAsia"/>
          <w:bCs/>
          <w:sz w:val="24"/>
        </w:rPr>
      </w:pPr>
      <w:r>
        <w:rPr>
          <w:rFonts w:hint="eastAsia" w:asciiTheme="minorEastAsia" w:hAnsiTheme="minorEastAsia" w:eastAsiaTheme="minorEastAsia"/>
          <w:bCs/>
          <w:sz w:val="24"/>
        </w:rPr>
        <w:t>单位负责人为同一人或者存在控股、管理关系的不同单位不得同时参加本项目的比选。</w:t>
      </w:r>
    </w:p>
    <w:p>
      <w:pPr>
        <w:pStyle w:val="16"/>
        <w:numPr>
          <w:ilvl w:val="0"/>
          <w:numId w:val="2"/>
        </w:numPr>
        <w:spacing w:before="100" w:beforeAutospacing="1" w:after="100" w:afterAutospacing="1" w:line="300" w:lineRule="auto"/>
        <w:rPr>
          <w:rFonts w:asciiTheme="minorEastAsia" w:hAnsiTheme="minorEastAsia" w:eastAsiaTheme="minorEastAsia"/>
          <w:bCs/>
          <w:sz w:val="24"/>
        </w:rPr>
      </w:pPr>
      <w:r>
        <w:rPr>
          <w:rFonts w:hint="eastAsia" w:asciiTheme="minorEastAsia" w:hAnsiTheme="minorEastAsia" w:eastAsiaTheme="minorEastAsia"/>
          <w:bCs/>
          <w:sz w:val="24"/>
        </w:rPr>
        <w:t>没有失信黑名单记录（以最高院失信被执行人系统发布信息为准）</w:t>
      </w:r>
      <w:r>
        <w:rPr>
          <w:rFonts w:hint="eastAsia" w:asciiTheme="minorEastAsia" w:hAnsiTheme="minorEastAsia" w:eastAsiaTheme="minorEastAsia"/>
          <w:bCs/>
          <w:sz w:val="24"/>
          <w:lang w:eastAsia="zh-CN"/>
        </w:rPr>
        <w:t>。</w:t>
      </w:r>
    </w:p>
    <w:p>
      <w:pPr>
        <w:pStyle w:val="16"/>
        <w:numPr>
          <w:ilvl w:val="0"/>
          <w:numId w:val="2"/>
        </w:numPr>
        <w:spacing w:before="100" w:beforeAutospacing="1" w:after="100" w:afterAutospacing="1" w:line="300" w:lineRule="auto"/>
        <w:ind w:hanging="361"/>
        <w:rPr>
          <w:rFonts w:asciiTheme="minorEastAsia" w:hAnsiTheme="minorEastAsia" w:eastAsiaTheme="minorEastAsia"/>
          <w:bCs/>
          <w:sz w:val="24"/>
        </w:rPr>
      </w:pPr>
      <w:r>
        <w:rPr>
          <w:rFonts w:hint="eastAsia" w:asciiTheme="minorEastAsia" w:hAnsiTheme="minorEastAsia" w:eastAsiaTheme="minorEastAsia"/>
          <w:bCs/>
          <w:sz w:val="24"/>
        </w:rPr>
        <w:t>与比选人无诉讼纠纷。</w:t>
      </w:r>
    </w:p>
    <w:p>
      <w:pPr>
        <w:pStyle w:val="16"/>
        <w:numPr>
          <w:ilvl w:val="0"/>
          <w:numId w:val="2"/>
        </w:numPr>
        <w:spacing w:before="100" w:beforeAutospacing="1" w:after="100" w:afterAutospacing="1" w:line="300" w:lineRule="auto"/>
        <w:ind w:hanging="361"/>
        <w:rPr>
          <w:rFonts w:asciiTheme="minorEastAsia" w:hAnsiTheme="minorEastAsia" w:eastAsiaTheme="minorEastAsia"/>
          <w:bCs/>
          <w:sz w:val="24"/>
        </w:rPr>
      </w:pPr>
      <w:r>
        <w:rPr>
          <w:rFonts w:hint="eastAsia" w:asciiTheme="minorEastAsia" w:hAnsiTheme="minorEastAsia" w:eastAsiaTheme="minorEastAsia"/>
          <w:sz w:val="24"/>
        </w:rPr>
        <w:t>需</w:t>
      </w:r>
      <w:r>
        <w:rPr>
          <w:rFonts w:hint="eastAsia" w:asciiTheme="minorEastAsia" w:hAnsiTheme="minorEastAsia" w:eastAsiaTheme="minorEastAsia"/>
          <w:sz w:val="24"/>
          <w:lang w:val="en-US" w:eastAsia="zh-CN"/>
        </w:rPr>
        <w:t>有自2021年1月1日以来有同类装置的销售业绩至少3处以上</w:t>
      </w:r>
      <w:r>
        <w:rPr>
          <w:rFonts w:hint="eastAsia" w:asciiTheme="minorEastAsia" w:hAnsiTheme="minorEastAsia" w:eastAsiaTheme="minorEastAsia"/>
          <w:sz w:val="24"/>
          <w:lang w:eastAsia="zh-CN"/>
        </w:rPr>
        <w:t>。</w:t>
      </w:r>
    </w:p>
    <w:p>
      <w:pPr>
        <w:pStyle w:val="16"/>
        <w:numPr>
          <w:ilvl w:val="0"/>
          <w:numId w:val="2"/>
        </w:numPr>
        <w:spacing w:before="100" w:beforeAutospacing="1" w:after="100" w:afterAutospacing="1" w:line="300" w:lineRule="auto"/>
        <w:ind w:hanging="361"/>
        <w:rPr>
          <w:rFonts w:asciiTheme="minorEastAsia" w:hAnsiTheme="minorEastAsia" w:eastAsiaTheme="minorEastAsia"/>
          <w:bCs/>
          <w:sz w:val="24"/>
        </w:rPr>
      </w:pPr>
      <w:r>
        <w:rPr>
          <w:rFonts w:hint="eastAsia" w:asciiTheme="minorEastAsia" w:hAnsiTheme="minorEastAsia" w:eastAsiaTheme="minorEastAsia"/>
          <w:sz w:val="24"/>
        </w:rPr>
        <w:t>属于福建福海创石油化工有限公司合格供应商或中国石油化工集团有限公司或</w:t>
      </w:r>
      <w:r>
        <w:rPr>
          <w:rFonts w:hint="eastAsia" w:asciiTheme="minorEastAsia" w:hAnsiTheme="minorEastAsia" w:eastAsiaTheme="minorEastAsia"/>
          <w:sz w:val="24"/>
        </w:rPr>
        <w:fldChar w:fldCharType="begin"/>
      </w:r>
      <w:r>
        <w:rPr>
          <w:rFonts w:hint="eastAsia" w:asciiTheme="minorEastAsia" w:hAnsiTheme="minorEastAsia" w:eastAsiaTheme="minorEastAsia"/>
          <w:sz w:val="24"/>
        </w:rPr>
        <w:instrText xml:space="preserve"> HYPERLINK "http://www.baidu.com/link?url=ZYA2ANSxRzGwTSAnMQmFtVicINMq9OUNpKTJ21r1pCxY1Pg-bo-kGdl88GpXkxvjkQiNS5EBki5bPS0gC-oOIK" \t "_blank" </w:instrText>
      </w:r>
      <w:r>
        <w:rPr>
          <w:rFonts w:hint="eastAsia" w:asciiTheme="minorEastAsia" w:hAnsiTheme="minorEastAsia" w:eastAsiaTheme="minorEastAsia"/>
          <w:sz w:val="24"/>
        </w:rPr>
        <w:fldChar w:fldCharType="separate"/>
      </w:r>
      <w:r>
        <w:rPr>
          <w:rFonts w:hint="eastAsia" w:asciiTheme="minorEastAsia" w:hAnsiTheme="minorEastAsia" w:eastAsiaTheme="minorEastAsia"/>
          <w:sz w:val="24"/>
        </w:rPr>
        <w:t>中国石油天然气集团有限公司</w:t>
      </w:r>
      <w:r>
        <w:rPr>
          <w:rFonts w:hint="eastAsia" w:asciiTheme="minorEastAsia" w:hAnsiTheme="minorEastAsia" w:eastAsiaTheme="minorEastAsia"/>
          <w:sz w:val="24"/>
        </w:rPr>
        <w:fldChar w:fldCharType="end"/>
      </w:r>
      <w:r>
        <w:rPr>
          <w:rFonts w:hint="eastAsia" w:asciiTheme="minorEastAsia" w:hAnsiTheme="minorEastAsia" w:eastAsiaTheme="minorEastAsia"/>
          <w:sz w:val="24"/>
        </w:rPr>
        <w:t>合格供应商。</w:t>
      </w:r>
    </w:p>
    <w:p>
      <w:pPr>
        <w:pStyle w:val="16"/>
        <w:numPr>
          <w:ilvl w:val="0"/>
          <w:numId w:val="2"/>
        </w:numPr>
        <w:spacing w:before="100" w:beforeAutospacing="1" w:after="100" w:afterAutospacing="1" w:line="300" w:lineRule="auto"/>
        <w:rPr>
          <w:rFonts w:asciiTheme="minorEastAsia" w:hAnsiTheme="minorEastAsia" w:eastAsiaTheme="minorEastAsia"/>
          <w:bCs/>
          <w:sz w:val="24"/>
          <w:highlight w:val="yellow"/>
        </w:rPr>
      </w:pPr>
      <w:r>
        <w:rPr>
          <w:rFonts w:hint="eastAsia" w:asciiTheme="minorEastAsia" w:hAnsiTheme="minorEastAsia" w:eastAsiaTheme="minorEastAsia"/>
          <w:bCs/>
          <w:sz w:val="24"/>
          <w:highlight w:val="yellow"/>
        </w:rPr>
        <w:t>参选保证金</w:t>
      </w:r>
      <w:r>
        <w:rPr>
          <w:rFonts w:hint="eastAsia" w:asciiTheme="minorEastAsia" w:hAnsiTheme="minorEastAsia" w:eastAsiaTheme="minorEastAsia"/>
          <w:bCs/>
          <w:sz w:val="24"/>
          <w:highlight w:val="yellow"/>
          <w:lang w:eastAsia="zh-CN"/>
        </w:rPr>
        <w:t>：</w:t>
      </w:r>
      <w:r>
        <w:rPr>
          <w:rFonts w:hint="eastAsia" w:asciiTheme="minorEastAsia" w:hAnsiTheme="minorEastAsia" w:eastAsiaTheme="minorEastAsia"/>
          <w:bCs/>
          <w:sz w:val="24"/>
          <w:highlight w:val="yellow"/>
          <w:lang w:val="en-US" w:eastAsia="zh-CN"/>
        </w:rPr>
        <w:t>壹万元</w:t>
      </w:r>
      <w:r>
        <w:rPr>
          <w:rFonts w:hint="eastAsia" w:asciiTheme="minorEastAsia" w:hAnsiTheme="minorEastAsia" w:eastAsiaTheme="minorEastAsia"/>
          <w:bCs/>
          <w:sz w:val="24"/>
          <w:highlight w:val="yellow"/>
        </w:rPr>
        <w:t>整。</w:t>
      </w:r>
    </w:p>
    <w:p>
      <w:pPr>
        <w:pStyle w:val="16"/>
        <w:spacing w:before="100" w:beforeAutospacing="1" w:after="100" w:afterAutospacing="1"/>
        <w:ind w:left="414" w:firstLine="0"/>
        <w:rPr>
          <w:rFonts w:asciiTheme="minorEastAsia" w:hAnsiTheme="minorEastAsia" w:eastAsiaTheme="minorEastAsia"/>
          <w:b/>
          <w:bCs/>
          <w:sz w:val="24"/>
        </w:rPr>
      </w:pPr>
      <w:r>
        <w:rPr>
          <w:rFonts w:hint="eastAsia" w:asciiTheme="minorEastAsia" w:hAnsiTheme="minorEastAsia" w:eastAsiaTheme="minorEastAsia"/>
          <w:b/>
          <w:bCs/>
          <w:sz w:val="24"/>
        </w:rPr>
        <w:t>三、获取比选文件</w:t>
      </w:r>
    </w:p>
    <w:p>
      <w:pPr>
        <w:pStyle w:val="16"/>
        <w:numPr>
          <w:ilvl w:val="0"/>
          <w:numId w:val="3"/>
        </w:numPr>
        <w:spacing w:before="0" w:line="300" w:lineRule="auto"/>
        <w:rPr>
          <w:rFonts w:asciiTheme="minorEastAsia" w:hAnsiTheme="minorEastAsia" w:eastAsiaTheme="minorEastAsia"/>
          <w:bCs/>
          <w:sz w:val="24"/>
        </w:rPr>
      </w:pPr>
      <w:r>
        <w:rPr>
          <w:rFonts w:hint="eastAsia" w:asciiTheme="minorEastAsia" w:hAnsiTheme="minorEastAsia" w:eastAsiaTheme="minorEastAsia"/>
          <w:bCs/>
          <w:sz w:val="24"/>
        </w:rPr>
        <w:t>报名时间：</w:t>
      </w:r>
      <w:r>
        <w:rPr>
          <w:rFonts w:hint="eastAsia" w:asciiTheme="majorEastAsia" w:hAnsiTheme="majorEastAsia" w:eastAsiaTheme="majorEastAsia"/>
          <w:sz w:val="24"/>
        </w:rPr>
        <w:t>自公告之日至2</w:t>
      </w:r>
      <w:r>
        <w:rPr>
          <w:rFonts w:asciiTheme="majorEastAsia" w:hAnsiTheme="majorEastAsia" w:eastAsiaTheme="majorEastAsia"/>
          <w:sz w:val="24"/>
        </w:rPr>
        <w:t>02</w:t>
      </w:r>
      <w:r>
        <w:rPr>
          <w:rFonts w:hint="eastAsia" w:asciiTheme="majorEastAsia" w:hAnsiTheme="majorEastAsia" w:eastAsiaTheme="majorEastAsia"/>
          <w:sz w:val="24"/>
          <w:lang w:val="en-US" w:eastAsia="zh-CN"/>
        </w:rPr>
        <w:t>3</w:t>
      </w:r>
      <w:r>
        <w:rPr>
          <w:rFonts w:hint="eastAsia" w:asciiTheme="majorEastAsia" w:hAnsiTheme="majorEastAsia" w:eastAsiaTheme="majorEastAsia"/>
          <w:sz w:val="24"/>
        </w:rPr>
        <w:t>年</w:t>
      </w:r>
      <w:r>
        <w:rPr>
          <w:rFonts w:hint="eastAsia" w:asciiTheme="majorEastAsia" w:hAnsiTheme="majorEastAsia" w:eastAsiaTheme="majorEastAsia"/>
          <w:sz w:val="24"/>
          <w:lang w:val="en-US" w:eastAsia="zh-CN"/>
        </w:rPr>
        <w:t>5</w:t>
      </w:r>
      <w:r>
        <w:rPr>
          <w:rFonts w:hint="eastAsia" w:asciiTheme="majorEastAsia" w:hAnsiTheme="majorEastAsia" w:eastAsiaTheme="majorEastAsia"/>
          <w:sz w:val="24"/>
        </w:rPr>
        <w:t>月</w:t>
      </w:r>
      <w:r>
        <w:rPr>
          <w:rFonts w:hint="eastAsia" w:asciiTheme="majorEastAsia" w:hAnsiTheme="majorEastAsia" w:eastAsiaTheme="majorEastAsia"/>
          <w:sz w:val="24"/>
          <w:lang w:val="en-US" w:eastAsia="zh-CN"/>
        </w:rPr>
        <w:t>24</w:t>
      </w:r>
      <w:r>
        <w:rPr>
          <w:rFonts w:hint="eastAsia" w:asciiTheme="majorEastAsia" w:hAnsiTheme="majorEastAsia" w:eastAsiaTheme="majorEastAsia"/>
          <w:sz w:val="24"/>
        </w:rPr>
        <w:t>日（含当日）</w:t>
      </w:r>
    </w:p>
    <w:p>
      <w:pPr>
        <w:pStyle w:val="16"/>
        <w:numPr>
          <w:ilvl w:val="255"/>
          <w:numId w:val="0"/>
        </w:numPr>
        <w:spacing w:before="0" w:line="300" w:lineRule="auto"/>
        <w:ind w:left="832"/>
        <w:rPr>
          <w:rFonts w:hint="eastAsia" w:asciiTheme="minorEastAsia" w:hAnsiTheme="minorEastAsia" w:eastAsiaTheme="minorEastAsia"/>
          <w:sz w:val="24"/>
        </w:rPr>
      </w:pPr>
      <w:r>
        <w:rPr>
          <w:rFonts w:hint="eastAsia" w:asciiTheme="minorEastAsia" w:hAnsiTheme="minorEastAsia" w:eastAsiaTheme="minorEastAsia"/>
          <w:bCs/>
          <w:sz w:val="24"/>
        </w:rPr>
        <w:t>报名方式：</w:t>
      </w:r>
      <w:r>
        <w:rPr>
          <w:rFonts w:hint="eastAsia" w:asciiTheme="minorEastAsia" w:hAnsiTheme="minorEastAsia" w:eastAsiaTheme="minorEastAsia"/>
          <w:sz w:val="24"/>
        </w:rPr>
        <w:t>参选人在报名时间内将报名文件发送至邮箱wzcgb@fjpec.com.cn</w:t>
      </w:r>
      <w:r>
        <w:rPr>
          <w:rFonts w:hint="eastAsia" w:asciiTheme="minorEastAsia" w:hAnsiTheme="minorEastAsia" w:eastAsiaTheme="minorEastAsia"/>
          <w:bCs/>
          <w:sz w:val="24"/>
        </w:rPr>
        <w:t>，报名文件包含</w:t>
      </w:r>
      <w:r>
        <w:rPr>
          <w:rFonts w:asciiTheme="minorEastAsia" w:hAnsiTheme="minorEastAsia" w:eastAsiaTheme="minorEastAsia"/>
          <w:bCs/>
          <w:sz w:val="24"/>
        </w:rPr>
        <w:t>：</w:t>
      </w:r>
      <w:r>
        <w:rPr>
          <w:rFonts w:asciiTheme="minorEastAsia" w:hAnsiTheme="minorEastAsia" w:eastAsiaTheme="minorEastAsia"/>
          <w:bCs/>
          <w:sz w:val="24"/>
        </w:rPr>
        <w:cr/>
      </w:r>
      <w:r>
        <w:rPr>
          <w:rFonts w:asciiTheme="minorEastAsia" w:hAnsiTheme="minorEastAsia" w:eastAsiaTheme="minorEastAsia"/>
          <w:bCs/>
          <w:sz w:val="24"/>
        </w:rPr>
        <w:t>（1）针对本项目的法</w:t>
      </w:r>
      <w:r>
        <w:rPr>
          <w:rFonts w:hint="eastAsia" w:asciiTheme="minorEastAsia" w:hAnsiTheme="minorEastAsia" w:eastAsiaTheme="minorEastAsia"/>
          <w:bCs/>
          <w:sz w:val="24"/>
        </w:rPr>
        <w:t>定代表人</w:t>
      </w:r>
      <w:r>
        <w:rPr>
          <w:rFonts w:asciiTheme="minorEastAsia" w:hAnsiTheme="minorEastAsia" w:eastAsiaTheme="minorEastAsia"/>
          <w:bCs/>
          <w:sz w:val="24"/>
        </w:rPr>
        <w:t>授权委托书（格式详见</w:t>
      </w:r>
      <w:r>
        <w:rPr>
          <w:rFonts w:hint="eastAsia" w:asciiTheme="minorEastAsia" w:hAnsiTheme="minorEastAsia" w:eastAsiaTheme="minorEastAsia"/>
          <w:bCs/>
          <w:sz w:val="24"/>
        </w:rPr>
        <w:t>比选文件</w:t>
      </w:r>
      <w:r>
        <w:rPr>
          <w:rFonts w:asciiTheme="minorEastAsia" w:hAnsiTheme="minorEastAsia" w:eastAsiaTheme="minorEastAsia"/>
          <w:bCs/>
          <w:sz w:val="24"/>
        </w:rPr>
        <w:t>）；</w:t>
      </w:r>
      <w:r>
        <w:rPr>
          <w:rFonts w:hint="eastAsia" w:asciiTheme="minorEastAsia" w:hAnsiTheme="minorEastAsia" w:eastAsiaTheme="minorEastAsia"/>
          <w:bCs/>
          <w:sz w:val="24"/>
        </w:rPr>
        <w:cr/>
      </w:r>
      <w:r>
        <w:rPr>
          <w:rFonts w:asciiTheme="minorEastAsia" w:hAnsiTheme="minorEastAsia" w:eastAsiaTheme="minorEastAsia"/>
          <w:bCs/>
          <w:sz w:val="24"/>
        </w:rPr>
        <w:t>（</w:t>
      </w:r>
      <w:r>
        <w:rPr>
          <w:rFonts w:hint="eastAsia" w:asciiTheme="minorEastAsia" w:hAnsiTheme="minorEastAsia" w:eastAsiaTheme="minorEastAsia"/>
          <w:sz w:val="24"/>
        </w:rPr>
        <w:t>2）证件：营业执照、开户许可证等证件（加盖单位公章的复印件）</w:t>
      </w:r>
      <w:r>
        <w:rPr>
          <w:rFonts w:hint="eastAsia" w:asciiTheme="minorEastAsia" w:hAnsiTheme="minorEastAsia" w:eastAsiaTheme="minorEastAsia"/>
          <w:sz w:val="24"/>
          <w:lang w:eastAsia="zh-CN"/>
        </w:rPr>
        <w:t>；</w:t>
      </w:r>
    </w:p>
    <w:p>
      <w:pPr>
        <w:pStyle w:val="16"/>
        <w:numPr>
          <w:ilvl w:val="255"/>
          <w:numId w:val="0"/>
        </w:numPr>
        <w:spacing w:before="0" w:line="300" w:lineRule="auto"/>
        <w:ind w:left="832"/>
        <w:rPr>
          <w:rFonts w:hint="eastAsia" w:asciiTheme="minorEastAsia" w:hAnsiTheme="minorEastAsia" w:eastAsiaTheme="minorEastAsia"/>
          <w:sz w:val="24"/>
          <w:lang w:eastAsia="zh-CN"/>
        </w:rPr>
      </w:pPr>
      <w:r>
        <w:rPr>
          <w:rFonts w:hint="eastAsia" w:asciiTheme="minorEastAsia" w:hAnsiTheme="minorEastAsia" w:eastAsiaTheme="minorEastAsia"/>
          <w:sz w:val="24"/>
          <w:lang w:eastAsia="zh-CN"/>
        </w:rPr>
        <w:t>（</w:t>
      </w:r>
      <w:r>
        <w:rPr>
          <w:rFonts w:hint="eastAsia" w:asciiTheme="minorEastAsia" w:hAnsiTheme="minorEastAsia" w:eastAsiaTheme="minorEastAsia"/>
          <w:sz w:val="24"/>
          <w:lang w:val="en-US" w:eastAsia="zh-CN"/>
        </w:rPr>
        <w:t>3</w:t>
      </w:r>
      <w:r>
        <w:rPr>
          <w:rFonts w:hint="eastAsia" w:asciiTheme="minorEastAsia" w:hAnsiTheme="minorEastAsia" w:eastAsiaTheme="minorEastAsia"/>
          <w:sz w:val="24"/>
          <w:lang w:eastAsia="zh-CN"/>
        </w:rPr>
        <w:t>）需提供</w:t>
      </w:r>
      <w:r>
        <w:rPr>
          <w:rFonts w:hint="eastAsia" w:asciiTheme="minorEastAsia" w:hAnsiTheme="minorEastAsia" w:eastAsiaTheme="minorEastAsia"/>
          <w:sz w:val="24"/>
          <w:lang w:val="en-US" w:eastAsia="zh-CN"/>
        </w:rPr>
        <w:t>自2021年1月1日以来</w:t>
      </w:r>
      <w:r>
        <w:rPr>
          <w:rFonts w:hint="eastAsia" w:asciiTheme="minorEastAsia" w:hAnsiTheme="minorEastAsia" w:eastAsiaTheme="minorEastAsia"/>
          <w:sz w:val="24"/>
          <w:lang w:eastAsia="zh-CN"/>
        </w:rPr>
        <w:t>同类装置的销售业绩（</w:t>
      </w:r>
      <w:r>
        <w:rPr>
          <w:rFonts w:hint="eastAsia" w:asciiTheme="minorEastAsia" w:hAnsiTheme="minorEastAsia" w:eastAsiaTheme="minorEastAsia"/>
          <w:sz w:val="24"/>
          <w:lang w:val="en-US" w:eastAsia="zh-CN"/>
        </w:rPr>
        <w:t>合同或发票</w:t>
      </w:r>
      <w:r>
        <w:rPr>
          <w:rFonts w:hint="eastAsia" w:asciiTheme="minorEastAsia" w:hAnsiTheme="minorEastAsia" w:eastAsiaTheme="minorEastAsia"/>
          <w:sz w:val="24"/>
          <w:lang w:eastAsia="zh-CN"/>
        </w:rPr>
        <w:t>）</w:t>
      </w:r>
      <w:r>
        <w:rPr>
          <w:rFonts w:hint="eastAsia" w:asciiTheme="minorEastAsia" w:hAnsiTheme="minorEastAsia" w:eastAsiaTheme="minorEastAsia"/>
          <w:sz w:val="24"/>
          <w:lang w:val="en-US" w:eastAsia="zh-CN"/>
        </w:rPr>
        <w:t>3份（含）以上</w:t>
      </w:r>
      <w:r>
        <w:rPr>
          <w:rFonts w:hint="eastAsia" w:asciiTheme="minorEastAsia" w:hAnsiTheme="minorEastAsia" w:eastAsiaTheme="minorEastAsia"/>
          <w:sz w:val="24"/>
          <w:lang w:eastAsia="zh-CN"/>
        </w:rPr>
        <w:t>；</w:t>
      </w:r>
    </w:p>
    <w:p>
      <w:pPr>
        <w:pStyle w:val="16"/>
        <w:spacing w:before="0" w:line="300" w:lineRule="auto"/>
        <w:ind w:left="832" w:firstLine="0"/>
        <w:rPr>
          <w:rFonts w:asciiTheme="minorEastAsia" w:hAnsiTheme="minorEastAsia" w:eastAsiaTheme="minorEastAsia"/>
          <w:bCs/>
          <w:sz w:val="24"/>
        </w:rPr>
      </w:pPr>
      <w:r>
        <w:rPr>
          <w:rFonts w:hint="eastAsia" w:asciiTheme="minorEastAsia" w:hAnsiTheme="minorEastAsia" w:eastAsiaTheme="minorEastAsia"/>
          <w:sz w:val="24"/>
          <w:lang w:eastAsia="zh-CN"/>
        </w:rPr>
        <w:t>（</w:t>
      </w:r>
      <w:r>
        <w:rPr>
          <w:rFonts w:hint="eastAsia" w:asciiTheme="minorEastAsia" w:hAnsiTheme="minorEastAsia" w:eastAsiaTheme="minorEastAsia"/>
          <w:sz w:val="24"/>
          <w:lang w:val="en-US" w:eastAsia="zh-CN"/>
        </w:rPr>
        <w:t>4）</w:t>
      </w:r>
      <w:r>
        <w:rPr>
          <w:rFonts w:hint="eastAsia" w:asciiTheme="minorEastAsia" w:hAnsiTheme="minorEastAsia" w:eastAsiaTheme="minorEastAsia"/>
          <w:bCs/>
          <w:sz w:val="24"/>
        </w:rPr>
        <w:t>保证金汇款银行水单：</w:t>
      </w:r>
      <w:r>
        <w:rPr>
          <w:rFonts w:hint="eastAsia" w:asciiTheme="minorEastAsia" w:hAnsiTheme="minorEastAsia" w:eastAsiaTheme="minorEastAsia"/>
          <w:bCs/>
          <w:sz w:val="24"/>
          <w:lang w:eastAsia="zh-CN"/>
        </w:rPr>
        <w:t>参选</w:t>
      </w:r>
      <w:r>
        <w:rPr>
          <w:rFonts w:hint="eastAsia" w:asciiTheme="minorEastAsia" w:hAnsiTheme="minorEastAsia" w:eastAsiaTheme="minorEastAsia"/>
          <w:bCs/>
          <w:sz w:val="24"/>
        </w:rPr>
        <w:t>单位需缴纳</w:t>
      </w:r>
      <w:r>
        <w:rPr>
          <w:rFonts w:hint="eastAsia" w:asciiTheme="minorEastAsia" w:hAnsiTheme="minorEastAsia" w:eastAsiaTheme="minorEastAsia"/>
          <w:bCs/>
          <w:sz w:val="24"/>
          <w:lang w:eastAsia="zh-CN"/>
        </w:rPr>
        <w:t>参选</w:t>
      </w:r>
      <w:r>
        <w:rPr>
          <w:rFonts w:hint="eastAsia" w:asciiTheme="minorEastAsia" w:hAnsiTheme="minorEastAsia" w:eastAsiaTheme="minorEastAsia"/>
          <w:bCs/>
          <w:sz w:val="24"/>
        </w:rPr>
        <w:t>保证金：</w:t>
      </w:r>
      <w:r>
        <w:rPr>
          <w:rFonts w:hint="eastAsia" w:asciiTheme="minorEastAsia" w:hAnsiTheme="minorEastAsia" w:eastAsiaTheme="minorEastAsia"/>
          <w:bCs/>
          <w:sz w:val="24"/>
          <w:highlight w:val="yellow"/>
          <w:lang w:val="en-US" w:eastAsia="zh-CN"/>
        </w:rPr>
        <w:t>壹万元</w:t>
      </w:r>
      <w:r>
        <w:rPr>
          <w:rFonts w:hint="eastAsia" w:asciiTheme="minorEastAsia" w:hAnsiTheme="minorEastAsia" w:eastAsiaTheme="minorEastAsia"/>
          <w:bCs/>
          <w:sz w:val="24"/>
          <w:highlight w:val="yellow"/>
        </w:rPr>
        <w:t>整</w:t>
      </w:r>
      <w:r>
        <w:rPr>
          <w:rFonts w:hint="eastAsia" w:asciiTheme="minorEastAsia" w:hAnsiTheme="minorEastAsia" w:eastAsiaTheme="minorEastAsia"/>
          <w:bCs/>
          <w:sz w:val="24"/>
          <w:highlight w:val="none"/>
        </w:rPr>
        <w:t>，</w:t>
      </w:r>
      <w:r>
        <w:rPr>
          <w:rFonts w:hint="eastAsia" w:asciiTheme="minorEastAsia" w:hAnsiTheme="minorEastAsia" w:eastAsiaTheme="minorEastAsia"/>
          <w:bCs/>
          <w:sz w:val="24"/>
        </w:rPr>
        <w:t>如中选、该保证金转为履约保证金，如不中选，在比选结束后请联系商务联系人办理无息等额退款。</w:t>
      </w:r>
    </w:p>
    <w:p>
      <w:pPr>
        <w:spacing w:line="360" w:lineRule="auto"/>
        <w:ind w:firstLine="1200" w:firstLineChars="500"/>
        <w:rPr>
          <w:rFonts w:asciiTheme="minorEastAsia" w:hAnsiTheme="minorEastAsia" w:eastAsiaTheme="minorEastAsia"/>
          <w:bCs/>
          <w:sz w:val="24"/>
        </w:rPr>
      </w:pPr>
      <w:r>
        <w:rPr>
          <w:rFonts w:hint="eastAsia" w:asciiTheme="minorEastAsia" w:hAnsiTheme="minorEastAsia" w:eastAsiaTheme="minorEastAsia"/>
          <w:bCs/>
          <w:sz w:val="24"/>
        </w:rPr>
        <w:t>汇款资料：</w:t>
      </w:r>
    </w:p>
    <w:p>
      <w:pPr>
        <w:spacing w:line="360" w:lineRule="auto"/>
        <w:ind w:firstLine="1200" w:firstLineChars="500"/>
        <w:rPr>
          <w:rFonts w:hint="eastAsia" w:asciiTheme="minorEastAsia" w:hAnsiTheme="minorEastAsia" w:eastAsiaTheme="minorEastAsia"/>
          <w:bCs/>
          <w:sz w:val="24"/>
          <w:lang w:eastAsia="zh-CN"/>
        </w:rPr>
      </w:pPr>
      <w:r>
        <w:rPr>
          <w:rFonts w:hint="eastAsia" w:asciiTheme="minorEastAsia" w:hAnsiTheme="minorEastAsia" w:eastAsiaTheme="minorEastAsia"/>
          <w:bCs/>
          <w:sz w:val="24"/>
        </w:rPr>
        <w:t>收款人：</w:t>
      </w:r>
      <w:r>
        <w:rPr>
          <w:rFonts w:hint="eastAsia" w:asciiTheme="minorEastAsia" w:hAnsiTheme="minorEastAsia" w:eastAsiaTheme="minorEastAsia"/>
          <w:bCs/>
          <w:sz w:val="24"/>
          <w:lang w:eastAsia="zh-CN"/>
        </w:rPr>
        <w:t>福建福海创石油化工有限公司</w:t>
      </w:r>
    </w:p>
    <w:p>
      <w:pPr>
        <w:spacing w:line="360" w:lineRule="auto"/>
        <w:ind w:firstLine="1200" w:firstLineChars="500"/>
        <w:rPr>
          <w:rFonts w:hint="eastAsia" w:asciiTheme="minorEastAsia" w:hAnsiTheme="minorEastAsia" w:eastAsiaTheme="minorEastAsia"/>
          <w:bCs/>
          <w:sz w:val="24"/>
        </w:rPr>
      </w:pPr>
      <w:r>
        <w:rPr>
          <w:rFonts w:hint="eastAsia" w:asciiTheme="minorEastAsia" w:hAnsiTheme="minorEastAsia" w:eastAsiaTheme="minorEastAsia"/>
          <w:bCs/>
          <w:sz w:val="24"/>
        </w:rPr>
        <w:t>开户银行：中国银行漳州古雷经济开发区支行</w:t>
      </w:r>
    </w:p>
    <w:p>
      <w:pPr>
        <w:spacing w:line="360" w:lineRule="auto"/>
        <w:ind w:firstLine="1200" w:firstLineChars="500"/>
        <w:rPr>
          <w:rFonts w:hint="eastAsia" w:asciiTheme="minorEastAsia" w:hAnsiTheme="minorEastAsia" w:eastAsiaTheme="minorEastAsia"/>
          <w:bCs/>
          <w:sz w:val="24"/>
        </w:rPr>
      </w:pPr>
      <w:r>
        <w:rPr>
          <w:rFonts w:hint="eastAsia" w:asciiTheme="minorEastAsia" w:hAnsiTheme="minorEastAsia" w:eastAsiaTheme="minorEastAsia"/>
          <w:bCs/>
          <w:sz w:val="24"/>
        </w:rPr>
        <w:t>账    号：406574816628</w:t>
      </w:r>
    </w:p>
    <w:p>
      <w:pPr>
        <w:pStyle w:val="16"/>
        <w:numPr>
          <w:ilvl w:val="0"/>
          <w:numId w:val="3"/>
        </w:numPr>
        <w:spacing w:before="0"/>
        <w:rPr>
          <w:rFonts w:asciiTheme="minorEastAsia" w:hAnsiTheme="minorEastAsia" w:eastAsiaTheme="minorEastAsia"/>
          <w:bCs/>
          <w:sz w:val="24"/>
        </w:rPr>
      </w:pPr>
      <w:r>
        <w:rPr>
          <w:rFonts w:hint="eastAsia" w:asciiTheme="minorEastAsia" w:hAnsiTheme="minorEastAsia" w:eastAsiaTheme="minorEastAsia"/>
          <w:bCs/>
          <w:sz w:val="24"/>
        </w:rPr>
        <w:t>获取比选文件：参选人自行下载比选文件。</w:t>
      </w:r>
    </w:p>
    <w:p>
      <w:pPr>
        <w:pStyle w:val="16"/>
        <w:numPr>
          <w:ilvl w:val="0"/>
          <w:numId w:val="0"/>
        </w:numPr>
        <w:spacing w:before="0"/>
        <w:ind w:left="832" w:leftChars="0" w:firstLine="240" w:firstLineChars="100"/>
        <w:rPr>
          <w:rFonts w:asciiTheme="minorEastAsia" w:hAnsiTheme="minorEastAsia" w:eastAsiaTheme="minorEastAsia"/>
          <w:bCs/>
          <w:sz w:val="24"/>
        </w:rPr>
      </w:pPr>
      <w:r>
        <w:rPr>
          <w:rFonts w:hint="eastAsia" w:asciiTheme="minorEastAsia" w:hAnsiTheme="minorEastAsia" w:eastAsiaTheme="minorEastAsia"/>
          <w:bCs/>
          <w:sz w:val="24"/>
          <w:lang w:val="en-US" w:eastAsia="zh-CN"/>
        </w:rPr>
        <w:t>请在报名后联系商务联系人获取“技术要求”文件。</w:t>
      </w:r>
    </w:p>
    <w:p>
      <w:pPr>
        <w:pStyle w:val="16"/>
        <w:spacing w:before="100" w:beforeAutospacing="1" w:after="100" w:afterAutospacing="1"/>
        <w:ind w:left="414" w:firstLine="0"/>
        <w:rPr>
          <w:rFonts w:asciiTheme="minorEastAsia" w:hAnsiTheme="minorEastAsia" w:eastAsiaTheme="minorEastAsia"/>
          <w:b/>
          <w:bCs/>
          <w:sz w:val="24"/>
        </w:rPr>
      </w:pPr>
      <w:r>
        <w:rPr>
          <w:rFonts w:hint="eastAsia" w:asciiTheme="minorEastAsia" w:hAnsiTheme="minorEastAsia" w:eastAsiaTheme="minorEastAsia"/>
          <w:b/>
          <w:bCs/>
          <w:sz w:val="24"/>
        </w:rPr>
        <w:t>四、参选文件递交要求</w:t>
      </w:r>
    </w:p>
    <w:p>
      <w:pPr>
        <w:pStyle w:val="16"/>
        <w:numPr>
          <w:ilvl w:val="0"/>
          <w:numId w:val="4"/>
        </w:numPr>
        <w:spacing w:before="100" w:beforeAutospacing="1" w:after="100" w:afterAutospacing="1"/>
        <w:rPr>
          <w:rFonts w:asciiTheme="minorEastAsia" w:hAnsiTheme="minorEastAsia" w:eastAsiaTheme="minorEastAsia"/>
          <w:bCs/>
          <w:sz w:val="24"/>
        </w:rPr>
      </w:pPr>
      <w:r>
        <w:rPr>
          <w:rFonts w:hint="eastAsia" w:asciiTheme="minorEastAsia" w:hAnsiTheme="minorEastAsia" w:eastAsiaTheme="minorEastAsia"/>
          <w:bCs/>
          <w:sz w:val="24"/>
        </w:rPr>
        <w:t>参选文件递交地点：</w:t>
      </w:r>
      <w:r>
        <w:rPr>
          <w:rFonts w:hint="eastAsia" w:asciiTheme="minorEastAsia" w:hAnsiTheme="minorEastAsia" w:eastAsiaTheme="minorEastAsia"/>
          <w:bCs/>
          <w:sz w:val="24"/>
          <w:lang w:eastAsia="zh-CN"/>
        </w:rPr>
        <w:t>腾龙芳烃（漳州）有限公司</w:t>
      </w:r>
      <w:r>
        <w:rPr>
          <w:rFonts w:hint="eastAsia" w:asciiTheme="minorEastAsia" w:hAnsiTheme="minorEastAsia" w:eastAsiaTheme="minorEastAsia"/>
          <w:bCs/>
          <w:sz w:val="24"/>
        </w:rPr>
        <w:t>（地址：</w:t>
      </w:r>
      <w:r>
        <w:rPr>
          <w:rFonts w:hint="eastAsia" w:asciiTheme="minorEastAsia" w:hAnsiTheme="minorEastAsia" w:eastAsiaTheme="minorEastAsia"/>
          <w:bCs/>
          <w:sz w:val="24"/>
          <w:lang w:val="en-US" w:eastAsia="zh-CN"/>
        </w:rPr>
        <w:t>漳州市漳浦县杜浔镇杜昌路9号福海创办公大楼2楼</w:t>
      </w:r>
      <w:r>
        <w:rPr>
          <w:rFonts w:asciiTheme="minorEastAsia" w:hAnsiTheme="minorEastAsia" w:eastAsiaTheme="minorEastAsia"/>
          <w:bCs/>
          <w:sz w:val="24"/>
        </w:rPr>
        <w:t>）</w:t>
      </w:r>
      <w:r>
        <w:rPr>
          <w:rFonts w:hint="eastAsia" w:asciiTheme="minorEastAsia" w:hAnsiTheme="minorEastAsia" w:eastAsiaTheme="minorEastAsia"/>
          <w:bCs/>
          <w:sz w:val="24"/>
          <w:lang w:eastAsia="zh-CN"/>
        </w:rPr>
        <w:t>。</w:t>
      </w:r>
    </w:p>
    <w:p>
      <w:pPr>
        <w:pStyle w:val="16"/>
        <w:numPr>
          <w:ilvl w:val="0"/>
          <w:numId w:val="4"/>
        </w:numPr>
        <w:spacing w:before="100" w:beforeAutospacing="1" w:after="100" w:afterAutospacing="1" w:line="360" w:lineRule="auto"/>
        <w:rPr>
          <w:rFonts w:asciiTheme="minorEastAsia" w:hAnsiTheme="minorEastAsia" w:eastAsiaTheme="minorEastAsia"/>
          <w:bCs/>
          <w:sz w:val="24"/>
        </w:rPr>
      </w:pPr>
      <w:r>
        <w:rPr>
          <w:rFonts w:hint="eastAsia" w:asciiTheme="minorEastAsia" w:hAnsiTheme="minorEastAsia" w:eastAsiaTheme="minorEastAsia"/>
          <w:bCs/>
          <w:sz w:val="24"/>
        </w:rPr>
        <w:t>递交截止时间：</w:t>
      </w:r>
      <w:r>
        <w:rPr>
          <w:rFonts w:hint="eastAsia" w:asciiTheme="majorEastAsia" w:hAnsiTheme="majorEastAsia" w:eastAsiaTheme="majorEastAsia"/>
          <w:bCs/>
          <w:sz w:val="24"/>
        </w:rPr>
        <w:t>报名截止时间延后2个工作日</w:t>
      </w:r>
      <w:r>
        <w:rPr>
          <w:rFonts w:hint="eastAsia" w:asciiTheme="majorEastAsia" w:hAnsiTheme="majorEastAsia" w:eastAsiaTheme="majorEastAsia"/>
          <w:bCs/>
          <w:sz w:val="24"/>
          <w:lang w:eastAsia="zh-CN"/>
        </w:rPr>
        <w:t>。</w:t>
      </w:r>
    </w:p>
    <w:p>
      <w:pPr>
        <w:pStyle w:val="16"/>
        <w:numPr>
          <w:ilvl w:val="0"/>
          <w:numId w:val="4"/>
        </w:numPr>
        <w:spacing w:before="100" w:beforeAutospacing="1" w:after="100" w:afterAutospacing="1"/>
        <w:rPr>
          <w:rFonts w:asciiTheme="minorEastAsia" w:hAnsiTheme="minorEastAsia" w:eastAsiaTheme="minorEastAsia"/>
          <w:bCs/>
          <w:sz w:val="24"/>
        </w:rPr>
      </w:pPr>
      <w:r>
        <w:rPr>
          <w:rFonts w:asciiTheme="minorEastAsia" w:hAnsiTheme="minorEastAsia" w:eastAsiaTheme="minorEastAsia"/>
          <w:bCs/>
          <w:sz w:val="24"/>
          <w:highlight w:val="yellow"/>
        </w:rPr>
        <w:t>寄送快递时，请在快递件</w:t>
      </w:r>
      <w:r>
        <w:rPr>
          <w:rFonts w:hint="eastAsia" w:asciiTheme="minorEastAsia" w:hAnsiTheme="minorEastAsia" w:eastAsiaTheme="minorEastAsia"/>
          <w:bCs/>
          <w:sz w:val="24"/>
          <w:highlight w:val="yellow"/>
          <w:lang w:val="en-US" w:eastAsia="zh-CN"/>
        </w:rPr>
        <w:t>封面</w:t>
      </w:r>
      <w:r>
        <w:rPr>
          <w:rFonts w:asciiTheme="minorEastAsia" w:hAnsiTheme="minorEastAsia" w:eastAsiaTheme="minorEastAsia"/>
          <w:bCs/>
          <w:sz w:val="24"/>
          <w:highlight w:val="yellow"/>
        </w:rPr>
        <w:t>备注清楚寄件人公司名称及相应标书项目名称</w:t>
      </w:r>
      <w:r>
        <w:rPr>
          <w:rFonts w:hint="eastAsia" w:asciiTheme="minorEastAsia" w:hAnsiTheme="minorEastAsia" w:eastAsiaTheme="minorEastAsia"/>
          <w:bCs/>
          <w:sz w:val="24"/>
          <w:highlight w:val="yellow"/>
          <w:lang w:eastAsia="zh-CN"/>
        </w:rPr>
        <w:t>，</w:t>
      </w:r>
      <w:r>
        <w:rPr>
          <w:rFonts w:hint="eastAsia" w:asciiTheme="minorEastAsia" w:hAnsiTheme="minorEastAsia" w:eastAsiaTheme="minorEastAsia"/>
          <w:bCs/>
          <w:sz w:val="24"/>
          <w:highlight w:val="yellow"/>
          <w:lang w:val="en-US" w:eastAsia="zh-CN"/>
        </w:rPr>
        <w:t>同时快递内随附标书电子版资料</w:t>
      </w:r>
      <w:r>
        <w:rPr>
          <w:rFonts w:asciiTheme="minorEastAsia" w:hAnsiTheme="minorEastAsia" w:eastAsiaTheme="minorEastAsia"/>
          <w:bCs/>
          <w:sz w:val="24"/>
          <w:highlight w:val="yellow"/>
        </w:rPr>
        <w:t>！</w:t>
      </w:r>
    </w:p>
    <w:p>
      <w:pPr>
        <w:pStyle w:val="16"/>
        <w:numPr>
          <w:ilvl w:val="0"/>
          <w:numId w:val="4"/>
        </w:numPr>
        <w:spacing w:before="100" w:beforeAutospacing="1" w:after="100" w:afterAutospacing="1"/>
        <w:rPr>
          <w:rFonts w:asciiTheme="minorEastAsia" w:hAnsiTheme="minorEastAsia" w:eastAsiaTheme="minorEastAsia"/>
          <w:bCs/>
          <w:sz w:val="24"/>
        </w:rPr>
      </w:pPr>
      <w:r>
        <w:rPr>
          <w:rFonts w:hint="eastAsia" w:asciiTheme="majorEastAsia" w:hAnsiTheme="majorEastAsia" w:eastAsiaTheme="majorEastAsia"/>
          <w:bCs/>
          <w:sz w:val="24"/>
        </w:rPr>
        <w:t>特别声明：（1）参选人必须对全部物资进行参选，不得部分参选，否则其比选文件将被拒绝。（2）未进行登记报名的参选人，其递交的参选文件将被拒收。</w:t>
      </w:r>
    </w:p>
    <w:p>
      <w:pPr>
        <w:pStyle w:val="16"/>
        <w:spacing w:before="100" w:beforeAutospacing="1" w:after="100" w:afterAutospacing="1"/>
        <w:ind w:left="414" w:firstLine="0"/>
        <w:rPr>
          <w:rFonts w:asciiTheme="minorEastAsia" w:hAnsiTheme="minorEastAsia" w:eastAsiaTheme="minorEastAsia"/>
          <w:b/>
          <w:bCs/>
          <w:sz w:val="24"/>
        </w:rPr>
      </w:pPr>
      <w:r>
        <w:rPr>
          <w:rFonts w:hint="eastAsia" w:asciiTheme="minorEastAsia" w:hAnsiTheme="minorEastAsia" w:eastAsiaTheme="minorEastAsia"/>
          <w:b/>
          <w:bCs/>
          <w:sz w:val="24"/>
        </w:rPr>
        <w:t>五、联系方式</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960" w:firstLineChars="400"/>
        <w:textAlignment w:val="auto"/>
        <w:outlineLvl w:val="9"/>
        <w:rPr>
          <w:rFonts w:asciiTheme="minorEastAsia" w:hAnsiTheme="minorEastAsia" w:eastAsiaTheme="minorEastAsia"/>
          <w:bCs/>
          <w:sz w:val="24"/>
        </w:rPr>
      </w:pPr>
      <w:r>
        <w:rPr>
          <w:rFonts w:hint="eastAsia" w:asciiTheme="minorEastAsia" w:hAnsiTheme="minorEastAsia" w:eastAsiaTheme="minorEastAsia"/>
          <w:bCs/>
          <w:sz w:val="24"/>
        </w:rPr>
        <w:t>商务联系人：卢翠云 电话：13599526303</w:t>
      </w:r>
      <w:r>
        <w:rPr>
          <w:rFonts w:hint="eastAsia" w:asciiTheme="minorEastAsia" w:hAnsiTheme="minorEastAsia" w:eastAsiaTheme="minorEastAsia"/>
          <w:bCs/>
          <w:sz w:val="24"/>
        </w:rPr>
        <w:tab/>
      </w:r>
      <w:r>
        <w:rPr>
          <w:rFonts w:hint="eastAsia" w:asciiTheme="minorEastAsia" w:hAnsiTheme="minorEastAsia" w:eastAsiaTheme="minorEastAsia"/>
          <w:bCs/>
          <w:sz w:val="24"/>
        </w:rPr>
        <w:t>邮箱：wzcgb@fjpec.com.cn</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960" w:firstLineChars="400"/>
        <w:jc w:val="left"/>
        <w:textAlignment w:val="auto"/>
        <w:outlineLvl w:val="9"/>
        <w:rPr>
          <w:rFonts w:hint="eastAsia" w:asciiTheme="minorEastAsia" w:hAnsiTheme="minorEastAsia" w:eastAsiaTheme="minorEastAsia"/>
          <w:bCs/>
          <w:sz w:val="24"/>
        </w:rPr>
      </w:pPr>
      <w:r>
        <w:rPr>
          <w:rFonts w:hint="eastAsia" w:asciiTheme="minorEastAsia" w:hAnsiTheme="minorEastAsia" w:eastAsiaTheme="minorEastAsia"/>
          <w:bCs/>
          <w:sz w:val="24"/>
          <w:lang w:val="en-US" w:eastAsia="zh-CN"/>
        </w:rPr>
        <w:t>技</w:t>
      </w:r>
      <w:r>
        <w:rPr>
          <w:rFonts w:hint="eastAsia" w:asciiTheme="minorEastAsia" w:hAnsiTheme="minorEastAsia" w:eastAsiaTheme="minorEastAsia"/>
          <w:bCs/>
          <w:sz w:val="24"/>
        </w:rPr>
        <w:t>术联系人</w:t>
      </w:r>
      <w:r>
        <w:rPr>
          <w:rFonts w:hint="eastAsia" w:asciiTheme="minorEastAsia" w:hAnsiTheme="minorEastAsia" w:eastAsiaTheme="minorEastAsia"/>
          <w:bCs/>
          <w:sz w:val="24"/>
          <w:lang w:eastAsia="zh-CN"/>
        </w:rPr>
        <w:t>：</w:t>
      </w:r>
      <w:r>
        <w:rPr>
          <w:rFonts w:hint="eastAsia" w:asciiTheme="minorEastAsia" w:hAnsiTheme="minorEastAsia" w:eastAsiaTheme="minorEastAsia"/>
          <w:bCs/>
          <w:sz w:val="24"/>
          <w:lang w:val="en-US" w:eastAsia="zh-CN"/>
        </w:rPr>
        <w:t xml:space="preserve"> 王清云 </w:t>
      </w:r>
      <w:r>
        <w:rPr>
          <w:rFonts w:hint="eastAsia" w:asciiTheme="minorEastAsia" w:hAnsiTheme="minorEastAsia" w:eastAsiaTheme="minorEastAsia"/>
          <w:bCs/>
          <w:sz w:val="24"/>
        </w:rPr>
        <w:t>电话：13850425357</w:t>
      </w:r>
      <w:r>
        <w:rPr>
          <w:rFonts w:hint="eastAsia" w:asciiTheme="minorEastAsia" w:hAnsiTheme="minorEastAsia" w:eastAsiaTheme="minorEastAsia"/>
          <w:bCs/>
          <w:sz w:val="24"/>
          <w:lang w:val="en-US" w:eastAsia="zh-CN"/>
        </w:rPr>
        <w:t xml:space="preserve"> </w:t>
      </w:r>
      <w:r>
        <w:rPr>
          <w:rFonts w:hint="eastAsia" w:asciiTheme="minorEastAsia" w:hAnsiTheme="minorEastAsia" w:eastAsiaTheme="minorEastAsia"/>
          <w:bCs/>
          <w:sz w:val="24"/>
        </w:rPr>
        <w:t>邮</w:t>
      </w:r>
      <w:r>
        <w:rPr>
          <w:rFonts w:hint="eastAsia" w:asciiTheme="minorEastAsia" w:hAnsiTheme="minorEastAsia" w:eastAsiaTheme="minorEastAsia"/>
          <w:bCs/>
          <w:sz w:val="24"/>
          <w:lang w:val="en-US" w:eastAsia="zh-CN"/>
        </w:rPr>
        <w:t>箱：qywang</w:t>
      </w:r>
      <w:r>
        <w:rPr>
          <w:rFonts w:hint="eastAsia" w:asciiTheme="minorEastAsia" w:hAnsiTheme="minorEastAsia" w:eastAsiaTheme="minorEastAsia"/>
          <w:bCs/>
          <w:sz w:val="24"/>
        </w:rPr>
        <w:t>@fhcpec.com</w:t>
      </w:r>
      <w:r>
        <w:rPr>
          <w:rFonts w:hint="eastAsia" w:asciiTheme="minorEastAsia" w:hAnsiTheme="minorEastAsia" w:eastAsiaTheme="minorEastAsia"/>
          <w:bCs/>
          <w:sz w:val="24"/>
          <w:lang w:val="en-US" w:eastAsia="zh-CN"/>
        </w:rPr>
        <w:t>.cn</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960" w:firstLineChars="400"/>
        <w:textAlignment w:val="auto"/>
        <w:outlineLvl w:val="9"/>
        <w:rPr>
          <w:rFonts w:asciiTheme="minorEastAsia" w:hAnsiTheme="minorEastAsia" w:eastAsiaTheme="minorEastAsia"/>
          <w:bCs/>
          <w:sz w:val="24"/>
        </w:rPr>
      </w:pPr>
      <w:r>
        <w:rPr>
          <w:rFonts w:hint="eastAsia" w:asciiTheme="minorEastAsia" w:hAnsiTheme="minorEastAsia" w:eastAsiaTheme="minorEastAsia"/>
          <w:bCs/>
          <w:sz w:val="24"/>
        </w:rPr>
        <w:t xml:space="preserve">纪检监察室电话：0596-6311774  </w:t>
      </w:r>
    </w:p>
    <w:p>
      <w:pPr>
        <w:spacing w:line="360" w:lineRule="auto"/>
        <w:ind w:firstLine="960" w:firstLineChars="400"/>
        <w:rPr>
          <w:rFonts w:asciiTheme="minorEastAsia" w:hAnsiTheme="minorEastAsia" w:eastAsiaTheme="minorEastAsia"/>
          <w:bCs/>
          <w:sz w:val="24"/>
        </w:rPr>
      </w:pPr>
      <w:r>
        <w:rPr>
          <w:rFonts w:hint="eastAsia" w:asciiTheme="minorEastAsia" w:hAnsiTheme="minorEastAsia" w:eastAsiaTheme="minorEastAsia"/>
          <w:bCs/>
          <w:sz w:val="24"/>
        </w:rPr>
        <w:t>联系地址：</w:t>
      </w:r>
      <w:r>
        <w:rPr>
          <w:rFonts w:hint="eastAsia" w:asciiTheme="minorEastAsia" w:hAnsiTheme="minorEastAsia" w:eastAsiaTheme="minorEastAsia"/>
          <w:bCs/>
          <w:sz w:val="24"/>
          <w:lang w:val="en-US" w:eastAsia="zh-CN"/>
        </w:rPr>
        <w:t>漳州市漳浦县杜浔镇杜昌路9号福海创办公大楼2楼</w:t>
      </w:r>
    </w:p>
    <w:p>
      <w:pPr>
        <w:spacing w:line="360" w:lineRule="auto"/>
        <w:ind w:firstLine="960" w:firstLineChars="400"/>
        <w:rPr>
          <w:rFonts w:hint="eastAsia" w:asciiTheme="minorEastAsia" w:hAnsiTheme="minorEastAsia" w:eastAsiaTheme="minorEastAsia"/>
          <w:bCs/>
          <w:sz w:val="24"/>
          <w:lang w:val="en-US" w:eastAsia="zh-CN"/>
        </w:rPr>
      </w:pPr>
      <w:r>
        <w:rPr>
          <w:rFonts w:hint="eastAsia" w:asciiTheme="minorEastAsia" w:hAnsiTheme="minorEastAsia" w:eastAsiaTheme="minorEastAsia"/>
          <w:bCs/>
          <w:sz w:val="24"/>
        </w:rPr>
        <w:t>邮    编：36</w:t>
      </w:r>
      <w:r>
        <w:rPr>
          <w:rFonts w:hint="eastAsia" w:asciiTheme="minorEastAsia" w:hAnsiTheme="minorEastAsia" w:eastAsiaTheme="minorEastAsia"/>
          <w:bCs/>
          <w:sz w:val="24"/>
          <w:lang w:val="en-US" w:eastAsia="zh-CN"/>
        </w:rPr>
        <w:t>3215</w:t>
      </w:r>
    </w:p>
    <w:p>
      <w:pPr>
        <w:spacing w:line="360" w:lineRule="auto"/>
        <w:ind w:firstLine="960" w:firstLineChars="400"/>
        <w:rPr>
          <w:rFonts w:hint="eastAsia" w:asciiTheme="minorEastAsia" w:hAnsiTheme="minorEastAsia" w:eastAsiaTheme="minorEastAsia"/>
          <w:bCs/>
          <w:sz w:val="24"/>
          <w:lang w:val="en-US" w:eastAsia="zh-CN"/>
        </w:rPr>
      </w:pPr>
    </w:p>
    <w:p>
      <w:pPr>
        <w:tabs>
          <w:tab w:val="left" w:pos="3098"/>
        </w:tabs>
        <w:spacing w:line="360" w:lineRule="auto"/>
        <w:ind w:firstLine="4800" w:firstLineChars="2000"/>
        <w:rPr>
          <w:rFonts w:hint="eastAsia" w:asciiTheme="minorEastAsia" w:hAnsiTheme="minorEastAsia" w:eastAsiaTheme="minorEastAsia"/>
          <w:bCs/>
          <w:sz w:val="24"/>
          <w:lang w:eastAsia="zh-CN"/>
        </w:rPr>
      </w:pPr>
    </w:p>
    <w:p>
      <w:pPr>
        <w:tabs>
          <w:tab w:val="left" w:pos="3098"/>
        </w:tabs>
        <w:spacing w:line="360" w:lineRule="auto"/>
        <w:ind w:firstLine="4800" w:firstLineChars="2000"/>
        <w:rPr>
          <w:rFonts w:hint="eastAsia" w:asciiTheme="minorEastAsia" w:hAnsiTheme="minorEastAsia" w:eastAsiaTheme="minorEastAsia"/>
          <w:bCs/>
          <w:sz w:val="24"/>
          <w:lang w:eastAsia="zh-CN"/>
        </w:rPr>
      </w:pPr>
    </w:p>
    <w:p>
      <w:pPr>
        <w:tabs>
          <w:tab w:val="left" w:pos="3098"/>
        </w:tabs>
        <w:spacing w:line="360" w:lineRule="auto"/>
        <w:ind w:firstLine="4800" w:firstLineChars="2000"/>
        <w:rPr>
          <w:rFonts w:hint="eastAsia" w:asciiTheme="minorEastAsia" w:hAnsiTheme="minorEastAsia" w:eastAsiaTheme="minorEastAsia"/>
          <w:bCs/>
          <w:sz w:val="24"/>
          <w:lang w:eastAsia="zh-CN"/>
        </w:rPr>
      </w:pPr>
    </w:p>
    <w:p>
      <w:pPr>
        <w:tabs>
          <w:tab w:val="left" w:pos="3098"/>
        </w:tabs>
        <w:spacing w:line="360" w:lineRule="auto"/>
        <w:ind w:firstLine="4800" w:firstLineChars="2000"/>
        <w:rPr>
          <w:rFonts w:asciiTheme="minorEastAsia" w:hAnsiTheme="minorEastAsia" w:eastAsiaTheme="minorEastAsia"/>
          <w:bCs/>
          <w:sz w:val="24"/>
        </w:rPr>
      </w:pPr>
      <w:r>
        <w:rPr>
          <w:rFonts w:hint="eastAsia" w:asciiTheme="minorEastAsia" w:hAnsiTheme="minorEastAsia" w:eastAsiaTheme="minorEastAsia"/>
          <w:bCs/>
          <w:sz w:val="24"/>
          <w:lang w:eastAsia="zh-CN"/>
        </w:rPr>
        <w:tab/>
      </w:r>
      <w:r>
        <w:rPr>
          <w:rFonts w:hint="eastAsia" w:asciiTheme="minorEastAsia" w:hAnsiTheme="minorEastAsia" w:eastAsiaTheme="minorEastAsia"/>
          <w:bCs/>
          <w:sz w:val="24"/>
          <w:lang w:eastAsia="zh-CN"/>
        </w:rPr>
        <w:t>腾龙芳烃（漳州）有限公司</w:t>
      </w:r>
    </w:p>
    <w:p>
      <w:pPr>
        <w:spacing w:line="360" w:lineRule="auto"/>
        <w:ind w:firstLine="5280" w:firstLineChars="2200"/>
        <w:rPr>
          <w:rFonts w:hint="eastAsia" w:asciiTheme="minorEastAsia" w:hAnsiTheme="minorEastAsia" w:eastAsiaTheme="minorEastAsia"/>
          <w:bCs/>
          <w:sz w:val="24"/>
        </w:rPr>
      </w:pPr>
      <w:r>
        <w:rPr>
          <w:rFonts w:hint="eastAsia" w:asciiTheme="minorEastAsia" w:hAnsiTheme="minorEastAsia" w:eastAsiaTheme="minorEastAsia"/>
          <w:bCs/>
          <w:sz w:val="24"/>
        </w:rPr>
        <w:t>202</w:t>
      </w:r>
      <w:r>
        <w:rPr>
          <w:rFonts w:hint="eastAsia" w:asciiTheme="minorEastAsia" w:hAnsiTheme="minorEastAsia" w:eastAsiaTheme="minorEastAsia"/>
          <w:bCs/>
          <w:sz w:val="24"/>
          <w:lang w:val="en-US" w:eastAsia="zh-CN"/>
        </w:rPr>
        <w:t>3</w:t>
      </w:r>
      <w:r>
        <w:rPr>
          <w:rFonts w:hint="eastAsia" w:asciiTheme="minorEastAsia" w:hAnsiTheme="minorEastAsia" w:eastAsiaTheme="minorEastAsia"/>
          <w:bCs/>
          <w:sz w:val="24"/>
        </w:rPr>
        <w:t>年</w:t>
      </w:r>
      <w:r>
        <w:rPr>
          <w:rFonts w:hint="eastAsia" w:asciiTheme="minorEastAsia" w:hAnsiTheme="minorEastAsia" w:eastAsiaTheme="minorEastAsia"/>
          <w:bCs/>
          <w:sz w:val="24"/>
          <w:lang w:val="en-US" w:eastAsia="zh-CN"/>
        </w:rPr>
        <w:t>5</w:t>
      </w:r>
      <w:r>
        <w:rPr>
          <w:rFonts w:hint="eastAsia" w:asciiTheme="minorEastAsia" w:hAnsiTheme="minorEastAsia" w:eastAsiaTheme="minorEastAsia"/>
          <w:bCs/>
          <w:sz w:val="24"/>
        </w:rPr>
        <w:t>月</w:t>
      </w:r>
      <w:r>
        <w:rPr>
          <w:rFonts w:hint="eastAsia" w:asciiTheme="minorEastAsia" w:hAnsiTheme="minorEastAsia" w:eastAsiaTheme="minorEastAsia"/>
          <w:bCs/>
          <w:sz w:val="24"/>
          <w:lang w:val="en-US" w:eastAsia="zh-CN"/>
        </w:rPr>
        <w:t>15</w:t>
      </w:r>
      <w:r>
        <w:rPr>
          <w:rFonts w:hint="eastAsia" w:asciiTheme="minorEastAsia" w:hAnsiTheme="minorEastAsia" w:eastAsiaTheme="minorEastAsia"/>
          <w:bCs/>
          <w:sz w:val="24"/>
        </w:rPr>
        <w:t>日</w:t>
      </w:r>
    </w:p>
    <w:p>
      <w:pPr>
        <w:spacing w:line="400" w:lineRule="exact"/>
        <w:jc w:val="both"/>
        <w:rPr>
          <w:rFonts w:hint="eastAsia" w:ascii="宋体" w:hAnsi="宋体"/>
          <w:b/>
          <w:bCs/>
          <w:sz w:val="36"/>
        </w:rPr>
      </w:pPr>
    </w:p>
    <w:p>
      <w:pPr>
        <w:spacing w:line="400" w:lineRule="exact"/>
        <w:jc w:val="center"/>
        <w:rPr>
          <w:rFonts w:ascii="宋体"/>
          <w:b/>
          <w:bCs/>
          <w:sz w:val="36"/>
        </w:rPr>
      </w:pPr>
      <w:r>
        <w:rPr>
          <w:rFonts w:hint="eastAsia" w:ascii="宋体" w:hAnsi="宋体"/>
          <w:b/>
          <w:bCs/>
          <w:sz w:val="36"/>
        </w:rPr>
        <w:t>二、参选规定及说明</w:t>
      </w:r>
    </w:p>
    <w:p>
      <w:pPr>
        <w:spacing w:line="320" w:lineRule="exact"/>
        <w:rPr>
          <w:rFonts w:ascii="宋体"/>
          <w:sz w:val="18"/>
          <w:szCs w:val="18"/>
        </w:rPr>
      </w:pPr>
      <w:r>
        <w:rPr>
          <w:rFonts w:ascii="宋体" w:hAnsi="宋体"/>
          <w:sz w:val="18"/>
          <w:szCs w:val="18"/>
        </w:rPr>
        <w:t>1.</w:t>
      </w:r>
      <w:r>
        <w:rPr>
          <w:rFonts w:hint="eastAsia" w:ascii="宋体" w:hAnsi="宋体"/>
          <w:sz w:val="18"/>
          <w:szCs w:val="18"/>
        </w:rPr>
        <w:t>本次公开比选涉及产品为：</w:t>
      </w:r>
      <w:r>
        <w:rPr>
          <w:rFonts w:hint="eastAsia" w:ascii="宋体" w:hAnsi="宋体"/>
          <w:sz w:val="18"/>
          <w:szCs w:val="18"/>
          <w:u w:val="single"/>
          <w:lang w:eastAsia="zh-CN"/>
        </w:rPr>
        <w:t>加氢裂化装置水溶性中和缓蚀剂</w:t>
      </w:r>
      <w:r>
        <w:rPr>
          <w:rFonts w:hint="eastAsia" w:ascii="宋体" w:hAnsi="宋体"/>
          <w:sz w:val="18"/>
          <w:szCs w:val="18"/>
          <w:u w:val="single"/>
        </w:rPr>
        <w:t>。</w:t>
      </w:r>
    </w:p>
    <w:p>
      <w:pPr>
        <w:pStyle w:val="19"/>
        <w:spacing w:line="320" w:lineRule="exact"/>
        <w:ind w:firstLine="0" w:firstLineChars="0"/>
        <w:rPr>
          <w:rFonts w:ascii="宋体"/>
          <w:sz w:val="18"/>
          <w:szCs w:val="18"/>
        </w:rPr>
      </w:pPr>
      <w:r>
        <w:rPr>
          <w:rFonts w:hint="eastAsia" w:ascii="宋体" w:hAnsi="宋体"/>
          <w:sz w:val="18"/>
          <w:szCs w:val="18"/>
        </w:rPr>
        <w:t>数量、时间、付款方式等、质量标准等按公开比选文件要求。</w:t>
      </w:r>
    </w:p>
    <w:p>
      <w:pPr>
        <w:spacing w:line="320" w:lineRule="exact"/>
        <w:rPr>
          <w:rFonts w:ascii="宋体"/>
          <w:sz w:val="18"/>
          <w:szCs w:val="18"/>
        </w:rPr>
      </w:pPr>
      <w:r>
        <w:rPr>
          <w:rFonts w:hint="eastAsia" w:ascii="宋体"/>
          <w:sz w:val="18"/>
          <w:szCs w:val="18"/>
        </w:rPr>
        <w:t>2.参选人资格：</w:t>
      </w:r>
    </w:p>
    <w:p>
      <w:pPr>
        <w:spacing w:line="320" w:lineRule="exact"/>
        <w:rPr>
          <w:rFonts w:hint="eastAsia" w:ascii="宋体"/>
          <w:sz w:val="18"/>
          <w:szCs w:val="18"/>
        </w:rPr>
      </w:pPr>
      <w:r>
        <w:rPr>
          <w:rFonts w:hint="eastAsia" w:ascii="宋体"/>
          <w:sz w:val="18"/>
          <w:szCs w:val="18"/>
        </w:rPr>
        <w:t>（1）具备独立法人资格、具备有效的企业法人营业执照；</w:t>
      </w:r>
    </w:p>
    <w:p>
      <w:pPr>
        <w:spacing w:line="320" w:lineRule="exact"/>
        <w:rPr>
          <w:rFonts w:ascii="宋体"/>
          <w:sz w:val="18"/>
          <w:szCs w:val="18"/>
        </w:rPr>
      </w:pPr>
      <w:r>
        <w:rPr>
          <w:rFonts w:hint="eastAsia" w:ascii="宋体"/>
          <w:sz w:val="18"/>
          <w:szCs w:val="18"/>
        </w:rPr>
        <w:t>（2）单位负责人为同一人或者存在控股、管理关系的不同单位不得同时参加本项目的比选；</w:t>
      </w:r>
    </w:p>
    <w:p>
      <w:pPr>
        <w:spacing w:line="320" w:lineRule="exact"/>
        <w:rPr>
          <w:rFonts w:ascii="宋体"/>
          <w:sz w:val="18"/>
          <w:szCs w:val="18"/>
        </w:rPr>
      </w:pPr>
      <w:r>
        <w:rPr>
          <w:rFonts w:hint="eastAsia" w:ascii="宋体"/>
          <w:sz w:val="18"/>
          <w:szCs w:val="18"/>
        </w:rPr>
        <w:t>（3）没有失信黑名单记录（以最高院失信被执行人系统发布信息为准）；</w:t>
      </w:r>
    </w:p>
    <w:p>
      <w:pPr>
        <w:spacing w:line="320" w:lineRule="exact"/>
        <w:rPr>
          <w:rFonts w:hint="eastAsia" w:ascii="宋体"/>
          <w:sz w:val="18"/>
          <w:szCs w:val="18"/>
        </w:rPr>
      </w:pPr>
      <w:r>
        <w:rPr>
          <w:rFonts w:hint="eastAsia" w:ascii="宋体"/>
          <w:sz w:val="18"/>
          <w:szCs w:val="18"/>
        </w:rPr>
        <w:t>（4）与比选人无诉讼纠纷。</w:t>
      </w:r>
    </w:p>
    <w:p>
      <w:pPr>
        <w:spacing w:line="320" w:lineRule="exact"/>
        <w:rPr>
          <w:rFonts w:hint="eastAsia" w:ascii="宋体"/>
          <w:sz w:val="18"/>
          <w:szCs w:val="18"/>
        </w:rPr>
      </w:pPr>
      <w:r>
        <w:rPr>
          <w:rFonts w:hint="eastAsia" w:ascii="宋体"/>
          <w:sz w:val="18"/>
          <w:szCs w:val="18"/>
          <w:lang w:eastAsia="zh-CN"/>
        </w:rPr>
        <w:t>（</w:t>
      </w:r>
      <w:r>
        <w:rPr>
          <w:rFonts w:hint="eastAsia" w:ascii="宋体"/>
          <w:sz w:val="18"/>
          <w:szCs w:val="18"/>
          <w:lang w:val="en-US" w:eastAsia="zh-CN"/>
        </w:rPr>
        <w:t>5</w:t>
      </w:r>
      <w:r>
        <w:rPr>
          <w:rFonts w:hint="eastAsia" w:ascii="宋体"/>
          <w:sz w:val="18"/>
          <w:szCs w:val="18"/>
          <w:lang w:eastAsia="zh-CN"/>
        </w:rPr>
        <w:t>）</w:t>
      </w:r>
      <w:r>
        <w:rPr>
          <w:rFonts w:hint="eastAsia" w:ascii="宋体"/>
          <w:sz w:val="18"/>
          <w:szCs w:val="18"/>
        </w:rPr>
        <w:t>需</w:t>
      </w:r>
      <w:r>
        <w:rPr>
          <w:rFonts w:hint="eastAsia" w:ascii="宋体"/>
          <w:sz w:val="18"/>
          <w:szCs w:val="18"/>
          <w:lang w:val="en-US" w:eastAsia="zh-CN"/>
        </w:rPr>
        <w:t>有自2021年1月1日以来有同类装置的销售业绩至少3处以上</w:t>
      </w:r>
      <w:r>
        <w:rPr>
          <w:rFonts w:hint="eastAsia" w:ascii="宋体"/>
          <w:sz w:val="18"/>
          <w:szCs w:val="18"/>
          <w:lang w:eastAsia="zh-CN"/>
        </w:rPr>
        <w:t>。</w:t>
      </w:r>
    </w:p>
    <w:p>
      <w:pPr>
        <w:spacing w:line="320" w:lineRule="exact"/>
        <w:rPr>
          <w:rFonts w:hint="eastAsia" w:ascii="宋体"/>
          <w:sz w:val="18"/>
          <w:szCs w:val="18"/>
          <w:lang w:eastAsia="zh-CN"/>
        </w:rPr>
      </w:pPr>
      <w:r>
        <w:rPr>
          <w:rFonts w:hint="eastAsia" w:ascii="宋体"/>
          <w:sz w:val="18"/>
          <w:szCs w:val="18"/>
          <w:lang w:eastAsia="zh-CN"/>
        </w:rPr>
        <w:t>（</w:t>
      </w:r>
      <w:r>
        <w:rPr>
          <w:rFonts w:hint="eastAsia" w:ascii="宋体"/>
          <w:sz w:val="18"/>
          <w:szCs w:val="18"/>
          <w:lang w:val="en-US" w:eastAsia="zh-CN"/>
        </w:rPr>
        <w:t>6</w:t>
      </w:r>
      <w:r>
        <w:rPr>
          <w:rFonts w:hint="eastAsia" w:ascii="宋体"/>
          <w:sz w:val="18"/>
          <w:szCs w:val="18"/>
          <w:lang w:eastAsia="zh-CN"/>
        </w:rPr>
        <w:t>）</w:t>
      </w:r>
      <w:r>
        <w:rPr>
          <w:rFonts w:hint="eastAsia" w:ascii="宋体"/>
          <w:sz w:val="18"/>
          <w:szCs w:val="18"/>
          <w:lang w:val="en-US" w:eastAsia="zh-CN"/>
        </w:rPr>
        <w:t xml:space="preserve"> </w:t>
      </w:r>
      <w:r>
        <w:rPr>
          <w:rFonts w:hint="eastAsia" w:ascii="宋体"/>
          <w:sz w:val="18"/>
          <w:szCs w:val="18"/>
          <w:lang w:eastAsia="zh-CN"/>
        </w:rPr>
        <w:t>属于福建福海创石油化工有限公司合格供应商或中国石油化工集团有限公司或</w:t>
      </w:r>
      <w:r>
        <w:rPr>
          <w:rFonts w:hint="eastAsia" w:ascii="宋体"/>
          <w:sz w:val="18"/>
          <w:szCs w:val="18"/>
          <w:lang w:eastAsia="zh-CN"/>
        </w:rPr>
        <w:fldChar w:fldCharType="begin"/>
      </w:r>
      <w:r>
        <w:rPr>
          <w:rFonts w:hint="eastAsia" w:ascii="宋体"/>
          <w:sz w:val="18"/>
          <w:szCs w:val="18"/>
          <w:lang w:eastAsia="zh-CN"/>
        </w:rPr>
        <w:instrText xml:space="preserve"> HYPERLINK "http://www.baidu.com/link?url=ZYA2ANSxRzGwTSAnMQmFtVicINMq9OUNpKTJ21r1pCxY1Pg-bo-kGdl88GpXkxvjkQiNS5EBki5bPS0gC-oOIK" \t "_blank" </w:instrText>
      </w:r>
      <w:r>
        <w:rPr>
          <w:rFonts w:hint="eastAsia" w:ascii="宋体"/>
          <w:sz w:val="18"/>
          <w:szCs w:val="18"/>
          <w:lang w:eastAsia="zh-CN"/>
        </w:rPr>
        <w:fldChar w:fldCharType="separate"/>
      </w:r>
      <w:r>
        <w:rPr>
          <w:rFonts w:hint="eastAsia" w:ascii="宋体"/>
          <w:sz w:val="18"/>
          <w:szCs w:val="18"/>
          <w:lang w:eastAsia="zh-CN"/>
        </w:rPr>
        <w:t>中国石油天然气集团有限公司</w:t>
      </w:r>
      <w:r>
        <w:rPr>
          <w:rFonts w:hint="eastAsia" w:ascii="宋体"/>
          <w:sz w:val="18"/>
          <w:szCs w:val="18"/>
          <w:lang w:eastAsia="zh-CN"/>
        </w:rPr>
        <w:fldChar w:fldCharType="end"/>
      </w:r>
      <w:r>
        <w:rPr>
          <w:rFonts w:hint="eastAsia" w:ascii="宋体"/>
          <w:sz w:val="18"/>
          <w:szCs w:val="18"/>
          <w:lang w:eastAsia="zh-CN"/>
        </w:rPr>
        <w:t>合格供应商。</w:t>
      </w:r>
    </w:p>
    <w:p>
      <w:pPr>
        <w:spacing w:line="320" w:lineRule="exact"/>
        <w:rPr>
          <w:rFonts w:ascii="宋体"/>
          <w:sz w:val="18"/>
          <w:szCs w:val="18"/>
          <w:highlight w:val="none"/>
        </w:rPr>
      </w:pPr>
      <w:r>
        <w:rPr>
          <w:rFonts w:hint="eastAsia" w:ascii="宋体"/>
          <w:sz w:val="18"/>
          <w:szCs w:val="18"/>
        </w:rPr>
        <w:t>（</w:t>
      </w:r>
      <w:r>
        <w:rPr>
          <w:rFonts w:hint="eastAsia" w:ascii="宋体"/>
          <w:sz w:val="18"/>
          <w:szCs w:val="18"/>
          <w:lang w:val="en-US" w:eastAsia="zh-CN"/>
        </w:rPr>
        <w:t>7</w:t>
      </w:r>
      <w:r>
        <w:rPr>
          <w:rFonts w:hint="eastAsia" w:ascii="宋体"/>
          <w:sz w:val="18"/>
          <w:szCs w:val="18"/>
        </w:rPr>
        <w:t>）</w:t>
      </w:r>
      <w:r>
        <w:rPr>
          <w:rFonts w:hint="eastAsia" w:ascii="宋体"/>
          <w:sz w:val="18"/>
          <w:szCs w:val="18"/>
          <w:highlight w:val="none"/>
        </w:rPr>
        <w:t>参选保证金：</w:t>
      </w:r>
      <w:r>
        <w:rPr>
          <w:rFonts w:hint="eastAsia" w:ascii="宋体"/>
          <w:sz w:val="18"/>
          <w:szCs w:val="18"/>
          <w:highlight w:val="none"/>
          <w:lang w:val="en-US" w:eastAsia="zh-CN"/>
        </w:rPr>
        <w:t>壹万元</w:t>
      </w:r>
      <w:r>
        <w:rPr>
          <w:rFonts w:hint="eastAsia" w:ascii="宋体"/>
          <w:sz w:val="18"/>
          <w:szCs w:val="18"/>
          <w:highlight w:val="none"/>
        </w:rPr>
        <w:t>整。</w:t>
      </w:r>
    </w:p>
    <w:p>
      <w:pPr>
        <w:spacing w:line="320" w:lineRule="exact"/>
        <w:rPr>
          <w:rFonts w:ascii="宋体"/>
          <w:sz w:val="18"/>
          <w:szCs w:val="18"/>
        </w:rPr>
      </w:pPr>
      <w:r>
        <w:rPr>
          <w:rFonts w:ascii="宋体" w:hAnsi="宋体"/>
          <w:sz w:val="18"/>
          <w:szCs w:val="18"/>
        </w:rPr>
        <w:t>3.</w:t>
      </w:r>
      <w:r>
        <w:rPr>
          <w:rFonts w:hint="eastAsia"/>
          <w:sz w:val="18"/>
          <w:szCs w:val="18"/>
        </w:rPr>
        <w:t>参选人要仔细阅读公开比选文件的内容，按该报价要求提供以下要求的文件，所提供资料必须真实。</w:t>
      </w:r>
    </w:p>
    <w:p>
      <w:pPr>
        <w:spacing w:line="320" w:lineRule="exact"/>
        <w:rPr>
          <w:rFonts w:ascii="宋体" w:hAnsi="宋体"/>
          <w:sz w:val="18"/>
          <w:szCs w:val="18"/>
        </w:rPr>
      </w:pPr>
      <w:r>
        <w:rPr>
          <w:rFonts w:ascii="宋体" w:hAnsi="宋体"/>
          <w:sz w:val="18"/>
          <w:szCs w:val="18"/>
        </w:rPr>
        <w:t>4.</w:t>
      </w:r>
      <w:r>
        <w:rPr>
          <w:rFonts w:hint="eastAsia" w:ascii="宋体" w:hAnsi="宋体"/>
          <w:sz w:val="18"/>
          <w:szCs w:val="18"/>
        </w:rPr>
        <w:t>公开比选请按以下要求密封报价。</w:t>
      </w:r>
    </w:p>
    <w:p>
      <w:pPr>
        <w:spacing w:line="320" w:lineRule="exact"/>
        <w:rPr>
          <w:rFonts w:ascii="宋体" w:hAnsi="宋体"/>
          <w:sz w:val="18"/>
          <w:szCs w:val="18"/>
        </w:rPr>
      </w:pPr>
      <w:r>
        <w:rPr>
          <w:rFonts w:ascii="宋体" w:hAnsi="宋体"/>
          <w:sz w:val="18"/>
          <w:szCs w:val="18"/>
        </w:rPr>
        <w:t>5.</w:t>
      </w:r>
      <w:r>
        <w:rPr>
          <w:rFonts w:hint="eastAsia" w:ascii="宋体" w:hAnsi="宋体"/>
          <w:sz w:val="18"/>
          <w:szCs w:val="18"/>
        </w:rPr>
        <w:t>参选人密封参选书，在各封口处加盖公司印章。以下材料一式两份，称为“参选文件”，需正、副本各一份，注明“正本”及“副本”并逐页盖公章，包括：</w:t>
      </w:r>
    </w:p>
    <w:p>
      <w:pPr>
        <w:spacing w:line="320" w:lineRule="exact"/>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）比选公告</w:t>
      </w:r>
    </w:p>
    <w:p>
      <w:pPr>
        <w:spacing w:line="320" w:lineRule="exact"/>
        <w:rPr>
          <w:rFonts w:ascii="宋体" w:hAnsi="宋体"/>
          <w:sz w:val="18"/>
          <w:szCs w:val="18"/>
        </w:rPr>
      </w:pPr>
      <w:r>
        <w:rPr>
          <w:rFonts w:hint="eastAsia" w:ascii="宋体" w:hAnsi="宋体"/>
          <w:sz w:val="18"/>
          <w:szCs w:val="18"/>
        </w:rPr>
        <w:t>（2）参选规定及说明</w:t>
      </w:r>
    </w:p>
    <w:p>
      <w:pPr>
        <w:spacing w:line="320" w:lineRule="exact"/>
        <w:rPr>
          <w:rFonts w:ascii="宋体" w:hAnsi="宋体"/>
          <w:sz w:val="18"/>
          <w:szCs w:val="18"/>
        </w:rPr>
      </w:pPr>
      <w:r>
        <w:rPr>
          <w:rFonts w:hint="eastAsia" w:ascii="宋体" w:hAnsi="宋体"/>
          <w:sz w:val="18"/>
          <w:szCs w:val="18"/>
        </w:rPr>
        <w:t>（3）公开比选文件</w:t>
      </w:r>
    </w:p>
    <w:p>
      <w:pPr>
        <w:spacing w:line="320" w:lineRule="exact"/>
        <w:rPr>
          <w:rFonts w:ascii="宋体" w:hAnsi="宋体"/>
          <w:sz w:val="18"/>
          <w:szCs w:val="18"/>
        </w:rPr>
      </w:pPr>
      <w:r>
        <w:rPr>
          <w:rFonts w:hint="eastAsia" w:ascii="宋体" w:hAnsi="宋体"/>
          <w:sz w:val="18"/>
          <w:szCs w:val="18"/>
        </w:rPr>
        <w:t>（4）参选书</w:t>
      </w:r>
    </w:p>
    <w:p>
      <w:pPr>
        <w:spacing w:line="320" w:lineRule="exact"/>
        <w:rPr>
          <w:rFonts w:ascii="宋体" w:hAnsi="宋体"/>
          <w:sz w:val="18"/>
          <w:szCs w:val="18"/>
        </w:rPr>
      </w:pPr>
      <w:r>
        <w:rPr>
          <w:rFonts w:hint="eastAsia" w:ascii="宋体" w:hAnsi="宋体"/>
          <w:sz w:val="18"/>
          <w:szCs w:val="18"/>
        </w:rPr>
        <w:t>（5）法定代表人授权书</w:t>
      </w:r>
    </w:p>
    <w:p>
      <w:pPr>
        <w:spacing w:line="320" w:lineRule="exact"/>
        <w:rPr>
          <w:rFonts w:hint="eastAsia" w:ascii="宋体" w:hAnsi="宋体"/>
          <w:sz w:val="18"/>
          <w:szCs w:val="18"/>
        </w:rPr>
      </w:pPr>
      <w:r>
        <w:rPr>
          <w:rFonts w:hint="eastAsia" w:ascii="宋体" w:hAnsi="宋体"/>
          <w:sz w:val="18"/>
          <w:szCs w:val="18"/>
        </w:rPr>
        <w:t>（6）报价单</w:t>
      </w:r>
    </w:p>
    <w:p>
      <w:pPr>
        <w:spacing w:line="320" w:lineRule="exact"/>
        <w:rPr>
          <w:rFonts w:hint="eastAsia" w:ascii="宋体" w:hAnsi="宋体" w:eastAsia="宋体"/>
          <w:sz w:val="18"/>
          <w:szCs w:val="18"/>
          <w:lang w:eastAsia="zh-CN"/>
        </w:rPr>
      </w:pPr>
      <w:r>
        <w:rPr>
          <w:rFonts w:hint="eastAsia" w:ascii="宋体" w:hAnsi="宋体"/>
          <w:sz w:val="18"/>
          <w:szCs w:val="18"/>
          <w:lang w:eastAsia="zh-CN"/>
        </w:rPr>
        <w:t>（</w:t>
      </w:r>
      <w:r>
        <w:rPr>
          <w:rFonts w:hint="eastAsia" w:ascii="宋体" w:hAnsi="宋体"/>
          <w:sz w:val="18"/>
          <w:szCs w:val="18"/>
          <w:lang w:val="en-US" w:eastAsia="zh-CN"/>
        </w:rPr>
        <w:t>7</w:t>
      </w:r>
      <w:r>
        <w:rPr>
          <w:rFonts w:hint="eastAsia" w:ascii="宋体" w:hAnsi="宋体"/>
          <w:sz w:val="18"/>
          <w:szCs w:val="18"/>
          <w:lang w:eastAsia="zh-CN"/>
        </w:rPr>
        <w:t>）</w:t>
      </w:r>
      <w:r>
        <w:rPr>
          <w:rFonts w:hint="eastAsia" w:ascii="宋体" w:hAnsi="宋体"/>
          <w:sz w:val="18"/>
          <w:szCs w:val="18"/>
          <w:lang w:val="en-US" w:eastAsia="zh-CN"/>
        </w:rPr>
        <w:t>技术要求</w:t>
      </w:r>
    </w:p>
    <w:p>
      <w:pPr>
        <w:spacing w:line="320" w:lineRule="exact"/>
        <w:rPr>
          <w:rFonts w:ascii="宋体" w:hAnsi="宋体"/>
          <w:sz w:val="18"/>
          <w:szCs w:val="18"/>
        </w:rPr>
      </w:pPr>
      <w:r>
        <w:rPr>
          <w:rFonts w:ascii="宋体" w:hAnsi="宋体"/>
          <w:sz w:val="18"/>
          <w:szCs w:val="18"/>
        </w:rPr>
        <w:t>6.</w:t>
      </w:r>
      <w:r>
        <w:rPr>
          <w:rFonts w:hint="eastAsia" w:ascii="宋体" w:hAnsi="宋体"/>
          <w:sz w:val="18"/>
          <w:szCs w:val="18"/>
        </w:rPr>
        <w:t>参选文件的修改：</w:t>
      </w:r>
    </w:p>
    <w:p>
      <w:pPr>
        <w:spacing w:line="320" w:lineRule="exact"/>
        <w:rPr>
          <w:rFonts w:ascii="宋体" w:hAnsi="宋体"/>
          <w:sz w:val="18"/>
          <w:szCs w:val="18"/>
        </w:rPr>
      </w:pPr>
      <w:r>
        <w:rPr>
          <w:rFonts w:hint="eastAsia" w:ascii="宋体" w:hAnsi="宋体"/>
          <w:sz w:val="18"/>
          <w:szCs w:val="18"/>
        </w:rPr>
        <w:t>在参选文件收取时间截止</w:t>
      </w:r>
      <w:r>
        <w:rPr>
          <w:rFonts w:ascii="宋体" w:hAnsi="宋体"/>
          <w:sz w:val="18"/>
          <w:szCs w:val="18"/>
        </w:rPr>
        <w:t>24</w:t>
      </w:r>
      <w:r>
        <w:rPr>
          <w:rFonts w:hint="eastAsia" w:ascii="宋体" w:hAnsi="宋体"/>
          <w:sz w:val="18"/>
          <w:szCs w:val="18"/>
        </w:rPr>
        <w:t>小时之前，参选人有权修改、补充或撤回已邮寄的参选文件，修改书将替代被修改的部分，成为参选文件的一部分。截至参选文件收取日期前</w:t>
      </w:r>
      <w:r>
        <w:rPr>
          <w:rFonts w:ascii="宋体" w:hAnsi="宋体"/>
          <w:sz w:val="18"/>
          <w:szCs w:val="18"/>
        </w:rPr>
        <w:t>24</w:t>
      </w:r>
      <w:r>
        <w:rPr>
          <w:rFonts w:hint="eastAsia" w:ascii="宋体" w:hAnsi="宋体"/>
          <w:sz w:val="18"/>
          <w:szCs w:val="18"/>
        </w:rPr>
        <w:t>小时内，不允许修改、补充或撤回参选文件。</w:t>
      </w:r>
    </w:p>
    <w:p>
      <w:pPr>
        <w:spacing w:line="320" w:lineRule="exact"/>
        <w:rPr>
          <w:rFonts w:ascii="宋体" w:hAnsi="宋体"/>
          <w:sz w:val="18"/>
          <w:szCs w:val="18"/>
        </w:rPr>
      </w:pPr>
      <w:r>
        <w:rPr>
          <w:rFonts w:hint="eastAsia" w:ascii="宋体" w:hAnsi="宋体"/>
          <w:sz w:val="18"/>
          <w:szCs w:val="18"/>
        </w:rPr>
        <w:t>除参选人对错误处做必要修改外，参选文件不允许有加行、涂抹或改写。如有修改错漏处，必须由参选人法定代表人或被授权代表签字并加盖公章。</w:t>
      </w:r>
    </w:p>
    <w:p>
      <w:pPr>
        <w:spacing w:line="320" w:lineRule="exact"/>
        <w:rPr>
          <w:rFonts w:ascii="宋体" w:hAnsi="宋体"/>
          <w:sz w:val="18"/>
          <w:szCs w:val="18"/>
        </w:rPr>
      </w:pPr>
      <w:r>
        <w:rPr>
          <w:rFonts w:ascii="宋体" w:hAnsi="宋体"/>
          <w:sz w:val="18"/>
          <w:szCs w:val="18"/>
        </w:rPr>
        <w:t>7.</w:t>
      </w:r>
      <w:r>
        <w:rPr>
          <w:rFonts w:hint="eastAsia" w:ascii="宋体" w:hAnsi="宋体"/>
          <w:sz w:val="18"/>
          <w:szCs w:val="18"/>
        </w:rPr>
        <w:t>报价均应为人民币一票含增值税目的地交货价。小写和大写不符，以大写为准；副本与正本不符，以正本为准。</w:t>
      </w:r>
    </w:p>
    <w:p>
      <w:pPr>
        <w:spacing w:line="320" w:lineRule="exact"/>
        <w:rPr>
          <w:rFonts w:ascii="宋体" w:hAnsi="宋体"/>
          <w:sz w:val="18"/>
          <w:szCs w:val="18"/>
        </w:rPr>
      </w:pPr>
      <w:r>
        <w:rPr>
          <w:rFonts w:ascii="宋体" w:hAnsi="宋体"/>
          <w:sz w:val="18"/>
          <w:szCs w:val="18"/>
        </w:rPr>
        <w:t>8.</w:t>
      </w:r>
      <w:r>
        <w:rPr>
          <w:rFonts w:hint="eastAsia" w:ascii="宋体" w:hAnsi="宋体"/>
          <w:sz w:val="18"/>
          <w:szCs w:val="18"/>
        </w:rPr>
        <w:t>公开比选在本公司或本集团范围内组织比选小组成员召开比选会议，检查参选文件是否符合规定，并作记录。比选会议旨在确定所公开比选</w:t>
      </w:r>
      <w:r>
        <w:rPr>
          <w:rFonts w:hint="eastAsia" w:ascii="宋体" w:hAnsi="宋体"/>
          <w:sz w:val="18"/>
          <w:szCs w:val="18"/>
          <w:u w:val="single"/>
          <w:lang w:eastAsia="zh-CN"/>
        </w:rPr>
        <w:t>加氢裂化装置水溶性中和缓蚀剂</w:t>
      </w:r>
      <w:r>
        <w:rPr>
          <w:rFonts w:hint="eastAsia" w:ascii="宋体" w:hAnsi="宋体"/>
          <w:sz w:val="18"/>
          <w:szCs w:val="18"/>
        </w:rPr>
        <w:t>的采购指导价格。比选会议确定指导价格之后：</w:t>
      </w:r>
    </w:p>
    <w:p>
      <w:pPr>
        <w:spacing w:line="320" w:lineRule="exact"/>
        <w:rPr>
          <w:rFonts w:ascii="Arial" w:hAnsi="Arial" w:cs="Arial"/>
          <w:sz w:val="18"/>
          <w:szCs w:val="18"/>
        </w:rPr>
      </w:pPr>
      <w:r>
        <w:rPr>
          <w:rFonts w:ascii="Arial" w:hAnsi="Arial" w:cs="Arial"/>
          <w:sz w:val="18"/>
          <w:szCs w:val="18"/>
        </w:rPr>
        <w:t>8.1</w:t>
      </w:r>
      <w:r>
        <w:rPr>
          <w:rFonts w:hint="eastAsia" w:ascii="Arial" w:hAnsi="Arial" w:cs="Arial"/>
          <w:sz w:val="18"/>
          <w:szCs w:val="18"/>
        </w:rPr>
        <w:t>在供货期内，需严格执行价格约定。如果价格出现波动，在双方均同意的情况下，重新发起新一轮公开比选。如果参选人未能按承诺的价格供货，则公开比选小组有权暂停其下一次参选资格。</w:t>
      </w:r>
    </w:p>
    <w:p>
      <w:pPr>
        <w:spacing w:line="320" w:lineRule="exact"/>
        <w:rPr>
          <w:rFonts w:ascii="宋体"/>
          <w:sz w:val="18"/>
          <w:szCs w:val="18"/>
        </w:rPr>
      </w:pPr>
      <w:r>
        <w:rPr>
          <w:rFonts w:ascii="Arial" w:hAnsi="Arial" w:cs="Arial"/>
          <w:sz w:val="18"/>
          <w:szCs w:val="18"/>
        </w:rPr>
        <w:t>8.2</w:t>
      </w:r>
      <w:r>
        <w:rPr>
          <w:rFonts w:hint="eastAsia" w:ascii="Arial" w:hAnsi="Arial" w:cs="Arial"/>
          <w:sz w:val="18"/>
          <w:szCs w:val="18"/>
        </w:rPr>
        <w:t>在供货期内，数量按以下规定执行：因不同时期还有不同的各环节管制、气候、物流、供需两方各自生产波动等因素，所以供应数量的确定，不在公开比选会议上确定，而根据采购管理制度的采购合同或订单审批流程，由业务员上报部门主管、分管副总和常务副总经理审批（根据授权规定）。</w:t>
      </w:r>
    </w:p>
    <w:p>
      <w:pPr>
        <w:spacing w:line="320" w:lineRule="exact"/>
        <w:rPr>
          <w:rFonts w:ascii="宋体"/>
          <w:sz w:val="18"/>
          <w:szCs w:val="18"/>
        </w:rPr>
      </w:pPr>
      <w:r>
        <w:rPr>
          <w:rFonts w:ascii="宋体" w:hAnsi="宋体"/>
          <w:sz w:val="18"/>
          <w:szCs w:val="18"/>
        </w:rPr>
        <w:t>9.</w:t>
      </w:r>
      <w:r>
        <w:rPr>
          <w:rFonts w:hint="eastAsia" w:ascii="宋体" w:hAnsi="宋体"/>
          <w:sz w:val="18"/>
          <w:szCs w:val="18"/>
        </w:rPr>
        <w:t>公开比选小组将允许修改参选文件中不构成重大偏离的、不一致或不规则的地方。</w:t>
      </w:r>
    </w:p>
    <w:p>
      <w:pPr>
        <w:spacing w:line="320" w:lineRule="exact"/>
        <w:rPr>
          <w:rFonts w:ascii="宋体"/>
          <w:sz w:val="18"/>
          <w:szCs w:val="18"/>
        </w:rPr>
      </w:pPr>
      <w:r>
        <w:rPr>
          <w:rFonts w:ascii="宋体" w:hAnsi="宋体"/>
          <w:sz w:val="18"/>
          <w:szCs w:val="18"/>
        </w:rPr>
        <w:t>1</w:t>
      </w:r>
      <w:r>
        <w:rPr>
          <w:rFonts w:hint="eastAsia" w:ascii="宋体" w:hAnsi="宋体"/>
          <w:sz w:val="18"/>
          <w:szCs w:val="18"/>
        </w:rPr>
        <w:t>0</w:t>
      </w:r>
      <w:r>
        <w:rPr>
          <w:rFonts w:ascii="宋体" w:hAnsi="宋体"/>
          <w:sz w:val="18"/>
          <w:szCs w:val="18"/>
        </w:rPr>
        <w:t>.</w:t>
      </w:r>
      <w:r>
        <w:rPr>
          <w:rFonts w:hint="eastAsia" w:ascii="宋体" w:hAnsi="宋体"/>
          <w:sz w:val="18"/>
          <w:szCs w:val="18"/>
        </w:rPr>
        <w:t>公开比选小组各成员均有权参与议价。确定价格后，由采购部成员记录各供应商报价以及会议过程的调价情况，各成员共同签署《比选会议纪要》。</w:t>
      </w:r>
    </w:p>
    <w:p>
      <w:pPr>
        <w:spacing w:line="320" w:lineRule="exact"/>
        <w:rPr>
          <w:rFonts w:ascii="宋体" w:hAnsi="宋体"/>
          <w:sz w:val="18"/>
          <w:szCs w:val="18"/>
        </w:rPr>
      </w:pPr>
      <w:r>
        <w:rPr>
          <w:rFonts w:ascii="宋体" w:hAnsi="宋体"/>
          <w:sz w:val="18"/>
          <w:szCs w:val="18"/>
        </w:rPr>
        <w:t>1</w:t>
      </w:r>
      <w:r>
        <w:rPr>
          <w:rFonts w:hint="eastAsia" w:ascii="宋体" w:hAnsi="宋体"/>
          <w:sz w:val="18"/>
          <w:szCs w:val="18"/>
        </w:rPr>
        <w:t>1.公开比选会议期间，确定价格后，愿意以确定的价格供货的报价人立即或会后邮件扫描或传真《公开比选确认单》至我司，由采购部成员办理随后的订单送审手续。比选数量为总数量，订单签署上</w:t>
      </w:r>
      <w:r>
        <w:rPr>
          <w:rFonts w:ascii="宋体"/>
          <w:sz w:val="18"/>
          <w:szCs w:val="18"/>
        </w:rPr>
        <w:t>,</w:t>
      </w:r>
      <w:r>
        <w:rPr>
          <w:rFonts w:hint="eastAsia" w:ascii="宋体" w:hAnsi="宋体"/>
          <w:sz w:val="18"/>
          <w:szCs w:val="18"/>
        </w:rPr>
        <w:t>实际订单签署数量根据各供应商实际供应能力和在途、库存周转情况而定。</w:t>
      </w:r>
    </w:p>
    <w:p>
      <w:pPr>
        <w:spacing w:line="320" w:lineRule="exact"/>
        <w:rPr>
          <w:rFonts w:ascii="宋体" w:hAnsi="宋体"/>
          <w:sz w:val="18"/>
          <w:szCs w:val="18"/>
        </w:rPr>
      </w:pPr>
      <w:r>
        <w:rPr>
          <w:rFonts w:hint="eastAsia" w:ascii="宋体" w:hAnsi="宋体"/>
          <w:sz w:val="18"/>
          <w:szCs w:val="18"/>
        </w:rPr>
        <w:t>12.参选文件不退还。</w:t>
      </w:r>
    </w:p>
    <w:p>
      <w:pPr>
        <w:spacing w:line="320" w:lineRule="exact"/>
        <w:rPr>
          <w:rFonts w:hint="eastAsia" w:ascii="宋体" w:hAnsi="宋体"/>
          <w:b/>
          <w:bCs/>
          <w:sz w:val="36"/>
          <w:szCs w:val="36"/>
        </w:rPr>
      </w:pPr>
      <w:r>
        <w:rPr>
          <w:rFonts w:hint="eastAsia" w:ascii="宋体" w:hAnsi="宋体"/>
          <w:sz w:val="18"/>
          <w:szCs w:val="18"/>
          <w:highlight w:val="none"/>
        </w:rPr>
        <w:t>13</w:t>
      </w:r>
      <w:r>
        <w:rPr>
          <w:rFonts w:hint="eastAsia" w:ascii="宋体" w:hAnsi="宋体"/>
          <w:sz w:val="18"/>
          <w:szCs w:val="18"/>
          <w:highlight w:val="none"/>
          <w:lang w:val="en-US" w:eastAsia="zh-CN"/>
        </w:rPr>
        <w:t>.</w:t>
      </w:r>
      <w:r>
        <w:rPr>
          <w:rFonts w:hint="eastAsia" w:ascii="宋体" w:hAnsi="宋体" w:cs="宋体"/>
          <w:b/>
          <w:kern w:val="0"/>
          <w:sz w:val="24"/>
        </w:rPr>
        <w:t>若报价偏离市场行情，</w:t>
      </w:r>
      <w:r>
        <w:rPr>
          <w:rFonts w:hint="eastAsia" w:ascii="宋体" w:hAnsi="宋体" w:cs="宋体"/>
          <w:b/>
          <w:kern w:val="0"/>
          <w:sz w:val="24"/>
          <w:lang w:eastAsia="zh-CN"/>
        </w:rPr>
        <w:t>腾龙芳烃（漳州）有限公司</w:t>
      </w:r>
      <w:r>
        <w:rPr>
          <w:rFonts w:hint="eastAsia" w:ascii="宋体" w:hAnsi="宋体" w:cs="宋体"/>
          <w:b/>
          <w:kern w:val="0"/>
          <w:sz w:val="24"/>
        </w:rPr>
        <w:t>有权选择废选。</w:t>
      </w: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ascii="宋体"/>
          <w:b/>
          <w:bCs/>
          <w:sz w:val="36"/>
          <w:szCs w:val="36"/>
        </w:rPr>
      </w:pPr>
      <w:r>
        <w:rPr>
          <w:rFonts w:hint="eastAsia" w:ascii="宋体" w:hAnsi="宋体"/>
          <w:b/>
          <w:bCs/>
          <w:sz w:val="36"/>
          <w:szCs w:val="36"/>
        </w:rPr>
        <w:t>三、比选文件</w:t>
      </w:r>
    </w:p>
    <w:p>
      <w:pPr>
        <w:spacing w:line="500" w:lineRule="exact"/>
        <w:jc w:val="right"/>
        <w:rPr>
          <w:rFonts w:ascii="宋体" w:eastAsiaTheme="minorEastAsia"/>
          <w:b/>
          <w:bCs/>
          <w:sz w:val="24"/>
        </w:rPr>
      </w:pPr>
      <w:r>
        <w:rPr>
          <w:rFonts w:hint="eastAsia" w:ascii="宋体" w:hAnsi="宋体"/>
          <w:sz w:val="24"/>
        </w:rPr>
        <w:t>编号：</w:t>
      </w:r>
      <w:r>
        <w:rPr>
          <w:rFonts w:hint="eastAsia" w:asciiTheme="minorEastAsia" w:hAnsiTheme="minorEastAsia" w:eastAsiaTheme="minorEastAsia"/>
          <w:bCs/>
          <w:sz w:val="24"/>
          <w:u w:val="single"/>
          <w:lang w:eastAsia="zh-CN"/>
        </w:rPr>
        <w:t>2023-FHC-水溶性中和缓蚀剂-0</w:t>
      </w:r>
      <w:r>
        <w:rPr>
          <w:rFonts w:hint="eastAsia" w:asciiTheme="minorEastAsia" w:hAnsiTheme="minorEastAsia" w:eastAsiaTheme="minorEastAsia"/>
          <w:bCs/>
          <w:sz w:val="24"/>
          <w:u w:val="single"/>
          <w:lang w:val="en-US" w:eastAsia="zh-CN"/>
        </w:rPr>
        <w:t>510</w:t>
      </w:r>
    </w:p>
    <w:p>
      <w:pPr>
        <w:tabs>
          <w:tab w:val="left" w:pos="6846"/>
        </w:tabs>
        <w:spacing w:line="360" w:lineRule="exact"/>
        <w:jc w:val="left"/>
        <w:rPr>
          <w:rFonts w:ascii="宋体" w:hAnsi="宋体"/>
          <w:sz w:val="28"/>
          <w:szCs w:val="28"/>
        </w:rPr>
      </w:pPr>
    </w:p>
    <w:p>
      <w:pPr>
        <w:tabs>
          <w:tab w:val="left" w:pos="6846"/>
        </w:tabs>
        <w:spacing w:line="360" w:lineRule="exact"/>
        <w:jc w:val="left"/>
        <w:rPr>
          <w:rFonts w:ascii="宋体"/>
          <w:sz w:val="24"/>
          <w:szCs w:val="24"/>
        </w:rPr>
      </w:pPr>
      <w:r>
        <w:rPr>
          <w:rFonts w:hint="eastAsia" w:ascii="宋体" w:hAnsi="宋体"/>
          <w:sz w:val="24"/>
          <w:szCs w:val="24"/>
        </w:rPr>
        <w:t>我公司计划采购</w:t>
      </w:r>
      <w:r>
        <w:rPr>
          <w:rFonts w:hint="eastAsia" w:ascii="宋体" w:hAnsi="宋体"/>
          <w:sz w:val="24"/>
          <w:szCs w:val="24"/>
          <w:lang w:val="en-US" w:eastAsia="zh-CN"/>
        </w:rPr>
        <w:t>加氢裂化装置水溶性中和缓蚀剂</w:t>
      </w:r>
      <w:r>
        <w:rPr>
          <w:rFonts w:hint="eastAsia" w:ascii="宋体" w:hAnsi="宋体"/>
          <w:sz w:val="24"/>
          <w:szCs w:val="24"/>
        </w:rPr>
        <w:t>，具体要求如下</w:t>
      </w:r>
      <w:r>
        <w:rPr>
          <w:rFonts w:hint="eastAsia" w:ascii="宋体" w:hAnsi="宋体"/>
          <w:sz w:val="24"/>
          <w:szCs w:val="24"/>
          <w:lang w:eastAsia="zh-CN"/>
        </w:rPr>
        <w:t>：</w:t>
      </w:r>
      <w:r>
        <w:rPr>
          <w:rFonts w:ascii="宋体"/>
          <w:sz w:val="24"/>
          <w:szCs w:val="24"/>
        </w:rPr>
        <w:tab/>
      </w:r>
    </w:p>
    <w:p>
      <w:pPr>
        <w:tabs>
          <w:tab w:val="left" w:pos="6846"/>
        </w:tabs>
        <w:spacing w:line="360" w:lineRule="exact"/>
        <w:jc w:val="left"/>
        <w:rPr>
          <w:rFonts w:hint="eastAsia" w:ascii="宋体" w:eastAsia="宋体"/>
          <w:sz w:val="24"/>
          <w:szCs w:val="24"/>
          <w:lang w:val="en-US" w:eastAsia="zh-CN"/>
        </w:rPr>
      </w:pPr>
      <w:r>
        <w:rPr>
          <w:rFonts w:hint="eastAsia" w:ascii="宋体"/>
          <w:sz w:val="24"/>
          <w:szCs w:val="24"/>
          <w:lang w:val="en-US" w:eastAsia="zh-CN"/>
        </w:rPr>
        <w:t>1.数量：约1.5年使用量，合约期限为2023年7月31日-2024年12月31日。</w:t>
      </w:r>
    </w:p>
    <w:p>
      <w:pPr>
        <w:numPr>
          <w:ilvl w:val="0"/>
          <w:numId w:val="0"/>
        </w:numPr>
        <w:spacing w:line="360" w:lineRule="exact"/>
        <w:jc w:val="left"/>
        <w:rPr>
          <w:rFonts w:ascii="宋体" w:hAnsi="宋体" w:cs="宋体"/>
          <w:sz w:val="24"/>
          <w:highlight w:val="none"/>
        </w:rPr>
      </w:pPr>
      <w:r>
        <w:rPr>
          <w:rFonts w:hint="eastAsia" w:ascii="宋体" w:hAnsi="宋体" w:cs="宋体"/>
          <w:sz w:val="24"/>
          <w:highlight w:val="none"/>
          <w:lang w:val="en-US" w:eastAsia="zh-CN"/>
        </w:rPr>
        <w:t>2.质量指标：</w:t>
      </w:r>
    </w:p>
    <w:tbl>
      <w:tblPr>
        <w:tblStyle w:val="15"/>
        <w:tblW w:w="70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8"/>
        <w:gridCol w:w="35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3478" w:type="dxa"/>
            <w:vAlign w:val="center"/>
          </w:tcPr>
          <w:p>
            <w:pPr>
              <w:numPr>
                <w:ilvl w:val="0"/>
                <w:numId w:val="0"/>
              </w:numPr>
              <w:spacing w:line="360" w:lineRule="exact"/>
              <w:jc w:val="center"/>
              <w:rPr>
                <w:rFonts w:ascii="宋体" w:hAnsi="宋体" w:cs="宋体"/>
                <w:sz w:val="24"/>
                <w:highlight w:val="none"/>
              </w:rPr>
            </w:pPr>
            <w:r>
              <w:rPr>
                <w:rFonts w:ascii="宋体" w:hAnsi="宋体" w:cs="宋体"/>
                <w:sz w:val="24"/>
                <w:highlight w:val="none"/>
              </w:rPr>
              <w:t>型号</w:t>
            </w:r>
          </w:p>
        </w:tc>
        <w:tc>
          <w:tcPr>
            <w:tcW w:w="3562" w:type="dxa"/>
            <w:vAlign w:val="center"/>
          </w:tcPr>
          <w:p>
            <w:pPr>
              <w:numPr>
                <w:ilvl w:val="0"/>
                <w:numId w:val="0"/>
              </w:numPr>
              <w:spacing w:line="360" w:lineRule="exact"/>
              <w:jc w:val="center"/>
              <w:rPr>
                <w:rFonts w:ascii="宋体" w:hAnsi="宋体" w:cs="宋体"/>
                <w:sz w:val="24"/>
                <w:highlight w:val="none"/>
              </w:rPr>
            </w:pPr>
            <w:r>
              <w:rPr>
                <w:rFonts w:ascii="宋体" w:hAnsi="宋体" w:cs="宋体"/>
                <w:sz w:val="24"/>
                <w:highlight w:val="none"/>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3478" w:type="dxa"/>
            <w:vAlign w:val="center"/>
          </w:tcPr>
          <w:p>
            <w:pPr>
              <w:numPr>
                <w:ilvl w:val="0"/>
                <w:numId w:val="0"/>
              </w:numPr>
              <w:spacing w:line="360" w:lineRule="exact"/>
              <w:jc w:val="center"/>
              <w:rPr>
                <w:rFonts w:ascii="宋体" w:hAnsi="宋体" w:cs="宋体"/>
                <w:sz w:val="24"/>
                <w:highlight w:val="none"/>
              </w:rPr>
            </w:pPr>
            <w:r>
              <w:rPr>
                <w:rFonts w:ascii="宋体" w:hAnsi="宋体" w:cs="宋体"/>
                <w:sz w:val="24"/>
                <w:highlight w:val="none"/>
              </w:rPr>
              <w:t>外观</w:t>
            </w:r>
          </w:p>
        </w:tc>
        <w:tc>
          <w:tcPr>
            <w:tcW w:w="3562"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exact"/>
              <w:jc w:val="center"/>
              <w:rPr>
                <w:rFonts w:ascii="宋体" w:hAnsi="宋体" w:cs="宋体"/>
                <w:sz w:val="24"/>
                <w:highlight w:val="none"/>
              </w:rPr>
            </w:pPr>
            <w:r>
              <w:rPr>
                <w:rFonts w:hint="eastAsia" w:ascii="宋体" w:hAnsi="宋体" w:cs="宋体"/>
                <w:sz w:val="24"/>
                <w:highlight w:val="none"/>
              </w:rPr>
              <w:t>均匀液体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3478" w:type="dxa"/>
            <w:vAlign w:val="center"/>
          </w:tcPr>
          <w:p>
            <w:pPr>
              <w:numPr>
                <w:ilvl w:val="0"/>
                <w:numId w:val="0"/>
              </w:numPr>
              <w:spacing w:line="360" w:lineRule="exact"/>
              <w:jc w:val="center"/>
              <w:rPr>
                <w:rFonts w:ascii="宋体" w:hAnsi="宋体" w:cs="宋体"/>
                <w:sz w:val="24"/>
                <w:highlight w:val="none"/>
              </w:rPr>
            </w:pPr>
            <w:r>
              <w:rPr>
                <w:rFonts w:ascii="宋体" w:hAnsi="宋体" w:cs="宋体"/>
                <w:sz w:val="24"/>
                <w:highlight w:val="none"/>
              </w:rPr>
              <w:t>密度（20℃），g/cm3</w:t>
            </w:r>
          </w:p>
        </w:tc>
        <w:tc>
          <w:tcPr>
            <w:tcW w:w="3562"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exact"/>
              <w:jc w:val="center"/>
              <w:rPr>
                <w:rFonts w:ascii="宋体" w:hAnsi="宋体" w:cs="宋体"/>
                <w:sz w:val="24"/>
                <w:highlight w:val="none"/>
              </w:rPr>
            </w:pPr>
            <w:r>
              <w:rPr>
                <w:rFonts w:ascii="宋体" w:hAnsi="宋体" w:cs="宋体"/>
                <w:sz w:val="24"/>
                <w:highlight w:val="none"/>
              </w:rPr>
              <w:t>0.85</w:t>
            </w:r>
            <w:r>
              <w:rPr>
                <w:rFonts w:hint="eastAsia" w:ascii="宋体" w:hAnsi="宋体" w:cs="宋体"/>
                <w:sz w:val="24"/>
                <w:highlight w:val="none"/>
              </w:rPr>
              <w:t>~</w:t>
            </w:r>
            <w:r>
              <w:rPr>
                <w:rFonts w:ascii="宋体" w:hAnsi="宋体" w:cs="宋体"/>
                <w:sz w:val="24"/>
                <w:highlight w:val="none"/>
              </w:rPr>
              <w:t>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 w:hRule="atLeast"/>
          <w:jc w:val="center"/>
        </w:trPr>
        <w:tc>
          <w:tcPr>
            <w:tcW w:w="3478" w:type="dxa"/>
            <w:vAlign w:val="center"/>
          </w:tcPr>
          <w:p>
            <w:pPr>
              <w:numPr>
                <w:ilvl w:val="0"/>
                <w:numId w:val="0"/>
              </w:numPr>
              <w:spacing w:line="360" w:lineRule="exact"/>
              <w:jc w:val="center"/>
              <w:rPr>
                <w:rFonts w:ascii="宋体" w:hAnsi="宋体" w:cs="宋体"/>
                <w:sz w:val="24"/>
                <w:highlight w:val="none"/>
              </w:rPr>
            </w:pPr>
            <w:r>
              <w:rPr>
                <w:rFonts w:ascii="宋体" w:hAnsi="宋体" w:cs="宋体"/>
                <w:sz w:val="24"/>
                <w:highlight w:val="none"/>
              </w:rPr>
              <w:t>pH值（25℃）</w:t>
            </w:r>
          </w:p>
        </w:tc>
        <w:tc>
          <w:tcPr>
            <w:tcW w:w="3562"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exact"/>
              <w:jc w:val="center"/>
              <w:rPr>
                <w:rFonts w:ascii="宋体" w:hAnsi="宋体" w:cs="宋体"/>
                <w:sz w:val="24"/>
                <w:highlight w:val="none"/>
              </w:rPr>
            </w:pPr>
            <w:r>
              <w:rPr>
                <w:rFonts w:hint="eastAsia" w:ascii="宋体" w:hAnsi="宋体" w:cs="宋体"/>
                <w:sz w:val="24"/>
                <w:highlight w:val="none"/>
              </w:rPr>
              <w:t>≥</w:t>
            </w:r>
            <w:r>
              <w:rPr>
                <w:rFonts w:ascii="宋体" w:hAnsi="宋体" w:cs="宋体"/>
                <w:sz w:val="24"/>
                <w:highlight w:val="none"/>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3478" w:type="dxa"/>
            <w:vAlign w:val="center"/>
          </w:tcPr>
          <w:p>
            <w:pPr>
              <w:numPr>
                <w:ilvl w:val="0"/>
                <w:numId w:val="0"/>
              </w:numPr>
              <w:spacing w:line="360" w:lineRule="exact"/>
              <w:jc w:val="center"/>
              <w:rPr>
                <w:rFonts w:ascii="宋体" w:hAnsi="宋体" w:cs="宋体"/>
                <w:sz w:val="24"/>
                <w:highlight w:val="none"/>
              </w:rPr>
            </w:pPr>
            <w:r>
              <w:rPr>
                <w:rFonts w:ascii="宋体" w:hAnsi="宋体" w:cs="宋体"/>
                <w:sz w:val="24"/>
                <w:highlight w:val="none"/>
              </w:rPr>
              <w:t>凝点，℃</w:t>
            </w:r>
          </w:p>
        </w:tc>
        <w:tc>
          <w:tcPr>
            <w:tcW w:w="3562"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exact"/>
              <w:jc w:val="center"/>
              <w:rPr>
                <w:rFonts w:ascii="宋体" w:hAnsi="宋体" w:cs="宋体"/>
                <w:sz w:val="24"/>
                <w:highlight w:val="none"/>
              </w:rPr>
            </w:pPr>
            <w:r>
              <w:rPr>
                <w:rFonts w:hint="eastAsia" w:ascii="宋体" w:hAnsi="宋体" w:cs="宋体"/>
                <w:sz w:val="24"/>
                <w:highlight w:val="none"/>
              </w:rPr>
              <w:t>≤</w:t>
            </w:r>
            <w:r>
              <w:rPr>
                <w:rFonts w:ascii="宋体" w:hAnsi="宋体" w:cs="宋体"/>
                <w:sz w:val="24"/>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478" w:type="dxa"/>
            <w:vAlign w:val="center"/>
          </w:tcPr>
          <w:p>
            <w:pPr>
              <w:numPr>
                <w:ilvl w:val="0"/>
                <w:numId w:val="0"/>
              </w:numPr>
              <w:spacing w:line="360" w:lineRule="exact"/>
              <w:jc w:val="center"/>
              <w:rPr>
                <w:rFonts w:ascii="宋体" w:hAnsi="宋体" w:cs="宋体"/>
                <w:sz w:val="24"/>
                <w:highlight w:val="none"/>
              </w:rPr>
            </w:pPr>
            <w:r>
              <w:rPr>
                <w:rFonts w:ascii="宋体" w:hAnsi="宋体" w:cs="宋体"/>
                <w:sz w:val="24"/>
                <w:highlight w:val="none"/>
              </w:rPr>
              <w:t>溶解性</w:t>
            </w:r>
          </w:p>
        </w:tc>
        <w:tc>
          <w:tcPr>
            <w:tcW w:w="3562"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exact"/>
              <w:jc w:val="center"/>
              <w:rPr>
                <w:rFonts w:ascii="宋体" w:hAnsi="宋体" w:cs="宋体"/>
                <w:sz w:val="24"/>
                <w:highlight w:val="none"/>
              </w:rPr>
            </w:pPr>
            <w:r>
              <w:rPr>
                <w:rFonts w:hint="eastAsia" w:ascii="宋体" w:hAnsi="宋体" w:cs="宋体"/>
                <w:sz w:val="24"/>
                <w:highlight w:val="none"/>
              </w:rPr>
              <w:t>易溶入水</w:t>
            </w:r>
          </w:p>
        </w:tc>
      </w:tr>
    </w:tbl>
    <w:p>
      <w:pPr>
        <w:numPr>
          <w:ilvl w:val="0"/>
          <w:numId w:val="0"/>
        </w:numPr>
        <w:spacing w:line="360" w:lineRule="exact"/>
        <w:jc w:val="left"/>
        <w:rPr>
          <w:rFonts w:ascii="宋体" w:hAnsi="宋体" w:cs="宋体"/>
          <w:sz w:val="24"/>
          <w:highlight w:val="none"/>
        </w:rPr>
      </w:pPr>
      <w:r>
        <w:rPr>
          <w:rFonts w:hint="eastAsia" w:ascii="宋体" w:hAnsi="宋体" w:cs="宋体"/>
          <w:sz w:val="24"/>
          <w:highlight w:val="none"/>
          <w:lang w:val="en-US" w:eastAsia="zh-CN"/>
        </w:rPr>
        <w:t>3.</w:t>
      </w:r>
      <w:r>
        <w:rPr>
          <w:rFonts w:hint="eastAsia" w:ascii="Times New Roman" w:hAnsi="Times New Roman" w:eastAsia="宋体" w:cs="Times New Roman"/>
          <w:sz w:val="24"/>
        </w:rPr>
        <w:t>加氢裂化装置中和缓蚀剂技术保证值</w:t>
      </w:r>
      <w:r>
        <w:rPr>
          <w:rFonts w:hint="eastAsia" w:cs="Times New Roman"/>
          <w:sz w:val="24"/>
          <w:lang w:eastAsia="zh-CN"/>
        </w:rPr>
        <w:t>：</w:t>
      </w:r>
    </w:p>
    <w:p>
      <w:pPr>
        <w:numPr>
          <w:ilvl w:val="0"/>
          <w:numId w:val="0"/>
        </w:numPr>
        <w:spacing w:line="360" w:lineRule="exact"/>
        <w:ind w:firstLine="240" w:firstLineChars="100"/>
        <w:jc w:val="left"/>
        <w:rPr>
          <w:rFonts w:hint="eastAsia" w:ascii="宋体" w:hAnsi="宋体" w:cs="宋体"/>
          <w:sz w:val="24"/>
          <w:highlight w:val="none"/>
          <w:lang w:eastAsia="zh-CN"/>
        </w:rPr>
      </w:pPr>
      <w:r>
        <w:rPr>
          <w:rFonts w:hint="eastAsia" w:ascii="宋体" w:hAnsi="宋体" w:cs="宋体"/>
          <w:sz w:val="24"/>
          <w:highlight w:val="none"/>
          <w:lang w:val="en-US" w:eastAsia="zh-CN"/>
        </w:rPr>
        <w:t>a.</w:t>
      </w:r>
      <w:r>
        <w:rPr>
          <w:rFonts w:hint="eastAsia" w:ascii="宋体" w:hAnsi="宋体" w:cs="宋体"/>
          <w:sz w:val="24"/>
          <w:highlight w:val="none"/>
          <w:lang w:eastAsia="zh-CN"/>
        </w:rPr>
        <w:t>液态水溶性，产品水溶性好，无乳化现象。</w:t>
      </w:r>
    </w:p>
    <w:p>
      <w:pPr>
        <w:numPr>
          <w:ilvl w:val="0"/>
          <w:numId w:val="0"/>
        </w:numPr>
        <w:spacing w:line="360" w:lineRule="exact"/>
        <w:ind w:firstLine="240" w:firstLineChars="100"/>
        <w:jc w:val="left"/>
        <w:rPr>
          <w:rFonts w:hint="eastAsia" w:ascii="宋体" w:hAnsi="宋体" w:cs="宋体"/>
          <w:sz w:val="24"/>
          <w:highlight w:val="none"/>
          <w:lang w:eastAsia="zh-CN"/>
        </w:rPr>
      </w:pPr>
      <w:r>
        <w:rPr>
          <w:rFonts w:hint="eastAsia" w:ascii="宋体" w:hAnsi="宋体" w:cs="宋体"/>
          <w:sz w:val="24"/>
          <w:highlight w:val="none"/>
          <w:lang w:val="en-US" w:eastAsia="zh-CN"/>
        </w:rPr>
        <w:t>b.</w:t>
      </w:r>
      <w:r>
        <w:rPr>
          <w:rFonts w:hint="eastAsia" w:ascii="宋体" w:hAnsi="宋体" w:cs="宋体"/>
          <w:sz w:val="24"/>
          <w:highlight w:val="none"/>
          <w:lang w:eastAsia="zh-CN"/>
        </w:rPr>
        <w:t>塔顶酸性水总铁含量≤3mg/L，pH值6~9。</w:t>
      </w:r>
    </w:p>
    <w:p>
      <w:pPr>
        <w:numPr>
          <w:ilvl w:val="0"/>
          <w:numId w:val="0"/>
        </w:numPr>
        <w:spacing w:line="360" w:lineRule="exact"/>
        <w:ind w:firstLine="240" w:firstLineChars="100"/>
        <w:jc w:val="left"/>
        <w:rPr>
          <w:rFonts w:hint="eastAsia" w:ascii="宋体" w:hAnsi="宋体" w:cs="宋体"/>
          <w:sz w:val="24"/>
          <w:highlight w:val="none"/>
          <w:lang w:eastAsia="zh-CN"/>
        </w:rPr>
      </w:pPr>
      <w:r>
        <w:rPr>
          <w:rFonts w:hint="eastAsia" w:ascii="宋体" w:hAnsi="宋体" w:cs="宋体"/>
          <w:sz w:val="24"/>
          <w:highlight w:val="none"/>
          <w:lang w:val="en-US" w:eastAsia="zh-CN"/>
        </w:rPr>
        <w:t>c.</w:t>
      </w:r>
      <w:r>
        <w:rPr>
          <w:rFonts w:hint="eastAsia" w:ascii="宋体" w:hAnsi="宋体" w:cs="宋体"/>
          <w:sz w:val="24"/>
          <w:highlight w:val="none"/>
          <w:lang w:eastAsia="zh-CN"/>
        </w:rPr>
        <w:t>保证所提供产品在正确使用下对设备、装置无任何损坏，对下游催化剂、下游产品、终端产品无任何性质和质量的不良改变。</w:t>
      </w:r>
    </w:p>
    <w:p>
      <w:pPr>
        <w:numPr>
          <w:ilvl w:val="0"/>
          <w:numId w:val="0"/>
        </w:numPr>
        <w:spacing w:line="360" w:lineRule="exact"/>
        <w:ind w:firstLine="240" w:firstLineChars="100"/>
        <w:jc w:val="left"/>
        <w:rPr>
          <w:rFonts w:hint="eastAsia" w:ascii="宋体" w:hAnsi="宋体" w:cs="宋体"/>
          <w:sz w:val="24"/>
          <w:highlight w:val="none"/>
          <w:lang w:eastAsia="zh-CN"/>
        </w:rPr>
      </w:pPr>
      <w:r>
        <w:rPr>
          <w:rFonts w:hint="eastAsia" w:ascii="宋体" w:hAnsi="宋体" w:cs="宋体"/>
          <w:sz w:val="24"/>
          <w:highlight w:val="none"/>
          <w:lang w:val="en-US" w:eastAsia="zh-CN"/>
        </w:rPr>
        <w:t>d.</w:t>
      </w:r>
      <w:r>
        <w:rPr>
          <w:rFonts w:hint="eastAsia" w:ascii="宋体" w:hAnsi="宋体" w:cs="宋体"/>
          <w:sz w:val="24"/>
          <w:highlight w:val="none"/>
          <w:lang w:eastAsia="zh-CN"/>
        </w:rPr>
        <w:t>中和缓蚀剂产品预调配好，现场除盐水稀释后即可注入。</w:t>
      </w:r>
    </w:p>
    <w:p>
      <w:pPr>
        <w:numPr>
          <w:ilvl w:val="0"/>
          <w:numId w:val="0"/>
        </w:numPr>
        <w:spacing w:line="360" w:lineRule="exact"/>
        <w:jc w:val="left"/>
        <w:rPr>
          <w:rFonts w:hint="eastAsia" w:ascii="宋体" w:hAnsi="宋体" w:cs="宋体"/>
          <w:sz w:val="24"/>
          <w:highlight w:val="none"/>
          <w:lang w:val="en-US" w:eastAsia="zh-CN"/>
        </w:rPr>
      </w:pPr>
      <w:r>
        <w:rPr>
          <w:rFonts w:hint="eastAsia" w:ascii="宋体" w:hAnsi="宋体" w:cs="宋体"/>
          <w:sz w:val="24"/>
          <w:highlight w:val="none"/>
          <w:lang w:val="en-US" w:eastAsia="zh-CN"/>
        </w:rPr>
        <w:t>4.加氢裂化装置中和缓蚀剂注入量的要求；</w:t>
      </w:r>
    </w:p>
    <w:tbl>
      <w:tblPr>
        <w:tblStyle w:val="15"/>
        <w:tblW w:w="71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50"/>
        <w:gridCol w:w="3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jc w:val="center"/>
        </w:trPr>
        <w:tc>
          <w:tcPr>
            <w:tcW w:w="3550" w:type="dxa"/>
          </w:tcPr>
          <w:p>
            <w:pPr>
              <w:spacing w:line="360"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注入点</w:t>
            </w:r>
          </w:p>
        </w:tc>
        <w:tc>
          <w:tcPr>
            <w:tcW w:w="3550" w:type="dxa"/>
          </w:tcPr>
          <w:p>
            <w:pPr>
              <w:spacing w:line="360"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注入量（mg/kg）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jc w:val="center"/>
        </w:trPr>
        <w:tc>
          <w:tcPr>
            <w:tcW w:w="3550" w:type="dxa"/>
          </w:tcPr>
          <w:p>
            <w:pPr>
              <w:spacing w:line="360"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产品汽提塔顶</w:t>
            </w:r>
          </w:p>
        </w:tc>
        <w:tc>
          <w:tcPr>
            <w:tcW w:w="3550" w:type="dxa"/>
          </w:tcPr>
          <w:p>
            <w:pPr>
              <w:spacing w:line="360"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jc w:val="center"/>
        </w:trPr>
        <w:tc>
          <w:tcPr>
            <w:tcW w:w="3550" w:type="dxa"/>
          </w:tcPr>
          <w:p>
            <w:pPr>
              <w:spacing w:line="360"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贫油吸收塔顶</w:t>
            </w:r>
          </w:p>
        </w:tc>
        <w:tc>
          <w:tcPr>
            <w:tcW w:w="3550" w:type="dxa"/>
          </w:tcPr>
          <w:p>
            <w:pPr>
              <w:spacing w:line="360"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jc w:val="center"/>
        </w:trPr>
        <w:tc>
          <w:tcPr>
            <w:tcW w:w="3550" w:type="dxa"/>
          </w:tcPr>
          <w:p>
            <w:pPr>
              <w:spacing w:line="360"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脱乙烷塔顶</w:t>
            </w:r>
          </w:p>
        </w:tc>
        <w:tc>
          <w:tcPr>
            <w:tcW w:w="3550" w:type="dxa"/>
          </w:tcPr>
          <w:p>
            <w:pPr>
              <w:spacing w:line="360"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jc w:val="center"/>
        </w:trPr>
        <w:tc>
          <w:tcPr>
            <w:tcW w:w="3550" w:type="dxa"/>
          </w:tcPr>
          <w:p>
            <w:pPr>
              <w:spacing w:line="360"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脱丁烷塔顶</w:t>
            </w:r>
          </w:p>
        </w:tc>
        <w:tc>
          <w:tcPr>
            <w:tcW w:w="3550" w:type="dxa"/>
          </w:tcPr>
          <w:p>
            <w:pPr>
              <w:spacing w:line="360"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≤10</w:t>
            </w:r>
          </w:p>
        </w:tc>
      </w:tr>
    </w:tbl>
    <w:p>
      <w:pPr>
        <w:numPr>
          <w:ilvl w:val="0"/>
          <w:numId w:val="0"/>
        </w:numPr>
        <w:spacing w:line="360" w:lineRule="exact"/>
        <w:jc w:val="left"/>
        <w:rPr>
          <w:rFonts w:ascii="宋体" w:hAnsi="宋体" w:cs="宋体"/>
          <w:sz w:val="24"/>
        </w:rPr>
      </w:pPr>
      <w:r>
        <w:rPr>
          <w:rFonts w:hint="eastAsia" w:ascii="宋体" w:hAnsi="宋体" w:cs="宋体"/>
          <w:sz w:val="24"/>
          <w:lang w:val="en-US" w:eastAsia="zh-CN"/>
        </w:rPr>
        <w:t>5.</w:t>
      </w:r>
      <w:r>
        <w:rPr>
          <w:rFonts w:hint="eastAsia" w:ascii="宋体" w:hAnsi="宋体" w:cs="宋体"/>
          <w:sz w:val="24"/>
        </w:rPr>
        <w:t>包装方式：</w:t>
      </w:r>
      <w:r>
        <w:rPr>
          <w:rFonts w:hint="eastAsia" w:ascii="宋体" w:hAnsi="宋体"/>
          <w:color w:val="auto"/>
          <w:sz w:val="24"/>
          <w:lang w:val="en-US" w:eastAsia="zh-CN"/>
        </w:rPr>
        <w:t>采用桶包装，使用后的空桶由供方进行回收处理。</w:t>
      </w:r>
    </w:p>
    <w:p>
      <w:pPr>
        <w:spacing w:line="360" w:lineRule="exact"/>
        <w:jc w:val="left"/>
        <w:rPr>
          <w:rFonts w:ascii="宋体" w:cs="宋体"/>
          <w:sz w:val="24"/>
        </w:rPr>
      </w:pPr>
      <w:r>
        <w:rPr>
          <w:rFonts w:hint="eastAsia" w:ascii="宋体" w:hAnsi="宋体" w:cs="宋体"/>
          <w:sz w:val="24"/>
          <w:lang w:val="en-US" w:eastAsia="zh-CN"/>
        </w:rPr>
        <w:t>6</w:t>
      </w:r>
      <w:r>
        <w:rPr>
          <w:rFonts w:hint="eastAsia" w:ascii="宋体" w:hAnsi="宋体" w:cs="宋体"/>
          <w:sz w:val="24"/>
        </w:rPr>
        <w:t>.</w:t>
      </w:r>
      <w:r>
        <w:rPr>
          <w:rFonts w:hint="eastAsia" w:ascii="宋体" w:hAnsi="宋体"/>
          <w:sz w:val="24"/>
        </w:rPr>
        <w:t>到货时间：</w:t>
      </w:r>
      <w:r>
        <w:rPr>
          <w:rFonts w:hint="eastAsia" w:ascii="宋体" w:hAnsi="宋体"/>
          <w:sz w:val="24"/>
          <w:lang w:val="en-US" w:eastAsia="zh-CN"/>
        </w:rPr>
        <w:t>分批</w:t>
      </w:r>
      <w:r>
        <w:rPr>
          <w:rFonts w:hint="eastAsia" w:ascii="宋体" w:hAnsi="宋体"/>
          <w:color w:val="auto"/>
          <w:sz w:val="24"/>
          <w:lang w:val="en-US" w:eastAsia="zh-CN"/>
        </w:rPr>
        <w:t>到货，要求于</w:t>
      </w:r>
      <w:r>
        <w:rPr>
          <w:rFonts w:hint="eastAsia" w:ascii="宋体" w:hAnsi="宋体"/>
          <w:sz w:val="24"/>
          <w:lang w:val="en-US" w:eastAsia="zh-CN"/>
        </w:rPr>
        <w:t>2023年6月底前具备到货条件，具体到货时间以需方通知为准</w:t>
      </w:r>
      <w:r>
        <w:rPr>
          <w:rFonts w:hint="eastAsia" w:ascii="宋体" w:hAnsi="宋体"/>
          <w:sz w:val="24"/>
        </w:rPr>
        <w:t>。</w:t>
      </w:r>
    </w:p>
    <w:p>
      <w:pPr>
        <w:spacing w:line="350" w:lineRule="exact"/>
        <w:jc w:val="left"/>
        <w:rPr>
          <w:rFonts w:ascii="宋体" w:cs="宋体"/>
          <w:sz w:val="24"/>
        </w:rPr>
      </w:pPr>
      <w:r>
        <w:rPr>
          <w:rFonts w:hint="eastAsia" w:asciiTheme="minorEastAsia" w:hAnsiTheme="minorEastAsia" w:eastAsiaTheme="minorEastAsia"/>
          <w:bCs/>
          <w:kern w:val="0"/>
          <w:sz w:val="24"/>
          <w:lang w:val="en-US" w:eastAsia="zh-CN"/>
        </w:rPr>
        <w:t>7</w:t>
      </w:r>
      <w:r>
        <w:rPr>
          <w:rFonts w:hint="eastAsia" w:asciiTheme="minorEastAsia" w:hAnsiTheme="minorEastAsia" w:eastAsiaTheme="minorEastAsia"/>
          <w:bCs/>
          <w:kern w:val="0"/>
          <w:sz w:val="24"/>
        </w:rPr>
        <w:t>.报价须知：</w:t>
      </w:r>
      <w:r>
        <w:rPr>
          <w:rFonts w:hint="eastAsia" w:asciiTheme="minorEastAsia" w:hAnsiTheme="minorEastAsia" w:eastAsiaTheme="minorEastAsia"/>
          <w:bCs/>
          <w:kern w:val="0"/>
          <w:sz w:val="24"/>
          <w:lang w:val="en-US" w:eastAsia="zh-CN"/>
        </w:rPr>
        <w:t>加氢裂化装置水溶性中和缓蚀剂</w:t>
      </w:r>
      <w:r>
        <w:rPr>
          <w:rFonts w:hint="eastAsia" w:asciiTheme="minorEastAsia" w:hAnsiTheme="minorEastAsia" w:eastAsiaTheme="minorEastAsia"/>
          <w:bCs/>
          <w:kern w:val="0"/>
          <w:sz w:val="24"/>
        </w:rPr>
        <w:t>为</w:t>
      </w:r>
      <w:r>
        <w:rPr>
          <w:rFonts w:hint="eastAsia" w:ascii="宋体" w:hAnsi="宋体" w:cs="宋体"/>
          <w:sz w:val="24"/>
        </w:rPr>
        <w:t>含税送到价。参选人需对全部比选数量进行报价。</w:t>
      </w:r>
    </w:p>
    <w:p>
      <w:pPr>
        <w:spacing w:line="350" w:lineRule="exact"/>
        <w:jc w:val="left"/>
        <w:rPr>
          <w:rFonts w:ascii="宋体" w:hAnsi="宋体" w:cs="宋体"/>
          <w:sz w:val="24"/>
        </w:rPr>
      </w:pPr>
      <w:r>
        <w:rPr>
          <w:rFonts w:hint="eastAsia" w:ascii="宋体" w:hAnsi="宋体" w:cs="宋体"/>
          <w:sz w:val="24"/>
          <w:lang w:val="en-US" w:eastAsia="zh-CN"/>
        </w:rPr>
        <w:t>8</w:t>
      </w:r>
      <w:r>
        <w:rPr>
          <w:rFonts w:hint="eastAsia" w:ascii="宋体" w:hAnsi="宋体" w:cs="宋体"/>
          <w:sz w:val="24"/>
        </w:rPr>
        <w:t>.其他要求按双方签订的合同执行，关键条款重申如下：</w:t>
      </w:r>
    </w:p>
    <w:p>
      <w:pPr>
        <w:spacing w:line="350" w:lineRule="exact"/>
        <w:jc w:val="left"/>
        <w:rPr>
          <w:rFonts w:hint="eastAsia" w:ascii="宋体" w:hAnsi="宋体" w:cs="宋体"/>
          <w:sz w:val="24"/>
        </w:rPr>
      </w:pPr>
      <w:r>
        <w:rPr>
          <w:rFonts w:hint="eastAsia" w:ascii="宋体" w:hAnsi="宋体" w:cs="宋体"/>
          <w:sz w:val="24"/>
          <w:lang w:val="en-US" w:eastAsia="zh-CN"/>
        </w:rPr>
        <w:t>8</w:t>
      </w:r>
      <w:r>
        <w:rPr>
          <w:rFonts w:hint="eastAsia" w:ascii="宋体" w:hAnsi="宋体" w:cs="宋体"/>
          <w:sz w:val="24"/>
        </w:rPr>
        <w:t>.1付款方式：现汇支付</w:t>
      </w:r>
      <w:r>
        <w:rPr>
          <w:rFonts w:hint="eastAsia" w:ascii="宋体" w:hAnsi="宋体" w:cs="宋体"/>
          <w:sz w:val="24"/>
          <w:lang w:eastAsia="zh-CN"/>
        </w:rPr>
        <w:t>，</w:t>
      </w:r>
      <w:r>
        <w:rPr>
          <w:rFonts w:hint="eastAsia" w:ascii="宋体" w:hAnsi="宋体" w:cs="宋体"/>
          <w:sz w:val="24"/>
          <w:lang w:val="en-US" w:eastAsia="zh-CN"/>
        </w:rPr>
        <w:t>按季度考核付款</w:t>
      </w:r>
      <w:r>
        <w:rPr>
          <w:rFonts w:hint="eastAsia" w:ascii="宋体" w:hAnsi="宋体" w:cs="宋体"/>
          <w:sz w:val="24"/>
        </w:rPr>
        <w:t>。</w:t>
      </w:r>
      <w:r>
        <w:rPr>
          <w:rFonts w:hint="eastAsia" w:ascii="宋体" w:hAnsi="宋体" w:cs="宋体"/>
          <w:sz w:val="24"/>
          <w:lang w:val="en-US" w:eastAsia="zh-CN"/>
        </w:rPr>
        <w:t>分批季度到货、分批付款。</w:t>
      </w:r>
      <w:r>
        <w:rPr>
          <w:rFonts w:hint="eastAsia" w:ascii="宋体" w:hAnsi="宋体" w:cs="宋体"/>
          <w:sz w:val="24"/>
        </w:rPr>
        <w:t>每批产品到货</w:t>
      </w:r>
      <w:r>
        <w:rPr>
          <w:rFonts w:hint="eastAsia" w:ascii="宋体" w:hAnsi="宋体" w:cs="宋体"/>
          <w:sz w:val="24"/>
          <w:lang w:val="en-US" w:eastAsia="zh-CN"/>
        </w:rPr>
        <w:t>后</w:t>
      </w:r>
      <w:r>
        <w:rPr>
          <w:rFonts w:hint="eastAsia" w:ascii="宋体" w:hAnsi="宋体" w:cs="宋体"/>
          <w:sz w:val="24"/>
        </w:rPr>
        <w:t>，</w:t>
      </w:r>
      <w:r>
        <w:rPr>
          <w:rFonts w:hint="eastAsia" w:ascii="宋体" w:hAnsi="宋体" w:cs="宋体"/>
          <w:sz w:val="24"/>
          <w:lang w:val="en-US" w:eastAsia="zh-CN"/>
        </w:rPr>
        <w:t>根据季度考核结果付款</w:t>
      </w:r>
      <w:r>
        <w:rPr>
          <w:rFonts w:hint="eastAsia" w:ascii="宋体" w:hAnsi="宋体" w:cs="宋体"/>
          <w:sz w:val="24"/>
          <w:lang w:eastAsia="zh-CN"/>
        </w:rPr>
        <w:t>。</w:t>
      </w:r>
    </w:p>
    <w:p>
      <w:pPr>
        <w:spacing w:line="350" w:lineRule="exact"/>
        <w:jc w:val="left"/>
        <w:rPr>
          <w:rFonts w:ascii="宋体" w:hAnsi="宋体" w:cs="宋体"/>
          <w:sz w:val="24"/>
        </w:rPr>
      </w:pPr>
      <w:r>
        <w:rPr>
          <w:rFonts w:hint="eastAsia" w:ascii="宋体" w:hAnsi="宋体" w:cs="宋体"/>
          <w:sz w:val="24"/>
          <w:lang w:val="en-US" w:eastAsia="zh-CN"/>
        </w:rPr>
        <w:t>8</w:t>
      </w:r>
      <w:r>
        <w:rPr>
          <w:rFonts w:hint="eastAsia" w:ascii="宋体" w:hAnsi="宋体" w:cs="宋体"/>
          <w:sz w:val="24"/>
        </w:rPr>
        <w:t>.2数量验收：以需方使用单位验收为准。</w:t>
      </w:r>
    </w:p>
    <w:p>
      <w:pPr>
        <w:spacing w:line="350" w:lineRule="exact"/>
        <w:jc w:val="left"/>
        <w:rPr>
          <w:rFonts w:asciiTheme="minorEastAsia" w:hAnsiTheme="minorEastAsia" w:eastAsiaTheme="minorEastAsia"/>
          <w:kern w:val="0"/>
          <w:sz w:val="24"/>
        </w:rPr>
      </w:pPr>
      <w:r>
        <w:rPr>
          <w:rFonts w:hint="eastAsia" w:ascii="宋体" w:hAnsi="宋体"/>
          <w:sz w:val="24"/>
          <w:lang w:val="en-US" w:eastAsia="zh-CN"/>
        </w:rPr>
        <w:t>9</w:t>
      </w:r>
      <w:r>
        <w:rPr>
          <w:rFonts w:hint="eastAsia" w:ascii="宋体" w:hAnsi="宋体"/>
          <w:sz w:val="24"/>
        </w:rPr>
        <w:t>.运输条款：</w:t>
      </w:r>
      <w:r>
        <w:rPr>
          <w:rFonts w:hint="eastAsia" w:asciiTheme="minorEastAsia" w:hAnsiTheme="minorEastAsia" w:eastAsiaTheme="minorEastAsia"/>
          <w:sz w:val="24"/>
        </w:rPr>
        <w:t>汽车运输至福建省漳州市古雷开发区腾龙路福建福海创石油化工有限公司指定仓库</w:t>
      </w:r>
      <w:r>
        <w:rPr>
          <w:rFonts w:hint="eastAsia" w:asciiTheme="minorEastAsia" w:hAnsiTheme="minorEastAsia" w:eastAsiaTheme="minorEastAsia"/>
          <w:kern w:val="0"/>
          <w:sz w:val="24"/>
        </w:rPr>
        <w:t>。</w:t>
      </w:r>
    </w:p>
    <w:p>
      <w:pPr>
        <w:spacing w:line="360" w:lineRule="exact"/>
        <w:jc w:val="left"/>
        <w:rPr>
          <w:rFonts w:ascii="宋体" w:hAnsi="宋体" w:cs="宋体"/>
          <w:sz w:val="24"/>
        </w:rPr>
      </w:pPr>
      <w:r>
        <w:rPr>
          <w:rFonts w:hint="eastAsia" w:ascii="宋体" w:hAnsi="宋体" w:cs="宋体"/>
          <w:sz w:val="24"/>
          <w:lang w:val="en-US" w:eastAsia="zh-CN"/>
        </w:rPr>
        <w:t>10</w:t>
      </w:r>
      <w:r>
        <w:rPr>
          <w:rFonts w:hint="eastAsia" w:ascii="宋体" w:hAnsi="宋体" w:cs="宋体"/>
          <w:sz w:val="24"/>
        </w:rPr>
        <w:t>.参选文件的递交</w:t>
      </w:r>
    </w:p>
    <w:p>
      <w:pPr>
        <w:spacing w:line="360" w:lineRule="exact"/>
        <w:jc w:val="left"/>
        <w:rPr>
          <w:rFonts w:ascii="宋体" w:hAnsi="宋体" w:cs="宋体"/>
          <w:sz w:val="24"/>
        </w:rPr>
      </w:pPr>
      <w:r>
        <w:rPr>
          <w:rFonts w:hint="eastAsia" w:ascii="宋体" w:hAnsi="宋体" w:cs="宋体"/>
          <w:sz w:val="24"/>
          <w:lang w:val="en-US" w:eastAsia="zh-CN"/>
        </w:rPr>
        <w:t>10</w:t>
      </w:r>
      <w:r>
        <w:rPr>
          <w:rFonts w:hint="eastAsia" w:ascii="宋体" w:hAnsi="宋体" w:cs="宋体"/>
          <w:sz w:val="24"/>
        </w:rPr>
        <w:t>.1参选文件递交截止时间：见比选公告。</w:t>
      </w:r>
    </w:p>
    <w:p>
      <w:pPr>
        <w:spacing w:line="360" w:lineRule="exact"/>
        <w:jc w:val="left"/>
        <w:rPr>
          <w:rFonts w:ascii="宋体" w:hAnsi="宋体" w:cs="宋体"/>
          <w:sz w:val="24"/>
        </w:rPr>
      </w:pPr>
      <w:r>
        <w:rPr>
          <w:rFonts w:hint="eastAsia" w:ascii="宋体" w:hAnsi="宋体" w:cs="宋体"/>
          <w:sz w:val="24"/>
          <w:lang w:val="en-US" w:eastAsia="zh-CN"/>
        </w:rPr>
        <w:t>10</w:t>
      </w:r>
      <w:r>
        <w:rPr>
          <w:rFonts w:hint="eastAsia" w:ascii="宋体" w:hAnsi="宋体" w:cs="宋体"/>
          <w:sz w:val="24"/>
        </w:rPr>
        <w:t>.2参选文件应密封，包含比选公告、参选规定及说明、公开比选文件、参选书、法定代表人授权书、报价单</w:t>
      </w:r>
      <w:r>
        <w:rPr>
          <w:rFonts w:hint="eastAsia" w:ascii="宋体" w:hAnsi="宋体" w:cs="宋体"/>
          <w:sz w:val="24"/>
          <w:lang w:eastAsia="zh-CN"/>
        </w:rPr>
        <w:t>、</w:t>
      </w:r>
      <w:r>
        <w:rPr>
          <w:rFonts w:hint="eastAsia" w:ascii="宋体" w:hAnsi="宋体" w:cs="宋体"/>
          <w:sz w:val="24"/>
          <w:lang w:val="en-US" w:eastAsia="zh-CN"/>
        </w:rPr>
        <w:t>技术要求</w:t>
      </w:r>
      <w:r>
        <w:rPr>
          <w:rFonts w:hint="eastAsia" w:ascii="宋体" w:hAnsi="宋体" w:cs="宋体"/>
          <w:sz w:val="24"/>
        </w:rPr>
        <w:t>上述</w:t>
      </w:r>
      <w:r>
        <w:rPr>
          <w:rFonts w:hint="eastAsia" w:ascii="宋体" w:hAnsi="宋体" w:cs="宋体"/>
          <w:sz w:val="24"/>
          <w:lang w:val="en-US" w:eastAsia="zh-CN"/>
        </w:rPr>
        <w:t>七</w:t>
      </w:r>
      <w:r>
        <w:rPr>
          <w:rFonts w:hint="eastAsia" w:ascii="宋体" w:hAnsi="宋体" w:cs="宋体"/>
          <w:sz w:val="24"/>
        </w:rPr>
        <w:t>项文件一式两份并逐页盖公章。密封处盖章。</w:t>
      </w:r>
    </w:p>
    <w:p>
      <w:pPr>
        <w:spacing w:line="360" w:lineRule="exact"/>
        <w:jc w:val="left"/>
        <w:rPr>
          <w:rFonts w:ascii="宋体" w:hAnsi="宋体" w:cs="宋体"/>
          <w:sz w:val="24"/>
        </w:rPr>
      </w:pPr>
      <w:r>
        <w:rPr>
          <w:rFonts w:hint="eastAsia" w:ascii="宋体" w:hAnsi="宋体" w:cs="宋体"/>
          <w:sz w:val="24"/>
          <w:lang w:val="en-US" w:eastAsia="zh-CN"/>
        </w:rPr>
        <w:t>10</w:t>
      </w:r>
      <w:r>
        <w:rPr>
          <w:rFonts w:hint="eastAsia" w:ascii="宋体" w:hAnsi="宋体" w:cs="宋体"/>
          <w:sz w:val="24"/>
        </w:rPr>
        <w:t>.3我公司快递联系方式：公司名称：</w:t>
      </w:r>
      <w:r>
        <w:rPr>
          <w:rFonts w:hint="eastAsia" w:ascii="宋体" w:hAnsi="宋体" w:cs="宋体"/>
          <w:sz w:val="24"/>
          <w:lang w:eastAsia="zh-CN"/>
        </w:rPr>
        <w:t>腾龙芳烃（漳州）有限公司</w:t>
      </w:r>
    </w:p>
    <w:p>
      <w:pPr>
        <w:spacing w:line="360" w:lineRule="exact"/>
        <w:jc w:val="left"/>
        <w:rPr>
          <w:rFonts w:ascii="宋体" w:hAnsi="宋体" w:cs="宋体"/>
          <w:sz w:val="24"/>
        </w:rPr>
      </w:pPr>
      <w:r>
        <w:rPr>
          <w:rFonts w:hint="eastAsia" w:ascii="宋体" w:hAnsi="宋体" w:cs="宋体"/>
          <w:sz w:val="24"/>
        </w:rPr>
        <w:t>地址：福建</w:t>
      </w:r>
      <w:r>
        <w:rPr>
          <w:rFonts w:hint="eastAsia" w:ascii="宋体" w:hAnsi="宋体" w:cs="宋体"/>
          <w:sz w:val="24"/>
          <w:lang w:val="en-US" w:eastAsia="zh-CN"/>
        </w:rPr>
        <w:t>省</w:t>
      </w:r>
      <w:r>
        <w:rPr>
          <w:rFonts w:hint="eastAsia" w:asciiTheme="minorEastAsia" w:hAnsiTheme="minorEastAsia" w:eastAsiaTheme="minorEastAsia"/>
          <w:bCs/>
          <w:sz w:val="24"/>
          <w:lang w:val="en-US" w:eastAsia="zh-CN"/>
        </w:rPr>
        <w:t>漳州市漳浦县杜浔镇杜昌路9号福海创办公大楼2楼</w:t>
      </w:r>
      <w:r>
        <w:rPr>
          <w:rFonts w:hint="eastAsia" w:ascii="宋体" w:hAnsi="宋体" w:cs="宋体"/>
          <w:sz w:val="24"/>
        </w:rPr>
        <w:t xml:space="preserve"> </w:t>
      </w:r>
    </w:p>
    <w:p>
      <w:pPr>
        <w:spacing w:line="360" w:lineRule="exact"/>
        <w:jc w:val="left"/>
        <w:rPr>
          <w:rFonts w:hint="eastAsia" w:ascii="宋体" w:hAnsi="宋体"/>
          <w:b/>
          <w:bCs/>
          <w:sz w:val="36"/>
          <w:szCs w:val="36"/>
        </w:rPr>
      </w:pPr>
      <w:r>
        <w:rPr>
          <w:rFonts w:hint="eastAsia" w:ascii="宋体" w:hAnsi="宋体" w:cs="宋体"/>
          <w:sz w:val="24"/>
        </w:rPr>
        <w:t>联系人：卢翠云  手机：13599526303</w:t>
      </w: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both"/>
        <w:rPr>
          <w:rFonts w:hint="eastAsia" w:ascii="宋体" w:hAnsi="宋体"/>
          <w:b/>
          <w:bCs/>
          <w:sz w:val="36"/>
          <w:szCs w:val="36"/>
        </w:rPr>
      </w:pPr>
    </w:p>
    <w:p>
      <w:pPr>
        <w:spacing w:line="500" w:lineRule="exact"/>
        <w:jc w:val="center"/>
        <w:rPr>
          <w:rFonts w:ascii="宋体"/>
          <w:b/>
          <w:bCs/>
          <w:sz w:val="36"/>
          <w:szCs w:val="36"/>
        </w:rPr>
      </w:pPr>
      <w:r>
        <w:rPr>
          <w:rFonts w:hint="eastAsia" w:ascii="宋体" w:hAnsi="宋体"/>
          <w:b/>
          <w:bCs/>
          <w:sz w:val="36"/>
          <w:szCs w:val="36"/>
        </w:rPr>
        <w:t>四、参选书</w:t>
      </w:r>
    </w:p>
    <w:p>
      <w:pPr>
        <w:spacing w:line="500" w:lineRule="exact"/>
        <w:jc w:val="center"/>
        <w:rPr>
          <w:rFonts w:ascii="宋体"/>
          <w:b/>
          <w:bCs/>
          <w:sz w:val="36"/>
          <w:szCs w:val="36"/>
        </w:rPr>
      </w:pPr>
    </w:p>
    <w:p>
      <w:pPr>
        <w:spacing w:line="500" w:lineRule="exact"/>
        <w:rPr>
          <w:rFonts w:ascii="宋体"/>
          <w:sz w:val="24"/>
        </w:rPr>
      </w:pPr>
      <w:r>
        <w:rPr>
          <w:rFonts w:hint="eastAsia" w:ascii="宋体" w:hAnsi="宋体"/>
          <w:sz w:val="24"/>
        </w:rPr>
        <w:t>致：</w:t>
      </w:r>
      <w:r>
        <w:rPr>
          <w:rFonts w:hint="eastAsia" w:ascii="宋体" w:hAnsi="宋体"/>
          <w:sz w:val="24"/>
          <w:lang w:eastAsia="zh-CN"/>
        </w:rPr>
        <w:t>腾龙芳烃（漳州）有限公司</w:t>
      </w:r>
    </w:p>
    <w:p>
      <w:pPr>
        <w:spacing w:line="500" w:lineRule="exact"/>
        <w:ind w:firstLine="480" w:firstLineChars="200"/>
        <w:rPr>
          <w:rFonts w:ascii="宋体" w:hAnsi="宋体"/>
          <w:sz w:val="24"/>
        </w:rPr>
      </w:pPr>
      <w:r>
        <w:rPr>
          <w:rFonts w:hint="eastAsia" w:ascii="宋体" w:hAnsi="宋体"/>
          <w:sz w:val="24"/>
        </w:rPr>
        <w:t>根据贵方的公开比选文件（编号：</w:t>
      </w:r>
      <w:r>
        <w:rPr>
          <w:rFonts w:hint="eastAsia" w:asciiTheme="minorEastAsia" w:hAnsiTheme="minorEastAsia" w:eastAsiaTheme="minorEastAsia"/>
          <w:bCs/>
          <w:sz w:val="24"/>
          <w:u w:val="single"/>
          <w:lang w:eastAsia="zh-CN"/>
        </w:rPr>
        <w:t>2023-FHC-水溶性中和缓蚀剂-0</w:t>
      </w:r>
      <w:r>
        <w:rPr>
          <w:rFonts w:hint="eastAsia" w:asciiTheme="minorEastAsia" w:hAnsiTheme="minorEastAsia" w:eastAsiaTheme="minorEastAsia"/>
          <w:bCs/>
          <w:sz w:val="24"/>
          <w:u w:val="single"/>
          <w:lang w:val="en-US" w:eastAsia="zh-CN"/>
        </w:rPr>
        <w:t>510</w:t>
      </w:r>
      <w:r>
        <w:rPr>
          <w:rFonts w:hint="eastAsia" w:ascii="宋体" w:hAnsi="宋体"/>
          <w:sz w:val="24"/>
        </w:rPr>
        <w:t>），被我方正式授权并代表我公司递交下述文件，并对此负责。</w:t>
      </w:r>
    </w:p>
    <w:p>
      <w:pPr>
        <w:spacing w:line="500" w:lineRule="exact"/>
        <w:ind w:firstLine="480" w:firstLineChars="200"/>
        <w:rPr>
          <w:rFonts w:ascii="宋体"/>
          <w:sz w:val="24"/>
        </w:rPr>
      </w:pPr>
      <w:r>
        <w:rPr>
          <w:rFonts w:hint="eastAsia" w:ascii="宋体" w:hAnsi="宋体"/>
          <w:sz w:val="24"/>
        </w:rPr>
        <w:t>（</w:t>
      </w:r>
      <w:r>
        <w:rPr>
          <w:rFonts w:ascii="宋体" w:hAnsi="宋体"/>
          <w:sz w:val="24"/>
        </w:rPr>
        <w:t>1</w:t>
      </w:r>
      <w:r>
        <w:rPr>
          <w:rFonts w:hint="eastAsia" w:ascii="宋体" w:hAnsi="宋体"/>
          <w:sz w:val="24"/>
        </w:rPr>
        <w:t>）参选规定及说明</w:t>
      </w:r>
    </w:p>
    <w:p>
      <w:pPr>
        <w:spacing w:line="500" w:lineRule="exact"/>
        <w:ind w:firstLine="480" w:firstLineChars="200"/>
        <w:rPr>
          <w:rFonts w:ascii="宋体"/>
          <w:sz w:val="24"/>
        </w:rPr>
      </w:pPr>
      <w:r>
        <w:rPr>
          <w:rFonts w:hint="eastAsia" w:ascii="宋体" w:hAnsi="宋体"/>
          <w:sz w:val="24"/>
        </w:rPr>
        <w:t>（</w:t>
      </w:r>
      <w:r>
        <w:rPr>
          <w:rFonts w:ascii="宋体" w:hAnsi="宋体"/>
          <w:sz w:val="24"/>
        </w:rPr>
        <w:t>2</w:t>
      </w:r>
      <w:r>
        <w:rPr>
          <w:rFonts w:hint="eastAsia" w:ascii="宋体" w:hAnsi="宋体"/>
          <w:sz w:val="24"/>
        </w:rPr>
        <w:t>）公开比选文件</w:t>
      </w:r>
    </w:p>
    <w:p>
      <w:pPr>
        <w:spacing w:line="500" w:lineRule="exact"/>
        <w:ind w:firstLine="480" w:firstLineChars="200"/>
        <w:rPr>
          <w:rFonts w:ascii="宋体"/>
          <w:sz w:val="24"/>
        </w:rPr>
      </w:pPr>
      <w:r>
        <w:rPr>
          <w:rFonts w:hint="eastAsia" w:ascii="宋体" w:hAnsi="宋体"/>
          <w:sz w:val="24"/>
        </w:rPr>
        <w:t>（</w:t>
      </w:r>
      <w:r>
        <w:rPr>
          <w:rFonts w:ascii="宋体" w:hAnsi="宋体"/>
          <w:sz w:val="24"/>
        </w:rPr>
        <w:t>3</w:t>
      </w:r>
      <w:r>
        <w:rPr>
          <w:rFonts w:hint="eastAsia" w:ascii="宋体" w:hAnsi="宋体"/>
          <w:sz w:val="24"/>
        </w:rPr>
        <w:t>）参选书</w:t>
      </w:r>
    </w:p>
    <w:p>
      <w:pPr>
        <w:spacing w:line="500" w:lineRule="exact"/>
        <w:ind w:firstLine="480" w:firstLineChars="200"/>
        <w:rPr>
          <w:rFonts w:ascii="宋体"/>
          <w:sz w:val="24"/>
        </w:rPr>
      </w:pPr>
      <w:r>
        <w:rPr>
          <w:rFonts w:hint="eastAsia" w:ascii="宋体" w:hAnsi="宋体"/>
          <w:sz w:val="24"/>
        </w:rPr>
        <w:t>（</w:t>
      </w:r>
      <w:r>
        <w:rPr>
          <w:rFonts w:ascii="宋体" w:hAnsi="宋体"/>
          <w:sz w:val="24"/>
        </w:rPr>
        <w:t>4</w:t>
      </w:r>
      <w:r>
        <w:rPr>
          <w:rFonts w:hint="eastAsia" w:ascii="宋体" w:hAnsi="宋体"/>
          <w:sz w:val="24"/>
        </w:rPr>
        <w:t>）法定代表人授权书</w:t>
      </w:r>
    </w:p>
    <w:p>
      <w:pPr>
        <w:spacing w:line="500" w:lineRule="exact"/>
        <w:ind w:firstLine="480" w:firstLineChars="200"/>
        <w:rPr>
          <w:rFonts w:hint="eastAsia" w:ascii="宋体" w:hAnsi="宋体"/>
          <w:sz w:val="24"/>
        </w:rPr>
      </w:pPr>
      <w:r>
        <w:rPr>
          <w:rFonts w:hint="eastAsia" w:ascii="宋体" w:hAnsi="宋体"/>
          <w:sz w:val="24"/>
        </w:rPr>
        <w:t>（</w:t>
      </w:r>
      <w:r>
        <w:rPr>
          <w:rFonts w:ascii="宋体" w:hAnsi="宋体"/>
          <w:sz w:val="24"/>
        </w:rPr>
        <w:t>5</w:t>
      </w:r>
      <w:r>
        <w:rPr>
          <w:rFonts w:hint="eastAsia" w:ascii="宋体" w:hAnsi="宋体"/>
          <w:sz w:val="24"/>
        </w:rPr>
        <w:t>）报价单</w:t>
      </w:r>
    </w:p>
    <w:p>
      <w:pPr>
        <w:spacing w:line="500" w:lineRule="exact"/>
        <w:ind w:firstLine="480" w:firstLineChars="200"/>
        <w:rPr>
          <w:rFonts w:hint="eastAsia" w:ascii="宋体" w:hAnsi="宋体" w:eastAsia="宋体"/>
          <w:sz w:val="24"/>
          <w:lang w:eastAsia="zh-CN"/>
        </w:rPr>
      </w:pPr>
      <w:r>
        <w:rPr>
          <w:rFonts w:hint="eastAsia" w:ascii="宋体" w:hAnsi="宋体"/>
          <w:sz w:val="24"/>
          <w:lang w:eastAsia="zh-CN"/>
        </w:rPr>
        <w:t>（</w:t>
      </w:r>
      <w:r>
        <w:rPr>
          <w:rFonts w:hint="eastAsia" w:ascii="宋体" w:hAnsi="宋体"/>
          <w:sz w:val="24"/>
          <w:lang w:val="en-US" w:eastAsia="zh-CN"/>
        </w:rPr>
        <w:t>6</w:t>
      </w:r>
      <w:r>
        <w:rPr>
          <w:rFonts w:hint="eastAsia" w:ascii="宋体" w:hAnsi="宋体"/>
          <w:sz w:val="24"/>
          <w:lang w:eastAsia="zh-CN"/>
        </w:rPr>
        <w:t>）</w:t>
      </w:r>
      <w:r>
        <w:rPr>
          <w:rFonts w:hint="eastAsia" w:ascii="宋体" w:hAnsi="宋体"/>
          <w:sz w:val="24"/>
          <w:lang w:val="en-US" w:eastAsia="zh-CN"/>
        </w:rPr>
        <w:t>技术要求</w:t>
      </w:r>
    </w:p>
    <w:p>
      <w:pPr>
        <w:spacing w:line="500" w:lineRule="exact"/>
        <w:ind w:firstLine="480" w:firstLineChars="200"/>
        <w:rPr>
          <w:rFonts w:ascii="宋体"/>
          <w:sz w:val="24"/>
        </w:rPr>
      </w:pPr>
      <w:r>
        <w:rPr>
          <w:rFonts w:hint="eastAsia" w:ascii="宋体" w:hAnsi="宋体"/>
          <w:sz w:val="24"/>
        </w:rPr>
        <w:t>据此参与书，我公司及签字代表宣布同意如下：</w:t>
      </w:r>
    </w:p>
    <w:p>
      <w:pPr>
        <w:numPr>
          <w:ilvl w:val="0"/>
          <w:numId w:val="5"/>
        </w:numPr>
        <w:spacing w:line="500" w:lineRule="exact"/>
        <w:ind w:firstLine="480" w:firstLineChars="200"/>
        <w:rPr>
          <w:rFonts w:ascii="宋体"/>
          <w:sz w:val="24"/>
        </w:rPr>
      </w:pPr>
      <w:r>
        <w:rPr>
          <w:rFonts w:hint="eastAsia" w:ascii="宋体" w:hAnsi="宋体"/>
          <w:sz w:val="24"/>
        </w:rPr>
        <w:t>所交付的货物和所递交的报价真实、可靠。</w:t>
      </w:r>
    </w:p>
    <w:p>
      <w:pPr>
        <w:numPr>
          <w:ilvl w:val="0"/>
          <w:numId w:val="5"/>
        </w:numPr>
        <w:spacing w:line="500" w:lineRule="exact"/>
        <w:ind w:firstLine="480" w:firstLineChars="200"/>
        <w:rPr>
          <w:rFonts w:ascii="宋体"/>
          <w:sz w:val="24"/>
        </w:rPr>
      </w:pPr>
      <w:r>
        <w:rPr>
          <w:rFonts w:hint="eastAsia" w:ascii="宋体" w:hAnsi="宋体"/>
          <w:sz w:val="24"/>
        </w:rPr>
        <w:t>我方将履行公开比选文件规定的每一项要求、按期、按质、按量履行合同及订单。</w:t>
      </w:r>
    </w:p>
    <w:p>
      <w:pPr>
        <w:numPr>
          <w:ilvl w:val="0"/>
          <w:numId w:val="5"/>
        </w:numPr>
        <w:spacing w:line="500" w:lineRule="exact"/>
        <w:ind w:firstLine="480" w:firstLineChars="200"/>
        <w:rPr>
          <w:rFonts w:ascii="宋体"/>
          <w:sz w:val="24"/>
        </w:rPr>
      </w:pPr>
      <w:r>
        <w:rPr>
          <w:rFonts w:hint="eastAsia" w:ascii="宋体" w:hAnsi="宋体"/>
          <w:sz w:val="24"/>
        </w:rPr>
        <w:t>我公司报价有效期从报价日起至合同履约执行结束为止。</w:t>
      </w:r>
    </w:p>
    <w:p>
      <w:pPr>
        <w:spacing w:line="500" w:lineRule="exact"/>
        <w:ind w:firstLine="480" w:firstLineChars="200"/>
        <w:rPr>
          <w:rFonts w:ascii="宋体"/>
          <w:sz w:val="24"/>
        </w:rPr>
      </w:pPr>
    </w:p>
    <w:p>
      <w:pPr>
        <w:spacing w:line="500" w:lineRule="exact"/>
        <w:ind w:firstLine="480" w:firstLineChars="200"/>
        <w:rPr>
          <w:rFonts w:ascii="宋体"/>
          <w:sz w:val="24"/>
        </w:rPr>
      </w:pPr>
    </w:p>
    <w:p>
      <w:pPr>
        <w:spacing w:line="500" w:lineRule="exact"/>
        <w:ind w:firstLine="480" w:firstLineChars="200"/>
        <w:rPr>
          <w:rFonts w:ascii="宋体"/>
          <w:sz w:val="24"/>
        </w:rPr>
      </w:pPr>
      <w:r>
        <w:rPr>
          <w:rFonts w:hint="eastAsia" w:ascii="宋体" w:hAnsi="宋体"/>
          <w:sz w:val="24"/>
        </w:rPr>
        <w:t>被授权代表姓名：</w:t>
      </w:r>
    </w:p>
    <w:p>
      <w:pPr>
        <w:spacing w:line="500" w:lineRule="exact"/>
        <w:ind w:firstLine="480" w:firstLineChars="200"/>
        <w:rPr>
          <w:rFonts w:ascii="宋体"/>
          <w:sz w:val="24"/>
        </w:rPr>
      </w:pPr>
      <w:r>
        <w:rPr>
          <w:rFonts w:hint="eastAsia" w:ascii="宋体" w:hAnsi="宋体"/>
          <w:sz w:val="24"/>
        </w:rPr>
        <w:t>职务：</w:t>
      </w:r>
    </w:p>
    <w:p>
      <w:pPr>
        <w:spacing w:line="500" w:lineRule="exact"/>
        <w:ind w:firstLine="480" w:firstLineChars="200"/>
        <w:rPr>
          <w:rFonts w:ascii="宋体"/>
          <w:sz w:val="24"/>
        </w:rPr>
      </w:pPr>
      <w:r>
        <w:rPr>
          <w:rFonts w:hint="eastAsia" w:ascii="宋体" w:hAnsi="宋体"/>
          <w:sz w:val="24"/>
        </w:rPr>
        <w:t>联系方式：</w:t>
      </w:r>
    </w:p>
    <w:p>
      <w:pPr>
        <w:spacing w:line="500" w:lineRule="exact"/>
        <w:ind w:firstLine="480" w:firstLineChars="200"/>
        <w:rPr>
          <w:rFonts w:ascii="宋体"/>
          <w:sz w:val="24"/>
        </w:rPr>
      </w:pPr>
    </w:p>
    <w:p>
      <w:pPr>
        <w:spacing w:line="500" w:lineRule="exact"/>
        <w:ind w:firstLine="480" w:firstLineChars="200"/>
        <w:rPr>
          <w:rFonts w:ascii="宋体"/>
          <w:sz w:val="24"/>
        </w:rPr>
      </w:pPr>
      <w:r>
        <w:rPr>
          <w:rFonts w:hint="eastAsia" w:ascii="宋体" w:hAnsi="宋体"/>
          <w:sz w:val="24"/>
        </w:rPr>
        <w:t>被授权代表签字；</w:t>
      </w:r>
    </w:p>
    <w:p>
      <w:pPr>
        <w:widowControl/>
        <w:jc w:val="left"/>
        <w:rPr>
          <w:rFonts w:ascii="宋体"/>
          <w:b/>
          <w:bCs/>
          <w:sz w:val="36"/>
          <w:szCs w:val="36"/>
        </w:rPr>
      </w:pPr>
      <w:r>
        <w:rPr>
          <w:rFonts w:ascii="宋体"/>
          <w:b/>
          <w:bCs/>
          <w:sz w:val="36"/>
          <w:szCs w:val="36"/>
        </w:rPr>
        <w:br w:type="page"/>
      </w:r>
    </w:p>
    <w:p>
      <w:pPr>
        <w:spacing w:line="500" w:lineRule="exact"/>
        <w:jc w:val="center"/>
        <w:rPr>
          <w:rFonts w:ascii="宋体"/>
          <w:b/>
          <w:bCs/>
          <w:sz w:val="36"/>
          <w:szCs w:val="36"/>
        </w:rPr>
      </w:pPr>
      <w:r>
        <w:rPr>
          <w:rFonts w:hint="eastAsia" w:ascii="宋体" w:hAnsi="宋体"/>
          <w:b/>
          <w:bCs/>
          <w:sz w:val="36"/>
          <w:szCs w:val="36"/>
        </w:rPr>
        <w:t>五、法定代表人授权书</w:t>
      </w:r>
    </w:p>
    <w:p>
      <w:pPr>
        <w:spacing w:line="500" w:lineRule="exact"/>
        <w:ind w:firstLine="480" w:firstLineChars="200"/>
        <w:rPr>
          <w:rFonts w:ascii="宋体"/>
          <w:sz w:val="24"/>
        </w:rPr>
      </w:pPr>
    </w:p>
    <w:p>
      <w:pPr>
        <w:spacing w:line="500" w:lineRule="exact"/>
        <w:ind w:firstLine="480" w:firstLineChars="200"/>
        <w:rPr>
          <w:rFonts w:ascii="宋体" w:hAnsi="宋体"/>
          <w:sz w:val="24"/>
        </w:rPr>
      </w:pPr>
      <w:r>
        <w:rPr>
          <w:rFonts w:hint="eastAsia" w:ascii="宋体" w:hAnsi="宋体"/>
          <w:sz w:val="24"/>
        </w:rPr>
        <w:t>本授权书声明：注册于的在下方签字（或签章）的代表本公司授权为本公司的合法代理人，就本次报价（编号：</w:t>
      </w:r>
      <w:r>
        <w:rPr>
          <w:rFonts w:hint="eastAsia" w:asciiTheme="minorEastAsia" w:hAnsiTheme="minorEastAsia" w:eastAsiaTheme="minorEastAsia"/>
          <w:bCs/>
          <w:sz w:val="24"/>
          <w:u w:val="single"/>
          <w:lang w:eastAsia="zh-CN"/>
        </w:rPr>
        <w:t>2023-FHC-水溶性中和缓蚀剂-0</w:t>
      </w:r>
      <w:r>
        <w:rPr>
          <w:rFonts w:hint="eastAsia" w:asciiTheme="minorEastAsia" w:hAnsiTheme="minorEastAsia" w:eastAsiaTheme="minorEastAsia"/>
          <w:bCs/>
          <w:sz w:val="24"/>
          <w:u w:val="single"/>
          <w:lang w:val="en-US" w:eastAsia="zh-CN"/>
        </w:rPr>
        <w:t>510</w:t>
      </w:r>
      <w:r>
        <w:rPr>
          <w:rFonts w:hint="eastAsia" w:ascii="宋体" w:hAnsi="宋体"/>
          <w:sz w:val="24"/>
        </w:rPr>
        <w:t>）的参与报价和合同的执行、以本公司名义处理与之有关的事务。</w:t>
      </w:r>
    </w:p>
    <w:p>
      <w:pPr>
        <w:spacing w:line="500" w:lineRule="exact"/>
        <w:rPr>
          <w:rFonts w:ascii="宋体"/>
          <w:sz w:val="24"/>
        </w:rPr>
      </w:pPr>
      <w:r>
        <w:rPr>
          <w:rFonts w:hint="eastAsia" w:ascii="宋体" w:hAnsi="宋体"/>
          <w:sz w:val="24"/>
        </w:rPr>
        <w:t>本授权书于    年   月   日生效，本授权书有效期至此次报价，以及合同履行完毕时止。特此声明。</w:t>
      </w:r>
    </w:p>
    <w:p>
      <w:pPr>
        <w:spacing w:line="500" w:lineRule="exact"/>
        <w:rPr>
          <w:rFonts w:ascii="宋体" w:hAnsi="宋体"/>
          <w:sz w:val="24"/>
        </w:rPr>
      </w:pPr>
      <w:r>
        <w:rPr>
          <w:rFonts w:hint="eastAsia" w:ascii="宋体" w:hAnsi="宋体"/>
          <w:sz w:val="24"/>
        </w:rPr>
        <w:t>法定代表人（签字或签章）：</w:t>
      </w: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sz w:val="24"/>
        </w:rPr>
      </w:pPr>
      <w:r>
        <w:rPr>
          <w:rFonts w:hint="eastAsia" w:ascii="宋体" w:hAnsi="宋体"/>
          <w:sz w:val="24"/>
        </w:rPr>
        <w:t>被授权代表签字：</w:t>
      </w:r>
    </w:p>
    <w:p>
      <w:pPr>
        <w:spacing w:line="500" w:lineRule="exact"/>
        <w:rPr>
          <w:rFonts w:ascii="宋体"/>
          <w:sz w:val="24"/>
        </w:rPr>
      </w:pPr>
    </w:p>
    <w:p>
      <w:pPr>
        <w:spacing w:line="500" w:lineRule="exact"/>
        <w:rPr>
          <w:rFonts w:ascii="宋体"/>
          <w:sz w:val="24"/>
        </w:rPr>
      </w:pPr>
      <w:r>
        <w:rPr>
          <w:rFonts w:hint="eastAsia" w:ascii="宋体" w:hAnsi="宋体"/>
          <w:sz w:val="24"/>
        </w:rPr>
        <w:t>单位名称（公章）：</w:t>
      </w:r>
    </w:p>
    <w:p>
      <w:pPr>
        <w:spacing w:line="500" w:lineRule="exact"/>
        <w:rPr>
          <w:rFonts w:ascii="宋体"/>
          <w:sz w:val="24"/>
        </w:rPr>
      </w:pPr>
      <w:r>
        <w:rPr>
          <w:rFonts w:hint="eastAsia" w:ascii="宋体" w:hAnsi="宋体"/>
          <w:sz w:val="24"/>
        </w:rPr>
        <w:t>地址：</w:t>
      </w:r>
    </w:p>
    <w:p>
      <w:pPr>
        <w:spacing w:line="500" w:lineRule="exact"/>
        <w:rPr>
          <w:rFonts w:ascii="宋体"/>
          <w:sz w:val="24"/>
        </w:rPr>
      </w:pPr>
      <w:r>
        <w:rPr>
          <w:rFonts w:hint="eastAsia" w:ascii="宋体" w:hAnsi="宋体"/>
          <w:sz w:val="24"/>
        </w:rPr>
        <w:t>电话：</w:t>
      </w:r>
    </w:p>
    <w:p>
      <w:pPr>
        <w:spacing w:line="500" w:lineRule="exact"/>
        <w:rPr>
          <w:rFonts w:ascii="宋体"/>
          <w:sz w:val="24"/>
        </w:rPr>
      </w:pPr>
      <w:r>
        <w:rPr>
          <w:rFonts w:hint="eastAsia" w:ascii="宋体" w:hAnsi="宋体"/>
          <w:sz w:val="24"/>
        </w:rPr>
        <w:t>传真：</w:t>
      </w:r>
    </w:p>
    <w:p>
      <w:pPr>
        <w:spacing w:line="500" w:lineRule="exact"/>
        <w:rPr>
          <w:rFonts w:ascii="宋体"/>
          <w:b/>
          <w:bCs/>
          <w:sz w:val="28"/>
        </w:rPr>
      </w:pPr>
    </w:p>
    <w:p>
      <w:pPr>
        <w:spacing w:line="400" w:lineRule="exact"/>
        <w:rPr>
          <w:rFonts w:ascii="宋体"/>
          <w:sz w:val="24"/>
        </w:rPr>
      </w:pPr>
    </w:p>
    <w:p>
      <w:pPr>
        <w:widowControl/>
        <w:jc w:val="left"/>
        <w:rPr>
          <w:rFonts w:ascii="宋体"/>
          <w:b/>
          <w:bCs/>
          <w:sz w:val="36"/>
          <w:szCs w:val="36"/>
        </w:rPr>
      </w:pPr>
      <w:r>
        <w:rPr>
          <w:rFonts w:ascii="宋体"/>
          <w:b/>
          <w:bCs/>
          <w:sz w:val="36"/>
          <w:szCs w:val="36"/>
        </w:rPr>
        <w:br w:type="page"/>
      </w:r>
    </w:p>
    <w:p>
      <w:pPr>
        <w:spacing w:line="500" w:lineRule="exact"/>
        <w:jc w:val="center"/>
        <w:rPr>
          <w:rFonts w:ascii="宋体" w:hAnsi="宋体"/>
          <w:b/>
          <w:bCs/>
          <w:sz w:val="36"/>
          <w:szCs w:val="36"/>
        </w:rPr>
      </w:pPr>
      <w:r>
        <w:rPr>
          <w:rFonts w:hint="eastAsia" w:ascii="宋体" w:hAnsi="宋体"/>
          <w:b/>
          <w:bCs/>
          <w:sz w:val="36"/>
          <w:szCs w:val="36"/>
        </w:rPr>
        <w:t>六、报价单</w:t>
      </w:r>
    </w:p>
    <w:p>
      <w:pPr>
        <w:spacing w:line="500" w:lineRule="exact"/>
        <w:rPr>
          <w:rFonts w:ascii="宋体" w:hAnsi="宋体"/>
          <w:sz w:val="24"/>
        </w:rPr>
      </w:pPr>
    </w:p>
    <w:p>
      <w:pPr>
        <w:spacing w:line="500" w:lineRule="exact"/>
        <w:rPr>
          <w:rFonts w:ascii="宋体"/>
          <w:sz w:val="24"/>
        </w:rPr>
      </w:pPr>
      <w:r>
        <w:rPr>
          <w:rFonts w:hint="eastAsia" w:ascii="宋体" w:hAnsi="宋体"/>
          <w:sz w:val="24"/>
        </w:rPr>
        <w:t>致：</w:t>
      </w:r>
      <w:r>
        <w:rPr>
          <w:rFonts w:hint="eastAsia" w:ascii="宋体" w:hAnsi="宋体"/>
          <w:sz w:val="24"/>
          <w:lang w:eastAsia="zh-CN"/>
        </w:rPr>
        <w:t>腾龙芳烃（漳州）有限公司</w:t>
      </w:r>
    </w:p>
    <w:p>
      <w:pPr>
        <w:spacing w:line="500" w:lineRule="exact"/>
        <w:rPr>
          <w:rFonts w:ascii="宋体"/>
          <w:sz w:val="24"/>
        </w:rPr>
      </w:pPr>
      <w:r>
        <w:rPr>
          <w:rFonts w:hint="eastAsia" w:ascii="宋体" w:hAnsi="宋体"/>
          <w:sz w:val="24"/>
        </w:rPr>
        <w:t>一、对于贵公司（需方）公开比选文件（编号：</w:t>
      </w:r>
      <w:r>
        <w:rPr>
          <w:rFonts w:hint="eastAsia" w:asciiTheme="minorEastAsia" w:hAnsiTheme="minorEastAsia" w:eastAsiaTheme="minorEastAsia"/>
          <w:bCs/>
          <w:sz w:val="24"/>
          <w:u w:val="single"/>
          <w:lang w:eastAsia="zh-CN"/>
        </w:rPr>
        <w:t>2023-FHC-水溶性中和缓蚀剂-0</w:t>
      </w:r>
      <w:r>
        <w:rPr>
          <w:rFonts w:hint="eastAsia" w:asciiTheme="minorEastAsia" w:hAnsiTheme="minorEastAsia" w:eastAsiaTheme="minorEastAsia"/>
          <w:bCs/>
          <w:sz w:val="24"/>
          <w:u w:val="single"/>
          <w:lang w:val="en-US" w:eastAsia="zh-CN"/>
        </w:rPr>
        <w:t>510</w:t>
      </w:r>
      <w:r>
        <w:rPr>
          <w:rFonts w:hint="eastAsia" w:ascii="宋体" w:hAnsi="宋体"/>
          <w:sz w:val="24"/>
        </w:rPr>
        <w:t>），报价如下：</w:t>
      </w:r>
    </w:p>
    <w:p>
      <w:pPr>
        <w:spacing w:line="500" w:lineRule="exact"/>
        <w:rPr>
          <w:rFonts w:hint="eastAsia" w:ascii="宋体" w:hAnsi="宋体"/>
          <w:color w:val="auto"/>
          <w:sz w:val="24"/>
        </w:rPr>
      </w:pPr>
      <w:r>
        <w:rPr>
          <w:rFonts w:hint="eastAsia" w:ascii="宋体" w:hAnsi="宋体"/>
          <w:color w:val="auto"/>
          <w:sz w:val="24"/>
          <w:lang w:val="en-US" w:eastAsia="zh-CN"/>
        </w:rPr>
        <w:t>1、</w:t>
      </w:r>
      <w:r>
        <w:rPr>
          <w:rFonts w:hint="eastAsia" w:ascii="宋体" w:hAnsi="宋体"/>
          <w:color w:val="auto"/>
          <w:sz w:val="24"/>
        </w:rPr>
        <w:t>我公司可按贵司要求供应</w:t>
      </w:r>
      <w:r>
        <w:rPr>
          <w:rFonts w:hint="eastAsia" w:ascii="宋体" w:hAnsi="宋体"/>
          <w:color w:val="auto"/>
          <w:sz w:val="24"/>
          <w:lang w:val="en-US" w:eastAsia="zh-CN"/>
        </w:rPr>
        <w:t>加氢裂化装置水溶性中和缓蚀剂</w:t>
      </w:r>
      <w:r>
        <w:rPr>
          <w:rFonts w:hint="eastAsia" w:ascii="宋体" w:hAnsi="宋体"/>
          <w:color w:val="auto"/>
          <w:sz w:val="24"/>
        </w:rPr>
        <w:t>：</w:t>
      </w:r>
    </w:p>
    <w:p>
      <w:pPr>
        <w:spacing w:line="500" w:lineRule="exact"/>
        <w:rPr>
          <w:rFonts w:hint="eastAsia" w:ascii="宋体" w:hAnsi="宋体"/>
          <w:color w:val="auto"/>
          <w:sz w:val="24"/>
          <w:lang w:val="en-US" w:eastAsia="zh-CN"/>
        </w:rPr>
      </w:pPr>
      <w:r>
        <w:rPr>
          <w:rFonts w:hint="eastAsia" w:ascii="宋体" w:hAnsi="宋体"/>
          <w:color w:val="auto"/>
          <w:sz w:val="24"/>
          <w:lang w:val="en-US" w:eastAsia="zh-CN"/>
        </w:rPr>
        <w:t>2、数量（约1.5年使用量）：______吨； 规格型号：_____________</w:t>
      </w:r>
    </w:p>
    <w:p>
      <w:pPr>
        <w:spacing w:line="500" w:lineRule="exact"/>
        <w:ind w:firstLine="240" w:firstLineChars="100"/>
        <w:rPr>
          <w:rFonts w:hint="eastAsia" w:cs="Times New Roman"/>
          <w:sz w:val="24"/>
          <w:lang w:eastAsia="zh-CN"/>
        </w:rPr>
      </w:pPr>
      <w:r>
        <w:rPr>
          <w:rFonts w:hint="eastAsia" w:ascii="宋体" w:hAnsi="宋体"/>
          <w:color w:val="auto"/>
          <w:sz w:val="24"/>
          <w:lang w:val="en-US" w:eastAsia="zh-CN"/>
        </w:rPr>
        <w:t xml:space="preserve"> </w:t>
      </w:r>
      <w:r>
        <w:rPr>
          <w:rFonts w:hint="eastAsia" w:ascii="Times New Roman" w:hAnsi="Times New Roman" w:eastAsia="宋体" w:cs="Times New Roman"/>
          <w:sz w:val="24"/>
          <w:lang w:val="en-US" w:eastAsia="zh-CN"/>
        </w:rPr>
        <w:t>说明：</w:t>
      </w:r>
      <w:r>
        <w:rPr>
          <w:rFonts w:hint="eastAsia" w:cs="Times New Roman"/>
          <w:sz w:val="24"/>
          <w:lang w:val="en-US" w:eastAsia="zh-CN"/>
        </w:rPr>
        <w:t>（1）</w:t>
      </w:r>
      <w:r>
        <w:rPr>
          <w:rFonts w:hint="eastAsia" w:ascii="Times New Roman" w:hAnsi="Times New Roman" w:eastAsia="宋体" w:cs="Times New Roman"/>
          <w:sz w:val="24"/>
          <w:lang w:val="en-US" w:eastAsia="zh-CN"/>
        </w:rPr>
        <w:t>本次采购量为装置</w:t>
      </w:r>
      <w:r>
        <w:rPr>
          <w:rFonts w:hint="eastAsia" w:cs="Times New Roman"/>
          <w:sz w:val="24"/>
          <w:lang w:val="en-US" w:eastAsia="zh-CN"/>
        </w:rPr>
        <w:t>约1.5</w:t>
      </w:r>
      <w:r>
        <w:rPr>
          <w:rFonts w:hint="eastAsia" w:ascii="Times New Roman" w:hAnsi="Times New Roman" w:eastAsia="宋体" w:cs="Times New Roman"/>
          <w:sz w:val="24"/>
          <w:lang w:val="en-US" w:eastAsia="zh-CN"/>
        </w:rPr>
        <w:t>年使用量</w:t>
      </w:r>
      <w:r>
        <w:rPr>
          <w:rFonts w:hint="eastAsia" w:cs="Times New Roman"/>
          <w:sz w:val="24"/>
          <w:lang w:val="en-US" w:eastAsia="zh-CN"/>
        </w:rPr>
        <w:t>，供方提报的数量为2023年7月31日至2024年12月31日封顶数量</w:t>
      </w:r>
      <w:r>
        <w:rPr>
          <w:rFonts w:hint="eastAsia" w:cs="Times New Roman"/>
          <w:sz w:val="24"/>
          <w:highlight w:val="none"/>
          <w:lang w:val="en-US" w:eastAsia="zh-CN"/>
        </w:rPr>
        <w:t>。</w:t>
      </w:r>
      <w:r>
        <w:rPr>
          <w:rFonts w:hint="eastAsia" w:ascii="Times New Roman" w:hAnsi="Times New Roman" w:eastAsia="宋体" w:cs="Times New Roman"/>
          <w:sz w:val="24"/>
        </w:rPr>
        <w:t>加氢裂化装置中和缓蚀剂注入量</w:t>
      </w:r>
      <w:r>
        <w:rPr>
          <w:rFonts w:hint="eastAsia" w:cs="Times New Roman"/>
          <w:sz w:val="24"/>
          <w:lang w:val="en-US" w:eastAsia="zh-CN"/>
        </w:rPr>
        <w:t>按照技术</w:t>
      </w:r>
      <w:r>
        <w:rPr>
          <w:rFonts w:ascii="Times New Roman" w:hAnsi="Times New Roman" w:eastAsia="宋体" w:cs="Times New Roman"/>
          <w:sz w:val="24"/>
        </w:rPr>
        <w:t>要求</w:t>
      </w:r>
      <w:r>
        <w:rPr>
          <w:rFonts w:hint="eastAsia" w:cs="Times New Roman"/>
          <w:sz w:val="24"/>
          <w:lang w:val="en-US" w:eastAsia="zh-CN"/>
        </w:rPr>
        <w:t>执行</w:t>
      </w:r>
      <w:r>
        <w:rPr>
          <w:rFonts w:hint="eastAsia" w:cs="Times New Roman"/>
          <w:sz w:val="24"/>
          <w:lang w:eastAsia="zh-CN"/>
        </w:rPr>
        <w:t>：</w:t>
      </w:r>
    </w:p>
    <w:tbl>
      <w:tblPr>
        <w:tblStyle w:val="15"/>
        <w:tblW w:w="64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20"/>
        <w:gridCol w:w="3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jc w:val="center"/>
        </w:trPr>
        <w:tc>
          <w:tcPr>
            <w:tcW w:w="3220" w:type="dxa"/>
          </w:tcPr>
          <w:p>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注入点</w:t>
            </w:r>
          </w:p>
        </w:tc>
        <w:tc>
          <w:tcPr>
            <w:tcW w:w="3220" w:type="dxa"/>
          </w:tcPr>
          <w:p>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注入量（mg/kg）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jc w:val="center"/>
        </w:trPr>
        <w:tc>
          <w:tcPr>
            <w:tcW w:w="3220" w:type="dxa"/>
          </w:tcPr>
          <w:p>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产品汽提塔顶</w:t>
            </w:r>
          </w:p>
        </w:tc>
        <w:tc>
          <w:tcPr>
            <w:tcW w:w="3220" w:type="dxa"/>
          </w:tcPr>
          <w:p>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jc w:val="center"/>
        </w:trPr>
        <w:tc>
          <w:tcPr>
            <w:tcW w:w="3220" w:type="dxa"/>
          </w:tcPr>
          <w:p>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贫油吸收塔顶</w:t>
            </w:r>
          </w:p>
        </w:tc>
        <w:tc>
          <w:tcPr>
            <w:tcW w:w="3220" w:type="dxa"/>
          </w:tcPr>
          <w:p>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jc w:val="center"/>
        </w:trPr>
        <w:tc>
          <w:tcPr>
            <w:tcW w:w="3220" w:type="dxa"/>
          </w:tcPr>
          <w:p>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脱乙烷塔顶</w:t>
            </w:r>
          </w:p>
        </w:tc>
        <w:tc>
          <w:tcPr>
            <w:tcW w:w="3220" w:type="dxa"/>
          </w:tcPr>
          <w:p>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 w:hRule="atLeast"/>
          <w:jc w:val="center"/>
        </w:trPr>
        <w:tc>
          <w:tcPr>
            <w:tcW w:w="3220" w:type="dxa"/>
          </w:tcPr>
          <w:p>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脱丁烷塔顶</w:t>
            </w:r>
          </w:p>
        </w:tc>
        <w:tc>
          <w:tcPr>
            <w:tcW w:w="3220" w:type="dxa"/>
          </w:tcPr>
          <w:p>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≤10</w:t>
            </w:r>
          </w:p>
        </w:tc>
      </w:tr>
    </w:tbl>
    <w:p>
      <w:pPr>
        <w:numPr>
          <w:ilvl w:val="0"/>
          <w:numId w:val="6"/>
        </w:numPr>
        <w:spacing w:line="500" w:lineRule="exact"/>
        <w:ind w:firstLine="480" w:firstLineChars="200"/>
        <w:rPr>
          <w:rFonts w:hint="eastAsia" w:ascii="宋体" w:hAnsi="宋体"/>
          <w:color w:val="auto"/>
          <w:sz w:val="24"/>
          <w:lang w:val="en-US" w:eastAsia="zh-CN"/>
        </w:rPr>
      </w:pPr>
      <w:r>
        <w:rPr>
          <w:rFonts w:hint="eastAsia" w:ascii="宋体" w:hAnsi="宋体"/>
          <w:color w:val="auto"/>
          <w:sz w:val="24"/>
          <w:lang w:val="en-US" w:eastAsia="zh-CN"/>
        </w:rPr>
        <w:t>福建福海创石油化工有限公司316万吨/年加氢裂化装置，各注入点缓蚀剂加注量不得高于上表中注入量，2套缓蚀剂注入点按注入量单独结算，最大预估季度消耗缓蚀剂：塔顶气相流量*季度注剂时长*注入量/1000000。实际供货量以装置实际消耗量为准，若需方各塔顶气相流量未超技术要求中条款3.3中所列流量，</w:t>
      </w:r>
      <w:r>
        <w:rPr>
          <w:rFonts w:hint="eastAsia" w:ascii="宋体" w:hAnsi="宋体"/>
          <w:color w:val="auto"/>
          <w:sz w:val="24"/>
          <w:highlight w:val="yellow"/>
          <w:lang w:val="en-US" w:eastAsia="zh-CN"/>
        </w:rPr>
        <w:t>为了达到缓蚀效果，实际缓蚀剂用量超出最大预估季度消耗缓蚀量部分视同赠送。</w:t>
      </w:r>
    </w:p>
    <w:p>
      <w:pPr>
        <w:numPr>
          <w:ilvl w:val="0"/>
          <w:numId w:val="0"/>
        </w:numPr>
        <w:spacing w:line="312" w:lineRule="auto"/>
        <w:rPr>
          <w:rFonts w:hint="eastAsia" w:ascii="宋体" w:hAnsi="宋体"/>
          <w:color w:val="auto"/>
          <w:sz w:val="24"/>
          <w:u w:val="single"/>
        </w:rPr>
      </w:pPr>
      <w:r>
        <w:rPr>
          <w:rFonts w:hint="eastAsia" w:ascii="宋体" w:hAnsi="宋体"/>
          <w:color w:val="auto"/>
          <w:sz w:val="24"/>
          <w:lang w:val="en-US" w:eastAsia="zh-CN"/>
        </w:rPr>
        <w:t>3、</w:t>
      </w:r>
      <w:r>
        <w:rPr>
          <w:rFonts w:hint="eastAsia" w:ascii="宋体" w:hAnsi="宋体"/>
          <w:color w:val="auto"/>
          <w:sz w:val="24"/>
        </w:rPr>
        <w:t>含税单价：</w:t>
      </w:r>
      <w:r>
        <w:rPr>
          <w:rFonts w:hint="eastAsia" w:ascii="宋体" w:hAnsi="宋体"/>
          <w:color w:val="auto"/>
          <w:sz w:val="24"/>
          <w:u w:val="single"/>
        </w:rPr>
        <w:t xml:space="preserve">       </w:t>
      </w:r>
      <w:r>
        <w:rPr>
          <w:rFonts w:hint="eastAsia" w:ascii="宋体" w:hAnsi="宋体"/>
          <w:color w:val="auto"/>
          <w:sz w:val="24"/>
        </w:rPr>
        <w:t>元/</w:t>
      </w:r>
      <w:r>
        <w:rPr>
          <w:rFonts w:hint="eastAsia" w:ascii="宋体" w:hAnsi="宋体"/>
          <w:color w:val="auto"/>
          <w:sz w:val="24"/>
          <w:lang w:val="en-US" w:eastAsia="zh-CN"/>
        </w:rPr>
        <w:t>吨</w:t>
      </w:r>
      <w:r>
        <w:rPr>
          <w:rFonts w:hint="eastAsia" w:ascii="宋体" w:hAnsi="宋体"/>
          <w:color w:val="auto"/>
          <w:sz w:val="24"/>
        </w:rPr>
        <w:t>，含税总价</w:t>
      </w:r>
      <w:r>
        <w:rPr>
          <w:rFonts w:hint="eastAsia" w:ascii="宋体" w:hAnsi="宋体"/>
          <w:color w:val="auto"/>
          <w:sz w:val="24"/>
          <w:u w:val="single"/>
        </w:rPr>
        <w:t xml:space="preserve">     </w:t>
      </w:r>
      <w:r>
        <w:rPr>
          <w:rFonts w:hint="eastAsia" w:ascii="宋体" w:hAnsi="宋体"/>
          <w:color w:val="auto"/>
          <w:sz w:val="24"/>
          <w:u w:val="single"/>
          <w:lang w:val="en-US" w:eastAsia="zh-CN"/>
        </w:rPr>
        <w:t xml:space="preserve">  </w:t>
      </w:r>
      <w:r>
        <w:rPr>
          <w:rFonts w:hint="eastAsia" w:ascii="宋体" w:hAnsi="宋体"/>
          <w:color w:val="auto"/>
          <w:sz w:val="24"/>
          <w:u w:val="single"/>
        </w:rPr>
        <w:t xml:space="preserve"> </w:t>
      </w:r>
      <w:r>
        <w:rPr>
          <w:rFonts w:hint="eastAsia" w:ascii="宋体" w:hAnsi="宋体"/>
          <w:color w:val="auto"/>
          <w:sz w:val="24"/>
        </w:rPr>
        <w:t>元，税率</w:t>
      </w:r>
      <w:r>
        <w:rPr>
          <w:rFonts w:hint="eastAsia" w:ascii="宋体" w:hAnsi="宋体"/>
          <w:color w:val="auto"/>
          <w:sz w:val="24"/>
          <w:u w:val="single"/>
        </w:rPr>
        <w:t xml:space="preserve">  13%  </w:t>
      </w:r>
    </w:p>
    <w:p>
      <w:pPr>
        <w:numPr>
          <w:ilvl w:val="0"/>
          <w:numId w:val="7"/>
        </w:numPr>
        <w:spacing w:line="312" w:lineRule="auto"/>
        <w:rPr>
          <w:rFonts w:hint="eastAsia" w:ascii="宋体" w:hAnsi="宋体"/>
          <w:color w:val="auto"/>
          <w:sz w:val="24"/>
        </w:rPr>
      </w:pPr>
      <w:r>
        <w:rPr>
          <w:rFonts w:hint="eastAsia" w:ascii="宋体" w:hAnsi="宋体"/>
          <w:color w:val="auto"/>
          <w:sz w:val="24"/>
        </w:rPr>
        <w:t>产品的包装</w:t>
      </w:r>
      <w:r>
        <w:rPr>
          <w:rFonts w:hint="eastAsia" w:ascii="宋体" w:hAnsi="宋体"/>
          <w:color w:val="auto"/>
          <w:sz w:val="24"/>
          <w:lang w:eastAsia="zh-CN"/>
        </w:rPr>
        <w:t>：</w:t>
      </w:r>
      <w:r>
        <w:rPr>
          <w:rFonts w:hint="eastAsia" w:ascii="宋体" w:hAnsi="宋体"/>
          <w:color w:val="auto"/>
          <w:sz w:val="24"/>
          <w:lang w:val="en-US" w:eastAsia="zh-CN"/>
        </w:rPr>
        <w:t>采用桶包装，使用后的空桶由供方进行回收处理。</w:t>
      </w:r>
    </w:p>
    <w:p>
      <w:pPr>
        <w:numPr>
          <w:ilvl w:val="0"/>
          <w:numId w:val="7"/>
        </w:numPr>
        <w:spacing w:line="312" w:lineRule="auto"/>
        <w:rPr>
          <w:rFonts w:ascii="宋体" w:hAnsi="宋体"/>
          <w:color w:val="auto"/>
          <w:sz w:val="24"/>
        </w:rPr>
      </w:pPr>
      <w:r>
        <w:rPr>
          <w:rFonts w:hint="eastAsia" w:ascii="宋体" w:hAnsi="宋体"/>
          <w:color w:val="auto"/>
          <w:sz w:val="24"/>
        </w:rPr>
        <w:t xml:space="preserve">质量验收标准 </w:t>
      </w:r>
      <w:r>
        <w:rPr>
          <w:rFonts w:hint="eastAsia" w:ascii="宋体" w:hAnsi="宋体"/>
          <w:color w:val="auto"/>
          <w:sz w:val="24"/>
          <w:lang w:eastAsia="zh-CN"/>
        </w:rPr>
        <w:t>：</w:t>
      </w:r>
      <w:r>
        <w:rPr>
          <w:rFonts w:hint="eastAsia" w:ascii="宋体" w:hAnsi="宋体"/>
          <w:color w:val="auto"/>
          <w:sz w:val="24"/>
        </w:rPr>
        <w:t>详见附件</w:t>
      </w:r>
      <w:r>
        <w:rPr>
          <w:rFonts w:hint="eastAsia" w:ascii="宋体" w:hAnsi="宋体"/>
          <w:color w:val="auto"/>
          <w:sz w:val="24"/>
          <w:lang w:val="en-US" w:eastAsia="zh-CN"/>
        </w:rPr>
        <w:t>技术要求</w:t>
      </w:r>
      <w:r>
        <w:rPr>
          <w:rFonts w:hint="eastAsia" w:ascii="宋体" w:hAnsi="宋体"/>
          <w:color w:val="auto"/>
          <w:sz w:val="24"/>
        </w:rPr>
        <w:t>。</w:t>
      </w:r>
    </w:p>
    <w:p>
      <w:pPr>
        <w:numPr>
          <w:ilvl w:val="0"/>
          <w:numId w:val="0"/>
        </w:numPr>
        <w:spacing w:line="312" w:lineRule="auto"/>
        <w:rPr>
          <w:rFonts w:ascii="宋体" w:hAnsi="宋体"/>
          <w:sz w:val="24"/>
        </w:rPr>
      </w:pPr>
      <w:r>
        <w:rPr>
          <w:rFonts w:hint="eastAsia" w:ascii="宋体" w:hAnsi="宋体"/>
          <w:sz w:val="24"/>
          <w:lang w:val="en-US" w:eastAsia="zh-CN"/>
        </w:rPr>
        <w:t>5、</w:t>
      </w:r>
      <w:r>
        <w:rPr>
          <w:rFonts w:hint="eastAsia" w:ascii="宋体" w:hAnsi="宋体"/>
          <w:sz w:val="24"/>
        </w:rPr>
        <w:t>我公司（供方）负责进厂交货途中的一切责任由我司（供方）承担。</w:t>
      </w:r>
    </w:p>
    <w:p>
      <w:pPr>
        <w:numPr>
          <w:ilvl w:val="0"/>
          <w:numId w:val="0"/>
        </w:numPr>
        <w:spacing w:line="312" w:lineRule="auto"/>
        <w:rPr>
          <w:rFonts w:ascii="宋体" w:hAnsi="宋体"/>
          <w:sz w:val="24"/>
        </w:rPr>
      </w:pPr>
      <w:r>
        <w:rPr>
          <w:rFonts w:hint="eastAsia" w:ascii="宋体" w:hAnsi="宋体"/>
          <w:sz w:val="24"/>
          <w:lang w:val="en-US" w:eastAsia="zh-CN"/>
        </w:rPr>
        <w:t>7、</w:t>
      </w:r>
      <w:r>
        <w:rPr>
          <w:rFonts w:hint="eastAsia" w:ascii="宋体" w:hAnsi="宋体"/>
          <w:sz w:val="24"/>
        </w:rPr>
        <w:t>我司同意在</w:t>
      </w:r>
      <w:r>
        <w:rPr>
          <w:rFonts w:hint="eastAsia" w:ascii="宋体" w:hAnsi="宋体"/>
          <w:sz w:val="24"/>
          <w:lang w:eastAsia="zh-CN"/>
        </w:rPr>
        <w:t>参选</w:t>
      </w:r>
      <w:r>
        <w:rPr>
          <w:rFonts w:hint="eastAsia" w:ascii="宋体" w:hAnsi="宋体"/>
          <w:sz w:val="24"/>
        </w:rPr>
        <w:t>前缴纳保证金</w:t>
      </w:r>
      <w:r>
        <w:rPr>
          <w:rFonts w:hint="eastAsia" w:ascii="宋体" w:hAnsi="宋体"/>
          <w:sz w:val="24"/>
          <w:lang w:val="en-US" w:eastAsia="zh-CN"/>
        </w:rPr>
        <w:t>壹万元</w:t>
      </w:r>
      <w:r>
        <w:rPr>
          <w:rFonts w:hint="eastAsia" w:ascii="宋体" w:hAnsi="宋体"/>
          <w:sz w:val="24"/>
        </w:rPr>
        <w:t>整，若我司中选，我司同意按照要求</w:t>
      </w:r>
      <w:r>
        <w:rPr>
          <w:rFonts w:hint="eastAsia" w:ascii="宋体" w:hAnsi="宋体"/>
          <w:sz w:val="24"/>
          <w:lang w:val="en-US" w:eastAsia="zh-CN"/>
        </w:rPr>
        <w:t>转为履约保证金，</w:t>
      </w:r>
      <w:r>
        <w:rPr>
          <w:rFonts w:hint="eastAsia" w:ascii="宋体" w:hAnsi="宋体"/>
          <w:color w:val="auto"/>
          <w:sz w:val="24"/>
          <w:highlight w:val="none"/>
          <w:lang w:val="en-US" w:eastAsia="zh-CN"/>
        </w:rPr>
        <w:t>待履约后申请无息返还</w:t>
      </w:r>
      <w:r>
        <w:rPr>
          <w:rFonts w:hint="eastAsia" w:ascii="宋体" w:hAnsi="宋体"/>
          <w:color w:val="auto"/>
          <w:sz w:val="24"/>
          <w:highlight w:val="none"/>
        </w:rPr>
        <w:t>。</w:t>
      </w:r>
    </w:p>
    <w:p>
      <w:pPr>
        <w:spacing w:line="360" w:lineRule="exact"/>
        <w:jc w:val="left"/>
        <w:rPr>
          <w:rFonts w:hint="eastAsia" w:ascii="宋体" w:hAnsi="宋体"/>
          <w:sz w:val="24"/>
        </w:rPr>
      </w:pPr>
      <w:r>
        <w:rPr>
          <w:rFonts w:hint="eastAsia" w:ascii="宋体" w:hAnsi="宋体"/>
          <w:sz w:val="24"/>
        </w:rPr>
        <w:t>二、到货期：</w:t>
      </w:r>
      <w:r>
        <w:rPr>
          <w:rFonts w:hint="eastAsia" w:ascii="宋体" w:hAnsi="宋体"/>
          <w:sz w:val="24"/>
          <w:lang w:val="en-US" w:eastAsia="zh-CN"/>
        </w:rPr>
        <w:t>分批季度</w:t>
      </w:r>
      <w:r>
        <w:rPr>
          <w:rFonts w:hint="eastAsia" w:ascii="宋体" w:hAnsi="宋体"/>
          <w:sz w:val="24"/>
        </w:rPr>
        <w:t>到货，</w:t>
      </w:r>
      <w:r>
        <w:rPr>
          <w:rFonts w:hint="eastAsia" w:ascii="宋体" w:hAnsi="宋体"/>
          <w:sz w:val="24"/>
          <w:lang w:val="en-US" w:eastAsia="zh-CN"/>
        </w:rPr>
        <w:t>货物需于2023年6月底前具备到货条件，具体到货时间以需方通知为准</w:t>
      </w:r>
      <w:r>
        <w:rPr>
          <w:rFonts w:hint="eastAsia" w:ascii="宋体" w:hAnsi="宋体" w:cs="宋体"/>
          <w:color w:val="auto"/>
          <w:sz w:val="24"/>
        </w:rPr>
        <w:t>。</w:t>
      </w:r>
      <w:r>
        <w:rPr>
          <w:rFonts w:hint="eastAsia" w:ascii="宋体" w:hAnsi="宋体"/>
          <w:sz w:val="24"/>
        </w:rPr>
        <w:t>如因天气、管制、贵公司需求波动等外因影响，双方提前协商到货安排。</w:t>
      </w:r>
    </w:p>
    <w:p>
      <w:pPr>
        <w:spacing w:line="360" w:lineRule="auto"/>
        <w:jc w:val="left"/>
        <w:rPr>
          <w:rFonts w:ascii="宋体" w:hAnsi="宋体"/>
          <w:sz w:val="24"/>
        </w:rPr>
      </w:pPr>
      <w:r>
        <w:rPr>
          <w:rFonts w:hint="eastAsia" w:ascii="宋体" w:hAnsi="宋体"/>
          <w:sz w:val="24"/>
        </w:rPr>
        <w:t>三、报价及结算方式：</w:t>
      </w:r>
    </w:p>
    <w:p>
      <w:pPr>
        <w:spacing w:line="350" w:lineRule="exact"/>
        <w:jc w:val="left"/>
        <w:rPr>
          <w:rFonts w:hint="eastAsia" w:ascii="宋体" w:hAnsi="宋体"/>
          <w:sz w:val="24"/>
          <w:lang w:eastAsia="zh-CN"/>
        </w:rPr>
      </w:pPr>
      <w:r>
        <w:rPr>
          <w:rFonts w:hint="eastAsia" w:ascii="宋体" w:hAnsi="宋体"/>
          <w:sz w:val="24"/>
        </w:rPr>
        <w:t>1、</w:t>
      </w:r>
      <w:r>
        <w:rPr>
          <w:rFonts w:hint="eastAsia" w:ascii="宋体" w:hAnsi="宋体"/>
          <w:sz w:val="24"/>
          <w:lang w:val="en-US" w:eastAsia="zh-CN"/>
        </w:rPr>
        <w:t>付款方式：</w:t>
      </w:r>
      <w:r>
        <w:rPr>
          <w:rFonts w:hint="eastAsia" w:ascii="宋体" w:hAnsi="宋体" w:cs="宋体"/>
          <w:sz w:val="24"/>
        </w:rPr>
        <w:t>现汇支付</w:t>
      </w:r>
      <w:r>
        <w:rPr>
          <w:rFonts w:hint="eastAsia" w:ascii="宋体" w:hAnsi="宋体" w:cs="宋体"/>
          <w:sz w:val="24"/>
          <w:lang w:eastAsia="zh-CN"/>
        </w:rPr>
        <w:t>，</w:t>
      </w:r>
      <w:r>
        <w:rPr>
          <w:rFonts w:hint="eastAsia" w:ascii="宋体" w:hAnsi="宋体" w:cs="宋体"/>
          <w:sz w:val="24"/>
          <w:lang w:val="en-US" w:eastAsia="zh-CN"/>
        </w:rPr>
        <w:t>按季度考核付款</w:t>
      </w:r>
      <w:r>
        <w:rPr>
          <w:rFonts w:hint="eastAsia" w:ascii="宋体" w:hAnsi="宋体" w:cs="宋体"/>
          <w:sz w:val="24"/>
        </w:rPr>
        <w:t>。</w:t>
      </w:r>
      <w:r>
        <w:rPr>
          <w:rFonts w:hint="eastAsia" w:ascii="宋体" w:hAnsi="宋体" w:cs="宋体"/>
          <w:sz w:val="24"/>
          <w:lang w:val="en-US" w:eastAsia="zh-CN"/>
        </w:rPr>
        <w:t>分批季度到货、分批付款。</w:t>
      </w:r>
      <w:r>
        <w:rPr>
          <w:rFonts w:hint="eastAsia" w:ascii="宋体" w:hAnsi="宋体" w:cs="宋体"/>
          <w:sz w:val="24"/>
        </w:rPr>
        <w:t>每批产品到货</w:t>
      </w:r>
      <w:r>
        <w:rPr>
          <w:rFonts w:hint="eastAsia" w:ascii="宋体" w:hAnsi="宋体" w:cs="宋体"/>
          <w:sz w:val="24"/>
          <w:lang w:val="en-US" w:eastAsia="zh-CN"/>
        </w:rPr>
        <w:t>后</w:t>
      </w:r>
      <w:r>
        <w:rPr>
          <w:rFonts w:hint="eastAsia" w:ascii="宋体" w:hAnsi="宋体" w:cs="宋体"/>
          <w:sz w:val="24"/>
        </w:rPr>
        <w:t>，</w:t>
      </w:r>
      <w:r>
        <w:rPr>
          <w:rFonts w:hint="eastAsia" w:ascii="宋体" w:hAnsi="宋体" w:cs="宋体"/>
          <w:sz w:val="24"/>
          <w:lang w:val="en-US" w:eastAsia="zh-CN"/>
        </w:rPr>
        <w:t>根据季度考核结果付款</w:t>
      </w:r>
      <w:r>
        <w:rPr>
          <w:rFonts w:hint="eastAsia" w:ascii="宋体" w:hAnsi="宋体" w:cs="宋体"/>
          <w:sz w:val="24"/>
          <w:lang w:eastAsia="zh-CN"/>
        </w:rPr>
        <w:t>。</w:t>
      </w:r>
    </w:p>
    <w:p>
      <w:pPr>
        <w:numPr>
          <w:ilvl w:val="0"/>
          <w:numId w:val="0"/>
        </w:numPr>
        <w:spacing w:line="312" w:lineRule="auto"/>
        <w:rPr>
          <w:rFonts w:hint="eastAsia" w:ascii="宋体" w:hAnsi="宋体"/>
          <w:sz w:val="24"/>
          <w:lang w:val="en-US" w:eastAsia="zh-CN"/>
        </w:rPr>
      </w:pPr>
      <w:r>
        <w:rPr>
          <w:rFonts w:hint="eastAsia" w:ascii="宋体" w:hAnsi="宋体"/>
          <w:sz w:val="24"/>
          <w:lang w:val="en-US" w:eastAsia="zh-CN"/>
        </w:rPr>
        <w:t>2、结算方式：</w:t>
      </w:r>
    </w:p>
    <w:p>
      <w:pPr>
        <w:numPr>
          <w:ilvl w:val="0"/>
          <w:numId w:val="0"/>
        </w:numPr>
        <w:spacing w:line="312" w:lineRule="auto"/>
        <w:ind w:firstLine="480" w:firstLineChars="200"/>
        <w:rPr>
          <w:rFonts w:hint="eastAsia" w:ascii="宋体" w:hAnsi="宋体"/>
          <w:sz w:val="24"/>
          <w:lang w:val="en-US" w:eastAsia="zh-CN"/>
        </w:rPr>
      </w:pPr>
      <w:r>
        <w:rPr>
          <w:rFonts w:hint="eastAsia" w:ascii="宋体" w:hAnsi="宋体"/>
          <w:sz w:val="24"/>
          <w:lang w:val="en-US" w:eastAsia="zh-CN"/>
        </w:rPr>
        <w:t>结算总价=中和缓蚀剂单价×季度消耗缓蚀剂量</w:t>
      </w:r>
    </w:p>
    <w:p>
      <w:pPr>
        <w:numPr>
          <w:ilvl w:val="0"/>
          <w:numId w:val="0"/>
        </w:numPr>
        <w:spacing w:line="312" w:lineRule="auto"/>
        <w:ind w:firstLine="480" w:firstLineChars="200"/>
        <w:rPr>
          <w:rFonts w:hint="eastAsia" w:ascii="宋体" w:hAnsi="宋体"/>
          <w:sz w:val="24"/>
          <w:lang w:val="en-US" w:eastAsia="zh-CN"/>
        </w:rPr>
      </w:pPr>
      <w:r>
        <w:rPr>
          <w:rFonts w:hint="eastAsia" w:ascii="宋体" w:hAnsi="宋体"/>
          <w:sz w:val="24"/>
          <w:lang w:val="en-US" w:eastAsia="zh-CN"/>
        </w:rPr>
        <w:t>以上述表格各注入点缓蚀剂用量作为付款基础，酸性水合格率≥90%，需方支付供方当批次该部分货款全款；80%≤合格率＜90%，按当批次该部分货款全款9折付款；70%≤合格率＜80%，按当批次该部分货款全款8折付款；60%≤合格率＜70%，按当批次该部分货款全款7折付款；50%≤合格率＜60%，按当批次该部分货款全款6折付款；合格率＜50%，不支付货款。</w:t>
      </w:r>
    </w:p>
    <w:p>
      <w:pPr>
        <w:spacing w:line="360" w:lineRule="auto"/>
        <w:jc w:val="left"/>
        <w:rPr>
          <w:rFonts w:hint="eastAsia" w:ascii="宋体" w:hAnsi="宋体"/>
          <w:sz w:val="24"/>
        </w:rPr>
      </w:pPr>
      <w:r>
        <w:rPr>
          <w:rFonts w:hint="eastAsia" w:ascii="宋体" w:hAnsi="宋体"/>
          <w:sz w:val="24"/>
        </w:rPr>
        <w:t>四、相关技术要求，以福建福海创石油化工有限公司要求为准！</w:t>
      </w:r>
    </w:p>
    <w:p>
      <w:pPr>
        <w:numPr>
          <w:ilvl w:val="0"/>
          <w:numId w:val="0"/>
        </w:numPr>
        <w:spacing w:line="312" w:lineRule="auto"/>
        <w:rPr>
          <w:rFonts w:ascii="宋体" w:hAnsi="宋体"/>
          <w:sz w:val="24"/>
        </w:rPr>
      </w:pPr>
    </w:p>
    <w:p>
      <w:pPr>
        <w:spacing w:line="312" w:lineRule="auto"/>
        <w:rPr>
          <w:rFonts w:ascii="宋体" w:hAnsi="宋体"/>
          <w:sz w:val="24"/>
        </w:rPr>
      </w:pPr>
    </w:p>
    <w:p>
      <w:pPr>
        <w:spacing w:line="500" w:lineRule="exact"/>
        <w:rPr>
          <w:rFonts w:ascii="宋体"/>
          <w:sz w:val="24"/>
        </w:rPr>
      </w:pPr>
      <w:r>
        <w:rPr>
          <w:rFonts w:hint="eastAsia" w:ascii="宋体" w:hAnsi="宋体"/>
          <w:sz w:val="24"/>
        </w:rPr>
        <w:t>报价单位名称（公章）：</w:t>
      </w:r>
    </w:p>
    <w:p>
      <w:pPr>
        <w:spacing w:line="500" w:lineRule="exact"/>
        <w:rPr>
          <w:rFonts w:ascii="宋体"/>
          <w:sz w:val="24"/>
        </w:rPr>
      </w:pPr>
      <w:bookmarkStart w:id="0" w:name="_Hlk532224866"/>
      <w:r>
        <w:rPr>
          <w:rFonts w:hint="eastAsia" w:ascii="宋体" w:hAnsi="宋体"/>
          <w:sz w:val="24"/>
        </w:rPr>
        <w:t>被授权代表签字：</w:t>
      </w:r>
    </w:p>
    <w:bookmarkEnd w:id="0"/>
    <w:p>
      <w:pPr>
        <w:spacing w:line="500" w:lineRule="exact"/>
        <w:rPr>
          <w:rFonts w:hint="eastAsia" w:ascii="宋体" w:hAnsi="宋体"/>
          <w:sz w:val="24"/>
        </w:rPr>
      </w:pPr>
      <w:r>
        <w:rPr>
          <w:rFonts w:hint="eastAsia" w:ascii="宋体" w:hAnsi="宋体"/>
          <w:sz w:val="24"/>
        </w:rPr>
        <w:t>时间：</w:t>
      </w:r>
    </w:p>
    <w:p>
      <w:pPr>
        <w:spacing w:line="500" w:lineRule="exact"/>
      </w:pPr>
      <w:r>
        <w:rPr>
          <w:rFonts w:hint="eastAsia" w:ascii="宋体" w:hAnsi="宋体"/>
          <w:szCs w:val="21"/>
        </w:rPr>
        <w:t>注：</w:t>
      </w:r>
      <w:r>
        <w:rPr>
          <w:rFonts w:hint="eastAsia" w:ascii="宋体"/>
          <w:szCs w:val="21"/>
        </w:rPr>
        <w:t>请把报价填至“报价单”内，公开</w:t>
      </w:r>
      <w:r>
        <w:rPr>
          <w:rFonts w:hint="eastAsia" w:ascii="宋体"/>
          <w:b/>
          <w:bCs/>
          <w:szCs w:val="21"/>
        </w:rPr>
        <w:t>比选确认单仅作为比选结束后确认数量和价格使用</w:t>
      </w:r>
    </w:p>
    <w:p>
      <w:pPr>
        <w:jc w:val="left"/>
        <w:rPr>
          <w:rFonts w:ascii="宋体" w:hAnsi="宋体"/>
          <w:sz w:val="32"/>
          <w:szCs w:val="32"/>
        </w:rPr>
      </w:pPr>
    </w:p>
    <w:p>
      <w:pPr>
        <w:jc w:val="left"/>
        <w:rPr>
          <w:rFonts w:ascii="宋体" w:hAnsi="宋体"/>
          <w:sz w:val="32"/>
          <w:szCs w:val="32"/>
        </w:rPr>
      </w:pPr>
      <w:r>
        <w:rPr>
          <w:rFonts w:hint="eastAsia" w:ascii="宋体" w:hAnsi="宋体"/>
          <w:sz w:val="32"/>
          <w:szCs w:val="32"/>
        </w:rPr>
        <w:t>附表：</w:t>
      </w:r>
    </w:p>
    <w:p>
      <w:pPr>
        <w:jc w:val="left"/>
        <w:rPr>
          <w:rFonts w:ascii="宋体" w:hAnsi="宋体"/>
          <w:sz w:val="32"/>
          <w:szCs w:val="32"/>
        </w:rPr>
      </w:pPr>
    </w:p>
    <w:p>
      <w:pPr>
        <w:jc w:val="center"/>
        <w:rPr>
          <w:rFonts w:hint="eastAsia" w:ascii="宋体" w:hAnsi="宋体"/>
          <w:sz w:val="32"/>
          <w:szCs w:val="32"/>
        </w:rPr>
      </w:pPr>
    </w:p>
    <w:p>
      <w:pPr>
        <w:jc w:val="center"/>
        <w:rPr>
          <w:rFonts w:hint="eastAsia" w:ascii="宋体" w:hAnsi="宋体"/>
          <w:sz w:val="32"/>
          <w:szCs w:val="32"/>
        </w:rPr>
      </w:pPr>
    </w:p>
    <w:p>
      <w:pPr>
        <w:jc w:val="center"/>
        <w:rPr>
          <w:rFonts w:hint="eastAsia" w:ascii="宋体" w:hAnsi="宋体"/>
          <w:sz w:val="32"/>
          <w:szCs w:val="32"/>
        </w:rPr>
      </w:pPr>
    </w:p>
    <w:p>
      <w:pPr>
        <w:jc w:val="center"/>
        <w:rPr>
          <w:rFonts w:hint="eastAsia" w:ascii="宋体" w:hAnsi="宋体"/>
          <w:sz w:val="32"/>
          <w:szCs w:val="32"/>
        </w:rPr>
      </w:pPr>
    </w:p>
    <w:p>
      <w:pPr>
        <w:jc w:val="center"/>
        <w:rPr>
          <w:rFonts w:hint="eastAsia" w:ascii="宋体" w:hAnsi="宋体"/>
          <w:sz w:val="32"/>
          <w:szCs w:val="32"/>
        </w:rPr>
      </w:pPr>
    </w:p>
    <w:p>
      <w:pPr>
        <w:jc w:val="center"/>
        <w:rPr>
          <w:rFonts w:hint="eastAsia" w:ascii="宋体" w:hAnsi="宋体"/>
          <w:sz w:val="32"/>
          <w:szCs w:val="32"/>
        </w:rPr>
      </w:pPr>
    </w:p>
    <w:p>
      <w:pPr>
        <w:jc w:val="center"/>
        <w:rPr>
          <w:rFonts w:hint="eastAsia" w:ascii="宋体" w:hAnsi="宋体"/>
          <w:sz w:val="32"/>
          <w:szCs w:val="32"/>
        </w:rPr>
      </w:pPr>
    </w:p>
    <w:p>
      <w:pPr>
        <w:jc w:val="center"/>
        <w:rPr>
          <w:rFonts w:hint="eastAsia" w:ascii="宋体" w:hAnsi="宋体"/>
          <w:sz w:val="32"/>
          <w:szCs w:val="32"/>
        </w:rPr>
      </w:pPr>
    </w:p>
    <w:p>
      <w:pPr>
        <w:jc w:val="center"/>
        <w:rPr>
          <w:rFonts w:hint="eastAsia" w:ascii="宋体" w:hAnsi="宋体"/>
          <w:sz w:val="32"/>
          <w:szCs w:val="32"/>
        </w:rPr>
      </w:pPr>
    </w:p>
    <w:p>
      <w:pPr>
        <w:jc w:val="center"/>
        <w:rPr>
          <w:rFonts w:ascii="宋体"/>
          <w:sz w:val="32"/>
          <w:szCs w:val="32"/>
        </w:rPr>
      </w:pPr>
      <w:r>
        <w:rPr>
          <w:rFonts w:hint="eastAsia" w:ascii="宋体" w:hAnsi="宋体"/>
          <w:sz w:val="32"/>
          <w:szCs w:val="32"/>
        </w:rPr>
        <w:t>公开比选确认单</w:t>
      </w:r>
    </w:p>
    <w:p>
      <w:pPr>
        <w:rPr>
          <w:rFonts w:ascii="宋体"/>
          <w:sz w:val="28"/>
          <w:szCs w:val="28"/>
        </w:rPr>
      </w:pPr>
      <w:r>
        <w:rPr>
          <w:rFonts w:hint="eastAsia" w:ascii="宋体" w:hAnsi="宋体"/>
          <w:sz w:val="28"/>
          <w:szCs w:val="28"/>
          <w:lang w:eastAsia="zh-CN"/>
        </w:rPr>
        <w:t>腾龙芳烃（漳州）有限公司</w:t>
      </w:r>
      <w:r>
        <w:rPr>
          <w:rFonts w:hint="eastAsia" w:ascii="宋体" w:hAnsi="宋体"/>
          <w:sz w:val="28"/>
          <w:szCs w:val="28"/>
        </w:rPr>
        <w:t>：</w:t>
      </w:r>
    </w:p>
    <w:p>
      <w:pPr>
        <w:spacing w:line="500" w:lineRule="exact"/>
        <w:ind w:firstLine="560" w:firstLineChars="200"/>
        <w:jc w:val="left"/>
        <w:rPr>
          <w:rFonts w:ascii="宋体" w:hAnsi="宋体"/>
          <w:sz w:val="28"/>
          <w:szCs w:val="28"/>
        </w:rPr>
      </w:pPr>
      <w:r>
        <w:rPr>
          <w:rFonts w:hint="eastAsia" w:ascii="宋体" w:hAnsi="宋体"/>
          <w:sz w:val="28"/>
          <w:szCs w:val="28"/>
        </w:rPr>
        <w:t>对于贵公司的公开比选文件（编号：</w:t>
      </w:r>
      <w:r>
        <w:rPr>
          <w:rFonts w:hint="eastAsia" w:asciiTheme="minorEastAsia" w:hAnsiTheme="minorEastAsia" w:eastAsiaTheme="minorEastAsia"/>
          <w:bCs/>
          <w:sz w:val="28"/>
          <w:szCs w:val="28"/>
          <w:u w:val="single"/>
          <w:lang w:eastAsia="zh-CN"/>
        </w:rPr>
        <w:t>2023-FHC-水溶性中和缓蚀剂-0</w:t>
      </w:r>
      <w:r>
        <w:rPr>
          <w:rFonts w:hint="eastAsia" w:asciiTheme="minorEastAsia" w:hAnsiTheme="minorEastAsia" w:eastAsiaTheme="minorEastAsia"/>
          <w:bCs/>
          <w:sz w:val="28"/>
          <w:szCs w:val="28"/>
          <w:u w:val="single"/>
          <w:lang w:val="en-US" w:eastAsia="zh-CN"/>
        </w:rPr>
        <w:t>510</w:t>
      </w:r>
      <w:r>
        <w:rPr>
          <w:rFonts w:hint="eastAsia" w:ascii="宋体" w:hAnsi="宋体"/>
          <w:sz w:val="28"/>
          <w:szCs w:val="28"/>
        </w:rPr>
        <w:t>），</w:t>
      </w:r>
      <w:bookmarkStart w:id="1" w:name="_Hlk59783074"/>
      <w:r>
        <w:rPr>
          <w:rFonts w:hint="eastAsia" w:ascii="宋体" w:hAnsi="宋体"/>
          <w:sz w:val="28"/>
          <w:szCs w:val="28"/>
        </w:rPr>
        <w:t>供货质量</w:t>
      </w:r>
      <w:r>
        <w:rPr>
          <w:rFonts w:hint="eastAsia" w:ascii="宋体" w:hAnsi="宋体"/>
          <w:sz w:val="28"/>
          <w:szCs w:val="28"/>
          <w:u w:val="single"/>
        </w:rPr>
        <w:t>详见</w:t>
      </w:r>
      <w:bookmarkEnd w:id="1"/>
      <w:r>
        <w:rPr>
          <w:rFonts w:hint="eastAsia" w:ascii="宋体" w:hAnsi="宋体"/>
          <w:sz w:val="28"/>
          <w:szCs w:val="28"/>
          <w:u w:val="single"/>
          <w:lang w:val="en-US" w:eastAsia="zh-CN"/>
        </w:rPr>
        <w:t>附件技术要求</w:t>
      </w:r>
      <w:r>
        <w:rPr>
          <w:rFonts w:hint="eastAsia" w:ascii="宋体" w:hAnsi="宋体"/>
          <w:sz w:val="28"/>
          <w:szCs w:val="28"/>
        </w:rPr>
        <w:t>；含税</w:t>
      </w:r>
      <w:r>
        <w:rPr>
          <w:rFonts w:hint="eastAsia" w:ascii="宋体" w:hAnsi="宋体"/>
          <w:sz w:val="28"/>
          <w:szCs w:val="28"/>
          <w:lang w:val="en-US" w:eastAsia="zh-CN"/>
        </w:rPr>
        <w:t>总</w:t>
      </w:r>
      <w:r>
        <w:rPr>
          <w:rFonts w:hint="eastAsia" w:ascii="宋体" w:hAnsi="宋体"/>
          <w:sz w:val="28"/>
          <w:szCs w:val="28"/>
        </w:rPr>
        <w:t>价：</w:t>
      </w:r>
      <w:r>
        <w:rPr>
          <w:rFonts w:ascii="宋体" w:hAnsi="宋体"/>
          <w:sz w:val="28"/>
          <w:szCs w:val="28"/>
        </w:rPr>
        <w:softHyphen/>
      </w:r>
      <w:r>
        <w:rPr>
          <w:rFonts w:hint="eastAsia" w:ascii="宋体" w:hAnsi="宋体"/>
          <w:sz w:val="28"/>
          <w:szCs w:val="28"/>
        </w:rPr>
        <w:t>_______元,以汽运方式送到福建福海创石油化工有限公司（详见我公司  年  月  日报价单），</w:t>
      </w:r>
    </w:p>
    <w:p>
      <w:pPr>
        <w:spacing w:line="500" w:lineRule="exact"/>
        <w:ind w:firstLine="560" w:firstLineChars="200"/>
        <w:jc w:val="left"/>
        <w:rPr>
          <w:rFonts w:ascii="宋体" w:hAnsi="宋体"/>
          <w:sz w:val="28"/>
          <w:szCs w:val="28"/>
        </w:rPr>
      </w:pPr>
      <w:r>
        <w:rPr>
          <w:rFonts w:hint="eastAsia" w:ascii="宋体" w:hAnsi="宋体"/>
          <w:sz w:val="28"/>
          <w:szCs w:val="28"/>
        </w:rPr>
        <w:t>经协商，我公司最终同意按:供货质量</w:t>
      </w:r>
      <w:r>
        <w:rPr>
          <w:rFonts w:hint="eastAsia" w:ascii="宋体" w:hAnsi="宋体"/>
          <w:sz w:val="28"/>
          <w:szCs w:val="28"/>
          <w:u w:val="single"/>
        </w:rPr>
        <w:t>详见</w:t>
      </w:r>
      <w:r>
        <w:rPr>
          <w:rFonts w:hint="eastAsia" w:ascii="宋体" w:hAnsi="宋体"/>
          <w:sz w:val="28"/>
          <w:szCs w:val="28"/>
          <w:u w:val="single"/>
          <w:lang w:val="en-US" w:eastAsia="zh-CN"/>
        </w:rPr>
        <w:t>附件技术要求</w:t>
      </w:r>
      <w:r>
        <w:rPr>
          <w:rFonts w:hint="eastAsia" w:ascii="宋体" w:hAnsi="宋体"/>
          <w:sz w:val="28"/>
          <w:szCs w:val="28"/>
        </w:rPr>
        <w:t>；</w:t>
      </w:r>
      <w:r>
        <w:rPr>
          <w:rFonts w:hint="eastAsia" w:ascii="宋体" w:hAnsi="宋体"/>
          <w:sz w:val="28"/>
          <w:szCs w:val="28"/>
          <w:lang w:val="en-US" w:eastAsia="zh-CN"/>
        </w:rPr>
        <w:t>含税</w:t>
      </w:r>
      <w:r>
        <w:rPr>
          <w:rFonts w:hint="eastAsia" w:ascii="宋体" w:hAnsi="宋体"/>
          <w:sz w:val="28"/>
          <w:szCs w:val="28"/>
        </w:rPr>
        <w:t>总价：</w:t>
      </w:r>
      <w:r>
        <w:rPr>
          <w:rFonts w:ascii="宋体" w:hAnsi="宋体"/>
          <w:sz w:val="28"/>
          <w:szCs w:val="28"/>
        </w:rPr>
        <w:softHyphen/>
      </w:r>
      <w:r>
        <w:rPr>
          <w:rFonts w:hint="eastAsia" w:ascii="宋体" w:hAnsi="宋体"/>
          <w:sz w:val="28"/>
          <w:szCs w:val="28"/>
        </w:rPr>
        <w:t>________元,以汽运方式送到福建福海创石油化工有限公司，根据贵公司实际需求进度安排供货。</w:t>
      </w:r>
    </w:p>
    <w:p>
      <w:pPr>
        <w:ind w:firstLine="570"/>
        <w:rPr>
          <w:rFonts w:ascii="宋体" w:hAnsi="宋体"/>
          <w:sz w:val="24"/>
        </w:rPr>
      </w:pPr>
      <w:r>
        <w:rPr>
          <w:rFonts w:hint="eastAsia" w:ascii="宋体" w:hAnsi="宋体"/>
          <w:sz w:val="28"/>
          <w:szCs w:val="28"/>
        </w:rPr>
        <w:t>执行时间：以需方通知为准。</w:t>
      </w:r>
    </w:p>
    <w:p>
      <w:pPr>
        <w:ind w:firstLine="570"/>
        <w:rPr>
          <w:rFonts w:ascii="宋体"/>
          <w:sz w:val="28"/>
          <w:szCs w:val="28"/>
        </w:rPr>
      </w:pPr>
      <w:r>
        <w:rPr>
          <w:rFonts w:hint="eastAsia" w:ascii="宋体" w:hAnsi="宋体"/>
          <w:sz w:val="28"/>
          <w:szCs w:val="28"/>
        </w:rPr>
        <w:t>其他约定不变。</w:t>
      </w:r>
    </w:p>
    <w:p>
      <w:pPr>
        <w:ind w:firstLine="570"/>
        <w:rPr>
          <w:rFonts w:ascii="宋体"/>
          <w:sz w:val="28"/>
          <w:szCs w:val="28"/>
        </w:rPr>
      </w:pPr>
    </w:p>
    <w:p>
      <w:pPr>
        <w:ind w:firstLine="570"/>
        <w:rPr>
          <w:rFonts w:ascii="宋体"/>
          <w:sz w:val="28"/>
          <w:szCs w:val="28"/>
        </w:rPr>
      </w:pPr>
      <w:r>
        <w:rPr>
          <w:rFonts w:hint="eastAsia" w:ascii="宋体" w:hAnsi="宋体"/>
          <w:sz w:val="28"/>
          <w:szCs w:val="28"/>
        </w:rPr>
        <w:t>顺祝</w:t>
      </w:r>
    </w:p>
    <w:p>
      <w:pPr>
        <w:rPr>
          <w:rFonts w:ascii="宋体"/>
          <w:sz w:val="28"/>
          <w:szCs w:val="28"/>
        </w:rPr>
      </w:pPr>
      <w:r>
        <w:rPr>
          <w:rFonts w:hint="eastAsia" w:ascii="宋体" w:hAnsi="宋体"/>
          <w:sz w:val="28"/>
          <w:szCs w:val="28"/>
        </w:rPr>
        <w:t>商祺！</w:t>
      </w:r>
    </w:p>
    <w:p>
      <w:pPr>
        <w:wordWrap w:val="0"/>
        <w:jc w:val="center"/>
        <w:rPr>
          <w:rFonts w:ascii="宋体"/>
          <w:sz w:val="28"/>
          <w:szCs w:val="28"/>
        </w:rPr>
      </w:pPr>
      <w:r>
        <w:rPr>
          <w:rFonts w:hint="eastAsia" w:ascii="宋体" w:hAnsi="宋体"/>
          <w:sz w:val="28"/>
          <w:szCs w:val="28"/>
        </w:rPr>
        <w:t xml:space="preserve">        公司名称（章）： </w:t>
      </w:r>
    </w:p>
    <w:p>
      <w:pPr>
        <w:wordWrap w:val="0"/>
        <w:jc w:val="center"/>
        <w:rPr>
          <w:rFonts w:ascii="宋体"/>
          <w:sz w:val="28"/>
          <w:szCs w:val="28"/>
        </w:rPr>
      </w:pPr>
      <w:r>
        <w:rPr>
          <w:rFonts w:hint="eastAsia" w:ascii="宋体" w:hAnsi="宋体"/>
          <w:sz w:val="28"/>
          <w:szCs w:val="28"/>
        </w:rPr>
        <w:t xml:space="preserve">         被授权代表签字： </w:t>
      </w:r>
    </w:p>
    <w:p>
      <w:pPr>
        <w:wordWrap w:val="0"/>
        <w:jc w:val="center"/>
        <w:rPr>
          <w:rFonts w:ascii="宋体" w:hAnsi="宋体"/>
          <w:sz w:val="28"/>
          <w:szCs w:val="28"/>
        </w:rPr>
      </w:pPr>
      <w:r>
        <w:rPr>
          <w:rFonts w:hint="eastAsia" w:ascii="宋体" w:hAnsi="宋体"/>
          <w:sz w:val="28"/>
          <w:szCs w:val="28"/>
        </w:rPr>
        <w:t xml:space="preserve">        日期： </w:t>
      </w:r>
    </w:p>
    <w:p>
      <w:pPr>
        <w:widowControl/>
        <w:jc w:val="left"/>
        <w:rPr>
          <w:rFonts w:eastAsia="Times New Roman"/>
          <w:sz w:val="23"/>
        </w:rPr>
      </w:pPr>
    </w:p>
    <w:p>
      <w:pPr>
        <w:spacing w:line="360" w:lineRule="auto"/>
        <w:jc w:val="left"/>
        <w:rPr>
          <w:rFonts w:ascii="宋体" w:hAnsi="宋体" w:cs="宋体"/>
          <w:b/>
          <w:sz w:val="28"/>
          <w:szCs w:val="28"/>
        </w:rPr>
      </w:pPr>
    </w:p>
    <w:p>
      <w:pPr>
        <w:spacing w:line="360" w:lineRule="auto"/>
        <w:jc w:val="left"/>
        <w:rPr>
          <w:rFonts w:ascii="宋体" w:hAnsi="宋体" w:cs="宋体"/>
          <w:b/>
          <w:sz w:val="28"/>
          <w:szCs w:val="28"/>
        </w:rPr>
      </w:pPr>
    </w:p>
    <w:p>
      <w:pPr>
        <w:spacing w:line="360" w:lineRule="auto"/>
        <w:jc w:val="left"/>
        <w:rPr>
          <w:rFonts w:ascii="宋体" w:hAnsi="宋体" w:cs="宋体"/>
          <w:b/>
          <w:sz w:val="28"/>
          <w:szCs w:val="28"/>
        </w:rPr>
      </w:pPr>
    </w:p>
    <w:p>
      <w:pPr>
        <w:spacing w:line="360" w:lineRule="auto"/>
        <w:jc w:val="left"/>
        <w:rPr>
          <w:rFonts w:ascii="宋体" w:hAnsi="宋体" w:cs="宋体"/>
          <w:b/>
          <w:sz w:val="28"/>
          <w:szCs w:val="28"/>
        </w:rPr>
      </w:pPr>
    </w:p>
    <w:p>
      <w:pPr>
        <w:spacing w:line="360" w:lineRule="auto"/>
        <w:jc w:val="left"/>
        <w:rPr>
          <w:rFonts w:ascii="宋体" w:hAnsi="宋体" w:cs="宋体"/>
          <w:b/>
          <w:sz w:val="28"/>
          <w:szCs w:val="28"/>
        </w:rPr>
      </w:pPr>
    </w:p>
    <w:p>
      <w:pPr>
        <w:spacing w:line="360" w:lineRule="auto"/>
        <w:jc w:val="left"/>
        <w:rPr>
          <w:rFonts w:ascii="宋体" w:hAnsi="宋体" w:cs="宋体"/>
          <w:b/>
          <w:sz w:val="28"/>
          <w:szCs w:val="28"/>
        </w:rPr>
      </w:pPr>
    </w:p>
    <w:p>
      <w:pPr>
        <w:spacing w:line="280" w:lineRule="exact"/>
        <w:jc w:val="both"/>
        <w:rPr>
          <w:rFonts w:hint="eastAsia" w:ascii="宋体" w:hAnsi="宋体" w:eastAsia="宋体"/>
          <w:b/>
          <w:sz w:val="24"/>
          <w:lang w:val="en-US" w:eastAsia="zh-CN"/>
        </w:rPr>
      </w:pPr>
      <w:r>
        <w:rPr>
          <w:rFonts w:hint="eastAsia" w:ascii="宋体" w:hAnsi="宋体"/>
          <w:b/>
          <w:sz w:val="24"/>
          <w:lang w:val="en-US" w:eastAsia="zh-CN"/>
        </w:rPr>
        <w:t>附件一：合同条款</w:t>
      </w:r>
    </w:p>
    <w:p>
      <w:pPr>
        <w:spacing w:line="280" w:lineRule="exact"/>
        <w:jc w:val="center"/>
        <w:rPr>
          <w:rFonts w:hint="eastAsia" w:ascii="宋体" w:hAnsi="宋体"/>
          <w:b/>
          <w:sz w:val="24"/>
        </w:rPr>
      </w:pPr>
      <w:r>
        <w:rPr>
          <w:rFonts w:hint="eastAsia" w:ascii="宋体" w:hAnsi="宋体"/>
          <w:b/>
          <w:sz w:val="24"/>
        </w:rPr>
        <w:br w:type="textWrapping"/>
      </w:r>
      <w:r>
        <w:rPr>
          <w:rFonts w:hint="eastAsia" w:ascii="宋体" w:hAnsi="宋体"/>
          <w:b/>
          <w:sz w:val="24"/>
        </w:rPr>
        <w:t>一般货物（产品）采购合同</w:t>
      </w:r>
    </w:p>
    <w:p>
      <w:pPr>
        <w:spacing w:line="280" w:lineRule="exact"/>
        <w:rPr>
          <w:rFonts w:hint="default" w:ascii="宋体" w:hAnsi="宋体" w:eastAsia="宋体"/>
          <w:b/>
          <w:szCs w:val="21"/>
          <w:u w:val="single"/>
          <w:lang w:val="en-US" w:eastAsia="zh-CN"/>
        </w:rPr>
      </w:pPr>
      <w:r>
        <w:rPr>
          <w:rFonts w:hint="eastAsia" w:ascii="宋体" w:hAnsi="宋体"/>
          <w:sz w:val="18"/>
          <w:szCs w:val="18"/>
        </w:rPr>
        <w:t>合同编号：</w:t>
      </w:r>
    </w:p>
    <w:p>
      <w:pPr>
        <w:spacing w:line="280" w:lineRule="exact"/>
        <w:rPr>
          <w:rFonts w:hint="eastAsia" w:ascii="宋体" w:hAnsi="宋体" w:eastAsia="宋体"/>
          <w:b/>
          <w:szCs w:val="21"/>
          <w:lang w:val="en-US" w:eastAsia="zh-CN"/>
        </w:rPr>
      </w:pPr>
      <w:r>
        <w:rPr>
          <w:rFonts w:hint="eastAsia" w:ascii="宋体" w:hAnsi="宋体"/>
          <w:b/>
          <w:szCs w:val="21"/>
          <w:lang w:val="en-US" w:eastAsia="zh-CN"/>
        </w:rPr>
        <w:t xml:space="preserve">                                第一部分   协议书</w:t>
      </w:r>
    </w:p>
    <w:p>
      <w:pPr>
        <w:spacing w:line="280" w:lineRule="exact"/>
        <w:rPr>
          <w:rFonts w:hint="eastAsia" w:ascii="宋体" w:hAnsi="宋体"/>
          <w:b/>
          <w:szCs w:val="21"/>
        </w:rPr>
      </w:pPr>
      <w:r>
        <w:rPr>
          <w:rFonts w:hint="eastAsia" w:ascii="宋体" w:hAnsi="宋体"/>
          <w:b/>
          <w:szCs w:val="21"/>
        </w:rPr>
        <w:t xml:space="preserve">供方：                       </w:t>
      </w:r>
    </w:p>
    <w:p>
      <w:pPr>
        <w:spacing w:line="280" w:lineRule="exact"/>
        <w:rPr>
          <w:rFonts w:hint="eastAsia" w:ascii="宋体" w:hAnsi="宋体"/>
          <w:b/>
          <w:szCs w:val="21"/>
        </w:rPr>
      </w:pPr>
      <w:r>
        <w:rPr>
          <w:rFonts w:hint="eastAsia" w:ascii="宋体" w:hAnsi="宋体"/>
          <w:b/>
          <w:szCs w:val="21"/>
        </w:rPr>
        <w:t>需方：</w:t>
      </w:r>
      <w:r>
        <w:rPr>
          <w:rFonts w:hint="default" w:eastAsia="宋体"/>
          <w:b/>
          <w:color w:val="000000"/>
          <w:szCs w:val="21"/>
          <w:lang w:val="en-US" w:eastAsia="zh-CN"/>
        </w:rPr>
        <w:t>腾龙芳烃（漳州）有限公司</w:t>
      </w:r>
    </w:p>
    <w:p>
      <w:pPr>
        <w:spacing w:line="280" w:lineRule="exact"/>
        <w:ind w:firstLine="420" w:firstLineChars="200"/>
        <w:rPr>
          <w:rFonts w:hint="eastAsia" w:ascii="宋体" w:hAnsi="宋体"/>
          <w:szCs w:val="21"/>
        </w:rPr>
      </w:pPr>
      <w:r>
        <w:rPr>
          <w:rFonts w:hint="eastAsia" w:ascii="宋体" w:hAnsi="宋体"/>
          <w:szCs w:val="21"/>
        </w:rPr>
        <w:t>鉴于：供、需双方有权利及能力依法签署并履行本合同约定的事项，供、需双方经过充分协商，根据《中华人民共和国民法典》及相关法律法规，本着平等互利、诚信合作的原则，于</w:t>
      </w:r>
      <w:r>
        <w:rPr>
          <w:rFonts w:hint="eastAsia" w:ascii="宋体" w:hAnsi="宋体"/>
          <w:szCs w:val="21"/>
          <w:u w:val="single"/>
        </w:rPr>
        <w:t xml:space="preserve">  </w:t>
      </w:r>
      <w:r>
        <w:rPr>
          <w:rFonts w:ascii="宋体" w:hAnsi="宋体"/>
          <w:szCs w:val="21"/>
          <w:u w:val="single"/>
        </w:rPr>
        <w:t>202</w:t>
      </w:r>
      <w:r>
        <w:rPr>
          <w:rFonts w:hint="eastAsia" w:ascii="宋体" w:hAnsi="宋体"/>
          <w:szCs w:val="21"/>
          <w:u w:val="single"/>
          <w:lang w:val="en-US" w:eastAsia="zh-CN"/>
        </w:rPr>
        <w:t>3</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日在</w:t>
      </w:r>
      <w:r>
        <w:rPr>
          <w:rFonts w:hint="eastAsia" w:ascii="宋体" w:hAnsi="宋体"/>
          <w:szCs w:val="21"/>
          <w:u w:val="single"/>
        </w:rPr>
        <w:t xml:space="preserve"> </w:t>
      </w:r>
      <w:r>
        <w:rPr>
          <w:rFonts w:hint="eastAsia" w:ascii="宋体" w:hAnsi="宋体"/>
          <w:szCs w:val="21"/>
          <w:u w:val="single"/>
          <w:lang w:val="en-US" w:eastAsia="zh-CN"/>
        </w:rPr>
        <w:t>漳州</w:t>
      </w:r>
      <w:r>
        <w:rPr>
          <w:rFonts w:hint="eastAsia" w:ascii="宋体" w:hAnsi="宋体"/>
          <w:szCs w:val="21"/>
          <w:u w:val="single"/>
        </w:rPr>
        <w:t xml:space="preserve">  </w:t>
      </w:r>
      <w:r>
        <w:rPr>
          <w:rFonts w:hint="eastAsia" w:ascii="宋体" w:hAnsi="宋体"/>
          <w:szCs w:val="21"/>
        </w:rPr>
        <w:t>签订本合同。供、需双方在协议上的签字人是供、需双方的法定代表人或委托代理人。</w:t>
      </w:r>
    </w:p>
    <w:p>
      <w:pPr>
        <w:spacing w:line="280" w:lineRule="exact"/>
        <w:rPr>
          <w:rFonts w:hint="eastAsia" w:ascii="宋体" w:hAnsi="宋体"/>
          <w:b/>
          <w:szCs w:val="21"/>
        </w:rPr>
      </w:pPr>
      <w:r>
        <w:rPr>
          <w:rFonts w:hint="eastAsia" w:ascii="宋体" w:hAnsi="宋体"/>
          <w:b/>
          <w:szCs w:val="21"/>
        </w:rPr>
        <w:t>一、 产品名称</w:t>
      </w:r>
      <w:r>
        <w:rPr>
          <w:rFonts w:hint="eastAsia" w:ascii="宋体" w:hAnsi="宋体" w:cs="宋体"/>
          <w:b/>
          <w:kern w:val="0"/>
          <w:szCs w:val="21"/>
        </w:rPr>
        <w:t>、生产厂家、型号规格、计量单位、数量、单价、金额、备注:</w:t>
      </w:r>
    </w:p>
    <w:tbl>
      <w:tblPr>
        <w:tblStyle w:val="14"/>
        <w:tblW w:w="961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2"/>
        <w:gridCol w:w="863"/>
        <w:gridCol w:w="989"/>
        <w:gridCol w:w="482"/>
        <w:gridCol w:w="856"/>
        <w:gridCol w:w="684"/>
        <w:gridCol w:w="1094"/>
        <w:gridCol w:w="1093"/>
        <w:gridCol w:w="2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8" w:hRule="atLeast"/>
        </w:trPr>
        <w:tc>
          <w:tcPr>
            <w:tcW w:w="1322" w:type="dxa"/>
            <w:vAlign w:val="center"/>
          </w:tcPr>
          <w:p>
            <w:pPr>
              <w:spacing w:line="280" w:lineRule="exact"/>
              <w:jc w:val="center"/>
              <w:rPr>
                <w:rFonts w:hint="eastAsia" w:ascii="宋体" w:hAnsi="宋体"/>
                <w:color w:val="000000"/>
                <w:szCs w:val="21"/>
              </w:rPr>
            </w:pPr>
            <w:r>
              <w:rPr>
                <w:rFonts w:hint="eastAsia" w:ascii="宋体" w:hAnsi="宋体"/>
                <w:color w:val="000000"/>
                <w:szCs w:val="21"/>
              </w:rPr>
              <w:t>产品名称</w:t>
            </w:r>
          </w:p>
        </w:tc>
        <w:tc>
          <w:tcPr>
            <w:tcW w:w="863" w:type="dxa"/>
            <w:vAlign w:val="center"/>
          </w:tcPr>
          <w:p>
            <w:pPr>
              <w:spacing w:line="280" w:lineRule="exact"/>
              <w:jc w:val="center"/>
              <w:rPr>
                <w:rFonts w:hint="eastAsia" w:ascii="宋体" w:hAnsi="宋体"/>
                <w:color w:val="000000"/>
                <w:szCs w:val="21"/>
              </w:rPr>
            </w:pPr>
            <w:r>
              <w:rPr>
                <w:rFonts w:hint="eastAsia" w:ascii="宋体" w:hAnsi="宋体"/>
                <w:color w:val="000000"/>
                <w:szCs w:val="21"/>
              </w:rPr>
              <w:t>生产厂家</w:t>
            </w:r>
          </w:p>
        </w:tc>
        <w:tc>
          <w:tcPr>
            <w:tcW w:w="1471" w:type="dxa"/>
            <w:gridSpan w:val="2"/>
            <w:vAlign w:val="center"/>
          </w:tcPr>
          <w:p>
            <w:pPr>
              <w:spacing w:line="280" w:lineRule="exact"/>
              <w:jc w:val="center"/>
              <w:rPr>
                <w:rFonts w:hint="eastAsia" w:ascii="宋体" w:hAnsi="宋体"/>
                <w:color w:val="000000"/>
                <w:szCs w:val="21"/>
              </w:rPr>
            </w:pPr>
            <w:r>
              <w:rPr>
                <w:rFonts w:hint="eastAsia" w:ascii="宋体" w:hAnsi="宋体"/>
                <w:color w:val="000000"/>
                <w:szCs w:val="21"/>
              </w:rPr>
              <w:t>型号规格</w:t>
            </w:r>
          </w:p>
        </w:tc>
        <w:tc>
          <w:tcPr>
            <w:tcW w:w="856" w:type="dxa"/>
            <w:vAlign w:val="center"/>
          </w:tcPr>
          <w:p>
            <w:pPr>
              <w:spacing w:line="280" w:lineRule="exact"/>
              <w:jc w:val="center"/>
              <w:rPr>
                <w:rFonts w:hint="eastAsia" w:ascii="宋体" w:hAnsi="宋体"/>
                <w:color w:val="000000"/>
                <w:szCs w:val="21"/>
              </w:rPr>
            </w:pPr>
            <w:r>
              <w:rPr>
                <w:rFonts w:hint="eastAsia" w:ascii="宋体" w:hAnsi="宋体"/>
                <w:color w:val="000000"/>
                <w:szCs w:val="21"/>
              </w:rPr>
              <w:t>计量单位</w:t>
            </w:r>
          </w:p>
        </w:tc>
        <w:tc>
          <w:tcPr>
            <w:tcW w:w="684" w:type="dxa"/>
            <w:vAlign w:val="center"/>
          </w:tcPr>
          <w:p>
            <w:pPr>
              <w:spacing w:line="280" w:lineRule="exact"/>
              <w:jc w:val="center"/>
              <w:rPr>
                <w:rFonts w:hint="eastAsia" w:ascii="宋体" w:hAnsi="宋体"/>
                <w:color w:val="000000"/>
                <w:szCs w:val="21"/>
              </w:rPr>
            </w:pPr>
            <w:r>
              <w:rPr>
                <w:rFonts w:hint="eastAsia" w:ascii="宋体" w:hAnsi="宋体"/>
                <w:color w:val="000000"/>
                <w:szCs w:val="21"/>
              </w:rPr>
              <w:t>数量</w:t>
            </w:r>
          </w:p>
        </w:tc>
        <w:tc>
          <w:tcPr>
            <w:tcW w:w="1094" w:type="dxa"/>
            <w:vAlign w:val="center"/>
          </w:tcPr>
          <w:p>
            <w:pPr>
              <w:spacing w:line="280" w:lineRule="exact"/>
              <w:jc w:val="center"/>
              <w:rPr>
                <w:rFonts w:hint="eastAsia" w:ascii="宋体" w:hAnsi="宋体"/>
                <w:color w:val="000000"/>
                <w:szCs w:val="21"/>
              </w:rPr>
            </w:pPr>
            <w:r>
              <w:rPr>
                <w:rFonts w:hint="eastAsia" w:ascii="宋体" w:hAnsi="宋体"/>
                <w:color w:val="000000"/>
                <w:szCs w:val="21"/>
              </w:rPr>
              <w:t>含税单价</w:t>
            </w:r>
          </w:p>
        </w:tc>
        <w:tc>
          <w:tcPr>
            <w:tcW w:w="1093" w:type="dxa"/>
            <w:vAlign w:val="center"/>
          </w:tcPr>
          <w:p>
            <w:pPr>
              <w:spacing w:line="280" w:lineRule="exact"/>
              <w:jc w:val="center"/>
              <w:rPr>
                <w:rFonts w:hint="eastAsia" w:ascii="宋体" w:hAnsi="宋体"/>
                <w:color w:val="000000"/>
                <w:szCs w:val="21"/>
              </w:rPr>
            </w:pPr>
            <w:r>
              <w:rPr>
                <w:rFonts w:hint="eastAsia" w:ascii="宋体" w:hAnsi="宋体"/>
                <w:color w:val="000000"/>
                <w:szCs w:val="21"/>
              </w:rPr>
              <w:t>含税总金额（元）</w:t>
            </w:r>
          </w:p>
        </w:tc>
        <w:tc>
          <w:tcPr>
            <w:tcW w:w="2227" w:type="dxa"/>
            <w:vAlign w:val="center"/>
          </w:tcPr>
          <w:p>
            <w:pPr>
              <w:spacing w:line="280" w:lineRule="exact"/>
              <w:jc w:val="center"/>
              <w:rPr>
                <w:rFonts w:hint="eastAsia" w:ascii="宋体" w:hAnsi="宋体"/>
                <w:color w:val="000000"/>
                <w:szCs w:val="21"/>
              </w:rPr>
            </w:pPr>
            <w:r>
              <w:rPr>
                <w:rFonts w:hint="eastAsia" w:ascii="宋体" w:hAnsi="宋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1322" w:type="dxa"/>
            <w:vAlign w:val="center"/>
          </w:tcPr>
          <w:p>
            <w:pPr>
              <w:spacing w:line="280" w:lineRule="exact"/>
              <w:ind w:firstLine="420" w:firstLineChars="200"/>
              <w:jc w:val="both"/>
              <w:rPr>
                <w:rFonts w:hint="default" w:ascii="宋体" w:hAnsi="宋体" w:eastAsia="宋体"/>
                <w:color w:val="000000"/>
                <w:sz w:val="21"/>
                <w:szCs w:val="21"/>
                <w:lang w:val="en-US" w:eastAsia="zh-CN"/>
              </w:rPr>
            </w:pPr>
          </w:p>
        </w:tc>
        <w:tc>
          <w:tcPr>
            <w:tcW w:w="863" w:type="dxa"/>
            <w:vAlign w:val="center"/>
          </w:tcPr>
          <w:p>
            <w:pPr>
              <w:spacing w:line="280" w:lineRule="exact"/>
              <w:jc w:val="both"/>
              <w:rPr>
                <w:rFonts w:hint="default" w:ascii="宋体" w:hAnsi="宋体" w:cs="Times New Roman"/>
                <w:color w:val="000000"/>
                <w:sz w:val="21"/>
                <w:szCs w:val="21"/>
                <w:lang w:val="en-US" w:eastAsia="zh-CN"/>
              </w:rPr>
            </w:pPr>
            <w:r>
              <w:rPr>
                <w:rFonts w:hint="eastAsia" w:ascii="宋体" w:hAnsi="宋体" w:cs="Times New Roman"/>
                <w:color w:val="000000"/>
                <w:sz w:val="21"/>
                <w:szCs w:val="21"/>
                <w:lang w:val="en-US" w:eastAsia="zh-CN"/>
              </w:rPr>
              <w:t xml:space="preserve">    /</w:t>
            </w:r>
          </w:p>
        </w:tc>
        <w:tc>
          <w:tcPr>
            <w:tcW w:w="1471" w:type="dxa"/>
            <w:gridSpan w:val="2"/>
            <w:vAlign w:val="center"/>
          </w:tcPr>
          <w:p>
            <w:pPr>
              <w:spacing w:line="280" w:lineRule="exact"/>
              <w:jc w:val="center"/>
              <w:rPr>
                <w:rFonts w:hint="default" w:ascii="宋体" w:hAnsi="宋体" w:cs="Times New Roman"/>
                <w:color w:val="000000"/>
                <w:sz w:val="21"/>
                <w:szCs w:val="21"/>
                <w:lang w:val="en-US" w:eastAsia="zh-CN"/>
              </w:rPr>
            </w:pPr>
            <w:r>
              <w:rPr>
                <w:rFonts w:hint="eastAsia" w:ascii="宋体" w:hAnsi="宋体" w:cs="Times New Roman"/>
                <w:color w:val="000000"/>
                <w:sz w:val="21"/>
                <w:szCs w:val="21"/>
                <w:lang w:val="en-US" w:eastAsia="zh-CN"/>
              </w:rPr>
              <w:t>/</w:t>
            </w:r>
          </w:p>
        </w:tc>
        <w:tc>
          <w:tcPr>
            <w:tcW w:w="856" w:type="dxa"/>
            <w:vAlign w:val="center"/>
          </w:tcPr>
          <w:p>
            <w:pPr>
              <w:spacing w:line="280" w:lineRule="exact"/>
              <w:jc w:val="center"/>
              <w:rPr>
                <w:rFonts w:hint="default" w:ascii="宋体" w:hAnsi="宋体" w:cs="Times New Roman"/>
                <w:color w:val="000000"/>
                <w:sz w:val="21"/>
                <w:szCs w:val="21"/>
                <w:lang w:val="en-US" w:eastAsia="zh-CN"/>
              </w:rPr>
            </w:pPr>
          </w:p>
        </w:tc>
        <w:tc>
          <w:tcPr>
            <w:tcW w:w="684" w:type="dxa"/>
            <w:vAlign w:val="center"/>
          </w:tcPr>
          <w:p>
            <w:pPr>
              <w:spacing w:line="280" w:lineRule="exact"/>
              <w:jc w:val="center"/>
              <w:rPr>
                <w:rFonts w:hint="default" w:ascii="宋体" w:hAnsi="宋体" w:cs="Times New Roman"/>
                <w:color w:val="000000"/>
                <w:sz w:val="21"/>
                <w:szCs w:val="21"/>
                <w:lang w:val="en-US" w:eastAsia="zh-CN"/>
              </w:rPr>
            </w:pPr>
          </w:p>
        </w:tc>
        <w:tc>
          <w:tcPr>
            <w:tcW w:w="1094" w:type="dxa"/>
            <w:vAlign w:val="center"/>
          </w:tcPr>
          <w:p>
            <w:pPr>
              <w:spacing w:line="280" w:lineRule="exact"/>
              <w:jc w:val="center"/>
              <w:rPr>
                <w:rFonts w:hint="default" w:ascii="宋体" w:hAnsi="宋体" w:cs="Times New Roman"/>
                <w:color w:val="000000"/>
                <w:sz w:val="21"/>
                <w:szCs w:val="21"/>
                <w:lang w:val="en-US" w:eastAsia="zh-CN"/>
              </w:rPr>
            </w:pPr>
          </w:p>
        </w:tc>
        <w:tc>
          <w:tcPr>
            <w:tcW w:w="1093" w:type="dxa"/>
            <w:vAlign w:val="center"/>
          </w:tcPr>
          <w:p>
            <w:pPr>
              <w:spacing w:line="280" w:lineRule="exact"/>
              <w:jc w:val="center"/>
              <w:rPr>
                <w:rFonts w:hint="default" w:ascii="宋体" w:hAnsi="宋体" w:cs="Times New Roman"/>
                <w:color w:val="000000"/>
                <w:sz w:val="21"/>
                <w:szCs w:val="21"/>
                <w:lang w:val="en-US" w:eastAsia="zh-CN"/>
              </w:rPr>
            </w:pPr>
          </w:p>
        </w:tc>
        <w:tc>
          <w:tcPr>
            <w:tcW w:w="2227" w:type="dxa"/>
            <w:vAlign w:val="center"/>
          </w:tcPr>
          <w:p>
            <w:pPr>
              <w:spacing w:line="280" w:lineRule="exact"/>
              <w:jc w:val="center"/>
              <w:rPr>
                <w:rFonts w:hint="eastAsia" w:ascii="宋体" w:hAnsi="宋体" w:cs="Times New Roman"/>
                <w:color w:val="000000"/>
                <w:sz w:val="21"/>
                <w:szCs w:val="21"/>
                <w:lang w:val="en-US" w:eastAsia="zh-CN"/>
              </w:rPr>
            </w:pPr>
            <w:r>
              <w:rPr>
                <w:rFonts w:hint="eastAsia" w:ascii="宋体" w:hAnsi="宋体" w:cs="Times New Roman"/>
                <w:color w:val="000000"/>
                <w:sz w:val="21"/>
                <w:szCs w:val="21"/>
                <w:lang w:val="en-US" w:eastAsia="zh-CN"/>
              </w:rPr>
              <w:t>含13%增值税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trPr>
        <w:tc>
          <w:tcPr>
            <w:tcW w:w="3174" w:type="dxa"/>
            <w:gridSpan w:val="3"/>
            <w:vAlign w:val="center"/>
          </w:tcPr>
          <w:p>
            <w:pPr>
              <w:spacing w:line="280" w:lineRule="exact"/>
              <w:rPr>
                <w:rFonts w:hint="eastAsia" w:ascii="宋体" w:hAnsi="宋体"/>
                <w:color w:val="000000"/>
                <w:szCs w:val="21"/>
              </w:rPr>
            </w:pPr>
            <w:r>
              <w:rPr>
                <w:rFonts w:hint="eastAsia" w:ascii="宋体" w:hAnsi="宋体"/>
                <w:color w:val="000000"/>
                <w:szCs w:val="21"/>
              </w:rPr>
              <w:t xml:space="preserve">合计人民币含税金额（大写）：                   </w:t>
            </w:r>
          </w:p>
        </w:tc>
        <w:tc>
          <w:tcPr>
            <w:tcW w:w="6436" w:type="dxa"/>
            <w:gridSpan w:val="6"/>
            <w:vAlign w:val="center"/>
          </w:tcPr>
          <w:p>
            <w:pPr>
              <w:spacing w:line="280" w:lineRule="exact"/>
              <w:rPr>
                <w:rFonts w:hint="eastAsia" w:ascii="宋体" w:hAnsi="宋体"/>
                <w:color w:val="000000"/>
                <w:szCs w:val="21"/>
              </w:rPr>
            </w:pPr>
          </w:p>
        </w:tc>
      </w:tr>
    </w:tbl>
    <w:p>
      <w:pPr>
        <w:spacing w:line="280" w:lineRule="exact"/>
        <w:ind w:firstLine="420" w:firstLineChars="200"/>
        <w:rPr>
          <w:rFonts w:hint="eastAsia" w:ascii="宋体" w:hAnsi="宋体"/>
          <w:b/>
          <w:szCs w:val="21"/>
        </w:rPr>
      </w:pPr>
      <w:r>
        <w:rPr>
          <w:rFonts w:hint="eastAsia" w:ascii="宋体" w:hAnsi="宋体"/>
          <w:b w:val="0"/>
          <w:bCs/>
          <w:color w:val="000000"/>
          <w:szCs w:val="21"/>
        </w:rPr>
        <w:t>上述数量及总金额均为暂定，</w:t>
      </w:r>
      <w:r>
        <w:rPr>
          <w:rFonts w:hint="eastAsia" w:ascii="宋体" w:hAnsi="宋体"/>
          <w:b w:val="0"/>
          <w:bCs/>
          <w:color w:val="000000"/>
          <w:szCs w:val="21"/>
          <w:lang w:val="en-US" w:eastAsia="zh-CN"/>
        </w:rPr>
        <w:t>上述数量</w:t>
      </w:r>
      <w:r>
        <w:rPr>
          <w:rFonts w:hint="eastAsia" w:ascii="宋体" w:hAnsi="宋体"/>
          <w:b w:val="0"/>
          <w:bCs/>
          <w:color w:val="000000"/>
          <w:szCs w:val="21"/>
        </w:rPr>
        <w:t>为</w:t>
      </w:r>
      <w:r>
        <w:rPr>
          <w:rFonts w:hint="eastAsia" w:ascii="宋体" w:hAnsi="宋体"/>
          <w:b w:val="0"/>
          <w:bCs/>
          <w:color w:val="000000"/>
          <w:szCs w:val="21"/>
          <w:lang w:val="en-US" w:eastAsia="zh-CN"/>
        </w:rPr>
        <w:t>2023年7月31日</w:t>
      </w:r>
      <w:r>
        <w:rPr>
          <w:rFonts w:hint="eastAsia" w:ascii="宋体" w:hAnsi="宋体"/>
          <w:b w:val="0"/>
          <w:bCs/>
          <w:color w:val="000000"/>
          <w:szCs w:val="21"/>
        </w:rPr>
        <w:t>至20</w:t>
      </w:r>
      <w:r>
        <w:rPr>
          <w:rFonts w:hint="eastAsia" w:ascii="宋体" w:hAnsi="宋体"/>
          <w:b w:val="0"/>
          <w:bCs/>
          <w:color w:val="000000"/>
          <w:szCs w:val="21"/>
          <w:lang w:val="en-US" w:eastAsia="zh-CN"/>
        </w:rPr>
        <w:t>24</w:t>
      </w:r>
      <w:r>
        <w:rPr>
          <w:rFonts w:hint="eastAsia" w:ascii="宋体" w:hAnsi="宋体"/>
          <w:b w:val="0"/>
          <w:bCs/>
          <w:color w:val="000000"/>
          <w:szCs w:val="21"/>
        </w:rPr>
        <w:t>年</w:t>
      </w:r>
      <w:r>
        <w:rPr>
          <w:rFonts w:hint="eastAsia" w:ascii="宋体" w:hAnsi="宋体"/>
          <w:b w:val="0"/>
          <w:bCs/>
          <w:color w:val="000000"/>
          <w:szCs w:val="21"/>
          <w:lang w:val="en-US" w:eastAsia="zh-CN"/>
        </w:rPr>
        <w:t>12</w:t>
      </w:r>
      <w:r>
        <w:rPr>
          <w:rFonts w:hint="eastAsia" w:ascii="宋体" w:hAnsi="宋体"/>
          <w:b w:val="0"/>
          <w:bCs/>
          <w:color w:val="000000"/>
          <w:szCs w:val="21"/>
        </w:rPr>
        <w:t>月</w:t>
      </w:r>
      <w:r>
        <w:rPr>
          <w:rFonts w:hint="eastAsia" w:ascii="宋体" w:hAnsi="宋体"/>
          <w:b w:val="0"/>
          <w:bCs/>
          <w:color w:val="000000"/>
          <w:szCs w:val="21"/>
          <w:lang w:val="en-US" w:eastAsia="zh-CN"/>
        </w:rPr>
        <w:t>31日</w:t>
      </w:r>
      <w:r>
        <w:rPr>
          <w:rFonts w:hint="eastAsia" w:ascii="宋体" w:hAnsi="宋体"/>
          <w:b w:val="0"/>
          <w:bCs/>
          <w:color w:val="000000"/>
          <w:szCs w:val="21"/>
        </w:rPr>
        <w:t>封顶数量：如果合约期内实际用药数量超过</w:t>
      </w:r>
      <w:r>
        <w:rPr>
          <w:rFonts w:hint="eastAsia" w:ascii="宋体" w:hAnsi="宋体"/>
          <w:b w:val="0"/>
          <w:bCs/>
          <w:color w:val="000000"/>
          <w:szCs w:val="21"/>
          <w:lang w:val="en-US" w:eastAsia="zh-CN"/>
        </w:rPr>
        <w:t>上述数量</w:t>
      </w:r>
      <w:r>
        <w:rPr>
          <w:rFonts w:hint="eastAsia" w:ascii="宋体" w:hAnsi="宋体"/>
          <w:b w:val="0"/>
          <w:bCs/>
          <w:color w:val="000000"/>
          <w:szCs w:val="21"/>
        </w:rPr>
        <w:t>，供方无条件补足；如果合约期内实际用药数量少于</w:t>
      </w:r>
      <w:r>
        <w:rPr>
          <w:rFonts w:hint="eastAsia" w:ascii="宋体" w:hAnsi="宋体"/>
          <w:b w:val="0"/>
          <w:bCs/>
          <w:color w:val="000000"/>
          <w:szCs w:val="21"/>
          <w:lang w:val="en-US" w:eastAsia="zh-CN"/>
        </w:rPr>
        <w:t>上述数量</w:t>
      </w:r>
      <w:r>
        <w:rPr>
          <w:rFonts w:hint="eastAsia" w:ascii="宋体" w:hAnsi="宋体"/>
          <w:b w:val="0"/>
          <w:bCs/>
          <w:color w:val="000000"/>
          <w:szCs w:val="21"/>
        </w:rPr>
        <w:t>，则按照实际用药数量进行结算。</w:t>
      </w:r>
    </w:p>
    <w:p>
      <w:pPr>
        <w:spacing w:line="280" w:lineRule="exact"/>
        <w:rPr>
          <w:rFonts w:ascii="宋体" w:hAnsi="宋体"/>
          <w:b/>
          <w:color w:val="000000"/>
          <w:szCs w:val="21"/>
        </w:rPr>
      </w:pPr>
      <w:r>
        <w:rPr>
          <w:rFonts w:hint="eastAsia" w:ascii="宋体" w:hAnsi="宋体"/>
          <w:b/>
          <w:szCs w:val="21"/>
        </w:rPr>
        <w:t>二、</w:t>
      </w:r>
      <w:r>
        <w:rPr>
          <w:rFonts w:hint="eastAsia" w:ascii="宋体" w:hAnsi="宋体"/>
          <w:b/>
          <w:color w:val="000000"/>
          <w:szCs w:val="21"/>
        </w:rPr>
        <w:t>供货有效期：</w:t>
      </w:r>
    </w:p>
    <w:p>
      <w:pPr>
        <w:numPr>
          <w:ilvl w:val="0"/>
          <w:numId w:val="0"/>
        </w:numPr>
        <w:spacing w:line="280" w:lineRule="exact"/>
        <w:ind w:leftChars="0" w:firstLine="420" w:firstLineChars="200"/>
        <w:rPr>
          <w:rFonts w:hint="eastAsia" w:ascii="宋体" w:hAnsi="宋体"/>
          <w:b/>
          <w:szCs w:val="21"/>
        </w:rPr>
      </w:pPr>
      <w:r>
        <w:rPr>
          <w:rFonts w:hint="eastAsia" w:ascii="宋体" w:hAnsi="宋体"/>
          <w:color w:val="000000"/>
          <w:szCs w:val="21"/>
          <w:lang w:val="en-US" w:eastAsia="zh-CN"/>
        </w:rPr>
        <w:t xml:space="preserve">本合同供货有效期：从 </w:t>
      </w:r>
      <w:r>
        <w:rPr>
          <w:rFonts w:hint="eastAsia" w:ascii="宋体" w:hAnsi="宋体"/>
          <w:color w:val="000000"/>
          <w:szCs w:val="21"/>
          <w:u w:val="single"/>
          <w:lang w:val="en-US" w:eastAsia="zh-CN"/>
        </w:rPr>
        <w:t>2023</w:t>
      </w:r>
      <w:r>
        <w:rPr>
          <w:rFonts w:hint="eastAsia" w:ascii="宋体" w:hAnsi="宋体"/>
          <w:color w:val="000000"/>
          <w:szCs w:val="21"/>
          <w:lang w:val="en-US" w:eastAsia="zh-CN"/>
        </w:rPr>
        <w:t>年</w:t>
      </w:r>
      <w:r>
        <w:rPr>
          <w:rFonts w:hint="eastAsia" w:ascii="宋体" w:hAnsi="宋体"/>
          <w:color w:val="000000"/>
          <w:szCs w:val="21"/>
          <w:u w:val="single"/>
          <w:lang w:val="en-US" w:eastAsia="zh-CN"/>
        </w:rPr>
        <w:t xml:space="preserve"> 7</w:t>
      </w:r>
      <w:r>
        <w:rPr>
          <w:rFonts w:hint="eastAsia" w:ascii="宋体" w:hAnsi="宋体"/>
          <w:color w:val="000000" w:themeColor="text1"/>
          <w:szCs w:val="21"/>
          <w:u w:val="single"/>
          <w:lang w:val="en-US" w:eastAsia="zh-CN"/>
        </w:rPr>
        <w:t xml:space="preserve"> </w:t>
      </w:r>
      <w:r>
        <w:rPr>
          <w:rFonts w:hint="eastAsia" w:ascii="宋体" w:hAnsi="宋体"/>
          <w:color w:val="000000" w:themeColor="text1"/>
          <w:szCs w:val="21"/>
          <w:lang w:val="en-US" w:eastAsia="zh-CN"/>
        </w:rPr>
        <w:t>月</w:t>
      </w:r>
      <w:r>
        <w:rPr>
          <w:rFonts w:hint="eastAsia" w:ascii="宋体" w:hAnsi="宋体"/>
          <w:color w:val="000000" w:themeColor="text1"/>
          <w:szCs w:val="21"/>
          <w:u w:val="single"/>
          <w:lang w:val="en-US" w:eastAsia="zh-CN"/>
        </w:rPr>
        <w:t xml:space="preserve"> 31 </w:t>
      </w:r>
      <w:r>
        <w:rPr>
          <w:rFonts w:hint="eastAsia" w:ascii="宋体" w:hAnsi="宋体"/>
          <w:color w:val="000000" w:themeColor="text1"/>
          <w:szCs w:val="21"/>
          <w:lang w:val="en-US" w:eastAsia="zh-CN"/>
        </w:rPr>
        <w:t>日</w:t>
      </w:r>
      <w:r>
        <w:rPr>
          <w:rFonts w:hint="eastAsia" w:ascii="宋体" w:hAnsi="宋体"/>
          <w:color w:val="000000"/>
          <w:szCs w:val="21"/>
          <w:lang w:val="en-US" w:eastAsia="zh-CN"/>
        </w:rPr>
        <w:t xml:space="preserve">至 </w:t>
      </w:r>
      <w:r>
        <w:rPr>
          <w:rFonts w:hint="eastAsia" w:ascii="宋体" w:hAnsi="宋体"/>
          <w:color w:val="000000"/>
          <w:szCs w:val="21"/>
          <w:u w:val="single"/>
          <w:lang w:val="en-US" w:eastAsia="zh-CN"/>
        </w:rPr>
        <w:t>2024</w:t>
      </w:r>
      <w:r>
        <w:rPr>
          <w:rFonts w:hint="eastAsia" w:ascii="宋体" w:hAnsi="宋体"/>
          <w:color w:val="000000"/>
          <w:szCs w:val="21"/>
          <w:lang w:val="en-US" w:eastAsia="zh-CN"/>
        </w:rPr>
        <w:t>年</w:t>
      </w:r>
      <w:r>
        <w:rPr>
          <w:rFonts w:hint="eastAsia" w:ascii="宋体" w:hAnsi="宋体"/>
          <w:color w:val="000000"/>
          <w:szCs w:val="21"/>
          <w:u w:val="single"/>
          <w:lang w:val="en-US" w:eastAsia="zh-CN"/>
        </w:rPr>
        <w:t xml:space="preserve"> 12 </w:t>
      </w:r>
      <w:r>
        <w:rPr>
          <w:rFonts w:hint="eastAsia" w:ascii="宋体" w:hAnsi="宋体"/>
          <w:color w:val="000000"/>
          <w:szCs w:val="21"/>
          <w:lang w:val="en-US" w:eastAsia="zh-CN"/>
        </w:rPr>
        <w:t xml:space="preserve">月 </w:t>
      </w:r>
      <w:r>
        <w:rPr>
          <w:rFonts w:hint="eastAsia" w:ascii="宋体" w:hAnsi="宋体"/>
          <w:color w:val="000000"/>
          <w:szCs w:val="21"/>
          <w:u w:val="single"/>
          <w:lang w:val="en-US" w:eastAsia="zh-CN"/>
        </w:rPr>
        <w:t xml:space="preserve">31 </w:t>
      </w:r>
      <w:r>
        <w:rPr>
          <w:rFonts w:hint="eastAsia" w:ascii="宋体" w:hAnsi="宋体"/>
          <w:color w:val="000000"/>
          <w:szCs w:val="21"/>
          <w:lang w:val="en-US" w:eastAsia="zh-CN"/>
        </w:rPr>
        <w:t>日。本合同供货有效期届满与否，不影响本合同其他条款和组成部分的效力。</w:t>
      </w:r>
    </w:p>
    <w:p>
      <w:pPr>
        <w:spacing w:line="280" w:lineRule="exact"/>
        <w:rPr>
          <w:rFonts w:hint="eastAsia" w:ascii="宋体" w:hAnsi="宋体" w:eastAsia="宋体"/>
          <w:color w:val="000000"/>
          <w:szCs w:val="21"/>
          <w:u w:val="single"/>
          <w:lang w:eastAsia="zh-CN"/>
        </w:rPr>
      </w:pPr>
      <w:r>
        <w:rPr>
          <w:rFonts w:hint="eastAsia" w:ascii="宋体" w:hAnsi="宋体"/>
          <w:b/>
          <w:szCs w:val="21"/>
          <w:lang w:val="en-US" w:eastAsia="zh-CN"/>
        </w:rPr>
        <w:t>三、</w:t>
      </w:r>
      <w:r>
        <w:rPr>
          <w:rFonts w:hint="eastAsia" w:ascii="宋体" w:hAnsi="宋体"/>
          <w:b/>
          <w:szCs w:val="21"/>
        </w:rPr>
        <w:t>产品质量要求及技术标准：</w:t>
      </w:r>
      <w:r>
        <w:rPr>
          <w:rFonts w:hint="eastAsia" w:ascii="宋体" w:hAnsi="宋体"/>
          <w:szCs w:val="21"/>
        </w:rPr>
        <w:t>双方商定按下列第</w:t>
      </w:r>
      <w:r>
        <w:rPr>
          <w:rFonts w:hint="eastAsia" w:ascii="宋体" w:hAnsi="宋体"/>
          <w:szCs w:val="21"/>
          <w:u w:val="single"/>
        </w:rPr>
        <w:t xml:space="preserve">   </w:t>
      </w:r>
      <w:r>
        <w:rPr>
          <w:rFonts w:hint="eastAsia" w:ascii="宋体" w:hAnsi="宋体"/>
          <w:szCs w:val="21"/>
          <w:u w:val="single"/>
          <w:lang w:val="en-US" w:eastAsia="zh-CN"/>
        </w:rPr>
        <w:t>3</w:t>
      </w:r>
      <w:r>
        <w:rPr>
          <w:rFonts w:hint="eastAsia" w:ascii="宋体" w:hAnsi="宋体"/>
          <w:szCs w:val="21"/>
          <w:u w:val="single"/>
        </w:rPr>
        <w:t xml:space="preserve">  </w:t>
      </w:r>
      <w:r>
        <w:rPr>
          <w:rFonts w:hint="eastAsia" w:ascii="宋体" w:hAnsi="宋体"/>
          <w:szCs w:val="21"/>
        </w:rPr>
        <w:t>款执行，</w:t>
      </w:r>
      <w:r>
        <w:rPr>
          <w:rFonts w:hint="eastAsia" w:ascii="宋体" w:hAnsi="宋体"/>
          <w:color w:val="000000"/>
          <w:szCs w:val="21"/>
        </w:rPr>
        <w:t>其中主要的技术指标包含：</w:t>
      </w:r>
      <w:r>
        <w:rPr>
          <w:rFonts w:hint="eastAsia" w:ascii="宋体" w:hAnsi="宋体"/>
          <w:color w:val="000000"/>
          <w:szCs w:val="21"/>
          <w:u w:val="single"/>
        </w:rPr>
        <w:t xml:space="preserve">     </w:t>
      </w:r>
      <w:r>
        <w:rPr>
          <w:rFonts w:hint="eastAsia" w:ascii="宋体" w:hAnsi="宋体"/>
          <w:color w:val="000000"/>
          <w:szCs w:val="21"/>
          <w:u w:val="single"/>
          <w:lang w:val="en-US" w:eastAsia="zh-CN"/>
        </w:rPr>
        <w:t>见附件</w:t>
      </w:r>
      <w:r>
        <w:rPr>
          <w:rFonts w:hint="eastAsia" w:ascii="宋体" w:hAnsi="宋体"/>
          <w:color w:val="000000"/>
          <w:szCs w:val="21"/>
          <w:u w:val="single"/>
        </w:rPr>
        <w:t xml:space="preserve">  </w:t>
      </w:r>
      <w:r>
        <w:rPr>
          <w:rFonts w:hint="eastAsia" w:ascii="宋体" w:hAnsi="宋体"/>
          <w:color w:val="000000"/>
          <w:szCs w:val="21"/>
          <w:u w:val="none"/>
          <w:lang w:eastAsia="zh-CN"/>
        </w:rPr>
        <w:t>。</w:t>
      </w:r>
    </w:p>
    <w:p>
      <w:pPr>
        <w:spacing w:line="280" w:lineRule="exact"/>
        <w:ind w:firstLine="420" w:firstLineChars="200"/>
        <w:rPr>
          <w:rFonts w:hint="eastAsia" w:ascii="宋体" w:hAnsi="宋体"/>
          <w:szCs w:val="21"/>
        </w:rPr>
      </w:pPr>
      <w:r>
        <w:rPr>
          <w:rFonts w:ascii="宋体" w:hAnsi="宋体"/>
          <w:szCs w:val="21"/>
        </w:rPr>
        <w:t>1</w:t>
      </w:r>
      <w:r>
        <w:rPr>
          <w:rFonts w:hint="eastAsia" w:ascii="宋体" w:hAnsi="宋体"/>
          <w:szCs w:val="21"/>
        </w:rPr>
        <w:t>.</w:t>
      </w:r>
      <w:r>
        <w:rPr>
          <w:rFonts w:ascii="宋体" w:hAnsi="宋体"/>
          <w:szCs w:val="21"/>
        </w:rPr>
        <w:t>国家标准</w:t>
      </w:r>
      <w:r>
        <w:rPr>
          <w:rFonts w:hint="eastAsia" w:ascii="宋体" w:hAnsi="宋体"/>
          <w:szCs w:val="21"/>
        </w:rPr>
        <w:t>及</w:t>
      </w:r>
      <w:r>
        <w:rPr>
          <w:rFonts w:ascii="宋体" w:hAnsi="宋体"/>
          <w:szCs w:val="21"/>
        </w:rPr>
        <w:t>代号</w:t>
      </w:r>
      <w:r>
        <w:rPr>
          <w:rFonts w:hint="eastAsia" w:ascii="宋体" w:hAnsi="宋体"/>
          <w:szCs w:val="21"/>
        </w:rPr>
        <w:t>:</w:t>
      </w:r>
      <w:r>
        <w:rPr>
          <w:rFonts w:hint="eastAsia" w:ascii="宋体" w:hAnsi="宋体"/>
          <w:szCs w:val="21"/>
          <w:u w:val="single"/>
        </w:rPr>
        <w:t xml:space="preserve">      </w:t>
      </w:r>
      <w:r>
        <w:rPr>
          <w:rFonts w:hint="eastAsia" w:ascii="宋体" w:hAnsi="宋体"/>
          <w:szCs w:val="21"/>
          <w:u w:val="none"/>
        </w:rPr>
        <w:t xml:space="preserve"> </w:t>
      </w:r>
      <w:r>
        <w:rPr>
          <w:rFonts w:hint="eastAsia" w:ascii="宋体" w:hAnsi="宋体"/>
          <w:szCs w:val="21"/>
          <w:u w:val="none"/>
          <w:lang w:val="en-US" w:eastAsia="zh-CN"/>
        </w:rPr>
        <w:t xml:space="preserve"> </w:t>
      </w:r>
      <w:r>
        <w:rPr>
          <w:rFonts w:ascii="宋体" w:hAnsi="宋体"/>
          <w:szCs w:val="21"/>
        </w:rPr>
        <w:t>2</w:t>
      </w:r>
      <w:r>
        <w:rPr>
          <w:rFonts w:hint="eastAsia" w:ascii="宋体" w:hAnsi="宋体"/>
          <w:szCs w:val="21"/>
        </w:rPr>
        <w:t>.</w:t>
      </w:r>
      <w:r>
        <w:rPr>
          <w:rFonts w:ascii="宋体" w:hAnsi="宋体"/>
          <w:szCs w:val="21"/>
        </w:rPr>
        <w:t>行业标准</w:t>
      </w:r>
      <w:r>
        <w:rPr>
          <w:rFonts w:hint="eastAsia" w:ascii="宋体" w:hAnsi="宋体"/>
          <w:szCs w:val="21"/>
        </w:rPr>
        <w:t>及</w:t>
      </w:r>
      <w:r>
        <w:rPr>
          <w:rFonts w:ascii="宋体" w:hAnsi="宋体"/>
          <w:szCs w:val="21"/>
        </w:rPr>
        <w:t>代号</w:t>
      </w:r>
      <w:r>
        <w:rPr>
          <w:rFonts w:hint="eastAsia" w:ascii="宋体" w:hAnsi="宋体"/>
          <w:szCs w:val="21"/>
        </w:rPr>
        <w:t>:</w:t>
      </w:r>
      <w:r>
        <w:rPr>
          <w:rFonts w:hint="eastAsia" w:ascii="宋体" w:hAnsi="宋体"/>
          <w:szCs w:val="21"/>
          <w:u w:val="single"/>
        </w:rPr>
        <w:t xml:space="preserve">       </w:t>
      </w:r>
      <w:r>
        <w:rPr>
          <w:rFonts w:hint="eastAsia" w:ascii="宋体" w:hAnsi="宋体"/>
          <w:szCs w:val="21"/>
        </w:rPr>
        <w:t xml:space="preserve"> </w:t>
      </w:r>
      <w:r>
        <w:rPr>
          <w:rFonts w:ascii="宋体" w:hAnsi="宋体"/>
          <w:szCs w:val="21"/>
        </w:rPr>
        <w:t>3</w:t>
      </w:r>
      <w:r>
        <w:rPr>
          <w:rFonts w:hint="eastAsia" w:ascii="宋体" w:hAnsi="宋体"/>
          <w:szCs w:val="21"/>
        </w:rPr>
        <w:t>.</w:t>
      </w:r>
      <w:r>
        <w:rPr>
          <w:rFonts w:ascii="宋体" w:hAnsi="宋体"/>
          <w:szCs w:val="21"/>
        </w:rPr>
        <w:t>企业标</w:t>
      </w:r>
      <w:r>
        <w:rPr>
          <w:rFonts w:hint="eastAsia" w:ascii="宋体" w:hAnsi="宋体"/>
          <w:szCs w:val="21"/>
        </w:rPr>
        <w:t>准及</w:t>
      </w:r>
      <w:r>
        <w:rPr>
          <w:rFonts w:ascii="宋体" w:hAnsi="宋体"/>
          <w:szCs w:val="21"/>
        </w:rPr>
        <w:t>代号</w:t>
      </w:r>
      <w:r>
        <w:rPr>
          <w:rFonts w:hint="eastAsia" w:ascii="宋体" w:hAnsi="宋体"/>
          <w:szCs w:val="21"/>
        </w:rPr>
        <w:t>:</w:t>
      </w:r>
      <w:r>
        <w:rPr>
          <w:rFonts w:hint="eastAsia" w:ascii="宋体" w:hAnsi="宋体"/>
          <w:szCs w:val="21"/>
          <w:u w:val="single"/>
        </w:rPr>
        <w:t xml:space="preserve">  </w:t>
      </w:r>
      <w:r>
        <w:rPr>
          <w:rFonts w:hint="eastAsia" w:ascii="宋体" w:hAnsi="宋体" w:cs="Arial"/>
          <w:szCs w:val="21"/>
          <w:u w:val="single"/>
          <w:lang w:val="en-US" w:eastAsia="zh-CN"/>
        </w:rPr>
        <w:t>见附件</w:t>
      </w:r>
      <w:r>
        <w:rPr>
          <w:rFonts w:hint="eastAsia" w:ascii="宋体" w:hAnsi="宋体"/>
          <w:szCs w:val="21"/>
          <w:u w:val="single"/>
        </w:rPr>
        <w:t xml:space="preserve">       </w:t>
      </w:r>
    </w:p>
    <w:p>
      <w:pPr>
        <w:spacing w:line="280" w:lineRule="exact"/>
        <w:ind w:firstLine="420" w:firstLineChars="200"/>
        <w:rPr>
          <w:rFonts w:hint="eastAsia" w:ascii="宋体" w:hAnsi="宋体" w:cs="Arial"/>
          <w:color w:val="000000"/>
          <w:sz w:val="21"/>
          <w:szCs w:val="21"/>
        </w:rPr>
      </w:pPr>
      <w:r>
        <w:rPr>
          <w:rFonts w:ascii="宋体" w:hAnsi="宋体" w:cs="Arial"/>
          <w:szCs w:val="21"/>
        </w:rPr>
        <w:t>4</w:t>
      </w:r>
      <w:r>
        <w:rPr>
          <w:rFonts w:hint="eastAsia" w:ascii="宋体" w:hAnsi="宋体" w:cs="Arial"/>
          <w:szCs w:val="21"/>
        </w:rPr>
        <w:t>.</w:t>
      </w:r>
      <w:r>
        <w:rPr>
          <w:rFonts w:ascii="宋体" w:hAnsi="宋体" w:cs="Arial"/>
          <w:szCs w:val="21"/>
        </w:rPr>
        <w:t>其他标准</w:t>
      </w:r>
      <w:r>
        <w:rPr>
          <w:rFonts w:hint="eastAsia" w:ascii="宋体" w:hAnsi="宋体" w:cs="Arial"/>
          <w:szCs w:val="21"/>
          <w:lang w:eastAsia="zh-CN"/>
        </w:rPr>
        <w:t>：</w:t>
      </w:r>
      <w:r>
        <w:rPr>
          <w:rFonts w:hint="eastAsia" w:ascii="宋体" w:hAnsi="宋体" w:cs="Arial"/>
          <w:szCs w:val="21"/>
          <w:lang w:val="en-US" w:eastAsia="zh-CN"/>
        </w:rPr>
        <w:t>_</w:t>
      </w:r>
      <w:r>
        <w:rPr>
          <w:rFonts w:hint="eastAsia" w:ascii="宋体" w:hAnsi="宋体" w:cs="Arial"/>
          <w:szCs w:val="21"/>
          <w:u w:val="single"/>
          <w:lang w:val="en-US" w:eastAsia="zh-CN"/>
        </w:rPr>
        <w:t xml:space="preserve">_  </w:t>
      </w:r>
      <w:r>
        <w:rPr>
          <w:rFonts w:hint="eastAsia" w:ascii="宋体" w:hAnsi="宋体" w:cs="Arial"/>
          <w:szCs w:val="21"/>
          <w:lang w:val="en-US" w:eastAsia="zh-CN"/>
        </w:rPr>
        <w:t xml:space="preserve"> </w:t>
      </w:r>
    </w:p>
    <w:p>
      <w:pPr>
        <w:spacing w:line="280" w:lineRule="exact"/>
        <w:rPr>
          <w:rFonts w:hint="eastAsia" w:ascii="宋体" w:hAnsi="宋体"/>
          <w:szCs w:val="21"/>
        </w:rPr>
      </w:pPr>
      <w:r>
        <w:rPr>
          <w:rFonts w:hint="eastAsia" w:ascii="宋体" w:hAnsi="宋体"/>
          <w:b/>
          <w:szCs w:val="21"/>
        </w:rPr>
        <w:t>三、包装方式：</w:t>
      </w:r>
      <w:r>
        <w:rPr>
          <w:rFonts w:hint="eastAsia" w:ascii="宋体" w:hAnsi="宋体"/>
          <w:szCs w:val="21"/>
        </w:rPr>
        <w:t>双方商定按下列第</w:t>
      </w:r>
      <w:r>
        <w:rPr>
          <w:rFonts w:hint="eastAsia" w:ascii="宋体" w:hAnsi="宋体"/>
          <w:szCs w:val="21"/>
          <w:u w:val="single"/>
        </w:rPr>
        <w:t xml:space="preserve"> </w:t>
      </w:r>
      <w:r>
        <w:rPr>
          <w:rFonts w:hint="eastAsia" w:ascii="宋体" w:hAnsi="宋体"/>
          <w:szCs w:val="21"/>
          <w:u w:val="single"/>
          <w:lang w:val="en-US" w:eastAsia="zh-CN"/>
        </w:rPr>
        <w:t xml:space="preserve"> 2 </w:t>
      </w:r>
      <w:r>
        <w:rPr>
          <w:rFonts w:hint="eastAsia" w:ascii="宋体" w:hAnsi="宋体"/>
          <w:szCs w:val="21"/>
          <w:u w:val="single"/>
        </w:rPr>
        <w:t xml:space="preserve"> </w:t>
      </w:r>
      <w:r>
        <w:rPr>
          <w:rFonts w:hint="eastAsia" w:ascii="宋体" w:hAnsi="宋体"/>
          <w:szCs w:val="21"/>
        </w:rPr>
        <w:t>款执行。</w:t>
      </w:r>
    </w:p>
    <w:p>
      <w:pPr>
        <w:spacing w:line="280" w:lineRule="exact"/>
        <w:ind w:firstLine="420" w:firstLineChars="200"/>
        <w:rPr>
          <w:rFonts w:hint="eastAsia" w:ascii="宋体" w:hAnsi="宋体"/>
          <w:szCs w:val="21"/>
          <w:u w:val="single"/>
        </w:rPr>
      </w:pPr>
      <w:r>
        <w:rPr>
          <w:rFonts w:hint="eastAsia" w:ascii="宋体" w:hAnsi="宋体"/>
          <w:szCs w:val="21"/>
        </w:rPr>
        <w:t>1.袋装：</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 xml:space="preserve">  2.桶装：</w:t>
      </w:r>
      <w:r>
        <w:rPr>
          <w:rFonts w:hint="eastAsia" w:ascii="宋体" w:hAnsi="宋体"/>
          <w:szCs w:val="21"/>
          <w:u w:val="single"/>
        </w:rPr>
        <w:t xml:space="preserve"> </w:t>
      </w:r>
      <w:r>
        <w:rPr>
          <w:rFonts w:hint="eastAsia" w:ascii="宋体" w:hAnsi="宋体"/>
          <w:szCs w:val="21"/>
          <w:u w:val="single"/>
          <w:lang w:val="en-US" w:eastAsia="zh-CN"/>
        </w:rPr>
        <w:t xml:space="preserve"> 桶包装，使用后的空桶由供方进行回收处理  </w:t>
      </w:r>
      <w:r>
        <w:rPr>
          <w:rFonts w:hint="eastAsia" w:ascii="宋体" w:hAnsi="宋体"/>
          <w:szCs w:val="21"/>
          <w:u w:val="none"/>
          <w:lang w:val="en-US" w:eastAsia="zh-CN"/>
        </w:rPr>
        <w:t xml:space="preserve">  </w:t>
      </w:r>
      <w:r>
        <w:rPr>
          <w:rFonts w:hint="eastAsia" w:ascii="宋体" w:hAnsi="宋体"/>
          <w:szCs w:val="21"/>
        </w:rPr>
        <w:t>3.散装：</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 xml:space="preserve">   4.其他：</w:t>
      </w:r>
      <w:r>
        <w:rPr>
          <w:rFonts w:hint="eastAsia" w:ascii="宋体" w:hAnsi="宋体"/>
          <w:szCs w:val="21"/>
          <w:u w:val="single"/>
        </w:rPr>
        <w:t xml:space="preserve">             </w:t>
      </w:r>
    </w:p>
    <w:p>
      <w:pPr>
        <w:spacing w:line="280" w:lineRule="exact"/>
        <w:rPr>
          <w:rFonts w:hint="eastAsia" w:ascii="宋体" w:hAnsi="宋体"/>
          <w:szCs w:val="21"/>
        </w:rPr>
      </w:pPr>
      <w:r>
        <w:rPr>
          <w:rFonts w:hint="eastAsia" w:ascii="宋体" w:hAnsi="宋体"/>
          <w:b/>
          <w:szCs w:val="21"/>
        </w:rPr>
        <w:t>四、货款结算与支付方式：</w:t>
      </w:r>
      <w:r>
        <w:rPr>
          <w:rFonts w:hint="eastAsia" w:ascii="宋体" w:hAnsi="宋体"/>
          <w:szCs w:val="21"/>
        </w:rPr>
        <w:t xml:space="preserve"> </w:t>
      </w:r>
    </w:p>
    <w:p>
      <w:pPr>
        <w:spacing w:line="280" w:lineRule="exact"/>
        <w:ind w:firstLine="420" w:firstLineChars="200"/>
        <w:rPr>
          <w:rFonts w:hint="eastAsia" w:ascii="宋体" w:hAnsi="宋体" w:eastAsia="宋体"/>
          <w:b/>
          <w:szCs w:val="21"/>
          <w:lang w:val="en-US" w:eastAsia="zh-CN"/>
        </w:rPr>
      </w:pPr>
      <w:r>
        <w:rPr>
          <w:rFonts w:hint="eastAsia" w:ascii="宋体" w:hAnsi="宋体"/>
          <w:b w:val="0"/>
          <w:bCs/>
          <w:szCs w:val="21"/>
        </w:rPr>
        <w:t>现汇支付</w:t>
      </w:r>
      <w:r>
        <w:rPr>
          <w:rFonts w:hint="eastAsia" w:ascii="宋体" w:hAnsi="宋体"/>
          <w:b w:val="0"/>
          <w:bCs/>
          <w:szCs w:val="21"/>
          <w:lang w:eastAsia="zh-CN"/>
        </w:rPr>
        <w:t>，</w:t>
      </w:r>
      <w:r>
        <w:rPr>
          <w:rFonts w:hint="eastAsia" w:ascii="宋体" w:hAnsi="宋体"/>
          <w:b w:val="0"/>
          <w:bCs/>
          <w:szCs w:val="21"/>
          <w:lang w:val="en-US" w:eastAsia="zh-CN"/>
        </w:rPr>
        <w:t>按季度考核付款</w:t>
      </w:r>
      <w:r>
        <w:rPr>
          <w:rFonts w:hint="eastAsia" w:ascii="宋体" w:hAnsi="宋体"/>
          <w:b w:val="0"/>
          <w:bCs/>
          <w:szCs w:val="21"/>
        </w:rPr>
        <w:t>。</w:t>
      </w:r>
      <w:r>
        <w:rPr>
          <w:rFonts w:hint="eastAsia" w:ascii="宋体" w:hAnsi="宋体"/>
          <w:b w:val="0"/>
          <w:bCs/>
          <w:szCs w:val="21"/>
          <w:lang w:val="en-US" w:eastAsia="zh-CN"/>
        </w:rPr>
        <w:t>分批季度到货、分批付款。</w:t>
      </w:r>
      <w:r>
        <w:rPr>
          <w:rFonts w:hint="eastAsia" w:ascii="宋体" w:hAnsi="宋体"/>
          <w:b w:val="0"/>
          <w:bCs/>
          <w:szCs w:val="21"/>
        </w:rPr>
        <w:t>每批产品到货</w:t>
      </w:r>
      <w:r>
        <w:rPr>
          <w:rFonts w:hint="eastAsia" w:ascii="宋体" w:hAnsi="宋体"/>
          <w:b w:val="0"/>
          <w:bCs/>
          <w:szCs w:val="21"/>
          <w:lang w:val="en-US" w:eastAsia="zh-CN"/>
        </w:rPr>
        <w:t>后</w:t>
      </w:r>
      <w:r>
        <w:rPr>
          <w:rFonts w:hint="eastAsia" w:ascii="宋体" w:hAnsi="宋体"/>
          <w:b w:val="0"/>
          <w:bCs/>
          <w:szCs w:val="21"/>
        </w:rPr>
        <w:t>，经需方或需方指定单位</w:t>
      </w:r>
      <w:r>
        <w:rPr>
          <w:rFonts w:hint="eastAsia" w:ascii="宋体" w:hAnsi="宋体"/>
          <w:b w:val="0"/>
          <w:bCs/>
          <w:color w:val="000000"/>
          <w:szCs w:val="21"/>
          <w:lang w:val="en-US" w:eastAsia="zh-CN"/>
        </w:rPr>
        <w:t>（福建福海创石油化工有限公司）</w:t>
      </w:r>
      <w:r>
        <w:rPr>
          <w:rFonts w:hint="eastAsia" w:ascii="宋体" w:hAnsi="宋体"/>
          <w:b w:val="0"/>
          <w:bCs/>
          <w:szCs w:val="21"/>
        </w:rPr>
        <w:t>根据双方签订的合同及技术</w:t>
      </w:r>
      <w:r>
        <w:rPr>
          <w:rFonts w:hint="eastAsia" w:ascii="宋体" w:hAnsi="宋体"/>
          <w:b w:val="0"/>
          <w:bCs/>
          <w:szCs w:val="21"/>
          <w:lang w:val="en-US" w:eastAsia="zh-CN"/>
        </w:rPr>
        <w:t>要求约定</w:t>
      </w:r>
      <w:r>
        <w:rPr>
          <w:rFonts w:hint="eastAsia" w:ascii="宋体" w:hAnsi="宋体"/>
          <w:b w:val="0"/>
          <w:bCs/>
          <w:szCs w:val="21"/>
        </w:rPr>
        <w:t>的</w:t>
      </w:r>
      <w:r>
        <w:rPr>
          <w:rFonts w:hint="eastAsia" w:ascii="宋体" w:hAnsi="宋体"/>
          <w:b w:val="0"/>
          <w:bCs/>
          <w:szCs w:val="21"/>
          <w:lang w:val="en-US" w:eastAsia="zh-CN"/>
        </w:rPr>
        <w:t>季度考核周期、</w:t>
      </w:r>
      <w:r>
        <w:rPr>
          <w:rFonts w:hint="eastAsia" w:ascii="宋体" w:hAnsi="宋体"/>
          <w:b w:val="0"/>
          <w:bCs/>
          <w:szCs w:val="21"/>
        </w:rPr>
        <w:t>质量、数量</w:t>
      </w:r>
      <w:r>
        <w:rPr>
          <w:rFonts w:hint="eastAsia" w:ascii="宋体" w:hAnsi="宋体"/>
          <w:b w:val="0"/>
          <w:bCs/>
          <w:szCs w:val="21"/>
          <w:lang w:val="en-US" w:eastAsia="zh-CN"/>
        </w:rPr>
        <w:t>及产品使用考核结果</w:t>
      </w:r>
      <w:r>
        <w:rPr>
          <w:rFonts w:hint="eastAsia" w:ascii="宋体" w:hAnsi="宋体"/>
          <w:b w:val="0"/>
          <w:bCs/>
          <w:szCs w:val="21"/>
        </w:rPr>
        <w:t>，供方提供相应金额的13%增值税专用发票以及结算所需的各类清单，需方收到并确认无误后</w:t>
      </w:r>
      <w:r>
        <w:rPr>
          <w:rFonts w:hint="eastAsia" w:ascii="宋体" w:hAnsi="宋体"/>
          <w:b w:val="0"/>
          <w:bCs/>
          <w:szCs w:val="21"/>
          <w:lang w:val="en-US" w:eastAsia="zh-CN"/>
        </w:rPr>
        <w:t>支付</w:t>
      </w:r>
      <w:r>
        <w:rPr>
          <w:rFonts w:hint="eastAsia" w:ascii="宋体" w:hAnsi="宋体"/>
          <w:b w:val="0"/>
          <w:bCs/>
          <w:szCs w:val="21"/>
        </w:rPr>
        <w:t>货款</w:t>
      </w:r>
      <w:r>
        <w:rPr>
          <w:rFonts w:hint="eastAsia" w:ascii="宋体" w:hAnsi="宋体"/>
          <w:b w:val="0"/>
          <w:bCs/>
          <w:szCs w:val="21"/>
          <w:lang w:eastAsia="zh-CN"/>
        </w:rPr>
        <w:t>。</w:t>
      </w:r>
    </w:p>
    <w:p>
      <w:pPr>
        <w:spacing w:line="280" w:lineRule="exact"/>
        <w:rPr>
          <w:rFonts w:ascii="宋体" w:hAnsi="宋体"/>
          <w:szCs w:val="21"/>
        </w:rPr>
      </w:pPr>
      <w:r>
        <w:rPr>
          <w:rFonts w:hint="eastAsia" w:ascii="宋体" w:hAnsi="宋体"/>
          <w:b/>
          <w:szCs w:val="21"/>
        </w:rPr>
        <w:t>五、交付期限：</w:t>
      </w:r>
    </w:p>
    <w:p>
      <w:pPr>
        <w:spacing w:line="280" w:lineRule="exact"/>
        <w:ind w:firstLine="420" w:firstLineChars="200"/>
        <w:rPr>
          <w:rFonts w:hint="eastAsia" w:ascii="宋体" w:hAnsi="宋体"/>
          <w:b w:val="0"/>
          <w:bCs/>
          <w:szCs w:val="21"/>
        </w:rPr>
      </w:pPr>
      <w:r>
        <w:rPr>
          <w:rFonts w:hint="eastAsia" w:ascii="宋体" w:hAnsi="宋体"/>
          <w:b w:val="0"/>
          <w:bCs/>
          <w:szCs w:val="21"/>
        </w:rPr>
        <w:t>分批到货，货物于202</w:t>
      </w:r>
      <w:r>
        <w:rPr>
          <w:rFonts w:hint="eastAsia" w:ascii="宋体" w:hAnsi="宋体"/>
          <w:b w:val="0"/>
          <w:bCs/>
          <w:szCs w:val="21"/>
          <w:lang w:val="en-US" w:eastAsia="zh-CN"/>
        </w:rPr>
        <w:t>3年6月底具备</w:t>
      </w:r>
      <w:r>
        <w:rPr>
          <w:rFonts w:hint="eastAsia" w:ascii="宋体" w:hAnsi="宋体"/>
          <w:b w:val="0"/>
          <w:bCs/>
          <w:szCs w:val="21"/>
        </w:rPr>
        <w:t>到货</w:t>
      </w:r>
      <w:r>
        <w:rPr>
          <w:rFonts w:hint="eastAsia" w:ascii="宋体" w:hAnsi="宋体"/>
          <w:b w:val="0"/>
          <w:bCs/>
          <w:szCs w:val="21"/>
          <w:lang w:val="en-US" w:eastAsia="zh-CN"/>
        </w:rPr>
        <w:t>条件</w:t>
      </w:r>
      <w:r>
        <w:rPr>
          <w:rFonts w:hint="eastAsia" w:ascii="宋体" w:hAnsi="宋体"/>
          <w:b w:val="0"/>
          <w:bCs/>
          <w:szCs w:val="21"/>
        </w:rPr>
        <w:t>，</w:t>
      </w:r>
      <w:r>
        <w:rPr>
          <w:rFonts w:hint="eastAsia" w:ascii="宋体" w:hAnsi="宋体"/>
          <w:b w:val="0"/>
          <w:bCs/>
          <w:szCs w:val="21"/>
          <w:lang w:val="en-US" w:eastAsia="zh-CN"/>
        </w:rPr>
        <w:t>具体到货时间</w:t>
      </w:r>
      <w:r>
        <w:rPr>
          <w:rFonts w:hint="eastAsia" w:ascii="宋体" w:hAnsi="宋体"/>
          <w:b w:val="0"/>
          <w:bCs/>
          <w:szCs w:val="21"/>
        </w:rPr>
        <w:t>以需方通知为准。</w:t>
      </w:r>
    </w:p>
    <w:p>
      <w:pPr>
        <w:spacing w:line="280" w:lineRule="exact"/>
        <w:rPr>
          <w:rFonts w:ascii="宋体" w:hAnsi="宋体"/>
          <w:sz w:val="24"/>
        </w:rPr>
      </w:pPr>
      <w:r>
        <w:rPr>
          <w:rFonts w:hint="eastAsia" w:ascii="宋体" w:hAnsi="宋体"/>
          <w:b/>
          <w:szCs w:val="21"/>
        </w:rPr>
        <w:t>六、交付方式：</w:t>
      </w:r>
      <w:r>
        <w:rPr>
          <w:rFonts w:hint="eastAsia" w:ascii="宋体" w:hAnsi="宋体"/>
          <w:szCs w:val="21"/>
        </w:rPr>
        <w:t>双方商定按下列第</w:t>
      </w:r>
      <w:r>
        <w:rPr>
          <w:rFonts w:hint="eastAsia" w:ascii="宋体" w:hAnsi="宋体"/>
          <w:szCs w:val="21"/>
          <w:u w:val="single"/>
        </w:rPr>
        <w:t xml:space="preserve">   </w:t>
      </w:r>
      <w:r>
        <w:rPr>
          <w:rFonts w:ascii="宋体" w:hAnsi="宋体"/>
          <w:szCs w:val="21"/>
          <w:u w:val="single"/>
        </w:rPr>
        <w:t>2</w:t>
      </w:r>
      <w:r>
        <w:rPr>
          <w:rFonts w:hint="eastAsia" w:ascii="宋体" w:hAnsi="宋体"/>
          <w:szCs w:val="21"/>
          <w:u w:val="single"/>
        </w:rPr>
        <w:t xml:space="preserve">  </w:t>
      </w:r>
      <w:r>
        <w:rPr>
          <w:rFonts w:hint="eastAsia" w:ascii="宋体" w:hAnsi="宋体"/>
          <w:szCs w:val="21"/>
        </w:rPr>
        <w:t>款执行。</w:t>
      </w:r>
      <w:r>
        <w:rPr>
          <w:rFonts w:ascii="宋体" w:hAnsi="宋体"/>
          <w:sz w:val="24"/>
        </w:rPr>
        <w:t xml:space="preserve"> </w:t>
      </w:r>
    </w:p>
    <w:p>
      <w:pPr>
        <w:spacing w:line="280" w:lineRule="exact"/>
        <w:ind w:firstLine="420" w:firstLineChars="200"/>
        <w:rPr>
          <w:rFonts w:hint="eastAsia" w:ascii="宋体" w:hAnsi="宋体"/>
          <w:szCs w:val="21"/>
        </w:rPr>
      </w:pPr>
      <w:r>
        <w:rPr>
          <w:rFonts w:hint="eastAsia" w:ascii="宋体" w:hAnsi="宋体"/>
          <w:szCs w:val="21"/>
        </w:rPr>
        <w:t>1.需方自提，</w:t>
      </w:r>
      <w:r>
        <w:rPr>
          <w:rFonts w:hint="eastAsia" w:ascii="宋体" w:hAnsi="宋体"/>
          <w:color w:val="000000"/>
          <w:szCs w:val="21"/>
        </w:rPr>
        <w:t>自提所需的所有费用由需方自理，</w:t>
      </w:r>
      <w:r>
        <w:rPr>
          <w:rFonts w:hint="eastAsia" w:ascii="宋体" w:hAnsi="宋体"/>
          <w:szCs w:val="21"/>
        </w:rPr>
        <w:t>提货地点为</w:t>
      </w:r>
      <w:r>
        <w:rPr>
          <w:rFonts w:hint="eastAsia" w:ascii="宋体" w:hAnsi="宋体"/>
          <w:sz w:val="18"/>
          <w:szCs w:val="18"/>
          <w:u w:val="single"/>
        </w:rPr>
        <w:t xml:space="preserve">                 </w:t>
      </w:r>
      <w:r>
        <w:rPr>
          <w:rFonts w:hint="eastAsia" w:ascii="宋体" w:hAnsi="宋体"/>
          <w:szCs w:val="21"/>
        </w:rPr>
        <w:t xml:space="preserve">；    </w:t>
      </w:r>
    </w:p>
    <w:p>
      <w:pPr>
        <w:spacing w:line="280" w:lineRule="exact"/>
        <w:ind w:firstLine="420" w:firstLineChars="200"/>
        <w:rPr>
          <w:rFonts w:hint="eastAsia" w:ascii="宋体" w:hAnsi="宋体"/>
          <w:sz w:val="21"/>
          <w:szCs w:val="21"/>
        </w:rPr>
      </w:pPr>
      <w:r>
        <w:rPr>
          <w:rFonts w:hint="eastAsia" w:ascii="宋体" w:hAnsi="宋体"/>
          <w:szCs w:val="21"/>
        </w:rPr>
        <w:t>2.供方送货，</w:t>
      </w:r>
      <w:r>
        <w:rPr>
          <w:rFonts w:hint="eastAsia" w:ascii="宋体" w:hAnsi="宋体"/>
          <w:color w:val="000000"/>
          <w:szCs w:val="21"/>
        </w:rPr>
        <w:t>运费、保险费由供方承担，</w:t>
      </w:r>
      <w:r>
        <w:rPr>
          <w:rFonts w:hint="eastAsia" w:ascii="宋体" w:hAnsi="宋体"/>
          <w:szCs w:val="21"/>
        </w:rPr>
        <w:t>到货地点为</w:t>
      </w:r>
      <w:r>
        <w:rPr>
          <w:rFonts w:hint="eastAsia" w:ascii="宋体" w:hAnsi="宋体"/>
          <w:sz w:val="21"/>
          <w:szCs w:val="21"/>
          <w:u w:val="single"/>
        </w:rPr>
        <w:t>福建省漳州市古雷经济开发区腾龙路</w:t>
      </w:r>
      <w:r>
        <w:rPr>
          <w:rFonts w:hint="eastAsia" w:ascii="宋体" w:hAnsi="宋体"/>
          <w:sz w:val="21"/>
          <w:szCs w:val="21"/>
          <w:u w:val="single"/>
          <w:lang w:val="en-US" w:eastAsia="zh-CN"/>
        </w:rPr>
        <w:t>腾龙芳烃（漳州）有限公司</w:t>
      </w:r>
      <w:r>
        <w:rPr>
          <w:rFonts w:hint="eastAsia" w:ascii="宋体" w:hAnsi="宋体"/>
          <w:sz w:val="21"/>
          <w:szCs w:val="21"/>
          <w:u w:val="single"/>
        </w:rPr>
        <w:t>指定仓库</w:t>
      </w:r>
      <w:r>
        <w:rPr>
          <w:rFonts w:hint="eastAsia" w:ascii="宋体" w:hAnsi="宋体"/>
          <w:sz w:val="21"/>
          <w:szCs w:val="21"/>
        </w:rPr>
        <w:t>；</w:t>
      </w:r>
    </w:p>
    <w:p>
      <w:pPr>
        <w:spacing w:line="280" w:lineRule="exact"/>
        <w:ind w:firstLine="420" w:firstLineChars="200"/>
        <w:rPr>
          <w:rFonts w:hint="eastAsia" w:ascii="宋体" w:hAnsi="宋体"/>
          <w:szCs w:val="21"/>
        </w:rPr>
      </w:pPr>
      <w:r>
        <w:rPr>
          <w:rFonts w:hint="eastAsia" w:ascii="宋体" w:hAnsi="宋体"/>
          <w:szCs w:val="21"/>
        </w:rPr>
        <w:t>3.供方代办托运，</w:t>
      </w:r>
      <w:r>
        <w:rPr>
          <w:rFonts w:hint="eastAsia" w:ascii="宋体" w:hAnsi="宋体"/>
          <w:color w:val="000000"/>
          <w:szCs w:val="21"/>
        </w:rPr>
        <w:t>运费、保险费由供方承担，由供方与承运人据实结算，到货地点为</w:t>
      </w:r>
      <w:r>
        <w:rPr>
          <w:rFonts w:hint="eastAsia" w:ascii="宋体" w:hAnsi="宋体"/>
          <w:color w:val="000000"/>
          <w:sz w:val="18"/>
          <w:szCs w:val="18"/>
          <w:u w:val="single"/>
        </w:rPr>
        <w:t xml:space="preserve">             </w:t>
      </w:r>
      <w:r>
        <w:rPr>
          <w:rFonts w:hint="eastAsia" w:ascii="宋体" w:hAnsi="宋体"/>
          <w:color w:val="000000"/>
          <w:szCs w:val="21"/>
        </w:rPr>
        <w:t>。</w:t>
      </w:r>
    </w:p>
    <w:p>
      <w:pPr>
        <w:spacing w:line="280" w:lineRule="exact"/>
        <w:rPr>
          <w:rFonts w:hint="eastAsia" w:ascii="宋体" w:hAnsi="宋体"/>
          <w:szCs w:val="21"/>
        </w:rPr>
      </w:pPr>
      <w:r>
        <w:rPr>
          <w:rFonts w:hint="eastAsia" w:ascii="宋体" w:hAnsi="宋体"/>
          <w:b/>
          <w:szCs w:val="21"/>
        </w:rPr>
        <w:t>七、</w:t>
      </w:r>
      <w:r>
        <w:rPr>
          <w:rFonts w:hint="eastAsia" w:ascii="宋体" w:hAnsi="宋体"/>
          <w:szCs w:val="21"/>
        </w:rPr>
        <w:t>本合同一式</w:t>
      </w:r>
      <w:r>
        <w:rPr>
          <w:rFonts w:hint="eastAsia" w:ascii="宋体" w:hAnsi="宋体"/>
          <w:szCs w:val="21"/>
          <w:u w:val="single"/>
        </w:rPr>
        <w:t xml:space="preserve">  肆  </w:t>
      </w:r>
      <w:r>
        <w:rPr>
          <w:rFonts w:hint="eastAsia" w:ascii="宋体" w:hAnsi="宋体"/>
          <w:szCs w:val="21"/>
        </w:rPr>
        <w:t>份， 供方执</w:t>
      </w:r>
      <w:r>
        <w:rPr>
          <w:rFonts w:hint="eastAsia" w:ascii="宋体" w:hAnsi="宋体"/>
          <w:szCs w:val="21"/>
          <w:u w:val="single"/>
        </w:rPr>
        <w:t xml:space="preserve">  </w:t>
      </w:r>
      <w:r>
        <w:rPr>
          <w:rFonts w:hint="eastAsia" w:ascii="宋体" w:hAnsi="宋体"/>
          <w:szCs w:val="21"/>
          <w:u w:val="single"/>
          <w:lang w:val="en-US" w:eastAsia="zh-CN"/>
        </w:rPr>
        <w:t>壹</w:t>
      </w:r>
      <w:r>
        <w:rPr>
          <w:rFonts w:hint="eastAsia" w:ascii="宋体" w:hAnsi="宋体"/>
          <w:szCs w:val="21"/>
          <w:u w:val="single"/>
        </w:rPr>
        <w:t xml:space="preserve">  </w:t>
      </w:r>
      <w:r>
        <w:rPr>
          <w:rFonts w:hint="eastAsia" w:ascii="宋体" w:hAnsi="宋体"/>
          <w:szCs w:val="21"/>
        </w:rPr>
        <w:t>份，需方执</w:t>
      </w:r>
      <w:r>
        <w:rPr>
          <w:rFonts w:hint="eastAsia" w:ascii="宋体" w:hAnsi="宋体"/>
          <w:szCs w:val="21"/>
          <w:u w:val="single"/>
        </w:rPr>
        <w:t xml:space="preserve">  </w:t>
      </w:r>
      <w:r>
        <w:rPr>
          <w:rFonts w:hint="eastAsia" w:ascii="宋体" w:hAnsi="宋体"/>
          <w:szCs w:val="21"/>
          <w:u w:val="single"/>
          <w:lang w:val="en-US" w:eastAsia="zh-CN"/>
        </w:rPr>
        <w:t>叁</w:t>
      </w:r>
      <w:r>
        <w:rPr>
          <w:rFonts w:hint="eastAsia" w:ascii="宋体" w:hAnsi="宋体"/>
          <w:szCs w:val="21"/>
          <w:u w:val="single"/>
        </w:rPr>
        <w:t xml:space="preserve">  </w:t>
      </w:r>
      <w:r>
        <w:rPr>
          <w:rFonts w:hint="eastAsia" w:ascii="宋体" w:hAnsi="宋体"/>
          <w:szCs w:val="21"/>
        </w:rPr>
        <w:t>份。</w:t>
      </w:r>
    </w:p>
    <w:p>
      <w:pPr>
        <w:spacing w:line="280" w:lineRule="exact"/>
        <w:rPr>
          <w:rFonts w:hint="eastAsia" w:ascii="宋体" w:hAnsi="宋体"/>
          <w:b/>
          <w:szCs w:val="21"/>
        </w:rPr>
      </w:pPr>
    </w:p>
    <w:tbl>
      <w:tblPr>
        <w:tblStyle w:val="14"/>
        <w:tblW w:w="10708" w:type="dxa"/>
        <w:jc w:val="center"/>
        <w:tblInd w:w="0" w:type="dxa"/>
        <w:tblLayout w:type="fixed"/>
        <w:tblCellMar>
          <w:top w:w="0" w:type="dxa"/>
          <w:left w:w="108" w:type="dxa"/>
          <w:bottom w:w="0" w:type="dxa"/>
          <w:right w:w="108" w:type="dxa"/>
        </w:tblCellMar>
      </w:tblPr>
      <w:tblGrid>
        <w:gridCol w:w="843"/>
        <w:gridCol w:w="207"/>
        <w:gridCol w:w="213"/>
        <w:gridCol w:w="210"/>
        <w:gridCol w:w="1260"/>
        <w:gridCol w:w="2623"/>
        <w:gridCol w:w="842"/>
        <w:gridCol w:w="210"/>
        <w:gridCol w:w="208"/>
        <w:gridCol w:w="117"/>
        <w:gridCol w:w="1355"/>
        <w:gridCol w:w="2620"/>
      </w:tblGrid>
      <w:tr>
        <w:tblPrEx>
          <w:tblLayout w:type="fixed"/>
          <w:tblCellMar>
            <w:top w:w="0" w:type="dxa"/>
            <w:left w:w="108" w:type="dxa"/>
            <w:bottom w:w="0" w:type="dxa"/>
            <w:right w:w="108" w:type="dxa"/>
          </w:tblCellMar>
        </w:tblPrEx>
        <w:trPr>
          <w:jc w:val="center"/>
        </w:trPr>
        <w:tc>
          <w:tcPr>
            <w:tcW w:w="1473" w:type="dxa"/>
            <w:gridSpan w:val="4"/>
            <w:vAlign w:val="center"/>
          </w:tcPr>
          <w:p>
            <w:pPr>
              <w:spacing w:line="280" w:lineRule="exact"/>
              <w:rPr>
                <w:rFonts w:hint="eastAsia" w:ascii="宋体" w:hAnsi="宋体"/>
                <w:b/>
                <w:color w:val="000000"/>
                <w:szCs w:val="21"/>
              </w:rPr>
            </w:pPr>
            <w:r>
              <w:rPr>
                <w:rFonts w:hint="eastAsia" w:ascii="宋体" w:hAnsi="宋体"/>
                <w:b/>
                <w:color w:val="000000"/>
                <w:szCs w:val="21"/>
              </w:rPr>
              <w:t>供方（章）:</w:t>
            </w:r>
          </w:p>
        </w:tc>
        <w:tc>
          <w:tcPr>
            <w:tcW w:w="3883" w:type="dxa"/>
            <w:gridSpan w:val="2"/>
            <w:vAlign w:val="center"/>
          </w:tcPr>
          <w:p>
            <w:pPr>
              <w:spacing w:line="280" w:lineRule="exact"/>
              <w:rPr>
                <w:rFonts w:hint="default" w:eastAsia="宋体"/>
                <w:b/>
                <w:color w:val="000000"/>
                <w:szCs w:val="21"/>
                <w:lang w:val="en-US" w:eastAsia="zh-CN"/>
              </w:rPr>
            </w:pPr>
          </w:p>
        </w:tc>
        <w:tc>
          <w:tcPr>
            <w:tcW w:w="1377" w:type="dxa"/>
            <w:gridSpan w:val="4"/>
            <w:vAlign w:val="center"/>
          </w:tcPr>
          <w:p>
            <w:pPr>
              <w:spacing w:line="280" w:lineRule="exact"/>
              <w:rPr>
                <w:rFonts w:hint="eastAsia" w:ascii="宋体" w:hAnsi="宋体"/>
                <w:b/>
                <w:color w:val="000000"/>
                <w:szCs w:val="21"/>
              </w:rPr>
            </w:pPr>
            <w:r>
              <w:rPr>
                <w:rFonts w:hint="eastAsia" w:ascii="宋体" w:hAnsi="宋体"/>
                <w:b/>
                <w:color w:val="000000"/>
                <w:szCs w:val="21"/>
              </w:rPr>
              <w:t>需方（章）:</w:t>
            </w:r>
          </w:p>
        </w:tc>
        <w:tc>
          <w:tcPr>
            <w:tcW w:w="3975" w:type="dxa"/>
            <w:gridSpan w:val="2"/>
            <w:vAlign w:val="center"/>
          </w:tcPr>
          <w:p>
            <w:pPr>
              <w:spacing w:line="280" w:lineRule="exact"/>
              <w:rPr>
                <w:rFonts w:hint="default" w:eastAsia="宋体"/>
                <w:b/>
                <w:color w:val="000000"/>
                <w:szCs w:val="21"/>
                <w:lang w:val="en-US" w:eastAsia="zh-CN"/>
              </w:rPr>
            </w:pPr>
            <w:r>
              <w:rPr>
                <w:rFonts w:hint="default" w:eastAsia="宋体"/>
                <w:b/>
                <w:color w:val="000000"/>
                <w:szCs w:val="21"/>
                <w:lang w:val="en-US" w:eastAsia="zh-CN"/>
              </w:rPr>
              <w:t>腾龙芳烃（漳州）有限公司</w:t>
            </w:r>
          </w:p>
        </w:tc>
      </w:tr>
      <w:tr>
        <w:tblPrEx>
          <w:tblLayout w:type="fixed"/>
          <w:tblCellMar>
            <w:top w:w="0" w:type="dxa"/>
            <w:left w:w="108" w:type="dxa"/>
            <w:bottom w:w="0" w:type="dxa"/>
            <w:right w:w="108" w:type="dxa"/>
          </w:tblCellMar>
        </w:tblPrEx>
        <w:trPr>
          <w:jc w:val="center"/>
        </w:trPr>
        <w:tc>
          <w:tcPr>
            <w:tcW w:w="1473" w:type="dxa"/>
            <w:gridSpan w:val="4"/>
            <w:vAlign w:val="center"/>
          </w:tcPr>
          <w:p>
            <w:pPr>
              <w:spacing w:line="280" w:lineRule="exact"/>
              <w:rPr>
                <w:rFonts w:hint="eastAsia"/>
                <w:color w:val="000000"/>
                <w:szCs w:val="21"/>
              </w:rPr>
            </w:pPr>
            <w:r>
              <w:rPr>
                <w:rFonts w:hint="eastAsia" w:ascii="宋体" w:hAnsi="宋体"/>
                <w:color w:val="000000"/>
                <w:szCs w:val="21"/>
              </w:rPr>
              <w:t>工商注册号：</w:t>
            </w:r>
          </w:p>
        </w:tc>
        <w:tc>
          <w:tcPr>
            <w:tcW w:w="3883" w:type="dxa"/>
            <w:gridSpan w:val="2"/>
            <w:vAlign w:val="center"/>
          </w:tcPr>
          <w:p>
            <w:pPr>
              <w:spacing w:line="280" w:lineRule="exact"/>
              <w:rPr>
                <w:rFonts w:hint="eastAsia"/>
                <w:color w:val="000000"/>
                <w:szCs w:val="21"/>
              </w:rPr>
            </w:pPr>
          </w:p>
        </w:tc>
        <w:tc>
          <w:tcPr>
            <w:tcW w:w="1377" w:type="dxa"/>
            <w:gridSpan w:val="4"/>
            <w:vAlign w:val="center"/>
          </w:tcPr>
          <w:p>
            <w:pPr>
              <w:spacing w:line="280" w:lineRule="exact"/>
              <w:rPr>
                <w:rFonts w:hint="eastAsia"/>
                <w:color w:val="000000"/>
                <w:szCs w:val="21"/>
              </w:rPr>
            </w:pPr>
            <w:r>
              <w:rPr>
                <w:rFonts w:hint="eastAsia" w:ascii="宋体" w:hAnsi="宋体"/>
                <w:color w:val="000000"/>
                <w:szCs w:val="21"/>
              </w:rPr>
              <w:t>工商注册号：</w:t>
            </w:r>
          </w:p>
        </w:tc>
        <w:tc>
          <w:tcPr>
            <w:tcW w:w="3975" w:type="dxa"/>
            <w:gridSpan w:val="2"/>
            <w:vAlign w:val="center"/>
          </w:tcPr>
          <w:p>
            <w:pPr>
              <w:spacing w:line="280" w:lineRule="exact"/>
              <w:rPr>
                <w:rFonts w:hint="eastAsia"/>
                <w:color w:val="000000"/>
                <w:szCs w:val="21"/>
              </w:rPr>
            </w:pPr>
            <w:r>
              <w:rPr>
                <w:rFonts w:hint="eastAsia"/>
                <w:color w:val="000000"/>
                <w:szCs w:val="21"/>
              </w:rPr>
              <w:t>91350600717866709A</w:t>
            </w:r>
          </w:p>
        </w:tc>
      </w:tr>
      <w:tr>
        <w:tblPrEx>
          <w:tblLayout w:type="fixed"/>
          <w:tblCellMar>
            <w:top w:w="0" w:type="dxa"/>
            <w:left w:w="108" w:type="dxa"/>
            <w:bottom w:w="0" w:type="dxa"/>
            <w:right w:w="108" w:type="dxa"/>
          </w:tblCellMar>
        </w:tblPrEx>
        <w:trPr>
          <w:jc w:val="center"/>
        </w:trPr>
        <w:tc>
          <w:tcPr>
            <w:tcW w:w="843" w:type="dxa"/>
            <w:vAlign w:val="center"/>
          </w:tcPr>
          <w:p>
            <w:pPr>
              <w:spacing w:line="280" w:lineRule="exact"/>
              <w:rPr>
                <w:rFonts w:hint="eastAsia"/>
                <w:color w:val="000000"/>
                <w:szCs w:val="21"/>
              </w:rPr>
            </w:pPr>
            <w:r>
              <w:rPr>
                <w:rFonts w:hint="eastAsia" w:ascii="宋体" w:hAnsi="宋体"/>
                <w:color w:val="000000"/>
                <w:szCs w:val="21"/>
              </w:rPr>
              <w:t>地址：</w:t>
            </w:r>
          </w:p>
        </w:tc>
        <w:tc>
          <w:tcPr>
            <w:tcW w:w="4513" w:type="dxa"/>
            <w:gridSpan w:val="5"/>
            <w:vAlign w:val="center"/>
          </w:tcPr>
          <w:p>
            <w:pPr>
              <w:spacing w:line="280" w:lineRule="exact"/>
              <w:rPr>
                <w:rFonts w:hint="eastAsia"/>
                <w:color w:val="000000"/>
                <w:sz w:val="18"/>
                <w:szCs w:val="18"/>
              </w:rPr>
            </w:pPr>
          </w:p>
        </w:tc>
        <w:tc>
          <w:tcPr>
            <w:tcW w:w="842" w:type="dxa"/>
            <w:vAlign w:val="center"/>
          </w:tcPr>
          <w:p>
            <w:pPr>
              <w:spacing w:line="280" w:lineRule="exact"/>
              <w:rPr>
                <w:rFonts w:hint="eastAsia"/>
                <w:color w:val="000000"/>
                <w:szCs w:val="21"/>
              </w:rPr>
            </w:pPr>
            <w:r>
              <w:rPr>
                <w:rFonts w:hint="eastAsia" w:ascii="宋体" w:hAnsi="宋体"/>
                <w:color w:val="000000"/>
                <w:szCs w:val="21"/>
              </w:rPr>
              <w:t>地址：</w:t>
            </w:r>
          </w:p>
        </w:tc>
        <w:tc>
          <w:tcPr>
            <w:tcW w:w="4510" w:type="dxa"/>
            <w:gridSpan w:val="5"/>
            <w:vAlign w:val="center"/>
          </w:tcPr>
          <w:p>
            <w:pPr>
              <w:spacing w:line="280" w:lineRule="exact"/>
              <w:rPr>
                <w:rFonts w:hint="eastAsia"/>
                <w:color w:val="000000"/>
                <w:sz w:val="18"/>
                <w:szCs w:val="18"/>
              </w:rPr>
            </w:pPr>
            <w:r>
              <w:rPr>
                <w:rFonts w:hint="eastAsia"/>
                <w:color w:val="000000"/>
                <w:szCs w:val="21"/>
              </w:rPr>
              <w:t xml:space="preserve">福建省漳州市古雷港经济开发区腾龙路84号 </w:t>
            </w:r>
          </w:p>
        </w:tc>
      </w:tr>
      <w:tr>
        <w:tblPrEx>
          <w:tblLayout w:type="fixed"/>
          <w:tblCellMar>
            <w:top w:w="0" w:type="dxa"/>
            <w:left w:w="108" w:type="dxa"/>
            <w:bottom w:w="0" w:type="dxa"/>
            <w:right w:w="108" w:type="dxa"/>
          </w:tblCellMar>
        </w:tblPrEx>
        <w:trPr>
          <w:jc w:val="center"/>
        </w:trPr>
        <w:tc>
          <w:tcPr>
            <w:tcW w:w="1263" w:type="dxa"/>
            <w:gridSpan w:val="3"/>
            <w:vAlign w:val="center"/>
          </w:tcPr>
          <w:p>
            <w:pPr>
              <w:spacing w:line="280" w:lineRule="exact"/>
              <w:rPr>
                <w:rFonts w:hint="eastAsia"/>
                <w:color w:val="000000"/>
                <w:szCs w:val="21"/>
              </w:rPr>
            </w:pPr>
            <w:r>
              <w:rPr>
                <w:rFonts w:hint="eastAsia" w:ascii="宋体" w:hAnsi="宋体"/>
                <w:color w:val="000000"/>
                <w:szCs w:val="21"/>
              </w:rPr>
              <w:t>邮政编码：</w:t>
            </w:r>
          </w:p>
        </w:tc>
        <w:tc>
          <w:tcPr>
            <w:tcW w:w="4093" w:type="dxa"/>
            <w:gridSpan w:val="3"/>
            <w:vAlign w:val="center"/>
          </w:tcPr>
          <w:p>
            <w:pPr>
              <w:spacing w:line="280" w:lineRule="exact"/>
              <w:rPr>
                <w:rFonts w:hint="eastAsia"/>
                <w:color w:val="000000"/>
                <w:szCs w:val="21"/>
              </w:rPr>
            </w:pPr>
          </w:p>
        </w:tc>
        <w:tc>
          <w:tcPr>
            <w:tcW w:w="1260" w:type="dxa"/>
            <w:gridSpan w:val="3"/>
            <w:vAlign w:val="center"/>
          </w:tcPr>
          <w:p>
            <w:pPr>
              <w:spacing w:line="280" w:lineRule="exact"/>
              <w:rPr>
                <w:rFonts w:hint="eastAsia"/>
                <w:color w:val="000000"/>
                <w:szCs w:val="21"/>
              </w:rPr>
            </w:pPr>
            <w:r>
              <w:rPr>
                <w:rFonts w:hint="eastAsia" w:ascii="宋体" w:hAnsi="宋体"/>
                <w:color w:val="000000"/>
                <w:szCs w:val="21"/>
              </w:rPr>
              <w:t>邮政编码：</w:t>
            </w:r>
          </w:p>
        </w:tc>
        <w:tc>
          <w:tcPr>
            <w:tcW w:w="4092" w:type="dxa"/>
            <w:gridSpan w:val="3"/>
            <w:vAlign w:val="center"/>
          </w:tcPr>
          <w:p>
            <w:pPr>
              <w:spacing w:line="280" w:lineRule="exact"/>
              <w:rPr>
                <w:rFonts w:hint="eastAsia"/>
                <w:color w:val="000000"/>
                <w:szCs w:val="21"/>
              </w:rPr>
            </w:pPr>
          </w:p>
        </w:tc>
      </w:tr>
      <w:tr>
        <w:tblPrEx>
          <w:tblLayout w:type="fixed"/>
          <w:tblCellMar>
            <w:top w:w="0" w:type="dxa"/>
            <w:left w:w="108" w:type="dxa"/>
            <w:bottom w:w="0" w:type="dxa"/>
            <w:right w:w="108" w:type="dxa"/>
          </w:tblCellMar>
        </w:tblPrEx>
        <w:trPr>
          <w:jc w:val="center"/>
        </w:trPr>
        <w:tc>
          <w:tcPr>
            <w:tcW w:w="2733" w:type="dxa"/>
            <w:gridSpan w:val="5"/>
            <w:vAlign w:val="center"/>
          </w:tcPr>
          <w:p>
            <w:pPr>
              <w:spacing w:line="280" w:lineRule="exact"/>
              <w:rPr>
                <w:rFonts w:hint="eastAsia"/>
                <w:color w:val="000000"/>
                <w:szCs w:val="21"/>
              </w:rPr>
            </w:pPr>
            <w:r>
              <w:rPr>
                <w:rFonts w:hint="eastAsia" w:ascii="宋体" w:hAnsi="宋体"/>
                <w:color w:val="000000"/>
                <w:szCs w:val="21"/>
              </w:rPr>
              <w:t>法定代表人或委托代理人：</w:t>
            </w:r>
          </w:p>
        </w:tc>
        <w:tc>
          <w:tcPr>
            <w:tcW w:w="2623" w:type="dxa"/>
            <w:vAlign w:val="center"/>
          </w:tcPr>
          <w:p>
            <w:pPr>
              <w:spacing w:line="280" w:lineRule="exact"/>
              <w:rPr>
                <w:rFonts w:hint="eastAsia"/>
                <w:color w:val="000000"/>
                <w:szCs w:val="21"/>
              </w:rPr>
            </w:pPr>
          </w:p>
        </w:tc>
        <w:tc>
          <w:tcPr>
            <w:tcW w:w="2732" w:type="dxa"/>
            <w:gridSpan w:val="5"/>
            <w:vAlign w:val="center"/>
          </w:tcPr>
          <w:p>
            <w:pPr>
              <w:spacing w:line="280" w:lineRule="exact"/>
              <w:rPr>
                <w:rFonts w:hint="eastAsia"/>
                <w:color w:val="000000"/>
                <w:szCs w:val="21"/>
              </w:rPr>
            </w:pPr>
            <w:r>
              <w:rPr>
                <w:rFonts w:hint="eastAsia" w:ascii="宋体" w:hAnsi="宋体"/>
                <w:color w:val="000000"/>
                <w:szCs w:val="21"/>
              </w:rPr>
              <w:t>法定代表人或委托代理人：</w:t>
            </w:r>
          </w:p>
        </w:tc>
        <w:tc>
          <w:tcPr>
            <w:tcW w:w="2620" w:type="dxa"/>
            <w:vAlign w:val="center"/>
          </w:tcPr>
          <w:p>
            <w:pPr>
              <w:spacing w:line="280" w:lineRule="exact"/>
              <w:rPr>
                <w:rFonts w:hint="eastAsia"/>
                <w:color w:val="000000"/>
                <w:szCs w:val="21"/>
              </w:rPr>
            </w:pPr>
          </w:p>
        </w:tc>
      </w:tr>
      <w:tr>
        <w:tblPrEx>
          <w:tblLayout w:type="fixed"/>
          <w:tblCellMar>
            <w:top w:w="0" w:type="dxa"/>
            <w:left w:w="108" w:type="dxa"/>
            <w:bottom w:w="0" w:type="dxa"/>
            <w:right w:w="108" w:type="dxa"/>
          </w:tblCellMar>
        </w:tblPrEx>
        <w:trPr>
          <w:jc w:val="center"/>
        </w:trPr>
        <w:tc>
          <w:tcPr>
            <w:tcW w:w="1050" w:type="dxa"/>
            <w:gridSpan w:val="2"/>
            <w:vAlign w:val="center"/>
          </w:tcPr>
          <w:p>
            <w:pPr>
              <w:spacing w:line="280" w:lineRule="exact"/>
              <w:rPr>
                <w:rFonts w:hint="eastAsia"/>
                <w:color w:val="000000"/>
                <w:szCs w:val="21"/>
              </w:rPr>
            </w:pPr>
            <w:r>
              <w:rPr>
                <w:rFonts w:hint="eastAsia" w:ascii="宋体" w:hAnsi="宋体"/>
                <w:color w:val="000000"/>
                <w:szCs w:val="21"/>
              </w:rPr>
              <w:t>经办人：</w:t>
            </w:r>
          </w:p>
        </w:tc>
        <w:tc>
          <w:tcPr>
            <w:tcW w:w="4306" w:type="dxa"/>
            <w:gridSpan w:val="4"/>
            <w:vAlign w:val="center"/>
          </w:tcPr>
          <w:p>
            <w:pPr>
              <w:spacing w:line="280" w:lineRule="exact"/>
              <w:rPr>
                <w:rFonts w:hint="eastAsia"/>
                <w:color w:val="000000"/>
                <w:szCs w:val="21"/>
              </w:rPr>
            </w:pPr>
          </w:p>
        </w:tc>
        <w:tc>
          <w:tcPr>
            <w:tcW w:w="1052" w:type="dxa"/>
            <w:gridSpan w:val="2"/>
            <w:vAlign w:val="center"/>
          </w:tcPr>
          <w:p>
            <w:pPr>
              <w:spacing w:line="280" w:lineRule="exact"/>
              <w:rPr>
                <w:rFonts w:hint="eastAsia"/>
                <w:color w:val="000000"/>
                <w:szCs w:val="21"/>
              </w:rPr>
            </w:pPr>
            <w:r>
              <w:rPr>
                <w:rFonts w:hint="eastAsia" w:ascii="宋体" w:hAnsi="宋体"/>
                <w:color w:val="000000"/>
                <w:szCs w:val="21"/>
              </w:rPr>
              <w:t>经办人：</w:t>
            </w:r>
          </w:p>
        </w:tc>
        <w:tc>
          <w:tcPr>
            <w:tcW w:w="4300" w:type="dxa"/>
            <w:gridSpan w:val="4"/>
            <w:vAlign w:val="center"/>
          </w:tcPr>
          <w:p>
            <w:pPr>
              <w:spacing w:line="280" w:lineRule="exact"/>
              <w:rPr>
                <w:rFonts w:hint="default" w:eastAsia="宋体"/>
                <w:color w:val="000000"/>
                <w:szCs w:val="21"/>
                <w:lang w:val="en-US" w:eastAsia="zh-CN"/>
              </w:rPr>
            </w:pPr>
            <w:r>
              <w:rPr>
                <w:rFonts w:hint="eastAsia"/>
                <w:color w:val="000000"/>
                <w:szCs w:val="21"/>
                <w:lang w:val="en-US" w:eastAsia="zh-CN"/>
              </w:rPr>
              <w:t>卢翠云</w:t>
            </w:r>
          </w:p>
        </w:tc>
      </w:tr>
      <w:tr>
        <w:tblPrEx>
          <w:tblLayout w:type="fixed"/>
          <w:tblCellMar>
            <w:top w:w="0" w:type="dxa"/>
            <w:left w:w="108" w:type="dxa"/>
            <w:bottom w:w="0" w:type="dxa"/>
            <w:right w:w="108" w:type="dxa"/>
          </w:tblCellMar>
        </w:tblPrEx>
        <w:trPr>
          <w:trHeight w:val="111" w:hRule="atLeast"/>
          <w:jc w:val="center"/>
        </w:trPr>
        <w:tc>
          <w:tcPr>
            <w:tcW w:w="843" w:type="dxa"/>
            <w:vAlign w:val="center"/>
          </w:tcPr>
          <w:p>
            <w:pPr>
              <w:spacing w:line="280" w:lineRule="exact"/>
              <w:rPr>
                <w:rFonts w:hint="eastAsia"/>
                <w:color w:val="000000"/>
                <w:szCs w:val="21"/>
              </w:rPr>
            </w:pPr>
            <w:r>
              <w:rPr>
                <w:rFonts w:hint="eastAsia" w:ascii="宋体" w:hAnsi="宋体"/>
                <w:color w:val="000000"/>
                <w:szCs w:val="21"/>
              </w:rPr>
              <w:t>电话：</w:t>
            </w:r>
          </w:p>
        </w:tc>
        <w:tc>
          <w:tcPr>
            <w:tcW w:w="4513" w:type="dxa"/>
            <w:gridSpan w:val="5"/>
            <w:vAlign w:val="center"/>
          </w:tcPr>
          <w:p>
            <w:pPr>
              <w:spacing w:line="280" w:lineRule="exact"/>
              <w:rPr>
                <w:rFonts w:hint="eastAsia"/>
                <w:color w:val="000000"/>
                <w:szCs w:val="21"/>
              </w:rPr>
            </w:pPr>
          </w:p>
        </w:tc>
        <w:tc>
          <w:tcPr>
            <w:tcW w:w="842" w:type="dxa"/>
            <w:vAlign w:val="center"/>
          </w:tcPr>
          <w:p>
            <w:pPr>
              <w:spacing w:line="280" w:lineRule="exact"/>
              <w:rPr>
                <w:rFonts w:hint="eastAsia"/>
                <w:color w:val="000000"/>
                <w:szCs w:val="21"/>
              </w:rPr>
            </w:pPr>
            <w:r>
              <w:rPr>
                <w:rFonts w:hint="eastAsia" w:ascii="宋体" w:hAnsi="宋体"/>
                <w:color w:val="000000"/>
                <w:szCs w:val="21"/>
              </w:rPr>
              <w:t>电话：</w:t>
            </w:r>
          </w:p>
        </w:tc>
        <w:tc>
          <w:tcPr>
            <w:tcW w:w="4510" w:type="dxa"/>
            <w:gridSpan w:val="5"/>
            <w:vAlign w:val="center"/>
          </w:tcPr>
          <w:p>
            <w:pPr>
              <w:spacing w:line="280" w:lineRule="exact"/>
              <w:rPr>
                <w:rFonts w:hint="default" w:eastAsia="宋体"/>
                <w:color w:val="000000"/>
                <w:szCs w:val="21"/>
                <w:lang w:val="en-US" w:eastAsia="zh-CN"/>
              </w:rPr>
            </w:pPr>
            <w:r>
              <w:rPr>
                <w:rFonts w:hint="eastAsia"/>
                <w:color w:val="000000"/>
                <w:szCs w:val="21"/>
                <w:lang w:val="en-US" w:eastAsia="zh-CN"/>
              </w:rPr>
              <w:t>13599526303</w:t>
            </w:r>
          </w:p>
        </w:tc>
      </w:tr>
      <w:tr>
        <w:tblPrEx>
          <w:tblLayout w:type="fixed"/>
          <w:tblCellMar>
            <w:top w:w="0" w:type="dxa"/>
            <w:left w:w="108" w:type="dxa"/>
            <w:bottom w:w="0" w:type="dxa"/>
            <w:right w:w="108" w:type="dxa"/>
          </w:tblCellMar>
        </w:tblPrEx>
        <w:trPr>
          <w:jc w:val="center"/>
        </w:trPr>
        <w:tc>
          <w:tcPr>
            <w:tcW w:w="843" w:type="dxa"/>
            <w:vAlign w:val="center"/>
          </w:tcPr>
          <w:p>
            <w:pPr>
              <w:spacing w:line="280" w:lineRule="exact"/>
              <w:rPr>
                <w:rFonts w:hint="eastAsia"/>
                <w:color w:val="000000"/>
                <w:szCs w:val="21"/>
              </w:rPr>
            </w:pPr>
            <w:r>
              <w:rPr>
                <w:rFonts w:hint="eastAsia" w:ascii="宋体" w:hAnsi="宋体"/>
                <w:color w:val="000000"/>
                <w:szCs w:val="21"/>
              </w:rPr>
              <w:t>传真：</w:t>
            </w:r>
          </w:p>
        </w:tc>
        <w:tc>
          <w:tcPr>
            <w:tcW w:w="4513" w:type="dxa"/>
            <w:gridSpan w:val="5"/>
            <w:vAlign w:val="center"/>
          </w:tcPr>
          <w:p>
            <w:pPr>
              <w:spacing w:line="280" w:lineRule="exact"/>
              <w:rPr>
                <w:rFonts w:hint="eastAsia"/>
                <w:color w:val="000000"/>
                <w:szCs w:val="21"/>
              </w:rPr>
            </w:pPr>
          </w:p>
        </w:tc>
        <w:tc>
          <w:tcPr>
            <w:tcW w:w="842" w:type="dxa"/>
            <w:vAlign w:val="center"/>
          </w:tcPr>
          <w:p>
            <w:pPr>
              <w:spacing w:line="280" w:lineRule="exact"/>
              <w:rPr>
                <w:rFonts w:hint="eastAsia"/>
                <w:color w:val="000000"/>
                <w:szCs w:val="21"/>
              </w:rPr>
            </w:pPr>
            <w:r>
              <w:rPr>
                <w:rFonts w:hint="eastAsia" w:ascii="宋体" w:hAnsi="宋体"/>
                <w:color w:val="000000"/>
                <w:szCs w:val="21"/>
              </w:rPr>
              <w:t>传真：</w:t>
            </w:r>
          </w:p>
        </w:tc>
        <w:tc>
          <w:tcPr>
            <w:tcW w:w="4510" w:type="dxa"/>
            <w:gridSpan w:val="5"/>
            <w:vAlign w:val="center"/>
          </w:tcPr>
          <w:p>
            <w:pPr>
              <w:spacing w:line="280" w:lineRule="exact"/>
              <w:rPr>
                <w:rFonts w:hint="eastAsia"/>
                <w:color w:val="000000"/>
                <w:szCs w:val="21"/>
              </w:rPr>
            </w:pPr>
          </w:p>
        </w:tc>
      </w:tr>
      <w:tr>
        <w:tblPrEx>
          <w:tblLayout w:type="fixed"/>
          <w:tblCellMar>
            <w:top w:w="0" w:type="dxa"/>
            <w:left w:w="108" w:type="dxa"/>
            <w:bottom w:w="0" w:type="dxa"/>
            <w:right w:w="108" w:type="dxa"/>
          </w:tblCellMar>
        </w:tblPrEx>
        <w:trPr>
          <w:jc w:val="center"/>
        </w:trPr>
        <w:tc>
          <w:tcPr>
            <w:tcW w:w="1263" w:type="dxa"/>
            <w:gridSpan w:val="3"/>
            <w:vAlign w:val="center"/>
          </w:tcPr>
          <w:p>
            <w:pPr>
              <w:spacing w:line="280" w:lineRule="exact"/>
              <w:rPr>
                <w:rFonts w:hint="eastAsia"/>
                <w:color w:val="000000"/>
                <w:szCs w:val="21"/>
              </w:rPr>
            </w:pPr>
            <w:r>
              <w:rPr>
                <w:rFonts w:hint="eastAsia" w:ascii="宋体" w:hAnsi="宋体"/>
                <w:color w:val="000000"/>
                <w:szCs w:val="21"/>
              </w:rPr>
              <w:t>电子邮箱：</w:t>
            </w:r>
          </w:p>
        </w:tc>
        <w:tc>
          <w:tcPr>
            <w:tcW w:w="4093" w:type="dxa"/>
            <w:gridSpan w:val="3"/>
            <w:vAlign w:val="center"/>
          </w:tcPr>
          <w:p>
            <w:pPr>
              <w:spacing w:line="280" w:lineRule="exact"/>
              <w:rPr>
                <w:rFonts w:hint="eastAsia"/>
                <w:color w:val="000000"/>
                <w:szCs w:val="21"/>
              </w:rPr>
            </w:pPr>
          </w:p>
        </w:tc>
        <w:tc>
          <w:tcPr>
            <w:tcW w:w="1260" w:type="dxa"/>
            <w:gridSpan w:val="3"/>
            <w:vAlign w:val="center"/>
          </w:tcPr>
          <w:p>
            <w:pPr>
              <w:spacing w:line="280" w:lineRule="exact"/>
              <w:rPr>
                <w:rFonts w:hint="eastAsia"/>
                <w:color w:val="000000"/>
                <w:szCs w:val="21"/>
              </w:rPr>
            </w:pPr>
            <w:r>
              <w:rPr>
                <w:rFonts w:hint="eastAsia" w:ascii="宋体" w:hAnsi="宋体"/>
                <w:color w:val="000000"/>
                <w:szCs w:val="21"/>
              </w:rPr>
              <w:t>电子邮箱：</w:t>
            </w:r>
          </w:p>
        </w:tc>
        <w:tc>
          <w:tcPr>
            <w:tcW w:w="4092" w:type="dxa"/>
            <w:gridSpan w:val="3"/>
            <w:vAlign w:val="center"/>
          </w:tcPr>
          <w:p>
            <w:pPr>
              <w:spacing w:line="280" w:lineRule="exact"/>
              <w:rPr>
                <w:rFonts w:hint="eastAsia"/>
                <w:color w:val="000000"/>
                <w:szCs w:val="21"/>
              </w:rPr>
            </w:pPr>
            <w:r>
              <w:rPr>
                <w:rFonts w:hint="eastAsia"/>
                <w:color w:val="000000"/>
                <w:szCs w:val="21"/>
                <w:lang w:val="en-US" w:eastAsia="zh-CN"/>
              </w:rPr>
              <w:t>wzc</w:t>
            </w:r>
            <w:r>
              <w:rPr>
                <w:rFonts w:hint="eastAsia"/>
                <w:color w:val="000000"/>
                <w:szCs w:val="21"/>
              </w:rPr>
              <w:t>gb</w:t>
            </w:r>
            <w:r>
              <w:rPr>
                <w:color w:val="000000"/>
                <w:szCs w:val="21"/>
              </w:rPr>
              <w:t>@fjpec.com.cn</w:t>
            </w:r>
          </w:p>
        </w:tc>
      </w:tr>
      <w:tr>
        <w:tblPrEx>
          <w:tblLayout w:type="fixed"/>
          <w:tblCellMar>
            <w:top w:w="0" w:type="dxa"/>
            <w:left w:w="108" w:type="dxa"/>
            <w:bottom w:w="0" w:type="dxa"/>
            <w:right w:w="108" w:type="dxa"/>
          </w:tblCellMar>
        </w:tblPrEx>
        <w:trPr>
          <w:jc w:val="center"/>
        </w:trPr>
        <w:tc>
          <w:tcPr>
            <w:tcW w:w="1263" w:type="dxa"/>
            <w:gridSpan w:val="3"/>
            <w:vAlign w:val="center"/>
          </w:tcPr>
          <w:p>
            <w:pPr>
              <w:spacing w:line="280" w:lineRule="exact"/>
              <w:rPr>
                <w:rFonts w:hint="eastAsia"/>
                <w:color w:val="000000"/>
                <w:szCs w:val="21"/>
              </w:rPr>
            </w:pPr>
            <w:r>
              <w:rPr>
                <w:rFonts w:hint="eastAsia" w:ascii="宋体" w:hAnsi="宋体"/>
                <w:color w:val="000000"/>
                <w:szCs w:val="21"/>
              </w:rPr>
              <w:t>开户银行：</w:t>
            </w:r>
          </w:p>
        </w:tc>
        <w:tc>
          <w:tcPr>
            <w:tcW w:w="4093" w:type="dxa"/>
            <w:gridSpan w:val="3"/>
            <w:vAlign w:val="center"/>
          </w:tcPr>
          <w:p>
            <w:pPr>
              <w:spacing w:line="280" w:lineRule="exact"/>
              <w:rPr>
                <w:rFonts w:hint="eastAsia"/>
                <w:color w:val="000000"/>
                <w:szCs w:val="21"/>
              </w:rPr>
            </w:pPr>
          </w:p>
        </w:tc>
        <w:tc>
          <w:tcPr>
            <w:tcW w:w="1260" w:type="dxa"/>
            <w:gridSpan w:val="3"/>
            <w:vAlign w:val="center"/>
          </w:tcPr>
          <w:p>
            <w:pPr>
              <w:spacing w:line="280" w:lineRule="exact"/>
              <w:rPr>
                <w:rFonts w:hint="eastAsia"/>
                <w:color w:val="000000"/>
                <w:szCs w:val="21"/>
              </w:rPr>
            </w:pPr>
            <w:r>
              <w:rPr>
                <w:rFonts w:hint="eastAsia" w:ascii="宋体" w:hAnsi="宋体"/>
                <w:color w:val="000000"/>
                <w:szCs w:val="21"/>
              </w:rPr>
              <w:t>开户银行：</w:t>
            </w:r>
          </w:p>
        </w:tc>
        <w:tc>
          <w:tcPr>
            <w:tcW w:w="4092" w:type="dxa"/>
            <w:gridSpan w:val="3"/>
            <w:vAlign w:val="center"/>
          </w:tcPr>
          <w:p>
            <w:pPr>
              <w:spacing w:line="280" w:lineRule="exact"/>
              <w:rPr>
                <w:rFonts w:hint="eastAsia"/>
                <w:color w:val="000000"/>
                <w:szCs w:val="21"/>
              </w:rPr>
            </w:pPr>
            <w:r>
              <w:rPr>
                <w:rFonts w:hint="eastAsia"/>
                <w:color w:val="000000"/>
                <w:szCs w:val="21"/>
              </w:rPr>
              <w:t>兴业银行漳州古雷支行</w:t>
            </w:r>
          </w:p>
        </w:tc>
      </w:tr>
      <w:tr>
        <w:tblPrEx>
          <w:tblLayout w:type="fixed"/>
          <w:tblCellMar>
            <w:top w:w="0" w:type="dxa"/>
            <w:left w:w="108" w:type="dxa"/>
            <w:bottom w:w="0" w:type="dxa"/>
            <w:right w:w="108" w:type="dxa"/>
          </w:tblCellMar>
        </w:tblPrEx>
        <w:trPr>
          <w:jc w:val="center"/>
        </w:trPr>
        <w:tc>
          <w:tcPr>
            <w:tcW w:w="843" w:type="dxa"/>
            <w:vAlign w:val="center"/>
          </w:tcPr>
          <w:p>
            <w:pPr>
              <w:spacing w:line="280" w:lineRule="exact"/>
              <w:rPr>
                <w:rFonts w:hint="eastAsia"/>
                <w:color w:val="000000"/>
                <w:szCs w:val="21"/>
              </w:rPr>
            </w:pPr>
            <w:r>
              <w:rPr>
                <w:rFonts w:hint="eastAsia" w:ascii="宋体" w:hAnsi="宋体"/>
                <w:color w:val="000000"/>
                <w:szCs w:val="21"/>
              </w:rPr>
              <w:t>帐号：</w:t>
            </w:r>
          </w:p>
        </w:tc>
        <w:tc>
          <w:tcPr>
            <w:tcW w:w="4513" w:type="dxa"/>
            <w:gridSpan w:val="5"/>
            <w:vAlign w:val="center"/>
          </w:tcPr>
          <w:p>
            <w:pPr>
              <w:spacing w:line="280" w:lineRule="exact"/>
              <w:rPr>
                <w:rFonts w:hint="eastAsia"/>
                <w:color w:val="000000"/>
                <w:szCs w:val="21"/>
              </w:rPr>
            </w:pPr>
          </w:p>
        </w:tc>
        <w:tc>
          <w:tcPr>
            <w:tcW w:w="842" w:type="dxa"/>
            <w:vAlign w:val="center"/>
          </w:tcPr>
          <w:p>
            <w:pPr>
              <w:spacing w:line="280" w:lineRule="exact"/>
              <w:rPr>
                <w:rFonts w:hint="eastAsia"/>
                <w:color w:val="000000"/>
                <w:szCs w:val="21"/>
              </w:rPr>
            </w:pPr>
            <w:r>
              <w:rPr>
                <w:rFonts w:hint="eastAsia" w:ascii="宋体" w:hAnsi="宋体"/>
                <w:color w:val="000000"/>
                <w:szCs w:val="21"/>
              </w:rPr>
              <w:t>帐号：</w:t>
            </w:r>
          </w:p>
        </w:tc>
        <w:tc>
          <w:tcPr>
            <w:tcW w:w="4510" w:type="dxa"/>
            <w:gridSpan w:val="5"/>
            <w:vAlign w:val="center"/>
          </w:tcPr>
          <w:p>
            <w:pPr>
              <w:spacing w:line="280" w:lineRule="exact"/>
              <w:rPr>
                <w:rFonts w:hint="eastAsia"/>
                <w:color w:val="000000"/>
                <w:szCs w:val="21"/>
              </w:rPr>
            </w:pPr>
            <w:r>
              <w:rPr>
                <w:rFonts w:hint="eastAsia"/>
                <w:color w:val="000000"/>
                <w:szCs w:val="21"/>
              </w:rPr>
              <w:t>162070100100021071</w:t>
            </w:r>
          </w:p>
        </w:tc>
      </w:tr>
      <w:tr>
        <w:tblPrEx>
          <w:tblLayout w:type="fixed"/>
          <w:tblCellMar>
            <w:top w:w="0" w:type="dxa"/>
            <w:left w:w="108" w:type="dxa"/>
            <w:bottom w:w="0" w:type="dxa"/>
            <w:right w:w="108" w:type="dxa"/>
          </w:tblCellMar>
        </w:tblPrEx>
        <w:trPr>
          <w:jc w:val="center"/>
        </w:trPr>
        <w:tc>
          <w:tcPr>
            <w:tcW w:w="843" w:type="dxa"/>
            <w:vAlign w:val="center"/>
          </w:tcPr>
          <w:p>
            <w:pPr>
              <w:spacing w:line="280" w:lineRule="exact"/>
              <w:rPr>
                <w:rFonts w:hint="eastAsia"/>
                <w:color w:val="000000"/>
                <w:szCs w:val="21"/>
              </w:rPr>
            </w:pPr>
            <w:r>
              <w:rPr>
                <w:rFonts w:hint="eastAsia" w:ascii="宋体" w:hAnsi="宋体"/>
                <w:color w:val="000000"/>
                <w:szCs w:val="21"/>
              </w:rPr>
              <w:t>税号：</w:t>
            </w:r>
          </w:p>
        </w:tc>
        <w:tc>
          <w:tcPr>
            <w:tcW w:w="4513" w:type="dxa"/>
            <w:gridSpan w:val="5"/>
            <w:vAlign w:val="center"/>
          </w:tcPr>
          <w:p>
            <w:pPr>
              <w:spacing w:line="280" w:lineRule="exact"/>
              <w:rPr>
                <w:rFonts w:hint="eastAsia"/>
                <w:color w:val="000000"/>
                <w:szCs w:val="21"/>
              </w:rPr>
            </w:pPr>
          </w:p>
        </w:tc>
        <w:tc>
          <w:tcPr>
            <w:tcW w:w="842" w:type="dxa"/>
            <w:vAlign w:val="center"/>
          </w:tcPr>
          <w:p>
            <w:pPr>
              <w:spacing w:line="280" w:lineRule="exact"/>
              <w:rPr>
                <w:rFonts w:hint="eastAsia"/>
                <w:color w:val="000000"/>
                <w:szCs w:val="21"/>
              </w:rPr>
            </w:pPr>
            <w:r>
              <w:rPr>
                <w:rFonts w:hint="eastAsia" w:ascii="宋体" w:hAnsi="宋体"/>
                <w:color w:val="000000"/>
                <w:szCs w:val="21"/>
              </w:rPr>
              <w:t>税号：</w:t>
            </w:r>
          </w:p>
        </w:tc>
        <w:tc>
          <w:tcPr>
            <w:tcW w:w="4510" w:type="dxa"/>
            <w:gridSpan w:val="5"/>
            <w:vAlign w:val="center"/>
          </w:tcPr>
          <w:p>
            <w:pPr>
              <w:spacing w:line="280" w:lineRule="exact"/>
              <w:rPr>
                <w:rFonts w:hint="eastAsia"/>
                <w:color w:val="000000"/>
                <w:szCs w:val="21"/>
              </w:rPr>
            </w:pPr>
            <w:r>
              <w:rPr>
                <w:rFonts w:hint="eastAsia"/>
                <w:color w:val="000000"/>
                <w:szCs w:val="21"/>
              </w:rPr>
              <w:t>91350600717866709A</w:t>
            </w:r>
          </w:p>
        </w:tc>
      </w:tr>
    </w:tbl>
    <w:p>
      <w:pPr>
        <w:spacing w:line="220" w:lineRule="exact"/>
        <w:rPr>
          <w:rFonts w:hint="eastAsia" w:ascii="宋体" w:hAnsi="宋体"/>
          <w:b/>
          <w:sz w:val="18"/>
          <w:szCs w:val="18"/>
          <w:u w:val="single"/>
        </w:rPr>
      </w:pPr>
    </w:p>
    <w:p>
      <w:pPr>
        <w:spacing w:line="220" w:lineRule="exact"/>
        <w:rPr>
          <w:rFonts w:hint="eastAsia" w:ascii="宋体" w:hAnsi="宋体"/>
          <w:b/>
          <w:sz w:val="18"/>
          <w:szCs w:val="18"/>
          <w:u w:val="single"/>
        </w:rPr>
      </w:pPr>
    </w:p>
    <w:p>
      <w:pPr>
        <w:spacing w:line="220" w:lineRule="exact"/>
        <w:rPr>
          <w:rFonts w:hint="eastAsia" w:ascii="宋体" w:hAnsi="宋体"/>
          <w:b/>
          <w:sz w:val="18"/>
          <w:szCs w:val="18"/>
          <w:u w:val="single"/>
        </w:rPr>
      </w:pPr>
    </w:p>
    <w:p>
      <w:pPr>
        <w:spacing w:line="300" w:lineRule="exact"/>
        <w:jc w:val="center"/>
        <w:rPr>
          <w:rFonts w:hint="eastAsia" w:ascii="宋体" w:hAnsi="宋体"/>
          <w:b/>
          <w:szCs w:val="21"/>
        </w:rPr>
      </w:pPr>
      <w:r>
        <w:rPr>
          <w:rFonts w:hint="eastAsia" w:ascii="宋体" w:hAnsi="宋体"/>
          <w:b/>
          <w:szCs w:val="21"/>
          <w:u w:val="single"/>
        </w:rPr>
        <w:t>第二部分  合同条款及规则</w:t>
      </w:r>
    </w:p>
    <w:p>
      <w:pPr>
        <w:spacing w:line="300" w:lineRule="exact"/>
        <w:rPr>
          <w:rFonts w:hint="eastAsia" w:ascii="宋体" w:hAnsi="宋体"/>
          <w:b/>
          <w:szCs w:val="21"/>
        </w:rPr>
      </w:pPr>
    </w:p>
    <w:p>
      <w:pPr>
        <w:spacing w:line="300" w:lineRule="exact"/>
        <w:rPr>
          <w:rFonts w:hint="eastAsia" w:ascii="宋体" w:hAnsi="宋体"/>
          <w:szCs w:val="21"/>
        </w:rPr>
      </w:pPr>
      <w:r>
        <w:rPr>
          <w:rFonts w:hint="eastAsia" w:ascii="宋体" w:hAnsi="宋体"/>
          <w:b/>
          <w:szCs w:val="21"/>
        </w:rPr>
        <w:t>第一条　数量交接、误差标准及处理方式：</w:t>
      </w:r>
      <w:r>
        <w:rPr>
          <w:rFonts w:hint="eastAsia" w:ascii="宋体" w:hAnsi="宋体"/>
          <w:szCs w:val="21"/>
        </w:rPr>
        <w:t>双方商定按下列第</w:t>
      </w:r>
      <w:r>
        <w:rPr>
          <w:rFonts w:hint="eastAsia" w:ascii="宋体" w:hAnsi="宋体"/>
          <w:szCs w:val="21"/>
          <w:u w:val="single"/>
        </w:rPr>
        <w:t xml:space="preserve">  </w:t>
      </w:r>
      <w:r>
        <w:rPr>
          <w:rFonts w:hint="eastAsia" w:ascii="宋体" w:hAnsi="宋体"/>
          <w:szCs w:val="21"/>
          <w:u w:val="single"/>
          <w:lang w:val="en-US" w:eastAsia="zh-CN"/>
        </w:rPr>
        <w:t>2</w:t>
      </w:r>
      <w:r>
        <w:rPr>
          <w:rFonts w:hint="eastAsia" w:ascii="宋体" w:hAnsi="宋体"/>
          <w:szCs w:val="21"/>
          <w:u w:val="single"/>
        </w:rPr>
        <w:t xml:space="preserve">   </w:t>
      </w:r>
      <w:r>
        <w:rPr>
          <w:rFonts w:hint="eastAsia" w:ascii="宋体" w:hAnsi="宋体"/>
          <w:szCs w:val="21"/>
        </w:rPr>
        <w:t>款执行。</w:t>
      </w:r>
    </w:p>
    <w:p>
      <w:pPr>
        <w:spacing w:line="300" w:lineRule="exact"/>
        <w:ind w:firstLine="420" w:firstLineChars="200"/>
        <w:rPr>
          <w:rFonts w:hint="eastAsia" w:ascii="宋体" w:hAnsi="宋体"/>
          <w:szCs w:val="21"/>
        </w:rPr>
      </w:pPr>
      <w:r>
        <w:rPr>
          <w:rFonts w:hint="eastAsia" w:ascii="宋体" w:hAnsi="宋体"/>
          <w:szCs w:val="21"/>
        </w:rPr>
        <w:t>1.以桶装、袋装方式包装的，按单位重量及包装数量作为结算依据。需方有权抽检或点包，如发现单位重量或包装数量不足，经供需双方确认后，应以需方实际接收重量及数量为准。</w:t>
      </w:r>
    </w:p>
    <w:p>
      <w:pPr>
        <w:spacing w:line="300" w:lineRule="exact"/>
        <w:ind w:firstLine="420" w:firstLineChars="200"/>
        <w:rPr>
          <w:rFonts w:hint="eastAsia" w:ascii="宋体" w:hAnsi="宋体"/>
          <w:szCs w:val="21"/>
        </w:rPr>
      </w:pPr>
      <w:r>
        <w:rPr>
          <w:rFonts w:hint="eastAsia" w:ascii="宋体" w:hAnsi="宋体"/>
          <w:szCs w:val="21"/>
        </w:rPr>
        <w:t>2.以需方接收时检验确认的重量作为数量结算标准。</w:t>
      </w:r>
    </w:p>
    <w:p>
      <w:pPr>
        <w:spacing w:line="300" w:lineRule="exact"/>
        <w:ind w:firstLine="420" w:firstLineChars="200"/>
        <w:rPr>
          <w:rFonts w:hint="eastAsia" w:ascii="宋体" w:hAnsi="宋体"/>
          <w:szCs w:val="21"/>
        </w:rPr>
      </w:pPr>
      <w:r>
        <w:rPr>
          <w:rFonts w:hint="eastAsia" w:ascii="宋体" w:hAnsi="宋体"/>
          <w:szCs w:val="21"/>
        </w:rPr>
        <w:t>3.以供方发运地的过磅重量或流量计（体积或质量）作为结算标准，需方接收时过磅或流量计（如有）复核，误差率在</w:t>
      </w:r>
      <w:r>
        <w:rPr>
          <w:rFonts w:hint="eastAsia" w:ascii="宋体" w:hAnsi="宋体"/>
          <w:szCs w:val="21"/>
          <w:u w:val="single"/>
        </w:rPr>
        <w:t xml:space="preserve">     </w:t>
      </w:r>
      <w:r>
        <w:rPr>
          <w:rFonts w:hint="eastAsia" w:ascii="宋体" w:hAnsi="宋体"/>
          <w:szCs w:val="21"/>
        </w:rPr>
        <w:t>%以内的，由需方承担；误差率超过</w:t>
      </w:r>
      <w:r>
        <w:rPr>
          <w:rFonts w:hint="eastAsia" w:ascii="宋体" w:hAnsi="宋体"/>
          <w:szCs w:val="21"/>
          <w:u w:val="single"/>
        </w:rPr>
        <w:t xml:space="preserve">      </w:t>
      </w:r>
      <w:r>
        <w:rPr>
          <w:rFonts w:hint="eastAsia" w:ascii="宋体" w:hAnsi="宋体"/>
          <w:szCs w:val="21"/>
        </w:rPr>
        <w:t>%部分，由供方承担。</w:t>
      </w:r>
    </w:p>
    <w:p>
      <w:pPr>
        <w:spacing w:line="300" w:lineRule="exact"/>
        <w:ind w:firstLine="420" w:firstLineChars="200"/>
        <w:rPr>
          <w:rFonts w:hint="eastAsia" w:ascii="宋体" w:hAnsi="宋体"/>
          <w:szCs w:val="21"/>
          <w:u w:val="single"/>
        </w:rPr>
      </w:pPr>
      <w:r>
        <w:rPr>
          <w:rFonts w:hint="eastAsia" w:ascii="宋体" w:hAnsi="宋体"/>
          <w:szCs w:val="21"/>
        </w:rPr>
        <w:t>4.以供方发运地具有资质的第三方检验机构出具的数量证书的数量作为结算标准，需方接收时有权请具有资质的第三方检验机构进行复检，误差率在</w:t>
      </w:r>
      <w:r>
        <w:rPr>
          <w:rFonts w:hint="eastAsia" w:ascii="宋体" w:hAnsi="宋体"/>
          <w:szCs w:val="21"/>
          <w:u w:val="single"/>
        </w:rPr>
        <w:t xml:space="preserve">     </w:t>
      </w:r>
      <w:r>
        <w:rPr>
          <w:rFonts w:hint="eastAsia" w:ascii="宋体" w:hAnsi="宋体"/>
          <w:szCs w:val="21"/>
        </w:rPr>
        <w:t>%以内的，由需方承担；误差率超过</w:t>
      </w:r>
      <w:r>
        <w:rPr>
          <w:rFonts w:hint="eastAsia" w:ascii="宋体" w:hAnsi="宋体"/>
          <w:szCs w:val="21"/>
          <w:u w:val="single"/>
        </w:rPr>
        <w:t xml:space="preserve">      </w:t>
      </w:r>
      <w:r>
        <w:rPr>
          <w:rFonts w:hint="eastAsia" w:ascii="宋体" w:hAnsi="宋体"/>
          <w:szCs w:val="21"/>
        </w:rPr>
        <w:t>%部分，由供方承担。</w:t>
      </w:r>
    </w:p>
    <w:p>
      <w:pPr>
        <w:spacing w:line="300" w:lineRule="exact"/>
        <w:rPr>
          <w:rFonts w:hint="eastAsia" w:ascii="宋体" w:hAnsi="宋体"/>
          <w:b/>
          <w:szCs w:val="21"/>
        </w:rPr>
      </w:pPr>
      <w:r>
        <w:rPr>
          <w:rFonts w:hint="eastAsia" w:ascii="宋体" w:hAnsi="宋体"/>
          <w:b/>
          <w:szCs w:val="21"/>
        </w:rPr>
        <w:t>第二条 产品包装标准</w:t>
      </w:r>
    </w:p>
    <w:p>
      <w:pPr>
        <w:spacing w:line="300" w:lineRule="exact"/>
        <w:ind w:firstLine="420" w:firstLineChars="200"/>
        <w:rPr>
          <w:rFonts w:hint="eastAsia" w:ascii="宋体" w:hAnsi="宋体"/>
          <w:b/>
          <w:szCs w:val="21"/>
        </w:rPr>
      </w:pPr>
      <w:r>
        <w:rPr>
          <w:rFonts w:hint="eastAsia" w:ascii="宋体" w:hAnsi="宋体"/>
          <w:szCs w:val="21"/>
        </w:rPr>
        <w:t>无论供需双方选择哪一种包装方式，产品的包装标准为：由供方按照货物性能进行合理、必要的包装，包装应适合水运和长途内陆运输，并符合防潮、防湿、防震、防锈等标准，危险品包装标准按国家对危险品包装标准执行。产品包装物不计费，供方不回收包装物。如供方需回收包装物的，因回收包装物所产生的所有费用、承运人的选择等相关事宜均由供方负责。</w:t>
      </w:r>
    </w:p>
    <w:p>
      <w:pPr>
        <w:spacing w:line="300" w:lineRule="exact"/>
        <w:rPr>
          <w:rFonts w:hint="eastAsia" w:ascii="宋体" w:hAnsi="宋体"/>
          <w:b/>
          <w:szCs w:val="21"/>
        </w:rPr>
      </w:pPr>
      <w:r>
        <w:rPr>
          <w:rFonts w:hint="eastAsia" w:ascii="宋体" w:hAnsi="宋体"/>
          <w:b/>
          <w:szCs w:val="21"/>
        </w:rPr>
        <w:t>第三条 对产品质量负责的条件及期限</w:t>
      </w:r>
    </w:p>
    <w:p>
      <w:pPr>
        <w:spacing w:line="300" w:lineRule="exact"/>
        <w:ind w:firstLine="420" w:firstLineChars="200"/>
        <w:rPr>
          <w:rFonts w:ascii="宋体" w:hAnsi="宋体" w:cs="Arial"/>
          <w:color w:val="000000"/>
          <w:szCs w:val="21"/>
        </w:rPr>
      </w:pPr>
      <w:r>
        <w:rPr>
          <w:rFonts w:hint="eastAsia" w:ascii="宋体" w:hAnsi="宋体" w:cs="Arial"/>
          <w:szCs w:val="21"/>
        </w:rPr>
        <w:t>1.供</w:t>
      </w:r>
      <w:r>
        <w:rPr>
          <w:rFonts w:ascii="宋体" w:hAnsi="宋体" w:cs="Arial"/>
          <w:szCs w:val="21"/>
        </w:rPr>
        <w:t>方产品均</w:t>
      </w:r>
      <w:r>
        <w:rPr>
          <w:rFonts w:hint="eastAsia" w:ascii="宋体" w:hAnsi="宋体" w:cs="Arial"/>
          <w:szCs w:val="21"/>
        </w:rPr>
        <w:t>需</w:t>
      </w:r>
      <w:r>
        <w:rPr>
          <w:rFonts w:ascii="宋体" w:hAnsi="宋体" w:cs="Arial"/>
          <w:szCs w:val="21"/>
        </w:rPr>
        <w:t>附质检报告单</w:t>
      </w:r>
      <w:r>
        <w:rPr>
          <w:rFonts w:hint="eastAsia" w:ascii="宋体" w:hAnsi="宋体" w:cs="Arial"/>
          <w:szCs w:val="21"/>
        </w:rPr>
        <w:t>或</w:t>
      </w:r>
      <w:r>
        <w:rPr>
          <w:rFonts w:ascii="宋体" w:hAnsi="宋体" w:cs="Arial"/>
          <w:szCs w:val="21"/>
        </w:rPr>
        <w:t>质量保证</w:t>
      </w:r>
      <w:r>
        <w:rPr>
          <w:rFonts w:ascii="宋体" w:hAnsi="宋体" w:cs="Arial"/>
          <w:color w:val="000000"/>
          <w:szCs w:val="21"/>
        </w:rPr>
        <w:t>书</w:t>
      </w:r>
      <w:r>
        <w:rPr>
          <w:rFonts w:hint="eastAsia" w:ascii="宋体" w:hAnsi="宋体" w:cs="Arial"/>
          <w:color w:val="000000"/>
          <w:szCs w:val="21"/>
        </w:rPr>
        <w:t>。</w:t>
      </w:r>
      <w:r>
        <w:rPr>
          <w:rFonts w:ascii="宋体" w:hAnsi="宋体" w:cs="Arial"/>
          <w:color w:val="000000"/>
          <w:szCs w:val="21"/>
        </w:rPr>
        <w:t>在</w:t>
      </w:r>
      <w:r>
        <w:rPr>
          <w:rFonts w:hint="eastAsia" w:ascii="宋体" w:hAnsi="宋体" w:cs="Arial"/>
          <w:color w:val="000000"/>
          <w:szCs w:val="21"/>
        </w:rPr>
        <w:t>交货之日起</w:t>
      </w:r>
      <w:r>
        <w:rPr>
          <w:rFonts w:hint="eastAsia" w:ascii="宋体" w:hAnsi="宋体" w:cs="Arial"/>
          <w:color w:val="000000"/>
          <w:szCs w:val="21"/>
          <w:u w:val="single"/>
        </w:rPr>
        <w:t xml:space="preserve"> </w:t>
      </w:r>
      <w:r>
        <w:rPr>
          <w:rFonts w:hint="eastAsia" w:ascii="宋体" w:hAnsi="宋体" w:cs="Arial"/>
          <w:color w:val="000000"/>
          <w:szCs w:val="21"/>
          <w:u w:val="single"/>
          <w:lang w:val="en-US" w:eastAsia="zh-CN"/>
        </w:rPr>
        <w:t>12</w:t>
      </w:r>
      <w:r>
        <w:rPr>
          <w:rFonts w:hint="eastAsia" w:ascii="宋体" w:hAnsi="宋体" w:cs="Arial"/>
          <w:color w:val="000000"/>
          <w:szCs w:val="21"/>
          <w:u w:val="single"/>
        </w:rPr>
        <w:t xml:space="preserve"> </w:t>
      </w:r>
      <w:r>
        <w:rPr>
          <w:rFonts w:ascii="宋体" w:hAnsi="宋体" w:cs="Arial"/>
          <w:color w:val="000000"/>
          <w:szCs w:val="21"/>
        </w:rPr>
        <w:t>个月</w:t>
      </w:r>
      <w:r>
        <w:rPr>
          <w:rFonts w:hint="eastAsia" w:ascii="宋体" w:hAnsi="宋体" w:cs="Arial"/>
          <w:color w:val="000000"/>
          <w:szCs w:val="21"/>
        </w:rPr>
        <w:t>的质量保证</w:t>
      </w:r>
      <w:r>
        <w:rPr>
          <w:rFonts w:ascii="宋体" w:hAnsi="宋体" w:cs="Arial"/>
          <w:color w:val="000000"/>
          <w:szCs w:val="21"/>
        </w:rPr>
        <w:t>期内，</w:t>
      </w:r>
      <w:r>
        <w:rPr>
          <w:rFonts w:hint="eastAsia" w:ascii="宋体" w:hAnsi="宋体" w:cs="Arial"/>
          <w:color w:val="000000"/>
          <w:szCs w:val="21"/>
        </w:rPr>
        <w:t>供</w:t>
      </w:r>
      <w:r>
        <w:rPr>
          <w:rFonts w:ascii="宋体" w:hAnsi="宋体" w:cs="Arial"/>
          <w:color w:val="000000"/>
          <w:szCs w:val="21"/>
        </w:rPr>
        <w:t>方按</w:t>
      </w:r>
      <w:r>
        <w:rPr>
          <w:rFonts w:hint="eastAsia" w:ascii="宋体" w:hAnsi="宋体" w:cs="Arial"/>
          <w:color w:val="000000"/>
          <w:szCs w:val="21"/>
        </w:rPr>
        <w:t>协议书第二条约定的</w:t>
      </w:r>
      <w:r>
        <w:rPr>
          <w:rFonts w:hint="eastAsia" w:ascii="宋体" w:hAnsi="宋体"/>
          <w:color w:val="000000"/>
          <w:szCs w:val="21"/>
        </w:rPr>
        <w:t>产品质量要求及技术标准</w:t>
      </w:r>
      <w:r>
        <w:rPr>
          <w:rFonts w:ascii="宋体" w:hAnsi="宋体" w:cs="Arial"/>
          <w:color w:val="000000"/>
          <w:szCs w:val="21"/>
        </w:rPr>
        <w:t>规定的质量标准对</w:t>
      </w:r>
      <w:r>
        <w:rPr>
          <w:rFonts w:hint="eastAsia" w:ascii="宋体" w:hAnsi="宋体" w:cs="Arial"/>
          <w:color w:val="000000"/>
          <w:szCs w:val="21"/>
        </w:rPr>
        <w:t>交付的</w:t>
      </w:r>
      <w:r>
        <w:rPr>
          <w:rFonts w:ascii="宋体" w:hAnsi="宋体" w:cs="Arial"/>
          <w:color w:val="000000"/>
          <w:szCs w:val="21"/>
        </w:rPr>
        <w:t>产品负责。</w:t>
      </w:r>
    </w:p>
    <w:p>
      <w:pPr>
        <w:spacing w:line="300" w:lineRule="exact"/>
        <w:ind w:firstLine="420" w:firstLineChars="200"/>
        <w:rPr>
          <w:rFonts w:hint="eastAsia" w:ascii="宋体" w:hAnsi="宋体" w:cs="Arial"/>
          <w:color w:val="000000"/>
          <w:szCs w:val="21"/>
        </w:rPr>
      </w:pPr>
      <w:r>
        <w:rPr>
          <w:rFonts w:hint="eastAsia" w:ascii="宋体" w:hAnsi="宋体"/>
          <w:szCs w:val="21"/>
        </w:rPr>
        <w:t>2.如果</w:t>
      </w:r>
      <w:r>
        <w:rPr>
          <w:rFonts w:hint="eastAsia" w:ascii="宋体" w:hAnsi="宋体" w:cs="Arial"/>
          <w:szCs w:val="21"/>
        </w:rPr>
        <w:t>供</w:t>
      </w:r>
      <w:r>
        <w:rPr>
          <w:rFonts w:ascii="宋体" w:hAnsi="宋体" w:cs="Arial"/>
          <w:szCs w:val="21"/>
        </w:rPr>
        <w:t>方知道或者应当知道所出卖产品存在质量缺陷，所承担的质量保证期限不受</w:t>
      </w:r>
      <w:r>
        <w:rPr>
          <w:rFonts w:hint="eastAsia" w:ascii="宋体" w:hAnsi="宋体" w:cs="Arial"/>
          <w:szCs w:val="21"/>
        </w:rPr>
        <w:t>本条第一款</w:t>
      </w:r>
      <w:r>
        <w:rPr>
          <w:rFonts w:ascii="宋体" w:hAnsi="宋体" w:cs="Arial"/>
          <w:szCs w:val="21"/>
        </w:rPr>
        <w:t>质量</w:t>
      </w:r>
      <w:r>
        <w:rPr>
          <w:rFonts w:hint="eastAsia" w:ascii="宋体" w:hAnsi="宋体" w:cs="Arial"/>
          <w:szCs w:val="21"/>
        </w:rPr>
        <w:t>保证</w:t>
      </w:r>
      <w:r>
        <w:rPr>
          <w:rFonts w:ascii="宋体" w:hAnsi="宋体" w:cs="Arial"/>
          <w:szCs w:val="21"/>
        </w:rPr>
        <w:t>期限的约束</w:t>
      </w:r>
      <w:r>
        <w:rPr>
          <w:rFonts w:hint="eastAsia" w:ascii="宋体" w:hAnsi="宋体" w:cs="Arial"/>
          <w:szCs w:val="21"/>
        </w:rPr>
        <w:t>，供方</w:t>
      </w:r>
      <w:r>
        <w:rPr>
          <w:rFonts w:hint="eastAsia" w:ascii="宋体" w:hAnsi="宋体"/>
          <w:szCs w:val="21"/>
        </w:rPr>
        <w:t>应依法承担相应责任。</w:t>
      </w:r>
    </w:p>
    <w:p>
      <w:pPr>
        <w:spacing w:line="300" w:lineRule="exact"/>
        <w:rPr>
          <w:rFonts w:hint="eastAsia" w:ascii="宋体" w:hAnsi="宋体"/>
          <w:b/>
          <w:szCs w:val="21"/>
        </w:rPr>
      </w:pPr>
      <w:r>
        <w:rPr>
          <w:rFonts w:hint="eastAsia" w:ascii="宋体" w:hAnsi="宋体"/>
          <w:b/>
          <w:szCs w:val="21"/>
        </w:rPr>
        <w:t>第四条 货物所有权、风险的转移</w:t>
      </w:r>
    </w:p>
    <w:p>
      <w:pPr>
        <w:spacing w:line="300" w:lineRule="exact"/>
        <w:ind w:firstLine="420" w:firstLineChars="200"/>
        <w:rPr>
          <w:rFonts w:hint="eastAsia" w:ascii="宋体" w:hAnsi="宋体"/>
          <w:szCs w:val="21"/>
        </w:rPr>
      </w:pPr>
      <w:r>
        <w:rPr>
          <w:rFonts w:hint="eastAsia" w:ascii="宋体" w:hAnsi="宋体"/>
          <w:szCs w:val="21"/>
        </w:rPr>
        <w:t>供方送回或代办托运方式下，货物的所有权和风险于供方将货物送至需方指定地点并经需方验收合格时转移至需方。货物迟延交付的，由造成迟延交付的一方承担迟延期间货物的风险责任。</w:t>
      </w:r>
    </w:p>
    <w:p>
      <w:pPr>
        <w:spacing w:line="300" w:lineRule="exact"/>
        <w:rPr>
          <w:rFonts w:hint="eastAsia" w:ascii="宋体" w:hAnsi="宋体"/>
          <w:szCs w:val="21"/>
        </w:rPr>
      </w:pPr>
      <w:r>
        <w:rPr>
          <w:rFonts w:hint="eastAsia" w:ascii="宋体" w:hAnsi="宋体"/>
          <w:b/>
          <w:szCs w:val="21"/>
        </w:rPr>
        <w:t>第五条 运输方式、费用负担、交货地点：</w:t>
      </w:r>
      <w:r>
        <w:rPr>
          <w:rFonts w:hint="eastAsia" w:ascii="宋体" w:hAnsi="宋体"/>
          <w:szCs w:val="21"/>
        </w:rPr>
        <w:t>供方送货或代办托运方式下，双方商定按下列第</w:t>
      </w:r>
      <w:r>
        <w:rPr>
          <w:rFonts w:hint="eastAsia" w:ascii="宋体" w:hAnsi="宋体"/>
          <w:szCs w:val="21"/>
          <w:u w:val="single"/>
        </w:rPr>
        <w:t xml:space="preserve">  </w:t>
      </w:r>
      <w:r>
        <w:rPr>
          <w:rFonts w:ascii="宋体" w:hAnsi="宋体"/>
          <w:szCs w:val="21"/>
          <w:u w:val="single"/>
        </w:rPr>
        <w:t>2</w:t>
      </w:r>
      <w:r>
        <w:rPr>
          <w:rFonts w:hint="eastAsia" w:ascii="宋体" w:hAnsi="宋体"/>
          <w:szCs w:val="21"/>
          <w:u w:val="single"/>
        </w:rPr>
        <w:t xml:space="preserve">   </w:t>
      </w:r>
      <w:r>
        <w:rPr>
          <w:rFonts w:hint="eastAsia" w:ascii="宋体" w:hAnsi="宋体"/>
          <w:szCs w:val="21"/>
        </w:rPr>
        <w:t>款执行。</w:t>
      </w:r>
    </w:p>
    <w:p>
      <w:pPr>
        <w:spacing w:line="300" w:lineRule="exact"/>
        <w:ind w:firstLine="420" w:firstLineChars="200"/>
        <w:rPr>
          <w:rFonts w:hint="eastAsia" w:ascii="宋体" w:hAnsi="宋体"/>
          <w:szCs w:val="21"/>
        </w:rPr>
      </w:pPr>
      <w:r>
        <w:rPr>
          <w:rFonts w:hint="eastAsia" w:ascii="宋体" w:hAnsi="宋体"/>
          <w:szCs w:val="21"/>
        </w:rPr>
        <w:t>1.火车运输，供方负责运输及负担运费，运至需方指定的单位或仓库。</w:t>
      </w:r>
    </w:p>
    <w:p>
      <w:pPr>
        <w:spacing w:line="300" w:lineRule="exact"/>
        <w:ind w:firstLine="420" w:firstLineChars="200"/>
        <w:rPr>
          <w:rFonts w:hint="eastAsia" w:ascii="宋体" w:hAnsi="宋体"/>
          <w:szCs w:val="21"/>
        </w:rPr>
      </w:pPr>
      <w:r>
        <w:rPr>
          <w:rFonts w:hint="eastAsia" w:ascii="宋体" w:hAnsi="宋体"/>
          <w:szCs w:val="21"/>
        </w:rPr>
        <w:t>2.汽车运输，供方负责运输及负担运费，运至需方指定的单位或仓库。</w:t>
      </w:r>
    </w:p>
    <w:p>
      <w:pPr>
        <w:spacing w:line="300" w:lineRule="exact"/>
        <w:ind w:firstLine="420" w:firstLineChars="200"/>
        <w:rPr>
          <w:rFonts w:hint="eastAsia" w:ascii="宋体" w:hAnsi="宋体"/>
          <w:szCs w:val="21"/>
        </w:rPr>
      </w:pPr>
      <w:r>
        <w:rPr>
          <w:rFonts w:hint="eastAsia" w:ascii="宋体" w:hAnsi="宋体"/>
          <w:szCs w:val="21"/>
        </w:rPr>
        <w:t>3.车船联运，供方负责运输及负担运费，船运至</w:t>
      </w:r>
      <w:r>
        <w:rPr>
          <w:rFonts w:hint="eastAsia" w:ascii="宋体" w:hAnsi="宋体"/>
          <w:szCs w:val="21"/>
          <w:u w:val="single"/>
        </w:rPr>
        <w:t xml:space="preserve">       </w:t>
      </w:r>
      <w:r>
        <w:rPr>
          <w:rFonts w:hint="eastAsia" w:ascii="宋体" w:hAnsi="宋体"/>
          <w:szCs w:val="21"/>
        </w:rPr>
        <w:t xml:space="preserve">，再以汽车运输方式运至需方指定的单位或仓库。         </w:t>
      </w:r>
    </w:p>
    <w:p>
      <w:pPr>
        <w:spacing w:line="300" w:lineRule="exact"/>
        <w:rPr>
          <w:rFonts w:ascii="宋体" w:hAnsi="宋体"/>
          <w:b/>
          <w:szCs w:val="21"/>
        </w:rPr>
      </w:pPr>
      <w:r>
        <w:rPr>
          <w:rFonts w:hint="eastAsia" w:ascii="宋体" w:hAnsi="宋体"/>
          <w:b/>
          <w:szCs w:val="21"/>
        </w:rPr>
        <w:t>第六条 质量</w:t>
      </w:r>
      <w:r>
        <w:rPr>
          <w:rFonts w:hint="eastAsia" w:ascii="宋体" w:hAnsi="宋体" w:cs="宋体"/>
          <w:b/>
          <w:kern w:val="0"/>
          <w:szCs w:val="21"/>
        </w:rPr>
        <w:t>验收标准、方法及提出异议的期限</w:t>
      </w:r>
    </w:p>
    <w:p>
      <w:pPr>
        <w:spacing w:line="300" w:lineRule="exact"/>
        <w:ind w:firstLine="420" w:firstLineChars="200"/>
        <w:rPr>
          <w:rFonts w:hint="eastAsia" w:ascii="宋体" w:hAnsi="宋体"/>
          <w:szCs w:val="21"/>
        </w:rPr>
      </w:pPr>
      <w:r>
        <w:rPr>
          <w:rFonts w:hint="eastAsia" w:ascii="宋体" w:hAnsi="宋体"/>
          <w:szCs w:val="21"/>
        </w:rPr>
        <w:t>1.检验标准：按本合同产品质量要求及技术标准</w:t>
      </w:r>
      <w:r>
        <w:rPr>
          <w:rFonts w:ascii="宋体" w:hAnsi="宋体" w:cs="Arial"/>
          <w:szCs w:val="21"/>
        </w:rPr>
        <w:t>规定的</w:t>
      </w:r>
      <w:r>
        <w:rPr>
          <w:rFonts w:hint="eastAsia" w:ascii="宋体" w:hAnsi="宋体"/>
          <w:szCs w:val="21"/>
        </w:rPr>
        <w:t>质量标准进行检验。货物交付时，供方与需方共同提取货物样品</w:t>
      </w:r>
      <w:r>
        <w:rPr>
          <w:rFonts w:hint="eastAsia" w:ascii="宋体" w:hAnsi="宋体"/>
          <w:szCs w:val="21"/>
          <w:u w:val="single"/>
        </w:rPr>
        <w:t xml:space="preserve">  壹   </w:t>
      </w:r>
      <w:r>
        <w:rPr>
          <w:rFonts w:hint="eastAsia" w:ascii="宋体" w:hAnsi="宋体"/>
          <w:szCs w:val="21"/>
        </w:rPr>
        <w:t>件并进行封存，以备检</w:t>
      </w:r>
      <w:r>
        <w:rPr>
          <w:rFonts w:hint="eastAsia" w:ascii="宋体" w:hAnsi="宋体"/>
          <w:color w:val="000000"/>
          <w:szCs w:val="21"/>
        </w:rPr>
        <w:t>验，如供方不参与取样，视同默认需方的取样</w:t>
      </w:r>
      <w:r>
        <w:rPr>
          <w:rFonts w:hint="eastAsia" w:ascii="宋体" w:hAnsi="宋体"/>
          <w:szCs w:val="21"/>
        </w:rPr>
        <w:t>。封样应作为双方发生质量争议时裁决的依据，封样保留时间为</w:t>
      </w:r>
      <w:r>
        <w:rPr>
          <w:rFonts w:hint="eastAsia" w:ascii="宋体" w:hAnsi="宋体"/>
          <w:szCs w:val="21"/>
          <w:u w:val="single"/>
        </w:rPr>
        <w:t xml:space="preserve">   叁拾  </w:t>
      </w:r>
      <w:r>
        <w:rPr>
          <w:rFonts w:hint="eastAsia" w:ascii="宋体" w:hAnsi="宋体"/>
          <w:szCs w:val="21"/>
        </w:rPr>
        <w:t>天。</w:t>
      </w:r>
    </w:p>
    <w:p>
      <w:pPr>
        <w:spacing w:line="300" w:lineRule="exact"/>
        <w:ind w:firstLine="420" w:firstLineChars="200"/>
        <w:rPr>
          <w:rFonts w:hint="eastAsia" w:ascii="宋体" w:hAnsi="宋体"/>
          <w:szCs w:val="21"/>
        </w:rPr>
      </w:pPr>
      <w:r>
        <w:rPr>
          <w:rFonts w:hint="eastAsia" w:ascii="宋体" w:hAnsi="宋体"/>
          <w:szCs w:val="21"/>
        </w:rPr>
        <w:t>2.需方在接收供方货物后，如发现与合同约定质量不符，在</w:t>
      </w:r>
      <w:r>
        <w:rPr>
          <w:rFonts w:hint="eastAsia" w:ascii="宋体" w:hAnsi="宋体"/>
          <w:szCs w:val="21"/>
          <w:u w:val="single"/>
        </w:rPr>
        <w:t xml:space="preserve">  柒  </w:t>
      </w:r>
      <w:r>
        <w:rPr>
          <w:rFonts w:hint="eastAsia" w:ascii="宋体" w:hAnsi="宋体"/>
          <w:szCs w:val="21"/>
        </w:rPr>
        <w:t>天内向供方提出异议。</w:t>
      </w:r>
    </w:p>
    <w:p>
      <w:pPr>
        <w:spacing w:line="300" w:lineRule="exact"/>
        <w:ind w:firstLine="420" w:firstLineChars="200"/>
        <w:rPr>
          <w:rFonts w:hint="eastAsia" w:ascii="宋体" w:hAnsi="宋体"/>
          <w:szCs w:val="21"/>
        </w:rPr>
      </w:pPr>
      <w:r>
        <w:rPr>
          <w:rFonts w:hint="eastAsia" w:ascii="宋体" w:hAnsi="宋体"/>
          <w:szCs w:val="21"/>
        </w:rPr>
        <w:t>3.如双方对货物的质量有争议的，由双方共同指定具有国家认可资质的检验机构对封存的样品进行检验，并以该检验机构的检验结果作为确认货物质量的依据。如在争议发生后</w:t>
      </w:r>
      <w:r>
        <w:rPr>
          <w:rFonts w:hint="eastAsia" w:ascii="宋体" w:hAnsi="宋体"/>
          <w:szCs w:val="21"/>
          <w:u w:val="single"/>
        </w:rPr>
        <w:t xml:space="preserve">  柒  </w:t>
      </w:r>
      <w:r>
        <w:rPr>
          <w:rFonts w:hint="eastAsia" w:ascii="宋体" w:hAnsi="宋体"/>
          <w:szCs w:val="21"/>
        </w:rPr>
        <w:t>日，双方仍不能共同确认检验机构，则需方有权单方委托有资质的检验机构进行检验。检验结果不符合合同约定的质量标准，供方承担检验费以及因此给需方造成的经济损失；符合约定质量标准的，检验费由需方承担。</w:t>
      </w:r>
    </w:p>
    <w:p>
      <w:pPr>
        <w:spacing w:line="300" w:lineRule="exact"/>
        <w:rPr>
          <w:rFonts w:hint="eastAsia" w:ascii="宋体" w:hAnsi="宋体"/>
          <w:b/>
          <w:szCs w:val="21"/>
        </w:rPr>
      </w:pPr>
      <w:r>
        <w:rPr>
          <w:rFonts w:hint="eastAsia" w:ascii="宋体" w:hAnsi="宋体"/>
          <w:b/>
          <w:szCs w:val="21"/>
        </w:rPr>
        <w:t>第七条  保密条款</w:t>
      </w:r>
    </w:p>
    <w:p>
      <w:pPr>
        <w:spacing w:line="300" w:lineRule="exact"/>
        <w:ind w:firstLine="420" w:firstLineChars="200"/>
        <w:rPr>
          <w:rFonts w:hint="eastAsia" w:ascii="宋体" w:hAnsi="宋体"/>
          <w:szCs w:val="21"/>
        </w:rPr>
      </w:pPr>
      <w:r>
        <w:rPr>
          <w:rFonts w:hint="eastAsia" w:ascii="宋体" w:hAnsi="宋体"/>
          <w:szCs w:val="21"/>
        </w:rPr>
        <w:t>供需双方对在履行本合同过程中所知悉的对方的商业秘密（包括但不限于各自提交给对方的合同、文件、资料、数据等，或其他使对方处于有利竞争地位的技术及经营信息）负有保密义务。任何一方不得将对方商业秘密披露给任何第三方或不当使用，但经对方书面同意或按法律规定除外。不论本合同是否变更、解除，本合同保密条款将持续有效。</w:t>
      </w:r>
    </w:p>
    <w:p>
      <w:pPr>
        <w:spacing w:line="300" w:lineRule="exact"/>
        <w:rPr>
          <w:rFonts w:hint="eastAsia" w:ascii="宋体" w:hAnsi="宋体"/>
          <w:b/>
          <w:szCs w:val="21"/>
        </w:rPr>
      </w:pPr>
      <w:r>
        <w:rPr>
          <w:rFonts w:hint="eastAsia" w:ascii="宋体" w:hAnsi="宋体"/>
          <w:b/>
          <w:szCs w:val="21"/>
        </w:rPr>
        <w:t>第八条  健康、安全和环境保护及现场HSE要求</w:t>
      </w:r>
      <w:r>
        <w:rPr>
          <w:rFonts w:ascii="宋体" w:hAnsi="宋体"/>
          <w:b/>
          <w:szCs w:val="21"/>
        </w:rPr>
        <w:tab/>
      </w:r>
    </w:p>
    <w:p>
      <w:pPr>
        <w:spacing w:line="300" w:lineRule="exact"/>
        <w:ind w:firstLine="420" w:firstLineChars="200"/>
        <w:rPr>
          <w:rFonts w:hint="eastAsia" w:ascii="宋体" w:hAnsi="宋体"/>
          <w:szCs w:val="21"/>
        </w:rPr>
      </w:pPr>
      <w:r>
        <w:rPr>
          <w:rFonts w:hint="eastAsia" w:ascii="宋体" w:hAnsi="宋体"/>
          <w:szCs w:val="21"/>
        </w:rPr>
        <w:t>1.供需双方须确保在购销、运输、存储、加工、使用产品等过程中，对各自负责的环节，遵守质量、安全、环境与健康等法律法规的有关要求，并承担质量、安全、环境与健康责任。</w:t>
      </w:r>
    </w:p>
    <w:p>
      <w:pPr>
        <w:spacing w:line="300" w:lineRule="exact"/>
        <w:ind w:firstLine="420" w:firstLineChars="200"/>
        <w:rPr>
          <w:rFonts w:hint="eastAsia" w:ascii="宋体" w:hAnsi="宋体"/>
          <w:szCs w:val="21"/>
        </w:rPr>
      </w:pPr>
      <w:r>
        <w:rPr>
          <w:rFonts w:hint="eastAsia" w:ascii="宋体" w:hAnsi="宋体"/>
          <w:szCs w:val="21"/>
        </w:rPr>
        <w:t>2.供方自备或雇佣的承运车辆需遵从需方的现场管理，严禁可能产生危险、危害环境等行为、情形的发生。供方自备或雇佣的承运车辆可能产生危险、危害环境等行为、情形时，需方有权采取必要的措施避免、改善此等危险及危害的行为、情形的发生，供方应就此承担必须的费用。</w:t>
      </w:r>
    </w:p>
    <w:p>
      <w:pPr>
        <w:spacing w:line="300" w:lineRule="exact"/>
        <w:ind w:firstLine="420" w:firstLineChars="200"/>
        <w:rPr>
          <w:rFonts w:hint="eastAsia" w:ascii="宋体" w:hAnsi="宋体"/>
          <w:szCs w:val="21"/>
        </w:rPr>
      </w:pPr>
      <w:r>
        <w:rPr>
          <w:rFonts w:hint="eastAsia" w:ascii="宋体" w:hAnsi="宋体"/>
          <w:szCs w:val="21"/>
        </w:rPr>
        <w:t xml:space="preserve">3.供方销售的货物 </w:t>
      </w:r>
      <w:r>
        <w:rPr>
          <w:rFonts w:hint="eastAsia" w:ascii="宋体" w:hAnsi="宋体"/>
          <w:szCs w:val="21"/>
          <w:u w:val="single"/>
        </w:rPr>
        <w:t xml:space="preserve">   需  </w:t>
      </w:r>
      <w:r>
        <w:rPr>
          <w:rFonts w:hint="eastAsia" w:ascii="宋体" w:hAnsi="宋体"/>
          <w:szCs w:val="21"/>
        </w:rPr>
        <w:t>（ 填：需或不需）附产品安全环境技术说明书。</w:t>
      </w:r>
    </w:p>
    <w:p>
      <w:pPr>
        <w:spacing w:line="300" w:lineRule="exact"/>
        <w:rPr>
          <w:rFonts w:hint="eastAsia" w:ascii="宋体" w:hAnsi="宋体"/>
          <w:b/>
          <w:szCs w:val="21"/>
        </w:rPr>
      </w:pPr>
      <w:r>
        <w:rPr>
          <w:rFonts w:hint="eastAsia" w:ascii="宋体" w:hAnsi="宋体"/>
          <w:b/>
          <w:szCs w:val="21"/>
        </w:rPr>
        <w:t>第九条  不可抗力</w:t>
      </w:r>
    </w:p>
    <w:p>
      <w:pPr>
        <w:spacing w:line="300" w:lineRule="exact"/>
        <w:ind w:firstLine="420" w:firstLineChars="200"/>
        <w:rPr>
          <w:rFonts w:hint="eastAsia" w:ascii="宋体" w:hAnsi="宋体" w:cs="Arial"/>
          <w:szCs w:val="21"/>
        </w:rPr>
      </w:pPr>
      <w:r>
        <w:rPr>
          <w:rFonts w:hint="eastAsia" w:ascii="宋体" w:hAnsi="宋体" w:cs="Arial"/>
          <w:kern w:val="0"/>
          <w:szCs w:val="21"/>
        </w:rPr>
        <w:t>1.</w:t>
      </w:r>
      <w:r>
        <w:rPr>
          <w:rFonts w:hint="eastAsia" w:ascii="宋体" w:hAnsi="宋体" w:cs="Arial"/>
          <w:szCs w:val="21"/>
        </w:rPr>
        <w:t>如遇不可抗力，即不能预见、不能避免并不能克服的客观情况，例如：火灾、水灾、雪灾、海啸、台风、地震、雷击、风灾、罢工，和军事上的敌对行动或政府禁令等致使受不可抗力直接影响的一方延迟履行或无法履行本合同的全部或部分条款时，受不可抗力影响的一方不承担违约责任。</w:t>
      </w:r>
    </w:p>
    <w:p>
      <w:pPr>
        <w:spacing w:line="300" w:lineRule="exact"/>
        <w:ind w:firstLine="420" w:firstLineChars="200"/>
        <w:rPr>
          <w:rFonts w:hint="eastAsia" w:ascii="宋体" w:hAnsi="宋体" w:cs="Arial"/>
          <w:szCs w:val="21"/>
        </w:rPr>
      </w:pPr>
      <w:r>
        <w:rPr>
          <w:rFonts w:hint="eastAsia" w:ascii="宋体" w:hAnsi="宋体" w:cs="Arial"/>
          <w:szCs w:val="21"/>
        </w:rPr>
        <w:t xml:space="preserve"> 2.受不可抗力直接影响的一方，应在遭受不可抗力后的24小时内立即通知对方，并在7日内以书面方式提供事件及处理的情况，以及延迟履行或无法履行本合同的全部或部分条款的理由，如必要，可由该不可抗力发生地区的有权部门出具证明。受不可抗力影响的一方应采取所有合理的措施避免和阻止事故的发生和扩大。在事故影响已经克服或处理结束时，受事故直接影响的一方必须立即通知另一方。</w:t>
      </w:r>
    </w:p>
    <w:p>
      <w:pPr>
        <w:spacing w:line="300" w:lineRule="exact"/>
        <w:ind w:firstLine="420" w:firstLineChars="200"/>
        <w:rPr>
          <w:rFonts w:hint="eastAsia" w:ascii="宋体" w:hAnsi="宋体" w:cs="Arial"/>
          <w:szCs w:val="21"/>
        </w:rPr>
      </w:pPr>
      <w:r>
        <w:rPr>
          <w:rFonts w:hint="eastAsia" w:ascii="宋体" w:hAnsi="宋体" w:cs="Arial"/>
          <w:szCs w:val="21"/>
        </w:rPr>
        <w:t>3.按不可抗力对履行本合同影响的程度，在符合本合同条款情况下免除受不可抗力影响的一方对履行本合同受影响部分的责任。双方并应尽快协商决定是否修改或解除本合同或将延误的履行期限顺延。因不可抗力致使无法实现合同目的，任何一方可书面通知对方解除本合同。</w:t>
      </w:r>
    </w:p>
    <w:p>
      <w:pPr>
        <w:spacing w:line="300" w:lineRule="exact"/>
        <w:rPr>
          <w:rFonts w:hint="eastAsia" w:ascii="宋体" w:hAnsi="宋体"/>
          <w:b/>
          <w:szCs w:val="21"/>
        </w:rPr>
      </w:pPr>
      <w:r>
        <w:rPr>
          <w:rFonts w:hint="eastAsia" w:ascii="宋体" w:hAnsi="宋体"/>
          <w:b/>
          <w:szCs w:val="21"/>
        </w:rPr>
        <w:t xml:space="preserve">第十条 合同变更与解除： </w:t>
      </w:r>
    </w:p>
    <w:p>
      <w:pPr>
        <w:spacing w:line="300" w:lineRule="exact"/>
        <w:ind w:firstLine="420" w:firstLineChars="200"/>
        <w:rPr>
          <w:rFonts w:hint="eastAsia" w:ascii="宋体" w:hAnsi="宋体"/>
          <w:szCs w:val="21"/>
        </w:rPr>
      </w:pPr>
      <w:r>
        <w:rPr>
          <w:rFonts w:hint="eastAsia" w:ascii="宋体" w:hAnsi="宋体"/>
          <w:szCs w:val="21"/>
        </w:rPr>
        <w:t>除本合同另有约定或法律规定外，非经双方协商一致，任何一方均不得擅自变更或解除合同。</w:t>
      </w:r>
      <w:r>
        <w:rPr>
          <w:rFonts w:hint="eastAsia" w:ascii="宋体" w:hAnsi="宋体"/>
          <w:bCs/>
          <w:szCs w:val="21"/>
        </w:rPr>
        <w:t>合同变更或解除须采取书面形式。</w:t>
      </w:r>
    </w:p>
    <w:p>
      <w:pPr>
        <w:spacing w:line="300" w:lineRule="exact"/>
        <w:rPr>
          <w:rFonts w:hint="eastAsia" w:ascii="宋体" w:hAnsi="宋体"/>
          <w:b/>
          <w:szCs w:val="21"/>
        </w:rPr>
      </w:pPr>
      <w:r>
        <w:rPr>
          <w:rFonts w:hint="eastAsia" w:ascii="宋体" w:hAnsi="宋体"/>
          <w:b/>
          <w:szCs w:val="21"/>
        </w:rPr>
        <w:t>第十一条 违约责任</w:t>
      </w:r>
    </w:p>
    <w:p>
      <w:pPr>
        <w:spacing w:line="300" w:lineRule="exact"/>
        <w:ind w:firstLine="420" w:firstLineChars="200"/>
        <w:rPr>
          <w:rFonts w:hint="eastAsia" w:ascii="宋体" w:hAnsi="宋体"/>
          <w:szCs w:val="21"/>
        </w:rPr>
      </w:pPr>
      <w:r>
        <w:rPr>
          <w:rFonts w:hint="eastAsia" w:ascii="宋体" w:hAnsi="宋体"/>
          <w:szCs w:val="21"/>
        </w:rPr>
        <w:t>1.供方未按期如数交付符合合同约定质量的货物，每逾期</w:t>
      </w:r>
      <w:r>
        <w:rPr>
          <w:rFonts w:hint="eastAsia" w:ascii="宋体" w:hAnsi="宋体"/>
          <w:szCs w:val="21"/>
          <w:u w:val="single"/>
        </w:rPr>
        <w:t xml:space="preserve">  壹 </w:t>
      </w:r>
      <w:r>
        <w:rPr>
          <w:rFonts w:hint="eastAsia" w:ascii="宋体" w:hAnsi="宋体"/>
          <w:szCs w:val="21"/>
        </w:rPr>
        <w:t>日，应向需方支付延迟交付货物货款金额</w:t>
      </w:r>
      <w:r>
        <w:rPr>
          <w:rFonts w:hint="eastAsia" w:ascii="宋体" w:hAnsi="宋体"/>
          <w:szCs w:val="21"/>
          <w:u w:val="single"/>
        </w:rPr>
        <w:t xml:space="preserve">    0.1  </w:t>
      </w:r>
      <w:r>
        <w:rPr>
          <w:rFonts w:hint="eastAsia" w:ascii="宋体" w:hAnsi="宋体"/>
          <w:szCs w:val="21"/>
        </w:rPr>
        <w:t>％的违约金；如供方逾期交货超过</w:t>
      </w:r>
      <w:r>
        <w:rPr>
          <w:rFonts w:hint="eastAsia" w:ascii="宋体" w:hAnsi="宋体"/>
          <w:szCs w:val="21"/>
          <w:u w:val="single"/>
        </w:rPr>
        <w:t xml:space="preserve">  三十    </w:t>
      </w:r>
      <w:r>
        <w:rPr>
          <w:rFonts w:hint="eastAsia" w:ascii="宋体" w:hAnsi="宋体"/>
          <w:szCs w:val="21"/>
        </w:rPr>
        <w:t>日的，除应向需方支付违约金外，需方还有权解除合同，并要求供方赔偿因逾期交货而造成的损失。</w:t>
      </w:r>
    </w:p>
    <w:p>
      <w:pPr>
        <w:spacing w:line="300" w:lineRule="exact"/>
        <w:ind w:firstLine="420" w:firstLineChars="200"/>
        <w:rPr>
          <w:rFonts w:hint="eastAsia" w:ascii="宋体" w:hAnsi="宋体"/>
          <w:szCs w:val="21"/>
        </w:rPr>
      </w:pPr>
      <w:r>
        <w:rPr>
          <w:rFonts w:hint="eastAsia" w:ascii="宋体" w:hAnsi="宋体"/>
          <w:szCs w:val="21"/>
        </w:rPr>
        <w:t>2.供方交付的货物不符合合同约定的质量，需方有权拒收、要求更换、解除合同、拒付货款、追回已付货款等，供方仍须对需方的损失承担赔偿责任。在产品质量保证期内，如货物出现质量问题，供方应按需方的处理方式和时限要求负责修理、更换或者退货，所耗费时间视为供方逾期交货时间。因供方货物质量问题给需方或第三方造成的经济损失及人身伤害，供方应承担赔偿责任。</w:t>
      </w:r>
    </w:p>
    <w:p>
      <w:pPr>
        <w:spacing w:line="300" w:lineRule="exact"/>
        <w:ind w:firstLine="420" w:firstLineChars="200"/>
        <w:rPr>
          <w:rFonts w:hint="eastAsia" w:ascii="宋体" w:hAnsi="宋体"/>
          <w:szCs w:val="21"/>
        </w:rPr>
      </w:pPr>
      <w:r>
        <w:rPr>
          <w:rFonts w:hint="eastAsia" w:ascii="宋体" w:hAnsi="宋体"/>
          <w:szCs w:val="21"/>
        </w:rPr>
        <w:t>3.发生其他违约情形，违约方应赔偿由此给对方造成的损失。如属双方过错，应各自承担相应责任。</w:t>
      </w:r>
    </w:p>
    <w:p>
      <w:pPr>
        <w:spacing w:line="300" w:lineRule="exact"/>
        <w:rPr>
          <w:rFonts w:ascii="宋体" w:hAnsi="宋体"/>
          <w:b/>
          <w:color w:val="000000"/>
          <w:szCs w:val="21"/>
        </w:rPr>
      </w:pPr>
      <w:r>
        <w:rPr>
          <w:rFonts w:hint="eastAsia" w:ascii="宋体" w:hAnsi="宋体"/>
          <w:b/>
          <w:color w:val="000000"/>
          <w:szCs w:val="21"/>
        </w:rPr>
        <w:t>第十二条　法律的适用及争议解决方式</w:t>
      </w:r>
    </w:p>
    <w:p>
      <w:pPr>
        <w:spacing w:line="300" w:lineRule="exact"/>
        <w:ind w:firstLine="420" w:firstLineChars="200"/>
        <w:rPr>
          <w:rFonts w:ascii="宋体" w:hAnsi="宋体"/>
          <w:color w:val="000000"/>
          <w:szCs w:val="21"/>
        </w:rPr>
      </w:pPr>
      <w:r>
        <w:rPr>
          <w:rFonts w:hint="eastAsia" w:ascii="宋体" w:hAnsi="宋体"/>
          <w:color w:val="000000"/>
          <w:szCs w:val="21"/>
        </w:rPr>
        <w:t>1.本合同的效力、解释及履行均适用中华人民共和国法律。</w:t>
      </w:r>
    </w:p>
    <w:p>
      <w:pPr>
        <w:spacing w:line="300" w:lineRule="exact"/>
        <w:ind w:firstLine="420" w:firstLineChars="200"/>
        <w:rPr>
          <w:rFonts w:hint="eastAsia" w:ascii="宋体" w:hAnsi="宋体"/>
          <w:color w:val="000000"/>
          <w:szCs w:val="21"/>
        </w:rPr>
      </w:pPr>
      <w:r>
        <w:rPr>
          <w:rFonts w:hint="eastAsia" w:ascii="宋体" w:hAnsi="宋体"/>
          <w:color w:val="000000"/>
          <w:szCs w:val="21"/>
        </w:rPr>
        <w:t>2.因本合同履行过程中引起的任何争议，双方应及时友好协商解决。协商不成的，向需方所在地的人民法院提起诉讼。</w:t>
      </w:r>
    </w:p>
    <w:p>
      <w:pPr>
        <w:spacing w:line="300" w:lineRule="exact"/>
        <w:ind w:firstLine="420" w:firstLineChars="200"/>
        <w:rPr>
          <w:rFonts w:hint="eastAsia" w:ascii="宋体" w:hAnsi="宋体"/>
          <w:color w:val="000000"/>
          <w:szCs w:val="21"/>
        </w:rPr>
      </w:pPr>
      <w:r>
        <w:rPr>
          <w:rFonts w:hint="eastAsia" w:ascii="宋体" w:hAnsi="宋体"/>
          <w:color w:val="000000"/>
          <w:szCs w:val="21"/>
        </w:rPr>
        <w:t>3.双方之间的争议无法及时协商解决的,若该争议系由某一方违约及/或过错导致，其他方因此产生的全部争议解决费用（包括但不限于律师费、案件受理费、仲裁费、鉴定费、保全费、保全担保费、差旅费、公证费、公告费等），概由违约方及/或过错方承担。</w:t>
      </w:r>
    </w:p>
    <w:p>
      <w:pPr>
        <w:spacing w:line="300" w:lineRule="exact"/>
        <w:rPr>
          <w:rFonts w:hint="eastAsia" w:ascii="宋体" w:hAnsi="宋体"/>
          <w:b/>
          <w:color w:val="000000"/>
          <w:szCs w:val="21"/>
        </w:rPr>
      </w:pPr>
      <w:r>
        <w:rPr>
          <w:rFonts w:hint="eastAsia" w:ascii="宋体" w:hAnsi="宋体"/>
          <w:b/>
          <w:color w:val="000000"/>
          <w:szCs w:val="21"/>
        </w:rPr>
        <w:t>第十三条 廉政条款</w:t>
      </w:r>
    </w:p>
    <w:p>
      <w:pPr>
        <w:spacing w:line="300" w:lineRule="exact"/>
        <w:ind w:firstLine="420" w:firstLineChars="200"/>
        <w:rPr>
          <w:rFonts w:hint="eastAsia" w:ascii="宋体" w:hAnsi="宋体"/>
          <w:color w:val="000000"/>
          <w:szCs w:val="21"/>
        </w:rPr>
      </w:pPr>
      <w:r>
        <w:rPr>
          <w:rFonts w:hint="eastAsia" w:ascii="宋体" w:hAnsi="宋体"/>
          <w:color w:val="000000"/>
          <w:szCs w:val="21"/>
        </w:rPr>
        <w:t>双方承诺，为达成和/或履行本合同，一方及其关联方（包括一方及其关联方的董事、管理人员、雇员、代理人或顾问等）：（1）不曾也不会违反任何相关的法律法规；（2）未向对方及其关联方（包括对方及其关联方的董事、管理人员、雇员、代理人或顾问等）直接或间接地提供资金、礼品或其他任何有价物品、服务；（3）不存在任何行贿、受贿行为。</w:t>
      </w:r>
    </w:p>
    <w:p>
      <w:pPr>
        <w:spacing w:line="300" w:lineRule="exact"/>
        <w:ind w:firstLine="420" w:firstLineChars="200"/>
        <w:rPr>
          <w:rFonts w:hint="eastAsia" w:ascii="宋体" w:hAnsi="宋体"/>
          <w:color w:val="000000"/>
          <w:szCs w:val="21"/>
        </w:rPr>
      </w:pPr>
      <w:r>
        <w:rPr>
          <w:rFonts w:hint="eastAsia" w:ascii="宋体" w:hAnsi="宋体"/>
          <w:color w:val="000000"/>
          <w:szCs w:val="21"/>
        </w:rPr>
        <w:t>双方确认，任何一方实施违反前述规定的行为都构成违约，应当向守约方支付违约金，违约金金额为本合同金额的</w:t>
      </w:r>
      <w:r>
        <w:rPr>
          <w:rFonts w:hint="eastAsia" w:ascii="宋体" w:hAnsi="宋体"/>
          <w:color w:val="000000"/>
          <w:szCs w:val="21"/>
          <w:u w:val="single"/>
        </w:rPr>
        <w:t xml:space="preserve">  </w:t>
      </w:r>
      <w:r>
        <w:rPr>
          <w:rFonts w:ascii="宋体" w:hAnsi="宋体"/>
          <w:color w:val="000000"/>
          <w:szCs w:val="21"/>
          <w:u w:val="single"/>
        </w:rPr>
        <w:t>0.1</w:t>
      </w:r>
      <w:r>
        <w:rPr>
          <w:rFonts w:hint="eastAsia" w:ascii="宋体" w:hAnsi="宋体"/>
          <w:color w:val="000000"/>
          <w:szCs w:val="21"/>
          <w:u w:val="single"/>
        </w:rPr>
        <w:t xml:space="preserve">  </w:t>
      </w:r>
      <w:r>
        <w:rPr>
          <w:rFonts w:hint="eastAsia" w:ascii="宋体" w:hAnsi="宋体"/>
          <w:color w:val="000000"/>
          <w:szCs w:val="21"/>
        </w:rPr>
        <w:t>%，如给守约方造成的损失超过本条约定的违约金金额，超出部分的损失，违约方还应予以赔偿。并且，守约方有权视违约方违约情节的严重程度，解除本合同和/或将违约方纳入限制或禁止交易的对象。</w:t>
      </w:r>
    </w:p>
    <w:p>
      <w:pPr>
        <w:spacing w:line="300" w:lineRule="exact"/>
        <w:rPr>
          <w:rFonts w:hint="eastAsia" w:ascii="宋体" w:hAnsi="宋体"/>
          <w:b/>
          <w:color w:val="000000"/>
          <w:szCs w:val="21"/>
        </w:rPr>
      </w:pPr>
      <w:r>
        <w:rPr>
          <w:rFonts w:hint="eastAsia" w:ascii="宋体" w:hAnsi="宋体"/>
          <w:b/>
          <w:color w:val="000000"/>
          <w:szCs w:val="21"/>
        </w:rPr>
        <w:t>第十四条　合同的效力及其他</w:t>
      </w:r>
    </w:p>
    <w:p>
      <w:pPr>
        <w:spacing w:line="300" w:lineRule="exact"/>
        <w:ind w:firstLine="420" w:firstLineChars="200"/>
        <w:rPr>
          <w:rFonts w:hint="eastAsia" w:ascii="宋体" w:hAnsi="宋体"/>
          <w:color w:val="000000"/>
          <w:szCs w:val="21"/>
        </w:rPr>
      </w:pPr>
      <w:r>
        <w:rPr>
          <w:rFonts w:hint="eastAsia" w:ascii="宋体" w:hAnsi="宋体"/>
          <w:color w:val="000000"/>
          <w:szCs w:val="21"/>
        </w:rPr>
        <w:t>1.本合同自签订之日起生效。本合同传真件同样有效。合同以传真件形式生效后，双方应及时以纸质盖章原件的文本形式予以固定。</w:t>
      </w:r>
    </w:p>
    <w:p>
      <w:pPr>
        <w:spacing w:line="300" w:lineRule="exact"/>
        <w:ind w:firstLine="420" w:firstLineChars="200"/>
        <w:rPr>
          <w:rFonts w:hint="eastAsia" w:ascii="宋体" w:hAnsi="宋体"/>
          <w:color w:val="000000"/>
          <w:szCs w:val="21"/>
        </w:rPr>
      </w:pPr>
      <w:r>
        <w:rPr>
          <w:rFonts w:hint="eastAsia" w:ascii="宋体" w:hAnsi="宋体"/>
          <w:color w:val="000000"/>
          <w:szCs w:val="21"/>
        </w:rPr>
        <w:t>2.本合同未尽事宜，双方协商签订补充协议。</w:t>
      </w:r>
    </w:p>
    <w:p>
      <w:pPr>
        <w:spacing w:line="300" w:lineRule="exact"/>
        <w:ind w:firstLine="420" w:firstLineChars="200"/>
        <w:rPr>
          <w:rFonts w:hint="eastAsia" w:ascii="宋体" w:hAnsi="宋体"/>
          <w:color w:val="000000"/>
          <w:szCs w:val="21"/>
        </w:rPr>
      </w:pPr>
      <w:r>
        <w:rPr>
          <w:rFonts w:hint="eastAsia" w:ascii="宋体" w:hAnsi="宋体"/>
          <w:color w:val="000000"/>
          <w:szCs w:val="21"/>
        </w:rPr>
        <w:t>3.本合同的组成部分：协议书、《合同条款及规则》、相关标准及附件、订单、补充协议。</w:t>
      </w:r>
    </w:p>
    <w:p>
      <w:pPr>
        <w:spacing w:line="300" w:lineRule="exact"/>
        <w:ind w:firstLine="420" w:firstLineChars="200"/>
        <w:rPr>
          <w:rFonts w:hint="eastAsia" w:ascii="宋体" w:hAnsi="宋体"/>
          <w:color w:val="000000"/>
          <w:szCs w:val="21"/>
        </w:rPr>
      </w:pPr>
      <w:r>
        <w:rPr>
          <w:rFonts w:hint="eastAsia" w:ascii="宋体" w:hAnsi="宋体"/>
          <w:color w:val="000000"/>
          <w:szCs w:val="21"/>
        </w:rPr>
        <w:t>4.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6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spacing w:line="300" w:lineRule="exact"/>
        <w:ind w:firstLine="420" w:firstLineChars="200"/>
        <w:rPr>
          <w:rFonts w:hint="eastAsia"/>
          <w:szCs w:val="21"/>
        </w:rPr>
      </w:pPr>
      <w:r>
        <w:rPr>
          <w:rFonts w:hint="eastAsia" w:ascii="宋体" w:hAnsi="宋体"/>
          <w:color w:val="000000"/>
          <w:szCs w:val="21"/>
        </w:rPr>
        <w:t>5.其他</w:t>
      </w:r>
      <w:r>
        <w:rPr>
          <w:rFonts w:hint="eastAsia"/>
          <w:szCs w:val="21"/>
        </w:rPr>
        <w:t>约定事项：</w:t>
      </w:r>
    </w:p>
    <w:p>
      <w:pPr>
        <w:spacing w:line="300" w:lineRule="exact"/>
        <w:ind w:firstLine="420" w:firstLineChars="200"/>
        <w:rPr>
          <w:rFonts w:hint="eastAsia"/>
          <w:szCs w:val="21"/>
          <w:lang w:val="en-US" w:eastAsia="zh-CN"/>
        </w:rPr>
      </w:pPr>
      <w:r>
        <w:rPr>
          <w:rFonts w:hint="eastAsia"/>
          <w:szCs w:val="21"/>
          <w:lang w:val="en-US" w:eastAsia="zh-CN"/>
        </w:rPr>
        <w:t>5.1供方根据需方要求缴纳履约保证金，金额为人民币壹万元整。合同履约期届满，供方按合同约定履约的情况下，需方于供方提交返还履约保证金申请后30天内无息返还。</w:t>
      </w:r>
    </w:p>
    <w:p>
      <w:pPr>
        <w:spacing w:line="300" w:lineRule="exact"/>
        <w:ind w:firstLine="420" w:firstLineChars="200"/>
        <w:rPr>
          <w:rFonts w:hint="eastAsia"/>
          <w:szCs w:val="21"/>
          <w:lang w:val="en-US" w:eastAsia="zh-CN"/>
        </w:rPr>
      </w:pPr>
      <w:r>
        <w:rPr>
          <w:rFonts w:hint="eastAsia"/>
          <w:szCs w:val="21"/>
          <w:lang w:val="en-US" w:eastAsia="zh-CN"/>
        </w:rPr>
        <w:t>5.2 质量指标要求：</w:t>
      </w:r>
    </w:p>
    <w:tbl>
      <w:tblPr>
        <w:tblStyle w:val="15"/>
        <w:tblW w:w="70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8"/>
        <w:gridCol w:w="35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3478" w:type="dxa"/>
            <w:vAlign w:val="center"/>
          </w:tcPr>
          <w:p>
            <w:pPr>
              <w:spacing w:line="300" w:lineRule="exact"/>
              <w:ind w:firstLine="420" w:firstLineChars="200"/>
              <w:rPr>
                <w:rFonts w:hint="eastAsia"/>
                <w:szCs w:val="21"/>
                <w:lang w:val="en-US" w:eastAsia="zh-CN"/>
              </w:rPr>
            </w:pPr>
            <w:r>
              <w:rPr>
                <w:rFonts w:hint="eastAsia"/>
                <w:szCs w:val="21"/>
                <w:lang w:val="en-US" w:eastAsia="zh-CN"/>
              </w:rPr>
              <w:t>型号</w:t>
            </w:r>
          </w:p>
        </w:tc>
        <w:tc>
          <w:tcPr>
            <w:tcW w:w="3562" w:type="dxa"/>
            <w:vAlign w:val="center"/>
          </w:tcPr>
          <w:p>
            <w:pPr>
              <w:spacing w:line="300" w:lineRule="exact"/>
              <w:ind w:firstLine="420" w:firstLineChars="200"/>
              <w:rPr>
                <w:rFonts w:hint="eastAsia"/>
                <w:szCs w:val="21"/>
                <w:lang w:val="en-US" w:eastAsia="zh-CN"/>
              </w:rPr>
            </w:pPr>
            <w:r>
              <w:rPr>
                <w:rFonts w:hint="eastAsia"/>
                <w:szCs w:val="21"/>
                <w:lang w:val="en-US" w:eastAsia="zh-CN"/>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3478" w:type="dxa"/>
            <w:vAlign w:val="center"/>
          </w:tcPr>
          <w:p>
            <w:pPr>
              <w:spacing w:line="300" w:lineRule="exact"/>
              <w:ind w:firstLine="420" w:firstLineChars="200"/>
              <w:rPr>
                <w:rFonts w:hint="eastAsia"/>
                <w:szCs w:val="21"/>
                <w:lang w:val="en-US" w:eastAsia="zh-CN"/>
              </w:rPr>
            </w:pPr>
            <w:r>
              <w:rPr>
                <w:rFonts w:hint="eastAsia"/>
                <w:szCs w:val="21"/>
                <w:lang w:val="en-US" w:eastAsia="zh-CN"/>
              </w:rPr>
              <w:t>外观</w:t>
            </w:r>
          </w:p>
        </w:tc>
        <w:tc>
          <w:tcPr>
            <w:tcW w:w="3562" w:type="dxa"/>
            <w:tcBorders>
              <w:top w:val="single" w:color="auto" w:sz="4" w:space="0"/>
              <w:left w:val="single" w:color="auto" w:sz="4" w:space="0"/>
              <w:bottom w:val="single" w:color="auto" w:sz="4" w:space="0"/>
              <w:right w:val="single" w:color="auto" w:sz="4" w:space="0"/>
            </w:tcBorders>
            <w:vAlign w:val="center"/>
          </w:tcPr>
          <w:p>
            <w:pPr>
              <w:spacing w:line="300" w:lineRule="exact"/>
              <w:ind w:firstLine="420" w:firstLineChars="200"/>
              <w:rPr>
                <w:rFonts w:hint="eastAsia"/>
                <w:szCs w:val="21"/>
                <w:lang w:val="en-US" w:eastAsia="zh-CN"/>
              </w:rPr>
            </w:pPr>
            <w:r>
              <w:rPr>
                <w:rFonts w:hint="eastAsia"/>
                <w:szCs w:val="21"/>
                <w:lang w:val="en-US" w:eastAsia="zh-CN"/>
              </w:rPr>
              <w:t>均匀液体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3478" w:type="dxa"/>
            <w:vAlign w:val="center"/>
          </w:tcPr>
          <w:p>
            <w:pPr>
              <w:spacing w:line="300" w:lineRule="exact"/>
              <w:ind w:firstLine="420" w:firstLineChars="200"/>
              <w:rPr>
                <w:rFonts w:hint="eastAsia"/>
                <w:szCs w:val="21"/>
                <w:lang w:val="en-US" w:eastAsia="zh-CN"/>
              </w:rPr>
            </w:pPr>
            <w:r>
              <w:rPr>
                <w:rFonts w:hint="eastAsia"/>
                <w:szCs w:val="21"/>
                <w:lang w:val="en-US" w:eastAsia="zh-CN"/>
              </w:rPr>
              <w:t>密度（20℃），g/cm3</w:t>
            </w:r>
          </w:p>
        </w:tc>
        <w:tc>
          <w:tcPr>
            <w:tcW w:w="3562" w:type="dxa"/>
            <w:tcBorders>
              <w:top w:val="single" w:color="auto" w:sz="4" w:space="0"/>
              <w:left w:val="single" w:color="auto" w:sz="4" w:space="0"/>
              <w:bottom w:val="single" w:color="auto" w:sz="4" w:space="0"/>
              <w:right w:val="single" w:color="auto" w:sz="4" w:space="0"/>
            </w:tcBorders>
            <w:vAlign w:val="center"/>
          </w:tcPr>
          <w:p>
            <w:pPr>
              <w:spacing w:line="300" w:lineRule="exact"/>
              <w:ind w:firstLine="420" w:firstLineChars="200"/>
              <w:rPr>
                <w:rFonts w:hint="eastAsia"/>
                <w:szCs w:val="21"/>
                <w:lang w:val="en-US" w:eastAsia="zh-CN"/>
              </w:rPr>
            </w:pPr>
            <w:r>
              <w:rPr>
                <w:rFonts w:hint="eastAsia"/>
                <w:szCs w:val="21"/>
                <w:lang w:val="en-US" w:eastAsia="zh-CN"/>
              </w:rPr>
              <w:t>0.85~1.15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 w:hRule="atLeast"/>
          <w:jc w:val="center"/>
        </w:trPr>
        <w:tc>
          <w:tcPr>
            <w:tcW w:w="3478" w:type="dxa"/>
            <w:vAlign w:val="center"/>
          </w:tcPr>
          <w:p>
            <w:pPr>
              <w:spacing w:line="300" w:lineRule="exact"/>
              <w:ind w:firstLine="420" w:firstLineChars="200"/>
              <w:rPr>
                <w:rFonts w:hint="eastAsia"/>
                <w:szCs w:val="21"/>
                <w:lang w:val="en-US" w:eastAsia="zh-CN"/>
              </w:rPr>
            </w:pPr>
            <w:r>
              <w:rPr>
                <w:rFonts w:hint="eastAsia"/>
                <w:szCs w:val="21"/>
                <w:lang w:val="en-US" w:eastAsia="zh-CN"/>
              </w:rPr>
              <w:t>pH值（25℃）</w:t>
            </w:r>
          </w:p>
        </w:tc>
        <w:tc>
          <w:tcPr>
            <w:tcW w:w="3562" w:type="dxa"/>
            <w:tcBorders>
              <w:top w:val="single" w:color="auto" w:sz="4" w:space="0"/>
              <w:left w:val="single" w:color="auto" w:sz="4" w:space="0"/>
              <w:bottom w:val="single" w:color="auto" w:sz="4" w:space="0"/>
              <w:right w:val="single" w:color="auto" w:sz="4" w:space="0"/>
            </w:tcBorders>
            <w:vAlign w:val="center"/>
          </w:tcPr>
          <w:p>
            <w:pPr>
              <w:spacing w:line="300" w:lineRule="exact"/>
              <w:ind w:firstLine="420" w:firstLineChars="200"/>
              <w:rPr>
                <w:rFonts w:hint="eastAsia"/>
                <w:szCs w:val="21"/>
                <w:lang w:val="en-US" w:eastAsia="zh-CN"/>
              </w:rPr>
            </w:pPr>
            <w:r>
              <w:rPr>
                <w:rFonts w:hint="eastAsia"/>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3478" w:type="dxa"/>
            <w:vAlign w:val="center"/>
          </w:tcPr>
          <w:p>
            <w:pPr>
              <w:spacing w:line="300" w:lineRule="exact"/>
              <w:ind w:firstLine="420" w:firstLineChars="200"/>
              <w:rPr>
                <w:rFonts w:hint="eastAsia"/>
                <w:szCs w:val="21"/>
                <w:lang w:val="en-US" w:eastAsia="zh-CN"/>
              </w:rPr>
            </w:pPr>
            <w:r>
              <w:rPr>
                <w:rFonts w:hint="eastAsia"/>
                <w:szCs w:val="21"/>
                <w:lang w:val="en-US" w:eastAsia="zh-CN"/>
              </w:rPr>
              <w:t>凝点，℃</w:t>
            </w:r>
          </w:p>
        </w:tc>
        <w:tc>
          <w:tcPr>
            <w:tcW w:w="3562" w:type="dxa"/>
            <w:tcBorders>
              <w:top w:val="single" w:color="auto" w:sz="4" w:space="0"/>
              <w:left w:val="single" w:color="auto" w:sz="4" w:space="0"/>
              <w:bottom w:val="single" w:color="auto" w:sz="4" w:space="0"/>
              <w:right w:val="single" w:color="auto" w:sz="4" w:space="0"/>
            </w:tcBorders>
            <w:vAlign w:val="center"/>
          </w:tcPr>
          <w:p>
            <w:pPr>
              <w:spacing w:line="300" w:lineRule="exact"/>
              <w:ind w:firstLine="420" w:firstLineChars="200"/>
              <w:rPr>
                <w:rFonts w:hint="eastAsia"/>
                <w:szCs w:val="21"/>
                <w:lang w:val="en-US" w:eastAsia="zh-CN"/>
              </w:rPr>
            </w:pPr>
            <w:r>
              <w:rPr>
                <w:rFonts w:hint="eastAsia"/>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478" w:type="dxa"/>
            <w:vAlign w:val="center"/>
          </w:tcPr>
          <w:p>
            <w:pPr>
              <w:spacing w:line="300" w:lineRule="exact"/>
              <w:ind w:firstLine="420" w:firstLineChars="200"/>
              <w:rPr>
                <w:rFonts w:hint="eastAsia"/>
                <w:szCs w:val="21"/>
                <w:lang w:val="en-US" w:eastAsia="zh-CN"/>
              </w:rPr>
            </w:pPr>
            <w:r>
              <w:rPr>
                <w:rFonts w:hint="eastAsia"/>
                <w:szCs w:val="21"/>
                <w:lang w:val="en-US" w:eastAsia="zh-CN"/>
              </w:rPr>
              <w:t>溶解性</w:t>
            </w:r>
          </w:p>
        </w:tc>
        <w:tc>
          <w:tcPr>
            <w:tcW w:w="3562" w:type="dxa"/>
            <w:tcBorders>
              <w:top w:val="single" w:color="auto" w:sz="4" w:space="0"/>
              <w:left w:val="single" w:color="auto" w:sz="4" w:space="0"/>
              <w:bottom w:val="single" w:color="auto" w:sz="4" w:space="0"/>
              <w:right w:val="single" w:color="auto" w:sz="4" w:space="0"/>
            </w:tcBorders>
            <w:vAlign w:val="center"/>
          </w:tcPr>
          <w:p>
            <w:pPr>
              <w:spacing w:line="300" w:lineRule="exact"/>
              <w:ind w:firstLine="420" w:firstLineChars="200"/>
              <w:rPr>
                <w:rFonts w:hint="eastAsia"/>
                <w:szCs w:val="21"/>
                <w:lang w:val="en-US" w:eastAsia="zh-CN"/>
              </w:rPr>
            </w:pPr>
            <w:r>
              <w:rPr>
                <w:rFonts w:hint="eastAsia"/>
                <w:szCs w:val="21"/>
                <w:lang w:val="en-US" w:eastAsia="zh-CN"/>
              </w:rPr>
              <w:t>易溶入水</w:t>
            </w:r>
          </w:p>
        </w:tc>
      </w:tr>
    </w:tbl>
    <w:p>
      <w:pPr>
        <w:spacing w:line="300" w:lineRule="exact"/>
        <w:ind w:firstLine="420" w:firstLineChars="200"/>
        <w:rPr>
          <w:rFonts w:hint="eastAsia"/>
          <w:szCs w:val="21"/>
          <w:lang w:val="en-US" w:eastAsia="zh-CN"/>
        </w:rPr>
      </w:pPr>
      <w:r>
        <w:rPr>
          <w:rFonts w:hint="eastAsia"/>
          <w:szCs w:val="21"/>
          <w:lang w:val="en-US" w:eastAsia="zh-CN"/>
        </w:rPr>
        <w:t>5.3 加氢裂化装置中和缓蚀剂技术保证值：</w:t>
      </w:r>
    </w:p>
    <w:p>
      <w:pPr>
        <w:spacing w:line="300" w:lineRule="exact"/>
        <w:ind w:firstLine="420" w:firstLineChars="200"/>
        <w:rPr>
          <w:rFonts w:hint="eastAsia"/>
          <w:szCs w:val="21"/>
          <w:lang w:val="en-US" w:eastAsia="zh-CN"/>
        </w:rPr>
      </w:pPr>
      <w:r>
        <w:rPr>
          <w:rFonts w:hint="eastAsia"/>
          <w:szCs w:val="21"/>
          <w:lang w:val="en-US" w:eastAsia="zh-CN"/>
        </w:rPr>
        <w:t>a.液态水溶性，产品水溶性好，无乳化现象。</w:t>
      </w:r>
    </w:p>
    <w:p>
      <w:pPr>
        <w:spacing w:line="300" w:lineRule="exact"/>
        <w:ind w:firstLine="420" w:firstLineChars="200"/>
        <w:rPr>
          <w:rFonts w:hint="eastAsia"/>
          <w:szCs w:val="21"/>
          <w:lang w:val="en-US" w:eastAsia="zh-CN"/>
        </w:rPr>
      </w:pPr>
      <w:r>
        <w:rPr>
          <w:rFonts w:hint="eastAsia"/>
          <w:szCs w:val="21"/>
          <w:lang w:val="en-US" w:eastAsia="zh-CN"/>
        </w:rPr>
        <w:t>b.塔顶酸性水总铁含量≤3mg/L，pH值6~9。</w:t>
      </w:r>
    </w:p>
    <w:p>
      <w:pPr>
        <w:spacing w:line="300" w:lineRule="exact"/>
        <w:ind w:firstLine="420" w:firstLineChars="200"/>
        <w:rPr>
          <w:rFonts w:hint="eastAsia"/>
          <w:szCs w:val="21"/>
          <w:lang w:val="en-US" w:eastAsia="zh-CN"/>
        </w:rPr>
      </w:pPr>
      <w:r>
        <w:rPr>
          <w:rFonts w:hint="eastAsia"/>
          <w:szCs w:val="21"/>
          <w:lang w:val="en-US" w:eastAsia="zh-CN"/>
        </w:rPr>
        <w:t>c.保证所提供产品在正确使用下对设备、装置无任何损坏，对下游催化剂、下游产品、终端产品无任何性质和质量的不良改变。</w:t>
      </w:r>
    </w:p>
    <w:p>
      <w:pPr>
        <w:spacing w:line="300" w:lineRule="exact"/>
        <w:ind w:firstLine="420" w:firstLineChars="200"/>
        <w:rPr>
          <w:rFonts w:hint="eastAsia"/>
          <w:szCs w:val="21"/>
          <w:lang w:val="en-US" w:eastAsia="zh-CN"/>
        </w:rPr>
      </w:pPr>
      <w:r>
        <w:rPr>
          <w:rFonts w:hint="eastAsia"/>
          <w:szCs w:val="21"/>
          <w:lang w:val="en-US" w:eastAsia="zh-CN"/>
        </w:rPr>
        <w:t>d.中和缓蚀剂产品预调配好，现场除盐水稀释后即可注入。</w:t>
      </w:r>
    </w:p>
    <w:p>
      <w:pPr>
        <w:spacing w:line="300" w:lineRule="exact"/>
        <w:ind w:firstLine="420" w:firstLineChars="200"/>
        <w:rPr>
          <w:rFonts w:hint="eastAsia"/>
          <w:szCs w:val="21"/>
          <w:lang w:val="en-US" w:eastAsia="zh-CN"/>
        </w:rPr>
      </w:pPr>
      <w:r>
        <w:rPr>
          <w:rFonts w:hint="eastAsia"/>
          <w:szCs w:val="21"/>
          <w:lang w:val="en-US" w:eastAsia="zh-CN"/>
        </w:rPr>
        <w:t>5.4 加氢裂化装置中和缓蚀剂注入量的要求；</w:t>
      </w:r>
    </w:p>
    <w:tbl>
      <w:tblPr>
        <w:tblStyle w:val="15"/>
        <w:tblW w:w="71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50"/>
        <w:gridCol w:w="3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jc w:val="center"/>
        </w:trPr>
        <w:tc>
          <w:tcPr>
            <w:tcW w:w="3550" w:type="dxa"/>
          </w:tcPr>
          <w:p>
            <w:pPr>
              <w:spacing w:line="300" w:lineRule="exact"/>
              <w:ind w:firstLine="420" w:firstLineChars="200"/>
              <w:rPr>
                <w:rFonts w:hint="eastAsia"/>
                <w:szCs w:val="21"/>
                <w:lang w:val="en-US" w:eastAsia="zh-CN"/>
              </w:rPr>
            </w:pPr>
            <w:r>
              <w:rPr>
                <w:rFonts w:hint="eastAsia"/>
                <w:szCs w:val="21"/>
                <w:lang w:val="en-US" w:eastAsia="zh-CN"/>
              </w:rPr>
              <w:t>注入点</w:t>
            </w:r>
          </w:p>
        </w:tc>
        <w:tc>
          <w:tcPr>
            <w:tcW w:w="3550" w:type="dxa"/>
          </w:tcPr>
          <w:p>
            <w:pPr>
              <w:spacing w:line="300" w:lineRule="exact"/>
              <w:ind w:firstLine="420" w:firstLineChars="200"/>
              <w:rPr>
                <w:rFonts w:hint="eastAsia"/>
                <w:szCs w:val="21"/>
                <w:lang w:val="en-US" w:eastAsia="zh-CN"/>
              </w:rPr>
            </w:pPr>
            <w:r>
              <w:rPr>
                <w:rFonts w:hint="eastAsia"/>
                <w:szCs w:val="21"/>
                <w:lang w:val="en-US" w:eastAsia="zh-CN"/>
              </w:rPr>
              <w:t>注入量（mg/kg）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jc w:val="center"/>
        </w:trPr>
        <w:tc>
          <w:tcPr>
            <w:tcW w:w="3550" w:type="dxa"/>
          </w:tcPr>
          <w:p>
            <w:pPr>
              <w:spacing w:line="300" w:lineRule="exact"/>
              <w:ind w:firstLine="420" w:firstLineChars="200"/>
              <w:rPr>
                <w:rFonts w:hint="eastAsia"/>
                <w:szCs w:val="21"/>
                <w:lang w:val="en-US" w:eastAsia="zh-CN"/>
              </w:rPr>
            </w:pPr>
            <w:r>
              <w:rPr>
                <w:rFonts w:hint="eastAsia"/>
                <w:szCs w:val="21"/>
                <w:lang w:val="en-US" w:eastAsia="zh-CN"/>
              </w:rPr>
              <w:t>产品汽提塔顶</w:t>
            </w:r>
          </w:p>
        </w:tc>
        <w:tc>
          <w:tcPr>
            <w:tcW w:w="3550" w:type="dxa"/>
          </w:tcPr>
          <w:p>
            <w:pPr>
              <w:spacing w:line="300" w:lineRule="exact"/>
              <w:ind w:firstLine="420" w:firstLineChars="200"/>
              <w:rPr>
                <w:rFonts w:hint="eastAsia"/>
                <w:szCs w:val="21"/>
                <w:lang w:val="en-US" w:eastAsia="zh-CN"/>
              </w:rPr>
            </w:pPr>
            <w:r>
              <w:rPr>
                <w:rFonts w:hint="eastAsia"/>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jc w:val="center"/>
        </w:trPr>
        <w:tc>
          <w:tcPr>
            <w:tcW w:w="3550" w:type="dxa"/>
          </w:tcPr>
          <w:p>
            <w:pPr>
              <w:spacing w:line="300" w:lineRule="exact"/>
              <w:ind w:firstLine="420" w:firstLineChars="200"/>
              <w:rPr>
                <w:rFonts w:hint="eastAsia"/>
                <w:szCs w:val="21"/>
                <w:lang w:val="en-US" w:eastAsia="zh-CN"/>
              </w:rPr>
            </w:pPr>
            <w:r>
              <w:rPr>
                <w:rFonts w:hint="eastAsia"/>
                <w:szCs w:val="21"/>
                <w:lang w:val="en-US" w:eastAsia="zh-CN"/>
              </w:rPr>
              <w:t>贫油吸收塔顶</w:t>
            </w:r>
          </w:p>
        </w:tc>
        <w:tc>
          <w:tcPr>
            <w:tcW w:w="3550" w:type="dxa"/>
          </w:tcPr>
          <w:p>
            <w:pPr>
              <w:spacing w:line="300" w:lineRule="exact"/>
              <w:ind w:firstLine="420" w:firstLineChars="200"/>
              <w:rPr>
                <w:rFonts w:hint="eastAsia"/>
                <w:szCs w:val="21"/>
                <w:lang w:val="en-US" w:eastAsia="zh-CN"/>
              </w:rPr>
            </w:pPr>
            <w:r>
              <w:rPr>
                <w:rFonts w:hint="eastAsia"/>
                <w:szCs w:val="21"/>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jc w:val="center"/>
        </w:trPr>
        <w:tc>
          <w:tcPr>
            <w:tcW w:w="3550" w:type="dxa"/>
          </w:tcPr>
          <w:p>
            <w:pPr>
              <w:spacing w:line="300" w:lineRule="exact"/>
              <w:ind w:firstLine="420" w:firstLineChars="200"/>
              <w:rPr>
                <w:rFonts w:hint="eastAsia"/>
                <w:szCs w:val="21"/>
                <w:lang w:val="en-US" w:eastAsia="zh-CN"/>
              </w:rPr>
            </w:pPr>
            <w:r>
              <w:rPr>
                <w:rFonts w:hint="eastAsia"/>
                <w:szCs w:val="21"/>
                <w:lang w:val="en-US" w:eastAsia="zh-CN"/>
              </w:rPr>
              <w:t>脱乙烷塔顶</w:t>
            </w:r>
          </w:p>
        </w:tc>
        <w:tc>
          <w:tcPr>
            <w:tcW w:w="3550" w:type="dxa"/>
          </w:tcPr>
          <w:p>
            <w:pPr>
              <w:spacing w:line="300" w:lineRule="exact"/>
              <w:ind w:firstLine="420" w:firstLineChars="200"/>
              <w:rPr>
                <w:rFonts w:hint="eastAsia"/>
                <w:szCs w:val="21"/>
                <w:lang w:val="en-US" w:eastAsia="zh-CN"/>
              </w:rPr>
            </w:pPr>
            <w:r>
              <w:rPr>
                <w:rFonts w:hint="eastAsia"/>
                <w:szCs w:val="21"/>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jc w:val="center"/>
        </w:trPr>
        <w:tc>
          <w:tcPr>
            <w:tcW w:w="3550" w:type="dxa"/>
          </w:tcPr>
          <w:p>
            <w:pPr>
              <w:spacing w:line="300" w:lineRule="exact"/>
              <w:ind w:firstLine="420" w:firstLineChars="200"/>
              <w:rPr>
                <w:rFonts w:hint="eastAsia"/>
                <w:szCs w:val="21"/>
                <w:lang w:val="en-US" w:eastAsia="zh-CN"/>
              </w:rPr>
            </w:pPr>
            <w:r>
              <w:rPr>
                <w:rFonts w:hint="eastAsia"/>
                <w:szCs w:val="21"/>
                <w:lang w:val="en-US" w:eastAsia="zh-CN"/>
              </w:rPr>
              <w:t>脱丁烷塔顶</w:t>
            </w:r>
          </w:p>
        </w:tc>
        <w:tc>
          <w:tcPr>
            <w:tcW w:w="3550" w:type="dxa"/>
          </w:tcPr>
          <w:p>
            <w:pPr>
              <w:spacing w:line="300" w:lineRule="exact"/>
              <w:ind w:firstLine="420" w:firstLineChars="200"/>
              <w:rPr>
                <w:rFonts w:hint="eastAsia"/>
                <w:szCs w:val="21"/>
                <w:lang w:val="en-US" w:eastAsia="zh-CN"/>
              </w:rPr>
            </w:pPr>
            <w:r>
              <w:rPr>
                <w:rFonts w:hint="eastAsia"/>
                <w:szCs w:val="21"/>
                <w:lang w:val="en-US" w:eastAsia="zh-CN"/>
              </w:rPr>
              <w:t>≤10</w:t>
            </w:r>
          </w:p>
        </w:tc>
      </w:tr>
    </w:tbl>
    <w:p>
      <w:pPr>
        <w:spacing w:line="300" w:lineRule="exact"/>
        <w:ind w:firstLine="420" w:firstLineChars="200"/>
        <w:rPr>
          <w:rFonts w:hint="eastAsia"/>
          <w:szCs w:val="21"/>
          <w:lang w:val="en-US" w:eastAsia="zh-CN"/>
        </w:rPr>
      </w:pPr>
      <w:r>
        <w:rPr>
          <w:rFonts w:hint="eastAsia"/>
          <w:szCs w:val="21"/>
          <w:lang w:val="en-US" w:eastAsia="zh-CN"/>
        </w:rPr>
        <w:t>5.5 结算说明：费用结算以中和缓蚀剂单价×实际使用量的方式进行。药剂现场试用合格后，每三个月进行一次结算。根据考核结果合格率≥90%，需方支付供方当批次该部分货款全款；80%≤合格率＜90%，按当批次该部分货款全款9折付款；70%≤合格率＜80%，按当批次该部分货款全款8折付款；60%≤合格率＜70%，按当批次该部分货款全款7折付款；50%≤合格率＜60%，按当批次该部分货款全款6折付款；合格率＜50%，不支付货款。</w:t>
      </w:r>
    </w:p>
    <w:p>
      <w:pPr>
        <w:spacing w:line="300" w:lineRule="exact"/>
        <w:ind w:firstLine="420" w:firstLineChars="200"/>
        <w:rPr>
          <w:rFonts w:hint="eastAsia"/>
          <w:szCs w:val="21"/>
        </w:rPr>
      </w:pPr>
      <w:r>
        <w:rPr>
          <w:rFonts w:hint="eastAsia"/>
          <w:szCs w:val="21"/>
          <w:lang w:val="en-US" w:eastAsia="zh-CN"/>
        </w:rPr>
        <w:t>5.6 交货期限、质量保证、质量验收方法及随货提交资料等完全满足技术要求，每次交货数量按需方实际需求送货。</w:t>
      </w:r>
    </w:p>
    <w:p>
      <w:pPr>
        <w:spacing w:line="300" w:lineRule="exact"/>
        <w:ind w:firstLine="420" w:firstLineChars="200"/>
        <w:rPr>
          <w:rFonts w:hint="eastAsia"/>
          <w:lang w:val="en-US" w:eastAsia="zh-CN"/>
        </w:rPr>
      </w:pPr>
      <w:r>
        <w:rPr>
          <w:rFonts w:hint="eastAsia"/>
          <w:szCs w:val="21"/>
          <w:lang w:val="en-US" w:eastAsia="zh-CN"/>
        </w:rPr>
        <w:t>5.7 具体性能保证、验收结算方式及赔偿和技术服务范围详见附件技术要求</w:t>
      </w:r>
      <w:r>
        <w:rPr>
          <w:rFonts w:hint="eastAsia"/>
          <w:szCs w:val="21"/>
        </w:rPr>
        <w:t>。</w:t>
      </w:r>
    </w:p>
    <w:p>
      <w:pPr>
        <w:spacing w:line="300" w:lineRule="exact"/>
        <w:rPr>
          <w:rFonts w:hint="eastAsia"/>
          <w:szCs w:val="21"/>
          <w:lang w:val="en-US" w:eastAsia="zh-CN"/>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Calibri Light">
    <w:panose1 w:val="020F03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Batang">
    <w:altName w:val="Malgun Gothic"/>
    <w:panose1 w:val="02030600000101010101"/>
    <w:charset w:val="81"/>
    <w:family w:val="auto"/>
    <w:pitch w:val="default"/>
    <w:sig w:usb0="00000000" w:usb1="00000000" w:usb2="00000010" w:usb3="00000000" w:csb0="00080000" w:csb1="00000000"/>
  </w:font>
  <w:font w:name="Malgun Gothic">
    <w:panose1 w:val="020B0503020000020004"/>
    <w:charset w:val="81"/>
    <w:family w:val="auto"/>
    <w:pitch w:val="default"/>
    <w:sig w:usb0="9000002F" w:usb1="29D77CFB" w:usb2="00000012" w:usb3="00000000" w:csb0="00080001" w:csb1="00000000"/>
  </w:font>
  <w:font w:name="楷体_GB2312">
    <w:altName w:val="楷体"/>
    <w:panose1 w:val="00000000000000000000"/>
    <w:charset w:val="86"/>
    <w:family w:val="modern"/>
    <w:pitch w:val="default"/>
    <w:sig w:usb0="00000000" w:usb1="00000000" w:usb2="00000010" w:usb3="00000000" w:csb0="00040000" w:csb1="00000000"/>
  </w:font>
  <w:font w:name="Arial Unicode MS">
    <w:altName w:val="Arial"/>
    <w:panose1 w:val="020B0604020202020204"/>
    <w:charset w:val="00"/>
    <w:family w:val="roman"/>
    <w:pitch w:val="default"/>
    <w:sig w:usb0="00000000" w:usb1="00000000" w:usb2="00000000" w:usb3="00000000" w:csb0="00000001" w:csb1="00000000"/>
  </w:font>
  <w:font w:name="ISOCT3">
    <w:altName w:val="Segoe Print"/>
    <w:panose1 w:val="00000400000000000000"/>
    <w:charset w:val="00"/>
    <w:family w:val="auto"/>
    <w:pitch w:val="default"/>
    <w:sig w:usb0="00000000" w:usb1="00000000" w:usb2="00000000" w:usb3="00000000" w:csb0="000001FF" w:csb1="00000000"/>
  </w:font>
  <w:font w:name="Segoe Print">
    <w:panose1 w:val="02000600000000000000"/>
    <w:charset w:val="00"/>
    <w:family w:val="auto"/>
    <w:pitch w:val="default"/>
    <w:sig w:usb0="0000028F" w:usb1="00000000" w:usb2="00000000" w:usb3="00000000" w:csb0="2000009F" w:csb1="47010000"/>
  </w:font>
  <w:font w:name="sans-serif">
    <w:altName w:val="Segoe Print"/>
    <w:panose1 w:val="00000000000000000000"/>
    <w:charset w:val="00"/>
    <w:family w:val="auto"/>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MGDT">
    <w:altName w:val="Segoe Print"/>
    <w:panose1 w:val="00000400000000000000"/>
    <w:charset w:val="00"/>
    <w:family w:val="auto"/>
    <w:pitch w:val="default"/>
    <w:sig w:usb0="00000000" w:usb1="00000000" w:usb2="00000000" w:usb3="00000000" w:csb0="00000001" w:csb1="00000000"/>
  </w:font>
  <w:font w:name="Microsoft JhengHei">
    <w:panose1 w:val="020B0604030504040204"/>
    <w:charset w:val="88"/>
    <w:family w:val="auto"/>
    <w:pitch w:val="default"/>
    <w:sig w:usb0="000002A7" w:usb1="28CF4400" w:usb2="00000016" w:usb3="00000000" w:csb0="00100009" w:csb1="00000000"/>
  </w:font>
  <w:font w:name="Arabic Typesetting">
    <w:altName w:val="Ink Free"/>
    <w:panose1 w:val="03020402040406030203"/>
    <w:charset w:val="00"/>
    <w:family w:val="auto"/>
    <w:pitch w:val="default"/>
    <w:sig w:usb0="00000000" w:usb1="00000000" w:usb2="00000008" w:usb3="00000000" w:csb0="200000D3" w:csb1="00000000"/>
  </w:font>
  <w:font w:name="Aparajita">
    <w:altName w:val="Segoe Print"/>
    <w:panose1 w:val="020B0604020202020204"/>
    <w:charset w:val="00"/>
    <w:family w:val="auto"/>
    <w:pitch w:val="default"/>
    <w:sig w:usb0="00000000" w:usb1="00000000" w:usb2="00000000" w:usb3="00000000" w:csb0="00000001" w:csb1="00000000"/>
  </w:font>
  <w:font w:name="Ink Free">
    <w:panose1 w:val="03080402000500000000"/>
    <w:charset w:val="00"/>
    <w:family w:val="auto"/>
    <w:pitch w:val="default"/>
    <w:sig w:usb0="8000000F" w:usb1="00000000" w:usb2="00000000" w:usb3="00000000" w:csb0="00000093" w:csb1="00000000"/>
  </w:font>
  <w:font w:name="Courier New">
    <w:panose1 w:val="02070309020205020404"/>
    <w:charset w:val="00"/>
    <w:family w:val="modern"/>
    <w:pitch w:val="default"/>
    <w:sig w:usb0="E0002EFF" w:usb1="C0007843" w:usb2="00000009" w:usb3="00000000" w:csb0="400001FF" w:csb1="FFFF0000"/>
  </w:font>
  <w:font w:name="Arial Narrow">
    <w:altName w:val="Arial"/>
    <w:panose1 w:val="020B0606020202030204"/>
    <w:charset w:val="00"/>
    <w:family w:val="swiss"/>
    <w:pitch w:val="default"/>
    <w:sig w:usb0="00000000" w:usb1="00000000" w:usb2="00000000" w:usb3="00000000" w:csb0="0000009F" w:csb1="00000000"/>
  </w:font>
  <w:font w:name="Tahoma">
    <w:panose1 w:val="020B0604030504040204"/>
    <w:charset w:val="00"/>
    <w:family w:val="swiss"/>
    <w:pitch w:val="default"/>
    <w:sig w:usb0="E1002EFF" w:usb1="C000605B" w:usb2="00000029" w:usb3="00000000" w:csb0="200101FF" w:csb1="20280000"/>
  </w:font>
  <w:font w:name="font-weight : 400">
    <w:altName w:val="Segoe Print"/>
    <w:panose1 w:val="00000000000000000000"/>
    <w:charset w:val="00"/>
    <w:family w:val="auto"/>
    <w:pitch w:val="default"/>
    <w:sig w:usb0="00000000" w:usb1="00000000" w:usb2="00000000" w:usb3="00000000" w:csb0="00040001" w:csb1="00000000"/>
  </w:font>
  <w:font w:name="ArialMT">
    <w:altName w:val="新宋体"/>
    <w:panose1 w:val="00000000000000000000"/>
    <w:charset w:val="00"/>
    <w:family w:val="swiss"/>
    <w:pitch w:val="default"/>
    <w:sig w:usb0="00000000" w:usb1="00000000" w:usb2="0000001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pPr>
    <w:r>
      <w:fldChar w:fldCharType="begin"/>
    </w:r>
    <w:r>
      <w:instrText xml:space="preserve">PAGE   \* MERGEFORMAT</w:instrText>
    </w:r>
    <w:r>
      <w:fldChar w:fldCharType="separate"/>
    </w:r>
    <w:r>
      <w:t>6</w:t>
    </w:r>
    <w:r>
      <w:fldChar w:fldCharType="end"/>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4"/>
    <w:multiLevelType w:val="singleLevel"/>
    <w:tmpl w:val="00000014"/>
    <w:lvl w:ilvl="0" w:tentative="0">
      <w:start w:val="1"/>
      <w:numFmt w:val="decimal"/>
      <w:suff w:val="nothing"/>
      <w:lvlText w:val="%1."/>
      <w:lvlJc w:val="left"/>
      <w:rPr>
        <w:rFonts w:cs="Times New Roman"/>
      </w:rPr>
    </w:lvl>
  </w:abstractNum>
  <w:abstractNum w:abstractNumId="1">
    <w:nsid w:val="0CC52249"/>
    <w:multiLevelType w:val="multilevel"/>
    <w:tmpl w:val="0CC52249"/>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2">
    <w:nsid w:val="14860CE5"/>
    <w:multiLevelType w:val="multilevel"/>
    <w:tmpl w:val="14860CE5"/>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3">
    <w:nsid w:val="193822BF"/>
    <w:multiLevelType w:val="multilevel"/>
    <w:tmpl w:val="193822BF"/>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4">
    <w:nsid w:val="5FE2B234"/>
    <w:multiLevelType w:val="singleLevel"/>
    <w:tmpl w:val="5FE2B234"/>
    <w:lvl w:ilvl="0" w:tentative="0">
      <w:start w:val="2"/>
      <w:numFmt w:val="decimal"/>
      <w:suff w:val="nothing"/>
      <w:lvlText w:val="%1、"/>
      <w:lvlJc w:val="left"/>
    </w:lvl>
  </w:abstractNum>
  <w:abstractNum w:abstractNumId="5">
    <w:nsid w:val="645CADC0"/>
    <w:multiLevelType w:val="singleLevel"/>
    <w:tmpl w:val="645CADC0"/>
    <w:lvl w:ilvl="0" w:tentative="0">
      <w:start w:val="2"/>
      <w:numFmt w:val="decimal"/>
      <w:suff w:val="nothing"/>
      <w:lvlText w:val="（%1）"/>
      <w:lvlJc w:val="left"/>
    </w:lvl>
  </w:abstractNum>
  <w:abstractNum w:abstractNumId="6">
    <w:nsid w:val="6AC72BA6"/>
    <w:multiLevelType w:val="multilevel"/>
    <w:tmpl w:val="6AC72BA6"/>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num w:numId="1">
    <w:abstractNumId w:val="1"/>
  </w:num>
  <w:num w:numId="2">
    <w:abstractNumId w:val="6"/>
  </w:num>
  <w:num w:numId="3">
    <w:abstractNumId w:val="3"/>
  </w:num>
  <w:num w:numId="4">
    <w:abstractNumId w:val="2"/>
  </w:num>
  <w:num w:numId="5">
    <w:abstractNumId w:val="0"/>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A52ED3"/>
    <w:rsid w:val="000005D0"/>
    <w:rsid w:val="00002746"/>
    <w:rsid w:val="00004B7C"/>
    <w:rsid w:val="00022AA2"/>
    <w:rsid w:val="00023522"/>
    <w:rsid w:val="00025809"/>
    <w:rsid w:val="00036AD9"/>
    <w:rsid w:val="00045BD2"/>
    <w:rsid w:val="000656EF"/>
    <w:rsid w:val="000754C9"/>
    <w:rsid w:val="000F736E"/>
    <w:rsid w:val="00101CDF"/>
    <w:rsid w:val="00107D10"/>
    <w:rsid w:val="00120905"/>
    <w:rsid w:val="0013425C"/>
    <w:rsid w:val="00135D9F"/>
    <w:rsid w:val="001630ED"/>
    <w:rsid w:val="00192C72"/>
    <w:rsid w:val="001A4AE9"/>
    <w:rsid w:val="001C0D58"/>
    <w:rsid w:val="001D425B"/>
    <w:rsid w:val="00200A85"/>
    <w:rsid w:val="00211FD4"/>
    <w:rsid w:val="002149C3"/>
    <w:rsid w:val="002149D4"/>
    <w:rsid w:val="00222F26"/>
    <w:rsid w:val="002243D8"/>
    <w:rsid w:val="00230E32"/>
    <w:rsid w:val="002509CE"/>
    <w:rsid w:val="00255FEE"/>
    <w:rsid w:val="0029284C"/>
    <w:rsid w:val="002930B1"/>
    <w:rsid w:val="002D350C"/>
    <w:rsid w:val="002D4525"/>
    <w:rsid w:val="00313BE4"/>
    <w:rsid w:val="00346315"/>
    <w:rsid w:val="0036751E"/>
    <w:rsid w:val="00392E5A"/>
    <w:rsid w:val="00397FC3"/>
    <w:rsid w:val="003D7307"/>
    <w:rsid w:val="003E2124"/>
    <w:rsid w:val="003F15BE"/>
    <w:rsid w:val="00410487"/>
    <w:rsid w:val="00414135"/>
    <w:rsid w:val="00436480"/>
    <w:rsid w:val="00446FAE"/>
    <w:rsid w:val="00467E34"/>
    <w:rsid w:val="004858F3"/>
    <w:rsid w:val="004A47FD"/>
    <w:rsid w:val="004E674A"/>
    <w:rsid w:val="004F11C6"/>
    <w:rsid w:val="00507A49"/>
    <w:rsid w:val="005747A2"/>
    <w:rsid w:val="005A15A3"/>
    <w:rsid w:val="005D17A9"/>
    <w:rsid w:val="005F34E4"/>
    <w:rsid w:val="005F6A9F"/>
    <w:rsid w:val="00604A43"/>
    <w:rsid w:val="0061410B"/>
    <w:rsid w:val="00631BC7"/>
    <w:rsid w:val="00696213"/>
    <w:rsid w:val="006B0586"/>
    <w:rsid w:val="006C1360"/>
    <w:rsid w:val="006C59CA"/>
    <w:rsid w:val="00734235"/>
    <w:rsid w:val="007534C8"/>
    <w:rsid w:val="0075355B"/>
    <w:rsid w:val="007730F9"/>
    <w:rsid w:val="007765BF"/>
    <w:rsid w:val="007C2890"/>
    <w:rsid w:val="007C38E6"/>
    <w:rsid w:val="007D2656"/>
    <w:rsid w:val="007D3FD3"/>
    <w:rsid w:val="007D449C"/>
    <w:rsid w:val="00824F7B"/>
    <w:rsid w:val="0087235C"/>
    <w:rsid w:val="00873D2A"/>
    <w:rsid w:val="00885BF2"/>
    <w:rsid w:val="008A20B6"/>
    <w:rsid w:val="008F2BBE"/>
    <w:rsid w:val="009055E4"/>
    <w:rsid w:val="00941C53"/>
    <w:rsid w:val="00976A7D"/>
    <w:rsid w:val="00997D30"/>
    <w:rsid w:val="009A1584"/>
    <w:rsid w:val="009B1FFF"/>
    <w:rsid w:val="009D0428"/>
    <w:rsid w:val="009D335D"/>
    <w:rsid w:val="00A13872"/>
    <w:rsid w:val="00A34956"/>
    <w:rsid w:val="00A36323"/>
    <w:rsid w:val="00A52ED3"/>
    <w:rsid w:val="00A87227"/>
    <w:rsid w:val="00AA5E84"/>
    <w:rsid w:val="00AD799E"/>
    <w:rsid w:val="00AF520D"/>
    <w:rsid w:val="00B46103"/>
    <w:rsid w:val="00B5040B"/>
    <w:rsid w:val="00B540F1"/>
    <w:rsid w:val="00B5674A"/>
    <w:rsid w:val="00B7587D"/>
    <w:rsid w:val="00B7777F"/>
    <w:rsid w:val="00B90B49"/>
    <w:rsid w:val="00C055C7"/>
    <w:rsid w:val="00C164C3"/>
    <w:rsid w:val="00C16757"/>
    <w:rsid w:val="00C4019D"/>
    <w:rsid w:val="00C45D9B"/>
    <w:rsid w:val="00C62ADD"/>
    <w:rsid w:val="00C87717"/>
    <w:rsid w:val="00C96E92"/>
    <w:rsid w:val="00D0177E"/>
    <w:rsid w:val="00D066AC"/>
    <w:rsid w:val="00D679C0"/>
    <w:rsid w:val="00D7685B"/>
    <w:rsid w:val="00DB0E36"/>
    <w:rsid w:val="00DC6865"/>
    <w:rsid w:val="00DD0E9C"/>
    <w:rsid w:val="00E014BA"/>
    <w:rsid w:val="00E25B0E"/>
    <w:rsid w:val="00E27911"/>
    <w:rsid w:val="00E33353"/>
    <w:rsid w:val="00E4575E"/>
    <w:rsid w:val="00E67462"/>
    <w:rsid w:val="00EB06B4"/>
    <w:rsid w:val="00EB32DE"/>
    <w:rsid w:val="00EB6925"/>
    <w:rsid w:val="00EC5BC5"/>
    <w:rsid w:val="00EE4E5B"/>
    <w:rsid w:val="00EF050E"/>
    <w:rsid w:val="00EF5988"/>
    <w:rsid w:val="00F139DE"/>
    <w:rsid w:val="00F27F02"/>
    <w:rsid w:val="00F33EB3"/>
    <w:rsid w:val="00F43CBE"/>
    <w:rsid w:val="00F564F6"/>
    <w:rsid w:val="00F66DB4"/>
    <w:rsid w:val="00F7626A"/>
    <w:rsid w:val="00FE0371"/>
    <w:rsid w:val="010D09A4"/>
    <w:rsid w:val="010E293E"/>
    <w:rsid w:val="01AB4154"/>
    <w:rsid w:val="01BC32FB"/>
    <w:rsid w:val="02003C03"/>
    <w:rsid w:val="021D391B"/>
    <w:rsid w:val="024C0384"/>
    <w:rsid w:val="02773EF6"/>
    <w:rsid w:val="02CC4E1D"/>
    <w:rsid w:val="02D53A40"/>
    <w:rsid w:val="03033536"/>
    <w:rsid w:val="03261A08"/>
    <w:rsid w:val="032857C7"/>
    <w:rsid w:val="032D15FD"/>
    <w:rsid w:val="032F04D8"/>
    <w:rsid w:val="03E270E3"/>
    <w:rsid w:val="03E5328D"/>
    <w:rsid w:val="03FC64DE"/>
    <w:rsid w:val="042207A6"/>
    <w:rsid w:val="04444FBA"/>
    <w:rsid w:val="04675C1C"/>
    <w:rsid w:val="046B7835"/>
    <w:rsid w:val="046E24C0"/>
    <w:rsid w:val="046F7ACF"/>
    <w:rsid w:val="0546217C"/>
    <w:rsid w:val="057373C3"/>
    <w:rsid w:val="058B56E8"/>
    <w:rsid w:val="059A34DA"/>
    <w:rsid w:val="059B734C"/>
    <w:rsid w:val="05C112E8"/>
    <w:rsid w:val="05CE4353"/>
    <w:rsid w:val="05CF5BDF"/>
    <w:rsid w:val="061013A0"/>
    <w:rsid w:val="064416AA"/>
    <w:rsid w:val="064F4D05"/>
    <w:rsid w:val="06A3708D"/>
    <w:rsid w:val="06AB00B1"/>
    <w:rsid w:val="06BE6A75"/>
    <w:rsid w:val="06DA70D7"/>
    <w:rsid w:val="070356B5"/>
    <w:rsid w:val="077632ED"/>
    <w:rsid w:val="07817814"/>
    <w:rsid w:val="078A61DF"/>
    <w:rsid w:val="07C04CC8"/>
    <w:rsid w:val="07E878CC"/>
    <w:rsid w:val="07E87C6B"/>
    <w:rsid w:val="07F06C92"/>
    <w:rsid w:val="07FB0E0D"/>
    <w:rsid w:val="080F7CCD"/>
    <w:rsid w:val="090A2F1F"/>
    <w:rsid w:val="098E656B"/>
    <w:rsid w:val="099447D3"/>
    <w:rsid w:val="09E63A80"/>
    <w:rsid w:val="0A3A75BC"/>
    <w:rsid w:val="0A4D0638"/>
    <w:rsid w:val="0A58515B"/>
    <w:rsid w:val="0A8B6BF2"/>
    <w:rsid w:val="0AB96449"/>
    <w:rsid w:val="0ACC3EB5"/>
    <w:rsid w:val="0ADD75BB"/>
    <w:rsid w:val="0AE35D05"/>
    <w:rsid w:val="0B0D38CD"/>
    <w:rsid w:val="0B35169E"/>
    <w:rsid w:val="0B4A13AC"/>
    <w:rsid w:val="0B5504B4"/>
    <w:rsid w:val="0B8E420A"/>
    <w:rsid w:val="0BF30F66"/>
    <w:rsid w:val="0C3D7481"/>
    <w:rsid w:val="0CF127D7"/>
    <w:rsid w:val="0CFA5163"/>
    <w:rsid w:val="0DA163F9"/>
    <w:rsid w:val="0DAD56B9"/>
    <w:rsid w:val="0DD566C4"/>
    <w:rsid w:val="0E02486F"/>
    <w:rsid w:val="0E3D2F5D"/>
    <w:rsid w:val="0E3F22A2"/>
    <w:rsid w:val="0E8B20AA"/>
    <w:rsid w:val="0E9503CA"/>
    <w:rsid w:val="0EAF658B"/>
    <w:rsid w:val="0EE26DF9"/>
    <w:rsid w:val="0EE30943"/>
    <w:rsid w:val="0F3141ED"/>
    <w:rsid w:val="0F4E62EA"/>
    <w:rsid w:val="0F5C3CF6"/>
    <w:rsid w:val="0F6C3BB2"/>
    <w:rsid w:val="0F821B8F"/>
    <w:rsid w:val="0F8C0A60"/>
    <w:rsid w:val="0FA364D6"/>
    <w:rsid w:val="0FCE6C96"/>
    <w:rsid w:val="0FE34343"/>
    <w:rsid w:val="0FF86012"/>
    <w:rsid w:val="10167D42"/>
    <w:rsid w:val="10253B92"/>
    <w:rsid w:val="105A2ADD"/>
    <w:rsid w:val="105B6F62"/>
    <w:rsid w:val="108E2EA4"/>
    <w:rsid w:val="10C613A6"/>
    <w:rsid w:val="10F1561E"/>
    <w:rsid w:val="111E4EA7"/>
    <w:rsid w:val="11267F50"/>
    <w:rsid w:val="11715093"/>
    <w:rsid w:val="11782B5D"/>
    <w:rsid w:val="118A38B5"/>
    <w:rsid w:val="122E4A94"/>
    <w:rsid w:val="125F61EF"/>
    <w:rsid w:val="12737A03"/>
    <w:rsid w:val="12837C22"/>
    <w:rsid w:val="12CF31F9"/>
    <w:rsid w:val="12EA195B"/>
    <w:rsid w:val="12F479DF"/>
    <w:rsid w:val="132E735B"/>
    <w:rsid w:val="1363320F"/>
    <w:rsid w:val="1387789C"/>
    <w:rsid w:val="13B74194"/>
    <w:rsid w:val="142F7DC3"/>
    <w:rsid w:val="14806388"/>
    <w:rsid w:val="14937361"/>
    <w:rsid w:val="149868E6"/>
    <w:rsid w:val="14FC5116"/>
    <w:rsid w:val="15033088"/>
    <w:rsid w:val="150647E6"/>
    <w:rsid w:val="15101A52"/>
    <w:rsid w:val="15125849"/>
    <w:rsid w:val="15B51A48"/>
    <w:rsid w:val="15BF2E22"/>
    <w:rsid w:val="15C23309"/>
    <w:rsid w:val="15C31A47"/>
    <w:rsid w:val="15F16D9A"/>
    <w:rsid w:val="15FE1378"/>
    <w:rsid w:val="15FE1EB4"/>
    <w:rsid w:val="16172661"/>
    <w:rsid w:val="16270A04"/>
    <w:rsid w:val="165069FC"/>
    <w:rsid w:val="16FE1604"/>
    <w:rsid w:val="17132E4B"/>
    <w:rsid w:val="173B43BC"/>
    <w:rsid w:val="178C691A"/>
    <w:rsid w:val="179453BC"/>
    <w:rsid w:val="17D4431F"/>
    <w:rsid w:val="18163378"/>
    <w:rsid w:val="183256DA"/>
    <w:rsid w:val="183B0D71"/>
    <w:rsid w:val="184968FC"/>
    <w:rsid w:val="184B75EE"/>
    <w:rsid w:val="185D1C5F"/>
    <w:rsid w:val="188C5585"/>
    <w:rsid w:val="18C27F65"/>
    <w:rsid w:val="18FA6BBD"/>
    <w:rsid w:val="191A3D61"/>
    <w:rsid w:val="192A2CC6"/>
    <w:rsid w:val="197B4977"/>
    <w:rsid w:val="19DA3B6D"/>
    <w:rsid w:val="19F04AD4"/>
    <w:rsid w:val="1A247E7E"/>
    <w:rsid w:val="1A2F6DF9"/>
    <w:rsid w:val="1A3168AB"/>
    <w:rsid w:val="1A4C05AB"/>
    <w:rsid w:val="1A4F0A64"/>
    <w:rsid w:val="1A747000"/>
    <w:rsid w:val="1AD70553"/>
    <w:rsid w:val="1AF22A1C"/>
    <w:rsid w:val="1AFD66F4"/>
    <w:rsid w:val="1B233A0E"/>
    <w:rsid w:val="1B657395"/>
    <w:rsid w:val="1B7C1123"/>
    <w:rsid w:val="1B8F7883"/>
    <w:rsid w:val="1B927AE6"/>
    <w:rsid w:val="1BC93515"/>
    <w:rsid w:val="1BDB7427"/>
    <w:rsid w:val="1C034BA9"/>
    <w:rsid w:val="1C1B3FE4"/>
    <w:rsid w:val="1C513BF0"/>
    <w:rsid w:val="1C8261A0"/>
    <w:rsid w:val="1CD6666F"/>
    <w:rsid w:val="1CF31038"/>
    <w:rsid w:val="1D0113C9"/>
    <w:rsid w:val="1D05782C"/>
    <w:rsid w:val="1D7757F1"/>
    <w:rsid w:val="1DB72E7F"/>
    <w:rsid w:val="1DDB74E0"/>
    <w:rsid w:val="1E2F61EF"/>
    <w:rsid w:val="1E3264F3"/>
    <w:rsid w:val="1E600A9D"/>
    <w:rsid w:val="1E750E13"/>
    <w:rsid w:val="1EB505E6"/>
    <w:rsid w:val="1EBD3B62"/>
    <w:rsid w:val="1EF431C2"/>
    <w:rsid w:val="1F02429F"/>
    <w:rsid w:val="1F133081"/>
    <w:rsid w:val="1F590291"/>
    <w:rsid w:val="200516E1"/>
    <w:rsid w:val="207E3421"/>
    <w:rsid w:val="208A175C"/>
    <w:rsid w:val="2090579A"/>
    <w:rsid w:val="20996330"/>
    <w:rsid w:val="20AF45AF"/>
    <w:rsid w:val="20CB1C87"/>
    <w:rsid w:val="211A719D"/>
    <w:rsid w:val="215846DF"/>
    <w:rsid w:val="21BD6DBB"/>
    <w:rsid w:val="22345BE0"/>
    <w:rsid w:val="22500F52"/>
    <w:rsid w:val="22521DD3"/>
    <w:rsid w:val="227B0690"/>
    <w:rsid w:val="228E5A58"/>
    <w:rsid w:val="22A35795"/>
    <w:rsid w:val="22A62B30"/>
    <w:rsid w:val="22ED3ED6"/>
    <w:rsid w:val="23464916"/>
    <w:rsid w:val="23496B54"/>
    <w:rsid w:val="23532FBD"/>
    <w:rsid w:val="237B661E"/>
    <w:rsid w:val="238B4E5F"/>
    <w:rsid w:val="23AF5F4E"/>
    <w:rsid w:val="23B1083B"/>
    <w:rsid w:val="23BF50C8"/>
    <w:rsid w:val="23CC07DA"/>
    <w:rsid w:val="23F24C55"/>
    <w:rsid w:val="241D1936"/>
    <w:rsid w:val="24525B6A"/>
    <w:rsid w:val="247C7073"/>
    <w:rsid w:val="249358FA"/>
    <w:rsid w:val="2496308D"/>
    <w:rsid w:val="24A9374C"/>
    <w:rsid w:val="258777C9"/>
    <w:rsid w:val="2589209A"/>
    <w:rsid w:val="25B40CD0"/>
    <w:rsid w:val="25CB1E8B"/>
    <w:rsid w:val="25D9170E"/>
    <w:rsid w:val="25E0040C"/>
    <w:rsid w:val="25F3676D"/>
    <w:rsid w:val="26035576"/>
    <w:rsid w:val="263C16E1"/>
    <w:rsid w:val="2665006F"/>
    <w:rsid w:val="26AA092A"/>
    <w:rsid w:val="26C65BC6"/>
    <w:rsid w:val="270778B3"/>
    <w:rsid w:val="27311B05"/>
    <w:rsid w:val="273A5487"/>
    <w:rsid w:val="274761A1"/>
    <w:rsid w:val="27937EDA"/>
    <w:rsid w:val="27CF60B0"/>
    <w:rsid w:val="27E234BC"/>
    <w:rsid w:val="28012C6B"/>
    <w:rsid w:val="280475E2"/>
    <w:rsid w:val="282C18E9"/>
    <w:rsid w:val="28566230"/>
    <w:rsid w:val="285B7C69"/>
    <w:rsid w:val="28B0150E"/>
    <w:rsid w:val="28D51D40"/>
    <w:rsid w:val="29043F70"/>
    <w:rsid w:val="293555E2"/>
    <w:rsid w:val="299A1AD2"/>
    <w:rsid w:val="29AC4DAC"/>
    <w:rsid w:val="29B80978"/>
    <w:rsid w:val="29CE07E6"/>
    <w:rsid w:val="29D17C38"/>
    <w:rsid w:val="29DA1C97"/>
    <w:rsid w:val="2A587284"/>
    <w:rsid w:val="2A7427E2"/>
    <w:rsid w:val="2A893557"/>
    <w:rsid w:val="2A8B1681"/>
    <w:rsid w:val="2A933574"/>
    <w:rsid w:val="2AAB2012"/>
    <w:rsid w:val="2AC0562D"/>
    <w:rsid w:val="2AC11AAE"/>
    <w:rsid w:val="2ADD2233"/>
    <w:rsid w:val="2AE84D10"/>
    <w:rsid w:val="2B2F6BD9"/>
    <w:rsid w:val="2B4658AA"/>
    <w:rsid w:val="2B4A75F4"/>
    <w:rsid w:val="2B8E1B57"/>
    <w:rsid w:val="2B8E71EA"/>
    <w:rsid w:val="2BA705F6"/>
    <w:rsid w:val="2BD2550B"/>
    <w:rsid w:val="2BD36FC0"/>
    <w:rsid w:val="2BE04E2E"/>
    <w:rsid w:val="2C0B2A13"/>
    <w:rsid w:val="2C1E74F2"/>
    <w:rsid w:val="2C201604"/>
    <w:rsid w:val="2C31119D"/>
    <w:rsid w:val="2C3328C4"/>
    <w:rsid w:val="2C5548F9"/>
    <w:rsid w:val="2CC66116"/>
    <w:rsid w:val="2D2B1461"/>
    <w:rsid w:val="2D3E42A5"/>
    <w:rsid w:val="2DA319DC"/>
    <w:rsid w:val="2DF06759"/>
    <w:rsid w:val="2E12514F"/>
    <w:rsid w:val="2E351771"/>
    <w:rsid w:val="2E370E54"/>
    <w:rsid w:val="2EAD2321"/>
    <w:rsid w:val="2EC9577C"/>
    <w:rsid w:val="2EDC494F"/>
    <w:rsid w:val="2EF7551C"/>
    <w:rsid w:val="2F1F4355"/>
    <w:rsid w:val="2F210D6D"/>
    <w:rsid w:val="2F7C2C25"/>
    <w:rsid w:val="2F8E0962"/>
    <w:rsid w:val="2FA30B14"/>
    <w:rsid w:val="2FBC4452"/>
    <w:rsid w:val="2FBD5AB0"/>
    <w:rsid w:val="2FFE7C5C"/>
    <w:rsid w:val="30071591"/>
    <w:rsid w:val="30213AD6"/>
    <w:rsid w:val="30243F4A"/>
    <w:rsid w:val="303240F6"/>
    <w:rsid w:val="30725A8E"/>
    <w:rsid w:val="30985912"/>
    <w:rsid w:val="30E60CDF"/>
    <w:rsid w:val="31183D8E"/>
    <w:rsid w:val="312B136C"/>
    <w:rsid w:val="31506AAB"/>
    <w:rsid w:val="3165141F"/>
    <w:rsid w:val="31771119"/>
    <w:rsid w:val="31934494"/>
    <w:rsid w:val="319D55BA"/>
    <w:rsid w:val="31CE1FAB"/>
    <w:rsid w:val="31F21635"/>
    <w:rsid w:val="31F46862"/>
    <w:rsid w:val="321859D2"/>
    <w:rsid w:val="322E5C7B"/>
    <w:rsid w:val="323D28AC"/>
    <w:rsid w:val="32492609"/>
    <w:rsid w:val="328F6057"/>
    <w:rsid w:val="32A75EF3"/>
    <w:rsid w:val="32A92310"/>
    <w:rsid w:val="32AE7831"/>
    <w:rsid w:val="33413E8A"/>
    <w:rsid w:val="335E264F"/>
    <w:rsid w:val="337530C8"/>
    <w:rsid w:val="338059AD"/>
    <w:rsid w:val="33EA7F3E"/>
    <w:rsid w:val="33F1490B"/>
    <w:rsid w:val="340F4394"/>
    <w:rsid w:val="345B10E7"/>
    <w:rsid w:val="346720B7"/>
    <w:rsid w:val="347C5E46"/>
    <w:rsid w:val="34DA13EF"/>
    <w:rsid w:val="352C0C5B"/>
    <w:rsid w:val="35490544"/>
    <w:rsid w:val="355665E1"/>
    <w:rsid w:val="3595504A"/>
    <w:rsid w:val="35B058C7"/>
    <w:rsid w:val="35DC46C2"/>
    <w:rsid w:val="35DE34F2"/>
    <w:rsid w:val="35F871FB"/>
    <w:rsid w:val="35FC498E"/>
    <w:rsid w:val="36417C8D"/>
    <w:rsid w:val="366436B8"/>
    <w:rsid w:val="36886515"/>
    <w:rsid w:val="368A2F91"/>
    <w:rsid w:val="368B1D4A"/>
    <w:rsid w:val="369F3C73"/>
    <w:rsid w:val="36AA3A8A"/>
    <w:rsid w:val="36AC3A23"/>
    <w:rsid w:val="36E954BF"/>
    <w:rsid w:val="36FA78CD"/>
    <w:rsid w:val="37417CA5"/>
    <w:rsid w:val="3768338E"/>
    <w:rsid w:val="37945B49"/>
    <w:rsid w:val="379D3B99"/>
    <w:rsid w:val="37ED7F2D"/>
    <w:rsid w:val="381C0BFA"/>
    <w:rsid w:val="38227768"/>
    <w:rsid w:val="387939C8"/>
    <w:rsid w:val="38814998"/>
    <w:rsid w:val="38A94FE7"/>
    <w:rsid w:val="38BA64A1"/>
    <w:rsid w:val="38F04E1B"/>
    <w:rsid w:val="39057ED7"/>
    <w:rsid w:val="39137A71"/>
    <w:rsid w:val="39306C04"/>
    <w:rsid w:val="3955569C"/>
    <w:rsid w:val="39657C8F"/>
    <w:rsid w:val="3969383E"/>
    <w:rsid w:val="39882841"/>
    <w:rsid w:val="39ED2847"/>
    <w:rsid w:val="3A4967DD"/>
    <w:rsid w:val="3A500A72"/>
    <w:rsid w:val="3A5116BA"/>
    <w:rsid w:val="3A5B7748"/>
    <w:rsid w:val="3A87079F"/>
    <w:rsid w:val="3A8C3BAF"/>
    <w:rsid w:val="3ABA691E"/>
    <w:rsid w:val="3AD63889"/>
    <w:rsid w:val="3ADE5E05"/>
    <w:rsid w:val="3B053E48"/>
    <w:rsid w:val="3B106478"/>
    <w:rsid w:val="3B293E28"/>
    <w:rsid w:val="3B2F7891"/>
    <w:rsid w:val="3B573FA4"/>
    <w:rsid w:val="3BD4036B"/>
    <w:rsid w:val="3C1D4BEF"/>
    <w:rsid w:val="3C1E5B01"/>
    <w:rsid w:val="3C211860"/>
    <w:rsid w:val="3C333506"/>
    <w:rsid w:val="3C656913"/>
    <w:rsid w:val="3C94066E"/>
    <w:rsid w:val="3CFE624A"/>
    <w:rsid w:val="3D1251D3"/>
    <w:rsid w:val="3D173430"/>
    <w:rsid w:val="3D470E27"/>
    <w:rsid w:val="3D475A63"/>
    <w:rsid w:val="3D6D3B73"/>
    <w:rsid w:val="3DB71B39"/>
    <w:rsid w:val="3E032F87"/>
    <w:rsid w:val="3E287885"/>
    <w:rsid w:val="3E447FF5"/>
    <w:rsid w:val="3E536639"/>
    <w:rsid w:val="3E565DBA"/>
    <w:rsid w:val="3EEE28F9"/>
    <w:rsid w:val="3F1539A0"/>
    <w:rsid w:val="3F1E4982"/>
    <w:rsid w:val="3F516B77"/>
    <w:rsid w:val="3F756AB3"/>
    <w:rsid w:val="3FE93D8F"/>
    <w:rsid w:val="3FEE6A4A"/>
    <w:rsid w:val="401F30A7"/>
    <w:rsid w:val="40303FE1"/>
    <w:rsid w:val="40457BFD"/>
    <w:rsid w:val="40705383"/>
    <w:rsid w:val="40831E81"/>
    <w:rsid w:val="40891F67"/>
    <w:rsid w:val="408C76E2"/>
    <w:rsid w:val="409057BD"/>
    <w:rsid w:val="41186225"/>
    <w:rsid w:val="414E2379"/>
    <w:rsid w:val="416F5968"/>
    <w:rsid w:val="417A6877"/>
    <w:rsid w:val="418324AC"/>
    <w:rsid w:val="41A04200"/>
    <w:rsid w:val="41A32F85"/>
    <w:rsid w:val="420F20F6"/>
    <w:rsid w:val="42203971"/>
    <w:rsid w:val="42257F84"/>
    <w:rsid w:val="422D3D55"/>
    <w:rsid w:val="42680DF6"/>
    <w:rsid w:val="42757300"/>
    <w:rsid w:val="428E4E02"/>
    <w:rsid w:val="42AB04B4"/>
    <w:rsid w:val="42BF0693"/>
    <w:rsid w:val="42D46CD2"/>
    <w:rsid w:val="42DA60A9"/>
    <w:rsid w:val="42DC0DDB"/>
    <w:rsid w:val="43396FCF"/>
    <w:rsid w:val="43434628"/>
    <w:rsid w:val="43482915"/>
    <w:rsid w:val="4351032C"/>
    <w:rsid w:val="4355293C"/>
    <w:rsid w:val="439439C5"/>
    <w:rsid w:val="4395062C"/>
    <w:rsid w:val="439E7A84"/>
    <w:rsid w:val="43CE62FE"/>
    <w:rsid w:val="43D46D19"/>
    <w:rsid w:val="44026924"/>
    <w:rsid w:val="44236751"/>
    <w:rsid w:val="448C78B8"/>
    <w:rsid w:val="44B2410D"/>
    <w:rsid w:val="44CB1108"/>
    <w:rsid w:val="44E4129A"/>
    <w:rsid w:val="453F611C"/>
    <w:rsid w:val="454D6E39"/>
    <w:rsid w:val="45C94E39"/>
    <w:rsid w:val="45CD5D18"/>
    <w:rsid w:val="45D568DB"/>
    <w:rsid w:val="45E64357"/>
    <w:rsid w:val="46051FED"/>
    <w:rsid w:val="46320679"/>
    <w:rsid w:val="46495A0E"/>
    <w:rsid w:val="464B079B"/>
    <w:rsid w:val="468077A8"/>
    <w:rsid w:val="468E6ECD"/>
    <w:rsid w:val="46AB53AC"/>
    <w:rsid w:val="46EA56DB"/>
    <w:rsid w:val="46FF03D4"/>
    <w:rsid w:val="47010586"/>
    <w:rsid w:val="470A5C85"/>
    <w:rsid w:val="473621E0"/>
    <w:rsid w:val="476C6251"/>
    <w:rsid w:val="479C322F"/>
    <w:rsid w:val="47A06F4B"/>
    <w:rsid w:val="47A8704F"/>
    <w:rsid w:val="47A978DA"/>
    <w:rsid w:val="47C12864"/>
    <w:rsid w:val="48037F6C"/>
    <w:rsid w:val="480C6C1B"/>
    <w:rsid w:val="48295411"/>
    <w:rsid w:val="48B268BC"/>
    <w:rsid w:val="48DF13FB"/>
    <w:rsid w:val="48F83E27"/>
    <w:rsid w:val="493B7D23"/>
    <w:rsid w:val="49545F4C"/>
    <w:rsid w:val="497038CD"/>
    <w:rsid w:val="497205C6"/>
    <w:rsid w:val="49730A66"/>
    <w:rsid w:val="499A66C3"/>
    <w:rsid w:val="49AC538B"/>
    <w:rsid w:val="4A2609F3"/>
    <w:rsid w:val="4A532137"/>
    <w:rsid w:val="4A784075"/>
    <w:rsid w:val="4A9E208F"/>
    <w:rsid w:val="4AEC33B6"/>
    <w:rsid w:val="4B2451E8"/>
    <w:rsid w:val="4B3D4012"/>
    <w:rsid w:val="4B4A24A6"/>
    <w:rsid w:val="4B6D039E"/>
    <w:rsid w:val="4B945212"/>
    <w:rsid w:val="4B9666FA"/>
    <w:rsid w:val="4BC2454D"/>
    <w:rsid w:val="4BC442C6"/>
    <w:rsid w:val="4BF27690"/>
    <w:rsid w:val="4C204881"/>
    <w:rsid w:val="4C775DE6"/>
    <w:rsid w:val="4C82133E"/>
    <w:rsid w:val="4CA3109F"/>
    <w:rsid w:val="4CE95EFF"/>
    <w:rsid w:val="4CF91653"/>
    <w:rsid w:val="4D13604C"/>
    <w:rsid w:val="4D845D59"/>
    <w:rsid w:val="4DA80E22"/>
    <w:rsid w:val="4DB81F38"/>
    <w:rsid w:val="4DD15AB5"/>
    <w:rsid w:val="4DE92DD7"/>
    <w:rsid w:val="4DFE7BC4"/>
    <w:rsid w:val="4E0062C6"/>
    <w:rsid w:val="4E0D5475"/>
    <w:rsid w:val="4E6B6CEB"/>
    <w:rsid w:val="4EAD5D22"/>
    <w:rsid w:val="4F7714C8"/>
    <w:rsid w:val="4F7B6890"/>
    <w:rsid w:val="4F8D5360"/>
    <w:rsid w:val="4FA265C1"/>
    <w:rsid w:val="4FAF2ACB"/>
    <w:rsid w:val="4FB17D65"/>
    <w:rsid w:val="4FB216F8"/>
    <w:rsid w:val="4FF14958"/>
    <w:rsid w:val="503B5A8A"/>
    <w:rsid w:val="505852F6"/>
    <w:rsid w:val="507E72C1"/>
    <w:rsid w:val="508235A6"/>
    <w:rsid w:val="50BB3ACD"/>
    <w:rsid w:val="50DE33C7"/>
    <w:rsid w:val="51264CC2"/>
    <w:rsid w:val="512F6EC2"/>
    <w:rsid w:val="513242BC"/>
    <w:rsid w:val="513403C7"/>
    <w:rsid w:val="518B38CB"/>
    <w:rsid w:val="518B4FD1"/>
    <w:rsid w:val="51E145FD"/>
    <w:rsid w:val="51E51CC3"/>
    <w:rsid w:val="522775F4"/>
    <w:rsid w:val="52350240"/>
    <w:rsid w:val="52670AC3"/>
    <w:rsid w:val="529A77A5"/>
    <w:rsid w:val="53396CC8"/>
    <w:rsid w:val="53523F58"/>
    <w:rsid w:val="536C4A8A"/>
    <w:rsid w:val="53ED6794"/>
    <w:rsid w:val="542657F3"/>
    <w:rsid w:val="542A50A2"/>
    <w:rsid w:val="542D5399"/>
    <w:rsid w:val="543E14AB"/>
    <w:rsid w:val="54DD2BD3"/>
    <w:rsid w:val="553E317D"/>
    <w:rsid w:val="554D2C1E"/>
    <w:rsid w:val="556D7264"/>
    <w:rsid w:val="559230BD"/>
    <w:rsid w:val="55E907A3"/>
    <w:rsid w:val="55E92CB5"/>
    <w:rsid w:val="56325307"/>
    <w:rsid w:val="5659474A"/>
    <w:rsid w:val="56732B47"/>
    <w:rsid w:val="570F5D54"/>
    <w:rsid w:val="5733660F"/>
    <w:rsid w:val="573834F1"/>
    <w:rsid w:val="57463334"/>
    <w:rsid w:val="574B6739"/>
    <w:rsid w:val="574D21DE"/>
    <w:rsid w:val="575A4891"/>
    <w:rsid w:val="578B6597"/>
    <w:rsid w:val="57942C39"/>
    <w:rsid w:val="57A13BBC"/>
    <w:rsid w:val="57C82901"/>
    <w:rsid w:val="57EB2081"/>
    <w:rsid w:val="583F04BE"/>
    <w:rsid w:val="5845276D"/>
    <w:rsid w:val="58BD4EAA"/>
    <w:rsid w:val="58C534B8"/>
    <w:rsid w:val="58DA20C8"/>
    <w:rsid w:val="58FE6BB9"/>
    <w:rsid w:val="592521E5"/>
    <w:rsid w:val="592E0C31"/>
    <w:rsid w:val="5930567C"/>
    <w:rsid w:val="593259F3"/>
    <w:rsid w:val="594531C0"/>
    <w:rsid w:val="59B64E5B"/>
    <w:rsid w:val="59C41AA5"/>
    <w:rsid w:val="59EB4793"/>
    <w:rsid w:val="5A196198"/>
    <w:rsid w:val="5A36290A"/>
    <w:rsid w:val="5AC454CC"/>
    <w:rsid w:val="5B004781"/>
    <w:rsid w:val="5B416702"/>
    <w:rsid w:val="5B510FBA"/>
    <w:rsid w:val="5B5E370D"/>
    <w:rsid w:val="5B713427"/>
    <w:rsid w:val="5B8152A6"/>
    <w:rsid w:val="5B964C3B"/>
    <w:rsid w:val="5BF847A4"/>
    <w:rsid w:val="5C1F20CC"/>
    <w:rsid w:val="5C4F430C"/>
    <w:rsid w:val="5C514191"/>
    <w:rsid w:val="5C8B0489"/>
    <w:rsid w:val="5D3038FF"/>
    <w:rsid w:val="5D9B5BF8"/>
    <w:rsid w:val="5DCB432F"/>
    <w:rsid w:val="5DD6127D"/>
    <w:rsid w:val="5DD956B5"/>
    <w:rsid w:val="5DE04163"/>
    <w:rsid w:val="5DEC7C19"/>
    <w:rsid w:val="5DFC0EB0"/>
    <w:rsid w:val="5E086E60"/>
    <w:rsid w:val="5E5B4B1E"/>
    <w:rsid w:val="5E806603"/>
    <w:rsid w:val="5EDC2437"/>
    <w:rsid w:val="5F042824"/>
    <w:rsid w:val="5F0D17C2"/>
    <w:rsid w:val="5F3C0936"/>
    <w:rsid w:val="5F5A2BA2"/>
    <w:rsid w:val="5F683B20"/>
    <w:rsid w:val="5F6A1B70"/>
    <w:rsid w:val="5F715923"/>
    <w:rsid w:val="5F74528F"/>
    <w:rsid w:val="5F7455D6"/>
    <w:rsid w:val="5F905960"/>
    <w:rsid w:val="5FAD0C82"/>
    <w:rsid w:val="600E16AB"/>
    <w:rsid w:val="603C6B90"/>
    <w:rsid w:val="608B4D11"/>
    <w:rsid w:val="60B146AA"/>
    <w:rsid w:val="60E930B4"/>
    <w:rsid w:val="61034DA8"/>
    <w:rsid w:val="612D5C44"/>
    <w:rsid w:val="61391E0A"/>
    <w:rsid w:val="61667B17"/>
    <w:rsid w:val="61716ECA"/>
    <w:rsid w:val="61A00D6C"/>
    <w:rsid w:val="61EC3C39"/>
    <w:rsid w:val="62093EA3"/>
    <w:rsid w:val="620B0745"/>
    <w:rsid w:val="6214098F"/>
    <w:rsid w:val="6229181C"/>
    <w:rsid w:val="62293292"/>
    <w:rsid w:val="624E0DE1"/>
    <w:rsid w:val="625B2CD4"/>
    <w:rsid w:val="62772330"/>
    <w:rsid w:val="629851A9"/>
    <w:rsid w:val="62B657FF"/>
    <w:rsid w:val="62C03657"/>
    <w:rsid w:val="62F96812"/>
    <w:rsid w:val="63412459"/>
    <w:rsid w:val="634B6B7B"/>
    <w:rsid w:val="635348B6"/>
    <w:rsid w:val="63733E6F"/>
    <w:rsid w:val="63E76134"/>
    <w:rsid w:val="64383FFB"/>
    <w:rsid w:val="6457654C"/>
    <w:rsid w:val="64834708"/>
    <w:rsid w:val="64AC0A38"/>
    <w:rsid w:val="64D43A06"/>
    <w:rsid w:val="64D45316"/>
    <w:rsid w:val="651A5C4B"/>
    <w:rsid w:val="653116C9"/>
    <w:rsid w:val="653A164C"/>
    <w:rsid w:val="65B31BCC"/>
    <w:rsid w:val="65B87A10"/>
    <w:rsid w:val="65D35C16"/>
    <w:rsid w:val="6606215B"/>
    <w:rsid w:val="663337E4"/>
    <w:rsid w:val="66374A14"/>
    <w:rsid w:val="666879C6"/>
    <w:rsid w:val="66EA1E3B"/>
    <w:rsid w:val="670230DF"/>
    <w:rsid w:val="671B3499"/>
    <w:rsid w:val="671F48AF"/>
    <w:rsid w:val="6774663E"/>
    <w:rsid w:val="67956067"/>
    <w:rsid w:val="67B71CB2"/>
    <w:rsid w:val="68031777"/>
    <w:rsid w:val="68353249"/>
    <w:rsid w:val="684A06CB"/>
    <w:rsid w:val="685272E2"/>
    <w:rsid w:val="68675050"/>
    <w:rsid w:val="6876522E"/>
    <w:rsid w:val="68767A40"/>
    <w:rsid w:val="68B03C37"/>
    <w:rsid w:val="68C11D22"/>
    <w:rsid w:val="68D575AA"/>
    <w:rsid w:val="68EB7C0C"/>
    <w:rsid w:val="68F0116E"/>
    <w:rsid w:val="68F73295"/>
    <w:rsid w:val="69085BD7"/>
    <w:rsid w:val="69154FCB"/>
    <w:rsid w:val="69680059"/>
    <w:rsid w:val="699879F8"/>
    <w:rsid w:val="69B456CB"/>
    <w:rsid w:val="69B92963"/>
    <w:rsid w:val="6A052704"/>
    <w:rsid w:val="6A544FCD"/>
    <w:rsid w:val="6AC26EA2"/>
    <w:rsid w:val="6AC44695"/>
    <w:rsid w:val="6B477EF6"/>
    <w:rsid w:val="6B513865"/>
    <w:rsid w:val="6B9A256C"/>
    <w:rsid w:val="6BA373FF"/>
    <w:rsid w:val="6BEB1E5F"/>
    <w:rsid w:val="6BFC109F"/>
    <w:rsid w:val="6C17574D"/>
    <w:rsid w:val="6C4957FC"/>
    <w:rsid w:val="6C53730E"/>
    <w:rsid w:val="6C5534FB"/>
    <w:rsid w:val="6C61176F"/>
    <w:rsid w:val="6C666306"/>
    <w:rsid w:val="6CCD3B26"/>
    <w:rsid w:val="6D16024D"/>
    <w:rsid w:val="6D365754"/>
    <w:rsid w:val="6D387925"/>
    <w:rsid w:val="6D3E0CE6"/>
    <w:rsid w:val="6D6654AD"/>
    <w:rsid w:val="6D6E3F95"/>
    <w:rsid w:val="6DB151E2"/>
    <w:rsid w:val="6DBF39F3"/>
    <w:rsid w:val="6DC0644E"/>
    <w:rsid w:val="6E137528"/>
    <w:rsid w:val="6E185854"/>
    <w:rsid w:val="6E80463B"/>
    <w:rsid w:val="6E895A0C"/>
    <w:rsid w:val="6EC56FAA"/>
    <w:rsid w:val="6F22793F"/>
    <w:rsid w:val="6F3D6F83"/>
    <w:rsid w:val="6F457884"/>
    <w:rsid w:val="6F570F4E"/>
    <w:rsid w:val="6F7C1012"/>
    <w:rsid w:val="6F883155"/>
    <w:rsid w:val="6F8C7070"/>
    <w:rsid w:val="6FA2085B"/>
    <w:rsid w:val="6FE70842"/>
    <w:rsid w:val="6FEA4E60"/>
    <w:rsid w:val="6FF53E70"/>
    <w:rsid w:val="700713B2"/>
    <w:rsid w:val="701A2DBF"/>
    <w:rsid w:val="703D260A"/>
    <w:rsid w:val="70642ED3"/>
    <w:rsid w:val="70763652"/>
    <w:rsid w:val="70A15996"/>
    <w:rsid w:val="70A2792D"/>
    <w:rsid w:val="70F43E95"/>
    <w:rsid w:val="713779A1"/>
    <w:rsid w:val="715168D7"/>
    <w:rsid w:val="71806AFE"/>
    <w:rsid w:val="71FE5EAA"/>
    <w:rsid w:val="720C6BF9"/>
    <w:rsid w:val="724E26A6"/>
    <w:rsid w:val="72612BC7"/>
    <w:rsid w:val="7299264D"/>
    <w:rsid w:val="72BA2638"/>
    <w:rsid w:val="72E24278"/>
    <w:rsid w:val="72F247EE"/>
    <w:rsid w:val="73046E24"/>
    <w:rsid w:val="73117CBC"/>
    <w:rsid w:val="731D3DC6"/>
    <w:rsid w:val="73202BD3"/>
    <w:rsid w:val="73785811"/>
    <w:rsid w:val="73843B37"/>
    <w:rsid w:val="73AA2AB8"/>
    <w:rsid w:val="73D8014A"/>
    <w:rsid w:val="73F076FD"/>
    <w:rsid w:val="7448595E"/>
    <w:rsid w:val="74490D87"/>
    <w:rsid w:val="746E1E39"/>
    <w:rsid w:val="74A25915"/>
    <w:rsid w:val="74B1011E"/>
    <w:rsid w:val="74D0444D"/>
    <w:rsid w:val="750000AA"/>
    <w:rsid w:val="750A7ABF"/>
    <w:rsid w:val="75420196"/>
    <w:rsid w:val="754931B4"/>
    <w:rsid w:val="75706FDE"/>
    <w:rsid w:val="759077E6"/>
    <w:rsid w:val="75940C8C"/>
    <w:rsid w:val="75BB2BFD"/>
    <w:rsid w:val="75C624A0"/>
    <w:rsid w:val="75C940ED"/>
    <w:rsid w:val="75CE763E"/>
    <w:rsid w:val="765748C8"/>
    <w:rsid w:val="76AC7129"/>
    <w:rsid w:val="76D15FF3"/>
    <w:rsid w:val="773C2D8E"/>
    <w:rsid w:val="77550A67"/>
    <w:rsid w:val="77B83BB6"/>
    <w:rsid w:val="77BA2D12"/>
    <w:rsid w:val="7856695F"/>
    <w:rsid w:val="7866427B"/>
    <w:rsid w:val="78E84852"/>
    <w:rsid w:val="78F732D8"/>
    <w:rsid w:val="790F1791"/>
    <w:rsid w:val="791F3849"/>
    <w:rsid w:val="79701BCE"/>
    <w:rsid w:val="797350BA"/>
    <w:rsid w:val="79775EC9"/>
    <w:rsid w:val="79D00415"/>
    <w:rsid w:val="79EE2754"/>
    <w:rsid w:val="7A1A7F37"/>
    <w:rsid w:val="7A1C7B11"/>
    <w:rsid w:val="7A37206F"/>
    <w:rsid w:val="7A6466F3"/>
    <w:rsid w:val="7A741385"/>
    <w:rsid w:val="7A774A92"/>
    <w:rsid w:val="7A7E5483"/>
    <w:rsid w:val="7AAF231C"/>
    <w:rsid w:val="7ABD1167"/>
    <w:rsid w:val="7AC84743"/>
    <w:rsid w:val="7AEC20F3"/>
    <w:rsid w:val="7B2F1AD6"/>
    <w:rsid w:val="7B7027FC"/>
    <w:rsid w:val="7B740622"/>
    <w:rsid w:val="7B7848C7"/>
    <w:rsid w:val="7B8D786E"/>
    <w:rsid w:val="7B994BC5"/>
    <w:rsid w:val="7BA850D6"/>
    <w:rsid w:val="7BDC7402"/>
    <w:rsid w:val="7BE145C1"/>
    <w:rsid w:val="7C124642"/>
    <w:rsid w:val="7C152DD9"/>
    <w:rsid w:val="7C520931"/>
    <w:rsid w:val="7CD535CF"/>
    <w:rsid w:val="7D3032A4"/>
    <w:rsid w:val="7D34076E"/>
    <w:rsid w:val="7D350A55"/>
    <w:rsid w:val="7D4C75A5"/>
    <w:rsid w:val="7D4D1625"/>
    <w:rsid w:val="7D53381A"/>
    <w:rsid w:val="7D624404"/>
    <w:rsid w:val="7DD1184B"/>
    <w:rsid w:val="7DF25444"/>
    <w:rsid w:val="7DF27933"/>
    <w:rsid w:val="7E1A21B9"/>
    <w:rsid w:val="7E267F07"/>
    <w:rsid w:val="7E2C708B"/>
    <w:rsid w:val="7E4507BC"/>
    <w:rsid w:val="7E6B4778"/>
    <w:rsid w:val="7E9B2B28"/>
    <w:rsid w:val="7EB910BD"/>
    <w:rsid w:val="7EC126C1"/>
    <w:rsid w:val="7FA15EE9"/>
    <w:rsid w:val="7FFD465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1"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qFormat="1"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qFormat="1" w:uiPriority="0" w:semiHidden="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after="330" w:afterLines="0" w:line="578" w:lineRule="atLeast"/>
      <w:outlineLvl w:val="0"/>
    </w:pPr>
    <w:rPr>
      <w:b/>
      <w:bCs/>
      <w:kern w:val="44"/>
      <w:sz w:val="44"/>
      <w:szCs w:val="44"/>
    </w:rPr>
  </w:style>
  <w:style w:type="paragraph" w:styleId="3">
    <w:name w:val="heading 2"/>
    <w:basedOn w:val="1"/>
    <w:next w:val="1"/>
    <w:unhideWhenUsed/>
    <w:qFormat/>
    <w:uiPriority w:val="0"/>
    <w:pPr>
      <w:spacing w:line="360" w:lineRule="auto"/>
      <w:jc w:val="left"/>
      <w:outlineLvl w:val="1"/>
    </w:pPr>
    <w:rPr>
      <w:rFonts w:ascii="Times New Roman" w:hAnsi="Times New Roman" w:eastAsia="宋体" w:cs="Times New Roman"/>
      <w:color w:val="000000" w:themeColor="text1"/>
      <w:sz w:val="24"/>
      <w:szCs w:val="24"/>
    </w:rPr>
  </w:style>
  <w:style w:type="character" w:default="1" w:styleId="8">
    <w:name w:val="Default Paragraph Font"/>
    <w:unhideWhenUsed/>
    <w:qFormat/>
    <w:uiPriority w:val="1"/>
  </w:style>
  <w:style w:type="table" w:default="1" w:styleId="14">
    <w:name w:val="Normal Table"/>
    <w:unhideWhenUsed/>
    <w:qFormat/>
    <w:uiPriority w:val="99"/>
    <w:tblPr>
      <w:tblLayout w:type="fixed"/>
      <w:tblCellMar>
        <w:top w:w="0" w:type="dxa"/>
        <w:left w:w="108" w:type="dxa"/>
        <w:bottom w:w="0" w:type="dxa"/>
        <w:right w:w="108" w:type="dxa"/>
      </w:tblCellMar>
    </w:tblPr>
  </w:style>
  <w:style w:type="paragraph" w:styleId="4">
    <w:name w:val="Normal Indent"/>
    <w:basedOn w:val="1"/>
    <w:qFormat/>
    <w:uiPriority w:val="0"/>
    <w:pPr>
      <w:adjustRightInd w:val="0"/>
      <w:spacing w:line="360" w:lineRule="atLeast"/>
      <w:ind w:firstLine="420"/>
      <w:textAlignment w:val="baseline"/>
    </w:pPr>
    <w:rPr>
      <w:rFonts w:asciiTheme="minorHAnsi" w:hAnsiTheme="minorHAnsi" w:eastAsiaTheme="minorEastAsia" w:cstheme="minorBidi"/>
    </w:rPr>
  </w:style>
  <w:style w:type="paragraph" w:styleId="5">
    <w:name w:val="Body Text"/>
    <w:basedOn w:val="1"/>
    <w:qFormat/>
    <w:uiPriority w:val="1"/>
    <w:rPr>
      <w:sz w:val="24"/>
    </w:rPr>
  </w:style>
  <w:style w:type="paragraph" w:styleId="6">
    <w:name w:val="footer"/>
    <w:basedOn w:val="1"/>
    <w:qFormat/>
    <w:uiPriority w:val="99"/>
    <w:pPr>
      <w:tabs>
        <w:tab w:val="center" w:pos="4153"/>
        <w:tab w:val="right" w:pos="8306"/>
      </w:tabs>
      <w:snapToGrid w:val="0"/>
      <w:jc w:val="left"/>
    </w:pPr>
    <w:rPr>
      <w:kern w:val="0"/>
      <w:sz w:val="18"/>
      <w:szCs w:val="18"/>
    </w:rPr>
  </w:style>
  <w:style w:type="paragraph" w:styleId="7">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character" w:styleId="9">
    <w:name w:val="Strong"/>
    <w:basedOn w:val="8"/>
    <w:qFormat/>
    <w:uiPriority w:val="0"/>
    <w:rPr>
      <w:b/>
    </w:rPr>
  </w:style>
  <w:style w:type="character" w:styleId="10">
    <w:name w:val="page number"/>
    <w:basedOn w:val="8"/>
    <w:unhideWhenUsed/>
    <w:qFormat/>
    <w:uiPriority w:val="0"/>
  </w:style>
  <w:style w:type="character" w:styleId="11">
    <w:name w:val="FollowedHyperlink"/>
    <w:basedOn w:val="8"/>
    <w:unhideWhenUsed/>
    <w:qFormat/>
    <w:uiPriority w:val="0"/>
    <w:rPr>
      <w:color w:val="0091F2"/>
      <w:sz w:val="18"/>
      <w:szCs w:val="18"/>
      <w:u w:val="none"/>
    </w:rPr>
  </w:style>
  <w:style w:type="character" w:styleId="12">
    <w:name w:val="Hyperlink"/>
    <w:basedOn w:val="8"/>
    <w:unhideWhenUsed/>
    <w:qFormat/>
    <w:uiPriority w:val="0"/>
    <w:rPr>
      <w:color w:val="0091F2"/>
      <w:sz w:val="18"/>
      <w:szCs w:val="18"/>
      <w:u w:val="none"/>
    </w:rPr>
  </w:style>
  <w:style w:type="character" w:styleId="13">
    <w:name w:val="HTML Code"/>
    <w:basedOn w:val="8"/>
    <w:unhideWhenUsed/>
    <w:qFormat/>
    <w:uiPriority w:val="0"/>
    <w:rPr>
      <w:rFonts w:ascii="Courier New" w:hAnsi="Courier New"/>
      <w:sz w:val="20"/>
    </w:rPr>
  </w:style>
  <w:style w:type="table" w:styleId="15">
    <w:name w:val="Table Grid"/>
    <w:basedOn w:val="1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6">
    <w:name w:val="列表段落1"/>
    <w:basedOn w:val="1"/>
    <w:qFormat/>
    <w:uiPriority w:val="34"/>
    <w:pPr>
      <w:spacing w:before="206"/>
      <w:ind w:left="959" w:hanging="361"/>
    </w:pPr>
  </w:style>
  <w:style w:type="character" w:customStyle="1" w:styleId="17">
    <w:name w:val="cd_message"/>
    <w:basedOn w:val="8"/>
    <w:qFormat/>
    <w:uiPriority w:val="0"/>
  </w:style>
  <w:style w:type="paragraph" w:customStyle="1" w:styleId="18">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customStyle="1" w:styleId="19">
    <w:name w:val="列出段落1"/>
    <w:basedOn w:val="1"/>
    <w:qFormat/>
    <w:uiPriority w:val="99"/>
    <w:pPr>
      <w:ind w:firstLine="420" w:firstLineChars="200"/>
    </w:pPr>
  </w:style>
  <w:style w:type="character" w:customStyle="1" w:styleId="20">
    <w:name w:val="页眉 Char"/>
    <w:basedOn w:val="8"/>
    <w:link w:val="7"/>
    <w:qFormat/>
    <w:uiPriority w:val="0"/>
    <w:rPr>
      <w:kern w:val="2"/>
      <w:sz w:val="18"/>
      <w:szCs w:val="18"/>
    </w:rPr>
  </w:style>
  <w:style w:type="character" w:customStyle="1" w:styleId="21">
    <w:name w:val="common_over_page_btn1"/>
    <w:basedOn w:val="8"/>
    <w:qFormat/>
    <w:uiPriority w:val="0"/>
  </w:style>
  <w:style w:type="character" w:customStyle="1" w:styleId="22">
    <w:name w:val="common_over_page_btn2"/>
    <w:basedOn w:val="8"/>
    <w:qFormat/>
    <w:uiPriority w:val="0"/>
    <w:rPr>
      <w:color w:val="999999"/>
      <w:bdr w:val="single" w:color="D4D4D4" w:sz="6" w:space="0"/>
      <w:shd w:val="clear" w:color="auto" w:fill="FFFFFF"/>
    </w:rPr>
  </w:style>
  <w:style w:type="paragraph" w:customStyle="1" w:styleId="23">
    <w:name w:val="Table Paragraph"/>
    <w:basedOn w:val="1"/>
    <w:qFormat/>
    <w:uiPriority w:val="1"/>
  </w:style>
  <w:style w:type="paragraph" w:customStyle="1" w:styleId="24">
    <w:name w:val="List Paragraph"/>
    <w:basedOn w:val="1"/>
    <w:qFormat/>
    <w:uiPriority w:val="34"/>
    <w:pPr>
      <w:ind w:firstLine="420" w:firstLineChars="200"/>
    </w:pPr>
  </w:style>
  <w:style w:type="paragraph" w:customStyle="1" w:styleId="25">
    <w:name w:val="Default"/>
    <w:qFormat/>
    <w:uiPriority w:val="99"/>
    <w:pPr>
      <w:widowControl w:val="0"/>
      <w:autoSpaceDE w:val="0"/>
      <w:autoSpaceDN w:val="0"/>
      <w:adjustRightInd w:val="0"/>
    </w:pPr>
    <w:rPr>
      <w:rFonts w:ascii="华文中宋" w:hAnsi="Times New Roman" w:eastAsia="华文中宋" w:cs="华文中宋"/>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E6F0DA7-DBAF-4DF7-9DCC-B26F71392608}">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11</Pages>
  <Words>4636</Words>
  <Characters>5005</Characters>
  <Lines>36</Lines>
  <Paragraphs>10</Paragraphs>
  <TotalTime>3</TotalTime>
  <ScaleCrop>false</ScaleCrop>
  <LinksUpToDate>false</LinksUpToDate>
  <CharactersWithSpaces>5171</CharactersWithSpaces>
  <Application>WPS Office_10.8.0.6432_F1E327BC-269C-435d-A152-05C5408002CA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lucy</dc:creator>
  <cp:lastModifiedBy>cylu</cp:lastModifiedBy>
  <dcterms:modified xsi:type="dcterms:W3CDTF">2023-05-15T06:38:52Z</dcterms:modified>
  <cp:revision>96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2052-10.8.0.6432</vt:lpwstr>
  </property>
  <property fmtid="{D5CDD505-2E9C-101B-9397-08002B2CF9AE}" pid="3" name="ICV">
    <vt:lpwstr>0CCB45109742491C9608F5CFE7FDA0D2</vt:lpwstr>
  </property>
</Properties>
</file>