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2023年仪表团队50个防爆操作柱采购发包</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QG2304170056</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3年仪表团队50个防爆操作柱采购</w:t>
      </w:r>
      <w:r>
        <w:rPr>
          <w:rFonts w:hint="eastAsia"/>
          <w:color w:val="000000" w:themeColor="text1"/>
          <w:u w:val="single"/>
          <w:lang w:eastAsia="zh-CN"/>
        </w:rPr>
        <w:t>发包（项目编号： QG2304170056）</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项目名称：福建福海创石油化工有限公司2023年仪表团队50个防爆操作柱</w:t>
      </w:r>
      <w:r>
        <w:rPr>
          <w:rFonts w:hint="eastAsia"/>
          <w:sz w:val="24"/>
          <w:szCs w:val="24"/>
          <w:lang w:val="en-US" w:eastAsia="zh-CN"/>
        </w:rPr>
        <w:t>采购</w:t>
      </w:r>
      <w:r>
        <w:rPr>
          <w:rFonts w:hint="eastAsia"/>
          <w:sz w:val="24"/>
          <w:szCs w:val="24"/>
          <w:lang w:eastAsia="zh-CN"/>
        </w:rPr>
        <w:t>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eastAsia="zh-CN"/>
        </w:rPr>
        <w:t>参</w:t>
      </w:r>
      <w:r>
        <w:rPr>
          <w:rFonts w:hint="eastAsia"/>
          <w:sz w:val="24"/>
          <w:szCs w:val="24"/>
          <w:lang w:eastAsia="zh-CN"/>
        </w:rPr>
        <w:t>选人必须对同一个合同包中的全部物资进行参选，不得仅对合同包中的部分物资进行参选，否则其比选文件将被拒绝。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val="en-US" w:eastAsia="zh-CN"/>
        </w:rPr>
        <w:t>采购内容：详看附件1《采购清单》。</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4.比选控制价：4.66万元（不含税）。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5</w:t>
      </w:r>
      <w:r>
        <w:rPr>
          <w:rFonts w:hint="eastAsia"/>
          <w:color w:val="000000" w:themeColor="text1"/>
          <w:sz w:val="24"/>
          <w:szCs w:val="24"/>
          <w:lang w:eastAsia="zh-CN"/>
        </w:rPr>
        <w:t>月</w:t>
      </w:r>
      <w:r>
        <w:rPr>
          <w:rFonts w:hint="eastAsia"/>
          <w:color w:val="000000" w:themeColor="text1"/>
          <w:sz w:val="24"/>
          <w:szCs w:val="24"/>
          <w:lang w:val="en-US" w:eastAsia="zh-CN"/>
        </w:rPr>
        <w:t>30</w:t>
      </w:r>
      <w:r>
        <w:rPr>
          <w:rFonts w:hint="eastAsia"/>
          <w:color w:val="000000" w:themeColor="text1"/>
          <w:sz w:val="24"/>
          <w:szCs w:val="24"/>
          <w:lang w:eastAsia="zh-CN"/>
        </w:rPr>
        <w:t>日至</w:t>
      </w:r>
      <w:r>
        <w:rPr>
          <w:rFonts w:hint="eastAsia"/>
          <w:color w:val="000000" w:themeColor="text1"/>
          <w:sz w:val="24"/>
          <w:szCs w:val="24"/>
          <w:lang w:val="en-US" w:eastAsia="zh-CN"/>
        </w:rPr>
        <w:t>8</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技术联系人：唐凤玉 电话：150596118</w:t>
      </w:r>
      <w:bookmarkStart w:id="1" w:name="_GoBack"/>
      <w:bookmarkEnd w:id="1"/>
      <w:r>
        <w:rPr>
          <w:rFonts w:hint="eastAsia"/>
          <w:lang w:val="en-US" w:eastAsia="zh-CN"/>
        </w:rPr>
        <w:t>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202</w:t>
      </w:r>
      <w:r>
        <w:rPr>
          <w:rFonts w:hint="eastAsia"/>
          <w:color w:val="000000" w:themeColor="text1"/>
          <w:lang w:val="en-US" w:eastAsia="zh-CN"/>
        </w:rPr>
        <w:t>3年仪表团队50个防爆操作柱采购</w:t>
      </w:r>
      <w:r>
        <w:rPr>
          <w:rFonts w:hint="eastAsia"/>
          <w:color w:val="000000" w:themeColor="text1"/>
          <w:lang w:eastAsia="zh-CN"/>
        </w:rPr>
        <w:t>发包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val="en-US" w:eastAsia="zh-CN"/>
        </w:rPr>
      </w:pPr>
      <w:r>
        <w:rPr>
          <w:rFonts w:hint="eastAsia"/>
          <w:lang w:val="en-US" w:eastAsia="zh-CN"/>
        </w:rPr>
        <w:t>技术联系人：唐凤玉 电话：15059611803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Fonts w:hint="eastAsia"/>
          <w:lang w:val="en-US" w:eastAsia="zh-CN"/>
        </w:rPr>
        <w:t>fytang@fhcpec.com.cn</w:t>
      </w:r>
      <w:r>
        <w:rPr>
          <w:rFonts w:hint="eastAsia"/>
          <w:lang w:val="en-US" w:eastAsia="zh-CN"/>
        </w:rPr>
        <w:fldChar w:fldCharType="end"/>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4.66</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ascii="Times New Roman"/>
          <w:b/>
          <w:bCs/>
          <w:lang w:eastAsia="zh-CN"/>
        </w:rPr>
      </w:pPr>
      <w:r>
        <w:rPr>
          <w:rFonts w:hint="eastAsia" w:ascii="Times New Roman"/>
          <w:b/>
          <w:bCs/>
          <w:lang w:eastAsia="zh-CN"/>
        </w:rPr>
        <w:t>附件一、</w:t>
      </w:r>
    </w:p>
    <w:p>
      <w:pPr>
        <w:keepNext w:val="0"/>
        <w:keepLines w:val="0"/>
        <w:pageBreakBefore w:val="0"/>
        <w:widowControl w:val="0"/>
        <w:kinsoku/>
        <w:wordWrap/>
        <w:overflowPunct/>
        <w:topLinePunct w:val="0"/>
        <w:bidi w:val="0"/>
        <w:snapToGrid/>
        <w:spacing w:line="36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6"/>
        <w:gridCol w:w="3084"/>
        <w:gridCol w:w="1666"/>
        <w:gridCol w:w="2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合同编号：</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3084"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w:t>
            </w: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签订地点：</w:t>
            </w:r>
          </w:p>
        </w:tc>
        <w:tc>
          <w:tcPr>
            <w:tcW w:w="2604" w:type="dxa"/>
          </w:tcPr>
          <w:p>
            <w:pPr>
              <w:keepNext w:val="0"/>
              <w:keepLines w:val="0"/>
              <w:pageBreakBefore w:val="0"/>
              <w:widowControl w:val="0"/>
              <w:kinsoku/>
              <w:wordWrap/>
              <w:overflowPunct/>
              <w:topLinePunct w:val="0"/>
              <w:bidi w:val="0"/>
              <w:snapToGrid/>
              <w:spacing w:line="36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c>
          <w:tcPr>
            <w:tcW w:w="3084" w:type="dxa"/>
          </w:tcPr>
          <w:p>
            <w:pPr>
              <w:keepNext w:val="0"/>
              <w:keepLines w:val="0"/>
              <w:pageBreakBefore w:val="0"/>
              <w:widowControl w:val="0"/>
              <w:kinsoku/>
              <w:wordWrap/>
              <w:overflowPunct/>
              <w:topLinePunct w:val="0"/>
              <w:bidi w:val="0"/>
              <w:snapToGrid/>
              <w:spacing w:line="360" w:lineRule="auto"/>
              <w:rPr>
                <w:sz w:val="24"/>
              </w:rPr>
            </w:pPr>
          </w:p>
        </w:tc>
        <w:tc>
          <w:tcPr>
            <w:tcW w:w="1666" w:type="dxa"/>
          </w:tcPr>
          <w:p>
            <w:pPr>
              <w:keepNext w:val="0"/>
              <w:keepLines w:val="0"/>
              <w:pageBreakBefore w:val="0"/>
              <w:widowControl w:val="0"/>
              <w:kinsoku/>
              <w:wordWrap/>
              <w:overflowPunct/>
              <w:topLinePunct w:val="0"/>
              <w:bidi w:val="0"/>
              <w:snapToGrid/>
              <w:spacing w:line="360" w:lineRule="auto"/>
              <w:rPr>
                <w:sz w:val="24"/>
              </w:rPr>
            </w:pPr>
            <w:r>
              <w:rPr>
                <w:rFonts w:hint="eastAsia"/>
                <w:sz w:val="24"/>
              </w:rPr>
              <w:t>签订日期：</w:t>
            </w:r>
          </w:p>
        </w:tc>
        <w:tc>
          <w:tcPr>
            <w:tcW w:w="2604" w:type="dxa"/>
          </w:tcPr>
          <w:p>
            <w:pPr>
              <w:keepNext w:val="0"/>
              <w:keepLines w:val="0"/>
              <w:pageBreakBefore w:val="0"/>
              <w:widowControl w:val="0"/>
              <w:kinsoku/>
              <w:wordWrap/>
              <w:overflowPunct/>
              <w:topLinePunct w:val="0"/>
              <w:bidi w:val="0"/>
              <w:snapToGrid/>
              <w:spacing w:line="360" w:lineRule="auto"/>
              <w:rPr>
                <w:sz w:val="24"/>
              </w:rPr>
            </w:pPr>
          </w:p>
        </w:tc>
      </w:tr>
    </w:tbl>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根据甲方采购项目需求，经双方友好协商，就甲方向乙方采购本合同第1条所列产品相关事宜，依据《中华人民共和国</w:t>
      </w:r>
      <w:r>
        <w:rPr>
          <w:rFonts w:hint="eastAsia"/>
          <w:sz w:val="24"/>
          <w:lang w:val="en-US" w:eastAsia="zh-CN"/>
        </w:rPr>
        <w:t>民法典</w:t>
      </w:r>
      <w:r>
        <w:rPr>
          <w:rFonts w:hint="eastAsia"/>
          <w:sz w:val="24"/>
        </w:rPr>
        <w:t>》及其他相关法律法规规定，双方签订如下协议：</w:t>
      </w:r>
    </w:p>
    <w:p>
      <w:pPr>
        <w:keepNext w:val="0"/>
        <w:keepLines w:val="0"/>
        <w:pageBreakBefore w:val="0"/>
        <w:widowControl w:val="0"/>
        <w:kinsoku/>
        <w:wordWrap/>
        <w:overflowPunct/>
        <w:topLinePunct w:val="0"/>
        <w:bidi w:val="0"/>
        <w:snapToGrid/>
        <w:spacing w:line="360" w:lineRule="auto"/>
        <w:rPr>
          <w:sz w:val="24"/>
        </w:rPr>
      </w:pPr>
      <w:r>
        <w:rPr>
          <w:rFonts w:hint="eastAsia"/>
          <w:sz w:val="24"/>
        </w:rPr>
        <w:t>1、合同标的和合同价格</w:t>
      </w:r>
    </w:p>
    <w:tbl>
      <w:tblPr>
        <w:tblStyle w:val="46"/>
        <w:tblpPr w:leftFromText="180" w:rightFromText="180" w:vertAnchor="text" w:horzAnchor="page" w:tblpX="1250" w:tblpY="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产品名称</w:t>
            </w:r>
          </w:p>
        </w:tc>
        <w:tc>
          <w:tcPr>
            <w:tcW w:w="212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规格型号</w:t>
            </w: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数量</w:t>
            </w: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单价/元</w:t>
            </w: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701"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1417" w:type="dxa"/>
            <w:vAlign w:val="center"/>
          </w:tcPr>
          <w:p>
            <w:pPr>
              <w:keepNext w:val="0"/>
              <w:keepLines w:val="0"/>
              <w:pageBreakBefore w:val="0"/>
              <w:widowControl w:val="0"/>
              <w:kinsoku/>
              <w:wordWrap/>
              <w:overflowPunct/>
              <w:topLinePunct w:val="0"/>
              <w:bidi w:val="0"/>
              <w:snapToGrid/>
              <w:spacing w:line="360" w:lineRule="auto"/>
              <w:jc w:val="center"/>
              <w:rPr>
                <w:sz w:val="24"/>
              </w:rPr>
            </w:pPr>
          </w:p>
        </w:tc>
        <w:tc>
          <w:tcPr>
            <w:tcW w:w="2126" w:type="dxa"/>
            <w:vAlign w:val="center"/>
          </w:tcPr>
          <w:p>
            <w:pPr>
              <w:keepNext w:val="0"/>
              <w:keepLines w:val="0"/>
              <w:pageBreakBefore w:val="0"/>
              <w:widowControl w:val="0"/>
              <w:kinsoku/>
              <w:wordWrap/>
              <w:overflowPunct/>
              <w:topLinePunct w:val="0"/>
              <w:bidi w:val="0"/>
              <w:snapToGrid/>
              <w:spacing w:line="36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keepNext w:val="0"/>
              <w:keepLines w:val="0"/>
              <w:pageBreakBefore w:val="0"/>
              <w:widowControl w:val="0"/>
              <w:kinsoku/>
              <w:wordWrap/>
              <w:overflowPunct/>
              <w:topLinePunct w:val="0"/>
              <w:bidi w:val="0"/>
              <w:snapToGrid/>
              <w:spacing w:line="360" w:lineRule="auto"/>
              <w:jc w:val="center"/>
              <w:rPr>
                <w:sz w:val="24"/>
              </w:rPr>
            </w:pPr>
            <w:r>
              <w:rPr>
                <w:rFonts w:hint="eastAsia"/>
                <w:sz w:val="24"/>
              </w:rPr>
              <w:t>合同金额合计</w:t>
            </w:r>
          </w:p>
        </w:tc>
        <w:tc>
          <w:tcPr>
            <w:tcW w:w="7371" w:type="dxa"/>
            <w:gridSpan w:val="4"/>
            <w:vAlign w:val="center"/>
          </w:tcPr>
          <w:p>
            <w:pPr>
              <w:keepNext w:val="0"/>
              <w:keepLines w:val="0"/>
              <w:pageBreakBefore w:val="0"/>
              <w:widowControl w:val="0"/>
              <w:kinsoku/>
              <w:wordWrap/>
              <w:overflowPunct/>
              <w:topLinePunct w:val="0"/>
              <w:bidi w:val="0"/>
              <w:snapToGrid/>
              <w:spacing w:line="36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keepNext w:val="0"/>
        <w:keepLines w:val="0"/>
        <w:pageBreakBefore w:val="0"/>
        <w:widowControl w:val="0"/>
        <w:kinsoku/>
        <w:wordWrap/>
        <w:overflowPunct/>
        <w:topLinePunct w:val="0"/>
        <w:bidi w:val="0"/>
        <w:snapToGrid/>
        <w:spacing w:line="360" w:lineRule="auto"/>
        <w:rPr>
          <w:sz w:val="24"/>
        </w:rPr>
      </w:pPr>
      <w:r>
        <w:rPr>
          <w:rFonts w:hint="eastAsia"/>
          <w:sz w:val="24"/>
        </w:rPr>
        <w:t>上述金额为含税价格，包含了乙方提供本合同约定的产品及相应服务（如有）的全部价格，除非另有约定，甲方不再承担其他费用。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2、交货：</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2.1交货方式：</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2.3交货时间：</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3、付款方式与条件</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%；产品验收合格</w:t>
      </w:r>
      <w:r>
        <w:rPr>
          <w:sz w:val="24"/>
          <w:u w:val="single"/>
        </w:rPr>
        <w:t xml:space="preserve">    </w:t>
      </w:r>
      <w:r>
        <w:rPr>
          <w:rFonts w:hint="eastAsia"/>
          <w:sz w:val="24"/>
        </w:rPr>
        <w:t>个月后，甲方向乙方支付剩余货款。</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3.2 乙方应根据甲方要求在甲方每次付款前</w:t>
      </w:r>
      <w:r>
        <w:rPr>
          <w:sz w:val="24"/>
          <w:u w:val="single"/>
        </w:rPr>
        <w:t xml:space="preserve"> </w:t>
      </w:r>
      <w:r>
        <w:rPr>
          <w:rFonts w:hint="eastAsia"/>
          <w:sz w:val="24"/>
          <w:u w:val="single"/>
          <w:lang w:val="en-US" w:eastAsia="zh-CN"/>
        </w:rPr>
        <w:t xml:space="preserve">60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keepNext w:val="0"/>
        <w:keepLines w:val="0"/>
        <w:pageBreakBefore w:val="0"/>
        <w:widowControl w:val="0"/>
        <w:kinsoku/>
        <w:wordWrap/>
        <w:overflowPunct/>
        <w:topLinePunct w:val="0"/>
        <w:bidi w:val="0"/>
        <w:snapToGrid/>
        <w:spacing w:line="360" w:lineRule="auto"/>
        <w:rPr>
          <w:sz w:val="24"/>
        </w:rPr>
      </w:pPr>
      <w:r>
        <w:rPr>
          <w:rFonts w:hint="eastAsia"/>
          <w:sz w:val="24"/>
        </w:rPr>
        <w:t>4、质量要求和技术标准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4.4乙方不按本合同约定交付产品所产生的任何费用由乙方自己承担。</w:t>
      </w:r>
    </w:p>
    <w:p>
      <w:pPr>
        <w:keepNext w:val="0"/>
        <w:keepLines w:val="0"/>
        <w:pageBreakBefore w:val="0"/>
        <w:widowControl w:val="0"/>
        <w:kinsoku/>
        <w:wordWrap/>
        <w:overflowPunct/>
        <w:topLinePunct w:val="0"/>
        <w:bidi w:val="0"/>
        <w:snapToGrid/>
        <w:spacing w:line="360" w:lineRule="auto"/>
        <w:rPr>
          <w:sz w:val="24"/>
        </w:rPr>
      </w:pPr>
      <w:r>
        <w:rPr>
          <w:rFonts w:hint="eastAsia"/>
          <w:sz w:val="24"/>
        </w:rPr>
        <w:t>5、安装调试、技术服务、人员培训及技术资料</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5.1乙方为甲方提供下列服务（具体以在□内打“√”为准）</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keepNext w:val="0"/>
        <w:keepLines w:val="0"/>
        <w:pageBreakBefore w:val="0"/>
        <w:widowControl w:val="0"/>
        <w:kinsoku/>
        <w:wordWrap/>
        <w:overflowPunct/>
        <w:topLinePunct w:val="0"/>
        <w:bidi w:val="0"/>
        <w:snapToGrid/>
        <w:spacing w:line="360" w:lineRule="auto"/>
        <w:rPr>
          <w:sz w:val="24"/>
        </w:rPr>
      </w:pPr>
      <w:r>
        <w:rPr>
          <w:rFonts w:hint="eastAsia"/>
          <w:sz w:val="24"/>
        </w:rPr>
        <w:t>6、验收</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6.1货物的货到验收包括：型号、规格、数量、外观质量、及货物包装是否完好。</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6.2乙方对一次开箱不合格（产品有质量故障）的产品予以换新，承担一切与之有关的费用。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7、质量保证</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keepNext w:val="0"/>
        <w:keepLines w:val="0"/>
        <w:pageBreakBefore w:val="0"/>
        <w:widowControl w:val="0"/>
        <w:kinsoku/>
        <w:wordWrap/>
        <w:overflowPunct/>
        <w:topLinePunct w:val="0"/>
        <w:bidi w:val="0"/>
        <w:snapToGrid/>
        <w:spacing w:line="360" w:lineRule="auto"/>
        <w:rPr>
          <w:sz w:val="24"/>
        </w:rPr>
      </w:pPr>
      <w:r>
        <w:rPr>
          <w:rFonts w:hint="eastAsia"/>
          <w:sz w:val="24"/>
        </w:rPr>
        <w:t>8、违约责任</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lang w:val="en-US" w:eastAsia="zh-CN"/>
        </w:rPr>
        <w:t>0.1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lang w:val="en-US" w:eastAsia="zh-CN"/>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%的违约金（甲方可从应付给乙方的货款中直接扣除）。乙方部分交货、交货不合格的，均按照逾期交货处理。</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lang w:val="en-US" w:eastAsia="zh-CN"/>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lang w:val="en-US" w:eastAsia="zh-CN"/>
        </w:rPr>
        <w:t>3</w:t>
      </w:r>
      <w:r>
        <w:rPr>
          <w:sz w:val="24"/>
          <w:u w:val="single"/>
        </w:rPr>
        <w:t xml:space="preserve"> </w:t>
      </w:r>
      <w:r>
        <w:rPr>
          <w:rFonts w:hint="eastAsia"/>
          <w:sz w:val="24"/>
        </w:rPr>
        <w:t>次验收不合格的，甲方还有权解除合同、拒绝支付任何费用。</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   8.3 甲方无故逾期付款的，按照银行同期贷款利率标准支付利息。</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keepNext w:val="0"/>
        <w:keepLines w:val="0"/>
        <w:pageBreakBefore w:val="0"/>
        <w:widowControl w:val="0"/>
        <w:kinsoku/>
        <w:wordWrap/>
        <w:overflowPunct/>
        <w:topLinePunct w:val="0"/>
        <w:bidi w:val="0"/>
        <w:snapToGrid/>
        <w:spacing w:line="360" w:lineRule="auto"/>
        <w:ind w:firstLine="120" w:firstLineChars="50"/>
        <w:rPr>
          <w:sz w:val="24"/>
        </w:rPr>
      </w:pPr>
      <w:r>
        <w:rPr>
          <w:rFonts w:hint="eastAsia"/>
          <w:sz w:val="24"/>
        </w:rPr>
        <w:t>9、法律的适用及争议解决方式</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9.1、本合同的效力、解释及履行均适用中华人民共和国法律。</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keepNext w:val="0"/>
        <w:keepLines w:val="0"/>
        <w:pageBreakBefore w:val="0"/>
        <w:widowControl w:val="0"/>
        <w:kinsoku/>
        <w:wordWrap/>
        <w:overflowPunct/>
        <w:topLinePunct w:val="0"/>
        <w:bidi w:val="0"/>
        <w:snapToGrid/>
        <w:spacing w:line="360" w:lineRule="auto"/>
        <w:rPr>
          <w:sz w:val="24"/>
        </w:rPr>
      </w:pPr>
      <w:r>
        <w:rPr>
          <w:rFonts w:hint="eastAsia"/>
          <w:sz w:val="24"/>
        </w:rPr>
        <w:t xml:space="preserve">10、 合同变更与解除： </w:t>
      </w:r>
    </w:p>
    <w:p>
      <w:pPr>
        <w:keepNext w:val="0"/>
        <w:keepLines w:val="0"/>
        <w:pageBreakBefore w:val="0"/>
        <w:widowControl w:val="0"/>
        <w:kinsoku/>
        <w:wordWrap/>
        <w:overflowPunct/>
        <w:topLinePunct w:val="0"/>
        <w:bidi w:val="0"/>
        <w:snapToGrid/>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keepNext w:val="0"/>
        <w:keepLines w:val="0"/>
        <w:pageBreakBefore w:val="0"/>
        <w:widowControl w:val="0"/>
        <w:kinsoku/>
        <w:wordWrap/>
        <w:overflowPunct/>
        <w:topLinePunct w:val="0"/>
        <w:bidi w:val="0"/>
        <w:snapToGrid/>
        <w:spacing w:line="360" w:lineRule="auto"/>
        <w:rPr>
          <w:sz w:val="24"/>
        </w:rPr>
      </w:pPr>
      <w:r>
        <w:rPr>
          <w:rFonts w:hint="eastAsia"/>
          <w:sz w:val="24"/>
        </w:rPr>
        <w:t>11、通知</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napToGrid/>
        <w:spacing w:line="360" w:lineRule="auto"/>
        <w:ind w:firstLine="480" w:firstLineChars="200"/>
        <w:rPr>
          <w:sz w:val="24"/>
        </w:rPr>
      </w:pPr>
      <w:r>
        <w:rPr>
          <w:rFonts w:hint="eastAsia"/>
          <w:sz w:val="24"/>
        </w:rPr>
        <w:t>12、本合同一式四份，经双方签订后生效，甲方执三份、乙方执一份，具有同等效力。</w:t>
      </w:r>
    </w:p>
    <w:p>
      <w:pPr>
        <w:keepNext w:val="0"/>
        <w:keepLines w:val="0"/>
        <w:pageBreakBefore w:val="0"/>
        <w:widowControl w:val="0"/>
        <w:kinsoku/>
        <w:wordWrap/>
        <w:overflowPunct/>
        <w:topLinePunct w:val="0"/>
        <w:bidi w:val="0"/>
        <w:snapToGrid/>
        <w:spacing w:line="360" w:lineRule="auto"/>
        <w:ind w:firstLine="480" w:firstLineChars="200"/>
        <w:rPr>
          <w:sz w:val="24"/>
        </w:rPr>
      </w:pPr>
    </w:p>
    <w:p>
      <w:pPr>
        <w:keepNext w:val="0"/>
        <w:keepLines w:val="0"/>
        <w:pageBreakBefore w:val="0"/>
        <w:widowControl w:val="0"/>
        <w:kinsoku/>
        <w:wordWrap/>
        <w:overflowPunct/>
        <w:topLinePunct w:val="0"/>
        <w:bidi w:val="0"/>
        <w:snapToGrid/>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甲方：</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c>
          <w:tcPr>
            <w:tcW w:w="4821" w:type="dxa"/>
            <w:vAlign w:val="center"/>
          </w:tcPr>
          <w:p>
            <w:pPr>
              <w:keepNext w:val="0"/>
              <w:keepLines w:val="0"/>
              <w:pageBreakBefore w:val="0"/>
              <w:widowControl w:val="0"/>
              <w:kinsoku/>
              <w:wordWrap/>
              <w:overflowPunct/>
              <w:topLinePunct w:val="0"/>
              <w:bidi w:val="0"/>
              <w:snapToGrid/>
              <w:spacing w:line="360" w:lineRule="auto"/>
              <w:rPr>
                <w:sz w:val="24"/>
              </w:rPr>
            </w:pPr>
            <w:r>
              <w:rPr>
                <w:rFonts w:hint="eastAsia"/>
                <w:sz w:val="24"/>
              </w:rPr>
              <w:t>账号：</w:t>
            </w:r>
          </w:p>
        </w:tc>
      </w:tr>
    </w:tbl>
    <w:p>
      <w:pPr>
        <w:keepNext w:val="0"/>
        <w:keepLines w:val="0"/>
        <w:pageBreakBefore w:val="0"/>
        <w:widowControl w:val="0"/>
        <w:kinsoku/>
        <w:wordWrap/>
        <w:overflowPunct/>
        <w:topLinePunct w:val="0"/>
        <w:bidi w:val="0"/>
        <w:snapToGrid/>
        <w:spacing w:line="360" w:lineRule="auto"/>
        <w:rPr>
          <w:sz w:val="24"/>
        </w:rPr>
      </w:pPr>
    </w:p>
    <w:p>
      <w:pPr>
        <w:keepNext w:val="0"/>
        <w:keepLines w:val="0"/>
        <w:pageBreakBefore w:val="0"/>
        <w:widowControl w:val="0"/>
        <w:kinsoku/>
        <w:wordWrap/>
        <w:overflowPunct/>
        <w:topLinePunct w:val="0"/>
        <w:bidi w:val="0"/>
        <w:snapToGrid/>
        <w:spacing w:line="360" w:lineRule="auto"/>
        <w:rPr>
          <w:sz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b/>
          <w:bCs/>
          <w:sz w:val="24"/>
          <w:szCs w:val="24"/>
        </w:rPr>
      </w:pPr>
      <w:r>
        <w:rPr>
          <w:rFonts w:hint="eastAsia"/>
          <w:b/>
          <w:bCs/>
          <w:sz w:val="24"/>
          <w:szCs w:val="24"/>
        </w:rPr>
        <w:t>附件二、参选文件范本</w:t>
      </w:r>
    </w:p>
    <w:p>
      <w:pPr>
        <w:pStyle w:val="25"/>
        <w:keepNext w:val="0"/>
        <w:keepLines w:val="0"/>
        <w:pageBreakBefore w:val="0"/>
        <w:widowControl w:val="0"/>
        <w:kinsoku/>
        <w:wordWrap/>
        <w:overflowPunct/>
        <w:topLinePunct w:val="0"/>
        <w:bidi w:val="0"/>
        <w:snapToGrid/>
        <w:spacing w:line="360" w:lineRule="auto"/>
        <w:jc w:val="center"/>
        <w:rPr>
          <w:rFonts w:ascii="Times New Roman" w:hAnsi="Times New Roman"/>
          <w:b/>
          <w:sz w:val="52"/>
          <w:szCs w:val="52"/>
          <w:lang w:eastAsia="zh-CN"/>
        </w:rPr>
      </w:pPr>
    </w:p>
    <w:p>
      <w:pPr>
        <w:pStyle w:val="2"/>
        <w:keepNext w:val="0"/>
        <w:keepLines w:val="0"/>
        <w:pageBreakBefore w:val="0"/>
        <w:widowControl w:val="0"/>
        <w:kinsoku/>
        <w:wordWrap/>
        <w:overflowPunct/>
        <w:topLinePunct w:val="0"/>
        <w:bidi w:val="0"/>
        <w:snapToGrid/>
        <w:spacing w:line="360" w:lineRule="auto"/>
        <w:jc w:val="both"/>
        <w:rPr>
          <w:rFonts w:ascii="Times New Roman" w:hAnsi="Times New Roman"/>
          <w:b/>
          <w:bCs/>
          <w:kern w:val="2"/>
          <w:sz w:val="36"/>
          <w:szCs w:val="36"/>
        </w:rPr>
      </w:pPr>
    </w:p>
    <w:p>
      <w:pPr>
        <w:keepNext w:val="0"/>
        <w:keepLines w:val="0"/>
        <w:pageBreakBefore w:val="0"/>
        <w:widowControl w:val="0"/>
        <w:kinsoku/>
        <w:wordWrap/>
        <w:overflowPunct/>
        <w:topLinePunct w:val="0"/>
        <w:bidi w:val="0"/>
        <w:snapToGrid/>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keepNext w:val="0"/>
        <w:keepLines w:val="0"/>
        <w:pageBreakBefore w:val="0"/>
        <w:widowControl w:val="0"/>
        <w:kinsoku/>
        <w:wordWrap/>
        <w:overflowPunct/>
        <w:topLinePunct w:val="0"/>
        <w:bidi w:val="0"/>
        <w:snapToGrid/>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w:t>
      </w:r>
      <w:r>
        <w:rPr>
          <w:rFonts w:hint="eastAsia" w:ascii="Times New Roman" w:hAnsi="ˎ̥"/>
          <w:color w:val="000000" w:themeColor="text1"/>
          <w:sz w:val="28"/>
          <w:szCs w:val="28"/>
          <w:u w:val="single"/>
          <w:lang w:val="en-US" w:eastAsia="zh-CN"/>
        </w:rPr>
        <w:t>3年仪表团队50个防爆操作柱采购</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合同包</w:t>
      </w:r>
      <w:r>
        <w:rPr>
          <w:rFonts w:ascii="Times New Roman" w:hAnsi="Times New Roman"/>
          <w:sz w:val="24"/>
          <w:szCs w:val="24"/>
          <w:lang w:eastAsia="zh-CN"/>
        </w:rPr>
        <w:t>3</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ascii="Times New Roman" w:hAnsi="Times New Roman"/>
          <w:sz w:val="24"/>
          <w:szCs w:val="24"/>
          <w:u w:val="single"/>
        </w:rPr>
      </w:pPr>
      <w:r>
        <w:rPr>
          <w:rFonts w:hint="eastAsia" w:ascii="Times New Roman" w:hAnsi="Times New Roman"/>
          <w:sz w:val="24"/>
          <w:szCs w:val="24"/>
        </w:rPr>
        <w:t>（小写）：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分项明细清单见附件</w:t>
      </w:r>
      <w:r>
        <w:rPr>
          <w:rFonts w:hint="eastAsia" w:ascii="Times New Roman" w:hAnsi="Times New Roman"/>
          <w:b/>
          <w:bCs/>
          <w:sz w:val="24"/>
          <w:szCs w:val="24"/>
          <w:lang w:eastAsia="zh-CN"/>
        </w:rPr>
        <w:t>。</w:t>
      </w:r>
    </w:p>
    <w:p>
      <w:pPr>
        <w:pStyle w:val="2"/>
        <w:keepNext w:val="0"/>
        <w:keepLines w:val="0"/>
        <w:pageBreakBefore w:val="0"/>
        <w:widowControl w:val="0"/>
        <w:kinsoku/>
        <w:wordWrap/>
        <w:overflowPunct/>
        <w:topLinePunct w:val="0"/>
        <w:bidi w:val="0"/>
        <w:snapToGrid/>
        <w:spacing w:line="360" w:lineRule="auto"/>
        <w:rPr>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eastAsia"/>
          <w:color w:val="00B050"/>
          <w:sz w:val="28"/>
          <w:lang w:eastAsia="zh-CN"/>
        </w:rPr>
      </w:pPr>
    </w:p>
    <w:p>
      <w:pPr>
        <w:keepNext w:val="0"/>
        <w:keepLines w:val="0"/>
        <w:pageBreakBefore w:val="0"/>
        <w:widowControl w:val="0"/>
        <w:kinsoku/>
        <w:wordWrap/>
        <w:overflowPunct/>
        <w:topLinePunct w:val="0"/>
        <w:bidi w:val="0"/>
        <w:snapToGrid/>
        <w:spacing w:line="360" w:lineRule="auto"/>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keepNext w:val="0"/>
        <w:keepLines w:val="0"/>
        <w:pageBreakBefore w:val="0"/>
        <w:widowControl w:val="0"/>
        <w:kinsoku/>
        <w:wordWrap/>
        <w:overflowPunct/>
        <w:topLinePunct w:val="0"/>
        <w:bidi w:val="0"/>
        <w:snapToGrid/>
        <w:spacing w:line="360" w:lineRule="auto"/>
        <w:rPr>
          <w:color w:val="4E6127"/>
          <w:sz w:val="28"/>
          <w:u w:val="single"/>
          <w:lang w:eastAsia="zh-CN"/>
        </w:rPr>
      </w:pPr>
    </w:p>
    <w:p>
      <w:pPr>
        <w:keepNext w:val="0"/>
        <w:keepLines w:val="0"/>
        <w:pageBreakBefore w:val="0"/>
        <w:widowControl w:val="0"/>
        <w:kinsoku/>
        <w:wordWrap/>
        <w:overflowPunct/>
        <w:topLinePunct w:val="0"/>
        <w:bidi w:val="0"/>
        <w:snapToGrid/>
        <w:spacing w:line="360" w:lineRule="auto"/>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日</w:t>
      </w:r>
      <w:bookmarkEnd w:id="0"/>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61139E5"/>
    <w:rsid w:val="06F50B00"/>
    <w:rsid w:val="076E1278"/>
    <w:rsid w:val="08D1141D"/>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C217EAF"/>
    <w:rsid w:val="1E085A14"/>
    <w:rsid w:val="1FF43DDB"/>
    <w:rsid w:val="21933AA2"/>
    <w:rsid w:val="24DC0EEC"/>
    <w:rsid w:val="25BF356F"/>
    <w:rsid w:val="25DB0C2D"/>
    <w:rsid w:val="263478BF"/>
    <w:rsid w:val="269469E7"/>
    <w:rsid w:val="28FD301E"/>
    <w:rsid w:val="29FC3B14"/>
    <w:rsid w:val="2B11792E"/>
    <w:rsid w:val="2C9B48A1"/>
    <w:rsid w:val="2CD22518"/>
    <w:rsid w:val="2DE57862"/>
    <w:rsid w:val="2E9D453A"/>
    <w:rsid w:val="31C54755"/>
    <w:rsid w:val="320B25D2"/>
    <w:rsid w:val="3216608C"/>
    <w:rsid w:val="32E0343B"/>
    <w:rsid w:val="34606647"/>
    <w:rsid w:val="34CE14C6"/>
    <w:rsid w:val="34D84CEC"/>
    <w:rsid w:val="37AF5AB7"/>
    <w:rsid w:val="37F824E3"/>
    <w:rsid w:val="395A672D"/>
    <w:rsid w:val="3B1C3371"/>
    <w:rsid w:val="3CC23198"/>
    <w:rsid w:val="3DDF4815"/>
    <w:rsid w:val="3ED80D7C"/>
    <w:rsid w:val="3FB11C04"/>
    <w:rsid w:val="3FE669E5"/>
    <w:rsid w:val="40FD77F3"/>
    <w:rsid w:val="423D79BD"/>
    <w:rsid w:val="493350F2"/>
    <w:rsid w:val="4946347D"/>
    <w:rsid w:val="499B72BF"/>
    <w:rsid w:val="4C3D436D"/>
    <w:rsid w:val="4D7472E9"/>
    <w:rsid w:val="4E844153"/>
    <w:rsid w:val="4F34472E"/>
    <w:rsid w:val="4F7033BA"/>
    <w:rsid w:val="4FB40925"/>
    <w:rsid w:val="50F63E28"/>
    <w:rsid w:val="5221007F"/>
    <w:rsid w:val="52926B5A"/>
    <w:rsid w:val="545C5E51"/>
    <w:rsid w:val="5486175B"/>
    <w:rsid w:val="55952173"/>
    <w:rsid w:val="5604432E"/>
    <w:rsid w:val="56782911"/>
    <w:rsid w:val="57667D24"/>
    <w:rsid w:val="57CE5BC3"/>
    <w:rsid w:val="586D6C9A"/>
    <w:rsid w:val="5AE1516A"/>
    <w:rsid w:val="5B6A3A79"/>
    <w:rsid w:val="5C1A5F7B"/>
    <w:rsid w:val="5C57586D"/>
    <w:rsid w:val="5EF92A9F"/>
    <w:rsid w:val="5F953B47"/>
    <w:rsid w:val="62084B2E"/>
    <w:rsid w:val="62397FD0"/>
    <w:rsid w:val="645771F8"/>
    <w:rsid w:val="65304BCB"/>
    <w:rsid w:val="66FD5367"/>
    <w:rsid w:val="68A37498"/>
    <w:rsid w:val="6A54112D"/>
    <w:rsid w:val="6AA035AE"/>
    <w:rsid w:val="6E0F2E14"/>
    <w:rsid w:val="6EBB75BF"/>
    <w:rsid w:val="6F1E141D"/>
    <w:rsid w:val="6F5354F8"/>
    <w:rsid w:val="72DE4E13"/>
    <w:rsid w:val="73F3359E"/>
    <w:rsid w:val="740A2BDE"/>
    <w:rsid w:val="74B45F33"/>
    <w:rsid w:val="751839E0"/>
    <w:rsid w:val="75D56EB3"/>
    <w:rsid w:val="76274F93"/>
    <w:rsid w:val="79EB3F2F"/>
    <w:rsid w:val="7A442103"/>
    <w:rsid w:val="7B11789E"/>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25</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2023-05-29T03:25:21Z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