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2023年仪表团队50个防爆操作柱采购发包</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QG2304170056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3年仪表团队50个防爆操作柱采购</w:t>
      </w:r>
      <w:r>
        <w:rPr>
          <w:rFonts w:hint="eastAsia"/>
          <w:color w:val="000000" w:themeColor="text1"/>
          <w:u w:val="single"/>
          <w:lang w:eastAsia="zh-CN"/>
        </w:rPr>
        <w:t>发包（项目编号： QG2304170056）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项目名称：福建福海创石油化工有限公司2023年仪表团队50个防爆操作柱</w:t>
      </w:r>
      <w:r>
        <w:rPr>
          <w:rFonts w:hint="eastAsia"/>
          <w:sz w:val="24"/>
          <w:szCs w:val="24"/>
          <w:lang w:val="en-US" w:eastAsia="zh-CN"/>
        </w:rPr>
        <w:t>采购</w:t>
      </w:r>
      <w:r>
        <w:rPr>
          <w:rFonts w:hint="eastAsia"/>
          <w:sz w:val="24"/>
          <w:szCs w:val="24"/>
          <w:lang w:eastAsia="zh-CN"/>
        </w:rPr>
        <w:t>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eastAsia="zh-CN"/>
        </w:rPr>
        <w:t>参</w:t>
      </w:r>
      <w:r>
        <w:rPr>
          <w:rFonts w:hint="eastAsia"/>
          <w:sz w:val="24"/>
          <w:szCs w:val="24"/>
          <w:lang w:eastAsia="zh-CN"/>
        </w:rPr>
        <w:t>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val="en-US" w:eastAsia="zh-CN"/>
        </w:rPr>
        <w:t>采购内容：详看附件1《采购清单》。</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4.比选控制价：4.66万元（不含税）。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日至</w:t>
      </w:r>
      <w:r>
        <w:rPr>
          <w:rFonts w:hint="eastAsia"/>
          <w:color w:val="000000" w:themeColor="text1"/>
          <w:sz w:val="24"/>
          <w:szCs w:val="24"/>
          <w:lang w:val="en-US" w:eastAsia="zh-CN"/>
        </w:rPr>
        <w:t>25</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技术联系人：唐凤玉 电话：15059611903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202</w:t>
      </w:r>
      <w:r>
        <w:rPr>
          <w:rFonts w:hint="eastAsia"/>
          <w:color w:val="000000" w:themeColor="text1"/>
          <w:lang w:val="en-US" w:eastAsia="zh-CN"/>
        </w:rPr>
        <w:t>3年仪表团队50个防爆操作柱采购</w:t>
      </w:r>
      <w:r>
        <w:rPr>
          <w:rFonts w:hint="eastAsia"/>
          <w:color w:val="000000" w:themeColor="text1"/>
          <w:lang w:eastAsia="zh-CN"/>
        </w:rPr>
        <w:t>发包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val="en-US" w:eastAsia="zh-CN"/>
        </w:rPr>
      </w:pPr>
      <w:r>
        <w:rPr>
          <w:rFonts w:hint="eastAsia"/>
          <w:lang w:val="en-US" w:eastAsia="zh-CN"/>
        </w:rPr>
        <w:t>技术联系人：唐凤玉 电话：15059611903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4.66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ascii="Times New Roman"/>
          <w:b/>
          <w:bCs/>
          <w:lang w:eastAsia="zh-CN"/>
        </w:rPr>
      </w:pPr>
      <w:r>
        <w:rPr>
          <w:rFonts w:hint="eastAsia" w:ascii="Times New Roman"/>
          <w:b/>
          <w:bCs/>
          <w:lang w:eastAsia="zh-CN"/>
        </w:rPr>
        <w:t>附件一、</w:t>
      </w:r>
    </w:p>
    <w:p>
      <w:pPr>
        <w:keepNext w:val="0"/>
        <w:keepLines w:val="0"/>
        <w:pageBreakBefore w:val="0"/>
        <w:widowControl w:val="0"/>
        <w:kinsoku/>
        <w:wordWrap/>
        <w:overflowPunct/>
        <w:topLinePunct w:val="0"/>
        <w:bidi w:val="0"/>
        <w:snapToGrid/>
        <w:spacing w:line="36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6"/>
        <w:gridCol w:w="3084"/>
        <w:gridCol w:w="1666"/>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合同编号：</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3084"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签订地点：</w:t>
            </w:r>
          </w:p>
        </w:tc>
        <w:tc>
          <w:tcPr>
            <w:tcW w:w="2604" w:type="dxa"/>
          </w:tcPr>
          <w:p>
            <w:pPr>
              <w:keepNext w:val="0"/>
              <w:keepLines w:val="0"/>
              <w:pageBreakBefore w:val="0"/>
              <w:widowControl w:val="0"/>
              <w:kinsoku/>
              <w:wordWrap/>
              <w:overflowPunct/>
              <w:topLinePunct w:val="0"/>
              <w:bidi w:val="0"/>
              <w:snapToGrid/>
              <w:spacing w:line="36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签订日期：</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bl>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keepNext w:val="0"/>
        <w:keepLines w:val="0"/>
        <w:pageBreakBefore w:val="0"/>
        <w:widowControl w:val="0"/>
        <w:kinsoku/>
        <w:wordWrap/>
        <w:overflowPunct/>
        <w:topLinePunct w:val="0"/>
        <w:bidi w:val="0"/>
        <w:snapToGrid/>
        <w:spacing w:line="360" w:lineRule="auto"/>
        <w:rPr>
          <w:sz w:val="24"/>
        </w:rPr>
      </w:pPr>
      <w:r>
        <w:rPr>
          <w:rFonts w:hint="eastAsia"/>
          <w:sz w:val="24"/>
        </w:rPr>
        <w:t>1、合同标的和合同价格</w:t>
      </w:r>
    </w:p>
    <w:tbl>
      <w:tblPr>
        <w:tblStyle w:val="46"/>
        <w:tblpPr w:leftFromText="180" w:rightFromText="180" w:vertAnchor="text" w:horzAnchor="page" w:tblpX="1250" w:tblpY="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产品名称</w:t>
            </w:r>
          </w:p>
        </w:tc>
        <w:tc>
          <w:tcPr>
            <w:tcW w:w="212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规格型号</w:t>
            </w: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数量</w:t>
            </w: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单价/元</w:t>
            </w: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r>
              <w:rPr>
                <w:rFonts w:hint="eastAsia"/>
                <w:sz w:val="24"/>
              </w:rPr>
              <w:t>合同金额合计</w:t>
            </w:r>
          </w:p>
        </w:tc>
        <w:tc>
          <w:tcPr>
            <w:tcW w:w="7371" w:type="dxa"/>
            <w:gridSpan w:val="4"/>
            <w:vAlign w:val="center"/>
          </w:tcPr>
          <w:p>
            <w:pPr>
              <w:keepNext w:val="0"/>
              <w:keepLines w:val="0"/>
              <w:pageBreakBefore w:val="0"/>
              <w:widowControl w:val="0"/>
              <w:kinsoku/>
              <w:wordWrap/>
              <w:overflowPunct/>
              <w:topLinePunct w:val="0"/>
              <w:bidi w:val="0"/>
              <w:snapToGrid/>
              <w:spacing w:line="36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keepNext w:val="0"/>
        <w:keepLines w:val="0"/>
        <w:pageBreakBefore w:val="0"/>
        <w:widowControl w:val="0"/>
        <w:kinsoku/>
        <w:wordWrap/>
        <w:overflowPunct/>
        <w:topLinePunct w:val="0"/>
        <w:bidi w:val="0"/>
        <w:snapToGrid/>
        <w:spacing w:line="360" w:lineRule="auto"/>
        <w:rPr>
          <w:sz w:val="24"/>
        </w:rPr>
      </w:pPr>
      <w:r>
        <w:rPr>
          <w:rFonts w:hint="eastAsia"/>
          <w:sz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2、交货：</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2.1交货方式：</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2.3交货时间：</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3、付款方式与条件</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keepNext w:val="0"/>
        <w:keepLines w:val="0"/>
        <w:pageBreakBefore w:val="0"/>
        <w:widowControl w:val="0"/>
        <w:kinsoku/>
        <w:wordWrap/>
        <w:overflowPunct/>
        <w:topLinePunct w:val="0"/>
        <w:bidi w:val="0"/>
        <w:snapToGrid/>
        <w:spacing w:line="360" w:lineRule="auto"/>
        <w:rPr>
          <w:sz w:val="24"/>
        </w:rPr>
      </w:pPr>
      <w:r>
        <w:rPr>
          <w:rFonts w:hint="eastAsia"/>
          <w:sz w:val="24"/>
        </w:rPr>
        <w:t>4、质量要求和技术标准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4.4乙方不按本合同约定交付产品所产生的任何费用由乙方自己承担。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5、安装调试、技术服务、人员培训及技术资料</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5.1乙方为甲方提供下列服务（具体以在□内打“√”为准）</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bidi w:val="0"/>
        <w:snapToGrid/>
        <w:spacing w:line="360" w:lineRule="auto"/>
        <w:rPr>
          <w:sz w:val="24"/>
        </w:rPr>
      </w:pPr>
      <w:r>
        <w:rPr>
          <w:rFonts w:hint="eastAsia"/>
          <w:sz w:val="24"/>
        </w:rPr>
        <w:t>6、验收</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6.1货物的货到验收包括：型号、规格、数量、外观质量、及货物包装是否完好。</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6.2乙方对一次开箱不合格（产品有质量故障）的产品予以换新，承担一切与之有关的费用。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7、质量保证</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bidi w:val="0"/>
        <w:snapToGrid/>
        <w:spacing w:line="360" w:lineRule="auto"/>
        <w:rPr>
          <w:sz w:val="24"/>
        </w:rPr>
      </w:pPr>
      <w:r>
        <w:rPr>
          <w:rFonts w:hint="eastAsia"/>
          <w:sz w:val="24"/>
        </w:rPr>
        <w:t>8、违约责任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8.3 甲方无故逾期付款的，按照银行同期贷款利率标准支付利息。</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bidi w:val="0"/>
        <w:snapToGrid/>
        <w:spacing w:line="360" w:lineRule="auto"/>
        <w:ind w:firstLine="120" w:firstLineChars="50"/>
        <w:rPr>
          <w:sz w:val="24"/>
        </w:rPr>
      </w:pPr>
      <w:r>
        <w:rPr>
          <w:rFonts w:hint="eastAsia"/>
          <w:sz w:val="24"/>
        </w:rPr>
        <w:t>9、法律的适用及争议解决方式</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9.1、本合同的效力、解释及履行均适用中华人民共和国法律。</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10、 合同变更与解除： </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bidi w:val="0"/>
        <w:snapToGrid/>
        <w:spacing w:line="360" w:lineRule="auto"/>
        <w:rPr>
          <w:sz w:val="24"/>
        </w:rPr>
      </w:pPr>
      <w:r>
        <w:rPr>
          <w:rFonts w:hint="eastAsia"/>
          <w:sz w:val="24"/>
        </w:rPr>
        <w:t>11、通知</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12、本合同一式四份，经双方签订后生效，甲方执三份、乙方执一份，具有同等效力。</w:t>
      </w:r>
    </w:p>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r>
    </w:tbl>
    <w:p>
      <w:pPr>
        <w:keepNext w:val="0"/>
        <w:keepLines w:val="0"/>
        <w:pageBreakBefore w:val="0"/>
        <w:widowControl w:val="0"/>
        <w:kinsoku/>
        <w:wordWrap/>
        <w:overflowPunct/>
        <w:topLinePunct w:val="0"/>
        <w:bidi w:val="0"/>
        <w:snapToGrid/>
        <w:spacing w:line="360" w:lineRule="auto"/>
        <w:rPr>
          <w:sz w:val="24"/>
        </w:rPr>
      </w:pPr>
    </w:p>
    <w:p>
      <w:pPr>
        <w:keepNext w:val="0"/>
        <w:keepLines w:val="0"/>
        <w:pageBreakBefore w:val="0"/>
        <w:widowControl w:val="0"/>
        <w:kinsoku/>
        <w:wordWrap/>
        <w:overflowPunct/>
        <w:topLinePunct w:val="0"/>
        <w:bidi w:val="0"/>
        <w:snapToGrid/>
        <w:spacing w:line="360" w:lineRule="auto"/>
        <w:rPr>
          <w:sz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b/>
          <w:bCs/>
          <w:sz w:val="24"/>
          <w:szCs w:val="24"/>
        </w:rPr>
      </w:pPr>
      <w:r>
        <w:rPr>
          <w:rFonts w:hint="eastAsia"/>
          <w:b/>
          <w:bCs/>
          <w:sz w:val="24"/>
          <w:szCs w:val="24"/>
        </w:rPr>
        <w:t>附件二、参选文件范本</w:t>
      </w:r>
    </w:p>
    <w:p>
      <w:pPr>
        <w:pStyle w:val="25"/>
        <w:keepNext w:val="0"/>
        <w:keepLines w:val="0"/>
        <w:pageBreakBefore w:val="0"/>
        <w:widowControl w:val="0"/>
        <w:kinsoku/>
        <w:wordWrap/>
        <w:overflowPunct/>
        <w:topLinePunct w:val="0"/>
        <w:bidi w:val="0"/>
        <w:snapToGrid/>
        <w:spacing w:line="360" w:lineRule="auto"/>
        <w:jc w:val="center"/>
        <w:rPr>
          <w:rFonts w:ascii="Times New Roman" w:hAnsi="Times New Roman"/>
          <w:b/>
          <w:sz w:val="52"/>
          <w:szCs w:val="52"/>
          <w:lang w:eastAsia="zh-CN"/>
        </w:rPr>
      </w:pPr>
    </w:p>
    <w:p>
      <w:pPr>
        <w:pStyle w:val="2"/>
        <w:keepNext w:val="0"/>
        <w:keepLines w:val="0"/>
        <w:pageBreakBefore w:val="0"/>
        <w:widowControl w:val="0"/>
        <w:kinsoku/>
        <w:wordWrap/>
        <w:overflowPunct/>
        <w:topLinePunct w:val="0"/>
        <w:bidi w:val="0"/>
        <w:snapToGrid/>
        <w:spacing w:line="360" w:lineRule="auto"/>
        <w:jc w:val="both"/>
        <w:rPr>
          <w:rFonts w:ascii="Times New Roman" w:hAnsi="Times New Roman"/>
          <w:b/>
          <w:bCs/>
          <w:kern w:val="2"/>
          <w:sz w:val="36"/>
          <w:szCs w:val="36"/>
        </w:rPr>
      </w:pPr>
    </w:p>
    <w:p>
      <w:pPr>
        <w:keepNext w:val="0"/>
        <w:keepLines w:val="0"/>
        <w:pageBreakBefore w:val="0"/>
        <w:widowControl w:val="0"/>
        <w:kinsoku/>
        <w:wordWrap/>
        <w:overflowPunct/>
        <w:topLinePunct w:val="0"/>
        <w:bidi w:val="0"/>
        <w:snapToGrid/>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keepNext w:val="0"/>
        <w:keepLines w:val="0"/>
        <w:pageBreakBefore w:val="0"/>
        <w:widowControl w:val="0"/>
        <w:kinsoku/>
        <w:wordWrap/>
        <w:overflowPunct/>
        <w:topLinePunct w:val="0"/>
        <w:bidi w:val="0"/>
        <w:snapToGrid/>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w:t>
      </w:r>
      <w:r>
        <w:rPr>
          <w:rFonts w:hint="eastAsia" w:ascii="Times New Roman" w:hAnsi="ˎ̥"/>
          <w:color w:val="000000" w:themeColor="text1"/>
          <w:sz w:val="28"/>
          <w:szCs w:val="28"/>
          <w:u w:val="single"/>
          <w:lang w:val="en-US" w:eastAsia="zh-CN"/>
        </w:rPr>
        <w:t>3年仪表团队50个防爆操作柱采购</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分项明细清单见附件</w:t>
      </w:r>
      <w:r>
        <w:rPr>
          <w:rFonts w:hint="eastAsia" w:ascii="Times New Roman" w:hAnsi="Times New Roman"/>
          <w:b/>
          <w:bCs/>
          <w:sz w:val="24"/>
          <w:szCs w:val="24"/>
          <w:lang w:eastAsia="zh-CN"/>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eastAsia"/>
          <w:color w:val="00B050"/>
          <w:sz w:val="28"/>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keepNext w:val="0"/>
        <w:keepLines w:val="0"/>
        <w:pageBreakBefore w:val="0"/>
        <w:widowControl w:val="0"/>
        <w:kinsoku/>
        <w:wordWrap/>
        <w:overflowPunct/>
        <w:topLinePunct w:val="0"/>
        <w:bidi w:val="0"/>
        <w:snapToGrid/>
        <w:spacing w:line="360" w:lineRule="auto"/>
        <w:rPr>
          <w:color w:val="4E6127"/>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C217EAF"/>
    <w:rsid w:val="1E085A14"/>
    <w:rsid w:val="1FF43DDB"/>
    <w:rsid w:val="21933AA2"/>
    <w:rsid w:val="24DC0EEC"/>
    <w:rsid w:val="25BF356F"/>
    <w:rsid w:val="25DB0C2D"/>
    <w:rsid w:val="263478BF"/>
    <w:rsid w:val="269469E7"/>
    <w:rsid w:val="28FD301E"/>
    <w:rsid w:val="29FC3B14"/>
    <w:rsid w:val="2B11792E"/>
    <w:rsid w:val="2C9B48A1"/>
    <w:rsid w:val="2CD22518"/>
    <w:rsid w:val="2DE57862"/>
    <w:rsid w:val="2E9D453A"/>
    <w:rsid w:val="31C54755"/>
    <w:rsid w:val="320B25D2"/>
    <w:rsid w:val="3216608C"/>
    <w:rsid w:val="32E0343B"/>
    <w:rsid w:val="34606647"/>
    <w:rsid w:val="34CE14C6"/>
    <w:rsid w:val="34D84CEC"/>
    <w:rsid w:val="37AF5AB7"/>
    <w:rsid w:val="37F824E3"/>
    <w:rsid w:val="395A672D"/>
    <w:rsid w:val="3B1C3371"/>
    <w:rsid w:val="3CC23198"/>
    <w:rsid w:val="3DDF4815"/>
    <w:rsid w:val="3ED80D7C"/>
    <w:rsid w:val="3FB11C04"/>
    <w:rsid w:val="3FE669E5"/>
    <w:rsid w:val="40FD77F3"/>
    <w:rsid w:val="423D79BD"/>
    <w:rsid w:val="493350F2"/>
    <w:rsid w:val="4946347D"/>
    <w:rsid w:val="499B72BF"/>
    <w:rsid w:val="4C3D436D"/>
    <w:rsid w:val="4D7472E9"/>
    <w:rsid w:val="4E844153"/>
    <w:rsid w:val="4F34472E"/>
    <w:rsid w:val="4F7033BA"/>
    <w:rsid w:val="4FB40925"/>
    <w:rsid w:val="50F63E28"/>
    <w:rsid w:val="5221007F"/>
    <w:rsid w:val="52926B5A"/>
    <w:rsid w:val="545C5E51"/>
    <w:rsid w:val="5486175B"/>
    <w:rsid w:val="55952173"/>
    <w:rsid w:val="5604432E"/>
    <w:rsid w:val="56782911"/>
    <w:rsid w:val="57667D24"/>
    <w:rsid w:val="57CE5BC3"/>
    <w:rsid w:val="586D6C9A"/>
    <w:rsid w:val="5AE1516A"/>
    <w:rsid w:val="5B6A3A79"/>
    <w:rsid w:val="5C1A5F7B"/>
    <w:rsid w:val="5C57586D"/>
    <w:rsid w:val="5EF92A9F"/>
    <w:rsid w:val="62084B2E"/>
    <w:rsid w:val="645771F8"/>
    <w:rsid w:val="65304BCB"/>
    <w:rsid w:val="66FD5367"/>
    <w:rsid w:val="68A37498"/>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24</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2023-05-15T05:59:14Z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