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微量水分析仪</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w:t>
      </w:r>
      <w:r>
        <w:rPr>
          <w:rFonts w:hint="eastAsia"/>
          <w:color w:val="000000" w:themeColor="text1"/>
          <w:sz w:val="28"/>
          <w:szCs w:val="28"/>
          <w:lang w:val="en-US" w:eastAsia="zh-CN"/>
        </w:rPr>
        <w:t>3</w:t>
      </w:r>
      <w:r>
        <w:rPr>
          <w:rFonts w:hint="eastAsia"/>
          <w:color w:val="000000" w:themeColor="text1"/>
          <w:sz w:val="28"/>
          <w:szCs w:val="28"/>
          <w:lang w:eastAsia="zh-CN"/>
        </w:rPr>
        <w:t>0</w:t>
      </w:r>
      <w:r>
        <w:rPr>
          <w:rFonts w:hint="eastAsia"/>
          <w:color w:val="000000" w:themeColor="text1"/>
          <w:sz w:val="28"/>
          <w:szCs w:val="28"/>
          <w:lang w:val="en-US" w:eastAsia="zh-CN"/>
        </w:rPr>
        <w:t>4170062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微量水分析仪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微量水分析仪</w:t>
      </w:r>
      <w:r>
        <w:rPr>
          <w:rFonts w:hint="eastAsia"/>
          <w:color w:val="000000" w:themeColor="text1"/>
          <w:u w:val="single"/>
          <w:lang w:eastAsia="zh-CN"/>
        </w:rPr>
        <w:t>采购项目（项目编号：QG2</w:t>
      </w:r>
      <w:r>
        <w:rPr>
          <w:rFonts w:hint="eastAsia"/>
          <w:color w:val="000000" w:themeColor="text1"/>
          <w:u w:val="single"/>
          <w:lang w:val="en-US" w:eastAsia="zh-CN"/>
        </w:rPr>
        <w:t>3</w:t>
      </w:r>
      <w:r>
        <w:rPr>
          <w:rFonts w:hint="eastAsia"/>
          <w:color w:val="000000" w:themeColor="text1"/>
          <w:u w:val="single"/>
          <w:lang w:eastAsia="zh-CN"/>
        </w:rPr>
        <w:t>0</w:t>
      </w:r>
      <w:r>
        <w:rPr>
          <w:rFonts w:hint="eastAsia"/>
          <w:color w:val="000000" w:themeColor="text1"/>
          <w:u w:val="single"/>
          <w:lang w:val="en-US" w:eastAsia="zh-CN"/>
        </w:rPr>
        <w:t>4170062</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微量水分析仪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p>
      <w:pPr>
        <w:tabs>
          <w:tab w:val="left" w:pos="709"/>
        </w:tabs>
        <w:spacing w:line="360" w:lineRule="auto"/>
        <w:rPr>
          <w:rFonts w:hint="default"/>
          <w:lang w:val="en-US" w:eastAsia="zh-CN"/>
        </w:rPr>
      </w:pPr>
      <w:r>
        <w:rPr>
          <w:rFonts w:hint="eastAsia"/>
          <w:sz w:val="24"/>
          <w:szCs w:val="24"/>
          <w:lang w:val="en-US" w:eastAsia="zh-CN"/>
        </w:rPr>
        <w:t xml:space="preserve">微量水分析仪 </w:t>
      </w:r>
      <w:r>
        <w:rPr>
          <w:rFonts w:hint="eastAsia"/>
          <w:sz w:val="24"/>
          <w:szCs w:val="24"/>
          <w:lang w:eastAsia="zh-CN"/>
        </w:rPr>
        <w:t>，</w:t>
      </w:r>
      <w:r>
        <w:rPr>
          <w:rFonts w:hint="eastAsia"/>
          <w:sz w:val="24"/>
          <w:szCs w:val="24"/>
          <w:lang w:val="en-US" w:eastAsia="zh-CN"/>
        </w:rPr>
        <w:t>详见技术规格书</w:t>
      </w:r>
    </w:p>
    <w:p>
      <w:pPr>
        <w:numPr>
          <w:numId w:val="0"/>
        </w:num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3.比选控制价：48万（不含税）。</w:t>
      </w:r>
    </w:p>
    <w:p>
      <w:pPr>
        <w:numPr>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default"/>
          <w:lang w:val="en-US" w:eastAsia="zh-CN"/>
        </w:rPr>
      </w:pPr>
      <w:r>
        <w:rPr>
          <w:rFonts w:hint="eastAsia"/>
          <w:sz w:val="24"/>
          <w:szCs w:val="24"/>
          <w:lang w:val="en-US" w:eastAsia="zh-CN"/>
        </w:rPr>
        <w:t>5.本标不接受联合体投标；</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w:t>
      </w:r>
      <w:r>
        <w:rPr>
          <w:rFonts w:hint="eastAsia" w:cs="Arial" w:asciiTheme="majorEastAsia" w:hAnsiTheme="majorEastAsia" w:eastAsiaTheme="majorEastAsia"/>
          <w:color w:val="333333"/>
          <w:sz w:val="24"/>
          <w:szCs w:val="24"/>
          <w:lang w:eastAsia="zh-CN"/>
        </w:rPr>
        <w:t>万元整（￥</w:t>
      </w:r>
      <w:r>
        <w:rPr>
          <w:rFonts w:hint="eastAsia" w:cs="Arial" w:asciiTheme="majorEastAsia" w:hAnsiTheme="majorEastAsia" w:eastAsiaTheme="majorEastAsia"/>
          <w:color w:val="333333"/>
          <w:sz w:val="24"/>
          <w:szCs w:val="24"/>
          <w:lang w:val="en-US" w:eastAsia="zh-CN"/>
        </w:rPr>
        <w:t>10000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微量水分析仪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5</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微量水分析仪采购项目</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default"/>
          <w:lang w:val="en-US" w:eastAsia="zh-CN"/>
        </w:rPr>
      </w:pPr>
      <w:r>
        <w:rPr>
          <w:rFonts w:hint="eastAsia"/>
          <w:sz w:val="24"/>
          <w:szCs w:val="24"/>
          <w:lang w:val="en-US" w:eastAsia="zh-CN"/>
        </w:rPr>
        <w:t>5.本标不接受联合体投标。</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w:t>
      </w:r>
      <w:r>
        <w:rPr>
          <w:rFonts w:hint="eastAsia" w:cs="Arial" w:asciiTheme="majorEastAsia" w:hAnsiTheme="majorEastAsia" w:eastAsiaTheme="majorEastAsia"/>
          <w:color w:val="333333"/>
          <w:sz w:val="24"/>
          <w:szCs w:val="24"/>
          <w:lang w:eastAsia="zh-CN"/>
        </w:rPr>
        <w:t>万元整（￥</w:t>
      </w:r>
      <w:r>
        <w:rPr>
          <w:rFonts w:hint="eastAsia" w:cs="Arial" w:asciiTheme="majorEastAsia" w:hAnsiTheme="majorEastAsia" w:eastAsiaTheme="majorEastAsia"/>
          <w:color w:val="333333"/>
          <w:sz w:val="24"/>
          <w:szCs w:val="24"/>
          <w:lang w:val="en-US" w:eastAsia="zh-CN"/>
        </w:rPr>
        <w:t>10000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微量水分析仪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1</w:t>
      </w:r>
      <w:r>
        <w:rPr>
          <w:rFonts w:hint="default" w:asciiTheme="majorEastAsia" w:hAnsiTheme="majorEastAsia" w:eastAsiaTheme="majorEastAsia"/>
          <w:lang w:val="en-US" w:eastAsia="zh-CN"/>
        </w:rPr>
        <w:t>0000</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48</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271"/>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5950"/>
        <w:gridCol w:w="813"/>
        <w:gridCol w:w="112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14" w:type="dxa"/>
            <w:vAlign w:val="center"/>
          </w:tcPr>
          <w:p>
            <w:pPr>
              <w:spacing w:line="120" w:lineRule="auto"/>
              <w:jc w:val="center"/>
              <w:rPr>
                <w:b/>
                <w:sz w:val="24"/>
              </w:rPr>
            </w:pPr>
            <w:r>
              <w:rPr>
                <w:rFonts w:hint="eastAsia"/>
                <w:b/>
                <w:sz w:val="24"/>
              </w:rPr>
              <w:t>产品名称</w:t>
            </w:r>
          </w:p>
        </w:tc>
        <w:tc>
          <w:tcPr>
            <w:tcW w:w="5950" w:type="dxa"/>
            <w:vAlign w:val="center"/>
          </w:tcPr>
          <w:p>
            <w:pPr>
              <w:spacing w:line="120" w:lineRule="auto"/>
              <w:jc w:val="center"/>
              <w:rPr>
                <w:b/>
                <w:sz w:val="24"/>
              </w:rPr>
            </w:pPr>
            <w:r>
              <w:rPr>
                <w:rFonts w:hint="eastAsia"/>
                <w:b/>
                <w:sz w:val="24"/>
              </w:rPr>
              <w:t>规格型号</w:t>
            </w:r>
          </w:p>
        </w:tc>
        <w:tc>
          <w:tcPr>
            <w:tcW w:w="813" w:type="dxa"/>
            <w:vAlign w:val="center"/>
          </w:tcPr>
          <w:p>
            <w:pPr>
              <w:spacing w:line="120" w:lineRule="auto"/>
              <w:jc w:val="center"/>
              <w:rPr>
                <w:b/>
                <w:sz w:val="24"/>
              </w:rPr>
            </w:pPr>
            <w:r>
              <w:rPr>
                <w:rFonts w:hint="eastAsia"/>
                <w:b/>
                <w:sz w:val="24"/>
              </w:rPr>
              <w:t>数量</w:t>
            </w:r>
          </w:p>
        </w:tc>
        <w:tc>
          <w:tcPr>
            <w:tcW w:w="1125" w:type="dxa"/>
            <w:vAlign w:val="center"/>
          </w:tcPr>
          <w:p>
            <w:pPr>
              <w:spacing w:line="120" w:lineRule="auto"/>
              <w:jc w:val="center"/>
              <w:rPr>
                <w:b/>
                <w:sz w:val="24"/>
              </w:rPr>
            </w:pPr>
            <w:r>
              <w:rPr>
                <w:rFonts w:hint="eastAsia"/>
                <w:b/>
                <w:sz w:val="24"/>
              </w:rPr>
              <w:t>单价/元</w:t>
            </w:r>
          </w:p>
        </w:tc>
        <w:tc>
          <w:tcPr>
            <w:tcW w:w="109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314" w:type="dxa"/>
            <w:vAlign w:val="center"/>
          </w:tcPr>
          <w:p>
            <w:pPr>
              <w:spacing w:line="120" w:lineRule="auto"/>
              <w:jc w:val="center"/>
              <w:rPr>
                <w:rFonts w:hint="eastAsia"/>
                <w:sz w:val="24"/>
                <w:lang w:val="en-US" w:eastAsia="zh-CN"/>
              </w:rPr>
            </w:pPr>
            <w:permStart w:id="0" w:edGrp="everyone"/>
            <w:r>
              <w:rPr>
                <w:rFonts w:hint="eastAsia"/>
                <w:sz w:val="24"/>
                <w:lang w:val="en-US" w:eastAsia="zh-CN"/>
              </w:rPr>
              <w:t>微量水分析仪</w:t>
            </w:r>
          </w:p>
        </w:tc>
        <w:tc>
          <w:tcPr>
            <w:tcW w:w="5950" w:type="dxa"/>
            <w:vAlign w:val="center"/>
          </w:tcPr>
          <w:p>
            <w:pPr>
              <w:keepNext w:val="0"/>
              <w:keepLines w:val="0"/>
              <w:widowControl/>
              <w:suppressLineNumbers w:val="0"/>
              <w:jc w:val="both"/>
              <w:textAlignment w:val="top"/>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kern w:val="0"/>
                <w:sz w:val="24"/>
                <w:szCs w:val="24"/>
                <w:lang w:val="en-US" w:eastAsia="zh-CN" w:bidi="ar"/>
              </w:rPr>
              <w:t>"电源：220VAC,50Hz 防爆等级：Ex dIICT4 防护等级：IP65 输出信号： 4-20m 1拖5，需带6个AO卡 其他见规格书"</w:t>
            </w:r>
          </w:p>
        </w:tc>
        <w:tc>
          <w:tcPr>
            <w:tcW w:w="813" w:type="dxa"/>
            <w:vAlign w:val="center"/>
          </w:tcPr>
          <w:p>
            <w:pPr>
              <w:spacing w:line="120" w:lineRule="auto"/>
              <w:jc w:val="center"/>
              <w:rPr>
                <w:rFonts w:hint="default"/>
                <w:sz w:val="24"/>
                <w:lang w:val="en-US" w:eastAsia="zh-CN"/>
              </w:rPr>
            </w:pPr>
            <w:r>
              <w:rPr>
                <w:rFonts w:hint="eastAsia"/>
                <w:sz w:val="24"/>
                <w:lang w:val="en-US" w:eastAsia="zh-CN"/>
              </w:rPr>
              <w:t>1</w:t>
            </w:r>
          </w:p>
        </w:tc>
        <w:tc>
          <w:tcPr>
            <w:tcW w:w="1125" w:type="dxa"/>
            <w:vAlign w:val="center"/>
          </w:tcPr>
          <w:p>
            <w:pPr>
              <w:spacing w:line="120" w:lineRule="auto"/>
              <w:jc w:val="center"/>
              <w:rPr>
                <w:sz w:val="24"/>
              </w:rPr>
            </w:pPr>
          </w:p>
        </w:tc>
        <w:tc>
          <w:tcPr>
            <w:tcW w:w="1096" w:type="dxa"/>
            <w:vAlign w:val="center"/>
          </w:tcPr>
          <w:p>
            <w:pPr>
              <w:spacing w:line="120" w:lineRule="auto"/>
              <w:jc w:val="center"/>
              <w:rPr>
                <w:sz w:val="24"/>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14" w:type="dxa"/>
            <w:vAlign w:val="center"/>
          </w:tcPr>
          <w:p>
            <w:pPr>
              <w:spacing w:line="120" w:lineRule="auto"/>
              <w:jc w:val="center"/>
              <w:rPr>
                <w:sz w:val="24"/>
              </w:rPr>
            </w:pPr>
            <w:r>
              <w:rPr>
                <w:rFonts w:hint="eastAsia"/>
                <w:sz w:val="24"/>
              </w:rPr>
              <w:t>合同金额合计</w:t>
            </w:r>
          </w:p>
        </w:tc>
        <w:tc>
          <w:tcPr>
            <w:tcW w:w="8984"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27787"/>
      <w:bookmarkStart w:id="2" w:name="_Toc14171"/>
      <w:bookmarkStart w:id="3" w:name="_Toc8520"/>
      <w:bookmarkStart w:id="4" w:name="_Toc17959"/>
      <w:bookmarkStart w:id="5" w:name="_Toc31173"/>
      <w:bookmarkStart w:id="6" w:name="_Toc18049"/>
      <w:bookmarkStart w:id="7" w:name="_Toc23434"/>
      <w:bookmarkStart w:id="8" w:name="_Toc4114"/>
      <w:bookmarkStart w:id="9" w:name="_Toc10991"/>
      <w:bookmarkStart w:id="10" w:name="_Toc385779252"/>
      <w:bookmarkStart w:id="11" w:name="_Toc20273"/>
      <w:bookmarkStart w:id="12" w:name="_Toc20180"/>
      <w:bookmarkStart w:id="13" w:name="_Toc352146655"/>
      <w:bookmarkStart w:id="14" w:name="_Toc2239"/>
      <w:bookmarkStart w:id="15" w:name="_Toc31402"/>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微量水分析仪</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微量水分析仪</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微量水分析仪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4170062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r>
              <w:rPr>
                <w:rFonts w:hint="eastAsia" w:cs="宋体"/>
                <w:color w:val="000000"/>
                <w:kern w:val="0"/>
                <w:sz w:val="18"/>
                <w:szCs w:val="18"/>
                <w:lang w:val="en-US" w:eastAsia="zh-CN" w:bidi="ar"/>
              </w:rPr>
              <w:t>09990084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微量水分析仪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"电源：220VAC,50Hz 防爆等级：Ex dIICT4 防护等级：IP65 输出信号： 4-20m 1拖5，需带6个AO卡 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numPr>
                <w:ilvl w:val="255"/>
                <w:numId w:val="0"/>
              </w:numPr>
              <w:spacing w:line="500" w:lineRule="exact"/>
              <w:rPr>
                <w:rFonts w:hint="eastAsia"/>
                <w:b w:val="0"/>
                <w:bCs w:val="0"/>
                <w:sz w:val="24"/>
                <w:lang w:val="en-US" w:eastAsia="zh-CN"/>
              </w:rPr>
            </w:pPr>
            <w:r>
              <w:rPr>
                <w:rFonts w:hint="eastAsia"/>
                <w:b w:val="0"/>
                <w:bCs w:val="0"/>
                <w:sz w:val="24"/>
                <w:lang w:val="en-US" w:eastAsia="zh-CN"/>
              </w:rPr>
              <w:t>1、报价单随附“电导率分析仪”询价说明：</w:t>
            </w:r>
          </w:p>
          <w:p>
            <w:pPr>
              <w:numPr>
                <w:numId w:val="0"/>
              </w:numPr>
              <w:spacing w:line="500" w:lineRule="exact"/>
              <w:ind w:leftChars="0"/>
              <w:rPr>
                <w:rFonts w:hint="eastAsia"/>
                <w:lang w:val="en-US" w:eastAsia="zh-CN"/>
              </w:rPr>
            </w:pPr>
            <w:bookmarkStart w:id="16" w:name="_GoBack"/>
            <w:bookmarkEnd w:id="16"/>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AE2D72"/>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A9C22EF"/>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7981585"/>
    <w:rsid w:val="27E149AB"/>
    <w:rsid w:val="27EE0826"/>
    <w:rsid w:val="280F47C0"/>
    <w:rsid w:val="2998140D"/>
    <w:rsid w:val="29FC3B14"/>
    <w:rsid w:val="2A056A4F"/>
    <w:rsid w:val="2B11792E"/>
    <w:rsid w:val="2CD63F14"/>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AB675C"/>
    <w:rsid w:val="6BCB034D"/>
    <w:rsid w:val="6C0E1756"/>
    <w:rsid w:val="6C2B2406"/>
    <w:rsid w:val="6D1B5A5A"/>
    <w:rsid w:val="6E0F2E14"/>
    <w:rsid w:val="6E71313D"/>
    <w:rsid w:val="6F1E141D"/>
    <w:rsid w:val="6F5354F8"/>
    <w:rsid w:val="7053719B"/>
    <w:rsid w:val="707F0E75"/>
    <w:rsid w:val="71D648EC"/>
    <w:rsid w:val="727810B8"/>
    <w:rsid w:val="7293546A"/>
    <w:rsid w:val="72E05B2C"/>
    <w:rsid w:val="73F81307"/>
    <w:rsid w:val="740A2BDE"/>
    <w:rsid w:val="751839E0"/>
    <w:rsid w:val="756178E9"/>
    <w:rsid w:val="75A1093B"/>
    <w:rsid w:val="75BE7C69"/>
    <w:rsid w:val="76274F93"/>
    <w:rsid w:val="78632A79"/>
    <w:rsid w:val="79670CA0"/>
    <w:rsid w:val="79EB3F2F"/>
    <w:rsid w:val="79FD3C4B"/>
    <w:rsid w:val="7A1D7427"/>
    <w:rsid w:val="7B11789E"/>
    <w:rsid w:val="7CEE7A95"/>
    <w:rsid w:val="7D250FF6"/>
    <w:rsid w:val="7D602708"/>
    <w:rsid w:val="7DC94A0A"/>
    <w:rsid w:val="7DFA3729"/>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10268</Words>
  <Characters>10793</Characters>
  <Lines>79</Lines>
  <Paragraphs>22</Paragraphs>
  <TotalTime>1</TotalTime>
  <ScaleCrop>false</ScaleCrop>
  <LinksUpToDate>false</LinksUpToDate>
  <CharactersWithSpaces>11744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2023-05-05T06:14:45Z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7EFD1898B78A4345BC21372367C648C1</vt:lpwstr>
  </property>
</Properties>
</file>