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F8FA" w14:textId="32D20DE7" w:rsidR="00B32B2A" w:rsidRPr="00EB0738" w:rsidRDefault="00FA39E3" w:rsidP="00EB0738">
      <w:pPr>
        <w:pStyle w:val="a7"/>
        <w:spacing w:after="0" w:line="360" w:lineRule="auto"/>
        <w:jc w:val="center"/>
        <w:rPr>
          <w:rFonts w:ascii="宋体" w:hAnsi="宋体" w:cs="宋体"/>
          <w:b/>
          <w:kern w:val="0"/>
          <w:sz w:val="32"/>
        </w:rPr>
      </w:pPr>
      <w:r w:rsidRPr="005E2D61">
        <w:rPr>
          <w:rFonts w:ascii="宋体" w:hAnsi="宋体" w:cs="宋体" w:hint="eastAsia"/>
          <w:b/>
          <w:kern w:val="0"/>
          <w:sz w:val="32"/>
        </w:rPr>
        <w:t>请</w:t>
      </w:r>
      <w:r w:rsidR="00B16E93" w:rsidRPr="005E2D61">
        <w:rPr>
          <w:rFonts w:ascii="宋体" w:hAnsi="宋体" w:cs="宋体" w:hint="eastAsia"/>
          <w:b/>
          <w:kern w:val="0"/>
          <w:sz w:val="32"/>
        </w:rPr>
        <w:t>购说</w:t>
      </w:r>
      <w:r w:rsidR="00B16E93">
        <w:rPr>
          <w:rFonts w:ascii="宋体" w:hAnsi="宋体" w:cs="宋体" w:hint="eastAsia"/>
          <w:b/>
          <w:kern w:val="0"/>
          <w:sz w:val="32"/>
        </w:rPr>
        <w:t>明</w:t>
      </w:r>
    </w:p>
    <w:p w14:paraId="7D934750" w14:textId="77777777" w:rsidR="008216A7" w:rsidRPr="00EB0738" w:rsidRDefault="00B32B2A" w:rsidP="00EB0738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EB0738">
        <w:rPr>
          <w:rFonts w:hint="eastAsia"/>
          <w:b/>
          <w:color w:val="000000"/>
          <w:sz w:val="24"/>
        </w:rPr>
        <w:t>一、</w:t>
      </w:r>
      <w:r w:rsidRPr="00EB0738">
        <w:rPr>
          <w:b/>
          <w:color w:val="000000"/>
          <w:sz w:val="24"/>
        </w:rPr>
        <w:t>采购</w:t>
      </w:r>
      <w:r w:rsidR="008216A7" w:rsidRPr="00EB0738">
        <w:rPr>
          <w:rFonts w:hint="eastAsia"/>
          <w:b/>
          <w:color w:val="000000"/>
          <w:sz w:val="24"/>
        </w:rPr>
        <w:t>需求</w:t>
      </w:r>
    </w:p>
    <w:p w14:paraId="1623C69F" w14:textId="0CED0B38" w:rsidR="00252249" w:rsidRPr="005607AD" w:rsidRDefault="008216A7" w:rsidP="00B57219">
      <w:pPr>
        <w:autoSpaceDE w:val="0"/>
        <w:autoSpaceDN w:val="0"/>
        <w:adjustRightInd w:val="0"/>
        <w:spacing w:line="360" w:lineRule="auto"/>
        <w:ind w:leftChars="18" w:left="38"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宋体" w:eastAsia="宋体" w:hAnsi="宋体" w:cs="Arial" w:hint="eastAsia"/>
          <w:sz w:val="24"/>
        </w:rPr>
        <w:t>福建福海创石油化工有限公司采购一套</w:t>
      </w:r>
      <w:r w:rsidR="00FB5556">
        <w:rPr>
          <w:rFonts w:ascii="宋体" w:eastAsia="宋体" w:hAnsi="宋体" w:cs="Arial" w:hint="eastAsia"/>
          <w:sz w:val="24"/>
        </w:rPr>
        <w:t>“</w:t>
      </w:r>
      <w:r w:rsidR="00640F38">
        <w:rPr>
          <w:rFonts w:ascii="宋体" w:eastAsia="宋体" w:hAnsi="宋体" w:cs="Arial" w:hint="eastAsia"/>
          <w:sz w:val="24"/>
        </w:rPr>
        <w:t>高压加氢固定床评价</w:t>
      </w:r>
      <w:r w:rsidRPr="008216A7">
        <w:rPr>
          <w:rFonts w:ascii="宋体" w:eastAsia="宋体" w:hAnsi="宋体" w:cs="Arial" w:hint="eastAsia"/>
          <w:sz w:val="24"/>
        </w:rPr>
        <w:t>装置</w:t>
      </w:r>
      <w:r w:rsidR="00FB5556">
        <w:rPr>
          <w:rFonts w:ascii="宋体" w:eastAsia="宋体" w:hAnsi="宋体" w:cs="Arial" w:hint="eastAsia"/>
          <w:sz w:val="24"/>
        </w:rPr>
        <w:t>”设备用于</w:t>
      </w:r>
      <w:r w:rsidR="00640F38" w:rsidRPr="00640F38">
        <w:rPr>
          <w:rFonts w:ascii="宋体" w:eastAsia="宋体" w:hAnsi="宋体" w:cs="Arial" w:hint="eastAsia"/>
          <w:sz w:val="24"/>
        </w:rPr>
        <w:t>催化剂性能评价</w:t>
      </w:r>
      <w:r w:rsidR="00B32B2A" w:rsidRPr="00640F38">
        <w:rPr>
          <w:rFonts w:ascii="Times New Roman" w:eastAsia="宋体" w:hAnsi="Times New Roman" w:cs="Times New Roman"/>
          <w:sz w:val="24"/>
          <w:szCs w:val="20"/>
        </w:rPr>
        <w:t>。</w:t>
      </w:r>
    </w:p>
    <w:p w14:paraId="75876D4B" w14:textId="77777777" w:rsidR="00B32B2A" w:rsidRPr="005607AD" w:rsidRDefault="00252249" w:rsidP="00354A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本案要求技术</w:t>
      </w:r>
      <w:proofErr w:type="gramStart"/>
      <w:r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标通过</w:t>
      </w:r>
      <w:proofErr w:type="gramEnd"/>
      <w:r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后再评商务标。</w:t>
      </w:r>
    </w:p>
    <w:p w14:paraId="6778C48A" w14:textId="77777777" w:rsidR="00DF7DC4" w:rsidRPr="00684F45" w:rsidRDefault="00800639" w:rsidP="00EB0738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684F45">
        <w:rPr>
          <w:rFonts w:hint="eastAsia"/>
          <w:b/>
          <w:color w:val="000000"/>
          <w:sz w:val="24"/>
        </w:rPr>
        <w:t>二、工艺概述</w:t>
      </w:r>
    </w:p>
    <w:p w14:paraId="1F18CA5C" w14:textId="281020A6" w:rsidR="005607AD" w:rsidRDefault="00640F38" w:rsidP="00BD6582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>
        <w:rPr>
          <w:rFonts w:ascii="宋体" w:hAnsi="宋体" w:cs="Arial" w:hint="eastAsia"/>
          <w:sz w:val="24"/>
        </w:rPr>
        <w:t>高压加氢固定床</w:t>
      </w:r>
      <w:r w:rsidR="00FB7AB4">
        <w:rPr>
          <w:rFonts w:ascii="宋体" w:hAnsi="宋体" w:cs="Arial" w:hint="eastAsia"/>
          <w:sz w:val="24"/>
        </w:rPr>
        <w:t>反应</w:t>
      </w:r>
      <w:r w:rsidR="00800639" w:rsidRPr="00B73550">
        <w:rPr>
          <w:rFonts w:hint="eastAsia"/>
          <w:color w:val="000000"/>
          <w:sz w:val="24"/>
        </w:rPr>
        <w:t>试验装置工艺采用</w:t>
      </w:r>
      <w:r w:rsidR="00147B98" w:rsidRPr="00147B98">
        <w:rPr>
          <w:rFonts w:hint="eastAsia"/>
          <w:color w:val="000000"/>
          <w:sz w:val="24"/>
          <w:highlight w:val="yellow"/>
        </w:rPr>
        <w:t>油品</w:t>
      </w:r>
      <w:r>
        <w:rPr>
          <w:rFonts w:hint="eastAsia"/>
          <w:color w:val="000000"/>
          <w:sz w:val="24"/>
        </w:rPr>
        <w:t>作为主要原料的试验装置，原料经过计量泵升压</w:t>
      </w:r>
      <w:r w:rsidR="00F23AC6">
        <w:rPr>
          <w:rFonts w:hint="eastAsia"/>
          <w:color w:val="000000"/>
          <w:sz w:val="24"/>
        </w:rPr>
        <w:t>与</w:t>
      </w:r>
      <w:r>
        <w:rPr>
          <w:rFonts w:hint="eastAsia"/>
          <w:color w:val="000000"/>
          <w:sz w:val="24"/>
        </w:rPr>
        <w:t>氢气混合然后通过预热器加热至需要的温度，进入加氢反应器中进行加氢反应，反应产物</w:t>
      </w:r>
      <w:r w:rsidR="00BD6582">
        <w:rPr>
          <w:rFonts w:hint="eastAsia"/>
          <w:color w:val="000000"/>
          <w:sz w:val="24"/>
        </w:rPr>
        <w:t>与冷媒介质换热冷却后进入高分罐进行气液相分离，气相</w:t>
      </w:r>
      <w:proofErr w:type="gramStart"/>
      <w:r w:rsidR="00BD6582">
        <w:rPr>
          <w:rFonts w:hint="eastAsia"/>
          <w:color w:val="000000"/>
          <w:sz w:val="24"/>
        </w:rPr>
        <w:t>通过</w:t>
      </w:r>
      <w:r w:rsidR="00BD6582" w:rsidRPr="00BF43CE">
        <w:rPr>
          <w:rFonts w:hint="eastAsia"/>
          <w:sz w:val="24"/>
        </w:rPr>
        <w:t>背压阀</w:t>
      </w:r>
      <w:proofErr w:type="gramEnd"/>
      <w:r w:rsidR="00BD6582" w:rsidRPr="00BF43CE">
        <w:rPr>
          <w:rFonts w:hint="eastAsia"/>
          <w:sz w:val="24"/>
        </w:rPr>
        <w:t>排放至尾气管线，液相排放至低分罐采样分析反应产物组成</w:t>
      </w:r>
      <w:r w:rsidR="00A05535" w:rsidRPr="00BF43CE">
        <w:rPr>
          <w:rFonts w:hint="eastAsia"/>
          <w:sz w:val="24"/>
        </w:rPr>
        <w:t>。</w:t>
      </w:r>
      <w:r w:rsidR="00F23AC6" w:rsidRPr="00BF43CE">
        <w:rPr>
          <w:rFonts w:hint="eastAsia"/>
          <w:sz w:val="24"/>
        </w:rPr>
        <w:t>加氢反应</w:t>
      </w:r>
      <w:r w:rsidR="00260AB7" w:rsidRPr="00BF43CE">
        <w:rPr>
          <w:rFonts w:hint="eastAsia"/>
          <w:sz w:val="24"/>
        </w:rPr>
        <w:t>氢气</w:t>
      </w:r>
      <w:r w:rsidR="00F23AC6" w:rsidRPr="00BF43CE">
        <w:rPr>
          <w:rFonts w:hint="eastAsia"/>
          <w:sz w:val="24"/>
        </w:rPr>
        <w:t>一次通过</w:t>
      </w:r>
      <w:r w:rsidR="00A05535" w:rsidRPr="00BF43CE">
        <w:rPr>
          <w:rFonts w:hint="eastAsia"/>
          <w:sz w:val="24"/>
        </w:rPr>
        <w:t>，</w:t>
      </w:r>
      <w:r w:rsidR="00F23AC6" w:rsidRPr="00BF43CE">
        <w:rPr>
          <w:rFonts w:hint="eastAsia"/>
          <w:sz w:val="24"/>
        </w:rPr>
        <w:t>为了防止催化剂被氢气</w:t>
      </w:r>
      <w:r w:rsidR="00260AB7" w:rsidRPr="00BF43CE">
        <w:rPr>
          <w:rFonts w:hint="eastAsia"/>
          <w:sz w:val="24"/>
        </w:rPr>
        <w:t>高温</w:t>
      </w:r>
      <w:r w:rsidR="00F23AC6" w:rsidRPr="00BF43CE">
        <w:rPr>
          <w:rFonts w:hint="eastAsia"/>
          <w:sz w:val="24"/>
        </w:rPr>
        <w:t>还原，</w:t>
      </w:r>
      <w:r w:rsidR="00A05535" w:rsidRPr="00BF43CE">
        <w:rPr>
          <w:rFonts w:hint="eastAsia"/>
          <w:sz w:val="24"/>
        </w:rPr>
        <w:t>且进原料前催化剂需要</w:t>
      </w:r>
      <w:proofErr w:type="gramStart"/>
      <w:r w:rsidR="00A05535" w:rsidRPr="00BF43CE">
        <w:rPr>
          <w:rFonts w:hint="eastAsia"/>
          <w:sz w:val="24"/>
        </w:rPr>
        <w:t>进行预硫化</w:t>
      </w:r>
      <w:proofErr w:type="gramEnd"/>
      <w:r w:rsidR="00A05535" w:rsidRPr="00BF43CE">
        <w:rPr>
          <w:rFonts w:hint="eastAsia"/>
          <w:sz w:val="24"/>
        </w:rPr>
        <w:t>，</w:t>
      </w:r>
      <w:r w:rsidR="00F23AC6" w:rsidRPr="00BF43CE">
        <w:rPr>
          <w:rFonts w:hint="eastAsia"/>
          <w:sz w:val="24"/>
        </w:rPr>
        <w:t>在原料进反应器前需增加连续注硫化剂设施。</w:t>
      </w:r>
      <w:r w:rsidR="00307551">
        <w:rPr>
          <w:rFonts w:hint="eastAsia"/>
          <w:sz w:val="24"/>
        </w:rPr>
        <w:t>本</w:t>
      </w:r>
      <w:r w:rsidR="00800639" w:rsidRPr="00BF43CE">
        <w:rPr>
          <w:rFonts w:hint="eastAsia"/>
          <w:sz w:val="24"/>
        </w:rPr>
        <w:t>装置分为三个系统：主工艺系统（按</w:t>
      </w:r>
      <w:r w:rsidR="00BD6582" w:rsidRPr="00BF43CE">
        <w:rPr>
          <w:rFonts w:hint="eastAsia"/>
          <w:sz w:val="24"/>
        </w:rPr>
        <w:t>四</w:t>
      </w:r>
      <w:r w:rsidR="00F23AC6" w:rsidRPr="00BF43CE">
        <w:rPr>
          <w:rFonts w:hint="eastAsia"/>
          <w:sz w:val="24"/>
        </w:rPr>
        <w:t>个反应器平行</w:t>
      </w:r>
      <w:r w:rsidR="00800639" w:rsidRPr="00BF43CE">
        <w:rPr>
          <w:rFonts w:hint="eastAsia"/>
          <w:sz w:val="24"/>
        </w:rPr>
        <w:t>流程设计）、</w:t>
      </w:r>
      <w:r w:rsidR="00BF43CE" w:rsidRPr="00CA5155">
        <w:rPr>
          <w:rFonts w:hint="eastAsia"/>
          <w:sz w:val="24"/>
        </w:rPr>
        <w:t>低温恒温反应浴系统</w:t>
      </w:r>
      <w:r w:rsidR="00800639" w:rsidRPr="00CA5155">
        <w:rPr>
          <w:rFonts w:hint="eastAsia"/>
          <w:sz w:val="24"/>
        </w:rPr>
        <w:t>、</w:t>
      </w:r>
      <w:r w:rsidR="00800639" w:rsidRPr="00B73550">
        <w:rPr>
          <w:rFonts w:hint="eastAsia"/>
          <w:color w:val="000000"/>
          <w:sz w:val="24"/>
        </w:rPr>
        <w:t>公用工程部分</w:t>
      </w:r>
      <w:r w:rsidR="00307551">
        <w:rPr>
          <w:rFonts w:hint="eastAsia"/>
          <w:color w:val="000000"/>
          <w:sz w:val="24"/>
        </w:rPr>
        <w:t>接口</w:t>
      </w:r>
      <w:r w:rsidR="00800639" w:rsidRPr="00B73550">
        <w:rPr>
          <w:rFonts w:hint="eastAsia"/>
          <w:color w:val="000000"/>
          <w:sz w:val="24"/>
        </w:rPr>
        <w:t>（</w:t>
      </w:r>
      <w:r w:rsidR="00800639" w:rsidRPr="005607AD">
        <w:rPr>
          <w:rFonts w:hint="eastAsia"/>
          <w:color w:val="000000"/>
          <w:sz w:val="24"/>
        </w:rPr>
        <w:t>电、氮气、</w:t>
      </w:r>
      <w:r w:rsidR="00F23AC6">
        <w:rPr>
          <w:rFonts w:hint="eastAsia"/>
          <w:color w:val="000000"/>
          <w:sz w:val="24"/>
        </w:rPr>
        <w:t>尾气排放</w:t>
      </w:r>
      <w:r w:rsidR="00800639" w:rsidRPr="005607AD">
        <w:rPr>
          <w:rFonts w:hint="eastAsia"/>
          <w:color w:val="000000"/>
          <w:sz w:val="24"/>
        </w:rPr>
        <w:t>）</w:t>
      </w:r>
      <w:r w:rsidR="003B710E">
        <w:rPr>
          <w:rFonts w:hint="eastAsia"/>
          <w:color w:val="000000"/>
          <w:sz w:val="24"/>
        </w:rPr>
        <w:t>，设备流程见附图。</w:t>
      </w:r>
    </w:p>
    <w:p w14:paraId="1517F84D" w14:textId="6CBEE4CF" w:rsidR="00800639" w:rsidRPr="00800639" w:rsidRDefault="00800639" w:rsidP="005607AD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800639">
        <w:rPr>
          <w:rFonts w:hint="eastAsia"/>
          <w:color w:val="000000"/>
          <w:sz w:val="24"/>
        </w:rPr>
        <w:t>试验装置设计采用</w:t>
      </w:r>
      <w:r w:rsidR="00F063E2">
        <w:rPr>
          <w:rFonts w:hint="eastAsia"/>
          <w:color w:val="000000"/>
          <w:sz w:val="24"/>
        </w:rPr>
        <w:t>间歇式生产</w:t>
      </w:r>
      <w:r w:rsidRPr="00800639">
        <w:rPr>
          <w:rFonts w:hint="eastAsia"/>
          <w:color w:val="000000"/>
          <w:sz w:val="24"/>
        </w:rPr>
        <w:t>，</w:t>
      </w:r>
      <w:r w:rsidR="00F23AC6">
        <w:rPr>
          <w:rFonts w:hint="eastAsia"/>
          <w:color w:val="000000"/>
          <w:sz w:val="24"/>
        </w:rPr>
        <w:t>四个反应器可以同步评价不同工艺参数的催化剂性能，</w:t>
      </w:r>
      <w:r w:rsidR="008C33B5">
        <w:rPr>
          <w:rFonts w:hint="eastAsia"/>
          <w:color w:val="000000"/>
          <w:sz w:val="24"/>
        </w:rPr>
        <w:t>在反应器装填好催化剂，</w:t>
      </w:r>
      <w:r w:rsidRPr="00800639">
        <w:rPr>
          <w:rFonts w:hint="eastAsia"/>
          <w:color w:val="000000"/>
          <w:sz w:val="24"/>
        </w:rPr>
        <w:t>按</w:t>
      </w:r>
      <w:r w:rsidR="00F23AC6">
        <w:rPr>
          <w:rFonts w:hint="eastAsia"/>
          <w:color w:val="000000"/>
          <w:sz w:val="24"/>
        </w:rPr>
        <w:t>预设反应空速</w:t>
      </w:r>
      <w:r w:rsidRPr="00800639">
        <w:rPr>
          <w:rFonts w:hint="eastAsia"/>
          <w:color w:val="000000"/>
          <w:sz w:val="24"/>
        </w:rPr>
        <w:t>将计量好</w:t>
      </w:r>
      <w:r w:rsidR="008C33B5">
        <w:rPr>
          <w:rFonts w:hint="eastAsia"/>
          <w:color w:val="000000"/>
          <w:sz w:val="24"/>
        </w:rPr>
        <w:t>的</w:t>
      </w:r>
      <w:r w:rsidR="009245E1">
        <w:rPr>
          <w:rFonts w:hint="eastAsia"/>
          <w:color w:val="000000"/>
          <w:sz w:val="24"/>
        </w:rPr>
        <w:t>原料</w:t>
      </w:r>
      <w:r w:rsidRPr="00800639">
        <w:rPr>
          <w:rFonts w:hint="eastAsia"/>
          <w:color w:val="000000"/>
          <w:sz w:val="24"/>
        </w:rPr>
        <w:t>和</w:t>
      </w:r>
      <w:r w:rsidR="00F23AC6">
        <w:rPr>
          <w:rFonts w:hint="eastAsia"/>
          <w:color w:val="000000"/>
          <w:sz w:val="24"/>
        </w:rPr>
        <w:t>氢气</w:t>
      </w:r>
      <w:r w:rsidRPr="00800639">
        <w:rPr>
          <w:rFonts w:hint="eastAsia"/>
          <w:color w:val="000000"/>
          <w:sz w:val="24"/>
        </w:rPr>
        <w:t>混合均匀，然后控制</w:t>
      </w:r>
      <w:r w:rsidR="008C33B5">
        <w:rPr>
          <w:rFonts w:hint="eastAsia"/>
          <w:color w:val="000000"/>
          <w:sz w:val="24"/>
        </w:rPr>
        <w:t>在</w:t>
      </w:r>
      <w:r w:rsidRPr="00800639">
        <w:rPr>
          <w:rFonts w:hint="eastAsia"/>
          <w:color w:val="000000"/>
          <w:sz w:val="24"/>
        </w:rPr>
        <w:t>一定的温度和压力条件下进行</w:t>
      </w:r>
      <w:r w:rsidR="00F23AC6">
        <w:rPr>
          <w:rFonts w:hint="eastAsia"/>
          <w:color w:val="000000"/>
          <w:sz w:val="24"/>
        </w:rPr>
        <w:t>加氢</w:t>
      </w:r>
      <w:r w:rsidRPr="00800639">
        <w:rPr>
          <w:rFonts w:hint="eastAsia"/>
          <w:color w:val="000000"/>
          <w:sz w:val="24"/>
        </w:rPr>
        <w:t>反应，一定时间后</w:t>
      </w:r>
      <w:r w:rsidR="008C33B5">
        <w:rPr>
          <w:rFonts w:hint="eastAsia"/>
          <w:color w:val="000000"/>
          <w:sz w:val="24"/>
        </w:rPr>
        <w:t>反应生成油从低分罐中排掉或取样分析评价催化剂性能</w:t>
      </w:r>
      <w:r w:rsidRPr="00800639">
        <w:rPr>
          <w:rFonts w:hint="eastAsia"/>
          <w:color w:val="000000"/>
          <w:sz w:val="24"/>
        </w:rPr>
        <w:t>，完成反应过程。</w:t>
      </w:r>
    </w:p>
    <w:p w14:paraId="539D6362" w14:textId="77777777" w:rsidR="00800639" w:rsidRPr="0079136C" w:rsidRDefault="00684F45" w:rsidP="00C45126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79136C">
        <w:rPr>
          <w:rFonts w:hint="eastAsia"/>
          <w:b/>
          <w:color w:val="000000"/>
          <w:sz w:val="24"/>
        </w:rPr>
        <w:t>三</w:t>
      </w:r>
      <w:r w:rsidR="00C45126" w:rsidRPr="0079136C">
        <w:rPr>
          <w:rFonts w:hint="eastAsia"/>
          <w:b/>
          <w:color w:val="000000"/>
          <w:sz w:val="24"/>
        </w:rPr>
        <w:t>、</w:t>
      </w:r>
      <w:r w:rsidR="00800639" w:rsidRPr="0079136C">
        <w:rPr>
          <w:rFonts w:hint="eastAsia"/>
          <w:b/>
          <w:color w:val="000000"/>
          <w:sz w:val="24"/>
        </w:rPr>
        <w:t>试验装置的特点及要求</w:t>
      </w:r>
    </w:p>
    <w:p w14:paraId="57FA9665" w14:textId="3BBDD80E"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 w:rsidRPr="00B73550">
        <w:rPr>
          <w:color w:val="000000"/>
          <w:sz w:val="24"/>
        </w:rPr>
        <w:t xml:space="preserve">.1 </w:t>
      </w:r>
      <w:r w:rsidR="009316D2">
        <w:rPr>
          <w:rFonts w:hint="eastAsia"/>
          <w:color w:val="000000"/>
          <w:sz w:val="24"/>
        </w:rPr>
        <w:t>技术要求</w:t>
      </w:r>
    </w:p>
    <w:p w14:paraId="58983C94" w14:textId="695769F7" w:rsidR="009316D2" w:rsidRDefault="009316D2" w:rsidP="009316D2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9316D2">
        <w:rPr>
          <w:rFonts w:hint="eastAsia"/>
          <w:color w:val="000000"/>
          <w:sz w:val="24"/>
        </w:rPr>
        <w:t>满足</w:t>
      </w:r>
      <w:proofErr w:type="gramStart"/>
      <w:r w:rsidRPr="009316D2">
        <w:rPr>
          <w:rFonts w:hint="eastAsia"/>
          <w:color w:val="000000"/>
          <w:sz w:val="24"/>
        </w:rPr>
        <w:t>日常项目</w:t>
      </w:r>
      <w:proofErr w:type="gramEnd"/>
      <w:r w:rsidRPr="009316D2">
        <w:rPr>
          <w:rFonts w:hint="eastAsia"/>
          <w:color w:val="000000"/>
          <w:sz w:val="24"/>
        </w:rPr>
        <w:t>反应的设备需求。可接入进料泵连续供给原料、原料预热、高压力下保持良好的气密性、反应器加热且具有超温断电能力、设备具备安全取样。管路方面，需要材质安全纯净，气液</w:t>
      </w:r>
      <w:proofErr w:type="gramStart"/>
      <w:r w:rsidRPr="009316D2">
        <w:rPr>
          <w:rFonts w:hint="eastAsia"/>
          <w:color w:val="000000"/>
          <w:sz w:val="24"/>
        </w:rPr>
        <w:t>分离罐须预留</w:t>
      </w:r>
      <w:proofErr w:type="gramEnd"/>
      <w:r w:rsidRPr="009316D2">
        <w:rPr>
          <w:rFonts w:hint="eastAsia"/>
          <w:color w:val="000000"/>
          <w:sz w:val="24"/>
        </w:rPr>
        <w:t>夹套。提供安全阻火装置，并保证尾气可环保、安全排放</w:t>
      </w:r>
      <w:r w:rsidR="00260AB7">
        <w:rPr>
          <w:rFonts w:hint="eastAsia"/>
          <w:color w:val="000000"/>
          <w:sz w:val="24"/>
        </w:rPr>
        <w:t>，</w:t>
      </w:r>
      <w:r w:rsidRPr="009316D2">
        <w:rPr>
          <w:rFonts w:hint="eastAsia"/>
          <w:color w:val="000000"/>
          <w:sz w:val="24"/>
        </w:rPr>
        <w:t>设备整体防爆方案。</w:t>
      </w:r>
    </w:p>
    <w:p w14:paraId="64DCAEE6" w14:textId="7BEFA694" w:rsidR="009316D2" w:rsidRDefault="009316D2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技术参数要求</w:t>
      </w:r>
      <w:r w:rsidR="00260AB7">
        <w:rPr>
          <w:rFonts w:hint="eastAsia"/>
          <w:color w:val="00000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9316D2" w:rsidRPr="00C866F9" w14:paraId="441B146F" w14:textId="77777777" w:rsidTr="001D32E9">
        <w:trPr>
          <w:trHeight w:val="312"/>
          <w:tblHeader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670603FE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14:paraId="6CD40FA5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性能参数</w:t>
            </w:r>
          </w:p>
        </w:tc>
        <w:tc>
          <w:tcPr>
            <w:tcW w:w="2914" w:type="dxa"/>
            <w:vMerge w:val="restart"/>
            <w:shd w:val="clear" w:color="auto" w:fill="auto"/>
            <w:noWrap/>
            <w:vAlign w:val="center"/>
            <w:hideMark/>
          </w:tcPr>
          <w:p w14:paraId="1E692E1F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要求数据</w:t>
            </w:r>
          </w:p>
        </w:tc>
      </w:tr>
      <w:tr w:rsidR="009316D2" w:rsidRPr="00C866F9" w14:paraId="0339520C" w14:textId="77777777" w:rsidTr="001D32E9">
        <w:trPr>
          <w:trHeight w:val="312"/>
          <w:tblHeader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DEBB080" w14:textId="77777777" w:rsidR="009316D2" w:rsidRPr="00C866F9" w:rsidRDefault="009316D2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14:paraId="35DF17F6" w14:textId="77777777" w:rsidR="009316D2" w:rsidRPr="00C866F9" w:rsidRDefault="009316D2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  <w:hideMark/>
          </w:tcPr>
          <w:p w14:paraId="4AA6FCB4" w14:textId="77777777" w:rsidR="009316D2" w:rsidRPr="00C866F9" w:rsidRDefault="009316D2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16D2" w:rsidRPr="00C866F9" w14:paraId="593A3238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490D42DE" w14:textId="48F2473E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CCB1472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反应器温度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35DC2312" w14:textId="674EDB8A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室温</w:t>
            </w:r>
            <w:r w:rsidR="00C866F9" w:rsidRPr="00C866F9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600℃</w:t>
            </w:r>
          </w:p>
        </w:tc>
      </w:tr>
      <w:tr w:rsidR="009316D2" w:rsidRPr="00C866F9" w14:paraId="30C0B077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28A56F87" w14:textId="11A40279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DB45812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加热模式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3AA39610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电加热</w:t>
            </w:r>
          </w:p>
        </w:tc>
      </w:tr>
      <w:tr w:rsidR="009316D2" w:rsidRPr="00C866F9" w14:paraId="67DE4471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018C96F9" w14:textId="76C9A002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9887293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反应器最大操作压力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2A03A02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10MPa</w:t>
            </w:r>
          </w:p>
        </w:tc>
      </w:tr>
      <w:tr w:rsidR="009316D2" w:rsidRPr="00C866F9" w14:paraId="211203F7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54F47FD0" w14:textId="300C7420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2D82375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反应器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卸载荷阀</w:t>
            </w:r>
            <w:proofErr w:type="gramEnd"/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78D5119F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2D387050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4B2ED04E" w14:textId="68CFABCA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DFA154E" w14:textId="77777777" w:rsidR="009316D2" w:rsidRPr="0039455A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9455A">
              <w:rPr>
                <w:rFonts w:ascii="Times New Roman" w:eastAsia="宋体" w:hAnsi="Times New Roman" w:cs="Times New Roman"/>
                <w:szCs w:val="21"/>
              </w:rPr>
              <w:t>反应器内径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E102A6D" w14:textId="4F1E7CD3" w:rsidR="009316D2" w:rsidRPr="0039455A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9455A">
              <w:rPr>
                <w:rFonts w:ascii="Times New Roman" w:eastAsia="宋体" w:hAnsi="Times New Roman" w:cs="Times New Roman"/>
                <w:szCs w:val="21"/>
              </w:rPr>
              <w:t>52mm</w:t>
            </w:r>
            <w:r w:rsidR="00D7378C" w:rsidRPr="0039455A">
              <w:rPr>
                <w:rFonts w:ascii="Times New Roman" w:eastAsia="宋体" w:hAnsi="Times New Roman" w:cs="Times New Roman"/>
                <w:szCs w:val="21"/>
              </w:rPr>
              <w:t>×</w:t>
            </w:r>
            <w:r w:rsidRPr="0039455A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9455A">
              <w:rPr>
                <w:rFonts w:ascii="Times New Roman" w:eastAsia="宋体" w:hAnsi="Times New Roman" w:cs="Times New Roman"/>
                <w:szCs w:val="21"/>
              </w:rPr>
              <w:t>个</w:t>
            </w:r>
          </w:p>
        </w:tc>
      </w:tr>
      <w:tr w:rsidR="009316D2" w:rsidRPr="00C866F9" w14:paraId="43A05C9A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6939894C" w14:textId="01FE5F1F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F551973" w14:textId="77777777" w:rsidR="009316D2" w:rsidRPr="0039455A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9455A">
              <w:rPr>
                <w:rFonts w:ascii="Times New Roman" w:eastAsia="宋体" w:hAnsi="Times New Roman" w:cs="Times New Roman"/>
                <w:szCs w:val="21"/>
              </w:rPr>
              <w:t>反应器恒温区长度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EBE3FBF" w14:textId="77777777" w:rsidR="009316D2" w:rsidRPr="0039455A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9455A">
              <w:rPr>
                <w:rFonts w:ascii="Times New Roman" w:eastAsia="宋体" w:hAnsi="Times New Roman" w:cs="Times New Roman"/>
                <w:szCs w:val="21"/>
              </w:rPr>
              <w:t>≥200mm</w:t>
            </w:r>
          </w:p>
        </w:tc>
      </w:tr>
      <w:tr w:rsidR="009316D2" w:rsidRPr="00C866F9" w14:paraId="10C4E4B7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7A0D4E18" w14:textId="1693C99C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79D9DD" w14:textId="77777777" w:rsidR="009316D2" w:rsidRPr="00CA5155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5155">
              <w:rPr>
                <w:rFonts w:ascii="Times New Roman" w:eastAsia="宋体" w:hAnsi="Times New Roman" w:cs="Times New Roman"/>
                <w:szCs w:val="21"/>
              </w:rPr>
              <w:t>高分罐（设置夹套）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3CA7E9E6" w14:textId="4A1BBFA2" w:rsidR="009316D2" w:rsidRPr="00CA5155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9316D2" w:rsidRPr="00C866F9" w14:paraId="6B206EF1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6C86F0E2" w14:textId="3EAA12A2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FD3F4FB" w14:textId="77777777" w:rsidR="009316D2" w:rsidRPr="00CA5155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5155">
              <w:rPr>
                <w:rFonts w:ascii="Times New Roman" w:eastAsia="宋体" w:hAnsi="Times New Roman" w:cs="Times New Roman"/>
                <w:szCs w:val="21"/>
              </w:rPr>
              <w:t>低分罐（设置夹套）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16A03CB" w14:textId="7D26C1A2" w:rsidR="009316D2" w:rsidRPr="00CA5155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9316D2" w:rsidRPr="00C866F9" w14:paraId="4EF4C674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564CF87A" w14:textId="1D999ABC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E553EF" w14:textId="77777777" w:rsidR="009316D2" w:rsidRPr="00CA5155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5155">
              <w:rPr>
                <w:rFonts w:ascii="Times New Roman" w:eastAsia="宋体" w:hAnsi="Times New Roman" w:cs="Times New Roman"/>
                <w:szCs w:val="21"/>
              </w:rPr>
              <w:t>原料罐（玻璃材质）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35D1DC14" w14:textId="1F739141" w:rsidR="009316D2" w:rsidRPr="00CA5155" w:rsidRDefault="00CA5155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A5155">
              <w:rPr>
                <w:rFonts w:ascii="Times New Roman" w:eastAsia="宋体" w:hAnsi="Times New Roman" w:cs="Times New Roman" w:hint="eastAsia"/>
                <w:szCs w:val="21"/>
              </w:rPr>
              <w:t>要求</w:t>
            </w:r>
          </w:p>
        </w:tc>
      </w:tr>
      <w:tr w:rsidR="009316D2" w:rsidRPr="00C866F9" w14:paraId="41A63B62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1F6E2C28" w14:textId="28D1D585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0A0B01A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压力容器资质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0F90D0C8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1E34AAC5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2140F752" w14:textId="14F92423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45CBAA9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管阀件品牌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0471D63E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世</w:t>
            </w:r>
            <w:proofErr w:type="gramEnd"/>
            <w:r w:rsidRPr="00C866F9">
              <w:rPr>
                <w:rFonts w:ascii="Times New Roman" w:eastAsia="宋体" w:hAnsi="Times New Roman" w:cs="Times New Roman"/>
                <w:szCs w:val="21"/>
              </w:rPr>
              <w:t>伟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洛</w:t>
            </w:r>
            <w:proofErr w:type="gramEnd"/>
            <w:r w:rsidRPr="00C866F9">
              <w:rPr>
                <w:rFonts w:ascii="Times New Roman" w:eastAsia="宋体" w:hAnsi="Times New Roman" w:cs="Times New Roman"/>
                <w:szCs w:val="21"/>
              </w:rPr>
              <w:t>克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材质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 xml:space="preserve"> ss316</w:t>
            </w:r>
          </w:p>
        </w:tc>
      </w:tr>
      <w:tr w:rsidR="009316D2" w:rsidRPr="00C866F9" w14:paraId="0C844BD5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6587FB6A" w14:textId="34EC1DDE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CC50606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质量流量计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1D84D8F7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BROOKS</w:t>
            </w:r>
          </w:p>
        </w:tc>
      </w:tr>
      <w:tr w:rsidR="001D32E9" w:rsidRPr="00C866F9" w14:paraId="61B06AF5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11CA4278" w14:textId="77777777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64A70D" w14:textId="235F7FB4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氢气气体流量范围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0B694CB5" w14:textId="21B2E4B3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0-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3000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sccm</w:t>
            </w:r>
          </w:p>
        </w:tc>
      </w:tr>
      <w:tr w:rsidR="009316D2" w:rsidRPr="00C866F9" w14:paraId="040D1388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1A046B56" w14:textId="56314BCC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6966F6D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流量计前加过滤器，后加止回阀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443D7061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25F2FA3E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04B2F72A" w14:textId="3C35A2A2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0C0C6EB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管路设有止逆阀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E9C1C35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2280E6BD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7576DFF5" w14:textId="70ACEC4D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7AA620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尾气管路阻火塞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3843F7A9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69F1384D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46209A0E" w14:textId="34F242CE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C2EA2B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超温报警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2F9E60B8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7EA97E33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6609CA6C" w14:textId="4CF9A3FD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0A77305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氢气报警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2F43BDD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7B2F5140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475B6077" w14:textId="201501DF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908B7A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硫化氢报警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1F437D6C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05A59998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614D0D38" w14:textId="60F57D22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400F8AE" w14:textId="0D2AB481" w:rsidR="009316D2" w:rsidRPr="00C866F9" w:rsidRDefault="000E6005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联锁</w:t>
            </w:r>
            <w:proofErr w:type="gramEnd"/>
            <w:r w:rsidR="009316D2" w:rsidRPr="00C866F9">
              <w:rPr>
                <w:rFonts w:ascii="Times New Roman" w:eastAsia="宋体" w:hAnsi="Times New Roman" w:cs="Times New Roman"/>
                <w:szCs w:val="21"/>
              </w:rPr>
              <w:t>断电保护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1451152A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35CB5EED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3D020B93" w14:textId="44CE793D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282D874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设备严格接地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40B689A5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38953E3D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560577B9" w14:textId="400DE49D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ACED4F1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温度、压力、流量的控制与显示接入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PLC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电脑控制系统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BCBE822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9316D2" w:rsidRPr="00C866F9" w14:paraId="391FF5A1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5081747D" w14:textId="70083180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5EC072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压力表和精密压力表品牌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7B099181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布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莱迪</w:t>
            </w:r>
            <w:proofErr w:type="gramEnd"/>
          </w:p>
        </w:tc>
      </w:tr>
      <w:tr w:rsidR="009316D2" w:rsidRPr="00C866F9" w14:paraId="3DEB7E87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1A1EED65" w14:textId="055FECDF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F85EF3E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减压阀、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背压阀品牌</w:t>
            </w:r>
            <w:proofErr w:type="gramEnd"/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4037F62A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TESCOM</w:t>
            </w:r>
          </w:p>
        </w:tc>
      </w:tr>
      <w:tr w:rsidR="009316D2" w:rsidRPr="00C866F9" w14:paraId="7B344C4B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3F151B87" w14:textId="344E27DC" w:rsidR="009316D2" w:rsidRPr="00CA5155" w:rsidRDefault="009316D2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7CDF0EC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液体泵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22A05046" w14:textId="77777777" w:rsidR="009316D2" w:rsidRPr="00C866F9" w:rsidRDefault="009316D2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美国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SSI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柱塞泵</w:t>
            </w:r>
          </w:p>
        </w:tc>
      </w:tr>
      <w:tr w:rsidR="001D32E9" w:rsidRPr="00C866F9" w14:paraId="57745363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14B0DED0" w14:textId="77777777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06092F9" w14:textId="77C97DBF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原料进料量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73F34A3F" w14:textId="66E5DB13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min</w:t>
            </w:r>
          </w:p>
        </w:tc>
      </w:tr>
      <w:tr w:rsidR="001D32E9" w:rsidRPr="00C866F9" w14:paraId="62D998AE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1834DD19" w14:textId="77777777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F12BA82" w14:textId="76275CAB" w:rsidR="001D32E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预硫化剂进料量（可选液体预硫化剂或气体预硫化剂）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F1B1337" w14:textId="2BC9BE0C" w:rsidR="001D32E9" w:rsidRPr="001D32E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若液体：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min</w:t>
            </w:r>
          </w:p>
          <w:p w14:paraId="4C89F06E" w14:textId="6BF9389C" w:rsidR="001D32E9" w:rsidRPr="001D32E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若气体：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1D32E9">
              <w:rPr>
                <w:rFonts w:ascii="Times New Roman" w:eastAsia="宋体" w:hAnsi="Times New Roman" w:cs="Times New Roman"/>
                <w:szCs w:val="21"/>
              </w:rPr>
              <w:t>L/</w:t>
            </w:r>
            <w:r w:rsidRPr="001D32E9">
              <w:rPr>
                <w:rFonts w:ascii="Times New Roman" w:eastAsia="宋体" w:hAnsi="Times New Roman" w:cs="Times New Roman" w:hint="eastAsia"/>
                <w:szCs w:val="21"/>
              </w:rPr>
              <w:t>min</w:t>
            </w:r>
          </w:p>
        </w:tc>
      </w:tr>
      <w:tr w:rsidR="001D32E9" w:rsidRPr="00C866F9" w14:paraId="592757F9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205FC24C" w14:textId="355BF5DE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4ADAA90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设备整体进入罩子（接通风、多开门）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65751EB1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16A547EA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5566C5F8" w14:textId="23F42269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2C5A51E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进口装置标准件要求原产地证明，包括气体质量流量计、减压阀、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背压阀</w:t>
            </w:r>
            <w:proofErr w:type="gramEnd"/>
            <w:r w:rsidRPr="00C866F9">
              <w:rPr>
                <w:rFonts w:ascii="Times New Roman" w:eastAsia="宋体" w:hAnsi="Times New Roman" w:cs="Times New Roman"/>
                <w:szCs w:val="21"/>
              </w:rPr>
              <w:t>、柱塞泵、阀门及管件、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PLC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等系统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535C4A90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07CDE4F4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5DC48810" w14:textId="67D8EB09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7A4C685" w14:textId="5FEDBC10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电控系统，设备整体有防爆要求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6760CE0E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CT4</w:t>
            </w:r>
          </w:p>
        </w:tc>
      </w:tr>
      <w:tr w:rsidR="001D32E9" w:rsidRPr="00C866F9" w14:paraId="464762B1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00D50D68" w14:textId="07BDB0C2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86FFB11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出厂试压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4AFF7C11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437922E3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7F9A6421" w14:textId="1332B8F4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004703" w14:textId="2E1D7B14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备用反应器</w:t>
            </w:r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62B13633" w14:textId="2B3B6310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  <w:r w:rsidRPr="00C866F9">
              <w:rPr>
                <w:rFonts w:ascii="Times New Roman" w:eastAsia="宋体" w:hAnsi="Times New Roman" w:cs="Times New Roman"/>
                <w:szCs w:val="21"/>
              </w:rPr>
              <w:t>（至少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866F9">
              <w:rPr>
                <w:rFonts w:ascii="Times New Roman" w:eastAsia="宋体" w:hAnsi="Times New Roman" w:cs="Times New Roman"/>
                <w:szCs w:val="21"/>
              </w:rPr>
              <w:t>个）</w:t>
            </w:r>
          </w:p>
        </w:tc>
      </w:tr>
      <w:tr w:rsidR="001D32E9" w:rsidRPr="00C866F9" w14:paraId="4FC75F3A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</w:tcPr>
          <w:p w14:paraId="7998C06C" w14:textId="1BEE1E24" w:rsidR="001D32E9" w:rsidRPr="00CA5155" w:rsidRDefault="001D32E9" w:rsidP="001D32E9">
            <w:pPr>
              <w:pStyle w:val="af1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41AF547" w14:textId="7A4B14A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低温恒温反应</w:t>
            </w:r>
            <w:proofErr w:type="gramStart"/>
            <w:r w:rsidRPr="00C866F9">
              <w:rPr>
                <w:rFonts w:ascii="Times New Roman" w:eastAsia="宋体" w:hAnsi="Times New Roman" w:cs="Times New Roman"/>
                <w:szCs w:val="21"/>
              </w:rPr>
              <w:t>浴系统</w:t>
            </w:r>
            <w:proofErr w:type="gramEnd"/>
          </w:p>
        </w:tc>
        <w:tc>
          <w:tcPr>
            <w:tcW w:w="2914" w:type="dxa"/>
            <w:shd w:val="clear" w:color="auto" w:fill="auto"/>
            <w:noWrap/>
            <w:vAlign w:val="center"/>
          </w:tcPr>
          <w:p w14:paraId="4940A359" w14:textId="425C3BE0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58321D1B" w14:textId="77777777" w:rsidTr="001D32E9">
        <w:trPr>
          <w:trHeight w:val="312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3BA1FF9C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14:paraId="50D7DF4F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供货范围</w:t>
            </w:r>
          </w:p>
        </w:tc>
        <w:tc>
          <w:tcPr>
            <w:tcW w:w="2914" w:type="dxa"/>
            <w:vMerge w:val="restart"/>
            <w:shd w:val="clear" w:color="auto" w:fill="auto"/>
            <w:noWrap/>
            <w:vAlign w:val="center"/>
            <w:hideMark/>
          </w:tcPr>
          <w:p w14:paraId="049EB929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2E9" w:rsidRPr="00C866F9" w14:paraId="77E31DBE" w14:textId="77777777" w:rsidTr="001D32E9">
        <w:trPr>
          <w:trHeight w:val="312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15936C07" w14:textId="77777777" w:rsidR="001D32E9" w:rsidRPr="00C866F9" w:rsidRDefault="001D32E9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14:paraId="53A40C81" w14:textId="77777777" w:rsidR="001D32E9" w:rsidRPr="00C866F9" w:rsidRDefault="001D32E9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  <w:hideMark/>
          </w:tcPr>
          <w:p w14:paraId="57808109" w14:textId="77777777" w:rsidR="001D32E9" w:rsidRPr="00C866F9" w:rsidRDefault="001D32E9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2E9" w:rsidRPr="00C866F9" w14:paraId="4408D6B7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F8FC4E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0F426F6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设备主体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0187710E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214C2E83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221FFE7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D63028F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控制系统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2A65DFEC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介绍文件</w:t>
            </w:r>
          </w:p>
        </w:tc>
      </w:tr>
      <w:tr w:rsidR="001D32E9" w:rsidRPr="00C866F9" w14:paraId="33D9EA4E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A11FE6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A5178E4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设备培训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2297C7D5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7AF863B4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FE8774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49F542B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售后服务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2F6CC618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1D32E9" w:rsidRPr="00C866F9" w14:paraId="6C13EA4C" w14:textId="77777777" w:rsidTr="001D32E9">
        <w:trPr>
          <w:trHeight w:val="312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59A7E2CA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14:paraId="18B4558C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</w:tc>
        <w:tc>
          <w:tcPr>
            <w:tcW w:w="2914" w:type="dxa"/>
            <w:vMerge w:val="restart"/>
            <w:shd w:val="clear" w:color="auto" w:fill="auto"/>
            <w:noWrap/>
            <w:vAlign w:val="center"/>
            <w:hideMark/>
          </w:tcPr>
          <w:p w14:paraId="5942A07E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2E9" w:rsidRPr="00C866F9" w14:paraId="43B87CFA" w14:textId="77777777" w:rsidTr="001D32E9">
        <w:trPr>
          <w:trHeight w:val="312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3104E5C" w14:textId="77777777" w:rsidR="001D32E9" w:rsidRPr="00C866F9" w:rsidRDefault="001D32E9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14:paraId="339AF6DD" w14:textId="77777777" w:rsidR="001D32E9" w:rsidRPr="00C866F9" w:rsidRDefault="001D32E9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  <w:hideMark/>
          </w:tcPr>
          <w:p w14:paraId="5AFD5526" w14:textId="77777777" w:rsidR="001D32E9" w:rsidRPr="00C866F9" w:rsidRDefault="001D32E9" w:rsidP="001D32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2E9" w:rsidRPr="00C866F9" w14:paraId="21B2CAD9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79F6B6C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9E8D797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交货期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54A38F06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2E9" w:rsidRPr="00C866F9" w14:paraId="202B001F" w14:textId="77777777" w:rsidTr="001D32E9">
        <w:trPr>
          <w:trHeight w:val="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1CAF5C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E805607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66F9">
              <w:rPr>
                <w:rFonts w:ascii="Times New Roman" w:eastAsia="宋体" w:hAnsi="Times New Roman" w:cs="Times New Roman"/>
                <w:szCs w:val="21"/>
              </w:rPr>
              <w:t>质保期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7C71432D" w14:textId="77777777" w:rsidR="001D32E9" w:rsidRPr="00C866F9" w:rsidRDefault="001D32E9" w:rsidP="001D32E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BB458B9" w14:textId="77777777" w:rsidR="001D32E9" w:rsidRDefault="001D32E9" w:rsidP="00800639">
      <w:pPr>
        <w:pStyle w:val="a7"/>
        <w:spacing w:after="0" w:line="360" w:lineRule="auto"/>
        <w:jc w:val="left"/>
        <w:rPr>
          <w:color w:val="000000"/>
          <w:sz w:val="24"/>
        </w:rPr>
      </w:pPr>
    </w:p>
    <w:p w14:paraId="6CE10B04" w14:textId="30EEFEDE"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 w:rsidR="00800639">
        <w:rPr>
          <w:color w:val="000000"/>
          <w:sz w:val="24"/>
        </w:rPr>
        <w:t xml:space="preserve">.2 </w:t>
      </w:r>
      <w:r w:rsidR="000E6005">
        <w:rPr>
          <w:rFonts w:hint="eastAsia"/>
          <w:color w:val="000000"/>
          <w:sz w:val="24"/>
        </w:rPr>
        <w:t>高压</w:t>
      </w:r>
      <w:r w:rsidR="00FB7AB4">
        <w:rPr>
          <w:rFonts w:hint="eastAsia"/>
          <w:color w:val="000000"/>
          <w:sz w:val="24"/>
        </w:rPr>
        <w:t>加氢</w:t>
      </w:r>
      <w:r w:rsidR="000E6005">
        <w:rPr>
          <w:rFonts w:hint="eastAsia"/>
          <w:color w:val="000000"/>
          <w:sz w:val="24"/>
        </w:rPr>
        <w:t>固定床反应器</w:t>
      </w:r>
      <w:r w:rsidR="00800639">
        <w:rPr>
          <w:rFonts w:hint="eastAsia"/>
          <w:color w:val="000000"/>
          <w:sz w:val="24"/>
        </w:rPr>
        <w:t>试验装置其它未标明配套设备及其附件的规格参数，由</w:t>
      </w:r>
      <w:r w:rsidR="00862FC3">
        <w:rPr>
          <w:rFonts w:hint="eastAsia"/>
          <w:color w:val="000000"/>
          <w:sz w:val="24"/>
        </w:rPr>
        <w:t>供应商</w:t>
      </w:r>
      <w:r w:rsidR="00800639">
        <w:rPr>
          <w:rFonts w:hint="eastAsia"/>
          <w:color w:val="000000"/>
          <w:sz w:val="24"/>
        </w:rPr>
        <w:t>根据</w:t>
      </w:r>
      <w:r w:rsidR="00862FC3">
        <w:rPr>
          <w:rFonts w:hint="eastAsia"/>
          <w:color w:val="000000"/>
          <w:sz w:val="24"/>
        </w:rPr>
        <w:t>我司</w:t>
      </w:r>
      <w:r w:rsidR="00800639">
        <w:rPr>
          <w:rFonts w:hint="eastAsia"/>
          <w:color w:val="000000"/>
          <w:sz w:val="24"/>
        </w:rPr>
        <w:t>要求进行设计，并确定配套设备及其附件的规格参数。</w:t>
      </w:r>
    </w:p>
    <w:p w14:paraId="107084E1" w14:textId="0294F570"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>.3</w:t>
      </w:r>
      <w:r w:rsidR="00862FC3">
        <w:rPr>
          <w:color w:val="000000"/>
          <w:sz w:val="24"/>
        </w:rPr>
        <w:t xml:space="preserve"> </w:t>
      </w:r>
      <w:r w:rsidR="00800639" w:rsidRPr="00B73550">
        <w:rPr>
          <w:rFonts w:hint="eastAsia"/>
          <w:color w:val="000000"/>
          <w:sz w:val="24"/>
        </w:rPr>
        <w:t>工艺流程设计和设备选型要能克服</w:t>
      </w:r>
      <w:r w:rsidR="000E6005">
        <w:rPr>
          <w:rFonts w:hint="eastAsia"/>
          <w:color w:val="000000"/>
          <w:sz w:val="24"/>
        </w:rPr>
        <w:t>原料计量泵</w:t>
      </w:r>
      <w:r w:rsidR="00800639" w:rsidRPr="00B73550">
        <w:rPr>
          <w:rFonts w:hint="eastAsia"/>
          <w:color w:val="000000"/>
          <w:sz w:val="24"/>
        </w:rPr>
        <w:t>易堵塞、控制不稳定等缺点，并能够适合多种实验</w:t>
      </w:r>
      <w:r w:rsidR="00D659D4">
        <w:rPr>
          <w:rFonts w:hint="eastAsia"/>
          <w:color w:val="000000"/>
          <w:sz w:val="24"/>
        </w:rPr>
        <w:t>；</w:t>
      </w:r>
    </w:p>
    <w:p w14:paraId="47A658EB" w14:textId="6BB0243B"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>.</w:t>
      </w:r>
      <w:r w:rsidR="00862FC3">
        <w:rPr>
          <w:color w:val="000000"/>
          <w:sz w:val="24"/>
        </w:rPr>
        <w:t>4</w:t>
      </w:r>
      <w:r w:rsidR="00800639" w:rsidRPr="00B73550">
        <w:rPr>
          <w:color w:val="000000"/>
          <w:sz w:val="24"/>
        </w:rPr>
        <w:t xml:space="preserve"> </w:t>
      </w:r>
      <w:r w:rsidR="00800639" w:rsidRPr="00B73550">
        <w:rPr>
          <w:rFonts w:hint="eastAsia"/>
          <w:color w:val="000000"/>
          <w:sz w:val="24"/>
        </w:rPr>
        <w:t>外观</w:t>
      </w:r>
      <w:r w:rsidR="00800639" w:rsidRPr="00D659D4">
        <w:rPr>
          <w:rFonts w:hint="eastAsia"/>
          <w:sz w:val="24"/>
        </w:rPr>
        <w:t>精</w:t>
      </w:r>
      <w:r w:rsidR="00D659D4" w:rsidRPr="00D659D4">
        <w:rPr>
          <w:rFonts w:hint="eastAsia"/>
          <w:sz w:val="24"/>
        </w:rPr>
        <w:t>美；</w:t>
      </w:r>
    </w:p>
    <w:p w14:paraId="53AE1D84" w14:textId="77777777" w:rsidR="00800639" w:rsidRPr="0000424C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>.</w:t>
      </w:r>
      <w:r w:rsidR="001040BC">
        <w:rPr>
          <w:color w:val="000000"/>
          <w:sz w:val="24"/>
        </w:rPr>
        <w:t>5</w:t>
      </w:r>
      <w:r w:rsidR="00800639" w:rsidRPr="0000424C">
        <w:rPr>
          <w:color w:val="000000"/>
          <w:sz w:val="24"/>
        </w:rPr>
        <w:t xml:space="preserve"> </w:t>
      </w:r>
      <w:r w:rsidR="00800639" w:rsidRPr="0000424C">
        <w:rPr>
          <w:rFonts w:hint="eastAsia"/>
          <w:color w:val="000000"/>
          <w:sz w:val="24"/>
        </w:rPr>
        <w:t>因是试验装置，在设计时充分体现柔性设计及可操作性能；</w:t>
      </w:r>
    </w:p>
    <w:p w14:paraId="59AF2B3E" w14:textId="20FF1FF5" w:rsidR="00800639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 w:rsidRPr="00BD5E66">
        <w:rPr>
          <w:color w:val="000000"/>
          <w:sz w:val="24"/>
        </w:rPr>
        <w:t>.</w:t>
      </w:r>
      <w:r w:rsidR="00E6591D">
        <w:rPr>
          <w:color w:val="000000"/>
          <w:sz w:val="24"/>
        </w:rPr>
        <w:t>6</w:t>
      </w:r>
      <w:r w:rsidR="00800639" w:rsidRPr="00BD5E66">
        <w:rPr>
          <w:color w:val="000000"/>
          <w:sz w:val="24"/>
        </w:rPr>
        <w:t xml:space="preserve"> </w:t>
      </w:r>
      <w:r w:rsidR="00800639" w:rsidRPr="0000424C">
        <w:rPr>
          <w:rFonts w:hint="eastAsia"/>
          <w:color w:val="000000"/>
          <w:sz w:val="24"/>
        </w:rPr>
        <w:t>本装置的自控部分采用</w:t>
      </w:r>
      <w:r w:rsidR="00800639" w:rsidRPr="0000424C">
        <w:rPr>
          <w:rFonts w:hint="eastAsia"/>
          <w:color w:val="000000"/>
          <w:sz w:val="24"/>
        </w:rPr>
        <w:t xml:space="preserve"> PLC</w:t>
      </w:r>
      <w:r w:rsidR="00800639" w:rsidRPr="0000424C">
        <w:rPr>
          <w:rFonts w:hint="eastAsia"/>
          <w:color w:val="000000"/>
          <w:sz w:val="24"/>
        </w:rPr>
        <w:t>系统，可以实现多种控制要求，试验时只要设定特征温度梯度、加热时间等参数，避免人为操作误差导致的</w:t>
      </w:r>
      <w:r w:rsidR="00800639" w:rsidRPr="00B73550">
        <w:rPr>
          <w:rFonts w:hint="eastAsia"/>
          <w:color w:val="000000"/>
          <w:sz w:val="24"/>
        </w:rPr>
        <w:t>数据重现性不好。</w:t>
      </w:r>
      <w:r w:rsidR="00800639" w:rsidRPr="00B73550">
        <w:rPr>
          <w:rFonts w:hint="eastAsia"/>
          <w:color w:val="000000"/>
          <w:sz w:val="24"/>
        </w:rPr>
        <w:t>PLC</w:t>
      </w:r>
      <w:r w:rsidR="00800639" w:rsidRPr="00B73550">
        <w:rPr>
          <w:rFonts w:hint="eastAsia"/>
          <w:color w:val="000000"/>
          <w:sz w:val="24"/>
        </w:rPr>
        <w:t>控制系统保证方案合理、技术先进、操作方便的原则，达到在实验过程中的主要工艺流程画面、工艺参数都经计算机集中控制、显示、记录和报警。实验数据真实、可靠、可信并能随机存储打印备用；保养维修方便、自动化程度高、运行安全可靠。</w:t>
      </w:r>
      <w:r w:rsidR="00A1539D">
        <w:rPr>
          <w:rFonts w:hint="eastAsia"/>
          <w:color w:val="000000"/>
          <w:sz w:val="24"/>
        </w:rPr>
        <w:t>P</w:t>
      </w:r>
      <w:r w:rsidR="00A1539D">
        <w:rPr>
          <w:color w:val="000000"/>
          <w:sz w:val="24"/>
        </w:rPr>
        <w:t>LC</w:t>
      </w:r>
      <w:r w:rsidR="00A1539D">
        <w:rPr>
          <w:rFonts w:hint="eastAsia"/>
          <w:color w:val="000000"/>
          <w:sz w:val="24"/>
        </w:rPr>
        <w:t>人机界面</w:t>
      </w:r>
      <w:r w:rsidR="007845A6">
        <w:rPr>
          <w:rFonts w:hint="eastAsia"/>
          <w:color w:val="000000"/>
          <w:sz w:val="24"/>
        </w:rPr>
        <w:t>要求采用面板控制与</w:t>
      </w:r>
      <w:r w:rsidR="00A1539D">
        <w:rPr>
          <w:rFonts w:hint="eastAsia"/>
          <w:color w:val="000000"/>
          <w:sz w:val="24"/>
        </w:rPr>
        <w:t>P</w:t>
      </w:r>
      <w:r w:rsidR="00A1539D">
        <w:rPr>
          <w:color w:val="000000"/>
          <w:sz w:val="24"/>
        </w:rPr>
        <w:t>C</w:t>
      </w:r>
      <w:r w:rsidR="009E5085">
        <w:rPr>
          <w:rFonts w:hint="eastAsia"/>
          <w:color w:val="000000"/>
          <w:sz w:val="24"/>
        </w:rPr>
        <w:t>机</w:t>
      </w:r>
      <w:r w:rsidR="007845A6">
        <w:rPr>
          <w:rFonts w:hint="eastAsia"/>
          <w:color w:val="000000"/>
          <w:sz w:val="24"/>
        </w:rPr>
        <w:t>双重</w:t>
      </w:r>
      <w:r w:rsidR="00A1539D">
        <w:rPr>
          <w:rFonts w:hint="eastAsia"/>
          <w:color w:val="000000"/>
          <w:sz w:val="24"/>
        </w:rPr>
        <w:t>控制</w:t>
      </w:r>
      <w:r w:rsidR="0012359D">
        <w:rPr>
          <w:rFonts w:hint="eastAsia"/>
          <w:color w:val="000000"/>
          <w:sz w:val="24"/>
        </w:rPr>
        <w:t>；</w:t>
      </w:r>
    </w:p>
    <w:p w14:paraId="7883CEBE" w14:textId="082ED5F0" w:rsidR="0012359D" w:rsidRDefault="0012359D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.7 </w:t>
      </w:r>
      <w:r>
        <w:rPr>
          <w:rFonts w:hint="eastAsia"/>
          <w:color w:val="000000"/>
          <w:sz w:val="24"/>
        </w:rPr>
        <w:t>提供</w:t>
      </w:r>
      <w:r>
        <w:rPr>
          <w:rFonts w:hint="eastAsia"/>
          <w:color w:val="000000"/>
          <w:sz w:val="24"/>
        </w:rPr>
        <w:t>P</w:t>
      </w:r>
      <w:r>
        <w:rPr>
          <w:color w:val="000000"/>
          <w:sz w:val="24"/>
        </w:rPr>
        <w:t>LC</w:t>
      </w:r>
      <w:r>
        <w:rPr>
          <w:rFonts w:hint="eastAsia"/>
          <w:color w:val="000000"/>
          <w:sz w:val="24"/>
        </w:rPr>
        <w:t>设定参数相关数据和权限。</w:t>
      </w:r>
    </w:p>
    <w:p w14:paraId="301ABEA5" w14:textId="77777777" w:rsidR="00684F45" w:rsidRPr="00684F45" w:rsidRDefault="00684F45" w:rsidP="00684F45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684F45">
        <w:rPr>
          <w:rFonts w:hint="eastAsia"/>
          <w:b/>
          <w:color w:val="000000"/>
          <w:sz w:val="24"/>
        </w:rPr>
        <w:t>四、供货范围及工作范围</w:t>
      </w:r>
    </w:p>
    <w:p w14:paraId="56723E2F" w14:textId="430D13A1" w:rsidR="00684F45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5607AD">
        <w:rPr>
          <w:rFonts w:hint="eastAsia"/>
          <w:color w:val="000000"/>
          <w:sz w:val="24"/>
        </w:rPr>
        <w:t>供货范围包括</w:t>
      </w:r>
      <w:r w:rsidRPr="00F41CE5">
        <w:rPr>
          <w:rFonts w:hint="eastAsia"/>
          <w:color w:val="000000"/>
          <w:sz w:val="24"/>
        </w:rPr>
        <w:t>设计、材料购买、制造、试验、检验、包装、运输、</w:t>
      </w:r>
      <w:r w:rsidRPr="005607AD">
        <w:rPr>
          <w:rFonts w:hint="eastAsia"/>
          <w:color w:val="000000"/>
          <w:sz w:val="24"/>
        </w:rPr>
        <w:t>技术服务</w:t>
      </w:r>
      <w:r w:rsidRPr="00F41CE5">
        <w:rPr>
          <w:rFonts w:hint="eastAsia"/>
          <w:color w:val="000000"/>
          <w:sz w:val="24"/>
        </w:rPr>
        <w:t>等全过程</w:t>
      </w:r>
      <w:r w:rsidRPr="00B73550">
        <w:rPr>
          <w:rFonts w:hint="eastAsia"/>
          <w:color w:val="000000"/>
          <w:sz w:val="24"/>
        </w:rPr>
        <w:t>。</w:t>
      </w:r>
    </w:p>
    <w:p w14:paraId="77C88150" w14:textId="7CAFAF26"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4.1</w:t>
      </w:r>
      <w:r w:rsidR="008C33B5">
        <w:rPr>
          <w:rFonts w:hint="eastAsia"/>
          <w:color w:val="000000"/>
          <w:sz w:val="24"/>
        </w:rPr>
        <w:t>高压加氢固定床反应器</w:t>
      </w:r>
      <w:r>
        <w:rPr>
          <w:rFonts w:hint="eastAsia"/>
          <w:color w:val="000000"/>
          <w:sz w:val="24"/>
        </w:rPr>
        <w:t>试验装置</w:t>
      </w:r>
      <w:r w:rsidRPr="00B73550">
        <w:rPr>
          <w:rFonts w:hint="eastAsia"/>
          <w:color w:val="000000"/>
          <w:sz w:val="24"/>
        </w:rPr>
        <w:t>为成套</w:t>
      </w:r>
      <w:r w:rsidRPr="00B73550">
        <w:rPr>
          <w:color w:val="000000"/>
          <w:sz w:val="24"/>
        </w:rPr>
        <w:t>设备</w:t>
      </w:r>
      <w:r w:rsidRPr="00B73550">
        <w:rPr>
          <w:rFonts w:hint="eastAsia"/>
          <w:color w:val="000000"/>
          <w:sz w:val="24"/>
        </w:rPr>
        <w:t>，试验装置必须</w:t>
      </w:r>
      <w:r w:rsidRPr="00CA5155">
        <w:rPr>
          <w:rFonts w:hint="eastAsia"/>
          <w:sz w:val="24"/>
        </w:rPr>
        <w:t>满足</w:t>
      </w:r>
      <w:r w:rsidR="008C33B5" w:rsidRPr="00CA5155">
        <w:rPr>
          <w:rFonts w:hint="eastAsia"/>
          <w:sz w:val="24"/>
        </w:rPr>
        <w:t>加氢</w:t>
      </w:r>
      <w:r w:rsidRPr="00CA5155">
        <w:rPr>
          <w:rFonts w:hint="eastAsia"/>
          <w:sz w:val="24"/>
        </w:rPr>
        <w:t>工艺</w:t>
      </w:r>
      <w:r w:rsidRPr="00B73550">
        <w:rPr>
          <w:rFonts w:hint="eastAsia"/>
          <w:color w:val="000000"/>
          <w:sz w:val="24"/>
        </w:rPr>
        <w:t>的</w:t>
      </w:r>
      <w:r w:rsidRPr="00BF43CE">
        <w:rPr>
          <w:rFonts w:hint="eastAsia"/>
          <w:sz w:val="24"/>
        </w:rPr>
        <w:t>各</w:t>
      </w:r>
      <w:r w:rsidR="0012359D">
        <w:rPr>
          <w:rFonts w:hint="eastAsia"/>
          <w:sz w:val="24"/>
        </w:rPr>
        <w:t>试验</w:t>
      </w:r>
      <w:r w:rsidRPr="00BF43CE">
        <w:rPr>
          <w:rFonts w:hint="eastAsia"/>
          <w:sz w:val="24"/>
        </w:rPr>
        <w:t>工序的需求，</w:t>
      </w:r>
      <w:r w:rsidRPr="00BF43CE">
        <w:rPr>
          <w:sz w:val="24"/>
        </w:rPr>
        <w:t>主要</w:t>
      </w:r>
      <w:r w:rsidRPr="00BF43CE">
        <w:rPr>
          <w:rFonts w:hint="eastAsia"/>
          <w:sz w:val="24"/>
        </w:rPr>
        <w:t>设备包含</w:t>
      </w:r>
      <w:r w:rsidRPr="00BF43CE">
        <w:rPr>
          <w:sz w:val="24"/>
        </w:rPr>
        <w:t>有</w:t>
      </w:r>
      <w:r w:rsidRPr="00BF43CE">
        <w:rPr>
          <w:rFonts w:hint="eastAsia"/>
          <w:sz w:val="24"/>
        </w:rPr>
        <w:t>但不限于</w:t>
      </w:r>
      <w:r w:rsidRPr="00BF43CE">
        <w:rPr>
          <w:sz w:val="24"/>
        </w:rPr>
        <w:t>反应</w:t>
      </w:r>
      <w:r w:rsidR="008C33B5" w:rsidRPr="00BF43CE">
        <w:rPr>
          <w:rFonts w:hint="eastAsia"/>
          <w:sz w:val="24"/>
        </w:rPr>
        <w:t>器</w:t>
      </w:r>
      <w:r w:rsidRPr="00BF43CE">
        <w:rPr>
          <w:sz w:val="24"/>
        </w:rPr>
        <w:t>、</w:t>
      </w:r>
      <w:r w:rsidR="009245E1" w:rsidRPr="00BF43CE">
        <w:rPr>
          <w:rFonts w:hint="eastAsia"/>
          <w:sz w:val="24"/>
        </w:rPr>
        <w:t>原料</w:t>
      </w:r>
      <w:r w:rsidR="008C33B5" w:rsidRPr="00BF43CE">
        <w:rPr>
          <w:rFonts w:hint="eastAsia"/>
          <w:sz w:val="24"/>
        </w:rPr>
        <w:t>进料计量泵</w:t>
      </w:r>
      <w:r w:rsidRPr="00BF43CE">
        <w:rPr>
          <w:rFonts w:hint="eastAsia"/>
          <w:sz w:val="24"/>
        </w:rPr>
        <w:t>、</w:t>
      </w:r>
      <w:r w:rsidR="004135F3">
        <w:rPr>
          <w:rFonts w:hint="eastAsia"/>
          <w:sz w:val="24"/>
        </w:rPr>
        <w:t>硫化剂</w:t>
      </w:r>
      <w:r w:rsidR="008C33B5" w:rsidRPr="00BF43CE">
        <w:rPr>
          <w:rFonts w:hint="eastAsia"/>
          <w:sz w:val="24"/>
        </w:rPr>
        <w:t>计量泵</w:t>
      </w:r>
      <w:r w:rsidRPr="00BF43CE">
        <w:rPr>
          <w:sz w:val="24"/>
        </w:rPr>
        <w:t>、</w:t>
      </w:r>
      <w:r w:rsidR="008C33B5" w:rsidRPr="00BF43CE">
        <w:rPr>
          <w:rFonts w:hint="eastAsia"/>
          <w:sz w:val="24"/>
        </w:rPr>
        <w:t>预热器</w:t>
      </w:r>
      <w:r w:rsidRPr="00BF43CE">
        <w:rPr>
          <w:sz w:val="24"/>
        </w:rPr>
        <w:t>、</w:t>
      </w:r>
      <w:r w:rsidR="008C33B5" w:rsidRPr="00BF43CE">
        <w:rPr>
          <w:rFonts w:hint="eastAsia"/>
          <w:sz w:val="24"/>
        </w:rPr>
        <w:t>夹套高分罐</w:t>
      </w:r>
      <w:r w:rsidRPr="00BF43CE">
        <w:rPr>
          <w:sz w:val="24"/>
        </w:rPr>
        <w:t>、</w:t>
      </w:r>
      <w:r w:rsidR="008C33B5" w:rsidRPr="00BF43CE">
        <w:rPr>
          <w:rFonts w:hint="eastAsia"/>
          <w:sz w:val="24"/>
        </w:rPr>
        <w:t>夹套低分罐</w:t>
      </w:r>
      <w:r w:rsidRPr="00BF43CE">
        <w:rPr>
          <w:rFonts w:hint="eastAsia"/>
          <w:sz w:val="24"/>
        </w:rPr>
        <w:t>、</w:t>
      </w:r>
      <w:r w:rsidR="00BF43CE">
        <w:rPr>
          <w:rFonts w:hint="eastAsia"/>
          <w:color w:val="000000"/>
          <w:sz w:val="24"/>
        </w:rPr>
        <w:t>低温恒温反应浴系统</w:t>
      </w:r>
      <w:r w:rsidRPr="00BF43CE">
        <w:rPr>
          <w:rFonts w:hint="eastAsia"/>
          <w:sz w:val="24"/>
        </w:rPr>
        <w:t>、</w:t>
      </w:r>
      <w:r w:rsidRPr="00BF43CE">
        <w:rPr>
          <w:rFonts w:hint="eastAsia"/>
          <w:sz w:val="24"/>
        </w:rPr>
        <w:t>P</w:t>
      </w:r>
      <w:r w:rsidRPr="00BF43CE">
        <w:rPr>
          <w:sz w:val="24"/>
        </w:rPr>
        <w:t>LC</w:t>
      </w:r>
      <w:r w:rsidRPr="00BF43CE">
        <w:rPr>
          <w:rFonts w:hint="eastAsia"/>
          <w:sz w:val="24"/>
        </w:rPr>
        <w:t>控制器</w:t>
      </w:r>
      <w:r w:rsidR="006157CA" w:rsidRPr="00BF43CE">
        <w:rPr>
          <w:rFonts w:hint="eastAsia"/>
          <w:sz w:val="24"/>
        </w:rPr>
        <w:t>、</w:t>
      </w:r>
      <w:r w:rsidR="006157CA" w:rsidRPr="00BF43CE">
        <w:rPr>
          <w:rFonts w:hint="eastAsia"/>
          <w:sz w:val="24"/>
        </w:rPr>
        <w:t>P</w:t>
      </w:r>
      <w:r w:rsidR="006157CA" w:rsidRPr="00BF43CE">
        <w:rPr>
          <w:sz w:val="24"/>
        </w:rPr>
        <w:t>C</w:t>
      </w:r>
      <w:r w:rsidR="006157CA" w:rsidRPr="00BF43CE">
        <w:rPr>
          <w:rFonts w:hint="eastAsia"/>
          <w:sz w:val="24"/>
        </w:rPr>
        <w:t>电脑</w:t>
      </w:r>
      <w:r w:rsidRPr="00BF43CE">
        <w:rPr>
          <w:sz w:val="24"/>
        </w:rPr>
        <w:t>等，以及相关的氮气、冷却水、电力等所有相关的动</w:t>
      </w:r>
      <w:r w:rsidRPr="00BF43CE">
        <w:rPr>
          <w:sz w:val="24"/>
        </w:rPr>
        <w:t>/</w:t>
      </w:r>
      <w:r w:rsidRPr="00BF43CE">
        <w:rPr>
          <w:sz w:val="24"/>
        </w:rPr>
        <w:t>静设备、管道、阀门、仪表</w:t>
      </w:r>
      <w:r w:rsidRPr="00BF43CE">
        <w:rPr>
          <w:rFonts w:hint="eastAsia"/>
          <w:sz w:val="24"/>
        </w:rPr>
        <w:t>、备品备件</w:t>
      </w:r>
      <w:r w:rsidRPr="00BF43CE">
        <w:rPr>
          <w:sz w:val="24"/>
        </w:rPr>
        <w:t>等。</w:t>
      </w:r>
    </w:p>
    <w:p w14:paraId="6215DE02" w14:textId="7ADF4933"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</w:t>
      </w:r>
      <w:r w:rsidRPr="00552245">
        <w:rPr>
          <w:color w:val="000000"/>
          <w:sz w:val="24"/>
        </w:rPr>
        <w:t>.2</w:t>
      </w:r>
      <w:r w:rsidRPr="00B73550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技术服务</w:t>
      </w:r>
      <w:r w:rsidRPr="00B73550">
        <w:rPr>
          <w:rFonts w:hint="eastAsia"/>
          <w:color w:val="000000"/>
          <w:sz w:val="24"/>
        </w:rPr>
        <w:t>包</w:t>
      </w:r>
      <w:r w:rsidRPr="007E310C">
        <w:rPr>
          <w:rFonts w:hint="eastAsia"/>
          <w:sz w:val="24"/>
        </w:rPr>
        <w:t>括项目服务、现场服务。项目服务有文件资料、深化设计、外购设备采购、</w:t>
      </w:r>
      <w:r w:rsidRPr="00B73550">
        <w:rPr>
          <w:rFonts w:hint="eastAsia"/>
          <w:color w:val="000000"/>
          <w:sz w:val="24"/>
        </w:rPr>
        <w:t>设备制造及工厂组装试验、出厂验收、培训服务、软件组态工作管理等。现场服务包括到货开箱检查、设备安装、系统通电、联调试运和装置投运的保证等。无论是项目服务还是现场服务，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都应派遣有经验的技术人员，并应提供完全免费的技术服务。</w:t>
      </w:r>
    </w:p>
    <w:p w14:paraId="7BF2EDFB" w14:textId="77777777"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bookmarkStart w:id="0" w:name="_Toc407185397"/>
      <w:bookmarkStart w:id="1" w:name="_Toc337888368"/>
      <w:bookmarkStart w:id="2" w:name="_Toc337888532"/>
      <w:bookmarkStart w:id="3" w:name="_Toc337888446"/>
      <w:bookmarkStart w:id="4" w:name="_Toc337861298"/>
      <w:bookmarkStart w:id="5" w:name="_Toc407265387"/>
      <w:bookmarkStart w:id="6" w:name="_Toc337860421"/>
      <w:bookmarkStart w:id="7" w:name="_Toc407032979"/>
      <w:bookmarkStart w:id="8" w:name="_Toc407027149"/>
      <w:bookmarkStart w:id="9" w:name="_Toc407184818"/>
      <w:bookmarkStart w:id="10" w:name="_Toc337887904"/>
      <w:bookmarkStart w:id="11" w:name="_Toc407031068"/>
      <w:bookmarkStart w:id="12" w:name="_Toc337993763"/>
      <w:bookmarkStart w:id="13" w:name="_Toc407184882"/>
      <w:bookmarkStart w:id="14" w:name="_Toc337888056"/>
      <w:bookmarkStart w:id="15" w:name="_Toc337860763"/>
      <w:bookmarkStart w:id="16" w:name="_Toc407185333"/>
      <w:bookmarkStart w:id="17" w:name="_Toc337992997"/>
      <w:bookmarkStart w:id="18" w:name="_Toc407264340"/>
      <w:bookmarkStart w:id="19" w:name="_Toc407028487"/>
      <w:bookmarkStart w:id="20" w:name="_Toc337861440"/>
      <w:r>
        <w:rPr>
          <w:color w:val="000000"/>
          <w:sz w:val="24"/>
        </w:rPr>
        <w:t xml:space="preserve">4.3 </w:t>
      </w:r>
      <w:r w:rsidRPr="00B73550">
        <w:rPr>
          <w:rFonts w:hint="eastAsia"/>
          <w:color w:val="000000"/>
          <w:sz w:val="24"/>
        </w:rPr>
        <w:t>验货。</w:t>
      </w:r>
      <w:r>
        <w:rPr>
          <w:rFonts w:hint="eastAsia"/>
          <w:color w:val="000000"/>
          <w:sz w:val="24"/>
        </w:rPr>
        <w:t>设备</w:t>
      </w:r>
      <w:r w:rsidRPr="00B73550">
        <w:rPr>
          <w:rFonts w:hint="eastAsia"/>
          <w:color w:val="000000"/>
          <w:sz w:val="24"/>
        </w:rPr>
        <w:t>到现场后，</w:t>
      </w:r>
      <w:r>
        <w:rPr>
          <w:rFonts w:hint="eastAsia"/>
          <w:color w:val="000000"/>
          <w:sz w:val="24"/>
        </w:rPr>
        <w:t>供应商应</w:t>
      </w:r>
      <w:r w:rsidRPr="00B73550">
        <w:rPr>
          <w:rFonts w:hint="eastAsia"/>
          <w:color w:val="000000"/>
          <w:sz w:val="24"/>
        </w:rPr>
        <w:t>派专人到现场与</w:t>
      </w:r>
      <w:r>
        <w:rPr>
          <w:rFonts w:hint="eastAsia"/>
          <w:color w:val="000000"/>
          <w:sz w:val="24"/>
        </w:rPr>
        <w:t>我司</w:t>
      </w:r>
      <w:r w:rsidRPr="00B73550">
        <w:rPr>
          <w:rFonts w:hint="eastAsia"/>
          <w:color w:val="000000"/>
          <w:sz w:val="24"/>
        </w:rPr>
        <w:t>共同验收；确认装箱单和设备完好情况。现场开箱验收时，设备应达到如下要求</w:t>
      </w:r>
      <w:r w:rsidRPr="00B73550">
        <w:rPr>
          <w:rFonts w:hint="eastAsia"/>
          <w:color w:val="000000"/>
          <w:sz w:val="24"/>
        </w:rPr>
        <w:t>:</w:t>
      </w:r>
    </w:p>
    <w:p w14:paraId="31A0AEAB" w14:textId="77777777" w:rsidR="00684F45" w:rsidRPr="00B73550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所有设备的外观、喷漆、电缆的外壳和接头必须完好无缺，铭牌正确。所有</w:t>
      </w:r>
      <w:r w:rsidRPr="00B73550">
        <w:rPr>
          <w:rFonts w:hint="eastAsia"/>
          <w:color w:val="000000"/>
          <w:sz w:val="24"/>
        </w:rPr>
        <w:lastRenderedPageBreak/>
        <w:t>设备的主体、附件、备件必须完整齐全，标识清楚。</w:t>
      </w:r>
    </w:p>
    <w:p w14:paraId="7C59B2F4" w14:textId="77777777" w:rsidR="00684F45" w:rsidRPr="00B73550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所有设备的技术资料必须完整齐全。资料包括现场准备和安装说明书、操作维护手册、电路图、订货单规定的所有供货项目的详细清单、合格证书、安全证书、出厂验收测试程序等。</w:t>
      </w:r>
    </w:p>
    <w:p w14:paraId="18333CDE" w14:textId="77777777" w:rsidR="00684F45" w:rsidRPr="00B73550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在运输过程中造成的设备仪器损坏、零部件缺项、资料缺失，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确认并负责在</w:t>
      </w:r>
      <w:r w:rsidRPr="00B73550">
        <w:rPr>
          <w:rFonts w:hint="eastAsia"/>
          <w:color w:val="000000"/>
          <w:sz w:val="24"/>
        </w:rPr>
        <w:t>7</w:t>
      </w:r>
      <w:r w:rsidRPr="00B73550">
        <w:rPr>
          <w:rFonts w:hint="eastAsia"/>
          <w:color w:val="000000"/>
          <w:sz w:val="24"/>
        </w:rPr>
        <w:t>天内补全缺件。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对设备配置（包括辅助设备）的完整性和配套性负责，并保证仪器的正常使用。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00B2DECE" w14:textId="77777777" w:rsidR="00684F45" w:rsidRPr="00662DE5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4.4 </w:t>
      </w:r>
      <w:r w:rsidRPr="00B73550">
        <w:rPr>
          <w:rFonts w:hint="eastAsia"/>
          <w:color w:val="000000"/>
          <w:sz w:val="24"/>
        </w:rPr>
        <w:t>设</w:t>
      </w:r>
      <w:r>
        <w:rPr>
          <w:rFonts w:hint="eastAsia"/>
          <w:color w:val="000000"/>
          <w:sz w:val="24"/>
        </w:rPr>
        <w:t>备到现场</w:t>
      </w:r>
      <w:r w:rsidRPr="00B73550">
        <w:rPr>
          <w:rFonts w:hint="eastAsia"/>
          <w:color w:val="000000"/>
          <w:sz w:val="24"/>
        </w:rPr>
        <w:t>具备条件后，</w:t>
      </w:r>
      <w:r>
        <w:rPr>
          <w:rFonts w:hint="eastAsia"/>
          <w:color w:val="000000"/>
          <w:sz w:val="24"/>
        </w:rPr>
        <w:t>供应商应</w:t>
      </w:r>
      <w:r w:rsidRPr="00B73550">
        <w:rPr>
          <w:rFonts w:hint="eastAsia"/>
          <w:color w:val="000000"/>
          <w:sz w:val="24"/>
        </w:rPr>
        <w:t>负责现场设备安装</w:t>
      </w:r>
      <w:r>
        <w:rPr>
          <w:rFonts w:hint="eastAsia"/>
          <w:color w:val="000000"/>
          <w:sz w:val="24"/>
        </w:rPr>
        <w:t>、联调试运、系统投运、人员培训等工作，</w:t>
      </w:r>
      <w:r w:rsidRPr="00B73550">
        <w:rPr>
          <w:rFonts w:hint="eastAsia"/>
          <w:color w:val="000000"/>
          <w:sz w:val="24"/>
        </w:rPr>
        <w:t>产品交付使用后，如果需要帮助</w:t>
      </w:r>
      <w:r>
        <w:rPr>
          <w:rFonts w:hint="eastAsia"/>
          <w:color w:val="000000"/>
          <w:sz w:val="24"/>
        </w:rPr>
        <w:t>，供应商应及时指派技术</w:t>
      </w:r>
      <w:r w:rsidRPr="00B73550">
        <w:rPr>
          <w:rFonts w:hint="eastAsia"/>
          <w:color w:val="000000"/>
          <w:sz w:val="24"/>
        </w:rPr>
        <w:t>人员协助</w:t>
      </w:r>
      <w:r>
        <w:rPr>
          <w:rFonts w:hint="eastAsia"/>
          <w:color w:val="000000"/>
          <w:sz w:val="24"/>
        </w:rPr>
        <w:t>我司</w:t>
      </w:r>
      <w:r w:rsidRPr="00B73550">
        <w:rPr>
          <w:rFonts w:hint="eastAsia"/>
          <w:color w:val="000000"/>
          <w:sz w:val="24"/>
        </w:rPr>
        <w:t>解决问题。</w:t>
      </w:r>
    </w:p>
    <w:p w14:paraId="691A2341" w14:textId="77777777"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4.5</w:t>
      </w:r>
      <w:r w:rsidRPr="004C6828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负责设备自验收合格之日起一年的设备免费保修，免费保修期内的设备，均可获得免费维修</w:t>
      </w:r>
      <w:proofErr w:type="gramStart"/>
      <w:r w:rsidRPr="00B73550">
        <w:rPr>
          <w:rFonts w:hint="eastAsia"/>
          <w:color w:val="000000"/>
          <w:sz w:val="24"/>
        </w:rPr>
        <w:t>服务及坏件</w:t>
      </w:r>
      <w:proofErr w:type="gramEnd"/>
      <w:r w:rsidRPr="00B73550">
        <w:rPr>
          <w:rFonts w:hint="eastAsia"/>
          <w:color w:val="000000"/>
          <w:sz w:val="24"/>
        </w:rPr>
        <w:t>更换。用来更换的部件和设备应当是全新的。</w:t>
      </w:r>
    </w:p>
    <w:p w14:paraId="2AC76B14" w14:textId="77777777"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4.6</w:t>
      </w:r>
      <w:r w:rsidRPr="004C6828">
        <w:rPr>
          <w:color w:val="000000"/>
          <w:sz w:val="24"/>
        </w:rPr>
        <w:t xml:space="preserve"> </w:t>
      </w:r>
      <w:r w:rsidRPr="00B73550">
        <w:rPr>
          <w:rFonts w:hint="eastAsia"/>
          <w:color w:val="000000"/>
          <w:sz w:val="24"/>
        </w:rPr>
        <w:t>保修期内和保修期后，如甲方发现仪器有技术问题或仪器故障，乙方接到买方的</w:t>
      </w:r>
      <w:r w:rsidRPr="00B73550">
        <w:rPr>
          <w:rFonts w:hint="eastAsia"/>
          <w:color w:val="000000"/>
          <w:sz w:val="24"/>
        </w:rPr>
        <w:t>Email</w:t>
      </w:r>
      <w:r w:rsidRPr="00B73550">
        <w:rPr>
          <w:rFonts w:hint="eastAsia"/>
          <w:color w:val="000000"/>
          <w:sz w:val="24"/>
        </w:rPr>
        <w:t>、电话、传真或书面通知的服务请求报告后，</w:t>
      </w:r>
      <w:r w:rsidRPr="00B73550">
        <w:rPr>
          <w:rFonts w:hint="eastAsia"/>
          <w:color w:val="000000"/>
          <w:sz w:val="24"/>
        </w:rPr>
        <w:t>2</w:t>
      </w:r>
      <w:r w:rsidRPr="00B73550">
        <w:rPr>
          <w:rFonts w:hint="eastAsia"/>
          <w:color w:val="000000"/>
          <w:sz w:val="24"/>
        </w:rPr>
        <w:t>小时之内响应，</w:t>
      </w:r>
      <w:r w:rsidRPr="00B73550">
        <w:rPr>
          <w:rFonts w:hint="eastAsia"/>
          <w:color w:val="000000"/>
          <w:sz w:val="24"/>
        </w:rPr>
        <w:t>8</w:t>
      </w:r>
      <w:r w:rsidRPr="00B73550">
        <w:rPr>
          <w:rFonts w:hint="eastAsia"/>
          <w:color w:val="000000"/>
          <w:sz w:val="24"/>
        </w:rPr>
        <w:t>小时内提供解决方案。如不能解决问题，或根据买方的要求，卖方自接到技术服务要求起计，</w:t>
      </w:r>
      <w:r w:rsidRPr="00B73550">
        <w:rPr>
          <w:color w:val="000000"/>
          <w:sz w:val="24"/>
        </w:rPr>
        <w:t>72</w:t>
      </w:r>
      <w:r w:rsidRPr="00B73550">
        <w:rPr>
          <w:rFonts w:hint="eastAsia"/>
          <w:color w:val="000000"/>
          <w:sz w:val="24"/>
        </w:rPr>
        <w:t>小时内无条件提供现场维修服务，并彻底解决仪器之故障。</w:t>
      </w:r>
    </w:p>
    <w:p w14:paraId="3F63A3E0" w14:textId="77777777" w:rsidR="00684F45" w:rsidRPr="005607AD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4.7</w:t>
      </w:r>
      <w:r w:rsidRPr="004C6828">
        <w:rPr>
          <w:color w:val="000000"/>
          <w:sz w:val="24"/>
        </w:rPr>
        <w:t xml:space="preserve"> </w:t>
      </w:r>
      <w:r w:rsidRPr="00B73550">
        <w:rPr>
          <w:rFonts w:hint="eastAsia"/>
          <w:color w:val="000000"/>
          <w:sz w:val="24"/>
        </w:rPr>
        <w:t>保修期内的维修。保修范围内的零部件等不收取费用（消耗品除外</w:t>
      </w:r>
      <w:r w:rsidRPr="00B73550">
        <w:rPr>
          <w:rFonts w:hint="eastAsia"/>
          <w:color w:val="000000"/>
          <w:sz w:val="24"/>
        </w:rPr>
        <w:t>)</w:t>
      </w:r>
      <w:r w:rsidRPr="00B73550">
        <w:rPr>
          <w:rFonts w:hint="eastAsia"/>
          <w:color w:val="000000"/>
          <w:sz w:val="24"/>
        </w:rPr>
        <w:t>。维修服务不收取服务费用（包括交通费、住宿费、工时费</w:t>
      </w:r>
      <w:r w:rsidRPr="00B73550">
        <w:rPr>
          <w:rFonts w:hint="eastAsia"/>
          <w:color w:val="000000"/>
          <w:sz w:val="24"/>
        </w:rPr>
        <w:t>)</w:t>
      </w:r>
      <w:r w:rsidRPr="00B73550">
        <w:rPr>
          <w:rFonts w:hint="eastAsia"/>
          <w:color w:val="000000"/>
          <w:sz w:val="24"/>
        </w:rPr>
        <w:t>。</w:t>
      </w:r>
    </w:p>
    <w:p w14:paraId="6C929865" w14:textId="77777777" w:rsidR="00684F45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4.8 </w:t>
      </w:r>
      <w:r w:rsidRPr="005607AD">
        <w:rPr>
          <w:color w:val="000000"/>
          <w:sz w:val="24"/>
        </w:rPr>
        <w:t>资料</w:t>
      </w:r>
      <w:r>
        <w:rPr>
          <w:rFonts w:hint="eastAsia"/>
          <w:color w:val="000000"/>
          <w:sz w:val="24"/>
        </w:rPr>
        <w:t>提供。提供完整齐全的设备</w:t>
      </w:r>
      <w:r w:rsidRPr="00D06303">
        <w:rPr>
          <w:rFonts w:hint="eastAsia"/>
          <w:color w:val="000000"/>
          <w:sz w:val="24"/>
        </w:rPr>
        <w:t>技术资料。资料包括现场准备和安装说明书、</w:t>
      </w:r>
      <w:r>
        <w:rPr>
          <w:rFonts w:hint="eastAsia"/>
          <w:color w:val="000000"/>
          <w:sz w:val="24"/>
        </w:rPr>
        <w:t>设备数据表和图纸、</w:t>
      </w:r>
      <w:r w:rsidRPr="00D06303">
        <w:rPr>
          <w:rFonts w:hint="eastAsia"/>
          <w:color w:val="000000"/>
          <w:sz w:val="24"/>
        </w:rPr>
        <w:t>操作</w:t>
      </w:r>
      <w:r>
        <w:rPr>
          <w:rFonts w:hint="eastAsia"/>
          <w:color w:val="000000"/>
          <w:sz w:val="24"/>
        </w:rPr>
        <w:t>与</w:t>
      </w:r>
      <w:r w:rsidRPr="00D06303">
        <w:rPr>
          <w:rFonts w:hint="eastAsia"/>
          <w:color w:val="000000"/>
          <w:sz w:val="24"/>
        </w:rPr>
        <w:t>维护手册、电路图、订货单规定的所有供货项目的详细清单、合格证书、安全证书、出厂验收测试程序等。</w:t>
      </w:r>
      <w:r w:rsidRPr="005607AD">
        <w:rPr>
          <w:color w:val="000000"/>
          <w:sz w:val="24"/>
        </w:rPr>
        <w:t>以上技术文件在设备开车之前提供。</w:t>
      </w:r>
    </w:p>
    <w:p w14:paraId="4EED5A98" w14:textId="77777777" w:rsidR="00C70384" w:rsidRPr="00F9007A" w:rsidRDefault="00ED641E" w:rsidP="00F9007A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F9007A">
        <w:rPr>
          <w:rFonts w:hint="eastAsia"/>
          <w:b/>
          <w:color w:val="000000"/>
          <w:sz w:val="24"/>
        </w:rPr>
        <w:t>五</w:t>
      </w:r>
      <w:r w:rsidR="00C70384" w:rsidRPr="00F9007A">
        <w:rPr>
          <w:rFonts w:hint="eastAsia"/>
          <w:b/>
          <w:color w:val="000000"/>
          <w:sz w:val="24"/>
        </w:rPr>
        <w:t>、参与投技术标的供应商资质</w:t>
      </w:r>
      <w:r w:rsidRPr="00F9007A">
        <w:rPr>
          <w:rFonts w:hint="eastAsia"/>
          <w:b/>
          <w:color w:val="000000"/>
          <w:sz w:val="24"/>
        </w:rPr>
        <w:t>及</w:t>
      </w:r>
      <w:r w:rsidR="00C70384" w:rsidRPr="00F9007A">
        <w:rPr>
          <w:rFonts w:hint="eastAsia"/>
          <w:b/>
          <w:color w:val="000000"/>
          <w:sz w:val="24"/>
        </w:rPr>
        <w:t>要求</w:t>
      </w:r>
    </w:p>
    <w:p w14:paraId="02B95576" w14:textId="426AC9E0" w:rsidR="00F839DD" w:rsidRDefault="00E06868" w:rsidP="00B74D92">
      <w:pPr>
        <w:spacing w:line="360" w:lineRule="auto"/>
        <w:ind w:righ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.1 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提供</w:t>
      </w:r>
      <w:r w:rsidR="00C70384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近</w:t>
      </w:r>
      <w:r w:rsidR="006C389C">
        <w:rPr>
          <w:rFonts w:ascii="Times New Roman" w:eastAsia="宋体" w:hAnsi="Times New Roman" w:cs="Times New Roman"/>
          <w:color w:val="000000"/>
          <w:sz w:val="24"/>
          <w:szCs w:val="20"/>
        </w:rPr>
        <w:t>5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年内</w:t>
      </w:r>
      <w:r w:rsidR="007E310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同类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试验装置</w:t>
      </w:r>
      <w:r w:rsidR="00F839D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的相关经验与</w:t>
      </w:r>
      <w:r w:rsidR="00C70384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业绩。</w:t>
      </w:r>
    </w:p>
    <w:p w14:paraId="1B1033FC" w14:textId="77777777" w:rsidR="00C70384" w:rsidRDefault="00F839DD" w:rsidP="00B74D92">
      <w:pPr>
        <w:spacing w:line="360" w:lineRule="auto"/>
        <w:ind w:righ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07CF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 w:rsidRPr="00AB07CF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.2 </w:t>
      </w:r>
      <w:r w:rsidRPr="00AB07CF">
        <w:rPr>
          <w:rFonts w:eastAsia="宋体" w:hint="eastAsia"/>
          <w:sz w:val="24"/>
        </w:rPr>
        <w:t>设备</w:t>
      </w:r>
      <w:r w:rsidR="00AB07CF" w:rsidRPr="00AB07CF">
        <w:rPr>
          <w:rFonts w:eastAsia="宋体" w:hint="eastAsia"/>
          <w:sz w:val="24"/>
        </w:rPr>
        <w:t>的</w:t>
      </w:r>
      <w:r w:rsidRPr="00AB07CF">
        <w:rPr>
          <w:rFonts w:eastAsia="宋体" w:hint="eastAsia"/>
          <w:sz w:val="24"/>
        </w:rPr>
        <w:t>设计及制造</w:t>
      </w:r>
      <w:r w:rsidR="00AB07CF" w:rsidRPr="00AB07CF">
        <w:rPr>
          <w:rFonts w:eastAsia="宋体" w:hint="eastAsia"/>
          <w:sz w:val="24"/>
        </w:rPr>
        <w:t>涉及</w:t>
      </w:r>
      <w:r w:rsidRPr="00AB07CF">
        <w:rPr>
          <w:rFonts w:eastAsia="宋体" w:hint="eastAsia"/>
          <w:sz w:val="24"/>
        </w:rPr>
        <w:t>压力容器设计</w:t>
      </w:r>
      <w:r w:rsidR="00AB07CF" w:rsidRPr="00AB07CF">
        <w:rPr>
          <w:rFonts w:eastAsia="宋体" w:hint="eastAsia"/>
          <w:sz w:val="24"/>
        </w:rPr>
        <w:t>、</w:t>
      </w:r>
      <w:r w:rsidRPr="00AB07CF">
        <w:rPr>
          <w:rFonts w:eastAsia="宋体" w:hint="eastAsia"/>
          <w:sz w:val="24"/>
        </w:rPr>
        <w:t>制造</w:t>
      </w:r>
      <w:r w:rsidR="00AB07CF" w:rsidRPr="00AB07CF">
        <w:rPr>
          <w:rFonts w:eastAsia="宋体" w:hint="eastAsia"/>
          <w:sz w:val="24"/>
        </w:rPr>
        <w:t>的需要提供相关制造商资质证明</w:t>
      </w:r>
      <w:r w:rsidR="009F79A5" w:rsidRPr="00AB07CF">
        <w:rPr>
          <w:rFonts w:eastAsia="宋体" w:hint="eastAsia"/>
          <w:sz w:val="24"/>
        </w:rPr>
        <w:t>材料</w:t>
      </w:r>
      <w:r w:rsidRPr="00AB07CF">
        <w:rPr>
          <w:rFonts w:eastAsia="宋体" w:hint="eastAsia"/>
          <w:sz w:val="24"/>
        </w:rPr>
        <w:t>。</w:t>
      </w:r>
    </w:p>
    <w:p w14:paraId="57A71327" w14:textId="15EF4890" w:rsidR="00F9007A" w:rsidRPr="009E5085" w:rsidRDefault="00E06868" w:rsidP="00B74D92">
      <w:pPr>
        <w:spacing w:line="360" w:lineRule="auto"/>
        <w:ind w:righ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>.</w:t>
      </w:r>
      <w:r w:rsidR="009F79A5">
        <w:rPr>
          <w:rFonts w:ascii="Times New Roman" w:eastAsia="宋体" w:hAnsi="Times New Roman" w:cs="Times New Roman"/>
          <w:color w:val="000000"/>
          <w:sz w:val="24"/>
          <w:szCs w:val="20"/>
        </w:rPr>
        <w:t>3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供应商技术人员</w:t>
      </w:r>
      <w:r w:rsidR="009F79A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应具有丰富的</w:t>
      </w:r>
      <w:r w:rsidR="00982BBF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加氢</w:t>
      </w:r>
      <w:r w:rsidR="009F79A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生产工艺经验，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熟悉</w:t>
      </w:r>
      <w:r w:rsidR="00982BBF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加氢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生产工艺过程的控制，对试验过程中出现的问题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能及时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进行原因查找及提出解决方案。</w:t>
      </w:r>
    </w:p>
    <w:p w14:paraId="3F96B063" w14:textId="77777777" w:rsidR="008F6BBC" w:rsidRDefault="00E06868" w:rsidP="00B74D92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/>
          <w:color w:val="000000"/>
          <w:sz w:val="24"/>
          <w:szCs w:val="20"/>
        </w:rPr>
        <w:t>5.</w:t>
      </w:r>
      <w:r w:rsidR="009F79A5">
        <w:rPr>
          <w:rFonts w:ascii="Times New Roman" w:eastAsia="宋体" w:hAnsi="Times New Roman" w:cs="Times New Roman"/>
          <w:color w:val="000000"/>
          <w:sz w:val="24"/>
          <w:szCs w:val="20"/>
        </w:rPr>
        <w:t>4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所提供的设备和技术不得侵犯他人专利（如有侵权行为，</w:t>
      </w:r>
      <w:r w:rsidR="00ED641E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供应商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应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负全责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）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。</w:t>
      </w:r>
    </w:p>
    <w:p w14:paraId="0A583756" w14:textId="6C492042" w:rsidR="00F65FD6" w:rsidRPr="00F65FD6" w:rsidRDefault="00F65FD6" w:rsidP="00B74D92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lastRenderedPageBreak/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>.</w:t>
      </w:r>
      <w:r w:rsidR="00D7378C">
        <w:rPr>
          <w:rFonts w:ascii="Times New Roman" w:eastAsia="宋体" w:hAnsi="Times New Roman" w:cs="Times New Roman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配合我司就</w:t>
      </w:r>
      <w:r w:rsidR="007E310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本试验</w:t>
      </w: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装置的应用开展技术交流。</w:t>
      </w:r>
    </w:p>
    <w:p w14:paraId="754F87E6" w14:textId="6DEB05C4" w:rsidR="00ED641E" w:rsidRDefault="00DE3FF5" w:rsidP="00B74D92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>.</w:t>
      </w:r>
      <w:r w:rsidR="00D7378C">
        <w:rPr>
          <w:rFonts w:ascii="Times New Roman" w:eastAsia="宋体" w:hAnsi="Times New Roman" w:cs="Times New Roman"/>
          <w:color w:val="000000"/>
          <w:sz w:val="24"/>
          <w:szCs w:val="20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供应商须提供</w:t>
      </w:r>
      <w:r w:rsidR="007E310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本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试验装置的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技术方案，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内容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需包括：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设备的应用范围、</w:t>
      </w:r>
      <w:r w:rsidR="00D102F0" w:rsidRPr="00AB07CF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设计基础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、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工艺流程、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供货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清单、公用工程需求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及接口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、设备布置（占地大小）、备品备件清单、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售后服务等。</w:t>
      </w:r>
    </w:p>
    <w:p w14:paraId="071D8276" w14:textId="77777777" w:rsidR="005607AD" w:rsidRPr="00B73550" w:rsidRDefault="00AB07CF" w:rsidP="005607AD">
      <w:pPr>
        <w:pStyle w:val="a7"/>
        <w:spacing w:after="0"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六、</w:t>
      </w:r>
      <w:r w:rsidR="005607AD" w:rsidRPr="00B73550">
        <w:rPr>
          <w:rFonts w:hint="eastAsia"/>
          <w:b/>
          <w:color w:val="000000"/>
          <w:sz w:val="24"/>
        </w:rPr>
        <w:t>供货期及要求</w:t>
      </w:r>
    </w:p>
    <w:p w14:paraId="12229EBE" w14:textId="77777777" w:rsidR="005607AD" w:rsidRPr="00B73550" w:rsidRDefault="00AB07CF" w:rsidP="005607AD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607AD" w:rsidRPr="004C6828">
        <w:rPr>
          <w:rFonts w:hint="eastAsia"/>
          <w:color w:val="000000"/>
          <w:sz w:val="24"/>
        </w:rPr>
        <w:t>.1</w:t>
      </w:r>
      <w:r w:rsidR="005607AD" w:rsidRPr="00B73550">
        <w:rPr>
          <w:color w:val="000000"/>
          <w:sz w:val="24"/>
        </w:rPr>
        <w:t xml:space="preserve"> </w:t>
      </w:r>
      <w:r w:rsidR="005607AD" w:rsidRPr="00B73550">
        <w:rPr>
          <w:rFonts w:hint="eastAsia"/>
          <w:color w:val="000000"/>
          <w:sz w:val="24"/>
        </w:rPr>
        <w:t>乙方在签订合同生效</w:t>
      </w:r>
      <w:r w:rsidR="005607AD" w:rsidRPr="007203E3">
        <w:rPr>
          <w:rFonts w:hint="eastAsia"/>
          <w:sz w:val="24"/>
        </w:rPr>
        <w:t>日起</w:t>
      </w:r>
      <w:r w:rsidR="005607AD" w:rsidRPr="007203E3">
        <w:rPr>
          <w:rFonts w:hint="eastAsia"/>
          <w:sz w:val="24"/>
        </w:rPr>
        <w:t>90</w:t>
      </w:r>
      <w:r w:rsidR="005607AD" w:rsidRPr="007203E3">
        <w:rPr>
          <w:rFonts w:hint="eastAsia"/>
          <w:sz w:val="24"/>
        </w:rPr>
        <w:t>天内交付设备，</w:t>
      </w:r>
      <w:r w:rsidR="005607AD" w:rsidRPr="00B73550">
        <w:rPr>
          <w:rFonts w:hint="eastAsia"/>
          <w:color w:val="000000"/>
          <w:sz w:val="24"/>
        </w:rPr>
        <w:t>交货时，要提供产品说明书等相关文件。</w:t>
      </w:r>
    </w:p>
    <w:p w14:paraId="5530A980" w14:textId="77777777" w:rsidR="005607AD" w:rsidRPr="005D7393" w:rsidRDefault="00AB07CF" w:rsidP="005607AD">
      <w:pPr>
        <w:pStyle w:val="a7"/>
        <w:spacing w:after="0" w:line="360" w:lineRule="auto"/>
        <w:jc w:val="left"/>
        <w:rPr>
          <w:rFonts w:ascii="宋体" w:hAnsi="宋体"/>
          <w:sz w:val="24"/>
          <w:szCs w:val="24"/>
        </w:rPr>
      </w:pPr>
      <w:r>
        <w:rPr>
          <w:color w:val="000000"/>
          <w:sz w:val="24"/>
        </w:rPr>
        <w:t>6</w:t>
      </w:r>
      <w:r w:rsidR="005607AD" w:rsidRPr="004C6828">
        <w:rPr>
          <w:rFonts w:hint="eastAsia"/>
          <w:color w:val="000000"/>
          <w:sz w:val="24"/>
        </w:rPr>
        <w:t>.2</w:t>
      </w:r>
      <w:r w:rsidR="005607AD" w:rsidRPr="004C6828">
        <w:rPr>
          <w:color w:val="000000"/>
          <w:sz w:val="24"/>
        </w:rPr>
        <w:t xml:space="preserve"> </w:t>
      </w:r>
      <w:r w:rsidR="005607AD" w:rsidRPr="00B73550">
        <w:rPr>
          <w:rFonts w:hint="eastAsia"/>
          <w:color w:val="000000"/>
          <w:sz w:val="24"/>
        </w:rPr>
        <w:t>乙方提供钢制仪表标识，要求标明设备位号及主要设备参数。</w:t>
      </w:r>
    </w:p>
    <w:p w14:paraId="46E38278" w14:textId="67AAE2EC" w:rsidR="00F41CE5" w:rsidRDefault="00CE5E9C" w:rsidP="00CA5155">
      <w:pPr>
        <w:pStyle w:val="a7"/>
        <w:spacing w:after="0" w:line="360" w:lineRule="auto"/>
        <w:jc w:val="left"/>
        <w:rPr>
          <w:b/>
          <w:color w:val="000000"/>
          <w:sz w:val="24"/>
        </w:rPr>
      </w:pPr>
      <w:r w:rsidRPr="00CE5E9C">
        <w:rPr>
          <w:rFonts w:hint="eastAsia"/>
          <w:b/>
          <w:color w:val="000000"/>
          <w:sz w:val="24"/>
        </w:rPr>
        <w:t>七、</w:t>
      </w:r>
      <w:r w:rsidR="00CA5155" w:rsidRPr="00CA5155">
        <w:rPr>
          <w:b/>
          <w:color w:val="000000"/>
          <w:sz w:val="24"/>
        </w:rPr>
        <w:t>合作双方应遵守的保密义务</w:t>
      </w:r>
    </w:p>
    <w:p w14:paraId="091926D0" w14:textId="2C2DED07" w:rsidR="00CA5155" w:rsidRDefault="00CA5155" w:rsidP="00CA5155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7</w:t>
      </w:r>
      <w:r>
        <w:rPr>
          <w:rFonts w:ascii="Times New Roman" w:eastAsia="宋体" w:hAnsi="Times New Roman" w:cs="Times New Roman"/>
          <w:bCs/>
          <w:color w:val="000000"/>
          <w:sz w:val="24"/>
          <w:szCs w:val="20"/>
        </w:rPr>
        <w:t xml:space="preserve">.1 </w:t>
      </w:r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双方提供的</w:t>
      </w:r>
      <w:proofErr w:type="gramStart"/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与本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招投标</w:t>
      </w:r>
      <w:proofErr w:type="gramEnd"/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相关的技术信息和资料</w:t>
      </w:r>
      <w:r w:rsidRPr="00CA5155"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，</w:t>
      </w:r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包括但不限于双方的会议记录、往来传真、电子邮件、电话记录等有关的信息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。</w:t>
      </w:r>
    </w:p>
    <w:p w14:paraId="7ABAC95F" w14:textId="1E2F802A" w:rsidR="00CA5155" w:rsidRDefault="00CA5155" w:rsidP="00CA5155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7</w:t>
      </w:r>
      <w:r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.2</w:t>
      </w:r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过程中产生的文件、资料、数据等信息。有证据表明</w:t>
      </w:r>
      <w:r w:rsidRPr="00CA5155"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，</w:t>
      </w:r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在收到对方提供的上述保密信息前已处于公开状态的信息除外。</w:t>
      </w:r>
    </w:p>
    <w:p w14:paraId="1F549703" w14:textId="2273F4A1" w:rsidR="00CA5155" w:rsidRPr="00CA5155" w:rsidRDefault="00CA5155" w:rsidP="00CA5155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7</w:t>
      </w:r>
      <w:r>
        <w:rPr>
          <w:rFonts w:ascii="Times New Roman" w:eastAsia="宋体" w:hAnsi="Times New Roman" w:cs="Times New Roman"/>
          <w:bCs/>
          <w:color w:val="000000"/>
          <w:sz w:val="24"/>
          <w:szCs w:val="20"/>
        </w:rPr>
        <w:t xml:space="preserve">.3 </w:t>
      </w:r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泄密责任：如果发生泄密事件</w:t>
      </w:r>
      <w:r w:rsidRPr="00CA5155"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，</w:t>
      </w:r>
      <w:r w:rsidRPr="00CA5155">
        <w:rPr>
          <w:rFonts w:ascii="Times New Roman" w:eastAsia="宋体" w:hAnsi="Times New Roman" w:cs="Times New Roman"/>
          <w:bCs/>
          <w:color w:val="000000"/>
          <w:sz w:val="24"/>
          <w:szCs w:val="20"/>
        </w:rPr>
        <w:t>将依照法律追究相关人员的责任，如果由于一方或其人员泄密给另一方造成损失的，泄密方应承担全部赔偿责任</w:t>
      </w:r>
      <w:r w:rsidRPr="00CA5155">
        <w:rPr>
          <w:rFonts w:ascii="Times New Roman" w:eastAsia="宋体" w:hAnsi="Times New Roman" w:cs="Times New Roman" w:hint="eastAsia"/>
          <w:bCs/>
          <w:color w:val="000000"/>
          <w:sz w:val="24"/>
          <w:szCs w:val="20"/>
        </w:rPr>
        <w:t>。</w:t>
      </w:r>
    </w:p>
    <w:p w14:paraId="3A38119D" w14:textId="77777777" w:rsidR="008D73D8" w:rsidRDefault="008D73D8" w:rsidP="00CE5E9C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20"/>
        </w:rPr>
        <w:sectPr w:rsidR="008D73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064611" w14:textId="59428E9A" w:rsidR="00CA5155" w:rsidRPr="00CA5155" w:rsidRDefault="008D73D8" w:rsidP="00CE5E9C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20"/>
        </w:rPr>
      </w:pPr>
      <w:r>
        <w:rPr>
          <w:noProof/>
        </w:rPr>
        <w:lastRenderedPageBreak/>
        <w:drawing>
          <wp:inline distT="0" distB="0" distL="0" distR="0" wp14:anchorId="69658162" wp14:editId="6D76CD2D">
            <wp:extent cx="8863330" cy="4946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155" w:rsidRPr="00CA5155" w:rsidSect="008D73D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A392" w14:textId="77777777" w:rsidR="00057060" w:rsidRDefault="00057060" w:rsidP="00B16E93">
      <w:r>
        <w:separator/>
      </w:r>
    </w:p>
  </w:endnote>
  <w:endnote w:type="continuationSeparator" w:id="0">
    <w:p w14:paraId="3C458C87" w14:textId="77777777" w:rsidR="00057060" w:rsidRDefault="00057060" w:rsidP="00B1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F3F7" w14:textId="77777777" w:rsidR="00057060" w:rsidRDefault="00057060" w:rsidP="00B16E93">
      <w:r>
        <w:separator/>
      </w:r>
    </w:p>
  </w:footnote>
  <w:footnote w:type="continuationSeparator" w:id="0">
    <w:p w14:paraId="32EFFABE" w14:textId="77777777" w:rsidR="00057060" w:rsidRDefault="00057060" w:rsidP="00B1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F23"/>
    <w:multiLevelType w:val="hybridMultilevel"/>
    <w:tmpl w:val="672C6F52"/>
    <w:lvl w:ilvl="0" w:tplc="F8044930">
      <w:start w:val="1"/>
      <w:numFmt w:val="decimal"/>
      <w:suff w:val="nothing"/>
      <w:lvlText w:val="%1"/>
      <w:lvlJc w:val="left"/>
      <w:pPr>
        <w:ind w:left="42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E4184C"/>
    <w:multiLevelType w:val="multilevel"/>
    <w:tmpl w:val="8DA0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327985">
    <w:abstractNumId w:val="1"/>
  </w:num>
  <w:num w:numId="2" w16cid:durableId="50521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688"/>
    <w:rsid w:val="00057060"/>
    <w:rsid w:val="000A2022"/>
    <w:rsid w:val="000B5AC8"/>
    <w:rsid w:val="000E6005"/>
    <w:rsid w:val="000F0D45"/>
    <w:rsid w:val="000F7667"/>
    <w:rsid w:val="001040BC"/>
    <w:rsid w:val="001200A0"/>
    <w:rsid w:val="0012359D"/>
    <w:rsid w:val="00147B98"/>
    <w:rsid w:val="001515DB"/>
    <w:rsid w:val="001860E0"/>
    <w:rsid w:val="001B2ADC"/>
    <w:rsid w:val="001C7CF9"/>
    <w:rsid w:val="001D32E9"/>
    <w:rsid w:val="00226770"/>
    <w:rsid w:val="00235CFA"/>
    <w:rsid w:val="00252249"/>
    <w:rsid w:val="00252917"/>
    <w:rsid w:val="00260AB7"/>
    <w:rsid w:val="00261BD6"/>
    <w:rsid w:val="00302FBD"/>
    <w:rsid w:val="00307551"/>
    <w:rsid w:val="0033243A"/>
    <w:rsid w:val="0034216D"/>
    <w:rsid w:val="00354A31"/>
    <w:rsid w:val="00376F91"/>
    <w:rsid w:val="0039455A"/>
    <w:rsid w:val="003B710E"/>
    <w:rsid w:val="003C09C5"/>
    <w:rsid w:val="004135F3"/>
    <w:rsid w:val="004451B9"/>
    <w:rsid w:val="004A7ABD"/>
    <w:rsid w:val="005277BF"/>
    <w:rsid w:val="005607AD"/>
    <w:rsid w:val="005A25E1"/>
    <w:rsid w:val="005E2D61"/>
    <w:rsid w:val="005F411A"/>
    <w:rsid w:val="006157CA"/>
    <w:rsid w:val="00636139"/>
    <w:rsid w:val="00640F38"/>
    <w:rsid w:val="00662DE5"/>
    <w:rsid w:val="00684F45"/>
    <w:rsid w:val="006C389C"/>
    <w:rsid w:val="006D7566"/>
    <w:rsid w:val="007203E3"/>
    <w:rsid w:val="00757081"/>
    <w:rsid w:val="007845A6"/>
    <w:rsid w:val="0079136C"/>
    <w:rsid w:val="007E310C"/>
    <w:rsid w:val="007E4688"/>
    <w:rsid w:val="00800639"/>
    <w:rsid w:val="008216A7"/>
    <w:rsid w:val="00862FC3"/>
    <w:rsid w:val="008C33B5"/>
    <w:rsid w:val="008D73D8"/>
    <w:rsid w:val="008F5F66"/>
    <w:rsid w:val="008F6BBC"/>
    <w:rsid w:val="009245E1"/>
    <w:rsid w:val="009316D2"/>
    <w:rsid w:val="00982BBF"/>
    <w:rsid w:val="009D0E54"/>
    <w:rsid w:val="009E5085"/>
    <w:rsid w:val="009F79A5"/>
    <w:rsid w:val="00A05535"/>
    <w:rsid w:val="00A1539D"/>
    <w:rsid w:val="00A44A02"/>
    <w:rsid w:val="00A562C4"/>
    <w:rsid w:val="00AB07CF"/>
    <w:rsid w:val="00AC2752"/>
    <w:rsid w:val="00AD1C98"/>
    <w:rsid w:val="00AF6918"/>
    <w:rsid w:val="00B11BC3"/>
    <w:rsid w:val="00B16E93"/>
    <w:rsid w:val="00B32B2A"/>
    <w:rsid w:val="00B41DED"/>
    <w:rsid w:val="00B42E53"/>
    <w:rsid w:val="00B57219"/>
    <w:rsid w:val="00B57D1E"/>
    <w:rsid w:val="00B74D92"/>
    <w:rsid w:val="00B76FFB"/>
    <w:rsid w:val="00BD6582"/>
    <w:rsid w:val="00BF43CE"/>
    <w:rsid w:val="00C02F79"/>
    <w:rsid w:val="00C17320"/>
    <w:rsid w:val="00C45126"/>
    <w:rsid w:val="00C70384"/>
    <w:rsid w:val="00C77997"/>
    <w:rsid w:val="00C866F9"/>
    <w:rsid w:val="00CA5155"/>
    <w:rsid w:val="00CE5E9C"/>
    <w:rsid w:val="00CF6653"/>
    <w:rsid w:val="00D06303"/>
    <w:rsid w:val="00D102F0"/>
    <w:rsid w:val="00D418B2"/>
    <w:rsid w:val="00D659D4"/>
    <w:rsid w:val="00D7378C"/>
    <w:rsid w:val="00DE3FF5"/>
    <w:rsid w:val="00E06868"/>
    <w:rsid w:val="00E63CD6"/>
    <w:rsid w:val="00E6591D"/>
    <w:rsid w:val="00E7517E"/>
    <w:rsid w:val="00EB0731"/>
    <w:rsid w:val="00EB0738"/>
    <w:rsid w:val="00ED641E"/>
    <w:rsid w:val="00F051D1"/>
    <w:rsid w:val="00F063E2"/>
    <w:rsid w:val="00F21B12"/>
    <w:rsid w:val="00F23AC6"/>
    <w:rsid w:val="00F30142"/>
    <w:rsid w:val="00F342BC"/>
    <w:rsid w:val="00F41CE5"/>
    <w:rsid w:val="00F4766A"/>
    <w:rsid w:val="00F65FD6"/>
    <w:rsid w:val="00F839DD"/>
    <w:rsid w:val="00F9007A"/>
    <w:rsid w:val="00FA39E3"/>
    <w:rsid w:val="00FB5148"/>
    <w:rsid w:val="00FB5556"/>
    <w:rsid w:val="00F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1B965"/>
  <w15:docId w15:val="{B6D13AA5-990C-4C77-BC09-1329651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E93"/>
    <w:rPr>
      <w:sz w:val="18"/>
      <w:szCs w:val="18"/>
    </w:rPr>
  </w:style>
  <w:style w:type="paragraph" w:styleId="a7">
    <w:name w:val="Body Text"/>
    <w:basedOn w:val="a"/>
    <w:link w:val="a8"/>
    <w:rsid w:val="00B16E93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7"/>
    <w:rsid w:val="00B16E93"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link w:val="aa"/>
    <w:rsid w:val="00D06303"/>
    <w:rPr>
      <w:sz w:val="18"/>
      <w:szCs w:val="18"/>
      <w:lang w:eastAsia="en-US"/>
    </w:rPr>
  </w:style>
  <w:style w:type="paragraph" w:styleId="aa">
    <w:name w:val="Balloon Text"/>
    <w:basedOn w:val="a"/>
    <w:link w:val="a9"/>
    <w:unhideWhenUsed/>
    <w:rsid w:val="00D06303"/>
    <w:pPr>
      <w:jc w:val="left"/>
    </w:pPr>
    <w:rPr>
      <w:sz w:val="18"/>
      <w:szCs w:val="18"/>
      <w:lang w:eastAsia="en-US"/>
    </w:rPr>
  </w:style>
  <w:style w:type="character" w:customStyle="1" w:styleId="1">
    <w:name w:val="批注框文本 字符1"/>
    <w:basedOn w:val="a0"/>
    <w:uiPriority w:val="99"/>
    <w:semiHidden/>
    <w:rsid w:val="00D0630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45E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245E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245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5E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245E1"/>
    <w:rPr>
      <w:b/>
      <w:bCs/>
    </w:rPr>
  </w:style>
  <w:style w:type="paragraph" w:styleId="af0">
    <w:name w:val="Revision"/>
    <w:hidden/>
    <w:uiPriority w:val="99"/>
    <w:semiHidden/>
    <w:rsid w:val="007203E3"/>
  </w:style>
  <w:style w:type="paragraph" w:styleId="af1">
    <w:name w:val="List Paragraph"/>
    <w:basedOn w:val="a"/>
    <w:uiPriority w:val="34"/>
    <w:qFormat/>
    <w:rsid w:val="00CA51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3E3E3"/>
              </w:divBdr>
              <w:divsChild>
                <w:div w:id="619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6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Hychen</dc:creator>
  <cp:keywords/>
  <dc:description/>
  <cp:lastModifiedBy>卢 毅</cp:lastModifiedBy>
  <cp:revision>87</cp:revision>
  <dcterms:created xsi:type="dcterms:W3CDTF">2022-11-09T15:28:00Z</dcterms:created>
  <dcterms:modified xsi:type="dcterms:W3CDTF">2023-04-20T06:19:00Z</dcterms:modified>
</cp:coreProperties>
</file>