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ascii="宋体" w:hAnsi="宋体"/>
          <w:b/>
          <w:color w:val="000000"/>
          <w:sz w:val="24"/>
        </w:rPr>
      </w:pPr>
      <w:r>
        <w:rPr>
          <w:rFonts w:hint="eastAsia" w:ascii="宋体" w:hAnsi="宋体"/>
          <w:b/>
          <w:color w:val="000000"/>
          <w:sz w:val="24"/>
        </w:rPr>
        <w:t xml:space="preserve"> 一般货物（产品）采购合同</w:t>
      </w:r>
    </w:p>
    <w:p>
      <w:pPr>
        <w:spacing w:line="280" w:lineRule="exact"/>
        <w:rPr>
          <w:rFonts w:hint="eastAsia"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FH-XLSH-2023-CG-</w:t>
      </w:r>
      <w:r>
        <w:rPr>
          <w:rFonts w:hint="eastAsia" w:ascii="宋体" w:hAnsi="宋体"/>
          <w:b w:val="0"/>
          <w:bCs/>
          <w:sz w:val="18"/>
          <w:szCs w:val="18"/>
          <w:lang w:val="en-US" w:eastAsia="zh-CN"/>
        </w:rPr>
        <w:t>LS</w:t>
      </w:r>
      <w:r>
        <w:rPr>
          <w:rFonts w:hint="eastAsia" w:ascii="宋体" w:hAnsi="宋体"/>
          <w:b w:val="0"/>
          <w:bCs/>
          <w:sz w:val="18"/>
          <w:szCs w:val="18"/>
        </w:rPr>
        <w:t>-XUZM-</w:t>
      </w:r>
      <w:r>
        <w:rPr>
          <w:rFonts w:hint="eastAsia" w:ascii="Verdana" w:hAnsi="Verdana"/>
          <w:b/>
          <w:bCs/>
          <w:color w:val="000000"/>
          <w:szCs w:val="21"/>
          <w:shd w:val="clear" w:color="auto" w:fill="FFFFFF"/>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w:t>
      </w:r>
      <w:r>
        <w:rPr>
          <w:rFonts w:hint="eastAsia" w:ascii="宋体" w:hAnsi="宋体"/>
          <w:b/>
          <w:color w:val="000000"/>
          <w:szCs w:val="21"/>
        </w:rPr>
        <w:t>（漳州）有限公司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66"/>
        <w:gridCol w:w="1830"/>
        <w:gridCol w:w="783"/>
        <w:gridCol w:w="689"/>
        <w:gridCol w:w="1333"/>
        <w:gridCol w:w="1215"/>
        <w:gridCol w:w="1575"/>
        <w:gridCol w:w="119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76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1830"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783"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89"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33"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215"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575"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1191"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53" w:type="dxa"/>
            <w:vAlign w:val="center"/>
          </w:tcPr>
          <w:p>
            <w:pPr>
              <w:spacing w:line="280" w:lineRule="exact"/>
              <w:jc w:val="center"/>
              <w:rPr>
                <w:rFonts w:ascii="宋体" w:hAnsi="宋体"/>
                <w:color w:val="000000"/>
                <w:sz w:val="18"/>
                <w:szCs w:val="18"/>
              </w:rPr>
            </w:pPr>
            <w:r>
              <w:rPr>
                <w:rFonts w:hint="eastAsia" w:ascii="宋体" w:hAnsi="宋体" w:cs="宋体"/>
                <w:sz w:val="21"/>
                <w:szCs w:val="21"/>
              </w:rPr>
              <w:t>磷酸</w:t>
            </w:r>
          </w:p>
        </w:tc>
        <w:tc>
          <w:tcPr>
            <w:tcW w:w="766"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1830"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color w:val="000000"/>
                <w:lang w:val="en-US" w:eastAsia="zh-CN"/>
              </w:rPr>
              <w:t>85%，具体详见附件</w:t>
            </w:r>
          </w:p>
        </w:tc>
        <w:tc>
          <w:tcPr>
            <w:tcW w:w="783"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689"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70</w:t>
            </w:r>
          </w:p>
        </w:tc>
        <w:tc>
          <w:tcPr>
            <w:tcW w:w="1333" w:type="dxa"/>
            <w:vAlign w:val="center"/>
          </w:tcPr>
          <w:p>
            <w:pPr>
              <w:spacing w:line="280" w:lineRule="exact"/>
              <w:jc w:val="center"/>
              <w:rPr>
                <w:rFonts w:hint="default" w:ascii="宋体" w:hAnsi="宋体" w:eastAsia="宋体"/>
                <w:color w:val="000000"/>
                <w:sz w:val="18"/>
                <w:szCs w:val="18"/>
                <w:lang w:val="en-US" w:eastAsia="zh-CN"/>
              </w:rPr>
            </w:pPr>
            <w:r>
              <w:rPr>
                <w:rFonts w:hint="eastAsia" w:ascii="Verdana" w:hAnsi="Verdana"/>
                <w:b/>
                <w:bCs/>
                <w:color w:val="000000"/>
                <w:szCs w:val="21"/>
                <w:shd w:val="clear" w:color="auto" w:fill="FFFFFF"/>
                <w:lang w:val="en-US" w:eastAsia="zh-CN"/>
              </w:rPr>
              <w:t>***</w:t>
            </w:r>
          </w:p>
        </w:tc>
        <w:tc>
          <w:tcPr>
            <w:tcW w:w="1215" w:type="dxa"/>
            <w:vAlign w:val="center"/>
          </w:tcPr>
          <w:p>
            <w:pPr>
              <w:spacing w:line="280" w:lineRule="exact"/>
              <w:jc w:val="center"/>
              <w:rPr>
                <w:rFonts w:hint="default" w:ascii="宋体" w:hAnsi="宋体" w:eastAsia="宋体"/>
                <w:color w:val="000000"/>
                <w:sz w:val="18"/>
                <w:szCs w:val="18"/>
                <w:lang w:val="en-US" w:eastAsia="zh-CN"/>
              </w:rPr>
            </w:pPr>
            <w:r>
              <w:rPr>
                <w:rFonts w:hint="eastAsia" w:ascii="Verdana" w:hAnsi="Verdana"/>
                <w:b/>
                <w:bCs/>
                <w:color w:val="000000"/>
                <w:szCs w:val="21"/>
                <w:shd w:val="clear" w:color="auto" w:fill="FFFFFF"/>
                <w:lang w:val="en-US" w:eastAsia="zh-CN"/>
              </w:rPr>
              <w:t>***</w:t>
            </w:r>
          </w:p>
        </w:tc>
        <w:tc>
          <w:tcPr>
            <w:tcW w:w="1575" w:type="dxa"/>
            <w:vAlign w:val="center"/>
          </w:tcPr>
          <w:p>
            <w:pPr>
              <w:spacing w:line="280" w:lineRule="exact"/>
              <w:jc w:val="both"/>
              <w:rPr>
                <w:rFonts w:hint="eastAsia" w:ascii="宋体" w:hAnsi="宋体"/>
                <w:color w:val="000000"/>
                <w:sz w:val="18"/>
                <w:szCs w:val="18"/>
                <w:lang w:val="en-US" w:eastAsia="zh-CN"/>
              </w:rPr>
            </w:pPr>
            <w:r>
              <w:rPr>
                <w:rFonts w:hint="eastAsia" w:ascii="Verdana" w:hAnsi="Verdana"/>
                <w:b/>
                <w:bCs/>
                <w:color w:val="000000"/>
                <w:szCs w:val="21"/>
                <w:shd w:val="clear" w:color="auto" w:fill="FFFFFF"/>
                <w:lang w:val="en-US" w:eastAsia="zh-CN"/>
              </w:rPr>
              <w:t>***</w:t>
            </w:r>
            <w:bookmarkStart w:id="0" w:name="_GoBack"/>
            <w:bookmarkEnd w:id="0"/>
          </w:p>
        </w:tc>
        <w:tc>
          <w:tcPr>
            <w:tcW w:w="1191"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6" w:hRule="atLeast"/>
        </w:trPr>
        <w:tc>
          <w:tcPr>
            <w:tcW w:w="2319"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7425" w:type="dxa"/>
            <w:gridSpan w:val="6"/>
            <w:shd w:val="clear" w:color="auto" w:fill="auto"/>
            <w:vAlign w:val="center"/>
          </w:tcPr>
          <w:p>
            <w:pPr>
              <w:widowControl/>
              <w:jc w:val="both"/>
              <w:rPr>
                <w:rFonts w:hint="default" w:eastAsia="宋体"/>
                <w:lang w:val="en-US" w:eastAsia="zh-CN"/>
              </w:rPr>
            </w:pPr>
            <w:r>
              <w:rPr>
                <w:rFonts w:hint="eastAsia" w:ascii="Verdana" w:hAnsi="Verdana"/>
                <w:b/>
                <w:bCs/>
                <w:color w:val="000000"/>
                <w:szCs w:val="21"/>
                <w:shd w:val="clear" w:color="auto" w:fill="FFFFFF"/>
                <w:lang w:val="en-US" w:eastAsia="zh-CN"/>
              </w:rPr>
              <w:t>***</w:t>
            </w:r>
            <w:r>
              <w:rPr>
                <w:rFonts w:hint="eastAsia"/>
                <w:lang w:val="en-US" w:eastAsia="zh-CN"/>
              </w:rPr>
              <w:t>元整</w:t>
            </w:r>
          </w:p>
        </w:tc>
        <w:tc>
          <w:tcPr>
            <w:tcW w:w="1190" w:type="dxa"/>
            <w:shd w:val="clear" w:color="auto" w:fill="auto"/>
            <w:vAlign w:val="center"/>
          </w:tcPr>
          <w:p>
            <w:pPr>
              <w:widowControl/>
              <w:jc w:val="both"/>
              <w:rPr>
                <w:rFonts w:hint="eastAsia" w:ascii="Verdana" w:hAnsi="Verdana"/>
                <w:b/>
                <w:bCs/>
                <w:color w:val="000000"/>
                <w:szCs w:val="21"/>
                <w:shd w:val="clear" w:color="auto" w:fill="FFFFFF"/>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color w:val="000000"/>
          <w:u w:val="single"/>
          <w:lang w:val="en-US" w:eastAsia="zh-CN"/>
        </w:rPr>
        <w:t>85%，具体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themeColor="text1"/>
          <w:szCs w:val="21"/>
          <w14:textFill>
            <w14:solidFill>
              <w14:schemeClr w14:val="tx1"/>
            </w14:solidFill>
          </w14:textFill>
        </w:rPr>
        <w:t>1、袋装：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FF0000"/>
          <w:szCs w:val="21"/>
        </w:rPr>
        <w:t xml:space="preserve">  </w:t>
      </w:r>
      <w:r>
        <w:rPr>
          <w:rFonts w:hint="eastAsia" w:ascii="宋体" w:hAnsi="宋体"/>
          <w:color w:val="000000"/>
          <w:szCs w:val="21"/>
        </w:rPr>
        <w:t>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翔鹭石化</w:t>
      </w:r>
      <w:r>
        <w:rPr>
          <w:rFonts w:hint="eastAsia" w:ascii="宋体" w:hAnsi="宋体"/>
          <w:b w:val="0"/>
          <w:bCs/>
          <w:color w:val="000000"/>
          <w:szCs w:val="21"/>
          <w:u w:val="single"/>
        </w:rPr>
        <w:t>（漳州）有限公司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Layout w:type="fixed"/>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w:t>
            </w:r>
            <w:r>
              <w:rPr>
                <w:rFonts w:hint="eastAsia" w:ascii="宋体" w:hAnsi="宋体"/>
                <w:b/>
                <w:color w:val="000000"/>
                <w:szCs w:val="21"/>
              </w:rPr>
              <w:t>（漳州）有限公司</w:t>
            </w:r>
          </w:p>
        </w:tc>
      </w:tr>
      <w:tr>
        <w:tblPrEx>
          <w:tblLayout w:type="fixed"/>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default" w:eastAsia="宋体"/>
                <w:b w:val="0"/>
                <w:bCs/>
                <w:color w:val="000000"/>
                <w:szCs w:val="21"/>
                <w:lang w:val="en-US" w:eastAsia="zh-CN"/>
              </w:rPr>
              <w:t>913506006765392255</w:t>
            </w: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b w:val="0"/>
                <w:bCs/>
                <w:color w:val="000000"/>
                <w:sz w:val="18"/>
                <w:szCs w:val="18"/>
                <w:lang w:val="en-US" w:eastAsia="zh-CN"/>
              </w:rPr>
              <w:t>漳州市古雷港经济开发区腾龙路86号</w:t>
            </w: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Layout w:type="fixed"/>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default" w:eastAsia="宋体"/>
                <w:b w:val="0"/>
                <w:bCs/>
                <w:color w:val="000000"/>
                <w:szCs w:val="21"/>
                <w:lang w:val="en-US" w:eastAsia="zh-CN"/>
              </w:rPr>
              <w:t>913506006765392255</w:t>
            </w: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供方的叁万元整参选保证金（收款账户为福建福海创石油化工有限公司账户）转为履约保证金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240" w:lineRule="auto"/>
        <w:rPr>
          <w:rFonts w:hint="eastAsia" w:eastAsia="宋体"/>
          <w:lang w:eastAsia="zh-CN"/>
        </w:rPr>
      </w:pPr>
      <w:r>
        <w:rPr>
          <w:rFonts w:hint="eastAsia" w:eastAsia="宋体"/>
          <w:lang w:eastAsia="zh-CN"/>
        </w:rPr>
        <w:drawing>
          <wp:inline distT="0" distB="0" distL="114300" distR="114300">
            <wp:extent cx="6591300" cy="2952750"/>
            <wp:effectExtent l="0" t="0" r="0" b="0"/>
            <wp:docPr id="1" name="图片 1" descr="167143525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1435252187"/>
                    <pic:cNvPicPr>
                      <a:picLocks noChangeAspect="1"/>
                    </pic:cNvPicPr>
                  </pic:nvPicPr>
                  <pic:blipFill>
                    <a:blip r:embed="rId6"/>
                    <a:stretch>
                      <a:fillRect/>
                    </a:stretch>
                  </pic:blipFill>
                  <pic:spPr>
                    <a:xfrm>
                      <a:off x="0" y="0"/>
                      <a:ext cx="6591300" cy="2952750"/>
                    </a:xfrm>
                    <a:prstGeom prst="rect">
                      <a:avLst/>
                    </a:prstGeom>
                  </pic:spPr>
                </pic:pic>
              </a:graphicData>
            </a:graphic>
          </wp:inline>
        </w:drawing>
      </w: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9E6A42"/>
    <w:rsid w:val="03AE4A2E"/>
    <w:rsid w:val="052277F1"/>
    <w:rsid w:val="06497438"/>
    <w:rsid w:val="06585F98"/>
    <w:rsid w:val="06AE3E0A"/>
    <w:rsid w:val="07BC16EB"/>
    <w:rsid w:val="07DB2111"/>
    <w:rsid w:val="09275C98"/>
    <w:rsid w:val="09896FAA"/>
    <w:rsid w:val="0B2C4C25"/>
    <w:rsid w:val="0B72197B"/>
    <w:rsid w:val="0E6802FB"/>
    <w:rsid w:val="0EA24222"/>
    <w:rsid w:val="0EE72FE9"/>
    <w:rsid w:val="0F2067C7"/>
    <w:rsid w:val="11946126"/>
    <w:rsid w:val="11EB07F7"/>
    <w:rsid w:val="128630C3"/>
    <w:rsid w:val="13304CA7"/>
    <w:rsid w:val="13C94CE3"/>
    <w:rsid w:val="141B5A33"/>
    <w:rsid w:val="14D53C06"/>
    <w:rsid w:val="14D556DC"/>
    <w:rsid w:val="151A4078"/>
    <w:rsid w:val="16BB2286"/>
    <w:rsid w:val="174773A9"/>
    <w:rsid w:val="178D2F8E"/>
    <w:rsid w:val="17A65AD7"/>
    <w:rsid w:val="19897784"/>
    <w:rsid w:val="199B7EA2"/>
    <w:rsid w:val="1A347C79"/>
    <w:rsid w:val="1A36784A"/>
    <w:rsid w:val="1A465F50"/>
    <w:rsid w:val="1AF5427D"/>
    <w:rsid w:val="1B06444C"/>
    <w:rsid w:val="1C7032A3"/>
    <w:rsid w:val="1CBF1B6B"/>
    <w:rsid w:val="1CC66D8E"/>
    <w:rsid w:val="1CD143BE"/>
    <w:rsid w:val="1D265138"/>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78628D1"/>
    <w:rsid w:val="3919057C"/>
    <w:rsid w:val="39B07817"/>
    <w:rsid w:val="39EF33FE"/>
    <w:rsid w:val="3A410571"/>
    <w:rsid w:val="3BA701C3"/>
    <w:rsid w:val="3BEB6C08"/>
    <w:rsid w:val="3BF533DA"/>
    <w:rsid w:val="3C2F45DF"/>
    <w:rsid w:val="3E3177AE"/>
    <w:rsid w:val="3E8413AD"/>
    <w:rsid w:val="3E913D5F"/>
    <w:rsid w:val="40196700"/>
    <w:rsid w:val="401F500B"/>
    <w:rsid w:val="403614ED"/>
    <w:rsid w:val="41245E39"/>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643D80"/>
    <w:rsid w:val="4D4835EB"/>
    <w:rsid w:val="4D8C56D1"/>
    <w:rsid w:val="4DBA657C"/>
    <w:rsid w:val="4E086F29"/>
    <w:rsid w:val="4E7B0CE8"/>
    <w:rsid w:val="4F6C7C7D"/>
    <w:rsid w:val="511B7199"/>
    <w:rsid w:val="51BB529B"/>
    <w:rsid w:val="51F3687D"/>
    <w:rsid w:val="51FB0755"/>
    <w:rsid w:val="52EA7771"/>
    <w:rsid w:val="531A4B1B"/>
    <w:rsid w:val="5385691A"/>
    <w:rsid w:val="53BC4B0E"/>
    <w:rsid w:val="53CB242D"/>
    <w:rsid w:val="5449041D"/>
    <w:rsid w:val="5450093F"/>
    <w:rsid w:val="5469669B"/>
    <w:rsid w:val="56822835"/>
    <w:rsid w:val="56E528BE"/>
    <w:rsid w:val="576E3691"/>
    <w:rsid w:val="578F6A0D"/>
    <w:rsid w:val="57E961DF"/>
    <w:rsid w:val="57FB6A1F"/>
    <w:rsid w:val="589A7AF6"/>
    <w:rsid w:val="58D9361F"/>
    <w:rsid w:val="58F3787D"/>
    <w:rsid w:val="58FA45CC"/>
    <w:rsid w:val="59102BB0"/>
    <w:rsid w:val="59F4086D"/>
    <w:rsid w:val="5B060860"/>
    <w:rsid w:val="5B9444F1"/>
    <w:rsid w:val="5C0C5203"/>
    <w:rsid w:val="5C6F7E92"/>
    <w:rsid w:val="5C785C05"/>
    <w:rsid w:val="5CA72002"/>
    <w:rsid w:val="5CD55774"/>
    <w:rsid w:val="5E3B2AB7"/>
    <w:rsid w:val="5E4915C3"/>
    <w:rsid w:val="5E87201D"/>
    <w:rsid w:val="5EC743B5"/>
    <w:rsid w:val="5F505B7A"/>
    <w:rsid w:val="5F686E32"/>
    <w:rsid w:val="5F9560A9"/>
    <w:rsid w:val="5F9562D4"/>
    <w:rsid w:val="60746981"/>
    <w:rsid w:val="612122BD"/>
    <w:rsid w:val="620E1A37"/>
    <w:rsid w:val="64A5340D"/>
    <w:rsid w:val="64FE517C"/>
    <w:rsid w:val="65255C37"/>
    <w:rsid w:val="6639313E"/>
    <w:rsid w:val="668E63C0"/>
    <w:rsid w:val="68FC7602"/>
    <w:rsid w:val="69AC14C8"/>
    <w:rsid w:val="6A1F02B5"/>
    <w:rsid w:val="6A82138D"/>
    <w:rsid w:val="6ABE3FFA"/>
    <w:rsid w:val="6C803D4B"/>
    <w:rsid w:val="6DF71B92"/>
    <w:rsid w:val="6E113A64"/>
    <w:rsid w:val="6EA82FD7"/>
    <w:rsid w:val="6F7A0CAE"/>
    <w:rsid w:val="70235CED"/>
    <w:rsid w:val="70371CD9"/>
    <w:rsid w:val="71687B5B"/>
    <w:rsid w:val="71773B60"/>
    <w:rsid w:val="71946BA2"/>
    <w:rsid w:val="719C4C23"/>
    <w:rsid w:val="72304A50"/>
    <w:rsid w:val="72E45623"/>
    <w:rsid w:val="732365F9"/>
    <w:rsid w:val="74741EA4"/>
    <w:rsid w:val="747A374A"/>
    <w:rsid w:val="74977AC0"/>
    <w:rsid w:val="761B3686"/>
    <w:rsid w:val="77620DBB"/>
    <w:rsid w:val="77EE5940"/>
    <w:rsid w:val="780D4938"/>
    <w:rsid w:val="78EF4119"/>
    <w:rsid w:val="7A4256E7"/>
    <w:rsid w:val="7ADC690F"/>
    <w:rsid w:val="7B2F07F1"/>
    <w:rsid w:val="7C0442F2"/>
    <w:rsid w:val="7D6A6721"/>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4929</Words>
  <Characters>5282</Characters>
  <Lines>38</Lines>
  <Paragraphs>10</Paragraphs>
  <TotalTime>1</TotalTime>
  <ScaleCrop>false</ScaleCrop>
  <LinksUpToDate>false</LinksUpToDate>
  <CharactersWithSpaces>5632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2023-05-17T06:57:29Z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E6E9D85809614EC4ACE90B2F16CEFDD7</vt:lpwstr>
  </property>
</Properties>
</file>