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电导率分析仪</w:t>
      </w:r>
      <w:r>
        <w:rPr>
          <w:rFonts w:hint="eastAsia" w:ascii="微软雅黑" w:eastAsia="微软雅黑"/>
          <w:b/>
          <w:sz w:val="52"/>
          <w:szCs w:val="22"/>
          <w:u w:val="single"/>
          <w:lang w:eastAsia="zh-CN"/>
        </w:rPr>
        <w:t>采购项目</w:t>
      </w:r>
    </w:p>
    <w:p>
      <w:pPr>
        <w:pStyle w:val="20"/>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2"/>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w:t>
      </w:r>
      <w:r>
        <w:rPr>
          <w:rFonts w:hint="eastAsia"/>
          <w:color w:val="000000" w:themeColor="text1"/>
          <w:sz w:val="28"/>
          <w:szCs w:val="28"/>
          <w:lang w:val="en-US" w:eastAsia="zh-CN"/>
          <w14:textFill>
            <w14:solidFill>
              <w14:schemeClr w14:val="tx1"/>
            </w14:solidFill>
          </w14:textFill>
        </w:rPr>
        <w:t>QG2304170060</w:t>
      </w:r>
      <w:r>
        <w:rPr>
          <w:rFonts w:hint="eastAsia"/>
          <w:color w:val="000000" w:themeColor="text1"/>
          <w:sz w:val="28"/>
          <w:szCs w:val="28"/>
          <w14:textFill>
            <w14:solidFill>
              <w14:schemeClr w14:val="tx1"/>
            </w14:solidFill>
          </w14:textFill>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二〇二三年</w:t>
      </w:r>
      <w:r>
        <w:rPr>
          <w:rFonts w:hint="eastAsia" w:ascii="微软雅黑" w:eastAsia="微软雅黑"/>
          <w:b/>
          <w:color w:val="000000" w:themeColor="text1"/>
          <w:w w:val="95"/>
          <w:sz w:val="32"/>
          <w:lang w:val="en-US" w:eastAsia="zh-CN"/>
          <w14:textFill>
            <w14:solidFill>
              <w14:schemeClr w14:val="tx1"/>
            </w14:solidFill>
          </w14:textFill>
        </w:rPr>
        <w:t>五</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tabs>
          <w:tab w:val="left" w:pos="709"/>
        </w:tabs>
        <w:spacing w:line="360" w:lineRule="auto"/>
        <w:ind w:firstLine="480" w:firstLineChars="200"/>
        <w:rPr>
          <w:sz w:val="24"/>
          <w:szCs w:val="24"/>
          <w:lang w:eastAsia="zh-CN"/>
        </w:rPr>
      </w:pP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电导率分析仪</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w:t>
      </w:r>
      <w:r>
        <w:rPr>
          <w:rFonts w:hint="eastAsia"/>
          <w:color w:val="000000" w:themeColor="text1"/>
          <w:u w:val="single"/>
          <w:lang w:val="en-US" w:eastAsia="zh-CN"/>
          <w14:textFill>
            <w14:solidFill>
              <w14:schemeClr w14:val="tx1"/>
            </w14:solidFill>
          </w14:textFill>
        </w:rPr>
        <w:t>电导率分析仪</w:t>
      </w:r>
      <w:r>
        <w:rPr>
          <w:rFonts w:hint="eastAsia"/>
          <w:color w:val="000000" w:themeColor="text1"/>
          <w:u w:val="single"/>
          <w:lang w:eastAsia="zh-CN"/>
          <w14:textFill>
            <w14:solidFill>
              <w14:schemeClr w14:val="tx1"/>
            </w14:solidFill>
          </w14:textFill>
        </w:rPr>
        <w:t>采购项目（项目编号：QG2</w:t>
      </w:r>
      <w:r>
        <w:rPr>
          <w:rFonts w:hint="eastAsia"/>
          <w:color w:val="000000" w:themeColor="text1"/>
          <w:u w:val="single"/>
          <w:lang w:val="en-US" w:eastAsia="zh-CN"/>
          <w14:textFill>
            <w14:solidFill>
              <w14:schemeClr w14:val="tx1"/>
            </w14:solidFill>
          </w14:textFill>
        </w:rPr>
        <w:t>3</w:t>
      </w:r>
      <w:r>
        <w:rPr>
          <w:rFonts w:hint="eastAsia"/>
          <w:color w:val="000000" w:themeColor="text1"/>
          <w:u w:val="single"/>
          <w:lang w:eastAsia="zh-CN"/>
          <w14:textFill>
            <w14:solidFill>
              <w14:schemeClr w14:val="tx1"/>
            </w14:solidFill>
          </w14:textFill>
        </w:rPr>
        <w:t>0</w:t>
      </w:r>
      <w:r>
        <w:rPr>
          <w:rFonts w:hint="eastAsia"/>
          <w:color w:val="000000" w:themeColor="text1"/>
          <w:u w:val="single"/>
          <w:lang w:val="en-US" w:eastAsia="zh-CN"/>
          <w14:textFill>
            <w14:solidFill>
              <w14:schemeClr w14:val="tx1"/>
            </w14:solidFill>
          </w14:textFill>
        </w:rPr>
        <w:t>417</w:t>
      </w:r>
      <w:r>
        <w:rPr>
          <w:rFonts w:hint="eastAsia"/>
          <w:color w:val="000000" w:themeColor="text1"/>
          <w:u w:val="single"/>
          <w:lang w:eastAsia="zh-CN"/>
          <w14:textFill>
            <w14:solidFill>
              <w14:schemeClr w14:val="tx1"/>
            </w14:solidFill>
          </w14:textFill>
        </w:rPr>
        <w:t>00</w:t>
      </w:r>
      <w:r>
        <w:rPr>
          <w:rFonts w:hint="eastAsia"/>
          <w:color w:val="000000" w:themeColor="text1"/>
          <w:u w:val="single"/>
          <w:lang w:val="en-US" w:eastAsia="zh-CN"/>
          <w14:textFill>
            <w14:solidFill>
              <w14:schemeClr w14:val="tx1"/>
            </w14:solidFill>
          </w14:textFill>
        </w:rPr>
        <w:t>60</w:t>
      </w:r>
      <w:r>
        <w:rPr>
          <w:rFonts w:hint="eastAsia"/>
          <w:color w:val="000000" w:themeColor="text1"/>
          <w:u w:val="single"/>
          <w:lang w:eastAsia="zh-CN"/>
          <w14:textFill>
            <w14:solidFill>
              <w14:schemeClr w14:val="tx1"/>
            </w14:solidFill>
          </w14:textFill>
        </w:rPr>
        <w:t>）</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电导率分析仪</w:t>
      </w:r>
      <w:r>
        <w:rPr>
          <w:rFonts w:hint="eastAsia"/>
          <w:sz w:val="24"/>
          <w:szCs w:val="24"/>
          <w:lang w:eastAsia="zh-CN"/>
        </w:rPr>
        <w:t>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rPr>
          <w:sz w:val="24"/>
          <w:szCs w:val="24"/>
          <w:lang w:eastAsia="zh-CN"/>
        </w:rPr>
      </w:pPr>
      <w:r>
        <w:rPr>
          <w:rFonts w:hint="eastAsia"/>
          <w:sz w:val="24"/>
          <w:szCs w:val="24"/>
          <w:lang w:val="en-US" w:eastAsia="zh-CN"/>
        </w:rPr>
        <w:t>在线电导率分析仪，详见技术规格书。</w:t>
      </w:r>
    </w:p>
    <w:p>
      <w:pPr>
        <w:numPr>
          <w:ilvl w:val="0"/>
          <w:numId w:val="7"/>
        </w:numPr>
        <w:tabs>
          <w:tab w:val="left" w:pos="709"/>
          <w:tab w:val="clear" w:pos="312"/>
        </w:tabs>
        <w:spacing w:line="360" w:lineRule="auto"/>
        <w:ind w:firstLine="480" w:firstLineChars="200"/>
        <w:rPr>
          <w:rFonts w:hint="default"/>
          <w:lang w:val="en-US" w:eastAsia="zh-CN"/>
        </w:rPr>
      </w:pPr>
      <w:r>
        <w:rPr>
          <w:rFonts w:hint="eastAsia"/>
          <w:sz w:val="24"/>
          <w:szCs w:val="24"/>
          <w:lang w:val="en-US" w:eastAsia="zh-CN"/>
        </w:rPr>
        <w:t>比选控制价：21万（不含税）。</w:t>
      </w:r>
    </w:p>
    <w:p>
      <w:pPr>
        <w:numPr>
          <w:numId w:val="0"/>
        </w:numPr>
        <w:tabs>
          <w:tab w:val="left" w:pos="709"/>
        </w:tabs>
        <w:spacing w:line="360" w:lineRule="auto"/>
        <w:ind w:firstLine="480" w:firstLineChars="200"/>
        <w:rPr>
          <w:rFonts w:hint="default"/>
          <w:lang w:val="en-US" w:eastAsia="zh-CN"/>
        </w:rPr>
      </w:pPr>
      <w:r>
        <w:rPr>
          <w:rFonts w:hint="eastAsia"/>
          <w:sz w:val="24"/>
          <w:szCs w:val="24"/>
          <w:lang w:val="en-US" w:eastAsia="zh-CN"/>
        </w:rPr>
        <w:t>4.合同付款方式：无预付款，投标保证金自动转为履约保证金，货到安装验收合格付90%，10%质保金，质保期满后付清。</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default"/>
          <w:lang w:val="en-US" w:eastAsia="zh-CN"/>
        </w:rPr>
      </w:pPr>
      <w:r>
        <w:rPr>
          <w:rFonts w:hint="eastAsia"/>
          <w:sz w:val="24"/>
          <w:szCs w:val="24"/>
          <w:lang w:val="en-US" w:eastAsia="zh-CN"/>
        </w:rPr>
        <w:t>5.本标不接受联合体投标。</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  月  日至202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  月  日（共</w:t>
      </w:r>
      <w:r>
        <w:rPr>
          <w:color w:val="000000" w:themeColor="text1"/>
          <w:sz w:val="24"/>
          <w:szCs w:val="24"/>
          <w:lang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参选文件递交地点：漳州市漳浦县杜浔镇杜昌路9号，福海创办公楼三楼设备及服务团队，收件人：何震洋  </w:t>
      </w:r>
      <w:r>
        <w:rPr>
          <w:rFonts w:hint="eastAsia"/>
          <w:color w:val="000000" w:themeColor="text1"/>
          <w:sz w:val="24"/>
          <w:szCs w:val="24"/>
          <w:lang w:val="en-US" w:eastAsia="zh-CN"/>
          <w14:textFill>
            <w14:solidFill>
              <w14:schemeClr w14:val="tx1"/>
            </w14:solidFill>
          </w14:textFill>
        </w:rPr>
        <w:t>电话：</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widowControl/>
        <w:autoSpaceDE/>
        <w:autoSpaceDN/>
        <w:spacing w:line="360" w:lineRule="auto"/>
        <w:ind w:firstLine="440" w:firstLineChars="200"/>
        <w:jc w:val="both"/>
        <w:rPr>
          <w:rFonts w:cs="Arial" w:asciiTheme="majorEastAsia" w:hAnsiTheme="majorEastAsia" w:eastAsiaTheme="majorEastAsia"/>
          <w:color w:val="333333"/>
          <w:sz w:val="24"/>
          <w:szCs w:val="24"/>
          <w:lang w:eastAsia="zh-CN"/>
        </w:rPr>
      </w:pPr>
      <w:r>
        <w:rPr>
          <w:rFonts w:hint="eastAsia"/>
          <w:lang w:eastAsia="zh-CN"/>
        </w:rPr>
        <w:t xml:space="preserve"> </w:t>
      </w: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肆仟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4000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电导率分析仪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何震洋</w:t>
      </w:r>
      <w:r>
        <w:rPr>
          <w:rFonts w:hint="eastAsia"/>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电导率分析仪采购项目</w:t>
      </w:r>
      <w:r>
        <w:rPr>
          <w:rFonts w:hint="eastAsia"/>
          <w:sz w:val="24"/>
          <w:szCs w:val="24"/>
          <w:lang w:eastAsia="zh-CN"/>
        </w:rPr>
        <w:t>。</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20"/>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pPr>
        <w:pStyle w:val="20"/>
        <w:spacing w:line="360" w:lineRule="auto"/>
        <w:ind w:right="121" w:firstLine="480"/>
        <w:jc w:val="both"/>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default"/>
          <w:lang w:val="en-US" w:eastAsia="zh-CN"/>
        </w:rPr>
      </w:pPr>
      <w:r>
        <w:rPr>
          <w:rFonts w:hint="eastAsia"/>
          <w:lang w:eastAsia="zh-CN"/>
        </w:rPr>
        <w:t>技术联系人</w:t>
      </w:r>
      <w:r>
        <w:rPr>
          <w:rFonts w:hint="default"/>
          <w:lang w:val="en-US" w:eastAsia="zh-CN"/>
        </w:rPr>
        <w:t>: 梁晓锋 17750164319, 32746130@qq.com</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14:textFill>
            <w14:solidFill>
              <w14:schemeClr w14:val="tx1"/>
            </w14:solidFill>
          </w14:textFill>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default"/>
          <w:lang w:val="en-US" w:eastAsia="zh-CN"/>
        </w:rPr>
      </w:pPr>
      <w:r>
        <w:rPr>
          <w:rFonts w:hint="eastAsia"/>
          <w:sz w:val="24"/>
          <w:szCs w:val="24"/>
          <w:lang w:val="en-US" w:eastAsia="zh-CN"/>
        </w:rPr>
        <w:t>5.本标不接受联合体投标。</w:t>
      </w:r>
    </w:p>
    <w:p>
      <w:pPr>
        <w:pStyle w:val="20"/>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肆仟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4000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电导率分析仪</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w:t>
      </w:r>
      <w:r>
        <w:rPr>
          <w:rFonts w:hint="eastAsia" w:asciiTheme="majorEastAsia" w:hAnsiTheme="majorEastAsia" w:eastAsiaTheme="majorEastAsia"/>
          <w:lang w:val="en-US" w:eastAsia="zh-CN"/>
        </w:rPr>
        <w:t>4000元</w:t>
      </w:r>
      <w:r>
        <w:rPr>
          <w:rFonts w:hint="eastAsia" w:asciiTheme="majorEastAsia" w:hAnsiTheme="majorEastAsia" w:eastAsiaTheme="majorEastAsia"/>
          <w:lang w:eastAsia="zh-CN"/>
        </w:rPr>
        <w:t>，将在合同签订后自动转为履约保证金，将于合同周期完成后</w:t>
      </w:r>
      <w:r>
        <w:rPr>
          <w:rFonts w:hint="eastAsia"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何震洋</w:t>
      </w: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val="en-US" w:eastAsia="zh-CN"/>
          <w14:textFill>
            <w14:solidFill>
              <w14:schemeClr w14:val="tx1"/>
            </w14:solidFill>
          </w14:textFill>
        </w:rPr>
        <w:t>15259232765</w:t>
      </w:r>
      <w:r>
        <w:rPr>
          <w:rFonts w:hint="eastAsia"/>
          <w:b w:val="0"/>
          <w:color w:val="000000" w:themeColor="text1"/>
          <w:spacing w:val="-4"/>
          <w:lang w:eastAsia="zh-CN"/>
          <w14:textFill>
            <w14:solidFill>
              <w14:schemeClr w14:val="tx1"/>
            </w14:solidFill>
          </w14:textFill>
        </w:rPr>
        <w:t>。</w:t>
      </w:r>
    </w:p>
    <w:p>
      <w:pPr>
        <w:pStyle w:val="4"/>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21</w:t>
      </w:r>
      <w:r>
        <w:rPr>
          <w:rFonts w:hint="eastAsia"/>
          <w:b/>
          <w:color w:val="FF0000"/>
          <w:lang w:eastAsia="zh-CN"/>
        </w:rPr>
        <w:t>万元整（</w:t>
      </w:r>
      <w:r>
        <w:rPr>
          <w:rFonts w:hint="eastAsia"/>
          <w:b/>
          <w:color w:val="FF0000"/>
          <w:lang w:val="en-US" w:eastAsia="zh-CN"/>
        </w:rPr>
        <w:t>不</w:t>
      </w:r>
      <w:r>
        <w:rPr>
          <w:rFonts w:hint="eastAsia"/>
          <w:b/>
          <w:color w:val="FF0000"/>
          <w:lang w:eastAsia="zh-CN"/>
        </w:rPr>
        <w:t>含</w:t>
      </w:r>
      <w:r>
        <w:rPr>
          <w:rFonts w:hint="eastAsia"/>
          <w:b/>
          <w:color w:val="FF0000"/>
          <w:lang w:val="en-US" w:eastAsia="zh-CN"/>
        </w:rPr>
        <w:t>增值</w:t>
      </w:r>
      <w:r>
        <w:rPr>
          <w:rFonts w:hint="eastAsia"/>
          <w:b/>
          <w:color w:val="FF0000"/>
          <w:lang w:eastAsia="zh-CN"/>
        </w:rPr>
        <w:t>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
        <w:gridCol w:w="3640"/>
        <w:gridCol w:w="1271"/>
        <w:gridCol w:w="2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r>
              <w:rPr>
                <w:rFonts w:hint="eastAsia"/>
                <w:sz w:val="24"/>
                <w:lang w:val="en-US" w:eastAsia="zh-CN"/>
              </w:rPr>
              <w:t>腾龙芳烃</w:t>
            </w:r>
            <w:r>
              <w:rPr>
                <w:rFonts w:hint="eastAsia"/>
                <w:sz w:val="24"/>
                <w:lang w:eastAsia="zh-CN"/>
              </w:rPr>
              <w:t>（漳州）有限公司</w:t>
            </w: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3413"/>
        <w:gridCol w:w="975"/>
        <w:gridCol w:w="160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39" w:type="dxa"/>
            <w:vAlign w:val="center"/>
          </w:tcPr>
          <w:p>
            <w:pPr>
              <w:spacing w:line="120" w:lineRule="auto"/>
              <w:jc w:val="center"/>
              <w:rPr>
                <w:b/>
                <w:sz w:val="24"/>
              </w:rPr>
            </w:pPr>
            <w:r>
              <w:rPr>
                <w:rFonts w:hint="eastAsia"/>
                <w:b/>
                <w:sz w:val="24"/>
              </w:rPr>
              <w:t>产品名称</w:t>
            </w:r>
          </w:p>
        </w:tc>
        <w:tc>
          <w:tcPr>
            <w:tcW w:w="3413" w:type="dxa"/>
            <w:vAlign w:val="center"/>
          </w:tcPr>
          <w:p>
            <w:pPr>
              <w:spacing w:line="120" w:lineRule="auto"/>
              <w:jc w:val="center"/>
              <w:rPr>
                <w:b/>
                <w:sz w:val="24"/>
              </w:rPr>
            </w:pPr>
            <w:r>
              <w:rPr>
                <w:rFonts w:hint="eastAsia"/>
                <w:b/>
                <w:sz w:val="24"/>
              </w:rPr>
              <w:t>规格型号</w:t>
            </w:r>
          </w:p>
        </w:tc>
        <w:tc>
          <w:tcPr>
            <w:tcW w:w="975" w:type="dxa"/>
            <w:vAlign w:val="center"/>
          </w:tcPr>
          <w:p>
            <w:pPr>
              <w:spacing w:line="120" w:lineRule="auto"/>
              <w:jc w:val="center"/>
              <w:rPr>
                <w:b/>
                <w:sz w:val="24"/>
              </w:rPr>
            </w:pPr>
            <w:r>
              <w:rPr>
                <w:rFonts w:hint="eastAsia"/>
                <w:b/>
                <w:sz w:val="24"/>
              </w:rPr>
              <w:t>数量</w:t>
            </w:r>
          </w:p>
        </w:tc>
        <w:tc>
          <w:tcPr>
            <w:tcW w:w="1600" w:type="dxa"/>
            <w:vAlign w:val="center"/>
          </w:tcPr>
          <w:p>
            <w:pPr>
              <w:spacing w:line="120" w:lineRule="auto"/>
              <w:jc w:val="center"/>
              <w:rPr>
                <w:b/>
                <w:sz w:val="24"/>
              </w:rPr>
            </w:pPr>
            <w:r>
              <w:rPr>
                <w:rFonts w:hint="eastAsia"/>
                <w:b/>
                <w:sz w:val="24"/>
              </w:rPr>
              <w:t>单价/元</w:t>
            </w:r>
          </w:p>
        </w:tc>
        <w:tc>
          <w:tcPr>
            <w:tcW w:w="1371"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39" w:type="dxa"/>
            <w:vAlign w:val="center"/>
          </w:tcPr>
          <w:p>
            <w:pPr>
              <w:spacing w:line="120" w:lineRule="auto"/>
              <w:jc w:val="center"/>
              <w:rPr>
                <w:rFonts w:hint="default" w:eastAsia="宋体"/>
                <w:sz w:val="24"/>
                <w:lang w:val="en-US" w:eastAsia="zh-CN"/>
              </w:rPr>
            </w:pPr>
            <w:permStart w:id="0" w:edGrp="everyone"/>
            <w:r>
              <w:rPr>
                <w:rFonts w:hint="eastAsia"/>
                <w:sz w:val="24"/>
                <w:lang w:val="en-US" w:eastAsia="zh-CN"/>
              </w:rPr>
              <w:t>电导率分析仪</w:t>
            </w:r>
          </w:p>
        </w:tc>
        <w:tc>
          <w:tcPr>
            <w:tcW w:w="3413"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default"/>
                <w:sz w:val="24"/>
                <w:lang w:val="en-US" w:eastAsia="zh-CN"/>
              </w:rPr>
              <w:t>"电源：24 VDC 防护等级：IP65 输出信号： 4-20mA 测量范围 0-100μS/cm  校准量程 0~10μS/cm  精度 0.02μS/cm  分辨率 0.01μS/cm 探头材质  316L  流通池材质 316L "</w:t>
            </w:r>
          </w:p>
        </w:tc>
        <w:tc>
          <w:tcPr>
            <w:tcW w:w="975" w:type="dxa"/>
            <w:vAlign w:val="center"/>
          </w:tcPr>
          <w:p>
            <w:pPr>
              <w:spacing w:line="120" w:lineRule="auto"/>
              <w:jc w:val="center"/>
              <w:rPr>
                <w:rFonts w:hint="default" w:eastAsia="宋体"/>
                <w:sz w:val="24"/>
                <w:lang w:val="en-US" w:eastAsia="zh-CN"/>
              </w:rPr>
            </w:pPr>
            <w:r>
              <w:rPr>
                <w:rFonts w:hint="eastAsia"/>
                <w:sz w:val="24"/>
                <w:lang w:val="en-US" w:eastAsia="zh-CN"/>
              </w:rPr>
              <w:t>6</w:t>
            </w:r>
          </w:p>
        </w:tc>
        <w:tc>
          <w:tcPr>
            <w:tcW w:w="1600" w:type="dxa"/>
            <w:vAlign w:val="center"/>
          </w:tcPr>
          <w:p>
            <w:pPr>
              <w:spacing w:line="120" w:lineRule="auto"/>
              <w:jc w:val="center"/>
              <w:rPr>
                <w:sz w:val="24"/>
              </w:rPr>
            </w:pPr>
          </w:p>
        </w:tc>
        <w:tc>
          <w:tcPr>
            <w:tcW w:w="1371" w:type="dxa"/>
            <w:vAlign w:val="center"/>
          </w:tcPr>
          <w:p>
            <w:pPr>
              <w:spacing w:line="120" w:lineRule="auto"/>
              <w:jc w:val="center"/>
              <w:rPr>
                <w:sz w:val="24"/>
              </w:rPr>
            </w:pPr>
          </w:p>
        </w:tc>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2939" w:type="dxa"/>
            <w:vAlign w:val="center"/>
          </w:tcPr>
          <w:p>
            <w:pPr>
              <w:spacing w:line="120" w:lineRule="auto"/>
              <w:jc w:val="center"/>
              <w:rPr>
                <w:sz w:val="24"/>
              </w:rPr>
            </w:pPr>
            <w:r>
              <w:rPr>
                <w:rFonts w:hint="eastAsia"/>
                <w:sz w:val="24"/>
              </w:rPr>
              <w:t>合同金额合计</w:t>
            </w:r>
          </w:p>
        </w:tc>
        <w:tc>
          <w:tcPr>
            <w:tcW w:w="7359" w:type="dxa"/>
            <w:gridSpan w:val="4"/>
            <w:vAlign w:val="center"/>
          </w:tcPr>
          <w:p>
            <w:pPr>
              <w:spacing w:line="120" w:lineRule="auto"/>
              <w:jc w:val="center"/>
              <w:rPr>
                <w:sz w:val="24"/>
              </w:rPr>
            </w:pPr>
            <w:permStart w:id="1" w:edGrp="everyone"/>
            <w:r>
              <w:rPr>
                <w:rFonts w:hint="eastAsia"/>
                <w:sz w:val="24"/>
              </w:rPr>
              <w:t xml:space="preserve">    </w:t>
            </w:r>
            <w:permEnd w:id="1"/>
            <w:r>
              <w:rPr>
                <w:rFonts w:hint="eastAsia"/>
                <w:sz w:val="24"/>
              </w:rPr>
              <w:t xml:space="preserve">（大写） </w:t>
            </w:r>
            <w:permStart w:id="2" w:edGrp="everyone"/>
            <w:r>
              <w:rPr>
                <w:rFonts w:hint="eastAsia"/>
                <w:sz w:val="24"/>
              </w:rPr>
              <w:t xml:space="preserve">  </w:t>
            </w:r>
            <w:permEnd w:id="2"/>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 xml:space="preserve">联系地址：福建省漳州市漳州古雷经济开发区腾龙路84号 </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val="en-US" w:eastAsia="zh-CN"/>
              </w:rPr>
              <w:t>zyhe</w:t>
            </w:r>
            <w:r>
              <w:rPr>
                <w:rFonts w:hint="eastAsia" w:asciiTheme="majorEastAsia" w:hAnsiTheme="majorEastAsia" w:eastAsiaTheme="majorEastAsia"/>
                <w:sz w:val="21"/>
                <w:szCs w:val="21"/>
                <w:lang w:eastAsia="zh-CN"/>
              </w:rPr>
              <w:t>@fhcpec.com.cn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eastAsia="宋体"/>
                <w:sz w:val="24"/>
                <w:lang w:eastAsia="zh-CN"/>
              </w:rPr>
            </w:pPr>
            <w:r>
              <w:rPr>
                <w:rFonts w:hint="eastAsia"/>
                <w:sz w:val="24"/>
              </w:rPr>
              <w:t>委托代理人：</w:t>
            </w:r>
            <w:r>
              <w:rPr>
                <w:rFonts w:hint="eastAsia"/>
                <w:sz w:val="24"/>
                <w:lang w:eastAsia="zh-CN"/>
              </w:rPr>
              <w:t>何震洋</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电话：0596-6311083</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bookmarkStart w:id="1" w:name="_Toc8520"/>
      <w:bookmarkStart w:id="2" w:name="_Toc20180"/>
      <w:bookmarkStart w:id="3" w:name="_Toc20273"/>
      <w:bookmarkStart w:id="4" w:name="_Toc27787"/>
      <w:bookmarkStart w:id="5" w:name="_Toc18049"/>
      <w:bookmarkStart w:id="6" w:name="_Toc10991"/>
      <w:bookmarkStart w:id="7" w:name="_Toc4114"/>
      <w:bookmarkStart w:id="8" w:name="_Toc14171"/>
      <w:bookmarkStart w:id="9" w:name="_Toc2239"/>
      <w:bookmarkStart w:id="10" w:name="_Toc352146655"/>
      <w:bookmarkStart w:id="11" w:name="_Toc31173"/>
      <w:bookmarkStart w:id="12" w:name="_Toc31402"/>
      <w:bookmarkStart w:id="13" w:name="_Toc17959"/>
      <w:bookmarkStart w:id="14" w:name="_Toc23434"/>
      <w:bookmarkStart w:id="15" w:name="_Toc385779252"/>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电导率分析仪</w:t>
      </w:r>
      <w: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电导率分析仪</w:t>
      </w:r>
      <w:r>
        <w:rPr>
          <w:rFonts w:hint="eastAsia" w:ascii="Times New Roman" w:hAnsi="ˎ̥"/>
          <w:sz w:val="28"/>
          <w:szCs w:val="28"/>
          <w:lang w:eastAsia="zh-CN"/>
        </w:rPr>
        <w:t>比</w:t>
      </w:r>
      <w:r>
        <w:rPr>
          <w:rFonts w:hint="eastAsia" w:ascii="Times New Roman" w:hAnsi="ˎ̥"/>
          <w:color w:val="000000" w:themeColor="text1"/>
          <w:sz w:val="28"/>
          <w:szCs w:val="28"/>
          <w:lang w:eastAsia="zh-CN"/>
          <w14:textFill>
            <w14:solidFill>
              <w14:schemeClr w14:val="tx1"/>
            </w14:solidFill>
          </w14:textFill>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电导率分析仪</w:t>
      </w:r>
      <w:r>
        <w:rPr>
          <w:rFonts w:hint="eastAsia"/>
          <w:b/>
          <w:bCs/>
          <w:sz w:val="24"/>
          <w:szCs w:val="24"/>
          <w:lang w:eastAsia="zh-CN"/>
        </w:rPr>
        <w:t>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w:t>
            </w:r>
            <w:r>
              <w:rPr>
                <w:rFonts w:hint="default" w:cs="宋体"/>
                <w:color w:val="000000"/>
                <w:kern w:val="0"/>
                <w:sz w:val="18"/>
                <w:szCs w:val="18"/>
                <w:lang w:val="en-US" w:eastAsia="zh-CN" w:bidi="ar"/>
              </w:rPr>
              <w:t>30</w:t>
            </w:r>
            <w:r>
              <w:rPr>
                <w:rFonts w:hint="eastAsia" w:cs="宋体"/>
                <w:color w:val="000000"/>
                <w:kern w:val="0"/>
                <w:sz w:val="18"/>
                <w:szCs w:val="18"/>
                <w:lang w:val="en-US" w:eastAsia="zh-CN" w:bidi="ar"/>
              </w:rPr>
              <w:t>4170060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w:t>
            </w:r>
            <w:r>
              <w:rPr>
                <w:rFonts w:hint="eastAsia" w:cs="宋体"/>
                <w:color w:val="000000"/>
                <w:kern w:val="0"/>
                <w:sz w:val="18"/>
                <w:szCs w:val="18"/>
                <w:lang w:val="en-US" w:eastAsia="zh-CN" w:bidi="ar"/>
              </w:rPr>
              <w:t>09120029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i w:val="0"/>
                <w:iCs w:val="0"/>
                <w:color w:val="000000"/>
                <w:kern w:val="0"/>
                <w:sz w:val="18"/>
                <w:szCs w:val="18"/>
                <w:u w:val="none"/>
                <w:lang w:val="en-US" w:eastAsia="zh-CN" w:bidi="ar"/>
              </w:rPr>
              <w:t>电导率分析仪</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cs="宋体"/>
                <w:i w:val="0"/>
                <w:iCs w:val="0"/>
                <w:color w:val="000000"/>
                <w:kern w:val="0"/>
                <w:sz w:val="18"/>
                <w:szCs w:val="18"/>
                <w:u w:val="none"/>
                <w:lang w:val="en-US" w:eastAsia="zh-CN" w:bidi="ar"/>
              </w:rPr>
              <w:t>"电源：24 VDC 防护等级：IP65 输出信号： 4-20mA 测量范围 0-100μS/cm  校准量程 0~10μS/cm  精度 0.02μS/cm  分辨率 0.01μS/cm 探头材质  316L  流通池材质 316L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pStyle w:val="2"/>
              <w:numPr>
                <w:ilvl w:val="0"/>
                <w:numId w:val="8"/>
              </w:numPr>
              <w:rPr>
                <w:rFonts w:hint="eastAsia"/>
                <w:b w:val="0"/>
                <w:bCs w:val="0"/>
                <w:sz w:val="24"/>
                <w:lang w:val="en-US" w:eastAsia="zh-CN"/>
              </w:rPr>
            </w:pPr>
            <w:bookmarkStart w:id="16" w:name="_GoBack"/>
            <w:r>
              <w:rPr>
                <w:rFonts w:hint="eastAsia"/>
                <w:b w:val="0"/>
                <w:bCs w:val="0"/>
                <w:sz w:val="24"/>
                <w:lang w:val="en-US" w:eastAsia="zh-CN"/>
              </w:rPr>
              <w:t>报价单随附“电导率分析仪”询价说明：</w:t>
            </w:r>
          </w:p>
          <w:p>
            <w:pPr>
              <w:pStyle w:val="2"/>
              <w:numPr>
                <w:numId w:val="0"/>
              </w:numPr>
              <w:rPr>
                <w:rFonts w:hint="default"/>
                <w:b w:val="0"/>
                <w:bCs w:val="0"/>
                <w:sz w:val="24"/>
                <w:lang w:val="en-US" w:eastAsia="zh-CN"/>
              </w:rPr>
            </w:pPr>
            <w:r>
              <w:rPr>
                <w:rFonts w:hint="eastAsia"/>
                <w:b w:val="0"/>
                <w:bCs w:val="0"/>
                <w:sz w:val="24"/>
                <w:lang w:val="en-US" w:eastAsia="zh-CN"/>
              </w:rPr>
              <w:t>1.1具体事宜以请购规格型号和技术协议为准。</w:t>
            </w:r>
          </w:p>
          <w:bookmarkEnd w:id="16"/>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0"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INtHL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35CEF42"/>
    <w:multiLevelType w:val="singleLevel"/>
    <w:tmpl w:val="635CEF42"/>
    <w:lvl w:ilvl="0" w:tentative="0">
      <w:start w:val="3"/>
      <w:numFmt w:val="decimal"/>
      <w:lvlText w:val="%1."/>
      <w:lvlJc w:val="left"/>
      <w:pPr>
        <w:tabs>
          <w:tab w:val="left" w:pos="312"/>
        </w:tabs>
      </w:p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7">
    <w:nsid w:val="72C948E0"/>
    <w:multiLevelType w:val="singleLevel"/>
    <w:tmpl w:val="72C948E0"/>
    <w:lvl w:ilvl="0" w:tentative="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81A08AE"/>
    <w:rsid w:val="081D6F74"/>
    <w:rsid w:val="087D5A4F"/>
    <w:rsid w:val="08D1141D"/>
    <w:rsid w:val="09130765"/>
    <w:rsid w:val="09CF6571"/>
    <w:rsid w:val="0B296DE2"/>
    <w:rsid w:val="0B721453"/>
    <w:rsid w:val="0D0126E0"/>
    <w:rsid w:val="0EFD592E"/>
    <w:rsid w:val="0FB5725B"/>
    <w:rsid w:val="0FB7670E"/>
    <w:rsid w:val="10294AA3"/>
    <w:rsid w:val="10D80A32"/>
    <w:rsid w:val="10E40CA0"/>
    <w:rsid w:val="12584C20"/>
    <w:rsid w:val="136130D9"/>
    <w:rsid w:val="13805E8A"/>
    <w:rsid w:val="144A1892"/>
    <w:rsid w:val="14762538"/>
    <w:rsid w:val="14D568B5"/>
    <w:rsid w:val="15800409"/>
    <w:rsid w:val="15AD01BA"/>
    <w:rsid w:val="16AE1C29"/>
    <w:rsid w:val="16B72867"/>
    <w:rsid w:val="173600E6"/>
    <w:rsid w:val="17CD09BB"/>
    <w:rsid w:val="18DD4F7E"/>
    <w:rsid w:val="19544509"/>
    <w:rsid w:val="195B58A2"/>
    <w:rsid w:val="1989465C"/>
    <w:rsid w:val="1A2360C8"/>
    <w:rsid w:val="1B6947A7"/>
    <w:rsid w:val="1CC40373"/>
    <w:rsid w:val="1E085A14"/>
    <w:rsid w:val="1E657D90"/>
    <w:rsid w:val="1ED93E25"/>
    <w:rsid w:val="1F351ED7"/>
    <w:rsid w:val="1FF43DDB"/>
    <w:rsid w:val="20625E24"/>
    <w:rsid w:val="21156B08"/>
    <w:rsid w:val="21933AA2"/>
    <w:rsid w:val="21BE0F4D"/>
    <w:rsid w:val="22B76993"/>
    <w:rsid w:val="22E07B9F"/>
    <w:rsid w:val="231F5346"/>
    <w:rsid w:val="2333574E"/>
    <w:rsid w:val="24CE594B"/>
    <w:rsid w:val="25BF356F"/>
    <w:rsid w:val="25C95B03"/>
    <w:rsid w:val="25DB0C2D"/>
    <w:rsid w:val="267F6210"/>
    <w:rsid w:val="269469E7"/>
    <w:rsid w:val="26EF5299"/>
    <w:rsid w:val="26FD5492"/>
    <w:rsid w:val="27981585"/>
    <w:rsid w:val="27E149AB"/>
    <w:rsid w:val="27EE0826"/>
    <w:rsid w:val="280276BA"/>
    <w:rsid w:val="280F47C0"/>
    <w:rsid w:val="2998140D"/>
    <w:rsid w:val="29FC3B14"/>
    <w:rsid w:val="2A056A4F"/>
    <w:rsid w:val="2B11792E"/>
    <w:rsid w:val="2E666BF4"/>
    <w:rsid w:val="2F724BD0"/>
    <w:rsid w:val="2FC5779A"/>
    <w:rsid w:val="306A51FE"/>
    <w:rsid w:val="308C67A6"/>
    <w:rsid w:val="31C54755"/>
    <w:rsid w:val="31D23053"/>
    <w:rsid w:val="3216608C"/>
    <w:rsid w:val="322152B0"/>
    <w:rsid w:val="328F13DA"/>
    <w:rsid w:val="34CE14C6"/>
    <w:rsid w:val="34D84CEC"/>
    <w:rsid w:val="35DC515B"/>
    <w:rsid w:val="37AF5AB7"/>
    <w:rsid w:val="38B844F1"/>
    <w:rsid w:val="396D0102"/>
    <w:rsid w:val="399C3DF7"/>
    <w:rsid w:val="39E568DF"/>
    <w:rsid w:val="3A387F18"/>
    <w:rsid w:val="3AC225C0"/>
    <w:rsid w:val="3B1C3371"/>
    <w:rsid w:val="3CAE3A33"/>
    <w:rsid w:val="3CC23198"/>
    <w:rsid w:val="3DDF4815"/>
    <w:rsid w:val="3FE669E5"/>
    <w:rsid w:val="42C84A21"/>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601675AC"/>
    <w:rsid w:val="60342B61"/>
    <w:rsid w:val="619206A4"/>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7810B8"/>
    <w:rsid w:val="7293546A"/>
    <w:rsid w:val="72E05B2C"/>
    <w:rsid w:val="73F81307"/>
    <w:rsid w:val="740A2BDE"/>
    <w:rsid w:val="751839E0"/>
    <w:rsid w:val="756178E9"/>
    <w:rsid w:val="75A1093B"/>
    <w:rsid w:val="75BE7C69"/>
    <w:rsid w:val="76274F93"/>
    <w:rsid w:val="78632A79"/>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14:textFill>
        <w14:solidFill>
          <w14:schemeClr w14:val="hlink"/>
        </w14:solidFill>
      </w14:textFill>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10223</Words>
  <Characters>10795</Characters>
  <Lines>79</Lines>
  <Paragraphs>22</Paragraphs>
  <TotalTime>2</TotalTime>
  <ScaleCrop>false</ScaleCrop>
  <LinksUpToDate>false</LinksUpToDate>
  <CharactersWithSpaces>11969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2023-05-05T06:14:46Z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2052-11.1.0.14036</vt:lpwstr>
  </property>
  <property fmtid="{D5CDD505-2E9C-101B-9397-08002B2CF9AE}" pid="6" name="ICV">
    <vt:lpwstr>8AF51771651C42C5BDE85E096A358F8D_13</vt:lpwstr>
  </property>
</Properties>
</file>