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南部供热中心交流不间断电源UPS设备</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FHC-PTCG20230406003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福建福海创石油化工有限公司南部供热中心交流不间断电源UPS设备</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福建福海创石油化工有限公司南部供热中心交流不间断电源UPS设备</w:t>
      </w:r>
      <w:r>
        <w:rPr>
          <w:color w:val="000000" w:themeColor="text1"/>
          <w:u w:val="single"/>
          <w:lang w:eastAsia="zh-CN"/>
        </w:rPr>
        <w:t>采购</w:t>
      </w:r>
      <w:r>
        <w:rPr>
          <w:rFonts w:hint="eastAsia"/>
          <w:color w:val="000000" w:themeColor="text1"/>
          <w:u w:val="single"/>
          <w:lang w:eastAsia="zh-CN"/>
        </w:rPr>
        <w:t>（项目编号：FHC-PTCG20230406003）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项目名称：福建福海创石油化工有限公司南部供热中心交流不间断电源UPS设备</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4.参选人必须是本次招标设备的制造商或制造商授权的代理商（需提供授权代理证书）。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5.参选人应提供企业诚信证明、质量管理体系认证书及其他有关证明文件；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6.参选的UPS产品制造商具有完善的质量保证体系，必须通过ISO9001质量认证、ISO14000环境管理体系认证、ISO45000职业健康安全管理体系认证；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7.参选的 UPS产品制造商必须具有工业UPS领域至少有10年以上的设计、制造、销售及服务的经验，提供近5年电力行业或石油化工行业的业绩不少于5项。</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30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b w:val="0"/>
          <w:bCs w:val="0"/>
          <w:color w:val="000000" w:themeColor="text1"/>
          <w:sz w:val="24"/>
          <w:szCs w:val="24"/>
          <w:lang w:val="en-US" w:eastAsia="zh-CN"/>
        </w:rPr>
      </w:pPr>
      <w:r>
        <w:rPr>
          <w:rFonts w:hint="eastAsia"/>
          <w:color w:val="000000" w:themeColor="text1"/>
          <w:sz w:val="24"/>
          <w:szCs w:val="24"/>
          <w:lang w:eastAsia="zh-CN"/>
        </w:rPr>
        <w:t>（3）业绩证明（代理品牌需要提供授权及所代理品牌的业绩证明）</w:t>
      </w:r>
      <w:r>
        <w:rPr>
          <w:rFonts w:hint="eastAsia"/>
          <w:color w:val="000000" w:themeColor="text1"/>
          <w:sz w:val="24"/>
          <w:szCs w:val="24"/>
          <w:lang w:val="en-US" w:eastAsia="zh-CN"/>
        </w:rPr>
        <w:t>、</w:t>
      </w:r>
      <w:r>
        <w:rPr>
          <w:rFonts w:hint="eastAsia"/>
          <w:b w:val="0"/>
          <w:bCs w:val="0"/>
          <w:color w:val="000000" w:themeColor="text1"/>
          <w:sz w:val="24"/>
          <w:szCs w:val="24"/>
          <w:lang w:val="en-US" w:eastAsia="zh-CN"/>
        </w:rPr>
        <w:t>提供不少于5项近5年电力行业或石油化工行业的业绩（提供合同及对应发票扫描件）。</w:t>
      </w:r>
    </w:p>
    <w:p>
      <w:pPr>
        <w:tabs>
          <w:tab w:val="left" w:pos="709"/>
        </w:tabs>
        <w:spacing w:line="360" w:lineRule="auto"/>
        <w:ind w:firstLine="480" w:firstLineChars="200"/>
        <w:rPr>
          <w:rFonts w:hint="default"/>
          <w:b w:val="0"/>
          <w:bCs w:val="0"/>
          <w:color w:val="000000" w:themeColor="text1"/>
          <w:sz w:val="24"/>
          <w:szCs w:val="24"/>
          <w:lang w:val="en-US" w:eastAsia="zh-CN"/>
        </w:rPr>
      </w:pPr>
      <w:r>
        <w:rPr>
          <w:rFonts w:hint="eastAsia"/>
          <w:b w:val="0"/>
          <w:bCs w:val="0"/>
          <w:color w:val="000000" w:themeColor="text1"/>
          <w:sz w:val="24"/>
          <w:szCs w:val="24"/>
          <w:lang w:val="en-US" w:eastAsia="zh-CN"/>
        </w:rPr>
        <w:t>（4）提供</w:t>
      </w:r>
      <w:r>
        <w:rPr>
          <w:rFonts w:hint="eastAsia"/>
          <w:color w:val="000000" w:themeColor="text1"/>
          <w:sz w:val="24"/>
          <w:szCs w:val="24"/>
          <w:lang w:val="en-US" w:eastAsia="zh-CN"/>
        </w:rPr>
        <w:t>ISO9001质量认</w:t>
      </w:r>
      <w:r>
        <w:rPr>
          <w:rFonts w:hint="eastAsia"/>
          <w:b w:val="0"/>
          <w:bCs w:val="0"/>
          <w:color w:val="000000" w:themeColor="text1"/>
          <w:sz w:val="24"/>
          <w:szCs w:val="24"/>
          <w:lang w:val="en-US" w:eastAsia="zh-CN"/>
        </w:rPr>
        <w:t>证、ISO14000环境管理体系认证、ISO45000职业健康安全管理体系认证（提供盖章版复印件）。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w:t>
      </w:r>
      <w:r>
        <w:rPr>
          <w:rFonts w:hint="eastAsia"/>
          <w:b w:val="0"/>
          <w:bCs w:val="0"/>
          <w:color w:val="000000" w:themeColor="text1"/>
          <w:sz w:val="24"/>
          <w:szCs w:val="24"/>
          <w:lang w:eastAsia="zh-CN"/>
        </w:rPr>
        <w:t>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b w:val="0"/>
          <w:bCs w:val="0"/>
          <w:color w:val="000000" w:themeColor="text1"/>
          <w:sz w:val="24"/>
          <w:szCs w:val="24"/>
          <w:lang w:val="en-US" w:eastAsia="zh-CN"/>
        </w:rPr>
        <w:t>15</w:t>
      </w:r>
      <w:r>
        <w:rPr>
          <w:rFonts w:hint="eastAsia"/>
          <w:b w:val="0"/>
          <w:bCs w:val="0"/>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9000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注明用途：南部供热中心交流不间断电源UPS设备采购参选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席中山 电话：19959614207 邮箱：zsxi@fhcpec.cn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bookmarkEnd w:id="1"/>
    <w:p>
      <w:pPr>
        <w:spacing w:line="360" w:lineRule="auto"/>
      </w:pPr>
      <w:r>
        <w:rPr>
          <w:rFonts w:hint="eastAsia"/>
          <w:sz w:val="24"/>
          <w:szCs w:val="24"/>
          <w:lang w:eastAsia="zh-CN"/>
        </w:rPr>
        <w:t xml:space="preserve">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福建福海创石油化工有限公司南部供热中心交流不间断电源UPS设备</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谭海华</w:t>
      </w:r>
      <w:r>
        <w:rPr>
          <w:rFonts w:hint="eastAsia"/>
          <w:lang w:eastAsia="zh-CN"/>
        </w:rPr>
        <w:t xml:space="preserve"> </w:t>
      </w:r>
      <w:r>
        <w:rPr>
          <w:rFonts w:hint="eastAsia"/>
          <w:lang w:val="en-US" w:eastAsia="zh-CN"/>
        </w:rPr>
        <w:t xml:space="preserve"> </w:t>
      </w:r>
      <w:r>
        <w:rPr>
          <w:lang w:eastAsia="zh-CN"/>
        </w:rPr>
        <w:t>1</w:t>
      </w:r>
      <w:r>
        <w:rPr>
          <w:rFonts w:hint="eastAsia"/>
          <w:lang w:val="en-US" w:eastAsia="zh-CN"/>
        </w:rPr>
        <w:t>9959614219</w:t>
      </w:r>
      <w:r>
        <w:rPr>
          <w:rFonts w:hint="eastAsia"/>
          <w:lang w:eastAsia="zh-CN"/>
        </w:rPr>
        <w:t>，hhtan@fhcpec.com.cn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4.参选人必须是本次招标设备的制造商或制造商授权的代理商（需提供授权代理证书）。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5.参选人应提供企业诚信证明、质量管理体系认证书及其他有关证明文件；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6.参选的UPS产品制造商具有完善的质量保证体系，必须通过ISO9001质量认证、ISO14000环境管理体系认证、ISO45000职业健康安全管理体系认证；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7.参选的 UPS产品制造商必须具有工业UPS领域至少有10年以上的设计、制造、销售及服务的经验，提供近5年电力行业或石油化工行业的业绩不少于5项。</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9000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注明用途：南部供热中心交流不间断电源UPS设备采购参选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b/>
          <w:bCs/>
          <w:lang w:val="en-US" w:eastAsia="zh-CN"/>
        </w:rPr>
        <w:t xml:space="preserve"> </w:t>
      </w:r>
      <w:r>
        <w:rPr>
          <w:rFonts w:hint="eastAsia"/>
          <w:b w:val="0"/>
          <w:bCs w:val="0"/>
          <w:lang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技术文件，</w:t>
      </w:r>
      <w:r>
        <w:rPr>
          <w:rFonts w:hint="eastAsia"/>
          <w:lang w:eastAsia="zh-CN"/>
        </w:rPr>
        <w:t>见附件</w:t>
      </w:r>
      <w:r>
        <w:rPr>
          <w:rFonts w:hint="eastAsia"/>
          <w:lang w:val="en-US" w:eastAsia="zh-CN"/>
        </w:rPr>
        <w:t>技术文件</w:t>
      </w:r>
      <w:r>
        <w:rPr>
          <w:rFonts w:hint="eastAsia"/>
          <w:lang w:eastAsia="zh-CN"/>
        </w:rPr>
        <w:t>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80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8"/>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82"/>
        <w:gridCol w:w="957"/>
        <w:gridCol w:w="956"/>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5"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序号</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项目</w:t>
            </w:r>
          </w:p>
        </w:tc>
        <w:tc>
          <w:tcPr>
            <w:tcW w:w="957"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评审项目</w:t>
            </w:r>
          </w:p>
        </w:tc>
        <w:tc>
          <w:tcPr>
            <w:tcW w:w="956"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分值</w:t>
            </w:r>
          </w:p>
        </w:tc>
        <w:tc>
          <w:tcPr>
            <w:tcW w:w="4347" w:type="dxa"/>
            <w:vAlign w:val="center"/>
          </w:tcPr>
          <w:p>
            <w:pPr>
              <w:snapToGrid w:val="0"/>
              <w:spacing w:line="360" w:lineRule="auto"/>
              <w:ind w:firstLine="420" w:firstLineChars="200"/>
              <w:jc w:val="center"/>
              <w:rPr>
                <w:rFonts w:ascii="Times New Roman" w:hAnsi="Times New Roman" w:eastAsia="仿宋"/>
                <w:sz w:val="21"/>
                <w:szCs w:val="21"/>
              </w:rPr>
            </w:pPr>
            <w:r>
              <w:rPr>
                <w:rFonts w:hint="eastAsia" w:ascii="Times New Roman" w:hAnsi="Times New Roman" w:eastAsia="仿宋"/>
                <w:sz w:val="21"/>
                <w:szCs w:val="21"/>
              </w:rPr>
              <w:t>评分细则</w:t>
            </w:r>
          </w:p>
        </w:tc>
        <w:tc>
          <w:tcPr>
            <w:tcW w:w="859"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得分</w:t>
            </w:r>
          </w:p>
        </w:tc>
        <w:tc>
          <w:tcPr>
            <w:tcW w:w="781"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p>
        </w:tc>
        <w:tc>
          <w:tcPr>
            <w:tcW w:w="957"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956" w:type="dxa"/>
            <w:vAlign w:val="center"/>
          </w:tcPr>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80</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default" w:ascii="Times New Roman" w:hAnsi="Times New Roman" w:eastAsia="仿宋"/>
                <w:sz w:val="21"/>
                <w:szCs w:val="21"/>
                <w:lang w:val="en-US" w:eastAsia="zh-CN"/>
              </w:rPr>
              <w:t>45</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80</w:t>
            </w:r>
            <w:r>
              <w:rPr>
                <w:rFonts w:hint="eastAsia" w:ascii="Times New Roman" w:hAnsi="Times New Roman" w:eastAsia="仿宋"/>
                <w:sz w:val="21"/>
                <w:szCs w:val="21"/>
              </w:rPr>
              <w:t>分。</w:t>
            </w:r>
          </w:p>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投标价格得分=( F低/ Fn)×</w:t>
            </w:r>
            <w:r>
              <w:rPr>
                <w:rFonts w:hint="eastAsia" w:ascii="Times New Roman" w:hAnsi="Times New Roman" w:eastAsia="仿宋"/>
                <w:sz w:val="21"/>
                <w:szCs w:val="21"/>
                <w:lang w:val="en-US" w:eastAsia="zh-CN"/>
              </w:rPr>
              <w:t>80</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式中：①F低为评标基准价=进入报价部分评分的各合格投标人中最低的报价评标价。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②Fn为进入报价部分评分的各合格投标人的报价评标价。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投标报价得分小数点后保留两位，第三位“四舍五入”，第四位及以后不计。</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资质</w:t>
            </w:r>
          </w:p>
        </w:tc>
        <w:tc>
          <w:tcPr>
            <w:tcW w:w="956"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3</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具有中华人民共和国独立法人资格，代理商得2分，制造厂商得3分。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体系认证、信誉</w:t>
            </w:r>
          </w:p>
        </w:tc>
        <w:tc>
          <w:tcPr>
            <w:tcW w:w="956"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3</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质量体系认证，职业健康安全管理体系认证，环境管理体系认证得2分，不全得0分；在国家企业信用信息公示系统查询未有行政处罚信息的得1分，有行政处罚信息得0分。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类似工程业绩</w:t>
            </w:r>
          </w:p>
        </w:tc>
        <w:tc>
          <w:tcPr>
            <w:tcW w:w="956"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4</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类似工程业绩：有5个以上电厂、化工业绩得3分，其中含1个及以上核电业绩得4分。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技术方案</w:t>
            </w:r>
          </w:p>
        </w:tc>
        <w:tc>
          <w:tcPr>
            <w:tcW w:w="956"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10</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根据响应人的技术方案横向比较综合评审，最优得满分，最低得 5 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南部供热中心交流不间断电源UPS设备</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val="en-US" w:eastAsia="zh-CN"/>
        </w:rPr>
        <w:t>甲</w:t>
      </w:r>
      <w:r>
        <w:rPr>
          <w:rFonts w:hint="eastAsia"/>
          <w:sz w:val="32"/>
          <w:szCs w:val="32"/>
          <w:lang w:eastAsia="zh-CN"/>
        </w:rPr>
        <w:t>方：腾龙芳烃（漳州）有限公司</w:t>
      </w:r>
    </w:p>
    <w:p>
      <w:pPr>
        <w:ind w:firstLine="960" w:firstLineChars="300"/>
        <w:rPr>
          <w:sz w:val="32"/>
          <w:szCs w:val="32"/>
          <w:lang w:eastAsia="zh-CN"/>
        </w:rPr>
      </w:pPr>
      <w:r>
        <w:rPr>
          <w:rFonts w:hint="eastAsia"/>
          <w:sz w:val="32"/>
          <w:szCs w:val="32"/>
          <w:lang w:val="en-US" w:eastAsia="zh-CN"/>
        </w:rPr>
        <w:t>乙</w:t>
      </w:r>
      <w:r>
        <w:rPr>
          <w:rFonts w:hint="eastAsia"/>
          <w:sz w:val="32"/>
          <w:szCs w:val="32"/>
          <w:lang w:eastAsia="zh-CN"/>
        </w:rPr>
        <w:t>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656"/>
        <w:gridCol w:w="1516"/>
        <w:gridCol w:w="680"/>
        <w:gridCol w:w="832"/>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32" w:type="dxa"/>
          </w:tcPr>
          <w:p>
            <w:pPr>
              <w:widowControl/>
              <w:autoSpaceDE/>
              <w:autoSpaceDN/>
              <w:jc w:val="center"/>
              <w:rPr>
                <w:lang w:eastAsia="zh-CN"/>
              </w:rPr>
            </w:pPr>
            <w:r>
              <w:rPr>
                <w:lang w:eastAsia="zh-CN"/>
              </w:rPr>
              <w:t>品牌</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r>
              <w:rPr>
                <w:rFonts w:hint="eastAsia"/>
                <w:lang w:val="en-US" w:eastAsia="zh-CN"/>
              </w:rPr>
              <w:t>交流不间断电源UPS</w:t>
            </w:r>
          </w:p>
        </w:tc>
        <w:tc>
          <w:tcPr>
            <w:tcW w:w="1656" w:type="dxa"/>
            <w:vAlign w:val="center"/>
          </w:tcPr>
          <w:p>
            <w:pPr>
              <w:widowControl/>
              <w:autoSpaceDE/>
              <w:autoSpaceDN/>
              <w:jc w:val="center"/>
              <w:rPr>
                <w:rFonts w:hint="default"/>
                <w:lang w:val="en-US" w:eastAsia="zh-CN"/>
              </w:rPr>
            </w:pPr>
            <w:r>
              <w:rPr>
                <w:rFonts w:hint="eastAsia"/>
                <w:lang w:val="en-US" w:eastAsia="zh-CN"/>
              </w:rPr>
              <w:t>详见附件技术协议</w:t>
            </w: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rFonts w:hint="default" w:eastAsia="宋体"/>
                <w:lang w:val="en-US" w:eastAsia="zh-CN"/>
              </w:rPr>
            </w:pPr>
            <w:r>
              <w:rPr>
                <w:rFonts w:hint="eastAsia"/>
                <w:lang w:val="en-US" w:eastAsia="zh-CN"/>
              </w:rPr>
              <w:t>1台</w:t>
            </w:r>
          </w:p>
        </w:tc>
        <w:tc>
          <w:tcPr>
            <w:tcW w:w="832" w:type="dxa"/>
          </w:tcPr>
          <w:p>
            <w:pPr>
              <w:widowControl/>
              <w:autoSpaceDE/>
              <w:autoSpaceDN/>
              <w:jc w:val="center"/>
              <w:rPr>
                <w:lang w:eastAsia="zh-CN"/>
              </w:rPr>
            </w:pP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99" w:type="dxa"/>
            <w:gridSpan w:val="7"/>
          </w:tcPr>
          <w:p>
            <w:pPr>
              <w:widowControl/>
              <w:autoSpaceDE/>
              <w:autoSpaceDN/>
              <w:jc w:val="center"/>
              <w:rPr>
                <w:lang w:eastAsia="zh-CN"/>
              </w:rPr>
            </w:pPr>
            <w:r>
              <w:rPr>
                <w:lang w:eastAsia="zh-CN"/>
              </w:rPr>
              <w:t>合计</w:t>
            </w:r>
            <w:r>
              <w:rPr>
                <w:rFonts w:hint="eastAsia"/>
                <w:lang w:eastAsia="zh-CN"/>
              </w:rPr>
              <w:t>：</w:t>
            </w:r>
          </w:p>
        </w:tc>
        <w:tc>
          <w:tcPr>
            <w:tcW w:w="2366"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合同签订之日起两个月内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席中山</w:t>
      </w:r>
      <w:r>
        <w:rPr>
          <w:rFonts w:hint="eastAsia"/>
          <w:sz w:val="24"/>
          <w:lang w:eastAsia="zh-CN"/>
        </w:rPr>
        <w:t xml:space="preserve"> </w:t>
      </w:r>
      <w:r>
        <w:rPr>
          <w:rFonts w:hint="eastAsia"/>
          <w:sz w:val="24"/>
          <w:lang w:val="en-US" w:eastAsia="zh-CN"/>
        </w:rPr>
        <w:t xml:space="preserve"> </w:t>
      </w:r>
      <w:r>
        <w:rPr>
          <w:sz w:val="24"/>
          <w:lang w:eastAsia="zh-CN"/>
        </w:rPr>
        <w:t>1</w:t>
      </w:r>
      <w:r>
        <w:rPr>
          <w:rFonts w:hint="eastAsia"/>
          <w:sz w:val="24"/>
          <w:lang w:val="en-US" w:eastAsia="zh-CN"/>
        </w:rPr>
        <w:t>9959614219</w:t>
      </w:r>
      <w:r>
        <w:rPr>
          <w:rFonts w:hint="eastAsia"/>
          <w:sz w:val="24"/>
          <w:lang w:eastAsia="zh-CN"/>
        </w:rPr>
        <w:t>，hhtan@fhcpec.com.cn。</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rFonts w:hint="eastAsia"/>
          <w:sz w:val="24"/>
          <w:u w:val="single"/>
          <w:lang w:val="en-US" w:eastAsia="zh-CN"/>
        </w:rPr>
        <w:t>6</w:t>
      </w:r>
      <w:r>
        <w:rPr>
          <w:rFonts w:hint="eastAsia"/>
          <w:sz w:val="24"/>
          <w:u w:val="single"/>
          <w:lang w:eastAsia="zh-CN"/>
        </w:rPr>
        <w:t>0个</w:t>
      </w:r>
      <w:r>
        <w:rPr>
          <w:sz w:val="24"/>
          <w:u w:val="single"/>
          <w:lang w:eastAsia="zh-CN"/>
        </w:rPr>
        <w:t xml:space="preserve">工作日内 </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w:t>
      </w:r>
      <w:r>
        <w:rPr>
          <w:rFonts w:hint="eastAsia"/>
          <w:sz w:val="24"/>
          <w:u w:val="single"/>
          <w:lang w:eastAsia="zh-CN"/>
        </w:rPr>
        <w:t>0</w:t>
      </w:r>
      <w:r>
        <w:rPr>
          <w:sz w:val="24"/>
          <w:u w:val="single"/>
          <w:lang w:eastAsia="zh-CN"/>
        </w:rPr>
        <w:t xml:space="preserve">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w:t>
      </w:r>
    </w:p>
    <w:p>
      <w:pPr>
        <w:spacing w:line="360" w:lineRule="auto"/>
        <w:rPr>
          <w:rFonts w:hint="default"/>
          <w:sz w:val="24"/>
          <w:lang w:val="en-US" w:eastAsia="zh-CN"/>
        </w:rPr>
      </w:pPr>
      <w:r>
        <w:rPr>
          <w:rFonts w:hint="eastAsia"/>
          <w:sz w:val="24"/>
          <w:lang w:eastAsia="zh-CN"/>
        </w:rPr>
        <w:t>7、质量保证</w:t>
      </w:r>
    </w:p>
    <w:p>
      <w:pPr>
        <w:spacing w:line="360" w:lineRule="auto"/>
        <w:rPr>
          <w:rFonts w:hint="default"/>
          <w:sz w:val="24"/>
          <w:lang w:val="en-US"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r>
        <w:rPr>
          <w:rFonts w:hint="eastAsia"/>
          <w:sz w:val="24"/>
          <w:lang w:val="en-US" w:eastAsia="zh-CN"/>
        </w:rPr>
        <w:t>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default" w:ascii="宋体" w:hAnsi="宋体"/>
          <w:b/>
          <w:bCs/>
          <w:color w:val="auto"/>
          <w:sz w:val="32"/>
          <w:szCs w:val="32"/>
          <w:lang w:val="en-US"/>
        </w:rPr>
      </w:pPr>
      <w:r>
        <w:rPr>
          <w:sz w:val="24"/>
          <w:lang w:eastAsia="zh-CN"/>
        </w:rPr>
        <w:t>附件</w:t>
      </w:r>
      <w:r>
        <w:rPr>
          <w:rFonts w:hint="eastAsia"/>
          <w:sz w:val="24"/>
          <w:lang w:eastAsia="zh-CN"/>
        </w:rPr>
        <w:t>1</w:t>
      </w:r>
      <w:r>
        <w:rPr>
          <w:sz w:val="24"/>
          <w:lang w:eastAsia="zh-CN"/>
        </w:rPr>
        <w:t>、</w:t>
      </w:r>
      <w:r>
        <w:rPr>
          <w:rFonts w:hint="eastAsia" w:ascii="宋体" w:hAnsi="宋体" w:eastAsia="宋体" w:cs="宋体"/>
          <w:color w:val="auto"/>
          <w:sz w:val="24"/>
          <w:szCs w:val="22"/>
          <w:lang w:val="en-US" w:eastAsia="zh-CN" w:bidi="ar-SA"/>
        </w:rPr>
        <w:t>交流不间断电源UPS</w:t>
      </w:r>
      <w:r>
        <w:rPr>
          <w:rFonts w:hint="eastAsia" w:hAnsi="宋体" w:cs="宋体"/>
          <w:color w:val="auto"/>
          <w:sz w:val="24"/>
          <w:szCs w:val="22"/>
          <w:lang w:val="en-US" w:eastAsia="zh-CN" w:bidi="ar-SA"/>
        </w:rPr>
        <w:t>技术规范书</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南部供热中心交流不间断电源UPS设备</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5.技术文件与商务文件分开密封包装后一起邮寄，参选文件均需提供U盘电子扫描文档（与商务文件一起密封包装）。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提供不少于5项近5年电力行业或石油化工行业的业绩（提供合同及对应发票扫描件）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default"/>
                <w:sz w:val="24"/>
                <w:lang w:val="en-US" w:eastAsia="zh-CN"/>
              </w:rPr>
            </w:pPr>
            <w:r>
              <w:rPr>
                <w:rFonts w:hint="eastAsia"/>
                <w:color w:val="000000" w:themeColor="text1"/>
                <w:sz w:val="24"/>
                <w:szCs w:val="24"/>
                <w:lang w:val="en-US" w:eastAsia="zh-CN"/>
              </w:rPr>
              <w:t>ISO9001质量认证、ISO14000环境管理体系认证、ISO45000职业健康安全管理体系认证复印件</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rFonts w:hint="default" w:eastAsia="宋体"/>
                <w:sz w:val="24"/>
                <w:lang w:val="en-US" w:eastAsia="zh-CN"/>
              </w:rPr>
            </w:pPr>
            <w:r>
              <w:rPr>
                <w:rFonts w:hint="eastAsia"/>
                <w:sz w:val="24"/>
                <w:lang w:val="en-US" w:eastAsia="zh-CN"/>
              </w:rPr>
              <w:t>商务报价单</w:t>
            </w:r>
          </w:p>
        </w:tc>
        <w:tc>
          <w:tcPr>
            <w:tcW w:w="1843" w:type="dxa"/>
            <w:vAlign w:val="center"/>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pPr>
    </w:p>
    <w:p>
      <w:pPr>
        <w:pStyle w:val="2"/>
        <w:jc w:val="center"/>
      </w:pPr>
    </w:p>
    <w:p>
      <w:pPr>
        <w:spacing w:line="500" w:lineRule="exact"/>
        <w:jc w:val="center"/>
        <w:rPr>
          <w:rFonts w:hint="eastAsia"/>
          <w:b/>
          <w:bCs/>
          <w:sz w:val="36"/>
          <w:szCs w:val="36"/>
          <w:lang w:val="en-US" w:eastAsia="zh-CN"/>
        </w:rPr>
      </w:pPr>
      <w:r>
        <w:rPr>
          <w:rFonts w:hint="eastAsia"/>
          <w:b/>
          <w:bCs/>
          <w:sz w:val="36"/>
          <w:szCs w:val="36"/>
          <w:lang w:val="en-US" w:eastAsia="zh-CN"/>
        </w:rPr>
        <w:t>提供不少于5项近5年电力行业或石油化工行业的业绩（提供合同及对应发票扫描件）。</w:t>
      </w:r>
    </w:p>
    <w:p>
      <w:pPr>
        <w:pStyle w:val="2"/>
        <w:rPr>
          <w:rFonts w:hint="eastAsia"/>
          <w:b/>
          <w:bCs/>
          <w:sz w:val="36"/>
          <w:szCs w:val="36"/>
          <w:lang w:val="en-US" w:eastAsia="zh-CN"/>
        </w:rPr>
      </w:pPr>
    </w:p>
    <w:p>
      <w:pPr>
        <w:pStyle w:val="2"/>
        <w:rPr>
          <w:rFonts w:hint="eastAsia"/>
          <w:b/>
          <w:bCs/>
          <w:sz w:val="36"/>
          <w:szCs w:val="36"/>
          <w:lang w:val="en-US" w:eastAsia="zh-CN"/>
        </w:rPr>
      </w:pPr>
    </w:p>
    <w:p>
      <w:pPr>
        <w:spacing w:line="500" w:lineRule="exact"/>
        <w:jc w:val="center"/>
        <w:rPr>
          <w:rFonts w:hint="eastAsia"/>
          <w:b/>
          <w:bCs/>
          <w:sz w:val="36"/>
          <w:szCs w:val="36"/>
          <w:lang w:eastAsia="zh-CN"/>
        </w:rPr>
      </w:pPr>
      <w:r>
        <w:rPr>
          <w:rFonts w:hint="eastAsia"/>
          <w:b/>
          <w:bCs/>
          <w:sz w:val="36"/>
          <w:szCs w:val="36"/>
          <w:lang w:val="en-US" w:eastAsia="zh-CN"/>
        </w:rPr>
        <w:t>ISO9001质量认证、ISO14000环境管理体系认证、ISO45000职业健康安全管理体系认证</w:t>
      </w:r>
    </w:p>
    <w:p>
      <w:pPr>
        <w:pStyle w:val="2"/>
        <w:jc w:val="center"/>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南部供热中心交流不间断电源UPS设备</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10291"/>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830"/>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pPr>
                    <w:widowControl/>
                    <w:autoSpaceDE/>
                    <w:autoSpaceDN/>
                    <w:jc w:val="center"/>
                    <w:rPr>
                      <w:lang w:eastAsia="zh-CN"/>
                    </w:rPr>
                  </w:pPr>
                  <w:r>
                    <w:rPr>
                      <w:lang w:eastAsia="zh-CN"/>
                    </w:rPr>
                    <w:t>序号</w:t>
                  </w:r>
                </w:p>
              </w:tc>
              <w:tc>
                <w:tcPr>
                  <w:tcW w:w="1524" w:type="dxa"/>
                </w:tcPr>
                <w:p>
                  <w:pPr>
                    <w:widowControl/>
                    <w:autoSpaceDE/>
                    <w:autoSpaceDN/>
                    <w:jc w:val="center"/>
                    <w:rPr>
                      <w:lang w:eastAsia="zh-CN"/>
                    </w:rPr>
                  </w:pPr>
                  <w:r>
                    <w:rPr>
                      <w:lang w:eastAsia="zh-CN"/>
                    </w:rPr>
                    <w:t>物品名称</w:t>
                  </w:r>
                </w:p>
              </w:tc>
              <w:tc>
                <w:tcPr>
                  <w:tcW w:w="2072" w:type="dxa"/>
                </w:tcPr>
                <w:p>
                  <w:pPr>
                    <w:widowControl/>
                    <w:autoSpaceDE/>
                    <w:autoSpaceDN/>
                    <w:jc w:val="center"/>
                    <w:rPr>
                      <w:lang w:eastAsia="zh-CN"/>
                    </w:rPr>
                  </w:pPr>
                  <w:r>
                    <w:rPr>
                      <w:lang w:eastAsia="zh-CN"/>
                    </w:rPr>
                    <w:t>规格</w:t>
                  </w:r>
                </w:p>
              </w:tc>
              <w:tc>
                <w:tcPr>
                  <w:tcW w:w="1096" w:type="dxa"/>
                </w:tcPr>
                <w:p>
                  <w:pPr>
                    <w:widowControl/>
                    <w:autoSpaceDE/>
                    <w:autoSpaceDN/>
                    <w:jc w:val="center"/>
                    <w:rPr>
                      <w:lang w:eastAsia="zh-CN"/>
                    </w:rPr>
                  </w:pPr>
                  <w:r>
                    <w:rPr>
                      <w:rFonts w:hint="eastAsia"/>
                      <w:lang w:val="en-US" w:eastAsia="zh-CN"/>
                    </w:rPr>
                    <w:t>型号</w:t>
                  </w:r>
                </w:p>
              </w:tc>
              <w:tc>
                <w:tcPr>
                  <w:tcW w:w="679" w:type="dxa"/>
                </w:tcPr>
                <w:p>
                  <w:pPr>
                    <w:widowControl/>
                    <w:autoSpaceDE/>
                    <w:autoSpaceDN/>
                    <w:jc w:val="center"/>
                    <w:rPr>
                      <w:lang w:eastAsia="zh-CN"/>
                    </w:rPr>
                  </w:pPr>
                  <w:r>
                    <w:rPr>
                      <w:lang w:eastAsia="zh-CN"/>
                    </w:rPr>
                    <w:t>数量</w:t>
                  </w:r>
                </w:p>
              </w:tc>
              <w:tc>
                <w:tcPr>
                  <w:tcW w:w="830" w:type="dxa"/>
                </w:tcPr>
                <w:p>
                  <w:pPr>
                    <w:widowControl/>
                    <w:autoSpaceDE/>
                    <w:autoSpaceDN/>
                    <w:jc w:val="center"/>
                    <w:rPr>
                      <w:lang w:eastAsia="zh-CN"/>
                    </w:rPr>
                  </w:pPr>
                  <w:r>
                    <w:rPr>
                      <w:lang w:eastAsia="zh-CN"/>
                    </w:rPr>
                    <w:t>品牌</w:t>
                  </w:r>
                </w:p>
              </w:tc>
              <w:tc>
                <w:tcPr>
                  <w:tcW w:w="805" w:type="dxa"/>
                </w:tcPr>
                <w:p>
                  <w:pPr>
                    <w:widowControl/>
                    <w:autoSpaceDE/>
                    <w:autoSpaceDN/>
                    <w:jc w:val="center"/>
                    <w:rPr>
                      <w:lang w:eastAsia="zh-CN"/>
                    </w:rPr>
                  </w:pPr>
                  <w:r>
                    <w:rPr>
                      <w:lang w:eastAsia="zh-CN"/>
                    </w:rPr>
                    <w:t>单价</w:t>
                  </w:r>
                </w:p>
              </w:tc>
              <w:tc>
                <w:tcPr>
                  <w:tcW w:w="925" w:type="dxa"/>
                </w:tcPr>
                <w:p>
                  <w:pPr>
                    <w:widowControl/>
                    <w:autoSpaceDE/>
                    <w:autoSpaceDN/>
                    <w:jc w:val="center"/>
                    <w:rPr>
                      <w:lang w:eastAsia="zh-CN"/>
                    </w:rPr>
                  </w:pPr>
                  <w:r>
                    <w:rPr>
                      <w:lang w:eastAsia="zh-CN"/>
                    </w:rPr>
                    <w:t>总价</w:t>
                  </w:r>
                </w:p>
              </w:tc>
              <w:tc>
                <w:tcPr>
                  <w:tcW w:w="1455"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r>
                    <w:rPr>
                      <w:rFonts w:hint="eastAsia"/>
                      <w:lang w:val="en-US" w:eastAsia="zh-CN"/>
                    </w:rPr>
                    <w:t>交流不间断电源UPS设备</w:t>
                  </w:r>
                </w:p>
              </w:tc>
              <w:tc>
                <w:tcPr>
                  <w:tcW w:w="2072" w:type="dxa"/>
                  <w:vAlign w:val="center"/>
                </w:tcPr>
                <w:p>
                  <w:pPr>
                    <w:widowControl/>
                    <w:autoSpaceDE/>
                    <w:autoSpaceDN/>
                    <w:jc w:val="center"/>
                    <w:rPr>
                      <w:rFonts w:hint="default"/>
                      <w:lang w:val="en-US" w:eastAsia="zh-CN"/>
                    </w:rPr>
                  </w:pPr>
                  <w:r>
                    <w:rPr>
                      <w:rFonts w:hint="eastAsia"/>
                      <w:lang w:val="en-US" w:eastAsia="zh-CN"/>
                    </w:rPr>
                    <w:t>详见技术协议</w:t>
                  </w:r>
                </w:p>
              </w:tc>
              <w:tc>
                <w:tcPr>
                  <w:tcW w:w="1096"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1台</w:t>
                  </w:r>
                </w:p>
              </w:tc>
              <w:tc>
                <w:tcPr>
                  <w:tcW w:w="830" w:type="dxa"/>
                  <w:vAlign w:val="top"/>
                </w:tcPr>
                <w:p>
                  <w:pPr>
                    <w:widowControl/>
                    <w:autoSpaceDE/>
                    <w:autoSpaceDN/>
                    <w:jc w:val="center"/>
                    <w:rPr>
                      <w:lang w:eastAsia="zh-CN"/>
                    </w:rPr>
                  </w:pP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85" w:type="dxa"/>
                  <w:gridSpan w:val="7"/>
                </w:tcPr>
                <w:p>
                  <w:pPr>
                    <w:widowControl/>
                    <w:autoSpaceDE/>
                    <w:autoSpaceDN/>
                    <w:jc w:val="center"/>
                    <w:rPr>
                      <w:lang w:eastAsia="zh-CN"/>
                    </w:rPr>
                  </w:pPr>
                  <w:r>
                    <w:rPr>
                      <w:lang w:eastAsia="zh-CN"/>
                    </w:rPr>
                    <w:t>合计</w:t>
                  </w:r>
                  <w:r>
                    <w:rPr>
                      <w:rFonts w:hint="eastAsia"/>
                      <w:lang w:eastAsia="zh-CN"/>
                    </w:rPr>
                    <w:t>：</w:t>
                  </w:r>
                </w:p>
              </w:tc>
              <w:tc>
                <w:tcPr>
                  <w:tcW w:w="2380"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ind w:firstLine="560" w:firstLineChars="200"/>
        <w:rPr>
          <w:rFonts w:hint="default" w:ascii="宋体" w:hAnsi="宋体" w:eastAsia="宋体" w:cs="宋体"/>
          <w:sz w:val="28"/>
          <w:szCs w:val="22"/>
          <w:u w:val="single"/>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176F8"/>
    <w:rsid w:val="023252A2"/>
    <w:rsid w:val="0367315B"/>
    <w:rsid w:val="03913EC3"/>
    <w:rsid w:val="061139E5"/>
    <w:rsid w:val="06F50B00"/>
    <w:rsid w:val="076E1278"/>
    <w:rsid w:val="08500A2B"/>
    <w:rsid w:val="08D1141D"/>
    <w:rsid w:val="0A49286F"/>
    <w:rsid w:val="0B296DE2"/>
    <w:rsid w:val="10294AA3"/>
    <w:rsid w:val="10457A00"/>
    <w:rsid w:val="10E40CA0"/>
    <w:rsid w:val="11DA3D05"/>
    <w:rsid w:val="136130D9"/>
    <w:rsid w:val="15800409"/>
    <w:rsid w:val="15D51AA7"/>
    <w:rsid w:val="18DD4F7E"/>
    <w:rsid w:val="195A4402"/>
    <w:rsid w:val="195B58A2"/>
    <w:rsid w:val="1D43117C"/>
    <w:rsid w:val="1E085A14"/>
    <w:rsid w:val="1FF43DDB"/>
    <w:rsid w:val="21933AA2"/>
    <w:rsid w:val="236830C4"/>
    <w:rsid w:val="25BF356F"/>
    <w:rsid w:val="25DB0C2D"/>
    <w:rsid w:val="269469E7"/>
    <w:rsid w:val="28A46E0D"/>
    <w:rsid w:val="2998140D"/>
    <w:rsid w:val="29FC3B14"/>
    <w:rsid w:val="2B11792E"/>
    <w:rsid w:val="2C302A48"/>
    <w:rsid w:val="31C54755"/>
    <w:rsid w:val="3216608C"/>
    <w:rsid w:val="34CE14C6"/>
    <w:rsid w:val="34D84CEC"/>
    <w:rsid w:val="37AF5AB7"/>
    <w:rsid w:val="38040B2A"/>
    <w:rsid w:val="382A2A41"/>
    <w:rsid w:val="394F52B6"/>
    <w:rsid w:val="3B1C3371"/>
    <w:rsid w:val="3CC23198"/>
    <w:rsid w:val="3DDF4815"/>
    <w:rsid w:val="3FE669E5"/>
    <w:rsid w:val="462A54F2"/>
    <w:rsid w:val="4A2A7AF9"/>
    <w:rsid w:val="4C7766A5"/>
    <w:rsid w:val="4D095D16"/>
    <w:rsid w:val="4F011C22"/>
    <w:rsid w:val="50F63E28"/>
    <w:rsid w:val="5221007F"/>
    <w:rsid w:val="52926B5A"/>
    <w:rsid w:val="545C5E51"/>
    <w:rsid w:val="546C4BF0"/>
    <w:rsid w:val="5486175B"/>
    <w:rsid w:val="55192C6D"/>
    <w:rsid w:val="57667D24"/>
    <w:rsid w:val="57CE5BC3"/>
    <w:rsid w:val="5AE1516A"/>
    <w:rsid w:val="5B1B5EAF"/>
    <w:rsid w:val="5B6A3A79"/>
    <w:rsid w:val="5C1A5F7B"/>
    <w:rsid w:val="5F313E05"/>
    <w:rsid w:val="633C4323"/>
    <w:rsid w:val="645771F8"/>
    <w:rsid w:val="6A54112D"/>
    <w:rsid w:val="6AA035AE"/>
    <w:rsid w:val="6E0F2E14"/>
    <w:rsid w:val="6F1E141D"/>
    <w:rsid w:val="6F5354F8"/>
    <w:rsid w:val="740A2BDE"/>
    <w:rsid w:val="751839E0"/>
    <w:rsid w:val="76274F93"/>
    <w:rsid w:val="7997722F"/>
    <w:rsid w:val="79EB3F2F"/>
    <w:rsid w:val="7B11789E"/>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9189</Words>
  <Characters>9837</Characters>
  <Lines>115</Lines>
  <Paragraphs>32</Paragraphs>
  <TotalTime>1</TotalTime>
  <ScaleCrop>false</ScaleCrop>
  <LinksUpToDate>false</LinksUpToDate>
  <CharactersWithSpaces>10638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2023-04-19T09:28:19Z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