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lang w:eastAsia="zh-CN"/>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32"/>
      </w:pPr>
    </w:p>
    <w:p>
      <w:pPr>
        <w:spacing w:line="360" w:lineRule="auto"/>
        <w:jc w:val="center"/>
        <w:rPr>
          <w:rFonts w:ascii="微软雅黑" w:eastAsia="微软雅黑"/>
          <w:b/>
          <w:sz w:val="36"/>
          <w:szCs w:val="36"/>
          <w:lang w:eastAsia="zh-CN"/>
        </w:rPr>
      </w:pPr>
      <w:r>
        <w:rPr>
          <w:rFonts w:hint="eastAsia" w:ascii="微软雅黑" w:eastAsia="微软雅黑"/>
          <w:b/>
          <w:sz w:val="36"/>
          <w:szCs w:val="36"/>
          <w:lang w:val="en-US" w:eastAsia="zh-CN"/>
        </w:rPr>
        <w:t>热电厂输煤系统输送带采购</w:t>
      </w:r>
    </w:p>
    <w:p>
      <w:pPr>
        <w:pStyle w:val="9"/>
        <w:rPr>
          <w:rFonts w:ascii="微软雅黑"/>
          <w:b/>
          <w:sz w:val="68"/>
          <w:lang w:eastAsia="zh-CN"/>
        </w:rPr>
      </w:pPr>
    </w:p>
    <w:p>
      <w:pPr>
        <w:pStyle w:val="9"/>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32"/>
        <w:jc w:val="center"/>
        <w:rPr>
          <w:sz w:val="28"/>
          <w:szCs w:val="28"/>
        </w:rPr>
      </w:pPr>
      <w:r>
        <w:rPr>
          <w:rFonts w:hint="eastAsia"/>
          <w:sz w:val="28"/>
          <w:szCs w:val="28"/>
        </w:rPr>
        <w:t>（文件编号：</w:t>
      </w:r>
      <w:r>
        <w:rPr>
          <w:rFonts w:hint="eastAsia"/>
          <w:sz w:val="28"/>
          <w:szCs w:val="28"/>
          <w:u w:val="single"/>
        </w:rPr>
        <w:t>MR2303210040</w:t>
      </w:r>
      <w:r>
        <w:rPr>
          <w:rFonts w:hint="eastAsia"/>
          <w:sz w:val="28"/>
          <w:szCs w:val="28"/>
        </w:rPr>
        <w:t>）</w:t>
      </w:r>
    </w:p>
    <w:p>
      <w:pPr>
        <w:pStyle w:val="9"/>
        <w:rPr>
          <w:rFonts w:ascii="微软雅黑"/>
          <w:b/>
          <w:sz w:val="94"/>
          <w:lang w:eastAsia="zh-CN"/>
        </w:rPr>
      </w:pPr>
    </w:p>
    <w:p>
      <w:pPr>
        <w:pStyle w:val="9"/>
        <w:rPr>
          <w:rFonts w:ascii="微软雅黑"/>
          <w:b/>
          <w:sz w:val="94"/>
          <w:lang w:eastAsia="zh-CN"/>
        </w:rPr>
      </w:pPr>
    </w:p>
    <w:p>
      <w:pPr>
        <w:pStyle w:val="9"/>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二〇二三年</w:t>
      </w:r>
      <w:r>
        <w:rPr>
          <w:rFonts w:hint="eastAsia" w:ascii="微软雅黑" w:eastAsia="微软雅黑"/>
          <w:b/>
          <w:w w:val="95"/>
          <w:sz w:val="32"/>
          <w:lang w:val="en-US" w:eastAsia="zh-CN"/>
        </w:rPr>
        <w:t>四</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fmt="decimal"/>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9"/>
        <w:rPr>
          <w:rFonts w:ascii="黑体"/>
          <w:sz w:val="20"/>
          <w:lang w:eastAsia="zh-CN"/>
        </w:rPr>
      </w:pPr>
    </w:p>
    <w:p>
      <w:pPr>
        <w:pStyle w:val="9"/>
        <w:rPr>
          <w:rFonts w:ascii="黑体"/>
          <w:sz w:val="20"/>
          <w:lang w:eastAsia="zh-CN"/>
        </w:rPr>
      </w:pPr>
    </w:p>
    <w:p>
      <w:pPr>
        <w:pStyle w:val="9"/>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9"/>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9"/>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32"/>
      </w:pPr>
    </w:p>
    <w:p>
      <w:pPr>
        <w:pStyle w:val="32"/>
      </w:pPr>
    </w:p>
    <w:p>
      <w:pPr>
        <w:pStyle w:val="32"/>
      </w:pPr>
    </w:p>
    <w:p>
      <w:pPr>
        <w:pStyle w:val="32"/>
      </w:pPr>
    </w:p>
    <w:p>
      <w:pPr>
        <w:pStyle w:val="32"/>
      </w:pPr>
    </w:p>
    <w:p>
      <w:pPr>
        <w:pStyle w:val="32"/>
      </w:pPr>
    </w:p>
    <w:p>
      <w:pPr>
        <w:pStyle w:val="32"/>
      </w:pPr>
    </w:p>
    <w:p>
      <w:pPr>
        <w:pStyle w:val="34"/>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9"/>
        <w:keepNext w:val="0"/>
        <w:keepLines w:val="0"/>
        <w:pageBreakBefore w:val="0"/>
        <w:kinsoku/>
        <w:wordWrap/>
        <w:overflowPunct/>
        <w:topLinePunct w:val="0"/>
        <w:bidi w:val="0"/>
        <w:spacing w:line="312"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福建福海创石油化工有限公司拟对本公司</w:t>
      </w:r>
      <w:r>
        <w:rPr>
          <w:rFonts w:hint="default" w:ascii="Times New Roman" w:hAnsi="Times New Roman" w:eastAsia="宋体" w:cs="Times New Roman"/>
          <w:sz w:val="21"/>
          <w:szCs w:val="21"/>
          <w:u w:val="single"/>
          <w:lang w:val="en-US" w:eastAsia="zh-CN" w:bidi="ar-SA"/>
        </w:rPr>
        <w:t>热电厂输煤系统输送带</w:t>
      </w:r>
      <w:r>
        <w:rPr>
          <w:rFonts w:hint="default" w:ascii="Times New Roman" w:hAnsi="Times New Roman" w:eastAsia="宋体" w:cs="Times New Roman"/>
          <w:sz w:val="21"/>
          <w:szCs w:val="21"/>
          <w:u w:val="single"/>
          <w:lang w:eastAsia="zh-CN"/>
        </w:rPr>
        <w:t>采购项目（项目编号：MR2303210040）</w:t>
      </w:r>
      <w:r>
        <w:rPr>
          <w:rFonts w:hint="default" w:ascii="Times New Roman" w:hAnsi="Times New Roman" w:eastAsia="宋体" w:cs="Times New Roman"/>
          <w:sz w:val="21"/>
          <w:szCs w:val="21"/>
          <w:lang w:eastAsia="zh-CN"/>
        </w:rPr>
        <w:t>进行国内公开比选。为了“公开、公平、公正、透明”，引导参选人进行正确参选，特制定本规定文件，欢迎国内符合条件的供应商积极参选。</w:t>
      </w:r>
    </w:p>
    <w:p>
      <w:pPr>
        <w:keepNext w:val="0"/>
        <w:keepLines w:val="0"/>
        <w:pageBreakBefore w:val="0"/>
        <w:kinsoku/>
        <w:wordWrap/>
        <w:overflowPunct/>
        <w:topLinePunct w:val="0"/>
        <w:autoSpaceDE/>
        <w:autoSpaceDN/>
        <w:bidi w:val="0"/>
        <w:spacing w:line="312" w:lineRule="auto"/>
        <w:ind w:firstLine="420" w:firstLineChars="200"/>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sz w:val="21"/>
          <w:szCs w:val="21"/>
          <w:lang w:eastAsia="zh-CN"/>
        </w:rPr>
        <w:t>一、</w:t>
      </w:r>
      <w:r>
        <w:rPr>
          <w:rFonts w:hint="default" w:ascii="Times New Roman" w:hAnsi="Times New Roman" w:eastAsia="宋体" w:cs="Times New Roman"/>
          <w:b/>
          <w:bCs/>
          <w:sz w:val="21"/>
          <w:szCs w:val="21"/>
          <w:lang w:eastAsia="zh-CN"/>
        </w:rPr>
        <w:t>项目概况</w:t>
      </w:r>
    </w:p>
    <w:p>
      <w:pPr>
        <w:keepNext w:val="0"/>
        <w:keepLines w:val="0"/>
        <w:pageBreakBefore w:val="0"/>
        <w:kinsoku/>
        <w:wordWrap/>
        <w:overflowPunct/>
        <w:topLinePunct w:val="0"/>
        <w:bidi w:val="0"/>
        <w:spacing w:line="312" w:lineRule="auto"/>
        <w:ind w:left="0" w:leftChars="0" w:firstLine="401" w:firstLineChars="191"/>
        <w:jc w:val="both"/>
        <w:rPr>
          <w:rFonts w:hint="default" w:ascii="Times New Roman" w:hAnsi="Times New Roman" w:eastAsia="宋体" w:cs="Times New Roman"/>
          <w:bCs/>
          <w:sz w:val="21"/>
          <w:szCs w:val="21"/>
          <w:u w:val="single"/>
          <w:lang w:eastAsia="zh-CN"/>
        </w:rPr>
      </w:pPr>
      <w:r>
        <w:rPr>
          <w:rFonts w:hint="default" w:ascii="Times New Roman" w:hAnsi="Times New Roman" w:eastAsia="宋体" w:cs="Times New Roman"/>
          <w:bCs/>
          <w:sz w:val="21"/>
          <w:szCs w:val="21"/>
          <w:lang w:eastAsia="zh-CN"/>
        </w:rPr>
        <w:t>1. 项目名</w:t>
      </w:r>
      <w:r>
        <w:rPr>
          <w:rFonts w:hint="default" w:ascii="Times New Roman" w:hAnsi="Times New Roman" w:eastAsia="宋体" w:cs="Times New Roman"/>
          <w:sz w:val="21"/>
          <w:szCs w:val="21"/>
          <w:lang w:val="en-US" w:eastAsia="zh-CN" w:bidi="ar-SA"/>
        </w:rPr>
        <w:t>称：</w:t>
      </w:r>
      <w:r>
        <w:rPr>
          <w:rFonts w:hint="default" w:ascii="Times New Roman" w:hAnsi="Times New Roman" w:eastAsia="宋体" w:cs="Times New Roman"/>
          <w:sz w:val="21"/>
          <w:szCs w:val="21"/>
          <w:u w:val="single"/>
          <w:lang w:val="en-US" w:eastAsia="zh-CN" w:bidi="ar-SA"/>
        </w:rPr>
        <w:t>热电厂输煤系统输送带（含接头胶接材料、胶带修补机）</w:t>
      </w:r>
      <w:r>
        <w:rPr>
          <w:rFonts w:hint="default" w:ascii="Times New Roman" w:hAnsi="Times New Roman" w:eastAsia="宋体" w:cs="Times New Roman"/>
          <w:bCs/>
          <w:sz w:val="21"/>
          <w:szCs w:val="21"/>
          <w:u w:val="single"/>
          <w:lang w:val="en-US" w:eastAsia="zh-CN"/>
        </w:rPr>
        <w:t>采购项目</w:t>
      </w:r>
    </w:p>
    <w:p>
      <w:pPr>
        <w:pStyle w:val="2"/>
        <w:keepNext w:val="0"/>
        <w:keepLines w:val="0"/>
        <w:pageBreakBefore w:val="0"/>
        <w:kinsoku/>
        <w:wordWrap/>
        <w:overflowPunct/>
        <w:topLinePunct w:val="0"/>
        <w:bidi w:val="0"/>
        <w:snapToGrid/>
        <w:spacing w:line="312" w:lineRule="auto"/>
        <w:ind w:left="757" w:leftChars="209" w:right="0" w:rightChars="0" w:hanging="297" w:hangingChars="141"/>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Cs/>
          <w:sz w:val="21"/>
          <w:szCs w:val="21"/>
          <w:lang w:eastAsia="zh-CN"/>
        </w:rPr>
        <w:t>2. 比选项目简要说明：</w:t>
      </w:r>
      <w:r>
        <w:rPr>
          <w:rFonts w:hint="default" w:ascii="Times New Roman" w:hAnsi="Times New Roman" w:eastAsia="宋体" w:cs="Times New Roman"/>
          <w:b w:val="0"/>
          <w:bCs w:val="0"/>
          <w:sz w:val="21"/>
          <w:szCs w:val="21"/>
          <w:lang w:val="en-US" w:eastAsia="zh-CN" w:bidi="ar-SA"/>
        </w:rPr>
        <w:t>①需签署技术协议；②供货品牌要求:浙江双箭、上海富大、浙江三维、银河德普；如果有品质更优的产品，可不限于上述品牌，但须经需方认可。需方欢迎供方提供优于本技术条件书要求的先进、成熟、可靠的产品，但不接受带有试制性质的产品，如果采用带有试制性质的技术，必须征得需方的同意。③要求提供3年质保；④参选人应在参选文件中提供符合此次输送带类型的全厚度拉伸强度和伸长率、覆盖物物理性能（不包括老化性能）、层间粘合强度、直线度、安全性能试验报告。</w:t>
      </w:r>
    </w:p>
    <w:p>
      <w:pPr>
        <w:pStyle w:val="3"/>
        <w:keepNext w:val="0"/>
        <w:keepLines w:val="0"/>
        <w:pageBreakBefore w:val="0"/>
        <w:kinsoku/>
        <w:wordWrap/>
        <w:overflowPunct/>
        <w:topLinePunct w:val="0"/>
        <w:bidi w:val="0"/>
        <w:spacing w:line="312" w:lineRule="auto"/>
        <w:ind w:left="0"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b w:val="0"/>
          <w:sz w:val="21"/>
          <w:szCs w:val="21"/>
          <w:lang w:eastAsia="zh-CN"/>
        </w:rPr>
        <w:t xml:space="preserve">3. </w:t>
      </w:r>
      <w:r>
        <w:rPr>
          <w:rFonts w:hint="default" w:ascii="Times New Roman" w:hAnsi="Times New Roman" w:eastAsia="宋体" w:cs="Times New Roman"/>
          <w:sz w:val="21"/>
          <w:szCs w:val="21"/>
          <w:lang w:eastAsia="zh-CN"/>
        </w:rPr>
        <w:t>项目控制价格：人民币</w:t>
      </w:r>
      <w:r>
        <w:rPr>
          <w:rFonts w:hint="default" w:ascii="Times New Roman" w:hAnsi="Times New Roman" w:eastAsia="宋体" w:cs="Times New Roman"/>
          <w:sz w:val="21"/>
          <w:szCs w:val="21"/>
          <w:lang w:val="en-US" w:eastAsia="zh-CN"/>
        </w:rPr>
        <w:t>112万</w:t>
      </w:r>
      <w:r>
        <w:rPr>
          <w:rFonts w:hint="default" w:ascii="Times New Roman" w:hAnsi="Times New Roman" w:eastAsia="宋体" w:cs="Times New Roman"/>
          <w:sz w:val="21"/>
          <w:szCs w:val="21"/>
          <w:lang w:eastAsia="zh-CN"/>
        </w:rPr>
        <w:t>元</w:t>
      </w:r>
      <w:r>
        <w:rPr>
          <w:rFonts w:hint="default" w:ascii="Times New Roman" w:hAnsi="Times New Roman" w:eastAsia="宋体" w:cs="Times New Roman"/>
          <w:b w:val="0"/>
          <w:sz w:val="21"/>
          <w:szCs w:val="21"/>
          <w:lang w:eastAsia="zh-CN"/>
        </w:rPr>
        <w:t>（不含税价）</w:t>
      </w:r>
    </w:p>
    <w:p>
      <w:pPr>
        <w:pStyle w:val="3"/>
        <w:keepNext w:val="0"/>
        <w:keepLines w:val="0"/>
        <w:pageBreakBefore w:val="0"/>
        <w:kinsoku/>
        <w:wordWrap/>
        <w:overflowPunct/>
        <w:topLinePunct w:val="0"/>
        <w:bidi w:val="0"/>
        <w:spacing w:line="312" w:lineRule="auto"/>
        <w:ind w:left="0" w:firstLine="413" w:firstLineChars="196"/>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二、参选人资格要求：</w:t>
      </w:r>
    </w:p>
    <w:p>
      <w:pPr>
        <w:keepNext w:val="0"/>
        <w:keepLines w:val="0"/>
        <w:pageBreakBefore w:val="0"/>
        <w:widowControl/>
        <w:kinsoku/>
        <w:wordWrap/>
        <w:overflowPunct/>
        <w:topLinePunct w:val="0"/>
        <w:autoSpaceDE/>
        <w:autoSpaceDN/>
        <w:bidi w:val="0"/>
        <w:snapToGrid/>
        <w:spacing w:line="312" w:lineRule="auto"/>
        <w:ind w:left="754" w:leftChars="216" w:right="0" w:rightChars="0" w:hanging="279" w:hangingChars="133"/>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 参选人必须具备有效的企业法人营业执照，具备独立法人资格且有能力按我司需求提供货物及服务。</w:t>
      </w:r>
    </w:p>
    <w:p>
      <w:pPr>
        <w:keepNext w:val="0"/>
        <w:keepLines w:val="0"/>
        <w:pageBreakBefore w:val="0"/>
        <w:widowControl/>
        <w:kinsoku/>
        <w:wordWrap/>
        <w:overflowPunct/>
        <w:topLinePunct w:val="0"/>
        <w:autoSpaceDE/>
        <w:autoSpaceDN/>
        <w:bidi w:val="0"/>
        <w:snapToGrid/>
        <w:spacing w:line="312" w:lineRule="auto"/>
        <w:ind w:left="754" w:leftChars="216" w:right="0" w:rightChars="0" w:hanging="279" w:hangingChars="133"/>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2. 参选人</w:t>
      </w:r>
      <w:r>
        <w:rPr>
          <w:rFonts w:hint="default" w:ascii="Times New Roman" w:hAnsi="Times New Roman" w:eastAsia="宋体" w:cs="Times New Roman"/>
          <w:sz w:val="21"/>
          <w:szCs w:val="21"/>
          <w:lang w:eastAsia="zh-CN"/>
        </w:rPr>
        <w:t>提供参与投标的产品在国内单机300MW及以上火力发电厂有良好的使用业绩，安全稳定运行三年以上（需提供用户使用证明和对应发票）。</w:t>
      </w:r>
    </w:p>
    <w:p>
      <w:pPr>
        <w:pStyle w:val="2"/>
        <w:keepNext w:val="0"/>
        <w:keepLines w:val="0"/>
        <w:pageBreakBefore w:val="0"/>
        <w:kinsoku/>
        <w:wordWrap/>
        <w:overflowPunct/>
        <w:topLinePunct w:val="0"/>
        <w:bidi w:val="0"/>
        <w:snapToGrid/>
        <w:spacing w:line="312" w:lineRule="auto"/>
        <w:ind w:left="751" w:leftChars="209" w:right="0" w:rightChars="0" w:hanging="291" w:hangingChars="139"/>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sz w:val="21"/>
          <w:szCs w:val="21"/>
          <w:lang w:val="en-US" w:eastAsia="zh-CN" w:bidi="ar-SA"/>
        </w:rPr>
        <w:t xml:space="preserve">3. </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参选人没有失信黑名单记录（以最高院失信被执行人系统发布信息为准）。</w:t>
      </w:r>
    </w:p>
    <w:p>
      <w:pPr>
        <w:pStyle w:val="32"/>
        <w:keepNext w:val="0"/>
        <w:keepLines w:val="0"/>
        <w:pageBreakBefore w:val="0"/>
        <w:kinsoku/>
        <w:wordWrap/>
        <w:overflowPunct/>
        <w:topLinePunct w:val="0"/>
        <w:bidi w:val="0"/>
        <w:snapToGrid/>
        <w:spacing w:line="312" w:lineRule="auto"/>
        <w:ind w:right="0" w:rightChars="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w:t>
      </w:r>
      <w:r>
        <w:rPr>
          <w:rFonts w:hint="default" w:ascii="Times New Roman" w:hAnsi="Times New Roman" w:eastAsia="宋体" w:cs="Times New Roman"/>
          <w:color w:val="000000" w:themeColor="text1"/>
          <w:sz w:val="21"/>
          <w:szCs w:val="21"/>
          <w14:textFill>
            <w14:solidFill>
              <w14:schemeClr w14:val="tx1"/>
            </w14:solidFill>
          </w14:textFill>
        </w:rPr>
        <w:t xml:space="preserve"> 与比选人无诉讼纠纷。</w:t>
      </w:r>
    </w:p>
    <w:p>
      <w:pPr>
        <w:keepNext w:val="0"/>
        <w:keepLines w:val="0"/>
        <w:pageBreakBefore w:val="0"/>
        <w:kinsoku/>
        <w:wordWrap/>
        <w:overflowPunct/>
        <w:topLinePunct w:val="0"/>
        <w:bidi w:val="0"/>
        <w:snapToGrid/>
        <w:spacing w:line="312" w:lineRule="auto"/>
        <w:ind w:right="0" w:rightChars="0" w:firstLine="420" w:firstLineChars="200"/>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eastAsia="zh-CN"/>
        </w:rPr>
        <w:t>.本招标项目</w:t>
      </w:r>
      <w:r>
        <w:rPr>
          <w:rFonts w:hint="default" w:ascii="Times New Roman" w:hAnsi="Times New Roman" w:eastAsia="宋体" w:cs="Times New Roman"/>
          <w:b/>
          <w:sz w:val="21"/>
          <w:szCs w:val="21"/>
          <w:lang w:eastAsia="zh-CN"/>
        </w:rPr>
        <w:t>不接受</w:t>
      </w:r>
      <w:r>
        <w:rPr>
          <w:rFonts w:hint="default" w:ascii="Times New Roman" w:hAnsi="Times New Roman" w:eastAsia="宋体" w:cs="Times New Roman"/>
          <w:sz w:val="21"/>
          <w:szCs w:val="21"/>
          <w:lang w:eastAsia="zh-CN"/>
        </w:rPr>
        <w:t>联合体投标。</w:t>
      </w:r>
    </w:p>
    <w:p>
      <w:pPr>
        <w:pStyle w:val="34"/>
        <w:keepNext w:val="0"/>
        <w:keepLines w:val="0"/>
        <w:pageBreakBefore w:val="0"/>
        <w:kinsoku/>
        <w:wordWrap/>
        <w:overflowPunct/>
        <w:topLinePunct w:val="0"/>
        <w:autoSpaceDE/>
        <w:autoSpaceDN/>
        <w:bidi w:val="0"/>
        <w:spacing w:before="0" w:line="312" w:lineRule="auto"/>
        <w:ind w:left="0" w:firstLine="310" w:firstLineChars="147"/>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三、报名要求</w:t>
      </w:r>
    </w:p>
    <w:p>
      <w:pPr>
        <w:keepNext w:val="0"/>
        <w:keepLines w:val="0"/>
        <w:pageBreakBefore w:val="0"/>
        <w:kinsoku/>
        <w:wordWrap/>
        <w:overflowPunct/>
        <w:topLinePunct w:val="0"/>
        <w:autoSpaceDE/>
        <w:autoSpaceDN/>
        <w:bidi w:val="0"/>
        <w:spacing w:line="312" w:lineRule="auto"/>
        <w:ind w:firstLine="420" w:firstLineChars="200"/>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 报名时间：</w:t>
      </w:r>
      <w:r>
        <w:rPr>
          <w:rFonts w:hint="default" w:ascii="Times New Roman" w:hAnsi="Times New Roman" w:eastAsia="宋体" w:cs="Times New Roman"/>
          <w:sz w:val="21"/>
          <w:szCs w:val="21"/>
          <w:lang w:eastAsia="zh-CN"/>
        </w:rPr>
        <w:t>2023年</w:t>
      </w:r>
      <w:r>
        <w:rPr>
          <w:rFonts w:hint="default" w:ascii="Times New Roman" w:hAnsi="Times New Roman" w:eastAsia="宋体" w:cs="Times New Roman"/>
          <w:sz w:val="21"/>
          <w:szCs w:val="21"/>
          <w:lang w:val="en-US" w:eastAsia="zh-CN"/>
        </w:rPr>
        <w:t>04</w:t>
      </w:r>
      <w:r>
        <w:rPr>
          <w:rFonts w:hint="default" w:ascii="Times New Roman" w:hAnsi="Times New Roman" w:eastAsia="宋体" w:cs="Times New Roman"/>
          <w:sz w:val="21"/>
          <w:szCs w:val="21"/>
          <w:lang w:eastAsia="zh-CN"/>
        </w:rPr>
        <w:t>月</w:t>
      </w:r>
      <w:r>
        <w:rPr>
          <w:rFonts w:hint="eastAsia" w:ascii="Times New Roman" w:hAnsi="Times New Roman" w:cs="Times New Roman"/>
          <w:sz w:val="21"/>
          <w:szCs w:val="21"/>
          <w:lang w:val="en-US" w:eastAsia="zh-CN"/>
        </w:rPr>
        <w:t xml:space="preserve">18 </w:t>
      </w:r>
      <w:r>
        <w:rPr>
          <w:rFonts w:hint="default" w:ascii="Times New Roman" w:hAnsi="Times New Roman" w:eastAsia="宋体" w:cs="Times New Roman"/>
          <w:sz w:val="21"/>
          <w:szCs w:val="21"/>
          <w:lang w:eastAsia="zh-CN"/>
        </w:rPr>
        <w:t>日至</w:t>
      </w:r>
      <w:r>
        <w:rPr>
          <w:rFonts w:hint="default" w:ascii="Times New Roman" w:hAnsi="Times New Roman" w:eastAsia="宋体" w:cs="Times New Roman"/>
          <w:sz w:val="21"/>
          <w:szCs w:val="21"/>
          <w:lang w:val="en-US" w:eastAsia="zh-CN"/>
        </w:rPr>
        <w:t xml:space="preserve"> </w:t>
      </w:r>
      <w:r>
        <w:rPr>
          <w:rFonts w:hint="eastAsia" w:ascii="Times New Roman" w:hAnsi="Times New Roman" w:cs="Times New Roman"/>
          <w:sz w:val="21"/>
          <w:szCs w:val="21"/>
          <w:lang w:val="en-US" w:eastAsia="zh-CN"/>
        </w:rPr>
        <w:t xml:space="preserve"> 27</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日（共10天）</w:t>
      </w:r>
    </w:p>
    <w:p>
      <w:pPr>
        <w:pStyle w:val="2"/>
        <w:keepNext w:val="0"/>
        <w:keepLines w:val="0"/>
        <w:pageBreakBefore w:val="0"/>
        <w:kinsoku/>
        <w:wordWrap/>
        <w:overflowPunct/>
        <w:topLinePunct w:val="0"/>
        <w:bidi w:val="0"/>
        <w:snapToGrid/>
        <w:spacing w:line="312" w:lineRule="auto"/>
        <w:ind w:left="756" w:leftChars="209" w:right="0" w:rightChars="0" w:hanging="296" w:hangingChars="141"/>
        <w:rPr>
          <w:rFonts w:hint="default" w:ascii="Times New Roman" w:hAnsi="Times New Roman" w:eastAsia="宋体" w:cs="Times New Roman"/>
          <w:bCs/>
          <w:sz w:val="21"/>
          <w:szCs w:val="21"/>
          <w:lang w:eastAsia="zh-CN"/>
        </w:rPr>
      </w:pPr>
      <w:r>
        <w:rPr>
          <w:rFonts w:hint="default" w:ascii="Times New Roman" w:hAnsi="Times New Roman" w:eastAsia="宋体" w:cs="Times New Roman"/>
          <w:b w:val="0"/>
          <w:bCs w:val="0"/>
          <w:sz w:val="21"/>
          <w:szCs w:val="21"/>
          <w:lang w:eastAsia="zh-CN"/>
        </w:rPr>
        <w:t>2. 报名方式：邮件报名（须同时提交盖公章的法定代表人授权书及营业执照扫描件，</w:t>
      </w:r>
      <w:r>
        <w:rPr>
          <w:rFonts w:hint="default" w:ascii="Times New Roman" w:hAnsi="Times New Roman" w:eastAsia="宋体" w:cs="Times New Roman"/>
          <w:b w:val="0"/>
          <w:bCs w:val="0"/>
          <w:sz w:val="21"/>
          <w:szCs w:val="21"/>
          <w:lang w:val="en-US" w:eastAsia="zh-CN"/>
        </w:rPr>
        <w:t>并提供符合此次输送带类型的全厚度拉伸强度和伸长率、覆盖物物理性能（不包括老化性能）、层间粘合强度、直线度、安全性能试验报告）</w:t>
      </w:r>
      <w:r>
        <w:rPr>
          <w:rFonts w:hint="default" w:ascii="Times New Roman" w:hAnsi="Times New Roman" w:eastAsia="宋体" w:cs="Times New Roman"/>
          <w:b w:val="0"/>
          <w:bCs w:val="0"/>
          <w:sz w:val="21"/>
          <w:szCs w:val="21"/>
          <w:lang w:eastAsia="zh-CN"/>
        </w:rPr>
        <w:t>，</w:t>
      </w:r>
      <w:r>
        <w:rPr>
          <w:rFonts w:hint="default" w:ascii="Times New Roman" w:hAnsi="Times New Roman" w:eastAsia="宋体" w:cs="Times New Roman"/>
          <w:b w:val="0"/>
          <w:bCs w:val="0"/>
          <w:sz w:val="21"/>
          <w:szCs w:val="21"/>
          <w:lang w:val="en-US" w:eastAsia="zh-CN"/>
        </w:rPr>
        <w:t>报名</w:t>
      </w:r>
      <w:r>
        <w:rPr>
          <w:rFonts w:hint="default" w:ascii="Times New Roman" w:hAnsi="Times New Roman" w:eastAsia="宋体" w:cs="Times New Roman"/>
          <w:b w:val="0"/>
          <w:bCs w:val="0"/>
          <w:sz w:val="21"/>
          <w:szCs w:val="21"/>
          <w:lang w:eastAsia="zh-CN"/>
        </w:rPr>
        <w:t>邮件发至：</w:t>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"mailto:hzji@fhcpec.com.cn" </w:instrText>
      </w:r>
      <w:r>
        <w:rPr>
          <w:rFonts w:hint="default" w:ascii="Times New Roman" w:hAnsi="Times New Roman" w:eastAsia="宋体" w:cs="Times New Roman"/>
          <w:b w:val="0"/>
          <w:bCs w:val="0"/>
          <w:sz w:val="21"/>
          <w:szCs w:val="21"/>
        </w:rPr>
        <w:fldChar w:fldCharType="separate"/>
      </w:r>
      <w:r>
        <w:rPr>
          <w:rStyle w:val="28"/>
          <w:rFonts w:hint="default" w:ascii="Times New Roman" w:hAnsi="Times New Roman" w:eastAsia="宋体" w:cs="Times New Roman"/>
          <w:b w:val="0"/>
          <w:bCs w:val="0"/>
          <w:sz w:val="21"/>
          <w:szCs w:val="21"/>
          <w:lang w:eastAsia="zh-CN"/>
        </w:rPr>
        <w:t>huangmq@fjpec.com.cn</w:t>
      </w:r>
      <w:r>
        <w:rPr>
          <w:rStyle w:val="28"/>
          <w:rFonts w:hint="default" w:ascii="Times New Roman" w:hAnsi="Times New Roman" w:eastAsia="宋体" w:cs="Times New Roman"/>
          <w:b w:val="0"/>
          <w:bCs w:val="0"/>
          <w:sz w:val="21"/>
          <w:szCs w:val="21"/>
          <w:lang w:eastAsia="zh-CN"/>
        </w:rPr>
        <w:fldChar w:fldCharType="end"/>
      </w:r>
      <w:r>
        <w:rPr>
          <w:rFonts w:hint="default" w:ascii="Times New Roman" w:hAnsi="Times New Roman" w:eastAsia="宋体" w:cs="Times New Roman"/>
          <w:b w:val="0"/>
          <w:bCs w:val="0"/>
          <w:sz w:val="21"/>
          <w:szCs w:val="21"/>
          <w:lang w:eastAsia="zh-CN"/>
        </w:rPr>
        <w:t>。未报名的参选人不能参加本项目比选。</w:t>
      </w:r>
    </w:p>
    <w:p>
      <w:pPr>
        <w:keepNext w:val="0"/>
        <w:keepLines w:val="0"/>
        <w:pageBreakBefore w:val="0"/>
        <w:kinsoku/>
        <w:wordWrap/>
        <w:overflowPunct/>
        <w:topLinePunct w:val="0"/>
        <w:bidi w:val="0"/>
        <w:spacing w:line="312" w:lineRule="auto"/>
        <w:ind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3. </w:t>
      </w:r>
      <w:r>
        <w:rPr>
          <w:rFonts w:hint="default" w:ascii="Times New Roman" w:hAnsi="Times New Roman" w:eastAsia="宋体" w:cs="Times New Roman"/>
          <w:bCs/>
          <w:sz w:val="21"/>
          <w:szCs w:val="21"/>
          <w:lang w:eastAsia="zh-CN"/>
        </w:rPr>
        <w:t>需进行技术交流并签订技术协议书；如未进行技术交流且未签订技术协议书，其参选资格将被评标委员会予以否决</w:t>
      </w:r>
      <w:r>
        <w:rPr>
          <w:rFonts w:hint="default" w:ascii="Times New Roman" w:hAnsi="Times New Roman" w:eastAsia="宋体" w:cs="Times New Roman"/>
          <w:sz w:val="21"/>
          <w:szCs w:val="21"/>
          <w:lang w:eastAsia="zh-CN"/>
        </w:rPr>
        <w:t>。</w:t>
      </w:r>
    </w:p>
    <w:p>
      <w:pPr>
        <w:pStyle w:val="2"/>
        <w:keepNext w:val="0"/>
        <w:keepLines w:val="0"/>
        <w:pageBreakBefore w:val="0"/>
        <w:kinsoku/>
        <w:wordWrap/>
        <w:overflowPunct/>
        <w:topLinePunct w:val="0"/>
        <w:bidi w:val="0"/>
        <w:spacing w:line="312" w:lineRule="auto"/>
        <w:ind w:left="0"/>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w w:val="95"/>
          <w:sz w:val="21"/>
          <w:szCs w:val="21"/>
          <w:lang w:eastAsia="zh-CN"/>
        </w:rPr>
        <w:t>四、</w:t>
      </w:r>
      <w:r>
        <w:rPr>
          <w:rFonts w:hint="default" w:ascii="Times New Roman" w:hAnsi="Times New Roman" w:eastAsia="宋体" w:cs="Times New Roman"/>
          <w:sz w:val="21"/>
          <w:szCs w:val="21"/>
          <w:lang w:eastAsia="zh-CN"/>
        </w:rPr>
        <w:t>参选文件递交要求</w:t>
      </w:r>
    </w:p>
    <w:p>
      <w:pPr>
        <w:keepNext w:val="0"/>
        <w:keepLines w:val="0"/>
        <w:pageBreakBefore w:val="0"/>
        <w:kinsoku/>
        <w:wordWrap/>
        <w:overflowPunct/>
        <w:topLinePunct w:val="0"/>
        <w:autoSpaceDE/>
        <w:autoSpaceDN/>
        <w:bidi w:val="0"/>
        <w:spacing w:line="312" w:lineRule="auto"/>
        <w:ind w:firstLine="420" w:firstLineChars="200"/>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 参选文件递交地点：福建省漳州市漳浦县杜浔镇杜昌路9号</w:t>
      </w:r>
    </w:p>
    <w:p>
      <w:pPr>
        <w:keepNext w:val="0"/>
        <w:keepLines w:val="0"/>
        <w:pageBreakBefore w:val="0"/>
        <w:kinsoku/>
        <w:wordWrap/>
        <w:overflowPunct/>
        <w:topLinePunct w:val="0"/>
        <w:autoSpaceDE/>
        <w:autoSpaceDN/>
        <w:bidi w:val="0"/>
        <w:spacing w:line="312" w:lineRule="auto"/>
        <w:ind w:firstLine="420" w:firstLineChars="200"/>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2. 递交截止时间（以送达时间为准）：有意向参选人请于公示期间进行报名且须与工厂技术交流并签署技术协议的，并请在技术协议签署之日起5天内将参选文件纸质原件密封送达比选人指定地点。</w:t>
      </w:r>
    </w:p>
    <w:p>
      <w:pPr>
        <w:keepNext w:val="0"/>
        <w:keepLines w:val="0"/>
        <w:pageBreakBefore w:val="0"/>
        <w:tabs>
          <w:tab w:val="left" w:pos="709"/>
        </w:tabs>
        <w:kinsoku/>
        <w:wordWrap/>
        <w:overflowPunct/>
        <w:topLinePunct w:val="0"/>
        <w:bidi w:val="0"/>
        <w:spacing w:line="312" w:lineRule="auto"/>
        <w:ind w:firstLine="227" w:firstLineChars="100"/>
        <w:rPr>
          <w:rFonts w:hint="default" w:ascii="Times New Roman" w:hAnsi="Times New Roman" w:eastAsia="宋体" w:cs="Times New Roman"/>
          <w:b/>
          <w:snapToGrid w:val="0"/>
          <w:color w:val="000000" w:themeColor="text1"/>
          <w:spacing w:val="8"/>
          <w:sz w:val="21"/>
          <w:szCs w:val="21"/>
          <w:lang w:eastAsia="zh-CN"/>
          <w14:textFill>
            <w14:solidFill>
              <w14:schemeClr w14:val="tx1"/>
            </w14:solidFill>
          </w14:textFill>
        </w:rPr>
      </w:pPr>
      <w:r>
        <w:rPr>
          <w:rFonts w:hint="default" w:ascii="Times New Roman" w:hAnsi="Times New Roman" w:eastAsia="宋体" w:cs="Times New Roman"/>
          <w:b/>
          <w:snapToGrid w:val="0"/>
          <w:color w:val="000000" w:themeColor="text1"/>
          <w:spacing w:val="8"/>
          <w:sz w:val="21"/>
          <w:szCs w:val="21"/>
          <w:lang w:eastAsia="zh-CN"/>
          <w14:textFill>
            <w14:solidFill>
              <w14:schemeClr w14:val="tx1"/>
            </w14:solidFill>
          </w14:textFill>
        </w:rPr>
        <w:t>五、参选保证金：</w:t>
      </w:r>
      <w:r>
        <w:rPr>
          <w:rFonts w:hint="default" w:ascii="Times New Roman" w:hAnsi="Times New Roman" w:eastAsia="宋体" w:cs="Times New Roman"/>
          <w:b/>
          <w:snapToGrid w:val="0"/>
          <w:color w:val="000000" w:themeColor="text1"/>
          <w:spacing w:val="8"/>
          <w:sz w:val="21"/>
          <w:szCs w:val="21"/>
          <w:lang w:val="en-US" w:eastAsia="zh-CN"/>
          <w14:textFill>
            <w14:solidFill>
              <w14:schemeClr w14:val="tx1"/>
            </w14:solidFill>
          </w14:textFill>
        </w:rPr>
        <w:t>人民币2.5万</w:t>
      </w:r>
      <w:r>
        <w:rPr>
          <w:rFonts w:hint="default" w:ascii="Times New Roman" w:hAnsi="Times New Roman" w:eastAsia="宋体" w:cs="Times New Roman"/>
          <w:b/>
          <w:snapToGrid w:val="0"/>
          <w:color w:val="000000" w:themeColor="text1"/>
          <w:spacing w:val="8"/>
          <w:sz w:val="21"/>
          <w:szCs w:val="21"/>
          <w:lang w:eastAsia="zh-CN"/>
          <w14:textFill>
            <w14:solidFill>
              <w14:schemeClr w14:val="tx1"/>
            </w14:solidFill>
          </w14:textFill>
        </w:rPr>
        <w:t>元。</w:t>
      </w:r>
    </w:p>
    <w:p>
      <w:pPr>
        <w:keepNext w:val="0"/>
        <w:keepLines w:val="0"/>
        <w:pageBreakBefore w:val="0"/>
        <w:tabs>
          <w:tab w:val="left" w:pos="709"/>
        </w:tabs>
        <w:kinsoku/>
        <w:wordWrap/>
        <w:overflowPunct/>
        <w:topLinePunct w:val="0"/>
        <w:bidi w:val="0"/>
        <w:spacing w:line="312" w:lineRule="auto"/>
        <w:ind w:firstLine="227"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b/>
          <w:snapToGrid w:val="0"/>
          <w:spacing w:val="8"/>
          <w:sz w:val="21"/>
          <w:szCs w:val="21"/>
          <w:lang w:eastAsia="zh-CN"/>
        </w:rPr>
        <w:t>六、</w:t>
      </w:r>
      <w:r>
        <w:rPr>
          <w:rFonts w:hint="default" w:ascii="Times New Roman" w:hAnsi="Times New Roman" w:eastAsia="宋体" w:cs="Times New Roman"/>
          <w:b/>
          <w:bCs/>
          <w:snapToGrid w:val="0"/>
          <w:spacing w:val="8"/>
          <w:sz w:val="21"/>
          <w:szCs w:val="21"/>
          <w:lang w:eastAsia="zh-CN"/>
        </w:rPr>
        <w:t>本公开比选采用参选文件满足要求，商务</w:t>
      </w:r>
      <w:r>
        <w:rPr>
          <w:rFonts w:hint="default" w:ascii="Times New Roman" w:hAnsi="Times New Roman" w:eastAsia="宋体" w:cs="Times New Roman"/>
          <w:b/>
          <w:bCs/>
          <w:snapToGrid w:val="0"/>
          <w:spacing w:val="8"/>
          <w:sz w:val="21"/>
          <w:szCs w:val="21"/>
          <w:lang w:val="en-US" w:eastAsia="zh-CN"/>
        </w:rPr>
        <w:t>未税总价</w:t>
      </w:r>
      <w:r>
        <w:rPr>
          <w:rFonts w:hint="default" w:ascii="Times New Roman" w:hAnsi="Times New Roman" w:eastAsia="宋体" w:cs="Times New Roman"/>
          <w:b/>
          <w:bCs/>
          <w:snapToGrid w:val="0"/>
          <w:spacing w:val="8"/>
          <w:sz w:val="21"/>
          <w:szCs w:val="21"/>
          <w:lang w:eastAsia="zh-CN"/>
        </w:rPr>
        <w:t>最低者中选的评标办法。</w:t>
      </w:r>
    </w:p>
    <w:p>
      <w:pPr>
        <w:keepNext w:val="0"/>
        <w:keepLines w:val="0"/>
        <w:pageBreakBefore w:val="0"/>
        <w:kinsoku/>
        <w:wordWrap/>
        <w:overflowPunct/>
        <w:topLinePunct w:val="0"/>
        <w:autoSpaceDE/>
        <w:autoSpaceDN/>
        <w:bidi w:val="0"/>
        <w:spacing w:line="312" w:lineRule="auto"/>
        <w:ind w:firstLine="211" w:firstLineChars="100"/>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七、联系方式</w:t>
      </w:r>
    </w:p>
    <w:p>
      <w:pPr>
        <w:pStyle w:val="6"/>
        <w:keepNext w:val="0"/>
        <w:keepLines w:val="0"/>
        <w:pageBreakBefore w:val="0"/>
        <w:kinsoku/>
        <w:wordWrap/>
        <w:overflowPunct/>
        <w:topLinePunct w:val="0"/>
        <w:bidi w:val="0"/>
        <w:snapToGrid w:val="0"/>
        <w:spacing w:line="312"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商务联系人：黄梅钦  电话：0596-6311073  邮箱：huangmq@fjpec.com.cn</w:t>
      </w:r>
    </w:p>
    <w:p>
      <w:pPr>
        <w:pStyle w:val="6"/>
        <w:keepNext w:val="0"/>
        <w:keepLines w:val="0"/>
        <w:pageBreakBefore w:val="0"/>
        <w:kinsoku/>
        <w:wordWrap/>
        <w:overflowPunct/>
        <w:topLinePunct w:val="0"/>
        <w:bidi w:val="0"/>
        <w:snapToGrid w:val="0"/>
        <w:spacing w:line="312"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纪检监察室电话：0596-6311774</w:t>
      </w:r>
    </w:p>
    <w:p>
      <w:pPr>
        <w:pStyle w:val="6"/>
        <w:keepNext w:val="0"/>
        <w:keepLines w:val="0"/>
        <w:pageBreakBefore w:val="0"/>
        <w:kinsoku/>
        <w:wordWrap/>
        <w:overflowPunct/>
        <w:topLinePunct w:val="0"/>
        <w:bidi w:val="0"/>
        <w:snapToGrid w:val="0"/>
        <w:spacing w:line="312" w:lineRule="auto"/>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bCs/>
          <w:sz w:val="21"/>
          <w:szCs w:val="21"/>
        </w:rPr>
        <w:t xml:space="preserve">联系地址：漳州市漳浦县杜浔镇杜昌路9号     </w:t>
      </w:r>
      <w:r>
        <w:rPr>
          <w:rFonts w:hint="default" w:ascii="Times New Roman" w:hAnsi="Times New Roman" w:eastAsia="宋体" w:cs="Times New Roman"/>
          <w:bCs/>
          <w:color w:val="000000" w:themeColor="text1"/>
          <w:sz w:val="21"/>
          <w:szCs w:val="21"/>
          <w14:textFill>
            <w14:solidFill>
              <w14:schemeClr w14:val="tx1"/>
            </w14:solidFill>
          </w14:textFill>
        </w:rPr>
        <w:t>邮    编：363216</w:t>
      </w:r>
    </w:p>
    <w:p>
      <w:pPr>
        <w:keepNext w:val="0"/>
        <w:keepLines w:val="0"/>
        <w:pageBreakBefore w:val="0"/>
        <w:tabs>
          <w:tab w:val="left" w:pos="1272"/>
        </w:tabs>
        <w:kinsoku/>
        <w:wordWrap/>
        <w:overflowPunct/>
        <w:topLinePunct w:val="0"/>
        <w:bidi w:val="0"/>
        <w:spacing w:line="312" w:lineRule="auto"/>
        <w:ind w:left="9"/>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福建福海创石油化工有限公司</w:t>
      </w:r>
    </w:p>
    <w:p>
      <w:pPr>
        <w:keepNext w:val="0"/>
        <w:keepLines w:val="0"/>
        <w:pageBreakBefore w:val="0"/>
        <w:kinsoku/>
        <w:wordWrap/>
        <w:overflowPunct/>
        <w:topLinePunct w:val="0"/>
        <w:bidi w:val="0"/>
        <w:spacing w:line="312" w:lineRule="auto"/>
        <w:ind w:firstLine="5460" w:firstLineChars="26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2023.0</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w:t>
      </w:r>
      <w:r>
        <w:rPr>
          <w:rFonts w:hint="eastAsia" w:ascii="Times New Roman" w:hAnsi="Times New Roman" w:cs="Times New Roman"/>
          <w:sz w:val="21"/>
          <w:szCs w:val="21"/>
          <w:lang w:val="en-US" w:eastAsia="zh-CN"/>
        </w:rPr>
        <w:t>18</w:t>
      </w:r>
    </w:p>
    <w:p>
      <w:pPr>
        <w:pStyle w:val="2"/>
        <w:tabs>
          <w:tab w:val="left" w:pos="1262"/>
        </w:tabs>
        <w:spacing w:line="324" w:lineRule="auto"/>
        <w:ind w:left="0" w:right="108"/>
        <w:jc w:val="center"/>
        <w:rPr>
          <w:lang w:eastAsia="zh-CN"/>
        </w:rPr>
        <w:sectPr>
          <w:footerReference r:id="rId4" w:type="default"/>
          <w:pgSz w:w="11910" w:h="16840"/>
          <w:pgMar w:top="1500" w:right="1020" w:bottom="740" w:left="860" w:header="0" w:footer="551" w:gutter="0"/>
          <w:pgNumType w:fmt="decimal"/>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spacing w:line="360" w:lineRule="auto"/>
        <w:ind w:left="536" w:leftChars="227" w:hanging="37" w:hangingChars="17"/>
        <w:jc w:val="both"/>
        <w:rPr>
          <w:rFonts w:hint="eastAsia" w:cs="宋体" w:asciiTheme="majorEastAsia" w:hAnsiTheme="majorEastAsia" w:eastAsiaTheme="majorEastAsia"/>
          <w:sz w:val="24"/>
          <w:szCs w:val="24"/>
          <w:lang w:val="en-US" w:eastAsia="zh-CN" w:bidi="ar-SA"/>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cs="宋体" w:asciiTheme="majorEastAsia" w:hAnsiTheme="majorEastAsia" w:eastAsiaTheme="majorEastAsia"/>
          <w:sz w:val="24"/>
          <w:szCs w:val="24"/>
          <w:lang w:val="en-US" w:eastAsia="zh-CN" w:bidi="ar-SA"/>
        </w:rPr>
        <w:t xml:space="preserve">热电厂输煤系统输送带采购项目 </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漳州市漳浦县古雷开发区腾龙路84号</w:t>
      </w:r>
    </w:p>
    <w:p>
      <w:pPr>
        <w:pStyle w:val="9"/>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pStyle w:val="9"/>
        <w:spacing w:line="360" w:lineRule="auto"/>
        <w:ind w:right="222" w:firstLine="480"/>
        <w:rPr>
          <w:rFonts w:hint="eastAsia" w:asciiTheme="majorEastAsia" w:hAnsiTheme="majorEastAsia" w:eastAsiaTheme="majorEastAsia"/>
          <w:spacing w:val="-10"/>
          <w:lang w:eastAsia="zh-CN"/>
        </w:rPr>
      </w:pPr>
      <w:r>
        <w:rPr>
          <w:rFonts w:hint="eastAsia" w:asciiTheme="majorEastAsia" w:hAnsiTheme="majorEastAsia" w:eastAsiaTheme="majorEastAsia"/>
          <w:sz w:val="24"/>
          <w:szCs w:val="24"/>
          <w:lang w:eastAsia="zh-CN"/>
        </w:rPr>
        <w:t xml:space="preserve">1. </w:t>
      </w:r>
      <w:r>
        <w:rPr>
          <w:rFonts w:hint="eastAsia" w:asciiTheme="majorEastAsia" w:hAnsiTheme="majorEastAsia" w:eastAsiaTheme="majorEastAsia"/>
          <w:spacing w:val="-10"/>
          <w:lang w:eastAsia="zh-CN"/>
        </w:rPr>
        <w:t>项目概况：</w:t>
      </w:r>
      <w:r>
        <w:rPr>
          <w:rFonts w:hint="eastAsia" w:cs="宋体" w:asciiTheme="majorEastAsia" w:hAnsiTheme="majorEastAsia" w:eastAsiaTheme="majorEastAsia"/>
          <w:sz w:val="24"/>
          <w:szCs w:val="24"/>
          <w:lang w:val="en-US" w:eastAsia="zh-CN" w:bidi="ar-SA"/>
        </w:rPr>
        <w:t>热电厂输煤系统输送带</w:t>
      </w:r>
      <w:r>
        <w:rPr>
          <w:rFonts w:hint="eastAsia" w:eastAsia="宋体" w:cs="宋体"/>
          <w:b w:val="0"/>
          <w:bCs w:val="0"/>
          <w:color w:val="000000" w:themeColor="text1"/>
          <w:kern w:val="2"/>
          <w:sz w:val="24"/>
          <w:szCs w:val="24"/>
          <w:highlight w:val="none"/>
          <w:u w:val="none"/>
          <w14:textFill>
            <w14:solidFill>
              <w14:schemeClr w14:val="tx1"/>
            </w14:solidFill>
          </w14:textFill>
        </w:rPr>
        <w:t>（含接头胶接材料、胶带修补机）</w:t>
      </w:r>
      <w:r>
        <w:rPr>
          <w:rFonts w:hint="eastAsia" w:cs="宋体" w:asciiTheme="majorEastAsia" w:hAnsiTheme="majorEastAsia" w:eastAsiaTheme="majorEastAsia"/>
          <w:sz w:val="24"/>
          <w:szCs w:val="24"/>
          <w:lang w:val="en-US" w:eastAsia="zh-CN" w:bidi="ar-SA"/>
        </w:rPr>
        <w:t>采购</w:t>
      </w:r>
    </w:p>
    <w:p>
      <w:pPr>
        <w:pStyle w:val="2"/>
        <w:keepNext w:val="0"/>
        <w:keepLines w:val="0"/>
        <w:pageBreakBefore w:val="0"/>
        <w:kinsoku/>
        <w:wordWrap/>
        <w:overflowPunct/>
        <w:topLinePunct w:val="0"/>
        <w:bidi w:val="0"/>
        <w:snapToGrid/>
        <w:spacing w:line="360" w:lineRule="auto"/>
        <w:ind w:left="772" w:leftChars="209" w:right="0" w:rightChars="0" w:hanging="312" w:hangingChars="141"/>
        <w:rPr>
          <w:b w:val="0"/>
          <w:bCs w:val="0"/>
          <w:highlight w:val="none"/>
          <w:lang w:eastAsia="zh-CN"/>
        </w:rPr>
      </w:pPr>
      <w:r>
        <w:rPr>
          <w:rFonts w:hint="eastAsia" w:asciiTheme="majorEastAsia" w:hAnsiTheme="majorEastAsia" w:eastAsiaTheme="majorEastAsia"/>
          <w:spacing w:val="-10"/>
          <w:sz w:val="24"/>
          <w:szCs w:val="24"/>
          <w:lang w:eastAsia="zh-CN"/>
        </w:rPr>
        <w:t>2. 项目范围及内容：</w:t>
      </w:r>
      <w:r>
        <w:rPr>
          <w:rFonts w:hint="eastAsia" w:ascii="宋体" w:hAnsi="宋体" w:eastAsia="宋体" w:cs="宋体"/>
          <w:b w:val="0"/>
          <w:bCs w:val="0"/>
          <w:color w:val="000000" w:themeColor="text1"/>
          <w:kern w:val="2"/>
          <w:sz w:val="24"/>
          <w:szCs w:val="24"/>
          <w:highlight w:val="none"/>
          <w:u w:val="none"/>
          <w:lang w:val="en-US" w:eastAsia="zh-CN" w:bidi="ar-SA"/>
          <w14:textFill>
            <w14:solidFill>
              <w14:schemeClr w14:val="tx1"/>
            </w14:solidFill>
          </w14:textFill>
        </w:rPr>
        <w:t>①需签署技术协议；②供货品牌要求:浙江双箭、上海富大、浙江三维、银河德普；如果有品质更优的产品，可不限于上述品牌，但须经需方认可。需方欢迎供方提供优于本技术条件书要求的先进、成熟、可靠的产品，但不接受带有试制性质的产品，如果采用带有试制性质的技术，必须征得需方的同意。③要求提供3年质保；④参选人应在参选文件中提供符合此次输送带类型的全厚度拉伸强度和伸长率、覆盖物物理性能（不包括老化性能）、层间粘合强度、直线度、安全性能试验报告。</w:t>
      </w:r>
    </w:p>
    <w:p>
      <w:pPr>
        <w:pStyle w:val="77"/>
        <w:adjustRightInd/>
        <w:snapToGrid/>
        <w:spacing w:beforeLines="0" w:afterLines="0" w:line="360" w:lineRule="auto"/>
        <w:ind w:left="758" w:leftChars="200" w:hanging="318" w:hangingChars="144"/>
        <w:jc w:val="both"/>
        <w:textAlignment w:val="auto"/>
        <w:rPr>
          <w:rFonts w:eastAsia="宋体" w:cs="宋体"/>
          <w:b w:val="0"/>
          <w:bCs w:val="0"/>
          <w:color w:val="000000" w:themeColor="text1"/>
          <w:kern w:val="2"/>
          <w:sz w:val="24"/>
          <w:szCs w:val="24"/>
          <w14:textFill>
            <w14:solidFill>
              <w14:schemeClr w14:val="tx1"/>
            </w14:solidFill>
          </w14:textFill>
        </w:rPr>
      </w:pPr>
      <w:r>
        <w:rPr>
          <w:rFonts w:hint="eastAsia" w:asciiTheme="majorEastAsia" w:hAnsiTheme="majorEastAsia" w:eastAsiaTheme="majorEastAsia"/>
          <w:spacing w:val="-10"/>
          <w:sz w:val="24"/>
          <w:szCs w:val="24"/>
          <w:lang w:eastAsia="zh-CN"/>
        </w:rPr>
        <w:t>3. 相关要求标准、规范及规定：</w:t>
      </w:r>
      <w:r>
        <w:rPr>
          <w:rFonts w:hint="eastAsia" w:eastAsia="宋体" w:cs="宋体"/>
          <w:b w:val="0"/>
          <w:bCs w:val="0"/>
          <w:color w:val="000000" w:themeColor="text1"/>
          <w:kern w:val="2"/>
          <w:sz w:val="24"/>
          <w:szCs w:val="24"/>
          <w14:textFill>
            <w14:solidFill>
              <w14:schemeClr w14:val="tx1"/>
            </w14:solidFill>
          </w14:textFill>
        </w:rPr>
        <w:t>执行国家相关标准、电力行业标准和有关国际标准。本规范书中未提及的内容均应满足或优于国家相关标准、电力行业标准和有关国际标准。有矛盾时，按较严格标准执行。</w:t>
      </w:r>
    </w:p>
    <w:p>
      <w:pPr>
        <w:pStyle w:val="9"/>
        <w:spacing w:line="360" w:lineRule="auto"/>
        <w:ind w:right="222" w:firstLine="480"/>
        <w:rPr>
          <w:rFonts w:asciiTheme="majorEastAsia" w:hAnsiTheme="majorEastAsia" w:eastAsiaTheme="majorEastAsia"/>
          <w:spacing w:val="-10"/>
          <w:lang w:eastAsia="zh-CN"/>
        </w:rPr>
      </w:pPr>
      <w:r>
        <w:rPr>
          <w:rFonts w:hint="eastAsia" w:asciiTheme="majorEastAsia" w:hAnsiTheme="majorEastAsia" w:eastAsiaTheme="majorEastAsia"/>
          <w:b/>
          <w:bCs/>
          <w:spacing w:val="-10"/>
          <w:lang w:eastAsia="zh-CN"/>
        </w:rPr>
        <w:t>(五)产品质量：</w:t>
      </w:r>
      <w:r>
        <w:rPr>
          <w:rFonts w:hint="eastAsia"/>
          <w:color w:val="000000" w:themeColor="text1"/>
          <w:sz w:val="24"/>
          <w14:textFill>
            <w14:solidFill>
              <w14:schemeClr w14:val="tx1"/>
            </w14:solidFill>
          </w14:textFill>
        </w:rPr>
        <w:t>输送带使用寿命保证在3年以上。若产品质量在3年内出现质量问题，应由投标方无偿提供相应输送带并赔偿招标方人工等生产费用。</w:t>
      </w:r>
      <w:r>
        <w:rPr>
          <w:rFonts w:hint="eastAsia" w:asciiTheme="majorEastAsia" w:hAnsiTheme="majorEastAsia" w:eastAsiaTheme="majorEastAsia"/>
          <w:spacing w:val="-10"/>
          <w:lang w:val="en-US" w:eastAsia="zh-CN"/>
        </w:rPr>
        <w:t>具体以双方签署技术协议要求为准。</w:t>
      </w:r>
    </w:p>
    <w:p>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9"/>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9"/>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2"/>
        <w:spacing w:line="360" w:lineRule="auto"/>
        <w:ind w:left="0" w:leftChars="0" w:firstLine="0" w:firstLineChars="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9"/>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2"/>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9"/>
        <w:spacing w:line="360" w:lineRule="auto"/>
        <w:ind w:left="319" w:right="226" w:hanging="319" w:hangingChars="133"/>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9"/>
        <w:spacing w:line="360" w:lineRule="auto"/>
        <w:ind w:left="319" w:right="222" w:hanging="319" w:hangingChars="133"/>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9"/>
        <w:spacing w:line="360" w:lineRule="auto"/>
        <w:ind w:left="319" w:hanging="319" w:hangingChars="133"/>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9"/>
        <w:spacing w:line="360" w:lineRule="auto"/>
        <w:ind w:left="319" w:hanging="319" w:hangingChars="133"/>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2"/>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keepNext w:val="0"/>
        <w:keepLines w:val="0"/>
        <w:pageBreakBefore w:val="0"/>
        <w:widowControl/>
        <w:kinsoku/>
        <w:wordWrap/>
        <w:overflowPunct/>
        <w:topLinePunct w:val="0"/>
        <w:autoSpaceDE/>
        <w:autoSpaceDN/>
        <w:bidi w:val="0"/>
        <w:spacing w:line="288" w:lineRule="auto"/>
        <w:ind w:left="308" w:leftChars="-18" w:hanging="348" w:hangingChars="145"/>
        <w:jc w:val="both"/>
        <w:rPr>
          <w:sz w:val="24"/>
          <w:szCs w:val="24"/>
          <w:lang w:eastAsia="zh-CN"/>
        </w:rPr>
      </w:pPr>
      <w:r>
        <w:rPr>
          <w:rFonts w:hint="eastAsia"/>
          <w:sz w:val="24"/>
          <w:szCs w:val="24"/>
          <w:lang w:eastAsia="zh-CN"/>
        </w:rPr>
        <w:t>1. 参选人必须具备有效的企业法人营业执照，具备独立法人资格且有能力按我司需求提供货物及服务。</w:t>
      </w:r>
    </w:p>
    <w:p>
      <w:pPr>
        <w:keepNext w:val="0"/>
        <w:keepLines w:val="0"/>
        <w:pageBreakBefore w:val="0"/>
        <w:widowControl/>
        <w:kinsoku/>
        <w:wordWrap/>
        <w:overflowPunct/>
        <w:topLinePunct w:val="0"/>
        <w:autoSpaceDE/>
        <w:autoSpaceDN/>
        <w:bidi w:val="0"/>
        <w:spacing w:line="288" w:lineRule="auto"/>
        <w:ind w:left="308" w:leftChars="-18" w:hanging="348" w:hangingChars="145"/>
        <w:jc w:val="both"/>
        <w:rPr>
          <w:rFonts w:hint="eastAsia" w:cs="宋体" w:asciiTheme="majorEastAsia" w:hAnsiTheme="majorEastAsia" w:eastAsiaTheme="majorEastAsia"/>
          <w:sz w:val="24"/>
          <w:szCs w:val="24"/>
          <w:lang w:val="en-US" w:eastAsia="zh-CN" w:bidi="ar-SA"/>
        </w:rPr>
      </w:pPr>
      <w:r>
        <w:rPr>
          <w:rFonts w:hint="eastAsia" w:asciiTheme="majorEastAsia" w:hAnsiTheme="majorEastAsia" w:eastAsiaTheme="majorEastAsia"/>
          <w:sz w:val="24"/>
          <w:szCs w:val="24"/>
          <w:lang w:eastAsia="zh-CN"/>
        </w:rPr>
        <w:t xml:space="preserve">2. </w:t>
      </w:r>
      <w:r>
        <w:rPr>
          <w:rFonts w:hint="default" w:ascii="Times New Roman" w:hAnsi="Times New Roman" w:eastAsia="宋体" w:cs="Times New Roman"/>
          <w:sz w:val="21"/>
          <w:szCs w:val="21"/>
          <w:lang w:val="en-US" w:eastAsia="zh-CN"/>
        </w:rPr>
        <w:t>参选人</w:t>
      </w:r>
      <w:r>
        <w:rPr>
          <w:rFonts w:hint="default" w:ascii="Times New Roman" w:hAnsi="Times New Roman" w:eastAsia="宋体" w:cs="Times New Roman"/>
          <w:sz w:val="21"/>
          <w:szCs w:val="21"/>
          <w:lang w:eastAsia="zh-CN"/>
        </w:rPr>
        <w:t>提供参与投标的产品在国内单机300MW及以上火力发电厂有良好的使用业绩，安全稳定运行三年以上（需提供用户使用证明和对应发票）。</w:t>
      </w:r>
    </w:p>
    <w:p>
      <w:pPr>
        <w:spacing w:line="360" w:lineRule="auto"/>
        <w:ind w:left="308" w:leftChars="-18" w:hanging="348" w:hangingChars="145"/>
        <w:rPr>
          <w:color w:val="000000" w:themeColor="text1"/>
          <w:sz w:val="24"/>
          <w:szCs w:val="24"/>
          <w:lang w:eastAsia="zh-CN"/>
          <w14:textFill>
            <w14:solidFill>
              <w14:schemeClr w14:val="tx1"/>
            </w14:solidFill>
          </w14:textFill>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w:t>
      </w:r>
      <w:r>
        <w:rPr>
          <w:color w:val="000000" w:themeColor="text1"/>
          <w:sz w:val="24"/>
          <w:szCs w:val="24"/>
          <w:lang w:eastAsia="zh-CN"/>
          <w14:textFill>
            <w14:solidFill>
              <w14:schemeClr w14:val="tx1"/>
            </w14:solidFill>
          </w14:textFill>
        </w:rPr>
        <w:t xml:space="preserve"> 参选人没有失信黑名单记录（以最高院失信被执行人系统发布信息为准）</w:t>
      </w:r>
      <w:r>
        <w:rPr>
          <w:rFonts w:hint="eastAsia"/>
          <w:color w:val="000000" w:themeColor="text1"/>
          <w:sz w:val="24"/>
          <w:szCs w:val="24"/>
          <w:lang w:eastAsia="zh-CN"/>
          <w14:textFill>
            <w14:solidFill>
              <w14:schemeClr w14:val="tx1"/>
            </w14:solidFill>
          </w14:textFill>
        </w:rPr>
        <w:t>。</w:t>
      </w:r>
    </w:p>
    <w:p>
      <w:pPr>
        <w:pStyle w:val="32"/>
        <w:spacing w:line="360" w:lineRule="auto"/>
        <w:ind w:left="308" w:leftChars="-18" w:hanging="348" w:hangingChars="145"/>
        <w:rPr>
          <w:sz w:val="24"/>
          <w:szCs w:val="24"/>
        </w:rPr>
      </w:pPr>
      <w:r>
        <w:rPr>
          <w:rFonts w:hint="eastAsia"/>
          <w:sz w:val="24"/>
          <w:szCs w:val="24"/>
          <w:lang w:val="en-US" w:eastAsia="zh-CN"/>
        </w:rPr>
        <w:t>4</w:t>
      </w:r>
      <w:r>
        <w:rPr>
          <w:rFonts w:hint="eastAsia"/>
          <w:sz w:val="24"/>
          <w:szCs w:val="24"/>
        </w:rPr>
        <w:t>.</w:t>
      </w:r>
      <w:r>
        <w:rPr>
          <w:color w:val="000000" w:themeColor="text1"/>
          <w:sz w:val="24"/>
          <w:szCs w:val="24"/>
          <w14:textFill>
            <w14:solidFill>
              <w14:schemeClr w14:val="tx1"/>
            </w14:solidFill>
          </w14:textFill>
        </w:rPr>
        <w:t xml:space="preserve"> 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p>
    <w:p>
      <w:pPr>
        <w:spacing w:line="360" w:lineRule="auto"/>
        <w:ind w:left="308" w:leftChars="-18" w:hanging="348" w:hangingChars="145"/>
        <w:rPr>
          <w:rFonts w:hint="eastAsia" w:cs="宋体" w:asciiTheme="majorEastAsia" w:hAnsiTheme="majorEastAsia" w:eastAsiaTheme="majorEastAsia"/>
          <w:sz w:val="24"/>
          <w:szCs w:val="24"/>
          <w:lang w:val="en-US" w:eastAsia="zh-CN" w:bidi="ar-SA"/>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.本招标项目</w:t>
      </w:r>
      <w:r>
        <w:rPr>
          <w:rFonts w:hint="eastAsia" w:asciiTheme="minorEastAsia" w:hAnsiTheme="minorEastAsia" w:eastAsiaTheme="minorEastAsia"/>
          <w:b/>
          <w:sz w:val="24"/>
          <w:szCs w:val="24"/>
          <w:lang w:eastAsia="zh-CN"/>
        </w:rPr>
        <w:t>不接受</w:t>
      </w:r>
      <w:r>
        <w:rPr>
          <w:rFonts w:hint="eastAsia" w:asciiTheme="minorEastAsia" w:hAnsiTheme="minorEastAsia" w:eastAsiaTheme="minorEastAsia"/>
          <w:sz w:val="24"/>
          <w:szCs w:val="24"/>
          <w:lang w:eastAsia="zh-CN"/>
        </w:rPr>
        <w:t>联合体投标。</w:t>
      </w:r>
    </w:p>
    <w:p>
      <w:pPr>
        <w:spacing w:before="15" w:line="360" w:lineRule="auto"/>
        <w:rPr>
          <w:b/>
          <w:w w:val="95"/>
          <w:sz w:val="28"/>
          <w:lang w:eastAsia="zh-CN"/>
        </w:rPr>
      </w:pPr>
      <w:r>
        <w:rPr>
          <w:b/>
          <w:w w:val="95"/>
          <w:sz w:val="28"/>
          <w:lang w:eastAsia="zh-CN"/>
        </w:rPr>
        <w:t>七、参选保证金</w:t>
      </w:r>
    </w:p>
    <w:p>
      <w:pPr>
        <w:pStyle w:val="2"/>
        <w:spacing w:after="156" w:afterLines="50" w:line="360" w:lineRule="auto"/>
        <w:ind w:left="518" w:leftChars="18" w:hanging="478" w:hangingChars="170"/>
        <w:rPr>
          <w:rFonts w:asciiTheme="majorEastAsia" w:hAnsiTheme="majorEastAsia" w:eastAsiaTheme="majorEastAsia"/>
          <w:sz w:val="24"/>
          <w:szCs w:val="24"/>
          <w:lang w:eastAsia="zh-CN"/>
        </w:rPr>
      </w:pPr>
      <w:r>
        <w:rPr>
          <w:rFonts w:hint="eastAsia"/>
          <w:lang w:eastAsia="zh-CN"/>
        </w:rPr>
        <w:t xml:space="preserve"> </w:t>
      </w:r>
      <w:r>
        <w:rPr>
          <w:rFonts w:hint="eastAsia" w:asciiTheme="majorEastAsia" w:hAnsiTheme="majorEastAsia" w:eastAsiaTheme="majorEastAsia"/>
          <w:b w:val="0"/>
          <w:bCs w:val="0"/>
          <w:sz w:val="24"/>
          <w:szCs w:val="24"/>
          <w:lang w:eastAsia="zh-CN"/>
        </w:rPr>
        <w:t>1. 参选单位应缴纳参选保证金，</w:t>
      </w:r>
      <w:r>
        <w:rPr>
          <w:rFonts w:hint="eastAsia" w:asciiTheme="majorEastAsia" w:hAnsiTheme="majorEastAsia" w:eastAsiaTheme="majorEastAsia"/>
          <w:sz w:val="24"/>
          <w:szCs w:val="24"/>
          <w:lang w:eastAsia="zh-CN"/>
        </w:rPr>
        <w:t>保证金金额</w:t>
      </w:r>
      <w:r>
        <w:rPr>
          <w:rFonts w:hint="eastAsia" w:asciiTheme="majorEastAsia" w:hAnsiTheme="majorEastAsia" w:eastAsiaTheme="majorEastAsia" w:cstheme="majorEastAsia"/>
          <w:sz w:val="24"/>
          <w:szCs w:val="24"/>
          <w:lang w:val="en-US" w:eastAsia="zh-CN"/>
        </w:rPr>
        <w:t>人民币</w:t>
      </w:r>
      <w:r>
        <w:rPr>
          <w:rFonts w:hint="eastAsia" w:asciiTheme="majorEastAsia" w:hAnsiTheme="majorEastAsia" w:eastAsiaTheme="majorEastAsia"/>
          <w:sz w:val="24"/>
          <w:szCs w:val="24"/>
          <w:lang w:val="en-US" w:eastAsia="zh-CN"/>
        </w:rPr>
        <w:t>2.5万</w:t>
      </w:r>
      <w:r>
        <w:rPr>
          <w:rFonts w:hint="eastAsia" w:asciiTheme="majorEastAsia" w:hAnsiTheme="majorEastAsia" w:eastAsiaTheme="majorEastAsia"/>
          <w:sz w:val="24"/>
          <w:szCs w:val="24"/>
          <w:lang w:eastAsia="zh-CN"/>
        </w:rPr>
        <w:t>元整</w:t>
      </w:r>
      <w:r>
        <w:rPr>
          <w:rFonts w:hint="eastAsia" w:asciiTheme="majorEastAsia" w:hAnsiTheme="majorEastAsia" w:eastAsiaTheme="majorEastAsia"/>
          <w:b w:val="0"/>
          <w:bCs w:val="0"/>
          <w:sz w:val="24"/>
          <w:szCs w:val="24"/>
          <w:lang w:eastAsia="zh-CN"/>
        </w:rPr>
        <w:t>，参选单位应按照要求从参选单位基本账户转入比选单位的账户，比选单位账户信息如下：</w:t>
      </w:r>
    </w:p>
    <w:p>
      <w:pPr>
        <w:pStyle w:val="9"/>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开户名称：</w:t>
      </w:r>
      <w:r>
        <w:rPr>
          <w:rFonts w:hint="eastAsia" w:asciiTheme="majorEastAsia" w:hAnsiTheme="majorEastAsia" w:eastAsiaTheme="majorEastAsia"/>
          <w:lang w:eastAsia="zh-CN"/>
        </w:rPr>
        <w:t>福建福海创石油化工有限公司</w:t>
      </w:r>
    </w:p>
    <w:p>
      <w:pPr>
        <w:pStyle w:val="9"/>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开户银行：</w:t>
      </w:r>
      <w:r>
        <w:rPr>
          <w:rFonts w:hint="eastAsia" w:asciiTheme="majorEastAsia" w:hAnsiTheme="majorEastAsia" w:eastAsiaTheme="majorEastAsia"/>
          <w:lang w:eastAsia="zh-CN"/>
        </w:rPr>
        <w:t>中国银行股份有限公司漳州古雷经济开发区支行</w:t>
      </w:r>
    </w:p>
    <w:p>
      <w:pPr>
        <w:pStyle w:val="9"/>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帐  号：</w:t>
      </w:r>
      <w:r>
        <w:rPr>
          <w:rFonts w:hint="eastAsia" w:asciiTheme="majorEastAsia" w:hAnsiTheme="majorEastAsia" w:eastAsiaTheme="majorEastAsia"/>
          <w:lang w:eastAsia="zh-CN"/>
        </w:rPr>
        <w:t>406574816628</w:t>
      </w:r>
    </w:p>
    <w:p>
      <w:pPr>
        <w:widowControl/>
        <w:spacing w:line="360" w:lineRule="auto"/>
        <w:ind w:right="-1164" w:rightChars="-529" w:firstLine="442" w:firstLineChars="200"/>
        <w:jc w:val="both"/>
        <w:rPr>
          <w:rFonts w:hint="eastAsia" w:cs="宋体" w:asciiTheme="majorEastAsia" w:hAnsiTheme="majorEastAsia" w:eastAsiaTheme="majorEastAsia"/>
          <w:sz w:val="24"/>
          <w:szCs w:val="24"/>
          <w:u w:val="single"/>
          <w:lang w:val="en-US" w:eastAsia="zh-CN" w:bidi="ar-SA"/>
        </w:rPr>
      </w:pPr>
      <w:r>
        <w:rPr>
          <w:rFonts w:hint="eastAsia" w:asciiTheme="majorEastAsia" w:hAnsiTheme="majorEastAsia" w:eastAsiaTheme="majorEastAsia"/>
          <w:b/>
          <w:bCs/>
          <w:lang w:eastAsia="zh-CN"/>
        </w:rPr>
        <w:t>注明用途</w:t>
      </w:r>
      <w:r>
        <w:rPr>
          <w:rFonts w:hint="eastAsia"/>
          <w:color w:val="000000"/>
          <w:lang w:eastAsia="zh-CN"/>
        </w:rPr>
        <w:t>：</w:t>
      </w:r>
      <w:r>
        <w:rPr>
          <w:rFonts w:hint="eastAsia" w:cs="宋体" w:asciiTheme="majorEastAsia" w:hAnsiTheme="majorEastAsia" w:eastAsiaTheme="majorEastAsia"/>
          <w:sz w:val="24"/>
          <w:szCs w:val="24"/>
          <w:u w:val="single"/>
          <w:lang w:val="en-US" w:eastAsia="zh-CN" w:bidi="ar-SA"/>
        </w:rPr>
        <w:t>热电厂输煤系统输送带采购项目参选保证金</w:t>
      </w:r>
    </w:p>
    <w:p>
      <w:pPr>
        <w:pStyle w:val="9"/>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参选保证金有效期：90日历天。</w:t>
      </w:r>
    </w:p>
    <w:p>
      <w:pPr>
        <w:pStyle w:val="9"/>
        <w:spacing w:line="360" w:lineRule="auto"/>
        <w:ind w:left="928" w:leftChars="18" w:right="121" w:hanging="888" w:hangingChars="3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9"/>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2.对于未能按要求提交保证金的参选文件，比选单位可以视为不符合上面比选要求而予以拒绝；</w:t>
      </w:r>
    </w:p>
    <w:p>
      <w:pPr>
        <w:pStyle w:val="9"/>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比选结束退还未中选者的比选保证金（无息），最迟不超过规定的比选有效期满后的20天；</w:t>
      </w:r>
    </w:p>
    <w:p>
      <w:pPr>
        <w:pStyle w:val="9"/>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如有下列情况发生，将被没收参选保证金：</w:t>
      </w:r>
    </w:p>
    <w:p>
      <w:pPr>
        <w:pStyle w:val="9"/>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（1）参选单位在参选有效期内撤回参选文件；</w:t>
      </w:r>
    </w:p>
    <w:p>
      <w:pPr>
        <w:pStyle w:val="9"/>
        <w:spacing w:line="360" w:lineRule="auto"/>
        <w:ind w:left="448" w:leftChars="18" w:right="121" w:hanging="408" w:hangingChars="170"/>
        <w:jc w:val="both"/>
        <w:rPr>
          <w:b/>
          <w:u w:val="single"/>
          <w:lang w:eastAsia="zh-CN"/>
        </w:rPr>
      </w:pPr>
      <w:r>
        <w:rPr>
          <w:rFonts w:hint="eastAsia" w:asciiTheme="majorEastAsia" w:hAnsiTheme="majorEastAsia" w:eastAsiaTheme="majorEastAsia"/>
          <w:lang w:eastAsia="zh-CN"/>
        </w:rPr>
        <w:t>（2）参选单位未能按接到中标通知书后规定的时间内签定合同。</w:t>
      </w:r>
    </w:p>
    <w:p>
      <w:pPr>
        <w:pStyle w:val="2"/>
        <w:spacing w:line="360" w:lineRule="auto"/>
        <w:ind w:left="0"/>
        <w:rPr>
          <w:rFonts w:asciiTheme="majorEastAsia" w:hAnsiTheme="majorEastAsia" w:eastAsiaTheme="majorEastAsia"/>
          <w:lang w:eastAsia="zh-CN"/>
        </w:rPr>
      </w:pPr>
      <w:r>
        <w:rPr>
          <w:rFonts w:asciiTheme="majorEastAsia" w:hAnsiTheme="majorEastAsia" w:eastAsiaTheme="majorEastAsia"/>
          <w:w w:val="95"/>
          <w:lang w:eastAsia="zh-CN"/>
        </w:rPr>
        <w:t>八、参选文件的递交</w:t>
      </w:r>
    </w:p>
    <w:p>
      <w:pPr>
        <w:pStyle w:val="3"/>
        <w:tabs>
          <w:tab w:val="left" w:pos="6879"/>
        </w:tabs>
        <w:spacing w:line="360" w:lineRule="auto"/>
        <w:ind w:left="0" w:right="106"/>
        <w:rPr>
          <w:rFonts w:asciiTheme="majorEastAsia" w:hAnsiTheme="majorEastAsia" w:eastAsiaTheme="majorEastAsia"/>
          <w:b w:val="0"/>
          <w:bCs w:val="0"/>
          <w:lang w:eastAsia="zh-CN"/>
        </w:rPr>
      </w:pPr>
      <w:r>
        <w:rPr>
          <w:rFonts w:asciiTheme="majorEastAsia" w:hAnsiTheme="majorEastAsia" w:eastAsiaTheme="majorEastAsia"/>
          <w:b w:val="0"/>
          <w:bCs w:val="0"/>
          <w:lang w:eastAsia="zh-CN"/>
        </w:rPr>
        <w:t>1.参选文件递交的截止时间：</w:t>
      </w:r>
      <w:r>
        <w:rPr>
          <w:rFonts w:hint="eastAsia" w:asciiTheme="majorEastAsia" w:hAnsiTheme="majorEastAsia" w:eastAsiaTheme="majorEastAsia"/>
          <w:b w:val="0"/>
          <w:bCs w:val="0"/>
          <w:lang w:eastAsia="zh-CN"/>
        </w:rPr>
        <w:t>见比选公告</w:t>
      </w:r>
    </w:p>
    <w:p>
      <w:pPr>
        <w:pStyle w:val="3"/>
        <w:tabs>
          <w:tab w:val="left" w:pos="6879"/>
        </w:tabs>
        <w:spacing w:line="360" w:lineRule="auto"/>
        <w:ind w:left="0" w:right="106"/>
        <w:rPr>
          <w:rFonts w:asciiTheme="majorEastAsia" w:hAnsiTheme="majorEastAsia" w:eastAsiaTheme="majorEastAsia"/>
          <w:b w:val="0"/>
          <w:bCs w:val="0"/>
          <w:spacing w:val="-57"/>
          <w:lang w:eastAsia="zh-CN"/>
        </w:rPr>
      </w:pPr>
      <w:r>
        <w:rPr>
          <w:rFonts w:asciiTheme="majorEastAsia" w:hAnsiTheme="majorEastAsia" w:eastAsiaTheme="majorEastAsia"/>
          <w:b w:val="0"/>
          <w:bCs w:val="0"/>
          <w:lang w:eastAsia="zh-CN"/>
        </w:rPr>
        <w:t>2.</w:t>
      </w:r>
      <w:r>
        <w:rPr>
          <w:rFonts w:asciiTheme="majorEastAsia" w:hAnsiTheme="majorEastAsia" w:eastAsiaTheme="majorEastAsia"/>
          <w:b w:val="0"/>
          <w:bCs w:val="0"/>
          <w:spacing w:val="4"/>
          <w:lang w:eastAsia="zh-CN"/>
        </w:rPr>
        <w:t>递交</w:t>
      </w:r>
      <w:r>
        <w:rPr>
          <w:rFonts w:asciiTheme="majorEastAsia" w:hAnsiTheme="majorEastAsia" w:eastAsiaTheme="majorEastAsia"/>
          <w:b w:val="0"/>
          <w:bCs w:val="0"/>
          <w:lang w:eastAsia="zh-CN"/>
        </w:rPr>
        <w:t>参</w:t>
      </w:r>
      <w:r>
        <w:rPr>
          <w:rFonts w:asciiTheme="majorEastAsia" w:hAnsiTheme="majorEastAsia" w:eastAsiaTheme="majorEastAsia"/>
          <w:b w:val="0"/>
          <w:bCs w:val="0"/>
          <w:spacing w:val="4"/>
          <w:lang w:eastAsia="zh-CN"/>
        </w:rPr>
        <w:t>选文件的地</w:t>
      </w:r>
      <w:r>
        <w:rPr>
          <w:rFonts w:asciiTheme="majorEastAsia" w:hAnsiTheme="majorEastAsia" w:eastAsiaTheme="majorEastAsia"/>
          <w:b w:val="0"/>
          <w:bCs w:val="0"/>
          <w:lang w:eastAsia="zh-CN"/>
        </w:rPr>
        <w:t>点</w:t>
      </w:r>
      <w:r>
        <w:rPr>
          <w:rFonts w:asciiTheme="majorEastAsia" w:hAnsiTheme="majorEastAsia" w:eastAsiaTheme="majorEastAsia"/>
          <w:b w:val="0"/>
          <w:bCs w:val="0"/>
          <w:spacing w:val="4"/>
          <w:lang w:eastAsia="zh-CN"/>
        </w:rPr>
        <w:t>为：</w:t>
      </w:r>
      <w:r>
        <w:rPr>
          <w:rFonts w:hint="eastAsia" w:asciiTheme="majorEastAsia" w:hAnsiTheme="majorEastAsia" w:eastAsiaTheme="majorEastAsia"/>
          <w:b w:val="0"/>
          <w:bCs w:val="0"/>
          <w:spacing w:val="4"/>
          <w:lang w:eastAsia="zh-CN"/>
        </w:rPr>
        <w:t>漳州市漳浦县杜浔镇杜昌路9号</w:t>
      </w:r>
    </w:p>
    <w:p>
      <w:pPr>
        <w:pStyle w:val="3"/>
        <w:tabs>
          <w:tab w:val="left" w:pos="6879"/>
        </w:tabs>
        <w:spacing w:line="360" w:lineRule="auto"/>
        <w:ind w:left="0" w:right="106" w:firstLine="480" w:firstLineChars="200"/>
        <w:rPr>
          <w:rFonts w:asciiTheme="majorEastAsia" w:hAnsiTheme="majorEastAsia" w:eastAsiaTheme="majorEastAsia"/>
          <w:b w:val="0"/>
          <w:bCs w:val="0"/>
          <w:spacing w:val="-4"/>
          <w:lang w:eastAsia="zh-CN"/>
        </w:rPr>
      </w:pPr>
      <w:r>
        <w:rPr>
          <w:rFonts w:hint="eastAsia" w:asciiTheme="majorEastAsia" w:hAnsiTheme="majorEastAsia" w:eastAsiaTheme="majorEastAsia"/>
          <w:b w:val="0"/>
          <w:bCs w:val="0"/>
          <w:lang w:eastAsia="zh-CN"/>
        </w:rPr>
        <w:t>商务</w:t>
      </w:r>
      <w:r>
        <w:rPr>
          <w:rFonts w:asciiTheme="majorEastAsia" w:hAnsiTheme="majorEastAsia" w:eastAsiaTheme="majorEastAsia"/>
          <w:b w:val="0"/>
          <w:bCs w:val="0"/>
          <w:lang w:eastAsia="zh-CN"/>
        </w:rPr>
        <w:t>联系人</w:t>
      </w:r>
      <w:r>
        <w:rPr>
          <w:rFonts w:asciiTheme="majorEastAsia" w:hAnsiTheme="majorEastAsia" w:eastAsiaTheme="majorEastAsia"/>
          <w:b w:val="0"/>
          <w:bCs w:val="0"/>
          <w:spacing w:val="-56"/>
          <w:lang w:eastAsia="zh-CN"/>
        </w:rPr>
        <w:t>：</w:t>
      </w:r>
      <w:r>
        <w:rPr>
          <w:rFonts w:hint="eastAsia" w:asciiTheme="majorEastAsia" w:hAnsiTheme="majorEastAsia" w:eastAsiaTheme="majorEastAsia"/>
          <w:b w:val="0"/>
          <w:bCs w:val="0"/>
          <w:spacing w:val="-4"/>
          <w:lang w:val="en-US" w:eastAsia="zh-CN"/>
        </w:rPr>
        <w:t xml:space="preserve">黄梅钦 </w:t>
      </w:r>
      <w:r>
        <w:rPr>
          <w:rFonts w:hint="eastAsia" w:asciiTheme="majorEastAsia" w:hAnsiTheme="majorEastAsia" w:eastAsiaTheme="majorEastAsia"/>
          <w:b w:val="0"/>
          <w:bCs w:val="0"/>
          <w:lang w:eastAsia="zh-CN"/>
        </w:rPr>
        <w:t xml:space="preserve">  </w:t>
      </w:r>
      <w:r>
        <w:rPr>
          <w:rFonts w:asciiTheme="majorEastAsia" w:hAnsiTheme="majorEastAsia" w:eastAsiaTheme="majorEastAsia"/>
          <w:b w:val="0"/>
          <w:bCs w:val="0"/>
          <w:spacing w:val="-6"/>
          <w:lang w:eastAsia="zh-CN"/>
        </w:rPr>
        <w:t xml:space="preserve"> </w:t>
      </w:r>
      <w:r>
        <w:rPr>
          <w:rFonts w:asciiTheme="majorEastAsia" w:hAnsiTheme="majorEastAsia" w:eastAsiaTheme="majorEastAsia"/>
          <w:b w:val="0"/>
          <w:bCs w:val="0"/>
          <w:lang w:eastAsia="zh-CN"/>
        </w:rPr>
        <w:t>电话</w:t>
      </w:r>
      <w:r>
        <w:rPr>
          <w:rFonts w:asciiTheme="majorEastAsia" w:hAnsiTheme="majorEastAsia" w:eastAsiaTheme="majorEastAsia"/>
          <w:b w:val="0"/>
          <w:bCs w:val="0"/>
          <w:spacing w:val="-4"/>
          <w:lang w:eastAsia="zh-CN"/>
        </w:rPr>
        <w:t>：</w:t>
      </w:r>
      <w:r>
        <w:rPr>
          <w:rFonts w:hint="eastAsia" w:asciiTheme="majorEastAsia" w:hAnsiTheme="majorEastAsia" w:eastAsiaTheme="majorEastAsia"/>
          <w:b w:val="0"/>
          <w:bCs w:val="0"/>
          <w:spacing w:val="-4"/>
          <w:lang w:eastAsia="zh-CN"/>
        </w:rPr>
        <w:t>0596-6311073</w:t>
      </w:r>
    </w:p>
    <w:p>
      <w:pPr>
        <w:pStyle w:val="3"/>
        <w:tabs>
          <w:tab w:val="left" w:pos="6879"/>
        </w:tabs>
        <w:spacing w:line="360" w:lineRule="auto"/>
        <w:ind w:left="0" w:right="106" w:firstLine="464" w:firstLineChars="200"/>
        <w:rPr>
          <w:rFonts w:hint="eastAsia" w:asciiTheme="majorEastAsia" w:hAnsiTheme="majorEastAsia" w:eastAsiaTheme="majorEastAsia"/>
          <w:b w:val="0"/>
          <w:bCs w:val="0"/>
          <w:spacing w:val="-4"/>
          <w:lang w:eastAsia="zh-CN"/>
        </w:rPr>
      </w:pPr>
      <w:r>
        <w:rPr>
          <w:rFonts w:hint="eastAsia" w:asciiTheme="majorEastAsia" w:hAnsiTheme="majorEastAsia" w:eastAsiaTheme="majorEastAsia"/>
          <w:b w:val="0"/>
          <w:bCs w:val="0"/>
          <w:spacing w:val="-4"/>
          <w:lang w:eastAsia="zh-CN"/>
        </w:rPr>
        <w:t>技术联系人：</w:t>
      </w:r>
      <w:r>
        <w:rPr>
          <w:rFonts w:hint="eastAsia" w:asciiTheme="majorEastAsia" w:hAnsiTheme="majorEastAsia" w:eastAsiaTheme="majorEastAsia"/>
          <w:b w:val="0"/>
          <w:bCs w:val="0"/>
          <w:spacing w:val="-4"/>
          <w:lang w:val="en-US" w:eastAsia="zh-CN"/>
        </w:rPr>
        <w:t>沈德兴</w:t>
      </w:r>
      <w:r>
        <w:rPr>
          <w:rFonts w:hint="eastAsia" w:asciiTheme="majorEastAsia" w:hAnsiTheme="majorEastAsia" w:eastAsiaTheme="majorEastAsia"/>
          <w:b w:val="0"/>
          <w:bCs w:val="0"/>
          <w:spacing w:val="-4"/>
          <w:lang w:eastAsia="zh-CN"/>
        </w:rPr>
        <w:t xml:space="preserve">    电话：13695973353</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9"/>
        <w:spacing w:line="360" w:lineRule="auto"/>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9"/>
        <w:spacing w:line="360" w:lineRule="auto"/>
        <w:ind w:right="106"/>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2"/>
        <w:spacing w:line="360" w:lineRule="auto"/>
        <w:ind w:left="0"/>
        <w:rPr>
          <w:rFonts w:asciiTheme="majorEastAsia" w:hAnsiTheme="majorEastAsia" w:eastAsiaTheme="majorEastAsia"/>
          <w:lang w:eastAsia="zh-CN"/>
        </w:rPr>
      </w:pPr>
      <w:r>
        <w:rPr>
          <w:rFonts w:hint="eastAsia" w:asciiTheme="majorEastAsia" w:hAnsiTheme="majorEastAsia" w:eastAsiaTheme="majorEastAsia"/>
          <w:w w:val="95"/>
          <w:lang w:eastAsia="zh-CN"/>
        </w:rPr>
        <w:t>九</w:t>
      </w:r>
      <w:r>
        <w:rPr>
          <w:rFonts w:asciiTheme="majorEastAsia" w:hAnsiTheme="majorEastAsia" w:eastAsiaTheme="majorEastAsia"/>
          <w:w w:val="95"/>
          <w:lang w:eastAsia="zh-CN"/>
        </w:rPr>
        <w:t>、</w:t>
      </w:r>
      <w:r>
        <w:rPr>
          <w:rFonts w:hint="eastAsia" w:asciiTheme="majorEastAsia" w:hAnsiTheme="majorEastAsia" w:eastAsiaTheme="majorEastAsia"/>
          <w:w w:val="95"/>
          <w:lang w:eastAsia="zh-CN"/>
        </w:rPr>
        <w:t>异议</w:t>
      </w:r>
    </w:p>
    <w:p>
      <w:pPr>
        <w:pStyle w:val="12"/>
        <w:tabs>
          <w:tab w:val="left" w:pos="0"/>
          <w:tab w:val="left" w:pos="567"/>
          <w:tab w:val="left" w:pos="993"/>
          <w:tab w:val="left" w:pos="1135"/>
        </w:tabs>
        <w:spacing w:line="360" w:lineRule="auto"/>
        <w:ind w:firstLine="480" w:firstLineChars="200"/>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2"/>
        <w:tabs>
          <w:tab w:val="left" w:pos="0"/>
          <w:tab w:val="left" w:pos="567"/>
          <w:tab w:val="left" w:pos="993"/>
          <w:tab w:val="left" w:pos="1135"/>
        </w:tabs>
        <w:spacing w:line="360" w:lineRule="auto"/>
        <w:ind w:firstLine="480" w:firstLineChars="200"/>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2"/>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2"/>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2"/>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2"/>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2" w:firstLineChars="200"/>
        <w:rPr>
          <w:rFonts w:asciiTheme="majorEastAsia" w:hAnsiTheme="majorEastAsia" w:eastAsiaTheme="majorEastAsia"/>
          <w:sz w:val="24"/>
          <w:szCs w:val="24"/>
          <w:lang w:eastAsia="zh-CN"/>
        </w:rPr>
      </w:pPr>
      <w:r>
        <w:rPr>
          <w:rFonts w:hint="eastAsia" w:asciiTheme="majorEastAsia" w:hAnsiTheme="majorEastAsia" w:eastAsiaTheme="majorEastAsia"/>
          <w:b/>
          <w:bCs w:val="0"/>
          <w:sz w:val="24"/>
          <w:szCs w:val="24"/>
          <w:lang w:eastAsia="zh-CN"/>
        </w:rPr>
        <w:t>1、本项目最高限价为人民币</w:t>
      </w:r>
      <w:r>
        <w:rPr>
          <w:rFonts w:hint="eastAsia" w:asciiTheme="majorEastAsia" w:hAnsiTheme="majorEastAsia" w:eastAsiaTheme="majorEastAsia"/>
          <w:b/>
          <w:bCs w:val="0"/>
          <w:sz w:val="24"/>
          <w:szCs w:val="24"/>
          <w:lang w:val="en-US" w:eastAsia="zh-CN"/>
        </w:rPr>
        <w:t>112万</w:t>
      </w:r>
      <w:r>
        <w:rPr>
          <w:rFonts w:hint="eastAsia" w:asciiTheme="majorEastAsia" w:hAnsiTheme="majorEastAsia" w:eastAsiaTheme="majorEastAsia"/>
          <w:b/>
          <w:bCs w:val="0"/>
          <w:sz w:val="24"/>
          <w:szCs w:val="24"/>
          <w:lang w:eastAsia="zh-CN"/>
        </w:rPr>
        <w:t>元</w:t>
      </w:r>
      <w:r>
        <w:rPr>
          <w:rFonts w:hint="eastAsia" w:asciiTheme="majorEastAsia" w:hAnsiTheme="majorEastAsia" w:eastAsiaTheme="majorEastAsia"/>
          <w:b/>
          <w:bCs w:val="0"/>
          <w:sz w:val="24"/>
          <w:szCs w:val="24"/>
          <w:lang w:val="en-US" w:eastAsia="zh-CN"/>
        </w:rPr>
        <w:t>（不含税价）</w:t>
      </w:r>
      <w:r>
        <w:rPr>
          <w:rFonts w:hint="eastAsia" w:asciiTheme="majorEastAsia" w:hAnsiTheme="majorEastAsia" w:eastAsiaTheme="majorEastAsia"/>
          <w:b/>
          <w:bCs w:val="0"/>
          <w:sz w:val="24"/>
          <w:szCs w:val="24"/>
          <w:lang w:eastAsia="zh-CN"/>
        </w:rPr>
        <w:t>。</w:t>
      </w:r>
      <w:r>
        <w:rPr>
          <w:rFonts w:hint="eastAsia" w:asciiTheme="majorEastAsia" w:hAnsiTheme="majorEastAsia" w:eastAsiaTheme="majorEastAsia"/>
          <w:bCs/>
          <w:sz w:val="24"/>
          <w:szCs w:val="24"/>
          <w:lang w:eastAsia="zh-CN"/>
        </w:rPr>
        <w:t>参选人所填报的参选含税总价高于本项目最高限价的，其参选将被评标委员会予以否决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3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2"/>
        <w:keepNext w:val="0"/>
        <w:keepLines w:val="0"/>
        <w:pageBreakBefore w:val="0"/>
        <w:widowControl w:val="0"/>
        <w:tabs>
          <w:tab w:val="left" w:pos="4627"/>
        </w:tabs>
        <w:kinsoku/>
        <w:wordWrap/>
        <w:overflowPunct/>
        <w:topLinePunct w:val="0"/>
        <w:autoSpaceDE w:val="0"/>
        <w:autoSpaceDN w:val="0"/>
        <w:bidi w:val="0"/>
        <w:adjustRightInd/>
        <w:snapToGrid/>
        <w:spacing w:before="157" w:beforeLines="50" w:line="360" w:lineRule="auto"/>
        <w:ind w:left="0" w:leftChars="0" w:right="0" w:rightChars="0" w:firstLine="0" w:firstLineChars="0"/>
        <w:jc w:val="center"/>
        <w:textAlignment w:val="auto"/>
        <w:outlineLvl w:val="0"/>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9"/>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4"/>
        <w:numPr>
          <w:ilvl w:val="0"/>
          <w:numId w:val="3"/>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9"/>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9"/>
        <w:spacing w:line="360" w:lineRule="auto"/>
        <w:rPr>
          <w:lang w:eastAsia="zh-CN"/>
        </w:rPr>
      </w:pPr>
      <w:r>
        <w:rPr>
          <w:rFonts w:hint="eastAsia"/>
          <w:b/>
          <w:lang w:eastAsia="zh-CN"/>
        </w:rPr>
        <w:t>注：需提供参选文件及报价表电子版U盘一份（盖章PDF版），报价表须独立盖章密封</w:t>
      </w:r>
    </w:p>
    <w:p>
      <w:pPr>
        <w:pStyle w:val="2"/>
        <w:spacing w:line="360" w:lineRule="auto"/>
        <w:ind w:left="0" w:leftChars="0" w:firstLine="0" w:firstLineChars="0"/>
        <w:rPr>
          <w:sz w:val="24"/>
          <w:szCs w:val="24"/>
          <w:lang w:eastAsia="zh-CN"/>
        </w:rPr>
      </w:pPr>
      <w:r>
        <w:rPr>
          <w:w w:val="95"/>
          <w:sz w:val="24"/>
          <w:szCs w:val="24"/>
          <w:lang w:eastAsia="zh-CN"/>
        </w:rPr>
        <w:t>二、参选书格式内容</w:t>
      </w:r>
    </w:p>
    <w:p>
      <w:pPr>
        <w:pStyle w:val="9"/>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9"/>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2"/>
        <w:spacing w:line="360" w:lineRule="auto"/>
        <w:ind w:left="0" w:leftChars="0" w:firstLine="0" w:firstLineChars="0"/>
        <w:rPr>
          <w:sz w:val="24"/>
          <w:szCs w:val="24"/>
          <w:lang w:eastAsia="zh-CN"/>
        </w:rPr>
      </w:pPr>
      <w:r>
        <w:rPr>
          <w:w w:val="95"/>
          <w:sz w:val="24"/>
          <w:szCs w:val="24"/>
          <w:lang w:eastAsia="zh-CN"/>
        </w:rPr>
        <w:t>三、参选报价</w:t>
      </w:r>
    </w:p>
    <w:p>
      <w:pPr>
        <w:pStyle w:val="9"/>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2"/>
        <w:spacing w:line="360" w:lineRule="auto"/>
        <w:ind w:left="0" w:leftChars="0" w:firstLine="0" w:firstLineChars="0"/>
        <w:rPr>
          <w:sz w:val="24"/>
          <w:szCs w:val="24"/>
          <w:lang w:eastAsia="zh-CN"/>
        </w:rPr>
      </w:pPr>
      <w:r>
        <w:rPr>
          <w:w w:val="95"/>
          <w:sz w:val="24"/>
          <w:szCs w:val="24"/>
          <w:lang w:eastAsia="zh-CN"/>
        </w:rPr>
        <w:t>四、特别说明</w:t>
      </w:r>
    </w:p>
    <w:p>
      <w:pPr>
        <w:pStyle w:val="9"/>
        <w:spacing w:line="360" w:lineRule="auto"/>
        <w:ind w:right="222"/>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9"/>
        <w:spacing w:line="360" w:lineRule="auto"/>
        <w:ind w:right="224"/>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9"/>
        <w:spacing w:line="360" w:lineRule="auto"/>
        <w:ind w:right="226"/>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0"/>
        <w:spacing w:after="0" w:line="360" w:lineRule="auto"/>
        <w:ind w:left="222" w:leftChars="0" w:hanging="222" w:hangingChars="100"/>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9"/>
        <w:spacing w:line="360" w:lineRule="auto"/>
        <w:ind w:left="240" w:right="226" w:hanging="240" w:hangingChars="1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9"/>
        <w:spacing w:line="360" w:lineRule="auto"/>
        <w:ind w:left="240" w:right="227" w:hanging="240" w:hangingChars="100"/>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90619"/>
      <w:bookmarkStart w:id="2" w:name="_Toc304357904"/>
      <w:bookmarkStart w:id="3" w:name="_Toc430489126"/>
      <w:bookmarkStart w:id="4" w:name="_Toc430488858"/>
      <w:bookmarkStart w:id="5" w:name="_Toc177186249"/>
      <w:bookmarkStart w:id="6" w:name="_Toc430492133"/>
      <w:bookmarkStart w:id="7" w:name="_Toc415567504"/>
      <w:bookmarkStart w:id="8" w:name="_Toc430488651"/>
    </w:p>
    <w:p>
      <w:pPr>
        <w:pStyle w:val="9"/>
        <w:spacing w:line="360" w:lineRule="auto"/>
        <w:ind w:right="227"/>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价格</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9"/>
        <w:spacing w:line="360" w:lineRule="auto"/>
        <w:ind w:right="226" w:firstLine="480"/>
        <w:jc w:val="both"/>
        <w:rPr>
          <w:highlight w:val="yellow"/>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9"/>
        <w:spacing w:line="360" w:lineRule="auto"/>
        <w:ind w:left="240" w:right="226" w:hanging="240" w:hangingChars="10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rPr>
          <w:sz w:val="24"/>
          <w:szCs w:val="24"/>
          <w:lang w:eastAsia="zh-CN"/>
        </w:rPr>
      </w:pPr>
      <w:r>
        <w:rPr>
          <w:rFonts w:hint="eastAsia"/>
          <w:sz w:val="24"/>
          <w:szCs w:val="24"/>
          <w:lang w:eastAsia="zh-CN"/>
        </w:rPr>
        <w:t>9. 参选文件正本应按要求由经正式授权的参选人代表签字并加盖参选人公章。副本可以用复印件。</w:t>
      </w:r>
    </w:p>
    <w:p>
      <w:pPr>
        <w:pStyle w:val="32"/>
        <w:rPr>
          <w:b/>
          <w:sz w:val="28"/>
          <w:szCs w:val="28"/>
        </w:rPr>
      </w:pPr>
    </w:p>
    <w:p>
      <w:pPr>
        <w:pStyle w:val="2"/>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9"/>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9"/>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9"/>
        <w:spacing w:line="360" w:lineRule="auto"/>
        <w:ind w:right="121" w:firstLine="480" w:firstLineChars="200"/>
        <w:jc w:val="both"/>
        <w:rPr>
          <w:lang w:eastAsia="zh-CN"/>
        </w:rPr>
      </w:pPr>
      <w:r>
        <w:rPr>
          <w:rFonts w:hint="eastAsia"/>
          <w:lang w:eastAsia="zh-CN"/>
        </w:rPr>
        <w:t>本项目设置最高控制价</w:t>
      </w:r>
      <w:r>
        <w:rPr>
          <w:rFonts w:hint="eastAsia"/>
          <w:b/>
          <w:bCs/>
          <w:lang w:val="en-US" w:eastAsia="zh-CN"/>
        </w:rPr>
        <w:t>人民币112万</w:t>
      </w:r>
      <w:r>
        <w:rPr>
          <w:rFonts w:hint="eastAsia"/>
          <w:b/>
          <w:bCs/>
          <w:lang w:eastAsia="zh-CN"/>
        </w:rPr>
        <w:t>元（不含税价）</w:t>
      </w:r>
      <w:r>
        <w:rPr>
          <w:rFonts w:hint="eastAsia"/>
          <w:lang w:eastAsia="zh-CN"/>
        </w:rPr>
        <w:t>。参选人所填报的包干含税报价高于本项目最高限价的，其参选将被比选小组予以否决。</w:t>
      </w:r>
    </w:p>
    <w:p>
      <w:pPr>
        <w:pStyle w:val="9"/>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9"/>
        <w:spacing w:line="360" w:lineRule="auto"/>
        <w:ind w:right="121" w:firstLine="480" w:firstLineChars="200"/>
        <w:jc w:val="both"/>
        <w:rPr>
          <w:lang w:eastAsia="zh-CN"/>
        </w:rPr>
      </w:pPr>
      <w:r>
        <w:rPr>
          <w:lang w:eastAsia="zh-CN"/>
        </w:rPr>
        <w:t>2.参选文件存在重大偏差的。</w:t>
      </w:r>
    </w:p>
    <w:p>
      <w:pPr>
        <w:pStyle w:val="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9"/>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9"/>
        <w:spacing w:line="360" w:lineRule="auto"/>
        <w:ind w:right="121" w:firstLine="480" w:firstLineChars="200"/>
        <w:jc w:val="both"/>
        <w:rPr>
          <w:lang w:eastAsia="zh-CN"/>
        </w:rPr>
      </w:pPr>
      <w:r>
        <w:rPr>
          <w:lang w:eastAsia="zh-CN"/>
        </w:rPr>
        <w:t>2.在开选时没有启封和读出的参选文件，在评选时将不予考虑。</w:t>
      </w:r>
    </w:p>
    <w:p>
      <w:pPr>
        <w:pStyle w:val="9"/>
        <w:spacing w:line="360" w:lineRule="auto"/>
        <w:ind w:right="121" w:firstLine="480" w:firstLineChars="200"/>
        <w:jc w:val="both"/>
        <w:rPr>
          <w:lang w:eastAsia="zh-CN"/>
        </w:rPr>
      </w:pPr>
      <w:r>
        <w:rPr>
          <w:lang w:eastAsia="zh-CN"/>
        </w:rPr>
        <w:t>3.比选人将做开选记录。</w:t>
      </w:r>
    </w:p>
    <w:p>
      <w:pPr>
        <w:pStyle w:val="32"/>
        <w:spacing w:line="360" w:lineRule="auto"/>
        <w:ind w:firstLine="480" w:firstLineChars="200"/>
        <w:rPr>
          <w:b/>
          <w:sz w:val="24"/>
          <w:szCs w:val="24"/>
        </w:rPr>
      </w:pPr>
      <w:r>
        <w:rPr>
          <w:rFonts w:hint="eastAsia"/>
          <w:sz w:val="24"/>
          <w:szCs w:val="24"/>
        </w:rPr>
        <w:t>4.业主将根据评选结果与中选人签订合同。</w:t>
      </w:r>
    </w:p>
    <w:p>
      <w:pPr>
        <w:pStyle w:val="2"/>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9"/>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9"/>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9"/>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9"/>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9"/>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9"/>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3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32"/>
        <w:spacing w:line="360" w:lineRule="auto"/>
        <w:ind w:firstLine="437"/>
        <w:rPr>
          <w:sz w:val="24"/>
          <w:szCs w:val="24"/>
        </w:rPr>
      </w:pPr>
      <w:r>
        <w:rPr>
          <w:rFonts w:hint="eastAsia"/>
          <w:sz w:val="24"/>
          <w:szCs w:val="24"/>
        </w:rPr>
        <w:t>9.</w:t>
      </w:r>
      <w:r>
        <w:rPr>
          <w:rFonts w:hint="eastAsia"/>
        </w:rPr>
        <w:t xml:space="preserve"> </w:t>
      </w:r>
      <w:r>
        <w:rPr>
          <w:rStyle w:val="24"/>
          <w:rFonts w:hint="eastAsia"/>
          <w:sz w:val="24"/>
          <w:szCs w:val="24"/>
        </w:rPr>
        <w:t>福建福海创石油化工有限公司的权属子公司“腾龙芳烃（漳州）有限公司”作为合同执行主体，将于中选通知书发出之日起20日内与中选人完成合同签订事宜。</w:t>
      </w:r>
    </w:p>
    <w:p>
      <w:pPr>
        <w:pStyle w:val="2"/>
        <w:tabs>
          <w:tab w:val="left" w:pos="4344"/>
        </w:tabs>
        <w:spacing w:line="360" w:lineRule="auto"/>
        <w:ind w:left="0"/>
        <w:jc w:val="center"/>
        <w:rPr>
          <w:highlight w:val="none"/>
          <w:lang w:eastAsia="zh-CN"/>
        </w:rPr>
      </w:pPr>
      <w:r>
        <w:rPr>
          <w:highlight w:val="none"/>
          <w:lang w:eastAsia="zh-CN"/>
        </w:rPr>
        <w:t>第六章</w:t>
      </w:r>
      <w:r>
        <w:rPr>
          <w:rFonts w:hint="eastAsia"/>
          <w:highlight w:val="none"/>
          <w:lang w:eastAsia="zh-CN"/>
        </w:rPr>
        <w:t xml:space="preserve">    </w:t>
      </w:r>
      <w:r>
        <w:rPr>
          <w:spacing w:val="-1"/>
          <w:w w:val="95"/>
          <w:highlight w:val="none"/>
          <w:lang w:eastAsia="zh-CN"/>
        </w:rPr>
        <w:t>中选后相关</w:t>
      </w:r>
      <w:r>
        <w:rPr>
          <w:w w:val="95"/>
          <w:highlight w:val="none"/>
          <w:lang w:eastAsia="zh-CN"/>
        </w:rPr>
        <w:t>履约要求</w:t>
      </w:r>
    </w:p>
    <w:p>
      <w:pPr>
        <w:pStyle w:val="9"/>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spacing w:line="360" w:lineRule="auto"/>
        <w:ind w:left="0" w:leftChars="0" w:firstLine="428" w:firstLineChars="200"/>
        <w:jc w:val="both"/>
        <w:rPr>
          <w:rFonts w:ascii="宋体" w:hAnsi="宋体" w:eastAsia="宋体" w:cs="宋体"/>
          <w:spacing w:val="-13"/>
          <w:sz w:val="24"/>
          <w:szCs w:val="24"/>
          <w:lang w:val="en-US" w:eastAsia="zh-CN" w:bidi="ar-SA"/>
        </w:rPr>
      </w:pPr>
      <w:r>
        <w:rPr>
          <w:rFonts w:ascii="宋体" w:hAnsi="宋体" w:eastAsia="宋体" w:cs="宋体"/>
          <w:spacing w:val="-13"/>
          <w:sz w:val="24"/>
          <w:szCs w:val="24"/>
          <w:lang w:val="en-US" w:eastAsia="zh-CN" w:bidi="ar-SA"/>
        </w:rPr>
        <w:t>2.中选单位必须严格执行</w:t>
      </w:r>
      <w:r>
        <w:rPr>
          <w:rFonts w:hint="eastAsia" w:ascii="宋体" w:hAnsi="宋体" w:eastAsia="宋体" w:cs="宋体"/>
          <w:spacing w:val="-13"/>
          <w:sz w:val="24"/>
          <w:szCs w:val="24"/>
          <w:u w:val="single"/>
          <w:lang w:val="en-US" w:eastAsia="zh-CN" w:bidi="ar-SA"/>
        </w:rPr>
        <w:t>热电厂输煤系统输送带</w:t>
      </w:r>
      <w:r>
        <w:rPr>
          <w:rFonts w:hint="eastAsia" w:ascii="宋体" w:hAnsi="宋体" w:eastAsia="宋体" w:cs="宋体"/>
          <w:spacing w:val="-13"/>
          <w:sz w:val="24"/>
          <w:szCs w:val="24"/>
          <w:lang w:val="en-US" w:eastAsia="zh-CN" w:bidi="ar-SA"/>
        </w:rPr>
        <w:t>采购</w:t>
      </w:r>
      <w:r>
        <w:rPr>
          <w:rFonts w:ascii="宋体" w:hAnsi="宋体" w:eastAsia="宋体" w:cs="宋体"/>
          <w:spacing w:val="-13"/>
          <w:sz w:val="24"/>
          <w:szCs w:val="24"/>
          <w:lang w:val="en-US" w:eastAsia="zh-CN" w:bidi="ar-SA"/>
        </w:rPr>
        <w:t>合同（详见附件一）、《承诺函》（详见附件二）的规定。</w:t>
      </w:r>
    </w:p>
    <w:p>
      <w:pPr>
        <w:pStyle w:val="9"/>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9"/>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9"/>
        <w:spacing w:before="108" w:line="360" w:lineRule="auto"/>
        <w:ind w:firstLine="480" w:firstLineChars="200"/>
        <w:rPr>
          <w:lang w:eastAsia="zh-CN"/>
        </w:rPr>
      </w:pPr>
      <w:r>
        <w:rPr>
          <w:lang w:eastAsia="zh-CN"/>
        </w:rPr>
        <w:t>2.比选人郑重承诺：参选人所提交的参选文件及相关资料不向第三方泄露。</w:t>
      </w:r>
    </w:p>
    <w:p>
      <w:pPr>
        <w:pStyle w:val="9"/>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r>
        <w:rPr>
          <w:lang w:eastAsia="zh-CN"/>
        </w:rPr>
        <w:br w:type="page"/>
      </w:r>
    </w:p>
    <w:p>
      <w:pPr>
        <w:pStyle w:val="9"/>
        <w:rPr>
          <w:b/>
          <w:sz w:val="28"/>
          <w:szCs w:val="28"/>
        </w:rPr>
      </w:pPr>
      <w:r>
        <w:rPr>
          <w:rFonts w:hint="eastAsia" w:ascii="Times New Roman"/>
          <w:b/>
          <w:bCs/>
          <w:lang w:eastAsia="zh-CN"/>
        </w:rPr>
        <w:t>附件一、</w:t>
      </w:r>
      <w:r>
        <w:rPr>
          <w:rFonts w:hint="eastAsia" w:ascii="Times New Roman"/>
          <w:b/>
          <w:bCs/>
          <w:lang w:val="en-US" w:eastAsia="zh-CN"/>
        </w:rPr>
        <w:t xml:space="preserve">                                                           </w:t>
      </w:r>
      <w:r>
        <w:rPr>
          <w:rFonts w:hint="eastAsia"/>
          <w:b/>
          <w:sz w:val="28"/>
          <w:szCs w:val="28"/>
        </w:rPr>
        <w:t>采购合同</w:t>
      </w:r>
    </w:p>
    <w:tbl>
      <w:tblPr>
        <w:tblStyle w:val="31"/>
        <w:tblW w:w="9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4401"/>
        <w:gridCol w:w="1420"/>
        <w:gridCol w:w="3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60" w:type="dxa"/>
          </w:tcPr>
          <w:p>
            <w:pPr>
              <w:spacing w:line="120" w:lineRule="auto"/>
              <w:jc w:val="both"/>
              <w:rPr>
                <w:sz w:val="24"/>
              </w:rPr>
            </w:pPr>
            <w:r>
              <w:rPr>
                <w:rFonts w:hint="eastAsia"/>
                <w:sz w:val="24"/>
              </w:rPr>
              <w:t xml:space="preserve">                                                                                      </w:t>
            </w:r>
          </w:p>
        </w:tc>
        <w:tc>
          <w:tcPr>
            <w:tcW w:w="4401" w:type="dxa"/>
          </w:tcPr>
          <w:p>
            <w:pPr>
              <w:spacing w:line="120" w:lineRule="auto"/>
              <w:jc w:val="both"/>
              <w:rPr>
                <w:sz w:val="24"/>
              </w:rPr>
            </w:pPr>
          </w:p>
        </w:tc>
        <w:tc>
          <w:tcPr>
            <w:tcW w:w="1420" w:type="dxa"/>
          </w:tcPr>
          <w:p>
            <w:pPr>
              <w:spacing w:line="120" w:lineRule="auto"/>
              <w:jc w:val="both"/>
              <w:rPr>
                <w:sz w:val="24"/>
              </w:rPr>
            </w:pPr>
            <w:r>
              <w:rPr>
                <w:rFonts w:hint="eastAsia"/>
                <w:sz w:val="24"/>
              </w:rPr>
              <w:t>合同编号：</w:t>
            </w:r>
          </w:p>
        </w:tc>
        <w:tc>
          <w:tcPr>
            <w:tcW w:w="3079" w:type="dxa"/>
          </w:tcPr>
          <w:p>
            <w:pPr>
              <w:spacing w:line="12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60" w:type="dxa"/>
          </w:tcPr>
          <w:p>
            <w:pPr>
              <w:spacing w:line="120" w:lineRule="auto"/>
              <w:jc w:val="both"/>
              <w:rPr>
                <w:sz w:val="24"/>
              </w:rPr>
            </w:pPr>
            <w:r>
              <w:rPr>
                <w:rFonts w:hint="eastAsia"/>
                <w:sz w:val="24"/>
              </w:rPr>
              <w:t>甲方：</w:t>
            </w:r>
          </w:p>
        </w:tc>
        <w:tc>
          <w:tcPr>
            <w:tcW w:w="4401" w:type="dxa"/>
          </w:tcPr>
          <w:p>
            <w:pPr>
              <w:spacing w:line="120" w:lineRule="auto"/>
              <w:jc w:val="both"/>
              <w:rPr>
                <w:sz w:val="24"/>
                <w:lang w:eastAsia="zh-CN"/>
              </w:rPr>
            </w:pPr>
            <w:r>
              <w:rPr>
                <w:rFonts w:hint="eastAsia"/>
                <w:sz w:val="24"/>
                <w:lang w:eastAsia="zh-CN"/>
              </w:rPr>
              <w:t xml:space="preserve"> 腾龙芳烃（漳州）有限公司                                    </w:t>
            </w:r>
          </w:p>
        </w:tc>
        <w:tc>
          <w:tcPr>
            <w:tcW w:w="1420" w:type="dxa"/>
          </w:tcPr>
          <w:p>
            <w:pPr>
              <w:spacing w:line="120" w:lineRule="auto"/>
              <w:jc w:val="both"/>
              <w:rPr>
                <w:sz w:val="24"/>
              </w:rPr>
            </w:pPr>
            <w:r>
              <w:rPr>
                <w:rFonts w:hint="eastAsia"/>
                <w:sz w:val="24"/>
              </w:rPr>
              <w:t>签订地点：</w:t>
            </w:r>
          </w:p>
        </w:tc>
        <w:tc>
          <w:tcPr>
            <w:tcW w:w="3079" w:type="dxa"/>
          </w:tcPr>
          <w:p>
            <w:pPr>
              <w:spacing w:line="120" w:lineRule="auto"/>
              <w:jc w:val="left"/>
              <w:rPr>
                <w:sz w:val="24"/>
                <w:lang w:eastAsia="zh-CN"/>
              </w:rPr>
            </w:pPr>
            <w:r>
              <w:rPr>
                <w:rFonts w:hint="eastAsia"/>
                <w:sz w:val="24"/>
                <w:lang w:eastAsia="zh-CN"/>
              </w:rPr>
              <w:t>漳州漳浦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60" w:type="dxa"/>
          </w:tcPr>
          <w:p>
            <w:pPr>
              <w:spacing w:line="120" w:lineRule="auto"/>
              <w:jc w:val="both"/>
              <w:rPr>
                <w:sz w:val="24"/>
              </w:rPr>
            </w:pPr>
            <w:r>
              <w:rPr>
                <w:rFonts w:hint="eastAsia"/>
                <w:sz w:val="24"/>
              </w:rPr>
              <w:t>乙方：</w:t>
            </w:r>
          </w:p>
        </w:tc>
        <w:tc>
          <w:tcPr>
            <w:tcW w:w="4401" w:type="dxa"/>
          </w:tcPr>
          <w:p>
            <w:pPr>
              <w:spacing w:line="120" w:lineRule="auto"/>
              <w:jc w:val="both"/>
              <w:rPr>
                <w:sz w:val="24"/>
              </w:rPr>
            </w:pPr>
          </w:p>
        </w:tc>
        <w:tc>
          <w:tcPr>
            <w:tcW w:w="1420" w:type="dxa"/>
          </w:tcPr>
          <w:p>
            <w:pPr>
              <w:spacing w:line="120" w:lineRule="auto"/>
              <w:jc w:val="both"/>
              <w:rPr>
                <w:sz w:val="24"/>
              </w:rPr>
            </w:pPr>
            <w:r>
              <w:rPr>
                <w:rFonts w:hint="eastAsia"/>
                <w:sz w:val="24"/>
              </w:rPr>
              <w:t>签订日期：</w:t>
            </w:r>
          </w:p>
        </w:tc>
        <w:tc>
          <w:tcPr>
            <w:tcW w:w="3079" w:type="dxa"/>
          </w:tcPr>
          <w:p>
            <w:pPr>
              <w:spacing w:line="120" w:lineRule="auto"/>
              <w:jc w:val="both"/>
              <w:rPr>
                <w:sz w:val="24"/>
              </w:rPr>
            </w:pPr>
          </w:p>
        </w:tc>
      </w:tr>
    </w:tbl>
    <w:p>
      <w:pPr>
        <w:spacing w:line="120" w:lineRule="auto"/>
        <w:ind w:firstLine="480" w:firstLineChars="200"/>
        <w:rPr>
          <w:sz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outlineLvl w:val="9"/>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outlineLvl w:val="9"/>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outlineLvl w:val="9"/>
        <w:rPr>
          <w:sz w:val="24"/>
        </w:rPr>
      </w:pPr>
      <w:r>
        <w:rPr>
          <w:rFonts w:hint="eastAsia"/>
          <w:sz w:val="24"/>
        </w:rPr>
        <w:t>1、合同标的和合同价格</w:t>
      </w:r>
    </w:p>
    <w:tbl>
      <w:tblPr>
        <w:tblStyle w:val="30"/>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3199"/>
        <w:gridCol w:w="1281"/>
        <w:gridCol w:w="1425"/>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2332"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产品名称</w:t>
            </w:r>
          </w:p>
        </w:tc>
        <w:tc>
          <w:tcPr>
            <w:tcW w:w="319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规格型号</w:t>
            </w:r>
          </w:p>
        </w:tc>
        <w:tc>
          <w:tcPr>
            <w:tcW w:w="128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数量</w:t>
            </w:r>
          </w:p>
        </w:tc>
        <w:tc>
          <w:tcPr>
            <w:tcW w:w="142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单价</w:t>
            </w:r>
            <w:r>
              <w:rPr>
                <w:rFonts w:hint="eastAsia"/>
                <w:b w:val="0"/>
                <w:bCs/>
                <w:sz w:val="24"/>
                <w:lang w:val="en-US" w:eastAsia="zh-CN"/>
              </w:rPr>
              <w:t>/元</w:t>
            </w:r>
          </w:p>
        </w:tc>
        <w:tc>
          <w:tcPr>
            <w:tcW w:w="1623"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332"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permStart w:id="0" w:edGrp="everyone" w:colFirst="0" w:colLast="0"/>
            <w:permStart w:id="1" w:edGrp="everyone" w:colFirst="1" w:colLast="1"/>
            <w:permStart w:id="2" w:edGrp="everyone" w:colFirst="2" w:colLast="2"/>
            <w:permStart w:id="3" w:edGrp="everyone" w:colFirst="3" w:colLast="3"/>
            <w:permStart w:id="4" w:edGrp="everyone" w:colFirst="4" w:colLast="4"/>
            <w:r>
              <w:rPr>
                <w:rFonts w:hint="default" w:ascii="Times New Roman" w:hAnsi="Times New Roman" w:eastAsia="宋体" w:cs="Times New Roman"/>
                <w:i w:val="0"/>
                <w:color w:val="000000"/>
                <w:kern w:val="0"/>
                <w:sz w:val="21"/>
                <w:szCs w:val="21"/>
                <w:u w:val="none"/>
                <w:lang w:val="en-US" w:eastAsia="zh-CN" w:bidi="ar"/>
              </w:rPr>
              <w:t>阻燃皮带</w:t>
            </w:r>
          </w:p>
        </w:tc>
        <w:tc>
          <w:tcPr>
            <w:tcW w:w="31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i=5层 上胶4.5/下胶1.5 1400mm</w:t>
            </w:r>
          </w:p>
        </w:tc>
        <w:tc>
          <w:tcPr>
            <w:tcW w:w="128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100米</w:t>
            </w:r>
          </w:p>
        </w:tc>
        <w:tc>
          <w:tcPr>
            <w:tcW w:w="142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ascii="Times New Roman" w:hAnsi="Times New Roman" w:eastAsia="宋体" w:cs="Times New Roman"/>
                <w:sz w:val="21"/>
                <w:szCs w:val="21"/>
              </w:rPr>
            </w:pPr>
          </w:p>
        </w:tc>
        <w:tc>
          <w:tcPr>
            <w:tcW w:w="1623"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ascii="Times New Roman" w:hAnsi="Times New Roman" w:eastAsia="宋体" w:cs="Times New Roman"/>
                <w:sz w:val="21"/>
                <w:szCs w:val="21"/>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332"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permStart w:id="5" w:edGrp="everyone" w:colFirst="0" w:colLast="0"/>
            <w:permStart w:id="6" w:edGrp="everyone" w:colFirst="1" w:colLast="1"/>
            <w:permStart w:id="7" w:edGrp="everyone" w:colFirst="2" w:colLast="2"/>
            <w:permStart w:id="8" w:edGrp="everyone" w:colFirst="3" w:colLast="3"/>
            <w:permStart w:id="9" w:edGrp="everyone" w:colFirst="4" w:colLast="4"/>
            <w:r>
              <w:rPr>
                <w:rFonts w:hint="default" w:ascii="Times New Roman" w:hAnsi="Times New Roman" w:eastAsia="宋体" w:cs="Times New Roman"/>
                <w:i w:val="0"/>
                <w:color w:val="000000"/>
                <w:kern w:val="0"/>
                <w:sz w:val="21"/>
                <w:szCs w:val="21"/>
                <w:u w:val="none"/>
                <w:lang w:val="en-US" w:eastAsia="zh-CN" w:bidi="ar"/>
              </w:rPr>
              <w:t>阻燃皮带</w:t>
            </w:r>
          </w:p>
        </w:tc>
        <w:tc>
          <w:tcPr>
            <w:tcW w:w="31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i=5层 上胶4.5/下胶1.5 1200mm</w:t>
            </w:r>
          </w:p>
        </w:tc>
        <w:tc>
          <w:tcPr>
            <w:tcW w:w="128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400米</w:t>
            </w:r>
          </w:p>
        </w:tc>
        <w:tc>
          <w:tcPr>
            <w:tcW w:w="142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ascii="Times New Roman" w:hAnsi="Times New Roman" w:eastAsia="宋体" w:cs="Times New Roman"/>
                <w:sz w:val="21"/>
                <w:szCs w:val="21"/>
              </w:rPr>
            </w:pPr>
          </w:p>
        </w:tc>
        <w:tc>
          <w:tcPr>
            <w:tcW w:w="1623"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ascii="Times New Roman" w:hAnsi="Times New Roman" w:eastAsia="宋体" w:cs="Times New Roman"/>
                <w:sz w:val="21"/>
                <w:szCs w:val="21"/>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332"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permStart w:id="10" w:edGrp="everyone" w:colFirst="0" w:colLast="0"/>
            <w:permStart w:id="11" w:edGrp="everyone" w:colFirst="1" w:colLast="1"/>
            <w:permStart w:id="12" w:edGrp="everyone" w:colFirst="2" w:colLast="2"/>
            <w:permStart w:id="13" w:edGrp="everyone" w:colFirst="3" w:colLast="3"/>
            <w:permStart w:id="14" w:edGrp="everyone" w:colFirst="4" w:colLast="4"/>
            <w:r>
              <w:rPr>
                <w:rFonts w:hint="default" w:ascii="Times New Roman" w:hAnsi="Times New Roman" w:eastAsia="宋体" w:cs="Times New Roman"/>
                <w:i w:val="0"/>
                <w:color w:val="000000"/>
                <w:kern w:val="0"/>
                <w:sz w:val="21"/>
                <w:szCs w:val="21"/>
                <w:u w:val="none"/>
                <w:lang w:val="en-US" w:eastAsia="zh-CN" w:bidi="ar"/>
              </w:rPr>
              <w:t>阻燃皮带</w:t>
            </w:r>
          </w:p>
        </w:tc>
        <w:tc>
          <w:tcPr>
            <w:tcW w:w="31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i=5层 上胶4.5/下胶1.5 1000mm</w:t>
            </w:r>
          </w:p>
        </w:tc>
        <w:tc>
          <w:tcPr>
            <w:tcW w:w="128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2700米</w:t>
            </w:r>
          </w:p>
        </w:tc>
        <w:tc>
          <w:tcPr>
            <w:tcW w:w="142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ascii="Times New Roman" w:hAnsi="Times New Roman" w:eastAsia="宋体" w:cs="Times New Roman"/>
                <w:sz w:val="21"/>
                <w:szCs w:val="21"/>
              </w:rPr>
            </w:pPr>
          </w:p>
        </w:tc>
        <w:tc>
          <w:tcPr>
            <w:tcW w:w="1623"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ascii="Times New Roman" w:hAnsi="Times New Roman" w:eastAsia="宋体" w:cs="Times New Roman"/>
                <w:sz w:val="21"/>
                <w:szCs w:val="21"/>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32" w:type="dxa"/>
            <w:vAlign w:val="bottom"/>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sz w:val="24"/>
              </w:rPr>
            </w:pPr>
            <w:r>
              <w:rPr>
                <w:rFonts w:hint="eastAsia"/>
                <w:sz w:val="24"/>
              </w:rPr>
              <w:t>合同金额合计</w:t>
            </w:r>
          </w:p>
        </w:tc>
        <w:tc>
          <w:tcPr>
            <w:tcW w:w="7528" w:type="dxa"/>
            <w:gridSpan w:val="4"/>
            <w:vAlign w:val="bottom"/>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sz w:val="24"/>
              </w:rPr>
            </w:pPr>
            <w:r>
              <w:rPr>
                <w:rFonts w:hint="eastAsia"/>
                <w:sz w:val="24"/>
              </w:rPr>
              <w:t xml:space="preserve">（大写） </w:t>
            </w:r>
            <w:permStart w:id="15" w:edGrp="everyone"/>
            <w:r>
              <w:rPr>
                <w:rFonts w:hint="eastAsia"/>
                <w:sz w:val="24"/>
              </w:rPr>
              <w:t xml:space="preserve">  </w:t>
            </w:r>
            <w:permEnd w:id="15"/>
            <w:r>
              <w:rPr>
                <w:rFonts w:hint="eastAsia"/>
                <w:sz w:val="24"/>
              </w:rPr>
              <w:t>（小写）</w:t>
            </w:r>
          </w:p>
        </w:tc>
      </w:tr>
    </w:tbl>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360" w:firstLineChars="150"/>
        <w:jc w:val="left"/>
        <w:textAlignment w:val="auto"/>
        <w:outlineLvl w:val="9"/>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left="417" w:leftChars="0" w:hanging="417" w:hangingChars="174"/>
        <w:rPr>
          <w:sz w:val="24"/>
          <w:lang w:eastAsia="zh-CN"/>
        </w:rPr>
      </w:pPr>
      <w:r>
        <w:rPr>
          <w:rFonts w:hint="eastAsia"/>
          <w:sz w:val="24"/>
          <w:lang w:eastAsia="zh-CN"/>
        </w:rPr>
        <w:t>2.1</w:t>
      </w:r>
      <w:r>
        <w:rPr>
          <w:rFonts w:hint="eastAsia"/>
          <w:sz w:val="24"/>
          <w:lang w:val="en-US" w:eastAsia="zh-CN"/>
        </w:rPr>
        <w:t xml:space="preserve"> </w:t>
      </w:r>
      <w:r>
        <w:rPr>
          <w:rFonts w:hint="eastAsia"/>
          <w:sz w:val="24"/>
          <w:lang w:eastAsia="zh-CN"/>
        </w:rPr>
        <w:t>交货方式：</w:t>
      </w:r>
      <w:r>
        <w:rPr>
          <w:sz w:val="24"/>
          <w:u w:val="single"/>
          <w:lang w:eastAsia="zh-CN"/>
        </w:rPr>
        <w:t xml:space="preserve"> </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left="417" w:leftChars="0" w:hanging="417" w:hangingChars="174"/>
        <w:rPr>
          <w:sz w:val="24"/>
          <w:lang w:eastAsia="zh-CN"/>
        </w:rPr>
      </w:pPr>
      <w:r>
        <w:rPr>
          <w:rFonts w:hint="eastAsia"/>
          <w:sz w:val="24"/>
          <w:lang w:eastAsia="zh-CN"/>
        </w:rPr>
        <w:t>2.2</w:t>
      </w:r>
      <w:r>
        <w:rPr>
          <w:rFonts w:hint="eastAsia"/>
          <w:sz w:val="24"/>
          <w:lang w:val="en-US" w:eastAsia="zh-CN"/>
        </w:rPr>
        <w:t xml:space="preserve"> </w:t>
      </w:r>
      <w:r>
        <w:rPr>
          <w:rFonts w:hint="eastAsia"/>
          <w:sz w:val="24"/>
          <w:lang w:eastAsia="zh-CN"/>
        </w:rPr>
        <w:t>交货地点：运送到</w:t>
      </w:r>
      <w:r>
        <w:rPr>
          <w:rFonts w:hint="eastAsia" w:asciiTheme="majorEastAsia" w:hAnsiTheme="majorEastAsia" w:eastAsiaTheme="majorEastAsia"/>
          <w:sz w:val="24"/>
          <w:u w:val="single"/>
          <w:lang w:eastAsia="zh-CN"/>
        </w:rPr>
        <w:t>腾龙芳烃（漳州）有限公司</w:t>
      </w:r>
    </w:p>
    <w:p>
      <w:pPr>
        <w:spacing w:line="288" w:lineRule="auto"/>
        <w:ind w:left="417" w:leftChars="0" w:hanging="417" w:hangingChars="174"/>
        <w:jc w:val="both"/>
        <w:rPr>
          <w:sz w:val="24"/>
          <w:lang w:eastAsia="zh-CN"/>
        </w:rPr>
      </w:pPr>
      <w:r>
        <w:rPr>
          <w:rFonts w:hint="eastAsia"/>
          <w:sz w:val="24"/>
          <w:lang w:eastAsia="zh-CN"/>
        </w:rPr>
        <w:t>2.3</w:t>
      </w:r>
      <w:r>
        <w:rPr>
          <w:rFonts w:hint="eastAsia"/>
          <w:sz w:val="24"/>
          <w:lang w:val="en-US" w:eastAsia="zh-CN"/>
        </w:rPr>
        <w:t xml:space="preserve"> </w:t>
      </w:r>
      <w:r>
        <w:rPr>
          <w:rFonts w:hint="eastAsia"/>
          <w:sz w:val="24"/>
          <w:lang w:eastAsia="zh-CN"/>
        </w:rPr>
        <w:t>交货时间：</w:t>
      </w:r>
      <w:r>
        <w:rPr>
          <w:rFonts w:hint="eastAsia" w:asciiTheme="majorEastAsia" w:hAnsiTheme="majorEastAsia" w:eastAsiaTheme="majorEastAsia"/>
          <w:sz w:val="24"/>
          <w:u w:val="single"/>
          <w:lang w:eastAsia="zh-CN"/>
        </w:rPr>
        <w:t>合同生效后</w:t>
      </w:r>
      <w:r>
        <w:rPr>
          <w:rFonts w:hint="eastAsia" w:asciiTheme="majorEastAsia" w:hAnsiTheme="majorEastAsia" w:eastAsiaTheme="majorEastAsia"/>
          <w:sz w:val="24"/>
          <w:u w:val="single"/>
          <w:lang w:val="en-US" w:eastAsia="zh-CN"/>
        </w:rPr>
        <w:t xml:space="preserve"> </w:t>
      </w:r>
      <w:r>
        <w:rPr>
          <w:rFonts w:hint="eastAsia" w:asciiTheme="majorEastAsia" w:hAnsiTheme="majorEastAsia" w:eastAsiaTheme="majorEastAsia"/>
          <w:b w:val="0"/>
          <w:bCs w:val="0"/>
          <w:sz w:val="24"/>
          <w:u w:val="single"/>
          <w:lang w:val="en-US" w:eastAsia="zh-CN"/>
        </w:rPr>
        <w:t xml:space="preserve"> 日</w:t>
      </w:r>
      <w:r>
        <w:rPr>
          <w:rFonts w:hint="eastAsia" w:asciiTheme="majorEastAsia" w:hAnsiTheme="majorEastAsia" w:eastAsiaTheme="majorEastAsia"/>
          <w:sz w:val="24"/>
          <w:u w:val="single"/>
          <w:lang w:eastAsia="zh-CN"/>
        </w:rPr>
        <w:t>内货到现场</w:t>
      </w:r>
      <w:r>
        <w:rPr>
          <w:rFonts w:hint="eastAsia"/>
          <w:sz w:val="24"/>
          <w:szCs w:val="24"/>
          <w:u w:val="single"/>
          <w:lang w:eastAsia="zh-CN"/>
        </w:rPr>
        <w:t>。</w:t>
      </w:r>
      <w:r>
        <w:rPr>
          <w:rFonts w:hint="eastAsia"/>
          <w:sz w:val="24"/>
          <w:u w:val="single"/>
          <w:lang w:eastAsia="zh-CN"/>
        </w:rPr>
        <w:t>（</w:t>
      </w:r>
      <w:r>
        <w:rPr>
          <w:rFonts w:hint="eastAsia"/>
          <w:b/>
          <w:sz w:val="24"/>
          <w:u w:val="single"/>
          <w:lang w:eastAsia="zh-CN"/>
        </w:rPr>
        <w:t>如甲方要求推迟交货，则乙方应无条件同意并保管好货物）</w:t>
      </w:r>
    </w:p>
    <w:p>
      <w:pPr>
        <w:spacing w:line="360" w:lineRule="auto"/>
        <w:ind w:left="417" w:leftChars="0" w:hanging="417" w:hangingChars="174"/>
        <w:rPr>
          <w:sz w:val="24"/>
          <w:lang w:eastAsia="zh-CN"/>
        </w:rPr>
      </w:pPr>
      <w:r>
        <w:rPr>
          <w:rFonts w:hint="eastAsia"/>
          <w:sz w:val="24"/>
          <w:lang w:eastAsia="zh-CN"/>
        </w:rPr>
        <w:t>2.4</w:t>
      </w:r>
      <w:r>
        <w:rPr>
          <w:rFonts w:hint="eastAsia"/>
          <w:sz w:val="24"/>
          <w:lang w:val="en-US" w:eastAsia="zh-CN"/>
        </w:rPr>
        <w:t xml:space="preserve"> </w:t>
      </w:r>
      <w:r>
        <w:rPr>
          <w:rFonts w:hint="eastAsia"/>
          <w:sz w:val="24"/>
          <w:lang w:eastAsia="zh-CN"/>
        </w:rPr>
        <w:t>乙方提供产品安装及调试服务，并承担运输过程中发生的一切费用。在产品交付给甲方之前，产品毁损、灭失等风险均由乙方自行承担。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left="480" w:leftChars="0" w:hanging="480" w:hangingChars="200"/>
        <w:rPr>
          <w:sz w:val="24"/>
          <w:highlight w:val="yellow"/>
          <w:lang w:eastAsia="zh-CN"/>
        </w:rPr>
      </w:pPr>
      <w:r>
        <w:rPr>
          <w:rFonts w:hint="eastAsia"/>
          <w:sz w:val="24"/>
          <w:highlight w:val="yellow"/>
          <w:lang w:eastAsia="zh-CN"/>
        </w:rPr>
        <w:t>3.1</w:t>
      </w:r>
      <w:r>
        <w:rPr>
          <w:rFonts w:hint="eastAsia"/>
          <w:sz w:val="24"/>
          <w:highlight w:val="yellow"/>
          <w:lang w:val="en-US" w:eastAsia="zh-CN"/>
        </w:rPr>
        <w:t xml:space="preserve"> </w:t>
      </w:r>
      <w:r>
        <w:rPr>
          <w:rFonts w:hint="eastAsia"/>
          <w:sz w:val="24"/>
          <w:highlight w:val="yellow"/>
          <w:lang w:eastAsia="zh-CN"/>
        </w:rPr>
        <w:t>乙方交付的产品按合同约定标准经甲方验收合格后，甲方</w:t>
      </w:r>
      <w:r>
        <w:rPr>
          <w:sz w:val="24"/>
          <w:highlight w:val="yellow"/>
          <w:u w:val="single"/>
          <w:lang w:eastAsia="zh-CN"/>
        </w:rPr>
        <w:t xml:space="preserve"> </w:t>
      </w:r>
      <w:r>
        <w:rPr>
          <w:rFonts w:hint="eastAsia"/>
          <w:sz w:val="24"/>
          <w:highlight w:val="yellow"/>
          <w:u w:val="single"/>
          <w:lang w:val="en-US" w:eastAsia="zh-CN"/>
        </w:rPr>
        <w:t>60日内</w:t>
      </w:r>
      <w:r>
        <w:rPr>
          <w:sz w:val="24"/>
          <w:highlight w:val="yellow"/>
          <w:u w:val="single"/>
          <w:lang w:eastAsia="zh-CN"/>
        </w:rPr>
        <w:t xml:space="preserve"> </w:t>
      </w:r>
      <w:r>
        <w:rPr>
          <w:rFonts w:hint="eastAsia"/>
          <w:sz w:val="24"/>
          <w:highlight w:val="yellow"/>
          <w:lang w:eastAsia="zh-CN"/>
        </w:rPr>
        <w:t>向乙方支付合同价款总额的</w:t>
      </w:r>
      <w:r>
        <w:rPr>
          <w:sz w:val="24"/>
          <w:highlight w:val="yellow"/>
          <w:u w:val="single"/>
          <w:lang w:eastAsia="zh-CN"/>
        </w:rPr>
        <w:t xml:space="preserve"> </w:t>
      </w:r>
      <w:r>
        <w:rPr>
          <w:rFonts w:hint="eastAsia"/>
          <w:sz w:val="24"/>
          <w:highlight w:val="yellow"/>
          <w:u w:val="single"/>
          <w:lang w:eastAsia="zh-CN"/>
        </w:rPr>
        <w:t>90</w:t>
      </w:r>
      <w:r>
        <w:rPr>
          <w:sz w:val="24"/>
          <w:highlight w:val="yellow"/>
          <w:u w:val="single"/>
          <w:lang w:eastAsia="zh-CN"/>
        </w:rPr>
        <w:t xml:space="preserve"> </w:t>
      </w:r>
      <w:r>
        <w:rPr>
          <w:rFonts w:hint="eastAsia"/>
          <w:sz w:val="24"/>
          <w:highlight w:val="yellow"/>
          <w:lang w:eastAsia="zh-CN"/>
        </w:rPr>
        <w:t>%，剩余合同价款总额的【10】%作为质量保证金，待质量保证期满且乙方无结欠甲方款项或债务的情况下无息退还。</w:t>
      </w:r>
    </w:p>
    <w:p>
      <w:pPr>
        <w:spacing w:line="360" w:lineRule="auto"/>
        <w:ind w:left="480" w:leftChars="0" w:hanging="480" w:hangingChars="20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rFonts w:hint="eastAsia"/>
          <w:sz w:val="24"/>
          <w:u w:val="single"/>
          <w:lang w:eastAsia="zh-CN"/>
        </w:rPr>
        <w:t xml:space="preserve">60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pPr>
        <w:spacing w:line="360" w:lineRule="auto"/>
        <w:ind w:left="480" w:leftChars="0" w:hanging="480" w:hangingChars="200"/>
        <w:rPr>
          <w:sz w:val="24"/>
          <w:lang w:eastAsia="zh-CN"/>
        </w:rPr>
      </w:pPr>
      <w:r>
        <w:rPr>
          <w:rFonts w:hint="eastAsia"/>
          <w:sz w:val="24"/>
          <w:lang w:eastAsia="zh-CN"/>
        </w:rPr>
        <w:t>3.3</w:t>
      </w:r>
      <w:r>
        <w:rPr>
          <w:rFonts w:hint="eastAsia"/>
          <w:sz w:val="24"/>
          <w:lang w:val="en-US" w:eastAsia="zh-CN"/>
        </w:rPr>
        <w:t xml:space="preserve"> </w:t>
      </w:r>
      <w:r>
        <w:rPr>
          <w:rFonts w:hint="eastAsia"/>
          <w:sz w:val="24"/>
          <w:lang w:eastAsia="zh-CN"/>
        </w:rPr>
        <w:t>甲方的付款并不限制甲方在随后时间对已开具发票的费用提出争议或对合同中不满意的服务、不符合要求的产品进行索赔的权利。</w:t>
      </w:r>
    </w:p>
    <w:p>
      <w:pPr>
        <w:spacing w:line="360" w:lineRule="auto"/>
        <w:ind w:left="480" w:leftChars="0" w:hanging="480" w:hangingChars="200"/>
        <w:rPr>
          <w:sz w:val="24"/>
          <w:lang w:eastAsia="zh-CN"/>
        </w:rPr>
      </w:pPr>
      <w:r>
        <w:rPr>
          <w:rFonts w:hint="eastAsia"/>
          <w:sz w:val="24"/>
          <w:lang w:eastAsia="zh-CN"/>
        </w:rPr>
        <w:t>3.4</w:t>
      </w:r>
      <w:r>
        <w:rPr>
          <w:rFonts w:hint="eastAsia"/>
          <w:sz w:val="24"/>
          <w:lang w:val="en-US" w:eastAsia="zh-CN"/>
        </w:rPr>
        <w:t xml:space="preserve"> </w:t>
      </w:r>
      <w:r>
        <w:rPr>
          <w:rFonts w:hint="eastAsia"/>
          <w:sz w:val="24"/>
          <w:lang w:eastAsia="zh-CN"/>
        </w:rPr>
        <w:t>甲方有权从应付乙方的款项中抵扣乙方按本合同应支付给甲方的费用，包括但不限于违约金、赔偿金、乙方造成的一切损失、债务。</w:t>
      </w:r>
    </w:p>
    <w:p>
      <w:pPr>
        <w:spacing w:line="360" w:lineRule="auto"/>
        <w:rPr>
          <w:b/>
          <w:bCs/>
          <w:sz w:val="24"/>
          <w:lang w:eastAsia="zh-CN"/>
        </w:rPr>
      </w:pPr>
      <w:r>
        <w:rPr>
          <w:rFonts w:hint="eastAsia" w:asciiTheme="majorEastAsia" w:hAnsiTheme="majorEastAsia" w:eastAsiaTheme="majorEastAsia"/>
          <w:b/>
          <w:bCs/>
          <w:sz w:val="24"/>
          <w:lang w:eastAsia="zh-CN"/>
        </w:rPr>
        <w:t>说明：如未来国家税率变动，应在不含税金额的基础上以新税率调整含税金额后进行付款。</w:t>
      </w:r>
    </w:p>
    <w:p>
      <w:pPr>
        <w:spacing w:line="360" w:lineRule="auto"/>
        <w:rPr>
          <w:sz w:val="24"/>
          <w:lang w:eastAsia="zh-CN"/>
        </w:rPr>
      </w:pPr>
      <w:r>
        <w:rPr>
          <w:rFonts w:hint="eastAsia"/>
          <w:sz w:val="24"/>
          <w:lang w:eastAsia="zh-CN"/>
        </w:rPr>
        <w:t>4、质量要求和技术标准</w:t>
      </w:r>
    </w:p>
    <w:p>
      <w:pPr>
        <w:spacing w:line="360" w:lineRule="auto"/>
        <w:ind w:left="499" w:leftChars="0" w:hanging="499" w:hangingChars="208"/>
        <w:rPr>
          <w:rFonts w:hint="eastAsia"/>
          <w:b w:val="0"/>
          <w:bCs w:val="0"/>
          <w:sz w:val="24"/>
          <w:lang w:eastAsia="zh-CN"/>
        </w:rPr>
      </w:pPr>
      <w:r>
        <w:rPr>
          <w:rFonts w:hint="eastAsia"/>
          <w:sz w:val="24"/>
          <w:lang w:eastAsia="zh-CN"/>
        </w:rPr>
        <w:t>4.1</w:t>
      </w:r>
      <w:r>
        <w:rPr>
          <w:rFonts w:hint="eastAsia"/>
          <w:sz w:val="24"/>
          <w:lang w:val="en-US" w:eastAsia="zh-CN"/>
        </w:rPr>
        <w:t xml:space="preserve"> </w:t>
      </w:r>
      <w:r>
        <w:rPr>
          <w:rFonts w:hint="eastAsia"/>
          <w:sz w:val="24"/>
          <w:lang w:eastAsia="zh-CN"/>
        </w:rPr>
        <w:t>乙方所提供的产品必须是原厂原包装（含货物质量合格证书）产品，质量必须符合国家标准或行业标准以及原厂出厂标准（以说明书为准）</w:t>
      </w:r>
      <w:r>
        <w:rPr>
          <w:rFonts w:hint="eastAsia"/>
          <w:b w:val="0"/>
          <w:bCs w:val="0"/>
          <w:sz w:val="24"/>
          <w:lang w:eastAsia="zh-CN"/>
        </w:rPr>
        <w:t>，如产品不符合本合同中约定的要求，甲方有权拒绝接受。</w:t>
      </w:r>
    </w:p>
    <w:p>
      <w:pPr>
        <w:spacing w:line="360" w:lineRule="auto"/>
        <w:ind w:left="499" w:leftChars="0" w:hanging="499" w:hangingChars="208"/>
        <w:rPr>
          <w:sz w:val="24"/>
          <w:lang w:eastAsia="zh-CN"/>
        </w:rPr>
      </w:pPr>
      <w:r>
        <w:rPr>
          <w:rFonts w:hint="eastAsia"/>
          <w:sz w:val="24"/>
          <w:lang w:eastAsia="zh-CN"/>
        </w:rPr>
        <w:t>4.2</w:t>
      </w:r>
      <w:r>
        <w:rPr>
          <w:rFonts w:hint="eastAsia"/>
          <w:sz w:val="24"/>
          <w:lang w:val="en-US" w:eastAsia="zh-CN"/>
        </w:rPr>
        <w:t xml:space="preserve"> </w:t>
      </w:r>
      <w:r>
        <w:rPr>
          <w:rFonts w:hint="eastAsia"/>
          <w:sz w:val="24"/>
          <w:lang w:eastAsia="zh-CN"/>
        </w:rPr>
        <w:t xml:space="preserve">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left="499" w:leftChars="0" w:hanging="499" w:hangingChars="208"/>
        <w:rPr>
          <w:sz w:val="24"/>
          <w:lang w:eastAsia="zh-CN"/>
        </w:rPr>
      </w:pPr>
      <w:r>
        <w:rPr>
          <w:rFonts w:hint="eastAsia"/>
          <w:sz w:val="24"/>
          <w:lang w:eastAsia="zh-CN"/>
        </w:rPr>
        <w:t>4.3</w:t>
      </w:r>
      <w:r>
        <w:rPr>
          <w:rFonts w:hint="eastAsia"/>
          <w:sz w:val="24"/>
          <w:lang w:val="en-US" w:eastAsia="zh-CN"/>
        </w:rPr>
        <w:t xml:space="preserve"> </w:t>
      </w:r>
      <w:r>
        <w:rPr>
          <w:rFonts w:hint="eastAsia"/>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ind w:left="499" w:leftChars="0" w:hanging="499" w:hangingChars="208"/>
        <w:rPr>
          <w:rFonts w:hint="eastAsia"/>
          <w:sz w:val="24"/>
          <w:lang w:eastAsia="zh-CN"/>
        </w:rPr>
      </w:pPr>
      <w:r>
        <w:rPr>
          <w:rFonts w:hint="eastAsia"/>
          <w:sz w:val="24"/>
          <w:lang w:eastAsia="zh-CN"/>
        </w:rPr>
        <w:t>4.4</w:t>
      </w:r>
      <w:r>
        <w:rPr>
          <w:rFonts w:hint="eastAsia"/>
          <w:sz w:val="24"/>
          <w:lang w:val="en-US" w:eastAsia="zh-CN"/>
        </w:rPr>
        <w:t xml:space="preserve"> </w:t>
      </w:r>
      <w:r>
        <w:rPr>
          <w:rFonts w:hint="eastAsia"/>
          <w:sz w:val="24"/>
          <w:lang w:eastAsia="zh-CN"/>
        </w:rPr>
        <w:t>乙方不按本合同约定交付产品所产生的任何费用由乙方自己承担。</w:t>
      </w:r>
    </w:p>
    <w:p>
      <w:pPr>
        <w:adjustRightInd w:val="0"/>
        <w:snapToGrid w:val="0"/>
        <w:spacing w:line="360" w:lineRule="auto"/>
        <w:ind w:left="480" w:hanging="480" w:hangingChars="200"/>
        <w:rPr>
          <w:rFonts w:hint="eastAsia"/>
          <w:sz w:val="24"/>
          <w:lang w:eastAsia="zh-CN"/>
        </w:rPr>
      </w:pPr>
      <w:r>
        <w:rPr>
          <w:rFonts w:hint="eastAsia"/>
          <w:sz w:val="24"/>
          <w:highlight w:val="none"/>
          <w:lang w:val="en-US" w:eastAsia="zh-CN"/>
        </w:rPr>
        <w:t>4.5 乙方</w:t>
      </w:r>
      <w:r>
        <w:rPr>
          <w:rFonts w:hint="eastAsia"/>
          <w:sz w:val="24"/>
          <w:highlight w:val="none"/>
          <w:lang w:eastAsia="zh-CN"/>
        </w:rPr>
        <w:t>提供</w:t>
      </w:r>
      <w:r>
        <w:rPr>
          <w:rFonts w:hint="eastAsia" w:ascii="宋体" w:hAnsi="宋体" w:cs="宋体"/>
          <w:color w:val="000000" w:themeColor="text1"/>
          <w:sz w:val="24"/>
          <w14:textFill>
            <w14:solidFill>
              <w14:schemeClr w14:val="tx1"/>
            </w14:solidFill>
          </w14:textFill>
        </w:rPr>
        <w:t>橡胶输送带</w:t>
      </w:r>
      <w:r>
        <w:rPr>
          <w:rFonts w:hint="eastAsia" w:cs="宋体"/>
          <w:color w:val="000000" w:themeColor="text1"/>
          <w:sz w:val="24"/>
          <w:lang w:val="en-US" w:eastAsia="zh-CN"/>
          <w14:textFill>
            <w14:solidFill>
              <w14:schemeClr w14:val="tx1"/>
            </w14:solidFill>
          </w14:textFill>
        </w:rPr>
        <w:t>必须</w:t>
      </w:r>
      <w:r>
        <w:rPr>
          <w:rFonts w:hint="eastAsia" w:ascii="宋体" w:hAnsi="宋体" w:cs="宋体"/>
          <w:color w:val="000000" w:themeColor="text1"/>
          <w:sz w:val="24"/>
          <w14:textFill>
            <w14:solidFill>
              <w14:schemeClr w14:val="tx1"/>
            </w14:solidFill>
          </w14:textFill>
        </w:rPr>
        <w:t>遵循技术先进、先进工艺，质量上乘的原则，</w:t>
      </w:r>
      <w:r>
        <w:rPr>
          <w:rFonts w:hint="eastAsia"/>
          <w:sz w:val="24"/>
          <w:highlight w:val="none"/>
          <w:lang w:eastAsia="zh-CN"/>
        </w:rPr>
        <w:t>高质量的</w:t>
      </w:r>
      <w:r>
        <w:rPr>
          <w:rFonts w:hint="eastAsia"/>
          <w:sz w:val="24"/>
          <w:highlight w:val="none"/>
          <w:lang w:val="en-US" w:eastAsia="zh-CN"/>
        </w:rPr>
        <w:t>输送带</w:t>
      </w:r>
      <w:r>
        <w:rPr>
          <w:rFonts w:hint="eastAsia"/>
          <w:sz w:val="24"/>
          <w:highlight w:val="none"/>
          <w:lang w:eastAsia="zh-CN"/>
        </w:rPr>
        <w:t>。这些</w:t>
      </w:r>
      <w:r>
        <w:rPr>
          <w:rFonts w:hint="eastAsia"/>
          <w:sz w:val="24"/>
          <w:highlight w:val="none"/>
          <w:lang w:val="en-US" w:eastAsia="zh-CN"/>
        </w:rPr>
        <w:t>输送带</w:t>
      </w:r>
      <w:r>
        <w:rPr>
          <w:rFonts w:hint="eastAsia"/>
          <w:sz w:val="24"/>
          <w:highlight w:val="none"/>
          <w:lang w:eastAsia="zh-CN"/>
        </w:rPr>
        <w:t>必须是成熟可靠、技术先进的产品，且</w:t>
      </w:r>
      <w:r>
        <w:rPr>
          <w:rFonts w:hint="eastAsia" w:ascii="宋体" w:hAnsi="宋体" w:cs="宋体"/>
          <w:color w:val="000000" w:themeColor="text1"/>
          <w:sz w:val="24"/>
          <w:highlight w:val="none"/>
          <w14:textFill>
            <w14:solidFill>
              <w14:schemeClr w14:val="tx1"/>
            </w14:solidFill>
          </w14:textFill>
        </w:rPr>
        <w:t>产品在国内单机300MW及以上火力发电厂有良好的使用业绩，安全稳定运行三年以上（需提供用户使用证明）。</w:t>
      </w:r>
    </w:p>
    <w:p>
      <w:pPr>
        <w:spacing w:line="360" w:lineRule="auto"/>
        <w:rPr>
          <w:sz w:val="24"/>
          <w:lang w:eastAsia="zh-CN"/>
        </w:rPr>
      </w:pPr>
      <w:r>
        <w:rPr>
          <w:rFonts w:hint="eastAsia"/>
          <w:sz w:val="24"/>
          <w:lang w:eastAsia="zh-CN"/>
        </w:rPr>
        <w:t>5、安装调试、技术服务、人员培训及技术资料</w:t>
      </w:r>
    </w:p>
    <w:p>
      <w:pPr>
        <w:spacing w:line="360" w:lineRule="auto"/>
        <w:rPr>
          <w:sz w:val="24"/>
          <w:lang w:eastAsia="zh-CN"/>
        </w:rPr>
      </w:pPr>
      <w:r>
        <w:rPr>
          <w:rFonts w:hint="eastAsia"/>
          <w:sz w:val="24"/>
          <w:lang w:eastAsia="zh-CN"/>
        </w:rPr>
        <w:t>5.1</w:t>
      </w:r>
      <w:r>
        <w:rPr>
          <w:rFonts w:hint="eastAsia"/>
          <w:sz w:val="24"/>
          <w:lang w:val="en-US" w:eastAsia="zh-CN"/>
        </w:rPr>
        <w:t xml:space="preserve"> </w:t>
      </w:r>
      <w:r>
        <w:rPr>
          <w:rFonts w:hint="eastAsia"/>
          <w:sz w:val="24"/>
          <w:lang w:eastAsia="zh-CN"/>
        </w:rPr>
        <w:t>乙方为甲方提供下列服务（具体以在□内打“√”为准）</w:t>
      </w:r>
    </w:p>
    <w:p>
      <w:pPr>
        <w:spacing w:line="360" w:lineRule="auto"/>
        <w:ind w:left="0" w:leftChars="0" w:firstLine="499" w:firstLineChars="208"/>
        <w:rPr>
          <w:sz w:val="24"/>
          <w:u w:val="single"/>
          <w:lang w:eastAsia="zh-CN"/>
        </w:rPr>
      </w:pPr>
      <w:sdt>
        <w:sdtPr>
          <w:rPr>
            <w:rFonts w:hint="eastAsia" w:ascii="MS Gothic" w:hAnsi="MS Gothic" w:eastAsia="MS Gothic" w:cs="MS Gothic"/>
            <w:sz w:val="24"/>
          </w:rPr>
          <w:id w:val="-22404436"/>
        </w:sdtPr>
        <w:sdtEndPr>
          <w:rPr>
            <w:rFonts w:hint="eastAsia" w:ascii="MS Gothic" w:hAnsi="MS Gothic" w:eastAsia="MS Gothic" w:cs="MS Gothic"/>
            <w:sz w:val="24"/>
          </w:rPr>
        </w:sdtEndPr>
        <w:sdtContent>
          <w:r>
            <w:rPr>
              <w:rFonts w:hint="eastAsia" w:ascii="MS Gothic" w:hAnsi="MS Gothic" w:eastAsia="MS Gothic" w:cs="MS Gothic"/>
              <w:sz w:val="24"/>
              <w:lang w:val="en-US" w:eastAsia="zh-CN"/>
            </w:rPr>
            <w:t>□</w:t>
          </w:r>
        </w:sdtContent>
      </w:sdt>
      <w:r>
        <w:rPr>
          <w:rFonts w:hint="eastAsia"/>
          <w:sz w:val="24"/>
          <w:lang w:eastAsia="zh-CN"/>
        </w:rPr>
        <w:t xml:space="preserve"> 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pPr>
        <w:spacing w:line="360" w:lineRule="auto"/>
        <w:ind w:left="856" w:leftChars="227" w:hanging="357" w:hangingChars="149"/>
        <w:rPr>
          <w:sz w:val="24"/>
          <w:u w:val="none"/>
          <w:lang w:eastAsia="zh-CN"/>
        </w:rPr>
      </w:pPr>
      <w:sdt>
        <w:sdtPr>
          <w:rPr>
            <w:rFonts w:hint="eastAsia" w:ascii="MS Gothic" w:hAnsi="MS Gothic" w:eastAsia="MS Gothic" w:cs="MS Gothic"/>
            <w:sz w:val="24"/>
          </w:rPr>
          <w:id w:val="-1019545688"/>
        </w:sdtPr>
        <w:sdtEndPr>
          <w:rPr>
            <w:rFonts w:hint="eastAsia" w:ascii="MS Gothic" w:hAnsi="MS Gothic" w:eastAsia="MS Gothic" w:cs="MS Gothic"/>
            <w:sz w:val="24"/>
          </w:rPr>
        </w:sdtEndPr>
        <w:sdtContent>
          <w:r>
            <w:rPr>
              <w:rFonts w:hint="eastAsia"/>
              <w:sz w:val="24"/>
              <w:lang w:eastAsia="zh-CN"/>
            </w:rPr>
            <w:t>☑</w:t>
          </w:r>
        </w:sdtContent>
      </w:sdt>
      <w:r>
        <w:rPr>
          <w:rFonts w:hint="eastAsia"/>
          <w:sz w:val="24"/>
          <w:lang w:eastAsia="zh-CN"/>
        </w:rPr>
        <w:t xml:space="preserve"> 技术服务：</w:t>
      </w:r>
      <w:r>
        <w:rPr>
          <w:rFonts w:hint="eastAsia" w:cs="宋体"/>
          <w:sz w:val="24"/>
          <w:szCs w:val="22"/>
          <w:u w:val="single"/>
          <w:lang w:val="en-US" w:eastAsia="zh-CN" w:bidi="ar-SA"/>
        </w:rPr>
        <w:t>输送带使用寿命保证在3年以上。若产品质量在3年内出现质量问题，应由乙方无偿提供相应输送带并赔偿甲方人工等生产费用</w:t>
      </w:r>
      <w:r>
        <w:rPr>
          <w:rFonts w:hint="eastAsia" w:cs="宋体"/>
          <w:sz w:val="24"/>
          <w:szCs w:val="22"/>
          <w:u w:val="none"/>
          <w:lang w:val="en-US" w:eastAsia="zh-CN" w:bidi="ar-SA"/>
        </w:rPr>
        <w:t>。</w:t>
      </w:r>
      <w:r>
        <w:rPr>
          <w:rFonts w:hint="eastAsia" w:ascii="宋体" w:hAnsi="宋体" w:eastAsia="宋体" w:cs="宋体"/>
          <w:sz w:val="24"/>
          <w:szCs w:val="22"/>
          <w:u w:val="none"/>
          <w:lang w:val="en-US" w:eastAsia="zh-CN" w:bidi="ar-SA"/>
        </w:rPr>
        <w:t xml:space="preserve"> </w:t>
      </w:r>
    </w:p>
    <w:p>
      <w:pPr>
        <w:spacing w:line="360" w:lineRule="auto"/>
        <w:ind w:firstLine="480" w:firstLineChars="200"/>
        <w:rPr>
          <w:sz w:val="24"/>
          <w:u w:val="single"/>
          <w:lang w:eastAsia="zh-CN"/>
        </w:rPr>
      </w:pPr>
      <w:sdt>
        <w:sdtPr>
          <w:rPr>
            <w:rFonts w:hint="eastAsia" w:ascii="MS Gothic" w:hAnsi="MS Gothic" w:eastAsia="MS Gothic" w:cs="MS Gothic"/>
            <w:sz w:val="24"/>
          </w:rPr>
          <w:id w:val="1427537698"/>
        </w:sdtPr>
        <w:sdtEndPr>
          <w:rPr>
            <w:rFonts w:hint="eastAsia" w:ascii="MS Gothic" w:hAnsi="MS Gothic" w:eastAsia="MS Gothic" w:cs="MS Gothic"/>
            <w:sz w:val="24"/>
          </w:rPr>
        </w:sdtEndPr>
        <w:sdtContent>
          <w:r>
            <w:rPr>
              <w:rFonts w:hint="eastAsia"/>
              <w:sz w:val="24"/>
              <w:lang w:eastAsia="zh-CN"/>
            </w:rPr>
            <w:t>☑</w:t>
          </w:r>
        </w:sdtContent>
      </w:sdt>
      <w:r>
        <w:rPr>
          <w:rFonts w:hint="eastAsia"/>
          <w:sz w:val="24"/>
          <w:lang w:eastAsia="zh-CN"/>
        </w:rPr>
        <w:t xml:space="preserve"> 人员培训：</w:t>
      </w:r>
      <w:r>
        <w:rPr>
          <w:rFonts w:hint="eastAsia" w:ascii="宋体" w:hAnsi="宋体" w:eastAsia="宋体" w:cs="宋体"/>
          <w:sz w:val="24"/>
          <w:szCs w:val="22"/>
          <w:u w:val="single"/>
          <w:lang w:val="en-US" w:eastAsia="zh-CN" w:bidi="ar-SA"/>
        </w:rPr>
        <w:t xml:space="preserve">   </w:t>
      </w:r>
      <w:r>
        <w:rPr>
          <w:sz w:val="24"/>
          <w:u w:val="single"/>
          <w:lang w:eastAsia="zh-CN"/>
        </w:rPr>
        <w:t xml:space="preserve">         </w:t>
      </w:r>
      <w:r>
        <w:rPr>
          <w:rFonts w:hint="eastAsia"/>
          <w:sz w:val="24"/>
          <w:u w:val="single"/>
          <w:lang w:val="en-US" w:eastAsia="zh-CN"/>
        </w:rPr>
        <w:t xml:space="preserve">    </w:t>
      </w:r>
      <w:r>
        <w:rPr>
          <w:sz w:val="24"/>
          <w:u w:val="single"/>
          <w:lang w:eastAsia="zh-CN"/>
        </w:rPr>
        <w:t xml:space="preserve">   </w:t>
      </w:r>
      <w:r>
        <w:rPr>
          <w:rFonts w:hint="eastAsia"/>
          <w:sz w:val="24"/>
          <w:u w:val="single"/>
          <w:lang w:val="en-US" w:eastAsia="zh-CN"/>
        </w:rPr>
        <w:t xml:space="preserve">   </w:t>
      </w:r>
      <w:r>
        <w:rPr>
          <w:sz w:val="24"/>
          <w:u w:val="single"/>
          <w:lang w:eastAsia="zh-CN"/>
        </w:rPr>
        <w:t xml:space="preserve">   </w:t>
      </w:r>
    </w:p>
    <w:p>
      <w:pPr>
        <w:pStyle w:val="73"/>
        <w:ind w:firstLine="560"/>
        <w:rPr>
          <w:sz w:val="24"/>
          <w:u w:val="none"/>
          <w:lang w:eastAsia="zh-CN"/>
        </w:rPr>
      </w:pPr>
      <w:sdt>
        <w:sdtPr>
          <w:rPr>
            <w:rFonts w:hint="eastAsia"/>
            <w:sz w:val="24"/>
          </w:rPr>
          <w:id w:val="-1252738078"/>
        </w:sdtPr>
        <w:sdtEndPr>
          <w:rPr>
            <w:rFonts w:hint="eastAsia"/>
            <w:sz w:val="24"/>
          </w:rPr>
        </w:sdtEndPr>
        <w:sdtContent>
          <w:sdt>
            <w:sdtPr>
              <w:rPr>
                <w:rFonts w:hint="eastAsia" w:ascii="MS Gothic" w:hAnsi="MS Gothic" w:eastAsia="MS Gothic" w:cs="MS Gothic"/>
                <w:sz w:val="24"/>
              </w:rPr>
              <w:id w:val="1261795763"/>
              <w:showingPlcHdr/>
            </w:sdtPr>
            <w:sdtEndPr>
              <w:rPr>
                <w:rFonts w:hint="eastAsia" w:ascii="MS Gothic" w:hAnsi="MS Gothic" w:eastAsia="MS Gothic" w:cs="MS Gothic"/>
                <w:sz w:val="24"/>
              </w:rPr>
            </w:sdtEndPr>
            <w:sdtContent>
              <w:r>
                <w:rPr>
                  <w:rFonts w:hint="eastAsia"/>
                  <w:sz w:val="24"/>
                  <w:lang w:eastAsia="zh-CN"/>
                </w:rPr>
                <w:t>☑</w:t>
              </w:r>
            </w:sdtContent>
          </w:sdt>
        </w:sdtContent>
      </w:sdt>
      <w:r>
        <w:rPr>
          <w:rFonts w:hint="eastAsia"/>
          <w:sz w:val="24"/>
          <w:lang w:eastAsia="zh-CN"/>
        </w:rPr>
        <w:t xml:space="preserve"> 技术资料：</w:t>
      </w:r>
      <w:r>
        <w:rPr>
          <w:rFonts w:hint="eastAsia" w:ascii="宋体" w:hAnsi="宋体" w:eastAsia="宋体" w:cs="宋体"/>
          <w:sz w:val="24"/>
          <w:szCs w:val="22"/>
          <w:u w:val="single"/>
          <w:lang w:val="en-US" w:eastAsia="zh-CN" w:bidi="ar-SA"/>
        </w:rPr>
        <w:t xml:space="preserve">  合格证、产品说明书、</w:t>
      </w:r>
      <w:r>
        <w:rPr>
          <w:rFonts w:hint="eastAsia" w:ascii="宋体" w:hAnsi="宋体" w:cs="宋体"/>
          <w:sz w:val="24"/>
          <w:szCs w:val="22"/>
          <w:u w:val="single"/>
          <w:lang w:val="en-US" w:eastAsia="zh-CN" w:bidi="ar-SA"/>
        </w:rPr>
        <w:t>性能测试报告</w:t>
      </w:r>
      <w:r>
        <w:rPr>
          <w:rFonts w:hint="eastAsia" w:ascii="宋体" w:hAnsi="宋体" w:eastAsia="宋体" w:cs="宋体"/>
          <w:sz w:val="24"/>
          <w:szCs w:val="22"/>
          <w:u w:val="single"/>
          <w:lang w:val="en-US" w:eastAsia="zh-CN" w:bidi="ar-SA"/>
        </w:rPr>
        <w:t>等相关资料</w:t>
      </w:r>
      <w:r>
        <w:rPr>
          <w:rFonts w:hint="eastAsia" w:ascii="宋体" w:hAnsi="宋体" w:eastAsia="宋体" w:cs="宋体"/>
          <w:sz w:val="24"/>
          <w:szCs w:val="22"/>
          <w:u w:val="none"/>
          <w:lang w:val="en-US" w:eastAsia="zh-CN" w:bidi="ar-SA"/>
        </w:rPr>
        <w:t>。</w:t>
      </w:r>
      <w:r>
        <w:rPr>
          <w:sz w:val="24"/>
          <w:u w:val="none"/>
          <w:lang w:eastAsia="zh-CN"/>
        </w:rPr>
        <w:t xml:space="preserve">             </w:t>
      </w:r>
    </w:p>
    <w:p>
      <w:pPr>
        <w:spacing w:line="360" w:lineRule="auto"/>
        <w:ind w:left="480" w:leftChars="0" w:hanging="480" w:hangingChars="200"/>
        <w:rPr>
          <w:sz w:val="24"/>
          <w:lang w:eastAsia="zh-CN"/>
        </w:rPr>
      </w:pPr>
      <w:r>
        <w:rPr>
          <w:rFonts w:hint="eastAsia"/>
          <w:sz w:val="24"/>
          <w:lang w:eastAsia="zh-CN"/>
        </w:rPr>
        <w:t>5.2</w:t>
      </w:r>
      <w:r>
        <w:rPr>
          <w:rFonts w:hint="eastAsia"/>
          <w:sz w:val="24"/>
          <w:lang w:val="en-US" w:eastAsia="zh-CN"/>
        </w:rPr>
        <w:t xml:space="preserve"> </w:t>
      </w:r>
      <w:r>
        <w:rPr>
          <w:rFonts w:hint="eastAsia"/>
          <w:sz w:val="24"/>
          <w:lang w:eastAsia="zh-CN"/>
        </w:rPr>
        <w:t>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ind w:left="499" w:leftChars="0" w:hanging="499" w:hangingChars="208"/>
        <w:rPr>
          <w:sz w:val="24"/>
          <w:lang w:eastAsia="zh-CN"/>
        </w:rPr>
      </w:pPr>
      <w:r>
        <w:rPr>
          <w:rFonts w:hint="eastAsia"/>
          <w:sz w:val="24"/>
          <w:lang w:eastAsia="zh-CN"/>
        </w:rPr>
        <w:t>6.1</w:t>
      </w:r>
      <w:r>
        <w:rPr>
          <w:rFonts w:hint="eastAsia"/>
          <w:sz w:val="24"/>
          <w:lang w:val="en-US" w:eastAsia="zh-CN"/>
        </w:rPr>
        <w:t xml:space="preserve"> </w:t>
      </w:r>
      <w:r>
        <w:rPr>
          <w:rFonts w:hint="eastAsia"/>
          <w:sz w:val="24"/>
          <w:lang w:eastAsia="zh-CN"/>
        </w:rPr>
        <w:t>货物的货到验收包括：型号、规格、数量、外观质量、及货物包装是否完好。</w:t>
      </w:r>
    </w:p>
    <w:p>
      <w:pPr>
        <w:spacing w:line="360" w:lineRule="auto"/>
        <w:ind w:left="499" w:leftChars="0" w:hanging="499" w:hangingChars="208"/>
        <w:rPr>
          <w:sz w:val="24"/>
          <w:lang w:eastAsia="zh-CN"/>
        </w:rPr>
      </w:pPr>
      <w:r>
        <w:rPr>
          <w:rFonts w:hint="eastAsia"/>
          <w:sz w:val="24"/>
          <w:lang w:eastAsia="zh-CN"/>
        </w:rPr>
        <w:t>6.2</w:t>
      </w:r>
      <w:r>
        <w:rPr>
          <w:rFonts w:hint="eastAsia"/>
          <w:sz w:val="24"/>
          <w:lang w:val="en-US" w:eastAsia="zh-CN"/>
        </w:rPr>
        <w:t xml:space="preserve"> </w:t>
      </w:r>
      <w:r>
        <w:rPr>
          <w:rFonts w:hint="eastAsia"/>
          <w:sz w:val="24"/>
          <w:lang w:eastAsia="zh-CN"/>
        </w:rPr>
        <w:t>乙方对一次开箱不合格（产品有质量故障）的产品予以换新，承担一切与之有关的费用。</w:t>
      </w:r>
    </w:p>
    <w:p>
      <w:pPr>
        <w:spacing w:line="360" w:lineRule="auto"/>
        <w:ind w:left="499" w:leftChars="0" w:hanging="499" w:hangingChars="208"/>
        <w:rPr>
          <w:sz w:val="24"/>
          <w:lang w:eastAsia="zh-CN"/>
        </w:rPr>
      </w:pPr>
      <w:r>
        <w:rPr>
          <w:rFonts w:hint="eastAsia"/>
          <w:sz w:val="24"/>
          <w:lang w:eastAsia="zh-CN"/>
        </w:rPr>
        <w:t>6.3</w:t>
      </w:r>
      <w:r>
        <w:rPr>
          <w:rFonts w:hint="eastAsia"/>
          <w:sz w:val="24"/>
          <w:lang w:val="en-US" w:eastAsia="zh-CN"/>
        </w:rPr>
        <w:t xml:space="preserve"> </w:t>
      </w:r>
      <w:r>
        <w:rPr>
          <w:rFonts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left="499" w:leftChars="0" w:hanging="499" w:hangingChars="208"/>
        <w:rPr>
          <w:sz w:val="24"/>
          <w:lang w:eastAsia="zh-CN"/>
        </w:rPr>
      </w:pPr>
      <w:r>
        <w:rPr>
          <w:rFonts w:hint="eastAsia"/>
          <w:sz w:val="24"/>
          <w:lang w:eastAsia="zh-CN"/>
        </w:rPr>
        <w:t>6.4</w:t>
      </w:r>
      <w:r>
        <w:rPr>
          <w:rFonts w:hint="eastAsia"/>
          <w:sz w:val="24"/>
          <w:lang w:val="en-US" w:eastAsia="zh-CN"/>
        </w:rPr>
        <w:t xml:space="preserve"> </w:t>
      </w:r>
      <w:r>
        <w:rPr>
          <w:rFonts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ind w:left="480" w:leftChars="0" w:hanging="480" w:hangingChars="200"/>
        <w:rPr>
          <w:sz w:val="24"/>
          <w:lang w:eastAsia="zh-CN"/>
        </w:rPr>
      </w:pPr>
      <w:r>
        <w:rPr>
          <w:rFonts w:hint="eastAsia"/>
          <w:sz w:val="24"/>
          <w:lang w:eastAsia="zh-CN"/>
        </w:rPr>
        <w:t>7.1</w:t>
      </w:r>
      <w:r>
        <w:rPr>
          <w:rFonts w:hint="eastAsia"/>
          <w:sz w:val="24"/>
          <w:lang w:val="en-US" w:eastAsia="zh-CN"/>
        </w:rPr>
        <w:t xml:space="preserve"> </w:t>
      </w:r>
      <w:r>
        <w:rPr>
          <w:rFonts w:hint="eastAsia"/>
          <w:sz w:val="24"/>
          <w:lang w:eastAsia="zh-CN"/>
        </w:rPr>
        <w:t>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bookmarkStart w:id="17" w:name="_GoBack"/>
      <w:r>
        <w:rPr>
          <w:rFonts w:hint="eastAsia"/>
          <w:b/>
          <w:bCs/>
          <w:sz w:val="24"/>
          <w:highlight w:val="yellow"/>
          <w:lang w:val="en-US" w:eastAsia="zh-CN"/>
        </w:rPr>
        <w:t>36</w:t>
      </w:r>
      <w:r>
        <w:rPr>
          <w:rFonts w:hint="eastAsia"/>
          <w:b/>
          <w:bCs/>
          <w:sz w:val="24"/>
          <w:highlight w:val="yellow"/>
          <w:lang w:eastAsia="zh-CN"/>
        </w:rPr>
        <w:t>个月</w:t>
      </w:r>
      <w:bookmarkEnd w:id="17"/>
      <w:r>
        <w:rPr>
          <w:rFonts w:hint="eastAsia"/>
          <w:sz w:val="24"/>
          <w:lang w:eastAsia="zh-CN"/>
        </w:rPr>
        <w:t xml:space="preserve">。  </w:t>
      </w:r>
    </w:p>
    <w:p>
      <w:pPr>
        <w:spacing w:line="360" w:lineRule="auto"/>
        <w:ind w:left="480" w:leftChars="0" w:hanging="480" w:hangingChars="200"/>
        <w:rPr>
          <w:b w:val="0"/>
          <w:bCs w:val="0"/>
          <w:sz w:val="24"/>
          <w:lang w:eastAsia="zh-CN"/>
        </w:rPr>
      </w:pPr>
      <w:r>
        <w:rPr>
          <w:rFonts w:hint="eastAsia"/>
          <w:sz w:val="24"/>
          <w:lang w:eastAsia="zh-CN"/>
        </w:rPr>
        <w:t>7.2</w:t>
      </w:r>
      <w:r>
        <w:rPr>
          <w:rFonts w:hint="eastAsia"/>
          <w:sz w:val="24"/>
          <w:lang w:val="en-US" w:eastAsia="zh-CN"/>
        </w:rPr>
        <w:t xml:space="preserve"> </w:t>
      </w:r>
      <w:r>
        <w:rPr>
          <w:rFonts w:hint="eastAsia"/>
          <w:sz w:val="24"/>
          <w:lang w:eastAsia="zh-CN"/>
        </w:rPr>
        <w:t>质量保证期内，产品因自身原因出现故障、损坏或性能等不满足要求等时，乙方在应</w:t>
      </w:r>
      <w:r>
        <w:rPr>
          <w:rFonts w:hint="eastAsia"/>
          <w:b w:val="0"/>
          <w:bCs w:val="0"/>
          <w:sz w:val="24"/>
          <w:lang w:eastAsia="zh-CN"/>
        </w:rPr>
        <w:t>在48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left="480" w:leftChars="0" w:hanging="480" w:hangingChars="200"/>
        <w:rPr>
          <w:b w:val="0"/>
          <w:bCs w:val="0"/>
          <w:sz w:val="24"/>
          <w:lang w:eastAsia="zh-CN"/>
        </w:rPr>
      </w:pPr>
      <w:r>
        <w:rPr>
          <w:rFonts w:hint="eastAsia"/>
          <w:b w:val="0"/>
          <w:bCs w:val="0"/>
          <w:sz w:val="24"/>
          <w:lang w:val="en-US" w:eastAsia="zh-CN"/>
        </w:rPr>
        <w:t>7</w:t>
      </w:r>
      <w:r>
        <w:rPr>
          <w:rFonts w:hint="eastAsia"/>
          <w:b w:val="0"/>
          <w:bCs w:val="0"/>
          <w:sz w:val="24"/>
          <w:lang w:eastAsia="zh-CN"/>
        </w:rPr>
        <w:t>.3</w:t>
      </w:r>
      <w:r>
        <w:rPr>
          <w:rFonts w:hint="eastAsia"/>
          <w:b w:val="0"/>
          <w:bCs w:val="0"/>
          <w:sz w:val="24"/>
          <w:lang w:val="en-US" w:eastAsia="zh-CN"/>
        </w:rPr>
        <w:t xml:space="preserve"> </w:t>
      </w:r>
      <w:r>
        <w:rPr>
          <w:b w:val="0"/>
          <w:bCs w:val="0"/>
          <w:sz w:val="24"/>
          <w:lang w:eastAsia="zh-CN"/>
        </w:rPr>
        <w:t>在产品质量保证期内，如因产品质量问题给</w:t>
      </w:r>
      <w:r>
        <w:rPr>
          <w:rFonts w:hint="eastAsia"/>
          <w:b w:val="0"/>
          <w:bCs w:val="0"/>
          <w:sz w:val="24"/>
          <w:lang w:eastAsia="zh-CN"/>
        </w:rPr>
        <w:t>甲方</w:t>
      </w:r>
      <w:r>
        <w:rPr>
          <w:b w:val="0"/>
          <w:bCs w:val="0"/>
          <w:sz w:val="24"/>
          <w:lang w:eastAsia="zh-CN"/>
        </w:rPr>
        <w:t>造成损失的，</w:t>
      </w:r>
      <w:r>
        <w:rPr>
          <w:rFonts w:hint="eastAsia"/>
          <w:b w:val="0"/>
          <w:bCs w:val="0"/>
          <w:sz w:val="24"/>
          <w:lang w:eastAsia="zh-CN"/>
        </w:rPr>
        <w:t>乙方</w:t>
      </w:r>
      <w:r>
        <w:rPr>
          <w:b w:val="0"/>
          <w:bCs w:val="0"/>
          <w:sz w:val="24"/>
          <w:lang w:eastAsia="zh-CN"/>
        </w:rPr>
        <w:t>还应赔偿</w:t>
      </w:r>
      <w:r>
        <w:rPr>
          <w:rFonts w:hint="eastAsia"/>
          <w:b w:val="0"/>
          <w:bCs w:val="0"/>
          <w:sz w:val="24"/>
          <w:lang w:eastAsia="zh-CN"/>
        </w:rPr>
        <w:t>甲方由此</w:t>
      </w:r>
      <w:r>
        <w:rPr>
          <w:b w:val="0"/>
          <w:bCs w:val="0"/>
          <w:sz w:val="24"/>
          <w:lang w:eastAsia="zh-CN"/>
        </w:rPr>
        <w:t>遭受的损失</w:t>
      </w:r>
      <w:r>
        <w:rPr>
          <w:rFonts w:hint="eastAsia"/>
          <w:b w:val="0"/>
          <w:bCs w:val="0"/>
          <w:sz w:val="24"/>
          <w:lang w:eastAsia="zh-CN"/>
        </w:rPr>
        <w:t>及相关费用</w:t>
      </w:r>
      <w:r>
        <w:rPr>
          <w:b w:val="0"/>
          <w:bCs w:val="0"/>
          <w:sz w:val="24"/>
          <w:lang w:eastAsia="zh-CN"/>
        </w:rPr>
        <w:t>。</w:t>
      </w:r>
    </w:p>
    <w:p>
      <w:pPr>
        <w:spacing w:line="360" w:lineRule="auto"/>
        <w:ind w:left="480" w:leftChars="0" w:hanging="480" w:hangingChars="200"/>
        <w:rPr>
          <w:b w:val="0"/>
          <w:bCs w:val="0"/>
          <w:sz w:val="24"/>
          <w:lang w:eastAsia="zh-CN"/>
        </w:rPr>
      </w:pPr>
      <w:r>
        <w:rPr>
          <w:rFonts w:hint="eastAsia"/>
          <w:b w:val="0"/>
          <w:bCs w:val="0"/>
          <w:sz w:val="24"/>
          <w:lang w:eastAsia="zh-CN"/>
        </w:rPr>
        <w:t>7.4</w:t>
      </w:r>
      <w:r>
        <w:rPr>
          <w:rFonts w:hint="eastAsia"/>
          <w:b w:val="0"/>
          <w:bCs w:val="0"/>
          <w:sz w:val="24"/>
          <w:lang w:val="en-US" w:eastAsia="zh-CN"/>
        </w:rPr>
        <w:t xml:space="preserve"> </w:t>
      </w:r>
      <w:r>
        <w:rPr>
          <w:rFonts w:hint="eastAsia"/>
          <w:b w:val="0"/>
          <w:bCs w:val="0"/>
          <w:sz w:val="24"/>
          <w:lang w:eastAsia="zh-CN"/>
        </w:rPr>
        <w:t>质量保证期的顺延：</w:t>
      </w:r>
      <w:r>
        <w:rPr>
          <w:b w:val="0"/>
          <w:bCs w:val="0"/>
          <w:sz w:val="24"/>
          <w:lang w:eastAsia="zh-CN"/>
        </w:rPr>
        <w:t>在质量保证期内，</w:t>
      </w:r>
      <w:r>
        <w:rPr>
          <w:rFonts w:hint="eastAsia"/>
          <w:b w:val="0"/>
          <w:bCs w:val="0"/>
          <w:sz w:val="24"/>
          <w:lang w:eastAsia="zh-CN"/>
        </w:rPr>
        <w:t>因需要修理有缺陷的设备，而使合同设备停运或推迟安装时，则保证期应按实际修理所延误的时间做相应的延长。非因甲方原因</w:t>
      </w:r>
      <w:r>
        <w:rPr>
          <w:b w:val="0"/>
          <w:bCs w:val="0"/>
          <w:sz w:val="24"/>
          <w:lang w:eastAsia="zh-CN"/>
        </w:rPr>
        <w:t>导致全部货物或零部件更换时，则所更换部件/货物的质量保证期为自更换并验收合格之日起重新计算。</w:t>
      </w:r>
    </w:p>
    <w:p>
      <w:pPr>
        <w:spacing w:line="360" w:lineRule="auto"/>
        <w:ind w:left="480" w:leftChars="0" w:hanging="480" w:hangingChars="200"/>
        <w:rPr>
          <w:b w:val="0"/>
          <w:bCs w:val="0"/>
          <w:sz w:val="24"/>
          <w:lang w:eastAsia="zh-CN"/>
        </w:rPr>
      </w:pPr>
      <w:r>
        <w:rPr>
          <w:rFonts w:hint="eastAsia"/>
          <w:b w:val="0"/>
          <w:bCs w:val="0"/>
          <w:sz w:val="24"/>
          <w:lang w:eastAsia="zh-CN"/>
        </w:rPr>
        <w:t>7.5</w:t>
      </w:r>
      <w:r>
        <w:rPr>
          <w:rFonts w:hint="eastAsia"/>
          <w:b w:val="0"/>
          <w:bCs w:val="0"/>
          <w:sz w:val="24"/>
          <w:lang w:val="en-US" w:eastAsia="zh-CN"/>
        </w:rPr>
        <w:t xml:space="preserve"> </w:t>
      </w:r>
      <w:r>
        <w:rPr>
          <w:rFonts w:hint="eastAsia"/>
          <w:b w:val="0"/>
          <w:bCs w:val="0"/>
          <w:sz w:val="24"/>
          <w:lang w:eastAsia="zh-CN"/>
        </w:rPr>
        <w:t>产品质量缺陷责任：</w:t>
      </w:r>
      <w:r>
        <w:rPr>
          <w:b w:val="0"/>
          <w:bCs w:val="0"/>
          <w:sz w:val="24"/>
          <w:lang w:eastAsia="zh-CN"/>
        </w:rPr>
        <w:t>在质量保证期过后</w:t>
      </w:r>
      <w:r>
        <w:rPr>
          <w:rFonts w:hint="eastAsia"/>
          <w:b w:val="0"/>
          <w:bCs w:val="0"/>
          <w:sz w:val="24"/>
          <w:lang w:eastAsia="zh-CN"/>
        </w:rPr>
        <w:t>甲方</w:t>
      </w:r>
      <w:r>
        <w:rPr>
          <w:b w:val="0"/>
          <w:bCs w:val="0"/>
          <w:sz w:val="24"/>
          <w:lang w:eastAsia="zh-CN"/>
        </w:rPr>
        <w:t>发现的比如材质错误等原则性</w:t>
      </w:r>
      <w:r>
        <w:rPr>
          <w:rFonts w:hint="eastAsia"/>
          <w:b w:val="0"/>
          <w:bCs w:val="0"/>
          <w:sz w:val="24"/>
          <w:lang w:eastAsia="zh-CN"/>
        </w:rPr>
        <w:t>产品质量缺陷</w:t>
      </w:r>
      <w:r>
        <w:rPr>
          <w:b w:val="0"/>
          <w:bCs w:val="0"/>
          <w:sz w:val="24"/>
          <w:lang w:eastAsia="zh-CN"/>
        </w:rPr>
        <w:t>问题，仍属于</w:t>
      </w:r>
      <w:r>
        <w:rPr>
          <w:rFonts w:hint="eastAsia"/>
          <w:b w:val="0"/>
          <w:bCs w:val="0"/>
          <w:sz w:val="24"/>
          <w:lang w:eastAsia="zh-CN"/>
        </w:rPr>
        <w:t>乙方</w:t>
      </w:r>
      <w:r>
        <w:rPr>
          <w:b w:val="0"/>
          <w:bCs w:val="0"/>
          <w:sz w:val="24"/>
          <w:lang w:eastAsia="zh-CN"/>
        </w:rPr>
        <w:t>的</w:t>
      </w:r>
      <w:r>
        <w:rPr>
          <w:rFonts w:hint="eastAsia"/>
          <w:b w:val="0"/>
          <w:bCs w:val="0"/>
          <w:sz w:val="24"/>
          <w:lang w:eastAsia="zh-CN"/>
        </w:rPr>
        <w:t>质量</w:t>
      </w:r>
      <w:r>
        <w:rPr>
          <w:b w:val="0"/>
          <w:bCs w:val="0"/>
          <w:sz w:val="24"/>
          <w:lang w:eastAsia="zh-CN"/>
        </w:rPr>
        <w:t>责任，</w:t>
      </w:r>
      <w:r>
        <w:rPr>
          <w:rFonts w:hint="eastAsia"/>
          <w:b w:val="0"/>
          <w:bCs w:val="0"/>
          <w:sz w:val="24"/>
          <w:lang w:eastAsia="zh-CN"/>
        </w:rPr>
        <w:t>乙方</w:t>
      </w:r>
      <w:r>
        <w:rPr>
          <w:b w:val="0"/>
          <w:bCs w:val="0"/>
          <w:sz w:val="24"/>
          <w:lang w:eastAsia="zh-CN"/>
        </w:rPr>
        <w:t>仍需承担</w:t>
      </w:r>
      <w:r>
        <w:rPr>
          <w:rFonts w:hint="eastAsia"/>
          <w:b w:val="0"/>
          <w:bCs w:val="0"/>
          <w:sz w:val="24"/>
          <w:lang w:eastAsia="zh-CN"/>
        </w:rPr>
        <w:t>相应责任</w:t>
      </w:r>
      <w:r>
        <w:rPr>
          <w:b w:val="0"/>
          <w:bCs w:val="0"/>
          <w:sz w:val="24"/>
          <w:lang w:eastAsia="zh-CN"/>
        </w:rPr>
        <w:t>，如该货物给</w:t>
      </w:r>
      <w:r>
        <w:rPr>
          <w:rFonts w:hint="eastAsia"/>
          <w:b w:val="0"/>
          <w:bCs w:val="0"/>
          <w:sz w:val="24"/>
          <w:lang w:eastAsia="zh-CN"/>
        </w:rPr>
        <w:t>甲方</w:t>
      </w:r>
      <w:r>
        <w:rPr>
          <w:b w:val="0"/>
          <w:bCs w:val="0"/>
          <w:sz w:val="24"/>
          <w:lang w:eastAsia="zh-CN"/>
        </w:rPr>
        <w:t>或第三方造成损失的，</w:t>
      </w:r>
      <w:r>
        <w:rPr>
          <w:rFonts w:hint="eastAsia"/>
          <w:b w:val="0"/>
          <w:bCs w:val="0"/>
          <w:sz w:val="24"/>
          <w:lang w:eastAsia="zh-CN"/>
        </w:rPr>
        <w:t>乙方</w:t>
      </w:r>
      <w:r>
        <w:rPr>
          <w:b w:val="0"/>
          <w:bCs w:val="0"/>
          <w:sz w:val="24"/>
          <w:lang w:eastAsia="zh-CN"/>
        </w:rPr>
        <w:t>还应承担赔偿责任。</w:t>
      </w:r>
    </w:p>
    <w:p>
      <w:pPr>
        <w:spacing w:line="360" w:lineRule="auto"/>
        <w:ind w:left="499" w:leftChars="0" w:hanging="499" w:hangingChars="208"/>
        <w:rPr>
          <w:sz w:val="24"/>
          <w:lang w:eastAsia="zh-CN"/>
        </w:rPr>
      </w:pPr>
      <w:r>
        <w:rPr>
          <w:rFonts w:hint="eastAsia"/>
          <w:sz w:val="24"/>
          <w:lang w:eastAsia="zh-CN"/>
        </w:rPr>
        <w:t>8、违约责任</w:t>
      </w:r>
    </w:p>
    <w:p>
      <w:pPr>
        <w:spacing w:line="360" w:lineRule="auto"/>
        <w:ind w:left="499" w:leftChars="0" w:hanging="499" w:hangingChars="208"/>
        <w:rPr>
          <w:b w:val="0"/>
          <w:bCs w:val="0"/>
          <w:sz w:val="24"/>
          <w:lang w:eastAsia="zh-CN"/>
        </w:rPr>
      </w:pPr>
      <w:r>
        <w:rPr>
          <w:rFonts w:hint="eastAsia"/>
          <w:sz w:val="24"/>
          <w:lang w:eastAsia="zh-CN"/>
        </w:rPr>
        <w:t>8.1</w:t>
      </w:r>
      <w:r>
        <w:rPr>
          <w:rFonts w:hint="eastAsia"/>
          <w:sz w:val="24"/>
          <w:lang w:val="en-US" w:eastAsia="zh-CN"/>
        </w:rPr>
        <w:t xml:space="preserve"> </w:t>
      </w:r>
      <w:r>
        <w:rPr>
          <w:rFonts w:hint="eastAsia"/>
          <w:sz w:val="24"/>
          <w:lang w:eastAsia="zh-CN"/>
        </w:rPr>
        <w:t>乙方逾期交货的，每日按照合同总额的</w:t>
      </w:r>
      <w:r>
        <w:rPr>
          <w:color w:val="auto"/>
          <w:sz w:val="24"/>
          <w:u w:val="single"/>
          <w:lang w:eastAsia="zh-CN"/>
        </w:rPr>
        <w:t xml:space="preserve"> </w:t>
      </w:r>
      <w:r>
        <w:rPr>
          <w:rFonts w:hint="eastAsia"/>
          <w:color w:val="auto"/>
          <w:sz w:val="24"/>
          <w:u w:val="single"/>
          <w:lang w:eastAsia="zh-CN"/>
        </w:rPr>
        <w:t>1</w:t>
      </w:r>
      <w:r>
        <w:rPr>
          <w:color w:val="auto"/>
          <w:sz w:val="24"/>
          <w:u w:val="single"/>
          <w:lang w:eastAsia="zh-CN"/>
        </w:rPr>
        <w:t xml:space="preserve"> </w:t>
      </w:r>
      <w:r>
        <w:rPr>
          <w:rFonts w:hint="eastAsia"/>
          <w:color w:val="auto"/>
          <w:sz w:val="24"/>
          <w:lang w:eastAsia="zh-CN"/>
        </w:rPr>
        <w:t>%</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日的，甲方有权解除合同，并要求乙方一次性支付合同总额</w:t>
      </w:r>
      <w:r>
        <w:rPr>
          <w:rFonts w:hint="eastAsia"/>
          <w:sz w:val="24"/>
          <w:u w:val="single"/>
          <w:lang w:eastAsia="zh-CN"/>
        </w:rPr>
        <w:t xml:space="preserve"> 20</w:t>
      </w:r>
      <w:r>
        <w:rPr>
          <w:sz w:val="24"/>
          <w:u w:val="single"/>
          <w:lang w:eastAsia="zh-CN"/>
        </w:rPr>
        <w:t xml:space="preserve"> </w:t>
      </w:r>
      <w:r>
        <w:rPr>
          <w:rFonts w:hint="eastAsia"/>
          <w:sz w:val="24"/>
          <w:lang w:eastAsia="zh-CN"/>
        </w:rPr>
        <w:t>%的违约金</w:t>
      </w:r>
      <w:r>
        <w:rPr>
          <w:rFonts w:hint="eastAsia"/>
          <w:b w:val="0"/>
          <w:bCs w:val="0"/>
          <w:szCs w:val="21"/>
          <w:lang w:eastAsia="zh-CN"/>
        </w:rPr>
        <w:t>，</w:t>
      </w:r>
      <w:r>
        <w:rPr>
          <w:rFonts w:hint="eastAsia"/>
          <w:b w:val="0"/>
          <w:bCs w:val="0"/>
          <w:sz w:val="24"/>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pPr>
        <w:spacing w:line="360" w:lineRule="auto"/>
        <w:ind w:left="499" w:leftChars="0" w:hanging="499" w:hangingChars="208"/>
        <w:rPr>
          <w:b w:val="0"/>
          <w:bCs w:val="0"/>
          <w:sz w:val="24"/>
          <w:lang w:eastAsia="zh-CN"/>
        </w:rPr>
      </w:pPr>
      <w:r>
        <w:rPr>
          <w:rFonts w:hint="eastAsia"/>
          <w:b w:val="0"/>
          <w:bCs w:val="0"/>
          <w:sz w:val="24"/>
          <w:lang w:eastAsia="zh-CN"/>
        </w:rPr>
        <w:t>8.2 乙方交付的产品经甲方验收不合格的，应根据甲方要求进行修理、更换或退货。如甲方选择退货，即解除或部分解除合同的，乙方应退还所有甲方已付款项，甲方并有权要求乙方支付解除部分对应货值</w:t>
      </w:r>
      <w:r>
        <w:rPr>
          <w:rFonts w:hint="eastAsia"/>
          <w:b w:val="0"/>
          <w:bCs w:val="0"/>
          <w:sz w:val="24"/>
          <w:u w:val="single"/>
          <w:lang w:eastAsia="zh-CN"/>
        </w:rPr>
        <w:t xml:space="preserve"> 20 </w:t>
      </w:r>
      <w:r>
        <w:rPr>
          <w:rFonts w:hint="eastAsia"/>
          <w:b w:val="0"/>
          <w:bCs w:val="0"/>
          <w:sz w:val="24"/>
          <w:lang w:eastAsia="zh-CN"/>
        </w:rPr>
        <w:t>%的违约金，如违约金不足以弥补甲方损失（包括但不限于甲方重新采购该货物所增加的费用），乙方还应对不足部分承担赔偿责任。</w:t>
      </w:r>
    </w:p>
    <w:p>
      <w:pPr>
        <w:spacing w:line="360" w:lineRule="auto"/>
        <w:ind w:left="499" w:leftChars="0" w:hanging="499" w:hangingChars="208"/>
        <w:rPr>
          <w:rFonts w:hint="eastAsia"/>
          <w:sz w:val="24"/>
          <w:lang w:eastAsia="zh-CN"/>
        </w:rPr>
      </w:pPr>
      <w:r>
        <w:rPr>
          <w:rFonts w:hint="eastAsia"/>
          <w:sz w:val="24"/>
          <w:lang w:eastAsia="zh-CN"/>
        </w:rPr>
        <w:t>8.3 甲方无故逾期付款的，按照全国银行间同业拆借中心公布的贷款市场报价利率支付利息。</w:t>
      </w:r>
    </w:p>
    <w:p>
      <w:pPr>
        <w:spacing w:line="360" w:lineRule="auto"/>
        <w:ind w:left="499" w:leftChars="0" w:hanging="499" w:hangingChars="208"/>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left="499" w:leftChars="0" w:hanging="499" w:hangingChars="208"/>
        <w:rPr>
          <w:sz w:val="24"/>
          <w:lang w:eastAsia="zh-CN"/>
        </w:rPr>
      </w:pPr>
      <w:r>
        <w:rPr>
          <w:rFonts w:hint="eastAsia"/>
          <w:sz w:val="24"/>
          <w:lang w:eastAsia="zh-CN"/>
        </w:rPr>
        <w:t>9、法律的适用及争议解决方式</w:t>
      </w:r>
    </w:p>
    <w:p>
      <w:pPr>
        <w:spacing w:line="360" w:lineRule="auto"/>
        <w:ind w:left="499" w:leftChars="0" w:hanging="499" w:hangingChars="208"/>
        <w:rPr>
          <w:sz w:val="24"/>
          <w:lang w:eastAsia="zh-CN"/>
        </w:rPr>
      </w:pPr>
      <w:r>
        <w:rPr>
          <w:rFonts w:hint="eastAsia"/>
          <w:sz w:val="24"/>
          <w:lang w:eastAsia="zh-CN"/>
        </w:rPr>
        <w:t>9.1</w:t>
      </w:r>
      <w:r>
        <w:rPr>
          <w:rFonts w:hint="eastAsia"/>
          <w:sz w:val="24"/>
          <w:lang w:val="en-US" w:eastAsia="zh-CN"/>
        </w:rPr>
        <w:t xml:space="preserve"> </w:t>
      </w:r>
      <w:r>
        <w:rPr>
          <w:rFonts w:hint="eastAsia"/>
          <w:sz w:val="24"/>
          <w:lang w:eastAsia="zh-CN"/>
        </w:rPr>
        <w:t>本合同的效力、解释及履行均适用中华人民共和国法律。</w:t>
      </w:r>
    </w:p>
    <w:p>
      <w:pPr>
        <w:spacing w:line="360" w:lineRule="auto"/>
        <w:ind w:left="499" w:leftChars="0" w:hanging="499" w:hangingChars="208"/>
        <w:rPr>
          <w:sz w:val="24"/>
          <w:lang w:eastAsia="zh-CN"/>
        </w:rPr>
      </w:pPr>
      <w:r>
        <w:rPr>
          <w:rFonts w:hint="eastAsia"/>
          <w:sz w:val="24"/>
          <w:lang w:eastAsia="zh-CN"/>
        </w:rPr>
        <w:t>9.2</w:t>
      </w:r>
      <w:r>
        <w:rPr>
          <w:rFonts w:hint="eastAsia"/>
          <w:sz w:val="24"/>
          <w:lang w:val="en-US" w:eastAsia="zh-CN"/>
        </w:rPr>
        <w:t xml:space="preserve"> </w:t>
      </w:r>
      <w:r>
        <w:rPr>
          <w:rFonts w:hint="eastAsia"/>
          <w:sz w:val="24"/>
          <w:lang w:eastAsia="zh-CN"/>
        </w:rPr>
        <w:t>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4"/>
        </w:numPr>
        <w:spacing w:line="360" w:lineRule="auto"/>
        <w:ind w:left="0" w:leftChars="0" w:firstLine="0" w:firstLineChars="0"/>
        <w:rPr>
          <w:rFonts w:hint="eastAsia"/>
          <w:sz w:val="24"/>
          <w:lang w:eastAsia="zh-CN"/>
        </w:rPr>
      </w:pPr>
      <w:r>
        <w:rPr>
          <w:rFonts w:hint="eastAsia"/>
          <w:sz w:val="24"/>
          <w:lang w:eastAsia="zh-CN"/>
        </w:rPr>
        <w:t>本合同一式四份，经双方签订后生效，甲方执三份、乙方执一份，具有同等效力。</w:t>
      </w:r>
    </w:p>
    <w:p>
      <w:pPr>
        <w:pStyle w:val="2"/>
        <w:rPr>
          <w:rFonts w:hint="eastAsia"/>
          <w:lang w:eastAsia="zh-CN"/>
        </w:rPr>
      </w:pPr>
    </w:p>
    <w:tbl>
      <w:tblPr>
        <w:tblStyle w:val="31"/>
        <w:tblW w:w="98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0"/>
        <w:gridCol w:w="4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jc w:val="center"/>
        </w:trPr>
        <w:tc>
          <w:tcPr>
            <w:tcW w:w="4980" w:type="dxa"/>
            <w:vAlign w:val="center"/>
          </w:tcPr>
          <w:p>
            <w:pPr>
              <w:spacing w:line="360" w:lineRule="auto"/>
              <w:jc w:val="both"/>
              <w:rPr>
                <w:sz w:val="24"/>
                <w:lang w:eastAsia="zh-CN"/>
              </w:rPr>
            </w:pPr>
            <w:r>
              <w:rPr>
                <w:rFonts w:hint="eastAsia"/>
                <w:sz w:val="24"/>
                <w:lang w:eastAsia="zh-CN"/>
              </w:rPr>
              <w:t>甲方：腾龙芳烃（漳州）有限公司</w:t>
            </w:r>
          </w:p>
        </w:tc>
        <w:tc>
          <w:tcPr>
            <w:tcW w:w="4840" w:type="dxa"/>
            <w:vAlign w:val="center"/>
          </w:tcPr>
          <w:p>
            <w:pPr>
              <w:spacing w:line="360" w:lineRule="auto"/>
              <w:jc w:val="both"/>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jc w:val="center"/>
        </w:trPr>
        <w:tc>
          <w:tcPr>
            <w:tcW w:w="4980" w:type="dxa"/>
            <w:vAlign w:val="center"/>
          </w:tcPr>
          <w:p>
            <w:pPr>
              <w:spacing w:line="360" w:lineRule="auto"/>
              <w:jc w:val="both"/>
              <w:rPr>
                <w:sz w:val="24"/>
              </w:rPr>
            </w:pPr>
            <w:r>
              <w:rPr>
                <w:rFonts w:hint="eastAsia"/>
                <w:sz w:val="24"/>
              </w:rPr>
              <w:t>联系地址：</w:t>
            </w:r>
          </w:p>
        </w:tc>
        <w:tc>
          <w:tcPr>
            <w:tcW w:w="4840" w:type="dxa"/>
            <w:vAlign w:val="center"/>
          </w:tcPr>
          <w:p>
            <w:pPr>
              <w:spacing w:line="360" w:lineRule="auto"/>
              <w:jc w:val="both"/>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jc w:val="center"/>
        </w:trPr>
        <w:tc>
          <w:tcPr>
            <w:tcW w:w="4980" w:type="dxa"/>
            <w:vAlign w:val="center"/>
          </w:tcPr>
          <w:p>
            <w:pPr>
              <w:spacing w:line="360" w:lineRule="auto"/>
              <w:jc w:val="both"/>
              <w:rPr>
                <w:sz w:val="24"/>
              </w:rPr>
            </w:pPr>
            <w:r>
              <w:rPr>
                <w:rFonts w:hint="eastAsia"/>
                <w:sz w:val="24"/>
              </w:rPr>
              <w:t>邮编：</w:t>
            </w:r>
          </w:p>
        </w:tc>
        <w:tc>
          <w:tcPr>
            <w:tcW w:w="4840" w:type="dxa"/>
            <w:vAlign w:val="center"/>
          </w:tcPr>
          <w:p>
            <w:pPr>
              <w:spacing w:line="360" w:lineRule="auto"/>
              <w:jc w:val="both"/>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jc w:val="center"/>
        </w:trPr>
        <w:tc>
          <w:tcPr>
            <w:tcW w:w="4980" w:type="dxa"/>
            <w:vAlign w:val="center"/>
          </w:tcPr>
          <w:p>
            <w:pPr>
              <w:spacing w:line="360" w:lineRule="auto"/>
              <w:jc w:val="both"/>
              <w:rPr>
                <w:sz w:val="24"/>
              </w:rPr>
            </w:pPr>
            <w:r>
              <w:rPr>
                <w:rFonts w:hint="eastAsia"/>
                <w:sz w:val="24"/>
              </w:rPr>
              <w:t>电子邮箱：</w:t>
            </w:r>
          </w:p>
        </w:tc>
        <w:tc>
          <w:tcPr>
            <w:tcW w:w="4840" w:type="dxa"/>
            <w:vAlign w:val="center"/>
          </w:tcPr>
          <w:p>
            <w:pPr>
              <w:spacing w:line="360" w:lineRule="auto"/>
              <w:jc w:val="both"/>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jc w:val="center"/>
        </w:trPr>
        <w:tc>
          <w:tcPr>
            <w:tcW w:w="4980" w:type="dxa"/>
            <w:vAlign w:val="center"/>
          </w:tcPr>
          <w:p>
            <w:pPr>
              <w:spacing w:line="360" w:lineRule="auto"/>
              <w:jc w:val="both"/>
              <w:rPr>
                <w:sz w:val="24"/>
              </w:rPr>
            </w:pPr>
            <w:r>
              <w:rPr>
                <w:rFonts w:hint="eastAsia"/>
                <w:sz w:val="24"/>
              </w:rPr>
              <w:t>委托代理人：</w:t>
            </w:r>
          </w:p>
        </w:tc>
        <w:tc>
          <w:tcPr>
            <w:tcW w:w="4840" w:type="dxa"/>
            <w:vAlign w:val="center"/>
          </w:tcPr>
          <w:p>
            <w:pPr>
              <w:spacing w:line="360" w:lineRule="auto"/>
              <w:jc w:val="both"/>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jc w:val="center"/>
        </w:trPr>
        <w:tc>
          <w:tcPr>
            <w:tcW w:w="4980" w:type="dxa"/>
            <w:vAlign w:val="center"/>
          </w:tcPr>
          <w:p>
            <w:pPr>
              <w:spacing w:line="360" w:lineRule="auto"/>
              <w:jc w:val="both"/>
              <w:rPr>
                <w:sz w:val="24"/>
              </w:rPr>
            </w:pPr>
            <w:r>
              <w:rPr>
                <w:rFonts w:hint="eastAsia"/>
                <w:sz w:val="24"/>
              </w:rPr>
              <w:t>电话：</w:t>
            </w:r>
          </w:p>
        </w:tc>
        <w:tc>
          <w:tcPr>
            <w:tcW w:w="4840" w:type="dxa"/>
            <w:vAlign w:val="center"/>
          </w:tcPr>
          <w:p>
            <w:pPr>
              <w:spacing w:line="360" w:lineRule="auto"/>
              <w:jc w:val="both"/>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jc w:val="center"/>
        </w:trPr>
        <w:tc>
          <w:tcPr>
            <w:tcW w:w="4980" w:type="dxa"/>
            <w:vAlign w:val="center"/>
          </w:tcPr>
          <w:p>
            <w:pPr>
              <w:spacing w:line="360" w:lineRule="auto"/>
              <w:jc w:val="both"/>
              <w:rPr>
                <w:sz w:val="24"/>
              </w:rPr>
            </w:pPr>
            <w:r>
              <w:rPr>
                <w:rFonts w:hint="eastAsia"/>
                <w:sz w:val="24"/>
              </w:rPr>
              <w:t>开户银行：</w:t>
            </w:r>
          </w:p>
        </w:tc>
        <w:tc>
          <w:tcPr>
            <w:tcW w:w="4840" w:type="dxa"/>
            <w:vAlign w:val="center"/>
          </w:tcPr>
          <w:p>
            <w:pPr>
              <w:spacing w:line="360" w:lineRule="auto"/>
              <w:jc w:val="both"/>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jc w:val="center"/>
        </w:trPr>
        <w:tc>
          <w:tcPr>
            <w:tcW w:w="4980" w:type="dxa"/>
            <w:vAlign w:val="center"/>
          </w:tcPr>
          <w:p>
            <w:pPr>
              <w:spacing w:line="360" w:lineRule="auto"/>
              <w:jc w:val="both"/>
              <w:rPr>
                <w:sz w:val="24"/>
              </w:rPr>
            </w:pPr>
            <w:r>
              <w:rPr>
                <w:rFonts w:hint="eastAsia"/>
                <w:sz w:val="24"/>
              </w:rPr>
              <w:t>账号：</w:t>
            </w:r>
          </w:p>
        </w:tc>
        <w:tc>
          <w:tcPr>
            <w:tcW w:w="4840" w:type="dxa"/>
            <w:vAlign w:val="center"/>
          </w:tcPr>
          <w:p>
            <w:pPr>
              <w:spacing w:line="360" w:lineRule="auto"/>
              <w:jc w:val="both"/>
              <w:rPr>
                <w:sz w:val="24"/>
              </w:rPr>
            </w:pPr>
            <w:r>
              <w:rPr>
                <w:rFonts w:hint="eastAsia"/>
                <w:sz w:val="24"/>
              </w:rPr>
              <w:t>账号：</w:t>
            </w:r>
          </w:p>
        </w:tc>
      </w:tr>
    </w:tbl>
    <w:p>
      <w:pPr>
        <w:pStyle w:val="9"/>
        <w:rPr>
          <w:rFonts w:ascii="Times New Roman"/>
          <w:b/>
          <w:bCs/>
          <w:lang w:eastAsia="zh-CN"/>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32"/>
        <w:rPr>
          <w:b/>
          <w:bCs/>
          <w:sz w:val="36"/>
          <w:szCs w:val="36"/>
        </w:rPr>
      </w:pPr>
    </w:p>
    <w:p>
      <w:pPr>
        <w:pStyle w:val="12"/>
        <w:spacing w:line="615" w:lineRule="exact"/>
        <w:jc w:val="center"/>
        <w:rPr>
          <w:rFonts w:ascii="Times New Roman" w:hAnsi="Times New Roman" w:cs="Times New Roman"/>
          <w:b/>
          <w:sz w:val="44"/>
          <w:szCs w:val="44"/>
          <w:lang w:eastAsia="zh-CN"/>
        </w:rPr>
      </w:pPr>
    </w:p>
    <w:p>
      <w:pPr>
        <w:pStyle w:val="12"/>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2"/>
        <w:spacing w:line="615" w:lineRule="exact"/>
        <w:jc w:val="center"/>
        <w:rPr>
          <w:rFonts w:ascii="Times New Roman" w:hAnsi="Times New Roman" w:cs="Times New Roman"/>
          <w:b/>
          <w:sz w:val="44"/>
          <w:szCs w:val="44"/>
          <w:lang w:eastAsia="zh-CN"/>
        </w:rPr>
      </w:pPr>
    </w:p>
    <w:p>
      <w:pPr>
        <w:pStyle w:val="12"/>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宋体" w:hAnsi="宋体" w:cs="宋体"/>
          <w:b/>
          <w:bCs/>
          <w:color w:val="000000" w:themeColor="text1"/>
          <w:sz w:val="44"/>
          <w:szCs w:val="44"/>
          <w14:textFill>
            <w14:solidFill>
              <w14:schemeClr w14:val="tx1"/>
            </w14:solidFill>
          </w14:textFill>
        </w:rPr>
        <w:t>热电厂输煤系统输送带</w:t>
      </w:r>
      <w:r>
        <w:rPr>
          <w:rFonts w:hint="eastAsia" w:ascii="Times New Roman" w:hAnsi="Times New Roman" w:cs="Times New Roman"/>
          <w:b/>
          <w:bCs/>
          <w:sz w:val="44"/>
          <w:szCs w:val="44"/>
          <w:lang w:eastAsia="zh-CN"/>
        </w:rPr>
        <w:t>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32"/>
        <w:rPr>
          <w:rFonts w:ascii="Times New Roman" w:hAnsi="Times New Roman"/>
        </w:rPr>
      </w:pPr>
    </w:p>
    <w:p>
      <w:pPr>
        <w:pStyle w:val="12"/>
        <w:rPr>
          <w:rFonts w:ascii="Times New Roman" w:hAnsi="Times New Roman" w:cs="Times New Roman"/>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6"/>
          <w:lang w:eastAsia="zh-CN"/>
        </w:rPr>
      </w:pPr>
    </w:p>
    <w:p>
      <w:pPr>
        <w:pStyle w:val="12"/>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2"/>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eastAsia="zh-CN"/>
        </w:rPr>
        <w:t>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eastAsia="zh-CN"/>
        </w:rPr>
        <w:t>0</w:t>
      </w:r>
      <w:r>
        <w:rPr>
          <w:rFonts w:hint="eastAsia" w:ascii="Times New Roman" w:hAnsi="Times New Roman" w:cs="Times New Roman"/>
          <w:b/>
          <w:bCs/>
          <w:w w:val="95"/>
          <w:sz w:val="32"/>
          <w:lang w:val="en-US" w:eastAsia="zh-CN"/>
        </w:rPr>
        <w:t>4</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32"/>
        <w:rPr>
          <w:rFonts w:ascii="Times New Roman" w:hAnsi="Times New Roman"/>
        </w:rPr>
      </w:pPr>
    </w:p>
    <w:p>
      <w:pPr>
        <w:pStyle w:val="3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LsDPNA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6"/>
        <w:spacing w:beforeLines="0" w:afterLines="0" w:line="240" w:lineRule="auto"/>
        <w:ind w:firstLine="618" w:firstLineChars="221"/>
        <w:rPr>
          <w:rFonts w:ascii="Times New Roman" w:hAnsi="Times New Roman" w:cs="Times New Roman"/>
          <w:bCs w:val="0"/>
          <w:color w:val="C00000"/>
          <w:lang w:eastAsia="zh-CN"/>
        </w:rPr>
      </w:pPr>
    </w:p>
    <w:p>
      <w:pPr>
        <w:pStyle w:val="36"/>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6"/>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6"/>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32"/>
        <w:rPr>
          <w:rFonts w:ascii="Times New Roman" w:hAnsi="Times New Roman"/>
        </w:rPr>
      </w:pPr>
    </w:p>
    <w:p>
      <w:pPr>
        <w:spacing w:line="1000" w:lineRule="exact"/>
        <w:jc w:val="center"/>
        <w:rPr>
          <w:rFonts w:ascii="Times New Roman" w:hAnsi="Times New Roman" w:cs="Times New Roman"/>
          <w:b/>
          <w:sz w:val="44"/>
          <w:szCs w:val="44"/>
          <w:lang w:eastAsia="zh-CN"/>
        </w:rPr>
      </w:pPr>
    </w:p>
    <w:p>
      <w:pPr>
        <w:spacing w:line="1000" w:lineRule="exact"/>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30"/>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spacing w:line="500" w:lineRule="exact"/>
        <w:jc w:val="center"/>
        <w:rPr>
          <w:b/>
          <w:bCs/>
          <w:sz w:val="36"/>
          <w:szCs w:val="36"/>
          <w:lang w:eastAsia="zh-CN"/>
        </w:rPr>
      </w:pPr>
    </w:p>
    <w:p>
      <w:pPr>
        <w:spacing w:line="500" w:lineRule="exact"/>
        <w:rPr>
          <w:b/>
          <w:bCs/>
          <w:sz w:val="36"/>
          <w:szCs w:val="36"/>
          <w:lang w:eastAsia="zh-CN"/>
        </w:rPr>
      </w:pPr>
      <w:r>
        <w:rPr>
          <w:rFonts w:hint="eastAsia"/>
          <w:b/>
          <w:bCs/>
          <w:sz w:val="36"/>
          <w:szCs w:val="36"/>
          <w:lang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32"/>
      </w:pPr>
    </w:p>
    <w:p>
      <w:pPr>
        <w:pStyle w:val="3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hAnsi="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32"/>
        <w:ind w:firstLine="3960" w:firstLineChars="1650"/>
        <w:jc w:val="left"/>
        <w:rPr>
          <w:rFonts w:hAnsi="宋体" w:cs="宋体"/>
          <w:sz w:val="24"/>
          <w:szCs w:val="24"/>
        </w:rPr>
      </w:pPr>
      <w:r>
        <w:rPr>
          <w:rFonts w:hint="eastAsia" w:hAnsi="宋体" w:cs="宋体"/>
          <w:sz w:val="24"/>
          <w:szCs w:val="24"/>
        </w:rPr>
        <w:t>法定代表人：</w:t>
      </w: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bCs/>
          <w:sz w:val="28"/>
          <w:szCs w:val="28"/>
          <w:lang w:eastAsia="zh-CN"/>
        </w:rPr>
      </w:pPr>
      <w:r>
        <w:rPr>
          <w:rFonts w:hint="eastAsia"/>
          <w:b/>
          <w:bCs/>
          <w:sz w:val="28"/>
          <w:szCs w:val="28"/>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3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热电厂输煤系统输送带采购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2023年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32"/>
        <w:rPr>
          <w:color w:val="0000FF"/>
          <w:kern w:val="2"/>
        </w:rPr>
      </w:pPr>
    </w:p>
    <w:p>
      <w:pPr>
        <w:pStyle w:val="32"/>
        <w:jc w:val="center"/>
        <w:rPr>
          <w:color w:val="0000FF"/>
          <w:kern w:val="2"/>
        </w:rPr>
      </w:pPr>
    </w:p>
    <w:p>
      <w:pPr>
        <w:pStyle w:val="32"/>
        <w:rPr>
          <w:rFonts w:hint="eastAsia"/>
          <w:b/>
          <w:sz w:val="28"/>
          <w:szCs w:val="28"/>
        </w:rPr>
      </w:pPr>
    </w:p>
    <w:p>
      <w:pPr>
        <w:pStyle w:val="32"/>
      </w:pPr>
      <w:r>
        <w:rPr>
          <w:rFonts w:hint="eastAsia"/>
          <w:b/>
          <w:sz w:val="28"/>
          <w:szCs w:val="28"/>
        </w:rPr>
        <w:t>附件4</w:t>
      </w:r>
    </w:p>
    <w:p>
      <w:pPr>
        <w:pStyle w:val="32"/>
      </w:pP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pStyle w:val="32"/>
      </w:pPr>
    </w:p>
    <w:p>
      <w:pPr>
        <w:spacing w:line="500" w:lineRule="exact"/>
        <w:ind w:firstLine="480" w:firstLineChars="200"/>
        <w:rPr>
          <w:sz w:val="24"/>
          <w:lang w:eastAsia="zh-CN"/>
        </w:rPr>
      </w:pPr>
      <w:r>
        <w:rPr>
          <w:rFonts w:hint="eastAsia"/>
          <w:sz w:val="24"/>
          <w:lang w:eastAsia="zh-CN"/>
        </w:rPr>
        <w:t>我公司对贵司</w:t>
      </w:r>
      <w:r>
        <w:rPr>
          <w:rFonts w:hint="eastAsia" w:asciiTheme="minorEastAsia" w:hAnsiTheme="minorEastAsia" w:eastAsiaTheme="minorEastAsia"/>
          <w:sz w:val="24"/>
          <w:szCs w:val="24"/>
          <w:u w:val="single"/>
          <w:lang w:eastAsia="zh-CN"/>
        </w:rPr>
        <w:t>热电厂输煤系统输送带采购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3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3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32"/>
        <w:jc w:val="center"/>
        <w:rPr>
          <w:color w:val="4E6127"/>
        </w:rPr>
      </w:pPr>
    </w:p>
    <w:p>
      <w:pPr>
        <w:pStyle w:val="32"/>
        <w:jc w:val="center"/>
      </w:pPr>
    </w:p>
    <w:p>
      <w:pPr>
        <w:pStyle w:val="32"/>
      </w:pPr>
    </w:p>
    <w:p>
      <w:pPr>
        <w:pStyle w:val="32"/>
      </w:pPr>
    </w:p>
    <w:p>
      <w:pPr>
        <w:pStyle w:val="32"/>
      </w:pPr>
    </w:p>
    <w:p>
      <w:pPr>
        <w:pStyle w:val="32"/>
      </w:pPr>
    </w:p>
    <w:p>
      <w:pPr>
        <w:pStyle w:val="32"/>
      </w:pPr>
    </w:p>
    <w:p>
      <w:pPr>
        <w:pStyle w:val="32"/>
      </w:pPr>
    </w:p>
    <w:p>
      <w:pPr>
        <w:pStyle w:val="32"/>
      </w:pPr>
    </w:p>
    <w:p>
      <w:pPr>
        <w:pStyle w:val="32"/>
      </w:pPr>
    </w:p>
    <w:p>
      <w:pPr>
        <w:pStyle w:val="32"/>
      </w:pPr>
    </w:p>
    <w:p>
      <w:pPr>
        <w:pStyle w:val="32"/>
      </w:pPr>
    </w:p>
    <w:p>
      <w:pPr>
        <w:pStyle w:val="36"/>
        <w:spacing w:beforeLines="0" w:afterLines="0" w:line="240" w:lineRule="auto"/>
        <w:ind w:firstLine="0" w:firstLineChars="0"/>
        <w:rPr>
          <w:rFonts w:cs="Times New Roman"/>
          <w:b/>
          <w:bCs w:val="0"/>
          <w:lang w:eastAsia="zh-CN"/>
        </w:rPr>
      </w:pPr>
      <w:r>
        <w:rPr>
          <w:rFonts w:hint="eastAsia" w:cs="Times New Roman"/>
          <w:b/>
          <w:bCs w:val="0"/>
          <w:lang w:eastAsia="zh-CN"/>
        </w:rPr>
        <w:t>附件5</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6"/>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rFonts w:hint="eastAsia"/>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热电厂输煤系统输送带（含接头胶接材料、胶带修补机）采购</w:t>
      </w:r>
      <w:r>
        <w:rPr>
          <w:rFonts w:hint="eastAsia"/>
          <w:sz w:val="24"/>
          <w:szCs w:val="24"/>
          <w:u w:val="single"/>
          <w:lang w:val="en-US"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3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 </w:t>
      </w:r>
      <w:r>
        <w:rPr>
          <w:rFonts w:hint="eastAsia"/>
          <w:sz w:val="24"/>
          <w:szCs w:val="24"/>
          <w:lang w:eastAsia="zh-CN"/>
        </w:rPr>
        <w:t xml:space="preserve"> ；</w:t>
      </w:r>
    </w:p>
    <w:p>
      <w:pPr>
        <w:pStyle w:val="32"/>
        <w:spacing w:line="360" w:lineRule="auto"/>
        <w:rPr>
          <w:sz w:val="24"/>
          <w:szCs w:val="24"/>
        </w:rPr>
      </w:pPr>
      <w:r>
        <w:rPr>
          <w:rFonts w:hint="eastAsia"/>
          <w:sz w:val="24"/>
          <w:szCs w:val="24"/>
        </w:rPr>
        <w:t xml:space="preserve">           2、付款方式：1）无预付款 ；</w:t>
      </w:r>
    </w:p>
    <w:p>
      <w:pPr>
        <w:pStyle w:val="32"/>
        <w:spacing w:line="360" w:lineRule="auto"/>
        <w:rPr>
          <w:sz w:val="24"/>
          <w:szCs w:val="24"/>
        </w:rPr>
      </w:pPr>
      <w:r>
        <w:rPr>
          <w:rFonts w:hint="eastAsia"/>
          <w:sz w:val="24"/>
          <w:szCs w:val="24"/>
        </w:rPr>
        <w:t xml:space="preserve">                        2）货到现场，验收合格后支付合同款的90%；</w:t>
      </w:r>
    </w:p>
    <w:p>
      <w:pPr>
        <w:pStyle w:val="32"/>
        <w:spacing w:line="360" w:lineRule="auto"/>
        <w:ind w:left="3240" w:hanging="3240" w:hangingChars="1350"/>
        <w:rPr>
          <w:sz w:val="24"/>
          <w:szCs w:val="24"/>
        </w:rPr>
      </w:pPr>
      <w:r>
        <w:rPr>
          <w:rFonts w:hint="eastAsia"/>
          <w:sz w:val="24"/>
          <w:szCs w:val="24"/>
        </w:rPr>
        <w:t xml:space="preserve">                        </w:t>
      </w:r>
      <w:r>
        <w:rPr>
          <w:rFonts w:hint="eastAsia"/>
          <w:sz w:val="24"/>
          <w:szCs w:val="24"/>
          <w:highlight w:val="yellow"/>
        </w:rPr>
        <w:t>3）合同款的10%为质保金，质保期为</w:t>
      </w:r>
      <w:r>
        <w:rPr>
          <w:rFonts w:hint="eastAsia"/>
          <w:sz w:val="24"/>
          <w:szCs w:val="24"/>
          <w:highlight w:val="yellow"/>
          <w:lang w:val="en-US" w:eastAsia="zh-CN"/>
        </w:rPr>
        <w:t>36</w:t>
      </w:r>
      <w:r>
        <w:rPr>
          <w:rFonts w:hint="eastAsia"/>
          <w:sz w:val="24"/>
          <w:szCs w:val="24"/>
          <w:highlight w:val="yellow"/>
        </w:rPr>
        <w:t>个月。</w:t>
      </w:r>
    </w:p>
    <w:p>
      <w:pPr>
        <w:pStyle w:val="3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32"/>
        <w:spacing w:line="360" w:lineRule="auto"/>
        <w:ind w:left="1258" w:leftChars="572"/>
        <w:rPr>
          <w:sz w:val="24"/>
          <w:szCs w:val="24"/>
          <w:u w:val="single"/>
        </w:rPr>
      </w:pPr>
      <w:r>
        <w:rPr>
          <w:rFonts w:hint="eastAsia"/>
          <w:sz w:val="24"/>
          <w:szCs w:val="24"/>
        </w:rPr>
        <w:t>4、</w:t>
      </w:r>
      <w:r>
        <w:rPr>
          <w:rFonts w:hint="eastAsia"/>
          <w:b/>
          <w:bCs/>
          <w:sz w:val="24"/>
          <w:szCs w:val="24"/>
        </w:rPr>
        <w:t>仪器品牌：</w:t>
      </w:r>
      <w:r>
        <w:rPr>
          <w:rFonts w:hint="eastAsia"/>
          <w:sz w:val="24"/>
          <w:szCs w:val="24"/>
          <w:u w:val="single"/>
        </w:rPr>
        <w:t xml:space="preserve">                 </w:t>
      </w:r>
    </w:p>
    <w:p>
      <w:pPr>
        <w:pStyle w:val="3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ind w:firstLine="480" w:firstLineChars="200"/>
        <w:rPr>
          <w:rFonts w:hint="eastAsia"/>
          <w:sz w:val="24"/>
          <w:szCs w:val="24"/>
          <w:lang w:eastAsia="zh-CN"/>
        </w:rPr>
      </w:pPr>
    </w:p>
    <w:p>
      <w:pPr>
        <w:pStyle w:val="2"/>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rPr>
          <w:rFonts w:hint="eastAsia"/>
          <w:sz w:val="24"/>
          <w:szCs w:val="24"/>
          <w:lang w:eastAsia="zh-CN"/>
        </w:rPr>
      </w:pPr>
    </w:p>
    <w:p>
      <w:pPr>
        <w:rPr>
          <w:rFonts w:hint="eastAsia"/>
          <w:sz w:val="24"/>
          <w:szCs w:val="24"/>
          <w:lang w:eastAsia="zh-CN"/>
        </w:rPr>
      </w:pPr>
    </w:p>
    <w:p>
      <w:pPr>
        <w:pStyle w:val="2"/>
        <w:rPr>
          <w:rFonts w:hint="eastAsia"/>
          <w:lang w:eastAsia="zh-CN"/>
        </w:rPr>
      </w:pPr>
    </w:p>
    <w:p>
      <w:pPr>
        <w:spacing w:line="360" w:lineRule="auto"/>
        <w:rPr>
          <w:b/>
          <w:bCs/>
          <w:sz w:val="24"/>
          <w:szCs w:val="24"/>
          <w:lang w:eastAsia="zh-CN"/>
        </w:rPr>
      </w:pPr>
      <w:r>
        <w:rPr>
          <w:rFonts w:hint="eastAsia"/>
          <w:b/>
          <w:bCs/>
          <w:sz w:val="24"/>
          <w:szCs w:val="24"/>
          <w:lang w:eastAsia="zh-CN"/>
        </w:rPr>
        <w:t>附表：</w:t>
      </w:r>
    </w:p>
    <w:tbl>
      <w:tblPr>
        <w:tblStyle w:val="30"/>
        <w:tblpPr w:leftFromText="180" w:rightFromText="180" w:vertAnchor="text" w:horzAnchor="margin" w:tblpXSpec="center" w:tblpY="377"/>
        <w:tblW w:w="10084" w:type="dxa"/>
        <w:tblInd w:w="0" w:type="dxa"/>
        <w:tblLayout w:type="fixed"/>
        <w:tblCellMar>
          <w:top w:w="0" w:type="dxa"/>
          <w:left w:w="108" w:type="dxa"/>
          <w:bottom w:w="0" w:type="dxa"/>
          <w:right w:w="108" w:type="dxa"/>
        </w:tblCellMar>
      </w:tblPr>
      <w:tblGrid>
        <w:gridCol w:w="572"/>
        <w:gridCol w:w="1180"/>
        <w:gridCol w:w="2400"/>
        <w:gridCol w:w="1020"/>
        <w:gridCol w:w="975"/>
        <w:gridCol w:w="1410"/>
        <w:gridCol w:w="965"/>
        <w:gridCol w:w="1562"/>
      </w:tblGrid>
      <w:tr>
        <w:tblPrEx>
          <w:tblLayout w:type="fixed"/>
          <w:tblCellMar>
            <w:top w:w="0" w:type="dxa"/>
            <w:left w:w="108" w:type="dxa"/>
            <w:bottom w:w="0" w:type="dxa"/>
            <w:right w:w="108" w:type="dxa"/>
          </w:tblCellMar>
        </w:tblPrEx>
        <w:trPr>
          <w:trHeight w:val="675" w:hRule="atLeast"/>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序号</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名称</w:t>
            </w:r>
          </w:p>
        </w:tc>
        <w:tc>
          <w:tcPr>
            <w:tcW w:w="24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型号</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sz w:val="24"/>
                <w:szCs w:val="24"/>
                <w:lang w:eastAsia="zh-CN"/>
              </w:rPr>
            </w:pPr>
            <w:r>
              <w:rPr>
                <w:rFonts w:hint="eastAsia"/>
                <w:sz w:val="24"/>
                <w:szCs w:val="24"/>
                <w:lang w:eastAsia="zh-CN"/>
              </w:rPr>
              <w:t>规格</w:t>
            </w:r>
          </w:p>
        </w:tc>
        <w:tc>
          <w:tcPr>
            <w:tcW w:w="9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数量</w:t>
            </w:r>
          </w:p>
        </w:tc>
        <w:tc>
          <w:tcPr>
            <w:tcW w:w="141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单价</w:t>
            </w:r>
          </w:p>
          <w:p>
            <w:pPr>
              <w:pStyle w:val="32"/>
              <w:jc w:val="center"/>
              <w:rPr>
                <w:rFonts w:hAnsi="宋体" w:cs="宋体"/>
                <w:sz w:val="24"/>
                <w:szCs w:val="24"/>
              </w:rPr>
            </w:pPr>
            <w:r>
              <w:rPr>
                <w:rFonts w:hint="eastAsia" w:hAnsi="宋体" w:cs="宋体"/>
                <w:sz w:val="24"/>
                <w:szCs w:val="24"/>
              </w:rPr>
              <w:t>（元</w:t>
            </w:r>
            <w:r>
              <w:rPr>
                <w:rFonts w:hint="eastAsia" w:hAnsi="宋体" w:cs="宋体"/>
                <w:sz w:val="24"/>
                <w:szCs w:val="24"/>
                <w:lang w:val="en-US" w:eastAsia="zh-CN"/>
              </w:rPr>
              <w:t>/米</w:t>
            </w:r>
            <w:r>
              <w:rPr>
                <w:rFonts w:hint="eastAsia" w:hAnsi="宋体" w:cs="宋体"/>
                <w:sz w:val="24"/>
                <w:szCs w:val="24"/>
              </w:rPr>
              <w:t>）</w:t>
            </w:r>
          </w:p>
        </w:tc>
        <w:tc>
          <w:tcPr>
            <w:tcW w:w="9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合计</w:t>
            </w:r>
          </w:p>
          <w:p>
            <w:pPr>
              <w:pStyle w:val="32"/>
              <w:jc w:val="center"/>
              <w:rPr>
                <w:rFonts w:hAnsi="宋体" w:cs="宋体"/>
                <w:sz w:val="24"/>
                <w:szCs w:val="24"/>
              </w:rPr>
            </w:pPr>
            <w:r>
              <w:rPr>
                <w:rFonts w:hint="eastAsia" w:hAnsi="宋体" w:cs="宋体"/>
                <w:sz w:val="24"/>
                <w:szCs w:val="24"/>
              </w:rPr>
              <w:t>（元）</w:t>
            </w:r>
          </w:p>
        </w:tc>
        <w:tc>
          <w:tcPr>
            <w:tcW w:w="156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品牌</w:t>
            </w:r>
          </w:p>
        </w:tc>
      </w:tr>
      <w:tr>
        <w:tblPrEx>
          <w:tblLayout w:type="fixed"/>
          <w:tblCellMar>
            <w:top w:w="0" w:type="dxa"/>
            <w:left w:w="108" w:type="dxa"/>
            <w:bottom w:w="0" w:type="dxa"/>
            <w:right w:w="108" w:type="dxa"/>
          </w:tblCellMar>
        </w:tblPrEx>
        <w:trPr>
          <w:trHeight w:val="675" w:hRule="atLeast"/>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宋体" w:hAnsi="宋体" w:eastAsia="宋体" w:cs="宋体"/>
                <w:i w:val="0"/>
                <w:color w:val="000000"/>
                <w:kern w:val="0"/>
                <w:sz w:val="22"/>
                <w:szCs w:val="22"/>
                <w:u w:val="none"/>
                <w:lang w:val="en-US" w:eastAsia="zh-CN" w:bidi="ar"/>
              </w:rPr>
              <w:t>阻燃皮带</w:t>
            </w:r>
          </w:p>
        </w:tc>
        <w:tc>
          <w:tcPr>
            <w:tcW w:w="24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i=5层 上胶4.5/</w:t>
            </w:r>
          </w:p>
          <w:p>
            <w:pPr>
              <w:keepNext w:val="0"/>
              <w:keepLines w:val="0"/>
              <w:widowControl/>
              <w:suppressLineNumbers w:val="0"/>
              <w:jc w:val="center"/>
              <w:textAlignment w:val="center"/>
              <w:rPr>
                <w:rFonts w:hAnsi="宋体" w:cs="宋体"/>
                <w:sz w:val="24"/>
                <w:szCs w:val="24"/>
              </w:rPr>
            </w:pPr>
            <w:r>
              <w:rPr>
                <w:rFonts w:hint="eastAsia" w:ascii="宋体" w:hAnsi="宋体" w:eastAsia="宋体" w:cs="宋体"/>
                <w:i w:val="0"/>
                <w:color w:val="000000"/>
                <w:kern w:val="0"/>
                <w:sz w:val="22"/>
                <w:szCs w:val="22"/>
                <w:u w:val="none"/>
                <w:lang w:val="en-US" w:eastAsia="zh-CN" w:bidi="ar"/>
              </w:rPr>
              <w:t>下胶1.5 1400mm</w:t>
            </w:r>
          </w:p>
        </w:tc>
        <w:tc>
          <w:tcPr>
            <w:tcW w:w="10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宋体" w:hAnsi="宋体" w:eastAsia="宋体" w:cs="宋体"/>
                <w:i w:val="0"/>
                <w:color w:val="000000"/>
                <w:kern w:val="0"/>
                <w:sz w:val="22"/>
                <w:szCs w:val="22"/>
                <w:u w:val="none"/>
                <w:lang w:val="en-US" w:eastAsia="zh-CN" w:bidi="ar"/>
              </w:rPr>
              <w:t>EP300</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sz w:val="24"/>
                <w:szCs w:val="24"/>
                <w:lang w:eastAsia="zh-CN"/>
              </w:rPr>
            </w:pPr>
            <w:r>
              <w:rPr>
                <w:rFonts w:hint="eastAsia" w:ascii="宋体" w:hAnsi="宋体" w:eastAsia="宋体" w:cs="宋体"/>
                <w:i w:val="0"/>
                <w:color w:val="000000"/>
                <w:kern w:val="0"/>
                <w:sz w:val="22"/>
                <w:szCs w:val="22"/>
                <w:u w:val="none"/>
                <w:lang w:val="en-US" w:eastAsia="zh-CN" w:bidi="ar"/>
              </w:rPr>
              <w:t>100</w:t>
            </w:r>
            <w:r>
              <w:rPr>
                <w:rFonts w:hint="eastAsia" w:cs="宋体"/>
                <w:i w:val="0"/>
                <w:color w:val="000000"/>
                <w:kern w:val="0"/>
                <w:sz w:val="22"/>
                <w:szCs w:val="22"/>
                <w:u w:val="none"/>
                <w:lang w:val="en-US" w:eastAsia="zh-CN" w:bidi="ar"/>
              </w:rPr>
              <w:t>米</w:t>
            </w:r>
          </w:p>
        </w:tc>
        <w:tc>
          <w:tcPr>
            <w:tcW w:w="141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p>
        </w:tc>
        <w:tc>
          <w:tcPr>
            <w:tcW w:w="9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p>
        </w:tc>
        <w:tc>
          <w:tcPr>
            <w:tcW w:w="1562" w:type="dxa"/>
            <w:vMerge w:val="restart"/>
            <w:tcBorders>
              <w:top w:val="single" w:color="auto" w:sz="4" w:space="0"/>
              <w:left w:val="nil"/>
              <w:right w:val="single" w:color="auto" w:sz="4" w:space="0"/>
            </w:tcBorders>
            <w:shd w:val="clear" w:color="auto" w:fill="auto"/>
            <w:vAlign w:val="center"/>
          </w:tcPr>
          <w:p>
            <w:pPr>
              <w:widowControl/>
              <w:autoSpaceDE/>
              <w:autoSpaceDN/>
              <w:jc w:val="center"/>
              <w:rPr>
                <w:sz w:val="24"/>
                <w:szCs w:val="24"/>
                <w:lang w:eastAsia="zh-CN"/>
              </w:rPr>
            </w:pPr>
            <w:r>
              <w:rPr>
                <w:rFonts w:hint="eastAsia" w:ascii="宋体" w:hAnsi="宋体" w:eastAsia="宋体" w:cs="宋体"/>
                <w:i w:val="0"/>
                <w:color w:val="000000"/>
                <w:kern w:val="0"/>
                <w:sz w:val="22"/>
                <w:szCs w:val="22"/>
                <w:u w:val="none"/>
                <w:lang w:val="en-US" w:eastAsia="zh-CN" w:bidi="ar"/>
              </w:rPr>
              <w:t>需签订技术协议（技术协议中需写明产品品牌、型号及参数）</w:t>
            </w:r>
          </w:p>
        </w:tc>
      </w:tr>
      <w:tr>
        <w:tblPrEx>
          <w:tblLayout w:type="fixed"/>
          <w:tblCellMar>
            <w:top w:w="0" w:type="dxa"/>
            <w:left w:w="108" w:type="dxa"/>
            <w:bottom w:w="0" w:type="dxa"/>
            <w:right w:w="108" w:type="dxa"/>
          </w:tblCellMar>
        </w:tblPrEx>
        <w:trPr>
          <w:trHeight w:val="675" w:hRule="atLeast"/>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sz w:val="24"/>
                <w:szCs w:val="24"/>
                <w:lang w:val="en-US" w:eastAsia="zh-CN"/>
              </w:rPr>
            </w:pPr>
            <w:r>
              <w:rPr>
                <w:rFonts w:hint="eastAsia"/>
                <w:sz w:val="24"/>
                <w:szCs w:val="24"/>
                <w:lang w:val="en-US" w:eastAsia="zh-CN"/>
              </w:rPr>
              <w:t>2</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宋体" w:hAnsi="宋体" w:eastAsia="宋体" w:cs="宋体"/>
                <w:i w:val="0"/>
                <w:color w:val="000000"/>
                <w:kern w:val="0"/>
                <w:sz w:val="22"/>
                <w:szCs w:val="22"/>
                <w:u w:val="none"/>
                <w:lang w:val="en-US" w:eastAsia="zh-CN" w:bidi="ar"/>
              </w:rPr>
              <w:t>阻燃皮带</w:t>
            </w:r>
          </w:p>
        </w:tc>
        <w:tc>
          <w:tcPr>
            <w:tcW w:w="24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i=5层 上胶4.5/</w:t>
            </w:r>
          </w:p>
          <w:p>
            <w:pPr>
              <w:keepNext w:val="0"/>
              <w:keepLines w:val="0"/>
              <w:widowControl/>
              <w:suppressLineNumbers w:val="0"/>
              <w:jc w:val="center"/>
              <w:textAlignment w:val="center"/>
              <w:rPr>
                <w:rFonts w:hAnsi="宋体" w:cs="宋体"/>
                <w:sz w:val="24"/>
                <w:szCs w:val="24"/>
              </w:rPr>
            </w:pPr>
            <w:r>
              <w:rPr>
                <w:rFonts w:hint="eastAsia" w:ascii="宋体" w:hAnsi="宋体" w:eastAsia="宋体" w:cs="宋体"/>
                <w:i w:val="0"/>
                <w:color w:val="000000"/>
                <w:kern w:val="0"/>
                <w:sz w:val="22"/>
                <w:szCs w:val="22"/>
                <w:u w:val="none"/>
                <w:lang w:val="en-US" w:eastAsia="zh-CN" w:bidi="ar"/>
              </w:rPr>
              <w:t>下胶1.5 1200mm</w:t>
            </w:r>
          </w:p>
        </w:tc>
        <w:tc>
          <w:tcPr>
            <w:tcW w:w="10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宋体" w:hAnsi="宋体" w:eastAsia="宋体" w:cs="宋体"/>
                <w:i w:val="0"/>
                <w:color w:val="000000"/>
                <w:kern w:val="0"/>
                <w:sz w:val="22"/>
                <w:szCs w:val="22"/>
                <w:u w:val="none"/>
                <w:lang w:val="en-US" w:eastAsia="zh-CN" w:bidi="ar"/>
              </w:rPr>
              <w:t>EP300</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sz w:val="24"/>
                <w:szCs w:val="24"/>
                <w:lang w:eastAsia="zh-CN"/>
              </w:rPr>
            </w:pPr>
            <w:r>
              <w:rPr>
                <w:rFonts w:hint="eastAsia" w:ascii="宋体" w:hAnsi="宋体" w:eastAsia="宋体" w:cs="宋体"/>
                <w:i w:val="0"/>
                <w:color w:val="000000"/>
                <w:kern w:val="0"/>
                <w:sz w:val="22"/>
                <w:szCs w:val="22"/>
                <w:u w:val="none"/>
                <w:lang w:val="en-US" w:eastAsia="zh-CN" w:bidi="ar"/>
              </w:rPr>
              <w:t>400</w:t>
            </w:r>
            <w:r>
              <w:rPr>
                <w:rFonts w:hint="eastAsia" w:cs="宋体"/>
                <w:i w:val="0"/>
                <w:color w:val="000000"/>
                <w:kern w:val="0"/>
                <w:sz w:val="22"/>
                <w:szCs w:val="22"/>
                <w:u w:val="none"/>
                <w:lang w:val="en-US" w:eastAsia="zh-CN" w:bidi="ar"/>
              </w:rPr>
              <w:t>米</w:t>
            </w:r>
          </w:p>
        </w:tc>
        <w:tc>
          <w:tcPr>
            <w:tcW w:w="141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p>
        </w:tc>
        <w:tc>
          <w:tcPr>
            <w:tcW w:w="9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p>
        </w:tc>
        <w:tc>
          <w:tcPr>
            <w:tcW w:w="1562" w:type="dxa"/>
            <w:vMerge w:val="continue"/>
            <w:tcBorders>
              <w:left w:val="nil"/>
              <w:right w:val="single" w:color="auto" w:sz="4" w:space="0"/>
            </w:tcBorders>
            <w:shd w:val="clear" w:color="auto" w:fill="auto"/>
            <w:vAlign w:val="center"/>
          </w:tcPr>
          <w:p>
            <w:pPr>
              <w:widowControl/>
              <w:autoSpaceDE/>
              <w:autoSpaceDN/>
              <w:jc w:val="center"/>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108" w:type="dxa"/>
            <w:bottom w:w="0" w:type="dxa"/>
            <w:right w:w="108" w:type="dxa"/>
          </w:tblCellMar>
        </w:tblPrEx>
        <w:trPr>
          <w:trHeight w:val="675" w:hRule="atLeast"/>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sz w:val="24"/>
                <w:szCs w:val="24"/>
                <w:lang w:val="en-US" w:eastAsia="zh-CN"/>
              </w:rPr>
            </w:pPr>
            <w:r>
              <w:rPr>
                <w:rFonts w:hint="eastAsia"/>
                <w:sz w:val="24"/>
                <w:szCs w:val="24"/>
                <w:lang w:val="en-US" w:eastAsia="zh-CN"/>
              </w:rPr>
              <w:t>3</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hAnsi="宋体" w:cs="宋体"/>
                <w:sz w:val="24"/>
                <w:szCs w:val="24"/>
              </w:rPr>
            </w:pPr>
            <w:r>
              <w:rPr>
                <w:rFonts w:hint="eastAsia" w:ascii="宋体" w:hAnsi="宋体" w:eastAsia="宋体" w:cs="宋体"/>
                <w:i w:val="0"/>
                <w:color w:val="000000"/>
                <w:kern w:val="0"/>
                <w:sz w:val="22"/>
                <w:szCs w:val="22"/>
                <w:u w:val="none"/>
                <w:lang w:val="en-US" w:eastAsia="zh-CN" w:bidi="ar"/>
              </w:rPr>
              <w:t>阻燃皮带</w:t>
            </w:r>
          </w:p>
        </w:tc>
        <w:tc>
          <w:tcPr>
            <w:tcW w:w="24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i=5层 上胶4.5/</w:t>
            </w:r>
          </w:p>
          <w:p>
            <w:pPr>
              <w:keepNext w:val="0"/>
              <w:keepLines w:val="0"/>
              <w:widowControl/>
              <w:suppressLineNumbers w:val="0"/>
              <w:jc w:val="center"/>
              <w:textAlignment w:val="center"/>
              <w:rPr>
                <w:rFonts w:cs="宋体" w:asciiTheme="majorEastAsia" w:hAnsiTheme="majorEastAsia" w:eastAsiaTheme="majorEastAsia"/>
                <w:b/>
                <w:sz w:val="24"/>
                <w:szCs w:val="24"/>
                <w:highlight w:val="none"/>
              </w:rPr>
            </w:pPr>
            <w:r>
              <w:rPr>
                <w:rFonts w:hint="eastAsia" w:ascii="宋体" w:hAnsi="宋体" w:eastAsia="宋体" w:cs="宋体"/>
                <w:i w:val="0"/>
                <w:color w:val="000000"/>
                <w:kern w:val="0"/>
                <w:sz w:val="22"/>
                <w:szCs w:val="22"/>
                <w:u w:val="none"/>
                <w:lang w:val="en-US" w:eastAsia="zh-CN" w:bidi="ar"/>
              </w:rPr>
              <w:t>下胶1.5 1000mm</w:t>
            </w:r>
          </w:p>
        </w:tc>
        <w:tc>
          <w:tcPr>
            <w:tcW w:w="10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ajorEastAsia" w:hAnsiTheme="majorEastAsia" w:eastAsiaTheme="majorEastAsia"/>
                <w:b/>
                <w:sz w:val="24"/>
                <w:szCs w:val="24"/>
                <w:highlight w:val="none"/>
              </w:rPr>
            </w:pPr>
            <w:r>
              <w:rPr>
                <w:rFonts w:hint="eastAsia" w:ascii="宋体" w:hAnsi="宋体" w:eastAsia="宋体" w:cs="宋体"/>
                <w:i w:val="0"/>
                <w:color w:val="000000"/>
                <w:kern w:val="0"/>
                <w:sz w:val="22"/>
                <w:szCs w:val="22"/>
                <w:u w:val="none"/>
                <w:lang w:val="en-US" w:eastAsia="zh-CN" w:bidi="ar"/>
              </w:rPr>
              <w:t>EP200</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4"/>
                <w:szCs w:val="24"/>
                <w:lang w:eastAsia="zh-CN"/>
              </w:rPr>
            </w:pPr>
            <w:r>
              <w:rPr>
                <w:rFonts w:hint="eastAsia" w:ascii="宋体" w:hAnsi="宋体" w:eastAsia="宋体" w:cs="宋体"/>
                <w:i w:val="0"/>
                <w:color w:val="000000"/>
                <w:kern w:val="0"/>
                <w:sz w:val="22"/>
                <w:szCs w:val="22"/>
                <w:u w:val="none"/>
                <w:lang w:val="en-US" w:eastAsia="zh-CN" w:bidi="ar"/>
              </w:rPr>
              <w:t>2700</w:t>
            </w:r>
            <w:r>
              <w:rPr>
                <w:rFonts w:hint="eastAsia" w:cs="宋体"/>
                <w:i w:val="0"/>
                <w:color w:val="000000"/>
                <w:kern w:val="0"/>
                <w:sz w:val="22"/>
                <w:szCs w:val="22"/>
                <w:u w:val="none"/>
                <w:lang w:val="en-US" w:eastAsia="zh-CN" w:bidi="ar"/>
              </w:rPr>
              <w:t>米</w:t>
            </w:r>
          </w:p>
        </w:tc>
        <w:tc>
          <w:tcPr>
            <w:tcW w:w="141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p>
        </w:tc>
        <w:tc>
          <w:tcPr>
            <w:tcW w:w="9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p>
        </w:tc>
        <w:tc>
          <w:tcPr>
            <w:tcW w:w="1562" w:type="dxa"/>
            <w:vMerge w:val="continue"/>
            <w:tcBorders>
              <w:left w:val="nil"/>
              <w:bottom w:val="single" w:color="auto" w:sz="4" w:space="0"/>
              <w:right w:val="single" w:color="auto" w:sz="4" w:space="0"/>
            </w:tcBorders>
            <w:shd w:val="clear" w:color="auto" w:fill="auto"/>
            <w:vAlign w:val="center"/>
          </w:tcPr>
          <w:p>
            <w:pPr>
              <w:widowControl/>
              <w:autoSpaceDE/>
              <w:autoSpaceDN/>
              <w:jc w:val="center"/>
              <w:rPr>
                <w:rFonts w:hint="eastAsia"/>
                <w:sz w:val="24"/>
                <w:szCs w:val="24"/>
                <w:shd w:val="clear" w:color="auto" w:fill="FFFFFF"/>
                <w:lang w:eastAsia="zh-CN"/>
              </w:rPr>
            </w:pPr>
          </w:p>
        </w:tc>
      </w:tr>
      <w:tr>
        <w:tblPrEx>
          <w:tblLayout w:type="fixed"/>
          <w:tblCellMar>
            <w:top w:w="0" w:type="dxa"/>
            <w:left w:w="108" w:type="dxa"/>
            <w:bottom w:w="0" w:type="dxa"/>
            <w:right w:w="108" w:type="dxa"/>
          </w:tblCellMar>
        </w:tblPrEx>
        <w:trPr>
          <w:trHeight w:val="525" w:hRule="atLeast"/>
        </w:trPr>
        <w:tc>
          <w:tcPr>
            <w:tcW w:w="51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b/>
                <w:bCs/>
                <w:sz w:val="24"/>
                <w:szCs w:val="24"/>
                <w:lang w:eastAsia="zh-CN"/>
              </w:rPr>
              <w:t>合     计：</w:t>
            </w:r>
          </w:p>
        </w:tc>
        <w:tc>
          <w:tcPr>
            <w:tcW w:w="4912" w:type="dxa"/>
            <w:gridSpan w:val="4"/>
            <w:tcBorders>
              <w:top w:val="single" w:color="auto" w:sz="4" w:space="0"/>
              <w:left w:val="nil"/>
              <w:bottom w:val="single" w:color="auto" w:sz="4" w:space="0"/>
              <w:right w:val="single" w:color="auto" w:sz="4" w:space="0"/>
            </w:tcBorders>
            <w:shd w:val="clear" w:color="auto" w:fill="auto"/>
            <w:vAlign w:val="center"/>
          </w:tcPr>
          <w:p>
            <w:pPr>
              <w:widowControl/>
              <w:autoSpaceDE/>
              <w:autoSpaceDN/>
              <w:ind w:right="420"/>
              <w:rPr>
                <w:b/>
                <w:bCs/>
                <w:sz w:val="24"/>
                <w:szCs w:val="24"/>
                <w:lang w:eastAsia="zh-CN"/>
              </w:rPr>
            </w:pPr>
          </w:p>
        </w:tc>
      </w:tr>
    </w:tbl>
    <w:p>
      <w:pPr>
        <w:pStyle w:val="36"/>
        <w:spacing w:beforeLines="0" w:afterLines="0"/>
        <w:ind w:firstLine="0" w:firstLineChars="0"/>
        <w:rPr>
          <w:rFonts w:ascii="Times New Roman"/>
          <w:bCs w:val="0"/>
          <w:sz w:val="24"/>
          <w:szCs w:val="24"/>
          <w:lang w:eastAsia="zh-CN"/>
        </w:rPr>
      </w:pPr>
    </w:p>
    <w:p>
      <w:pPr>
        <w:autoSpaceDE w:val="0"/>
        <w:autoSpaceDN w:val="0"/>
        <w:adjustRightInd w:val="0"/>
        <w:spacing w:line="360" w:lineRule="auto"/>
        <w:ind w:firstLine="200"/>
        <w:jc w:val="left"/>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  供货清单表                           </w:t>
      </w:r>
    </w:p>
    <w:tbl>
      <w:tblPr>
        <w:tblStyle w:val="30"/>
        <w:tblW w:w="852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97"/>
        <w:gridCol w:w="1672"/>
        <w:gridCol w:w="1447"/>
        <w:gridCol w:w="920"/>
        <w:gridCol w:w="791"/>
        <w:gridCol w:w="1316"/>
        <w:gridCol w:w="856"/>
        <w:gridCol w:w="72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2" w:hRule="atLeast"/>
        </w:trPr>
        <w:tc>
          <w:tcPr>
            <w:tcW w:w="797"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序号</w:t>
            </w:r>
          </w:p>
        </w:tc>
        <w:tc>
          <w:tcPr>
            <w:tcW w:w="1672"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名    称</w:t>
            </w:r>
          </w:p>
        </w:tc>
        <w:tc>
          <w:tcPr>
            <w:tcW w:w="1447"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规格</w:t>
            </w:r>
            <w:r>
              <w:rPr>
                <w:rFonts w:hint="eastAsia" w:ascii="Times New Roman" w:hAnsi="Times New Roman" w:cs="Times New Roman"/>
                <w:kern w:val="0"/>
                <w:sz w:val="24"/>
                <w:szCs w:val="24"/>
                <w:lang w:val="en-US" w:eastAsia="zh-CN"/>
              </w:rPr>
              <w:t>与型号</w:t>
            </w:r>
          </w:p>
        </w:tc>
        <w:tc>
          <w:tcPr>
            <w:tcW w:w="920"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单位</w:t>
            </w:r>
          </w:p>
        </w:tc>
        <w:tc>
          <w:tcPr>
            <w:tcW w:w="791"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数量</w:t>
            </w:r>
          </w:p>
        </w:tc>
        <w:tc>
          <w:tcPr>
            <w:tcW w:w="1316"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生产厂家</w:t>
            </w:r>
          </w:p>
        </w:tc>
        <w:tc>
          <w:tcPr>
            <w:tcW w:w="856"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产地</w:t>
            </w:r>
          </w:p>
        </w:tc>
        <w:tc>
          <w:tcPr>
            <w:tcW w:w="723"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797"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672"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p>
        </w:tc>
        <w:tc>
          <w:tcPr>
            <w:tcW w:w="1447"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p>
        </w:tc>
        <w:tc>
          <w:tcPr>
            <w:tcW w:w="920"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p>
        </w:tc>
        <w:tc>
          <w:tcPr>
            <w:tcW w:w="791"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p>
        </w:tc>
        <w:tc>
          <w:tcPr>
            <w:tcW w:w="1316"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p>
        </w:tc>
        <w:tc>
          <w:tcPr>
            <w:tcW w:w="856"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p>
        </w:tc>
        <w:tc>
          <w:tcPr>
            <w:tcW w:w="723"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797"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1672"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p>
        </w:tc>
        <w:tc>
          <w:tcPr>
            <w:tcW w:w="1447"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p>
        </w:tc>
        <w:tc>
          <w:tcPr>
            <w:tcW w:w="920"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p>
        </w:tc>
        <w:tc>
          <w:tcPr>
            <w:tcW w:w="791"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p>
        </w:tc>
        <w:tc>
          <w:tcPr>
            <w:tcW w:w="1316"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p>
        </w:tc>
        <w:tc>
          <w:tcPr>
            <w:tcW w:w="856"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p>
        </w:tc>
        <w:tc>
          <w:tcPr>
            <w:tcW w:w="723"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797"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1672"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p>
        </w:tc>
        <w:tc>
          <w:tcPr>
            <w:tcW w:w="1447"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p>
        </w:tc>
        <w:tc>
          <w:tcPr>
            <w:tcW w:w="920"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p>
        </w:tc>
        <w:tc>
          <w:tcPr>
            <w:tcW w:w="791"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p>
        </w:tc>
        <w:tc>
          <w:tcPr>
            <w:tcW w:w="1316"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p>
        </w:tc>
        <w:tc>
          <w:tcPr>
            <w:tcW w:w="856"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p>
        </w:tc>
        <w:tc>
          <w:tcPr>
            <w:tcW w:w="723" w:type="dxa"/>
            <w:shd w:val="clear" w:color="auto" w:fill="auto"/>
            <w:vAlign w:val="center"/>
          </w:tcPr>
          <w:p>
            <w:pPr>
              <w:adjustRightInd w:val="0"/>
              <w:spacing w:line="360" w:lineRule="auto"/>
              <w:jc w:val="center"/>
              <w:textAlignment w:val="baseline"/>
              <w:rPr>
                <w:rFonts w:hint="default" w:ascii="Times New Roman" w:hAnsi="Times New Roman" w:eastAsia="宋体" w:cs="Times New Roman"/>
                <w:kern w:val="0"/>
                <w:sz w:val="24"/>
                <w:szCs w:val="24"/>
              </w:rPr>
            </w:pPr>
          </w:p>
        </w:tc>
      </w:tr>
    </w:tbl>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5.6 产品规范</w:t>
      </w:r>
    </w:p>
    <w:p>
      <w:pPr>
        <w:spacing w:line="360" w:lineRule="auto"/>
        <w:ind w:firstLine="567"/>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投标方投标时应填写如下规范表，但不限于此：</w:t>
      </w:r>
    </w:p>
    <w:tbl>
      <w:tblPr>
        <w:tblStyle w:val="30"/>
        <w:tblW w:w="65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带宽（mm）</w:t>
            </w:r>
          </w:p>
        </w:tc>
        <w:tc>
          <w:tcPr>
            <w:tcW w:w="2835" w:type="dxa"/>
          </w:tcPr>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橡胶输送带规格型号</w:t>
            </w:r>
          </w:p>
        </w:tc>
        <w:tc>
          <w:tcPr>
            <w:tcW w:w="2835" w:type="dxa"/>
          </w:tcPr>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层数</w:t>
            </w:r>
          </w:p>
        </w:tc>
        <w:tc>
          <w:tcPr>
            <w:tcW w:w="2835" w:type="dxa"/>
          </w:tcPr>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上胶厚（mm）</w:t>
            </w:r>
          </w:p>
        </w:tc>
        <w:tc>
          <w:tcPr>
            <w:tcW w:w="2835" w:type="dxa"/>
          </w:tcPr>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下胶厚（mm）</w:t>
            </w:r>
          </w:p>
        </w:tc>
        <w:tc>
          <w:tcPr>
            <w:tcW w:w="2835" w:type="dxa"/>
          </w:tcPr>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伸长率</w:t>
            </w:r>
          </w:p>
        </w:tc>
        <w:tc>
          <w:tcPr>
            <w:tcW w:w="2835" w:type="dxa"/>
          </w:tcPr>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总长度（m）</w:t>
            </w:r>
          </w:p>
        </w:tc>
        <w:tc>
          <w:tcPr>
            <w:tcW w:w="2835" w:type="dxa"/>
          </w:tcPr>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接头数量（个）</w:t>
            </w:r>
          </w:p>
        </w:tc>
        <w:tc>
          <w:tcPr>
            <w:tcW w:w="2835" w:type="dxa"/>
          </w:tcPr>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接头长度（m/个）</w:t>
            </w:r>
          </w:p>
        </w:tc>
        <w:tc>
          <w:tcPr>
            <w:tcW w:w="2835" w:type="dxa"/>
          </w:tcPr>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分卷数量（卷）</w:t>
            </w:r>
          </w:p>
        </w:tc>
        <w:tc>
          <w:tcPr>
            <w:tcW w:w="2835" w:type="dxa"/>
          </w:tcPr>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每卷长度（m）</w:t>
            </w:r>
          </w:p>
        </w:tc>
        <w:tc>
          <w:tcPr>
            <w:tcW w:w="2835" w:type="dxa"/>
          </w:tcPr>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每卷直径（m）</w:t>
            </w:r>
          </w:p>
        </w:tc>
        <w:tc>
          <w:tcPr>
            <w:tcW w:w="2835" w:type="dxa"/>
          </w:tcPr>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每卷重量（t）</w:t>
            </w:r>
          </w:p>
        </w:tc>
        <w:tc>
          <w:tcPr>
            <w:tcW w:w="2835" w:type="dxa"/>
          </w:tcPr>
          <w:p>
            <w:pPr>
              <w:spacing w:line="320" w:lineRule="exact"/>
              <w:rPr>
                <w:rFonts w:ascii="宋体"/>
                <w:sz w:val="24"/>
              </w:rPr>
            </w:pPr>
          </w:p>
        </w:tc>
      </w:tr>
    </w:tbl>
    <w:p>
      <w:pPr>
        <w:pStyle w:val="36"/>
        <w:spacing w:beforeLines="0" w:afterLines="0"/>
        <w:ind w:firstLine="0" w:firstLineChars="0"/>
        <w:rPr>
          <w:rFonts w:ascii="Times New Roman"/>
          <w:bCs w:val="0"/>
          <w:sz w:val="24"/>
          <w:szCs w:val="24"/>
          <w:lang w:eastAsia="zh-CN"/>
        </w:rPr>
      </w:pPr>
    </w:p>
    <w:p>
      <w:pPr>
        <w:pStyle w:val="36"/>
        <w:spacing w:beforeLines="0" w:afterLines="0"/>
        <w:ind w:firstLine="0" w:firstLineChars="0"/>
        <w:rPr>
          <w:rFonts w:ascii="Times New Roman"/>
          <w:bCs w:val="0"/>
          <w:sz w:val="24"/>
          <w:szCs w:val="24"/>
          <w:lang w:eastAsia="zh-CN"/>
        </w:rPr>
      </w:pPr>
    </w:p>
    <w:p>
      <w:pPr>
        <w:pStyle w:val="36"/>
        <w:spacing w:beforeLines="0" w:afterLines="0"/>
        <w:ind w:firstLine="0" w:firstLineChars="0"/>
        <w:rPr>
          <w:rFonts w:ascii="Times New Roman"/>
          <w:bCs w:val="0"/>
          <w:sz w:val="24"/>
          <w:szCs w:val="24"/>
          <w:lang w:eastAsia="zh-CN"/>
        </w:rPr>
      </w:pPr>
    </w:p>
    <w:p>
      <w:pPr>
        <w:pStyle w:val="36"/>
        <w:spacing w:beforeLines="0" w:afterLines="0"/>
        <w:ind w:firstLine="0" w:firstLineChars="0"/>
        <w:rPr>
          <w:rFonts w:ascii="Times New Roman"/>
          <w:bCs w:val="0"/>
          <w:sz w:val="24"/>
          <w:szCs w:val="24"/>
          <w:lang w:eastAsia="zh-CN"/>
        </w:rPr>
      </w:pPr>
    </w:p>
    <w:p>
      <w:pPr>
        <w:pStyle w:val="36"/>
        <w:spacing w:beforeLines="0" w:afterLines="0"/>
        <w:ind w:firstLine="0" w:firstLineChars="0"/>
        <w:rPr>
          <w:rFonts w:ascii="Times New Roman"/>
          <w:bCs w:val="0"/>
          <w:sz w:val="24"/>
          <w:szCs w:val="24"/>
          <w:lang w:eastAsia="zh-CN"/>
        </w:rPr>
      </w:pPr>
    </w:p>
    <w:p>
      <w:pPr>
        <w:rPr>
          <w:rFonts w:ascii="黑体" w:eastAsia="黑体"/>
          <w:b/>
          <w:sz w:val="44"/>
          <w:szCs w:val="44"/>
          <w:lang w:eastAsia="zh-CN"/>
        </w:rPr>
      </w:pPr>
      <w:r>
        <w:rPr>
          <w:rFonts w:hint="eastAsia" w:ascii="黑体" w:eastAsia="黑体"/>
          <w:b/>
          <w:sz w:val="44"/>
          <w:szCs w:val="44"/>
          <w:lang w:eastAsia="zh-CN"/>
        </w:rPr>
        <w:t>附件</w:t>
      </w:r>
    </w:p>
    <w:p>
      <w:pPr>
        <w:jc w:val="center"/>
        <w:rPr>
          <w:rFonts w:ascii="黑体" w:eastAsia="黑体"/>
          <w:b/>
          <w:sz w:val="44"/>
          <w:szCs w:val="44"/>
          <w:lang w:eastAsia="zh-CN"/>
        </w:rPr>
      </w:pPr>
    </w:p>
    <w:p>
      <w:pPr>
        <w:jc w:val="center"/>
        <w:rPr>
          <w:rFonts w:ascii="黑体" w:eastAsia="黑体"/>
          <w:b/>
          <w:sz w:val="44"/>
          <w:szCs w:val="44"/>
          <w:lang w:eastAsia="zh-CN"/>
        </w:rPr>
      </w:pPr>
    </w:p>
    <w:p>
      <w:pPr>
        <w:widowControl/>
        <w:spacing w:line="360" w:lineRule="auto"/>
        <w:ind w:right="-1164" w:rightChars="-529" w:firstLine="883" w:firstLineChars="200"/>
        <w:jc w:val="left"/>
        <w:rPr>
          <w:rFonts w:ascii="仿宋" w:hAnsi="仿宋" w:eastAsia="仿宋"/>
          <w:b/>
          <w:sz w:val="44"/>
          <w:szCs w:val="32"/>
        </w:rPr>
      </w:pPr>
      <w:r>
        <w:rPr>
          <w:rFonts w:ascii="仿宋" w:hAnsi="仿宋" w:eastAsia="仿宋"/>
          <w:b/>
          <w:sz w:val="44"/>
          <w:szCs w:val="32"/>
        </w:rPr>
        <w:drawing>
          <wp:inline distT="0" distB="0" distL="0" distR="0">
            <wp:extent cx="4333875" cy="7239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33875" cy="723900"/>
                    </a:xfrm>
                    <a:prstGeom prst="rect">
                      <a:avLst/>
                    </a:prstGeom>
                    <a:noFill/>
                    <a:ln>
                      <a:noFill/>
                    </a:ln>
                  </pic:spPr>
                </pic:pic>
              </a:graphicData>
            </a:graphic>
          </wp:inline>
        </w:drawing>
      </w:r>
    </w:p>
    <w:p>
      <w:pPr>
        <w:widowControl/>
        <w:spacing w:line="360" w:lineRule="auto"/>
        <w:ind w:right="-1164" w:rightChars="-529"/>
        <w:jc w:val="center"/>
        <w:rPr>
          <w:rFonts w:ascii="仿宋" w:hAnsi="仿宋" w:eastAsia="仿宋"/>
          <w:b/>
          <w:sz w:val="44"/>
          <w:szCs w:val="32"/>
        </w:rPr>
      </w:pPr>
    </w:p>
    <w:p>
      <w:pPr>
        <w:widowControl/>
        <w:spacing w:line="360" w:lineRule="auto"/>
        <w:ind w:right="0" w:rightChars="0"/>
        <w:jc w:val="center"/>
        <w:rPr>
          <w:rFonts w:ascii="仿宋" w:hAnsi="仿宋" w:eastAsia="仿宋"/>
          <w:b/>
          <w:sz w:val="44"/>
          <w:szCs w:val="32"/>
        </w:rPr>
      </w:pPr>
    </w:p>
    <w:p>
      <w:pPr>
        <w:spacing w:line="360" w:lineRule="auto"/>
        <w:jc w:val="center"/>
        <w:outlineLvl w:val="0"/>
        <w:rPr>
          <w:b/>
          <w:color w:val="000000" w:themeColor="text1"/>
          <w:sz w:val="44"/>
          <w:szCs w:val="44"/>
          <w14:textFill>
            <w14:solidFill>
              <w14:schemeClr w14:val="tx1"/>
            </w14:solidFill>
          </w14:textFill>
        </w:rPr>
      </w:pPr>
    </w:p>
    <w:p>
      <w:pPr>
        <w:spacing w:line="360" w:lineRule="auto"/>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热电厂输煤系统输送带</w:t>
      </w:r>
    </w:p>
    <w:p>
      <w:pPr>
        <w:spacing w:line="360" w:lineRule="auto"/>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技术规范书</w:t>
      </w:r>
    </w:p>
    <w:p>
      <w:pPr>
        <w:spacing w:line="600" w:lineRule="exact"/>
        <w:ind w:firstLine="2240"/>
        <w:rPr>
          <w:rFonts w:ascii="宋体" w:hAnsi="宋体" w:cs="宋体"/>
          <w:color w:val="000000" w:themeColor="text1"/>
          <w:sz w:val="28"/>
          <w14:textFill>
            <w14:solidFill>
              <w14:schemeClr w14:val="tx1"/>
            </w14:solidFill>
          </w14:textFill>
        </w:rPr>
      </w:pPr>
    </w:p>
    <w:p>
      <w:pPr>
        <w:spacing w:line="600" w:lineRule="exact"/>
        <w:ind w:firstLine="2240"/>
        <w:rPr>
          <w:rFonts w:ascii="宋体" w:hAnsi="宋体" w:cs="宋体"/>
          <w:color w:val="000000" w:themeColor="text1"/>
          <w:sz w:val="28"/>
          <w14:textFill>
            <w14:solidFill>
              <w14:schemeClr w14:val="tx1"/>
            </w14:solidFill>
          </w14:textFill>
        </w:rPr>
      </w:pPr>
    </w:p>
    <w:p>
      <w:pPr>
        <w:pStyle w:val="2"/>
      </w:pPr>
    </w:p>
    <w:p>
      <w:pPr>
        <w:spacing w:line="600" w:lineRule="exact"/>
        <w:ind w:firstLine="2240"/>
        <w:rPr>
          <w:rFonts w:ascii="宋体" w:hAnsi="宋体" w:cs="宋体"/>
          <w:color w:val="000000" w:themeColor="text1"/>
          <w:sz w:val="28"/>
          <w14:textFill>
            <w14:solidFill>
              <w14:schemeClr w14:val="tx1"/>
            </w14:solidFill>
          </w14:textFill>
        </w:rPr>
      </w:pPr>
    </w:p>
    <w:p>
      <w:pPr>
        <w:rPr>
          <w:rFonts w:ascii="宋体" w:hAnsi="宋体" w:cs="宋体"/>
          <w:color w:val="000000" w:themeColor="text1"/>
          <w:sz w:val="28"/>
          <w14:textFill>
            <w14:solidFill>
              <w14:schemeClr w14:val="tx1"/>
            </w14:solidFill>
          </w14:textFill>
        </w:rPr>
      </w:pPr>
    </w:p>
    <w:p>
      <w:pPr>
        <w:spacing w:line="600" w:lineRule="exact"/>
        <w:ind w:left="3077" w:leftChars="714" w:hanging="1506" w:hangingChars="500"/>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招标方：腾龙芳烃（漳州）有限公司</w:t>
      </w:r>
    </w:p>
    <w:p>
      <w:pPr>
        <w:spacing w:line="1200" w:lineRule="exact"/>
        <w:ind w:firstLine="1506" w:firstLineChars="500"/>
        <w:rPr>
          <w:rFonts w:ascii="宋体" w:hAnsi="宋体" w:cs="宋体"/>
          <w:b/>
          <w:color w:val="000000" w:themeColor="text1"/>
          <w:sz w:val="30"/>
          <w:szCs w:val="30"/>
          <w:u w:val="single"/>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投标方：</w:t>
      </w:r>
    </w:p>
    <w:p>
      <w:pPr>
        <w:spacing w:line="800" w:lineRule="exact"/>
        <w:ind w:firstLine="851"/>
        <w:rPr>
          <w:rFonts w:ascii="宋体" w:hAnsi="宋体" w:cs="宋体"/>
          <w:b/>
          <w:color w:val="FF0000"/>
          <w:sz w:val="36"/>
          <w:szCs w:val="36"/>
          <w:u w:val="single"/>
        </w:rPr>
      </w:pPr>
    </w:p>
    <w:p>
      <w:pPr>
        <w:spacing w:line="1200" w:lineRule="exact"/>
        <w:ind w:firstLine="1506" w:firstLineChars="500"/>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 xml:space="preserve">签订日期：      年     月     日 </w:t>
      </w:r>
    </w:p>
    <w:p>
      <w:pPr>
        <w:spacing w:line="360" w:lineRule="auto"/>
        <w:jc w:val="center"/>
        <w:rPr>
          <w:rFonts w:hint="eastAsia" w:ascii="宋体" w:hAnsi="宋体" w:cs="宋体"/>
          <w:b/>
          <w:bCs/>
          <w:color w:val="000000" w:themeColor="text1"/>
          <w:sz w:val="44"/>
          <w:szCs w:val="44"/>
          <w14:textFill>
            <w14:solidFill>
              <w14:schemeClr w14:val="tx1"/>
            </w14:solidFill>
          </w14:textFill>
        </w:rPr>
      </w:pPr>
    </w:p>
    <w:p>
      <w:pPr>
        <w:pStyle w:val="2"/>
        <w:rPr>
          <w:rFonts w:hint="eastAsia"/>
        </w:rPr>
      </w:pPr>
    </w:p>
    <w:p>
      <w:pPr>
        <w:spacing w:line="360" w:lineRule="auto"/>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热电厂输煤系统输送带</w:t>
      </w:r>
    </w:p>
    <w:p>
      <w:pPr>
        <w:spacing w:line="360" w:lineRule="auto"/>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技术规范书</w:t>
      </w:r>
    </w:p>
    <w:p>
      <w:pPr>
        <w:pStyle w:val="22"/>
        <w:ind w:firstLine="482"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1.总则</w:t>
      </w:r>
    </w:p>
    <w:p>
      <w:pPr>
        <w:pStyle w:val="77"/>
        <w:adjustRightInd/>
        <w:snapToGrid/>
        <w:spacing w:beforeLines="0" w:afterLines="0" w:line="360" w:lineRule="auto"/>
        <w:ind w:firstLine="480" w:firstLineChars="200"/>
        <w:jc w:val="both"/>
        <w:textAlignment w:val="auto"/>
        <w:rPr>
          <w:rFonts w:eastAsia="宋体" w:cs="宋体"/>
          <w:b w:val="0"/>
          <w:bCs w:val="0"/>
          <w:color w:val="000000" w:themeColor="text1"/>
          <w:kern w:val="2"/>
          <w:sz w:val="24"/>
          <w:szCs w:val="24"/>
          <w14:textFill>
            <w14:solidFill>
              <w14:schemeClr w14:val="tx1"/>
            </w14:solidFill>
          </w14:textFill>
        </w:rPr>
      </w:pPr>
      <w:r>
        <w:rPr>
          <w:rFonts w:hint="eastAsia" w:eastAsia="宋体" w:cs="宋体"/>
          <w:b w:val="0"/>
          <w:bCs w:val="0"/>
          <w:color w:val="000000" w:themeColor="text1"/>
          <w:kern w:val="2"/>
          <w:sz w:val="24"/>
          <w:szCs w:val="24"/>
          <w14:textFill>
            <w14:solidFill>
              <w14:schemeClr w14:val="tx1"/>
            </w14:solidFill>
          </w14:textFill>
        </w:rPr>
        <w:t>1.1本技术规范书适用于腾龙芳烃热电厂输煤输送带采购，本次招标范围为</w:t>
      </w:r>
      <w:r>
        <w:rPr>
          <w:rFonts w:eastAsia="宋体" w:cs="宋体"/>
          <w:b w:val="0"/>
          <w:bCs w:val="0"/>
          <w:color w:val="000000" w:themeColor="text1"/>
          <w:kern w:val="2"/>
          <w:sz w:val="24"/>
          <w:szCs w:val="24"/>
          <w14:textFill>
            <w14:solidFill>
              <w14:schemeClr w14:val="tx1"/>
            </w14:solidFill>
          </w14:textFill>
        </w:rPr>
        <w:t>腾龙芳烃电厂4×670t/h＋3×150MW</w:t>
      </w:r>
      <w:r>
        <w:rPr>
          <w:rFonts w:hint="eastAsia" w:eastAsia="宋体" w:cs="宋体"/>
          <w:b w:val="0"/>
          <w:bCs w:val="0"/>
          <w:color w:val="000000" w:themeColor="text1"/>
          <w:kern w:val="2"/>
          <w:sz w:val="24"/>
          <w:szCs w:val="24"/>
          <w14:textFill>
            <w14:solidFill>
              <w14:schemeClr w14:val="tx1"/>
            </w14:solidFill>
          </w14:textFill>
        </w:rPr>
        <w:t>工程所配备的</w:t>
      </w:r>
      <w:r>
        <w:rPr>
          <w:rFonts w:hint="eastAsia" w:eastAsia="宋体" w:cs="宋体"/>
          <w:b w:val="0"/>
          <w:bCs w:val="0"/>
          <w:color w:val="000000" w:themeColor="text1"/>
          <w:kern w:val="2"/>
          <w:sz w:val="24"/>
          <w:szCs w:val="24"/>
          <w:u w:val="single"/>
          <w14:textFill>
            <w14:solidFill>
              <w14:schemeClr w14:val="tx1"/>
            </w14:solidFill>
          </w14:textFill>
        </w:rPr>
        <w:t>输煤输送带</w:t>
      </w:r>
      <w:r>
        <w:rPr>
          <w:rFonts w:hint="eastAsia" w:eastAsia="宋体" w:cs="宋体"/>
          <w:b w:val="0"/>
          <w:bCs w:val="0"/>
          <w:color w:val="000000" w:themeColor="text1"/>
          <w:kern w:val="2"/>
          <w:sz w:val="24"/>
          <w:szCs w:val="24"/>
          <w:highlight w:val="none"/>
          <w:u w:val="single"/>
          <w14:textFill>
            <w14:solidFill>
              <w14:schemeClr w14:val="tx1"/>
            </w14:solidFill>
          </w14:textFill>
        </w:rPr>
        <w:t>（含接头胶接材料、胶带修补机）采购</w:t>
      </w:r>
      <w:r>
        <w:rPr>
          <w:rFonts w:hint="eastAsia" w:eastAsia="宋体" w:cs="宋体"/>
          <w:b w:val="0"/>
          <w:bCs w:val="0"/>
          <w:color w:val="000000" w:themeColor="text1"/>
          <w:kern w:val="2"/>
          <w:sz w:val="24"/>
          <w:szCs w:val="24"/>
          <w14:textFill>
            <w14:solidFill>
              <w14:schemeClr w14:val="tx1"/>
            </w14:solidFill>
          </w14:textFill>
        </w:rPr>
        <w:t>。它提出了输送带的设计、结构、性能、胶接和试验等方面的技术要求，解释权归招标方。</w:t>
      </w:r>
      <w:bookmarkStart w:id="9" w:name="_Hlk41031330"/>
    </w:p>
    <w:bookmarkEnd w:id="9"/>
    <w:p>
      <w:pPr>
        <w:pStyle w:val="77"/>
        <w:adjustRightInd/>
        <w:snapToGrid/>
        <w:spacing w:beforeLines="0" w:afterLines="0" w:line="360" w:lineRule="auto"/>
        <w:ind w:firstLine="480" w:firstLineChars="200"/>
        <w:jc w:val="both"/>
        <w:textAlignment w:val="auto"/>
        <w:rPr>
          <w:rFonts w:eastAsia="宋体" w:cs="宋体"/>
          <w:b w:val="0"/>
          <w:bCs w:val="0"/>
          <w:color w:val="000000" w:themeColor="text1"/>
          <w:kern w:val="2"/>
          <w:sz w:val="24"/>
          <w:szCs w:val="24"/>
          <w14:textFill>
            <w14:solidFill>
              <w14:schemeClr w14:val="tx1"/>
            </w14:solidFill>
          </w14:textFill>
        </w:rPr>
      </w:pPr>
      <w:bookmarkStart w:id="10" w:name="_Hlk41031359"/>
      <w:r>
        <w:rPr>
          <w:rFonts w:hint="eastAsia" w:eastAsia="宋体" w:cs="宋体"/>
          <w:b w:val="0"/>
          <w:bCs w:val="0"/>
          <w:color w:val="000000" w:themeColor="text1"/>
          <w:kern w:val="2"/>
          <w:sz w:val="24"/>
          <w:szCs w:val="24"/>
          <w14:textFill>
            <w14:solidFill>
              <w14:schemeClr w14:val="tx1"/>
            </w14:solidFill>
          </w14:textFill>
        </w:rPr>
        <w:t>1.2本技术规范书提出的是最低限度的要求，并未规定所有的技术要求和使用的标准。投标人应保证提供满足本技术规范和有关最新(截止到投标日期)工业标准的产品及相应的服务。对国家有关安全、环保等强制性标准，必须满足其要求。</w:t>
      </w:r>
      <w:bookmarkEnd w:id="10"/>
    </w:p>
    <w:p>
      <w:pPr>
        <w:pStyle w:val="77"/>
        <w:adjustRightInd/>
        <w:snapToGrid/>
        <w:spacing w:beforeLines="0" w:afterLines="0" w:line="360" w:lineRule="auto"/>
        <w:ind w:firstLine="480" w:firstLineChars="200"/>
        <w:jc w:val="both"/>
        <w:textAlignment w:val="auto"/>
        <w:rPr>
          <w:rFonts w:eastAsia="宋体" w:cs="宋体"/>
          <w:b w:val="0"/>
          <w:bCs w:val="0"/>
          <w:color w:val="000000" w:themeColor="text1"/>
          <w:kern w:val="2"/>
          <w:sz w:val="24"/>
          <w:szCs w:val="24"/>
          <w14:textFill>
            <w14:solidFill>
              <w14:schemeClr w14:val="tx1"/>
            </w14:solidFill>
          </w14:textFill>
        </w:rPr>
      </w:pPr>
      <w:r>
        <w:rPr>
          <w:rFonts w:hint="eastAsia" w:eastAsia="宋体" w:cs="宋体"/>
          <w:b w:val="0"/>
          <w:bCs w:val="0"/>
          <w:color w:val="000000" w:themeColor="text1"/>
          <w:kern w:val="2"/>
          <w:sz w:val="24"/>
          <w:szCs w:val="24"/>
          <w14:textFill>
            <w14:solidFill>
              <w14:schemeClr w14:val="tx1"/>
            </w14:solidFill>
          </w14:textFill>
        </w:rPr>
        <w:t>1.3投标人须执行国家相关标准、电力行业标准和有关国际标准。本规范书中未提及的内容均应满足或优于国家相关标准、电力行业标准和有关国际标准。有矛盾时，按较严格标准执行。</w:t>
      </w:r>
    </w:p>
    <w:p>
      <w:pPr>
        <w:pStyle w:val="77"/>
        <w:adjustRightInd/>
        <w:snapToGrid/>
        <w:spacing w:beforeLines="0" w:afterLines="0" w:line="360" w:lineRule="auto"/>
        <w:ind w:firstLine="480" w:firstLineChars="200"/>
        <w:jc w:val="both"/>
        <w:textAlignment w:val="auto"/>
        <w:rPr>
          <w:rFonts w:eastAsia="宋体" w:cs="宋体"/>
          <w:b w:val="0"/>
          <w:bCs w:val="0"/>
          <w:color w:val="000000" w:themeColor="text1"/>
          <w:kern w:val="2"/>
          <w:sz w:val="24"/>
          <w:szCs w:val="24"/>
          <w14:textFill>
            <w14:solidFill>
              <w14:schemeClr w14:val="tx1"/>
            </w14:solidFill>
          </w14:textFill>
        </w:rPr>
      </w:pPr>
      <w:r>
        <w:rPr>
          <w:rFonts w:hint="eastAsia" w:eastAsia="宋体" w:cs="宋体"/>
          <w:b w:val="0"/>
          <w:bCs w:val="0"/>
          <w:color w:val="000000" w:themeColor="text1"/>
          <w:kern w:val="2"/>
          <w:sz w:val="24"/>
          <w:szCs w:val="24"/>
          <w14:textFill>
            <w14:solidFill>
              <w14:schemeClr w14:val="tx1"/>
            </w14:solidFill>
          </w14:textFill>
        </w:rPr>
        <w:t>1.4 本技术规范书经招、投标双方确认后作为合同的技术附件，与合同正文具有同等效力。</w:t>
      </w:r>
    </w:p>
    <w:p>
      <w:pPr>
        <w:pStyle w:val="77"/>
        <w:adjustRightInd/>
        <w:snapToGrid/>
        <w:spacing w:beforeLines="0" w:afterLines="0" w:line="360" w:lineRule="auto"/>
        <w:ind w:firstLine="480" w:firstLineChars="200"/>
        <w:jc w:val="both"/>
        <w:textAlignment w:val="auto"/>
        <w:rPr>
          <w:rFonts w:eastAsia="宋体" w:cs="宋体"/>
          <w:b/>
          <w:bCs/>
          <w:color w:val="000000" w:themeColor="text1"/>
          <w:kern w:val="2"/>
          <w:sz w:val="24"/>
          <w:szCs w:val="24"/>
          <w14:textFill>
            <w14:solidFill>
              <w14:schemeClr w14:val="tx1"/>
            </w14:solidFill>
          </w14:textFill>
        </w:rPr>
      </w:pPr>
      <w:r>
        <w:rPr>
          <w:rFonts w:hint="eastAsia" w:eastAsia="宋体" w:cs="宋体"/>
          <w:b w:val="0"/>
          <w:bCs w:val="0"/>
          <w:color w:val="000000" w:themeColor="text1"/>
          <w:kern w:val="2"/>
          <w:sz w:val="24"/>
          <w:szCs w:val="24"/>
          <w14:textFill>
            <w14:solidFill>
              <w14:schemeClr w14:val="tx1"/>
            </w14:solidFill>
          </w14:textFill>
        </w:rPr>
        <w:t>1.5</w:t>
      </w:r>
      <w:r>
        <w:rPr>
          <w:rFonts w:hint="eastAsia" w:eastAsia="宋体" w:cs="宋体"/>
          <w:b/>
          <w:bCs/>
          <w:color w:val="000000" w:themeColor="text1"/>
          <w:kern w:val="2"/>
          <w:sz w:val="24"/>
          <w:szCs w:val="24"/>
          <w14:textFill>
            <w14:solidFill>
              <w14:schemeClr w14:val="tx1"/>
            </w14:solidFill>
          </w14:textFill>
        </w:rPr>
        <w:t>从签订合同之后至投标方开始制造之日的这段时期内，招标方有权提出因规程、规范和标准发生变化而产生的一些补充修改要求，投标方应遵守这些要求。</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1.6若投标人所提供的投标文件前后有不一致的地方，应以更有利于设备安装运行、工程质量为原则，由招标人确定执行原则。</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1.7对于进口部件（套），投标方提供公司注册地原产地证明、厂家生产编号、海关报关单、关税证明、进口合同、提货单（正本海运提单  背书、传真空运单据换取）进口许可证（根据海关商品编号上的规定）、商检证明、以及中文版说明书。</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1.8投标方供货设备采用的专利涉及到的全部费用均被认为包含在设备总价中，投标方应该保证招标方不承担有关设备专利的一切责任。</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1.9本次橡胶输送带采购遵循技术先进、先进工艺，质量上乘的原则，要求</w:t>
      </w:r>
      <w:r>
        <w:rPr>
          <w:rFonts w:ascii="宋体" w:hAnsi="宋体" w:cs="宋体"/>
          <w:color w:val="000000" w:themeColor="text1"/>
          <w:sz w:val="24"/>
          <w:highlight w:val="none"/>
          <w14:textFill>
            <w14:solidFill>
              <w14:schemeClr w14:val="tx1"/>
            </w14:solidFill>
          </w14:textFill>
        </w:rPr>
        <w:t>采用</w:t>
      </w:r>
      <w:r>
        <w:rPr>
          <w:rFonts w:hint="eastAsia" w:ascii="宋体" w:hAnsi="宋体" w:cs="宋体"/>
          <w:color w:val="000000" w:themeColor="text1"/>
          <w:sz w:val="24"/>
          <w:highlight w:val="none"/>
          <w14:textFill>
            <w14:solidFill>
              <w14:schemeClr w14:val="tx1"/>
            </w14:solidFill>
          </w14:textFill>
        </w:rPr>
        <w:t>品牌：浙江双箭、上海富大、浙江三维、银河德普。投标方提供参与投标的产品在国内单机300MW及以上火力发电厂有良好的使用业绩，安全稳定运行三年以上（需提供用户使用证明）。</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投标方如对技术规范书有异议，应以书面形式明确提出，反映在差异表中。在征得招标方同意后，可对有关条文进行修改。如招标方不同意修改，仍以招标方意见为准。</w:t>
      </w:r>
    </w:p>
    <w:p>
      <w:pPr>
        <w:tabs>
          <w:tab w:val="left" w:pos="525"/>
        </w:tabs>
        <w:spacing w:line="360" w:lineRule="auto"/>
        <w:ind w:firstLine="480" w:firstLineChars="200"/>
        <w:rPr>
          <w:rFonts w:ascii="宋体" w:hAnsi="宋体"/>
          <w:sz w:val="24"/>
        </w:rPr>
      </w:pPr>
      <w:r>
        <w:rPr>
          <w:rFonts w:hint="eastAsia" w:ascii="宋体" w:hAnsi="宋体"/>
          <w:sz w:val="24"/>
        </w:rPr>
        <w:t>1.10如投标方没有以书面形式对本技术规范书明确提出异议，那么投标方提供的产品应完全满足本技术规范书的要求。</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1.11投标方在投标书中应采用国际单位制（SI）。</w:t>
      </w:r>
    </w:p>
    <w:p>
      <w:pPr>
        <w:adjustRightInd w:val="0"/>
        <w:snapToGrid w:val="0"/>
        <w:spacing w:line="360" w:lineRule="auto"/>
        <w:ind w:firstLine="480" w:firstLineChars="200"/>
        <w:rPr>
          <w:rFonts w:ascii="宋体" w:hAnsi="宋体" w:cs="宋体"/>
          <w:color w:val="000000" w:themeColor="text1"/>
          <w:sz w:val="24"/>
          <w:highlight w:val="green"/>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hint="eastAsia" w:ascii="宋体" w:hAnsi="宋体" w:cs="宋体"/>
          <w:color w:val="000000" w:themeColor="text1"/>
          <w:sz w:val="24"/>
          <w:highlight w:val="none"/>
          <w14:textFill>
            <w14:solidFill>
              <w14:schemeClr w14:val="tx1"/>
            </w14:solidFill>
          </w14:textFill>
        </w:rPr>
        <w:t>投标方应在投标文件中提供符合此次招标胶带类型的全厚度拉伸强度和伸长率、覆盖物物理性能（不包括老化性能）、层间粘合强度、直线度、安全性能试验报告。</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1.13未尽事宜双方协商解决。</w:t>
      </w:r>
    </w:p>
    <w:p>
      <w:pPr>
        <w:pStyle w:val="77"/>
        <w:adjustRightInd/>
        <w:snapToGrid/>
        <w:spacing w:beforeLines="0" w:afterLines="0" w:line="360" w:lineRule="auto"/>
        <w:ind w:firstLine="482" w:firstLineChars="200"/>
        <w:jc w:val="both"/>
        <w:textAlignment w:val="auto"/>
        <w:rPr>
          <w:rFonts w:ascii="Times New Roman" w:hAnsi="Times New Roman" w:eastAsia="宋体"/>
          <w:color w:val="000000" w:themeColor="text1"/>
          <w:sz w:val="24"/>
          <w:szCs w:val="24"/>
          <w14:textFill>
            <w14:solidFill>
              <w14:schemeClr w14:val="tx1"/>
            </w14:solidFill>
          </w14:textFill>
        </w:rPr>
      </w:pPr>
      <w:r>
        <w:rPr>
          <w:rFonts w:hint="eastAsia" w:ascii="Times New Roman" w:eastAsia="宋体"/>
          <w:color w:val="000000" w:themeColor="text1"/>
          <w:sz w:val="24"/>
          <w:szCs w:val="24"/>
          <w14:textFill>
            <w14:solidFill>
              <w14:schemeClr w14:val="tx1"/>
            </w14:solidFill>
          </w14:textFill>
        </w:rPr>
        <w:t>2.</w:t>
      </w:r>
      <w:r>
        <w:rPr>
          <w:rFonts w:ascii="Times New Roman" w:eastAsia="宋体"/>
          <w:color w:val="000000" w:themeColor="text1"/>
          <w:sz w:val="24"/>
          <w:szCs w:val="24"/>
          <w14:textFill>
            <w14:solidFill>
              <w14:schemeClr w14:val="tx1"/>
            </w14:solidFill>
          </w14:textFill>
        </w:rPr>
        <w:t>工程概况</w:t>
      </w:r>
    </w:p>
    <w:p>
      <w:pPr>
        <w:autoSpaceDE w:val="0"/>
        <w:autoSpaceDN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2.1</w:t>
      </w:r>
      <w:r>
        <w:rPr>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工程概述</w:t>
      </w:r>
    </w:p>
    <w:p>
      <w:pPr>
        <w:autoSpaceDE w:val="0"/>
        <w:autoSpaceDN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2.1</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腾龙芳烃热电厂厂址位于漳州古雷开发区，承担向腾龙芳烃工艺装置、储运系统、公用系统供热（4.3MPa*385℃*463.5t/h；2.5MPa*240℃*120t/h）和供电任务，同时向当地电网输送部分电力。腾龙芳烃电厂容量4×670t/h＋3×150MW。</w:t>
      </w:r>
    </w:p>
    <w:p>
      <w:pPr>
        <w:autoSpaceDE w:val="0"/>
        <w:autoSpaceDN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2.1.2 </w:t>
      </w:r>
      <w:r>
        <w:rPr>
          <w:rFonts w:hAnsi="宋体"/>
          <w:color w:val="000000" w:themeColor="text1"/>
          <w:sz w:val="24"/>
          <w14:textFill>
            <w14:solidFill>
              <w14:schemeClr w14:val="tx1"/>
            </w14:solidFill>
          </w14:textFill>
        </w:rPr>
        <w:t>锅炉型式及制造厂家：</w:t>
      </w:r>
      <w:r>
        <w:rPr>
          <w:rFonts w:hint="eastAsia" w:hAnsi="宋体"/>
          <w:color w:val="000000" w:themeColor="text1"/>
          <w:sz w:val="24"/>
          <w14:textFill>
            <w14:solidFill>
              <w14:schemeClr w14:val="tx1"/>
            </w14:solidFill>
          </w14:textFill>
        </w:rPr>
        <w:t>4</w:t>
      </w:r>
      <w:r>
        <w:rPr>
          <w:rFonts w:hAnsi="宋体"/>
          <w:color w:val="000000" w:themeColor="text1"/>
          <w:sz w:val="24"/>
          <w14:textFill>
            <w14:solidFill>
              <w14:schemeClr w14:val="tx1"/>
            </w14:solidFill>
          </w14:textFill>
        </w:rPr>
        <w:t>×670t/h锅炉为超高压参数自然循环、四角切向燃烧方式，单炉膛，无再热，平衡通风，露天布置，固态排渣，全钢构架，全悬吊结构，回转式空气预热器，“</w:t>
      </w:r>
      <w:r>
        <w:rPr>
          <w:rFonts w:hAnsi="宋体"/>
          <w:color w:val="000000" w:themeColor="text1"/>
          <w:sz w:val="24"/>
          <w14:textFill>
            <w14:solidFill>
              <w14:schemeClr w14:val="tx1"/>
            </w14:solidFill>
          </w14:textFill>
        </w:rPr>
        <w:sym w:font="Symbol" w:char="F050"/>
      </w:r>
      <w:r>
        <w:rPr>
          <w:rFonts w:hAnsi="宋体"/>
          <w:color w:val="000000" w:themeColor="text1"/>
          <w:sz w:val="24"/>
          <w14:textFill>
            <w14:solidFill>
              <w14:schemeClr w14:val="tx1"/>
            </w14:solidFill>
          </w14:textFill>
        </w:rPr>
        <w:t>”型布置汽包锅炉。由上海锅炉厂有限责任公司提供。</w:t>
      </w:r>
    </w:p>
    <w:p>
      <w:pPr>
        <w:autoSpaceDE w:val="0"/>
        <w:autoSpaceDN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2.1</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3 </w:t>
      </w:r>
      <w:r>
        <w:rPr>
          <w:rFonts w:hAnsi="宋体"/>
          <w:color w:val="000000" w:themeColor="text1"/>
          <w:sz w:val="24"/>
          <w14:textFill>
            <w14:solidFill>
              <w14:schemeClr w14:val="tx1"/>
            </w14:solidFill>
          </w14:textFill>
        </w:rPr>
        <w:t>主厂房煤仓间原煤斗</w:t>
      </w:r>
      <w:r>
        <w:rPr>
          <w:rFonts w:hint="eastAsia" w:hAnsi="宋体"/>
          <w:color w:val="000000" w:themeColor="text1"/>
          <w:sz w:val="24"/>
          <w14:textFill>
            <w14:solidFill>
              <w14:schemeClr w14:val="tx1"/>
            </w14:solidFill>
          </w14:textFill>
        </w:rPr>
        <w:t>数量：每台锅炉设5座，四台锅炉共20座。</w:t>
      </w:r>
    </w:p>
    <w:p>
      <w:pPr>
        <w:autoSpaceDE w:val="0"/>
        <w:autoSpaceDN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2.1</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4</w:t>
      </w:r>
      <w:r>
        <w:rPr>
          <w:rFonts w:hAnsi="宋体"/>
          <w:color w:val="000000" w:themeColor="text1"/>
          <w:sz w:val="24"/>
          <w14:textFill>
            <w14:solidFill>
              <w14:schemeClr w14:val="tx1"/>
            </w14:solidFill>
          </w14:textFill>
        </w:rPr>
        <w:t xml:space="preserve"> 锅炉最大连续蒸发量：</w:t>
      </w:r>
      <w:r>
        <w:rPr>
          <w:rFonts w:hint="eastAsia" w:hAnsi="宋体"/>
          <w:color w:val="000000" w:themeColor="text1"/>
          <w:sz w:val="24"/>
          <w14:textFill>
            <w14:solidFill>
              <w14:schemeClr w14:val="tx1"/>
            </w14:solidFill>
          </w14:textFill>
        </w:rPr>
        <w:t>670</w:t>
      </w:r>
      <w:r>
        <w:rPr>
          <w:rFonts w:hAnsi="宋体"/>
          <w:color w:val="000000" w:themeColor="text1"/>
          <w:sz w:val="24"/>
          <w14:textFill>
            <w14:solidFill>
              <w14:schemeClr w14:val="tx1"/>
            </w14:solidFill>
          </w14:textFill>
        </w:rPr>
        <w:t>t/h</w:t>
      </w:r>
    </w:p>
    <w:p>
      <w:pPr>
        <w:autoSpaceDE w:val="0"/>
        <w:autoSpaceDN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2.1</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5</w:t>
      </w: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每台</w:t>
      </w:r>
      <w:r>
        <w:rPr>
          <w:rFonts w:hAnsi="宋体"/>
          <w:color w:val="000000" w:themeColor="text1"/>
          <w:sz w:val="24"/>
          <w14:textFill>
            <w14:solidFill>
              <w14:schemeClr w14:val="tx1"/>
            </w14:solidFill>
          </w14:textFill>
        </w:rPr>
        <w:t>锅炉</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B-MCR</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燃煤量：</w:t>
      </w:r>
      <w:r>
        <w:rPr>
          <w:rFonts w:hint="eastAsia" w:hAnsi="宋体"/>
          <w:color w:val="000000" w:themeColor="text1"/>
          <w:sz w:val="24"/>
          <w14:textFill>
            <w14:solidFill>
              <w14:schemeClr w14:val="tx1"/>
            </w14:solidFill>
          </w14:textFill>
        </w:rPr>
        <w:t xml:space="preserve"> 88.69</w:t>
      </w:r>
      <w:r>
        <w:rPr>
          <w:rFonts w:hAnsi="宋体"/>
          <w:color w:val="000000" w:themeColor="text1"/>
          <w:sz w:val="24"/>
          <w14:textFill>
            <w14:solidFill>
              <w14:schemeClr w14:val="tx1"/>
            </w14:solidFill>
          </w14:textFill>
        </w:rPr>
        <w:t>t/h</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设计煤种</w:t>
      </w:r>
      <w:r>
        <w:rPr>
          <w:rFonts w:hint="eastAsia" w:hAnsi="宋体"/>
          <w:color w:val="000000" w:themeColor="text1"/>
          <w:sz w:val="24"/>
          <w14:textFill>
            <w14:solidFill>
              <w14:schemeClr w14:val="tx1"/>
            </w14:solidFill>
          </w14:textFill>
        </w:rPr>
        <w:t>）</w:t>
      </w:r>
    </w:p>
    <w:p>
      <w:pPr>
        <w:autoSpaceDE w:val="0"/>
        <w:autoSpaceDN w:val="0"/>
        <w:spacing w:line="360" w:lineRule="auto"/>
        <w:ind w:firstLine="4320" w:firstLineChars="18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94.07</w:t>
      </w:r>
      <w:r>
        <w:rPr>
          <w:rFonts w:hAnsi="宋体"/>
          <w:color w:val="000000" w:themeColor="text1"/>
          <w:sz w:val="24"/>
          <w14:textFill>
            <w14:solidFill>
              <w14:schemeClr w14:val="tx1"/>
            </w14:solidFill>
          </w14:textFill>
        </w:rPr>
        <w:t>t/h</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校核煤种</w:t>
      </w:r>
      <w:r>
        <w:rPr>
          <w:rFonts w:hint="eastAsia" w:hAnsi="宋体"/>
          <w:color w:val="000000" w:themeColor="text1"/>
          <w:sz w:val="24"/>
          <w14:textFill>
            <w14:solidFill>
              <w14:schemeClr w14:val="tx1"/>
            </w14:solidFill>
          </w14:textFill>
        </w:rPr>
        <w:t>）</w:t>
      </w:r>
    </w:p>
    <w:p>
      <w:pPr>
        <w:autoSpaceDE w:val="0"/>
        <w:autoSpaceDN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 煤质资料</w:t>
      </w:r>
    </w:p>
    <w:p>
      <w:pPr>
        <w:autoSpaceDE w:val="0"/>
        <w:autoSpaceDN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本工程设计煤种与校核煤种的煤质分析资料如下：</w:t>
      </w:r>
    </w:p>
    <w:p>
      <w:pPr>
        <w:spacing w:line="360" w:lineRule="auto"/>
        <w:ind w:firstLine="2833" w:firstLineChars="1176"/>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燃煤特性</w:t>
      </w:r>
      <w:r>
        <w:rPr>
          <w:rFonts w:hAnsi="宋体"/>
          <w:b/>
          <w:color w:val="000000" w:themeColor="text1"/>
          <w:sz w:val="24"/>
          <w14:textFill>
            <w14:solidFill>
              <w14:schemeClr w14:val="tx1"/>
            </w14:solidFill>
          </w14:textFill>
        </w:rPr>
        <w:t>分析表</w:t>
      </w:r>
    </w:p>
    <w:tbl>
      <w:tblPr>
        <w:tblStyle w:val="30"/>
        <w:tblW w:w="8729" w:type="dxa"/>
        <w:jc w:val="center"/>
        <w:tblInd w:w="0" w:type="dxa"/>
        <w:tblLayout w:type="fixed"/>
        <w:tblCellMar>
          <w:top w:w="0" w:type="dxa"/>
          <w:left w:w="108" w:type="dxa"/>
          <w:bottom w:w="0" w:type="dxa"/>
          <w:right w:w="108" w:type="dxa"/>
        </w:tblCellMar>
      </w:tblPr>
      <w:tblGrid>
        <w:gridCol w:w="2528"/>
        <w:gridCol w:w="1260"/>
        <w:gridCol w:w="1260"/>
        <w:gridCol w:w="1800"/>
        <w:gridCol w:w="1881"/>
      </w:tblGrid>
      <w:tr>
        <w:tblPrEx>
          <w:tblLayout w:type="fixed"/>
          <w:tblCellMar>
            <w:top w:w="0" w:type="dxa"/>
            <w:left w:w="108" w:type="dxa"/>
            <w:bottom w:w="0" w:type="dxa"/>
            <w:right w:w="108" w:type="dxa"/>
          </w:tblCellMar>
        </w:tblPrEx>
        <w:trPr>
          <w:trHeight w:val="326" w:hRule="atLeast"/>
          <w:tblHeader/>
          <w:jc w:val="center"/>
        </w:trPr>
        <w:tc>
          <w:tcPr>
            <w:tcW w:w="252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b/>
                <w:bCs/>
                <w:color w:val="000000" w:themeColor="text1"/>
                <w14:textFill>
                  <w14:solidFill>
                    <w14:schemeClr w14:val="tx1"/>
                  </w14:solidFill>
                </w14:textFill>
              </w:rPr>
            </w:pPr>
            <w:r>
              <w:rPr>
                <w:b/>
                <w:bCs/>
                <w:snapToGrid w:val="0"/>
                <w:color w:val="000000" w:themeColor="text1"/>
                <w14:textFill>
                  <w14:solidFill>
                    <w14:schemeClr w14:val="tx1"/>
                  </w14:solidFill>
                </w14:textFill>
              </w:rPr>
              <w:t>项目名称</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b/>
                <w:bCs/>
                <w:color w:val="000000" w:themeColor="text1"/>
                <w14:textFill>
                  <w14:solidFill>
                    <w14:schemeClr w14:val="tx1"/>
                  </w14:solidFill>
                </w14:textFill>
              </w:rPr>
            </w:pPr>
            <w:r>
              <w:rPr>
                <w:b/>
                <w:bCs/>
                <w:color w:val="000000" w:themeColor="text1"/>
                <w14:textFill>
                  <w14:solidFill>
                    <w14:schemeClr w14:val="tx1"/>
                  </w14:solidFill>
                </w14:textFill>
              </w:rPr>
              <w:t>符号</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b/>
                <w:bCs/>
                <w:color w:val="000000" w:themeColor="text1"/>
                <w14:textFill>
                  <w14:solidFill>
                    <w14:schemeClr w14:val="tx1"/>
                  </w14:solidFill>
                </w14:textFill>
              </w:rPr>
            </w:pPr>
            <w:r>
              <w:rPr>
                <w:b/>
                <w:bCs/>
                <w:color w:val="000000" w:themeColor="text1"/>
                <w14:textFill>
                  <w14:solidFill>
                    <w14:schemeClr w14:val="tx1"/>
                  </w14:solidFill>
                </w14:textFill>
              </w:rPr>
              <w:t>单位</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b/>
                <w:bCs/>
                <w:color w:val="000000" w:themeColor="text1"/>
                <w14:textFill>
                  <w14:solidFill>
                    <w14:schemeClr w14:val="tx1"/>
                  </w14:solidFill>
                </w14:textFill>
              </w:rPr>
            </w:pPr>
            <w:r>
              <w:rPr>
                <w:b/>
                <w:bCs/>
                <w:color w:val="000000" w:themeColor="text1"/>
                <w14:textFill>
                  <w14:solidFill>
                    <w14:schemeClr w14:val="tx1"/>
                  </w14:solidFill>
                </w14:textFill>
              </w:rPr>
              <w:t>设计煤种</w:t>
            </w:r>
          </w:p>
        </w:tc>
        <w:tc>
          <w:tcPr>
            <w:tcW w:w="188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b/>
                <w:bCs/>
                <w:color w:val="000000" w:themeColor="text1"/>
                <w14:textFill>
                  <w14:solidFill>
                    <w14:schemeClr w14:val="tx1"/>
                  </w14:solidFill>
                </w14:textFill>
              </w:rPr>
            </w:pPr>
            <w:r>
              <w:rPr>
                <w:b/>
                <w:bCs/>
                <w:snapToGrid w:val="0"/>
                <w:color w:val="000000" w:themeColor="text1"/>
                <w14:textFill>
                  <w14:solidFill>
                    <w14:schemeClr w14:val="tx1"/>
                  </w14:solidFill>
                </w14:textFill>
              </w:rPr>
              <w:t>校核煤种</w:t>
            </w:r>
          </w:p>
        </w:tc>
      </w:tr>
      <w:tr>
        <w:tblPrEx>
          <w:tblLayout w:type="fixed"/>
          <w:tblCellMar>
            <w:top w:w="0" w:type="dxa"/>
            <w:left w:w="108" w:type="dxa"/>
            <w:bottom w:w="0" w:type="dxa"/>
            <w:right w:w="108" w:type="dxa"/>
          </w:tblCellMar>
        </w:tblPrEx>
        <w:trPr>
          <w:trHeight w:val="117" w:hRule="atLeast"/>
          <w:jc w:val="center"/>
        </w:trPr>
        <w:tc>
          <w:tcPr>
            <w:tcW w:w="252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收到基碳</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Car</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54.21</w:t>
            </w:r>
          </w:p>
        </w:tc>
        <w:tc>
          <w:tcPr>
            <w:tcW w:w="188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49.90</w:t>
            </w:r>
          </w:p>
        </w:tc>
      </w:tr>
      <w:tr>
        <w:tblPrEx>
          <w:tblLayout w:type="fixed"/>
          <w:tblCellMar>
            <w:top w:w="0" w:type="dxa"/>
            <w:left w:w="108" w:type="dxa"/>
            <w:bottom w:w="0" w:type="dxa"/>
            <w:right w:w="108" w:type="dxa"/>
          </w:tblCellMar>
        </w:tblPrEx>
        <w:trPr>
          <w:trHeight w:val="68" w:hRule="atLeast"/>
          <w:jc w:val="center"/>
        </w:trPr>
        <w:tc>
          <w:tcPr>
            <w:tcW w:w="252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收到基氢</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Har</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2.94</w:t>
            </w:r>
          </w:p>
        </w:tc>
        <w:tc>
          <w:tcPr>
            <w:tcW w:w="188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3.65</w:t>
            </w:r>
          </w:p>
        </w:tc>
      </w:tr>
      <w:tr>
        <w:tblPrEx>
          <w:tblLayout w:type="fixed"/>
          <w:tblCellMar>
            <w:top w:w="0" w:type="dxa"/>
            <w:left w:w="108" w:type="dxa"/>
            <w:bottom w:w="0" w:type="dxa"/>
            <w:right w:w="108" w:type="dxa"/>
          </w:tblCellMar>
        </w:tblPrEx>
        <w:trPr>
          <w:trHeight w:val="68" w:hRule="atLeast"/>
          <w:jc w:val="center"/>
        </w:trPr>
        <w:tc>
          <w:tcPr>
            <w:tcW w:w="252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收到基氧</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Oar</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6.2</w:t>
            </w:r>
          </w:p>
        </w:tc>
        <w:tc>
          <w:tcPr>
            <w:tcW w:w="188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5.5</w:t>
            </w:r>
          </w:p>
        </w:tc>
      </w:tr>
      <w:tr>
        <w:tblPrEx>
          <w:tblLayout w:type="fixed"/>
          <w:tblCellMar>
            <w:top w:w="0" w:type="dxa"/>
            <w:left w:w="108" w:type="dxa"/>
            <w:bottom w:w="0" w:type="dxa"/>
            <w:right w:w="108" w:type="dxa"/>
          </w:tblCellMar>
        </w:tblPrEx>
        <w:trPr>
          <w:trHeight w:val="68" w:hRule="atLeast"/>
          <w:jc w:val="center"/>
        </w:trPr>
        <w:tc>
          <w:tcPr>
            <w:tcW w:w="252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收到基氮</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Nar</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1.45</w:t>
            </w:r>
          </w:p>
        </w:tc>
        <w:tc>
          <w:tcPr>
            <w:tcW w:w="188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1.65</w:t>
            </w:r>
          </w:p>
        </w:tc>
      </w:tr>
      <w:tr>
        <w:tblPrEx>
          <w:tblLayout w:type="fixed"/>
          <w:tblCellMar>
            <w:top w:w="0" w:type="dxa"/>
            <w:left w:w="108" w:type="dxa"/>
            <w:bottom w:w="0" w:type="dxa"/>
            <w:right w:w="108" w:type="dxa"/>
          </w:tblCellMar>
        </w:tblPrEx>
        <w:trPr>
          <w:trHeight w:val="68" w:hRule="atLeast"/>
          <w:jc w:val="center"/>
        </w:trPr>
        <w:tc>
          <w:tcPr>
            <w:tcW w:w="252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收到基硫</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St,ar</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1.2</w:t>
            </w:r>
          </w:p>
        </w:tc>
        <w:tc>
          <w:tcPr>
            <w:tcW w:w="188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1.3</w:t>
            </w:r>
          </w:p>
        </w:tc>
      </w:tr>
      <w:tr>
        <w:tblPrEx>
          <w:tblLayout w:type="fixed"/>
          <w:tblCellMar>
            <w:top w:w="0" w:type="dxa"/>
            <w:left w:w="108" w:type="dxa"/>
            <w:bottom w:w="0" w:type="dxa"/>
            <w:right w:w="108" w:type="dxa"/>
          </w:tblCellMar>
        </w:tblPrEx>
        <w:trPr>
          <w:trHeight w:val="68" w:hRule="atLeast"/>
          <w:jc w:val="center"/>
        </w:trPr>
        <w:tc>
          <w:tcPr>
            <w:tcW w:w="252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收到基水分</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Mar</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12</w:t>
            </w:r>
          </w:p>
        </w:tc>
        <w:tc>
          <w:tcPr>
            <w:tcW w:w="188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13</w:t>
            </w:r>
          </w:p>
        </w:tc>
      </w:tr>
      <w:tr>
        <w:tblPrEx>
          <w:tblLayout w:type="fixed"/>
          <w:tblCellMar>
            <w:top w:w="0" w:type="dxa"/>
            <w:left w:w="108" w:type="dxa"/>
            <w:bottom w:w="0" w:type="dxa"/>
            <w:right w:w="108" w:type="dxa"/>
          </w:tblCellMar>
        </w:tblPrEx>
        <w:trPr>
          <w:trHeight w:val="68" w:hRule="atLeast"/>
          <w:jc w:val="center"/>
        </w:trPr>
        <w:tc>
          <w:tcPr>
            <w:tcW w:w="252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收到基灰分</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Aar</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22</w:t>
            </w:r>
          </w:p>
        </w:tc>
        <w:tc>
          <w:tcPr>
            <w:tcW w:w="188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25</w:t>
            </w:r>
          </w:p>
        </w:tc>
      </w:tr>
      <w:tr>
        <w:tblPrEx>
          <w:tblLayout w:type="fixed"/>
          <w:tblCellMar>
            <w:top w:w="0" w:type="dxa"/>
            <w:left w:w="108" w:type="dxa"/>
            <w:bottom w:w="0" w:type="dxa"/>
            <w:right w:w="108" w:type="dxa"/>
          </w:tblCellMar>
        </w:tblPrEx>
        <w:trPr>
          <w:trHeight w:val="68" w:hRule="atLeast"/>
          <w:jc w:val="center"/>
        </w:trPr>
        <w:tc>
          <w:tcPr>
            <w:tcW w:w="2528" w:type="dxa"/>
            <w:tcBorders>
              <w:top w:val="single" w:color="000000" w:sz="6" w:space="0"/>
              <w:left w:val="single" w:color="000000" w:sz="6" w:space="0"/>
              <w:bottom w:val="single" w:color="000000" w:sz="6" w:space="0"/>
              <w:right w:val="single" w:color="000000" w:sz="6" w:space="0"/>
            </w:tcBorders>
            <w:vAlign w:val="center"/>
          </w:tcPr>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收到基低位热值</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Qnet,ar</w:t>
            </w:r>
          </w:p>
        </w:tc>
        <w:tc>
          <w:tcPr>
            <w:tcW w:w="12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kJ/kg</w:t>
            </w:r>
          </w:p>
        </w:tc>
        <w:tc>
          <w:tcPr>
            <w:tcW w:w="180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20097</w:t>
            </w:r>
          </w:p>
        </w:tc>
        <w:tc>
          <w:tcPr>
            <w:tcW w:w="188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19050</w:t>
            </w:r>
          </w:p>
        </w:tc>
      </w:tr>
      <w:tr>
        <w:tblPrEx>
          <w:tblLayout w:type="fixed"/>
          <w:tblCellMar>
            <w:top w:w="0" w:type="dxa"/>
            <w:left w:w="108" w:type="dxa"/>
            <w:bottom w:w="0" w:type="dxa"/>
            <w:right w:w="108" w:type="dxa"/>
          </w:tblCellMar>
        </w:tblPrEx>
        <w:trPr>
          <w:trHeight w:val="68" w:hRule="atLeast"/>
          <w:jc w:val="center"/>
        </w:trPr>
        <w:tc>
          <w:tcPr>
            <w:tcW w:w="252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rPr>
                <w:color w:val="000000" w:themeColor="text1"/>
                <w:kern w:val="0"/>
                <w14:textFill>
                  <w14:solidFill>
                    <w14:schemeClr w14:val="tx1"/>
                  </w14:solidFill>
                </w14:textFill>
              </w:rPr>
            </w:pPr>
            <w:r>
              <w:rPr>
                <w:color w:val="000000" w:themeColor="text1"/>
                <w:kern w:val="0"/>
                <w14:textFill>
                  <w14:solidFill>
                    <w14:schemeClr w14:val="tx1"/>
                  </w14:solidFill>
                </w14:textFill>
              </w:rPr>
              <w:t>干燥基挥发分</w:t>
            </w:r>
          </w:p>
        </w:tc>
        <w:tc>
          <w:tcPr>
            <w:tcW w:w="12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Vdaf</w:t>
            </w:r>
          </w:p>
        </w:tc>
        <w:tc>
          <w:tcPr>
            <w:tcW w:w="12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w:t>
            </w:r>
          </w:p>
        </w:tc>
        <w:tc>
          <w:tcPr>
            <w:tcW w:w="180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35.71</w:t>
            </w:r>
          </w:p>
        </w:tc>
        <w:tc>
          <w:tcPr>
            <w:tcW w:w="188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color w:val="000000" w:themeColor="text1"/>
                <w:kern w:val="0"/>
                <w14:textFill>
                  <w14:solidFill>
                    <w14:schemeClr w14:val="tx1"/>
                  </w14:solidFill>
                </w14:textFill>
              </w:rPr>
            </w:pPr>
            <w:r>
              <w:rPr>
                <w:color w:val="000000" w:themeColor="text1"/>
                <w14:textFill>
                  <w14:solidFill>
                    <w14:schemeClr w14:val="tx1"/>
                  </w14:solidFill>
                </w14:textFill>
              </w:rPr>
              <w:t>33.33</w:t>
            </w:r>
          </w:p>
        </w:tc>
      </w:tr>
      <w:tr>
        <w:tblPrEx>
          <w:tblLayout w:type="fixed"/>
          <w:tblCellMar>
            <w:top w:w="0" w:type="dxa"/>
            <w:left w:w="108" w:type="dxa"/>
            <w:bottom w:w="0" w:type="dxa"/>
            <w:right w:w="108" w:type="dxa"/>
          </w:tblCellMar>
        </w:tblPrEx>
        <w:trPr>
          <w:trHeight w:val="65" w:hRule="atLeast"/>
          <w:jc w:val="center"/>
        </w:trPr>
        <w:tc>
          <w:tcPr>
            <w:tcW w:w="252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rPr>
                <w:color w:val="000000" w:themeColor="text1"/>
                <w:kern w:val="0"/>
                <w14:textFill>
                  <w14:solidFill>
                    <w14:schemeClr w14:val="tx1"/>
                  </w14:solidFill>
                </w14:textFill>
              </w:rPr>
            </w:pPr>
            <w:r>
              <w:rPr>
                <w:color w:val="000000" w:themeColor="text1"/>
                <w:kern w:val="0"/>
                <w14:textFill>
                  <w14:solidFill>
                    <w14:schemeClr w14:val="tx1"/>
                  </w14:solidFill>
                </w14:textFill>
              </w:rPr>
              <w:t>哈氏可磨性系数</w:t>
            </w:r>
          </w:p>
        </w:tc>
        <w:tc>
          <w:tcPr>
            <w:tcW w:w="12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HGI</w:t>
            </w:r>
          </w:p>
        </w:tc>
        <w:tc>
          <w:tcPr>
            <w:tcW w:w="12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color w:val="000000" w:themeColor="text1"/>
                <w:kern w:val="0"/>
                <w14:textFill>
                  <w14:solidFill>
                    <w14:schemeClr w14:val="tx1"/>
                  </w14:solidFill>
                </w14:textFill>
              </w:rPr>
            </w:pPr>
          </w:p>
        </w:tc>
        <w:tc>
          <w:tcPr>
            <w:tcW w:w="180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55</w:t>
            </w:r>
          </w:p>
        </w:tc>
        <w:tc>
          <w:tcPr>
            <w:tcW w:w="1881"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53</w:t>
            </w:r>
          </w:p>
        </w:tc>
      </w:tr>
      <w:tr>
        <w:tblPrEx>
          <w:tblLayout w:type="fixed"/>
          <w:tblCellMar>
            <w:top w:w="0" w:type="dxa"/>
            <w:left w:w="108" w:type="dxa"/>
            <w:bottom w:w="0" w:type="dxa"/>
            <w:right w:w="108" w:type="dxa"/>
          </w:tblCellMar>
        </w:tblPrEx>
        <w:trPr>
          <w:trHeight w:val="68" w:hRule="atLeast"/>
          <w:jc w:val="center"/>
        </w:trPr>
        <w:tc>
          <w:tcPr>
            <w:tcW w:w="252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rPr>
                <w:color w:val="000000" w:themeColor="text1"/>
                <w:kern w:val="0"/>
                <w14:textFill>
                  <w14:solidFill>
                    <w14:schemeClr w14:val="tx1"/>
                  </w14:solidFill>
                </w14:textFill>
              </w:rPr>
            </w:pPr>
            <w:r>
              <w:rPr>
                <w:color w:val="000000" w:themeColor="text1"/>
                <w14:textFill>
                  <w14:solidFill>
                    <w14:schemeClr w14:val="tx1"/>
                  </w14:solidFill>
                </w14:textFill>
              </w:rPr>
              <w:t>顆粒大小（0~50mm）</w:t>
            </w:r>
          </w:p>
        </w:tc>
        <w:tc>
          <w:tcPr>
            <w:tcW w:w="12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color w:val="000000" w:themeColor="text1"/>
                <w:kern w:val="0"/>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min.90.0</w:t>
            </w:r>
          </w:p>
        </w:tc>
        <w:tc>
          <w:tcPr>
            <w:tcW w:w="188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min.90.0</w:t>
            </w:r>
          </w:p>
        </w:tc>
      </w:tr>
      <w:tr>
        <w:tblPrEx>
          <w:tblLayout w:type="fixed"/>
          <w:tblCellMar>
            <w:top w:w="0" w:type="dxa"/>
            <w:left w:w="108" w:type="dxa"/>
            <w:bottom w:w="0" w:type="dxa"/>
            <w:right w:w="108" w:type="dxa"/>
          </w:tblCellMar>
        </w:tblPrEx>
        <w:trPr>
          <w:trHeight w:val="65" w:hRule="atLeast"/>
          <w:jc w:val="center"/>
        </w:trPr>
        <w:tc>
          <w:tcPr>
            <w:tcW w:w="2528" w:type="dxa"/>
            <w:tcBorders>
              <w:top w:val="single" w:color="000000" w:sz="6" w:space="0"/>
              <w:left w:val="single" w:color="000000" w:sz="6" w:space="0"/>
              <w:bottom w:val="single" w:color="000000" w:sz="6" w:space="0"/>
              <w:right w:val="single" w:color="000000" w:sz="6" w:space="0"/>
            </w:tcBorders>
            <w:shd w:val="clear" w:color="auto" w:fill="C0C0C0"/>
            <w:vAlign w:val="center"/>
          </w:tcPr>
          <w:p>
            <w:pPr>
              <w:spacing w:line="360" w:lineRule="auto"/>
              <w:rPr>
                <w:b/>
                <w:color w:val="000000" w:themeColor="text1"/>
                <w14:textFill>
                  <w14:solidFill>
                    <w14:schemeClr w14:val="tx1"/>
                  </w14:solidFill>
                </w14:textFill>
              </w:rPr>
            </w:pPr>
            <w:r>
              <w:rPr>
                <w:b/>
                <w:color w:val="000000" w:themeColor="text1"/>
                <w:kern w:val="0"/>
                <w14:textFill>
                  <w14:solidFill>
                    <w14:schemeClr w14:val="tx1"/>
                  </w14:solidFill>
                </w14:textFill>
              </w:rPr>
              <w:t>灰的特性：</w:t>
            </w:r>
          </w:p>
        </w:tc>
        <w:tc>
          <w:tcPr>
            <w:tcW w:w="1260" w:type="dxa"/>
            <w:tcBorders>
              <w:top w:val="single" w:color="000000" w:sz="6" w:space="0"/>
              <w:left w:val="single" w:color="000000" w:sz="6" w:space="0"/>
              <w:bottom w:val="single" w:color="000000" w:sz="6" w:space="0"/>
              <w:right w:val="single" w:color="000000" w:sz="6" w:space="0"/>
            </w:tcBorders>
            <w:shd w:val="clear" w:color="auto" w:fill="C0C0C0"/>
            <w:vAlign w:val="center"/>
          </w:tcPr>
          <w:p>
            <w:pPr>
              <w:spacing w:line="360" w:lineRule="auto"/>
              <w:jc w:val="center"/>
              <w:rPr>
                <w:b/>
                <w:color w:val="000000" w:themeColor="text1"/>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shd w:val="clear" w:color="auto" w:fill="C0C0C0"/>
            <w:vAlign w:val="center"/>
          </w:tcPr>
          <w:p>
            <w:pPr>
              <w:widowControl/>
              <w:spacing w:line="360" w:lineRule="auto"/>
              <w:jc w:val="center"/>
              <w:rPr>
                <w:b/>
                <w:color w:val="000000" w:themeColor="text1"/>
                <w:kern w:val="0"/>
                <w14:textFill>
                  <w14:solidFill>
                    <w14:schemeClr w14:val="tx1"/>
                  </w14:solidFill>
                </w14:textFill>
              </w:rPr>
            </w:pPr>
          </w:p>
        </w:tc>
        <w:tc>
          <w:tcPr>
            <w:tcW w:w="1800" w:type="dxa"/>
            <w:tcBorders>
              <w:top w:val="single" w:color="000000" w:sz="6" w:space="0"/>
              <w:left w:val="single" w:color="000000" w:sz="6" w:space="0"/>
              <w:bottom w:val="single" w:color="000000" w:sz="6" w:space="0"/>
              <w:right w:val="single" w:color="000000" w:sz="6" w:space="0"/>
            </w:tcBorders>
            <w:shd w:val="clear" w:color="auto" w:fill="C0C0C0"/>
            <w:vAlign w:val="center"/>
          </w:tcPr>
          <w:p>
            <w:pPr>
              <w:widowControl/>
              <w:spacing w:line="360" w:lineRule="auto"/>
              <w:jc w:val="center"/>
              <w:rPr>
                <w:b/>
                <w:color w:val="000000" w:themeColor="text1"/>
                <w:kern w:val="0"/>
                <w14:textFill>
                  <w14:solidFill>
                    <w14:schemeClr w14:val="tx1"/>
                  </w14:solidFill>
                </w14:textFill>
              </w:rPr>
            </w:pPr>
          </w:p>
        </w:tc>
        <w:tc>
          <w:tcPr>
            <w:tcW w:w="1881" w:type="dxa"/>
            <w:tcBorders>
              <w:top w:val="single" w:color="000000" w:sz="6" w:space="0"/>
              <w:left w:val="single" w:color="000000" w:sz="6" w:space="0"/>
              <w:bottom w:val="single" w:color="000000" w:sz="6" w:space="0"/>
              <w:right w:val="single" w:color="000000" w:sz="6" w:space="0"/>
            </w:tcBorders>
            <w:shd w:val="clear" w:color="auto" w:fill="C0C0C0"/>
            <w:vAlign w:val="center"/>
          </w:tcPr>
          <w:p>
            <w:pPr>
              <w:widowControl/>
              <w:spacing w:line="360" w:lineRule="auto"/>
              <w:jc w:val="center"/>
              <w:rPr>
                <w:b/>
                <w:color w:val="000000" w:themeColor="text1"/>
                <w:kern w:val="0"/>
                <w14:textFill>
                  <w14:solidFill>
                    <w14:schemeClr w14:val="tx1"/>
                  </w14:solidFill>
                </w14:textFill>
              </w:rPr>
            </w:pPr>
          </w:p>
        </w:tc>
      </w:tr>
      <w:tr>
        <w:tblPrEx>
          <w:tblLayout w:type="fixed"/>
          <w:tblCellMar>
            <w:top w:w="0" w:type="dxa"/>
            <w:left w:w="108" w:type="dxa"/>
            <w:bottom w:w="0" w:type="dxa"/>
            <w:right w:w="108" w:type="dxa"/>
          </w:tblCellMar>
        </w:tblPrEx>
        <w:trPr>
          <w:trHeight w:val="111" w:hRule="atLeast"/>
          <w:jc w:val="center"/>
        </w:trPr>
        <w:tc>
          <w:tcPr>
            <w:tcW w:w="2528" w:type="dxa"/>
            <w:tcBorders>
              <w:top w:val="single" w:color="000000" w:sz="6" w:space="0"/>
              <w:left w:val="single" w:color="000000" w:sz="6" w:space="0"/>
              <w:bottom w:val="single" w:color="000000" w:sz="6" w:space="0"/>
              <w:right w:val="single" w:color="000000" w:sz="6" w:space="0"/>
            </w:tcBorders>
            <w:vAlign w:val="center"/>
          </w:tcPr>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灰熔点</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1300</w:t>
            </w:r>
          </w:p>
        </w:tc>
        <w:tc>
          <w:tcPr>
            <w:tcW w:w="188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1150</w:t>
            </w:r>
          </w:p>
        </w:tc>
      </w:tr>
      <w:tr>
        <w:tblPrEx>
          <w:tblLayout w:type="fixed"/>
          <w:tblCellMar>
            <w:top w:w="0" w:type="dxa"/>
            <w:left w:w="108" w:type="dxa"/>
            <w:bottom w:w="0" w:type="dxa"/>
            <w:right w:w="108" w:type="dxa"/>
          </w:tblCellMar>
        </w:tblPrEx>
        <w:trPr>
          <w:trHeight w:val="71" w:hRule="atLeast"/>
          <w:jc w:val="center"/>
        </w:trPr>
        <w:tc>
          <w:tcPr>
            <w:tcW w:w="2528" w:type="dxa"/>
            <w:tcBorders>
              <w:top w:val="single" w:color="000000" w:sz="6" w:space="0"/>
              <w:left w:val="single" w:color="000000" w:sz="6" w:space="0"/>
              <w:bottom w:val="single" w:color="000000" w:sz="6" w:space="0"/>
              <w:right w:val="single" w:color="000000" w:sz="6" w:space="0"/>
            </w:tcBorders>
            <w:vAlign w:val="center"/>
          </w:tcPr>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二氧化硅</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SiO2</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61.6</w:t>
            </w:r>
          </w:p>
        </w:tc>
        <w:tc>
          <w:tcPr>
            <w:tcW w:w="188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47.7</w:t>
            </w:r>
          </w:p>
        </w:tc>
      </w:tr>
      <w:tr>
        <w:tblPrEx>
          <w:tblLayout w:type="fixed"/>
          <w:tblCellMar>
            <w:top w:w="0" w:type="dxa"/>
            <w:left w:w="108" w:type="dxa"/>
            <w:bottom w:w="0" w:type="dxa"/>
            <w:right w:w="108" w:type="dxa"/>
          </w:tblCellMar>
        </w:tblPrEx>
        <w:trPr>
          <w:trHeight w:val="216" w:hRule="atLeast"/>
          <w:jc w:val="center"/>
        </w:trPr>
        <w:tc>
          <w:tcPr>
            <w:tcW w:w="2528" w:type="dxa"/>
            <w:tcBorders>
              <w:top w:val="single" w:color="000000" w:sz="6" w:space="0"/>
              <w:left w:val="single" w:color="000000" w:sz="6" w:space="0"/>
              <w:bottom w:val="single" w:color="000000" w:sz="6" w:space="0"/>
              <w:right w:val="single" w:color="000000" w:sz="6" w:space="0"/>
            </w:tcBorders>
            <w:vAlign w:val="center"/>
          </w:tcPr>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三氧化二铝</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Al2O3</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22.96</w:t>
            </w:r>
          </w:p>
        </w:tc>
        <w:tc>
          <w:tcPr>
            <w:tcW w:w="188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20.35</w:t>
            </w:r>
          </w:p>
        </w:tc>
      </w:tr>
      <w:tr>
        <w:tblPrEx>
          <w:tblLayout w:type="fixed"/>
          <w:tblCellMar>
            <w:top w:w="0" w:type="dxa"/>
            <w:left w:w="108" w:type="dxa"/>
            <w:bottom w:w="0" w:type="dxa"/>
            <w:right w:w="108" w:type="dxa"/>
          </w:tblCellMar>
        </w:tblPrEx>
        <w:trPr>
          <w:trHeight w:val="65" w:hRule="atLeast"/>
          <w:jc w:val="center"/>
        </w:trPr>
        <w:tc>
          <w:tcPr>
            <w:tcW w:w="2528" w:type="dxa"/>
            <w:tcBorders>
              <w:top w:val="single" w:color="000000" w:sz="6" w:space="0"/>
              <w:left w:val="single" w:color="000000" w:sz="6" w:space="0"/>
              <w:bottom w:val="single" w:color="000000" w:sz="6" w:space="0"/>
              <w:right w:val="single" w:color="000000" w:sz="6" w:space="0"/>
            </w:tcBorders>
            <w:vAlign w:val="center"/>
          </w:tcPr>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三氧化二铁</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Fe2O3</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9.20</w:t>
            </w:r>
          </w:p>
        </w:tc>
        <w:tc>
          <w:tcPr>
            <w:tcW w:w="188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11.35</w:t>
            </w:r>
          </w:p>
        </w:tc>
      </w:tr>
      <w:tr>
        <w:tblPrEx>
          <w:tblLayout w:type="fixed"/>
          <w:tblCellMar>
            <w:top w:w="0" w:type="dxa"/>
            <w:left w:w="108" w:type="dxa"/>
            <w:bottom w:w="0" w:type="dxa"/>
            <w:right w:w="108" w:type="dxa"/>
          </w:tblCellMar>
        </w:tblPrEx>
        <w:trPr>
          <w:trHeight w:val="65" w:hRule="atLeast"/>
          <w:jc w:val="center"/>
        </w:trPr>
        <w:tc>
          <w:tcPr>
            <w:tcW w:w="2528" w:type="dxa"/>
            <w:tcBorders>
              <w:top w:val="single" w:color="000000" w:sz="6" w:space="0"/>
              <w:left w:val="single" w:color="000000" w:sz="6" w:space="0"/>
              <w:bottom w:val="single" w:color="000000" w:sz="6" w:space="0"/>
              <w:right w:val="single" w:color="000000" w:sz="6" w:space="0"/>
            </w:tcBorders>
            <w:vAlign w:val="center"/>
          </w:tcPr>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氧化钙</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CaO</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3.4</w:t>
            </w:r>
            <w:r>
              <w:rPr>
                <w:color w:val="000000" w:themeColor="text1"/>
                <w14:textFill>
                  <w14:solidFill>
                    <w14:schemeClr w14:val="tx1"/>
                  </w14:solidFill>
                </w14:textFill>
              </w:rPr>
              <w:t>9</w:t>
            </w:r>
          </w:p>
        </w:tc>
        <w:tc>
          <w:tcPr>
            <w:tcW w:w="188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13.86</w:t>
            </w:r>
          </w:p>
        </w:tc>
      </w:tr>
      <w:tr>
        <w:tblPrEx>
          <w:tblLayout w:type="fixed"/>
          <w:tblCellMar>
            <w:top w:w="0" w:type="dxa"/>
            <w:left w:w="108" w:type="dxa"/>
            <w:bottom w:w="0" w:type="dxa"/>
            <w:right w:w="108" w:type="dxa"/>
          </w:tblCellMar>
        </w:tblPrEx>
        <w:trPr>
          <w:trHeight w:val="65" w:hRule="atLeast"/>
          <w:jc w:val="center"/>
        </w:trPr>
        <w:tc>
          <w:tcPr>
            <w:tcW w:w="2528" w:type="dxa"/>
            <w:tcBorders>
              <w:top w:val="single" w:color="000000" w:sz="6" w:space="0"/>
              <w:left w:val="single" w:color="000000" w:sz="6" w:space="0"/>
              <w:bottom w:val="single" w:color="000000" w:sz="6" w:space="0"/>
              <w:right w:val="single" w:color="000000" w:sz="6" w:space="0"/>
            </w:tcBorders>
            <w:vAlign w:val="center"/>
          </w:tcPr>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氧化镁</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MgO</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188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2.95</w:t>
            </w:r>
          </w:p>
        </w:tc>
      </w:tr>
      <w:tr>
        <w:tblPrEx>
          <w:tblLayout w:type="fixed"/>
          <w:tblCellMar>
            <w:top w:w="0" w:type="dxa"/>
            <w:left w:w="108" w:type="dxa"/>
            <w:bottom w:w="0" w:type="dxa"/>
            <w:right w:w="108" w:type="dxa"/>
          </w:tblCellMar>
        </w:tblPrEx>
        <w:trPr>
          <w:trHeight w:val="65" w:hRule="atLeast"/>
          <w:jc w:val="center"/>
        </w:trPr>
        <w:tc>
          <w:tcPr>
            <w:tcW w:w="2528" w:type="dxa"/>
            <w:tcBorders>
              <w:top w:val="single" w:color="000000" w:sz="6" w:space="0"/>
              <w:left w:val="single" w:color="000000" w:sz="6" w:space="0"/>
              <w:bottom w:val="single" w:color="000000" w:sz="6" w:space="0"/>
              <w:right w:val="single" w:color="000000" w:sz="6" w:space="0"/>
            </w:tcBorders>
            <w:vAlign w:val="center"/>
          </w:tcPr>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氧化钾</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K2O</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0.35</w:t>
            </w:r>
          </w:p>
        </w:tc>
        <w:tc>
          <w:tcPr>
            <w:tcW w:w="188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0.45</w:t>
            </w:r>
          </w:p>
        </w:tc>
      </w:tr>
      <w:tr>
        <w:tblPrEx>
          <w:tblLayout w:type="fixed"/>
          <w:tblCellMar>
            <w:top w:w="0" w:type="dxa"/>
            <w:left w:w="108" w:type="dxa"/>
            <w:bottom w:w="0" w:type="dxa"/>
            <w:right w:w="108" w:type="dxa"/>
          </w:tblCellMar>
        </w:tblPrEx>
        <w:trPr>
          <w:trHeight w:val="65" w:hRule="atLeast"/>
          <w:jc w:val="center"/>
        </w:trPr>
        <w:tc>
          <w:tcPr>
            <w:tcW w:w="2528" w:type="dxa"/>
            <w:tcBorders>
              <w:top w:val="single" w:color="000000" w:sz="6" w:space="0"/>
              <w:left w:val="single" w:color="000000" w:sz="6" w:space="0"/>
              <w:bottom w:val="single" w:color="000000" w:sz="6" w:space="0"/>
              <w:right w:val="single" w:color="000000" w:sz="6" w:space="0"/>
            </w:tcBorders>
            <w:vAlign w:val="center"/>
          </w:tcPr>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氧化钠</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Na2O</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0.07</w:t>
            </w:r>
          </w:p>
        </w:tc>
        <w:tc>
          <w:tcPr>
            <w:tcW w:w="188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0.09</w:t>
            </w:r>
          </w:p>
        </w:tc>
      </w:tr>
      <w:tr>
        <w:tblPrEx>
          <w:tblLayout w:type="fixed"/>
          <w:tblCellMar>
            <w:top w:w="0" w:type="dxa"/>
            <w:left w:w="108" w:type="dxa"/>
            <w:bottom w:w="0" w:type="dxa"/>
            <w:right w:w="108" w:type="dxa"/>
          </w:tblCellMar>
        </w:tblPrEx>
        <w:trPr>
          <w:trHeight w:val="65" w:hRule="atLeast"/>
          <w:jc w:val="center"/>
        </w:trPr>
        <w:tc>
          <w:tcPr>
            <w:tcW w:w="2528" w:type="dxa"/>
            <w:tcBorders>
              <w:top w:val="single" w:color="000000" w:sz="6" w:space="0"/>
              <w:left w:val="single" w:color="000000" w:sz="6" w:space="0"/>
              <w:bottom w:val="single" w:color="000000" w:sz="6" w:space="0"/>
              <w:right w:val="single" w:color="000000" w:sz="6" w:space="0"/>
            </w:tcBorders>
            <w:vAlign w:val="center"/>
          </w:tcPr>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三氧化硫</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SO3</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80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1.17</w:t>
            </w:r>
          </w:p>
        </w:tc>
        <w:tc>
          <w:tcPr>
            <w:tcW w:w="188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1.75</w:t>
            </w:r>
          </w:p>
        </w:tc>
      </w:tr>
    </w:tbl>
    <w:p>
      <w:pPr>
        <w:autoSpaceDE w:val="0"/>
        <w:autoSpaceDN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2.3 热电厂耗煤量</w:t>
      </w: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热电厂耗煤量</w:t>
      </w:r>
    </w:p>
    <w:tbl>
      <w:tblPr>
        <w:tblStyle w:val="30"/>
        <w:tblW w:w="9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60"/>
        <w:gridCol w:w="1620"/>
        <w:gridCol w:w="1620"/>
        <w:gridCol w:w="1612"/>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2572" w:type="dxa"/>
            <w:gridSpan w:val="2"/>
            <w:vAlign w:val="center"/>
          </w:tcPr>
          <w:p>
            <w:pPr>
              <w:widowControl/>
              <w:spacing w:line="360" w:lineRule="auto"/>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锅炉容量</w:t>
            </w:r>
          </w:p>
        </w:tc>
        <w:tc>
          <w:tcPr>
            <w:tcW w:w="1620" w:type="dxa"/>
            <w:vAlign w:val="center"/>
          </w:tcPr>
          <w:p>
            <w:pPr>
              <w:widowControl/>
              <w:spacing w:line="360" w:lineRule="auto"/>
              <w:jc w:val="center"/>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小时耗煤量</w:t>
            </w:r>
          </w:p>
          <w:p>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(t/h)</w:t>
            </w:r>
          </w:p>
        </w:tc>
        <w:tc>
          <w:tcPr>
            <w:tcW w:w="1620" w:type="dxa"/>
            <w:vAlign w:val="center"/>
          </w:tcPr>
          <w:p>
            <w:pPr>
              <w:widowControl/>
              <w:spacing w:line="360" w:lineRule="auto"/>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日耗煤量</w:t>
            </w:r>
            <w:r>
              <w:rPr>
                <w:color w:val="000000" w:themeColor="text1"/>
                <w14:textFill>
                  <w14:solidFill>
                    <w14:schemeClr w14:val="tx1"/>
                  </w14:solidFill>
                </w14:textFill>
              </w:rPr>
              <w:t>(t/d)</w:t>
            </w:r>
          </w:p>
        </w:tc>
        <w:tc>
          <w:tcPr>
            <w:tcW w:w="1612" w:type="dxa"/>
            <w:vAlign w:val="center"/>
          </w:tcPr>
          <w:p>
            <w:pPr>
              <w:widowControl/>
              <w:spacing w:line="360" w:lineRule="auto"/>
              <w:jc w:val="center"/>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年耗煤量</w:t>
            </w:r>
          </w:p>
          <w:p>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w:t>
            </w:r>
            <w:r>
              <w:rPr>
                <w:color w:val="000000" w:themeColor="text1"/>
                <w:vertAlign w:val="superscript"/>
                <w14:textFill>
                  <w14:solidFill>
                    <w14:schemeClr w14:val="tx1"/>
                  </w14:solidFill>
                </w14:textFill>
              </w:rPr>
              <w:t>4</w:t>
            </w:r>
            <w:r>
              <w:rPr>
                <w:color w:val="000000" w:themeColor="text1"/>
                <w14:textFill>
                  <w14:solidFill>
                    <w14:schemeClr w14:val="tx1"/>
                  </w14:solidFill>
                </w14:textFill>
              </w:rPr>
              <w:t>t/a)</w:t>
            </w:r>
          </w:p>
        </w:tc>
        <w:tc>
          <w:tcPr>
            <w:tcW w:w="1598" w:type="dxa"/>
            <w:vAlign w:val="center"/>
          </w:tcPr>
          <w:p>
            <w:pPr>
              <w:widowControl/>
              <w:spacing w:line="360" w:lineRule="auto"/>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12" w:type="dxa"/>
            <w:vMerge w:val="restart"/>
            <w:vAlign w:val="center"/>
          </w:tcPr>
          <w:p>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1×670t/h</w:t>
            </w:r>
          </w:p>
        </w:tc>
        <w:tc>
          <w:tcPr>
            <w:tcW w:w="1460" w:type="dxa"/>
            <w:vAlign w:val="center"/>
          </w:tcPr>
          <w:p>
            <w:pPr>
              <w:widowControl/>
              <w:spacing w:line="360" w:lineRule="auto"/>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设计煤种</w:t>
            </w:r>
          </w:p>
        </w:tc>
        <w:tc>
          <w:tcPr>
            <w:tcW w:w="1620" w:type="dxa"/>
            <w:vAlign w:val="center"/>
          </w:tcPr>
          <w:p>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89</w:t>
            </w:r>
          </w:p>
        </w:tc>
        <w:tc>
          <w:tcPr>
            <w:tcW w:w="1620" w:type="dxa"/>
            <w:vAlign w:val="center"/>
          </w:tcPr>
          <w:p>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2136</w:t>
            </w:r>
          </w:p>
        </w:tc>
        <w:tc>
          <w:tcPr>
            <w:tcW w:w="1612" w:type="dxa"/>
            <w:vAlign w:val="center"/>
          </w:tcPr>
          <w:p>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71.2</w:t>
            </w:r>
          </w:p>
        </w:tc>
        <w:tc>
          <w:tcPr>
            <w:tcW w:w="1598" w:type="dxa"/>
            <w:vMerge w:val="restart"/>
            <w:vAlign w:val="center"/>
          </w:tcPr>
          <w:p>
            <w:pPr>
              <w:widowControl/>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12" w:type="dxa"/>
            <w:vMerge w:val="continue"/>
            <w:vAlign w:val="center"/>
          </w:tcPr>
          <w:p>
            <w:pPr>
              <w:widowControl/>
              <w:spacing w:line="360" w:lineRule="auto"/>
              <w:jc w:val="center"/>
              <w:rPr>
                <w:color w:val="000000" w:themeColor="text1"/>
                <w14:textFill>
                  <w14:solidFill>
                    <w14:schemeClr w14:val="tx1"/>
                  </w14:solidFill>
                </w14:textFill>
              </w:rPr>
            </w:pPr>
          </w:p>
        </w:tc>
        <w:tc>
          <w:tcPr>
            <w:tcW w:w="1460" w:type="dxa"/>
            <w:vAlign w:val="center"/>
          </w:tcPr>
          <w:p>
            <w:pPr>
              <w:widowControl/>
              <w:spacing w:line="360" w:lineRule="auto"/>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校核煤种</w:t>
            </w:r>
          </w:p>
        </w:tc>
        <w:tc>
          <w:tcPr>
            <w:tcW w:w="1620" w:type="dxa"/>
            <w:vAlign w:val="center"/>
          </w:tcPr>
          <w:p>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94</w:t>
            </w:r>
          </w:p>
        </w:tc>
        <w:tc>
          <w:tcPr>
            <w:tcW w:w="1620" w:type="dxa"/>
            <w:vAlign w:val="center"/>
          </w:tcPr>
          <w:p>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2256</w:t>
            </w:r>
          </w:p>
        </w:tc>
        <w:tc>
          <w:tcPr>
            <w:tcW w:w="1612" w:type="dxa"/>
            <w:vAlign w:val="center"/>
          </w:tcPr>
          <w:p>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75.2</w:t>
            </w:r>
          </w:p>
        </w:tc>
        <w:tc>
          <w:tcPr>
            <w:tcW w:w="1598" w:type="dxa"/>
            <w:vMerge w:val="continue"/>
            <w:vAlign w:val="center"/>
          </w:tcPr>
          <w:p>
            <w:pPr>
              <w:widowControl/>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12" w:type="dxa"/>
            <w:vMerge w:val="restart"/>
            <w:vAlign w:val="center"/>
          </w:tcPr>
          <w:p>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3×670t/h</w:t>
            </w:r>
          </w:p>
        </w:tc>
        <w:tc>
          <w:tcPr>
            <w:tcW w:w="1460" w:type="dxa"/>
            <w:vAlign w:val="center"/>
          </w:tcPr>
          <w:p>
            <w:pPr>
              <w:widowControl/>
              <w:spacing w:line="360" w:lineRule="auto"/>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设计煤种</w:t>
            </w:r>
          </w:p>
        </w:tc>
        <w:tc>
          <w:tcPr>
            <w:tcW w:w="1620" w:type="dxa"/>
            <w:vAlign w:val="center"/>
          </w:tcPr>
          <w:p>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267</w:t>
            </w:r>
          </w:p>
        </w:tc>
        <w:tc>
          <w:tcPr>
            <w:tcW w:w="1620" w:type="dxa"/>
            <w:vAlign w:val="center"/>
          </w:tcPr>
          <w:p>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6408</w:t>
            </w:r>
          </w:p>
        </w:tc>
        <w:tc>
          <w:tcPr>
            <w:tcW w:w="1612" w:type="dxa"/>
            <w:vAlign w:val="center"/>
          </w:tcPr>
          <w:p>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213.6</w:t>
            </w:r>
          </w:p>
        </w:tc>
        <w:tc>
          <w:tcPr>
            <w:tcW w:w="1598" w:type="dxa"/>
            <w:vMerge w:val="restart"/>
            <w:vAlign w:val="center"/>
          </w:tcPr>
          <w:p>
            <w:pPr>
              <w:widowControl/>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12" w:type="dxa"/>
            <w:vMerge w:val="continue"/>
            <w:vAlign w:val="center"/>
          </w:tcPr>
          <w:p>
            <w:pPr>
              <w:widowControl/>
              <w:spacing w:line="360" w:lineRule="auto"/>
              <w:jc w:val="center"/>
              <w:rPr>
                <w:color w:val="000000" w:themeColor="text1"/>
                <w14:textFill>
                  <w14:solidFill>
                    <w14:schemeClr w14:val="tx1"/>
                  </w14:solidFill>
                </w14:textFill>
              </w:rPr>
            </w:pPr>
          </w:p>
        </w:tc>
        <w:tc>
          <w:tcPr>
            <w:tcW w:w="1460" w:type="dxa"/>
            <w:vAlign w:val="center"/>
          </w:tcPr>
          <w:p>
            <w:pPr>
              <w:widowControl/>
              <w:spacing w:line="360" w:lineRule="auto"/>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校核煤种</w:t>
            </w:r>
          </w:p>
        </w:tc>
        <w:tc>
          <w:tcPr>
            <w:tcW w:w="1620" w:type="dxa"/>
            <w:vAlign w:val="center"/>
          </w:tcPr>
          <w:p>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282</w:t>
            </w:r>
          </w:p>
        </w:tc>
        <w:tc>
          <w:tcPr>
            <w:tcW w:w="1620" w:type="dxa"/>
            <w:vAlign w:val="center"/>
          </w:tcPr>
          <w:p>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6768</w:t>
            </w:r>
          </w:p>
        </w:tc>
        <w:tc>
          <w:tcPr>
            <w:tcW w:w="1612" w:type="dxa"/>
            <w:vAlign w:val="center"/>
          </w:tcPr>
          <w:p>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225.6</w:t>
            </w:r>
          </w:p>
        </w:tc>
        <w:tc>
          <w:tcPr>
            <w:tcW w:w="1598" w:type="dxa"/>
            <w:vMerge w:val="continue"/>
            <w:vAlign w:val="center"/>
          </w:tcPr>
          <w:p>
            <w:pPr>
              <w:widowControl/>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12" w:type="dxa"/>
            <w:vMerge w:val="restart"/>
            <w:vAlign w:val="center"/>
          </w:tcPr>
          <w:p>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4×670t/h</w:t>
            </w:r>
          </w:p>
        </w:tc>
        <w:tc>
          <w:tcPr>
            <w:tcW w:w="1460" w:type="dxa"/>
            <w:vAlign w:val="center"/>
          </w:tcPr>
          <w:p>
            <w:pPr>
              <w:widowControl/>
              <w:spacing w:line="360" w:lineRule="auto"/>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设计煤种</w:t>
            </w:r>
          </w:p>
        </w:tc>
        <w:tc>
          <w:tcPr>
            <w:tcW w:w="1620" w:type="dxa"/>
            <w:vAlign w:val="center"/>
          </w:tcPr>
          <w:p>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356</w:t>
            </w:r>
          </w:p>
        </w:tc>
        <w:tc>
          <w:tcPr>
            <w:tcW w:w="1620" w:type="dxa"/>
            <w:vAlign w:val="center"/>
          </w:tcPr>
          <w:p>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8544</w:t>
            </w:r>
          </w:p>
        </w:tc>
        <w:tc>
          <w:tcPr>
            <w:tcW w:w="1612" w:type="dxa"/>
            <w:vAlign w:val="center"/>
          </w:tcPr>
          <w:p>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284.8</w:t>
            </w:r>
          </w:p>
        </w:tc>
        <w:tc>
          <w:tcPr>
            <w:tcW w:w="1598" w:type="dxa"/>
            <w:vMerge w:val="restart"/>
            <w:vAlign w:val="center"/>
          </w:tcPr>
          <w:p>
            <w:pPr>
              <w:widowControl/>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12" w:type="dxa"/>
            <w:vMerge w:val="continue"/>
            <w:vAlign w:val="center"/>
          </w:tcPr>
          <w:p>
            <w:pPr>
              <w:widowControl/>
              <w:spacing w:line="360" w:lineRule="auto"/>
              <w:jc w:val="center"/>
              <w:rPr>
                <w:color w:val="000000" w:themeColor="text1"/>
                <w14:textFill>
                  <w14:solidFill>
                    <w14:schemeClr w14:val="tx1"/>
                  </w14:solidFill>
                </w14:textFill>
              </w:rPr>
            </w:pPr>
          </w:p>
        </w:tc>
        <w:tc>
          <w:tcPr>
            <w:tcW w:w="1460" w:type="dxa"/>
            <w:vAlign w:val="center"/>
          </w:tcPr>
          <w:p>
            <w:pPr>
              <w:widowControl/>
              <w:spacing w:line="360" w:lineRule="auto"/>
              <w:jc w:val="center"/>
              <w:rPr>
                <w:color w:val="000000" w:themeColor="text1"/>
                <w14:textFill>
                  <w14:solidFill>
                    <w14:schemeClr w14:val="tx1"/>
                  </w14:solidFill>
                </w14:textFill>
              </w:rPr>
            </w:pPr>
            <w:r>
              <w:rPr>
                <w:rFonts w:hAnsi="宋体"/>
                <w:color w:val="000000" w:themeColor="text1"/>
                <w14:textFill>
                  <w14:solidFill>
                    <w14:schemeClr w14:val="tx1"/>
                  </w14:solidFill>
                </w14:textFill>
              </w:rPr>
              <w:t>校核煤种</w:t>
            </w:r>
          </w:p>
        </w:tc>
        <w:tc>
          <w:tcPr>
            <w:tcW w:w="1620" w:type="dxa"/>
            <w:vAlign w:val="center"/>
          </w:tcPr>
          <w:p>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376</w:t>
            </w:r>
          </w:p>
        </w:tc>
        <w:tc>
          <w:tcPr>
            <w:tcW w:w="1620" w:type="dxa"/>
            <w:vAlign w:val="center"/>
          </w:tcPr>
          <w:p>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9024</w:t>
            </w:r>
          </w:p>
        </w:tc>
        <w:tc>
          <w:tcPr>
            <w:tcW w:w="1612" w:type="dxa"/>
            <w:vAlign w:val="center"/>
          </w:tcPr>
          <w:p>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300.8</w:t>
            </w:r>
          </w:p>
        </w:tc>
        <w:tc>
          <w:tcPr>
            <w:tcW w:w="1598" w:type="dxa"/>
            <w:vMerge w:val="continue"/>
            <w:vAlign w:val="center"/>
          </w:tcPr>
          <w:p>
            <w:pPr>
              <w:widowControl/>
              <w:spacing w:line="360" w:lineRule="auto"/>
              <w:rPr>
                <w:color w:val="000000" w:themeColor="text1"/>
                <w14:textFill>
                  <w14:solidFill>
                    <w14:schemeClr w14:val="tx1"/>
                  </w14:solidFill>
                </w14:textFill>
              </w:rPr>
            </w:pPr>
          </w:p>
        </w:tc>
      </w:tr>
    </w:tbl>
    <w:p>
      <w:pPr>
        <w:spacing w:line="360" w:lineRule="auto"/>
        <w:ind w:firstLine="442" w:firstLineChars="200"/>
        <w:rPr>
          <w:rFonts w:hAnsi="宋体"/>
          <w:b/>
          <w:color w:val="000000" w:themeColor="text1"/>
          <w14:textFill>
            <w14:solidFill>
              <w14:schemeClr w14:val="tx1"/>
            </w14:solidFill>
          </w14:textFill>
        </w:rPr>
      </w:pPr>
      <w:r>
        <w:rPr>
          <w:rFonts w:hAnsi="宋体"/>
          <w:b/>
          <w:color w:val="000000" w:themeColor="text1"/>
          <w:u w:val="single"/>
          <w14:textFill>
            <w14:solidFill>
              <w14:schemeClr w14:val="tx1"/>
            </w14:solidFill>
          </w14:textFill>
        </w:rPr>
        <w:t>备注</w:t>
      </w:r>
      <w:r>
        <w:rPr>
          <w:rFonts w:hAnsi="宋体"/>
          <w:b/>
          <w:color w:val="000000" w:themeColor="text1"/>
          <w14:textFill>
            <w14:solidFill>
              <w14:schemeClr w14:val="tx1"/>
            </w14:solidFill>
          </w14:textFill>
        </w:rPr>
        <w:t>：</w:t>
      </w:r>
    </w:p>
    <w:p>
      <w:pPr>
        <w:spacing w:line="360" w:lineRule="auto"/>
        <w:ind w:firstLine="440" w:firstLineChars="200"/>
        <w:rPr>
          <w:rFonts w:hAnsi="宋体"/>
          <w:b/>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rFonts w:hAnsi="宋体"/>
          <w:color w:val="000000" w:themeColor="text1"/>
          <w14:textFill>
            <w14:solidFill>
              <w14:schemeClr w14:val="tx1"/>
            </w14:solidFill>
          </w14:textFill>
        </w:rPr>
        <w:t>锅炉小时耗煤量指锅炉</w:t>
      </w:r>
      <w:r>
        <w:rPr>
          <w:color w:val="000000" w:themeColor="text1"/>
          <w14:textFill>
            <w14:solidFill>
              <w14:schemeClr w14:val="tx1"/>
            </w14:solidFill>
          </w14:textFill>
        </w:rPr>
        <w:t>MCR</w:t>
      </w:r>
      <w:r>
        <w:rPr>
          <w:rFonts w:hAnsi="宋体"/>
          <w:color w:val="000000" w:themeColor="text1"/>
          <w14:textFill>
            <w14:solidFill>
              <w14:schemeClr w14:val="tx1"/>
            </w14:solidFill>
          </w14:textFill>
        </w:rPr>
        <w:t>工况下的小时耗煤量。</w:t>
      </w:r>
    </w:p>
    <w:p>
      <w:pPr>
        <w:spacing w:line="360" w:lineRule="auto"/>
        <w:ind w:firstLine="440" w:firstLineChars="200"/>
        <w:rPr>
          <w:rFonts w:hAnsi="宋体"/>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rFonts w:hAnsi="宋体"/>
          <w:color w:val="000000" w:themeColor="text1"/>
          <w14:textFill>
            <w14:solidFill>
              <w14:schemeClr w14:val="tx1"/>
            </w14:solidFill>
          </w14:textFill>
        </w:rPr>
        <w:t>锅炉昼夜耗煤量按锅炉昼夜运行</w:t>
      </w:r>
      <w:r>
        <w:rPr>
          <w:color w:val="000000" w:themeColor="text1"/>
          <w14:textFill>
            <w14:solidFill>
              <w14:schemeClr w14:val="tx1"/>
            </w14:solidFill>
          </w14:textFill>
        </w:rPr>
        <w:t>24h</w:t>
      </w:r>
      <w:r>
        <w:rPr>
          <w:rFonts w:hAnsi="宋体"/>
          <w:color w:val="000000" w:themeColor="text1"/>
          <w14:textFill>
            <w14:solidFill>
              <w14:schemeClr w14:val="tx1"/>
            </w14:solidFill>
          </w14:textFill>
        </w:rPr>
        <w:t>计。</w:t>
      </w:r>
    </w:p>
    <w:p>
      <w:pPr>
        <w:spacing w:line="360" w:lineRule="auto"/>
        <w:ind w:firstLine="44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锅炉年耗煤量按锅炉年运行8000h计。</w:t>
      </w:r>
    </w:p>
    <w:p>
      <w:pPr>
        <w:autoSpaceDE w:val="0"/>
        <w:autoSpaceDN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2.4</w:t>
      </w:r>
      <w:r>
        <w:rPr>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环境条件</w:t>
      </w:r>
    </w:p>
    <w:p>
      <w:pPr>
        <w:autoSpaceDE w:val="0"/>
        <w:autoSpaceDN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2.4 .1</w:t>
      </w:r>
      <w:r>
        <w:rPr>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气象条件</w:t>
      </w:r>
    </w:p>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本项目所在地属南亚热带季风性气候，冬无严寒，夏无酷暑。年平均气温为</w:t>
      </w:r>
      <w:r>
        <w:rPr>
          <w:color w:val="000000" w:themeColor="text1"/>
          <w:sz w:val="24"/>
          <w14:textFill>
            <w14:solidFill>
              <w14:schemeClr w14:val="tx1"/>
            </w14:solidFill>
          </w14:textFill>
        </w:rPr>
        <w:t>21.3</w:t>
      </w:r>
      <w:r>
        <w:rPr>
          <w:rFonts w:ascii="宋体"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；年平均降水</w:t>
      </w:r>
      <w:r>
        <w:rPr>
          <w:color w:val="000000" w:themeColor="text1"/>
          <w:sz w:val="24"/>
          <w14:textFill>
            <w14:solidFill>
              <w14:schemeClr w14:val="tx1"/>
            </w14:solidFill>
          </w14:textFill>
        </w:rPr>
        <w:t>1324.4mm</w:t>
      </w:r>
      <w:r>
        <w:rPr>
          <w:rFonts w:hAnsi="宋体"/>
          <w:color w:val="000000" w:themeColor="text1"/>
          <w:sz w:val="24"/>
          <w14:textFill>
            <w14:solidFill>
              <w14:schemeClr w14:val="tx1"/>
            </w14:solidFill>
          </w14:textFill>
        </w:rPr>
        <w:t>，雨季集中在</w:t>
      </w:r>
      <w:r>
        <w:rPr>
          <w:color w:val="000000" w:themeColor="text1"/>
          <w:sz w:val="24"/>
          <w14:textFill>
            <w14:solidFill>
              <w14:schemeClr w14:val="tx1"/>
            </w14:solidFill>
          </w14:textFill>
        </w:rPr>
        <w:t>5</w:t>
      </w:r>
      <w:r>
        <w:rPr>
          <w:rFonts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8</w:t>
      </w:r>
      <w:r>
        <w:rPr>
          <w:rFonts w:hAnsi="宋体"/>
          <w:color w:val="000000" w:themeColor="text1"/>
          <w:sz w:val="24"/>
          <w14:textFill>
            <w14:solidFill>
              <w14:schemeClr w14:val="tx1"/>
            </w14:solidFill>
          </w14:textFill>
        </w:rPr>
        <w:t>月；多年平均湿度为</w:t>
      </w:r>
      <w:r>
        <w:rPr>
          <w:color w:val="000000" w:themeColor="text1"/>
          <w:sz w:val="24"/>
          <w14:textFill>
            <w14:solidFill>
              <w14:schemeClr w14:val="tx1"/>
            </w14:solidFill>
          </w14:textFill>
        </w:rPr>
        <w:t>80%</w:t>
      </w:r>
      <w:r>
        <w:rPr>
          <w:rFonts w:hAnsi="宋体"/>
          <w:color w:val="000000" w:themeColor="text1"/>
          <w:sz w:val="24"/>
          <w14:textFill>
            <w14:solidFill>
              <w14:schemeClr w14:val="tx1"/>
            </w14:solidFill>
          </w14:textFill>
        </w:rPr>
        <w:t>；常年主导风向为东北风；</w:t>
      </w:r>
      <w:r>
        <w:rPr>
          <w:color w:val="000000" w:themeColor="text1"/>
          <w:sz w:val="24"/>
          <w14:textFill>
            <w14:solidFill>
              <w14:schemeClr w14:val="tx1"/>
            </w14:solidFill>
          </w14:textFill>
        </w:rPr>
        <w:t>7</w:t>
      </w:r>
      <w:r>
        <w:rPr>
          <w:rFonts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9</w:t>
      </w:r>
      <w:r>
        <w:rPr>
          <w:rFonts w:hAnsi="宋体"/>
          <w:color w:val="000000" w:themeColor="text1"/>
          <w:sz w:val="24"/>
          <w14:textFill>
            <w14:solidFill>
              <w14:schemeClr w14:val="tx1"/>
            </w14:solidFill>
          </w14:textFill>
        </w:rPr>
        <w:t>月受台风影响频率最高。</w:t>
      </w:r>
    </w:p>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气象台位置：东山县（</w:t>
      </w:r>
      <w:r>
        <w:rPr>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城关建国楼</w:t>
      </w:r>
      <w:r>
        <w:rPr>
          <w:color w:val="000000" w:themeColor="text1"/>
          <w:sz w:val="24"/>
          <w14:textFill>
            <w14:solidFill>
              <w14:schemeClr w14:val="tx1"/>
            </w14:solidFill>
          </w14:textFill>
        </w:rPr>
        <w:t>”117°30’</w:t>
      </w:r>
      <w:r>
        <w:rPr>
          <w:rFonts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E</w:t>
      </w:r>
      <w:r>
        <w:rPr>
          <w:rFonts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23°47’</w:t>
      </w:r>
      <w:r>
        <w:rPr>
          <w:rFonts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N</w:t>
      </w:r>
      <w:r>
        <w:rPr>
          <w:rFonts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1952</w:t>
      </w:r>
      <w:r>
        <w:rPr>
          <w:rFonts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1980</w:t>
      </w:r>
      <w:r>
        <w:rPr>
          <w:rFonts w:hAnsi="宋体"/>
          <w:color w:val="000000" w:themeColor="text1"/>
          <w:sz w:val="24"/>
          <w14:textFill>
            <w14:solidFill>
              <w14:schemeClr w14:val="tx1"/>
            </w14:solidFill>
          </w14:textFill>
        </w:rPr>
        <w:t>年实测统计资料：</w:t>
      </w:r>
    </w:p>
    <w:p>
      <w:pPr>
        <w:autoSpaceDE w:val="0"/>
        <w:autoSpaceDN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Ansi="宋体"/>
          <w:color w:val="000000" w:themeColor="text1"/>
          <w:sz w:val="24"/>
          <w14:textFill>
            <w14:solidFill>
              <w14:schemeClr w14:val="tx1"/>
            </w14:solidFill>
          </w14:textFill>
        </w:rPr>
        <w:t>）气温</w:t>
      </w:r>
    </w:p>
    <w:tbl>
      <w:tblPr>
        <w:tblStyle w:val="30"/>
        <w:tblW w:w="8931" w:type="dxa"/>
        <w:tblInd w:w="0" w:type="dxa"/>
        <w:tblLayout w:type="fixed"/>
        <w:tblCellMar>
          <w:top w:w="0" w:type="dxa"/>
          <w:left w:w="57" w:type="dxa"/>
          <w:bottom w:w="0" w:type="dxa"/>
          <w:right w:w="57" w:type="dxa"/>
        </w:tblCellMar>
      </w:tblPr>
      <w:tblGrid>
        <w:gridCol w:w="4452"/>
        <w:gridCol w:w="4479"/>
      </w:tblGrid>
      <w:tr>
        <w:tblPrEx>
          <w:tblLayout w:type="fixed"/>
          <w:tblCellMar>
            <w:top w:w="0" w:type="dxa"/>
            <w:left w:w="57" w:type="dxa"/>
            <w:bottom w:w="0" w:type="dxa"/>
            <w:right w:w="57" w:type="dxa"/>
          </w:tblCellMar>
        </w:tblPrEx>
        <w:tc>
          <w:tcPr>
            <w:tcW w:w="4452" w:type="dxa"/>
            <w:vAlign w:val="cente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年平均大气温度</w:t>
            </w:r>
          </w:p>
        </w:tc>
        <w:tc>
          <w:tcPr>
            <w:tcW w:w="4479" w:type="dxa"/>
            <w:vAlign w:val="center"/>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21.3</w:t>
            </w:r>
            <w:r>
              <w:rPr>
                <w:rFonts w:ascii="宋体" w:hAnsi="宋体"/>
                <w:color w:val="000000" w:themeColor="text1"/>
                <w:sz w:val="24"/>
                <w14:textFill>
                  <w14:solidFill>
                    <w14:schemeClr w14:val="tx1"/>
                  </w14:solidFill>
                </w14:textFill>
              </w:rPr>
              <w:t>℃</w:t>
            </w:r>
          </w:p>
        </w:tc>
      </w:tr>
      <w:tr>
        <w:tblPrEx>
          <w:tblLayout w:type="fixed"/>
          <w:tblCellMar>
            <w:top w:w="0" w:type="dxa"/>
            <w:left w:w="57" w:type="dxa"/>
            <w:bottom w:w="0" w:type="dxa"/>
            <w:right w:w="57" w:type="dxa"/>
          </w:tblCellMar>
        </w:tblPrEx>
        <w:tc>
          <w:tcPr>
            <w:tcW w:w="4452" w:type="dxa"/>
            <w:vAlign w:val="cente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最高月平均气温</w:t>
            </w:r>
          </w:p>
        </w:tc>
        <w:tc>
          <w:tcPr>
            <w:tcW w:w="4479" w:type="dxa"/>
            <w:vAlign w:val="center"/>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25.8</w:t>
            </w:r>
            <w:r>
              <w:rPr>
                <w:rFonts w:ascii="宋体" w:hAnsi="宋体"/>
                <w:color w:val="000000" w:themeColor="text1"/>
                <w:sz w:val="24"/>
                <w14:textFill>
                  <w14:solidFill>
                    <w14:schemeClr w14:val="tx1"/>
                  </w14:solidFill>
                </w14:textFill>
              </w:rPr>
              <w:t>℃</w:t>
            </w:r>
          </w:p>
        </w:tc>
      </w:tr>
      <w:tr>
        <w:tblPrEx>
          <w:tblLayout w:type="fixed"/>
          <w:tblCellMar>
            <w:top w:w="0" w:type="dxa"/>
            <w:left w:w="57" w:type="dxa"/>
            <w:bottom w:w="0" w:type="dxa"/>
            <w:right w:w="57" w:type="dxa"/>
          </w:tblCellMar>
        </w:tblPrEx>
        <w:tc>
          <w:tcPr>
            <w:tcW w:w="4452" w:type="dxa"/>
            <w:vAlign w:val="cente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极端最高气温</w:t>
            </w:r>
          </w:p>
        </w:tc>
        <w:tc>
          <w:tcPr>
            <w:tcW w:w="4479" w:type="dxa"/>
            <w:vAlign w:val="center"/>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35.2</w:t>
            </w:r>
            <w:r>
              <w:rPr>
                <w:rFonts w:ascii="宋体" w:hAnsi="宋体"/>
                <w:color w:val="000000" w:themeColor="text1"/>
                <w:sz w:val="24"/>
                <w14:textFill>
                  <w14:solidFill>
                    <w14:schemeClr w14:val="tx1"/>
                  </w14:solidFill>
                </w14:textFill>
              </w:rPr>
              <w:t>℃</w:t>
            </w:r>
          </w:p>
        </w:tc>
      </w:tr>
      <w:tr>
        <w:tblPrEx>
          <w:tblLayout w:type="fixed"/>
          <w:tblCellMar>
            <w:top w:w="0" w:type="dxa"/>
            <w:left w:w="57" w:type="dxa"/>
            <w:bottom w:w="0" w:type="dxa"/>
            <w:right w:w="57" w:type="dxa"/>
          </w:tblCellMar>
        </w:tblPrEx>
        <w:tc>
          <w:tcPr>
            <w:tcW w:w="4452" w:type="dxa"/>
            <w:vAlign w:val="cente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最低月平均气温</w:t>
            </w:r>
          </w:p>
        </w:tc>
        <w:tc>
          <w:tcPr>
            <w:tcW w:w="4479" w:type="dxa"/>
            <w:vAlign w:val="center"/>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1.1</w:t>
            </w:r>
            <w:r>
              <w:rPr>
                <w:rFonts w:ascii="宋体" w:hAnsi="宋体"/>
                <w:color w:val="000000" w:themeColor="text1"/>
                <w:sz w:val="24"/>
                <w14:textFill>
                  <w14:solidFill>
                    <w14:schemeClr w14:val="tx1"/>
                  </w14:solidFill>
                </w14:textFill>
              </w:rPr>
              <w:t>℃</w:t>
            </w:r>
          </w:p>
        </w:tc>
      </w:tr>
      <w:tr>
        <w:tblPrEx>
          <w:tblLayout w:type="fixed"/>
          <w:tblCellMar>
            <w:top w:w="0" w:type="dxa"/>
            <w:left w:w="57" w:type="dxa"/>
            <w:bottom w:w="0" w:type="dxa"/>
            <w:right w:w="57" w:type="dxa"/>
          </w:tblCellMar>
        </w:tblPrEx>
        <w:tc>
          <w:tcPr>
            <w:tcW w:w="4452" w:type="dxa"/>
            <w:vAlign w:val="cente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极端最低气温</w:t>
            </w:r>
          </w:p>
        </w:tc>
        <w:tc>
          <w:tcPr>
            <w:tcW w:w="4479" w:type="dxa"/>
            <w:vAlign w:val="center"/>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4.7</w:t>
            </w:r>
            <w:r>
              <w:rPr>
                <w:rFonts w:ascii="宋体" w:hAnsi="宋体"/>
                <w:color w:val="000000" w:themeColor="text1"/>
                <w:sz w:val="24"/>
                <w14:textFill>
                  <w14:solidFill>
                    <w14:schemeClr w14:val="tx1"/>
                  </w14:solidFill>
                </w14:textFill>
              </w:rPr>
              <w:t>℃</w:t>
            </w:r>
          </w:p>
        </w:tc>
      </w:tr>
      <w:tr>
        <w:tblPrEx>
          <w:tblLayout w:type="fixed"/>
          <w:tblCellMar>
            <w:top w:w="0" w:type="dxa"/>
            <w:left w:w="57" w:type="dxa"/>
            <w:bottom w:w="0" w:type="dxa"/>
            <w:right w:w="57" w:type="dxa"/>
          </w:tblCellMar>
        </w:tblPrEx>
        <w:tc>
          <w:tcPr>
            <w:tcW w:w="4452" w:type="dxa"/>
            <w:vAlign w:val="cente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最热月的日最高大气温度的平均值</w:t>
            </w:r>
          </w:p>
        </w:tc>
        <w:tc>
          <w:tcPr>
            <w:tcW w:w="4479" w:type="dxa"/>
            <w:vAlign w:val="center"/>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31.6</w:t>
            </w:r>
            <w:r>
              <w:rPr>
                <w:rFonts w:ascii="宋体" w:hAnsi="宋体"/>
                <w:color w:val="000000" w:themeColor="text1"/>
                <w:sz w:val="24"/>
                <w14:textFill>
                  <w14:solidFill>
                    <w14:schemeClr w14:val="tx1"/>
                  </w14:solidFill>
                </w14:textFill>
              </w:rPr>
              <w:t>℃</w:t>
            </w:r>
          </w:p>
        </w:tc>
      </w:tr>
      <w:tr>
        <w:tblPrEx>
          <w:tblLayout w:type="fixed"/>
          <w:tblCellMar>
            <w:top w:w="0" w:type="dxa"/>
            <w:left w:w="57" w:type="dxa"/>
            <w:bottom w:w="0" w:type="dxa"/>
            <w:right w:w="57" w:type="dxa"/>
          </w:tblCellMar>
        </w:tblPrEx>
        <w:tc>
          <w:tcPr>
            <w:tcW w:w="4452" w:type="dxa"/>
            <w:vAlign w:val="cente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年最高气温日数</w:t>
            </w:r>
          </w:p>
        </w:tc>
        <w:tc>
          <w:tcPr>
            <w:tcW w:w="4479" w:type="dxa"/>
            <w:vAlign w:val="center"/>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≥30</w:t>
            </w:r>
            <w:r>
              <w:rPr>
                <w:rFonts w:ascii="宋体"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，平均每年</w:t>
            </w:r>
            <w:r>
              <w:rPr>
                <w:color w:val="000000" w:themeColor="text1"/>
                <w:sz w:val="24"/>
                <w14:textFill>
                  <w14:solidFill>
                    <w14:schemeClr w14:val="tx1"/>
                  </w14:solidFill>
                </w14:textFill>
              </w:rPr>
              <w:t>81d</w:t>
            </w:r>
          </w:p>
        </w:tc>
      </w:tr>
      <w:tr>
        <w:tblPrEx>
          <w:tblLayout w:type="fixed"/>
          <w:tblCellMar>
            <w:top w:w="0" w:type="dxa"/>
            <w:left w:w="57" w:type="dxa"/>
            <w:bottom w:w="0" w:type="dxa"/>
            <w:right w:w="57" w:type="dxa"/>
          </w:tblCellMar>
        </w:tblPrEx>
        <w:tc>
          <w:tcPr>
            <w:tcW w:w="4452" w:type="dxa"/>
            <w:vAlign w:val="center"/>
          </w:tcPr>
          <w:p>
            <w:pPr>
              <w:autoSpaceDE w:val="0"/>
              <w:autoSpaceDN w:val="0"/>
              <w:spacing w:line="360" w:lineRule="auto"/>
              <w:ind w:firstLine="480" w:firstLineChars="200"/>
              <w:rPr>
                <w:color w:val="000000" w:themeColor="text1"/>
                <w:sz w:val="24"/>
                <w14:textFill>
                  <w14:solidFill>
                    <w14:schemeClr w14:val="tx1"/>
                  </w14:solidFill>
                </w14:textFill>
              </w:rPr>
            </w:pPr>
          </w:p>
        </w:tc>
        <w:tc>
          <w:tcPr>
            <w:tcW w:w="4479" w:type="dxa"/>
            <w:vAlign w:val="center"/>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≥35</w:t>
            </w:r>
            <w:r>
              <w:rPr>
                <w:rFonts w:ascii="宋体"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，平均每年</w:t>
            </w:r>
            <w:r>
              <w:rPr>
                <w:color w:val="000000" w:themeColor="text1"/>
                <w:sz w:val="24"/>
                <w14:textFill>
                  <w14:solidFill>
                    <w14:schemeClr w14:val="tx1"/>
                  </w14:solidFill>
                </w14:textFill>
              </w:rPr>
              <w:t>0.65d</w:t>
            </w:r>
          </w:p>
        </w:tc>
      </w:tr>
      <w:tr>
        <w:tblPrEx>
          <w:tblLayout w:type="fixed"/>
          <w:tblCellMar>
            <w:top w:w="0" w:type="dxa"/>
            <w:left w:w="57" w:type="dxa"/>
            <w:bottom w:w="0" w:type="dxa"/>
            <w:right w:w="57" w:type="dxa"/>
          </w:tblCellMar>
        </w:tblPrEx>
        <w:tc>
          <w:tcPr>
            <w:tcW w:w="4452" w:type="dxa"/>
            <w:vAlign w:val="cente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无霜期</w:t>
            </w:r>
          </w:p>
        </w:tc>
        <w:tc>
          <w:tcPr>
            <w:tcW w:w="4479" w:type="dxa"/>
            <w:vAlign w:val="center"/>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365</w:t>
            </w:r>
            <w:r>
              <w:rPr>
                <w:rFonts w:hAnsi="宋体"/>
                <w:color w:val="000000" w:themeColor="text1"/>
                <w:sz w:val="24"/>
                <w14:textFill>
                  <w14:solidFill>
                    <w14:schemeClr w14:val="tx1"/>
                  </w14:solidFill>
                </w14:textFill>
              </w:rPr>
              <w:t>天</w:t>
            </w:r>
            <w:r>
              <w:rPr>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年</w:t>
            </w:r>
          </w:p>
        </w:tc>
      </w:tr>
    </w:tbl>
    <w:p>
      <w:pPr>
        <w:autoSpaceDE w:val="0"/>
        <w:autoSpaceDN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）降水</w:t>
      </w:r>
    </w:p>
    <w:tbl>
      <w:tblPr>
        <w:tblStyle w:val="30"/>
        <w:tblW w:w="8931" w:type="dxa"/>
        <w:tblInd w:w="0" w:type="dxa"/>
        <w:tblLayout w:type="fixed"/>
        <w:tblCellMar>
          <w:top w:w="0" w:type="dxa"/>
          <w:left w:w="57" w:type="dxa"/>
          <w:bottom w:w="0" w:type="dxa"/>
          <w:right w:w="57" w:type="dxa"/>
        </w:tblCellMar>
      </w:tblPr>
      <w:tblGrid>
        <w:gridCol w:w="4452"/>
        <w:gridCol w:w="4479"/>
      </w:tblGrid>
      <w:tr>
        <w:tblPrEx>
          <w:tblLayout w:type="fixed"/>
          <w:tblCellMar>
            <w:top w:w="0" w:type="dxa"/>
            <w:left w:w="57" w:type="dxa"/>
            <w:bottom w:w="0" w:type="dxa"/>
            <w:right w:w="57" w:type="dxa"/>
          </w:tblCellMar>
        </w:tblPrEx>
        <w:tc>
          <w:tcPr>
            <w:tcW w:w="4452" w:type="dxa"/>
            <w:tcMar>
              <w:left w:w="57" w:type="dxa"/>
              <w:right w:w="57" w:type="dxa"/>
            </w:tcMa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多年平均年降水量</w:t>
            </w:r>
          </w:p>
        </w:tc>
        <w:tc>
          <w:tcPr>
            <w:tcW w:w="4479" w:type="dxa"/>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1324.4mm</w:t>
            </w:r>
          </w:p>
        </w:tc>
      </w:tr>
      <w:tr>
        <w:tblPrEx>
          <w:tblLayout w:type="fixed"/>
          <w:tblCellMar>
            <w:top w:w="0" w:type="dxa"/>
            <w:left w:w="57" w:type="dxa"/>
            <w:bottom w:w="0" w:type="dxa"/>
            <w:right w:w="57" w:type="dxa"/>
          </w:tblCellMar>
        </w:tblPrEx>
        <w:tc>
          <w:tcPr>
            <w:tcW w:w="4452" w:type="dxa"/>
            <w:tcMar>
              <w:left w:w="57" w:type="dxa"/>
              <w:right w:w="57" w:type="dxa"/>
            </w:tcMa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历年最多年降水量</w:t>
            </w:r>
          </w:p>
        </w:tc>
        <w:tc>
          <w:tcPr>
            <w:tcW w:w="4479" w:type="dxa"/>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2125.6mm</w:t>
            </w:r>
          </w:p>
        </w:tc>
      </w:tr>
      <w:tr>
        <w:tblPrEx>
          <w:tblLayout w:type="fixed"/>
          <w:tblCellMar>
            <w:top w:w="0" w:type="dxa"/>
            <w:left w:w="57" w:type="dxa"/>
            <w:bottom w:w="0" w:type="dxa"/>
            <w:right w:w="57" w:type="dxa"/>
          </w:tblCellMar>
        </w:tblPrEx>
        <w:tc>
          <w:tcPr>
            <w:tcW w:w="4452" w:type="dxa"/>
            <w:tcMar>
              <w:left w:w="57" w:type="dxa"/>
              <w:right w:w="57" w:type="dxa"/>
            </w:tcMa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历年最少年降水量</w:t>
            </w:r>
          </w:p>
        </w:tc>
        <w:tc>
          <w:tcPr>
            <w:tcW w:w="4479" w:type="dxa"/>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785.8mm</w:t>
            </w:r>
          </w:p>
        </w:tc>
      </w:tr>
      <w:tr>
        <w:tblPrEx>
          <w:tblLayout w:type="fixed"/>
          <w:tblCellMar>
            <w:top w:w="0" w:type="dxa"/>
            <w:left w:w="57" w:type="dxa"/>
            <w:bottom w:w="0" w:type="dxa"/>
            <w:right w:w="57" w:type="dxa"/>
          </w:tblCellMar>
        </w:tblPrEx>
        <w:tc>
          <w:tcPr>
            <w:tcW w:w="4452" w:type="dxa"/>
            <w:tcMar>
              <w:left w:w="57" w:type="dxa"/>
              <w:right w:w="57" w:type="dxa"/>
            </w:tcMa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历年最多月降水量</w:t>
            </w:r>
          </w:p>
        </w:tc>
        <w:tc>
          <w:tcPr>
            <w:tcW w:w="4479" w:type="dxa"/>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676.2mm</w:t>
            </w:r>
          </w:p>
        </w:tc>
      </w:tr>
      <w:tr>
        <w:tblPrEx>
          <w:tblLayout w:type="fixed"/>
          <w:tblCellMar>
            <w:top w:w="0" w:type="dxa"/>
            <w:left w:w="57" w:type="dxa"/>
            <w:bottom w:w="0" w:type="dxa"/>
            <w:right w:w="57" w:type="dxa"/>
          </w:tblCellMar>
        </w:tblPrEx>
        <w:tc>
          <w:tcPr>
            <w:tcW w:w="4452" w:type="dxa"/>
            <w:tcMar>
              <w:left w:w="57" w:type="dxa"/>
              <w:right w:w="57" w:type="dxa"/>
            </w:tcMa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历年最多日降水量</w:t>
            </w:r>
          </w:p>
        </w:tc>
        <w:tc>
          <w:tcPr>
            <w:tcW w:w="4479" w:type="dxa"/>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37.5mm</w:t>
            </w:r>
          </w:p>
        </w:tc>
      </w:tr>
      <w:tr>
        <w:tblPrEx>
          <w:tblLayout w:type="fixed"/>
          <w:tblCellMar>
            <w:top w:w="0" w:type="dxa"/>
            <w:left w:w="57" w:type="dxa"/>
            <w:bottom w:w="0" w:type="dxa"/>
            <w:right w:w="57" w:type="dxa"/>
          </w:tblCellMar>
        </w:tblPrEx>
        <w:tc>
          <w:tcPr>
            <w:tcW w:w="4452" w:type="dxa"/>
            <w:tcMar>
              <w:left w:w="57" w:type="dxa"/>
              <w:right w:w="57" w:type="dxa"/>
            </w:tcMa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年平均降水日数</w:t>
            </w:r>
          </w:p>
        </w:tc>
        <w:tc>
          <w:tcPr>
            <w:tcW w:w="4479" w:type="dxa"/>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103.7</w:t>
            </w:r>
            <w:r>
              <w:rPr>
                <w:rFonts w:hAnsi="宋体"/>
                <w:color w:val="000000" w:themeColor="text1"/>
                <w:sz w:val="24"/>
                <w14:textFill>
                  <w14:solidFill>
                    <w14:schemeClr w14:val="tx1"/>
                  </w14:solidFill>
                </w14:textFill>
              </w:rPr>
              <w:t>天</w:t>
            </w:r>
          </w:p>
        </w:tc>
      </w:tr>
      <w:tr>
        <w:tblPrEx>
          <w:tblLayout w:type="fixed"/>
          <w:tblCellMar>
            <w:top w:w="0" w:type="dxa"/>
            <w:left w:w="57" w:type="dxa"/>
            <w:bottom w:w="0" w:type="dxa"/>
            <w:right w:w="57" w:type="dxa"/>
          </w:tblCellMar>
        </w:tblPrEx>
        <w:tc>
          <w:tcPr>
            <w:tcW w:w="4452" w:type="dxa"/>
            <w:tcMar>
              <w:left w:w="57" w:type="dxa"/>
              <w:right w:w="57" w:type="dxa"/>
            </w:tcMa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全年</w:t>
            </w:r>
            <w:r>
              <w:rPr>
                <w:color w:val="000000" w:themeColor="text1"/>
                <w:sz w:val="24"/>
                <w14:textFill>
                  <w14:solidFill>
                    <w14:schemeClr w14:val="tx1"/>
                  </w14:solidFill>
                </w14:textFill>
              </w:rPr>
              <w:t>≥25</w:t>
            </w:r>
            <w:r>
              <w:rPr>
                <w:rFonts w:hAnsi="宋体"/>
                <w:color w:val="000000" w:themeColor="text1"/>
                <w:sz w:val="24"/>
                <w14:textFill>
                  <w14:solidFill>
                    <w14:schemeClr w14:val="tx1"/>
                  </w14:solidFill>
                </w14:textFill>
              </w:rPr>
              <w:t>毫米降水日数</w:t>
            </w:r>
          </w:p>
        </w:tc>
        <w:tc>
          <w:tcPr>
            <w:tcW w:w="4479" w:type="dxa"/>
          </w:tcPr>
          <w:p>
            <w:pPr>
              <w:autoSpaceDE w:val="0"/>
              <w:autoSpaceDN w:val="0"/>
              <w:spacing w:line="360" w:lineRule="auto"/>
              <w:ind w:firstLine="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平均为</w:t>
            </w:r>
            <w:r>
              <w:rPr>
                <w:color w:val="000000" w:themeColor="text1"/>
                <w:sz w:val="24"/>
                <w14:textFill>
                  <w14:solidFill>
                    <w14:schemeClr w14:val="tx1"/>
                  </w14:solidFill>
                </w14:textFill>
              </w:rPr>
              <w:t>18</w:t>
            </w:r>
            <w:r>
              <w:rPr>
                <w:rFonts w:hAnsi="宋体"/>
                <w:color w:val="000000" w:themeColor="text1"/>
                <w:sz w:val="24"/>
                <w14:textFill>
                  <w14:solidFill>
                    <w14:schemeClr w14:val="tx1"/>
                  </w14:solidFill>
                </w14:textFill>
              </w:rPr>
              <w:t>天</w:t>
            </w:r>
            <w:r>
              <w:rPr>
                <w:color w:val="000000" w:themeColor="text1"/>
                <w:sz w:val="24"/>
                <w14:textFill>
                  <w14:solidFill>
                    <w14:schemeClr w14:val="tx1"/>
                  </w14:solidFill>
                </w14:textFill>
              </w:rPr>
              <w:t>(2003</w:t>
            </w:r>
            <w:r>
              <w:rPr>
                <w:rFonts w:hAnsi="宋体"/>
                <w:color w:val="000000" w:themeColor="text1"/>
                <w:sz w:val="24"/>
                <w14:textFill>
                  <w14:solidFill>
                    <w14:schemeClr w14:val="tx1"/>
                  </w14:solidFill>
                </w14:textFill>
              </w:rPr>
              <w:t>年～</w:t>
            </w:r>
            <w:r>
              <w:rPr>
                <w:color w:val="000000" w:themeColor="text1"/>
                <w:sz w:val="24"/>
                <w14:textFill>
                  <w14:solidFill>
                    <w14:schemeClr w14:val="tx1"/>
                  </w14:solidFill>
                </w14:textFill>
              </w:rPr>
              <w:t>2007</w:t>
            </w:r>
            <w:r>
              <w:rPr>
                <w:rFonts w:hAnsi="宋体"/>
                <w:color w:val="000000" w:themeColor="text1"/>
                <w:sz w:val="24"/>
                <w14:textFill>
                  <w14:solidFill>
                    <w14:schemeClr w14:val="tx1"/>
                  </w14:solidFill>
                </w14:textFill>
              </w:rPr>
              <w:t>年</w:t>
            </w:r>
            <w:r>
              <w:rPr>
                <w:color w:val="000000" w:themeColor="text1"/>
                <w:sz w:val="24"/>
                <w14:textFill>
                  <w14:solidFill>
                    <w14:schemeClr w14:val="tx1"/>
                  </w14:solidFill>
                </w14:textFill>
              </w:rPr>
              <w:t>)</w:t>
            </w:r>
          </w:p>
        </w:tc>
      </w:tr>
    </w:tbl>
    <w:p>
      <w:pPr>
        <w:autoSpaceDE w:val="0"/>
        <w:autoSpaceDN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Ansi="宋体"/>
          <w:color w:val="000000" w:themeColor="text1"/>
          <w:sz w:val="24"/>
          <w14:textFill>
            <w14:solidFill>
              <w14:schemeClr w14:val="tx1"/>
            </w14:solidFill>
          </w14:textFill>
        </w:rPr>
        <w:t>）风</w:t>
      </w:r>
    </w:p>
    <w:tbl>
      <w:tblPr>
        <w:tblStyle w:val="30"/>
        <w:tblW w:w="9696" w:type="dxa"/>
        <w:tblInd w:w="0" w:type="dxa"/>
        <w:tblLayout w:type="fixed"/>
        <w:tblCellMar>
          <w:top w:w="0" w:type="dxa"/>
          <w:left w:w="57" w:type="dxa"/>
          <w:bottom w:w="0" w:type="dxa"/>
          <w:right w:w="57" w:type="dxa"/>
        </w:tblCellMar>
      </w:tblPr>
      <w:tblGrid>
        <w:gridCol w:w="4452"/>
        <w:gridCol w:w="5244"/>
      </w:tblGrid>
      <w:tr>
        <w:tblPrEx>
          <w:tblLayout w:type="fixed"/>
          <w:tblCellMar>
            <w:top w:w="0" w:type="dxa"/>
            <w:left w:w="57" w:type="dxa"/>
            <w:bottom w:w="0" w:type="dxa"/>
            <w:right w:w="57" w:type="dxa"/>
          </w:tblCellMar>
        </w:tblPrEx>
        <w:tc>
          <w:tcPr>
            <w:tcW w:w="4452" w:type="dxa"/>
            <w:tcMar>
              <w:left w:w="57" w:type="dxa"/>
              <w:right w:w="57" w:type="dxa"/>
            </w:tcMa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多年平均风速</w:t>
            </w:r>
          </w:p>
        </w:tc>
        <w:tc>
          <w:tcPr>
            <w:tcW w:w="5244" w:type="dxa"/>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5.5m/</w:t>
            </w:r>
            <w:r>
              <w:rPr>
                <w:rFonts w:hAnsi="宋体"/>
                <w:color w:val="000000" w:themeColor="text1"/>
                <w:sz w:val="24"/>
                <w14:textFill>
                  <w14:solidFill>
                    <w14:schemeClr w14:val="tx1"/>
                  </w14:solidFill>
                </w14:textFill>
              </w:rPr>
              <w:t>秒</w:t>
            </w:r>
          </w:p>
        </w:tc>
      </w:tr>
      <w:tr>
        <w:tblPrEx>
          <w:tblLayout w:type="fixed"/>
          <w:tblCellMar>
            <w:top w:w="0" w:type="dxa"/>
            <w:left w:w="57" w:type="dxa"/>
            <w:bottom w:w="0" w:type="dxa"/>
            <w:right w:w="57" w:type="dxa"/>
          </w:tblCellMar>
        </w:tblPrEx>
        <w:tc>
          <w:tcPr>
            <w:tcW w:w="4452" w:type="dxa"/>
            <w:tcMar>
              <w:left w:w="57" w:type="dxa"/>
              <w:right w:w="57" w:type="dxa"/>
            </w:tcMa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夏季平均风速</w:t>
            </w:r>
          </w:p>
        </w:tc>
        <w:tc>
          <w:tcPr>
            <w:tcW w:w="5244" w:type="dxa"/>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3.9m/</w:t>
            </w:r>
            <w:r>
              <w:rPr>
                <w:rFonts w:hAnsi="宋体"/>
                <w:color w:val="000000" w:themeColor="text1"/>
                <w:sz w:val="24"/>
                <w14:textFill>
                  <w14:solidFill>
                    <w14:schemeClr w14:val="tx1"/>
                  </w14:solidFill>
                </w14:textFill>
              </w:rPr>
              <w:t>秒（</w:t>
            </w:r>
            <w:r>
              <w:rPr>
                <w:color w:val="000000" w:themeColor="text1"/>
                <w:sz w:val="24"/>
                <w14:textFill>
                  <w14:solidFill>
                    <w14:schemeClr w14:val="tx1"/>
                  </w14:solidFill>
                </w14:textFill>
              </w:rPr>
              <w:t>10m</w:t>
            </w:r>
            <w:r>
              <w:rPr>
                <w:rFonts w:hAnsi="宋体"/>
                <w:color w:val="000000" w:themeColor="text1"/>
                <w:sz w:val="24"/>
                <w14:textFill>
                  <w14:solidFill>
                    <w14:schemeClr w14:val="tx1"/>
                  </w14:solidFill>
                </w14:textFill>
              </w:rPr>
              <w:t>高处平均风速）</w:t>
            </w:r>
          </w:p>
        </w:tc>
      </w:tr>
      <w:tr>
        <w:tblPrEx>
          <w:tblLayout w:type="fixed"/>
          <w:tblCellMar>
            <w:top w:w="0" w:type="dxa"/>
            <w:left w:w="57" w:type="dxa"/>
            <w:bottom w:w="0" w:type="dxa"/>
            <w:right w:w="57" w:type="dxa"/>
          </w:tblCellMar>
        </w:tblPrEx>
        <w:tc>
          <w:tcPr>
            <w:tcW w:w="4452" w:type="dxa"/>
            <w:tcMar>
              <w:left w:w="57" w:type="dxa"/>
              <w:right w:w="57" w:type="dxa"/>
            </w:tcMa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冬季平均风速</w:t>
            </w:r>
          </w:p>
        </w:tc>
        <w:tc>
          <w:tcPr>
            <w:tcW w:w="5244" w:type="dxa"/>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6.9m/</w:t>
            </w:r>
            <w:r>
              <w:rPr>
                <w:rFonts w:hAnsi="宋体"/>
                <w:color w:val="000000" w:themeColor="text1"/>
                <w:sz w:val="24"/>
                <w14:textFill>
                  <w14:solidFill>
                    <w14:schemeClr w14:val="tx1"/>
                  </w14:solidFill>
                </w14:textFill>
              </w:rPr>
              <w:t>秒（</w:t>
            </w:r>
            <w:r>
              <w:rPr>
                <w:color w:val="000000" w:themeColor="text1"/>
                <w:sz w:val="24"/>
                <w14:textFill>
                  <w14:solidFill>
                    <w14:schemeClr w14:val="tx1"/>
                  </w14:solidFill>
                </w14:textFill>
              </w:rPr>
              <w:t>10m</w:t>
            </w:r>
            <w:r>
              <w:rPr>
                <w:rFonts w:hAnsi="宋体"/>
                <w:color w:val="000000" w:themeColor="text1"/>
                <w:sz w:val="24"/>
                <w14:textFill>
                  <w14:solidFill>
                    <w14:schemeClr w14:val="tx1"/>
                  </w14:solidFill>
                </w14:textFill>
              </w:rPr>
              <w:t>高处平均风速）</w:t>
            </w:r>
          </w:p>
        </w:tc>
      </w:tr>
      <w:tr>
        <w:tblPrEx>
          <w:tblLayout w:type="fixed"/>
          <w:tblCellMar>
            <w:top w:w="0" w:type="dxa"/>
            <w:left w:w="57" w:type="dxa"/>
            <w:bottom w:w="0" w:type="dxa"/>
            <w:right w:w="57" w:type="dxa"/>
          </w:tblCellMar>
        </w:tblPrEx>
        <w:tc>
          <w:tcPr>
            <w:tcW w:w="4452" w:type="dxa"/>
            <w:tcMar>
              <w:left w:w="57" w:type="dxa"/>
              <w:right w:w="57" w:type="dxa"/>
            </w:tcMa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基本风压值</w:t>
            </w:r>
          </w:p>
        </w:tc>
        <w:tc>
          <w:tcPr>
            <w:tcW w:w="5244" w:type="dxa"/>
          </w:tcPr>
          <w:p>
            <w:pPr>
              <w:autoSpaceDE w:val="0"/>
              <w:autoSpaceDN w:val="0"/>
              <w:spacing w:line="360" w:lineRule="auto"/>
              <w:ind w:firstLine="200"/>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25</w:t>
            </w:r>
            <w:r>
              <w:rPr>
                <w:color w:val="000000" w:themeColor="text1"/>
                <w:sz w:val="24"/>
                <w14:textFill>
                  <w14:solidFill>
                    <w14:schemeClr w14:val="tx1"/>
                  </w14:solidFill>
                </w14:textFill>
              </w:rPr>
              <w:t>kN/m</w:t>
            </w:r>
            <w:r>
              <w:rPr>
                <w:color w:val="000000" w:themeColor="text1"/>
                <w:sz w:val="24"/>
                <w:vertAlign w:val="superscript"/>
                <w14:textFill>
                  <w14:solidFill>
                    <w14:schemeClr w14:val="tx1"/>
                  </w14:solidFill>
                </w14:textFill>
              </w:rPr>
              <w:t>2</w:t>
            </w:r>
          </w:p>
        </w:tc>
      </w:tr>
      <w:tr>
        <w:tblPrEx>
          <w:tblLayout w:type="fixed"/>
          <w:tblCellMar>
            <w:top w:w="0" w:type="dxa"/>
            <w:left w:w="57" w:type="dxa"/>
            <w:bottom w:w="0" w:type="dxa"/>
            <w:right w:w="57" w:type="dxa"/>
          </w:tblCellMar>
        </w:tblPrEx>
        <w:tc>
          <w:tcPr>
            <w:tcW w:w="4452" w:type="dxa"/>
            <w:tcMar>
              <w:left w:w="57" w:type="dxa"/>
              <w:right w:w="57" w:type="dxa"/>
            </w:tcMa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主导风向</w:t>
            </w:r>
          </w:p>
        </w:tc>
        <w:tc>
          <w:tcPr>
            <w:tcW w:w="5244" w:type="dxa"/>
          </w:tcPr>
          <w:p>
            <w:pPr>
              <w:autoSpaceDE w:val="0"/>
              <w:autoSpaceDN w:val="0"/>
              <w:spacing w:line="360" w:lineRule="auto"/>
              <w:ind w:firstLine="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东北，北北东</w:t>
            </w:r>
          </w:p>
        </w:tc>
      </w:tr>
    </w:tbl>
    <w:p>
      <w:pPr>
        <w:autoSpaceDE w:val="0"/>
        <w:autoSpaceDN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Ansi="宋体"/>
          <w:color w:val="000000" w:themeColor="text1"/>
          <w:sz w:val="24"/>
          <w14:textFill>
            <w14:solidFill>
              <w14:schemeClr w14:val="tx1"/>
            </w14:solidFill>
          </w14:textFill>
        </w:rPr>
        <w:t>）台风</w:t>
      </w:r>
    </w:p>
    <w:tbl>
      <w:tblPr>
        <w:tblStyle w:val="30"/>
        <w:tblW w:w="8931" w:type="dxa"/>
        <w:tblInd w:w="0" w:type="dxa"/>
        <w:tblLayout w:type="fixed"/>
        <w:tblCellMar>
          <w:top w:w="0" w:type="dxa"/>
          <w:left w:w="57" w:type="dxa"/>
          <w:bottom w:w="0" w:type="dxa"/>
          <w:right w:w="57" w:type="dxa"/>
        </w:tblCellMar>
      </w:tblPr>
      <w:tblGrid>
        <w:gridCol w:w="4452"/>
        <w:gridCol w:w="4479"/>
      </w:tblGrid>
      <w:tr>
        <w:tblPrEx>
          <w:tblLayout w:type="fixed"/>
          <w:tblCellMar>
            <w:top w:w="0" w:type="dxa"/>
            <w:left w:w="57" w:type="dxa"/>
            <w:bottom w:w="0" w:type="dxa"/>
            <w:right w:w="57" w:type="dxa"/>
          </w:tblCellMar>
        </w:tblPrEx>
        <w:tc>
          <w:tcPr>
            <w:tcW w:w="4452" w:type="dxa"/>
            <w:vAlign w:val="cente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年台风次数</w:t>
            </w:r>
          </w:p>
        </w:tc>
        <w:tc>
          <w:tcPr>
            <w:tcW w:w="4479" w:type="dxa"/>
            <w:vAlign w:val="center"/>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5.9</w:t>
            </w:r>
            <w:r>
              <w:rPr>
                <w:rFonts w:hAnsi="宋体"/>
                <w:color w:val="000000" w:themeColor="text1"/>
                <w:sz w:val="24"/>
                <w14:textFill>
                  <w14:solidFill>
                    <w14:schemeClr w14:val="tx1"/>
                  </w14:solidFill>
                </w14:textFill>
              </w:rPr>
              <w:t>次</w:t>
            </w:r>
            <w:r>
              <w:rPr>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年平均（</w:t>
            </w:r>
            <w:r>
              <w:rPr>
                <w:color w:val="000000" w:themeColor="text1"/>
                <w:sz w:val="24"/>
                <w14:textFill>
                  <w14:solidFill>
                    <w14:schemeClr w14:val="tx1"/>
                  </w14:solidFill>
                </w14:textFill>
              </w:rPr>
              <w:t>1951</w:t>
            </w:r>
            <w:r>
              <w:rPr>
                <w:rFonts w:hAnsi="宋体"/>
                <w:color w:val="000000" w:themeColor="text1"/>
                <w:sz w:val="24"/>
                <w14:textFill>
                  <w14:solidFill>
                    <w14:schemeClr w14:val="tx1"/>
                  </w14:solidFill>
                </w14:textFill>
              </w:rPr>
              <w:t>年～</w:t>
            </w:r>
            <w:r>
              <w:rPr>
                <w:color w:val="000000" w:themeColor="text1"/>
                <w:sz w:val="24"/>
                <w14:textFill>
                  <w14:solidFill>
                    <w14:schemeClr w14:val="tx1"/>
                  </w14:solidFill>
                </w14:textFill>
              </w:rPr>
              <w:t>2000</w:t>
            </w:r>
            <w:r>
              <w:rPr>
                <w:rFonts w:hAnsi="宋体"/>
                <w:color w:val="000000" w:themeColor="text1"/>
                <w:sz w:val="24"/>
                <w14:textFill>
                  <w14:solidFill>
                    <w14:schemeClr w14:val="tx1"/>
                  </w14:solidFill>
                </w14:textFill>
              </w:rPr>
              <w:t>年）</w:t>
            </w:r>
          </w:p>
        </w:tc>
      </w:tr>
      <w:tr>
        <w:tblPrEx>
          <w:tblLayout w:type="fixed"/>
          <w:tblCellMar>
            <w:top w:w="0" w:type="dxa"/>
            <w:left w:w="57" w:type="dxa"/>
            <w:bottom w:w="0" w:type="dxa"/>
            <w:right w:w="57" w:type="dxa"/>
          </w:tblCellMar>
        </w:tblPrEx>
        <w:tc>
          <w:tcPr>
            <w:tcW w:w="4452" w:type="dxa"/>
            <w:vAlign w:val="cente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最大瞬间风速</w:t>
            </w:r>
            <w:r>
              <w:rPr>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东山近</w:t>
            </w:r>
            <w:r>
              <w:rPr>
                <w:color w:val="000000" w:themeColor="text1"/>
                <w:sz w:val="24"/>
                <w14:textFill>
                  <w14:solidFill>
                    <w14:schemeClr w14:val="tx1"/>
                  </w14:solidFill>
                </w14:textFill>
              </w:rPr>
              <w:t>20</w:t>
            </w:r>
            <w:r>
              <w:rPr>
                <w:rFonts w:hAnsi="宋体"/>
                <w:color w:val="000000" w:themeColor="text1"/>
                <w:sz w:val="24"/>
                <w14:textFill>
                  <w14:solidFill>
                    <w14:schemeClr w14:val="tx1"/>
                  </w14:solidFill>
                </w14:textFill>
              </w:rPr>
              <w:t>年资料</w:t>
            </w:r>
            <w:r>
              <w:rPr>
                <w:color w:val="000000" w:themeColor="text1"/>
                <w:sz w:val="24"/>
                <w14:textFill>
                  <w14:solidFill>
                    <w14:schemeClr w14:val="tx1"/>
                  </w14:solidFill>
                </w14:textFill>
              </w:rPr>
              <w:t>)</w:t>
            </w:r>
          </w:p>
        </w:tc>
        <w:tc>
          <w:tcPr>
            <w:tcW w:w="4479" w:type="dxa"/>
            <w:vAlign w:val="center"/>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48m/s</w:t>
            </w:r>
            <w:r>
              <w:rPr>
                <w:rFonts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1980</w:t>
            </w:r>
            <w:r>
              <w:rPr>
                <w:rFonts w:hAnsi="宋体"/>
                <w:color w:val="000000" w:themeColor="text1"/>
                <w:sz w:val="24"/>
                <w14:textFill>
                  <w14:solidFill>
                    <w14:schemeClr w14:val="tx1"/>
                  </w14:solidFill>
                </w14:textFill>
              </w:rPr>
              <w:t>年</w:t>
            </w:r>
            <w:r>
              <w:rPr>
                <w:color w:val="000000" w:themeColor="text1"/>
                <w:sz w:val="24"/>
                <w14:textFill>
                  <w14:solidFill>
                    <w14:schemeClr w14:val="tx1"/>
                  </w14:solidFill>
                </w14:textFill>
              </w:rPr>
              <w:t>9</w:t>
            </w:r>
            <w:r>
              <w:rPr>
                <w:rFonts w:hAnsi="宋体"/>
                <w:color w:val="000000" w:themeColor="text1"/>
                <w:sz w:val="24"/>
                <w14:textFill>
                  <w14:solidFill>
                    <w14:schemeClr w14:val="tx1"/>
                  </w14:solidFill>
                </w14:textFill>
              </w:rPr>
              <w:t>月</w:t>
            </w:r>
            <w:r>
              <w:rPr>
                <w:color w:val="000000" w:themeColor="text1"/>
                <w:sz w:val="24"/>
                <w14:textFill>
                  <w14:solidFill>
                    <w14:schemeClr w14:val="tx1"/>
                  </w14:solidFill>
                </w14:textFill>
              </w:rPr>
              <w:t>19</w:t>
            </w:r>
            <w:r>
              <w:rPr>
                <w:rFonts w:hAnsi="宋体"/>
                <w:color w:val="000000" w:themeColor="text1"/>
                <w:sz w:val="24"/>
                <w14:textFill>
                  <w14:solidFill>
                    <w14:schemeClr w14:val="tx1"/>
                  </w14:solidFill>
                </w14:textFill>
              </w:rPr>
              <w:t>日）</w:t>
            </w:r>
          </w:p>
        </w:tc>
      </w:tr>
      <w:tr>
        <w:tblPrEx>
          <w:tblLayout w:type="fixed"/>
          <w:tblCellMar>
            <w:top w:w="0" w:type="dxa"/>
            <w:left w:w="57" w:type="dxa"/>
            <w:bottom w:w="0" w:type="dxa"/>
            <w:right w:w="57" w:type="dxa"/>
          </w:tblCellMar>
        </w:tblPrEx>
        <w:tc>
          <w:tcPr>
            <w:tcW w:w="4452" w:type="dxa"/>
            <w:vAlign w:val="center"/>
          </w:tcPr>
          <w:p>
            <w:pPr>
              <w:autoSpaceDE w:val="0"/>
              <w:autoSpaceDN w:val="0"/>
              <w:spacing w:line="360" w:lineRule="auto"/>
              <w:ind w:firstLine="480" w:firstLineChars="200"/>
              <w:rPr>
                <w:color w:val="000000" w:themeColor="text1"/>
                <w:sz w:val="24"/>
                <w14:textFill>
                  <w14:solidFill>
                    <w14:schemeClr w14:val="tx1"/>
                  </w14:solidFill>
                </w14:textFill>
              </w:rPr>
            </w:pPr>
          </w:p>
        </w:tc>
        <w:tc>
          <w:tcPr>
            <w:tcW w:w="4479" w:type="dxa"/>
            <w:vAlign w:val="center"/>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34.6m/s</w:t>
            </w:r>
            <w:r>
              <w:rPr>
                <w:rFonts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2006</w:t>
            </w:r>
            <w:r>
              <w:rPr>
                <w:rFonts w:hAnsi="宋体"/>
                <w:color w:val="000000" w:themeColor="text1"/>
                <w:sz w:val="24"/>
                <w14:textFill>
                  <w14:solidFill>
                    <w14:schemeClr w14:val="tx1"/>
                  </w14:solidFill>
                </w14:textFill>
              </w:rPr>
              <w:t>年</w:t>
            </w:r>
            <w:r>
              <w:rPr>
                <w:color w:val="000000" w:themeColor="text1"/>
                <w:sz w:val="24"/>
                <w14:textFill>
                  <w14:solidFill>
                    <w14:schemeClr w14:val="tx1"/>
                  </w14:solidFill>
                </w14:textFill>
              </w:rPr>
              <w:t>5</w:t>
            </w:r>
            <w:r>
              <w:rPr>
                <w:rFonts w:hAnsi="宋体"/>
                <w:color w:val="000000" w:themeColor="text1"/>
                <w:sz w:val="24"/>
                <w14:textFill>
                  <w14:solidFill>
                    <w14:schemeClr w14:val="tx1"/>
                  </w14:solidFill>
                </w14:textFill>
              </w:rPr>
              <w:t>月</w:t>
            </w:r>
            <w:r>
              <w:rPr>
                <w:color w:val="000000" w:themeColor="text1"/>
                <w:sz w:val="24"/>
                <w14:textFill>
                  <w14:solidFill>
                    <w14:schemeClr w14:val="tx1"/>
                  </w14:solidFill>
                </w14:textFill>
              </w:rPr>
              <w:t>17</w:t>
            </w:r>
            <w:r>
              <w:rPr>
                <w:rFonts w:hAnsi="宋体"/>
                <w:color w:val="000000" w:themeColor="text1"/>
                <w:sz w:val="24"/>
                <w14:textFill>
                  <w14:solidFill>
                    <w14:schemeClr w14:val="tx1"/>
                  </w14:solidFill>
                </w14:textFill>
              </w:rPr>
              <w:t>日）</w:t>
            </w:r>
          </w:p>
        </w:tc>
      </w:tr>
    </w:tbl>
    <w:p>
      <w:pPr>
        <w:autoSpaceDE w:val="0"/>
        <w:autoSpaceDN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Ansi="宋体"/>
          <w:color w:val="000000" w:themeColor="text1"/>
          <w:sz w:val="24"/>
          <w14:textFill>
            <w14:solidFill>
              <w14:schemeClr w14:val="tx1"/>
            </w14:solidFill>
          </w14:textFill>
        </w:rPr>
        <w:t>）雾</w:t>
      </w:r>
    </w:p>
    <w:tbl>
      <w:tblPr>
        <w:tblStyle w:val="30"/>
        <w:tblW w:w="8931" w:type="dxa"/>
        <w:tblInd w:w="0" w:type="dxa"/>
        <w:tblLayout w:type="fixed"/>
        <w:tblCellMar>
          <w:top w:w="0" w:type="dxa"/>
          <w:left w:w="57" w:type="dxa"/>
          <w:bottom w:w="0" w:type="dxa"/>
          <w:right w:w="57" w:type="dxa"/>
        </w:tblCellMar>
      </w:tblPr>
      <w:tblGrid>
        <w:gridCol w:w="4452"/>
        <w:gridCol w:w="4479"/>
      </w:tblGrid>
      <w:tr>
        <w:tblPrEx>
          <w:tblLayout w:type="fixed"/>
          <w:tblCellMar>
            <w:top w:w="0" w:type="dxa"/>
            <w:left w:w="57" w:type="dxa"/>
            <w:bottom w:w="0" w:type="dxa"/>
            <w:right w:w="57" w:type="dxa"/>
          </w:tblCellMar>
        </w:tblPrEx>
        <w:tc>
          <w:tcPr>
            <w:tcW w:w="4452" w:type="dxa"/>
            <w:tcMar>
              <w:left w:w="57" w:type="dxa"/>
              <w:right w:w="57" w:type="dxa"/>
            </w:tcMa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多年平均雾日数</w:t>
            </w:r>
          </w:p>
        </w:tc>
        <w:tc>
          <w:tcPr>
            <w:tcW w:w="4479" w:type="dxa"/>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22.5</w:t>
            </w:r>
            <w:r>
              <w:rPr>
                <w:rFonts w:hAnsi="宋体"/>
                <w:color w:val="000000" w:themeColor="text1"/>
                <w:sz w:val="24"/>
                <w14:textFill>
                  <w14:solidFill>
                    <w14:schemeClr w14:val="tx1"/>
                  </w14:solidFill>
                </w14:textFill>
              </w:rPr>
              <w:t>天</w:t>
            </w:r>
          </w:p>
        </w:tc>
      </w:tr>
      <w:tr>
        <w:tblPrEx>
          <w:tblLayout w:type="fixed"/>
          <w:tblCellMar>
            <w:top w:w="0" w:type="dxa"/>
            <w:left w:w="57" w:type="dxa"/>
            <w:bottom w:w="0" w:type="dxa"/>
            <w:right w:w="57" w:type="dxa"/>
          </w:tblCellMar>
        </w:tblPrEx>
        <w:tc>
          <w:tcPr>
            <w:tcW w:w="4452" w:type="dxa"/>
            <w:tcMar>
              <w:left w:w="57" w:type="dxa"/>
              <w:right w:w="57" w:type="dxa"/>
            </w:tcMa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最多年雾日数</w:t>
            </w:r>
          </w:p>
        </w:tc>
        <w:tc>
          <w:tcPr>
            <w:tcW w:w="4479" w:type="dxa"/>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39</w:t>
            </w:r>
            <w:r>
              <w:rPr>
                <w:rFonts w:hAnsi="宋体"/>
                <w:color w:val="000000" w:themeColor="text1"/>
                <w:sz w:val="24"/>
                <w14:textFill>
                  <w14:solidFill>
                    <w14:schemeClr w14:val="tx1"/>
                  </w14:solidFill>
                </w14:textFill>
              </w:rPr>
              <w:t>天</w:t>
            </w:r>
          </w:p>
        </w:tc>
      </w:tr>
      <w:tr>
        <w:tblPrEx>
          <w:tblLayout w:type="fixed"/>
          <w:tblCellMar>
            <w:top w:w="0" w:type="dxa"/>
            <w:left w:w="57" w:type="dxa"/>
            <w:bottom w:w="0" w:type="dxa"/>
            <w:right w:w="57" w:type="dxa"/>
          </w:tblCellMar>
        </w:tblPrEx>
        <w:tc>
          <w:tcPr>
            <w:tcW w:w="4452" w:type="dxa"/>
            <w:tcMar>
              <w:left w:w="57" w:type="dxa"/>
              <w:right w:w="57" w:type="dxa"/>
            </w:tcMa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多雾月份</w:t>
            </w:r>
          </w:p>
        </w:tc>
        <w:tc>
          <w:tcPr>
            <w:tcW w:w="4479" w:type="dxa"/>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Ansi="宋体"/>
                <w:color w:val="000000" w:themeColor="text1"/>
                <w:sz w:val="24"/>
                <w14:textFill>
                  <w14:solidFill>
                    <w14:schemeClr w14:val="tx1"/>
                  </w14:solidFill>
                </w14:textFill>
              </w:rPr>
              <w:t>月</w:t>
            </w:r>
          </w:p>
        </w:tc>
      </w:tr>
    </w:tbl>
    <w:p>
      <w:pPr>
        <w:autoSpaceDE w:val="0"/>
        <w:autoSpaceDN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6</w:t>
      </w:r>
      <w:r>
        <w:rPr>
          <w:rFonts w:hAnsi="宋体"/>
          <w:color w:val="000000" w:themeColor="text1"/>
          <w:sz w:val="24"/>
          <w14:textFill>
            <w14:solidFill>
              <w14:schemeClr w14:val="tx1"/>
            </w14:solidFill>
          </w14:textFill>
        </w:rPr>
        <w:t>）相对湿度</w:t>
      </w:r>
    </w:p>
    <w:tbl>
      <w:tblPr>
        <w:tblStyle w:val="30"/>
        <w:tblW w:w="8961" w:type="dxa"/>
        <w:tblInd w:w="78" w:type="dxa"/>
        <w:tblLayout w:type="fixed"/>
        <w:tblCellMar>
          <w:top w:w="0" w:type="dxa"/>
          <w:left w:w="108" w:type="dxa"/>
          <w:bottom w:w="0" w:type="dxa"/>
          <w:right w:w="108" w:type="dxa"/>
        </w:tblCellMar>
      </w:tblPr>
      <w:tblGrid>
        <w:gridCol w:w="4425"/>
        <w:gridCol w:w="1417"/>
        <w:gridCol w:w="3119"/>
      </w:tblGrid>
      <w:tr>
        <w:tblPrEx>
          <w:tblLayout w:type="fixed"/>
          <w:tblCellMar>
            <w:top w:w="0" w:type="dxa"/>
            <w:left w:w="108" w:type="dxa"/>
            <w:bottom w:w="0" w:type="dxa"/>
            <w:right w:w="108" w:type="dxa"/>
          </w:tblCellMar>
        </w:tblPrEx>
        <w:tc>
          <w:tcPr>
            <w:tcW w:w="4425" w:type="dxa"/>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多年平均相对湿度</w:t>
            </w:r>
          </w:p>
        </w:tc>
        <w:tc>
          <w:tcPr>
            <w:tcW w:w="4536" w:type="dxa"/>
            <w:gridSpan w:val="2"/>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80%</w:t>
            </w:r>
          </w:p>
        </w:tc>
      </w:tr>
      <w:tr>
        <w:tblPrEx>
          <w:tblLayout w:type="fixed"/>
          <w:tblCellMar>
            <w:top w:w="0" w:type="dxa"/>
            <w:left w:w="108" w:type="dxa"/>
            <w:bottom w:w="0" w:type="dxa"/>
            <w:right w:w="108" w:type="dxa"/>
          </w:tblCellMar>
        </w:tblPrEx>
        <w:tc>
          <w:tcPr>
            <w:tcW w:w="4425" w:type="dxa"/>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夏季相对湿度</w:t>
            </w:r>
          </w:p>
        </w:tc>
        <w:tc>
          <w:tcPr>
            <w:tcW w:w="4536" w:type="dxa"/>
            <w:gridSpan w:val="2"/>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85.7%</w:t>
            </w:r>
          </w:p>
        </w:tc>
      </w:tr>
      <w:tr>
        <w:tblPrEx>
          <w:tblLayout w:type="fixed"/>
          <w:tblCellMar>
            <w:top w:w="0" w:type="dxa"/>
            <w:left w:w="108" w:type="dxa"/>
            <w:bottom w:w="0" w:type="dxa"/>
            <w:right w:w="108" w:type="dxa"/>
          </w:tblCellMar>
        </w:tblPrEx>
        <w:tc>
          <w:tcPr>
            <w:tcW w:w="4425" w:type="dxa"/>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冬季相对湿度</w:t>
            </w:r>
          </w:p>
        </w:tc>
        <w:tc>
          <w:tcPr>
            <w:tcW w:w="4536" w:type="dxa"/>
            <w:gridSpan w:val="2"/>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74.3%</w:t>
            </w:r>
          </w:p>
        </w:tc>
      </w:tr>
      <w:tr>
        <w:tblPrEx>
          <w:tblLayout w:type="fixed"/>
          <w:tblCellMar>
            <w:top w:w="0" w:type="dxa"/>
            <w:left w:w="108" w:type="dxa"/>
            <w:bottom w:w="0" w:type="dxa"/>
            <w:right w:w="108" w:type="dxa"/>
          </w:tblCellMar>
        </w:tblPrEx>
        <w:tc>
          <w:tcPr>
            <w:tcW w:w="4425" w:type="dxa"/>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夏天最热时间相对湿度</w:t>
            </w:r>
          </w:p>
        </w:tc>
        <w:tc>
          <w:tcPr>
            <w:tcW w:w="4536" w:type="dxa"/>
            <w:gridSpan w:val="2"/>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75%</w:t>
            </w:r>
            <w:r>
              <w:rPr>
                <w:rFonts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13</w:t>
            </w:r>
            <w:r>
              <w:rPr>
                <w:rFonts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14</w:t>
            </w:r>
            <w:r>
              <w:rPr>
                <w:rFonts w:hAnsi="宋体"/>
                <w:color w:val="000000" w:themeColor="text1"/>
                <w:sz w:val="24"/>
                <w14:textFill>
                  <w14:solidFill>
                    <w14:schemeClr w14:val="tx1"/>
                  </w14:solidFill>
                </w14:textFill>
              </w:rPr>
              <w:t>时）</w:t>
            </w:r>
          </w:p>
        </w:tc>
      </w:tr>
      <w:tr>
        <w:tblPrEx>
          <w:tblLayout w:type="fixed"/>
          <w:tblCellMar>
            <w:top w:w="0" w:type="dxa"/>
            <w:left w:w="108" w:type="dxa"/>
            <w:bottom w:w="0" w:type="dxa"/>
            <w:right w:w="108" w:type="dxa"/>
          </w:tblCellMar>
        </w:tblPrEx>
        <w:tc>
          <w:tcPr>
            <w:tcW w:w="4425" w:type="dxa"/>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最大相对湿度</w:t>
            </w:r>
          </w:p>
        </w:tc>
        <w:tc>
          <w:tcPr>
            <w:tcW w:w="4536" w:type="dxa"/>
            <w:gridSpan w:val="2"/>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100%</w:t>
            </w:r>
          </w:p>
        </w:tc>
      </w:tr>
      <w:tr>
        <w:tblPrEx>
          <w:tblLayout w:type="fixed"/>
          <w:tblCellMar>
            <w:top w:w="0" w:type="dxa"/>
            <w:left w:w="108" w:type="dxa"/>
            <w:bottom w:w="0" w:type="dxa"/>
            <w:right w:w="108" w:type="dxa"/>
          </w:tblCellMar>
        </w:tblPrEx>
        <w:tc>
          <w:tcPr>
            <w:tcW w:w="4425" w:type="dxa"/>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最热月平均相对湿度</w:t>
            </w:r>
          </w:p>
        </w:tc>
        <w:tc>
          <w:tcPr>
            <w:tcW w:w="4536" w:type="dxa"/>
            <w:gridSpan w:val="2"/>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98%/26.8%</w:t>
            </w:r>
          </w:p>
        </w:tc>
      </w:tr>
      <w:tr>
        <w:tblPrEx>
          <w:tblLayout w:type="fixed"/>
          <w:tblCellMar>
            <w:top w:w="0" w:type="dxa"/>
            <w:left w:w="108" w:type="dxa"/>
            <w:bottom w:w="0" w:type="dxa"/>
            <w:right w:w="108" w:type="dxa"/>
          </w:tblCellMar>
        </w:tblPrEx>
        <w:tc>
          <w:tcPr>
            <w:tcW w:w="5842" w:type="dxa"/>
            <w:gridSpan w:val="2"/>
          </w:tcPr>
          <w:p>
            <w:pPr>
              <w:autoSpaceDE w:val="0"/>
              <w:autoSpaceDN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2003</w:t>
            </w:r>
            <w:r>
              <w:rPr>
                <w:rFonts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2007</w:t>
            </w:r>
            <w:r>
              <w:rPr>
                <w:rFonts w:hAnsi="宋体"/>
                <w:color w:val="000000" w:themeColor="text1"/>
                <w:sz w:val="24"/>
                <w14:textFill>
                  <w14:solidFill>
                    <w14:schemeClr w14:val="tx1"/>
                  </w14:solidFill>
                </w14:textFill>
              </w:rPr>
              <w:t>年最热月（</w:t>
            </w:r>
            <w:r>
              <w:rPr>
                <w:color w:val="000000" w:themeColor="text1"/>
                <w:sz w:val="24"/>
                <w14:textFill>
                  <w14:solidFill>
                    <w14:schemeClr w14:val="tx1"/>
                  </w14:solidFill>
                </w14:textFill>
              </w:rPr>
              <w:t>7</w:t>
            </w:r>
            <w:r>
              <w:rPr>
                <w:rFonts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9</w:t>
            </w:r>
            <w:r>
              <w:rPr>
                <w:rFonts w:hAnsi="宋体"/>
                <w:color w:val="000000" w:themeColor="text1"/>
                <w:sz w:val="24"/>
                <w14:textFill>
                  <w14:solidFill>
                    <w14:schemeClr w14:val="tx1"/>
                  </w14:solidFill>
                </w14:textFill>
              </w:rPr>
              <w:t>月）的平均相对湿度</w:t>
            </w:r>
          </w:p>
        </w:tc>
        <w:tc>
          <w:tcPr>
            <w:tcW w:w="3119" w:type="dxa"/>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79%</w:t>
            </w:r>
          </w:p>
        </w:tc>
      </w:tr>
    </w:tbl>
    <w:p>
      <w:pPr>
        <w:autoSpaceDE w:val="0"/>
        <w:autoSpaceDN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7</w:t>
      </w:r>
      <w:r>
        <w:rPr>
          <w:rFonts w:hAnsi="宋体"/>
          <w:color w:val="000000" w:themeColor="text1"/>
          <w:sz w:val="24"/>
          <w14:textFill>
            <w14:solidFill>
              <w14:schemeClr w14:val="tx1"/>
            </w14:solidFill>
          </w14:textFill>
        </w:rPr>
        <w:t>）气压</w:t>
      </w:r>
    </w:p>
    <w:tbl>
      <w:tblPr>
        <w:tblStyle w:val="30"/>
        <w:tblW w:w="8988" w:type="dxa"/>
        <w:tblInd w:w="0" w:type="dxa"/>
        <w:tblLayout w:type="fixed"/>
        <w:tblCellMar>
          <w:top w:w="0" w:type="dxa"/>
          <w:left w:w="57" w:type="dxa"/>
          <w:bottom w:w="0" w:type="dxa"/>
          <w:right w:w="57" w:type="dxa"/>
        </w:tblCellMar>
      </w:tblPr>
      <w:tblGrid>
        <w:gridCol w:w="4452"/>
        <w:gridCol w:w="4536"/>
      </w:tblGrid>
      <w:tr>
        <w:tblPrEx>
          <w:tblLayout w:type="fixed"/>
          <w:tblCellMar>
            <w:top w:w="0" w:type="dxa"/>
            <w:left w:w="57" w:type="dxa"/>
            <w:bottom w:w="0" w:type="dxa"/>
            <w:right w:w="57" w:type="dxa"/>
          </w:tblCellMar>
        </w:tblPrEx>
        <w:tc>
          <w:tcPr>
            <w:tcW w:w="4452" w:type="dxa"/>
            <w:tcMar>
              <w:left w:w="57" w:type="dxa"/>
              <w:right w:w="57" w:type="dxa"/>
            </w:tcMa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年平均气压</w:t>
            </w:r>
          </w:p>
        </w:tc>
        <w:tc>
          <w:tcPr>
            <w:tcW w:w="4536" w:type="dxa"/>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1004.6hPa</w:t>
            </w:r>
          </w:p>
        </w:tc>
      </w:tr>
    </w:tbl>
    <w:p>
      <w:pPr>
        <w:autoSpaceDE w:val="0"/>
        <w:autoSpaceDN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8</w:t>
      </w:r>
      <w:r>
        <w:rPr>
          <w:rFonts w:hAnsi="宋体"/>
          <w:color w:val="000000" w:themeColor="text1"/>
          <w:sz w:val="24"/>
          <w14:textFill>
            <w14:solidFill>
              <w14:schemeClr w14:val="tx1"/>
            </w14:solidFill>
          </w14:textFill>
        </w:rPr>
        <w:t>）蒸发量</w:t>
      </w:r>
    </w:p>
    <w:tbl>
      <w:tblPr>
        <w:tblStyle w:val="30"/>
        <w:tblW w:w="8988" w:type="dxa"/>
        <w:tblInd w:w="0" w:type="dxa"/>
        <w:tblLayout w:type="fixed"/>
        <w:tblCellMar>
          <w:top w:w="0" w:type="dxa"/>
          <w:left w:w="57" w:type="dxa"/>
          <w:bottom w:w="0" w:type="dxa"/>
          <w:right w:w="57" w:type="dxa"/>
        </w:tblCellMar>
      </w:tblPr>
      <w:tblGrid>
        <w:gridCol w:w="4452"/>
        <w:gridCol w:w="4536"/>
      </w:tblGrid>
      <w:tr>
        <w:tblPrEx>
          <w:tblLayout w:type="fixed"/>
          <w:tblCellMar>
            <w:top w:w="0" w:type="dxa"/>
            <w:left w:w="57" w:type="dxa"/>
            <w:bottom w:w="0" w:type="dxa"/>
            <w:right w:w="57" w:type="dxa"/>
          </w:tblCellMar>
        </w:tblPrEx>
        <w:tc>
          <w:tcPr>
            <w:tcW w:w="4452" w:type="dxa"/>
            <w:tcMar>
              <w:left w:w="57" w:type="dxa"/>
              <w:right w:w="57" w:type="dxa"/>
            </w:tcMa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年平均蒸发量</w:t>
            </w:r>
          </w:p>
        </w:tc>
        <w:tc>
          <w:tcPr>
            <w:tcW w:w="4536" w:type="dxa"/>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1655.2mm</w:t>
            </w:r>
          </w:p>
        </w:tc>
      </w:tr>
    </w:tbl>
    <w:p>
      <w:pPr>
        <w:autoSpaceDE w:val="0"/>
        <w:autoSpaceDN w:val="0"/>
        <w:spacing w:line="360" w:lineRule="auto"/>
        <w:ind w:firstLine="480" w:firstLineChars="200"/>
        <w:rPr>
          <w:bCs/>
          <w:color w:val="000000" w:themeColor="text1"/>
          <w:sz w:val="24"/>
          <w14:textFill>
            <w14:solidFill>
              <w14:schemeClr w14:val="tx1"/>
            </w14:solidFill>
          </w14:textFill>
        </w:rPr>
      </w:pPr>
      <w:r>
        <w:rPr>
          <w:color w:val="000000" w:themeColor="text1"/>
          <w:sz w:val="24"/>
          <w14:textFill>
            <w14:solidFill>
              <w14:schemeClr w14:val="tx1"/>
            </w14:solidFill>
          </w14:textFill>
        </w:rPr>
        <w:t>9</w:t>
      </w:r>
      <w:r>
        <w:rPr>
          <w:rFonts w:hAnsi="宋体"/>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地震</w:t>
      </w:r>
    </w:p>
    <w:tbl>
      <w:tblPr>
        <w:tblStyle w:val="30"/>
        <w:tblW w:w="8988" w:type="dxa"/>
        <w:tblInd w:w="0" w:type="dxa"/>
        <w:tblLayout w:type="fixed"/>
        <w:tblCellMar>
          <w:top w:w="0" w:type="dxa"/>
          <w:left w:w="57" w:type="dxa"/>
          <w:bottom w:w="0" w:type="dxa"/>
          <w:right w:w="57" w:type="dxa"/>
        </w:tblCellMar>
      </w:tblPr>
      <w:tblGrid>
        <w:gridCol w:w="4452"/>
        <w:gridCol w:w="4536"/>
      </w:tblGrid>
      <w:tr>
        <w:tblPrEx>
          <w:tblLayout w:type="fixed"/>
          <w:tblCellMar>
            <w:top w:w="0" w:type="dxa"/>
            <w:left w:w="57" w:type="dxa"/>
            <w:bottom w:w="0" w:type="dxa"/>
            <w:right w:w="57" w:type="dxa"/>
          </w:tblCellMar>
        </w:tblPrEx>
        <w:tc>
          <w:tcPr>
            <w:tcW w:w="4452" w:type="dxa"/>
            <w:tcMar>
              <w:left w:w="57" w:type="dxa"/>
              <w:right w:w="57" w:type="dxa"/>
            </w:tcMar>
            <w:vAlign w:val="cente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地震设防烈度</w:t>
            </w:r>
          </w:p>
        </w:tc>
        <w:tc>
          <w:tcPr>
            <w:tcW w:w="4536" w:type="dxa"/>
            <w:vAlign w:val="center"/>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7</w:t>
            </w:r>
            <w:r>
              <w:rPr>
                <w:rFonts w:hAnsi="宋体"/>
                <w:color w:val="000000" w:themeColor="text1"/>
                <w:sz w:val="24"/>
                <w14:textFill>
                  <w14:solidFill>
                    <w14:schemeClr w14:val="tx1"/>
                  </w14:solidFill>
                </w14:textFill>
              </w:rPr>
              <w:t>度</w:t>
            </w:r>
          </w:p>
        </w:tc>
      </w:tr>
      <w:tr>
        <w:tblPrEx>
          <w:tblLayout w:type="fixed"/>
          <w:tblCellMar>
            <w:top w:w="0" w:type="dxa"/>
            <w:left w:w="57" w:type="dxa"/>
            <w:bottom w:w="0" w:type="dxa"/>
            <w:right w:w="57" w:type="dxa"/>
          </w:tblCellMar>
        </w:tblPrEx>
        <w:tc>
          <w:tcPr>
            <w:tcW w:w="4452" w:type="dxa"/>
            <w:tcMar>
              <w:left w:w="57" w:type="dxa"/>
              <w:right w:w="57" w:type="dxa"/>
            </w:tcMar>
            <w:vAlign w:val="cente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地震基本加速度</w:t>
            </w:r>
          </w:p>
        </w:tc>
        <w:tc>
          <w:tcPr>
            <w:tcW w:w="4536" w:type="dxa"/>
            <w:vAlign w:val="center"/>
          </w:tcPr>
          <w:p>
            <w:pPr>
              <w:autoSpaceDE w:val="0"/>
              <w:autoSpaceDN w:val="0"/>
              <w:spacing w:line="360" w:lineRule="auto"/>
              <w:ind w:firstLine="200"/>
              <w:rPr>
                <w:color w:val="000000" w:themeColor="text1"/>
                <w:sz w:val="24"/>
                <w14:textFill>
                  <w14:solidFill>
                    <w14:schemeClr w14:val="tx1"/>
                  </w14:solidFill>
                </w14:textFill>
              </w:rPr>
            </w:pPr>
            <w:r>
              <w:rPr>
                <w:color w:val="000000" w:themeColor="text1"/>
                <w:sz w:val="24"/>
                <w14:textFill>
                  <w14:solidFill>
                    <w14:schemeClr w14:val="tx1"/>
                  </w14:solidFill>
                </w14:textFill>
              </w:rPr>
              <w:t>0.15g</w:t>
            </w:r>
          </w:p>
        </w:tc>
      </w:tr>
    </w:tbl>
    <w:p>
      <w:pPr>
        <w:autoSpaceDE w:val="0"/>
        <w:autoSpaceDN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10</w:t>
      </w:r>
      <w:r>
        <w:rPr>
          <w:rFonts w:hAnsi="宋体"/>
          <w:color w:val="000000" w:themeColor="text1"/>
          <w:sz w:val="24"/>
          <w14:textFill>
            <w14:solidFill>
              <w14:schemeClr w14:val="tx1"/>
            </w14:solidFill>
          </w14:textFill>
        </w:rPr>
        <w:t>）暴雨强度公式：</w:t>
      </w:r>
    </w:p>
    <w:tbl>
      <w:tblPr>
        <w:tblStyle w:val="30"/>
        <w:tblW w:w="8427" w:type="dxa"/>
        <w:tblInd w:w="0" w:type="dxa"/>
        <w:tblLayout w:type="fixed"/>
        <w:tblCellMar>
          <w:top w:w="0" w:type="dxa"/>
          <w:left w:w="57" w:type="dxa"/>
          <w:bottom w:w="0" w:type="dxa"/>
          <w:right w:w="57" w:type="dxa"/>
        </w:tblCellMar>
      </w:tblPr>
      <w:tblGrid>
        <w:gridCol w:w="4213"/>
        <w:gridCol w:w="4214"/>
      </w:tblGrid>
      <w:tr>
        <w:tblPrEx>
          <w:tblLayout w:type="fixed"/>
          <w:tblCellMar>
            <w:top w:w="0" w:type="dxa"/>
            <w:left w:w="57" w:type="dxa"/>
            <w:bottom w:w="0" w:type="dxa"/>
            <w:right w:w="57" w:type="dxa"/>
          </w:tblCellMar>
        </w:tblPrEx>
        <w:tc>
          <w:tcPr>
            <w:tcW w:w="8427" w:type="dxa"/>
            <w:gridSpan w:val="2"/>
            <w:tcMar>
              <w:left w:w="57" w:type="dxa"/>
              <w:right w:w="57" w:type="dxa"/>
            </w:tcMar>
          </w:tcPr>
          <w:p>
            <w:pPr>
              <w:autoSpaceDE w:val="0"/>
              <w:autoSpaceDN w:val="0"/>
              <w:spacing w:line="360" w:lineRule="auto"/>
              <w:ind w:firstLine="20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q = 2003.515×(1 + 0.568lgTe)/ (t + 6.187) </w:t>
            </w:r>
            <w:r>
              <w:rPr>
                <w:color w:val="000000" w:themeColor="text1"/>
                <w:sz w:val="24"/>
                <w:vertAlign w:val="superscript"/>
                <w14:textFill>
                  <w14:solidFill>
                    <w14:schemeClr w14:val="tx1"/>
                  </w14:solidFill>
                </w14:textFill>
              </w:rPr>
              <w:t>0.659</w:t>
            </w:r>
            <w:r>
              <w:rPr>
                <w:color w:val="000000" w:themeColor="text1"/>
                <w:sz w:val="24"/>
                <w14:textFill>
                  <w14:solidFill>
                    <w14:schemeClr w14:val="tx1"/>
                  </w14:solidFill>
                </w14:textFill>
              </w:rPr>
              <w:t>(L/S·ha)</w:t>
            </w:r>
          </w:p>
        </w:tc>
      </w:tr>
      <w:tr>
        <w:tblPrEx>
          <w:tblLayout w:type="fixed"/>
          <w:tblCellMar>
            <w:top w:w="0" w:type="dxa"/>
            <w:left w:w="57" w:type="dxa"/>
            <w:bottom w:w="0" w:type="dxa"/>
            <w:right w:w="57" w:type="dxa"/>
          </w:tblCellMar>
        </w:tblPrEx>
        <w:tc>
          <w:tcPr>
            <w:tcW w:w="4213" w:type="dxa"/>
            <w:tcMar>
              <w:left w:w="57" w:type="dxa"/>
              <w:right w:w="57" w:type="dxa"/>
            </w:tcMar>
          </w:tcPr>
          <w:p>
            <w:pPr>
              <w:autoSpaceDE w:val="0"/>
              <w:autoSpaceDN w:val="0"/>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其中：</w:t>
            </w:r>
            <w:r>
              <w:rPr>
                <w:color w:val="000000" w:themeColor="text1"/>
                <w:sz w:val="24"/>
                <w14:textFill>
                  <w14:solidFill>
                    <w14:schemeClr w14:val="tx1"/>
                  </w14:solidFill>
                </w14:textFill>
              </w:rPr>
              <w:t>Te-</w:t>
            </w:r>
            <w:r>
              <w:rPr>
                <w:rFonts w:hAnsi="宋体"/>
                <w:color w:val="000000" w:themeColor="text1"/>
                <w:sz w:val="24"/>
                <w14:textFill>
                  <w14:solidFill>
                    <w14:schemeClr w14:val="tx1"/>
                  </w14:solidFill>
                </w14:textFill>
              </w:rPr>
              <w:t>设计重现期</w:t>
            </w:r>
            <w:r>
              <w:rPr>
                <w:color w:val="000000" w:themeColor="text1"/>
                <w:sz w:val="24"/>
                <w14:textFill>
                  <w14:solidFill>
                    <w14:schemeClr w14:val="tx1"/>
                  </w14:solidFill>
                </w14:textFill>
              </w:rPr>
              <w:t>(a)</w:t>
            </w:r>
          </w:p>
        </w:tc>
        <w:tc>
          <w:tcPr>
            <w:tcW w:w="4214" w:type="dxa"/>
          </w:tcPr>
          <w:p>
            <w:pPr>
              <w:autoSpaceDE w:val="0"/>
              <w:autoSpaceDN w:val="0"/>
              <w:spacing w:line="360" w:lineRule="auto"/>
              <w:ind w:firstLine="480" w:firstLineChars="200"/>
              <w:rPr>
                <w:color w:val="000000" w:themeColor="text1"/>
                <w:sz w:val="24"/>
                <w14:textFill>
                  <w14:solidFill>
                    <w14:schemeClr w14:val="tx1"/>
                  </w14:solidFill>
                </w14:textFill>
              </w:rPr>
            </w:pPr>
          </w:p>
        </w:tc>
      </w:tr>
    </w:tbl>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 皮带机概述</w:t>
      </w:r>
    </w:p>
    <w:p>
      <w:pPr>
        <w:autoSpaceDE w:val="0"/>
        <w:autoSpaceDN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腾龙芳烃热电厂运煤系统包括汽车来煤采样、计量、汽车卸煤、上煤、筛碎及厂内运煤、辅助设施等系统</w:t>
      </w:r>
      <w:r>
        <w:rPr>
          <w:rFonts w:hint="eastAsia" w:hAnsi="宋体"/>
          <w:color w:val="000000" w:themeColor="text1"/>
          <w:sz w:val="24"/>
          <w14:textFill>
            <w14:solidFill>
              <w14:schemeClr w14:val="tx1"/>
            </w14:solidFill>
          </w14:textFill>
        </w:rPr>
        <w:t>。卸煤系统包括</w:t>
      </w:r>
      <w:r>
        <w:rPr>
          <w:rFonts w:hAnsi="宋体"/>
          <w:color w:val="000000" w:themeColor="text1"/>
          <w:sz w:val="24"/>
          <w14:textFill>
            <w14:solidFill>
              <w14:schemeClr w14:val="tx1"/>
            </w14:solidFill>
          </w14:textFill>
        </w:rPr>
        <w:t>从运煤汽车进厂计量起到煤场汽车卸煤坑再到输煤入120m</w:t>
      </w:r>
      <w:r>
        <w:rPr>
          <w:rFonts w:hint="eastAsia" w:hAnsi="宋体"/>
          <w:color w:val="000000" w:themeColor="text1"/>
          <w:sz w:val="24"/>
          <w14:textFill>
            <w14:solidFill>
              <w14:schemeClr w14:val="tx1"/>
            </w14:solidFill>
          </w14:textFill>
        </w:rPr>
        <w:t>圆形煤场</w:t>
      </w:r>
      <w:r>
        <w:rPr>
          <w:rFonts w:hAnsi="宋体"/>
          <w:color w:val="000000" w:themeColor="text1"/>
          <w:sz w:val="24"/>
          <w14:textFill>
            <w14:solidFill>
              <w14:schemeClr w14:val="tx1"/>
            </w14:solidFill>
          </w14:textFill>
        </w:rPr>
        <w:t>止的输煤工程项目，包括汽车衡及操作室、卸煤区场地、汽车卸煤沟及输煤入仓设施等。</w:t>
      </w:r>
      <w:r>
        <w:rPr>
          <w:rFonts w:hint="eastAsia" w:hAnsi="宋体"/>
          <w:color w:val="000000" w:themeColor="text1"/>
          <w:sz w:val="24"/>
          <w14:textFill>
            <w14:solidFill>
              <w14:schemeClr w14:val="tx1"/>
            </w14:solidFill>
          </w14:textFill>
        </w:rPr>
        <w:t>上煤系统包括</w:t>
      </w:r>
      <w:r>
        <w:rPr>
          <w:rFonts w:hAnsi="宋体"/>
          <w:color w:val="000000" w:themeColor="text1"/>
          <w:sz w:val="24"/>
          <w14:textFill>
            <w14:solidFill>
              <w14:schemeClr w14:val="tx1"/>
            </w14:solidFill>
          </w14:textFill>
        </w:rPr>
        <w:t>从120m</w:t>
      </w:r>
      <w:r>
        <w:rPr>
          <w:rFonts w:hint="eastAsia" w:hAnsi="宋体"/>
          <w:color w:val="000000" w:themeColor="text1"/>
          <w:sz w:val="24"/>
          <w14:textFill>
            <w14:solidFill>
              <w14:schemeClr w14:val="tx1"/>
            </w14:solidFill>
          </w14:textFill>
        </w:rPr>
        <w:t>圆形煤场</w:t>
      </w:r>
      <w:r>
        <w:rPr>
          <w:rFonts w:hAnsi="宋体"/>
          <w:color w:val="000000" w:themeColor="text1"/>
          <w:sz w:val="24"/>
          <w14:textFill>
            <w14:solidFill>
              <w14:schemeClr w14:val="tx1"/>
            </w14:solidFill>
          </w14:textFill>
        </w:rPr>
        <w:t>将原煤输送到炉前原煤斗的整个工艺系统，包括除铁、破碎、输送及计量、取样等整个输煤工艺系统。</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2.6设备使用条件</w:t>
      </w:r>
    </w:p>
    <w:p>
      <w:pPr>
        <w:autoSpaceDE w:val="0"/>
        <w:autoSpaceDN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2.6.1 设备布置位置：各栈桥、煤场、汽车卸煤沟、主厂房煤仓层等。</w:t>
      </w:r>
    </w:p>
    <w:p>
      <w:pPr>
        <w:autoSpaceDE w:val="0"/>
        <w:autoSpaceDN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2.6.2 设备布置环境：煤场为封闭煤场，栈桥为封闭式。</w:t>
      </w:r>
    </w:p>
    <w:p>
      <w:pPr>
        <w:autoSpaceDE w:val="0"/>
        <w:autoSpaceDN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2.6.3 输煤系统采用程序控制，上煤系统日运行小时数约为15小时。三班制，每班5小时。</w:t>
      </w:r>
    </w:p>
    <w:p>
      <w:pPr>
        <w:autoSpaceDE w:val="0"/>
        <w:autoSpaceDN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带式输送机规格：</w:t>
      </w:r>
    </w:p>
    <w:p>
      <w:pPr>
        <w:autoSpaceDE w:val="0"/>
        <w:autoSpaceDN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型号：</w:t>
      </w:r>
      <w:r>
        <w:rPr>
          <w:rFonts w:hint="eastAsia" w:hAnsi="宋体"/>
          <w:color w:val="000000" w:themeColor="text1"/>
          <w:sz w:val="24"/>
          <w14:textFill>
            <w14:solidFill>
              <w14:schemeClr w14:val="tx1"/>
            </w14:solidFill>
          </w14:textFill>
        </w:rPr>
        <w:tab/>
      </w:r>
      <w:r>
        <w:rPr>
          <w:rFonts w:hint="eastAsia" w:hAnsi="宋体"/>
          <w:color w:val="000000" w:themeColor="text1"/>
          <w:sz w:val="24"/>
          <w14:textFill>
            <w14:solidFill>
              <w14:schemeClr w14:val="tx1"/>
            </w14:solidFill>
          </w14:textFill>
        </w:rPr>
        <w:tab/>
      </w:r>
      <w:r>
        <w:rPr>
          <w:rFonts w:hint="eastAsia" w:hAnsi="宋体"/>
          <w:color w:val="000000" w:themeColor="text1"/>
          <w:sz w:val="24"/>
          <w14:textFill>
            <w14:solidFill>
              <w14:schemeClr w14:val="tx1"/>
            </w14:solidFill>
          </w14:textFill>
        </w:rPr>
        <w:t>DTⅡ型</w:t>
      </w:r>
    </w:p>
    <w:p>
      <w:pPr>
        <w:autoSpaceDE w:val="0"/>
        <w:autoSpaceDN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带宽 </w:t>
      </w:r>
      <w:r>
        <w:rPr>
          <w:rFonts w:hint="eastAsia" w:hAnsi="宋体"/>
          <w:color w:val="000000" w:themeColor="text1"/>
          <w:sz w:val="24"/>
          <w14:textFill>
            <w14:solidFill>
              <w14:schemeClr w14:val="tx1"/>
            </w14:solidFill>
          </w14:textFill>
        </w:rPr>
        <w:tab/>
      </w:r>
      <w:r>
        <w:rPr>
          <w:rFonts w:hint="eastAsia" w:hAnsi="宋体"/>
          <w:color w:val="000000" w:themeColor="text1"/>
          <w:sz w:val="24"/>
          <w14:textFill>
            <w14:solidFill>
              <w14:schemeClr w14:val="tx1"/>
            </w14:solidFill>
          </w14:textFill>
        </w:rPr>
        <w:tab/>
      </w:r>
      <w:r>
        <w:rPr>
          <w:rFonts w:hint="eastAsia" w:hAnsi="宋体"/>
          <w:color w:val="000000" w:themeColor="text1"/>
          <w:sz w:val="24"/>
          <w14:textFill>
            <w14:solidFill>
              <w14:schemeClr w14:val="tx1"/>
            </w14:solidFill>
          </w14:textFill>
        </w:rPr>
        <w:t>B=1000mm/1200mm/1400mm</w:t>
      </w:r>
    </w:p>
    <w:p>
      <w:pPr>
        <w:autoSpaceDE w:val="0"/>
        <w:autoSpaceDN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带速 </w:t>
      </w:r>
      <w:r>
        <w:rPr>
          <w:rFonts w:hint="eastAsia" w:hAnsi="宋体"/>
          <w:color w:val="000000" w:themeColor="text1"/>
          <w:sz w:val="24"/>
          <w14:textFill>
            <w14:solidFill>
              <w14:schemeClr w14:val="tx1"/>
            </w14:solidFill>
          </w14:textFill>
        </w:rPr>
        <w:tab/>
      </w:r>
      <w:r>
        <w:rPr>
          <w:rFonts w:hint="eastAsia" w:hAnsi="宋体"/>
          <w:color w:val="000000" w:themeColor="text1"/>
          <w:sz w:val="24"/>
          <w14:textFill>
            <w14:solidFill>
              <w14:schemeClr w14:val="tx1"/>
            </w14:solidFill>
          </w14:textFill>
        </w:rPr>
        <w:tab/>
      </w:r>
      <w:r>
        <w:rPr>
          <w:rFonts w:hint="eastAsia" w:hAnsi="宋体"/>
          <w:color w:val="000000" w:themeColor="text1"/>
          <w:sz w:val="24"/>
          <w14:textFill>
            <w14:solidFill>
              <w14:schemeClr w14:val="tx1"/>
            </w14:solidFill>
          </w14:textFill>
        </w:rPr>
        <w:t>V=2.5m/s</w:t>
      </w:r>
    </w:p>
    <w:p>
      <w:pPr>
        <w:autoSpaceDE w:val="0"/>
        <w:autoSpaceDN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额定出力 </w:t>
      </w:r>
      <w:r>
        <w:rPr>
          <w:rFonts w:hint="eastAsia" w:hAnsi="宋体"/>
          <w:color w:val="000000" w:themeColor="text1"/>
          <w:sz w:val="24"/>
          <w14:textFill>
            <w14:solidFill>
              <w14:schemeClr w14:val="tx1"/>
            </w14:solidFill>
          </w14:textFill>
        </w:rPr>
        <w:tab/>
      </w:r>
      <w:r>
        <w:rPr>
          <w:rFonts w:hint="eastAsia" w:hAnsi="宋体"/>
          <w:color w:val="000000" w:themeColor="text1"/>
          <w:sz w:val="24"/>
          <w14:textFill>
            <w14:solidFill>
              <w14:schemeClr w14:val="tx1"/>
            </w14:solidFill>
          </w14:textFill>
        </w:rPr>
        <w:t>Q=600t/h/1000 t/h</w:t>
      </w:r>
    </w:p>
    <w:p>
      <w:pPr>
        <w:keepNext/>
        <w:tabs>
          <w:tab w:val="left" w:pos="600"/>
        </w:tabs>
        <w:adjustRightInd w:val="0"/>
        <w:spacing w:line="360" w:lineRule="auto"/>
        <w:textAlignment w:val="baseline"/>
        <w:outlineLvl w:val="2"/>
        <w:rPr>
          <w:rFonts w:ascii="宋体"/>
          <w:b/>
          <w:spacing w:val="-20"/>
          <w:kern w:val="0"/>
          <w:szCs w:val="21"/>
        </w:rPr>
      </w:pPr>
      <w:r>
        <w:rPr>
          <w:rFonts w:hint="eastAsia" w:ascii="宋体" w:hAnsi="宋体" w:cs="宋体"/>
          <w:b/>
          <w:color w:val="000000" w:themeColor="text1"/>
          <w:sz w:val="24"/>
          <w14:textFill>
            <w14:solidFill>
              <w14:schemeClr w14:val="tx1"/>
            </w14:solidFill>
          </w14:textFill>
        </w:rPr>
        <w:t>3．标准和规范</w:t>
      </w:r>
    </w:p>
    <w:p>
      <w:pPr>
        <w:adjustRightInd w:val="0"/>
        <w:spacing w:line="480" w:lineRule="exact"/>
        <w:ind w:firstLine="480" w:firstLineChars="200"/>
        <w:jc w:val="left"/>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输煤橡胶输送带设备的设计、制造、安装、验收应以中国国家标准（</w:t>
      </w:r>
      <w:r>
        <w:rPr>
          <w:color w:val="000000" w:themeColor="text1"/>
          <w:sz w:val="24"/>
          <w14:textFill>
            <w14:solidFill>
              <w14:schemeClr w14:val="tx1"/>
            </w14:solidFill>
          </w14:textFill>
        </w:rPr>
        <w:t>GB</w:t>
      </w:r>
      <w:r>
        <w:rPr>
          <w:rFonts w:hint="eastAsia"/>
          <w:color w:val="000000" w:themeColor="text1"/>
          <w:sz w:val="24"/>
          <w14:textFill>
            <w14:solidFill>
              <w14:schemeClr w14:val="tx1"/>
            </w14:solidFill>
          </w14:textFill>
        </w:rPr>
        <w:t>）为基础，并参考下列规范和标准：</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GB50660-2011     大中型火力发电厂设计规范</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DL/T 5187.1-2016  火力发电厂运煤设计技术规程 第1部分:运煤系统</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DL/T 5187.2-2004  火力发电厂运煤设计技术规程 第2部分:煤尘防治</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GB/T4490-2009    织物芯输送带 宽度和长度</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GB/T7984-2001   </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输送带具有橡胶或塑料覆盖层的普通用途织物芯输送带</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GB/T9770-2001    普通用途钢丝绳芯输送带</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GB/T10822-1989   一般用途难燃输送带</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GB/T10822-2003   一般用途织物芯阻燃输送带</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GB/T3684-2006    输送带 导电性 规范和实验方法</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GB/T3685-2009    输送带 实验室规模的燃烧特性 要求和实验方法</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GB/T3690-2009    织物芯输送带 全厚度拉伸强度、拉伸伸长率 试验方法</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GB/T7983-2005    输送带 横向柔性和成槽性试验方法</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GB/T7985-2005    输送带 横织物芯输送带抗撕裂扩大性实验方法</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GB/T4490-2009    织物芯输送带 宽度和长度</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GB7984-87        橡胶输送带物理机械技术性能标准</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GB</w:t>
      </w:r>
      <w:r>
        <w:rPr>
          <w:rFonts w:hint="eastAsia"/>
          <w:color w:val="000000" w:themeColor="text1"/>
          <w:sz w:val="24"/>
          <w14:textFill>
            <w14:solidFill>
              <w14:schemeClr w14:val="tx1"/>
            </w14:solidFill>
          </w14:textFill>
        </w:rPr>
        <w:t>4490－84</w:t>
      </w:r>
      <w:r>
        <w:rPr>
          <w:color w:val="000000" w:themeColor="text1"/>
          <w:sz w:val="24"/>
          <w14:textFill>
            <w14:solidFill>
              <w14:schemeClr w14:val="tx1"/>
            </w14:solidFill>
          </w14:textFill>
        </w:rPr>
        <w:tab/>
      </w:r>
      <w:r>
        <w:rPr>
          <w:rFonts w:hint="eastAsia"/>
          <w:color w:val="000000" w:themeColor="text1"/>
          <w:sz w:val="24"/>
          <w14:textFill>
            <w14:solidFill>
              <w14:schemeClr w14:val="tx1"/>
            </w14:solidFill>
          </w14:textFill>
        </w:rPr>
        <w:t xml:space="preserve">   运输带尺寸</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GB526－89        织物芯输送带外观质量规定</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GB</w:t>
      </w:r>
      <w:r>
        <w:rPr>
          <w:rFonts w:hint="eastAsia"/>
          <w:color w:val="000000" w:themeColor="text1"/>
          <w:sz w:val="24"/>
          <w14:textFill>
            <w14:solidFill>
              <w14:schemeClr w14:val="tx1"/>
            </w14:solidFill>
          </w14:textFill>
        </w:rPr>
        <w:t>6758-86</w:t>
      </w:r>
      <w:r>
        <w:rPr>
          <w:color w:val="000000" w:themeColor="text1"/>
          <w:sz w:val="24"/>
          <w14:textFill>
            <w14:solidFill>
              <w14:schemeClr w14:val="tx1"/>
            </w14:solidFill>
          </w14:textFill>
        </w:rPr>
        <w:tab/>
      </w:r>
      <w:r>
        <w:rPr>
          <w:rFonts w:hint="eastAsia"/>
          <w:color w:val="000000" w:themeColor="text1"/>
          <w:sz w:val="24"/>
          <w14:textFill>
            <w14:solidFill>
              <w14:schemeClr w14:val="tx1"/>
            </w14:solidFill>
          </w14:textFill>
        </w:rPr>
        <w:t xml:space="preserve">   帆布芯输送带布层接头规定</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GB526-89         运输胶带和传动胶带外观质量标准</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GB3685-83</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运输带耐燃性试验方法</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GB528-82</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硫化橡胶拉伸性能的测定</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GB1689-82</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硫化橡胶耐磨耗性能的测定（用阿克隆磨耗机）</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GB3690-83</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平型胶带拉伸性能试验方法</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GB7985-87</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输送带带芯抗撕裂性能试验方法</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GB6759-86        输送带的层间粘合强度试验方法</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GB3512-83        橡胶热空气老化试验方法</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GB/T13489-92     橡胶涂覆织物燃烧性能测定</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GB5752-86        输送带标志</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GB5756-86        输送带和传送带术语</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GB6757-86        输送带贮存和搬运通则</w:t>
      </w:r>
    </w:p>
    <w:p>
      <w:pPr>
        <w:widowControl/>
        <w:tabs>
          <w:tab w:val="left" w:pos="567"/>
        </w:tabs>
        <w:overflowPunct w:val="0"/>
        <w:autoSpaceDE w:val="0"/>
        <w:autoSpaceDN w:val="0"/>
        <w:adjustRightInd w:val="0"/>
        <w:snapToGrid w:val="0"/>
        <w:spacing w:beforeLines="50"/>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其它未注标准按国标、部标或行业标准制造验收。</w:t>
      </w:r>
    </w:p>
    <w:p>
      <w:pPr>
        <w:keepNext/>
        <w:tabs>
          <w:tab w:val="left" w:pos="600"/>
        </w:tabs>
        <w:adjustRightInd w:val="0"/>
        <w:spacing w:line="360" w:lineRule="auto"/>
        <w:textAlignment w:val="baseline"/>
        <w:outlineLvl w:val="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4.技术要求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投标方应提供性能可靠，技术先进的产品，并能满足人身安全和劳动保护条件。</w:t>
      </w:r>
    </w:p>
    <w:p>
      <w:pPr>
        <w:spacing w:line="360" w:lineRule="auto"/>
        <w:ind w:firstLine="480" w:firstLineChars="200"/>
        <w:rPr>
          <w:rFonts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 xml:space="preserve">4.2 </w:t>
      </w:r>
      <w:r>
        <w:rPr>
          <w:rFonts w:hint="eastAsia" w:ascii="宋体" w:hAnsi="宋体" w:cs="宋体"/>
          <w:b w:val="0"/>
          <w:bCs w:val="0"/>
          <w:color w:val="auto"/>
          <w:sz w:val="24"/>
          <w:highlight w:val="none"/>
        </w:rPr>
        <w:t>橡胶输送带应正确设计和制造，在带式输送机正常、持续运行的工况下，橡胶输送带不应有过度的应力、振动、磨损、老化等问题，招标方欢迎投标方提供优于本技术条件书要求的先进、成熟、可靠的产品。招标方不接受带有试制性质的产品，如果采用带有试制性质的技术，必须征得招标方的同意。</w:t>
      </w:r>
    </w:p>
    <w:p>
      <w:pPr>
        <w:spacing w:line="360" w:lineRule="auto"/>
        <w:ind w:firstLine="480" w:firstLineChars="200"/>
        <w:rPr>
          <w:rFonts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4.3 所有原材料必须选用优质、先进的产品，并有生产许可证及产品检验合格证，严禁采用国家公布的淘汰产品。投标方并应对外购原材料进行检验，并对其质量负责。</w:t>
      </w:r>
    </w:p>
    <w:p>
      <w:pPr>
        <w:spacing w:line="360" w:lineRule="auto"/>
        <w:ind w:firstLine="480" w:firstLineChars="200"/>
        <w:rPr>
          <w:rFonts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4.4 橡胶输送带应能满足所运输物料的特性，并应有足够的强度和使用寿命。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4.5</w:t>
      </w:r>
      <w:r>
        <w:rPr>
          <w:rFonts w:hint="eastAsia" w:ascii="宋体" w:hAnsi="宋体" w:cs="宋体"/>
          <w:b w:val="0"/>
          <w:bCs w:val="0"/>
          <w:color w:val="000000" w:themeColor="text1"/>
          <w:sz w:val="24"/>
          <w:highlight w:val="none"/>
          <w14:textFill>
            <w14:solidFill>
              <w14:schemeClr w14:val="tx1"/>
            </w14:solidFill>
          </w14:textFill>
        </w:rPr>
        <w:t>输送带应具有足够的横向柔性（成槽性）以与槽型托辊的形状相一致，且无论在受载或空载条件下都能接触中间辊子，且表面有良好的光洁度，不出现凸凹不平现象，胶带的侧边平直，无波浪，无毛刺。</w:t>
      </w:r>
      <w:r>
        <w:rPr>
          <w:rFonts w:hint="eastAsia" w:ascii="宋体" w:hAnsi="宋体" w:cs="宋体"/>
          <w:color w:val="000000" w:themeColor="text1"/>
          <w:sz w:val="24"/>
          <w14:textFill>
            <w14:solidFill>
              <w14:schemeClr w14:val="tx1"/>
            </w14:solidFill>
          </w14:textFill>
        </w:rPr>
        <w:t>带式输送机均采用35°或30°槽角上托辊，输送带应有良好的成槽性能，满足成槽度要求。输送带采用连续硫化工艺制作，各层帆布张力均匀，附着力高，伸长率小。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4.6 橡胶输送带采用电热蒸汽硫化接头，接头强度应满足规范要求。成卷带在铺开后需应平直，带的表面及边部不得有鼓包或其它表面缺陷。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4.7所有橡胶输送带为阻（难）燃型胶带，难燃时间为60S。覆盖层磨耗量不大于120mm3，胶带直线度：7m长度内不大于25mm。</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4.8所有EP聚酯带的带芯必须用整幅布，不许采用拼幅布芯。聚酯帆布芯输送带（EP带）的延伸率应不超过1.5</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EP200型输送带每层纵向拉伸强度不小于200N/mm，EP300型输送带每层纵向拉伸强度不小于300N/mm，其粘合强度必须符合国家标准，且须附带出厂试验：各布层间纵向试样平均值大于4.5N/mm，覆盖胶强力≥15MPa。用聚脂橡胶输送带的上覆盖胶厚度不得小于4.5 mm，下覆盖胶厚度不得小于1.5mm。具体各条胶带参数要求见供货范围附表。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4.9 EP带织物芯应均匀、牢固、无打结、瘤结及捻度不均等现象。边胶宽度不得大于15mm，且要均匀，避免露出带芯。骨架材料采用定幅宽布（不允许拼幅），整幅一次性延压生产，整体织物芯带芯体不准有横向或纵向接头,以保证输送带的各项性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4.10 EP带带芯应由覆盖层完全封闭，防止受潮变质。最小上胶厚度为4.5</w:t>
      </w:r>
      <w:r>
        <w:rPr>
          <w:rFonts w:ascii="宋体" w:hAnsi="宋体" w:cs="宋体"/>
          <w:color w:val="000000" w:themeColor="text1"/>
          <w:sz w:val="24"/>
          <w14:textFill>
            <w14:solidFill>
              <w14:schemeClr w14:val="tx1"/>
            </w14:solidFill>
          </w14:textFill>
        </w:rPr>
        <w:t>mm</w:t>
      </w:r>
      <w:r>
        <w:rPr>
          <w:rFonts w:hint="eastAsia" w:ascii="宋体" w:hAnsi="宋体" w:cs="宋体"/>
          <w:color w:val="000000" w:themeColor="text1"/>
          <w:sz w:val="24"/>
          <w14:textFill>
            <w14:solidFill>
              <w14:schemeClr w14:val="tx1"/>
            </w14:solidFill>
          </w14:textFill>
        </w:rPr>
        <w:t>，最小下胶厚度为1.5</w:t>
      </w:r>
      <w:r>
        <w:rPr>
          <w:rFonts w:ascii="宋体" w:hAnsi="宋体" w:cs="宋体"/>
          <w:color w:val="000000" w:themeColor="text1"/>
          <w:sz w:val="24"/>
          <w14:textFill>
            <w14:solidFill>
              <w14:schemeClr w14:val="tx1"/>
            </w14:solidFill>
          </w14:textFill>
        </w:rPr>
        <w:t>mm</w:t>
      </w:r>
      <w:r>
        <w:rPr>
          <w:rFonts w:hint="eastAsia" w:ascii="宋体" w:hAnsi="宋体" w:cs="宋体"/>
          <w:color w:val="000000" w:themeColor="text1"/>
          <w:sz w:val="24"/>
          <w14:textFill>
            <w14:solidFill>
              <w14:schemeClr w14:val="tx1"/>
            </w14:solidFill>
          </w14:textFill>
        </w:rPr>
        <w:t>。拉伸强度≥15MPa，扯断伸长率≥350％，磨耗量≤200mm3。覆盖层的物理性能应符合GB/T7984-2013要求。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4.11橡胶输送带应严格按所需的长度分卷供货，其分卷应标注所对应的编号、胶带规格、长度及总重。安装时若出现胶带长度短缺，由投标方承担一切后果。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4.12聚酯帆布胶带的10％参考力伸长率不得大于1.5％。如果运行一年内橡胶输送带的延伸超过该标准,至使橡胶输送带不能有效地运行,投标方承担橡胶输送带重新硫化胶接的费用,使其能够重新使用。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4.13成品胶带的带芯各层不存在不均匀张力。橡胶输送带每卷的长度误差不大于0.5%。</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4.14根据本工程煤质情况，要求所提供的所有橡胶输送带均为阻燃型。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4.15橡胶输送带的非工作面均印有耐磨、醒目、不易脱落的橡胶输送带品牌商标，数量为每15米不少于一个。</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4.16 胶带线修补机</w:t>
      </w:r>
    </w:p>
    <w:p>
      <w:pPr>
        <w:adjustRightInd w:val="0"/>
        <w:spacing w:line="360" w:lineRule="auto"/>
        <w:ind w:left="440" w:leftChars="20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加热方式：电热式，电压V=380伏</w:t>
      </w:r>
    </w:p>
    <w:p>
      <w:pPr>
        <w:adjustRightInd w:val="0"/>
        <w:spacing w:line="360" w:lineRule="auto"/>
        <w:ind w:left="440" w:leftChars="20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硫化温度：145±5℃</w:t>
      </w:r>
    </w:p>
    <w:p>
      <w:pPr>
        <w:adjustRightInd w:val="0"/>
        <w:spacing w:line="360" w:lineRule="auto"/>
        <w:ind w:left="440" w:leftChars="20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硫化压力：0.8MPa-1.4 MPa</w:t>
      </w:r>
    </w:p>
    <w:p>
      <w:pPr>
        <w:adjustRightInd w:val="0"/>
        <w:spacing w:line="360" w:lineRule="auto"/>
        <w:ind w:left="440" w:leftChars="20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加热板尺寸： 400×1000 mm </w:t>
      </w:r>
    </w:p>
    <w:p>
      <w:pPr>
        <w:adjustRightInd w:val="0"/>
        <w:spacing w:line="360" w:lineRule="auto"/>
        <w:ind w:left="440" w:leftChars="20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胶带线修补机的主要机件（部件）采用高强度铝合金材料制造。</w:t>
      </w:r>
    </w:p>
    <w:p>
      <w:pPr>
        <w:adjustRightInd w:val="0"/>
        <w:spacing w:line="360" w:lineRule="auto"/>
        <w:ind w:left="440" w:leftChars="20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胶带线修补机品牌采用德国蒂普拓普、德国威固、法国德普。</w:t>
      </w:r>
    </w:p>
    <w:p>
      <w:pPr>
        <w:keepNext/>
        <w:tabs>
          <w:tab w:val="left" w:pos="600"/>
        </w:tabs>
        <w:adjustRightInd w:val="0"/>
        <w:spacing w:line="360" w:lineRule="auto"/>
        <w:textAlignment w:val="baseline"/>
        <w:outlineLvl w:val="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5.供货范围</w:t>
      </w:r>
    </w:p>
    <w:p>
      <w:pPr>
        <w:spacing w:line="360" w:lineRule="auto"/>
        <w:ind w:firstLine="480" w:firstLineChars="200"/>
        <w:rPr>
          <w:rFonts w:ascii="宋体" w:hAnsi="宋体" w:cs="宋体"/>
          <w:color w:val="000000" w:themeColor="text1"/>
          <w:sz w:val="24"/>
          <w14:textFill>
            <w14:solidFill>
              <w14:schemeClr w14:val="tx1"/>
            </w14:solidFill>
          </w14:textFill>
        </w:rPr>
      </w:pPr>
      <w:bookmarkStart w:id="11" w:name="_Toc278967141"/>
      <w:bookmarkStart w:id="12" w:name="_Toc278957761"/>
      <w:bookmarkStart w:id="13" w:name="_Toc278897542"/>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1输煤橡胶输送带规格及数量</w:t>
      </w:r>
    </w:p>
    <w:tbl>
      <w:tblPr>
        <w:tblStyle w:val="30"/>
        <w:tblW w:w="76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25"/>
        <w:gridCol w:w="443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rPr>
            </w:pPr>
            <w:r>
              <w:rPr>
                <w:rFonts w:hint="eastAsia" w:ascii="宋体" w:hAnsi="宋体"/>
                <w:b/>
              </w:rPr>
              <w:t>序号</w:t>
            </w: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rPr>
            </w:pPr>
            <w:r>
              <w:rPr>
                <w:rFonts w:hint="eastAsia" w:ascii="宋体" w:hAnsi="宋体"/>
                <w:b/>
              </w:rPr>
              <w:t>名称</w:t>
            </w:r>
          </w:p>
        </w:tc>
        <w:tc>
          <w:tcPr>
            <w:tcW w:w="4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rPr>
            </w:pPr>
            <w:r>
              <w:rPr>
                <w:rFonts w:hint="eastAsia" w:ascii="宋体" w:hAnsi="宋体"/>
                <w:b/>
              </w:rPr>
              <w:t>规格型号</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rPr>
            </w:pPr>
            <w:r>
              <w:rPr>
                <w:rFonts w:hint="eastAsia" w:ascii="宋体" w:hAnsi="宋体"/>
                <w:b/>
              </w:rPr>
              <w:t>数量（米）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rPr>
            </w:pPr>
            <w:r>
              <w:rPr>
                <w:rFonts w:hint="eastAsia" w:ascii="宋体" w:hAnsi="宋体"/>
              </w:rPr>
              <w:t>1</w:t>
            </w: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rPr>
            </w:pPr>
            <w:r>
              <w:rPr>
                <w:rFonts w:hint="eastAsia" w:ascii="宋体" w:hAnsi="宋体"/>
              </w:rPr>
              <w:t>阻燃皮带</w:t>
            </w:r>
          </w:p>
        </w:tc>
        <w:tc>
          <w:tcPr>
            <w:tcW w:w="4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rPr>
            </w:pPr>
            <w:r>
              <w:rPr>
                <w:rFonts w:ascii="宋体" w:hAnsi="宋体"/>
              </w:rPr>
              <w:t>EP200 i=5</w:t>
            </w:r>
            <w:r>
              <w:rPr>
                <w:rFonts w:hint="eastAsia" w:ascii="宋体" w:hAnsi="宋体"/>
              </w:rPr>
              <w:t>层</w:t>
            </w:r>
            <w:r>
              <w:rPr>
                <w:rFonts w:ascii="宋体" w:hAnsi="宋体"/>
              </w:rPr>
              <w:t xml:space="preserve"> </w:t>
            </w:r>
            <w:r>
              <w:rPr>
                <w:rFonts w:hint="eastAsia" w:ascii="宋体" w:hAnsi="宋体"/>
              </w:rPr>
              <w:t>上胶</w:t>
            </w:r>
            <w:r>
              <w:rPr>
                <w:rFonts w:ascii="宋体" w:hAnsi="宋体"/>
              </w:rPr>
              <w:t>4.5/</w:t>
            </w:r>
            <w:r>
              <w:rPr>
                <w:rFonts w:hint="eastAsia" w:ascii="宋体" w:hAnsi="宋体"/>
              </w:rPr>
              <w:t>下胶</w:t>
            </w:r>
            <w:r>
              <w:rPr>
                <w:rFonts w:ascii="宋体" w:hAnsi="宋体"/>
              </w:rPr>
              <w:t xml:space="preserve">1.5 1000mm </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rPr>
            </w:pPr>
            <w:r>
              <w:rPr>
                <w:rFonts w:hint="eastAsia" w:ascii="宋体" w:hAnsi="宋体"/>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rPr>
            </w:pPr>
            <w:r>
              <w:rPr>
                <w:rFonts w:hint="eastAsia" w:ascii="宋体" w:hAnsi="宋体"/>
              </w:rPr>
              <w:t>2</w:t>
            </w: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rPr>
            </w:pPr>
            <w:r>
              <w:rPr>
                <w:rFonts w:hint="eastAsia" w:ascii="宋体" w:hAnsi="宋体"/>
              </w:rPr>
              <w:t>阻燃皮带</w:t>
            </w:r>
          </w:p>
        </w:tc>
        <w:tc>
          <w:tcPr>
            <w:tcW w:w="4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rPr>
            </w:pPr>
            <w:r>
              <w:rPr>
                <w:rFonts w:ascii="宋体" w:hAnsi="宋体"/>
              </w:rPr>
              <w:t>EP300 i=5</w:t>
            </w:r>
            <w:r>
              <w:rPr>
                <w:rFonts w:hint="eastAsia" w:ascii="宋体" w:hAnsi="宋体"/>
              </w:rPr>
              <w:t>层</w:t>
            </w:r>
            <w:r>
              <w:rPr>
                <w:rFonts w:ascii="宋体" w:hAnsi="宋体"/>
              </w:rPr>
              <w:t xml:space="preserve"> </w:t>
            </w:r>
            <w:r>
              <w:rPr>
                <w:rFonts w:hint="eastAsia" w:ascii="宋体" w:hAnsi="宋体"/>
              </w:rPr>
              <w:t>上胶</w:t>
            </w:r>
            <w:r>
              <w:rPr>
                <w:rFonts w:ascii="宋体" w:hAnsi="宋体"/>
              </w:rPr>
              <w:t>4.5/</w:t>
            </w:r>
            <w:r>
              <w:rPr>
                <w:rFonts w:hint="eastAsia" w:ascii="宋体" w:hAnsi="宋体"/>
              </w:rPr>
              <w:t>下胶</w:t>
            </w:r>
            <w:r>
              <w:rPr>
                <w:rFonts w:ascii="宋体" w:hAnsi="宋体"/>
              </w:rPr>
              <w:t>1.5 1200mm</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rPr>
            </w:pPr>
            <w:r>
              <w:rPr>
                <w:rFonts w:hint="eastAsia" w:ascii="宋体" w:hAnsi="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rPr>
            </w:pPr>
            <w:r>
              <w:rPr>
                <w:rFonts w:hint="eastAsia" w:ascii="宋体" w:hAnsi="宋体"/>
              </w:rPr>
              <w:t>3</w:t>
            </w: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rPr>
            </w:pPr>
            <w:r>
              <w:rPr>
                <w:rFonts w:hint="eastAsia" w:ascii="宋体" w:hAnsi="宋体"/>
              </w:rPr>
              <w:t>阻燃皮带</w:t>
            </w:r>
          </w:p>
        </w:tc>
        <w:tc>
          <w:tcPr>
            <w:tcW w:w="4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rPr>
            </w:pPr>
            <w:r>
              <w:rPr>
                <w:rFonts w:ascii="宋体" w:hAnsi="宋体"/>
              </w:rPr>
              <w:t>EP300</w:t>
            </w:r>
            <w:r>
              <w:rPr>
                <w:rFonts w:hint="eastAsia" w:ascii="宋体" w:hAnsi="宋体"/>
              </w:rPr>
              <w:t xml:space="preserve"> </w:t>
            </w:r>
            <w:r>
              <w:rPr>
                <w:rFonts w:ascii="宋体" w:hAnsi="宋体"/>
              </w:rPr>
              <w:t>i=5</w:t>
            </w:r>
            <w:r>
              <w:rPr>
                <w:rFonts w:hint="eastAsia" w:ascii="宋体" w:hAnsi="宋体"/>
              </w:rPr>
              <w:t>层</w:t>
            </w:r>
            <w:r>
              <w:rPr>
                <w:rFonts w:ascii="宋体" w:hAnsi="宋体"/>
              </w:rPr>
              <w:t xml:space="preserve"> </w:t>
            </w:r>
            <w:r>
              <w:rPr>
                <w:rFonts w:hint="eastAsia" w:ascii="宋体" w:hAnsi="宋体"/>
              </w:rPr>
              <w:t>上胶</w:t>
            </w:r>
            <w:r>
              <w:rPr>
                <w:rFonts w:ascii="宋体" w:hAnsi="宋体"/>
              </w:rPr>
              <w:t>4.5/</w:t>
            </w:r>
            <w:r>
              <w:rPr>
                <w:rFonts w:hint="eastAsia" w:ascii="宋体" w:hAnsi="宋体"/>
              </w:rPr>
              <w:t>下胶</w:t>
            </w:r>
            <w:r>
              <w:rPr>
                <w:rFonts w:ascii="宋体" w:hAnsi="宋体"/>
              </w:rPr>
              <w:t>1.5 1400mm</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rPr>
            </w:pPr>
            <w:r>
              <w:rPr>
                <w:rFonts w:hint="eastAsia" w:ascii="宋体" w:hAnsi="宋体"/>
              </w:rPr>
              <w:t>100</w:t>
            </w:r>
          </w:p>
        </w:tc>
      </w:tr>
    </w:tbl>
    <w:p>
      <w:pPr>
        <w:spacing w:line="360" w:lineRule="auto"/>
        <w:rPr>
          <w:rFonts w:ascii="宋体" w:hAnsi="宋体"/>
          <w:spacing w:val="5"/>
          <w:kern w:val="0"/>
          <w:szCs w:val="21"/>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b/>
          <w:bCs/>
          <w:color w:val="000000" w:themeColor="text1"/>
          <w:sz w:val="24"/>
          <w:highlight w:val="none"/>
          <w14:textFill>
            <w14:solidFill>
              <w14:schemeClr w14:val="tx1"/>
            </w14:solidFill>
          </w14:textFill>
        </w:rPr>
        <w:t>胶带长度均未包括接头长度，每卷胶带一般按100～300米考虑。最终每条供货长度需根据招标方提供的图纸进行确定。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胶带热胶所需的胶料（所供胶料满足现场各路带式输送机胶带一次粘接要求，共计12条皮带，预计22个接头</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 胶带供货长度应包括上表所列长度、接头长度、及胶结胶带时进行拉伸强度实验所需的长度。</w:t>
      </w:r>
    </w:p>
    <w:p>
      <w:pPr>
        <w:tabs>
          <w:tab w:val="left" w:pos="360"/>
          <w:tab w:val="left" w:pos="525"/>
          <w:tab w:val="left" w:pos="567"/>
          <w:tab w:val="left" w:pos="1418"/>
          <w:tab w:val="left" w:pos="4253"/>
          <w:tab w:val="left" w:pos="5670"/>
          <w:tab w:val="left" w:pos="7088"/>
        </w:tabs>
        <w:adjustRightIn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每个接头长度按下式计算：</w:t>
      </w:r>
    </w:p>
    <w:p>
      <w:pPr>
        <w:tabs>
          <w:tab w:val="left" w:pos="360"/>
          <w:tab w:val="left" w:pos="525"/>
          <w:tab w:val="left" w:pos="567"/>
          <w:tab w:val="left" w:pos="1418"/>
          <w:tab w:val="left" w:pos="4253"/>
          <w:tab w:val="left" w:pos="5670"/>
          <w:tab w:val="left" w:pos="7088"/>
        </w:tabs>
        <w:adjustRightIn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织物芯带：LA=（Z-1）×b</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+B×ctg60</w:t>
      </w:r>
      <w:r>
        <w:rPr>
          <w:rFonts w:hint="eastAsia" w:ascii="宋体" w:hAnsi="宋体" w:cs="宋体"/>
          <w:color w:val="000000" w:themeColor="text1"/>
          <w:sz w:val="24"/>
          <w14:textFill>
            <w14:solidFill>
              <w14:schemeClr w14:val="tx1"/>
            </w14:solidFill>
          </w14:textFill>
        </w:rPr>
        <w:sym w:font="Technic" w:char="F0B0"/>
      </w:r>
    </w:p>
    <w:p>
      <w:pPr>
        <w:tabs>
          <w:tab w:val="left" w:pos="360"/>
          <w:tab w:val="left" w:pos="525"/>
          <w:tab w:val="left" w:pos="567"/>
          <w:tab w:val="left" w:pos="1418"/>
          <w:tab w:val="left" w:pos="4253"/>
          <w:tab w:val="left" w:pos="5670"/>
          <w:tab w:val="left" w:pos="7088"/>
        </w:tabs>
        <w:adjustRightIn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式中 Z—胶带布芯层数</w:t>
      </w:r>
    </w:p>
    <w:p>
      <w:pPr>
        <w:tabs>
          <w:tab w:val="left" w:pos="360"/>
          <w:tab w:val="left" w:pos="525"/>
          <w:tab w:val="left" w:pos="567"/>
          <w:tab w:val="left" w:pos="1418"/>
          <w:tab w:val="left" w:pos="4253"/>
          <w:tab w:val="left" w:pos="5670"/>
          <w:tab w:val="left" w:pos="7088"/>
        </w:tabs>
        <w:adjustRightIn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b</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—阶梯宽度（m），由制造厂确定</w:t>
      </w:r>
    </w:p>
    <w:p>
      <w:pPr>
        <w:tabs>
          <w:tab w:val="left" w:pos="360"/>
          <w:tab w:val="left" w:pos="525"/>
          <w:tab w:val="left" w:pos="567"/>
          <w:tab w:val="left" w:pos="1418"/>
          <w:tab w:val="left" w:pos="4253"/>
          <w:tab w:val="left" w:pos="5670"/>
          <w:tab w:val="left" w:pos="7088"/>
        </w:tabs>
        <w:adjustRightIn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B—胶带宽度（m）</w:t>
      </w:r>
    </w:p>
    <w:p>
      <w:pPr>
        <w:spacing w:line="360" w:lineRule="auto"/>
        <w:ind w:firstLine="480" w:firstLineChars="200"/>
        <w:rPr>
          <w:rFonts w:ascii="宋体" w:hAnsi="宋体"/>
          <w:kern w:val="0"/>
          <w:szCs w:val="21"/>
        </w:rPr>
      </w:pPr>
      <w:r>
        <w:rPr>
          <w:rFonts w:hint="eastAsia" w:ascii="宋体" w:hAnsi="宋体" w:cs="宋体"/>
          <w:color w:val="000000" w:themeColor="text1"/>
          <w:sz w:val="24"/>
          <w14:textFill>
            <w14:solidFill>
              <w14:schemeClr w14:val="tx1"/>
            </w14:solidFill>
          </w14:textFill>
        </w:rPr>
        <w:t xml:space="preserve">5.4 橡胶带线修补机1台。    </w:t>
      </w:r>
      <w:r>
        <w:rPr>
          <w:rFonts w:hint="eastAsia" w:ascii="宋体" w:hAnsi="宋体"/>
          <w:kern w:val="0"/>
          <w:szCs w:val="21"/>
        </w:rPr>
        <w:t xml:space="preserve">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5.5 供货清单表</w:t>
      </w:r>
      <w:bookmarkEnd w:id="11"/>
      <w:bookmarkEnd w:id="12"/>
      <w:bookmarkEnd w:id="13"/>
      <w:r>
        <w:rPr>
          <w:rFonts w:hint="eastAsia" w:ascii="宋体" w:hAnsi="宋体" w:cs="宋体"/>
          <w:color w:val="000000" w:themeColor="text1"/>
          <w:sz w:val="24"/>
          <w14:textFill>
            <w14:solidFill>
              <w14:schemeClr w14:val="tx1"/>
            </w14:solidFill>
          </w14:textFill>
        </w:rPr>
        <w:t>(由投标方详细填写)</w:t>
      </w:r>
    </w:p>
    <w:p>
      <w:pPr>
        <w:autoSpaceDE w:val="0"/>
        <w:autoSpaceDN w:val="0"/>
        <w:adjustRightInd w:val="0"/>
        <w:spacing w:line="360" w:lineRule="auto"/>
        <w:ind w:firstLine="200"/>
        <w:jc w:val="left"/>
        <w:textAlignment w:val="baseline"/>
        <w:rPr>
          <w:rFonts w:ascii="宋体" w:hAnsi="宋体"/>
          <w:kern w:val="0"/>
          <w:szCs w:val="21"/>
        </w:rPr>
      </w:pPr>
      <w:r>
        <w:rPr>
          <w:rFonts w:hint="eastAsia" w:ascii="宋体" w:hAnsi="宋体"/>
          <w:kern w:val="0"/>
          <w:szCs w:val="21"/>
        </w:rPr>
        <w:t xml:space="preserve">                          供货清单表                           </w:t>
      </w:r>
    </w:p>
    <w:tbl>
      <w:tblPr>
        <w:tblStyle w:val="30"/>
        <w:tblW w:w="852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67"/>
        <w:gridCol w:w="1802"/>
        <w:gridCol w:w="1447"/>
        <w:gridCol w:w="920"/>
        <w:gridCol w:w="791"/>
        <w:gridCol w:w="1316"/>
        <w:gridCol w:w="856"/>
        <w:gridCol w:w="72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2" w:hRule="atLeast"/>
        </w:trPr>
        <w:tc>
          <w:tcPr>
            <w:tcW w:w="667" w:type="dxa"/>
            <w:shd w:val="clear" w:color="auto" w:fill="auto"/>
          </w:tcPr>
          <w:p>
            <w:pPr>
              <w:adjustRightInd w:val="0"/>
              <w:spacing w:line="360" w:lineRule="auto"/>
              <w:jc w:val="center"/>
              <w:textAlignment w:val="baseline"/>
              <w:rPr>
                <w:rFonts w:ascii="宋体" w:hAnsi="宋体"/>
                <w:kern w:val="0"/>
                <w:szCs w:val="21"/>
              </w:rPr>
            </w:pPr>
            <w:r>
              <w:rPr>
                <w:rFonts w:ascii="宋体" w:hAnsi="宋体"/>
                <w:kern w:val="0"/>
                <w:szCs w:val="21"/>
              </w:rPr>
              <w:t>序号</w:t>
            </w:r>
          </w:p>
        </w:tc>
        <w:tc>
          <w:tcPr>
            <w:tcW w:w="1802" w:type="dxa"/>
            <w:shd w:val="clear" w:color="auto" w:fill="auto"/>
          </w:tcPr>
          <w:p>
            <w:pPr>
              <w:adjustRightInd w:val="0"/>
              <w:spacing w:line="360" w:lineRule="auto"/>
              <w:jc w:val="center"/>
              <w:textAlignment w:val="baseline"/>
              <w:rPr>
                <w:rFonts w:ascii="宋体" w:hAnsi="宋体"/>
                <w:kern w:val="0"/>
                <w:szCs w:val="21"/>
              </w:rPr>
            </w:pPr>
            <w:r>
              <w:rPr>
                <w:rFonts w:ascii="宋体" w:hAnsi="宋体"/>
                <w:kern w:val="0"/>
                <w:szCs w:val="21"/>
              </w:rPr>
              <w:t>名</w:t>
            </w:r>
            <w:r>
              <w:rPr>
                <w:rFonts w:hint="eastAsia" w:ascii="宋体" w:hAnsi="宋体"/>
                <w:kern w:val="0"/>
                <w:szCs w:val="21"/>
              </w:rPr>
              <w:t xml:space="preserve">    </w:t>
            </w:r>
            <w:r>
              <w:rPr>
                <w:rFonts w:ascii="宋体" w:hAnsi="宋体"/>
                <w:kern w:val="0"/>
                <w:szCs w:val="21"/>
              </w:rPr>
              <w:t>称</w:t>
            </w:r>
          </w:p>
        </w:tc>
        <w:tc>
          <w:tcPr>
            <w:tcW w:w="1447" w:type="dxa"/>
            <w:shd w:val="clear" w:color="auto" w:fill="auto"/>
          </w:tcPr>
          <w:p>
            <w:pPr>
              <w:adjustRightInd w:val="0"/>
              <w:spacing w:line="360" w:lineRule="auto"/>
              <w:jc w:val="center"/>
              <w:textAlignment w:val="baseline"/>
              <w:rPr>
                <w:rFonts w:ascii="宋体" w:hAnsi="宋体"/>
                <w:kern w:val="0"/>
                <w:szCs w:val="21"/>
              </w:rPr>
            </w:pPr>
            <w:r>
              <w:rPr>
                <w:rFonts w:ascii="宋体" w:hAnsi="宋体"/>
                <w:kern w:val="0"/>
                <w:szCs w:val="21"/>
              </w:rPr>
              <w:t>规格数量</w:t>
            </w:r>
          </w:p>
        </w:tc>
        <w:tc>
          <w:tcPr>
            <w:tcW w:w="920" w:type="dxa"/>
            <w:shd w:val="clear" w:color="auto" w:fill="auto"/>
          </w:tcPr>
          <w:p>
            <w:pPr>
              <w:adjustRightInd w:val="0"/>
              <w:spacing w:line="360" w:lineRule="auto"/>
              <w:jc w:val="center"/>
              <w:textAlignment w:val="baseline"/>
              <w:rPr>
                <w:rFonts w:ascii="宋体" w:hAnsi="宋体"/>
                <w:kern w:val="0"/>
                <w:szCs w:val="21"/>
              </w:rPr>
            </w:pPr>
            <w:r>
              <w:rPr>
                <w:rFonts w:ascii="宋体" w:hAnsi="宋体"/>
                <w:kern w:val="0"/>
                <w:szCs w:val="21"/>
              </w:rPr>
              <w:t>单位</w:t>
            </w:r>
          </w:p>
        </w:tc>
        <w:tc>
          <w:tcPr>
            <w:tcW w:w="791" w:type="dxa"/>
            <w:shd w:val="clear" w:color="auto" w:fill="auto"/>
          </w:tcPr>
          <w:p>
            <w:pPr>
              <w:adjustRightInd w:val="0"/>
              <w:spacing w:line="360" w:lineRule="auto"/>
              <w:jc w:val="center"/>
              <w:textAlignment w:val="baseline"/>
              <w:rPr>
                <w:rFonts w:ascii="宋体" w:hAnsi="宋体"/>
                <w:kern w:val="0"/>
                <w:szCs w:val="21"/>
              </w:rPr>
            </w:pPr>
            <w:r>
              <w:rPr>
                <w:rFonts w:ascii="宋体" w:hAnsi="宋体"/>
                <w:kern w:val="0"/>
                <w:szCs w:val="21"/>
              </w:rPr>
              <w:t>数量</w:t>
            </w:r>
          </w:p>
        </w:tc>
        <w:tc>
          <w:tcPr>
            <w:tcW w:w="1316" w:type="dxa"/>
            <w:shd w:val="clear" w:color="auto" w:fill="auto"/>
          </w:tcPr>
          <w:p>
            <w:pPr>
              <w:adjustRightInd w:val="0"/>
              <w:spacing w:line="360" w:lineRule="auto"/>
              <w:jc w:val="center"/>
              <w:textAlignment w:val="baseline"/>
              <w:rPr>
                <w:rFonts w:ascii="宋体" w:hAnsi="宋体"/>
                <w:kern w:val="0"/>
                <w:szCs w:val="21"/>
              </w:rPr>
            </w:pPr>
            <w:r>
              <w:rPr>
                <w:rFonts w:ascii="宋体" w:hAnsi="宋体"/>
                <w:kern w:val="0"/>
                <w:szCs w:val="21"/>
              </w:rPr>
              <w:t>生产厂家</w:t>
            </w:r>
          </w:p>
        </w:tc>
        <w:tc>
          <w:tcPr>
            <w:tcW w:w="856" w:type="dxa"/>
            <w:shd w:val="clear" w:color="auto" w:fill="auto"/>
          </w:tcPr>
          <w:p>
            <w:pPr>
              <w:adjustRightInd w:val="0"/>
              <w:spacing w:line="360" w:lineRule="auto"/>
              <w:jc w:val="center"/>
              <w:textAlignment w:val="baseline"/>
              <w:rPr>
                <w:rFonts w:ascii="宋体" w:hAnsi="宋体"/>
                <w:kern w:val="0"/>
                <w:szCs w:val="21"/>
              </w:rPr>
            </w:pPr>
            <w:r>
              <w:rPr>
                <w:rFonts w:ascii="宋体" w:hAnsi="宋体"/>
                <w:kern w:val="0"/>
                <w:szCs w:val="21"/>
              </w:rPr>
              <w:t>产地</w:t>
            </w:r>
          </w:p>
        </w:tc>
        <w:tc>
          <w:tcPr>
            <w:tcW w:w="723" w:type="dxa"/>
            <w:shd w:val="clear" w:color="auto" w:fill="auto"/>
          </w:tcPr>
          <w:p>
            <w:pPr>
              <w:adjustRightInd w:val="0"/>
              <w:spacing w:line="360" w:lineRule="auto"/>
              <w:jc w:val="center"/>
              <w:textAlignment w:val="baseline"/>
              <w:rPr>
                <w:rFonts w:ascii="宋体" w:hAnsi="宋体"/>
                <w:kern w:val="0"/>
                <w:szCs w:val="21"/>
              </w:rPr>
            </w:pPr>
            <w:r>
              <w:rPr>
                <w:rFonts w:ascii="宋体" w:hAnsi="宋体"/>
                <w:kern w:val="0"/>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667" w:type="dxa"/>
            <w:shd w:val="clear" w:color="auto" w:fill="auto"/>
          </w:tcPr>
          <w:p>
            <w:pPr>
              <w:adjustRightInd w:val="0"/>
              <w:spacing w:line="360" w:lineRule="auto"/>
              <w:jc w:val="center"/>
              <w:textAlignment w:val="baseline"/>
              <w:rPr>
                <w:rFonts w:ascii="宋体" w:hAnsi="宋体"/>
                <w:kern w:val="0"/>
                <w:szCs w:val="21"/>
              </w:rPr>
            </w:pPr>
            <w:r>
              <w:rPr>
                <w:rFonts w:hint="eastAsia" w:ascii="宋体" w:hAnsi="宋体"/>
                <w:kern w:val="0"/>
                <w:szCs w:val="21"/>
              </w:rPr>
              <w:t>1</w:t>
            </w:r>
          </w:p>
        </w:tc>
        <w:tc>
          <w:tcPr>
            <w:tcW w:w="1802" w:type="dxa"/>
            <w:shd w:val="clear" w:color="auto" w:fill="auto"/>
          </w:tcPr>
          <w:p>
            <w:pPr>
              <w:adjustRightInd w:val="0"/>
              <w:spacing w:line="360" w:lineRule="auto"/>
              <w:jc w:val="center"/>
              <w:textAlignment w:val="baseline"/>
              <w:rPr>
                <w:rFonts w:ascii="宋体" w:hAnsi="宋体"/>
                <w:kern w:val="0"/>
                <w:szCs w:val="21"/>
              </w:rPr>
            </w:pPr>
          </w:p>
        </w:tc>
        <w:tc>
          <w:tcPr>
            <w:tcW w:w="1447" w:type="dxa"/>
            <w:shd w:val="clear" w:color="auto" w:fill="auto"/>
          </w:tcPr>
          <w:p>
            <w:pPr>
              <w:adjustRightInd w:val="0"/>
              <w:spacing w:line="360" w:lineRule="auto"/>
              <w:jc w:val="center"/>
              <w:textAlignment w:val="baseline"/>
              <w:rPr>
                <w:rFonts w:ascii="宋体" w:hAnsi="宋体"/>
                <w:kern w:val="0"/>
                <w:szCs w:val="21"/>
              </w:rPr>
            </w:pPr>
          </w:p>
        </w:tc>
        <w:tc>
          <w:tcPr>
            <w:tcW w:w="920" w:type="dxa"/>
            <w:shd w:val="clear" w:color="auto" w:fill="auto"/>
          </w:tcPr>
          <w:p>
            <w:pPr>
              <w:adjustRightInd w:val="0"/>
              <w:spacing w:line="360" w:lineRule="auto"/>
              <w:jc w:val="center"/>
              <w:textAlignment w:val="baseline"/>
              <w:rPr>
                <w:rFonts w:ascii="宋体" w:hAnsi="宋体"/>
                <w:kern w:val="0"/>
                <w:szCs w:val="21"/>
              </w:rPr>
            </w:pPr>
          </w:p>
        </w:tc>
        <w:tc>
          <w:tcPr>
            <w:tcW w:w="791" w:type="dxa"/>
            <w:shd w:val="clear" w:color="auto" w:fill="auto"/>
          </w:tcPr>
          <w:p>
            <w:pPr>
              <w:adjustRightInd w:val="0"/>
              <w:spacing w:line="360" w:lineRule="auto"/>
              <w:jc w:val="center"/>
              <w:textAlignment w:val="baseline"/>
              <w:rPr>
                <w:rFonts w:ascii="宋体" w:hAnsi="宋体"/>
                <w:kern w:val="0"/>
                <w:szCs w:val="21"/>
              </w:rPr>
            </w:pPr>
          </w:p>
        </w:tc>
        <w:tc>
          <w:tcPr>
            <w:tcW w:w="1316" w:type="dxa"/>
            <w:shd w:val="clear" w:color="auto" w:fill="auto"/>
          </w:tcPr>
          <w:p>
            <w:pPr>
              <w:adjustRightInd w:val="0"/>
              <w:spacing w:line="360" w:lineRule="auto"/>
              <w:jc w:val="center"/>
              <w:textAlignment w:val="baseline"/>
              <w:rPr>
                <w:rFonts w:ascii="宋体" w:hAnsi="宋体"/>
                <w:kern w:val="0"/>
                <w:szCs w:val="21"/>
              </w:rPr>
            </w:pPr>
          </w:p>
        </w:tc>
        <w:tc>
          <w:tcPr>
            <w:tcW w:w="856" w:type="dxa"/>
            <w:shd w:val="clear" w:color="auto" w:fill="auto"/>
          </w:tcPr>
          <w:p>
            <w:pPr>
              <w:adjustRightInd w:val="0"/>
              <w:spacing w:line="360" w:lineRule="auto"/>
              <w:jc w:val="center"/>
              <w:textAlignment w:val="baseline"/>
              <w:rPr>
                <w:rFonts w:ascii="宋体" w:hAnsi="宋体"/>
                <w:kern w:val="0"/>
                <w:szCs w:val="21"/>
              </w:rPr>
            </w:pPr>
          </w:p>
        </w:tc>
        <w:tc>
          <w:tcPr>
            <w:tcW w:w="723" w:type="dxa"/>
            <w:shd w:val="clear" w:color="auto" w:fill="auto"/>
          </w:tcPr>
          <w:p>
            <w:pPr>
              <w:adjustRightInd w:val="0"/>
              <w:spacing w:line="360" w:lineRule="auto"/>
              <w:jc w:val="center"/>
              <w:textAlignment w:val="baseline"/>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667" w:type="dxa"/>
            <w:shd w:val="clear" w:color="auto" w:fill="auto"/>
          </w:tcPr>
          <w:p>
            <w:pPr>
              <w:adjustRightInd w:val="0"/>
              <w:spacing w:line="360" w:lineRule="auto"/>
              <w:jc w:val="center"/>
              <w:textAlignment w:val="baseline"/>
              <w:rPr>
                <w:rFonts w:ascii="宋体" w:hAnsi="宋体"/>
                <w:kern w:val="0"/>
                <w:szCs w:val="21"/>
              </w:rPr>
            </w:pPr>
            <w:r>
              <w:rPr>
                <w:rFonts w:hint="eastAsia" w:ascii="宋体" w:hAnsi="宋体"/>
                <w:kern w:val="0"/>
                <w:szCs w:val="21"/>
              </w:rPr>
              <w:t>2</w:t>
            </w:r>
          </w:p>
        </w:tc>
        <w:tc>
          <w:tcPr>
            <w:tcW w:w="1802" w:type="dxa"/>
            <w:shd w:val="clear" w:color="auto" w:fill="auto"/>
          </w:tcPr>
          <w:p>
            <w:pPr>
              <w:adjustRightInd w:val="0"/>
              <w:spacing w:line="360" w:lineRule="auto"/>
              <w:jc w:val="center"/>
              <w:textAlignment w:val="baseline"/>
              <w:rPr>
                <w:rFonts w:ascii="宋体" w:hAnsi="宋体"/>
                <w:kern w:val="0"/>
                <w:szCs w:val="21"/>
              </w:rPr>
            </w:pPr>
          </w:p>
        </w:tc>
        <w:tc>
          <w:tcPr>
            <w:tcW w:w="1447" w:type="dxa"/>
            <w:shd w:val="clear" w:color="auto" w:fill="auto"/>
          </w:tcPr>
          <w:p>
            <w:pPr>
              <w:adjustRightInd w:val="0"/>
              <w:spacing w:line="360" w:lineRule="auto"/>
              <w:jc w:val="center"/>
              <w:textAlignment w:val="baseline"/>
              <w:rPr>
                <w:rFonts w:ascii="宋体" w:hAnsi="宋体"/>
                <w:kern w:val="0"/>
                <w:szCs w:val="21"/>
              </w:rPr>
            </w:pPr>
          </w:p>
        </w:tc>
        <w:tc>
          <w:tcPr>
            <w:tcW w:w="920" w:type="dxa"/>
            <w:shd w:val="clear" w:color="auto" w:fill="auto"/>
          </w:tcPr>
          <w:p>
            <w:pPr>
              <w:adjustRightInd w:val="0"/>
              <w:spacing w:line="360" w:lineRule="auto"/>
              <w:jc w:val="center"/>
              <w:textAlignment w:val="baseline"/>
              <w:rPr>
                <w:rFonts w:ascii="宋体" w:hAnsi="宋体"/>
                <w:kern w:val="0"/>
                <w:szCs w:val="21"/>
              </w:rPr>
            </w:pPr>
          </w:p>
        </w:tc>
        <w:tc>
          <w:tcPr>
            <w:tcW w:w="791" w:type="dxa"/>
            <w:shd w:val="clear" w:color="auto" w:fill="auto"/>
          </w:tcPr>
          <w:p>
            <w:pPr>
              <w:adjustRightInd w:val="0"/>
              <w:spacing w:line="360" w:lineRule="auto"/>
              <w:jc w:val="center"/>
              <w:textAlignment w:val="baseline"/>
              <w:rPr>
                <w:rFonts w:ascii="宋体" w:hAnsi="宋体"/>
                <w:kern w:val="0"/>
                <w:szCs w:val="21"/>
              </w:rPr>
            </w:pPr>
          </w:p>
        </w:tc>
        <w:tc>
          <w:tcPr>
            <w:tcW w:w="1316" w:type="dxa"/>
            <w:shd w:val="clear" w:color="auto" w:fill="auto"/>
          </w:tcPr>
          <w:p>
            <w:pPr>
              <w:adjustRightInd w:val="0"/>
              <w:spacing w:line="360" w:lineRule="auto"/>
              <w:jc w:val="center"/>
              <w:textAlignment w:val="baseline"/>
              <w:rPr>
                <w:rFonts w:ascii="宋体" w:hAnsi="宋体"/>
                <w:kern w:val="0"/>
                <w:szCs w:val="21"/>
              </w:rPr>
            </w:pPr>
          </w:p>
        </w:tc>
        <w:tc>
          <w:tcPr>
            <w:tcW w:w="856" w:type="dxa"/>
            <w:shd w:val="clear" w:color="auto" w:fill="auto"/>
          </w:tcPr>
          <w:p>
            <w:pPr>
              <w:adjustRightInd w:val="0"/>
              <w:spacing w:line="360" w:lineRule="auto"/>
              <w:jc w:val="center"/>
              <w:textAlignment w:val="baseline"/>
              <w:rPr>
                <w:rFonts w:ascii="宋体" w:hAnsi="宋体"/>
                <w:kern w:val="0"/>
                <w:szCs w:val="21"/>
              </w:rPr>
            </w:pPr>
          </w:p>
        </w:tc>
        <w:tc>
          <w:tcPr>
            <w:tcW w:w="723" w:type="dxa"/>
            <w:shd w:val="clear" w:color="auto" w:fill="auto"/>
          </w:tcPr>
          <w:p>
            <w:pPr>
              <w:adjustRightInd w:val="0"/>
              <w:spacing w:line="360" w:lineRule="auto"/>
              <w:jc w:val="center"/>
              <w:textAlignment w:val="baseline"/>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667" w:type="dxa"/>
            <w:shd w:val="clear" w:color="auto" w:fill="auto"/>
          </w:tcPr>
          <w:p>
            <w:pPr>
              <w:adjustRightInd w:val="0"/>
              <w:spacing w:line="360" w:lineRule="auto"/>
              <w:jc w:val="center"/>
              <w:textAlignment w:val="baseline"/>
              <w:rPr>
                <w:rFonts w:ascii="宋体" w:hAnsi="宋体"/>
                <w:kern w:val="0"/>
                <w:szCs w:val="21"/>
              </w:rPr>
            </w:pPr>
            <w:r>
              <w:rPr>
                <w:rFonts w:hint="eastAsia" w:ascii="宋体" w:hAnsi="宋体"/>
                <w:kern w:val="0"/>
                <w:szCs w:val="21"/>
              </w:rPr>
              <w:t>3</w:t>
            </w:r>
          </w:p>
        </w:tc>
        <w:tc>
          <w:tcPr>
            <w:tcW w:w="1802" w:type="dxa"/>
            <w:shd w:val="clear" w:color="auto" w:fill="auto"/>
          </w:tcPr>
          <w:p>
            <w:pPr>
              <w:adjustRightInd w:val="0"/>
              <w:spacing w:line="360" w:lineRule="auto"/>
              <w:jc w:val="center"/>
              <w:textAlignment w:val="baseline"/>
              <w:rPr>
                <w:rFonts w:ascii="宋体" w:hAnsi="宋体"/>
                <w:kern w:val="0"/>
                <w:szCs w:val="21"/>
              </w:rPr>
            </w:pPr>
          </w:p>
        </w:tc>
        <w:tc>
          <w:tcPr>
            <w:tcW w:w="1447" w:type="dxa"/>
            <w:shd w:val="clear" w:color="auto" w:fill="auto"/>
          </w:tcPr>
          <w:p>
            <w:pPr>
              <w:adjustRightInd w:val="0"/>
              <w:spacing w:line="360" w:lineRule="auto"/>
              <w:jc w:val="center"/>
              <w:textAlignment w:val="baseline"/>
              <w:rPr>
                <w:rFonts w:ascii="宋体" w:hAnsi="宋体"/>
                <w:kern w:val="0"/>
                <w:szCs w:val="21"/>
              </w:rPr>
            </w:pPr>
          </w:p>
        </w:tc>
        <w:tc>
          <w:tcPr>
            <w:tcW w:w="920" w:type="dxa"/>
            <w:shd w:val="clear" w:color="auto" w:fill="auto"/>
          </w:tcPr>
          <w:p>
            <w:pPr>
              <w:adjustRightInd w:val="0"/>
              <w:spacing w:line="360" w:lineRule="auto"/>
              <w:jc w:val="center"/>
              <w:textAlignment w:val="baseline"/>
              <w:rPr>
                <w:rFonts w:ascii="宋体" w:hAnsi="宋体"/>
                <w:kern w:val="0"/>
                <w:szCs w:val="21"/>
              </w:rPr>
            </w:pPr>
          </w:p>
        </w:tc>
        <w:tc>
          <w:tcPr>
            <w:tcW w:w="791" w:type="dxa"/>
            <w:shd w:val="clear" w:color="auto" w:fill="auto"/>
          </w:tcPr>
          <w:p>
            <w:pPr>
              <w:adjustRightInd w:val="0"/>
              <w:spacing w:line="360" w:lineRule="auto"/>
              <w:jc w:val="center"/>
              <w:textAlignment w:val="baseline"/>
              <w:rPr>
                <w:rFonts w:ascii="宋体" w:hAnsi="宋体"/>
                <w:kern w:val="0"/>
                <w:szCs w:val="21"/>
              </w:rPr>
            </w:pPr>
          </w:p>
        </w:tc>
        <w:tc>
          <w:tcPr>
            <w:tcW w:w="1316" w:type="dxa"/>
            <w:shd w:val="clear" w:color="auto" w:fill="auto"/>
          </w:tcPr>
          <w:p>
            <w:pPr>
              <w:adjustRightInd w:val="0"/>
              <w:spacing w:line="360" w:lineRule="auto"/>
              <w:jc w:val="center"/>
              <w:textAlignment w:val="baseline"/>
              <w:rPr>
                <w:rFonts w:ascii="宋体" w:hAnsi="宋体"/>
                <w:kern w:val="0"/>
                <w:szCs w:val="21"/>
              </w:rPr>
            </w:pPr>
          </w:p>
        </w:tc>
        <w:tc>
          <w:tcPr>
            <w:tcW w:w="856" w:type="dxa"/>
            <w:shd w:val="clear" w:color="auto" w:fill="auto"/>
          </w:tcPr>
          <w:p>
            <w:pPr>
              <w:adjustRightInd w:val="0"/>
              <w:spacing w:line="360" w:lineRule="auto"/>
              <w:jc w:val="center"/>
              <w:textAlignment w:val="baseline"/>
              <w:rPr>
                <w:rFonts w:ascii="宋体" w:hAnsi="宋体"/>
                <w:kern w:val="0"/>
                <w:szCs w:val="21"/>
              </w:rPr>
            </w:pPr>
          </w:p>
        </w:tc>
        <w:tc>
          <w:tcPr>
            <w:tcW w:w="723" w:type="dxa"/>
            <w:shd w:val="clear" w:color="auto" w:fill="auto"/>
          </w:tcPr>
          <w:p>
            <w:pPr>
              <w:adjustRightInd w:val="0"/>
              <w:spacing w:line="360" w:lineRule="auto"/>
              <w:jc w:val="center"/>
              <w:textAlignment w:val="baseline"/>
              <w:rPr>
                <w:rFonts w:ascii="宋体" w:hAnsi="宋体"/>
                <w:kern w:val="0"/>
                <w:szCs w:val="21"/>
              </w:rPr>
            </w:pPr>
          </w:p>
        </w:tc>
      </w:tr>
    </w:tbl>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5.6 产品规范</w:t>
      </w:r>
    </w:p>
    <w:p>
      <w:pPr>
        <w:spacing w:line="360" w:lineRule="auto"/>
        <w:ind w:firstLine="56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投标方投标时应填写如下规范表，但不限于此：</w:t>
      </w:r>
    </w:p>
    <w:tbl>
      <w:tblPr>
        <w:tblStyle w:val="30"/>
        <w:tblW w:w="65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带宽（mm）</w:t>
            </w:r>
          </w:p>
        </w:tc>
        <w:tc>
          <w:tcPr>
            <w:tcW w:w="2835" w:type="dxa"/>
          </w:tcPr>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橡胶输送带规格型号</w:t>
            </w:r>
          </w:p>
        </w:tc>
        <w:tc>
          <w:tcPr>
            <w:tcW w:w="2835" w:type="dxa"/>
          </w:tcPr>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层数</w:t>
            </w:r>
          </w:p>
        </w:tc>
        <w:tc>
          <w:tcPr>
            <w:tcW w:w="2835" w:type="dxa"/>
          </w:tcPr>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上胶厚（mm）</w:t>
            </w:r>
          </w:p>
        </w:tc>
        <w:tc>
          <w:tcPr>
            <w:tcW w:w="2835" w:type="dxa"/>
          </w:tcPr>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下胶厚（mm）</w:t>
            </w:r>
          </w:p>
        </w:tc>
        <w:tc>
          <w:tcPr>
            <w:tcW w:w="2835" w:type="dxa"/>
          </w:tcPr>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伸长率</w:t>
            </w:r>
          </w:p>
        </w:tc>
        <w:tc>
          <w:tcPr>
            <w:tcW w:w="2835" w:type="dxa"/>
          </w:tcPr>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总长度（m）</w:t>
            </w:r>
          </w:p>
        </w:tc>
        <w:tc>
          <w:tcPr>
            <w:tcW w:w="2835" w:type="dxa"/>
          </w:tcPr>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接头数量（个）</w:t>
            </w:r>
          </w:p>
        </w:tc>
        <w:tc>
          <w:tcPr>
            <w:tcW w:w="2835" w:type="dxa"/>
          </w:tcPr>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接头长度（m/个）</w:t>
            </w:r>
          </w:p>
        </w:tc>
        <w:tc>
          <w:tcPr>
            <w:tcW w:w="2835" w:type="dxa"/>
          </w:tcPr>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分卷数量（卷）</w:t>
            </w:r>
          </w:p>
        </w:tc>
        <w:tc>
          <w:tcPr>
            <w:tcW w:w="2835" w:type="dxa"/>
          </w:tcPr>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每卷长度（m）</w:t>
            </w:r>
          </w:p>
        </w:tc>
        <w:tc>
          <w:tcPr>
            <w:tcW w:w="2835" w:type="dxa"/>
          </w:tcPr>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每卷直径（m）</w:t>
            </w:r>
          </w:p>
        </w:tc>
        <w:tc>
          <w:tcPr>
            <w:tcW w:w="2835" w:type="dxa"/>
          </w:tcPr>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713" w:type="dxa"/>
          </w:tcPr>
          <w:p>
            <w:pPr>
              <w:spacing w:line="320" w:lineRule="exact"/>
              <w:rPr>
                <w:rFonts w:ascii="宋体"/>
                <w:sz w:val="24"/>
              </w:rPr>
            </w:pPr>
            <w:r>
              <w:rPr>
                <w:rFonts w:hint="eastAsia" w:ascii="宋体"/>
                <w:sz w:val="24"/>
              </w:rPr>
              <w:t>每卷重量（t）</w:t>
            </w:r>
          </w:p>
        </w:tc>
        <w:tc>
          <w:tcPr>
            <w:tcW w:w="2835" w:type="dxa"/>
          </w:tcPr>
          <w:p>
            <w:pPr>
              <w:spacing w:line="320" w:lineRule="exact"/>
              <w:rPr>
                <w:rFonts w:ascii="宋体"/>
                <w:sz w:val="24"/>
              </w:rPr>
            </w:pPr>
          </w:p>
        </w:tc>
      </w:tr>
    </w:tbl>
    <w:p>
      <w:pPr>
        <w:keepNext/>
        <w:tabs>
          <w:tab w:val="left" w:pos="570"/>
          <w:tab w:val="left" w:pos="600"/>
        </w:tabs>
        <w:adjustRightInd w:val="0"/>
        <w:spacing w:line="360" w:lineRule="auto"/>
        <w:textAlignment w:val="baseline"/>
        <w:outlineLvl w:val="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6.质量保证和试验</w:t>
      </w:r>
    </w:p>
    <w:p>
      <w:pPr>
        <w:tabs>
          <w:tab w:val="left" w:pos="570"/>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 质量保证</w:t>
      </w:r>
    </w:p>
    <w:p>
      <w:pPr>
        <w:autoSpaceDE w:val="0"/>
        <w:autoSpaceDN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6.1.1 投标方应有健全的质量保证体系，并应随投标书提交一份质量保证计划，该计划应包括质量保证程序、组织方式和所涉人员的资格证明及影响项目质量的各项活动如设计、采购、制造、运输、安装、调试和维护等的控制。投标方应有负责质量保证活动的专职人员。</w:t>
      </w:r>
    </w:p>
    <w:p>
      <w:pPr>
        <w:autoSpaceDE w:val="0"/>
        <w:autoSpaceDN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6.1.2 质量保证计划必须明确下列各点：</w:t>
      </w:r>
    </w:p>
    <w:p>
      <w:pPr>
        <w:spacing w:line="360" w:lineRule="auto"/>
        <w:ind w:firstLine="840"/>
        <w:rPr>
          <w:rFonts w:ascii="宋体"/>
          <w:sz w:val="24"/>
        </w:rPr>
      </w:pPr>
      <w:r>
        <w:rPr>
          <w:rFonts w:hint="eastAsia" w:ascii="宋体"/>
          <w:sz w:val="24"/>
        </w:rPr>
        <w:t>产品出售者货源的检验和控制；</w:t>
      </w:r>
    </w:p>
    <w:p>
      <w:pPr>
        <w:spacing w:line="360" w:lineRule="auto"/>
        <w:ind w:firstLine="840"/>
        <w:rPr>
          <w:rFonts w:ascii="宋体"/>
          <w:sz w:val="24"/>
        </w:rPr>
      </w:pPr>
      <w:r>
        <w:rPr>
          <w:rFonts w:hint="eastAsia" w:ascii="宋体"/>
          <w:sz w:val="24"/>
        </w:rPr>
        <w:t>所采购的设备或材料的技术文件的控制；</w:t>
      </w:r>
    </w:p>
    <w:p>
      <w:pPr>
        <w:spacing w:line="360" w:lineRule="auto"/>
        <w:ind w:firstLine="840"/>
        <w:rPr>
          <w:rFonts w:ascii="宋体"/>
          <w:sz w:val="24"/>
        </w:rPr>
      </w:pPr>
      <w:r>
        <w:rPr>
          <w:rFonts w:hint="eastAsia" w:ascii="宋体"/>
          <w:sz w:val="24"/>
        </w:rPr>
        <w:t>材料的控制；</w:t>
      </w:r>
    </w:p>
    <w:p>
      <w:pPr>
        <w:spacing w:line="360" w:lineRule="auto"/>
        <w:ind w:firstLine="840"/>
        <w:rPr>
          <w:rFonts w:ascii="宋体"/>
          <w:sz w:val="24"/>
        </w:rPr>
      </w:pPr>
      <w:r>
        <w:rPr>
          <w:rFonts w:hint="eastAsia" w:ascii="宋体"/>
          <w:sz w:val="24"/>
        </w:rPr>
        <w:t>特殊工艺控制；</w:t>
      </w:r>
    </w:p>
    <w:p>
      <w:pPr>
        <w:spacing w:line="360" w:lineRule="auto"/>
        <w:ind w:firstLine="840"/>
        <w:rPr>
          <w:rFonts w:ascii="宋体"/>
          <w:sz w:val="24"/>
        </w:rPr>
      </w:pPr>
      <w:r>
        <w:rPr>
          <w:rFonts w:hint="eastAsia" w:ascii="宋体"/>
          <w:sz w:val="24"/>
        </w:rPr>
        <w:t>现场施工监督。</w:t>
      </w:r>
    </w:p>
    <w:p>
      <w:pPr>
        <w:autoSpaceDE w:val="0"/>
        <w:autoSpaceDN w:val="0"/>
        <w:spacing w:line="360" w:lineRule="auto"/>
        <w:ind w:firstLine="480" w:firstLineChars="200"/>
        <w:rPr>
          <w:color w:val="auto"/>
          <w:sz w:val="24"/>
          <w:highlight w:val="none"/>
        </w:rPr>
      </w:pPr>
      <w:r>
        <w:rPr>
          <w:rFonts w:hint="eastAsia"/>
          <w:color w:val="auto"/>
          <w:sz w:val="24"/>
          <w:highlight w:val="none"/>
        </w:rPr>
        <w:t>6.1.3 重要的质量控制活动应邀请招标方的代表参加，且招标方有权参加分析并纠正与招标方要求不一致的活动。</w:t>
      </w:r>
    </w:p>
    <w:p>
      <w:pPr>
        <w:autoSpaceDE w:val="0"/>
        <w:autoSpaceDN w:val="0"/>
        <w:spacing w:line="360" w:lineRule="auto"/>
        <w:ind w:firstLine="480" w:firstLineChars="200"/>
        <w:rPr>
          <w:color w:val="auto"/>
          <w:sz w:val="24"/>
          <w:highlight w:val="none"/>
        </w:rPr>
      </w:pPr>
      <w:r>
        <w:rPr>
          <w:rFonts w:hint="eastAsia"/>
          <w:color w:val="auto"/>
          <w:sz w:val="24"/>
          <w:highlight w:val="none"/>
        </w:rPr>
        <w:t>6.1.4 产品的设计应满足国家的有关标准、规范的要求，并应充分考虑当地环境条件和使用条件的影响。</w:t>
      </w:r>
    </w:p>
    <w:p>
      <w:pPr>
        <w:autoSpaceDE w:val="0"/>
        <w:autoSpaceDN w:val="0"/>
        <w:spacing w:line="360" w:lineRule="auto"/>
        <w:ind w:firstLine="480" w:firstLineChars="200"/>
        <w:rPr>
          <w:color w:val="auto"/>
          <w:sz w:val="24"/>
          <w:highlight w:val="none"/>
        </w:rPr>
      </w:pPr>
      <w:r>
        <w:rPr>
          <w:rFonts w:hint="eastAsia"/>
          <w:color w:val="auto"/>
          <w:sz w:val="24"/>
          <w:highlight w:val="none"/>
        </w:rPr>
        <w:t>6.1.5 产品用材应采用能满足其使用条件的优质材料，成熟可靠，安全耐用为原则。严禁采用国家公布的淘汰产品。</w:t>
      </w:r>
    </w:p>
    <w:p>
      <w:pPr>
        <w:autoSpaceDE w:val="0"/>
        <w:autoSpaceDN w:val="0"/>
        <w:spacing w:line="360" w:lineRule="auto"/>
        <w:ind w:firstLine="480" w:firstLineChars="200"/>
        <w:rPr>
          <w:color w:val="auto"/>
          <w:sz w:val="24"/>
          <w:highlight w:val="none"/>
        </w:rPr>
      </w:pPr>
      <w:r>
        <w:rPr>
          <w:rFonts w:hint="eastAsia"/>
          <w:color w:val="auto"/>
          <w:sz w:val="24"/>
          <w:highlight w:val="none"/>
        </w:rPr>
        <w:t>6.1.6 投标方应提出施工现场安装注意事项及安装质量保证方法。</w:t>
      </w:r>
    </w:p>
    <w:p>
      <w:pPr>
        <w:autoSpaceDE w:val="0"/>
        <w:autoSpaceDN w:val="0"/>
        <w:spacing w:line="360" w:lineRule="auto"/>
        <w:ind w:firstLine="480" w:firstLineChars="200"/>
        <w:rPr>
          <w:color w:val="auto"/>
          <w:sz w:val="24"/>
          <w:highlight w:val="none"/>
        </w:rPr>
      </w:pPr>
      <w:r>
        <w:rPr>
          <w:rFonts w:hint="eastAsia"/>
          <w:color w:val="auto"/>
          <w:sz w:val="24"/>
          <w:highlight w:val="none"/>
        </w:rPr>
        <w:t>6.1.7 聚酯输送带按上述4.技术要求执行。现场随机截取整条输送带的中间一小段,由投标方负责送至有关煤检中心(第三方)进行检验(费用由投标方负责)。</w:t>
      </w:r>
    </w:p>
    <w:p>
      <w:pPr>
        <w:autoSpaceDE w:val="0"/>
        <w:autoSpaceDN w:val="0"/>
        <w:spacing w:line="360" w:lineRule="auto"/>
        <w:ind w:firstLine="480" w:firstLineChars="200"/>
        <w:rPr>
          <w:color w:val="auto"/>
          <w:sz w:val="24"/>
          <w:highlight w:val="none"/>
        </w:rPr>
      </w:pPr>
      <w:r>
        <w:rPr>
          <w:rFonts w:hint="eastAsia"/>
          <w:color w:val="auto"/>
          <w:sz w:val="24"/>
          <w:highlight w:val="none"/>
        </w:rPr>
        <w:t>6.1.8 聚酯输送带为阻（难）燃型胶带，现场随机截取整条输送带的中间一小段（长约1米）进行阻燃试验，若发现输送带不是阻燃型胶带，赔偿本次更换的所有输送带及人工费用，剩下的输送带应全部无偿更换。</w:t>
      </w:r>
    </w:p>
    <w:p>
      <w:pPr>
        <w:autoSpaceDE w:val="0"/>
        <w:autoSpaceDN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6.1.9 聚酯输送带使用寿命保证在3年以上。若产品质量在3年内出现质量问题，应由投标方无偿提供相应输送带并赔偿招标方人工等生产费用。</w:t>
      </w:r>
    </w:p>
    <w:p>
      <w:pPr>
        <w:autoSpaceDE w:val="0"/>
        <w:autoSpaceDN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6.2 试验</w:t>
      </w:r>
    </w:p>
    <w:p>
      <w:pPr>
        <w:autoSpaceDE w:val="0"/>
        <w:autoSpaceDN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6.2.1 产品应进行工厂试验和现场试验，以证实材料、工艺及性能满足所采用的标准及本技术条件书的要求。试验至少包括破断拉力试验和阻燃试验。投标方应严格按照所采用的标准、规范制定出一套完整的检验、试验和验收试验的项目、步骤及验收准则，并应以书面的形式随报价书提交招标方，以供招标方审阅并提出意见。</w:t>
      </w:r>
    </w:p>
    <w:p>
      <w:pPr>
        <w:autoSpaceDE w:val="0"/>
        <w:autoSpaceDN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6.2.2 检验、试验工作在工厂进行，验收试验工作在设备使用现场进行。招标方代表有权观察任何项目的检验、试验过程，但招标方的观察并不意味着投标方可解除或减轻自身的责任。验收试验在投标方代表的指导和监督下进行，投标方应按其所列试验项目及程序提供必要的试验手段（包括仪器、仪表及其连接和校验等）。</w:t>
      </w:r>
    </w:p>
    <w:p>
      <w:pPr>
        <w:autoSpaceDE w:val="0"/>
        <w:autoSpaceDN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6.2.3</w:t>
      </w:r>
      <w:r>
        <w:rPr>
          <w:rFonts w:hint="eastAsia"/>
          <w:color w:val="000000" w:themeColor="text1"/>
          <w:sz w:val="24"/>
          <w:highlight w:val="none"/>
          <w14:textFill>
            <w14:solidFill>
              <w14:schemeClr w14:val="tx1"/>
            </w14:solidFill>
          </w14:textFill>
        </w:rPr>
        <w:t xml:space="preserve"> 投标方应在检验或试验计划开始前10天通知招标方，以便招标方派出专家参加任何一个或全部的试验过程。</w:t>
      </w:r>
    </w:p>
    <w:p>
      <w:pPr>
        <w:autoSpaceDE w:val="0"/>
        <w:autoSpaceDN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6.2.4 投标方在产品加工过程中必须按有关工厂标准进行检验、试验，不合格品不得进入后续工序。</w:t>
      </w:r>
    </w:p>
    <w:p>
      <w:pPr>
        <w:autoSpaceDE w:val="0"/>
        <w:autoSpaceDN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6.2.5 各项检验、试验活动，投标方均应向招标方提交检验或试验报告。某项检验、试验不能满足标准、规范及性能要求时，投标方应自费进行调整、修改和补充，直至满足要求为止。</w:t>
      </w:r>
    </w:p>
    <w:p>
      <w:pPr>
        <w:keepNext/>
        <w:tabs>
          <w:tab w:val="left" w:pos="570"/>
          <w:tab w:val="left" w:pos="600"/>
        </w:tabs>
        <w:adjustRightInd w:val="0"/>
        <w:spacing w:line="360" w:lineRule="auto"/>
        <w:textAlignment w:val="baseline"/>
        <w:outlineLvl w:val="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7.包装、运输和储存</w:t>
      </w:r>
    </w:p>
    <w:p>
      <w:pPr>
        <w:tabs>
          <w:tab w:val="left" w:pos="570"/>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7.1 </w:t>
      </w:r>
      <w:r>
        <w:rPr>
          <w:rFonts w:ascii="宋体" w:hAnsi="宋体" w:cs="宋体"/>
          <w:color w:val="000000" w:themeColor="text1"/>
          <w:sz w:val="24"/>
          <w14:textFill>
            <w14:solidFill>
              <w14:schemeClr w14:val="tx1"/>
            </w14:solidFill>
          </w14:textFill>
        </w:rPr>
        <w:t>包装</w:t>
      </w:r>
    </w:p>
    <w:p>
      <w:pPr>
        <w:autoSpaceDE w:val="0"/>
        <w:autoSpaceDN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7.1.1 产品出厂时，应按《输送带存储和搬运通则》（GB6757）的要求进行包装，并应进行正确的标记，以便于运输、安装和查找，并应提供详细的装箱单。</w:t>
      </w:r>
    </w:p>
    <w:p>
      <w:pPr>
        <w:autoSpaceDE w:val="0"/>
        <w:autoSpaceDN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7.1.2 包装箱外壁应有明显的文字说明，如：产品名称、用途及运输、储存安全注意事项等。</w:t>
      </w:r>
    </w:p>
    <w:p>
      <w:pPr>
        <w:autoSpaceDE w:val="0"/>
        <w:autoSpaceDN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7.1.3 投标方应在设备发运的同时随机提供下列文件，但不限于此：</w:t>
      </w:r>
    </w:p>
    <w:p>
      <w:pPr>
        <w:spacing w:line="360" w:lineRule="auto"/>
        <w:ind w:left="576"/>
        <w:rPr>
          <w:rFonts w:ascii="宋体"/>
          <w:sz w:val="24"/>
        </w:rPr>
      </w:pPr>
      <w:r>
        <w:rPr>
          <w:rFonts w:hint="eastAsia" w:ascii="宋体"/>
          <w:sz w:val="24"/>
        </w:rPr>
        <w:t>装箱单；</w:t>
      </w:r>
    </w:p>
    <w:p>
      <w:pPr>
        <w:spacing w:line="360" w:lineRule="auto"/>
        <w:ind w:left="576"/>
        <w:rPr>
          <w:rFonts w:ascii="宋体"/>
          <w:sz w:val="24"/>
        </w:rPr>
      </w:pPr>
      <w:r>
        <w:rPr>
          <w:rFonts w:hint="eastAsia" w:ascii="宋体"/>
          <w:sz w:val="24"/>
        </w:rPr>
        <w:t>产品使用说明书；</w:t>
      </w:r>
    </w:p>
    <w:p>
      <w:pPr>
        <w:spacing w:line="360" w:lineRule="auto"/>
        <w:ind w:left="576"/>
        <w:rPr>
          <w:rFonts w:ascii="宋体"/>
          <w:sz w:val="24"/>
        </w:rPr>
      </w:pPr>
      <w:r>
        <w:rPr>
          <w:rFonts w:hint="eastAsia" w:ascii="宋体"/>
          <w:sz w:val="24"/>
        </w:rPr>
        <w:t>产品检验合格证书；</w:t>
      </w:r>
    </w:p>
    <w:p>
      <w:pPr>
        <w:spacing w:line="360" w:lineRule="auto"/>
        <w:ind w:left="576"/>
        <w:rPr>
          <w:rFonts w:ascii="宋体"/>
          <w:sz w:val="24"/>
        </w:rPr>
      </w:pPr>
      <w:r>
        <w:rPr>
          <w:rFonts w:hint="eastAsia" w:ascii="宋体"/>
          <w:sz w:val="24"/>
        </w:rPr>
        <w:t>安装指示图。</w:t>
      </w:r>
    </w:p>
    <w:p>
      <w:pPr>
        <w:tabs>
          <w:tab w:val="left" w:pos="570"/>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 运输</w:t>
      </w:r>
    </w:p>
    <w:p>
      <w:pPr>
        <w:autoSpaceDE w:val="0"/>
        <w:autoSpaceDN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经由铁路运输的部件，其运输尺寸和重量不应超过国家标准所允许的限界规定。其它运输方式部件的运输尺寸和重量的限值，在授予合同后买卖双方进一步协商确定。长大部件的运输应有防止变形、擦伤及碰撞等的措施。</w:t>
      </w:r>
    </w:p>
    <w:p>
      <w:pPr>
        <w:tabs>
          <w:tab w:val="left" w:pos="570"/>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7.3 储存</w:t>
      </w:r>
    </w:p>
    <w:p>
      <w:pPr>
        <w:autoSpaceDE w:val="0"/>
        <w:autoSpaceDN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7.3.1 投标方应根据包装箱内物品的特性，向招标方提供安全保存方法的说明。</w:t>
      </w:r>
    </w:p>
    <w:p>
      <w:pPr>
        <w:autoSpaceDE w:val="0"/>
        <w:autoSpaceDN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7.3.2 货物到达招标方现场验货后，由投标方负责做好胶带防晒、防老化措施。</w:t>
      </w:r>
    </w:p>
    <w:p>
      <w:pPr>
        <w:keepNext/>
        <w:tabs>
          <w:tab w:val="left" w:pos="570"/>
          <w:tab w:val="left" w:pos="600"/>
        </w:tabs>
        <w:adjustRightInd w:val="0"/>
        <w:spacing w:line="360" w:lineRule="auto"/>
        <w:textAlignment w:val="baseline"/>
        <w:outlineLvl w:val="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8.性能保证</w:t>
      </w:r>
      <w:bookmarkStart w:id="14" w:name="_性能保证"/>
      <w:bookmarkEnd w:id="14"/>
      <w:bookmarkStart w:id="15" w:name="_Toc178150895"/>
    </w:p>
    <w:p>
      <w:pPr>
        <w:pStyle w:val="73"/>
        <w:snapToGrid w:val="0"/>
        <w:ind w:left="570" w:firstLine="0" w:firstLineChars="0"/>
        <w:rPr>
          <w:rFonts w:ascii="宋体" w:hAnsi="宋体"/>
        </w:rPr>
      </w:pPr>
      <w:r>
        <w:rPr>
          <w:rFonts w:hint="eastAsia"/>
        </w:rPr>
        <w:t>投标方应保证下列性能值：</w:t>
      </w:r>
      <w:bookmarkEnd w:id="15"/>
    </w:p>
    <w:p>
      <w:pPr>
        <w:tabs>
          <w:tab w:val="left" w:pos="570"/>
        </w:tabs>
        <w:spacing w:line="360" w:lineRule="auto"/>
        <w:ind w:left="220" w:leftChars="100" w:firstLine="480" w:firstLineChars="200"/>
        <w:rPr>
          <w:rFonts w:ascii="宋体" w:hAnsi="宋体" w:cs="宋体"/>
          <w:color w:val="000000" w:themeColor="text1"/>
          <w:sz w:val="24"/>
          <w14:textFill>
            <w14:solidFill>
              <w14:schemeClr w14:val="tx1"/>
            </w14:solidFill>
          </w14:textFill>
        </w:rPr>
      </w:pPr>
      <w:bookmarkStart w:id="16" w:name="_Toc178150902"/>
      <w:r>
        <w:rPr>
          <w:rFonts w:hint="eastAsia" w:ascii="宋体" w:hAnsi="宋体" w:cs="宋体"/>
          <w:color w:val="000000" w:themeColor="text1"/>
          <w:sz w:val="24"/>
          <w14:textFill>
            <w14:solidFill>
              <w14:schemeClr w14:val="tx1"/>
            </w14:solidFill>
          </w14:textFill>
        </w:rPr>
        <w:t>覆盖层磨耗量不大于200 mm3。</w:t>
      </w:r>
    </w:p>
    <w:p>
      <w:pPr>
        <w:tabs>
          <w:tab w:val="left" w:pos="570"/>
        </w:tabs>
        <w:spacing w:line="360" w:lineRule="auto"/>
        <w:ind w:left="22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胶带直线度：7m长度内不大于25mm。</w:t>
      </w:r>
    </w:p>
    <w:p>
      <w:pPr>
        <w:tabs>
          <w:tab w:val="left" w:pos="570"/>
        </w:tabs>
        <w:spacing w:line="360" w:lineRule="auto"/>
        <w:ind w:left="22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延伸率聚酯胶带应不大于1.5%。</w:t>
      </w:r>
    </w:p>
    <w:p>
      <w:pPr>
        <w:tabs>
          <w:tab w:val="left" w:pos="570"/>
        </w:tabs>
        <w:spacing w:line="360" w:lineRule="auto"/>
        <w:ind w:left="22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投标方应在下中填入所有的性能保证值。</w:t>
      </w:r>
    </w:p>
    <w:p>
      <w:pPr>
        <w:tabs>
          <w:tab w:val="left" w:pos="570"/>
        </w:tabs>
        <w:spacing w:line="360" w:lineRule="auto"/>
        <w:ind w:left="22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带式输送机用胶带性能保证值表</w:t>
      </w:r>
    </w:p>
    <w:tbl>
      <w:tblPr>
        <w:tblStyle w:val="30"/>
        <w:tblW w:w="7230"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226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4" w:type="dxa"/>
          </w:tcPr>
          <w:p>
            <w:pPr>
              <w:spacing w:line="360" w:lineRule="auto"/>
              <w:rPr>
                <w:rFonts w:ascii="宋体"/>
                <w:sz w:val="24"/>
              </w:rPr>
            </w:pPr>
            <w:r>
              <w:rPr>
                <w:rFonts w:hint="eastAsia" w:ascii="宋体"/>
                <w:sz w:val="24"/>
              </w:rPr>
              <w:t>项目</w:t>
            </w:r>
          </w:p>
        </w:tc>
        <w:tc>
          <w:tcPr>
            <w:tcW w:w="2268" w:type="dxa"/>
          </w:tcPr>
          <w:p>
            <w:pPr>
              <w:spacing w:line="360" w:lineRule="auto"/>
              <w:jc w:val="left"/>
              <w:rPr>
                <w:rFonts w:ascii="宋体"/>
                <w:sz w:val="24"/>
              </w:rPr>
            </w:pPr>
            <w:r>
              <w:rPr>
                <w:rFonts w:hint="eastAsia" w:ascii="宋体"/>
                <w:sz w:val="24"/>
              </w:rPr>
              <w:t>性能保证值</w:t>
            </w:r>
          </w:p>
        </w:tc>
        <w:tc>
          <w:tcPr>
            <w:tcW w:w="1418" w:type="dxa"/>
          </w:tcPr>
          <w:p>
            <w:pPr>
              <w:spacing w:line="360" w:lineRule="auto"/>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544" w:type="dxa"/>
          </w:tcPr>
          <w:p>
            <w:pPr>
              <w:spacing w:line="360" w:lineRule="auto"/>
              <w:rPr>
                <w:rFonts w:ascii="宋体"/>
                <w:sz w:val="24"/>
              </w:rPr>
            </w:pPr>
            <w:r>
              <w:rPr>
                <w:rFonts w:hint="eastAsia" w:ascii="宋体"/>
                <w:sz w:val="24"/>
              </w:rPr>
              <w:t>覆盖层磨耗量不大于（</w:t>
            </w:r>
            <w:r>
              <w:rPr>
                <w:rFonts w:hint="eastAsia"/>
                <w:sz w:val="24"/>
              </w:rPr>
              <w:t>mm</w:t>
            </w:r>
            <w:r>
              <w:rPr>
                <w:rFonts w:hint="eastAsia"/>
                <w:sz w:val="24"/>
                <w:vertAlign w:val="superscript"/>
              </w:rPr>
              <w:t>3</w:t>
            </w:r>
            <w:r>
              <w:rPr>
                <w:rFonts w:hint="eastAsia" w:ascii="宋体"/>
                <w:sz w:val="24"/>
              </w:rPr>
              <w:t>）</w:t>
            </w:r>
          </w:p>
        </w:tc>
        <w:tc>
          <w:tcPr>
            <w:tcW w:w="2268" w:type="dxa"/>
          </w:tcPr>
          <w:p>
            <w:pPr>
              <w:spacing w:line="360" w:lineRule="auto"/>
              <w:ind w:left="720"/>
              <w:rPr>
                <w:rFonts w:ascii="宋体"/>
                <w:sz w:val="24"/>
              </w:rPr>
            </w:pPr>
          </w:p>
        </w:tc>
        <w:tc>
          <w:tcPr>
            <w:tcW w:w="1418" w:type="dxa"/>
          </w:tcPr>
          <w:p>
            <w:pPr>
              <w:spacing w:line="360" w:lineRule="auto"/>
              <w:ind w:left="72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4" w:type="dxa"/>
          </w:tcPr>
          <w:p>
            <w:pPr>
              <w:spacing w:line="360" w:lineRule="auto"/>
              <w:rPr>
                <w:rFonts w:ascii="宋体"/>
                <w:sz w:val="24"/>
              </w:rPr>
            </w:pPr>
            <w:r>
              <w:rPr>
                <w:rFonts w:hint="eastAsia" w:ascii="宋体"/>
                <w:sz w:val="24"/>
              </w:rPr>
              <w:t>胶带直线度</w:t>
            </w:r>
          </w:p>
        </w:tc>
        <w:tc>
          <w:tcPr>
            <w:tcW w:w="2268" w:type="dxa"/>
          </w:tcPr>
          <w:p>
            <w:pPr>
              <w:spacing w:line="360" w:lineRule="auto"/>
              <w:ind w:left="720"/>
              <w:rPr>
                <w:rFonts w:ascii="宋体"/>
                <w:sz w:val="24"/>
              </w:rPr>
            </w:pPr>
          </w:p>
        </w:tc>
        <w:tc>
          <w:tcPr>
            <w:tcW w:w="1418" w:type="dxa"/>
          </w:tcPr>
          <w:p>
            <w:pPr>
              <w:spacing w:line="360" w:lineRule="auto"/>
              <w:ind w:left="72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4" w:type="dxa"/>
          </w:tcPr>
          <w:p>
            <w:pPr>
              <w:spacing w:line="360" w:lineRule="auto"/>
              <w:rPr>
                <w:rFonts w:ascii="宋体"/>
                <w:sz w:val="24"/>
              </w:rPr>
            </w:pPr>
            <w:r>
              <w:rPr>
                <w:rFonts w:hint="eastAsia" w:ascii="宋体"/>
                <w:sz w:val="24"/>
              </w:rPr>
              <w:t>延伸率应不超过（%）</w:t>
            </w:r>
          </w:p>
        </w:tc>
        <w:tc>
          <w:tcPr>
            <w:tcW w:w="2268" w:type="dxa"/>
          </w:tcPr>
          <w:p>
            <w:pPr>
              <w:spacing w:line="360" w:lineRule="auto"/>
              <w:ind w:left="720"/>
              <w:rPr>
                <w:rFonts w:ascii="宋体"/>
                <w:sz w:val="24"/>
              </w:rPr>
            </w:pPr>
          </w:p>
        </w:tc>
        <w:tc>
          <w:tcPr>
            <w:tcW w:w="1418" w:type="dxa"/>
          </w:tcPr>
          <w:p>
            <w:pPr>
              <w:spacing w:line="360" w:lineRule="auto"/>
              <w:ind w:left="72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4" w:type="dxa"/>
          </w:tcPr>
          <w:p>
            <w:pPr>
              <w:spacing w:line="360" w:lineRule="auto"/>
              <w:rPr>
                <w:rFonts w:ascii="宋体"/>
                <w:sz w:val="24"/>
              </w:rPr>
            </w:pPr>
            <w:r>
              <w:rPr>
                <w:rFonts w:hint="eastAsia" w:ascii="宋体"/>
                <w:sz w:val="24"/>
              </w:rPr>
              <w:t>胶带使用寿命（年）</w:t>
            </w:r>
          </w:p>
        </w:tc>
        <w:tc>
          <w:tcPr>
            <w:tcW w:w="2268" w:type="dxa"/>
          </w:tcPr>
          <w:p>
            <w:pPr>
              <w:spacing w:line="360" w:lineRule="auto"/>
              <w:ind w:left="720"/>
              <w:rPr>
                <w:rFonts w:ascii="宋体"/>
                <w:sz w:val="24"/>
              </w:rPr>
            </w:pPr>
          </w:p>
        </w:tc>
        <w:tc>
          <w:tcPr>
            <w:tcW w:w="1418" w:type="dxa"/>
          </w:tcPr>
          <w:p>
            <w:pPr>
              <w:spacing w:line="360" w:lineRule="auto"/>
              <w:ind w:left="720"/>
              <w:rPr>
                <w:rFonts w:ascii="宋体"/>
                <w:sz w:val="24"/>
              </w:rPr>
            </w:pPr>
          </w:p>
        </w:tc>
      </w:tr>
      <w:bookmarkEnd w:id="16"/>
    </w:tbl>
    <w:p>
      <w:pPr>
        <w:keepNext/>
        <w:tabs>
          <w:tab w:val="left" w:pos="570"/>
          <w:tab w:val="left" w:pos="600"/>
        </w:tabs>
        <w:adjustRightInd w:val="0"/>
        <w:spacing w:line="360" w:lineRule="auto"/>
        <w:textAlignment w:val="baseline"/>
        <w:outlineLvl w:val="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9.技术资料表（由投标方提供）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 橡胶输送带的技术数据</w:t>
      </w:r>
    </w:p>
    <w:p>
      <w:pPr>
        <w:widowControl/>
        <w:tabs>
          <w:tab w:val="left" w:pos="-2160"/>
          <w:tab w:val="left" w:pos="720"/>
          <w:tab w:val="left" w:pos="4320"/>
          <w:tab w:val="left" w:pos="6480"/>
        </w:tabs>
        <w:snapToGrid w:val="0"/>
        <w:spacing w:line="360" w:lineRule="auto"/>
        <w:ind w:firstLine="480" w:firstLineChars="200"/>
        <w:rPr>
          <w:rFonts w:ascii="宋体"/>
          <w:sz w:val="24"/>
        </w:rPr>
      </w:pPr>
      <w:r>
        <w:rPr>
          <w:rFonts w:hint="eastAsia" w:ascii="宋体"/>
          <w:sz w:val="24"/>
        </w:rPr>
        <w:t>投标方应提供如下的技术数据和资料，投标方应保证其提供的技术数据和资料的准确性，以及这些技术数据和资料与招标方所规定的要求相一致。</w:t>
      </w:r>
    </w:p>
    <w:p>
      <w:pPr>
        <w:widowControl/>
        <w:tabs>
          <w:tab w:val="left" w:pos="-2160"/>
          <w:tab w:val="left" w:pos="720"/>
          <w:tab w:val="left" w:pos="4320"/>
          <w:tab w:val="left" w:pos="6480"/>
        </w:tabs>
        <w:snapToGrid w:val="0"/>
        <w:spacing w:line="360" w:lineRule="auto"/>
        <w:ind w:firstLine="480" w:firstLineChars="200"/>
        <w:rPr>
          <w:rFonts w:ascii="宋体" w:hAnsi="宋体"/>
          <w:sz w:val="24"/>
        </w:rPr>
      </w:pPr>
      <w:r>
        <w:rPr>
          <w:rFonts w:hint="eastAsia"/>
          <w:sz w:val="24"/>
        </w:rPr>
        <w:t>投标方应提供以下技术资料（但不限于此）：</w:t>
      </w:r>
    </w:p>
    <w:p>
      <w:pPr>
        <w:widowControl/>
        <w:tabs>
          <w:tab w:val="left" w:pos="-2160"/>
          <w:tab w:val="left" w:pos="720"/>
          <w:tab w:val="left" w:pos="4320"/>
          <w:tab w:val="left" w:pos="6480"/>
        </w:tabs>
        <w:snapToGrid w:val="0"/>
        <w:spacing w:line="360" w:lineRule="auto"/>
        <w:ind w:left="720"/>
        <w:rPr>
          <w:rFonts w:ascii="宋体" w:hAnsi="宋体"/>
          <w:sz w:val="24"/>
          <w:u w:val="single"/>
        </w:rPr>
      </w:pPr>
      <w:r>
        <w:rPr>
          <w:rFonts w:hint="eastAsia" w:ascii="宋体" w:hAnsi="宋体"/>
          <w:sz w:val="24"/>
        </w:rPr>
        <w:t>输送带型号：</w:t>
      </w:r>
      <w:r>
        <w:rPr>
          <w:rFonts w:hint="eastAsia" w:ascii="宋体" w:hAnsi="宋体"/>
          <w:sz w:val="24"/>
        </w:rPr>
        <w:tab/>
      </w:r>
      <w:r>
        <w:rPr>
          <w:rFonts w:hint="eastAsia" w:ascii="宋体" w:hAnsi="宋体"/>
          <w:sz w:val="24"/>
          <w:u w:val="single"/>
        </w:rPr>
        <w:tab/>
      </w:r>
    </w:p>
    <w:p>
      <w:pPr>
        <w:widowControl/>
        <w:tabs>
          <w:tab w:val="left" w:pos="-2160"/>
          <w:tab w:val="left" w:pos="720"/>
          <w:tab w:val="left" w:pos="4320"/>
          <w:tab w:val="left" w:pos="6480"/>
        </w:tabs>
        <w:snapToGrid w:val="0"/>
        <w:spacing w:line="360" w:lineRule="auto"/>
        <w:ind w:left="720"/>
        <w:rPr>
          <w:rFonts w:ascii="宋体" w:hAnsi="宋体"/>
          <w:sz w:val="24"/>
        </w:rPr>
      </w:pPr>
      <w:r>
        <w:rPr>
          <w:rFonts w:hint="eastAsia" w:ascii="宋体" w:hAnsi="宋体"/>
          <w:sz w:val="24"/>
        </w:rPr>
        <w:t>输送带长度：</w:t>
      </w:r>
      <w:r>
        <w:rPr>
          <w:rFonts w:hint="eastAsia" w:ascii="宋体" w:hAnsi="宋体"/>
          <w:sz w:val="24"/>
        </w:rPr>
        <w:tab/>
      </w:r>
      <w:r>
        <w:rPr>
          <w:rFonts w:hint="eastAsia" w:ascii="宋体" w:hAnsi="宋体"/>
          <w:sz w:val="24"/>
          <w:u w:val="single"/>
        </w:rPr>
        <w:tab/>
      </w:r>
      <w:r>
        <w:rPr>
          <w:rFonts w:hint="eastAsia" w:ascii="宋体" w:hAnsi="宋体"/>
          <w:sz w:val="24"/>
        </w:rPr>
        <w:t>m</w:t>
      </w:r>
    </w:p>
    <w:p>
      <w:pPr>
        <w:widowControl/>
        <w:tabs>
          <w:tab w:val="left" w:pos="-2160"/>
          <w:tab w:val="left" w:pos="720"/>
          <w:tab w:val="left" w:pos="4320"/>
          <w:tab w:val="left" w:pos="6480"/>
        </w:tabs>
        <w:snapToGrid w:val="0"/>
        <w:spacing w:line="360" w:lineRule="auto"/>
        <w:ind w:left="720"/>
        <w:rPr>
          <w:rFonts w:ascii="宋体" w:hAnsi="宋体"/>
          <w:sz w:val="24"/>
        </w:rPr>
      </w:pPr>
      <w:r>
        <w:rPr>
          <w:rFonts w:hint="eastAsia" w:ascii="宋体" w:hAnsi="宋体"/>
          <w:sz w:val="24"/>
        </w:rPr>
        <w:t>扯断强度：</w:t>
      </w:r>
      <w:r>
        <w:rPr>
          <w:rFonts w:hint="eastAsia" w:ascii="宋体" w:hAnsi="宋体"/>
          <w:sz w:val="24"/>
        </w:rPr>
        <w:tab/>
      </w:r>
      <w:r>
        <w:rPr>
          <w:rFonts w:hint="eastAsia" w:ascii="宋体" w:hAnsi="宋体"/>
          <w:sz w:val="24"/>
          <w:u w:val="single"/>
        </w:rPr>
        <w:tab/>
      </w:r>
      <w:r>
        <w:rPr>
          <w:rFonts w:hint="eastAsia" w:ascii="宋体" w:hAnsi="宋体"/>
          <w:sz w:val="24"/>
        </w:rPr>
        <w:t>N/m</w:t>
      </w:r>
      <w:r>
        <w:rPr>
          <w:rFonts w:ascii="宋体" w:hAnsi="宋体"/>
          <w:sz w:val="24"/>
        </w:rPr>
        <w:sym w:font="Symbol" w:char="F0B4"/>
      </w:r>
      <w:r>
        <w:rPr>
          <w:rFonts w:hint="eastAsia" w:ascii="宋体" w:hAnsi="宋体"/>
          <w:sz w:val="24"/>
        </w:rPr>
        <w:t>层</w:t>
      </w:r>
    </w:p>
    <w:p>
      <w:pPr>
        <w:widowControl/>
        <w:tabs>
          <w:tab w:val="left" w:pos="-2160"/>
          <w:tab w:val="left" w:pos="720"/>
          <w:tab w:val="left" w:pos="4320"/>
          <w:tab w:val="left" w:pos="6480"/>
        </w:tabs>
        <w:snapToGrid w:val="0"/>
        <w:spacing w:line="360" w:lineRule="auto"/>
        <w:ind w:left="720"/>
        <w:rPr>
          <w:rFonts w:ascii="宋体" w:hAnsi="宋体"/>
          <w:sz w:val="24"/>
          <w:u w:val="single"/>
        </w:rPr>
      </w:pPr>
      <w:r>
        <w:rPr>
          <w:rFonts w:hint="eastAsia" w:ascii="宋体" w:hAnsi="宋体"/>
          <w:sz w:val="24"/>
        </w:rPr>
        <w:t>延伸率：</w:t>
      </w:r>
      <w:r>
        <w:rPr>
          <w:rFonts w:hint="eastAsia" w:ascii="宋体" w:hAnsi="宋体"/>
          <w:sz w:val="24"/>
        </w:rPr>
        <w:tab/>
      </w:r>
      <w:r>
        <w:rPr>
          <w:rFonts w:hint="eastAsia" w:ascii="宋体" w:hAnsi="宋体"/>
          <w:sz w:val="24"/>
          <w:u w:val="single"/>
        </w:rPr>
        <w:tab/>
      </w:r>
    </w:p>
    <w:p>
      <w:pPr>
        <w:widowControl/>
        <w:tabs>
          <w:tab w:val="left" w:pos="-2160"/>
          <w:tab w:val="left" w:pos="720"/>
          <w:tab w:val="left" w:pos="4320"/>
          <w:tab w:val="left" w:pos="5220"/>
          <w:tab w:val="left" w:pos="5580"/>
          <w:tab w:val="left" w:pos="6480"/>
        </w:tabs>
        <w:snapToGrid w:val="0"/>
        <w:spacing w:line="360" w:lineRule="auto"/>
        <w:ind w:left="720"/>
        <w:rPr>
          <w:rFonts w:ascii="宋体" w:hAnsi="宋体"/>
          <w:sz w:val="24"/>
        </w:rPr>
      </w:pPr>
      <w:r>
        <w:rPr>
          <w:rFonts w:hint="eastAsia" w:ascii="宋体" w:hAnsi="宋体"/>
          <w:sz w:val="24"/>
        </w:rPr>
        <w:t>每层厚度/质量：</w:t>
      </w:r>
      <w:r>
        <w:rPr>
          <w:rFonts w:hint="eastAsia" w:ascii="宋体" w:hAnsi="宋体"/>
          <w:sz w:val="24"/>
        </w:rPr>
        <w:tab/>
      </w:r>
      <w:r>
        <w:rPr>
          <w:rFonts w:hint="eastAsia" w:ascii="宋体" w:hAnsi="宋体"/>
          <w:sz w:val="24"/>
          <w:u w:val="single"/>
        </w:rPr>
        <w:tab/>
      </w:r>
      <w:r>
        <w:rPr>
          <w:rFonts w:hint="eastAsia" w:ascii="宋体" w:hAnsi="宋体"/>
          <w:sz w:val="24"/>
        </w:rPr>
        <w:t>mm/</w:t>
      </w:r>
      <w:r>
        <w:rPr>
          <w:rFonts w:hint="eastAsia" w:ascii="宋体" w:hAnsi="宋体"/>
          <w:sz w:val="24"/>
          <w:u w:val="single"/>
        </w:rPr>
        <w:tab/>
      </w:r>
      <w:r>
        <w:rPr>
          <w:rFonts w:hint="eastAsia" w:ascii="宋体" w:hAnsi="宋体"/>
          <w:sz w:val="24"/>
        </w:rPr>
        <w:t>kg/m</w:t>
      </w:r>
      <w:r>
        <w:rPr>
          <w:rFonts w:hint="eastAsia" w:ascii="宋体" w:hAnsi="宋体"/>
          <w:sz w:val="24"/>
          <w:vertAlign w:val="superscript"/>
        </w:rPr>
        <w:t>2</w:t>
      </w:r>
    </w:p>
    <w:p>
      <w:pPr>
        <w:widowControl/>
        <w:tabs>
          <w:tab w:val="left" w:pos="-2160"/>
          <w:tab w:val="left" w:pos="720"/>
          <w:tab w:val="left" w:pos="4320"/>
          <w:tab w:val="left" w:pos="6480"/>
        </w:tabs>
        <w:snapToGrid w:val="0"/>
        <w:spacing w:line="360" w:lineRule="auto"/>
        <w:ind w:left="720"/>
        <w:rPr>
          <w:rFonts w:ascii="宋体" w:hAnsi="宋体"/>
          <w:sz w:val="24"/>
        </w:rPr>
      </w:pPr>
      <w:r>
        <w:rPr>
          <w:rFonts w:hint="eastAsia" w:ascii="宋体" w:hAnsi="宋体"/>
          <w:sz w:val="24"/>
        </w:rPr>
        <w:t>层间粘合强度</w:t>
      </w:r>
      <w:r>
        <w:rPr>
          <w:rFonts w:hint="eastAsia" w:ascii="宋体" w:hAnsi="宋体"/>
          <w:sz w:val="24"/>
        </w:rPr>
        <w:tab/>
      </w:r>
      <w:r>
        <w:rPr>
          <w:rFonts w:hint="eastAsia" w:ascii="宋体" w:hAnsi="宋体"/>
          <w:sz w:val="24"/>
          <w:u w:val="single"/>
        </w:rPr>
        <w:tab/>
      </w:r>
      <w:r>
        <w:rPr>
          <w:rFonts w:hint="eastAsia" w:ascii="宋体" w:hAnsi="宋体"/>
          <w:sz w:val="24"/>
        </w:rPr>
        <w:t>N/mm</w:t>
      </w:r>
      <w:r>
        <w:rPr>
          <w:rFonts w:hint="eastAsia" w:ascii="宋体" w:hAnsi="宋体"/>
          <w:sz w:val="24"/>
          <w:vertAlign w:val="superscript"/>
        </w:rPr>
        <w:t>2</w:t>
      </w:r>
    </w:p>
    <w:p>
      <w:pPr>
        <w:widowControl/>
        <w:tabs>
          <w:tab w:val="left" w:pos="-2160"/>
          <w:tab w:val="left" w:pos="720"/>
          <w:tab w:val="left" w:pos="4320"/>
          <w:tab w:val="left" w:pos="6480"/>
        </w:tabs>
        <w:snapToGrid w:val="0"/>
        <w:spacing w:line="360" w:lineRule="auto"/>
        <w:ind w:left="720"/>
        <w:rPr>
          <w:rFonts w:ascii="宋体" w:hAnsi="宋体"/>
          <w:sz w:val="24"/>
          <w:u w:val="single"/>
        </w:rPr>
      </w:pPr>
      <w:r>
        <w:rPr>
          <w:rFonts w:hint="eastAsia" w:ascii="宋体" w:hAnsi="宋体"/>
          <w:sz w:val="24"/>
        </w:rPr>
        <w:t>层数：</w:t>
      </w:r>
      <w:r>
        <w:rPr>
          <w:rFonts w:hint="eastAsia" w:ascii="宋体" w:hAnsi="宋体"/>
          <w:sz w:val="24"/>
        </w:rPr>
        <w:tab/>
      </w:r>
      <w:r>
        <w:rPr>
          <w:rFonts w:hint="eastAsia" w:ascii="宋体" w:hAnsi="宋体"/>
          <w:sz w:val="24"/>
          <w:u w:val="single"/>
        </w:rPr>
        <w:tab/>
      </w:r>
    </w:p>
    <w:p>
      <w:pPr>
        <w:widowControl/>
        <w:tabs>
          <w:tab w:val="left" w:pos="-2160"/>
          <w:tab w:val="left" w:pos="720"/>
          <w:tab w:val="left" w:pos="4320"/>
          <w:tab w:val="left" w:pos="6480"/>
        </w:tabs>
        <w:snapToGrid w:val="0"/>
        <w:spacing w:line="360" w:lineRule="auto"/>
        <w:ind w:left="720"/>
        <w:rPr>
          <w:rFonts w:ascii="宋体" w:hAnsi="宋体"/>
          <w:sz w:val="24"/>
        </w:rPr>
      </w:pPr>
      <w:r>
        <w:rPr>
          <w:rFonts w:hint="eastAsia" w:ascii="宋体" w:hAnsi="宋体"/>
          <w:sz w:val="24"/>
        </w:rPr>
        <w:t>覆盖胶厚度：</w:t>
      </w:r>
    </w:p>
    <w:p>
      <w:pPr>
        <w:widowControl/>
        <w:tabs>
          <w:tab w:val="left" w:pos="-2160"/>
          <w:tab w:val="left" w:pos="1260"/>
          <w:tab w:val="left" w:pos="4320"/>
          <w:tab w:val="left" w:pos="5220"/>
          <w:tab w:val="left" w:pos="5580"/>
          <w:tab w:val="left" w:pos="6480"/>
        </w:tabs>
        <w:snapToGrid w:val="0"/>
        <w:spacing w:line="360" w:lineRule="auto"/>
        <w:ind w:left="660" w:leftChars="0" w:firstLine="540" w:firstLineChars="225"/>
        <w:rPr>
          <w:rFonts w:ascii="宋体" w:hAnsi="宋体"/>
          <w:sz w:val="24"/>
        </w:rPr>
      </w:pPr>
      <w:r>
        <w:rPr>
          <w:rFonts w:hint="eastAsia" w:ascii="宋体" w:hAnsi="宋体"/>
          <w:sz w:val="24"/>
        </w:rPr>
        <w:t>上胶厚度/质量：</w:t>
      </w:r>
      <w:r>
        <w:rPr>
          <w:rFonts w:hint="eastAsia" w:ascii="宋体" w:hAnsi="宋体"/>
          <w:sz w:val="24"/>
        </w:rPr>
        <w:tab/>
      </w:r>
      <w:r>
        <w:rPr>
          <w:rFonts w:hint="eastAsia" w:ascii="宋体" w:hAnsi="宋体"/>
          <w:sz w:val="24"/>
          <w:u w:val="single"/>
        </w:rPr>
        <w:tab/>
      </w:r>
      <w:r>
        <w:rPr>
          <w:rFonts w:hint="eastAsia" w:ascii="宋体" w:hAnsi="宋体"/>
          <w:sz w:val="24"/>
        </w:rPr>
        <w:t>mm/</w:t>
      </w:r>
      <w:r>
        <w:rPr>
          <w:rFonts w:hint="eastAsia" w:ascii="宋体" w:hAnsi="宋体"/>
          <w:sz w:val="24"/>
          <w:u w:val="single"/>
        </w:rPr>
        <w:tab/>
      </w:r>
      <w:r>
        <w:rPr>
          <w:rFonts w:hint="eastAsia" w:ascii="宋体" w:hAnsi="宋体"/>
          <w:sz w:val="24"/>
        </w:rPr>
        <w:t>kg/m</w:t>
      </w:r>
      <w:r>
        <w:rPr>
          <w:rFonts w:hint="eastAsia" w:ascii="宋体" w:hAnsi="宋体"/>
          <w:sz w:val="24"/>
          <w:vertAlign w:val="superscript"/>
        </w:rPr>
        <w:t>2</w:t>
      </w:r>
    </w:p>
    <w:p>
      <w:pPr>
        <w:widowControl/>
        <w:tabs>
          <w:tab w:val="left" w:pos="-2160"/>
          <w:tab w:val="left" w:pos="1260"/>
          <w:tab w:val="left" w:pos="4320"/>
          <w:tab w:val="left" w:pos="5220"/>
          <w:tab w:val="left" w:pos="5580"/>
          <w:tab w:val="left" w:pos="6480"/>
        </w:tabs>
        <w:snapToGrid w:val="0"/>
        <w:spacing w:line="360" w:lineRule="auto"/>
        <w:ind w:left="660" w:leftChars="0" w:firstLine="60" w:firstLineChars="25"/>
        <w:rPr>
          <w:rFonts w:ascii="宋体" w:hAnsi="宋体"/>
          <w:sz w:val="24"/>
          <w:vertAlign w:val="superscript"/>
        </w:rPr>
      </w:pPr>
      <w:r>
        <w:rPr>
          <w:rFonts w:hint="eastAsia" w:ascii="宋体" w:hAnsi="宋体"/>
          <w:sz w:val="24"/>
        </w:rPr>
        <w:tab/>
      </w:r>
      <w:r>
        <w:rPr>
          <w:rFonts w:hint="eastAsia" w:ascii="宋体" w:hAnsi="宋体"/>
          <w:sz w:val="24"/>
        </w:rPr>
        <w:t>下胶厚度/质量：</w:t>
      </w:r>
      <w:r>
        <w:rPr>
          <w:rFonts w:hint="eastAsia" w:ascii="宋体" w:hAnsi="宋体"/>
          <w:sz w:val="24"/>
        </w:rPr>
        <w:tab/>
      </w:r>
      <w:r>
        <w:rPr>
          <w:rFonts w:hint="eastAsia" w:ascii="宋体" w:hAnsi="宋体"/>
          <w:sz w:val="24"/>
          <w:u w:val="single"/>
        </w:rPr>
        <w:tab/>
      </w:r>
      <w:r>
        <w:rPr>
          <w:rFonts w:hint="eastAsia" w:ascii="宋体" w:hAnsi="宋体"/>
          <w:sz w:val="24"/>
        </w:rPr>
        <w:t>mm/</w:t>
      </w:r>
      <w:r>
        <w:rPr>
          <w:rFonts w:hint="eastAsia" w:ascii="宋体" w:hAnsi="宋体"/>
          <w:sz w:val="24"/>
          <w:u w:val="single"/>
        </w:rPr>
        <w:tab/>
      </w:r>
      <w:r>
        <w:rPr>
          <w:rFonts w:hint="eastAsia" w:ascii="宋体" w:hAnsi="宋体"/>
          <w:sz w:val="24"/>
        </w:rPr>
        <w:t>kg/m</w:t>
      </w:r>
      <w:r>
        <w:rPr>
          <w:rFonts w:hint="eastAsia" w:ascii="宋体" w:hAnsi="宋体"/>
          <w:sz w:val="24"/>
          <w:vertAlign w:val="superscript"/>
        </w:rPr>
        <w:t>2</w:t>
      </w:r>
    </w:p>
    <w:p>
      <w:pPr>
        <w:widowControl/>
        <w:tabs>
          <w:tab w:val="left" w:pos="-2160"/>
          <w:tab w:val="left" w:pos="1260"/>
          <w:tab w:val="left" w:pos="4320"/>
          <w:tab w:val="left" w:pos="5220"/>
          <w:tab w:val="left" w:pos="5580"/>
          <w:tab w:val="left" w:pos="6480"/>
        </w:tabs>
        <w:snapToGrid w:val="0"/>
        <w:spacing w:line="360" w:lineRule="auto"/>
        <w:ind w:left="660" w:leftChars="0" w:firstLine="60" w:firstLineChars="25"/>
        <w:rPr>
          <w:rFonts w:ascii="宋体" w:hAnsi="宋体"/>
          <w:sz w:val="24"/>
        </w:rPr>
      </w:pPr>
      <w:r>
        <w:rPr>
          <w:rFonts w:hint="eastAsia" w:ascii="宋体" w:hAnsi="宋体"/>
          <w:sz w:val="24"/>
        </w:rPr>
        <w:tab/>
      </w:r>
      <w:r>
        <w:rPr>
          <w:rFonts w:hint="eastAsia" w:ascii="宋体" w:hAnsi="宋体"/>
          <w:sz w:val="24"/>
        </w:rPr>
        <w:t>拉伸强度（不小于）</w:t>
      </w:r>
      <w:r>
        <w:rPr>
          <w:rFonts w:hint="eastAsia" w:ascii="宋体" w:hAnsi="宋体"/>
          <w:sz w:val="24"/>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MPa</w:t>
      </w:r>
    </w:p>
    <w:p>
      <w:pPr>
        <w:widowControl/>
        <w:tabs>
          <w:tab w:val="left" w:pos="-2160"/>
          <w:tab w:val="left" w:pos="1260"/>
          <w:tab w:val="left" w:pos="4320"/>
          <w:tab w:val="left" w:pos="5220"/>
          <w:tab w:val="left" w:pos="5580"/>
          <w:tab w:val="left" w:pos="6480"/>
        </w:tabs>
        <w:snapToGrid w:val="0"/>
        <w:spacing w:line="360" w:lineRule="auto"/>
        <w:ind w:left="660" w:leftChars="0" w:firstLine="60" w:firstLineChars="25"/>
        <w:rPr>
          <w:rFonts w:ascii="宋体" w:hAnsi="宋体"/>
          <w:sz w:val="24"/>
        </w:rPr>
      </w:pPr>
      <w:r>
        <w:rPr>
          <w:rFonts w:hint="eastAsia" w:ascii="宋体" w:hAnsi="宋体"/>
          <w:sz w:val="24"/>
        </w:rPr>
        <w:tab/>
      </w:r>
      <w:r>
        <w:rPr>
          <w:rFonts w:hint="eastAsia" w:ascii="宋体" w:hAnsi="宋体"/>
          <w:sz w:val="24"/>
        </w:rPr>
        <w:t>扯断延伸率（不小于）</w:t>
      </w:r>
      <w:r>
        <w:rPr>
          <w:rFonts w:hint="eastAsia" w:ascii="宋体" w:hAnsi="宋体"/>
          <w:sz w:val="24"/>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w:t>
      </w:r>
    </w:p>
    <w:p>
      <w:pPr>
        <w:widowControl/>
        <w:tabs>
          <w:tab w:val="left" w:pos="-2160"/>
          <w:tab w:val="left" w:pos="1260"/>
          <w:tab w:val="left" w:pos="4320"/>
          <w:tab w:val="left" w:pos="5220"/>
          <w:tab w:val="left" w:pos="5580"/>
          <w:tab w:val="left" w:pos="6480"/>
        </w:tabs>
        <w:snapToGrid w:val="0"/>
        <w:spacing w:line="360" w:lineRule="auto"/>
        <w:ind w:left="660" w:leftChars="0" w:firstLine="60" w:firstLineChars="25"/>
        <w:rPr>
          <w:rFonts w:ascii="宋体" w:hAnsi="宋体"/>
          <w:sz w:val="24"/>
        </w:rPr>
      </w:pPr>
      <w:r>
        <w:rPr>
          <w:rFonts w:hint="eastAsia" w:ascii="宋体" w:hAnsi="宋体"/>
          <w:sz w:val="24"/>
        </w:rPr>
        <w:tab/>
      </w:r>
      <w:r>
        <w:rPr>
          <w:rFonts w:hint="eastAsia" w:ascii="宋体" w:hAnsi="宋体"/>
          <w:sz w:val="24"/>
        </w:rPr>
        <w:t>磨耗量（不大于）</w:t>
      </w:r>
      <w:r>
        <w:rPr>
          <w:rFonts w:hint="eastAsia" w:ascii="宋体" w:hAnsi="宋体"/>
          <w:sz w:val="24"/>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mm</w:t>
      </w:r>
      <w:r>
        <w:rPr>
          <w:rFonts w:hint="eastAsia" w:ascii="宋体" w:hAnsi="宋体"/>
          <w:sz w:val="24"/>
          <w:vertAlign w:val="superscript"/>
        </w:rPr>
        <w:t>3</w:t>
      </w:r>
    </w:p>
    <w:p>
      <w:pPr>
        <w:widowControl/>
        <w:tabs>
          <w:tab w:val="left" w:pos="-2160"/>
          <w:tab w:val="left" w:pos="720"/>
          <w:tab w:val="left" w:pos="1260"/>
          <w:tab w:val="left" w:pos="4320"/>
          <w:tab w:val="left" w:pos="5220"/>
          <w:tab w:val="left" w:pos="5580"/>
          <w:tab w:val="left" w:pos="6480"/>
        </w:tabs>
        <w:snapToGrid w:val="0"/>
        <w:spacing w:line="360" w:lineRule="auto"/>
        <w:ind w:left="720"/>
        <w:rPr>
          <w:rFonts w:ascii="宋体" w:hAnsi="宋体"/>
          <w:sz w:val="24"/>
          <w:u w:val="single"/>
        </w:rPr>
      </w:pPr>
      <w:r>
        <w:rPr>
          <w:rFonts w:hint="eastAsia" w:ascii="宋体" w:hAnsi="宋体"/>
          <w:sz w:val="24"/>
        </w:rPr>
        <w:t>成槽性指标</w:t>
      </w:r>
      <w:r>
        <w:rPr>
          <w:rFonts w:hint="eastAsia" w:ascii="宋体" w:hAnsi="宋体"/>
          <w:sz w:val="24"/>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 差异</w:t>
      </w:r>
    </w:p>
    <w:p>
      <w:pPr>
        <w:spacing w:line="360" w:lineRule="auto"/>
        <w:ind w:firstLine="480" w:firstLineChars="200"/>
        <w:rPr>
          <w:rFonts w:ascii="宋体"/>
          <w:sz w:val="24"/>
        </w:rPr>
      </w:pPr>
      <w:r>
        <w:rPr>
          <w:rFonts w:hint="eastAsia" w:ascii="宋体" w:hAnsi="宋体"/>
          <w:sz w:val="24"/>
        </w:rPr>
        <w:t>投标方应将投标书与本规范书的差异部分的技术数据详细列出。</w:t>
      </w:r>
    </w:p>
    <w:p>
      <w:pPr>
        <w:keepNext/>
        <w:tabs>
          <w:tab w:val="left" w:pos="570"/>
          <w:tab w:val="left" w:pos="600"/>
        </w:tabs>
        <w:adjustRightInd w:val="0"/>
        <w:spacing w:line="360" w:lineRule="auto"/>
        <w:textAlignment w:val="baseline"/>
        <w:outlineLvl w:val="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10.设备交货</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 交货地点为招标方现场。</w:t>
      </w:r>
    </w:p>
    <w:p>
      <w:pPr>
        <w:spacing w:line="360" w:lineRule="auto"/>
        <w:ind w:firstLine="480" w:firstLineChars="200"/>
        <w:rPr>
          <w:rFonts w:ascii="Times New Roman"/>
          <w:bCs w:val="0"/>
          <w:sz w:val="24"/>
          <w:szCs w:val="24"/>
          <w:lang w:eastAsia="zh-CN"/>
        </w:rPr>
      </w:pPr>
      <w:r>
        <w:rPr>
          <w:rFonts w:hint="eastAsia" w:ascii="宋体" w:hAnsi="宋体" w:cs="宋体"/>
          <w:color w:val="000000" w:themeColor="text1"/>
          <w:sz w:val="24"/>
          <w14:textFill>
            <w14:solidFill>
              <w14:schemeClr w14:val="tx1"/>
            </w14:solidFill>
          </w14:textFill>
        </w:rPr>
        <w:t>10.2 输送胶带供货期为合同签订日期起40天。</w:t>
      </w:r>
    </w:p>
    <w:sectPr>
      <w:headerReference r:id="rId5" w:type="default"/>
      <w:pgSz w:w="11910" w:h="16840"/>
      <w:pgMar w:top="1500" w:right="990" w:bottom="740" w:left="1240" w:header="0" w:footer="5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Malgun Gothic Semilight"/>
    <w:panose1 w:val="00000000000000000000"/>
    <w:charset w:val="86"/>
    <w:family w:val="script"/>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syIconfon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PMingLiU">
    <w:altName w:val="PMingLiU-ExtB"/>
    <w:panose1 w:val="02020500000000000000"/>
    <w:charset w:val="88"/>
    <w:family w:val="roman"/>
    <w:pitch w:val="default"/>
    <w:sig w:usb0="00000000" w:usb1="00000000" w:usb2="00000016" w:usb3="00000000" w:csb0="00100001" w:csb1="00000000"/>
  </w:font>
  <w:font w:name="华康宋体W5(P)">
    <w:altName w:val="宋体"/>
    <w:panose1 w:val="00000000000000000000"/>
    <w:charset w:val="86"/>
    <w:family w:val="roman"/>
    <w:pitch w:val="default"/>
    <w:sig w:usb0="00000000" w:usb1="00000000" w:usb2="0000001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华康宋体W7(P)">
    <w:altName w:val="宋体"/>
    <w:panose1 w:val="00000000000000000000"/>
    <w:charset w:val="86"/>
    <w:family w:val="roman"/>
    <w:pitch w:val="default"/>
    <w:sig w:usb0="00000000" w:usb1="00000000" w:usb2="00000010" w:usb3="00000000" w:csb0="00040000" w:csb1="00000000"/>
  </w:font>
  <w:font w:name="华康黑体W7(P)">
    <w:altName w:val="新宋体"/>
    <w:panose1 w:val="00000000000000000000"/>
    <w:charset w:val="86"/>
    <w:family w:val="swiss"/>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华康黑体W9(P)">
    <w:altName w:val="新宋体"/>
    <w:panose1 w:val="00000000000000000000"/>
    <w:charset w:val="86"/>
    <w:family w:val="swiss"/>
    <w:pitch w:val="default"/>
    <w:sig w:usb0="00000000" w:usb1="00000000" w:usb2="00000010" w:usb3="00000000" w:csb0="00040000" w:csb1="00000000"/>
  </w:font>
  <w:font w:name="Arial Rounded MT Bold">
    <w:panose1 w:val="020F0704030504030204"/>
    <w:charset w:val="00"/>
    <w:family w:val="swiss"/>
    <w:pitch w:val="default"/>
    <w:sig w:usb0="00000003" w:usb1="00000000" w:usb2="00000000" w:usb3="00000000" w:csb0="20000001" w:csb1="00000000"/>
  </w:font>
  <w:font w:name="DFPHeiW7-GB">
    <w:altName w:val="新宋体"/>
    <w:panose1 w:val="00000000000000000000"/>
    <w:charset w:val="86"/>
    <w:family w:val="swiss"/>
    <w:pitch w:val="default"/>
    <w:sig w:usb0="00000000" w:usb1="00000000" w:usb2="00000010" w:usb3="00000000" w:csb0="00040000" w:csb1="00000000"/>
  </w:font>
  <w:font w:name="DFPSongW9-GB">
    <w:altName w:val="宋体"/>
    <w:panose1 w:val="00000000000000000000"/>
    <w:charset w:val="86"/>
    <w:family w:val="roma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40000" w:csb1="00000000"/>
  </w:font>
  <w:font w:name="Technic">
    <w:altName w:val="ksdb"/>
    <w:panose1 w:val="00000400000000000000"/>
    <w:charset w:val="02"/>
    <w:family w:val="auto"/>
    <w:pitch w:val="default"/>
    <w:sig w:usb0="00000000" w:usb1="00000000" w:usb2="00000000" w:usb3="00000000" w:csb0="80000000" w:csb1="00000000"/>
  </w:font>
  <w:font w:name="ksdb">
    <w:panose1 w:val="02000500000000000000"/>
    <w:charset w:val="02"/>
    <w:family w:val="auto"/>
    <w:pitch w:val="default"/>
    <w:sig w:usb0="00000001"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v:textbox>
            </v:shape>
          </w:pict>
        </mc:Fallback>
      </mc:AlternateContent>
    </w:r>
    <w:r>
      <w:rPr>
        <w:lang w:eastAsia="zh-CN"/>
      </w:rP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2">
    <w:nsid w:val="632AD4CB"/>
    <w:multiLevelType w:val="singleLevel"/>
    <w:tmpl w:val="632AD4CB"/>
    <w:lvl w:ilvl="0" w:tentative="0">
      <w:start w:val="3"/>
      <w:numFmt w:val="decimal"/>
      <w:suff w:val="nothing"/>
      <w:lvlText w:val="%1."/>
      <w:lvlJc w:val="left"/>
    </w:lvl>
  </w:abstractNum>
  <w:abstractNum w:abstractNumId="3">
    <w:nsid w:val="63D9F109"/>
    <w:multiLevelType w:val="singleLevel"/>
    <w:tmpl w:val="63D9F109"/>
    <w:lvl w:ilvl="0" w:tentative="0">
      <w:start w:val="1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371BF"/>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3D87"/>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46C6"/>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06C9C"/>
    <w:rsid w:val="00C10120"/>
    <w:rsid w:val="00C13BCC"/>
    <w:rsid w:val="00C14D43"/>
    <w:rsid w:val="00C22115"/>
    <w:rsid w:val="00C236A4"/>
    <w:rsid w:val="00C31793"/>
    <w:rsid w:val="00C32653"/>
    <w:rsid w:val="00C32735"/>
    <w:rsid w:val="00C3555D"/>
    <w:rsid w:val="00C54C86"/>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374B7"/>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286C"/>
    <w:rsid w:val="00FB3167"/>
    <w:rsid w:val="00FC0F19"/>
    <w:rsid w:val="00FD2D2E"/>
    <w:rsid w:val="00FE30FE"/>
    <w:rsid w:val="00FE3FD9"/>
    <w:rsid w:val="00FE63CC"/>
    <w:rsid w:val="00FE775B"/>
    <w:rsid w:val="00FF618B"/>
    <w:rsid w:val="00FF7A44"/>
    <w:rsid w:val="011B3C08"/>
    <w:rsid w:val="029D7B85"/>
    <w:rsid w:val="0367315B"/>
    <w:rsid w:val="03863E76"/>
    <w:rsid w:val="04C46F27"/>
    <w:rsid w:val="061139E5"/>
    <w:rsid w:val="06F50B00"/>
    <w:rsid w:val="076E1278"/>
    <w:rsid w:val="087F30EE"/>
    <w:rsid w:val="08D1141D"/>
    <w:rsid w:val="0B296DE2"/>
    <w:rsid w:val="0B7606CD"/>
    <w:rsid w:val="0CEC2637"/>
    <w:rsid w:val="0D704EEE"/>
    <w:rsid w:val="0EEC5213"/>
    <w:rsid w:val="0FBB2AA9"/>
    <w:rsid w:val="10294AA3"/>
    <w:rsid w:val="10E40CA0"/>
    <w:rsid w:val="119B15AF"/>
    <w:rsid w:val="136130D9"/>
    <w:rsid w:val="14530DB8"/>
    <w:rsid w:val="15342061"/>
    <w:rsid w:val="15546984"/>
    <w:rsid w:val="1571589E"/>
    <w:rsid w:val="163810E9"/>
    <w:rsid w:val="164500FE"/>
    <w:rsid w:val="18D85DB9"/>
    <w:rsid w:val="18DD4F7E"/>
    <w:rsid w:val="195B58A2"/>
    <w:rsid w:val="1AED4C21"/>
    <w:rsid w:val="1B446846"/>
    <w:rsid w:val="1CEC66D6"/>
    <w:rsid w:val="1D9220E3"/>
    <w:rsid w:val="1E085A14"/>
    <w:rsid w:val="1E292449"/>
    <w:rsid w:val="1EB71B1C"/>
    <w:rsid w:val="1EE21CAD"/>
    <w:rsid w:val="1F044534"/>
    <w:rsid w:val="1FA4685B"/>
    <w:rsid w:val="1FF43DDB"/>
    <w:rsid w:val="20633EC5"/>
    <w:rsid w:val="20E43EB1"/>
    <w:rsid w:val="21933AA2"/>
    <w:rsid w:val="22AA7317"/>
    <w:rsid w:val="23D76621"/>
    <w:rsid w:val="256E3003"/>
    <w:rsid w:val="25A20865"/>
    <w:rsid w:val="25BF356F"/>
    <w:rsid w:val="25DB0C2D"/>
    <w:rsid w:val="2606538D"/>
    <w:rsid w:val="269469E7"/>
    <w:rsid w:val="29FC3B14"/>
    <w:rsid w:val="2AB2657F"/>
    <w:rsid w:val="2B11792E"/>
    <w:rsid w:val="2CA57894"/>
    <w:rsid w:val="2EB074DD"/>
    <w:rsid w:val="303B0899"/>
    <w:rsid w:val="306C6CAE"/>
    <w:rsid w:val="30D575BA"/>
    <w:rsid w:val="31C54755"/>
    <w:rsid w:val="3216608C"/>
    <w:rsid w:val="3268767C"/>
    <w:rsid w:val="34CE14C6"/>
    <w:rsid w:val="34D84CEC"/>
    <w:rsid w:val="37AF5AB7"/>
    <w:rsid w:val="3B1C3371"/>
    <w:rsid w:val="3BB245ED"/>
    <w:rsid w:val="3C2D1CAF"/>
    <w:rsid w:val="3CC23198"/>
    <w:rsid w:val="3DDF4815"/>
    <w:rsid w:val="3FE669E5"/>
    <w:rsid w:val="416E4815"/>
    <w:rsid w:val="483E701C"/>
    <w:rsid w:val="492B4BE8"/>
    <w:rsid w:val="49A31EDC"/>
    <w:rsid w:val="4BEC1A5B"/>
    <w:rsid w:val="4DF91097"/>
    <w:rsid w:val="500F48EF"/>
    <w:rsid w:val="50F63E28"/>
    <w:rsid w:val="52105747"/>
    <w:rsid w:val="5221007F"/>
    <w:rsid w:val="52926B5A"/>
    <w:rsid w:val="532903B4"/>
    <w:rsid w:val="53A67610"/>
    <w:rsid w:val="545C5E51"/>
    <w:rsid w:val="5486175B"/>
    <w:rsid w:val="56BD11E9"/>
    <w:rsid w:val="56DF49FA"/>
    <w:rsid w:val="575C4DBC"/>
    <w:rsid w:val="57633E10"/>
    <w:rsid w:val="57667D24"/>
    <w:rsid w:val="57CE5BC3"/>
    <w:rsid w:val="59F5351B"/>
    <w:rsid w:val="5A806ED1"/>
    <w:rsid w:val="5A872A61"/>
    <w:rsid w:val="5AE1516A"/>
    <w:rsid w:val="5B6A3A79"/>
    <w:rsid w:val="5C1A5F7B"/>
    <w:rsid w:val="5C8277EA"/>
    <w:rsid w:val="5CC36560"/>
    <w:rsid w:val="5E88034A"/>
    <w:rsid w:val="61AA2B18"/>
    <w:rsid w:val="61AE1852"/>
    <w:rsid w:val="627C4924"/>
    <w:rsid w:val="62BE744D"/>
    <w:rsid w:val="64422A6F"/>
    <w:rsid w:val="645771F8"/>
    <w:rsid w:val="652C0473"/>
    <w:rsid w:val="68B757AA"/>
    <w:rsid w:val="6A54112D"/>
    <w:rsid w:val="6A5912F3"/>
    <w:rsid w:val="6AA035AE"/>
    <w:rsid w:val="6D2A2CD8"/>
    <w:rsid w:val="6E0F2E14"/>
    <w:rsid w:val="6E1A1323"/>
    <w:rsid w:val="6EAC3A35"/>
    <w:rsid w:val="6F1E141D"/>
    <w:rsid w:val="6F5354F8"/>
    <w:rsid w:val="71DE44CD"/>
    <w:rsid w:val="740A2BDE"/>
    <w:rsid w:val="749E5291"/>
    <w:rsid w:val="74C90132"/>
    <w:rsid w:val="751839E0"/>
    <w:rsid w:val="75647DB0"/>
    <w:rsid w:val="76274F93"/>
    <w:rsid w:val="77092B5C"/>
    <w:rsid w:val="778B1930"/>
    <w:rsid w:val="786632E3"/>
    <w:rsid w:val="78D95F9C"/>
    <w:rsid w:val="78DC4EE3"/>
    <w:rsid w:val="79CD50BE"/>
    <w:rsid w:val="79CF13B5"/>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7"/>
    <w:qFormat/>
    <w:uiPriority w:val="99"/>
    <w:pPr>
      <w:ind w:left="538"/>
      <w:outlineLvl w:val="0"/>
    </w:pPr>
    <w:rPr>
      <w:b/>
      <w:bCs/>
      <w:sz w:val="28"/>
      <w:szCs w:val="28"/>
    </w:rPr>
  </w:style>
  <w:style w:type="paragraph" w:styleId="3">
    <w:name w:val="heading 2"/>
    <w:basedOn w:val="1"/>
    <w:next w:val="1"/>
    <w:link w:val="53"/>
    <w:qFormat/>
    <w:uiPriority w:val="0"/>
    <w:pPr>
      <w:ind w:left="629"/>
      <w:outlineLvl w:val="1"/>
    </w:pPr>
    <w:rPr>
      <w:b/>
      <w:bCs/>
      <w:sz w:val="24"/>
      <w:szCs w:val="24"/>
    </w:rPr>
  </w:style>
  <w:style w:type="paragraph" w:styleId="4">
    <w:name w:val="heading 3"/>
    <w:basedOn w:val="1"/>
    <w:next w:val="1"/>
    <w:link w:val="4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3">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5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
    <w:name w:val="Document Map"/>
    <w:basedOn w:val="1"/>
    <w:link w:val="62"/>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8">
    <w:name w:val="annotation text"/>
    <w:basedOn w:val="1"/>
    <w:link w:val="47"/>
    <w:qFormat/>
    <w:uiPriority w:val="99"/>
    <w:pPr>
      <w:autoSpaceDE/>
      <w:autoSpaceDN/>
      <w:jc w:val="both"/>
    </w:pPr>
    <w:rPr>
      <w:rFonts w:ascii="Times New Roman" w:hAnsi="Times New Roman" w:cs="Times New Roman"/>
      <w:kern w:val="2"/>
      <w:sz w:val="21"/>
      <w:szCs w:val="20"/>
      <w:lang w:eastAsia="zh-CN"/>
    </w:rPr>
  </w:style>
  <w:style w:type="paragraph" w:styleId="9">
    <w:name w:val="Body Text"/>
    <w:basedOn w:val="1"/>
    <w:link w:val="55"/>
    <w:qFormat/>
    <w:uiPriority w:val="1"/>
    <w:rPr>
      <w:sz w:val="24"/>
      <w:szCs w:val="24"/>
    </w:rPr>
  </w:style>
  <w:style w:type="paragraph" w:styleId="10">
    <w:name w:val="Body Text Indent"/>
    <w:basedOn w:val="1"/>
    <w:link w:val="59"/>
    <w:qFormat/>
    <w:uiPriority w:val="0"/>
    <w:pPr>
      <w:spacing w:after="120"/>
      <w:ind w:left="420" w:leftChars="200"/>
    </w:pPr>
  </w:style>
  <w:style w:type="paragraph" w:styleId="11">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2">
    <w:name w:val="Plain Text"/>
    <w:basedOn w:val="1"/>
    <w:link w:val="51"/>
    <w:qFormat/>
    <w:uiPriority w:val="99"/>
    <w:rPr>
      <w:rFonts w:hAnsi="Courier New" w:cs="Courier New"/>
      <w:szCs w:val="21"/>
    </w:rPr>
  </w:style>
  <w:style w:type="paragraph" w:styleId="13">
    <w:name w:val="Date"/>
    <w:basedOn w:val="1"/>
    <w:next w:val="1"/>
    <w:link w:val="37"/>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4">
    <w:name w:val="Body Text Indent 2"/>
    <w:basedOn w:val="1"/>
    <w:link w:val="50"/>
    <w:qFormat/>
    <w:uiPriority w:val="0"/>
    <w:pPr>
      <w:spacing w:after="120" w:line="480" w:lineRule="auto"/>
      <w:ind w:left="420" w:leftChars="200"/>
    </w:pPr>
  </w:style>
  <w:style w:type="paragraph" w:styleId="15">
    <w:name w:val="Balloon Text"/>
    <w:basedOn w:val="1"/>
    <w:link w:val="41"/>
    <w:qFormat/>
    <w:uiPriority w:val="99"/>
    <w:rPr>
      <w:sz w:val="18"/>
      <w:szCs w:val="18"/>
    </w:rPr>
  </w:style>
  <w:style w:type="paragraph" w:styleId="16">
    <w:name w:val="footer"/>
    <w:basedOn w:val="1"/>
    <w:link w:val="42"/>
    <w:qFormat/>
    <w:uiPriority w:val="99"/>
    <w:pPr>
      <w:tabs>
        <w:tab w:val="center" w:pos="4153"/>
        <w:tab w:val="right" w:pos="8306"/>
      </w:tabs>
      <w:snapToGrid w:val="0"/>
    </w:pPr>
    <w:rPr>
      <w:sz w:val="18"/>
      <w:szCs w:val="18"/>
    </w:rPr>
  </w:style>
  <w:style w:type="paragraph" w:styleId="17">
    <w:name w:val="header"/>
    <w:basedOn w:val="1"/>
    <w:link w:val="6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19">
    <w:name w:val="Subtitle"/>
    <w:basedOn w:val="1"/>
    <w:next w:val="1"/>
    <w:link w:val="63"/>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0">
    <w:name w:val="List"/>
    <w:basedOn w:val="1"/>
    <w:qFormat/>
    <w:uiPriority w:val="0"/>
    <w:pPr>
      <w:widowControl/>
      <w:autoSpaceDE/>
      <w:autoSpaceDN/>
      <w:ind w:left="420" w:hanging="420"/>
    </w:pPr>
    <w:rPr>
      <w:rFonts w:hAnsi="Times New Roman" w:cs="Times New Roman"/>
      <w:szCs w:val="20"/>
      <w:lang w:eastAsia="zh-CN"/>
    </w:rPr>
  </w:style>
  <w:style w:type="paragraph" w:styleId="21">
    <w:name w:val="Body Text 2"/>
    <w:basedOn w:val="1"/>
    <w:link w:val="49"/>
    <w:qFormat/>
    <w:uiPriority w:val="0"/>
    <w:pPr>
      <w:spacing w:after="120" w:line="480" w:lineRule="auto"/>
    </w:pPr>
  </w:style>
  <w:style w:type="paragraph" w:styleId="22">
    <w:name w:val="Title"/>
    <w:basedOn w:val="1"/>
    <w:next w:val="1"/>
    <w:link w:val="64"/>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4">
    <w:name w:val="Strong"/>
    <w:qFormat/>
    <w:uiPriority w:val="99"/>
    <w:rPr>
      <w:b/>
      <w:bCs/>
    </w:rPr>
  </w:style>
  <w:style w:type="character" w:styleId="25">
    <w:name w:val="page number"/>
    <w:basedOn w:val="23"/>
    <w:qFormat/>
    <w:uiPriority w:val="99"/>
    <w:rPr>
      <w:rFonts w:cs="Times New Roman"/>
    </w:rPr>
  </w:style>
  <w:style w:type="character" w:styleId="26">
    <w:name w:val="FollowedHyperlink"/>
    <w:basedOn w:val="23"/>
    <w:qFormat/>
    <w:uiPriority w:val="99"/>
    <w:rPr>
      <w:rFonts w:cs="Times New Roman"/>
      <w:color w:val="800080"/>
      <w:u w:val="single"/>
    </w:rPr>
  </w:style>
  <w:style w:type="character" w:styleId="27">
    <w:name w:val="Emphasis"/>
    <w:basedOn w:val="23"/>
    <w:qFormat/>
    <w:uiPriority w:val="20"/>
    <w:rPr>
      <w:i/>
      <w:iCs/>
    </w:rPr>
  </w:style>
  <w:style w:type="character" w:styleId="28">
    <w:name w:val="Hyperlink"/>
    <w:basedOn w:val="23"/>
    <w:qFormat/>
    <w:uiPriority w:val="99"/>
    <w:rPr>
      <w:color w:val="0000FF"/>
      <w:u w:val="single"/>
    </w:rPr>
  </w:style>
  <w:style w:type="character" w:styleId="29">
    <w:name w:val="HTML Code"/>
    <w:basedOn w:val="23"/>
    <w:qFormat/>
    <w:uiPriority w:val="0"/>
    <w:rPr>
      <w:rFonts w:ascii="Courier New" w:hAnsi="Courier New"/>
      <w:sz w:val="20"/>
    </w:rPr>
  </w:style>
  <w:style w:type="table" w:styleId="31">
    <w:name w:val="Table Grid"/>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2">
    <w:name w:val="正文1"/>
    <w:link w:val="58"/>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table" w:customStyle="1" w:styleId="33">
    <w:name w:val="Table Normal"/>
    <w:unhideWhenUsed/>
    <w:qFormat/>
    <w:uiPriority w:val="2"/>
    <w:tblPr>
      <w:tblLayout w:type="fixed"/>
      <w:tblCellMar>
        <w:top w:w="0" w:type="dxa"/>
        <w:left w:w="0" w:type="dxa"/>
        <w:bottom w:w="0" w:type="dxa"/>
        <w:right w:w="0" w:type="dxa"/>
      </w:tblCellMar>
    </w:tblPr>
  </w:style>
  <w:style w:type="paragraph" w:customStyle="1" w:styleId="34">
    <w:name w:val="列出段落1"/>
    <w:basedOn w:val="1"/>
    <w:qFormat/>
    <w:uiPriority w:val="99"/>
    <w:pPr>
      <w:spacing w:before="206"/>
      <w:ind w:left="959" w:hanging="361"/>
    </w:pPr>
  </w:style>
  <w:style w:type="paragraph" w:customStyle="1" w:styleId="35">
    <w:name w:val="Table Paragraph"/>
    <w:basedOn w:val="1"/>
    <w:qFormat/>
    <w:uiPriority w:val="1"/>
  </w:style>
  <w:style w:type="paragraph" w:customStyle="1" w:styleId="3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7">
    <w:name w:val="日期 Char"/>
    <w:basedOn w:val="23"/>
    <w:link w:val="13"/>
    <w:qFormat/>
    <w:uiPriority w:val="99"/>
    <w:rPr>
      <w:rFonts w:asciiTheme="minorHAnsi" w:hAnsiTheme="minorHAnsi" w:eastAsiaTheme="minorEastAsia" w:cstheme="minorBidi"/>
      <w:kern w:val="2"/>
      <w:sz w:val="21"/>
      <w:szCs w:val="22"/>
    </w:rPr>
  </w:style>
  <w:style w:type="paragraph" w:customStyle="1" w:styleId="38">
    <w:name w:val="样式1"/>
    <w:basedOn w:val="1"/>
    <w:link w:val="76"/>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9">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0">
    <w:name w:val="xdrichtextbox2"/>
    <w:basedOn w:val="23"/>
    <w:qFormat/>
    <w:uiPriority w:val="0"/>
    <w:rPr>
      <w:color w:val="0000FF"/>
      <w:sz w:val="18"/>
      <w:szCs w:val="18"/>
      <w:u w:val="none"/>
      <w:bdr w:val="single" w:color="DCDCDC" w:sz="8" w:space="0"/>
      <w:shd w:val="clear" w:color="auto" w:fill="FFFFFF"/>
    </w:rPr>
  </w:style>
  <w:style w:type="character" w:customStyle="1" w:styleId="41">
    <w:name w:val="批注框文本 Char"/>
    <w:basedOn w:val="23"/>
    <w:link w:val="15"/>
    <w:qFormat/>
    <w:uiPriority w:val="99"/>
    <w:rPr>
      <w:rFonts w:ascii="宋体" w:hAnsi="宋体" w:cs="宋体"/>
      <w:sz w:val="18"/>
      <w:szCs w:val="18"/>
      <w:lang w:eastAsia="en-US"/>
    </w:rPr>
  </w:style>
  <w:style w:type="character" w:customStyle="1" w:styleId="42">
    <w:name w:val="页脚 Char"/>
    <w:basedOn w:val="23"/>
    <w:link w:val="16"/>
    <w:qFormat/>
    <w:uiPriority w:val="99"/>
    <w:rPr>
      <w:rFonts w:ascii="宋体" w:hAnsi="宋体" w:cs="宋体"/>
      <w:sz w:val="18"/>
      <w:szCs w:val="18"/>
      <w:lang w:eastAsia="en-US"/>
    </w:rPr>
  </w:style>
  <w:style w:type="paragraph" w:customStyle="1" w:styleId="4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4">
    <w:name w:val="apple-converted-space"/>
    <w:basedOn w:val="23"/>
    <w:qFormat/>
    <w:uiPriority w:val="0"/>
  </w:style>
  <w:style w:type="paragraph" w:customStyle="1" w:styleId="45">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6">
    <w:name w:val="标题 3 Char"/>
    <w:basedOn w:val="23"/>
    <w:link w:val="4"/>
    <w:qFormat/>
    <w:uiPriority w:val="0"/>
    <w:rPr>
      <w:rFonts w:ascii="宋体" w:hAnsi="宋体" w:cs="宋体"/>
      <w:b/>
      <w:bCs/>
      <w:sz w:val="32"/>
      <w:szCs w:val="32"/>
      <w:lang w:eastAsia="en-US"/>
    </w:rPr>
  </w:style>
  <w:style w:type="character" w:customStyle="1" w:styleId="47">
    <w:name w:val="批注文字 Char"/>
    <w:basedOn w:val="23"/>
    <w:link w:val="8"/>
    <w:qFormat/>
    <w:uiPriority w:val="99"/>
    <w:rPr>
      <w:kern w:val="2"/>
      <w:sz w:val="21"/>
    </w:rPr>
  </w:style>
  <w:style w:type="paragraph" w:customStyle="1" w:styleId="48">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9">
    <w:name w:val="正文文本 2 Char"/>
    <w:basedOn w:val="23"/>
    <w:link w:val="21"/>
    <w:qFormat/>
    <w:uiPriority w:val="0"/>
    <w:rPr>
      <w:rFonts w:ascii="宋体" w:hAnsi="宋体" w:cs="宋体"/>
      <w:sz w:val="22"/>
      <w:szCs w:val="22"/>
      <w:lang w:eastAsia="en-US"/>
    </w:rPr>
  </w:style>
  <w:style w:type="character" w:customStyle="1" w:styleId="50">
    <w:name w:val="正文文本缩进 2 Char"/>
    <w:basedOn w:val="23"/>
    <w:link w:val="14"/>
    <w:qFormat/>
    <w:uiPriority w:val="0"/>
    <w:rPr>
      <w:rFonts w:ascii="宋体" w:hAnsi="宋体" w:cs="宋体"/>
      <w:sz w:val="22"/>
      <w:szCs w:val="22"/>
      <w:lang w:eastAsia="en-US"/>
    </w:rPr>
  </w:style>
  <w:style w:type="character" w:customStyle="1" w:styleId="51">
    <w:name w:val="纯文本 Char"/>
    <w:basedOn w:val="23"/>
    <w:link w:val="12"/>
    <w:qFormat/>
    <w:uiPriority w:val="0"/>
    <w:rPr>
      <w:rFonts w:ascii="宋体" w:hAnsi="Courier New" w:cs="Courier New"/>
      <w:sz w:val="22"/>
      <w:szCs w:val="21"/>
      <w:lang w:eastAsia="en-US"/>
    </w:rPr>
  </w:style>
  <w:style w:type="paragraph" w:customStyle="1" w:styleId="52">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3">
    <w:name w:val="标题 2 Char"/>
    <w:basedOn w:val="23"/>
    <w:link w:val="3"/>
    <w:qFormat/>
    <w:uiPriority w:val="0"/>
    <w:rPr>
      <w:rFonts w:ascii="宋体" w:hAnsi="宋体" w:cs="宋体"/>
      <w:b/>
      <w:bCs/>
      <w:sz w:val="24"/>
      <w:szCs w:val="24"/>
      <w:lang w:eastAsia="en-US"/>
    </w:rPr>
  </w:style>
  <w:style w:type="character" w:customStyle="1" w:styleId="54">
    <w:name w:val="正文缩进 Char"/>
    <w:link w:val="6"/>
    <w:qFormat/>
    <w:uiPriority w:val="0"/>
    <w:rPr>
      <w:sz w:val="24"/>
    </w:rPr>
  </w:style>
  <w:style w:type="character" w:customStyle="1" w:styleId="55">
    <w:name w:val="正文文本 Char"/>
    <w:basedOn w:val="23"/>
    <w:link w:val="9"/>
    <w:qFormat/>
    <w:uiPriority w:val="0"/>
    <w:rPr>
      <w:rFonts w:ascii="宋体" w:hAnsi="宋体" w:cs="宋体"/>
      <w:sz w:val="24"/>
      <w:szCs w:val="24"/>
      <w:lang w:eastAsia="en-US"/>
    </w:rPr>
  </w:style>
  <w:style w:type="character" w:customStyle="1" w:styleId="56">
    <w:name w:val="普通文字 Char2"/>
    <w:basedOn w:val="23"/>
    <w:qFormat/>
    <w:uiPriority w:val="0"/>
    <w:rPr>
      <w:rFonts w:ascii="宋体" w:hAnsi="Courier New" w:cs="Courier New"/>
      <w:sz w:val="22"/>
      <w:szCs w:val="21"/>
      <w:lang w:eastAsia="en-US"/>
    </w:rPr>
  </w:style>
  <w:style w:type="character" w:customStyle="1" w:styleId="57">
    <w:name w:val="标题 1 Char"/>
    <w:link w:val="2"/>
    <w:qFormat/>
    <w:uiPriority w:val="99"/>
    <w:rPr>
      <w:rFonts w:ascii="宋体" w:hAnsi="宋体" w:cs="宋体"/>
      <w:b/>
      <w:bCs/>
      <w:sz w:val="28"/>
      <w:szCs w:val="28"/>
      <w:lang w:eastAsia="en-US"/>
    </w:rPr>
  </w:style>
  <w:style w:type="character" w:customStyle="1" w:styleId="58">
    <w:name w:val="正文1 Char"/>
    <w:basedOn w:val="23"/>
    <w:link w:val="32"/>
    <w:qFormat/>
    <w:locked/>
    <w:uiPriority w:val="0"/>
    <w:rPr>
      <w:rFonts w:ascii="宋体" w:hAnsi="Calibri"/>
      <w:sz w:val="34"/>
      <w:szCs w:val="22"/>
    </w:rPr>
  </w:style>
  <w:style w:type="character" w:customStyle="1" w:styleId="59">
    <w:name w:val="正文文本缩进 Char"/>
    <w:basedOn w:val="23"/>
    <w:link w:val="10"/>
    <w:qFormat/>
    <w:uiPriority w:val="0"/>
    <w:rPr>
      <w:rFonts w:ascii="宋体" w:hAnsi="宋体" w:cs="宋体"/>
      <w:sz w:val="22"/>
      <w:szCs w:val="22"/>
      <w:lang w:eastAsia="en-US"/>
    </w:rPr>
  </w:style>
  <w:style w:type="paragraph" w:customStyle="1" w:styleId="60">
    <w:name w:val="列出段落1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1">
    <w:name w:val="标题 4 Char"/>
    <w:basedOn w:val="23"/>
    <w:link w:val="5"/>
    <w:qFormat/>
    <w:uiPriority w:val="99"/>
    <w:rPr>
      <w:rFonts w:ascii="Arial" w:hAnsi="Arial" w:eastAsia="黑体"/>
      <w:b/>
      <w:bCs/>
      <w:kern w:val="2"/>
      <w:sz w:val="28"/>
      <w:szCs w:val="28"/>
    </w:rPr>
  </w:style>
  <w:style w:type="character" w:customStyle="1" w:styleId="62">
    <w:name w:val="文档结构图 Char"/>
    <w:basedOn w:val="23"/>
    <w:link w:val="7"/>
    <w:qFormat/>
    <w:uiPriority w:val="99"/>
    <w:rPr>
      <w:rFonts w:ascii="宋体"/>
      <w:kern w:val="2"/>
      <w:sz w:val="18"/>
      <w:szCs w:val="18"/>
    </w:rPr>
  </w:style>
  <w:style w:type="character" w:customStyle="1" w:styleId="63">
    <w:name w:val="副标题 Char"/>
    <w:basedOn w:val="23"/>
    <w:link w:val="19"/>
    <w:qFormat/>
    <w:uiPriority w:val="99"/>
    <w:rPr>
      <w:rFonts w:ascii="Cambria" w:hAnsi="Cambria"/>
      <w:b/>
      <w:bCs/>
      <w:kern w:val="28"/>
      <w:sz w:val="32"/>
      <w:szCs w:val="32"/>
    </w:rPr>
  </w:style>
  <w:style w:type="character" w:customStyle="1" w:styleId="64">
    <w:name w:val="标题 Char"/>
    <w:basedOn w:val="23"/>
    <w:link w:val="22"/>
    <w:qFormat/>
    <w:uiPriority w:val="99"/>
    <w:rPr>
      <w:rFonts w:ascii="Cambria" w:hAnsi="Cambria"/>
      <w:b/>
      <w:bCs/>
      <w:kern w:val="2"/>
      <w:sz w:val="32"/>
      <w:szCs w:val="32"/>
    </w:rPr>
  </w:style>
  <w:style w:type="paragraph" w:customStyle="1" w:styleId="65">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6">
    <w:name w:val="页眉 Char"/>
    <w:basedOn w:val="23"/>
    <w:link w:val="17"/>
    <w:qFormat/>
    <w:locked/>
    <w:uiPriority w:val="99"/>
    <w:rPr>
      <w:rFonts w:ascii="宋体" w:hAnsi="宋体" w:cs="宋体"/>
      <w:sz w:val="18"/>
      <w:szCs w:val="22"/>
      <w:lang w:eastAsia="en-US"/>
    </w:rPr>
  </w:style>
  <w:style w:type="paragraph" w:customStyle="1" w:styleId="67">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8">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9">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1">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3">
    <w:name w:val="List Paragraph"/>
    <w:basedOn w:val="1"/>
    <w:qFormat/>
    <w:uiPriority w:val="34"/>
    <w:pPr>
      <w:ind w:firstLine="420" w:firstLineChars="200"/>
    </w:pPr>
    <w:rPr>
      <w:rFonts w:ascii="Calibri" w:hAnsi="Calibri"/>
      <w:szCs w:val="22"/>
    </w:rPr>
  </w:style>
  <w:style w:type="character" w:customStyle="1" w:styleId="74">
    <w:name w:val="common_over_page_btn"/>
    <w:basedOn w:val="23"/>
    <w:qFormat/>
    <w:uiPriority w:val="0"/>
  </w:style>
  <w:style w:type="character" w:customStyle="1" w:styleId="75">
    <w:name w:val="common_over_page_btn1"/>
    <w:basedOn w:val="23"/>
    <w:qFormat/>
    <w:uiPriority w:val="0"/>
    <w:rPr>
      <w:color w:val="999999"/>
      <w:bdr w:val="single" w:color="D4D4D4" w:sz="6" w:space="0"/>
      <w:shd w:val="clear" w:fill="FFFFFF"/>
    </w:rPr>
  </w:style>
  <w:style w:type="character" w:customStyle="1" w:styleId="76">
    <w:name w:val="样式1 Char"/>
    <w:link w:val="38"/>
    <w:qFormat/>
    <w:uiPriority w:val="0"/>
    <w:rPr>
      <w:rFonts w:hAnsi="Times New Roman" w:cs="Times New Roman"/>
      <w:sz w:val="24"/>
      <w:szCs w:val="20"/>
      <w:lang w:eastAsia="zh-CN"/>
    </w:rPr>
  </w:style>
  <w:style w:type="paragraph" w:customStyle="1" w:styleId="77">
    <w:name w:val="大纲1"/>
    <w:basedOn w:val="1"/>
    <w:qFormat/>
    <w:uiPriority w:val="0"/>
    <w:pPr>
      <w:adjustRightInd w:val="0"/>
      <w:snapToGrid w:val="0"/>
      <w:spacing w:beforeLines="50" w:afterLines="50"/>
      <w:jc w:val="center"/>
      <w:textAlignment w:val="baseline"/>
      <w:outlineLvl w:val="0"/>
    </w:pPr>
    <w:rPr>
      <w:rFonts w:ascii="宋体" w:hAnsi="宋体" w:eastAsia="黑体"/>
      <w:b/>
      <w:bCs/>
      <w:kern w:val="0"/>
      <w:sz w:val="32"/>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252B8-D8BD-43D1-B062-AF4D33A7C38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2575</Words>
  <Characters>14684</Characters>
  <Lines>122</Lines>
  <Paragraphs>34</Paragraphs>
  <TotalTime>23</TotalTime>
  <ScaleCrop>false</ScaleCrop>
  <LinksUpToDate>false</LinksUpToDate>
  <CharactersWithSpaces>17225</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mqhuang</cp:lastModifiedBy>
  <dcterms:modified xsi:type="dcterms:W3CDTF">2023-04-18T06:08:52Z</dcterms:modified>
  <dc:title>公开招标文件（货物服务类）</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