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仪表团队SCS系统HP服务器及其相关部件维保服务年约发包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FHC-PTCG20230215001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三年三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bookmarkStart w:id="1" w:name="_GoBack"/>
      <w:r>
        <w:rPr>
          <w:rFonts w:hint="eastAsia"/>
          <w:b/>
          <w:bCs/>
          <w:sz w:val="32"/>
          <w:lang w:eastAsia="zh-CN"/>
        </w:rPr>
        <w:t>福建福海创石油化工有限公司仪表团队SCS系统HP服务器及其相关部件维保服务年约发包比选公告</w:t>
      </w:r>
    </w:p>
    <w:bookmarkEnd w:id="1"/>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福建福海创石油化工有限公司仪表团队SCS系统HP服务器及其相关部件维保服务年约发包（项目编号：FHC-PTCG20230215001</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项目名称：福建福海创石油化工有限公司仪表团队SCS系统HP服务器及其相关部件维保服务年约发包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详见附件1《发包说明》</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w:t>
      </w:r>
      <w:r>
        <w:rPr>
          <w:sz w:val="24"/>
          <w:szCs w:val="24"/>
          <w:lang w:eastAsia="zh-CN"/>
        </w:rPr>
        <w:t>万元</w:t>
      </w:r>
      <w:r>
        <w:rPr>
          <w:rFonts w:hint="eastAsia"/>
          <w:sz w:val="24"/>
          <w:szCs w:val="24"/>
          <w:lang w:eastAsia="zh-CN"/>
        </w:rPr>
        <w:t>（</w:t>
      </w:r>
      <w:r>
        <w:rPr>
          <w:rFonts w:hint="eastAsia"/>
          <w:sz w:val="24"/>
          <w:szCs w:val="24"/>
          <w:lang w:val="en-US" w:eastAsia="zh-CN"/>
        </w:rPr>
        <w:t>含税</w:t>
      </w:r>
      <w:r>
        <w:rPr>
          <w:rFonts w:hint="eastAsia"/>
          <w:sz w:val="24"/>
          <w:szCs w:val="24"/>
          <w:lang w:eastAsia="zh-CN"/>
        </w:rPr>
        <w:t>）</w:t>
      </w:r>
    </w:p>
    <w:p>
      <w:pPr>
        <w:pStyle w:val="2"/>
        <w:rPr>
          <w:rFonts w:hint="default"/>
          <w:lang w:val="en-US" w:eastAsia="zh-CN"/>
        </w:rPr>
      </w:pPr>
      <w:r>
        <w:rPr>
          <w:rFonts w:hint="eastAsia"/>
          <w:sz w:val="24"/>
          <w:szCs w:val="24"/>
          <w:lang w:val="en-US" w:eastAsia="zh-CN"/>
        </w:rPr>
        <w:t xml:space="preserve">   </w:t>
      </w:r>
      <w:r>
        <w:rPr>
          <w:rFonts w:hint="eastAsia" w:ascii="宋体" w:hAnsi="宋体" w:eastAsia="宋体" w:cs="宋体"/>
          <w:sz w:val="24"/>
          <w:szCs w:val="24"/>
          <w:lang w:val="en-US" w:eastAsia="zh-CN" w:bidi="ar-SA"/>
        </w:rPr>
        <w:t xml:space="preserve"> 4.服务期限：三年</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eastAsia="zh-CN"/>
        </w:rPr>
        <w:t>4.参选人需具备HP合作授权资质，</w:t>
      </w:r>
      <w:r>
        <w:rPr>
          <w:rFonts w:hint="eastAsia"/>
          <w:sz w:val="24"/>
          <w:szCs w:val="24"/>
          <w:lang w:val="en-US" w:eastAsia="zh-CN"/>
        </w:rPr>
        <w:t>有近三年HP服务器及OpenVMS操作系统维护业绩。</w:t>
      </w:r>
    </w:p>
    <w:p>
      <w:pPr>
        <w:tabs>
          <w:tab w:val="left" w:pos="709"/>
        </w:tabs>
        <w:spacing w:line="360" w:lineRule="auto"/>
        <w:ind w:firstLine="480"/>
        <w:rPr>
          <w:rFonts w:hint="default"/>
          <w:sz w:val="24"/>
          <w:szCs w:val="24"/>
          <w:lang w:val="en-US" w:eastAsia="zh-CN"/>
        </w:rPr>
      </w:pPr>
      <w:r>
        <w:rPr>
          <w:rFonts w:hint="eastAsia"/>
          <w:sz w:val="24"/>
          <w:szCs w:val="24"/>
          <w:lang w:val="en-US" w:eastAsia="zh-CN"/>
        </w:rPr>
        <w:t>5.参选人能提供服务器及OpenVMS系统运行优化服务、7x24小时电话技术服务以及4小时上门维护服务。</w:t>
      </w:r>
    </w:p>
    <w:p>
      <w:pPr>
        <w:tabs>
          <w:tab w:val="left" w:pos="709"/>
        </w:tabs>
        <w:spacing w:line="360" w:lineRule="auto"/>
        <w:ind w:firstLine="480"/>
        <w:rPr>
          <w:rFonts w:hint="eastAsia"/>
          <w:sz w:val="24"/>
          <w:szCs w:val="24"/>
          <w:lang w:eastAsia="zh-CN"/>
        </w:rPr>
      </w:pPr>
      <w:r>
        <w:rPr>
          <w:rFonts w:hint="eastAsia"/>
          <w:sz w:val="24"/>
          <w:szCs w:val="24"/>
          <w:lang w:val="en-US" w:eastAsia="zh-CN"/>
        </w:rPr>
        <w:t>6</w:t>
      </w:r>
      <w:r>
        <w:rPr>
          <w:rFonts w:hint="eastAsia"/>
          <w:sz w:val="24"/>
          <w:szCs w:val="24"/>
          <w:lang w:eastAsia="zh-CN"/>
        </w:rPr>
        <w:t>.本案不接受联合体参选。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日至</w:t>
      </w:r>
      <w:r>
        <w:rPr>
          <w:rFonts w:hint="eastAsia"/>
          <w:color w:val="000000" w:themeColor="text1"/>
          <w:sz w:val="24"/>
          <w:szCs w:val="24"/>
          <w:lang w:val="en-US" w:eastAsia="zh-CN"/>
        </w:rPr>
        <w:t>11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（3）HP合作授权资质文件、近三年HP服务器及OpenVMS操作系统维护业绩</w:t>
      </w:r>
      <w:r>
        <w:rPr>
          <w:rFonts w:hint="eastAsia"/>
          <w:color w:val="000000" w:themeColor="text1"/>
          <w:sz w:val="24"/>
          <w:szCs w:val="24"/>
          <w:lang w:val="en-US" w:eastAsia="zh-CN"/>
        </w:rPr>
        <w:t>合同</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报名成功后，参选人须与现场技术人员进行前期技术交流，详细阅读</w:t>
      </w:r>
      <w:r>
        <w:rPr>
          <w:rFonts w:hint="eastAsia"/>
          <w:color w:val="000000" w:themeColor="text1"/>
          <w:sz w:val="24"/>
          <w:szCs w:val="24"/>
          <w:lang w:val="en-US" w:eastAsia="zh-CN"/>
        </w:rPr>
        <w:t>发包文件</w:t>
      </w:r>
      <w:r>
        <w:rPr>
          <w:rFonts w:hint="eastAsia"/>
          <w:color w:val="000000" w:themeColor="text1"/>
          <w:sz w:val="24"/>
          <w:szCs w:val="24"/>
          <w:lang w:eastAsia="zh-CN"/>
        </w:rPr>
        <w:t>。技术交流后经</w:t>
      </w:r>
      <w:r>
        <w:rPr>
          <w:rFonts w:hint="eastAsia"/>
          <w:color w:val="000000" w:themeColor="text1"/>
          <w:sz w:val="24"/>
          <w:szCs w:val="24"/>
          <w:lang w:val="en-US" w:eastAsia="zh-CN"/>
        </w:rPr>
        <w:t>现场</w:t>
      </w:r>
      <w:r>
        <w:rPr>
          <w:rFonts w:hint="eastAsia"/>
          <w:color w:val="000000" w:themeColor="text1"/>
          <w:sz w:val="24"/>
          <w:szCs w:val="24"/>
          <w:lang w:eastAsia="zh-CN"/>
        </w:rPr>
        <w:t>技术人员确认合格</w:t>
      </w:r>
      <w:r>
        <w:rPr>
          <w:rFonts w:hint="eastAsia"/>
          <w:color w:val="000000" w:themeColor="text1"/>
          <w:sz w:val="24"/>
          <w:szCs w:val="24"/>
          <w:lang w:val="en-US" w:eastAsia="zh-CN"/>
        </w:rPr>
        <w:t>并签订技术协议</w:t>
      </w:r>
      <w:r>
        <w:rPr>
          <w:rFonts w:hint="eastAsia"/>
          <w:color w:val="000000" w:themeColor="text1"/>
          <w:sz w:val="24"/>
          <w:szCs w:val="24"/>
          <w:lang w:eastAsia="zh-CN"/>
        </w:rPr>
        <w:t>后，参选人方可参与后续比选，未进行报名和技术交流确认的参选人不能参加比选。技术交流及技术协议签订时间暂定为报名截止后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rFonts w:hint="eastAsia"/>
          <w:b/>
          <w:bCs/>
          <w:snapToGrid w:val="0"/>
          <w:color w:val="000000" w:themeColor="text1"/>
          <w:spacing w:val="8"/>
          <w:sz w:val="24"/>
          <w:szCs w:val="24"/>
          <w:lang w:eastAsia="zh-CN"/>
        </w:rPr>
        <w:t>五</w:t>
      </w:r>
      <w:r>
        <w:rPr>
          <w:b/>
          <w:w w:val="95"/>
          <w:sz w:val="28"/>
          <w:lang w:eastAsia="zh-CN"/>
        </w:rPr>
        <w:t>、参选保证金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注明用途：仪表团队SCS系统HP服务器及其相关部件维保服务</w:t>
      </w:r>
      <w:r>
        <w:rPr>
          <w:rFonts w:hint="eastAsia"/>
          <w:color w:val="000000" w:themeColor="text1"/>
          <w:lang w:val="en-US" w:eastAsia="zh-CN"/>
        </w:rPr>
        <w:t>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default"/>
          <w:lang w:val="en-US"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4"/>
          <w:rFonts w:hint="eastAsia"/>
          <w:sz w:val="24"/>
          <w:szCs w:val="24"/>
          <w:lang w:eastAsia="zh-CN"/>
        </w:rPr>
        <w:t>xydai@fhcpec.com.cn</w:t>
      </w:r>
      <w:r>
        <w:rPr>
          <w:rFonts w:hint="eastAsia"/>
          <w:color w:val="000000" w:themeColor="text1"/>
          <w:sz w:val="24"/>
          <w:szCs w:val="24"/>
          <w:lang w:eastAsia="zh-CN"/>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4"/>
          <w:szCs w:val="24"/>
          <w:lang w:val="en-US" w:eastAsia="zh-CN" w:bidi="ar-SA"/>
        </w:rPr>
      </w:pPr>
      <w:r>
        <w:rPr>
          <w:rFonts w:hint="eastAsia"/>
          <w:lang w:val="en-US" w:eastAsia="zh-CN"/>
        </w:rPr>
        <w:t xml:space="preserve">  </w:t>
      </w:r>
      <w:r>
        <w:rPr>
          <w:rFonts w:hint="eastAsia" w:ascii="宋体" w:hAnsi="宋体" w:eastAsia="宋体" w:cs="宋体"/>
          <w:sz w:val="24"/>
          <w:szCs w:val="24"/>
          <w:lang w:val="en-US" w:eastAsia="zh-CN" w:bidi="ar-SA"/>
        </w:rPr>
        <w:t xml:space="preserve"> 技术联系人：谢高超 电话：19959614818</w:t>
      </w:r>
      <w:r>
        <w:rPr>
          <w:rFonts w:hint="eastAsia" w:hAnsi="宋体" w:cs="宋体"/>
          <w:sz w:val="24"/>
          <w:szCs w:val="24"/>
          <w:lang w:val="en-US" w:eastAsia="zh-CN" w:bidi="ar-SA"/>
        </w:rPr>
        <w:t xml:space="preserve"> 邮箱：</w:t>
      </w:r>
      <w:r>
        <w:rPr>
          <w:rFonts w:hint="eastAsia" w:ascii="宋体" w:hAnsi="宋体" w:eastAsia="宋体" w:cs="宋体"/>
          <w:sz w:val="24"/>
          <w:szCs w:val="24"/>
          <w:lang w:val="en-US" w:eastAsia="zh-CN" w:bidi="ar-SA"/>
        </w:rPr>
        <w:t>gcxie@fhcpec.com.cn</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邮编：363216</w:t>
      </w:r>
    </w:p>
    <w:p>
      <w:pPr>
        <w:spacing w:line="360" w:lineRule="auto"/>
        <w:rPr>
          <w:sz w:val="24"/>
          <w:szCs w:val="24"/>
          <w:lang w:eastAsia="zh-CN"/>
        </w:rPr>
      </w:pPr>
    </w:p>
    <w:p>
      <w:pPr>
        <w:pStyle w:val="3"/>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center"/>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both"/>
        <w:rPr>
          <w:rFonts w:hint="eastAsia"/>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福建福海创石油化工有限公司仪表团队SCS系统HP服务器及其相关部件维保服务年约发包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1、发包说明</w:t>
      </w:r>
    </w:p>
    <w:p>
      <w:pPr>
        <w:pStyle w:val="20"/>
        <w:spacing w:line="360" w:lineRule="auto"/>
        <w:ind w:right="121"/>
        <w:jc w:val="both"/>
        <w:rPr>
          <w:color w:val="FF0000"/>
          <w:lang w:eastAsia="zh-CN"/>
        </w:rPr>
      </w:pPr>
      <w:r>
        <w:rPr>
          <w:rFonts w:hint="eastAsia"/>
          <w:lang w:eastAsia="zh-CN"/>
        </w:rPr>
        <w:t xml:space="preserve">    5.项目联系人</w:t>
      </w:r>
    </w:p>
    <w:p>
      <w:pPr>
        <w:pStyle w:val="20"/>
        <w:spacing w:line="360" w:lineRule="auto"/>
        <w:ind w:right="121"/>
        <w:jc w:val="both"/>
        <w:rPr>
          <w:rFonts w:hint="eastAsia"/>
          <w:lang w:eastAsia="zh-CN"/>
        </w:rPr>
      </w:pPr>
      <w:r>
        <w:rPr>
          <w:rFonts w:hint="eastAsia"/>
          <w:color w:val="FF0000"/>
          <w:lang w:eastAsia="zh-CN"/>
        </w:rPr>
        <w:t xml:space="preserve">  </w:t>
      </w:r>
      <w:r>
        <w:rPr>
          <w:rFonts w:hint="eastAsia"/>
          <w:lang w:eastAsia="zh-CN"/>
        </w:rPr>
        <w:t xml:space="preserve">  商务联系人：戴小玉 电话：15259629857 邮箱：xydai@fhcpec.com.cn</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技术联系人：谢高超 电话：19959614818 邮箱：gcxie@fhcpec.com.cn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rPr>
          <w:rFonts w:hint="eastAsia"/>
          <w:sz w:val="24"/>
          <w:szCs w:val="24"/>
          <w:lang w:eastAsia="zh-CN"/>
        </w:rPr>
      </w:pPr>
      <w:r>
        <w:rPr>
          <w:rFonts w:hint="eastAsia"/>
          <w:sz w:val="24"/>
          <w:szCs w:val="24"/>
          <w:lang w:eastAsia="zh-CN"/>
        </w:rPr>
        <w:t>2.参选人没有失信黑名单记录（以最高院失信被执行人系统发布信息为准）。</w:t>
      </w:r>
    </w:p>
    <w:p>
      <w:pPr>
        <w:tabs>
          <w:tab w:val="left" w:pos="709"/>
        </w:tabs>
        <w:spacing w:line="360" w:lineRule="auto"/>
        <w:ind w:firstLine="480"/>
        <w:rPr>
          <w:rFonts w:hint="eastAsia"/>
          <w:sz w:val="24"/>
          <w:szCs w:val="24"/>
          <w:lang w:eastAsia="zh-CN"/>
        </w:rPr>
      </w:pPr>
      <w:r>
        <w:rPr>
          <w:rFonts w:hint="eastAsia"/>
          <w:sz w:val="24"/>
          <w:szCs w:val="24"/>
          <w:lang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eastAsia="zh-CN"/>
        </w:rPr>
        <w:t>4.参选人需具备HP合作授权资质，</w:t>
      </w:r>
      <w:r>
        <w:rPr>
          <w:rFonts w:hint="eastAsia"/>
          <w:sz w:val="24"/>
          <w:szCs w:val="24"/>
          <w:lang w:val="en-US" w:eastAsia="zh-CN"/>
        </w:rPr>
        <w:t>有近三年HP服务器及OpenVMS操作系统维护业绩。</w:t>
      </w:r>
    </w:p>
    <w:p>
      <w:pPr>
        <w:tabs>
          <w:tab w:val="left" w:pos="709"/>
        </w:tabs>
        <w:spacing w:line="360" w:lineRule="auto"/>
        <w:ind w:firstLine="480"/>
        <w:rPr>
          <w:rFonts w:hint="default"/>
          <w:lang w:val="en-US" w:eastAsia="zh-CN"/>
        </w:rPr>
      </w:pPr>
      <w:r>
        <w:rPr>
          <w:rFonts w:hint="eastAsia"/>
          <w:lang w:val="en-US" w:eastAsia="zh-CN"/>
        </w:rPr>
        <w:t>5.参选人能提供服务器及OpenVMS系统运行优化服务、7x24小时电话技术服务以及4小时上门维护服务。</w:t>
      </w:r>
    </w:p>
    <w:p>
      <w:pPr>
        <w:tabs>
          <w:tab w:val="left" w:pos="709"/>
        </w:tabs>
        <w:spacing w:line="360" w:lineRule="auto"/>
        <w:ind w:firstLine="480"/>
        <w:rPr>
          <w:rFonts w:hint="eastAsia"/>
          <w:sz w:val="24"/>
          <w:szCs w:val="24"/>
          <w:lang w:eastAsia="zh-CN"/>
        </w:rPr>
      </w:pPr>
      <w:r>
        <w:rPr>
          <w:rFonts w:hint="eastAsia"/>
          <w:sz w:val="24"/>
          <w:szCs w:val="24"/>
          <w:lang w:val="en-US" w:eastAsia="zh-CN"/>
        </w:rPr>
        <w:t>6</w:t>
      </w:r>
      <w:r>
        <w:rPr>
          <w:rFonts w:hint="eastAsia"/>
          <w:sz w:val="24"/>
          <w:szCs w:val="24"/>
          <w:lang w:eastAsia="zh-CN"/>
        </w:rPr>
        <w:t>.本案不接受联合体参选。</w:t>
      </w:r>
    </w:p>
    <w:p>
      <w:pPr>
        <w:pStyle w:val="20"/>
        <w:spacing w:line="360" w:lineRule="auto"/>
        <w:ind w:right="121"/>
        <w:jc w:val="both"/>
        <w:rPr>
          <w:b/>
          <w:w w:val="95"/>
          <w:sz w:val="28"/>
          <w:lang w:eastAsia="zh-CN"/>
        </w:rPr>
      </w:pPr>
      <w:r>
        <w:rPr>
          <w:rFonts w:hint="eastAsia"/>
          <w:color w:val="000000" w:themeColor="text1"/>
          <w:sz w:val="24"/>
          <w:szCs w:val="24"/>
          <w:lang w:val="en-US"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5000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注明用途：仪表团队SCS系统HP服务器及其相关部件维保服务</w:t>
      </w:r>
      <w:r>
        <w:rPr>
          <w:rFonts w:hint="eastAsia"/>
          <w:color w:val="000000" w:themeColor="text1"/>
          <w:lang w:val="en-US" w:eastAsia="zh-CN"/>
        </w:rPr>
        <w:t>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rFonts w:hint="eastAsia"/>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rFonts w:hint="eastAsia"/>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bCs/>
          <w:lang w:eastAsia="zh-CN"/>
        </w:rPr>
      </w:pPr>
      <w:r>
        <w:rPr>
          <w:rFonts w:hint="eastAsia"/>
          <w:lang w:eastAsia="zh-CN"/>
        </w:rPr>
        <w:t xml:space="preserve">    4.</w:t>
      </w:r>
      <w:r>
        <w:rPr>
          <w:rFonts w:hint="eastAsia"/>
          <w:b/>
          <w:bCs/>
          <w:lang w:eastAsia="zh-CN"/>
        </w:rPr>
        <w:t>中选者的参选保证金（无息），将在合同签订后转为履约保证金，履约保证金待合同执行完毕后30天内无息一次性退还；</w:t>
      </w:r>
    </w:p>
    <w:p>
      <w:pPr>
        <w:pStyle w:val="20"/>
        <w:spacing w:line="360" w:lineRule="auto"/>
        <w:ind w:right="121"/>
        <w:jc w:val="both"/>
        <w:rPr>
          <w:rFonts w:hint="eastAsia"/>
          <w:lang w:eastAsia="zh-CN"/>
        </w:rPr>
      </w:pPr>
      <w:r>
        <w:rPr>
          <w:rFonts w:hint="eastAsia"/>
          <w:lang w:eastAsia="zh-CN"/>
        </w:rPr>
        <w:t xml:space="preserve">    5.如有下列情况发生，将被没收参选保证金：</w:t>
      </w:r>
    </w:p>
    <w:p>
      <w:pPr>
        <w:pStyle w:val="20"/>
        <w:spacing w:line="360" w:lineRule="auto"/>
        <w:ind w:right="121"/>
        <w:jc w:val="both"/>
        <w:rPr>
          <w:rFonts w:hint="eastAsia"/>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45</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rFonts w:hint="eastAsia"/>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val="en-US" w:eastAsia="zh-CN"/>
        </w:rPr>
        <w:t>腾龙芳烃</w:t>
      </w:r>
      <w:r>
        <w:rPr>
          <w:rFonts w:hint="eastAsia"/>
          <w:b/>
          <w:sz w:val="44"/>
          <w:szCs w:val="44"/>
          <w:lang w:eastAsia="zh-CN"/>
        </w:rPr>
        <w:t>（漳州）有限公司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仪表团队SCS系统HP服务器及其相关部件维保服务年约发包</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w:t>
      </w:r>
      <w:r>
        <w:rPr>
          <w:rFonts w:hint="eastAsia"/>
          <w:sz w:val="32"/>
          <w:szCs w:val="32"/>
          <w:lang w:val="en-US" w:eastAsia="zh-CN"/>
        </w:rPr>
        <w:t>腾龙芳烃</w:t>
      </w:r>
      <w:r>
        <w:rPr>
          <w:rFonts w:hint="eastAsia"/>
          <w:sz w:val="32"/>
          <w:szCs w:val="32"/>
          <w:lang w:eastAsia="zh-CN"/>
        </w:rPr>
        <w:t>（漳州）有限公司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24"/>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ind w:firstLine="600" w:firstLineChars="250"/>
        <w:rPr>
          <w:rFonts w:hint="eastAsia"/>
          <w:sz w:val="24"/>
          <w:lang w:eastAsia="zh-CN"/>
        </w:rPr>
      </w:pPr>
    </w:p>
    <w:p>
      <w:pPr>
        <w:spacing w:line="360" w:lineRule="auto"/>
        <w:ind w:firstLine="600" w:firstLineChars="250"/>
        <w:rPr>
          <w:rFonts w:hint="eastAsia"/>
          <w:sz w:val="24"/>
          <w:lang w:eastAsia="zh-CN"/>
        </w:rPr>
      </w:pPr>
    </w:p>
    <w:p>
      <w:pPr>
        <w:spacing w:line="360" w:lineRule="auto"/>
        <w:ind w:firstLine="600" w:firstLineChars="250"/>
        <w:rPr>
          <w:rFonts w:hint="eastAsia"/>
          <w:sz w:val="24"/>
          <w:lang w:eastAsia="zh-CN"/>
        </w:rPr>
      </w:pPr>
    </w:p>
    <w:p>
      <w:pPr>
        <w:spacing w:line="360" w:lineRule="auto"/>
        <w:ind w:firstLine="600" w:firstLineChars="250"/>
        <w:rPr>
          <w:rFonts w:hint="eastAsia"/>
          <w:sz w:val="24"/>
          <w:lang w:eastAsia="zh-CN"/>
        </w:rPr>
      </w:pPr>
    </w:p>
    <w:p>
      <w:pPr>
        <w:spacing w:line="360" w:lineRule="auto"/>
        <w:ind w:firstLine="480" w:firstLineChars="200"/>
        <w:rPr>
          <w:rFonts w:hint="eastAsia"/>
          <w:sz w:val="24"/>
          <w:lang w:eastAsia="zh-CN"/>
        </w:rPr>
      </w:pPr>
      <w:r>
        <w:rPr>
          <w:rFonts w:hint="eastAsia"/>
          <w:sz w:val="24"/>
          <w:lang w:eastAsia="zh-CN"/>
        </w:rPr>
        <w:t>根据《中华人民共和国民法典》等有关规定，就乙方向甲方提供scs系统应用服务器维保项目相关事直，甲乙双方在公平合理、互利互惠的基础上，经平等、 友好、充分协商一致，签订本合同，并由双方共同恪守。</w:t>
      </w:r>
    </w:p>
    <w:p>
      <w:pPr>
        <w:spacing w:line="360" w:lineRule="auto"/>
        <w:ind w:firstLine="360" w:firstLineChars="150"/>
        <w:rPr>
          <w:rFonts w:hint="eastAsia"/>
          <w:sz w:val="24"/>
          <w:lang w:eastAsia="zh-CN"/>
        </w:rPr>
      </w:pPr>
      <w:r>
        <w:rPr>
          <w:rFonts w:hint="eastAsia"/>
          <w:sz w:val="24"/>
          <w:lang w:eastAsia="zh-CN"/>
        </w:rPr>
        <w:t>第一条 服务内容</w:t>
      </w:r>
    </w:p>
    <w:p>
      <w:pPr>
        <w:spacing w:line="360" w:lineRule="auto"/>
        <w:ind w:firstLine="360" w:firstLineChars="150"/>
        <w:rPr>
          <w:rFonts w:hint="eastAsia"/>
          <w:sz w:val="24"/>
          <w:lang w:eastAsia="zh-CN"/>
        </w:rPr>
      </w:pPr>
      <w:r>
        <w:rPr>
          <w:rFonts w:hint="eastAsia"/>
          <w:sz w:val="24"/>
          <w:lang w:eastAsia="zh-CN"/>
        </w:rPr>
        <w:t>PX厂区芳烃联合装置PX吸附分离装置（I）、PX吸附分离装置（II）两套SCS控制系统的应用管理服务器（HP服务器）的维保服务。此服务器是整个SCS控制系统的核心数据服务器，其结构复杂，专用操作系统（OpenVMS），若出现故障，将直接影响PX吸附分离装置I、PX吸附分离装置II的运行，需要HP的专业技术支持。参选人需要提供7x24小时电话技术服务， 4小时上门维护服务，设备故障硬件上门更换服务。</w:t>
      </w:r>
    </w:p>
    <w:p>
      <w:pPr>
        <w:ind w:firstLine="480" w:firstLineChars="200"/>
        <w:rPr>
          <w:rFonts w:hint="eastAsia"/>
          <w:sz w:val="24"/>
          <w:lang w:eastAsia="zh-CN"/>
        </w:rPr>
      </w:pPr>
      <w:r>
        <w:rPr>
          <w:rFonts w:hint="eastAsia"/>
          <w:sz w:val="24"/>
          <w:lang w:eastAsia="zh-CN"/>
        </w:rPr>
        <w:t>设备清单：</w:t>
      </w:r>
    </w:p>
    <w:p>
      <w:pPr>
        <w:spacing w:line="360" w:lineRule="auto"/>
        <w:ind w:firstLine="360" w:firstLineChars="150"/>
        <w:rPr>
          <w:rFonts w:hint="eastAsia"/>
          <w:sz w:val="24"/>
          <w:lang w:eastAsia="zh-CN"/>
        </w:rPr>
      </w:pPr>
      <w:r>
        <w:rPr>
          <w:rFonts w:hint="eastAsia"/>
          <w:sz w:val="24"/>
          <w:lang w:eastAsia="zh-CN"/>
        </w:rPr>
        <w:t>（1）PX吸附分离装置（I）SCS系统应用管理服务器及其部件设备维保清单如下：</w:t>
      </w:r>
    </w:p>
    <w:tbl>
      <w:tblPr>
        <w:tblStyle w:val="47"/>
        <w:tblW w:w="7667" w:type="dxa"/>
        <w:jc w:val="center"/>
        <w:tblLayout w:type="autofit"/>
        <w:tblCellMar>
          <w:top w:w="0" w:type="dxa"/>
          <w:left w:w="108" w:type="dxa"/>
          <w:bottom w:w="0" w:type="dxa"/>
          <w:right w:w="108" w:type="dxa"/>
        </w:tblCellMar>
      </w:tblPr>
      <w:tblGrid>
        <w:gridCol w:w="817"/>
        <w:gridCol w:w="1894"/>
        <w:gridCol w:w="4956"/>
      </w:tblGrid>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8DB3E2"/>
            <w:noWrap w:val="0"/>
            <w:vAlign w:val="center"/>
          </w:tcPr>
          <w:p>
            <w:pPr>
              <w:widowControl/>
              <w:jc w:val="center"/>
              <w:rPr>
                <w:rFonts w:hint="eastAsia" w:ascii="黑体" w:hAnsi="宋体" w:eastAsia="黑体" w:cs="宋体"/>
                <w:color w:val="000000"/>
                <w:kern w:val="0"/>
                <w:sz w:val="24"/>
              </w:rPr>
            </w:pPr>
            <w:r>
              <w:rPr>
                <w:rFonts w:hint="eastAsia" w:ascii="黑体" w:hAnsi="宋体" w:eastAsia="黑体" w:cs="宋体"/>
                <w:color w:val="000000"/>
                <w:kern w:val="0"/>
                <w:sz w:val="24"/>
              </w:rPr>
              <w:t>序号</w:t>
            </w:r>
          </w:p>
        </w:tc>
        <w:tc>
          <w:tcPr>
            <w:tcW w:w="1894" w:type="dxa"/>
            <w:tcBorders>
              <w:top w:val="nil"/>
              <w:left w:val="single" w:color="auto" w:sz="8" w:space="0"/>
              <w:bottom w:val="single" w:color="auto" w:sz="8" w:space="0"/>
              <w:right w:val="single" w:color="auto" w:sz="8" w:space="0"/>
            </w:tcBorders>
            <w:shd w:val="clear" w:color="000000" w:fill="8DB3E2"/>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系列号</w:t>
            </w:r>
          </w:p>
        </w:tc>
        <w:tc>
          <w:tcPr>
            <w:tcW w:w="4956" w:type="dxa"/>
            <w:tcBorders>
              <w:top w:val="nil"/>
              <w:left w:val="nil"/>
              <w:bottom w:val="single" w:color="auto" w:sz="8" w:space="0"/>
              <w:right w:val="single" w:color="auto" w:sz="8" w:space="0"/>
            </w:tcBorders>
            <w:shd w:val="clear" w:color="000000" w:fill="8DB3E2"/>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机器型号</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SGH51140FD</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rPr>
              <w:t xml:space="preserve">HP Itanium </w:t>
            </w:r>
            <w:r>
              <w:t>RX2660</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2</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SGH51140FF</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rPr>
              <w:t xml:space="preserve">HP Itanium </w:t>
            </w:r>
            <w:r>
              <w:t>RX2660</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color w:val="000000"/>
                <w:kern w:val="0"/>
                <w:sz w:val="22"/>
              </w:rPr>
            </w:pPr>
            <w:r>
              <w:rPr>
                <w:rFonts w:hint="eastAsia"/>
                <w:color w:val="000000"/>
                <w:kern w:val="0"/>
                <w:sz w:val="22"/>
              </w:rPr>
              <w:t>3</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color w:val="000000"/>
                <w:kern w:val="0"/>
                <w:sz w:val="22"/>
              </w:rPr>
              <w:t>S</w:t>
            </w:r>
            <w:r>
              <w:rPr>
                <w:rFonts w:hint="eastAsia"/>
                <w:color w:val="000000"/>
                <w:kern w:val="0"/>
                <w:sz w:val="22"/>
              </w:rPr>
              <w:t>GA10100G2</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rPr>
              <w:t xml:space="preserve">HP </w:t>
            </w:r>
            <w:r>
              <w:t>EVA 4400</w:t>
            </w:r>
            <w:r>
              <w:rPr>
                <w:rFonts w:hint="eastAsia"/>
              </w:rPr>
              <w:t xml:space="preserve"> Dual Cntl Array w/Switch</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4</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SGA10200L2</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M6412-A Fibre Channel Drive Enclosure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5</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SG89330212</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6</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SG893509F0</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7</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SG89380AVJ</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8</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SG893509HL</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9</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SGS0280D8Z</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10</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SGS9330AJU</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11</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SG893509LJ</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12</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SG89380AN4</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13</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SG893509LN</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14</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CZ211301Y7</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lang w:val="fr-FR"/>
              </w:rPr>
            </w:pPr>
            <w:r>
              <w:rPr>
                <w:rFonts w:hint="eastAsia"/>
              </w:rPr>
              <w:t>HP 1U SCSI Rack-Mount kit</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15</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HU11113C6N</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lang w:val="fr-FR"/>
              </w:rPr>
            </w:pPr>
            <w:r>
              <w:rPr>
                <w:rFonts w:hint="eastAsia"/>
              </w:rPr>
              <w:t xml:space="preserve">HP </w:t>
            </w:r>
            <w:r>
              <w:t>DAT</w:t>
            </w:r>
            <w:r>
              <w:rPr>
                <w:rFonts w:hint="eastAsia"/>
              </w:rPr>
              <w:t xml:space="preserve"> 72 Internal </w:t>
            </w:r>
            <w:r>
              <w:t xml:space="preserve">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16</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HU11113C30</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lang w:val="fr-FR"/>
              </w:rPr>
            </w:pPr>
            <w:r>
              <w:rPr>
                <w:rFonts w:hint="eastAsia"/>
              </w:rPr>
              <w:t xml:space="preserve">HP </w:t>
            </w:r>
            <w:r>
              <w:t>DAT</w:t>
            </w:r>
            <w:r>
              <w:rPr>
                <w:rFonts w:hint="eastAsia"/>
              </w:rPr>
              <w:t xml:space="preserve"> 72 Internal </w:t>
            </w:r>
            <w:r>
              <w:t xml:space="preserve"> drive</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color w:val="000000"/>
                <w:kern w:val="0"/>
                <w:sz w:val="22"/>
              </w:rPr>
            </w:pPr>
            <w:r>
              <w:rPr>
                <w:rFonts w:hint="eastAsia"/>
                <w:color w:val="000000"/>
                <w:kern w:val="0"/>
                <w:sz w:val="22"/>
              </w:rPr>
              <w:t>17</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color w:val="000000"/>
                <w:kern w:val="0"/>
                <w:sz w:val="22"/>
              </w:rPr>
              <w:t>2</w:t>
            </w:r>
            <w:r>
              <w:rPr>
                <w:rFonts w:hint="eastAsia"/>
                <w:color w:val="000000"/>
                <w:kern w:val="0"/>
                <w:sz w:val="22"/>
              </w:rPr>
              <w:t>C40513CH6</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rPr>
              <w:t xml:space="preserve">HP TFT7600 </w:t>
            </w:r>
            <w:r>
              <w:t>KVM</w:t>
            </w:r>
            <w:r>
              <w:rPr>
                <w:color w:val="1F497D"/>
              </w:rPr>
              <w:t xml:space="preserve"> </w:t>
            </w:r>
            <w:r>
              <w:t xml:space="preserve">console </w:t>
            </w:r>
            <w:r>
              <w:rPr>
                <w:rFonts w:hint="eastAsia"/>
              </w:rPr>
              <w:t>US Kit</w:t>
            </w:r>
          </w:p>
        </w:tc>
      </w:tr>
      <w:tr>
        <w:tblPrEx>
          <w:tblCellMar>
            <w:top w:w="0" w:type="dxa"/>
            <w:left w:w="108" w:type="dxa"/>
            <w:bottom w:w="0" w:type="dxa"/>
            <w:right w:w="108" w:type="dxa"/>
          </w:tblCellMar>
        </w:tblPrEx>
        <w:trPr>
          <w:trHeight w:val="397" w:hRule="atLeast"/>
          <w:tblHeader/>
          <w:jc w:val="center"/>
        </w:trPr>
        <w:tc>
          <w:tcPr>
            <w:tcW w:w="817"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18</w:t>
            </w:r>
          </w:p>
        </w:tc>
        <w:tc>
          <w:tcPr>
            <w:tcW w:w="1894" w:type="dxa"/>
            <w:tcBorders>
              <w:top w:val="nil"/>
              <w:left w:val="single" w:color="auto" w:sz="8" w:space="0"/>
              <w:bottom w:val="single" w:color="auto" w:sz="8" w:space="0"/>
              <w:right w:val="single" w:color="auto" w:sz="8" w:space="0"/>
            </w:tcBorders>
            <w:shd w:val="clear" w:color="000000" w:fill="FFFFFF"/>
            <w:noWrap w:val="0"/>
            <w:vAlign w:val="center"/>
          </w:tcPr>
          <w:p>
            <w:pPr>
              <w:widowControl/>
              <w:rPr>
                <w:color w:val="000000"/>
                <w:kern w:val="0"/>
                <w:sz w:val="22"/>
              </w:rPr>
            </w:pPr>
            <w:r>
              <w:rPr>
                <w:rFonts w:hint="eastAsia"/>
                <w:color w:val="000000"/>
                <w:kern w:val="0"/>
                <w:sz w:val="22"/>
              </w:rPr>
              <w:t>MY2108JKDH</w:t>
            </w:r>
          </w:p>
        </w:tc>
        <w:tc>
          <w:tcPr>
            <w:tcW w:w="4956" w:type="dxa"/>
            <w:tcBorders>
              <w:top w:val="nil"/>
              <w:left w:val="nil"/>
              <w:bottom w:val="single" w:color="auto" w:sz="8" w:space="0"/>
              <w:right w:val="single" w:color="auto" w:sz="8" w:space="0"/>
            </w:tcBorders>
            <w:shd w:val="clear" w:color="000000" w:fill="FFFFFF"/>
            <w:noWrap w:val="0"/>
            <w:vAlign w:val="center"/>
          </w:tcPr>
          <w:p>
            <w:pPr>
              <w:widowControl/>
            </w:pPr>
            <w:r>
              <w:rPr>
                <w:rFonts w:hint="eastAsia"/>
              </w:rPr>
              <w:t xml:space="preserve">HP 1x4 USB/PS2 </w:t>
            </w:r>
            <w:r>
              <w:t>KVM</w:t>
            </w:r>
            <w:r>
              <w:rPr>
                <w:color w:val="1F497D"/>
              </w:rPr>
              <w:t xml:space="preserve"> </w:t>
            </w:r>
            <w:r>
              <w:rPr>
                <w:rFonts w:hint="eastAsia"/>
                <w:color w:val="1F497D"/>
              </w:rPr>
              <w:t>C</w:t>
            </w:r>
            <w:r>
              <w:t>nsl switch</w:t>
            </w:r>
          </w:p>
        </w:tc>
      </w:tr>
    </w:tbl>
    <w:p>
      <w:pPr>
        <w:ind w:firstLine="560"/>
        <w:rPr>
          <w:rFonts w:hint="eastAsia"/>
        </w:rPr>
      </w:pPr>
    </w:p>
    <w:p>
      <w:pPr>
        <w:spacing w:line="360" w:lineRule="auto"/>
        <w:ind w:firstLine="360" w:firstLineChars="150"/>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）PX吸附分离装置（II）SCS系统应用管理服务器及其部件设备维保清单如下：</w:t>
      </w:r>
    </w:p>
    <w:tbl>
      <w:tblPr>
        <w:tblStyle w:val="47"/>
        <w:tblW w:w="7637" w:type="dxa"/>
        <w:jc w:val="center"/>
        <w:tblLayout w:type="autofit"/>
        <w:tblCellMar>
          <w:top w:w="0" w:type="dxa"/>
          <w:left w:w="108" w:type="dxa"/>
          <w:bottom w:w="0" w:type="dxa"/>
          <w:right w:w="108" w:type="dxa"/>
        </w:tblCellMar>
      </w:tblPr>
      <w:tblGrid>
        <w:gridCol w:w="800"/>
        <w:gridCol w:w="1843"/>
        <w:gridCol w:w="4994"/>
      </w:tblGrid>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8DB3E2"/>
            <w:noWrap w:val="0"/>
            <w:vAlign w:val="center"/>
          </w:tcPr>
          <w:p>
            <w:pPr>
              <w:widowControl/>
              <w:jc w:val="center"/>
              <w:rPr>
                <w:rFonts w:hint="eastAsia" w:ascii="黑体" w:hAnsi="宋体" w:eastAsia="黑体" w:cs="宋体"/>
                <w:color w:val="000000"/>
                <w:kern w:val="0"/>
                <w:sz w:val="24"/>
              </w:rPr>
            </w:pPr>
            <w:r>
              <w:rPr>
                <w:rFonts w:hint="eastAsia" w:ascii="黑体" w:hAnsi="宋体" w:eastAsia="黑体" w:cs="宋体"/>
                <w:color w:val="000000"/>
                <w:kern w:val="0"/>
                <w:sz w:val="24"/>
              </w:rPr>
              <w:t>序号</w:t>
            </w:r>
          </w:p>
        </w:tc>
        <w:tc>
          <w:tcPr>
            <w:tcW w:w="1843" w:type="dxa"/>
            <w:tcBorders>
              <w:top w:val="nil"/>
              <w:left w:val="single" w:color="auto" w:sz="8" w:space="0"/>
              <w:bottom w:val="single" w:color="auto" w:sz="8" w:space="0"/>
              <w:right w:val="single" w:color="auto" w:sz="8" w:space="0"/>
            </w:tcBorders>
            <w:shd w:val="clear" w:color="000000" w:fill="8DB3E2"/>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系列号</w:t>
            </w:r>
          </w:p>
        </w:tc>
        <w:tc>
          <w:tcPr>
            <w:tcW w:w="4994" w:type="dxa"/>
            <w:tcBorders>
              <w:top w:val="nil"/>
              <w:left w:val="nil"/>
              <w:bottom w:val="single" w:color="auto" w:sz="8" w:space="0"/>
              <w:right w:val="single" w:color="auto" w:sz="8" w:space="0"/>
            </w:tcBorders>
            <w:shd w:val="clear" w:color="000000" w:fill="8DB3E2"/>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机器型号</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SGH51140FC</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rPr>
              <w:t xml:space="preserve">HP Itanium </w:t>
            </w:r>
            <w:r>
              <w:t>RX2660</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2</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SGH51140FE</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rPr>
              <w:t xml:space="preserve">HP Itanium </w:t>
            </w:r>
            <w:r>
              <w:t>RX2660</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color w:val="000000"/>
                <w:kern w:val="0"/>
                <w:sz w:val="22"/>
              </w:rPr>
            </w:pPr>
            <w:r>
              <w:rPr>
                <w:rFonts w:hint="eastAsia"/>
                <w:color w:val="000000"/>
                <w:kern w:val="0"/>
                <w:sz w:val="22"/>
              </w:rPr>
              <w:t>3</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color w:val="000000"/>
                <w:kern w:val="0"/>
                <w:sz w:val="22"/>
              </w:rPr>
              <w:t>S</w:t>
            </w:r>
            <w:r>
              <w:rPr>
                <w:rFonts w:hint="eastAsia"/>
                <w:color w:val="000000"/>
                <w:kern w:val="0"/>
                <w:sz w:val="22"/>
              </w:rPr>
              <w:t>GA10100G5</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rPr>
              <w:t xml:space="preserve">HP </w:t>
            </w:r>
            <w:r>
              <w:t>EVA 4400</w:t>
            </w:r>
            <w:r>
              <w:rPr>
                <w:rFonts w:hint="eastAsia"/>
              </w:rPr>
              <w:t xml:space="preserve"> Dual Cntl Array w/Switch</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4</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SGA10200KP</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M6412-A Fibre Channel Drive Enclosure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5</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SG893509GE</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6</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SGS0280G3N</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7</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SG89500A1K</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8</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SGS9330AK8</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9</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SGS0280G3L</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10</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SG893509HK</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11</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SG893509F1</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12</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SG893509H7</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13</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SGS93406R8</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pPr>
            <w:r>
              <w:rPr>
                <w:rFonts w:hint="eastAsia"/>
              </w:rPr>
              <w:t>HP EVA M6412A 146G 15K FC Rmkt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14</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CZ211301Y8</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lang w:val="fr-FR"/>
              </w:rPr>
            </w:pPr>
            <w:r>
              <w:rPr>
                <w:rFonts w:hint="eastAsia"/>
              </w:rPr>
              <w:t>HP 1U SCSI Rack-Mount kit</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15</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HU11113C58</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lang w:val="fr-FR"/>
              </w:rPr>
            </w:pPr>
            <w:r>
              <w:rPr>
                <w:rFonts w:hint="eastAsia"/>
              </w:rPr>
              <w:t xml:space="preserve">HP </w:t>
            </w:r>
            <w:r>
              <w:t>DAT</w:t>
            </w:r>
            <w:r>
              <w:rPr>
                <w:rFonts w:hint="eastAsia"/>
              </w:rPr>
              <w:t xml:space="preserve"> 72 Internal </w:t>
            </w:r>
            <w:r>
              <w:t xml:space="preserve">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16</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HU11113C5H</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lang w:val="fr-FR"/>
              </w:rPr>
            </w:pPr>
            <w:r>
              <w:rPr>
                <w:rFonts w:hint="eastAsia"/>
              </w:rPr>
              <w:t xml:space="preserve">HP </w:t>
            </w:r>
            <w:r>
              <w:t>DAT</w:t>
            </w:r>
            <w:r>
              <w:rPr>
                <w:rFonts w:hint="eastAsia"/>
              </w:rPr>
              <w:t xml:space="preserve"> 72 Internal </w:t>
            </w:r>
            <w:r>
              <w:t xml:space="preserve"> drive</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color w:val="000000"/>
                <w:kern w:val="0"/>
                <w:sz w:val="22"/>
              </w:rPr>
            </w:pPr>
            <w:r>
              <w:rPr>
                <w:rFonts w:hint="eastAsia"/>
                <w:color w:val="000000"/>
                <w:kern w:val="0"/>
                <w:sz w:val="22"/>
              </w:rPr>
              <w:t>17</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color w:val="000000"/>
                <w:kern w:val="0"/>
                <w:sz w:val="22"/>
              </w:rPr>
              <w:t>2</w:t>
            </w:r>
            <w:r>
              <w:rPr>
                <w:rFonts w:hint="eastAsia"/>
                <w:color w:val="000000"/>
                <w:kern w:val="0"/>
                <w:sz w:val="22"/>
              </w:rPr>
              <w:t>C40513CH7</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rPr>
              <w:t xml:space="preserve">HP TFT7600 </w:t>
            </w:r>
            <w:r>
              <w:t>KVM</w:t>
            </w:r>
            <w:r>
              <w:rPr>
                <w:color w:val="1F497D"/>
              </w:rPr>
              <w:t xml:space="preserve"> </w:t>
            </w:r>
            <w:r>
              <w:t xml:space="preserve">console </w:t>
            </w:r>
            <w:r>
              <w:rPr>
                <w:rFonts w:hint="eastAsia"/>
              </w:rPr>
              <w:t>US Kit</w:t>
            </w:r>
          </w:p>
        </w:tc>
      </w:tr>
      <w:tr>
        <w:tblPrEx>
          <w:tblCellMar>
            <w:top w:w="0" w:type="dxa"/>
            <w:left w:w="108" w:type="dxa"/>
            <w:bottom w:w="0" w:type="dxa"/>
            <w:right w:w="108" w:type="dxa"/>
          </w:tblCellMar>
        </w:tblPrEx>
        <w:trPr>
          <w:trHeight w:val="397" w:hRule="atLeast"/>
          <w:tblHeader/>
          <w:jc w:val="center"/>
        </w:trPr>
        <w:tc>
          <w:tcPr>
            <w:tcW w:w="800"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color w:val="000000"/>
                <w:kern w:val="0"/>
                <w:sz w:val="22"/>
              </w:rPr>
            </w:pPr>
            <w:r>
              <w:rPr>
                <w:rFonts w:hint="eastAsia"/>
                <w:color w:val="000000"/>
                <w:kern w:val="0"/>
                <w:sz w:val="22"/>
              </w:rPr>
              <w:t>18</w:t>
            </w:r>
          </w:p>
        </w:tc>
        <w:tc>
          <w:tcPr>
            <w:tcW w:w="1843" w:type="dxa"/>
            <w:tcBorders>
              <w:top w:val="nil"/>
              <w:left w:val="single" w:color="auto" w:sz="8" w:space="0"/>
              <w:bottom w:val="single" w:color="auto" w:sz="8" w:space="0"/>
              <w:right w:val="single" w:color="auto" w:sz="8" w:space="0"/>
            </w:tcBorders>
            <w:shd w:val="clear" w:color="000000" w:fill="FFFFFF"/>
            <w:noWrap w:val="0"/>
            <w:vAlign w:val="center"/>
          </w:tcPr>
          <w:p>
            <w:pPr>
              <w:widowControl/>
              <w:jc w:val="left"/>
              <w:rPr>
                <w:color w:val="000000"/>
                <w:kern w:val="0"/>
                <w:sz w:val="22"/>
              </w:rPr>
            </w:pPr>
            <w:r>
              <w:rPr>
                <w:rFonts w:hint="eastAsia"/>
                <w:color w:val="000000"/>
                <w:kern w:val="0"/>
                <w:sz w:val="22"/>
              </w:rPr>
              <w:t>MY2936FK62</w:t>
            </w:r>
          </w:p>
        </w:tc>
        <w:tc>
          <w:tcPr>
            <w:tcW w:w="4994" w:type="dxa"/>
            <w:tcBorders>
              <w:top w:val="nil"/>
              <w:left w:val="nil"/>
              <w:bottom w:val="single" w:color="auto" w:sz="8" w:space="0"/>
              <w:right w:val="single" w:color="auto" w:sz="8" w:space="0"/>
            </w:tcBorders>
            <w:shd w:val="clear" w:color="000000" w:fill="FFFFFF"/>
            <w:noWrap w:val="0"/>
            <w:vAlign w:val="center"/>
          </w:tcPr>
          <w:p>
            <w:pPr>
              <w:widowControl/>
              <w:jc w:val="left"/>
              <w:rPr>
                <w:lang w:val="fr-FR"/>
              </w:rPr>
            </w:pPr>
            <w:r>
              <w:rPr>
                <w:rFonts w:hint="eastAsia"/>
              </w:rPr>
              <w:t xml:space="preserve">HP 1x4 USB/PS2 </w:t>
            </w:r>
            <w:r>
              <w:t>KVM</w:t>
            </w:r>
            <w:r>
              <w:rPr>
                <w:color w:val="1F497D"/>
              </w:rPr>
              <w:t xml:space="preserve"> </w:t>
            </w:r>
            <w:r>
              <w:rPr>
                <w:rFonts w:hint="eastAsia"/>
                <w:color w:val="1F497D"/>
              </w:rPr>
              <w:t>C</w:t>
            </w:r>
            <w:r>
              <w:t>nsl switch</w:t>
            </w:r>
          </w:p>
        </w:tc>
      </w:tr>
    </w:tbl>
    <w:p>
      <w:pPr>
        <w:spacing w:line="360" w:lineRule="auto"/>
        <w:ind w:firstLine="360" w:firstLineChars="150"/>
        <w:rPr>
          <w:rFonts w:hint="eastAsia"/>
          <w:sz w:val="24"/>
          <w:lang w:eastAsia="zh-CN"/>
        </w:rPr>
      </w:pPr>
    </w:p>
    <w:p>
      <w:pPr>
        <w:spacing w:line="360" w:lineRule="auto"/>
        <w:ind w:firstLine="360" w:firstLineChars="150"/>
        <w:rPr>
          <w:rFonts w:hint="eastAsia"/>
          <w:sz w:val="24"/>
          <w:lang w:eastAsia="zh-CN"/>
        </w:rPr>
      </w:pPr>
      <w:r>
        <w:rPr>
          <w:rFonts w:hint="eastAsia"/>
          <w:sz w:val="24"/>
          <w:lang w:eastAsia="zh-CN"/>
        </w:rPr>
        <w:t>第二条 服务期限</w:t>
      </w:r>
    </w:p>
    <w:p>
      <w:pPr>
        <w:spacing w:line="360" w:lineRule="auto"/>
        <w:ind w:firstLine="360" w:firstLineChars="150"/>
        <w:rPr>
          <w:rFonts w:hint="eastAsia"/>
          <w:sz w:val="24"/>
          <w:lang w:eastAsia="zh-CN"/>
        </w:rPr>
      </w:pPr>
      <w:r>
        <w:rPr>
          <w:rFonts w:hint="eastAsia"/>
          <w:sz w:val="24"/>
          <w:lang w:eastAsia="zh-CN"/>
        </w:rPr>
        <w:t>1.服务期限为</w:t>
      </w:r>
      <w:r>
        <w:rPr>
          <w:rFonts w:hint="eastAsia"/>
          <w:sz w:val="24"/>
          <w:lang w:val="en-US" w:eastAsia="zh-CN"/>
        </w:rPr>
        <w:t>3</w:t>
      </w:r>
      <w:r>
        <w:rPr>
          <w:rFonts w:hint="eastAsia"/>
          <w:sz w:val="24"/>
          <w:lang w:eastAsia="zh-CN"/>
        </w:rPr>
        <w:t>年，自2023年5月15日到2025年5月14日。</w:t>
      </w:r>
    </w:p>
    <w:p>
      <w:pPr>
        <w:spacing w:line="360" w:lineRule="auto"/>
        <w:ind w:firstLine="360" w:firstLineChars="150"/>
        <w:rPr>
          <w:rFonts w:hint="eastAsia"/>
          <w:sz w:val="24"/>
          <w:lang w:eastAsia="zh-CN"/>
        </w:rPr>
      </w:pPr>
      <w:r>
        <w:rPr>
          <w:rFonts w:hint="eastAsia"/>
          <w:sz w:val="24"/>
          <w:lang w:eastAsia="zh-CN"/>
        </w:rPr>
        <w:t>2.服务期限届满时，乙方已经接受但尚未完成的服务项目，仍应按照本合同约定的标准完成。</w:t>
      </w:r>
    </w:p>
    <w:p>
      <w:pPr>
        <w:spacing w:line="360" w:lineRule="auto"/>
        <w:ind w:firstLine="360" w:firstLineChars="150"/>
        <w:rPr>
          <w:rFonts w:hint="eastAsia"/>
          <w:sz w:val="24"/>
          <w:lang w:eastAsia="zh-CN"/>
        </w:rPr>
      </w:pPr>
      <w:r>
        <w:rPr>
          <w:rFonts w:hint="eastAsia"/>
          <w:sz w:val="24"/>
          <w:lang w:eastAsia="zh-CN"/>
        </w:rPr>
        <w:t>3.如乙方在服务期限届满后要求继续承包的，可参加甲方业务外包的招标或其他方式的商务竞价谈判。</w:t>
      </w:r>
    </w:p>
    <w:p>
      <w:pPr>
        <w:spacing w:line="360" w:lineRule="auto"/>
        <w:ind w:firstLine="360" w:firstLineChars="150"/>
        <w:rPr>
          <w:rFonts w:hint="eastAsia"/>
          <w:sz w:val="24"/>
          <w:lang w:eastAsia="zh-CN"/>
        </w:rPr>
      </w:pPr>
      <w:r>
        <w:rPr>
          <w:rFonts w:hint="eastAsia"/>
          <w:sz w:val="24"/>
          <w:lang w:eastAsia="zh-CN"/>
        </w:rPr>
        <w:t>第三条 服务标准及操作要求</w:t>
      </w:r>
    </w:p>
    <w:p>
      <w:pPr>
        <w:spacing w:line="360" w:lineRule="auto"/>
        <w:ind w:firstLine="360" w:firstLineChars="150"/>
        <w:rPr>
          <w:rFonts w:hint="eastAsia"/>
          <w:sz w:val="24"/>
          <w:lang w:eastAsia="zh-CN"/>
        </w:rPr>
      </w:pPr>
      <w:r>
        <w:rPr>
          <w:rFonts w:hint="eastAsia"/>
          <w:sz w:val="24"/>
          <w:lang w:eastAsia="zh-CN"/>
        </w:rPr>
        <w:t>1.维保的质量要求、技术标准；</w:t>
      </w:r>
    </w:p>
    <w:p>
      <w:pPr>
        <w:spacing w:line="360" w:lineRule="auto"/>
        <w:ind w:firstLine="360" w:firstLineChars="150"/>
        <w:rPr>
          <w:rFonts w:hint="eastAsia"/>
          <w:sz w:val="24"/>
          <w:lang w:eastAsia="zh-CN"/>
        </w:rPr>
      </w:pPr>
      <w:r>
        <w:rPr>
          <w:rFonts w:hint="eastAsia"/>
          <w:sz w:val="24"/>
          <w:lang w:eastAsia="zh-CN"/>
        </w:rPr>
        <w:t>以国家标准、行业标准及设计图纸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pPr>
        <w:spacing w:line="360" w:lineRule="auto"/>
        <w:ind w:firstLine="360" w:firstLineChars="150"/>
        <w:rPr>
          <w:rFonts w:hint="eastAsia"/>
          <w:sz w:val="24"/>
          <w:lang w:eastAsia="zh-CN"/>
        </w:rPr>
      </w:pPr>
      <w:r>
        <w:rPr>
          <w:rFonts w:hint="eastAsia"/>
          <w:sz w:val="24"/>
          <w:lang w:eastAsia="zh-CN"/>
        </w:rPr>
        <w:t>2.依据本合同技术要求进行维护保养工作。</w:t>
      </w:r>
    </w:p>
    <w:p>
      <w:pPr>
        <w:spacing w:line="360" w:lineRule="auto"/>
        <w:ind w:firstLine="360" w:firstLineChars="150"/>
        <w:rPr>
          <w:rFonts w:hint="eastAsia"/>
          <w:sz w:val="24"/>
          <w:lang w:eastAsia="zh-CN"/>
        </w:rPr>
      </w:pPr>
      <w:r>
        <w:rPr>
          <w:rFonts w:hint="eastAsia"/>
          <w:sz w:val="24"/>
          <w:lang w:eastAsia="zh-CN"/>
        </w:rPr>
        <w:t xml:space="preserve">3.验收标准及方法：设备维保后的各项指标应达到国家及行业标准。确保甲方设备安全、正常运行。如发现与验收标准不符的，甲方可在2个工作日内提出书面异议。乙方收到书面异议后必须于1个工作日内书面答复并负责处理，否则视为默认甲方提出的异议成立并同意甲方的处理意见，承担相应的法律责任。 </w:t>
      </w:r>
    </w:p>
    <w:p>
      <w:pPr>
        <w:spacing w:line="360" w:lineRule="auto"/>
        <w:ind w:firstLine="360" w:firstLineChars="150"/>
        <w:rPr>
          <w:rFonts w:hint="eastAsia"/>
          <w:sz w:val="24"/>
          <w:lang w:eastAsia="zh-CN"/>
        </w:rPr>
      </w:pPr>
      <w:r>
        <w:rPr>
          <w:rFonts w:hint="eastAsia"/>
          <w:sz w:val="24"/>
          <w:lang w:eastAsia="zh-CN"/>
        </w:rPr>
        <w:t>4、乙方因维修设备所发生伙食费、差旅费、高速费、过桥费等均由其自行承担， 乙方已在报价时给予综合考虑。乙方负责提供所必须的管理、技术、消耗材料、劳动保护等人力和物力。</w:t>
      </w:r>
    </w:p>
    <w:p>
      <w:pPr>
        <w:spacing w:line="360" w:lineRule="auto"/>
        <w:ind w:firstLine="360" w:firstLineChars="150"/>
        <w:rPr>
          <w:rFonts w:hint="eastAsia"/>
          <w:sz w:val="24"/>
          <w:lang w:eastAsia="zh-CN"/>
        </w:rPr>
      </w:pPr>
      <w:r>
        <w:rPr>
          <w:rFonts w:hint="eastAsia"/>
          <w:sz w:val="24"/>
          <w:lang w:eastAsia="zh-CN"/>
        </w:rPr>
        <w:t>第四条 甲方向乙方支付技术服务报酬及支付方式为：</w:t>
      </w:r>
    </w:p>
    <w:p>
      <w:pPr>
        <w:spacing w:line="360" w:lineRule="auto"/>
        <w:ind w:firstLine="360" w:firstLineChars="150"/>
        <w:rPr>
          <w:rFonts w:hint="eastAsia"/>
          <w:sz w:val="24"/>
          <w:lang w:eastAsia="zh-CN"/>
        </w:rPr>
      </w:pPr>
      <w:r>
        <w:rPr>
          <w:rFonts w:hint="eastAsia"/>
          <w:sz w:val="24"/>
          <w:lang w:eastAsia="zh-CN"/>
        </w:rPr>
        <w:t>1. 技术服务报酬总价款为：人民币</w:t>
      </w:r>
      <w:r>
        <w:rPr>
          <w:rFonts w:hint="eastAsia"/>
          <w:sz w:val="24"/>
          <w:u w:val="single"/>
          <w:lang w:eastAsia="zh-CN"/>
        </w:rPr>
        <w:t xml:space="preserve">           </w:t>
      </w:r>
      <w:r>
        <w:rPr>
          <w:rFonts w:hint="eastAsia"/>
          <w:sz w:val="24"/>
          <w:lang w:eastAsia="zh-CN"/>
        </w:rPr>
        <w:t>元（含</w:t>
      </w:r>
      <w:r>
        <w:rPr>
          <w:rFonts w:hint="eastAsia"/>
          <w:sz w:val="24"/>
          <w:lang w:val="en-US" w:eastAsia="zh-CN"/>
        </w:rPr>
        <w:t xml:space="preserve">  </w:t>
      </w:r>
      <w:r>
        <w:rPr>
          <w:rFonts w:hint="eastAsia"/>
          <w:sz w:val="24"/>
          <w:lang w:eastAsia="zh-CN"/>
        </w:rPr>
        <w:t>%增值税）。</w:t>
      </w:r>
    </w:p>
    <w:p>
      <w:pPr>
        <w:spacing w:line="360" w:lineRule="auto"/>
        <w:ind w:firstLine="360" w:firstLineChars="150"/>
        <w:rPr>
          <w:rFonts w:hint="eastAsia"/>
          <w:sz w:val="24"/>
          <w:lang w:eastAsia="zh-CN"/>
        </w:rPr>
      </w:pPr>
      <w:r>
        <w:rPr>
          <w:rFonts w:hint="eastAsia"/>
          <w:sz w:val="24"/>
          <w:lang w:eastAsia="zh-CN"/>
        </w:rPr>
        <w:t>含税总计包括乙方工作涉及到的劳务费、管理费、工具费、劳保费、所有税费、各种保险、安全费用、利润、加班费、运输费、耗材费及合同涉及到的所有风险、责任、义务等费用，同时还包含了相关的配合政府部门的政策收费所需的全部费用（如果有）。除非双方另有书面约定，甲方不再承担其他费用。</w:t>
      </w:r>
    </w:p>
    <w:p>
      <w:pPr>
        <w:spacing w:line="360" w:lineRule="auto"/>
        <w:ind w:firstLine="360" w:firstLineChars="150"/>
        <w:rPr>
          <w:rFonts w:hint="eastAsia"/>
          <w:sz w:val="24"/>
          <w:lang w:eastAsia="zh-CN"/>
        </w:rPr>
      </w:pPr>
      <w:r>
        <w:rPr>
          <w:rFonts w:hint="eastAsia"/>
          <w:sz w:val="24"/>
          <w:lang w:eastAsia="zh-CN"/>
        </w:rPr>
        <w:t>具体支付方式和时间分配如下：</w:t>
      </w:r>
    </w:p>
    <w:p>
      <w:pPr>
        <w:spacing w:line="360" w:lineRule="auto"/>
        <w:ind w:firstLine="240" w:firstLineChars="100"/>
        <w:rPr>
          <w:rFonts w:hint="eastAsia"/>
          <w:sz w:val="24"/>
          <w:lang w:eastAsia="zh-CN"/>
        </w:rPr>
      </w:pPr>
      <w:r>
        <w:rPr>
          <w:rFonts w:hint="eastAsia"/>
          <w:sz w:val="24"/>
          <w:lang w:eastAsia="zh-CN"/>
        </w:rPr>
        <w:t>（1）每一个季度支付一次维保费用，即本合同费用分8次支付，每次支付</w:t>
      </w:r>
      <w:r>
        <w:rPr>
          <w:rFonts w:hint="eastAsia"/>
          <w:sz w:val="24"/>
          <w:u w:val="single"/>
          <w:lang w:eastAsia="zh-CN"/>
        </w:rPr>
        <w:t xml:space="preserve">   </w:t>
      </w:r>
      <w:r>
        <w:rPr>
          <w:rFonts w:hint="eastAsia"/>
          <w:sz w:val="24"/>
          <w:lang w:eastAsia="zh-CN"/>
        </w:rPr>
        <w:t xml:space="preserve"> 元。乙方每次结算维保费用时需向甲方提供等额的增值税专用发票（税率</w:t>
      </w:r>
      <w:r>
        <w:rPr>
          <w:rFonts w:hint="eastAsia"/>
          <w:sz w:val="24"/>
          <w:lang w:val="en-US" w:eastAsia="zh-CN"/>
        </w:rPr>
        <w:t xml:space="preserve">  </w:t>
      </w:r>
      <w:r>
        <w:rPr>
          <w:rFonts w:hint="eastAsia"/>
          <w:sz w:val="24"/>
          <w:lang w:eastAsia="zh-CN"/>
        </w:rPr>
        <w:t>%），甲方收到乙方发票后</w:t>
      </w:r>
      <w:r>
        <w:rPr>
          <w:rFonts w:hint="eastAsia"/>
          <w:sz w:val="24"/>
          <w:lang w:val="en-US" w:eastAsia="zh-CN"/>
        </w:rPr>
        <w:t>60</w:t>
      </w:r>
      <w:r>
        <w:rPr>
          <w:rFonts w:hint="eastAsia"/>
          <w:sz w:val="24"/>
          <w:lang w:eastAsia="zh-CN"/>
        </w:rPr>
        <w:t>个工作日内乙方付款，否则甲方有权顺延付款。上述技术服务及咨询报酬直接支付至乙方指定的下列账号：</w:t>
      </w:r>
    </w:p>
    <w:p>
      <w:pPr>
        <w:spacing w:line="360" w:lineRule="auto"/>
        <w:ind w:firstLine="360" w:firstLineChars="150"/>
        <w:rPr>
          <w:rFonts w:hint="eastAsia"/>
          <w:sz w:val="24"/>
          <w:lang w:eastAsia="zh-CN"/>
        </w:rPr>
      </w:pPr>
      <w:r>
        <w:rPr>
          <w:rFonts w:hint="eastAsia"/>
          <w:sz w:val="24"/>
          <w:lang w:eastAsia="zh-CN"/>
        </w:rPr>
        <w:t xml:space="preserve">乙方开户银行：                      </w:t>
      </w:r>
    </w:p>
    <w:p>
      <w:pPr>
        <w:spacing w:line="360" w:lineRule="auto"/>
        <w:ind w:firstLine="360" w:firstLineChars="150"/>
        <w:rPr>
          <w:rFonts w:hint="eastAsia"/>
          <w:sz w:val="24"/>
          <w:lang w:eastAsia="zh-CN"/>
        </w:rPr>
      </w:pPr>
      <w:r>
        <w:rPr>
          <w:rFonts w:hint="eastAsia"/>
          <w:sz w:val="24"/>
          <w:lang w:eastAsia="zh-CN"/>
        </w:rPr>
        <w:t xml:space="preserve">公司名称：                      </w:t>
      </w:r>
    </w:p>
    <w:p>
      <w:pPr>
        <w:spacing w:line="360" w:lineRule="auto"/>
        <w:ind w:firstLine="360" w:firstLineChars="150"/>
        <w:rPr>
          <w:rFonts w:hint="eastAsia"/>
          <w:sz w:val="24"/>
          <w:lang w:eastAsia="zh-CN"/>
        </w:rPr>
      </w:pPr>
      <w:r>
        <w:rPr>
          <w:rFonts w:hint="eastAsia"/>
          <w:sz w:val="24"/>
          <w:lang w:eastAsia="zh-CN"/>
        </w:rPr>
        <w:t xml:space="preserve">账号：                      </w:t>
      </w:r>
    </w:p>
    <w:p>
      <w:pPr>
        <w:spacing w:line="360" w:lineRule="auto"/>
        <w:ind w:firstLine="360" w:firstLineChars="150"/>
        <w:rPr>
          <w:rFonts w:hint="eastAsia"/>
          <w:sz w:val="24"/>
          <w:lang w:eastAsia="zh-CN"/>
        </w:rPr>
      </w:pPr>
      <w:r>
        <w:rPr>
          <w:rFonts w:hint="eastAsia"/>
          <w:sz w:val="24"/>
          <w:lang w:eastAsia="zh-CN"/>
        </w:rPr>
        <w:t>（2）甲方的付款，不限制甲方在随后时间对已开具发票的费用提出争议或对乙方不符合合同约定的服务进行索赔的权利，且付款亦不构成甲方对乙方服务的最终认可。</w:t>
      </w:r>
    </w:p>
    <w:p>
      <w:pPr>
        <w:spacing w:line="360" w:lineRule="auto"/>
        <w:ind w:firstLine="360" w:firstLineChars="150"/>
        <w:rPr>
          <w:rFonts w:hint="eastAsia"/>
          <w:sz w:val="24"/>
          <w:lang w:eastAsia="zh-CN"/>
        </w:rPr>
      </w:pPr>
      <w:r>
        <w:rPr>
          <w:rFonts w:hint="eastAsia"/>
          <w:sz w:val="24"/>
          <w:lang w:eastAsia="zh-CN"/>
        </w:rPr>
        <w:t>第五条 双方确定因履行本合同应遵守的保密义务如下：</w:t>
      </w:r>
    </w:p>
    <w:p>
      <w:pPr>
        <w:spacing w:line="360" w:lineRule="auto"/>
        <w:ind w:firstLine="360" w:firstLineChars="150"/>
        <w:rPr>
          <w:rFonts w:hint="eastAsia"/>
          <w:sz w:val="24"/>
          <w:lang w:eastAsia="zh-CN"/>
        </w:rPr>
      </w:pPr>
      <w:r>
        <w:rPr>
          <w:rFonts w:hint="eastAsia"/>
          <w:sz w:val="24"/>
          <w:lang w:eastAsia="zh-CN"/>
        </w:rPr>
        <w:t>甲方：</w:t>
      </w:r>
    </w:p>
    <w:p>
      <w:pPr>
        <w:spacing w:line="360" w:lineRule="auto"/>
        <w:ind w:firstLine="360" w:firstLineChars="150"/>
        <w:rPr>
          <w:rFonts w:hint="eastAsia"/>
          <w:sz w:val="24"/>
          <w:lang w:eastAsia="zh-CN"/>
        </w:rPr>
      </w:pPr>
      <w:r>
        <w:rPr>
          <w:rFonts w:hint="eastAsia"/>
          <w:sz w:val="24"/>
          <w:lang w:eastAsia="zh-CN"/>
        </w:rPr>
        <w:t>1.保密内容：乙方提供的资料，服务咨询报告及该服务咨询报告的附件资料除外。</w:t>
      </w:r>
    </w:p>
    <w:p>
      <w:pPr>
        <w:spacing w:line="360" w:lineRule="auto"/>
        <w:ind w:firstLine="360" w:firstLineChars="150"/>
        <w:rPr>
          <w:rFonts w:hint="eastAsia"/>
          <w:sz w:val="24"/>
          <w:lang w:eastAsia="zh-CN"/>
        </w:rPr>
      </w:pPr>
      <w:r>
        <w:rPr>
          <w:rFonts w:hint="eastAsia"/>
          <w:sz w:val="24"/>
          <w:lang w:eastAsia="zh-CN"/>
        </w:rPr>
        <w:t xml:space="preserve">2.涉密人员范围：甲方及甲方工作人员 </w:t>
      </w:r>
    </w:p>
    <w:p>
      <w:pPr>
        <w:spacing w:line="360" w:lineRule="auto"/>
        <w:ind w:firstLine="360" w:firstLineChars="150"/>
        <w:rPr>
          <w:rFonts w:hint="eastAsia"/>
          <w:sz w:val="24"/>
          <w:lang w:eastAsia="zh-CN"/>
        </w:rPr>
      </w:pPr>
      <w:r>
        <w:rPr>
          <w:rFonts w:hint="eastAsia"/>
          <w:sz w:val="24"/>
          <w:lang w:eastAsia="zh-CN"/>
        </w:rPr>
        <w:t xml:space="preserve">3.泄密责任：按本合同约定及国家有关保密法的规定执行 </w:t>
      </w:r>
    </w:p>
    <w:p>
      <w:pPr>
        <w:spacing w:line="360" w:lineRule="auto"/>
        <w:ind w:firstLine="360" w:firstLineChars="150"/>
        <w:rPr>
          <w:rFonts w:hint="eastAsia"/>
          <w:sz w:val="24"/>
          <w:lang w:eastAsia="zh-CN"/>
        </w:rPr>
      </w:pPr>
      <w:r>
        <w:rPr>
          <w:rFonts w:hint="eastAsia"/>
          <w:sz w:val="24"/>
          <w:lang w:eastAsia="zh-CN"/>
        </w:rPr>
        <w:t>乙方：</w:t>
      </w:r>
    </w:p>
    <w:p>
      <w:pPr>
        <w:spacing w:line="360" w:lineRule="auto"/>
        <w:ind w:firstLine="360" w:firstLineChars="150"/>
        <w:rPr>
          <w:rFonts w:hint="eastAsia"/>
          <w:sz w:val="24"/>
          <w:lang w:eastAsia="zh-CN"/>
        </w:rPr>
      </w:pPr>
      <w:r>
        <w:rPr>
          <w:rFonts w:hint="eastAsia"/>
          <w:sz w:val="24"/>
          <w:lang w:eastAsia="zh-CN"/>
        </w:rPr>
        <w:t xml:space="preserve">1.保密内容：甲方提供的资料以及乙方在提供本合同约定服务过程中知悉的甲方技术信息、经营信息、生产工艺、操作流程等。 </w:t>
      </w:r>
    </w:p>
    <w:p>
      <w:pPr>
        <w:spacing w:line="360" w:lineRule="auto"/>
        <w:ind w:firstLine="360" w:firstLineChars="150"/>
        <w:rPr>
          <w:rFonts w:hint="eastAsia"/>
          <w:sz w:val="24"/>
          <w:lang w:eastAsia="zh-CN"/>
        </w:rPr>
      </w:pPr>
      <w:r>
        <w:rPr>
          <w:rFonts w:hint="eastAsia"/>
          <w:sz w:val="24"/>
          <w:lang w:eastAsia="zh-CN"/>
        </w:rPr>
        <w:t xml:space="preserve">2.涉密人员范围：乙方及乙方工作人员 </w:t>
      </w:r>
    </w:p>
    <w:p>
      <w:pPr>
        <w:spacing w:line="360" w:lineRule="auto"/>
        <w:ind w:firstLine="360" w:firstLineChars="150"/>
        <w:rPr>
          <w:rFonts w:hint="eastAsia"/>
          <w:sz w:val="24"/>
          <w:lang w:eastAsia="zh-CN"/>
        </w:rPr>
      </w:pPr>
      <w:r>
        <w:rPr>
          <w:rFonts w:hint="eastAsia"/>
          <w:sz w:val="24"/>
          <w:lang w:eastAsia="zh-CN"/>
        </w:rPr>
        <w:t xml:space="preserve">3.泄密责任：按本合同约定及国家有关保密法的规定执行 </w:t>
      </w:r>
    </w:p>
    <w:p>
      <w:pPr>
        <w:spacing w:line="360" w:lineRule="auto"/>
        <w:ind w:firstLine="360" w:firstLineChars="150"/>
        <w:rPr>
          <w:rFonts w:hint="eastAsia"/>
          <w:sz w:val="24"/>
          <w:lang w:eastAsia="zh-CN"/>
        </w:rPr>
      </w:pPr>
      <w:r>
        <w:rPr>
          <w:rFonts w:hint="eastAsia"/>
          <w:sz w:val="24"/>
          <w:lang w:eastAsia="zh-CN"/>
        </w:rPr>
        <w:t>第六条  本合同的变更必须由双方协商一致，并以书面形式确定。</w:t>
      </w:r>
    </w:p>
    <w:p>
      <w:pPr>
        <w:spacing w:line="360" w:lineRule="auto"/>
        <w:ind w:firstLine="360" w:firstLineChars="150"/>
        <w:rPr>
          <w:rFonts w:hint="eastAsia"/>
          <w:sz w:val="24"/>
          <w:lang w:eastAsia="zh-CN"/>
        </w:rPr>
      </w:pPr>
      <w:r>
        <w:rPr>
          <w:rFonts w:hint="eastAsia"/>
          <w:sz w:val="24"/>
          <w:lang w:eastAsia="zh-CN"/>
        </w:rPr>
        <w:t>第七条  权利与义务</w:t>
      </w:r>
    </w:p>
    <w:p>
      <w:pPr>
        <w:spacing w:line="360" w:lineRule="auto"/>
        <w:ind w:firstLine="360" w:firstLineChars="150"/>
        <w:rPr>
          <w:rFonts w:hint="eastAsia"/>
          <w:sz w:val="24"/>
          <w:lang w:eastAsia="zh-CN"/>
        </w:rPr>
      </w:pPr>
      <w:r>
        <w:rPr>
          <w:rFonts w:hint="eastAsia"/>
          <w:sz w:val="24"/>
          <w:lang w:eastAsia="zh-CN"/>
        </w:rPr>
        <w:t>1.甲方权利与义务</w:t>
      </w:r>
    </w:p>
    <w:p>
      <w:pPr>
        <w:spacing w:line="360" w:lineRule="auto"/>
        <w:ind w:firstLine="360" w:firstLineChars="150"/>
        <w:rPr>
          <w:rFonts w:hint="eastAsia"/>
          <w:sz w:val="24"/>
          <w:lang w:eastAsia="zh-CN"/>
        </w:rPr>
      </w:pPr>
      <w:r>
        <w:rPr>
          <w:rFonts w:hint="eastAsia"/>
          <w:sz w:val="24"/>
          <w:lang w:eastAsia="zh-CN"/>
        </w:rPr>
        <w:t>（1）负责设备的日常管理；</w:t>
      </w:r>
    </w:p>
    <w:p>
      <w:pPr>
        <w:spacing w:line="360" w:lineRule="auto"/>
        <w:ind w:firstLine="360" w:firstLineChars="150"/>
        <w:rPr>
          <w:rFonts w:hint="eastAsia"/>
          <w:sz w:val="24"/>
          <w:lang w:eastAsia="zh-CN"/>
        </w:rPr>
      </w:pPr>
      <w:r>
        <w:rPr>
          <w:rFonts w:hint="eastAsia"/>
          <w:sz w:val="24"/>
          <w:lang w:eastAsia="zh-CN"/>
        </w:rPr>
        <w:t>（2）给予乙方合理的维保时间，以确保整机性能的正常和安全；</w:t>
      </w:r>
    </w:p>
    <w:p>
      <w:pPr>
        <w:spacing w:line="360" w:lineRule="auto"/>
        <w:ind w:firstLine="360" w:firstLineChars="150"/>
        <w:rPr>
          <w:rFonts w:hint="eastAsia"/>
          <w:sz w:val="24"/>
          <w:lang w:eastAsia="zh-CN"/>
        </w:rPr>
      </w:pPr>
      <w:r>
        <w:rPr>
          <w:rFonts w:hint="eastAsia"/>
          <w:sz w:val="24"/>
          <w:lang w:eastAsia="zh-CN"/>
        </w:rPr>
        <w:t>（3）协助乙方对乙方派驻人员进行日常管理；</w:t>
      </w:r>
    </w:p>
    <w:p>
      <w:pPr>
        <w:spacing w:line="360" w:lineRule="auto"/>
        <w:ind w:firstLine="360" w:firstLineChars="150"/>
        <w:rPr>
          <w:rFonts w:hint="eastAsia"/>
          <w:sz w:val="24"/>
          <w:lang w:eastAsia="zh-CN"/>
        </w:rPr>
      </w:pPr>
      <w:r>
        <w:rPr>
          <w:rFonts w:hint="eastAsia"/>
          <w:sz w:val="24"/>
          <w:lang w:eastAsia="zh-CN"/>
        </w:rPr>
        <w:t>（4）维保期内，如乙方无法按照甲方要求及时有效的解决设备维保问题时，甲方 有权聘请第三方对本合同设备实施改造、修理、更换，由此产生的费用由乙方承担；</w:t>
      </w:r>
    </w:p>
    <w:p>
      <w:pPr>
        <w:spacing w:line="360" w:lineRule="auto"/>
        <w:ind w:firstLine="360" w:firstLineChars="150"/>
        <w:rPr>
          <w:rFonts w:hint="eastAsia"/>
          <w:sz w:val="24"/>
          <w:lang w:eastAsia="zh-CN"/>
        </w:rPr>
      </w:pPr>
      <w:r>
        <w:rPr>
          <w:rFonts w:hint="eastAsia"/>
          <w:sz w:val="24"/>
          <w:lang w:eastAsia="zh-CN"/>
        </w:rPr>
        <w:t>（5）乙方承诺常用易耗备件4个小时送到甲方现场更换，常用非易耗备件24小时送 到甲方现场更换，若乙方无法按时更换，甲方有权由第三方提供更换服务，所产生的费用及损失由乙方负责，同时对乙方的服务质量和服务项日进行考核和确认。</w:t>
      </w:r>
    </w:p>
    <w:p>
      <w:pPr>
        <w:spacing w:line="360" w:lineRule="auto"/>
        <w:ind w:firstLine="360" w:firstLineChars="150"/>
        <w:rPr>
          <w:rFonts w:hint="eastAsia"/>
          <w:sz w:val="24"/>
          <w:lang w:eastAsia="zh-CN"/>
        </w:rPr>
      </w:pPr>
      <w:r>
        <w:rPr>
          <w:rFonts w:hint="eastAsia"/>
          <w:sz w:val="24"/>
          <w:lang w:eastAsia="zh-CN"/>
        </w:rPr>
        <w:t>2. 乙方权利与义务</w:t>
      </w:r>
    </w:p>
    <w:p>
      <w:pPr>
        <w:spacing w:line="360" w:lineRule="auto"/>
        <w:ind w:firstLine="360" w:firstLineChars="150"/>
        <w:rPr>
          <w:rFonts w:hint="eastAsia"/>
          <w:sz w:val="24"/>
          <w:lang w:eastAsia="zh-CN"/>
        </w:rPr>
      </w:pPr>
      <w:r>
        <w:rPr>
          <w:rFonts w:hint="eastAsia"/>
          <w:sz w:val="24"/>
          <w:lang w:eastAsia="zh-CN"/>
        </w:rPr>
        <w:t>（1）乙方保证其具有维修保养资格证照，并委派具有相应维保资质的人员为甲方 设备提供维保服务；</w:t>
      </w:r>
    </w:p>
    <w:p>
      <w:pPr>
        <w:spacing w:line="360" w:lineRule="auto"/>
        <w:ind w:firstLine="360" w:firstLineChars="150"/>
        <w:rPr>
          <w:rFonts w:hint="eastAsia"/>
          <w:sz w:val="24"/>
          <w:lang w:eastAsia="zh-CN"/>
        </w:rPr>
      </w:pPr>
      <w:r>
        <w:rPr>
          <w:rFonts w:hint="eastAsia"/>
          <w:sz w:val="24"/>
          <w:lang w:eastAsia="zh-CN"/>
        </w:rPr>
        <w:t>（2）按本合同履行维保义务，确保甲方设备的完好率达100%；</w:t>
      </w:r>
    </w:p>
    <w:p>
      <w:pPr>
        <w:spacing w:line="360" w:lineRule="auto"/>
        <w:ind w:firstLine="360" w:firstLineChars="150"/>
        <w:rPr>
          <w:rFonts w:hint="eastAsia"/>
          <w:sz w:val="24"/>
          <w:lang w:eastAsia="zh-CN"/>
        </w:rPr>
      </w:pPr>
      <w:r>
        <w:rPr>
          <w:rFonts w:hint="eastAsia"/>
          <w:sz w:val="24"/>
          <w:lang w:eastAsia="zh-CN"/>
        </w:rPr>
        <w:t>（3）提供24小时设备故障抢修服务，接到故障报警后，4小时内赶到现场，设置维 修警示牌，做好维修准备；</w:t>
      </w:r>
    </w:p>
    <w:p>
      <w:pPr>
        <w:spacing w:line="360" w:lineRule="auto"/>
        <w:ind w:firstLine="360" w:firstLineChars="150"/>
        <w:rPr>
          <w:rFonts w:hint="eastAsia"/>
          <w:sz w:val="24"/>
          <w:lang w:eastAsia="zh-CN"/>
        </w:rPr>
      </w:pPr>
      <w:r>
        <w:rPr>
          <w:rFonts w:hint="eastAsia"/>
          <w:sz w:val="24"/>
          <w:lang w:eastAsia="zh-CN"/>
        </w:rPr>
        <w:t>1）一般故障三十分钟内排除；</w:t>
      </w:r>
    </w:p>
    <w:p>
      <w:pPr>
        <w:spacing w:line="360" w:lineRule="auto"/>
        <w:ind w:firstLine="360" w:firstLineChars="150"/>
        <w:rPr>
          <w:rFonts w:hint="eastAsia"/>
          <w:sz w:val="24"/>
          <w:lang w:eastAsia="zh-CN"/>
        </w:rPr>
      </w:pPr>
      <w:r>
        <w:rPr>
          <w:rFonts w:hint="eastAsia"/>
          <w:sz w:val="24"/>
          <w:lang w:eastAsia="zh-CN"/>
        </w:rPr>
        <w:t>2）需做重大调整或变更零部件时，六个小时内完成；</w:t>
      </w:r>
    </w:p>
    <w:p>
      <w:pPr>
        <w:spacing w:line="360" w:lineRule="auto"/>
        <w:ind w:firstLine="360" w:firstLineChars="150"/>
        <w:rPr>
          <w:rFonts w:hint="eastAsia"/>
          <w:sz w:val="24"/>
          <w:lang w:eastAsia="zh-CN"/>
        </w:rPr>
      </w:pPr>
      <w:r>
        <w:rPr>
          <w:rFonts w:hint="eastAsia"/>
          <w:sz w:val="24"/>
          <w:lang w:eastAsia="zh-CN"/>
        </w:rPr>
        <w:t>3）重大故障，十二小时内排除。确实因零配件采购困难时，双方协商处理；</w:t>
      </w:r>
    </w:p>
    <w:p>
      <w:pPr>
        <w:spacing w:line="360" w:lineRule="auto"/>
        <w:ind w:firstLine="360" w:firstLineChars="150"/>
        <w:rPr>
          <w:rFonts w:hint="eastAsia"/>
          <w:sz w:val="24"/>
          <w:lang w:eastAsia="zh-CN"/>
        </w:rPr>
      </w:pPr>
      <w:r>
        <w:rPr>
          <w:rFonts w:hint="eastAsia"/>
          <w:sz w:val="24"/>
          <w:lang w:eastAsia="zh-CN"/>
        </w:rPr>
        <w:t>4）如需大型维修改造项目，提前制定施工方案并报甲方同意后实施。项目结束后必须由甲方签字认可，并将更换下的废旧零件交还甲方，如未得到甲方签字认可，甲方有权判定本次服务无效。</w:t>
      </w:r>
    </w:p>
    <w:p>
      <w:pPr>
        <w:spacing w:line="360" w:lineRule="auto"/>
        <w:ind w:firstLine="360" w:firstLineChars="150"/>
        <w:rPr>
          <w:rFonts w:hint="eastAsia"/>
          <w:sz w:val="24"/>
          <w:lang w:eastAsia="zh-CN"/>
        </w:rPr>
      </w:pPr>
      <w:r>
        <w:rPr>
          <w:rFonts w:hint="eastAsia"/>
          <w:sz w:val="24"/>
          <w:lang w:eastAsia="zh-CN"/>
        </w:rPr>
        <w:t>（4）自行组织维保所需的机械设备、器材、技术人员和维保材料等，乙方保证使用的维保材料确为维保所需并符合设备的技术条件，所有材料均为正规厂家合格产品，且有国家有关部门认可的合格证、检测报告；</w:t>
      </w:r>
    </w:p>
    <w:p>
      <w:pPr>
        <w:spacing w:line="360" w:lineRule="auto"/>
        <w:ind w:firstLine="360" w:firstLineChars="150"/>
        <w:rPr>
          <w:rFonts w:hint="eastAsia"/>
          <w:sz w:val="24"/>
          <w:lang w:eastAsia="zh-CN"/>
        </w:rPr>
      </w:pPr>
      <w:r>
        <w:rPr>
          <w:rFonts w:hint="eastAsia"/>
          <w:sz w:val="24"/>
          <w:lang w:eastAsia="zh-CN"/>
        </w:rPr>
        <w:t>（5）配合政府部门对维保设备实施年检，对因维保不当而产生的整改项目进行免费整改；</w:t>
      </w:r>
    </w:p>
    <w:p>
      <w:pPr>
        <w:spacing w:line="360" w:lineRule="auto"/>
        <w:ind w:firstLine="360" w:firstLineChars="150"/>
        <w:rPr>
          <w:rFonts w:hint="eastAsia"/>
          <w:sz w:val="24"/>
          <w:lang w:eastAsia="zh-CN"/>
        </w:rPr>
      </w:pPr>
      <w:r>
        <w:rPr>
          <w:rFonts w:hint="eastAsia"/>
          <w:sz w:val="24"/>
          <w:lang w:eastAsia="zh-CN"/>
        </w:rPr>
        <w:t>（6）当发现或发生非保养责任事故时，应立即书面通知甲方整改。当事故严重影响设备运行安全时，有权通知甲方停止使用该设备；</w:t>
      </w:r>
    </w:p>
    <w:p>
      <w:pPr>
        <w:spacing w:line="360" w:lineRule="auto"/>
        <w:ind w:firstLine="360" w:firstLineChars="150"/>
        <w:rPr>
          <w:rFonts w:hint="eastAsia"/>
          <w:sz w:val="24"/>
          <w:lang w:eastAsia="zh-CN"/>
        </w:rPr>
      </w:pPr>
      <w:r>
        <w:rPr>
          <w:rFonts w:hint="eastAsia"/>
          <w:sz w:val="24"/>
          <w:lang w:eastAsia="zh-CN"/>
        </w:rPr>
        <w:t>（7）负责因保养不当所造成的损坏件的免费调换，对因保养不当出现的停机故障，若在七个工作日内未能恢复运行的，将免收该台设备一个月的维保费；在十五个工作日内未能恢复运行的，将免收该台设备一年的维保费；</w:t>
      </w:r>
    </w:p>
    <w:p>
      <w:pPr>
        <w:spacing w:line="360" w:lineRule="auto"/>
        <w:ind w:firstLine="360" w:firstLineChars="150"/>
        <w:rPr>
          <w:rFonts w:hint="eastAsia"/>
          <w:sz w:val="24"/>
          <w:lang w:eastAsia="zh-CN"/>
        </w:rPr>
      </w:pPr>
      <w:r>
        <w:rPr>
          <w:rFonts w:hint="eastAsia"/>
          <w:sz w:val="24"/>
          <w:lang w:eastAsia="zh-CN"/>
        </w:rPr>
        <w:t>（8）未经甲方书面同意，乙方不得擅自转包、分包给第三方，否则甲方有权解除 合同，拒付维保费用，并承担合同总价10%的违约金，违约金不足以赔偿对甲方所造成损失的，由乙方补足；</w:t>
      </w:r>
    </w:p>
    <w:p>
      <w:pPr>
        <w:spacing w:line="360" w:lineRule="auto"/>
        <w:ind w:firstLine="360" w:firstLineChars="150"/>
        <w:rPr>
          <w:rFonts w:hint="eastAsia"/>
          <w:sz w:val="24"/>
          <w:lang w:eastAsia="zh-CN"/>
        </w:rPr>
      </w:pPr>
      <w:r>
        <w:rPr>
          <w:rFonts w:hint="eastAsia"/>
          <w:sz w:val="24"/>
          <w:lang w:eastAsia="zh-CN"/>
        </w:rPr>
        <w:t>（9）因乙方疏于保养或保弄不当造成甲方设备，甲方或第三为人身财产损失的，乙方应承担所有赔偿责任；</w:t>
      </w:r>
    </w:p>
    <w:p>
      <w:pPr>
        <w:spacing w:line="360" w:lineRule="auto"/>
        <w:ind w:firstLine="360" w:firstLineChars="150"/>
        <w:rPr>
          <w:rFonts w:hint="eastAsia"/>
          <w:sz w:val="24"/>
          <w:lang w:eastAsia="zh-CN"/>
        </w:rPr>
      </w:pPr>
      <w:r>
        <w:rPr>
          <w:rFonts w:hint="eastAsia"/>
          <w:sz w:val="24"/>
          <w:lang w:eastAsia="zh-CN"/>
        </w:rPr>
        <w:t>（10）乙方及其维保人员应对维修人员安全负责，遵守国家法律法规及甲方各项规章制度，文明作业，否则因此造成乙方、甲方及第三方人员伤亡或财产损失，由乙方承担。</w:t>
      </w:r>
    </w:p>
    <w:p>
      <w:pPr>
        <w:spacing w:line="360" w:lineRule="auto"/>
        <w:ind w:firstLine="360" w:firstLineChars="150"/>
        <w:rPr>
          <w:rFonts w:hint="eastAsia"/>
          <w:sz w:val="24"/>
          <w:lang w:eastAsia="zh-CN"/>
        </w:rPr>
      </w:pPr>
      <w:r>
        <w:rPr>
          <w:rFonts w:hint="eastAsia"/>
          <w:sz w:val="24"/>
          <w:lang w:eastAsia="zh-CN"/>
        </w:rPr>
        <w:t>第八条  双方确定，甲方项目联系人：</w:t>
      </w:r>
      <w:r>
        <w:rPr>
          <w:rFonts w:hint="eastAsia"/>
          <w:sz w:val="24"/>
          <w:u w:val="single"/>
          <w:lang w:val="en-US" w:eastAsia="zh-CN"/>
        </w:rPr>
        <w:t xml:space="preserve">       </w:t>
      </w:r>
      <w:r>
        <w:rPr>
          <w:rFonts w:hint="eastAsia"/>
          <w:sz w:val="24"/>
          <w:lang w:eastAsia="zh-CN"/>
        </w:rPr>
        <w:t>，乙方项目联系人：</w:t>
      </w:r>
      <w:r>
        <w:rPr>
          <w:rFonts w:hint="eastAsia"/>
          <w:sz w:val="24"/>
          <w:u w:val="single"/>
          <w:lang w:val="en-US" w:eastAsia="zh-CN"/>
        </w:rPr>
        <w:t xml:space="preserve">         </w:t>
      </w:r>
      <w:r>
        <w:rPr>
          <w:rFonts w:hint="eastAsia"/>
          <w:sz w:val="24"/>
          <w:lang w:eastAsia="zh-CN"/>
        </w:rPr>
        <w:t>。</w:t>
      </w:r>
    </w:p>
    <w:p>
      <w:pPr>
        <w:spacing w:line="360" w:lineRule="auto"/>
        <w:ind w:firstLine="360" w:firstLineChars="150"/>
        <w:rPr>
          <w:rFonts w:hint="eastAsia"/>
          <w:sz w:val="24"/>
          <w:lang w:eastAsia="zh-CN"/>
        </w:rPr>
      </w:pPr>
      <w:r>
        <w:rPr>
          <w:rFonts w:hint="eastAsia"/>
          <w:sz w:val="24"/>
          <w:lang w:eastAsia="zh-CN"/>
        </w:rPr>
        <w:t>第九条 违约责任</w:t>
      </w:r>
    </w:p>
    <w:p>
      <w:pPr>
        <w:spacing w:line="360" w:lineRule="auto"/>
        <w:ind w:firstLine="360" w:firstLineChars="150"/>
        <w:rPr>
          <w:rFonts w:hint="eastAsia"/>
          <w:sz w:val="24"/>
          <w:lang w:eastAsia="zh-CN"/>
        </w:rPr>
      </w:pPr>
      <w:r>
        <w:rPr>
          <w:rFonts w:hint="eastAsia"/>
          <w:sz w:val="24"/>
          <w:lang w:eastAsia="zh-CN"/>
        </w:rPr>
        <w:t>1．因乙方不能及时履行合同所规定的服务条款，并对甲方工作造成延误时，甲方有权解除合同，乙方须按该项目维修费用总额的20%向甲方偿付及赔偿因此给甲方造成的损失。</w:t>
      </w:r>
    </w:p>
    <w:p>
      <w:pPr>
        <w:spacing w:line="360" w:lineRule="auto"/>
        <w:ind w:firstLine="360" w:firstLineChars="150"/>
        <w:rPr>
          <w:rFonts w:hint="eastAsia"/>
          <w:sz w:val="24"/>
          <w:lang w:eastAsia="zh-CN"/>
        </w:rPr>
      </w:pPr>
      <w:r>
        <w:rPr>
          <w:rFonts w:hint="eastAsia"/>
          <w:sz w:val="24"/>
          <w:lang w:eastAsia="zh-CN"/>
        </w:rPr>
        <w:t>2．任何一方违反保密义务的，应向对方支付违约金人民币 10000 元；赔偿由此给对方造成的损失。</w:t>
      </w:r>
    </w:p>
    <w:p>
      <w:pPr>
        <w:spacing w:line="360" w:lineRule="auto"/>
        <w:ind w:firstLine="360" w:firstLineChars="150"/>
        <w:rPr>
          <w:rFonts w:hint="eastAsia"/>
          <w:sz w:val="24"/>
          <w:lang w:eastAsia="zh-CN"/>
        </w:rPr>
      </w:pPr>
      <w:r>
        <w:rPr>
          <w:rFonts w:hint="eastAsia"/>
          <w:sz w:val="24"/>
          <w:lang w:eastAsia="zh-CN"/>
        </w:rPr>
        <w:t>第十条 双方因履行本合同而发生的争议，可协商、调解解决，也可直接采取下列第2种方式解决：</w:t>
      </w:r>
    </w:p>
    <w:p>
      <w:pPr>
        <w:spacing w:line="360" w:lineRule="auto"/>
        <w:ind w:firstLine="360" w:firstLineChars="150"/>
        <w:rPr>
          <w:rFonts w:hint="eastAsia"/>
          <w:sz w:val="24"/>
          <w:lang w:eastAsia="zh-CN"/>
        </w:rPr>
      </w:pPr>
      <w:r>
        <w:rPr>
          <w:rFonts w:hint="eastAsia"/>
          <w:sz w:val="24"/>
          <w:lang w:eastAsia="zh-CN"/>
        </w:rPr>
        <w:t>1．向</w:t>
      </w:r>
      <w:r>
        <w:rPr>
          <w:rFonts w:hint="eastAsia"/>
          <w:sz w:val="24"/>
          <w:u w:val="single"/>
          <w:lang w:eastAsia="zh-CN"/>
        </w:rPr>
        <w:t xml:space="preserve">     </w:t>
      </w:r>
      <w:r>
        <w:rPr>
          <w:rFonts w:hint="eastAsia"/>
          <w:sz w:val="24"/>
          <w:lang w:eastAsia="zh-CN"/>
        </w:rPr>
        <w:t>仲裁委员会申请仲裁；</w:t>
      </w:r>
    </w:p>
    <w:p>
      <w:pPr>
        <w:spacing w:line="360" w:lineRule="auto"/>
        <w:ind w:firstLine="360" w:firstLineChars="150"/>
        <w:rPr>
          <w:rFonts w:hint="eastAsia"/>
          <w:sz w:val="24"/>
          <w:lang w:eastAsia="zh-CN"/>
        </w:rPr>
      </w:pPr>
      <w:r>
        <w:rPr>
          <w:rFonts w:hint="eastAsia"/>
          <w:sz w:val="24"/>
          <w:lang w:eastAsia="zh-CN"/>
        </w:rPr>
        <w:t>2．向甲方所在地人民法院提起诉讼。</w:t>
      </w:r>
    </w:p>
    <w:p>
      <w:pPr>
        <w:spacing w:line="360" w:lineRule="auto"/>
        <w:ind w:firstLine="360" w:firstLineChars="150"/>
        <w:rPr>
          <w:rFonts w:hint="eastAsia"/>
          <w:sz w:val="24"/>
          <w:lang w:eastAsia="zh-CN"/>
        </w:rPr>
      </w:pPr>
      <w:r>
        <w:rPr>
          <w:rFonts w:hint="eastAsia"/>
          <w:sz w:val="24"/>
          <w:lang w:eastAsia="zh-CN"/>
        </w:rPr>
        <w:t>第十一条 其他</w:t>
      </w:r>
    </w:p>
    <w:p>
      <w:pPr>
        <w:spacing w:line="360" w:lineRule="auto"/>
        <w:ind w:firstLine="360" w:firstLineChars="150"/>
        <w:rPr>
          <w:rFonts w:hint="eastAsia"/>
          <w:sz w:val="24"/>
          <w:lang w:eastAsia="zh-CN"/>
        </w:rPr>
      </w:pPr>
      <w:r>
        <w:rPr>
          <w:rFonts w:hint="eastAsia"/>
          <w:sz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360" w:firstLineChars="150"/>
        <w:rPr>
          <w:rFonts w:hint="eastAsia"/>
          <w:sz w:val="24"/>
          <w:lang w:eastAsia="zh-CN"/>
        </w:rPr>
      </w:pPr>
      <w:r>
        <w:rPr>
          <w:rFonts w:hint="eastAsia"/>
          <w:sz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spacing w:line="360" w:lineRule="auto"/>
        <w:ind w:firstLine="360" w:firstLineChars="150"/>
        <w:rPr>
          <w:rFonts w:hint="eastAsia"/>
          <w:sz w:val="24"/>
          <w:lang w:eastAsia="zh-CN"/>
        </w:rPr>
      </w:pPr>
      <w:r>
        <w:rPr>
          <w:rFonts w:hint="eastAsia"/>
          <w:sz w:val="24"/>
          <w:lang w:eastAsia="zh-CN"/>
        </w:rPr>
        <w:t>第十二条 本合同经双方盖章后生效。本合同一式</w:t>
      </w:r>
      <w:r>
        <w:rPr>
          <w:rFonts w:hint="eastAsia"/>
          <w:sz w:val="24"/>
          <w:lang w:val="en-US" w:eastAsia="zh-CN"/>
        </w:rPr>
        <w:t>伍</w:t>
      </w:r>
      <w:r>
        <w:rPr>
          <w:rFonts w:hint="eastAsia"/>
          <w:sz w:val="24"/>
          <w:lang w:eastAsia="zh-CN"/>
        </w:rPr>
        <w:t>份，甲方执</w:t>
      </w:r>
      <w:r>
        <w:rPr>
          <w:rFonts w:hint="eastAsia"/>
          <w:sz w:val="24"/>
          <w:lang w:val="en-US" w:eastAsia="zh-CN"/>
        </w:rPr>
        <w:t>叁</w:t>
      </w:r>
      <w:r>
        <w:rPr>
          <w:rFonts w:hint="eastAsia"/>
          <w:sz w:val="24"/>
          <w:lang w:eastAsia="zh-CN"/>
        </w:rPr>
        <w:t xml:space="preserve">份，乙方执 </w:t>
      </w:r>
      <w:r>
        <w:rPr>
          <w:rFonts w:hint="eastAsia"/>
          <w:sz w:val="24"/>
          <w:lang w:val="en-US" w:eastAsia="zh-CN"/>
        </w:rPr>
        <w:t>贰</w:t>
      </w:r>
      <w:r>
        <w:rPr>
          <w:rFonts w:hint="eastAsia"/>
          <w:sz w:val="24"/>
          <w:lang w:eastAsia="zh-CN"/>
        </w:rPr>
        <w:t>份，具有同等法律效力。</w:t>
      </w:r>
    </w:p>
    <w:p>
      <w:pPr>
        <w:spacing w:line="360" w:lineRule="auto"/>
        <w:ind w:firstLine="360" w:firstLineChars="150"/>
        <w:rPr>
          <w:rFonts w:hint="default"/>
          <w:sz w:val="24"/>
          <w:lang w:val="en-US" w:eastAsia="zh-CN"/>
        </w:rPr>
      </w:pPr>
      <w:r>
        <w:rPr>
          <w:rFonts w:hint="eastAsia"/>
          <w:sz w:val="24"/>
          <w:lang w:eastAsia="zh-CN"/>
        </w:rPr>
        <w:t>附件1、</w:t>
      </w:r>
      <w:r>
        <w:rPr>
          <w:rFonts w:hint="eastAsia"/>
          <w:sz w:val="24"/>
          <w:lang w:val="en-US" w:eastAsia="zh-CN"/>
        </w:rPr>
        <w:t>发包说明</w:t>
      </w:r>
    </w:p>
    <w:p>
      <w:pPr>
        <w:spacing w:line="360" w:lineRule="auto"/>
        <w:ind w:firstLine="360" w:firstLineChars="150"/>
        <w:rPr>
          <w:rFonts w:hint="default"/>
          <w:sz w:val="24"/>
          <w:lang w:val="en-US" w:eastAsia="zh-CN"/>
        </w:rPr>
      </w:pPr>
      <w:r>
        <w:rPr>
          <w:rFonts w:hint="eastAsia"/>
          <w:sz w:val="24"/>
          <w:lang w:val="en-US" w:eastAsia="zh-CN"/>
        </w:rPr>
        <w:t>附件2、安全环保协议书</w:t>
      </w:r>
    </w:p>
    <w:p>
      <w:pPr>
        <w:rPr>
          <w:sz w:val="24"/>
          <w:lang w:eastAsia="zh-CN"/>
        </w:rPr>
      </w:pPr>
    </w:p>
    <w:p>
      <w:pPr>
        <w:rPr>
          <w:sz w:val="24"/>
          <w:lang w:eastAsia="zh-CN"/>
        </w:rPr>
      </w:pPr>
    </w:p>
    <w:p>
      <w:pPr>
        <w:pStyle w:val="2"/>
      </w:pPr>
    </w:p>
    <w:tbl>
      <w:tblPr>
        <w:tblStyle w:val="48"/>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99" w:type="dxa"/>
            <w:vAlign w:val="center"/>
          </w:tcPr>
          <w:tbl>
            <w:tblPr>
              <w:tblStyle w:val="48"/>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1"/>
              <w:gridCol w:w="4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val="en-US" w:eastAsia="zh-CN"/>
                    </w:rPr>
                    <w:t>腾龙芳烃</w:t>
                  </w:r>
                  <w:r>
                    <w:rPr>
                      <w:rFonts w:hint="eastAsia" w:cs="仿宋_GB2312" w:asciiTheme="majorEastAsia" w:hAnsiTheme="majorEastAsia" w:eastAsiaTheme="majorEastAsia"/>
                      <w:color w:val="000000"/>
                      <w:sz w:val="21"/>
                      <w:szCs w:val="21"/>
                      <w:lang w:eastAsia="zh-CN"/>
                    </w:rPr>
                    <w:t>（漳州）有限公司</w:t>
                  </w:r>
                </w:p>
              </w:tc>
              <w:tc>
                <w:tcPr>
                  <w:tcW w:w="440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hint="eastAsia" w:asciiTheme="majorEastAsia" w:hAnsiTheme="majorEastAsia" w:eastAsiaTheme="majorEastAsia"/>
                      <w:sz w:val="21"/>
                      <w:szCs w:val="21"/>
                      <w:lang w:val="en-US" w:eastAsia="zh-CN"/>
                    </w:rPr>
                    <w:t>4</w:t>
                  </w:r>
                  <w:r>
                    <w:rPr>
                      <w:rFonts w:asciiTheme="majorEastAsia" w:hAnsiTheme="majorEastAsia" w:eastAsiaTheme="majorEastAsia"/>
                      <w:sz w:val="21"/>
                      <w:szCs w:val="21"/>
                      <w:lang w:eastAsia="zh-CN"/>
                    </w:rPr>
                    <w:t>号</w:t>
                  </w:r>
                </w:p>
              </w:tc>
              <w:tc>
                <w:tcPr>
                  <w:tcW w:w="440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40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40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40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40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1" w:type="dxa"/>
                  <w:vAlign w:val="center"/>
                </w:tcPr>
                <w:p>
                  <w:pPr>
                    <w:spacing w:line="360" w:lineRule="auto"/>
                    <w:rPr>
                      <w:rFonts w:hint="default" w:eastAsia="宋体" w:asciiTheme="majorEastAsia" w:hAnsiTheme="majorEastAsia"/>
                      <w:sz w:val="21"/>
                      <w:szCs w:val="21"/>
                      <w:lang w:val="en-US" w:eastAsia="zh-CN"/>
                    </w:rPr>
                  </w:pPr>
                  <w:r>
                    <w:rPr>
                      <w:rFonts w:hint="eastAsia" w:asciiTheme="majorEastAsia" w:hAnsiTheme="majorEastAsia" w:eastAsiaTheme="majorEastAsia"/>
                      <w:sz w:val="21"/>
                      <w:szCs w:val="21"/>
                    </w:rPr>
                    <w:t>账号：</w:t>
                  </w:r>
                  <w:r>
                    <w:rPr>
                      <w:rFonts w:hint="eastAsia"/>
                    </w:rPr>
                    <w:t>162070100100021</w:t>
                  </w:r>
                  <w:r>
                    <w:rPr>
                      <w:rFonts w:hint="eastAsia"/>
                      <w:lang w:val="en-US" w:eastAsia="zh-CN"/>
                    </w:rPr>
                    <w:t>071</w:t>
                  </w:r>
                </w:p>
              </w:tc>
              <w:tc>
                <w:tcPr>
                  <w:tcW w:w="440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pStyle w:val="2"/>
        <w:rPr>
          <w:lang w:eastAsia="zh-CN"/>
        </w:rPr>
      </w:pPr>
    </w:p>
    <w:p>
      <w:pPr>
        <w:jc w:val="center"/>
        <w:rPr>
          <w:b/>
          <w:sz w:val="36"/>
          <w:szCs w:val="36"/>
          <w:lang w:eastAsia="zh-CN"/>
        </w:rPr>
      </w:pPr>
    </w:p>
    <w:p>
      <w:pPr>
        <w:jc w:val="center"/>
        <w:rPr>
          <w:b/>
          <w:sz w:val="36"/>
          <w:szCs w:val="36"/>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ind w:firstLine="220" w:firstLineChars="100"/>
        <w:rPr>
          <w:rFonts w:hint="eastAsia"/>
          <w:lang w:eastAsia="zh-CN"/>
        </w:rPr>
      </w:pPr>
    </w:p>
    <w:p>
      <w:pPr>
        <w:spacing w:line="400" w:lineRule="exact"/>
        <w:rPr>
          <w:b/>
          <w:color w:val="000000"/>
          <w:sz w:val="24"/>
          <w:lang w:eastAsia="zh-CN"/>
        </w:rPr>
      </w:pPr>
      <w:r>
        <w:rPr>
          <w:rFonts w:hint="eastAsia"/>
          <w:b/>
          <w:color w:val="000000"/>
          <w:sz w:val="24"/>
          <w:lang w:eastAsia="zh-CN"/>
        </w:rPr>
        <w:t>附件</w:t>
      </w:r>
      <w:r>
        <w:rPr>
          <w:rFonts w:hint="eastAsia"/>
          <w:b/>
          <w:color w:val="000000"/>
          <w:sz w:val="24"/>
          <w:lang w:val="en-US" w:eastAsia="zh-CN"/>
        </w:rPr>
        <w:t>2</w:t>
      </w:r>
      <w:r>
        <w:rPr>
          <w:rFonts w:hint="eastAsia"/>
          <w:b/>
          <w:color w:val="000000"/>
          <w:sz w:val="24"/>
          <w:lang w:eastAsia="zh-CN"/>
        </w:rPr>
        <w:t>：</w:t>
      </w:r>
    </w:p>
    <w:p>
      <w:pPr>
        <w:pStyle w:val="25"/>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Cs w:val="21"/>
          <w:u w:val="single"/>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lang w:eastAsia="zh-CN"/>
        </w:rPr>
        <w:t>签订了</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lang w:eastAsia="zh-CN"/>
        </w:rPr>
        <w:t xml:space="preserve">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依据《中华人民共和国安全生产法》、《中华人民共和国环境保护法》等相关法规及甲方HSE管理制度，经双方协商，双方自愿签订本安全环保协议，作为主合同的附件。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numPr>
          <w:ilvl w:val="0"/>
          <w:numId w:val="7"/>
        </w:numPr>
        <w:autoSpaceDE/>
        <w:autoSpaceDN/>
        <w:spacing w:before="0" w:line="360" w:lineRule="auto"/>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360" w:lineRule="auto"/>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szCs w:val="21"/>
          <w:lang w:eastAsia="zh-CN"/>
        </w:rPr>
      </w:pPr>
      <w:r>
        <w:rPr>
          <w:rFonts w:hint="eastAsia"/>
          <w:szCs w:val="21"/>
          <w:lang w:eastAsia="zh-CN"/>
        </w:rPr>
        <w:t>甲方 (章)：                                  乙方(章)：</w:t>
      </w:r>
    </w:p>
    <w:p>
      <w:pPr>
        <w:spacing w:line="360" w:lineRule="auto"/>
        <w:ind w:left="-196" w:leftChars="-89" w:firstLine="990" w:firstLineChars="450"/>
        <w:rPr>
          <w:szCs w:val="21"/>
          <w:lang w:eastAsia="zh-CN"/>
        </w:rPr>
      </w:pPr>
      <w:r>
        <w:rPr>
          <w:rFonts w:hint="eastAsia"/>
          <w:szCs w:val="21"/>
          <w:lang w:eastAsia="zh-CN"/>
        </w:rPr>
        <w:t xml:space="preserve">腾龙芳烃（漳州）有限公司                    </w:t>
      </w:r>
    </w:p>
    <w:p>
      <w:pPr>
        <w:pStyle w:val="2"/>
        <w:spacing w:line="360" w:lineRule="auto"/>
        <w:rPr>
          <w:sz w:val="22"/>
        </w:rPr>
      </w:pPr>
      <w:r>
        <w:rPr>
          <w:rFonts w:hint="eastAsia"/>
          <w:szCs w:val="21"/>
          <w:lang w:eastAsia="zh-CN"/>
        </w:rPr>
        <w:t xml:space="preserve">       </w:t>
      </w:r>
    </w:p>
    <w:p>
      <w:pPr>
        <w:spacing w:line="360" w:lineRule="auto"/>
        <w:rPr>
          <w:szCs w:val="21"/>
          <w:lang w:eastAsia="zh-CN"/>
        </w:rPr>
      </w:pPr>
      <w:r>
        <w:rPr>
          <w:rFonts w:hint="eastAsia"/>
          <w:szCs w:val="21"/>
          <w:lang w:eastAsia="zh-CN"/>
        </w:rPr>
        <w:t xml:space="preserve">签定日期：     年    月    日                    </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一</w:t>
      </w:r>
      <w:r>
        <w:rPr>
          <w:rFonts w:hint="eastAsia"/>
          <w:b/>
          <w:bCs/>
          <w:sz w:val="24"/>
          <w:szCs w:val="24"/>
        </w:rPr>
        <w:t>、参选文件范本</w:t>
      </w:r>
    </w:p>
    <w:p>
      <w:pPr>
        <w:pStyle w:val="25"/>
        <w:jc w:val="center"/>
        <w:rPr>
          <w:rFonts w:ascii="Times New Roman" w:hAnsi="Times New Roman"/>
          <w:b/>
          <w:sz w:val="52"/>
          <w:szCs w:val="52"/>
          <w:lang w:eastAsia="zh-CN"/>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仪表团队SCS系统HP服务器及其相关部件维保服务年约发包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rPr>
                <w:rFonts w:hint="default"/>
                <w:lang w:val="en-US"/>
              </w:rPr>
            </w:pPr>
            <w:r>
              <w:rPr>
                <w:rFonts w:hint="eastAsia"/>
                <w:b/>
                <w:color w:val="auto"/>
                <w:sz w:val="24"/>
                <w:szCs w:val="24"/>
                <w:lang w:val="en-US" w:eastAsia="zh-CN"/>
              </w:rPr>
              <w:t>备注：</w:t>
            </w:r>
            <w:r>
              <w:rPr>
                <w:rFonts w:hint="eastAsia"/>
                <w:b/>
                <w:color w:val="auto"/>
                <w:sz w:val="24"/>
                <w:szCs w:val="24"/>
                <w:lang w:eastAsia="zh-CN"/>
              </w:rPr>
              <w:t>本项目设置最高控制价</w:t>
            </w:r>
            <w:r>
              <w:rPr>
                <w:rFonts w:hint="eastAsia"/>
                <w:b/>
                <w:color w:val="auto"/>
                <w:sz w:val="24"/>
                <w:szCs w:val="24"/>
                <w:lang w:val="en-US" w:eastAsia="zh-CN"/>
              </w:rPr>
              <w:t>45</w:t>
            </w:r>
            <w:r>
              <w:rPr>
                <w:rFonts w:hint="eastAsia"/>
                <w:b/>
                <w:color w:val="auto"/>
                <w:sz w:val="24"/>
                <w:szCs w:val="24"/>
                <w:lang w:eastAsia="zh-CN"/>
              </w:rPr>
              <w:t>万元整（含税包干总价）</w:t>
            </w:r>
            <w:r>
              <w:rPr>
                <w:rFonts w:hint="eastAsia"/>
                <w:color w:val="auto"/>
                <w:sz w:val="24"/>
                <w:szCs w:val="24"/>
                <w:lang w:eastAsia="zh-CN"/>
              </w:rPr>
              <w:t>。</w:t>
            </w:r>
            <w:r>
              <w:rPr>
                <w:rFonts w:hint="eastAsia"/>
                <w:b/>
                <w:bCs/>
                <w:color w:val="auto"/>
                <w:sz w:val="24"/>
                <w:szCs w:val="24"/>
                <w:lang w:val="en-US" w:eastAsia="zh-CN"/>
              </w:rPr>
              <w:t>合同服务期3年。</w:t>
            </w:r>
          </w:p>
        </w:tc>
      </w:tr>
    </w:tbl>
    <w:p>
      <w:pPr>
        <w:pStyle w:val="2"/>
      </w:pPr>
    </w:p>
    <w:p>
      <w:pPr>
        <w:spacing w:line="460" w:lineRule="exact"/>
        <w:rPr>
          <w:rFonts w:hint="eastAsia"/>
          <w:sz w:val="28"/>
          <w:lang w:eastAsia="zh-CN"/>
        </w:rPr>
      </w:pPr>
    </w:p>
    <w:p>
      <w:pPr>
        <w:pStyle w:val="2"/>
        <w:rPr>
          <w:rFonts w:hint="eastAsia"/>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sz w:val="28"/>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ind w:firstLine="560" w:firstLineChars="200"/>
        <w:rPr>
          <w:rFonts w:hint="default" w:ascii="宋体" w:hAnsi="宋体" w:eastAsia="宋体" w:cs="宋体"/>
          <w:sz w:val="28"/>
          <w:szCs w:val="22"/>
          <w:u w:val="single"/>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headerReference r:id="rId6" w:type="default"/>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0D55"/>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4E75848"/>
    <w:rsid w:val="058D1C3B"/>
    <w:rsid w:val="05F7226A"/>
    <w:rsid w:val="061139E5"/>
    <w:rsid w:val="068E4F39"/>
    <w:rsid w:val="06F50B00"/>
    <w:rsid w:val="076E1278"/>
    <w:rsid w:val="07865D28"/>
    <w:rsid w:val="08D1141D"/>
    <w:rsid w:val="092C619C"/>
    <w:rsid w:val="0B296DE2"/>
    <w:rsid w:val="0D7C0C82"/>
    <w:rsid w:val="10294AA3"/>
    <w:rsid w:val="10E40CA0"/>
    <w:rsid w:val="13065DFB"/>
    <w:rsid w:val="136130D9"/>
    <w:rsid w:val="13740E08"/>
    <w:rsid w:val="13805E8A"/>
    <w:rsid w:val="141233A5"/>
    <w:rsid w:val="14762538"/>
    <w:rsid w:val="14B07324"/>
    <w:rsid w:val="15800409"/>
    <w:rsid w:val="173600E6"/>
    <w:rsid w:val="18DD4F7E"/>
    <w:rsid w:val="195B58A2"/>
    <w:rsid w:val="1989465C"/>
    <w:rsid w:val="1E085A14"/>
    <w:rsid w:val="1FF43DDB"/>
    <w:rsid w:val="21933AA2"/>
    <w:rsid w:val="2216778A"/>
    <w:rsid w:val="25BF356F"/>
    <w:rsid w:val="25DB0C2D"/>
    <w:rsid w:val="269469E7"/>
    <w:rsid w:val="26EF5299"/>
    <w:rsid w:val="27EE0826"/>
    <w:rsid w:val="281B3A09"/>
    <w:rsid w:val="2998140D"/>
    <w:rsid w:val="29FC3B14"/>
    <w:rsid w:val="2B0938F4"/>
    <w:rsid w:val="2B11792E"/>
    <w:rsid w:val="2CA94A2B"/>
    <w:rsid w:val="2DCB74F8"/>
    <w:rsid w:val="2F724BD0"/>
    <w:rsid w:val="30ED6941"/>
    <w:rsid w:val="31C54755"/>
    <w:rsid w:val="3216608C"/>
    <w:rsid w:val="33886E7E"/>
    <w:rsid w:val="34646D66"/>
    <w:rsid w:val="34CE14C6"/>
    <w:rsid w:val="34D84CEC"/>
    <w:rsid w:val="354D64B4"/>
    <w:rsid w:val="37AF5AB7"/>
    <w:rsid w:val="398A4C3B"/>
    <w:rsid w:val="3B1C3371"/>
    <w:rsid w:val="3BD259B7"/>
    <w:rsid w:val="3CC23198"/>
    <w:rsid w:val="3DC60BC9"/>
    <w:rsid w:val="3DDF4815"/>
    <w:rsid w:val="3EAD6F49"/>
    <w:rsid w:val="3FE669E5"/>
    <w:rsid w:val="439A166C"/>
    <w:rsid w:val="462A54F2"/>
    <w:rsid w:val="470B3BF9"/>
    <w:rsid w:val="492427D8"/>
    <w:rsid w:val="4A4237C6"/>
    <w:rsid w:val="4A6A5207"/>
    <w:rsid w:val="4ACD3226"/>
    <w:rsid w:val="4C7219F0"/>
    <w:rsid w:val="4CF0286F"/>
    <w:rsid w:val="4D766B0F"/>
    <w:rsid w:val="50E17B07"/>
    <w:rsid w:val="50F63E28"/>
    <w:rsid w:val="512D1041"/>
    <w:rsid w:val="5221007F"/>
    <w:rsid w:val="52926B5A"/>
    <w:rsid w:val="52F74B88"/>
    <w:rsid w:val="545C5E51"/>
    <w:rsid w:val="5486175B"/>
    <w:rsid w:val="55B90618"/>
    <w:rsid w:val="55FE54D1"/>
    <w:rsid w:val="57667D24"/>
    <w:rsid w:val="57CE5BC3"/>
    <w:rsid w:val="57E0437F"/>
    <w:rsid w:val="59C5385A"/>
    <w:rsid w:val="5A2D3E44"/>
    <w:rsid w:val="5A3260D4"/>
    <w:rsid w:val="5AE1516A"/>
    <w:rsid w:val="5B6A3A79"/>
    <w:rsid w:val="5C1A5F7B"/>
    <w:rsid w:val="5C291BCA"/>
    <w:rsid w:val="5D7A3273"/>
    <w:rsid w:val="5E2B4120"/>
    <w:rsid w:val="604457DC"/>
    <w:rsid w:val="628D3982"/>
    <w:rsid w:val="62E94000"/>
    <w:rsid w:val="64417A81"/>
    <w:rsid w:val="645771F8"/>
    <w:rsid w:val="66CC0AF0"/>
    <w:rsid w:val="66E46C2D"/>
    <w:rsid w:val="68386690"/>
    <w:rsid w:val="693C3D94"/>
    <w:rsid w:val="6A54112D"/>
    <w:rsid w:val="6A701C86"/>
    <w:rsid w:val="6AA035AE"/>
    <w:rsid w:val="6BCB034D"/>
    <w:rsid w:val="6C0E1756"/>
    <w:rsid w:val="6E0F2E14"/>
    <w:rsid w:val="6EC947D2"/>
    <w:rsid w:val="6F1E141D"/>
    <w:rsid w:val="6F5354F8"/>
    <w:rsid w:val="727810B8"/>
    <w:rsid w:val="740A2BDE"/>
    <w:rsid w:val="751839E0"/>
    <w:rsid w:val="7587683F"/>
    <w:rsid w:val="760520B2"/>
    <w:rsid w:val="76274F93"/>
    <w:rsid w:val="79EB3F2F"/>
    <w:rsid w:val="79FD3C4B"/>
    <w:rsid w:val="7A092C73"/>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g"/>
    <w:basedOn w:val="1"/>
    <w:qFormat/>
    <w:uiPriority w:val="0"/>
    <w:pPr>
      <w:topLinePunct/>
      <w:adjustRightInd/>
      <w:snapToGrid w:val="0"/>
      <w:spacing w:before="60" w:after="60" w:line="240" w:lineRule="auto"/>
      <w:ind w:firstLine="0"/>
      <w:jc w:val="center"/>
      <w:textAlignment w:val="auto"/>
    </w:pPr>
    <w:rPr>
      <w:kern w:val="2"/>
      <w:sz w:val="18"/>
    </w:rPr>
  </w:style>
  <w:style w:type="paragraph" w:customStyle="1" w:styleId="212">
    <w:name w:val="正文格式"/>
    <w:basedOn w:val="1"/>
    <w:qFormat/>
    <w:uiPriority w:val="0"/>
    <w:pPr>
      <w:topLinePunct/>
      <w:adjustRightInd/>
      <w:spacing w:line="240" w:lineRule="auto"/>
      <w:ind w:firstLine="420" w:firstLineChars="200"/>
      <w:textAlignment w:val="auto"/>
    </w:pPr>
    <w:rPr>
      <w:rFonts w:ascii="宋体" w:hAnsi="宋体"/>
      <w:kern w:val="2"/>
      <w:sz w:val="21"/>
    </w:rPr>
  </w:style>
  <w:style w:type="paragraph" w:customStyle="1" w:styleId="213">
    <w:name w:val="b"/>
    <w:basedOn w:val="1"/>
    <w:qFormat/>
    <w:uiPriority w:val="0"/>
    <w:pPr>
      <w:tabs>
        <w:tab w:val="center" w:pos="4706"/>
        <w:tab w:val="right" w:pos="9044"/>
      </w:tabs>
      <w:topLinePunct/>
      <w:adjustRightInd/>
      <w:spacing w:before="160" w:after="60" w:line="312" w:lineRule="exact"/>
      <w:ind w:firstLine="0"/>
      <w:jc w:val="center"/>
      <w:textAlignment w:val="auto"/>
    </w:pPr>
    <w:rPr>
      <w:rFonts w:ascii="Arial" w:hAnsi="Arial" w:eastAsia="黑体"/>
      <w:sz w:val="21"/>
    </w:rPr>
  </w:style>
  <w:style w:type="character" w:customStyle="1" w:styleId="214">
    <w:name w:val="_Style 3"/>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12366</Words>
  <Characters>12915</Characters>
  <Lines>115</Lines>
  <Paragraphs>32</Paragraphs>
  <TotalTime>2</TotalTime>
  <ScaleCrop>false</ScaleCrop>
  <LinksUpToDate>false</LinksUpToDate>
  <CharactersWithSpaces>13906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2023-03-01T04:26:00Z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