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5"/>
        <w:rPr>
          <w:rFonts w:ascii="Times New Roman"/>
          <w:sz w:val="20"/>
        </w:rPr>
      </w:pP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1台德尔塔巴流量计</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keepNext w:val="0"/>
        <w:keepLines w:val="0"/>
        <w:pageBreakBefore w:val="0"/>
        <w:kinsoku/>
        <w:wordWrap/>
        <w:overflowPunct/>
        <w:topLinePunct w:val="0"/>
        <w:bidi w:val="0"/>
        <w:snapToGrid/>
        <w:spacing w:before="26" w:line="600" w:lineRule="exact"/>
        <w:ind w:right="121"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1台德尔塔巴流量计</w:t>
      </w:r>
      <w:r>
        <w:rPr>
          <w:rFonts w:hint="eastAsia"/>
          <w:color w:val="000000" w:themeColor="text1"/>
          <w:u w:val="single"/>
          <w:lang w:eastAsia="zh-CN"/>
        </w:rPr>
        <w:t>采购项目（项目编号：QG2212020015）</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1台德尔塔巴流量计</w:t>
      </w:r>
      <w:r>
        <w:rPr>
          <w:rFonts w:hint="eastAsia"/>
          <w:sz w:val="24"/>
          <w:szCs w:val="24"/>
          <w:lang w:eastAsia="zh-CN"/>
        </w:rPr>
        <w:t>采购项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rFonts w:hint="default"/>
          <w:lang w:val="en-US" w:eastAsia="zh-CN"/>
        </w:rPr>
      </w:pPr>
      <w:r>
        <w:rPr>
          <w:sz w:val="24"/>
          <w:szCs w:val="24"/>
          <w:lang w:eastAsia="zh-CN"/>
        </w:rPr>
        <w:t>2.</w:t>
      </w:r>
      <w:r>
        <w:rPr>
          <w:rFonts w:hint="eastAsia"/>
          <w:sz w:val="24"/>
          <w:szCs w:val="24"/>
          <w:lang w:eastAsia="zh-CN"/>
        </w:rPr>
        <w:t>比选项目说明：</w:t>
      </w:r>
    </w:p>
    <w:tbl>
      <w:tblPr>
        <w:tblStyle w:val="48"/>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FF0000"/>
                <w:sz w:val="18"/>
                <w:szCs w:val="18"/>
              </w:rPr>
            </w:pPr>
            <w:r>
              <w:rPr>
                <w:rFonts w:hint="eastAsia" w:ascii="宋体" w:hAnsi="宋体" w:cs="宋体"/>
                <w:color w:val="000000" w:themeColor="text1"/>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jc w:val="both"/>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2705140037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德尔塔巴流量计</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jc w:val="both"/>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17-FT-203\HART协议+4-20mA\精度±1.0%FS\EXIICT4\IP65\双面支撑\带安装支架\带椭圆法兰\带差压变送器（3051或EJA)及316SS材质五阀组\带截止阀\一体化连接\见技术规格书\Systec controls\ABB\EMERSON \丹东通博\承德菲时博特\重庆川仪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1</w:t>
            </w:r>
          </w:p>
        </w:tc>
      </w:tr>
    </w:tbl>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ascii="宋体" w:hAnsi="宋体"/>
          <w:b w:val="0"/>
          <w:bCs w:val="0"/>
          <w:sz w:val="24"/>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tabs>
          <w:tab w:val="left" w:pos="709"/>
        </w:tabs>
        <w:kinsoku/>
        <w:wordWrap/>
        <w:overflowPunct/>
        <w:topLinePunct w:val="0"/>
        <w:bidi w:val="0"/>
        <w:snapToGrid/>
        <w:spacing w:line="600" w:lineRule="exact"/>
        <w:ind w:firstLine="480" w:firstLineChars="200"/>
        <w:rPr>
          <w:lang w:eastAsia="zh-CN"/>
        </w:rPr>
      </w:pPr>
      <w:r>
        <w:rPr>
          <w:rFonts w:hint="eastAsia"/>
          <w:sz w:val="24"/>
          <w:szCs w:val="24"/>
          <w:lang w:val="en-US" w:eastAsia="zh-CN"/>
        </w:rPr>
        <w:t>4</w:t>
      </w:r>
      <w:r>
        <w:rPr>
          <w:sz w:val="24"/>
          <w:szCs w:val="24"/>
          <w:lang w:eastAsia="zh-CN"/>
        </w:rPr>
        <w:t>.</w:t>
      </w:r>
      <w:r>
        <w:rPr>
          <w:rFonts w:hint="eastAsia"/>
          <w:sz w:val="24"/>
          <w:szCs w:val="24"/>
          <w:lang w:eastAsia="zh-CN"/>
        </w:rPr>
        <w:t>比选控制价：</w:t>
      </w:r>
      <w:r>
        <w:rPr>
          <w:rFonts w:hint="eastAsia"/>
          <w:sz w:val="24"/>
          <w:szCs w:val="24"/>
          <w:lang w:val="en-US" w:eastAsia="zh-CN"/>
        </w:rPr>
        <w:t>3.2</w:t>
      </w:r>
      <w:r>
        <w:rPr>
          <w:sz w:val="24"/>
          <w:szCs w:val="24"/>
          <w:lang w:eastAsia="zh-CN"/>
        </w:rPr>
        <w:t>万元</w:t>
      </w:r>
      <w:r>
        <w:rPr>
          <w:rFonts w:hint="eastAsia"/>
          <w:sz w:val="24"/>
          <w:szCs w:val="24"/>
          <w:lang w:eastAsia="zh-CN"/>
        </w:rPr>
        <w:t>（含13%增值税）。</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snapToGrid/>
        <w:spacing w:line="600" w:lineRule="exact"/>
        <w:ind w:firstLine="480" w:firstLineChars="20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w:t>
      </w:r>
      <w:r>
        <w:rPr>
          <w:rFonts w:hint="eastAsia" w:ascii="Calibri" w:hAnsi="Calibri" w:eastAsia="宋体" w:cs="Times New Roman"/>
          <w:color w:val="000000" w:themeColor="text1"/>
          <w:kern w:val="2"/>
          <w:sz w:val="24"/>
          <w:szCs w:val="24"/>
          <w:lang w:val="en-US" w:eastAsia="zh-CN" w:bidi="ar-SA"/>
        </w:rPr>
        <w:t>参选人需提供产品的相关授权书</w:t>
      </w:r>
      <w:r>
        <w:rPr>
          <w:rFonts w:hint="eastAsia" w:ascii="Calibri" w:hAnsi="Calibri" w:eastAsia="宋体" w:cs="Times New Roman"/>
          <w:color w:val="auto"/>
          <w:kern w:val="2"/>
          <w:sz w:val="24"/>
          <w:szCs w:val="24"/>
          <w:lang w:val="en-US" w:eastAsia="zh-CN" w:bidi="ar-SA"/>
        </w:rPr>
        <w:t>。</w:t>
      </w:r>
    </w:p>
    <w:p>
      <w:pPr>
        <w:pStyle w:val="2"/>
        <w:keepNext w:val="0"/>
        <w:keepLines w:val="0"/>
        <w:pageBreakBefore w:val="0"/>
        <w:kinsoku/>
        <w:wordWrap/>
        <w:overflowPunct/>
        <w:topLinePunct w:val="0"/>
        <w:bidi w:val="0"/>
        <w:snapToGrid/>
        <w:spacing w:line="600" w:lineRule="exact"/>
        <w:ind w:firstLine="480" w:firstLineChars="200"/>
        <w:rPr>
          <w:rFonts w:hint="default"/>
          <w:lang w:val="en-US" w:eastAsia="zh-CN"/>
        </w:rPr>
      </w:pPr>
      <w:r>
        <w:rPr>
          <w:rFonts w:hint="eastAsia"/>
          <w:color w:val="auto"/>
          <w:sz w:val="24"/>
          <w:szCs w:val="24"/>
          <w:lang w:eastAsia="zh-CN"/>
        </w:rPr>
        <w:t>4.</w:t>
      </w:r>
      <w:r>
        <w:rPr>
          <w:rFonts w:hint="eastAsia" w:ascii="宋体" w:hAnsi="宋体" w:eastAsia="宋体" w:cs="宋体"/>
          <w:sz w:val="24"/>
          <w:szCs w:val="24"/>
        </w:rPr>
        <w:t>本采购项目不接受联合体参选。</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18</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27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kinsoku/>
        <w:wordWrap/>
        <w:overflowPunct/>
        <w:topLinePunct w:val="0"/>
        <w:bidi w:val="0"/>
        <w:snapToGrid/>
        <w:spacing w:line="600" w:lineRule="exact"/>
        <w:ind w:right="121" w:firstLine="480" w:firstLineChars="200"/>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keepNext w:val="0"/>
        <w:keepLines w:val="0"/>
        <w:pageBreakBefore w:val="0"/>
        <w:tabs>
          <w:tab w:val="left" w:pos="709"/>
        </w:tabs>
        <w:kinsoku/>
        <w:wordWrap/>
        <w:overflowPunct/>
        <w:topLinePunct w:val="0"/>
        <w:bidi w:val="0"/>
        <w:snapToGrid/>
        <w:spacing w:line="600" w:lineRule="exact"/>
        <w:ind w:firstLine="480" w:firstLineChars="200"/>
        <w:rPr>
          <w:rFonts w:hint="default"/>
          <w:lang w:val="en-US" w:eastAsia="zh-CN"/>
        </w:rPr>
      </w:pPr>
      <w:r>
        <w:rPr>
          <w:rFonts w:hint="eastAsia"/>
          <w:color w:val="000000" w:themeColor="text1"/>
          <w:sz w:val="24"/>
          <w:szCs w:val="24"/>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kinsoku/>
        <w:wordWrap/>
        <w:overflowPunct/>
        <w:topLinePunct w:val="0"/>
        <w:bidi w:val="0"/>
        <w:snapToGrid/>
        <w:spacing w:line="600" w:lineRule="exact"/>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snapToGrid/>
        <w:spacing w:line="600" w:lineRule="exact"/>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w:t>
      </w:r>
    </w:p>
    <w:p>
      <w:pPr>
        <w:pStyle w:val="2"/>
        <w:keepNext w:val="0"/>
        <w:keepLines w:val="0"/>
        <w:pageBreakBefore w:val="0"/>
        <w:kinsoku/>
        <w:wordWrap/>
        <w:overflowPunct/>
        <w:topLinePunct w:val="0"/>
        <w:bidi w:val="0"/>
        <w:snapToGrid/>
        <w:spacing w:line="600" w:lineRule="exact"/>
        <w:ind w:firstLine="680" w:firstLineChars="200"/>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1台德尔塔巴流量计</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唐凤玉 15059611803, fytang@fhcpec.com.cn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 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w:t>
      </w:r>
      <w:r>
        <w:rPr>
          <w:rFonts w:hint="eastAsia"/>
          <w:lang w:eastAsia="zh-CN"/>
        </w:rPr>
        <w:t>商务报价函</w:t>
      </w:r>
      <w:r>
        <w:rPr>
          <w:lang w:eastAsia="zh-CN"/>
        </w:rPr>
        <w:t>、承诺函等。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w:t>
      </w:r>
      <w:r>
        <w:rPr>
          <w:rFonts w:hint="eastAsia"/>
          <w:color w:val="000000"/>
          <w:sz w:val="24"/>
          <w:szCs w:val="24"/>
          <w:lang w:eastAsia="zh-CN"/>
        </w:rPr>
        <w:t>商。</w:t>
      </w:r>
    </w:p>
    <w:p>
      <w:pPr>
        <w:pStyle w:val="203"/>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w:t>
      </w:r>
      <w:r>
        <w:rPr>
          <w:rFonts w:hint="eastAsia" w:ascii="Calibri" w:hAnsi="Calibri" w:eastAsia="宋体" w:cs="Times New Roman"/>
          <w:color w:val="000000" w:themeColor="text1"/>
          <w:kern w:val="2"/>
          <w:sz w:val="24"/>
          <w:szCs w:val="24"/>
          <w:lang w:val="en-US" w:eastAsia="zh-CN" w:bidi="ar-SA"/>
        </w:rPr>
        <w:t>参选人需提供产品的相关授权书</w:t>
      </w:r>
      <w:r>
        <w:rPr>
          <w:rFonts w:hint="eastAsia" w:ascii="Calibri" w:hAnsi="Calibri" w:eastAsia="宋体" w:cs="Times New Roman"/>
          <w:color w:val="auto"/>
          <w:kern w:val="2"/>
          <w:sz w:val="24"/>
          <w:szCs w:val="24"/>
          <w:lang w:val="en-US" w:eastAsia="zh-CN" w:bidi="ar-SA"/>
        </w:rPr>
        <w:t>。</w:t>
      </w:r>
    </w:p>
    <w:p>
      <w:pPr>
        <w:pStyle w:val="2"/>
        <w:ind w:firstLine="480" w:firstLineChars="200"/>
        <w:rPr>
          <w:rFonts w:hint="eastAsia"/>
          <w:color w:val="000000" w:themeColor="text1"/>
          <w:lang w:eastAsia="zh-CN"/>
        </w:rPr>
      </w:pPr>
      <w:r>
        <w:rPr>
          <w:rFonts w:hint="eastAsia"/>
          <w:color w:val="auto"/>
          <w:sz w:val="24"/>
          <w:szCs w:val="24"/>
          <w:lang w:eastAsia="zh-CN"/>
        </w:rPr>
        <w:t>4.</w:t>
      </w:r>
      <w:r>
        <w:rPr>
          <w:rFonts w:hint="eastAsia" w:ascii="宋体" w:hAnsi="宋体" w:eastAsia="宋体" w:cs="宋体"/>
          <w:sz w:val="24"/>
          <w:szCs w:val="24"/>
        </w:rPr>
        <w:t>本采购项目不接受联合体参选。</w:t>
      </w:r>
    </w:p>
    <w:p>
      <w:pPr>
        <w:pStyle w:val="20"/>
        <w:spacing w:line="360" w:lineRule="auto"/>
        <w:ind w:right="121" w:firstLine="480" w:firstLineChars="200"/>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360" w:firstLineChars="150"/>
        <w:jc w:val="both"/>
        <w:rPr>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spacing w:val="-56"/>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rFonts w:hint="eastAsia"/>
          <w:b/>
          <w:w w:val="95"/>
          <w:sz w:val="28"/>
          <w:lang w:val="en-US" w:eastAsia="zh-CN"/>
        </w:rPr>
        <w:t>二</w:t>
      </w:r>
      <w:r>
        <w:rPr>
          <w:b/>
          <w:w w:val="95"/>
          <w:sz w:val="28"/>
          <w:lang w:eastAsia="zh-CN"/>
        </w:rPr>
        <w:t>、参选报价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rFonts w:hint="eastAsia"/>
          <w:b/>
          <w:w w:val="95"/>
          <w:sz w:val="28"/>
          <w:lang w:val="en-US" w:eastAsia="zh-CN"/>
        </w:rPr>
        <w:t>三</w:t>
      </w:r>
      <w:r>
        <w:rPr>
          <w:b/>
          <w:w w:val="95"/>
          <w:sz w:val="28"/>
          <w:lang w:eastAsia="zh-CN"/>
        </w:rPr>
        <w:t>、特别说明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3.2</w:t>
      </w:r>
      <w:r>
        <w:rPr>
          <w:rFonts w:hint="eastAsia"/>
          <w:b/>
          <w:color w:val="FF0000"/>
          <w:lang w:eastAsia="zh-CN"/>
        </w:rPr>
        <w:t>万元整（含13%增值税）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w:t>
      </w:r>
      <w:r>
        <w:rPr>
          <w:rStyle w:val="55"/>
          <w:rFonts w:hint="eastAsia"/>
          <w:lang w:val="en-US" w:eastAsia="zh-CN"/>
        </w:rPr>
        <w:t>zyhe</w:t>
      </w:r>
      <w:r>
        <w:rPr>
          <w:rStyle w:val="55"/>
          <w:rFonts w:hint="eastAsia"/>
          <w:lang w:eastAsia="zh-CN"/>
        </w:rPr>
        <w:t>@fhcpec.com.cn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val="en-US" w:eastAsia="zh-CN"/>
        </w:rPr>
        <w:t>腾龙芳烃</w:t>
      </w:r>
      <w:r>
        <w:rPr>
          <w:rStyle w:val="51"/>
          <w:rFonts w:hint="eastAsia" w:ascii="Times New Roman" w:hAnsi="Times New Roman" w:cs="Times New Roman"/>
          <w:color w:val="FF0000"/>
          <w:lang w:eastAsia="zh-CN"/>
        </w:rPr>
        <w:t>（漳州）有限公司”</w:t>
      </w:r>
      <w:r>
        <w:rPr>
          <w:rStyle w:val="51"/>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4"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9"/>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9"/>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31402"/>
      <w:bookmarkStart w:id="2" w:name="_Toc14171"/>
      <w:bookmarkStart w:id="3" w:name="_Toc17959"/>
      <w:bookmarkStart w:id="4" w:name="_Toc31173"/>
      <w:bookmarkStart w:id="5" w:name="_Toc23434"/>
      <w:bookmarkStart w:id="6" w:name="_Toc18049"/>
      <w:bookmarkStart w:id="7" w:name="_Toc4114"/>
      <w:bookmarkStart w:id="8" w:name="_Toc27787"/>
      <w:bookmarkStart w:id="9" w:name="_Toc385779252"/>
      <w:bookmarkStart w:id="10" w:name="_Toc352146655"/>
      <w:bookmarkStart w:id="11" w:name="_Toc2239"/>
      <w:bookmarkStart w:id="12" w:name="_Toc20180"/>
      <w:bookmarkStart w:id="13" w:name="_Toc10991"/>
      <w:bookmarkStart w:id="14" w:name="_Toc8520"/>
      <w:bookmarkStart w:id="15" w:name="_Toc20273"/>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eastAsia="宋体"/>
          <w:b/>
          <w:bCs/>
          <w:sz w:val="24"/>
          <w:szCs w:val="24"/>
          <w:lang w:val="en-US"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1台德尔塔巴流量计</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1台德尔塔巴流量计</w:t>
      </w:r>
      <w:r>
        <w:rPr>
          <w:rFonts w:hint="eastAsia"/>
          <w:b/>
          <w:bCs/>
          <w:sz w:val="24"/>
          <w:szCs w:val="24"/>
          <w:lang w:eastAsia="zh-CN"/>
        </w:rPr>
        <w:t>采购项目价格清单</w:t>
      </w:r>
    </w:p>
    <w:tbl>
      <w:tblPr>
        <w:tblStyle w:val="48"/>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QG2212020015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2705140037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德尔塔巴流量计</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17-FT-203\HART协议+4-20mA\精度±1.0%FS\EXIICT4\IP65\双面支撑\带安装支架\带椭圆法兰\带差压变送器（3051或EJA)及316SS材质五阀组\带截止阀\一体化连接\见技术规格书</w:t>
            </w:r>
            <w:bookmarkStart w:id="16" w:name="_GoBack"/>
            <w:bookmarkEnd w:id="16"/>
            <w:r>
              <w:rPr>
                <w:rFonts w:hint="eastAsia" w:cs="宋体"/>
                <w:i w:val="0"/>
                <w:iCs w:val="0"/>
                <w:color w:val="000000"/>
                <w:kern w:val="0"/>
                <w:sz w:val="18"/>
                <w:szCs w:val="18"/>
                <w:u w:val="none"/>
                <w:lang w:val="en-US" w:eastAsia="zh-CN" w:bidi="ar"/>
              </w:rPr>
              <w:t>\Systec controls\ABB\EMERSON \丹东通博\承德菲时博特\重庆川仪；最终以双方签定的技术协议为准。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auto"/>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8"/>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5C57BD4"/>
    <w:rsid w:val="061139E5"/>
    <w:rsid w:val="06F50B00"/>
    <w:rsid w:val="076E1278"/>
    <w:rsid w:val="07BB058C"/>
    <w:rsid w:val="07DF5FB5"/>
    <w:rsid w:val="081A08AE"/>
    <w:rsid w:val="081D6F74"/>
    <w:rsid w:val="087D5A4F"/>
    <w:rsid w:val="08D1141D"/>
    <w:rsid w:val="09130765"/>
    <w:rsid w:val="09CF6571"/>
    <w:rsid w:val="0B296DE2"/>
    <w:rsid w:val="0B721453"/>
    <w:rsid w:val="0D0126E0"/>
    <w:rsid w:val="0D044784"/>
    <w:rsid w:val="0D3547C9"/>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9E34A8E"/>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3940057"/>
    <w:rsid w:val="255C7E5F"/>
    <w:rsid w:val="25BF356F"/>
    <w:rsid w:val="25C95B03"/>
    <w:rsid w:val="25DB0C2D"/>
    <w:rsid w:val="267F6210"/>
    <w:rsid w:val="269469E7"/>
    <w:rsid w:val="26EF5299"/>
    <w:rsid w:val="27981585"/>
    <w:rsid w:val="27E149AB"/>
    <w:rsid w:val="27EE0826"/>
    <w:rsid w:val="280F47C0"/>
    <w:rsid w:val="2998140D"/>
    <w:rsid w:val="29FC3B14"/>
    <w:rsid w:val="2A056A4F"/>
    <w:rsid w:val="2B11792E"/>
    <w:rsid w:val="2BCC4D8A"/>
    <w:rsid w:val="2D3639F2"/>
    <w:rsid w:val="2E666BF4"/>
    <w:rsid w:val="2F724BD0"/>
    <w:rsid w:val="2FC5779A"/>
    <w:rsid w:val="306A51FE"/>
    <w:rsid w:val="308C67A6"/>
    <w:rsid w:val="318B24CE"/>
    <w:rsid w:val="31C54755"/>
    <w:rsid w:val="31D23053"/>
    <w:rsid w:val="3216608C"/>
    <w:rsid w:val="322152B0"/>
    <w:rsid w:val="328F13DA"/>
    <w:rsid w:val="347F358E"/>
    <w:rsid w:val="34CE14C6"/>
    <w:rsid w:val="34D84CEC"/>
    <w:rsid w:val="35DC515B"/>
    <w:rsid w:val="37AF5AB7"/>
    <w:rsid w:val="38B844F1"/>
    <w:rsid w:val="399C3DF7"/>
    <w:rsid w:val="39E568DF"/>
    <w:rsid w:val="3A387F18"/>
    <w:rsid w:val="3AC225C0"/>
    <w:rsid w:val="3B1C3371"/>
    <w:rsid w:val="3CAE3A33"/>
    <w:rsid w:val="3CC23198"/>
    <w:rsid w:val="3DDF4815"/>
    <w:rsid w:val="3F447AD9"/>
    <w:rsid w:val="3FE669E5"/>
    <w:rsid w:val="42C84A21"/>
    <w:rsid w:val="43375D4C"/>
    <w:rsid w:val="43CA6D32"/>
    <w:rsid w:val="44B33DBE"/>
    <w:rsid w:val="44B70186"/>
    <w:rsid w:val="459C39D0"/>
    <w:rsid w:val="462A54F2"/>
    <w:rsid w:val="486C4718"/>
    <w:rsid w:val="48BC1E8C"/>
    <w:rsid w:val="4A286FFC"/>
    <w:rsid w:val="4A344C53"/>
    <w:rsid w:val="4A6A5207"/>
    <w:rsid w:val="4B3B68BB"/>
    <w:rsid w:val="4B410375"/>
    <w:rsid w:val="4B876203"/>
    <w:rsid w:val="4FA42AD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5E543886"/>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1E85B35"/>
    <w:rsid w:val="727810B8"/>
    <w:rsid w:val="7293546A"/>
    <w:rsid w:val="72E05B2C"/>
    <w:rsid w:val="73F81307"/>
    <w:rsid w:val="740A2BDE"/>
    <w:rsid w:val="751839E0"/>
    <w:rsid w:val="756178E9"/>
    <w:rsid w:val="75A1093B"/>
    <w:rsid w:val="75BE7C69"/>
    <w:rsid w:val="76274F93"/>
    <w:rsid w:val="78632A79"/>
    <w:rsid w:val="78F732D8"/>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7"/>
    <w:qFormat/>
    <w:uiPriority w:val="1"/>
    <w:rPr>
      <w:sz w:val="24"/>
      <w:szCs w:val="24"/>
    </w:rPr>
  </w:style>
  <w:style w:type="paragraph" w:styleId="21">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0"/>
    <w:qFormat/>
    <w:uiPriority w:val="0"/>
    <w:pPr>
      <w:widowControl/>
    </w:pPr>
    <w:rPr>
      <w:b/>
      <w:bCs/>
      <w:sz w:val="24"/>
      <w:szCs w:val="24"/>
    </w:rPr>
  </w:style>
  <w:style w:type="paragraph" w:styleId="46">
    <w:name w:val="Body Text First Indent"/>
    <w:basedOn w:val="20"/>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1"/>
    <w:next w:val="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800080"/>
      <w:u w:val="single"/>
    </w:rPr>
  </w:style>
  <w:style w:type="character" w:styleId="54">
    <w:name w:val="Emphasis"/>
    <w:basedOn w:val="50"/>
    <w:qFormat/>
    <w:uiPriority w:val="0"/>
  </w:style>
  <w:style w:type="character" w:styleId="55">
    <w:name w:val="Hyperlink"/>
    <w:basedOn w:val="50"/>
    <w:qFormat/>
    <w:uiPriority w:val="0"/>
    <w:rPr>
      <w:color w:val="0000FF" w:themeColor="hyperlink"/>
      <w:u w:val="single"/>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正文文本 Char1"/>
    <w:basedOn w:val="50"/>
    <w:link w:val="20"/>
    <w:qFormat/>
    <w:uiPriority w:val="1"/>
    <w:rPr>
      <w:rFonts w:ascii="宋体" w:hAnsi="宋体" w:cs="宋体"/>
      <w:sz w:val="24"/>
      <w:szCs w:val="24"/>
      <w:lang w:eastAsia="en-US"/>
    </w:rPr>
  </w:style>
  <w:style w:type="character" w:customStyle="1" w:styleId="68">
    <w:name w:val="纯文本 Char"/>
    <w:basedOn w:val="50"/>
    <w:link w:val="25"/>
    <w:qFormat/>
    <w:uiPriority w:val="0"/>
    <w:rPr>
      <w:rFonts w:ascii="宋体" w:hAnsi="Courier New" w:cs="Courier New"/>
      <w:sz w:val="22"/>
      <w:szCs w:val="21"/>
      <w:lang w:eastAsia="en-US"/>
    </w:rPr>
  </w:style>
  <w:style w:type="character" w:customStyle="1" w:styleId="69">
    <w:name w:val="页脚 Char"/>
    <w:basedOn w:val="50"/>
    <w:link w:val="30"/>
    <w:qFormat/>
    <w:uiPriority w:val="99"/>
    <w:rPr>
      <w:rFonts w:ascii="宋体" w:hAnsi="宋体" w:cs="宋体"/>
      <w:sz w:val="18"/>
      <w:szCs w:val="18"/>
      <w:lang w:eastAsia="en-US"/>
    </w:rPr>
  </w:style>
  <w:style w:type="character" w:customStyle="1" w:styleId="70">
    <w:name w:val="页眉 Char"/>
    <w:basedOn w:val="50"/>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50"/>
    <w:link w:val="19"/>
    <w:qFormat/>
    <w:uiPriority w:val="0"/>
    <w:rPr>
      <w:b/>
      <w:kern w:val="2"/>
      <w:sz w:val="21"/>
    </w:rPr>
  </w:style>
  <w:style w:type="character" w:customStyle="1" w:styleId="78">
    <w:name w:val="普通(网站) Char"/>
    <w:basedOn w:val="50"/>
    <w:link w:val="42"/>
    <w:qFormat/>
    <w:locked/>
    <w:uiPriority w:val="0"/>
    <w:rPr>
      <w:rFonts w:ascii="宋体" w:hAnsi="宋体" w:cs="宋体"/>
      <w:sz w:val="24"/>
      <w:szCs w:val="24"/>
    </w:rPr>
  </w:style>
  <w:style w:type="character" w:customStyle="1" w:styleId="79">
    <w:name w:val="xdrichtextbox2"/>
    <w:basedOn w:val="50"/>
    <w:qFormat/>
    <w:uiPriority w:val="0"/>
    <w:rPr>
      <w:color w:val="0000FF"/>
      <w:sz w:val="18"/>
      <w:szCs w:val="18"/>
      <w:u w:val="none"/>
      <w:bdr w:val="single" w:color="DCDCDC" w:sz="8" w:space="0"/>
      <w:shd w:val="clear" w:color="auto" w:fill="FFFFFF"/>
    </w:rPr>
  </w:style>
  <w:style w:type="character" w:customStyle="1" w:styleId="80">
    <w:name w:val="apple-converted-space"/>
    <w:basedOn w:val="50"/>
    <w:qFormat/>
    <w:uiPriority w:val="0"/>
  </w:style>
  <w:style w:type="character" w:customStyle="1" w:styleId="81">
    <w:name w:val="无间隔 Char"/>
    <w:basedOn w:val="50"/>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50"/>
    <w:link w:val="17"/>
    <w:qFormat/>
    <w:uiPriority w:val="0"/>
    <w:rPr>
      <w:kern w:val="2"/>
      <w:sz w:val="21"/>
    </w:rPr>
  </w:style>
  <w:style w:type="character" w:customStyle="1" w:styleId="84">
    <w:name w:val="批注框文本 Char"/>
    <w:basedOn w:val="50"/>
    <w:link w:val="29"/>
    <w:qFormat/>
    <w:uiPriority w:val="0"/>
    <w:rPr>
      <w:kern w:val="2"/>
      <w:sz w:val="18"/>
      <w:szCs w:val="18"/>
    </w:rPr>
  </w:style>
  <w:style w:type="character" w:customStyle="1" w:styleId="85">
    <w:name w:val="正文文本缩进 3 Char"/>
    <w:basedOn w:val="50"/>
    <w:link w:val="36"/>
    <w:qFormat/>
    <w:uiPriority w:val="0"/>
    <w:rPr>
      <w:kern w:val="2"/>
      <w:sz w:val="28"/>
    </w:rPr>
  </w:style>
  <w:style w:type="character" w:customStyle="1" w:styleId="86">
    <w:name w:val="正文文本缩进 2 Char"/>
    <w:basedOn w:val="50"/>
    <w:link w:val="28"/>
    <w:qFormat/>
    <w:uiPriority w:val="0"/>
    <w:rPr>
      <w:rFonts w:ascii="宋体" w:hAnsi="宋体"/>
      <w:iCs/>
      <w:kern w:val="2"/>
      <w:sz w:val="24"/>
      <w:szCs w:val="24"/>
    </w:rPr>
  </w:style>
  <w:style w:type="character" w:customStyle="1" w:styleId="87">
    <w:name w:val="正文文本 Char"/>
    <w:basedOn w:val="50"/>
    <w:qFormat/>
    <w:uiPriority w:val="0"/>
    <w:rPr>
      <w:rFonts w:eastAsia="宋体"/>
      <w:sz w:val="24"/>
      <w:szCs w:val="24"/>
      <w:lang w:val="en-US" w:eastAsia="zh-CN" w:bidi="ar-SA"/>
    </w:rPr>
  </w:style>
  <w:style w:type="character" w:customStyle="1" w:styleId="88">
    <w:name w:val="en1"/>
    <w:basedOn w:val="50"/>
    <w:qFormat/>
    <w:uiPriority w:val="0"/>
    <w:rPr>
      <w:b/>
      <w:bCs/>
      <w:color w:val="154C7F"/>
      <w:sz w:val="24"/>
      <w:szCs w:val="24"/>
    </w:rPr>
  </w:style>
  <w:style w:type="character" w:customStyle="1" w:styleId="89">
    <w:name w:val="font01"/>
    <w:basedOn w:val="50"/>
    <w:qFormat/>
    <w:uiPriority w:val="0"/>
    <w:rPr>
      <w:rFonts w:hint="eastAsia" w:ascii="宋体" w:hAnsi="宋体" w:eastAsia="宋体" w:cs="宋体"/>
      <w:color w:val="000000"/>
      <w:sz w:val="20"/>
      <w:szCs w:val="20"/>
      <w:u w:val="none"/>
    </w:rPr>
  </w:style>
  <w:style w:type="character" w:customStyle="1" w:styleId="90">
    <w:name w:val="标题 Char"/>
    <w:basedOn w:val="50"/>
    <w:link w:val="44"/>
    <w:qFormat/>
    <w:uiPriority w:val="0"/>
    <w:rPr>
      <w:rFonts w:ascii="Arial" w:hAnsi="Arial" w:cs="Arial"/>
      <w:b/>
      <w:bCs/>
      <w:sz w:val="44"/>
      <w:szCs w:val="32"/>
    </w:rPr>
  </w:style>
  <w:style w:type="character" w:customStyle="1" w:styleId="91">
    <w:name w:val="正文文本缩进 Char"/>
    <w:basedOn w:val="50"/>
    <w:link w:val="21"/>
    <w:qFormat/>
    <w:uiPriority w:val="0"/>
    <w:rPr>
      <w:i/>
      <w:iCs/>
      <w:kern w:val="2"/>
      <w:sz w:val="21"/>
    </w:rPr>
  </w:style>
  <w:style w:type="character" w:customStyle="1" w:styleId="92">
    <w:name w:val="正文文本 3 Char"/>
    <w:basedOn w:val="50"/>
    <w:link w:val="18"/>
    <w:qFormat/>
    <w:uiPriority w:val="0"/>
    <w:rPr>
      <w:color w:val="0000FF"/>
      <w:kern w:val="2"/>
      <w:sz w:val="24"/>
      <w:szCs w:val="24"/>
    </w:rPr>
  </w:style>
  <w:style w:type="character" w:customStyle="1" w:styleId="93">
    <w:name w:val="font11"/>
    <w:basedOn w:val="50"/>
    <w:qFormat/>
    <w:uiPriority w:val="0"/>
    <w:rPr>
      <w:rFonts w:hint="default" w:ascii="Times New Roman" w:hAnsi="Times New Roman" w:cs="Times New Roman"/>
      <w:color w:val="000000"/>
      <w:sz w:val="20"/>
      <w:szCs w:val="20"/>
      <w:u w:val="none"/>
    </w:rPr>
  </w:style>
  <w:style w:type="character" w:customStyle="1" w:styleId="94">
    <w:name w:val="glossaryitem"/>
    <w:basedOn w:val="50"/>
    <w:qFormat/>
    <w:uiPriority w:val="0"/>
    <w:rPr>
      <w:u w:val="none"/>
    </w:rPr>
  </w:style>
  <w:style w:type="character" w:customStyle="1" w:styleId="95">
    <w:name w:val="HTML 预设格式 Char"/>
    <w:basedOn w:val="50"/>
    <w:link w:val="41"/>
    <w:qFormat/>
    <w:uiPriority w:val="0"/>
    <w:rPr>
      <w:rFonts w:ascii="Arial Unicode MS" w:hAnsi="Arial Unicode MS" w:eastAsia="Courier New" w:cs="Courier New"/>
    </w:rPr>
  </w:style>
  <w:style w:type="character" w:customStyle="1" w:styleId="96">
    <w:name w:val="文档结构图 Char"/>
    <w:basedOn w:val="50"/>
    <w:link w:val="16"/>
    <w:qFormat/>
    <w:uiPriority w:val="0"/>
    <w:rPr>
      <w:rFonts w:ascii="宋体"/>
      <w:sz w:val="28"/>
      <w:shd w:val="clear" w:color="auto" w:fill="000080"/>
    </w:rPr>
  </w:style>
  <w:style w:type="character" w:customStyle="1" w:styleId="97">
    <w:name w:val="日期 Char"/>
    <w:basedOn w:val="50"/>
    <w:link w:val="27"/>
    <w:qFormat/>
    <w:uiPriority w:val="0"/>
    <w:rPr>
      <w:kern w:val="2"/>
      <w:sz w:val="21"/>
      <w:szCs w:val="24"/>
    </w:rPr>
  </w:style>
  <w:style w:type="character" w:customStyle="1" w:styleId="98">
    <w:name w:val="正文文本 2 Char"/>
    <w:basedOn w:val="50"/>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5"/>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50"/>
    <w:link w:val="40"/>
    <w:qFormat/>
    <w:uiPriority w:val="0"/>
    <w:rPr>
      <w:rFonts w:ascii="Arial" w:hAnsi="Arial" w:cs="Arial"/>
      <w:kern w:val="2"/>
      <w:sz w:val="24"/>
      <w:szCs w:val="24"/>
      <w:shd w:val="pct20" w:color="auto" w:fill="auto"/>
    </w:rPr>
  </w:style>
  <w:style w:type="character" w:customStyle="1" w:styleId="105">
    <w:name w:val="正文文本 3 Char1"/>
    <w:basedOn w:val="50"/>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50"/>
    <w:qFormat/>
    <w:uiPriority w:val="0"/>
    <w:rPr>
      <w:rFonts w:ascii="宋体" w:hAnsi="宋体" w:cs="宋体"/>
      <w:sz w:val="22"/>
      <w:szCs w:val="22"/>
      <w:lang w:eastAsia="en-US"/>
    </w:rPr>
  </w:style>
  <w:style w:type="character" w:customStyle="1" w:styleId="109">
    <w:name w:val="批注文字 Char1"/>
    <w:basedOn w:val="50"/>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50"/>
    <w:qFormat/>
    <w:uiPriority w:val="0"/>
    <w:rPr>
      <w:rFonts w:ascii="宋体" w:hAnsi="宋体" w:cs="宋体"/>
      <w:sz w:val="18"/>
      <w:szCs w:val="18"/>
      <w:lang w:eastAsia="en-US"/>
    </w:rPr>
  </w:style>
  <w:style w:type="character" w:customStyle="1" w:styleId="114">
    <w:name w:val="日期 Char1"/>
    <w:basedOn w:val="50"/>
    <w:qFormat/>
    <w:uiPriority w:val="0"/>
    <w:rPr>
      <w:rFonts w:ascii="宋体" w:hAnsi="宋体" w:cs="宋体"/>
      <w:sz w:val="22"/>
      <w:szCs w:val="22"/>
      <w:lang w:eastAsia="en-US"/>
    </w:rPr>
  </w:style>
  <w:style w:type="paragraph" w:customStyle="1" w:styleId="115">
    <w:name w:val="标题3(3号)"/>
    <w:basedOn w:val="5"/>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50"/>
    <w:qFormat/>
    <w:uiPriority w:val="0"/>
    <w:rPr>
      <w:rFonts w:ascii="Courier New" w:hAnsi="Courier New" w:cs="Courier New"/>
      <w:lang w:eastAsia="en-US"/>
    </w:rPr>
  </w:style>
  <w:style w:type="character" w:customStyle="1" w:styleId="119">
    <w:name w:val="正文文本缩进 Char1"/>
    <w:basedOn w:val="50"/>
    <w:qFormat/>
    <w:uiPriority w:val="0"/>
    <w:rPr>
      <w:rFonts w:ascii="宋体" w:hAnsi="宋体" w:cs="宋体"/>
      <w:sz w:val="22"/>
      <w:szCs w:val="22"/>
      <w:lang w:eastAsia="en-US"/>
    </w:rPr>
  </w:style>
  <w:style w:type="paragraph" w:customStyle="1" w:styleId="120">
    <w:name w:val="标题2(小3号)"/>
    <w:basedOn w:val="4"/>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3"/>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50"/>
    <w:qFormat/>
    <w:uiPriority w:val="0"/>
    <w:rPr>
      <w:rFonts w:ascii="宋体" w:hAnsi="宋体" w:cs="宋体"/>
      <w:sz w:val="22"/>
      <w:szCs w:val="22"/>
      <w:lang w:eastAsia="en-US"/>
    </w:rPr>
  </w:style>
  <w:style w:type="character" w:customStyle="1" w:styleId="127">
    <w:name w:val="标题 Char1"/>
    <w:basedOn w:val="50"/>
    <w:qFormat/>
    <w:uiPriority w:val="0"/>
    <w:rPr>
      <w:rFonts w:asciiTheme="majorHAnsi" w:hAnsiTheme="majorHAnsi" w:cstheme="majorBidi"/>
      <w:b/>
      <w:bCs/>
      <w:sz w:val="32"/>
      <w:szCs w:val="32"/>
      <w:lang w:eastAsia="en-US"/>
    </w:rPr>
  </w:style>
  <w:style w:type="character" w:customStyle="1" w:styleId="128">
    <w:name w:val="正文文本缩进 3 Char1"/>
    <w:basedOn w:val="50"/>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50"/>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5"/>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5"/>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5"/>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4"/>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3"/>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4"/>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3"/>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3"/>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3"/>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4"/>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50"/>
    <w:qFormat/>
    <w:uiPriority w:val="0"/>
  </w:style>
  <w:style w:type="character" w:customStyle="1" w:styleId="205">
    <w:name w:val="xdrichtextbox3"/>
    <w:basedOn w:val="50"/>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14</Pages>
  <Words>8520</Words>
  <Characters>9094</Characters>
  <Lines>79</Lines>
  <Paragraphs>22</Paragraphs>
  <TotalTime>3</TotalTime>
  <ScaleCrop>false</ScaleCrop>
  <LinksUpToDate>false</LinksUpToDate>
  <CharactersWithSpaces>9872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2023-03-17T06:26:10Z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7EFD1898B78A4345BC21372367C648C1</vt:lpwstr>
  </property>
</Properties>
</file>