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电气</w:t>
      </w:r>
      <w:r>
        <w:rPr>
          <w:rFonts w:hint="eastAsia" w:ascii="微软雅黑" w:eastAsia="微软雅黑"/>
          <w:b/>
          <w:sz w:val="52"/>
          <w:szCs w:val="22"/>
          <w:u w:val="single"/>
          <w:lang w:eastAsia="zh-CN"/>
        </w:rPr>
        <w:t>团队</w:t>
      </w:r>
      <w:r>
        <w:rPr>
          <w:rFonts w:hint="eastAsia" w:ascii="微软雅黑" w:eastAsia="微软雅黑"/>
          <w:b/>
          <w:sz w:val="52"/>
          <w:szCs w:val="22"/>
          <w:u w:val="single"/>
          <w:lang w:val="en-US" w:eastAsia="zh-CN"/>
        </w:rPr>
        <w:t>13台UPS主机</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QG2303130041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w:t>
      </w:r>
      <w:r>
        <w:rPr>
          <w:rFonts w:hint="eastAsia"/>
          <w:sz w:val="24"/>
          <w:szCs w:val="24"/>
          <w:lang w:val="en-US" w:eastAsia="zh-CN"/>
        </w:rPr>
        <w:t>商务报价单</w:t>
      </w:r>
      <w:r>
        <w:rPr>
          <w:sz w:val="24"/>
          <w:szCs w:val="24"/>
          <w:lang w:eastAsia="zh-CN"/>
        </w:rPr>
        <w:t>（范本）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 xml:space="preserve">福建福海创石油化工有限公司电气团队13台UPS主机采购项目    </w:t>
      </w:r>
      <w:r>
        <w:rPr>
          <w:rFonts w:hint="eastAsia"/>
          <w:b/>
          <w:bCs/>
          <w:sz w:val="32"/>
          <w:lang w:val="en-US" w:eastAsia="zh-CN"/>
        </w:rPr>
        <w:t xml:space="preserve">  </w:t>
      </w:r>
      <w:r>
        <w:rPr>
          <w:rFonts w:hint="eastAsia"/>
          <w:b/>
          <w:bCs/>
          <w:sz w:val="32"/>
          <w:lang w:eastAsia="zh-CN"/>
        </w:rPr>
        <w:t xml:space="preserve">  比选公告</w:t>
      </w:r>
    </w:p>
    <w:p>
      <w:pPr>
        <w:pStyle w:val="20"/>
        <w:rPr>
          <w:b/>
          <w:sz w:val="28"/>
          <w:lang w:eastAsia="zh-CN"/>
        </w:rPr>
      </w:pP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福建福海创石油化工有限公司电气团队13台UPS主机采购项目（项目编号：QG2303130041）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项目名称：福建福海创石油化工有限公司电气团队13台UPS主机采购项目。</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见附件1《采购清单》，具体技术要求</w:t>
      </w:r>
      <w:r>
        <w:rPr>
          <w:sz w:val="24"/>
          <w:szCs w:val="24"/>
          <w:lang w:eastAsia="zh-CN"/>
        </w:rPr>
        <w:t>详</w:t>
      </w:r>
      <w:r>
        <w:rPr>
          <w:rFonts w:hint="eastAsia"/>
          <w:sz w:val="24"/>
          <w:szCs w:val="24"/>
          <w:lang w:val="en-US" w:eastAsia="zh-CN"/>
        </w:rPr>
        <w:t>附件2</w:t>
      </w:r>
      <w:r>
        <w:rPr>
          <w:rFonts w:hint="eastAsia"/>
          <w:sz w:val="24"/>
          <w:szCs w:val="24"/>
          <w:lang w:eastAsia="zh-CN"/>
        </w:rPr>
        <w:t>《</w:t>
      </w:r>
      <w:r>
        <w:rPr>
          <w:rFonts w:hint="eastAsia"/>
          <w:sz w:val="24"/>
          <w:szCs w:val="24"/>
          <w:lang w:val="en-US" w:eastAsia="zh-CN"/>
        </w:rPr>
        <w:t>技术协议要求》</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97.88</w:t>
      </w:r>
      <w:r>
        <w:rPr>
          <w:sz w:val="24"/>
          <w:szCs w:val="24"/>
          <w:lang w:eastAsia="zh-CN"/>
        </w:rPr>
        <w:t>万元</w:t>
      </w:r>
      <w:r>
        <w:rPr>
          <w:rFonts w:hint="eastAsia"/>
          <w:sz w:val="24"/>
          <w:szCs w:val="24"/>
          <w:lang w:eastAsia="zh-CN"/>
        </w:rPr>
        <w:t>（含税）。</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1.参选单位应是具备独立法人资格且有能力按我司需求提供货物及服务的制造商或</w:t>
      </w:r>
      <w:r>
        <w:rPr>
          <w:rFonts w:hint="eastAsia" w:cs="宋体"/>
          <w:sz w:val="24"/>
          <w:szCs w:val="24"/>
          <w:lang w:val="en-US" w:eastAsia="zh-CN"/>
        </w:rPr>
        <w:t>满足</w:t>
      </w:r>
      <w:r>
        <w:rPr>
          <w:rFonts w:hint="eastAsia" w:ascii="宋体" w:hAnsi="宋体" w:eastAsia="宋体" w:cs="宋体"/>
          <w:sz w:val="24"/>
          <w:szCs w:val="24"/>
          <w:lang w:val="en-US" w:eastAsia="zh-CN"/>
        </w:rPr>
        <w:t>技术协议要求的供应商。</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2.参选人需配合比选人</w:t>
      </w:r>
      <w:r>
        <w:rPr>
          <w:rFonts w:hint="eastAsia" w:cs="宋体"/>
          <w:sz w:val="24"/>
          <w:szCs w:val="24"/>
          <w:lang w:val="en-US" w:eastAsia="zh-CN"/>
        </w:rPr>
        <w:t>发货前</w:t>
      </w:r>
      <w:r>
        <w:rPr>
          <w:rFonts w:hint="eastAsia" w:ascii="宋体" w:hAnsi="宋体" w:eastAsia="宋体" w:cs="宋体"/>
          <w:sz w:val="24"/>
          <w:szCs w:val="24"/>
          <w:lang w:val="en-US" w:eastAsia="zh-CN"/>
        </w:rPr>
        <w:t>到制造原厂验收货物</w:t>
      </w:r>
      <w:r>
        <w:rPr>
          <w:rFonts w:hint="eastAsia" w:cs="宋体"/>
          <w:sz w:val="24"/>
          <w:szCs w:val="24"/>
          <w:lang w:val="en-US"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3.参选单位应提供品牌生产制造商近三年石化行业相同规格或更大规格的业绩。</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.单位负责人为同一人或者存在控股、管理关系的不同单位，不得同时参选本项目。参选人没有失信黑名单记录（以最高院失</w:t>
      </w:r>
      <w:r>
        <w:rPr>
          <w:rFonts w:hint="eastAsia" w:ascii="宋体" w:hAnsi="宋体" w:eastAsia="宋体" w:cs="宋体"/>
          <w:color w:val="000000" w:themeColor="text1"/>
          <w:sz w:val="24"/>
          <w:szCs w:val="24"/>
        </w:rPr>
        <w:t>信被执行人系统发布信息为准）</w:t>
      </w:r>
      <w:r>
        <w:rPr>
          <w:rFonts w:hint="eastAsia" w:cs="宋体"/>
          <w:color w:val="000000" w:themeColor="text1"/>
          <w:sz w:val="24"/>
          <w:szCs w:val="24"/>
          <w:lang w:eastAsia="zh-CN"/>
        </w:rPr>
        <w:t>，</w:t>
      </w:r>
      <w:r>
        <w:rPr>
          <w:rFonts w:hint="eastAsia" w:ascii="宋体" w:hAnsi="宋体" w:eastAsia="宋体" w:cs="宋体"/>
          <w:sz w:val="24"/>
          <w:szCs w:val="24"/>
          <w:lang w:val="en-US" w:eastAsia="zh-CN"/>
        </w:rPr>
        <w:t>与我司无诉讼纠纷。</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.本采购项目不接受联合体参选。</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31</w:t>
      </w:r>
      <w:r>
        <w:rPr>
          <w:rFonts w:hint="eastAsia"/>
          <w:color w:val="000000" w:themeColor="text1"/>
          <w:sz w:val="24"/>
          <w:szCs w:val="24"/>
          <w:lang w:eastAsia="zh-CN"/>
        </w:rPr>
        <w:t>日至</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xydai@fhcpec.com.cn</w:t>
      </w:r>
      <w:r>
        <w:rPr>
          <w:rFonts w:hint="eastAsia"/>
          <w:color w:val="000000" w:themeColor="text1"/>
          <w:sz w:val="24"/>
          <w:szCs w:val="24"/>
          <w:lang w:eastAsia="zh-CN"/>
        </w:rPr>
        <w:t>，报名文件包含：</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bookmarkStart w:id="16" w:name="_GoBack"/>
      <w:bookmarkEnd w:id="16"/>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w:t>
      </w:r>
      <w:r>
        <w:rPr>
          <w:rFonts w:hint="eastAsia"/>
          <w:color w:val="000000" w:themeColor="text1"/>
          <w:sz w:val="24"/>
          <w:szCs w:val="24"/>
          <w:lang w:val="en-US" w:eastAsia="zh-CN"/>
        </w:rPr>
        <w:t>,</w:t>
      </w:r>
      <w:r>
        <w:rPr>
          <w:rFonts w:hint="eastAsia"/>
          <w:color w:val="000000" w:themeColor="text1"/>
          <w:sz w:val="24"/>
          <w:szCs w:val="24"/>
          <w:lang w:eastAsia="zh-CN"/>
        </w:rPr>
        <w:t>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电话：15259629857</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widowControl w:val="0"/>
        <w:kinsoku/>
        <w:wordWrap/>
        <w:overflowPunct/>
        <w:topLinePunct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1.9万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开户名称：福建福海创石油化工有限公司</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开户银行：中国银行漳州古雷支行</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注明用途：电气团队13台UPS主机采购项目参选</w:t>
      </w:r>
      <w:r>
        <w:rPr>
          <w:color w:val="000000" w:themeColor="text1"/>
          <w:lang w:eastAsia="zh-CN"/>
        </w:rPr>
        <w:t>保证金</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keepNext w:val="0"/>
        <w:keepLines w:val="0"/>
        <w:pageBreakBefore w:val="0"/>
        <w:widowControl w:val="0"/>
        <w:kinsoku/>
        <w:wordWrap/>
        <w:overflowPunct/>
        <w:topLinePunct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val="en-US" w:eastAsia="zh-CN"/>
        </w:rPr>
      </w:pPr>
      <w:r>
        <w:rPr>
          <w:rFonts w:hint="eastAsia"/>
          <w:lang w:eastAsia="zh-CN"/>
        </w:rPr>
        <w:t>商务联系人：</w:t>
      </w:r>
      <w:r>
        <w:rPr>
          <w:rFonts w:hint="eastAsia"/>
          <w:lang w:val="en-US" w:eastAsia="zh-CN"/>
        </w:rPr>
        <w:t>戴小玉</w:t>
      </w:r>
      <w:r>
        <w:rPr>
          <w:rFonts w:hint="eastAsia"/>
          <w:lang w:eastAsia="zh-CN"/>
        </w:rPr>
        <w:t xml:space="preserve"> 电话：</w:t>
      </w:r>
      <w:r>
        <w:rPr>
          <w:rFonts w:hint="eastAsia"/>
          <w:lang w:val="en-US" w:eastAsia="zh-CN"/>
        </w:rPr>
        <w:t>15259629857</w:t>
      </w:r>
      <w:r>
        <w:rPr>
          <w:rFonts w:hint="eastAsia"/>
          <w:lang w:eastAsia="zh-CN"/>
        </w:rPr>
        <w:t xml:space="preserve"> 邮箱：</w:t>
      </w:r>
      <w:r>
        <w:rPr>
          <w:rFonts w:hint="eastAsia"/>
          <w:lang w:val="en-US" w:eastAsia="zh-CN"/>
        </w:rPr>
        <w:fldChar w:fldCharType="begin"/>
      </w:r>
      <w:r>
        <w:rPr>
          <w:rFonts w:hint="eastAsia"/>
          <w:lang w:val="en-US" w:eastAsia="zh-CN"/>
        </w:rPr>
        <w:instrText xml:space="preserve"> HYPERLINK "mailto:xydai@fhcpec.com.cn" </w:instrText>
      </w:r>
      <w:r>
        <w:rPr>
          <w:rFonts w:hint="eastAsia"/>
          <w:lang w:val="en-US" w:eastAsia="zh-CN"/>
        </w:rPr>
        <w:fldChar w:fldCharType="separate"/>
      </w:r>
      <w:r>
        <w:rPr>
          <w:rFonts w:hint="eastAsia"/>
          <w:lang w:val="en-US" w:eastAsia="zh-CN"/>
        </w:rPr>
        <w:t>xydai@fhcpec.com.cn</w:t>
      </w:r>
      <w:r>
        <w:rPr>
          <w:rFonts w:hint="eastAsia"/>
          <w:lang w:val="en-US" w:eastAsia="zh-CN"/>
        </w:rPr>
        <w:fldChar w:fldCharType="end"/>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default"/>
          <w:lang w:val="en-US" w:eastAsia="zh-CN"/>
        </w:rPr>
      </w:pPr>
      <w:r>
        <w:rPr>
          <w:rFonts w:hint="eastAsia"/>
          <w:lang w:val="en-US" w:eastAsia="zh-CN"/>
        </w:rPr>
        <w:t>技术联系人：李智龙 电话：19959614035 邮箱：lizl@fhcpec.com.cn</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eastAsia="zh-CN"/>
        </w:rPr>
      </w:pPr>
      <w:r>
        <w:rPr>
          <w:rFonts w:hint="eastAsia"/>
          <w:lang w:eastAsia="zh-CN"/>
        </w:rPr>
        <w:t>邮编：363216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电气团队13台UPS主机采购</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w:t>
      </w:r>
      <w:r>
        <w:rPr>
          <w:rFonts w:hint="eastAsia"/>
          <w:color w:val="000000" w:themeColor="text1"/>
          <w:lang w:val="en-US" w:eastAsia="zh-CN"/>
        </w:rPr>
        <w:t>附件1和附件2</w:t>
      </w:r>
      <w:r>
        <w:rPr>
          <w:rFonts w:hint="eastAsia"/>
          <w:color w:val="000000" w:themeColor="text1"/>
          <w:lang w:eastAsia="zh-CN"/>
        </w:rPr>
        <w:t>。</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rFonts w:hint="eastAsia"/>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商务联系人：</w:t>
      </w:r>
      <w:r>
        <w:rPr>
          <w:rFonts w:hint="eastAsia"/>
          <w:color w:val="000000" w:themeColor="text1"/>
          <w:sz w:val="24"/>
          <w:szCs w:val="24"/>
          <w:lang w:val="en-US" w:eastAsia="zh-CN"/>
        </w:rPr>
        <w:t>戴小玉</w:t>
      </w:r>
      <w:r>
        <w:rPr>
          <w:rFonts w:hint="eastAsia"/>
          <w:lang w:eastAsia="zh-CN"/>
        </w:rPr>
        <w:t xml:space="preserve"> </w:t>
      </w:r>
      <w:r>
        <w:rPr>
          <w:rFonts w:hint="eastAsia"/>
          <w:lang w:val="en-US" w:eastAsia="zh-CN"/>
        </w:rPr>
        <w:t>15259629857</w:t>
      </w:r>
      <w:r>
        <w:rPr>
          <w:rFonts w:hint="eastAsia"/>
          <w:lang w:eastAsia="zh-CN"/>
        </w:rPr>
        <w:t>，</w:t>
      </w:r>
      <w:r>
        <w:rPr>
          <w:rFonts w:hint="eastAsia"/>
          <w:lang w:val="en-US" w:eastAsia="zh-CN"/>
        </w:rPr>
        <w:t>xydai@fhcpec.com.cn</w:t>
      </w:r>
    </w:p>
    <w:p>
      <w:pPr>
        <w:pStyle w:val="20"/>
        <w:spacing w:line="360" w:lineRule="auto"/>
        <w:ind w:right="121" w:firstLine="480" w:firstLineChars="200"/>
        <w:jc w:val="both"/>
        <w:rPr>
          <w:lang w:eastAsia="zh-CN"/>
        </w:rPr>
      </w:pPr>
      <w:r>
        <w:rPr>
          <w:rFonts w:hint="eastAsia"/>
          <w:lang w:eastAsia="zh-CN"/>
        </w:rPr>
        <w:t>技术联系人：</w:t>
      </w:r>
      <w:r>
        <w:rPr>
          <w:rFonts w:hint="eastAsia"/>
          <w:lang w:val="en-US" w:eastAsia="zh-CN"/>
        </w:rPr>
        <w:t>李智龙 19959614035，lizl@fhcpec.com.cn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1.参选单位应是具备独立法人资格且有能力按我司需求提供货物及服务的制造商或</w:t>
      </w:r>
      <w:r>
        <w:rPr>
          <w:rFonts w:hint="eastAsia" w:cs="宋体"/>
          <w:sz w:val="24"/>
          <w:szCs w:val="24"/>
          <w:lang w:val="en-US" w:eastAsia="zh-CN"/>
        </w:rPr>
        <w:t>满足</w:t>
      </w:r>
      <w:r>
        <w:rPr>
          <w:rFonts w:hint="eastAsia" w:ascii="宋体" w:hAnsi="宋体" w:eastAsia="宋体" w:cs="宋体"/>
          <w:sz w:val="24"/>
          <w:szCs w:val="24"/>
          <w:lang w:val="en-US" w:eastAsia="zh-CN"/>
        </w:rPr>
        <w:t>技术协议要求的供应商。</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2.参选人需配合比选人</w:t>
      </w:r>
      <w:r>
        <w:rPr>
          <w:rFonts w:hint="eastAsia" w:cs="宋体"/>
          <w:sz w:val="24"/>
          <w:szCs w:val="24"/>
          <w:lang w:val="en-US" w:eastAsia="zh-CN"/>
        </w:rPr>
        <w:t>发货前</w:t>
      </w:r>
      <w:r>
        <w:rPr>
          <w:rFonts w:hint="eastAsia" w:ascii="宋体" w:hAnsi="宋体" w:eastAsia="宋体" w:cs="宋体"/>
          <w:sz w:val="24"/>
          <w:szCs w:val="24"/>
          <w:lang w:val="en-US" w:eastAsia="zh-CN"/>
        </w:rPr>
        <w:t>到制造原厂验收货物</w:t>
      </w:r>
      <w:r>
        <w:rPr>
          <w:rFonts w:hint="eastAsia" w:cs="宋体"/>
          <w:sz w:val="24"/>
          <w:szCs w:val="24"/>
          <w:lang w:val="en-US"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3.参选单位应提供品牌生产制造商近三年石化行业相同规格或更大规格的业绩。</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.单位负责人为同一人或者存在控股、管理关系的不同单位，不得同时参选本项目。参选人没有失信黑名单记录（以最高院失</w:t>
      </w:r>
      <w:r>
        <w:rPr>
          <w:rFonts w:hint="eastAsia" w:ascii="宋体" w:hAnsi="宋体" w:eastAsia="宋体" w:cs="宋体"/>
          <w:color w:val="000000" w:themeColor="text1"/>
          <w:sz w:val="24"/>
          <w:szCs w:val="24"/>
        </w:rPr>
        <w:t>信被执行人系统发布信息为准）</w:t>
      </w:r>
      <w:r>
        <w:rPr>
          <w:rFonts w:hint="eastAsia" w:cs="宋体"/>
          <w:color w:val="000000" w:themeColor="text1"/>
          <w:sz w:val="24"/>
          <w:szCs w:val="24"/>
          <w:lang w:eastAsia="zh-CN"/>
        </w:rPr>
        <w:t>，</w:t>
      </w:r>
      <w:r>
        <w:rPr>
          <w:rFonts w:hint="eastAsia" w:ascii="宋体" w:hAnsi="宋体" w:eastAsia="宋体" w:cs="宋体"/>
          <w:sz w:val="24"/>
          <w:szCs w:val="24"/>
          <w:lang w:val="en-US" w:eastAsia="zh-CN"/>
        </w:rPr>
        <w:t>与我司无诉讼纠纷。</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1.9万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注明用途：电气团队13台UPS主机采购项目参选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firstLine="480" w:firstLineChars="200"/>
        <w:jc w:val="both"/>
        <w:rPr>
          <w:lang w:eastAsia="zh-CN"/>
        </w:rPr>
      </w:pP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15259629857</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rFonts w:hint="eastAsia"/>
          <w:b/>
          <w:bCs w:val="0"/>
          <w:color w:val="000000" w:themeColor="text1"/>
          <w:lang w:eastAsia="zh-CN"/>
        </w:rPr>
        <w:t xml:space="preserve">  </w:t>
      </w:r>
      <w:r>
        <w:rPr>
          <w:b/>
          <w:bCs w:val="0"/>
          <w:color w:val="000000" w:themeColor="text1"/>
          <w:lang w:eastAsia="zh-CN"/>
        </w:rPr>
        <w:t>注：请使用顺丰快递或中国邮政 EMS 快递，其他快递不能保证送达目的地。</w:t>
      </w:r>
    </w:p>
    <w:p>
      <w:pPr>
        <w:pStyle w:val="20"/>
        <w:spacing w:line="360" w:lineRule="auto"/>
        <w:ind w:right="121" w:firstLine="480" w:firstLineChars="200"/>
        <w:jc w:val="both"/>
        <w:rPr>
          <w:rFonts w:hint="eastAsia"/>
          <w:lang w:val="en-US" w:eastAsia="zh-CN"/>
        </w:rPr>
      </w:pPr>
      <w:r>
        <w:rPr>
          <w:rFonts w:hint="eastAsia"/>
          <w:lang w:val="en-US" w:eastAsia="zh-CN"/>
        </w:rPr>
        <w:t>3.只允许参选人有一个参选方案，否则将被视为无效参选。</w:t>
      </w:r>
    </w:p>
    <w:p>
      <w:pPr>
        <w:pStyle w:val="20"/>
        <w:spacing w:line="360" w:lineRule="auto"/>
        <w:ind w:right="121" w:firstLine="480" w:firstLineChars="200"/>
        <w:jc w:val="both"/>
        <w:rPr>
          <w:rFonts w:hint="eastAsia"/>
          <w:lang w:val="en-US" w:eastAsia="zh-CN"/>
        </w:rPr>
      </w:pPr>
      <w:r>
        <w:rPr>
          <w:rFonts w:hint="eastAsia"/>
          <w:lang w:val="en-US"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firstLine="480" w:firstLineChars="200"/>
        <w:jc w:val="both"/>
        <w:rPr>
          <w:rFonts w:hint="eastAsia"/>
          <w:lang w:val="en-US" w:eastAsia="zh-CN"/>
        </w:rPr>
      </w:pPr>
      <w:r>
        <w:rPr>
          <w:rFonts w:hint="eastAsia"/>
          <w:lang w:val="en-US" w:eastAsia="zh-CN"/>
        </w:rPr>
        <w:t>5.参选人收到比选文件后，如有疑问需要澄清，请以书面形式在规定时间内报比选人汇总。</w:t>
      </w:r>
    </w:p>
    <w:p>
      <w:pPr>
        <w:pStyle w:val="20"/>
        <w:spacing w:line="360" w:lineRule="auto"/>
        <w:ind w:right="121" w:firstLine="480" w:firstLineChars="200"/>
        <w:jc w:val="both"/>
        <w:rPr>
          <w:rFonts w:hint="eastAsia"/>
          <w:lang w:val="en-US" w:eastAsia="zh-CN"/>
        </w:rPr>
      </w:pPr>
      <w:r>
        <w:rPr>
          <w:rFonts w:hint="eastAsia"/>
          <w:lang w:val="en-US"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p>
    <w:p>
      <w:pPr>
        <w:rPr>
          <w:lang w:eastAsia="zh-CN"/>
        </w:rPr>
      </w:pPr>
    </w:p>
    <w:p>
      <w:pPr>
        <w:pStyle w:val="3"/>
        <w:tabs>
          <w:tab w:val="left" w:pos="4627"/>
        </w:tabs>
        <w:spacing w:line="355" w:lineRule="exact"/>
        <w:ind w:left="3363"/>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技术报价文件，见附件</w:t>
      </w:r>
      <w:r>
        <w:rPr>
          <w:rFonts w:hint="eastAsia"/>
          <w:lang w:val="en-US" w:eastAsia="zh-CN"/>
        </w:rPr>
        <w:t>技术</w:t>
      </w:r>
      <w:r>
        <w:rPr>
          <w:rFonts w:hint="eastAsia"/>
          <w:lang w:eastAsia="zh-CN"/>
        </w:rPr>
        <w:t>参选书格式，胶装</w:t>
      </w:r>
      <w:r>
        <w:rPr>
          <w:rFonts w:hint="eastAsia"/>
          <w:lang w:val="en-US" w:eastAsia="zh-CN"/>
        </w:rPr>
        <w:t>或平装</w:t>
      </w:r>
      <w:r>
        <w:rPr>
          <w:rFonts w:hint="eastAsia"/>
          <w:lang w:eastAsia="zh-CN"/>
        </w:rPr>
        <w:t>。</w:t>
      </w:r>
    </w:p>
    <w:p>
      <w:pPr>
        <w:pStyle w:val="20"/>
        <w:spacing w:line="360" w:lineRule="auto"/>
        <w:ind w:right="121" w:firstLine="480" w:firstLineChars="200"/>
        <w:jc w:val="both"/>
        <w:rPr>
          <w:lang w:eastAsia="zh-CN"/>
        </w:rPr>
      </w:pPr>
      <w:r>
        <w:rPr>
          <w:rFonts w:hint="eastAsia"/>
          <w:lang w:eastAsia="zh-CN"/>
        </w:rPr>
        <w:t>商务报价文件，见附件商务报价函格式,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20"/>
        <w:spacing w:line="360" w:lineRule="auto"/>
        <w:ind w:right="121" w:firstLine="480" w:firstLineChars="200"/>
        <w:jc w:val="both"/>
        <w:rPr>
          <w:lang w:eastAsia="zh-CN"/>
        </w:rPr>
      </w:pP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auto"/>
          <w:u w:val="none"/>
          <w:lang w:eastAsia="zh-CN"/>
        </w:rPr>
      </w:pPr>
      <w:r>
        <w:rPr>
          <w:rFonts w:hint="eastAsia"/>
          <w:b/>
          <w:color w:val="FF0000"/>
          <w:lang w:eastAsia="zh-CN"/>
        </w:rPr>
        <w:t>本项目设置最高控制价</w:t>
      </w:r>
      <w:r>
        <w:rPr>
          <w:rFonts w:hint="eastAsia"/>
          <w:b/>
          <w:color w:val="FF0000"/>
          <w:lang w:val="en-US" w:eastAsia="zh-CN"/>
        </w:rPr>
        <w:t>97.88</w:t>
      </w:r>
      <w:r>
        <w:rPr>
          <w:rFonts w:hint="eastAsia"/>
          <w:b/>
          <w:color w:val="FF0000"/>
          <w:lang w:eastAsia="zh-CN"/>
        </w:rPr>
        <w:t>万元整（含税包干总价）</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rPr>
          <w:color w:val="auto"/>
          <w:u w:val="none"/>
        </w:rPr>
        <w:fldChar w:fldCharType="begin"/>
      </w:r>
      <w:r>
        <w:rPr>
          <w:color w:val="auto"/>
          <w:u w:val="none"/>
        </w:rPr>
        <w:instrText xml:space="preserve"> HYPERLINK "mailto:如参选人对控制价存疑请于报价截止前发邮件至xqyang@fhcpec.com.cn" </w:instrText>
      </w:r>
      <w:r>
        <w:rPr>
          <w:color w:val="auto"/>
          <w:u w:val="none"/>
        </w:rPr>
        <w:fldChar w:fldCharType="separate"/>
      </w:r>
      <w:r>
        <w:rPr>
          <w:rStyle w:val="54"/>
          <w:rFonts w:hint="eastAsia"/>
          <w:color w:val="auto"/>
          <w:u w:val="none"/>
          <w:lang w:eastAsia="zh-CN"/>
        </w:rPr>
        <w:t>如参选人对控制价存疑请于报价截止前发邮件至</w:t>
      </w:r>
      <w:r>
        <w:rPr>
          <w:rStyle w:val="54"/>
          <w:rFonts w:hint="eastAsia"/>
          <w:color w:val="auto"/>
          <w:u w:val="none"/>
          <w:lang w:val="en-US" w:eastAsia="zh-CN"/>
        </w:rPr>
        <w:t>xydai@fhcpec.com.cn</w:t>
      </w:r>
      <w:r>
        <w:rPr>
          <w:rStyle w:val="54"/>
          <w:rFonts w:hint="eastAsia"/>
          <w:color w:val="auto"/>
          <w:u w:val="none"/>
          <w:lang w:eastAsia="zh-CN"/>
        </w:rPr>
        <w:fldChar w:fldCharType="end"/>
      </w:r>
      <w:r>
        <w:rPr>
          <w:rFonts w:hint="eastAsia"/>
          <w:color w:val="auto"/>
          <w:u w:val="none"/>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w:t>
      </w:r>
      <w:r>
        <w:rPr>
          <w:rFonts w:hint="eastAsia"/>
          <w:lang w:val="en-US" w:eastAsia="zh-CN"/>
        </w:rPr>
        <w:t>资质</w:t>
      </w:r>
      <w:r>
        <w:rPr>
          <w:rFonts w:hint="eastAsia"/>
          <w:lang w:eastAsia="zh-CN"/>
        </w:rPr>
        <w:t>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腾龙芳烃（漳州）</w:t>
      </w:r>
      <w:r>
        <w:rPr>
          <w:rStyle w:val="50"/>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before="15" w:line="360" w:lineRule="auto"/>
        <w:jc w:val="both"/>
        <w:rPr>
          <w:b/>
          <w:w w:val="95"/>
          <w:sz w:val="28"/>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3.本比选文件的解释权归福建福海创石油化工有限公司</w:t>
      </w:r>
      <w:r>
        <w:rPr>
          <w:rFonts w:hint="eastAsia"/>
          <w:lang w:eastAsia="zh-CN"/>
        </w:rPr>
        <w:t>。</w:t>
      </w:r>
    </w:p>
    <w:p>
      <w:pPr>
        <w:pStyle w:val="20"/>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ind w:firstLine="3614" w:firstLineChars="1500"/>
        <w:rPr>
          <w:rFonts w:hint="eastAsia" w:ascii="宋体" w:hAnsi="宋体"/>
          <w:b/>
          <w:sz w:val="24"/>
        </w:rPr>
      </w:pPr>
      <w:bookmarkStart w:id="1" w:name="_Toc385779252"/>
      <w:bookmarkStart w:id="2" w:name="_Toc31402"/>
      <w:bookmarkStart w:id="3" w:name="_Toc18049"/>
      <w:bookmarkStart w:id="4" w:name="_Toc8520"/>
      <w:bookmarkStart w:id="5" w:name="_Toc14171"/>
      <w:bookmarkStart w:id="6" w:name="_Toc4114"/>
      <w:bookmarkStart w:id="7" w:name="_Toc2239"/>
      <w:bookmarkStart w:id="8" w:name="_Toc31173"/>
      <w:bookmarkStart w:id="9" w:name="_Toc10991"/>
      <w:bookmarkStart w:id="10" w:name="_Toc352146655"/>
      <w:bookmarkStart w:id="11" w:name="_Toc23434"/>
      <w:bookmarkStart w:id="12" w:name="_Toc20180"/>
      <w:bookmarkStart w:id="13" w:name="_Toc17959"/>
      <w:bookmarkStart w:id="14" w:name="_Toc27787"/>
      <w:bookmarkStart w:id="15" w:name="_Toc20273"/>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b/>
          <w:szCs w:val="21"/>
          <w:lang w:val="en-US" w:eastAsia="zh-CN"/>
        </w:rPr>
        <w:t>腾龙芳烃（漳州）</w:t>
      </w:r>
      <w:r>
        <w:rPr>
          <w:rFonts w:hint="eastAsia" w:ascii="宋体" w:hAnsi="宋体"/>
          <w:b/>
          <w:color w:val="000000"/>
          <w:szCs w:val="21"/>
          <w:lang w:val="en-US" w:eastAsia="zh-CN"/>
        </w:rPr>
        <w:t>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7"/>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Cs w:val="21"/>
              </w:rPr>
              <w:t>详见</w:t>
            </w:r>
            <w:r>
              <w:rPr>
                <w:rFonts w:hint="eastAsia" w:ascii="宋体" w:hAnsi="宋体"/>
                <w:color w:val="000000"/>
                <w:szCs w:val="21"/>
                <w:lang w:val="en-US" w:eastAsia="zh-CN"/>
              </w:rPr>
              <w:t>规格参数见</w:t>
            </w:r>
            <w:r>
              <w:rPr>
                <w:rFonts w:hint="eastAsia"/>
                <w:color w:val="000000"/>
                <w:szCs w:val="21"/>
                <w:lang w:val="en-US" w:eastAsia="zh-CN"/>
              </w:rPr>
              <w:t>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sz w:val="21"/>
          <w:szCs w:val="21"/>
          <w:highlight w:val="yellow"/>
          <w:u w:val="single"/>
          <w:lang w:val="en-US" w:eastAsia="zh-CN"/>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sz w:val="21"/>
          <w:szCs w:val="21"/>
          <w:lang w:val="en-US" w:eastAsia="zh-CN"/>
        </w:rPr>
        <w:t>60</w:t>
      </w:r>
      <w:r>
        <w:rPr>
          <w:rFonts w:hint="eastAsia" w:ascii="宋体" w:hAnsi="宋体"/>
          <w:sz w:val="21"/>
          <w:szCs w:val="21"/>
          <w:lang w:val="en-US" w:eastAsia="zh-CN"/>
        </w:rPr>
        <w:t>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w:t>
      </w:r>
      <w:r>
        <w:rPr>
          <w:rFonts w:hint="eastAsia"/>
          <w:sz w:val="21"/>
          <w:szCs w:val="21"/>
          <w:u w:val="single"/>
          <w:lang w:val="en-US" w:eastAsia="zh-CN"/>
        </w:rPr>
        <w:t xml:space="preserve">      </w:t>
      </w:r>
      <w:r>
        <w:rPr>
          <w:rFonts w:hint="eastAsia" w:ascii="宋体" w:hAnsi="宋体"/>
          <w:sz w:val="21"/>
          <w:szCs w:val="21"/>
        </w:rPr>
        <w:t>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none"/>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none"/>
          <w:u w:val="single"/>
          <w:lang w:val="en-US" w:eastAsia="zh-CN" w:bidi="ar"/>
        </w:rPr>
        <w:t>福建省漳州市漳浦县古雷开发区腾龙路（福建福海创石油化工有限公司）。</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pStyle w:val="2"/>
        <w:rPr>
          <w:rFonts w:hint="eastAsia"/>
        </w:rPr>
      </w:pPr>
    </w:p>
    <w:p>
      <w:pPr>
        <w:pStyle w:val="2"/>
        <w:rPr>
          <w:rFonts w:hint="eastAsia"/>
        </w:rPr>
      </w:pPr>
    </w:p>
    <w:p>
      <w:pPr>
        <w:spacing w:line="280" w:lineRule="exact"/>
        <w:rPr>
          <w:rFonts w:hint="eastAsia" w:ascii="宋体" w:hAnsi="宋体"/>
          <w:b/>
          <w:sz w:val="21"/>
          <w:szCs w:val="21"/>
        </w:rPr>
      </w:pPr>
    </w:p>
    <w:tbl>
      <w:tblPr>
        <w:tblStyle w:val="47"/>
        <w:tblW w:w="9377" w:type="dxa"/>
        <w:jc w:val="center"/>
        <w:tblLayout w:type="fixed"/>
        <w:tblCellMar>
          <w:top w:w="0" w:type="dxa"/>
          <w:left w:w="108" w:type="dxa"/>
          <w:bottom w:w="0" w:type="dxa"/>
          <w:right w:w="108" w:type="dxa"/>
        </w:tblCellMar>
      </w:tblPr>
      <w:tblGrid>
        <w:gridCol w:w="1143"/>
        <w:gridCol w:w="9"/>
        <w:gridCol w:w="366"/>
        <w:gridCol w:w="90"/>
        <w:gridCol w:w="3062"/>
        <w:gridCol w:w="1430"/>
        <w:gridCol w:w="278"/>
        <w:gridCol w:w="2999"/>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062" w:type="dxa"/>
            <w:vAlign w:val="center"/>
          </w:tcPr>
          <w:p>
            <w:pPr>
              <w:rPr>
                <w:rFonts w:hint="eastAsia" w:ascii="宋体" w:hAnsi="宋体"/>
                <w:b/>
                <w:bCs/>
                <w:color w:val="000000"/>
                <w:sz w:val="21"/>
                <w:szCs w:val="21"/>
              </w:rPr>
            </w:pPr>
          </w:p>
        </w:tc>
        <w:tc>
          <w:tcPr>
            <w:tcW w:w="1708"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 w:val="21"/>
                <w:szCs w:val="21"/>
              </w:rPr>
              <w:t>需方（章）:</w:t>
            </w:r>
          </w:p>
        </w:tc>
        <w:tc>
          <w:tcPr>
            <w:tcW w:w="2999" w:type="dxa"/>
            <w:vAlign w:val="center"/>
          </w:tcPr>
          <w:p>
            <w:pPr>
              <w:spacing w:line="280" w:lineRule="exact"/>
              <w:rPr>
                <w:rFonts w:hint="eastAsia" w:ascii="宋体" w:hAnsi="宋体"/>
                <w:b/>
                <w:color w:val="000000"/>
                <w:sz w:val="21"/>
                <w:szCs w:val="21"/>
              </w:rPr>
            </w:pPr>
            <w:r>
              <w:rPr>
                <w:rFonts w:hint="eastAsia" w:ascii="宋体" w:hAnsi="宋体"/>
                <w:b/>
                <w:color w:val="000000"/>
                <w:sz w:val="21"/>
                <w:szCs w:val="21"/>
                <w:lang w:val="en-US" w:eastAsia="zh-CN"/>
              </w:rPr>
              <w:t>福建海裕石化有限公司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062" w:type="dxa"/>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3062" w:type="dxa"/>
            <w:vAlign w:val="center"/>
          </w:tcPr>
          <w:p>
            <w:pPr>
              <w:spacing w:line="280" w:lineRule="exact"/>
              <w:rPr>
                <w:rFonts w:hint="default" w:ascii="宋体" w:hAnsi="宋体"/>
                <w:color w:val="000000"/>
                <w:sz w:val="21"/>
                <w:szCs w:val="21"/>
                <w:lang w:val="en-US"/>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地址：</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福建省漳州市古雷港经济开发区世纪金源23区商业3号楼</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152" w:type="dxa"/>
            <w:gridSpan w:val="2"/>
            <w:vAlign w:val="center"/>
          </w:tcPr>
          <w:p>
            <w:pPr>
              <w:spacing w:line="280" w:lineRule="exact"/>
              <w:rPr>
                <w:rFonts w:hint="eastAsia" w:ascii="宋体" w:hAnsi="宋体"/>
                <w:color w:val="000000"/>
                <w:sz w:val="21"/>
                <w:szCs w:val="21"/>
              </w:rPr>
            </w:pPr>
          </w:p>
        </w:tc>
        <w:tc>
          <w:tcPr>
            <w:tcW w:w="1430"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3062" w:type="dxa"/>
            <w:vAlign w:val="center"/>
          </w:tcPr>
          <w:p>
            <w:pPr>
              <w:spacing w:line="280" w:lineRule="exact"/>
              <w:rPr>
                <w:rFonts w:hint="eastAsia" w:ascii="宋体" w:hAnsi="宋体" w:eastAsia="宋体"/>
                <w:color w:val="000000"/>
                <w:sz w:val="21"/>
                <w:szCs w:val="21"/>
                <w:lang w:eastAsia="zh-CN"/>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518" w:type="dxa"/>
            <w:gridSpan w:val="3"/>
            <w:vAlign w:val="center"/>
          </w:tcPr>
          <w:p>
            <w:pPr>
              <w:spacing w:line="280" w:lineRule="exact"/>
              <w:rPr>
                <w:rFonts w:hint="eastAsia" w:ascii="宋体" w:hAnsi="宋体" w:eastAsia="宋体"/>
                <w:color w:val="000000"/>
                <w:sz w:val="21"/>
                <w:szCs w:val="21"/>
                <w:lang w:val="en-US" w:eastAsia="zh-CN"/>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2999" w:type="dxa"/>
            <w:vAlign w:val="center"/>
          </w:tcPr>
          <w:p>
            <w:pPr>
              <w:spacing w:line="280" w:lineRule="exact"/>
              <w:rPr>
                <w:rFonts w:hint="eastAsia" w:ascii="宋体" w:hAnsi="宋体" w:eastAsia="宋体"/>
                <w:color w:val="000000"/>
                <w:sz w:val="21"/>
                <w:szCs w:val="21"/>
                <w:lang w:val="en-US" w:eastAsia="zh-CN"/>
              </w:rPr>
            </w:pP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2999"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2999" w:type="dxa"/>
            <w:vAlign w:val="center"/>
          </w:tcPr>
          <w:p>
            <w:pPr>
              <w:spacing w:line="280" w:lineRule="exact"/>
              <w:rPr>
                <w:rFonts w:hint="eastAsia" w:ascii="宋体" w:hAnsi="宋体"/>
                <w:color w:val="000000"/>
                <w:sz w:val="21"/>
                <w:szCs w:val="21"/>
              </w:rPr>
            </w:pPr>
          </w:p>
        </w:tc>
      </w:tr>
      <w:tr>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152" w:type="dxa"/>
            <w:gridSpan w:val="2"/>
            <w:vAlign w:val="center"/>
          </w:tcPr>
          <w:p>
            <w:pPr>
              <w:spacing w:line="280" w:lineRule="exact"/>
              <w:rPr>
                <w:rFonts w:hint="eastAsia" w:ascii="宋体" w:hAnsi="宋体"/>
                <w:color w:val="000000"/>
                <w:sz w:val="21"/>
                <w:szCs w:val="21"/>
              </w:rPr>
            </w:pPr>
          </w:p>
        </w:tc>
        <w:tc>
          <w:tcPr>
            <w:tcW w:w="1430"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277" w:type="dxa"/>
            <w:gridSpan w:val="2"/>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152" w:type="dxa"/>
            <w:gridSpan w:val="2"/>
            <w:vAlign w:val="center"/>
          </w:tcPr>
          <w:p>
            <w:pPr>
              <w:spacing w:line="280" w:lineRule="exact"/>
              <w:rPr>
                <w:rFonts w:hint="eastAsia" w:ascii="宋体" w:hAnsi="宋体"/>
                <w:color w:val="000000"/>
                <w:sz w:val="21"/>
                <w:szCs w:val="21"/>
              </w:rPr>
            </w:pPr>
          </w:p>
        </w:tc>
        <w:tc>
          <w:tcPr>
            <w:tcW w:w="1430"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277"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兴业银行股份有限公司漳州古雷支行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162070100100016883</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527" w:type="dxa"/>
            <w:gridSpan w:val="4"/>
            <w:vAlign w:val="center"/>
          </w:tcPr>
          <w:p>
            <w:pPr>
              <w:spacing w:line="280" w:lineRule="exact"/>
              <w:rPr>
                <w:rFonts w:hint="eastAsia" w:ascii="宋体" w:hAnsi="宋体"/>
                <w:color w:val="000000"/>
                <w:sz w:val="21"/>
                <w:szCs w:val="21"/>
              </w:rPr>
            </w:pPr>
          </w:p>
        </w:tc>
        <w:tc>
          <w:tcPr>
            <w:tcW w:w="1708"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2999"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91350623MA2Y98TFXY</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jc w:val="both"/>
        <w:rPr>
          <w:rFonts w:ascii="Times New Roman" w:hAnsi="Times New Roman"/>
          <w:b/>
          <w:bCs/>
          <w:kern w:val="2"/>
          <w:sz w:val="36"/>
          <w:szCs w:val="36"/>
        </w:rPr>
      </w:pPr>
    </w:p>
    <w:p>
      <w:pPr>
        <w:pStyle w:val="2"/>
        <w:jc w:val="both"/>
        <w:rPr>
          <w:rFonts w:hint="default" w:ascii="Times New Roman" w:hAnsi="Times New Roman" w:eastAsia="宋体"/>
          <w:b/>
          <w:bCs/>
          <w:kern w:val="2"/>
          <w:sz w:val="36"/>
          <w:szCs w:val="36"/>
          <w:lang w:val="en-US" w:eastAsia="zh-CN"/>
        </w:rPr>
      </w:pPr>
      <w:r>
        <w:rPr>
          <w:rFonts w:hint="eastAsia" w:ascii="Times New Roman" w:hAnsi="Times New Roman"/>
          <w:b/>
          <w:bCs/>
          <w:kern w:val="2"/>
          <w:sz w:val="36"/>
          <w:szCs w:val="36"/>
          <w:lang w:val="en-US" w:eastAsia="zh-CN"/>
        </w:rPr>
        <w:t>附件二：</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电气团队13台UPS主机采购</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w:t>
      </w:r>
    </w:p>
    <w:p>
      <w:pPr>
        <w:widowControl/>
        <w:autoSpaceDE/>
        <w:autoSpaceDN/>
        <w:jc w:val="center"/>
        <w:rPr>
          <w:rFonts w:hint="eastAsia"/>
          <w:b/>
          <w:bCs/>
          <w:sz w:val="24"/>
          <w:szCs w:val="24"/>
          <w:lang w:eastAsia="zh-CN"/>
        </w:rPr>
      </w:pPr>
      <w:r>
        <w:rPr>
          <w:rFonts w:hint="eastAsia"/>
          <w:b/>
          <w:bCs/>
          <w:sz w:val="24"/>
          <w:szCs w:val="24"/>
          <w:lang w:eastAsia="zh-CN"/>
        </w:rPr>
        <w:t>电气团队13台UPS主机采购项目价格清单</w:t>
      </w:r>
    </w:p>
    <w:tbl>
      <w:tblPr>
        <w:tblStyle w:val="47"/>
        <w:tblpPr w:leftFromText="180" w:rightFromText="180" w:vertAnchor="text" w:horzAnchor="page" w:tblpXSpec="center" w:tblpY="287"/>
        <w:tblOverlap w:val="never"/>
        <w:tblW w:w="10587" w:type="dxa"/>
        <w:tblInd w:w="754" w:type="dxa"/>
        <w:tblLayout w:type="fixed"/>
        <w:tblCellMar>
          <w:top w:w="15" w:type="dxa"/>
          <w:left w:w="15" w:type="dxa"/>
          <w:bottom w:w="15" w:type="dxa"/>
          <w:right w:w="15" w:type="dxa"/>
        </w:tblCellMar>
      </w:tblPr>
      <w:tblGrid>
        <w:gridCol w:w="537"/>
        <w:gridCol w:w="1446"/>
        <w:gridCol w:w="1245"/>
        <w:gridCol w:w="1237"/>
        <w:gridCol w:w="1735"/>
        <w:gridCol w:w="1075"/>
        <w:gridCol w:w="625"/>
        <w:gridCol w:w="600"/>
        <w:gridCol w:w="1063"/>
        <w:gridCol w:w="1024"/>
      </w:tblGrid>
      <w:tr>
        <w:tblPrEx>
          <w:tblCellMar>
            <w:top w:w="15" w:type="dxa"/>
            <w:left w:w="15" w:type="dxa"/>
            <w:bottom w:w="15" w:type="dxa"/>
            <w:right w:w="15" w:type="dxa"/>
          </w:tblCellMar>
        </w:tblPrEx>
        <w:trPr>
          <w:trHeight w:val="64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品牌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55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QG2303130041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7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QG2303130042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2235980128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QG2303130043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QG2303130044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2235980131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QG2303130045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2235980132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QG2303130046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2235980142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color w:val="000000"/>
                <w:szCs w:val="21"/>
                <w:lang w:val="en-US" w:eastAsia="zh-CN"/>
              </w:rPr>
            </w:pPr>
          </w:p>
        </w:tc>
        <w:tc>
          <w:tcPr>
            <w:tcW w:w="10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18"/>
                <w:szCs w:val="18"/>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b/>
                <w:color w:val="000000"/>
                <w:szCs w:val="21"/>
                <w:lang w:val="en-US" w:eastAsia="zh-CN"/>
              </w:rPr>
              <w:t xml:space="preserve">  </w:t>
            </w:r>
            <w:r>
              <w:rPr>
                <w:rFonts w:hint="eastAsia" w:ascii="宋体" w:hAnsi="宋体"/>
                <w:b/>
                <w:color w:val="000000"/>
                <w:szCs w:val="21"/>
                <w:lang w:val="en-US" w:eastAsia="zh-CN"/>
              </w:rPr>
              <w:t>小写</w:t>
            </w:r>
            <w:r>
              <w:rPr>
                <w:rFonts w:hint="eastAsia" w:ascii="宋体" w:hAnsi="宋体"/>
                <w:b/>
                <w:color w:val="000000"/>
                <w:szCs w:val="21"/>
              </w:rPr>
              <w:t>（大写</w:t>
            </w:r>
            <w:r>
              <w:rPr>
                <w:rFonts w:hint="eastAsia"/>
                <w:b/>
                <w:color w:val="000000"/>
                <w:szCs w:val="21"/>
                <w:lang w:val="en-US" w:eastAsia="zh-CN"/>
              </w:rPr>
              <w:t xml:space="preserve">             </w:t>
            </w:r>
            <w:r>
              <w:rPr>
                <w:rFonts w:hint="eastAsia" w:ascii="宋体" w:hAnsi="宋体"/>
                <w:b/>
                <w:color w:val="000000"/>
                <w:szCs w:val="21"/>
              </w:rPr>
              <w:t>）</w:t>
            </w:r>
          </w:p>
        </w:tc>
      </w:tr>
    </w:tbl>
    <w:p>
      <w:pPr>
        <w:pStyle w:val="2"/>
        <w:rPr>
          <w:lang w:eastAsia="zh-CN"/>
        </w:rPr>
      </w:pPr>
    </w:p>
    <w:tbl>
      <w:tblPr>
        <w:tblStyle w:val="47"/>
        <w:tblpPr w:leftFromText="180" w:rightFromText="180" w:vertAnchor="text" w:horzAnchor="page" w:tblpX="1364" w:tblpY="300"/>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13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39452D6"/>
    <w:rsid w:val="061139E5"/>
    <w:rsid w:val="06F50B00"/>
    <w:rsid w:val="076E1278"/>
    <w:rsid w:val="087D5A4F"/>
    <w:rsid w:val="08D1141D"/>
    <w:rsid w:val="0ADE10CA"/>
    <w:rsid w:val="0B296DE2"/>
    <w:rsid w:val="0C6802B9"/>
    <w:rsid w:val="0D0126E0"/>
    <w:rsid w:val="0E9E6512"/>
    <w:rsid w:val="0FB5725B"/>
    <w:rsid w:val="10010714"/>
    <w:rsid w:val="10294AA3"/>
    <w:rsid w:val="10E40CA0"/>
    <w:rsid w:val="12584C20"/>
    <w:rsid w:val="13117BFA"/>
    <w:rsid w:val="136130D9"/>
    <w:rsid w:val="13805E8A"/>
    <w:rsid w:val="13F65B92"/>
    <w:rsid w:val="14762538"/>
    <w:rsid w:val="15800409"/>
    <w:rsid w:val="16B72867"/>
    <w:rsid w:val="173600E6"/>
    <w:rsid w:val="18DD4F7E"/>
    <w:rsid w:val="195B58A2"/>
    <w:rsid w:val="1989465C"/>
    <w:rsid w:val="1A2360C8"/>
    <w:rsid w:val="1B6947A7"/>
    <w:rsid w:val="1CC346E7"/>
    <w:rsid w:val="1E085A14"/>
    <w:rsid w:val="1E657D90"/>
    <w:rsid w:val="1E8A260F"/>
    <w:rsid w:val="1FF43DDB"/>
    <w:rsid w:val="20625E24"/>
    <w:rsid w:val="21933AA2"/>
    <w:rsid w:val="25BF356F"/>
    <w:rsid w:val="25DB0C2D"/>
    <w:rsid w:val="263E4705"/>
    <w:rsid w:val="267F6210"/>
    <w:rsid w:val="269469E7"/>
    <w:rsid w:val="26EF5299"/>
    <w:rsid w:val="27EE0826"/>
    <w:rsid w:val="2998140D"/>
    <w:rsid w:val="29FC3B14"/>
    <w:rsid w:val="2A056A4F"/>
    <w:rsid w:val="2B11792E"/>
    <w:rsid w:val="2F724BD0"/>
    <w:rsid w:val="31C54755"/>
    <w:rsid w:val="3216608C"/>
    <w:rsid w:val="328F13DA"/>
    <w:rsid w:val="34CE14C6"/>
    <w:rsid w:val="34D84CEC"/>
    <w:rsid w:val="35DC515B"/>
    <w:rsid w:val="36351F9A"/>
    <w:rsid w:val="37AF5AB7"/>
    <w:rsid w:val="3B1C3371"/>
    <w:rsid w:val="3CC23198"/>
    <w:rsid w:val="3DDF4815"/>
    <w:rsid w:val="3F286F3A"/>
    <w:rsid w:val="3FE669E5"/>
    <w:rsid w:val="3FFC0ABD"/>
    <w:rsid w:val="44B70186"/>
    <w:rsid w:val="459C39D0"/>
    <w:rsid w:val="462A54F2"/>
    <w:rsid w:val="47993669"/>
    <w:rsid w:val="480A1F47"/>
    <w:rsid w:val="4A6A5207"/>
    <w:rsid w:val="4B876203"/>
    <w:rsid w:val="4CB30FFF"/>
    <w:rsid w:val="4FF21EAF"/>
    <w:rsid w:val="50F63E28"/>
    <w:rsid w:val="5221007F"/>
    <w:rsid w:val="52926B5A"/>
    <w:rsid w:val="52F74B88"/>
    <w:rsid w:val="545C5E51"/>
    <w:rsid w:val="5486175B"/>
    <w:rsid w:val="55452810"/>
    <w:rsid w:val="56C44E8B"/>
    <w:rsid w:val="57667D24"/>
    <w:rsid w:val="57CE5BC3"/>
    <w:rsid w:val="59C5385A"/>
    <w:rsid w:val="5A2D3E44"/>
    <w:rsid w:val="5A3260D4"/>
    <w:rsid w:val="5AD75FB8"/>
    <w:rsid w:val="5AE1516A"/>
    <w:rsid w:val="5B6A3A79"/>
    <w:rsid w:val="5C1A5F7B"/>
    <w:rsid w:val="5D7A3273"/>
    <w:rsid w:val="5E2B4120"/>
    <w:rsid w:val="5F1119B5"/>
    <w:rsid w:val="5F3C2308"/>
    <w:rsid w:val="601675AC"/>
    <w:rsid w:val="628D3982"/>
    <w:rsid w:val="629B477C"/>
    <w:rsid w:val="62E96122"/>
    <w:rsid w:val="63CC04E6"/>
    <w:rsid w:val="64540594"/>
    <w:rsid w:val="645771F8"/>
    <w:rsid w:val="66CC0AF0"/>
    <w:rsid w:val="693C3D94"/>
    <w:rsid w:val="6A54112D"/>
    <w:rsid w:val="6A701C86"/>
    <w:rsid w:val="6AA035AE"/>
    <w:rsid w:val="6AE61F48"/>
    <w:rsid w:val="6BCB034D"/>
    <w:rsid w:val="6C0E1756"/>
    <w:rsid w:val="6C2B2406"/>
    <w:rsid w:val="6E0F2E14"/>
    <w:rsid w:val="6E14011E"/>
    <w:rsid w:val="6F1E141D"/>
    <w:rsid w:val="6F5354F8"/>
    <w:rsid w:val="727810B8"/>
    <w:rsid w:val="7293546A"/>
    <w:rsid w:val="72E05B2C"/>
    <w:rsid w:val="740A2BDE"/>
    <w:rsid w:val="74BD5288"/>
    <w:rsid w:val="751839E0"/>
    <w:rsid w:val="76274F93"/>
    <w:rsid w:val="777437FD"/>
    <w:rsid w:val="79670CA0"/>
    <w:rsid w:val="79EB3F2F"/>
    <w:rsid w:val="79FD3C4B"/>
    <w:rsid w:val="7A1D7427"/>
    <w:rsid w:val="7B11789E"/>
    <w:rsid w:val="7C1F52BA"/>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paragraph" w:customStyle="1" w:styleId="215">
    <w:name w:val="样式 SINOPEC-0"/>
    <w:basedOn w:val="1"/>
    <w:qFormat/>
    <w:uiPriority w:val="0"/>
    <w:pPr>
      <w:spacing w:line="360" w:lineRule="auto"/>
      <w:ind w:firstLine="200" w:firstLineChars="200"/>
    </w:pPr>
    <w:rPr>
      <w:rFonts w:ascii="Arial" w:hAnsi="Arial"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17</Pages>
  <Words>9698</Words>
  <Characters>10317</Characters>
  <Lines>79</Lines>
  <Paragraphs>22</Paragraphs>
  <TotalTime>1</TotalTime>
  <ScaleCrop>false</ScaleCrop>
  <LinksUpToDate>false</LinksUpToDate>
  <CharactersWithSpaces>10891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cp:lastPrinted>2023-03-28T01:18:00Z</cp:lastPrinted>
  <dcterms:modified xsi:type="dcterms:W3CDTF">2023-03-30T07:25:00Z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