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keepNext w:val="0"/>
        <w:keepLines w:val="0"/>
        <w:pageBreakBefore w:val="0"/>
        <w:widowControl w:val="0"/>
        <w:kinsoku/>
        <w:wordWrap/>
        <w:overflowPunct/>
        <w:topLinePunct w:val="0"/>
        <w:autoSpaceDE w:val="0"/>
        <w:autoSpaceDN w:val="0"/>
        <w:bidi w:val="0"/>
        <w:adjustRightInd/>
        <w:snapToGrid/>
        <w:spacing w:before="38" w:after="0" w:afterLines="100" w:line="240" w:lineRule="auto"/>
        <w:ind w:left="170" w:leftChars="0" w:right="0" w:rightChars="0" w:firstLine="0" w:firstLineChars="0"/>
        <w:jc w:val="center"/>
        <w:textAlignment w:val="auto"/>
        <w:outlineLvl w:val="9"/>
        <w:rPr>
          <w:rFonts w:hint="eastAsia" w:ascii="微软雅黑" w:eastAsia="微软雅黑"/>
          <w:b/>
          <w:sz w:val="36"/>
          <w:szCs w:val="36"/>
          <w:lang w:eastAsia="zh-CN"/>
        </w:rPr>
      </w:pPr>
      <w:r>
        <w:rPr>
          <w:rFonts w:hint="eastAsia" w:ascii="微软雅黑" w:eastAsia="微软雅黑"/>
          <w:b/>
          <w:sz w:val="36"/>
          <w:szCs w:val="36"/>
          <w:lang w:eastAsia="zh-CN"/>
        </w:rPr>
        <w:t>南8#码头口岸开放安全隔离设施及袋装PTA码头前沿集港使用物资采购</w:t>
      </w:r>
    </w:p>
    <w:p>
      <w:pPr>
        <w:pStyle w:val="2"/>
        <w:ind w:firstLine="1360" w:firstLineChars="400"/>
        <w:rPr>
          <w:lang w:val="en-US" w:eastAsia="zh-CN"/>
        </w:rPr>
      </w:pPr>
      <w:r>
        <w:rPr>
          <w:rFonts w:hint="eastAsia"/>
          <w:lang w:val="en-US" w:eastAsia="zh-CN"/>
        </w:rPr>
        <w:t>（项目编号：</w:t>
      </w:r>
      <w:r>
        <w:rPr>
          <w:rFonts w:hint="eastAsia"/>
        </w:rPr>
        <w:t>FHC-PTCG20230210001</w:t>
      </w:r>
      <w:r>
        <w:rPr>
          <w:rFonts w:hint="eastAsia"/>
          <w:lang w:eastAsia="zh-CN"/>
        </w:rPr>
        <w:t>）</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44"/>
          <w:szCs w:val="44"/>
          <w:lang w:eastAsia="zh-CN"/>
        </w:rPr>
      </w:pPr>
      <w:r>
        <w:rPr>
          <w:rFonts w:hint="eastAsia" w:ascii="微软雅黑" w:eastAsia="微软雅黑"/>
          <w:b/>
          <w:sz w:val="44"/>
          <w:szCs w:val="44"/>
          <w:lang w:eastAsia="zh-CN"/>
        </w:rPr>
        <w:t>比选文件</w:t>
      </w:r>
    </w:p>
    <w:p>
      <w:pPr>
        <w:pStyle w:val="2"/>
        <w:jc w:val="center"/>
        <w:rPr>
          <w:sz w:val="28"/>
          <w:szCs w:val="28"/>
        </w:rPr>
      </w:pPr>
      <w:r>
        <w:rPr>
          <w:rFonts w:hint="eastAsia"/>
          <w:sz w:val="28"/>
          <w:szCs w:val="28"/>
        </w:rPr>
        <w:t xml:space="preserve">   </w:t>
      </w:r>
    </w:p>
    <w:p>
      <w:pPr>
        <w:pStyle w:val="2"/>
        <w:jc w:val="center"/>
        <w:rPr>
          <w:sz w:val="28"/>
          <w:szCs w:val="28"/>
        </w:rPr>
      </w:pPr>
      <w:r>
        <w:rPr>
          <w:rFonts w:hint="eastAsia"/>
          <w:sz w:val="28"/>
          <w:szCs w:val="28"/>
        </w:rPr>
        <w:t xml:space="preserve">  </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1"/>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2"/>
        <w:ind w:firstLine="960" w:firstLineChars="400"/>
        <w:rPr>
          <w:lang w:eastAsia="zh-CN"/>
        </w:rPr>
      </w:pPr>
      <w:r>
        <w:rPr>
          <w:rFonts w:hint="eastAsia"/>
          <w:sz w:val="24"/>
          <w:szCs w:val="24"/>
          <w:lang w:eastAsia="zh-CN"/>
        </w:rPr>
        <w:t>福建福海创石油化工</w:t>
      </w:r>
      <w:r>
        <w:rPr>
          <w:sz w:val="24"/>
          <w:szCs w:val="24"/>
          <w:lang w:eastAsia="zh-CN"/>
        </w:rPr>
        <w:t>有限公司拟对本公司</w:t>
      </w:r>
      <w:r>
        <w:rPr>
          <w:rFonts w:hint="eastAsia"/>
          <w:sz w:val="24"/>
          <w:szCs w:val="24"/>
          <w:u w:val="single"/>
          <w:lang w:eastAsia="zh-CN"/>
        </w:rPr>
        <w:t>南8#码头口岸开放安全隔离设施及袋装PTA码头前沿集港使用物资采购</w:t>
      </w:r>
      <w:r>
        <w:rPr>
          <w:rFonts w:hint="eastAsia" w:ascii="宋体" w:eastAsia="宋体" w:cs="Times New Roman"/>
          <w:sz w:val="24"/>
          <w:szCs w:val="24"/>
          <w:u w:val="single"/>
          <w:lang w:eastAsia="zh-CN"/>
        </w:rPr>
        <w:t>项目</w:t>
      </w:r>
      <w:r>
        <w:rPr>
          <w:rFonts w:hint="eastAsia" w:ascii="宋体" w:eastAsia="宋体" w:cs="Times New Roman"/>
          <w:sz w:val="24"/>
          <w:szCs w:val="24"/>
          <w:u w:val="single"/>
          <w:lang w:val="en-US" w:eastAsia="zh-CN"/>
        </w:rPr>
        <w:t>（项目编号：</w:t>
      </w:r>
      <w:r>
        <w:rPr>
          <w:rFonts w:hint="eastAsia" w:ascii="宋体" w:eastAsia="宋体" w:cs="Times New Roman"/>
          <w:sz w:val="24"/>
          <w:szCs w:val="24"/>
          <w:u w:val="single"/>
          <w:lang w:eastAsia="zh-CN"/>
        </w:rPr>
        <w:t>FHC-PTCG20230210001）</w:t>
      </w:r>
      <w:r>
        <w:rPr>
          <w:rFonts w:hint="eastAsia"/>
          <w:sz w:val="24"/>
          <w:szCs w:val="24"/>
          <w:lang w:eastAsia="zh-CN"/>
        </w:rPr>
        <w:t>进行国内公开比选。为了“公开、公平、公正、透明”，引导参选人进行正确参选，特制定本规定文件，欢迎国内符合条件的供应商积极参选。</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南8#码头口岸开放安全隔离设施及袋装PTA码头前沿集港使用物资</w:t>
      </w:r>
      <w:r>
        <w:rPr>
          <w:rFonts w:hint="eastAsia"/>
          <w:sz w:val="24"/>
          <w:szCs w:val="24"/>
          <w:u w:val="single"/>
          <w:lang w:eastAsia="zh-CN"/>
        </w:rPr>
        <w:t>采购</w:t>
      </w:r>
      <w:r>
        <w:rPr>
          <w:rFonts w:hint="eastAsia" w:asciiTheme="majorEastAsia" w:hAnsiTheme="majorEastAsia" w:eastAsiaTheme="majorEastAsia"/>
          <w:bCs/>
          <w:sz w:val="24"/>
          <w:szCs w:val="24"/>
          <w:u w:val="single"/>
          <w:lang w:eastAsia="zh-CN"/>
        </w:rPr>
        <w:t xml:space="preserve"> </w:t>
      </w:r>
    </w:p>
    <w:p>
      <w:pPr>
        <w:spacing w:line="360" w:lineRule="auto"/>
        <w:ind w:left="475" w:leftChars="216" w:firstLine="21" w:firstLineChars="9"/>
        <w:jc w:val="both"/>
        <w:rPr>
          <w:rFonts w:asciiTheme="majorEastAsia" w:hAnsiTheme="majorEastAsia" w:eastAsiaTheme="majorEastAsia"/>
          <w:sz w:val="24"/>
          <w:szCs w:val="24"/>
          <w:u w:val="single"/>
          <w:lang w:eastAsia="zh-CN"/>
        </w:rPr>
      </w:pPr>
      <w:r>
        <w:rPr>
          <w:rFonts w:hint="eastAsia"/>
          <w:sz w:val="24"/>
          <w:szCs w:val="24"/>
          <w:lang w:eastAsia="zh-CN"/>
        </w:rPr>
        <w:t>2. 比选项目简要说明：详见附件</w:t>
      </w:r>
      <w:r>
        <w:rPr>
          <w:rFonts w:hint="eastAsia" w:asciiTheme="majorEastAsia" w:hAnsiTheme="majorEastAsia" w:eastAsiaTheme="majorEastAsia"/>
          <w:sz w:val="24"/>
          <w:szCs w:val="24"/>
          <w:u w:val="single"/>
          <w:lang w:eastAsia="zh-CN"/>
        </w:rPr>
        <w:t>《口岸开放安全隔离设施及袋装PTA集港使用物资清单</w:t>
      </w:r>
      <w:r>
        <w:rPr>
          <w:rFonts w:hint="eastAsia" w:asciiTheme="majorEastAsia" w:hAnsiTheme="majorEastAsia" w:eastAsiaTheme="majorEastAsia" w:cstheme="minorEastAsia"/>
          <w:kern w:val="59"/>
          <w:sz w:val="24"/>
          <w:szCs w:val="24"/>
          <w:u w:val="single"/>
          <w:lang w:eastAsia="zh-CN"/>
        </w:rPr>
        <w:t>》</w:t>
      </w:r>
    </w:p>
    <w:p>
      <w:pPr>
        <w:spacing w:line="360" w:lineRule="auto"/>
        <w:ind w:firstLine="480" w:firstLineChars="200"/>
        <w:rPr>
          <w:rFonts w:asciiTheme="minorEastAsia" w:hAnsiTheme="minorEastAsia"/>
          <w:color w:val="000000" w:themeColor="text1"/>
          <w:sz w:val="24"/>
          <w:lang w:eastAsia="zh-CN"/>
          <w14:textFill>
            <w14:solidFill>
              <w14:schemeClr w14:val="tx1"/>
            </w14:solidFill>
          </w14:textFill>
        </w:rPr>
      </w:pPr>
      <w:r>
        <w:rPr>
          <w:rFonts w:hint="eastAsia"/>
          <w:sz w:val="24"/>
          <w:szCs w:val="24"/>
          <w:lang w:eastAsia="zh-CN"/>
        </w:rPr>
        <w:t>3. 供货周期：</w:t>
      </w:r>
      <w:bookmarkStart w:id="0" w:name="_Toc313619495"/>
      <w:r>
        <w:rPr>
          <w:rFonts w:hint="eastAsia"/>
          <w:sz w:val="24"/>
          <w:szCs w:val="24"/>
          <w:lang w:eastAsia="zh-CN"/>
        </w:rPr>
        <w:t>合同生效后</w:t>
      </w:r>
      <w:r>
        <w:rPr>
          <w:rFonts w:hint="eastAsia"/>
          <w:sz w:val="24"/>
          <w:szCs w:val="24"/>
          <w:lang w:val="en-US" w:eastAsia="zh-CN"/>
        </w:rPr>
        <w:t>20</w:t>
      </w:r>
      <w:r>
        <w:rPr>
          <w:rFonts w:hint="eastAsia"/>
          <w:sz w:val="24"/>
          <w:szCs w:val="24"/>
          <w:lang w:eastAsia="zh-CN"/>
        </w:rPr>
        <w:t>天内送货到</w:t>
      </w:r>
      <w:r>
        <w:rPr>
          <w:rFonts w:hint="eastAsia"/>
          <w:sz w:val="24"/>
          <w:szCs w:val="24"/>
          <w:lang w:val="en-US" w:eastAsia="zh-CN"/>
        </w:rPr>
        <w:t>甲方公司</w:t>
      </w:r>
      <w:r>
        <w:rPr>
          <w:rFonts w:hint="eastAsia"/>
          <w:sz w:val="24"/>
          <w:szCs w:val="24"/>
          <w:lang w:eastAsia="zh-CN"/>
        </w:rPr>
        <w:t>。</w:t>
      </w:r>
    </w:p>
    <w:bookmarkEnd w:id="0"/>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817" w:leftChars="209" w:hanging="357" w:hangingChars="149"/>
        <w:rPr>
          <w:rFonts w:asciiTheme="majorEastAsia" w:hAnsiTheme="majorEastAsia" w:eastAsiaTheme="majorEastAsia"/>
          <w:sz w:val="24"/>
          <w:szCs w:val="24"/>
          <w:lang w:eastAsia="zh-CN"/>
        </w:rPr>
      </w:pPr>
      <w:r>
        <w:rPr>
          <w:rFonts w:hint="eastAsia" w:cs="Times New Roman" w:asciiTheme="minorEastAsia" w:hAnsiTheme="minorEastAsia" w:eastAsiaTheme="minorEastAsia"/>
          <w:kern w:val="2"/>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21"/>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4. </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三、</w:t>
      </w:r>
      <w:r>
        <w:rPr>
          <w:sz w:val="24"/>
          <w:szCs w:val="24"/>
          <w:lang w:eastAsia="zh-CN"/>
        </w:rPr>
        <w:t>获取比选文件：</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pStyle w:val="21"/>
        <w:autoSpaceDE/>
        <w:autoSpaceDN/>
        <w:spacing w:before="0" w:line="360" w:lineRule="auto"/>
        <w:ind w:left="820" w:hanging="3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递交截止时间（以送达时间为准）：本项目比选文件详见公示附件，请有意向参选人自行下载并根据参选文件要求进行参选报价，有意向参选人请于公示期间进行技术交流澄清，并于公示之日起第10天即202</w:t>
      </w:r>
      <w:r>
        <w:rPr>
          <w:rFonts w:hint="eastAsia" w:asciiTheme="majorEastAsia" w:hAnsiTheme="majorEastAsia" w:eastAsiaTheme="majorEastAsia"/>
          <w:bCs/>
          <w:sz w:val="24"/>
          <w:szCs w:val="24"/>
          <w:lang w:val="en-US" w:eastAsia="zh-CN"/>
        </w:rPr>
        <w:t>3</w:t>
      </w:r>
      <w:r>
        <w:rPr>
          <w:rFonts w:hint="eastAsia" w:asciiTheme="majorEastAsia" w:hAnsiTheme="majorEastAsia" w:eastAsiaTheme="majorEastAsia"/>
          <w:bCs/>
          <w:sz w:val="24"/>
          <w:szCs w:val="24"/>
          <w:lang w:eastAsia="zh-CN"/>
        </w:rPr>
        <w:t>年</w:t>
      </w:r>
      <w:r>
        <w:rPr>
          <w:rFonts w:hint="eastAsia" w:asciiTheme="majorEastAsia" w:hAnsiTheme="majorEastAsia" w:eastAsiaTheme="majorEastAsia"/>
          <w:bCs/>
          <w:sz w:val="24"/>
          <w:szCs w:val="24"/>
          <w:lang w:val="en-US" w:eastAsia="zh-CN"/>
        </w:rPr>
        <w:t>03</w:t>
      </w:r>
      <w:r>
        <w:rPr>
          <w:rFonts w:hint="eastAsia" w:asciiTheme="majorEastAsia" w:hAnsiTheme="majorEastAsia" w:eastAsiaTheme="majorEastAsia"/>
          <w:bCs/>
          <w:sz w:val="24"/>
          <w:szCs w:val="24"/>
          <w:lang w:eastAsia="zh-CN"/>
        </w:rPr>
        <w:t>月</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日17:30前将参选文件纸质原件密封送达比选人指定地点。</w:t>
      </w:r>
    </w:p>
    <w:p>
      <w:pPr>
        <w:pStyle w:val="13"/>
        <w:spacing w:before="0" w:beforeAutospacing="0" w:after="0" w:afterAutospacing="0" w:line="312" w:lineRule="auto"/>
        <w:ind w:left="701" w:leftChars="209" w:hanging="241" w:hangingChars="100"/>
        <w:textAlignment w:val="baseline"/>
        <w:rPr>
          <w:b/>
          <w:bCs/>
        </w:rPr>
      </w:pPr>
      <w:r>
        <w:rPr>
          <w:rFonts w:hint="eastAsia"/>
          <w:b/>
          <w:bCs/>
        </w:rPr>
        <w:t>四、</w:t>
      </w:r>
      <w:r>
        <w:rPr>
          <w:b/>
          <w:bCs/>
        </w:rPr>
        <w:t xml:space="preserve"> 参选文件递交地点：</w:t>
      </w:r>
    </w:p>
    <w:p>
      <w:pPr>
        <w:pStyle w:val="13"/>
        <w:spacing w:before="0" w:beforeAutospacing="0" w:after="0" w:afterAutospacing="0" w:line="312" w:lineRule="auto"/>
        <w:ind w:left="859" w:leftChars="227" w:hanging="360" w:hangingChars="150"/>
        <w:textAlignment w:val="baseline"/>
        <w:rPr>
          <w:rFonts w:asciiTheme="majorEastAsia" w:hAnsiTheme="majorEastAsia" w:eastAsiaTheme="majorEastAsia"/>
          <w:bCs/>
        </w:rPr>
      </w:pPr>
      <w:r>
        <w:rPr>
          <w:rFonts w:hint="eastAsia"/>
        </w:rPr>
        <w:t xml:space="preserve">1. </w:t>
      </w:r>
      <w:r>
        <w:rPr>
          <w:rFonts w:hint="eastAsia" w:asciiTheme="majorEastAsia" w:hAnsiTheme="majorEastAsia" w:eastAsiaTheme="majorEastAsia"/>
          <w:bCs/>
        </w:rPr>
        <w:t>福建省漳州市漳浦县杜浔镇杜昌路9号福建福海创石油化工有限公司办公楼三楼设备及服务团队，联系人：黄梅钦  电话：0596-6311073。</w:t>
      </w:r>
    </w:p>
    <w:p>
      <w:pPr>
        <w:pStyle w:val="13"/>
        <w:spacing w:before="0" w:beforeAutospacing="0" w:after="0" w:afterAutospacing="0" w:line="312" w:lineRule="auto"/>
        <w:ind w:left="859" w:leftChars="227" w:hanging="360" w:hangingChars="150"/>
        <w:textAlignment w:val="baseline"/>
        <w:rPr>
          <w:rFonts w:asciiTheme="majorEastAsia" w:hAnsiTheme="majorEastAsia" w:eastAsiaTheme="majorEastAsia"/>
          <w:bCs/>
        </w:rPr>
      </w:pPr>
      <w:r>
        <w:rPr>
          <w:rFonts w:hint="eastAsia" w:asciiTheme="majorEastAsia" w:hAnsiTheme="majorEastAsia" w:eastAsiaTheme="majorEastAsia"/>
          <w:bCs/>
        </w:rPr>
        <w:t>2.  参选文件递交截止时间（以送达时间为准）：公示之日起第10天即202</w:t>
      </w:r>
      <w:r>
        <w:rPr>
          <w:rFonts w:hint="eastAsia" w:asciiTheme="majorEastAsia" w:hAnsiTheme="majorEastAsia" w:eastAsiaTheme="majorEastAsia"/>
          <w:bCs/>
          <w:lang w:val="en-US" w:eastAsia="zh-CN"/>
        </w:rPr>
        <w:t>3</w:t>
      </w:r>
      <w:r>
        <w:rPr>
          <w:rFonts w:hint="eastAsia" w:asciiTheme="majorEastAsia" w:hAnsiTheme="majorEastAsia" w:eastAsiaTheme="majorEastAsia"/>
          <w:bCs/>
        </w:rPr>
        <w:t>年</w:t>
      </w:r>
      <w:r>
        <w:rPr>
          <w:rFonts w:hint="eastAsia" w:asciiTheme="majorEastAsia" w:hAnsiTheme="majorEastAsia" w:eastAsiaTheme="majorEastAsia"/>
          <w:bCs/>
          <w:lang w:val="en-US" w:eastAsia="zh-CN"/>
        </w:rPr>
        <w:t>3</w:t>
      </w:r>
      <w:r>
        <w:rPr>
          <w:rFonts w:hint="eastAsia" w:asciiTheme="majorEastAsia" w:hAnsiTheme="majorEastAsia" w:eastAsiaTheme="majorEastAsia"/>
          <w:bCs/>
        </w:rPr>
        <w:t>月</w:t>
      </w:r>
      <w:r>
        <w:rPr>
          <w:rFonts w:hint="eastAsia" w:asciiTheme="majorEastAsia" w:hAnsiTheme="majorEastAsia" w:eastAsiaTheme="majorEastAsia"/>
          <w:bCs/>
          <w:lang w:val="en-US" w:eastAsia="zh-CN"/>
        </w:rPr>
        <w:t>10</w:t>
      </w:r>
      <w:r>
        <w:rPr>
          <w:rFonts w:hint="eastAsia" w:asciiTheme="majorEastAsia" w:hAnsiTheme="majorEastAsia" w:eastAsiaTheme="majorEastAsia"/>
          <w:bCs/>
        </w:rPr>
        <w:t>日17时30分止。</w:t>
      </w:r>
    </w:p>
    <w:p>
      <w:pPr>
        <w:autoSpaceDE/>
        <w:autoSpaceDN/>
        <w:spacing w:line="360" w:lineRule="auto"/>
        <w:ind w:left="440" w:leftChars="2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w:t>
      </w:r>
      <w:r>
        <w:fldChar w:fldCharType="begin"/>
      </w:r>
      <w:r>
        <w:instrText xml:space="preserve"> HYPERLINK "mailto:huangmq@fjpec.com.cn" </w:instrText>
      </w:r>
      <w:r>
        <w:fldChar w:fldCharType="separate"/>
      </w:r>
      <w:r>
        <w:rPr>
          <w:rStyle w:val="17"/>
          <w:rFonts w:hint="eastAsia" w:cs="宋体" w:asciiTheme="majorEastAsia" w:hAnsiTheme="majorEastAsia" w:eastAsiaTheme="majorEastAsia"/>
          <w:bCs/>
          <w:szCs w:val="24"/>
        </w:rPr>
        <w:t>huangmq@fjpec.com.cn</w:t>
      </w:r>
      <w:r>
        <w:rPr>
          <w:rStyle w:val="17"/>
          <w:rFonts w:hint="eastAsia" w:cs="宋体" w:asciiTheme="majorEastAsia" w:hAnsiTheme="majorEastAsia" w:eastAsiaTheme="majorEastAsia"/>
          <w:bCs/>
          <w:szCs w:val="24"/>
        </w:rPr>
        <w:fldChar w:fldCharType="end"/>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技术经办：</w:t>
      </w:r>
      <w:r>
        <w:rPr>
          <w:rFonts w:hint="eastAsia" w:cs="宋体" w:asciiTheme="majorEastAsia" w:hAnsiTheme="majorEastAsia" w:eastAsiaTheme="majorEastAsia"/>
          <w:bCs/>
          <w:szCs w:val="24"/>
          <w:lang w:val="en-US" w:eastAsia="zh-CN"/>
        </w:rPr>
        <w:t>李木全15880952839</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tabs>
          <w:tab w:val="left" w:pos="1272"/>
        </w:tabs>
        <w:spacing w:line="360" w:lineRule="auto"/>
        <w:ind w:left="9"/>
        <w:jc w:val="center"/>
        <w:rPr>
          <w:sz w:val="24"/>
          <w:szCs w:val="24"/>
          <w:lang w:eastAsia="zh-CN"/>
        </w:rPr>
      </w:pPr>
      <w:r>
        <w:rPr>
          <w:rFonts w:hint="eastAsia"/>
          <w:sz w:val="24"/>
          <w:szCs w:val="24"/>
          <w:lang w:eastAsia="zh-CN"/>
        </w:rPr>
        <w:t xml:space="preserve">       </w:t>
      </w:r>
      <w:bookmarkStart w:id="11" w:name="_GoBack"/>
      <w:bookmarkEnd w:id="11"/>
      <w:r>
        <w:rPr>
          <w:rFonts w:hint="eastAsia"/>
          <w:sz w:val="24"/>
          <w:szCs w:val="24"/>
          <w:lang w:eastAsia="zh-CN"/>
        </w:rPr>
        <w:t xml:space="preserve">                  </w:t>
      </w:r>
    </w:p>
    <w:p>
      <w:pPr>
        <w:tabs>
          <w:tab w:val="left" w:pos="1272"/>
        </w:tabs>
        <w:spacing w:line="360" w:lineRule="auto"/>
        <w:ind w:left="9"/>
        <w:jc w:val="center"/>
        <w:rPr>
          <w:sz w:val="24"/>
          <w:szCs w:val="24"/>
          <w:lang w:eastAsia="zh-CN"/>
        </w:rPr>
      </w:pPr>
    </w:p>
    <w:p>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pPr>
        <w:spacing w:line="360" w:lineRule="auto"/>
        <w:ind w:firstLine="7200" w:firstLineChars="3000"/>
        <w:rPr>
          <w:sz w:val="24"/>
          <w:szCs w:val="24"/>
          <w:lang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2</w:t>
      </w:r>
      <w:r>
        <w:rPr>
          <w:rFonts w:hint="eastAsia"/>
          <w:sz w:val="24"/>
          <w:szCs w:val="24"/>
          <w:lang w:eastAsia="zh-CN"/>
        </w:rPr>
        <w:t>.2</w:t>
      </w:r>
      <w:r>
        <w:rPr>
          <w:rFonts w:hint="eastAsia"/>
          <w:sz w:val="24"/>
          <w:szCs w:val="24"/>
          <w:lang w:val="en-US" w:eastAsia="zh-CN"/>
        </w:rPr>
        <w:t>7</w:t>
      </w:r>
    </w:p>
    <w:p>
      <w:pPr>
        <w:pStyle w:val="3"/>
        <w:tabs>
          <w:tab w:val="left" w:pos="1262"/>
        </w:tabs>
        <w:spacing w:line="355" w:lineRule="exact"/>
        <w:ind w:left="0" w:right="108"/>
        <w:jc w:val="center"/>
        <w:rPr>
          <w:lang w:eastAsia="zh-CN"/>
        </w:rPr>
        <w:sectPr>
          <w:footerReference r:id="rId3" w:type="default"/>
          <w:pgSz w:w="11910" w:h="16840"/>
          <w:pgMar w:top="1060" w:right="1020" w:bottom="740" w:left="82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left="319" w:hanging="318" w:hangingChars="139"/>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autoSpaceDE/>
        <w:autoSpaceDN/>
        <w:spacing w:line="360" w:lineRule="auto"/>
        <w:ind w:left="306" w:hanging="305" w:hangingChars="139"/>
        <w:jc w:val="both"/>
        <w:rPr>
          <w:rFonts w:asciiTheme="majorEastAsia" w:hAnsiTheme="majorEastAsia" w:eastAsiaTheme="majorEastAsia"/>
          <w:bCs/>
          <w:sz w:val="24"/>
          <w:szCs w:val="24"/>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sz w:val="24"/>
          <w:szCs w:val="24"/>
          <w:u w:val="single"/>
          <w:lang w:eastAsia="zh-CN"/>
        </w:rPr>
        <w:t xml:space="preserve"> </w:t>
      </w:r>
      <w:r>
        <w:rPr>
          <w:rFonts w:hint="eastAsia"/>
          <w:sz w:val="24"/>
          <w:szCs w:val="24"/>
          <w:u w:val="single"/>
          <w:lang w:eastAsia="zh-CN"/>
        </w:rPr>
        <w:t>南8#码头口岸开放安全隔离设施及袋装PTA码头前沿集港使用物资采购</w:t>
      </w:r>
      <w:r>
        <w:rPr>
          <w:rFonts w:hint="eastAsia" w:asciiTheme="majorEastAsia" w:hAnsiTheme="majorEastAsia" w:eastAsiaTheme="majorEastAsia"/>
          <w:bCs/>
          <w:sz w:val="24"/>
          <w:szCs w:val="24"/>
          <w:u w:val="single"/>
          <w:lang w:eastAsia="zh-CN"/>
        </w:rPr>
        <w:t xml:space="preserve"> </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21"/>
        <w:spacing w:before="0" w:line="360" w:lineRule="auto"/>
        <w:ind w:left="331" w:hanging="331" w:hangingChars="138"/>
        <w:rPr>
          <w:rFonts w:asciiTheme="majorEastAsia" w:hAnsiTheme="majorEastAsia" w:eastAsiaTheme="majorEastAsia"/>
          <w:snapToGrid w:val="0"/>
          <w:spacing w:val="8"/>
          <w:sz w:val="24"/>
          <w:szCs w:val="24"/>
          <w:u w:val="single"/>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z w:val="24"/>
          <w:szCs w:val="24"/>
          <w:u w:val="single"/>
          <w:lang w:eastAsia="zh-CN"/>
        </w:rPr>
        <w:t>南8#码头口岸开放安全隔离设施及袋装PTA码头前沿集港使用物资</w:t>
      </w:r>
      <w:r>
        <w:rPr>
          <w:rFonts w:hint="eastAsia" w:asciiTheme="majorEastAsia" w:hAnsiTheme="majorEastAsia" w:eastAsiaTheme="majorEastAsia"/>
          <w:sz w:val="24"/>
          <w:szCs w:val="24"/>
          <w:u w:val="single"/>
          <w:lang w:val="en-US" w:eastAsia="zh-CN"/>
        </w:rPr>
        <w:t>采</w:t>
      </w:r>
      <w:r>
        <w:rPr>
          <w:rFonts w:hint="eastAsia" w:asciiTheme="majorEastAsia" w:hAnsiTheme="majorEastAsia" w:eastAsiaTheme="majorEastAsia"/>
          <w:sz w:val="24"/>
          <w:szCs w:val="24"/>
          <w:u w:val="single"/>
          <w:lang w:eastAsia="zh-CN"/>
        </w:rPr>
        <w:t>购</w:t>
      </w:r>
    </w:p>
    <w:p>
      <w:pPr>
        <w:spacing w:line="360" w:lineRule="auto"/>
        <w:ind w:left="334" w:hanging="333" w:hangingChars="139"/>
        <w:jc w:val="both"/>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详见附件《口岸开放安全隔离设施及袋装PTA集港使用物资清单</w:t>
      </w:r>
      <w:r>
        <w:rPr>
          <w:rFonts w:hint="eastAsia" w:asciiTheme="majorEastAsia" w:hAnsiTheme="majorEastAsia" w:eastAsiaTheme="majorEastAsia" w:cstheme="minorEastAsia"/>
          <w:kern w:val="59"/>
          <w:sz w:val="24"/>
          <w:szCs w:val="24"/>
          <w:u w:val="single"/>
          <w:lang w:eastAsia="zh-CN"/>
        </w:rPr>
        <w:t>》</w:t>
      </w:r>
    </w:p>
    <w:p>
      <w:pPr>
        <w:spacing w:line="360" w:lineRule="auto"/>
        <w:ind w:left="334" w:hanging="333" w:hangingChars="139"/>
        <w:rPr>
          <w:rFonts w:hint="eastAsia"/>
          <w:sz w:val="24"/>
          <w:szCs w:val="24"/>
          <w:lang w:eastAsia="zh-CN"/>
        </w:rPr>
      </w:pPr>
      <w:r>
        <w:rPr>
          <w:rFonts w:hint="eastAsia" w:asciiTheme="majorEastAsia" w:hAnsiTheme="majorEastAsia" w:eastAsiaTheme="majorEastAsia"/>
          <w:sz w:val="24"/>
          <w:szCs w:val="24"/>
          <w:lang w:eastAsia="zh-CN"/>
        </w:rPr>
        <w:t>3.相关要求标准、规范及规定：</w:t>
      </w:r>
      <w:r>
        <w:rPr>
          <w:rFonts w:hint="eastAsia"/>
          <w:sz w:val="24"/>
          <w:szCs w:val="24"/>
          <w:lang w:eastAsia="zh-CN"/>
        </w:rPr>
        <w:t>符合现行国家、地方及行业相关设计要求及发包说明书的要求，并通过有关部门验收合格。</w:t>
      </w:r>
    </w:p>
    <w:p>
      <w:pPr>
        <w:spacing w:line="360" w:lineRule="auto"/>
        <w:ind w:left="334" w:hanging="333" w:hangingChars="139"/>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(五)产品质量：技术要求详见附件</w:t>
      </w:r>
      <w:r>
        <w:rPr>
          <w:rFonts w:hint="eastAsia" w:asciiTheme="majorEastAsia" w:hAnsiTheme="majorEastAsia" w:eastAsiaTheme="majorEastAsia"/>
          <w:sz w:val="24"/>
          <w:szCs w:val="24"/>
          <w:u w:val="single"/>
          <w:lang w:eastAsia="zh-CN"/>
        </w:rPr>
        <w:t>《口岸开放安全隔离设施及袋装PTA集港使用物资清单</w:t>
      </w:r>
      <w:r>
        <w:rPr>
          <w:rFonts w:hint="eastAsia" w:asciiTheme="majorEastAsia" w:hAnsiTheme="majorEastAsia" w:eastAsiaTheme="majorEastAsia" w:cstheme="minorEastAsia"/>
          <w:kern w:val="59"/>
          <w:sz w:val="24"/>
          <w:szCs w:val="24"/>
          <w:u w:val="single"/>
          <w:lang w:eastAsia="zh-CN"/>
        </w:rPr>
        <w:t>》</w:t>
      </w:r>
    </w:p>
    <w:p>
      <w:pPr>
        <w:pStyle w:val="3"/>
        <w:spacing w:line="360" w:lineRule="auto"/>
        <w:ind w:left="399" w:hanging="398" w:hangingChars="139"/>
        <w:rPr>
          <w:rFonts w:asciiTheme="majorEastAsia" w:hAnsiTheme="majorEastAsia" w:eastAsiaTheme="majorEastAsia"/>
          <w:sz w:val="30"/>
          <w:szCs w:val="30"/>
          <w:lang w:eastAsia="zh-CN"/>
        </w:rPr>
      </w:pPr>
      <w:r>
        <w:rPr>
          <w:rFonts w:asciiTheme="majorEastAsia" w:hAnsiTheme="majorEastAsia" w:eastAsiaTheme="majorEastAsia"/>
          <w:w w:val="95"/>
          <w:sz w:val="30"/>
          <w:szCs w:val="30"/>
          <w:lang w:eastAsia="zh-CN"/>
        </w:rPr>
        <w:t>二、定义和解释</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left="318" w:right="222" w:hanging="303" w:hangingChars="139"/>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left="314" w:right="222" w:hanging="294" w:hangingChars="139"/>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ind w:left="372" w:hanging="371" w:hangingChars="139"/>
        <w:rPr>
          <w:rFonts w:asciiTheme="majorEastAsia" w:hAnsiTheme="majorEastAsia" w:eastAsiaTheme="majorEastAsia"/>
          <w:lang w:eastAsia="zh-CN"/>
        </w:rPr>
      </w:pPr>
      <w:r>
        <w:rPr>
          <w:rFonts w:asciiTheme="majorEastAsia" w:hAnsiTheme="majorEastAsia" w:eastAsiaTheme="majorEastAsia"/>
          <w:w w:val="95"/>
          <w:lang w:eastAsia="zh-CN"/>
        </w:rPr>
        <w:t>三、比选文件组成</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比选文件包括下列内容：</w:t>
      </w:r>
    </w:p>
    <w:p>
      <w:pPr>
        <w:pStyle w:val="9"/>
        <w:spacing w:line="360" w:lineRule="auto"/>
        <w:ind w:left="297" w:leftChars="135" w:firstLine="3"/>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left="334" w:right="212" w:hanging="333" w:hangingChars="139"/>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比选文件除 1 中内容外，比选人在比选期间发出的书面文件和其他修改或补充函件，均是比选文件不可分割的组成部分。</w:t>
      </w:r>
    </w:p>
    <w:p>
      <w:pPr>
        <w:pStyle w:val="9"/>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eastAsia="zh-CN"/>
        </w:rPr>
        <w:t xml:space="preserve"> </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372" w:hanging="371" w:hangingChars="139"/>
        <w:rPr>
          <w:rFonts w:asciiTheme="majorEastAsia" w:hAnsiTheme="majorEastAsia" w:eastAsiaTheme="majorEastAsia"/>
          <w:lang w:eastAsia="zh-CN"/>
        </w:rPr>
      </w:pPr>
      <w:r>
        <w:rPr>
          <w:rFonts w:asciiTheme="majorEastAsia" w:hAnsiTheme="majorEastAsia" w:eastAsiaTheme="majorEastAsia"/>
          <w:w w:val="95"/>
          <w:lang w:eastAsia="zh-CN"/>
        </w:rPr>
        <w:t>四、比选文件的澄清</w:t>
      </w:r>
    </w:p>
    <w:p>
      <w:pPr>
        <w:pStyle w:val="9"/>
        <w:spacing w:line="360" w:lineRule="auto"/>
        <w:ind w:left="537" w:leftChars="244" w:right="91" w:firstLine="335" w:firstLineChars="151"/>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50" w:leftChars="26" w:hanging="393" w:hangingChars="147"/>
        <w:rPr>
          <w:rFonts w:asciiTheme="majorEastAsia" w:hAnsiTheme="majorEastAsia" w:eastAsiaTheme="majorEastAsia"/>
          <w:lang w:eastAsia="zh-CN"/>
        </w:rPr>
      </w:pPr>
      <w:r>
        <w:rPr>
          <w:rFonts w:asciiTheme="majorEastAsia" w:hAnsiTheme="majorEastAsia" w:eastAsiaTheme="majorEastAsia"/>
          <w:w w:val="95"/>
          <w:lang w:eastAsia="zh-CN"/>
        </w:rPr>
        <w:t>五、比选文件的修改、补充</w:t>
      </w:r>
    </w:p>
    <w:p>
      <w:pPr>
        <w:pStyle w:val="9"/>
        <w:spacing w:line="360" w:lineRule="auto"/>
        <w:ind w:left="409" w:leftChars="26" w:right="226" w:hanging="352" w:hangingChars="147"/>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09" w:leftChars="26" w:right="222" w:hanging="352" w:hangingChars="147"/>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09" w:leftChars="26" w:hanging="352" w:hangingChars="147"/>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409" w:leftChars="26" w:hanging="352" w:hangingChars="147"/>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六、参选人资格</w:t>
      </w:r>
    </w:p>
    <w:p>
      <w:pPr>
        <w:widowControl/>
        <w:autoSpaceDE/>
        <w:autoSpaceDN/>
        <w:spacing w:line="360" w:lineRule="auto"/>
        <w:ind w:firstLine="38" w:firstLineChars="16"/>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38" w:firstLineChars="1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pStyle w:val="21"/>
        <w:autoSpaceDE/>
        <w:autoSpaceDN/>
        <w:spacing w:before="0" w:line="360" w:lineRule="auto"/>
        <w:ind w:left="0" w:firstLine="38" w:firstLineChars="1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38" w:firstLineChars="16"/>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七、参选保证金</w:t>
      </w:r>
      <w:r>
        <w:rPr>
          <w:rFonts w:hint="eastAsia" w:asciiTheme="majorEastAsia" w:hAnsiTheme="majorEastAsia" w:eastAsiaTheme="majorEastAsia"/>
          <w:w w:val="95"/>
          <w:lang w:eastAsia="zh-CN"/>
        </w:rPr>
        <w:t>：</w:t>
      </w:r>
      <w:r>
        <w:rPr>
          <w:rFonts w:hint="eastAsia" w:asciiTheme="majorEastAsia" w:hAnsiTheme="majorEastAsia" w:eastAsiaTheme="majorEastAsia"/>
          <w:w w:val="95"/>
          <w:lang w:val="en-US" w:eastAsia="zh-CN"/>
        </w:rPr>
        <w:t>本项目不设置参选保证金。</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260" w:firstLineChars="108"/>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hint="eastAsia" w:cs="宋体" w:asciiTheme="majorEastAsia" w:hAnsiTheme="majorEastAsia" w:eastAsiaTheme="majorEastAsia"/>
          <w:bCs/>
          <w:szCs w:val="24"/>
          <w:lang w:val="en-US" w:eastAsia="zh-CN"/>
        </w:rPr>
        <w:t>：黄梅钦   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4"/>
        <w:tabs>
          <w:tab w:val="left" w:pos="6879"/>
        </w:tabs>
        <w:spacing w:line="360" w:lineRule="auto"/>
        <w:ind w:left="119" w:leftChars="54" w:right="106" w:firstLine="252" w:firstLineChars="108"/>
        <w:rPr>
          <w:rFonts w:asciiTheme="majorEastAsia" w:hAnsiTheme="majorEastAsia" w:eastAsiaTheme="majorEastAsia"/>
          <w:spacing w:val="-4"/>
          <w:lang w:eastAsia="zh-CN"/>
        </w:rPr>
      </w:pPr>
      <w:r>
        <w:rPr>
          <w:rFonts w:hint="eastAsia" w:asciiTheme="majorEastAsia" w:hAnsiTheme="majorEastAsia" w:eastAsiaTheme="majorEastAsia"/>
          <w:spacing w:val="-4"/>
          <w:lang w:eastAsia="zh-CN"/>
        </w:rPr>
        <w:t>技术联系人：</w:t>
      </w:r>
      <w:r>
        <w:rPr>
          <w:rFonts w:hint="eastAsia" w:cs="宋体" w:asciiTheme="majorEastAsia" w:hAnsiTheme="majorEastAsia" w:eastAsiaTheme="majorEastAsia"/>
          <w:bCs/>
          <w:szCs w:val="24"/>
          <w:lang w:val="en-US" w:eastAsia="zh-CN"/>
        </w:rPr>
        <w:t>李木全  电话：15880952839</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236" w:leftChars="-9" w:hanging="256" w:hangingChars="107"/>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236" w:leftChars="-9" w:right="106" w:hanging="256" w:hangingChars="107"/>
        <w:jc w:val="both"/>
        <w:rPr>
          <w:rFonts w:asciiTheme="majorEastAsia" w:hAnsiTheme="majorEastAsia" w:eastAsiaTheme="majorEastAsia"/>
          <w:w w:val="95"/>
          <w:lang w:eastAsia="zh-CN"/>
        </w:rPr>
      </w:pPr>
      <w:r>
        <w:rPr>
          <w:rFonts w:asciiTheme="majorEastAsia" w:hAnsiTheme="majorEastAsia" w:eastAsiaTheme="majorEastAsia"/>
          <w:lang w:eastAsia="zh-CN"/>
        </w:rPr>
        <w:t>4.</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w w:val="95"/>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1"/>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Cs/>
          <w:sz w:val="24"/>
          <w:szCs w:val="24"/>
          <w:lang w:val="en-US" w:eastAsia="zh-CN"/>
        </w:rPr>
        <w:t>23,900</w:t>
      </w:r>
      <w:r>
        <w:rPr>
          <w:rFonts w:hint="eastAsia" w:asciiTheme="majorEastAsia" w:hAnsiTheme="majorEastAsia" w:eastAsiaTheme="majorEastAsia"/>
          <w:bCs/>
          <w:sz w:val="24"/>
          <w:szCs w:val="24"/>
          <w:lang w:eastAsia="zh-CN"/>
        </w:rPr>
        <w:t>元（</w:t>
      </w:r>
      <w:r>
        <w:rPr>
          <w:rFonts w:hint="eastAsia" w:asciiTheme="majorEastAsia" w:hAnsiTheme="majorEastAsia" w:eastAsiaTheme="majorEastAsia"/>
          <w:bCs/>
          <w:sz w:val="24"/>
          <w:szCs w:val="24"/>
          <w:lang w:val="en-US" w:eastAsia="zh-CN"/>
        </w:rPr>
        <w:t>未</w:t>
      </w:r>
      <w:r>
        <w:rPr>
          <w:rFonts w:hint="eastAsia" w:asciiTheme="majorEastAsia" w:hAnsiTheme="majorEastAsia" w:eastAsiaTheme="majorEastAsia"/>
          <w:bCs/>
          <w:sz w:val="24"/>
          <w:szCs w:val="24"/>
          <w:lang w:eastAsia="zh-CN"/>
        </w:rPr>
        <w:t>税价）。参选人所填报的参选含税总价高于本项目最高限价的，其参选将被评标委员会予以否决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bCs/>
          <w:spacing w:val="-2"/>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1"/>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21"/>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88858"/>
      <w:bookmarkStart w:id="2" w:name="_Toc304357904"/>
      <w:bookmarkStart w:id="3" w:name="_Toc415567504"/>
      <w:bookmarkStart w:id="4" w:name="_Toc430489126"/>
      <w:bookmarkStart w:id="5" w:name="_Toc430422420"/>
      <w:bookmarkStart w:id="6" w:name="_Toc430492133"/>
      <w:bookmarkStart w:id="7" w:name="_Toc177186249"/>
      <w:bookmarkStart w:id="8" w:name="_Toc430488651"/>
      <w:bookmarkStart w:id="9" w:name="_Toc430490619"/>
    </w:p>
    <w:p>
      <w:pPr>
        <w:pStyle w:val="9"/>
        <w:spacing w:line="360" w:lineRule="auto"/>
        <w:ind w:right="227" w:firstLine="482"/>
        <w:jc w:val="both"/>
        <w:rPr>
          <w:b/>
          <w:bCs/>
          <w:lang w:eastAsia="zh-CN"/>
        </w:rPr>
      </w:pPr>
      <w:r>
        <w:rPr>
          <w:rFonts w:hint="eastAsia" w:asciiTheme="majorEastAsia" w:hAnsiTheme="majorEastAsia" w:eastAsiaTheme="majorEastAsia"/>
          <w:b/>
          <w:bCs/>
          <w:lang w:eastAsia="zh-CN"/>
        </w:rPr>
        <w:t>7. 参选报价</w:t>
      </w:r>
      <w:bookmarkEnd w:id="1"/>
      <w:bookmarkEnd w:id="2"/>
      <w:bookmarkEnd w:id="3"/>
      <w:bookmarkEnd w:id="4"/>
      <w:bookmarkEnd w:id="5"/>
      <w:bookmarkEnd w:id="6"/>
      <w:bookmarkEnd w:id="7"/>
      <w:bookmarkEnd w:id="8"/>
      <w:bookmarkEnd w:id="9"/>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23,900</w:t>
      </w:r>
      <w:r>
        <w:rPr>
          <w:rFonts w:hint="eastAsia"/>
          <w:lang w:eastAsia="zh-CN"/>
        </w:rPr>
        <w:t>元（</w:t>
      </w:r>
      <w:r>
        <w:rPr>
          <w:rFonts w:hint="eastAsia"/>
          <w:lang w:val="en-US" w:eastAsia="zh-CN"/>
        </w:rPr>
        <w:t>未</w:t>
      </w:r>
      <w:r>
        <w:rPr>
          <w:rFonts w:hint="eastAsia"/>
          <w:lang w:eastAsia="zh-CN"/>
        </w:rPr>
        <w:t>税价）。参选人所填报的包干含税报价高于本项目最高限价的，其参选将被比选小组予以否决。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11"/>
        <w:spacing w:line="360" w:lineRule="auto"/>
        <w:ind w:left="418" w:leftChars="190" w:firstLine="0" w:firstLineChars="0"/>
        <w:rPr>
          <w:rStyle w:val="16"/>
          <w:rFonts w:hint="eastAsia" w:ascii="宋体" w:eastAsia="宋体"/>
          <w:sz w:val="24"/>
          <w:szCs w:val="24"/>
          <w:lang w:eastAsia="zh-CN"/>
        </w:rPr>
      </w:pPr>
      <w:r>
        <w:rPr>
          <w:rFonts w:hint="eastAsia"/>
          <w:sz w:val="24"/>
          <w:szCs w:val="24"/>
        </w:rPr>
        <w:t>9.</w:t>
      </w:r>
      <w:r>
        <w:rPr>
          <w:rFonts w:hint="eastAsia"/>
        </w:rPr>
        <w:t xml:space="preserve"> </w:t>
      </w:r>
      <w:r>
        <w:rPr>
          <w:rStyle w:val="16"/>
          <w:rFonts w:hint="eastAsia"/>
          <w:sz w:val="24"/>
          <w:szCs w:val="24"/>
        </w:rPr>
        <w:t>福建福海创石油化工有限公司的权属子公司“</w:t>
      </w:r>
      <w:r>
        <w:rPr>
          <w:rStyle w:val="16"/>
          <w:rFonts w:hint="eastAsia" w:ascii="宋体" w:eastAsia="宋体"/>
          <w:sz w:val="24"/>
          <w:szCs w:val="24"/>
          <w:lang w:eastAsia="zh-CN"/>
        </w:rPr>
        <w:t xml:space="preserve">翔鹭码头投资管理（漳州）有限公司 </w:t>
      </w:r>
    </w:p>
    <w:p>
      <w:pPr>
        <w:pStyle w:val="11"/>
        <w:spacing w:line="360" w:lineRule="auto"/>
        <w:ind w:left="418" w:leftChars="190" w:firstLine="0" w:firstLineChars="0"/>
        <w:rPr>
          <w:sz w:val="24"/>
          <w:szCs w:val="24"/>
        </w:rPr>
      </w:pPr>
      <w:r>
        <w:rPr>
          <w:rStyle w:val="16"/>
          <w:rFonts w:hint="eastAsia" w:ascii="宋体" w:eastAsia="宋体"/>
          <w:sz w:val="24"/>
          <w:szCs w:val="24"/>
        </w:rPr>
        <w:t>”作为合同执行主体，将于中选通</w:t>
      </w:r>
      <w:r>
        <w:rPr>
          <w:rStyle w:val="16"/>
          <w:rFonts w:hint="eastAsia"/>
          <w:sz w:val="24"/>
          <w:szCs w:val="24"/>
        </w:rPr>
        <w:t>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highlight w:val="yellow"/>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firstLine="440" w:firstLineChars="200"/>
        <w:rPr>
          <w:spacing w:val="-13"/>
          <w:sz w:val="24"/>
          <w:szCs w:val="24"/>
          <w:lang w:eastAsia="zh-CN"/>
        </w:rPr>
      </w:pPr>
      <w:r>
        <w:rPr>
          <w:lang w:eastAsia="zh-CN"/>
        </w:rPr>
        <w:t>2.</w:t>
      </w:r>
      <w:r>
        <w:rPr>
          <w:rFonts w:hint="eastAsia"/>
          <w:spacing w:val="-7"/>
          <w:sz w:val="24"/>
          <w:szCs w:val="24"/>
          <w:lang w:eastAsia="zh-CN"/>
        </w:rPr>
        <w:t>中选单位必须严格执行</w:t>
      </w:r>
      <w:r>
        <w:rPr>
          <w:rFonts w:hint="eastAsia"/>
          <w:spacing w:val="-7"/>
          <w:sz w:val="24"/>
          <w:szCs w:val="24"/>
          <w:u w:val="single"/>
          <w:lang w:eastAsia="zh-CN"/>
        </w:rPr>
        <w:t>南8#码头口岸开放安全隔离设施及袋装PTA码头前沿集港使用物资</w:t>
      </w:r>
      <w:r>
        <w:rPr>
          <w:rFonts w:hint="eastAsia"/>
          <w:spacing w:val="-7"/>
          <w:sz w:val="24"/>
          <w:szCs w:val="24"/>
          <w:lang w:eastAsia="zh-CN"/>
        </w:rPr>
        <w:t>采</w:t>
      </w:r>
      <w:r>
        <w:rPr>
          <w:rFonts w:hint="eastAsia"/>
          <w:spacing w:val="-13"/>
          <w:sz w:val="24"/>
          <w:szCs w:val="24"/>
          <w:lang w:eastAsia="zh-CN"/>
        </w:rPr>
        <w:t>购</w:t>
      </w:r>
      <w:r>
        <w:rPr>
          <w:spacing w:val="-13"/>
          <w:sz w:val="24"/>
          <w:szCs w:val="24"/>
          <w:lang w:eastAsia="zh-CN"/>
        </w:rPr>
        <w:t>合同（详见附件一）、《承诺函》（详见附件二）的规定。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pStyle w:val="9"/>
        <w:spacing w:before="106" w:line="360" w:lineRule="auto"/>
        <w:ind w:left="567"/>
        <w:rPr>
          <w:lang w:eastAsia="zh-CN"/>
        </w:rPr>
      </w:pPr>
    </w:p>
    <w:p>
      <w:pPr>
        <w:spacing w:line="440" w:lineRule="exact"/>
        <w:rPr>
          <w:rFonts w:ascii="Times New Roman" w:hAnsi="Times New Roman" w:cs="Times New Roman"/>
          <w:b/>
          <w:sz w:val="32"/>
          <w:szCs w:val="32"/>
          <w:lang w:eastAsia="zh-CN"/>
        </w:rPr>
      </w:pPr>
      <w:bookmarkStart w:id="10" w:name="_Toc251742852"/>
      <w:r>
        <w:rPr>
          <w:rFonts w:hint="eastAsia" w:ascii="Times New Roman" w:hAnsi="Times New Roman" w:cs="Times New Roman"/>
          <w:b/>
          <w:sz w:val="32"/>
          <w:szCs w:val="32"/>
          <w:lang w:eastAsia="zh-CN"/>
        </w:rPr>
        <w:t>附件一</w:t>
      </w:r>
    </w:p>
    <w:p>
      <w:pPr>
        <w:spacing w:line="120" w:lineRule="auto"/>
        <w:ind w:firstLine="4357" w:firstLineChars="1550"/>
        <w:rPr>
          <w:b/>
          <w:sz w:val="28"/>
          <w:szCs w:val="28"/>
        </w:rPr>
      </w:pPr>
      <w:r>
        <w:rPr>
          <w:rFonts w:hint="eastAsia"/>
          <w:b/>
          <w:sz w:val="28"/>
          <w:szCs w:val="28"/>
        </w:rPr>
        <w:t>采购合同</w:t>
      </w:r>
    </w:p>
    <w:tbl>
      <w:tblPr>
        <w:tblStyle w:val="20"/>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64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rPr>
            </w:pPr>
            <w:r>
              <w:rPr>
                <w:rFonts w:hint="eastAsia"/>
                <w:sz w:val="24"/>
              </w:rPr>
              <w:t xml:space="preserve">                                     </w:t>
            </w:r>
          </w:p>
        </w:tc>
        <w:tc>
          <w:tcPr>
            <w:tcW w:w="1418" w:type="dxa"/>
          </w:tcPr>
          <w:p>
            <w:pPr>
              <w:spacing w:line="120" w:lineRule="auto"/>
              <w:jc w:val="both"/>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649" w:type="dxa"/>
          </w:tcPr>
          <w:p>
            <w:pPr>
              <w:spacing w:line="120" w:lineRule="auto"/>
              <w:jc w:val="both"/>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1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rFonts w:hint="eastAsia"/>
          <w:sz w:val="24"/>
          <w:lang w:val="en-US" w:eastAsia="zh-CN"/>
        </w:rPr>
        <w:t xml:space="preserve">  </w:t>
      </w:r>
      <w:r>
        <w:rPr>
          <w:rFonts w:hint="eastAsia"/>
          <w:sz w:val="24"/>
        </w:rPr>
        <w:t>%，剩余合同价款总额的【</w:t>
      </w:r>
      <w:r>
        <w:rPr>
          <w:rFonts w:hint="eastAsia"/>
          <w:sz w:val="24"/>
          <w:lang w:val="en-US" w:eastAsia="zh-CN"/>
        </w:rPr>
        <w:t xml:space="preserve">  </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ascii="MS Gothic" w:hAnsi="MS Gothic" w:eastAsia="MS Gothic" w:cs="MS Gothic"/>
            <w:sz w:val="24"/>
          </w:rPr>
          <w:id w:val="-22404436"/>
        </w:sdtPr>
        <w:sdtEndPr>
          <w:rPr>
            <w:rFonts w:hint="eastAsia" w:ascii="MS Gothic" w:hAnsi="MS Gothic" w:eastAsia="MS Gothic" w:cs="MS Gothic"/>
            <w:sz w:val="24"/>
          </w:rPr>
        </w:sdtEndPr>
        <w:sdtContent>
          <w:r>
            <w:rPr>
              <w:rFonts w:hint="eastAsia"/>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ascii="MS Gothic" w:hAnsi="MS Gothic" w:eastAsia="MS Gothic" w:cs="MS Gothic"/>
            <w:sz w:val="24"/>
          </w:rPr>
          <w:id w:val="1427537698"/>
        </w:sdtPr>
        <w:sdtEndPr>
          <w:rPr>
            <w:rFonts w:hint="eastAsia" w:ascii="MS Gothic" w:hAnsi="MS Gothic" w:eastAsia="MS Gothic" w:cs="MS Gothic"/>
            <w:sz w:val="24"/>
          </w:rPr>
        </w:sdtEndPr>
        <w:sdtContent>
          <w:r>
            <w:rPr>
              <w:rFonts w:hint="eastAsia"/>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20"/>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spacing w:line="20" w:lineRule="exact"/>
        <w:rPr>
          <w:sz w:val="24"/>
        </w:rPr>
      </w:pPr>
    </w:p>
    <w:p>
      <w:pPr>
        <w:spacing w:line="20" w:lineRule="exact"/>
        <w:rPr>
          <w:sz w:val="24"/>
        </w:rPr>
      </w:pPr>
    </w:p>
    <w:p>
      <w:pPr>
        <w:spacing w:line="360" w:lineRule="auto"/>
        <w:ind w:firstLine="480" w:firstLineChars="200"/>
        <w:rPr>
          <w:rFonts w:ascii="Times New Roman" w:hAnsi="Times New Roman" w:cs="Times New Roman"/>
          <w:sz w:val="24"/>
          <w:lang w:eastAsia="zh-CN"/>
        </w:rPr>
      </w:pPr>
    </w:p>
    <w:bookmarkEnd w:id="10"/>
    <w:p>
      <w:pPr>
        <w:rPr>
          <w:rFonts w:ascii="Times New Roman" w:hAnsi="Times New Roman" w:cs="Times New Roman"/>
          <w:b/>
          <w:bCs/>
          <w:sz w:val="32"/>
          <w:szCs w:val="32"/>
          <w:lang w:eastAsia="zh-CN"/>
        </w:rPr>
        <w:sectPr>
          <w:headerReference r:id="rId4" w:type="default"/>
          <w:footerReference r:id="rId5" w:type="default"/>
          <w:pgSz w:w="11910" w:h="16840"/>
          <w:pgMar w:top="1500" w:right="770" w:bottom="1040" w:left="1240" w:header="0" w:footer="551" w:gutter="0"/>
          <w:cols w:space="720" w:num="1"/>
          <w:docGrid w:type="lines" w:linePitch="312" w:charSpace="0"/>
        </w:sectPr>
      </w:pPr>
    </w:p>
    <w:p>
      <w:pPr>
        <w:pStyle w:val="2"/>
        <w:rPr>
          <w:lang w:val="en-US" w:eastAsia="zh-CN"/>
        </w:rPr>
      </w:pPr>
      <w:r>
        <w:rPr>
          <w:rFonts w:hint="eastAsia"/>
          <w:lang w:val="en-US" w:eastAsia="zh-CN"/>
        </w:rPr>
        <w:t>附件1</w:t>
      </w:r>
    </w:p>
    <w:p>
      <w:pPr>
        <w:rPr>
          <w:lang w:eastAsia="zh-CN"/>
        </w:rPr>
      </w:pPr>
    </w:p>
    <w:tbl>
      <w:tblPr>
        <w:tblStyle w:val="19"/>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6"/>
        <w:gridCol w:w="4246"/>
        <w:gridCol w:w="1080"/>
        <w:gridCol w:w="1080"/>
        <w:gridCol w:w="1080"/>
        <w:gridCol w:w="1080"/>
        <w:gridCol w:w="3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物品名称</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含税单价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含税总价</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水马围栏</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130cm*70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吹塑三孔注水、黄色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盘式反光警戒带</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00米/盒、厚度25丝、宽度：5CM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材质：反光帆布 印刷内容：警戒线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方形路锥</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底座42*高度70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橡胶加重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隔离链条</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3米/条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红白相间色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网绳</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28m*20m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2"/>
                <w:szCs w:val="22"/>
                <w:u w:val="none"/>
              </w:rPr>
            </w:pP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菱形网，网目：20cm*20cm；内网绳经：0.6cm;外网绳经1.5cm</w:t>
            </w:r>
          </w:p>
        </w:tc>
      </w:tr>
    </w:tbl>
    <w:p>
      <w:pPr>
        <w:pStyle w:val="2"/>
        <w:rPr>
          <w:lang w:eastAsia="zh-CN"/>
        </w:rPr>
      </w:pPr>
    </w:p>
    <w:p>
      <w:pPr>
        <w:pStyle w:val="2"/>
        <w:rPr>
          <w:rFonts w:ascii="Times New Roman" w:hAnsi="Times New Roman"/>
          <w:b/>
          <w:bCs/>
          <w:sz w:val="32"/>
          <w:szCs w:val="32"/>
        </w:rPr>
      </w:pPr>
    </w:p>
    <w:p>
      <w:pPr>
        <w:pStyle w:val="2"/>
        <w:rPr>
          <w:rFonts w:ascii="Times New Roman" w:hAnsi="Times New Roman"/>
          <w:b/>
          <w:bCs/>
          <w:sz w:val="32"/>
          <w:szCs w:val="32"/>
        </w:rPr>
        <w:sectPr>
          <w:pgSz w:w="16840" w:h="11910" w:orient="landscape"/>
          <w:pgMar w:top="1242" w:right="1500" w:bottom="771" w:left="1037" w:header="0" w:footer="550" w:gutter="0"/>
          <w:cols w:space="0" w:num="1"/>
          <w:rtlGutter w:val="0"/>
          <w:docGrid w:type="lines" w:linePitch="319" w:charSpace="0"/>
        </w:sect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1"/>
        <w:spacing w:line="615" w:lineRule="exact"/>
        <w:jc w:val="center"/>
        <w:rPr>
          <w:rFonts w:ascii="Times New Roman" w:hAnsi="Times New Roman" w:cs="Times New Roman"/>
          <w:b/>
          <w:sz w:val="44"/>
          <w:szCs w:val="44"/>
          <w:lang w:eastAsia="zh-CN"/>
        </w:rPr>
      </w:pPr>
    </w:p>
    <w:p>
      <w:pPr>
        <w:pStyle w:val="11"/>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1"/>
        <w:spacing w:line="615"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44"/>
          <w:szCs w:val="44"/>
          <w:lang w:eastAsia="zh-CN"/>
        </w:rPr>
      </w:pPr>
    </w:p>
    <w:p>
      <w:pPr>
        <w:spacing w:line="1000" w:lineRule="exact"/>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南8#码头口岸开放安全隔离设施及</w:t>
      </w:r>
    </w:p>
    <w:p>
      <w:pPr>
        <w:spacing w:line="1000" w:lineRule="exact"/>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袋装PTA码头前沿集港使用物资采购</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1"/>
        <w:rPr>
          <w:rFonts w:ascii="Times New Roman" w:hAnsi="Times New Roman" w:cs="Times New Roman"/>
          <w:lang w:eastAsia="zh-CN"/>
        </w:rPr>
      </w:pPr>
    </w:p>
    <w:p>
      <w:pPr>
        <w:pStyle w:val="11"/>
        <w:rPr>
          <w:rFonts w:ascii="Times New Roman" w:hAnsi="Times New Roman" w:cs="Times New Roman"/>
          <w:b/>
          <w:bCs/>
          <w:sz w:val="32"/>
          <w:szCs w:val="32"/>
          <w:lang w:eastAsia="zh-CN"/>
        </w:rPr>
      </w:pPr>
    </w:p>
    <w:p>
      <w:pPr>
        <w:pStyle w:val="11"/>
        <w:rPr>
          <w:rFonts w:ascii="Times New Roman" w:hAnsi="Times New Roman" w:cs="Times New Roman"/>
          <w:b/>
          <w:bCs/>
          <w:sz w:val="32"/>
          <w:szCs w:val="32"/>
          <w:lang w:eastAsia="zh-CN"/>
        </w:rPr>
      </w:pPr>
    </w:p>
    <w:p>
      <w:pPr>
        <w:pStyle w:val="11"/>
        <w:rPr>
          <w:rFonts w:ascii="Times New Roman" w:hAnsi="Times New Roman" w:cs="Times New Roman"/>
          <w:b/>
          <w:bCs/>
          <w:sz w:val="32"/>
          <w:szCs w:val="32"/>
          <w:lang w:eastAsia="zh-CN"/>
        </w:rPr>
      </w:pPr>
    </w:p>
    <w:p>
      <w:pPr>
        <w:pStyle w:val="11"/>
        <w:rPr>
          <w:rFonts w:ascii="Times New Roman" w:hAnsi="Times New Roman" w:cs="Times New Roman"/>
          <w:b/>
          <w:bCs/>
          <w:sz w:val="32"/>
          <w:szCs w:val="36"/>
          <w:lang w:eastAsia="zh-CN"/>
        </w:rPr>
      </w:pPr>
    </w:p>
    <w:p>
      <w:pPr>
        <w:pStyle w:val="11"/>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1"/>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02</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27"/>
        <w:spacing w:beforeLines="0" w:afterLines="0" w:line="240" w:lineRule="auto"/>
        <w:ind w:firstLine="618" w:firstLineChars="221"/>
        <w:rPr>
          <w:rFonts w:ascii="Times New Roman" w:hAnsi="Times New Roman" w:cs="Times New Roman"/>
          <w:bCs w:val="0"/>
          <w:color w:val="C00000"/>
          <w:lang w:eastAsia="zh-CN"/>
        </w:rPr>
      </w:pPr>
    </w:p>
    <w:p>
      <w:pPr>
        <w:pStyle w:val="27"/>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27"/>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27"/>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19"/>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4920" w:firstLineChars="20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val="en-US" w:eastAsia="zh-CN"/>
        </w:rPr>
      </w:pPr>
      <w:r>
        <w:rPr>
          <w:rFonts w:hint="eastAsia"/>
          <w:b/>
          <w:sz w:val="28"/>
          <w:szCs w:val="28"/>
          <w:lang w:val="en-US" w:eastAsia="zh-CN"/>
        </w:rPr>
        <w:t xml:space="preserve">   </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南8#码头口岸开放安全隔离设施及袋装PTA码头前沿集港使用物资</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pPr>
      <w:r>
        <w:rPr>
          <w:rFonts w:hint="eastAsia"/>
          <w:b/>
          <w:sz w:val="28"/>
          <w:szCs w:val="28"/>
        </w:rPr>
        <w:t>附件4</w:t>
      </w: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sz w:val="24"/>
          <w:u w:val="single"/>
          <w:lang w:eastAsia="zh-CN"/>
        </w:rPr>
        <w:t>南8#码头口岸开放安全隔离设施及袋装PTA码头前沿集港使用物资采购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
      <w:pPr>
        <w:pStyle w:val="2"/>
      </w:pPr>
    </w:p>
    <w:p>
      <w:pPr>
        <w:pStyle w:val="2"/>
      </w:pPr>
    </w:p>
    <w:p>
      <w:pPr>
        <w:pStyle w:val="27"/>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南8#码头口岸开放安全隔离设施及袋装PTA码头前沿集港使用物资</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2）货到现场，验收合格后支付合同款的100%。</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Lines="0" w:afterLines="0"/>
        <w:ind w:firstLine="0" w:firstLineChars="0"/>
        <w:rPr>
          <w:lang w:eastAsia="zh-CN"/>
        </w:rPr>
      </w:pPr>
    </w:p>
    <w:p>
      <w:pPr>
        <w:pStyle w:val="27"/>
        <w:spacing w:beforeLines="0" w:afterLines="0"/>
        <w:ind w:firstLine="0" w:firstLineChars="0"/>
        <w:rPr>
          <w:lang w:eastAsia="zh-CN"/>
        </w:rPr>
      </w:pPr>
    </w:p>
    <w:p>
      <w:pPr>
        <w:spacing w:line="360" w:lineRule="auto"/>
        <w:ind w:firstLine="480" w:firstLineChars="200"/>
        <w:rPr>
          <w:sz w:val="24"/>
          <w:szCs w:val="24"/>
          <w:lang w:eastAsia="zh-CN"/>
        </w:rPr>
      </w:pPr>
      <w:r>
        <w:rPr>
          <w:rFonts w:hint="eastAsia"/>
          <w:sz w:val="24"/>
          <w:szCs w:val="24"/>
          <w:lang w:eastAsia="zh-CN"/>
        </w:rPr>
        <w:t>备注：详细报价详见附表</w:t>
      </w:r>
    </w:p>
    <w:p>
      <w:pPr>
        <w:pStyle w:val="27"/>
        <w:spacing w:beforeLines="0" w:afterLines="0"/>
        <w:ind w:firstLine="0" w:firstLineChars="0"/>
        <w:rPr>
          <w:rFonts w:ascii="Times New Roman"/>
          <w:bCs w:val="0"/>
          <w:sz w:val="24"/>
          <w:szCs w:val="24"/>
          <w:lang w:eastAsia="zh-CN"/>
        </w:rPr>
      </w:pPr>
    </w:p>
    <w:p>
      <w:pPr>
        <w:pStyle w:val="27"/>
        <w:spacing w:beforeLines="0" w:afterLines="0"/>
        <w:ind w:firstLine="0" w:firstLineChars="0"/>
        <w:rPr>
          <w:rFonts w:ascii="Times New Roman"/>
          <w:bCs w:val="0"/>
          <w:sz w:val="24"/>
          <w:szCs w:val="24"/>
          <w:lang w:eastAsia="zh-CN"/>
        </w:rPr>
        <w:sectPr>
          <w:headerReference r:id="rId6" w:type="default"/>
          <w:pgSz w:w="11910" w:h="16840"/>
          <w:pgMar w:top="1502" w:right="771" w:bottom="1037" w:left="1242" w:header="0" w:footer="550" w:gutter="0"/>
          <w:cols w:space="0" w:num="1"/>
          <w:rtlGutter w:val="0"/>
          <w:docGrid w:type="lines" w:linePitch="319" w:charSpace="0"/>
        </w:sectPr>
      </w:pPr>
    </w:p>
    <w:tbl>
      <w:tblPr>
        <w:tblStyle w:val="19"/>
        <w:tblW w:w="14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9"/>
        <w:gridCol w:w="1949"/>
        <w:gridCol w:w="1410"/>
        <w:gridCol w:w="1335"/>
        <w:gridCol w:w="1079"/>
        <w:gridCol w:w="1079"/>
        <w:gridCol w:w="1079"/>
        <w:gridCol w:w="1720"/>
        <w:gridCol w:w="4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1" w:hRule="atLeast"/>
        </w:trPr>
        <w:tc>
          <w:tcPr>
            <w:tcW w:w="14998" w:type="dxa"/>
            <w:gridSpan w:val="9"/>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口岸开放安全隔离设施及袋装PTA集港使用物资清单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合计（元）</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水马围栏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吹塑三孔注水、黄色</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1304925" cy="781050"/>
                  <wp:effectExtent l="0" t="0" r="952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8"/>
                          <a:stretch>
                            <a:fillRect/>
                          </a:stretch>
                        </pic:blipFill>
                        <pic:spPr>
                          <a:xfrm>
                            <a:off x="0" y="0"/>
                            <a:ext cx="1304925" cy="781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4"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盘式反光警戒带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100米/盒、厚度25丝、宽度：5CM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反光帆布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印刷内容：警戒线</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1352550" cy="885825"/>
                  <wp:effectExtent l="0" t="0" r="0"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9"/>
                          <a:stretch>
                            <a:fillRect/>
                          </a:stretch>
                        </pic:blipFill>
                        <pic:spPr>
                          <a:xfrm>
                            <a:off x="0" y="0"/>
                            <a:ext cx="1352550" cy="8858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方形路锥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底座42*高度70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橡胶加重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重约8斤</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369570" cy="657860"/>
                  <wp:effectExtent l="0" t="0" r="11430" b="889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10"/>
                          <a:stretch>
                            <a:fillRect/>
                          </a:stretch>
                        </pic:blipFill>
                        <pic:spPr>
                          <a:xfrm>
                            <a:off x="0" y="0"/>
                            <a:ext cx="369570" cy="65786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隔离链条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3米/条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红白相间色</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542925" cy="800100"/>
                  <wp:effectExtent l="0" t="0" r="9525"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11"/>
                          <a:stretch>
                            <a:fillRect/>
                          </a:stretch>
                        </pic:blipFill>
                        <pic:spPr>
                          <a:xfrm>
                            <a:off x="0" y="0"/>
                            <a:ext cx="542925" cy="8001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28m*20m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菱形网，网目：20cm*20cm；内网绳经：0.6cm;外网绳经1.5cm</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752475" cy="1000125"/>
                  <wp:effectExtent l="0" t="0" r="9525" b="952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12"/>
                          <a:stretch>
                            <a:fillRect/>
                          </a:stretch>
                        </pic:blipFill>
                        <pic:spPr>
                          <a:xfrm>
                            <a:off x="0" y="0"/>
                            <a:ext cx="752475" cy="1000125"/>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drawing>
                <wp:inline distT="0" distB="0" distL="114300" distR="114300">
                  <wp:extent cx="1190625" cy="103822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3"/>
                          <a:stretch>
                            <a:fillRect/>
                          </a:stretch>
                        </pic:blipFill>
                        <pic:spPr>
                          <a:xfrm>
                            <a:off x="0" y="0"/>
                            <a:ext cx="1190625" cy="1038225"/>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drawing>
                <wp:inline distT="0" distB="0" distL="114300" distR="114300">
                  <wp:extent cx="885825" cy="1171575"/>
                  <wp:effectExtent l="0" t="0" r="9525" b="9525"/>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14"/>
                          <a:stretch>
                            <a:fillRect/>
                          </a:stretch>
                        </pic:blipFill>
                        <pic:spPr>
                          <a:xfrm>
                            <a:off x="0" y="0"/>
                            <a:ext cx="885825" cy="11715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9" w:hRule="atLeast"/>
        </w:trPr>
        <w:tc>
          <w:tcPr>
            <w:tcW w:w="7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sectPr>
      <w:pgSz w:w="16840" w:h="11910" w:orient="landscape"/>
      <w:pgMar w:top="1242" w:right="1502" w:bottom="771" w:left="1037" w:header="0" w:footer="55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Dialog">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6cVe2QAA&#10;AA0BAAAPAAAAAAAAAAEAIAAAACIAAABkcnMvZG93bnJldi54bWxQSwECFAAUAAAACACHTuJAuJJ+&#10;x6sBAAA6AwAADgAAAAAAAAABACAAAAAoAQAAZHJzL2Uyb0RvYy54bWxQSwUGAAAAAAYABgBZAQAA&#10;RQ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15</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33</w:t>
                          </w:r>
                          <w:r>
                            <w:rPr>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15</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33</w:t>
                    </w:r>
                    <w:r>
                      <w:rPr>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05.95pt;margin-top:803.4pt;height:12pt;width:38pt;mso-position-horizontal-relative:page;mso-position-vertical-relative:page;z-index:-25165414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6cVe2QAA&#10;AA0BAAAPAAAAAAAAAAEAIAAAACIAAABkcnMvZG93bnJldi54bWxQSwECFAAUAAAACACHTuJAPkHa&#10;/qsBAAA6AwAADgAAAAAAAAABACAAAAAoAQAAZHJzL2Uyb0RvYy54bWxQSwUGAAAAAAYABgBZAQAA&#10;RQ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F1193"/>
    <w:rsid w:val="027C708E"/>
    <w:rsid w:val="15D47F60"/>
    <w:rsid w:val="19B330BE"/>
    <w:rsid w:val="2F1F1193"/>
    <w:rsid w:val="3648723E"/>
    <w:rsid w:val="39677494"/>
    <w:rsid w:val="3B7540FF"/>
    <w:rsid w:val="411169A2"/>
    <w:rsid w:val="6278720D"/>
    <w:rsid w:val="65BE71D8"/>
    <w:rsid w:val="6F50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26"/>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annotation text"/>
    <w:basedOn w:val="1"/>
    <w:uiPriority w:val="0"/>
    <w:pPr>
      <w:autoSpaceDE/>
      <w:autoSpaceDN/>
      <w:jc w:val="both"/>
    </w:pPr>
    <w:rPr>
      <w:rFonts w:ascii="Times New Roman" w:hAnsi="Times New Roman" w:cs="Times New Roman"/>
      <w:kern w:val="2"/>
      <w:sz w:val="21"/>
      <w:szCs w:val="20"/>
      <w:lang w:eastAsia="zh-CN"/>
    </w:rPr>
  </w:style>
  <w:style w:type="paragraph" w:styleId="9">
    <w:name w:val="Body Text"/>
    <w:basedOn w:val="1"/>
    <w:uiPriority w:val="0"/>
    <w:rPr>
      <w:sz w:val="24"/>
      <w:szCs w:val="24"/>
    </w:rPr>
  </w:style>
  <w:style w:type="paragraph" w:styleId="10">
    <w:name w:val="Body Text Indent"/>
    <w:basedOn w:val="1"/>
    <w:uiPriority w:val="0"/>
    <w:pPr>
      <w:spacing w:after="120"/>
      <w:ind w:left="420" w:leftChars="200"/>
    </w:pPr>
  </w:style>
  <w:style w:type="paragraph" w:styleId="11">
    <w:name w:val="Plain Text"/>
    <w:basedOn w:val="1"/>
    <w:uiPriority w:val="0"/>
    <w:rPr>
      <w:rFonts w:hAnsi="Courier New" w:cs="Courier New"/>
      <w:szCs w:val="21"/>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iPriority w:val="0"/>
    <w:pPr>
      <w:widowControl/>
      <w:autoSpaceDE/>
      <w:autoSpaceDN/>
      <w:spacing w:before="100" w:beforeAutospacing="1" w:after="100" w:afterAutospacing="1"/>
    </w:pPr>
    <w:rPr>
      <w:sz w:val="24"/>
      <w:szCs w:val="24"/>
      <w:lang w:eastAsia="zh-CN"/>
    </w:rPr>
  </w:style>
  <w:style w:type="paragraph" w:styleId="14">
    <w:name w:val="Title"/>
    <w:basedOn w:val="1"/>
    <w:next w:val="1"/>
    <w:qFormat/>
    <w:uiPriority w:val="0"/>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16">
    <w:name w:val="Strong"/>
    <w:qFormat/>
    <w:uiPriority w:val="0"/>
    <w:rPr>
      <w:b/>
      <w:bCs/>
    </w:rPr>
  </w:style>
  <w:style w:type="character" w:styleId="17">
    <w:name w:val="Hyperlink"/>
    <w:basedOn w:val="15"/>
    <w:uiPriority w:val="0"/>
    <w:rPr>
      <w:color w:val="0000FF"/>
      <w:u w:val="single"/>
    </w:rPr>
  </w:style>
  <w:style w:type="character" w:styleId="18">
    <w:name w:val="annotation reference"/>
    <w:basedOn w:val="15"/>
    <w:uiPriority w:val="0"/>
    <w:rPr>
      <w:sz w:val="21"/>
      <w:szCs w:val="21"/>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列出段落1"/>
    <w:basedOn w:val="1"/>
    <w:qFormat/>
    <w:uiPriority w:val="99"/>
    <w:pPr>
      <w:spacing w:before="206"/>
      <w:ind w:left="959" w:hanging="361"/>
    </w:pPr>
  </w:style>
  <w:style w:type="character" w:customStyle="1" w:styleId="22">
    <w:name w:val="font91"/>
    <w:basedOn w:val="15"/>
    <w:uiPriority w:val="0"/>
    <w:rPr>
      <w:rFonts w:hint="eastAsia" w:ascii="宋体" w:hAnsi="宋体" w:eastAsia="宋体" w:cs="宋体"/>
      <w:color w:val="000000"/>
      <w:sz w:val="20"/>
      <w:szCs w:val="20"/>
      <w:u w:val="none"/>
    </w:rPr>
  </w:style>
  <w:style w:type="character" w:customStyle="1" w:styleId="23">
    <w:name w:val="font31"/>
    <w:basedOn w:val="15"/>
    <w:uiPriority w:val="0"/>
    <w:rPr>
      <w:rFonts w:hint="default" w:ascii="Times New Roman" w:hAnsi="Times New Roman" w:cs="Times New Roman"/>
      <w:color w:val="000000"/>
      <w:sz w:val="20"/>
      <w:szCs w:val="20"/>
      <w:u w:val="none"/>
    </w:rPr>
  </w:style>
  <w:style w:type="character" w:customStyle="1" w:styleId="24">
    <w:name w:val="font01"/>
    <w:basedOn w:val="15"/>
    <w:uiPriority w:val="0"/>
    <w:rPr>
      <w:rFonts w:hint="eastAsia" w:ascii="宋体" w:hAnsi="宋体" w:eastAsia="宋体" w:cs="宋体"/>
      <w:color w:val="000000"/>
      <w:sz w:val="20"/>
      <w:szCs w:val="20"/>
      <w:u w:val="none"/>
    </w:rPr>
  </w:style>
  <w:style w:type="paragraph" w:customStyle="1" w:styleId="25">
    <w:name w:val="无间隔1"/>
    <w:qFormat/>
    <w:uiPriority w:val="1"/>
    <w:pPr>
      <w:widowControl w:val="0"/>
      <w:adjustRightInd w:val="0"/>
      <w:snapToGrid w:val="0"/>
      <w:jc w:val="center"/>
    </w:pPr>
    <w:rPr>
      <w:rFonts w:eastAsia="仿宋_GB2312" w:asciiTheme="minorHAnsi" w:hAnsiTheme="minorHAnsi" w:cstheme="minorBidi"/>
      <w:kern w:val="2"/>
      <w:sz w:val="24"/>
      <w:szCs w:val="22"/>
      <w:lang w:val="en-US" w:eastAsia="zh-CN" w:bidi="ar-SA"/>
    </w:rPr>
  </w:style>
  <w:style w:type="character" w:customStyle="1" w:styleId="26">
    <w:name w:val="标题 5 Char"/>
    <w:basedOn w:val="15"/>
    <w:link w:val="6"/>
    <w:qFormat/>
    <w:uiPriority w:val="0"/>
    <w:rPr>
      <w:b/>
      <w:bCs/>
      <w:sz w:val="28"/>
      <w:szCs w:val="28"/>
    </w:rPr>
  </w:style>
  <w:style w:type="paragraph" w:customStyle="1" w:styleId="27">
    <w:name w:val="文档正文"/>
    <w:basedOn w:val="1"/>
    <w:qFormat/>
    <w:uiPriority w:val="0"/>
    <w:pPr>
      <w:spacing w:beforeLines="50" w:afterLines="50" w:line="360" w:lineRule="auto"/>
      <w:ind w:firstLine="560" w:firstLineChars="200"/>
    </w:pPr>
    <w:rPr>
      <w:rFonts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16</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2023-02-27T03:45:00Z</dcterms:created>
  <dc:creator>mqhuang</dc:creator>
  <cp:lastModifiedBy>mqhuang</cp:lastModifiedBy>
  <dcterms:modified xsi:type="dcterms:W3CDTF">2023-02-28T10:20:04Z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