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减压分馏装置中和缓蚀剂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2023-FHC-中和缓蚀剂-0221</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bookmarkStart w:id="2" w:name="_GoBack"/>
      <w:bookmarkEnd w:id="2"/>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减压分馏装置中和缓蚀剂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减压分馏装置中和缓蚀剂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2023-FHC-中和缓蚀剂-0221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减压分馏装置中和缓蚀剂</w:t>
      </w:r>
      <w:r>
        <w:rPr>
          <w:rFonts w:hint="eastAsia" w:ascii="宋体" w:hAnsi="宋体" w:cs="宋体" w:eastAsiaTheme="minorEastAsia"/>
          <w:sz w:val="24"/>
        </w:rPr>
        <w:t>。</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减压分馏装置中和缓蚀剂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4"/>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属于福建省能源石化集团有限责任公司合格供应商或中国石油化工集团有限公司或</w:t>
      </w:r>
      <w:r>
        <w:rPr>
          <w:rFonts w:asciiTheme="minorEastAsia" w:hAnsiTheme="minorEastAsia" w:eastAsiaTheme="minorEastAsia"/>
          <w:bCs/>
          <w:sz w:val="24"/>
        </w:rPr>
        <w:fldChar w:fldCharType="begin"/>
      </w:r>
      <w:r>
        <w:rPr>
          <w:rFonts w:asciiTheme="minorEastAsia" w:hAnsiTheme="minorEastAsia" w:eastAsiaTheme="minorEastAsia"/>
          <w:bCs/>
          <w:sz w:val="24"/>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rPr>
        <w:fldChar w:fldCharType="separate"/>
      </w:r>
      <w:r>
        <w:rPr>
          <w:rFonts w:hint="eastAsia" w:asciiTheme="minorEastAsia" w:hAnsiTheme="minorEastAsia" w:eastAsiaTheme="minorEastAsia"/>
          <w:bCs/>
          <w:sz w:val="24"/>
        </w:rPr>
        <w:t>中国石油天然气集团有限公司</w:t>
      </w:r>
      <w:r>
        <w:rPr>
          <w:rFonts w:hint="eastAsia" w:asciiTheme="minorEastAsia" w:hAnsiTheme="minorEastAsia" w:eastAsiaTheme="minorEastAsia"/>
          <w:bCs/>
          <w:sz w:val="24"/>
        </w:rPr>
        <w:fldChar w:fldCharType="end"/>
      </w:r>
      <w:r>
        <w:rPr>
          <w:rFonts w:hint="eastAsia" w:asciiTheme="minorEastAsia" w:hAnsiTheme="minorEastAsia" w:eastAsiaTheme="minorEastAsia"/>
          <w:bCs/>
          <w:sz w:val="24"/>
        </w:rPr>
        <w:t>合格供应商。</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需提供</w:t>
      </w:r>
      <w:r>
        <w:rPr>
          <w:rFonts w:hint="eastAsia" w:asciiTheme="minorEastAsia" w:hAnsiTheme="minorEastAsia" w:eastAsiaTheme="minorEastAsia"/>
          <w:bCs/>
          <w:sz w:val="24"/>
        </w:rPr>
        <w:t>近三年同类装置的销售业绩</w:t>
      </w:r>
      <w:r>
        <w:rPr>
          <w:rFonts w:hint="eastAsia" w:asciiTheme="minorEastAsia" w:hAnsiTheme="minorEastAsia" w:eastAsiaTheme="minorEastAsia"/>
          <w:bCs/>
          <w:sz w:val="24"/>
          <w:lang w:val="en-US" w:eastAsia="zh-CN"/>
        </w:rPr>
        <w:t>（合同或发票）。</w:t>
      </w:r>
    </w:p>
    <w:p>
      <w:pPr>
        <w:pStyle w:val="14"/>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叁万元</w:t>
      </w:r>
      <w:r>
        <w:rPr>
          <w:rFonts w:hint="eastAsia" w:asciiTheme="minorEastAsia" w:hAnsiTheme="minorEastAsia" w:eastAsiaTheme="minorEastAsia"/>
          <w:bCs/>
          <w:sz w:val="24"/>
          <w:highlight w:val="yellow"/>
        </w:rPr>
        <w:t>整。</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4"/>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日（含当日）</w:t>
      </w:r>
    </w:p>
    <w:p>
      <w:pPr>
        <w:pStyle w:val="14"/>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4"/>
        <w:numPr>
          <w:ilvl w:val="255"/>
          <w:numId w:val="0"/>
        </w:numPr>
        <w:spacing w:before="0" w:line="300" w:lineRule="auto"/>
        <w:ind w:left="832"/>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（3）提供</w:t>
      </w:r>
      <w:r>
        <w:rPr>
          <w:rFonts w:hint="eastAsia" w:asciiTheme="minorEastAsia" w:hAnsiTheme="minorEastAsia" w:eastAsiaTheme="minorEastAsia"/>
          <w:bCs/>
          <w:sz w:val="24"/>
          <w:lang w:eastAsia="zh-CN"/>
        </w:rPr>
        <w:t>三年同类装置的销售业绩</w:t>
      </w:r>
      <w:r>
        <w:rPr>
          <w:rFonts w:hint="eastAsia" w:asciiTheme="minorEastAsia" w:hAnsiTheme="minorEastAsia" w:eastAsiaTheme="minorEastAsia"/>
          <w:bCs/>
          <w:sz w:val="24"/>
          <w:lang w:val="en-US" w:eastAsia="zh-CN"/>
        </w:rPr>
        <w:t>（合同或发票）。</w:t>
      </w:r>
    </w:p>
    <w:p>
      <w:pPr>
        <w:pStyle w:val="14"/>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sz w:val="24"/>
          <w:lang w:val="en-US" w:eastAsia="zh-CN"/>
        </w:rPr>
        <w:t>提供5年内的产品安全技术说明书。</w:t>
      </w:r>
    </w:p>
    <w:p>
      <w:pPr>
        <w:pStyle w:val="14"/>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叁万元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4"/>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4"/>
        <w:keepNext w:val="0"/>
        <w:keepLines w:val="0"/>
        <w:pageBreakBefore w:val="0"/>
        <w:widowControl w:val="0"/>
        <w:kinsoku/>
        <w:wordWrap/>
        <w:overflowPunct/>
        <w:topLinePunct w:val="0"/>
        <w:autoSpaceDE/>
        <w:autoSpaceDN/>
        <w:bidi w:val="0"/>
        <w:spacing w:before="0" w:line="300" w:lineRule="auto"/>
        <w:ind w:left="832" w:firstLine="480" w:firstLineChars="20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4"/>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4"/>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李 斌</w:t>
      </w:r>
      <w:r>
        <w:rPr>
          <w:rFonts w:hint="eastAsia" w:asciiTheme="minorEastAsia" w:hAnsiTheme="minorEastAsia" w:eastAsiaTheme="minorEastAsia"/>
          <w:bCs/>
          <w:sz w:val="24"/>
        </w:rPr>
        <w:t xml:space="preserve">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 xml:space="preserve">电话：15759608828 </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 xml:space="preserve">邮箱：bli@fhcpec.com.cn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减压分馏装置中和缓蚀剂</w:t>
      </w:r>
      <w:r>
        <w:rPr>
          <w:rFonts w:hint="eastAsia" w:ascii="宋体" w:hAnsi="宋体"/>
          <w:sz w:val="18"/>
          <w:szCs w:val="18"/>
          <w:u w:val="single"/>
        </w:rPr>
        <w:t>。</w:t>
      </w:r>
    </w:p>
    <w:p>
      <w:pPr>
        <w:pStyle w:val="17"/>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）属于福建省能源石化集团有限责任公司合格供应商或中国石油化工集团有限公司或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合格供应商。</w:t>
      </w:r>
    </w:p>
    <w:p>
      <w:pPr>
        <w:spacing w:line="320" w:lineRule="exact"/>
        <w:rPr>
          <w:rFonts w:hint="eastAsia" w:ascii="宋体"/>
          <w:sz w:val="18"/>
          <w:szCs w:val="18"/>
        </w:rPr>
      </w:pPr>
      <w:r>
        <w:rPr>
          <w:rFonts w:hint="eastAsia" w:ascii="宋体"/>
          <w:sz w:val="18"/>
          <w:szCs w:val="18"/>
          <w:lang w:val="en-US" w:eastAsia="zh-CN"/>
        </w:rPr>
        <w:t>（6）需提供</w:t>
      </w:r>
      <w:r>
        <w:rPr>
          <w:rFonts w:hint="eastAsia" w:ascii="宋体"/>
          <w:sz w:val="18"/>
          <w:szCs w:val="18"/>
        </w:rPr>
        <w:t>近三年同类装置的销售业绩</w:t>
      </w:r>
      <w:r>
        <w:rPr>
          <w:rFonts w:hint="eastAsia" w:ascii="宋体"/>
          <w:sz w:val="18"/>
          <w:szCs w:val="18"/>
          <w:lang w:val="en-US" w:eastAsia="zh-CN"/>
        </w:rPr>
        <w:t>（合同或发票）。</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叁万元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highlight w:val="yellow"/>
        </w:rPr>
      </w:pPr>
      <w:r>
        <w:rPr>
          <w:rFonts w:ascii="宋体" w:hAnsi="宋体"/>
          <w:sz w:val="18"/>
          <w:szCs w:val="18"/>
          <w:highlight w:val="yellow"/>
        </w:rPr>
        <w:t>4.</w:t>
      </w:r>
      <w:r>
        <w:rPr>
          <w:rFonts w:hint="eastAsia" w:ascii="宋体" w:hAnsi="宋体"/>
          <w:sz w:val="18"/>
          <w:szCs w:val="18"/>
          <w:highlight w:val="yellow"/>
        </w:rPr>
        <w:t>公开比选请按以</w:t>
      </w:r>
      <w:r>
        <w:rPr>
          <w:rFonts w:hint="eastAsia" w:ascii="宋体" w:hAnsi="宋体"/>
          <w:sz w:val="18"/>
          <w:szCs w:val="18"/>
          <w:highlight w:val="yellow"/>
          <w:lang w:val="en-US" w:eastAsia="zh-CN"/>
        </w:rPr>
        <w:t>下</w:t>
      </w:r>
      <w:r>
        <w:rPr>
          <w:rFonts w:hint="eastAsia" w:ascii="宋体" w:hAnsi="宋体"/>
          <w:sz w:val="18"/>
          <w:szCs w:val="18"/>
          <w:highlight w:val="yellow"/>
        </w:rPr>
        <w:t>要求密封报价。</w:t>
      </w:r>
      <w:r>
        <w:rPr>
          <w:rFonts w:hint="eastAsia" w:ascii="宋体" w:hAnsi="宋体"/>
          <w:sz w:val="18"/>
          <w:szCs w:val="18"/>
          <w:highlight w:val="yellow"/>
          <w:lang w:val="en-US" w:eastAsia="zh-CN"/>
        </w:rPr>
        <w:t>参选人递交的参选</w:t>
      </w:r>
      <w:r>
        <w:rPr>
          <w:rFonts w:hint="eastAsia" w:ascii="宋体" w:hAnsi="宋体"/>
          <w:sz w:val="18"/>
          <w:szCs w:val="18"/>
          <w:highlight w:val="yellow"/>
        </w:rPr>
        <w:t>文件分为二册，第一册为</w:t>
      </w:r>
      <w:r>
        <w:rPr>
          <w:rFonts w:hint="eastAsia" w:ascii="宋体" w:hAnsi="宋体"/>
          <w:sz w:val="18"/>
          <w:szCs w:val="18"/>
          <w:highlight w:val="yellow"/>
          <w:lang w:eastAsia="zh-CN"/>
        </w:rPr>
        <w:t>商务</w:t>
      </w:r>
      <w:r>
        <w:rPr>
          <w:rFonts w:hint="eastAsia" w:ascii="宋体" w:hAnsi="宋体"/>
          <w:sz w:val="18"/>
          <w:szCs w:val="18"/>
          <w:highlight w:val="yellow"/>
        </w:rPr>
        <w:t>文件，第二册为技术文件，其内容分别为：</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4.1</w:t>
      </w:r>
      <w:r>
        <w:rPr>
          <w:rFonts w:hint="eastAsia" w:ascii="宋体" w:hAnsi="宋体"/>
          <w:sz w:val="18"/>
          <w:szCs w:val="18"/>
          <w:highlight w:val="yellow"/>
        </w:rPr>
        <w:t xml:space="preserve"> 第一册</w:t>
      </w:r>
      <w:r>
        <w:rPr>
          <w:rFonts w:hint="eastAsia" w:ascii="宋体" w:hAnsi="宋体"/>
          <w:sz w:val="18"/>
          <w:szCs w:val="18"/>
          <w:highlight w:val="yellow"/>
          <w:lang w:eastAsia="zh-CN"/>
        </w:rPr>
        <w:t>商务</w:t>
      </w:r>
      <w:r>
        <w:rPr>
          <w:rFonts w:hint="eastAsia" w:ascii="宋体" w:hAnsi="宋体"/>
          <w:sz w:val="18"/>
          <w:szCs w:val="18"/>
          <w:highlight w:val="yellow"/>
        </w:rPr>
        <w:t>文件包含以下内容：</w:t>
      </w:r>
    </w:p>
    <w:p>
      <w:pPr>
        <w:spacing w:line="320" w:lineRule="exact"/>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1</w:t>
      </w:r>
      <w:r>
        <w:rPr>
          <w:rFonts w:hint="eastAsia" w:ascii="宋体" w:hAnsi="宋体"/>
          <w:sz w:val="18"/>
          <w:szCs w:val="18"/>
          <w:highlight w:val="yellow"/>
        </w:rPr>
        <w:t>）比选公告</w:t>
      </w:r>
    </w:p>
    <w:p>
      <w:pPr>
        <w:spacing w:line="320" w:lineRule="exact"/>
        <w:rPr>
          <w:rFonts w:ascii="宋体" w:hAnsi="宋体"/>
          <w:sz w:val="18"/>
          <w:szCs w:val="18"/>
          <w:highlight w:val="yellow"/>
        </w:rPr>
      </w:pPr>
      <w:r>
        <w:rPr>
          <w:rFonts w:hint="eastAsia" w:ascii="宋体" w:hAnsi="宋体"/>
          <w:sz w:val="18"/>
          <w:szCs w:val="18"/>
          <w:highlight w:val="yellow"/>
        </w:rPr>
        <w:t>（2）参选规定及说明</w:t>
      </w:r>
    </w:p>
    <w:p>
      <w:pPr>
        <w:spacing w:line="320" w:lineRule="exact"/>
        <w:rPr>
          <w:rFonts w:ascii="宋体" w:hAnsi="宋体"/>
          <w:sz w:val="18"/>
          <w:szCs w:val="18"/>
          <w:highlight w:val="yellow"/>
        </w:rPr>
      </w:pPr>
      <w:r>
        <w:rPr>
          <w:rFonts w:hint="eastAsia" w:ascii="宋体" w:hAnsi="宋体"/>
          <w:sz w:val="18"/>
          <w:szCs w:val="18"/>
          <w:highlight w:val="yellow"/>
        </w:rPr>
        <w:t>（3）公开比选文件</w:t>
      </w:r>
    </w:p>
    <w:p>
      <w:pPr>
        <w:spacing w:line="320" w:lineRule="exact"/>
        <w:rPr>
          <w:rFonts w:ascii="宋体" w:hAnsi="宋体"/>
          <w:sz w:val="18"/>
          <w:szCs w:val="18"/>
          <w:highlight w:val="yellow"/>
        </w:rPr>
      </w:pPr>
      <w:r>
        <w:rPr>
          <w:rFonts w:hint="eastAsia" w:ascii="宋体" w:hAnsi="宋体"/>
          <w:sz w:val="18"/>
          <w:szCs w:val="18"/>
          <w:highlight w:val="yellow"/>
        </w:rPr>
        <w:t>（4）参选书</w:t>
      </w:r>
    </w:p>
    <w:p>
      <w:pPr>
        <w:spacing w:line="320" w:lineRule="exact"/>
        <w:rPr>
          <w:rFonts w:ascii="宋体" w:hAnsi="宋体"/>
          <w:sz w:val="18"/>
          <w:szCs w:val="18"/>
          <w:highlight w:val="yellow"/>
        </w:rPr>
      </w:pPr>
      <w:r>
        <w:rPr>
          <w:rFonts w:hint="eastAsia" w:ascii="宋体" w:hAnsi="宋体"/>
          <w:sz w:val="18"/>
          <w:szCs w:val="18"/>
          <w:highlight w:val="yellow"/>
        </w:rPr>
        <w:t>（5）法定代表人授权书</w:t>
      </w:r>
    </w:p>
    <w:p>
      <w:pPr>
        <w:spacing w:line="320" w:lineRule="exact"/>
        <w:rPr>
          <w:rFonts w:hint="eastAsia" w:ascii="宋体" w:hAnsi="宋体"/>
          <w:sz w:val="18"/>
          <w:szCs w:val="18"/>
          <w:highlight w:val="yellow"/>
        </w:rPr>
      </w:pPr>
      <w:r>
        <w:rPr>
          <w:rFonts w:hint="eastAsia" w:ascii="宋体" w:hAnsi="宋体"/>
          <w:sz w:val="18"/>
          <w:szCs w:val="18"/>
          <w:highlight w:val="yellow"/>
        </w:rPr>
        <w:t>（6）报价单</w:t>
      </w:r>
    </w:p>
    <w:p>
      <w:pPr>
        <w:spacing w:line="320" w:lineRule="exact"/>
        <w:rPr>
          <w:rFonts w:hint="eastAsia" w:ascii="宋体" w:hAnsi="宋体" w:eastAsia="宋体"/>
          <w:sz w:val="18"/>
          <w:szCs w:val="18"/>
          <w:highlight w:val="yellow"/>
          <w:lang w:eastAsia="zh-CN"/>
        </w:rPr>
      </w:pPr>
      <w:r>
        <w:rPr>
          <w:rFonts w:hint="eastAsia" w:ascii="宋体" w:hAnsi="宋体"/>
          <w:sz w:val="18"/>
          <w:szCs w:val="18"/>
          <w:highlight w:val="yellow"/>
          <w:lang w:eastAsia="zh-CN"/>
        </w:rPr>
        <w:t>（</w:t>
      </w:r>
      <w:r>
        <w:rPr>
          <w:rFonts w:hint="eastAsia" w:ascii="宋体" w:hAnsi="宋体"/>
          <w:sz w:val="18"/>
          <w:szCs w:val="18"/>
          <w:highlight w:val="yellow"/>
          <w:lang w:val="en-US" w:eastAsia="zh-CN"/>
        </w:rPr>
        <w:t>7</w:t>
      </w:r>
      <w:r>
        <w:rPr>
          <w:rFonts w:hint="eastAsia" w:ascii="宋体" w:hAnsi="宋体"/>
          <w:sz w:val="18"/>
          <w:szCs w:val="18"/>
          <w:highlight w:val="yellow"/>
          <w:lang w:eastAsia="zh-CN"/>
        </w:rPr>
        <w:t>）</w:t>
      </w:r>
      <w:r>
        <w:rPr>
          <w:rFonts w:hint="eastAsia" w:ascii="宋体" w:hAnsi="宋体"/>
          <w:sz w:val="18"/>
          <w:szCs w:val="18"/>
          <w:highlight w:val="yellow"/>
          <w:lang w:val="en-US" w:eastAsia="zh-CN"/>
        </w:rPr>
        <w:t>技术要求</w:t>
      </w:r>
    </w:p>
    <w:p>
      <w:pPr>
        <w:spacing w:line="320" w:lineRule="exact"/>
        <w:rPr>
          <w:rFonts w:hint="eastAsia" w:ascii="宋体" w:hAnsi="宋体"/>
          <w:sz w:val="18"/>
          <w:szCs w:val="18"/>
          <w:highlight w:val="yellow"/>
        </w:rPr>
      </w:pPr>
      <w:r>
        <w:rPr>
          <w:rFonts w:hint="eastAsia" w:ascii="宋体" w:hAnsi="宋体"/>
          <w:sz w:val="18"/>
          <w:szCs w:val="18"/>
          <w:highlight w:val="yellow"/>
          <w:lang w:val="en-US" w:eastAsia="zh-CN"/>
        </w:rPr>
        <w:t>4.2</w:t>
      </w:r>
      <w:r>
        <w:rPr>
          <w:rFonts w:hint="eastAsia" w:ascii="宋体" w:hAnsi="宋体"/>
          <w:sz w:val="18"/>
          <w:szCs w:val="18"/>
          <w:highlight w:val="yellow"/>
        </w:rPr>
        <w:t xml:space="preserve"> 第二册技术文件包含以下内容：</w:t>
      </w:r>
    </w:p>
    <w:p>
      <w:pPr>
        <w:spacing w:line="320" w:lineRule="exact"/>
      </w:pPr>
      <w:r>
        <w:rPr>
          <w:rFonts w:hint="eastAsia" w:ascii="宋体" w:hAnsi="宋体"/>
          <w:sz w:val="18"/>
          <w:szCs w:val="18"/>
          <w:highlight w:val="yellow"/>
        </w:rPr>
        <w:t>同类业绩</w:t>
      </w:r>
      <w:r>
        <w:rPr>
          <w:rFonts w:hint="eastAsia" w:ascii="宋体" w:hAnsi="宋体"/>
          <w:sz w:val="18"/>
          <w:szCs w:val="18"/>
          <w:highlight w:val="yellow"/>
          <w:lang w:val="en-US" w:eastAsia="zh-CN"/>
        </w:rPr>
        <w:t>资料</w:t>
      </w:r>
      <w:r>
        <w:rPr>
          <w:rFonts w:hint="eastAsia" w:ascii="宋体" w:hAnsi="宋体"/>
          <w:sz w:val="18"/>
          <w:szCs w:val="18"/>
          <w:highlight w:val="yellow"/>
          <w:lang w:eastAsia="zh-CN"/>
        </w:rPr>
        <w:t>、</w:t>
      </w:r>
      <w:r>
        <w:rPr>
          <w:rFonts w:hint="eastAsia" w:ascii="宋体" w:hAnsi="宋体"/>
          <w:sz w:val="18"/>
          <w:szCs w:val="18"/>
          <w:highlight w:val="yellow"/>
          <w:lang w:val="en-US" w:eastAsia="zh-CN"/>
        </w:rPr>
        <w:t>产品</w:t>
      </w:r>
      <w:r>
        <w:rPr>
          <w:rFonts w:hint="eastAsia" w:ascii="宋体" w:hAnsi="宋体"/>
          <w:sz w:val="18"/>
          <w:szCs w:val="18"/>
          <w:highlight w:val="yellow"/>
          <w:lang w:eastAsia="zh-CN"/>
        </w:rPr>
        <w:t>物化性质、供货</w:t>
      </w:r>
      <w:r>
        <w:rPr>
          <w:rFonts w:hint="eastAsia" w:ascii="宋体" w:hAnsi="宋体"/>
          <w:sz w:val="18"/>
          <w:szCs w:val="18"/>
          <w:highlight w:val="yellow"/>
          <w:lang w:val="en-US" w:eastAsia="zh-CN"/>
        </w:rPr>
        <w:t>周</w:t>
      </w:r>
      <w:r>
        <w:rPr>
          <w:rFonts w:hint="eastAsia" w:ascii="宋体" w:hAnsi="宋体"/>
          <w:sz w:val="18"/>
          <w:szCs w:val="18"/>
          <w:highlight w:val="yellow"/>
          <w:lang w:eastAsia="zh-CN"/>
        </w:rPr>
        <w:t>期、加药方案、技术交流、现场技术服务、包装运输及回收</w:t>
      </w:r>
      <w:r>
        <w:rPr>
          <w:rFonts w:hint="eastAsia" w:ascii="宋体" w:hAnsi="宋体"/>
          <w:sz w:val="18"/>
          <w:szCs w:val="18"/>
          <w:highlight w:val="yellow"/>
          <w:lang w:val="en-US" w:eastAsia="zh-CN"/>
        </w:rPr>
        <w:t>等内容</w:t>
      </w:r>
      <w:r>
        <w:rPr>
          <w:rFonts w:hint="eastAsia" w:ascii="宋体" w:hAnsi="宋体"/>
          <w:sz w:val="18"/>
          <w:szCs w:val="18"/>
          <w:highlight w:val="yellow"/>
        </w:rPr>
        <w:t>。</w:t>
      </w:r>
    </w:p>
    <w:p>
      <w:pPr>
        <w:spacing w:line="320" w:lineRule="exact"/>
        <w:rPr>
          <w:rFonts w:ascii="宋体" w:hAnsi="宋体"/>
          <w:sz w:val="18"/>
          <w:szCs w:val="18"/>
          <w:highlight w:val="yellow"/>
        </w:rPr>
      </w:pPr>
      <w:r>
        <w:rPr>
          <w:rFonts w:hint="eastAsia" w:ascii="宋体" w:hAnsi="宋体"/>
          <w:b/>
          <w:bCs/>
          <w:sz w:val="18"/>
          <w:szCs w:val="18"/>
          <w:highlight w:val="yellow"/>
          <w:lang w:val="en-US" w:eastAsia="zh-CN"/>
        </w:rPr>
        <w:t>5.参选人密封参选书，</w:t>
      </w:r>
      <w:r>
        <w:rPr>
          <w:rFonts w:hint="eastAsia" w:ascii="宋体" w:hAnsi="宋体"/>
          <w:b/>
          <w:bCs/>
          <w:sz w:val="18"/>
          <w:szCs w:val="18"/>
          <w:highlight w:val="yellow"/>
        </w:rPr>
        <w:t>第一册《</w:t>
      </w:r>
      <w:r>
        <w:rPr>
          <w:rFonts w:hint="eastAsia" w:ascii="宋体" w:hAnsi="宋体"/>
          <w:b/>
          <w:bCs/>
          <w:sz w:val="18"/>
          <w:szCs w:val="18"/>
          <w:highlight w:val="yellow"/>
          <w:lang w:eastAsia="zh-CN"/>
        </w:rPr>
        <w:t>商务</w:t>
      </w:r>
      <w:r>
        <w:rPr>
          <w:rFonts w:hint="eastAsia" w:ascii="宋体" w:hAnsi="宋体"/>
          <w:b/>
          <w:bCs/>
          <w:sz w:val="18"/>
          <w:szCs w:val="18"/>
          <w:highlight w:val="yellow"/>
        </w:rPr>
        <w:t>文件》、第二册《技术文件》必须分别单独装订、分别单独包封</w:t>
      </w:r>
      <w:r>
        <w:rPr>
          <w:rFonts w:hint="eastAsia" w:ascii="宋体" w:hAnsi="宋体"/>
          <w:b/>
          <w:bCs/>
          <w:sz w:val="18"/>
          <w:szCs w:val="18"/>
          <w:highlight w:val="yellow"/>
          <w:lang w:eastAsia="zh-CN"/>
        </w:rPr>
        <w:t>；装订、密封和标识后，需要进行总包封（即密封在同一个封套中），所有电子文档与第一册包封在同一封套内。</w:t>
      </w:r>
      <w:r>
        <w:rPr>
          <w:rFonts w:hint="eastAsia" w:ascii="宋体" w:hAnsi="宋体"/>
          <w:b/>
          <w:bCs/>
          <w:sz w:val="18"/>
          <w:szCs w:val="18"/>
          <w:highlight w:val="yellow"/>
          <w:lang w:val="en-US" w:eastAsia="zh-CN"/>
        </w:rPr>
        <w:t>其中，第一册文件</w:t>
      </w:r>
      <w:r>
        <w:rPr>
          <w:rFonts w:hint="eastAsia" w:ascii="宋体" w:hAnsi="宋体"/>
          <w:b/>
          <w:bCs/>
          <w:sz w:val="18"/>
          <w:szCs w:val="18"/>
          <w:highlight w:val="yellow"/>
        </w:rPr>
        <w:t>一式两份</w:t>
      </w:r>
      <w:r>
        <w:rPr>
          <w:rFonts w:hint="eastAsia" w:ascii="宋体" w:hAnsi="宋体"/>
          <w:b/>
          <w:bCs/>
          <w:sz w:val="18"/>
          <w:szCs w:val="18"/>
          <w:highlight w:val="yellow"/>
          <w:lang w:val="en-US" w:eastAsia="zh-CN"/>
        </w:rPr>
        <w:t>并</w:t>
      </w:r>
      <w:r>
        <w:rPr>
          <w:rFonts w:hint="eastAsia" w:ascii="宋体" w:hAnsi="宋体"/>
          <w:b/>
          <w:bCs/>
          <w:sz w:val="18"/>
          <w:szCs w:val="18"/>
          <w:highlight w:val="yellow"/>
        </w:rPr>
        <w:t>注明“正本”及“副本”</w:t>
      </w:r>
      <w:r>
        <w:rPr>
          <w:rFonts w:hint="eastAsia" w:ascii="宋体" w:hAnsi="宋体"/>
          <w:b/>
          <w:bCs/>
          <w:sz w:val="18"/>
          <w:szCs w:val="18"/>
          <w:highlight w:val="yellow"/>
          <w:lang w:eastAsia="zh-CN"/>
        </w:rPr>
        <w:t>，</w:t>
      </w:r>
      <w:r>
        <w:rPr>
          <w:rFonts w:hint="eastAsia" w:ascii="宋体" w:hAnsi="宋体"/>
          <w:b/>
          <w:bCs/>
          <w:sz w:val="18"/>
          <w:szCs w:val="18"/>
          <w:highlight w:val="yellow"/>
          <w:lang w:val="en-US" w:eastAsia="zh-CN"/>
        </w:rPr>
        <w:t>第二册文件一式一份</w:t>
      </w:r>
      <w:r>
        <w:rPr>
          <w:rFonts w:hint="eastAsia" w:ascii="宋体" w:hAnsi="宋体"/>
          <w:b/>
          <w:bCs/>
          <w:sz w:val="18"/>
          <w:szCs w:val="18"/>
          <w:highlight w:val="yellow"/>
        </w:rPr>
        <w:t>，</w:t>
      </w:r>
      <w:r>
        <w:rPr>
          <w:rFonts w:hint="eastAsia" w:ascii="宋体" w:hAnsi="宋体"/>
          <w:b/>
          <w:bCs/>
          <w:sz w:val="18"/>
          <w:szCs w:val="18"/>
          <w:highlight w:val="yellow"/>
          <w:lang w:val="en-US" w:eastAsia="zh-CN"/>
        </w:rPr>
        <w:t>在各封口处加盖公章。</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减压分馏装置中和缓蚀剂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sz w:val="18"/>
          <w:szCs w:val="18"/>
        </w:rPr>
      </w:pPr>
      <w:r>
        <w:rPr>
          <w:rFonts w:hint="eastAsia" w:ascii="宋体" w:hAnsi="宋体"/>
          <w:sz w:val="18"/>
          <w:szCs w:val="18"/>
          <w:highlight w:val="yellow"/>
        </w:rPr>
        <w:t>13.</w:t>
      </w:r>
      <w:r>
        <w:rPr>
          <w:rFonts w:hint="eastAsia" w:ascii="宋体" w:hAnsi="宋体"/>
          <w:sz w:val="18"/>
          <w:szCs w:val="18"/>
          <w:highlight w:val="yellow"/>
          <w:lang w:val="en-US" w:eastAsia="zh-CN"/>
        </w:rPr>
        <w:t>本次减压分馏装置中和缓蚀剂分为商务标和技术标两部分组成，商务标评分比重为40分，技术标评分为60分，满分为100分，总得分最高的参选人为中选人。</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4.</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2023-FHC-中和缓蚀剂-0221</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减压分馏装置中和缓蚀剂</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预估</w:t>
      </w:r>
      <w:r>
        <w:rPr>
          <w:rFonts w:hint="eastAsia" w:ascii="宋体" w:cs="宋体"/>
          <w:sz w:val="24"/>
        </w:rPr>
        <w:t>数量</w:t>
      </w:r>
      <w:r>
        <w:rPr>
          <w:rFonts w:hint="eastAsia" w:ascii="宋体" w:cs="宋体"/>
          <w:sz w:val="24"/>
          <w:lang w:eastAsia="zh-CN"/>
        </w:rPr>
        <w:t>（</w:t>
      </w:r>
      <w:r>
        <w:rPr>
          <w:rFonts w:hint="eastAsia" w:ascii="宋体" w:cs="宋体"/>
          <w:color w:val="auto"/>
          <w:sz w:val="24"/>
          <w:lang w:val="en-US" w:eastAsia="zh-CN"/>
        </w:rPr>
        <w:t>约两年用量</w:t>
      </w:r>
      <w:r>
        <w:rPr>
          <w:rFonts w:hint="eastAsia" w:ascii="宋体" w:cs="宋体"/>
          <w:sz w:val="24"/>
          <w:lang w:eastAsia="zh-CN"/>
        </w:rPr>
        <w:t>）</w:t>
      </w:r>
      <w:r>
        <w:rPr>
          <w:rFonts w:hint="eastAsia" w:ascii="宋体" w:cs="宋体"/>
          <w:sz w:val="24"/>
        </w:rPr>
        <w:t>：</w:t>
      </w:r>
      <w:r>
        <w:rPr>
          <w:rFonts w:hint="eastAsia" w:ascii="宋体" w:cs="宋体"/>
          <w:sz w:val="24"/>
          <w:lang w:val="en-US" w:eastAsia="zh-CN"/>
        </w:rPr>
        <w:t>35.4吨。</w:t>
      </w:r>
    </w:p>
    <w:p>
      <w:pPr>
        <w:numPr>
          <w:ilvl w:val="0"/>
          <w:numId w:val="0"/>
        </w:numPr>
        <w:spacing w:line="360" w:lineRule="exact"/>
        <w:jc w:val="left"/>
        <w:rPr>
          <w:rFonts w:ascii="宋体" w:hAnsi="宋体" w:cs="宋体"/>
          <w:sz w:val="24"/>
        </w:rPr>
      </w:pPr>
      <w:r>
        <w:rPr>
          <w:rFonts w:hint="eastAsia" w:ascii="宋体" w:cs="宋体"/>
          <w:color w:val="auto"/>
          <w:sz w:val="24"/>
          <w:lang w:val="en-US" w:eastAsia="zh-CN"/>
        </w:rPr>
        <w:t>（以上采购预估数量根据技术要求预估加工量核算）</w:t>
      </w:r>
    </w:p>
    <w:p>
      <w:pPr>
        <w:numPr>
          <w:ilvl w:val="0"/>
          <w:numId w:val="5"/>
        </w:numPr>
        <w:spacing w:line="360" w:lineRule="exact"/>
        <w:jc w:val="left"/>
        <w:rPr>
          <w:rFonts w:hint="eastAsia" w:ascii="宋体" w:hAnsi="宋体" w:cs="宋体"/>
          <w:sz w:val="24"/>
        </w:rPr>
      </w:pPr>
      <w:r>
        <w:rPr>
          <w:rFonts w:hint="eastAsia" w:ascii="宋体" w:hAnsi="宋体" w:cs="宋体"/>
          <w:sz w:val="24"/>
          <w:lang w:val="en-US" w:eastAsia="zh-CN"/>
        </w:rPr>
        <w:t>技术要求：</w:t>
      </w:r>
      <w:r>
        <w:rPr>
          <w:rFonts w:hint="eastAsia" w:ascii="宋体" w:hAnsi="宋体" w:cs="宋体"/>
          <w:sz w:val="24"/>
        </w:rPr>
        <w:t>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包装方式：桶包装，使用后的空桶由</w:t>
      </w:r>
      <w:r>
        <w:rPr>
          <w:rFonts w:hint="eastAsia" w:ascii="宋体" w:hAnsi="宋体" w:cs="宋体"/>
          <w:sz w:val="24"/>
          <w:lang w:val="en-US" w:eastAsia="zh-CN"/>
        </w:rPr>
        <w:t>供</w:t>
      </w:r>
      <w:r>
        <w:rPr>
          <w:rFonts w:hint="eastAsia" w:ascii="宋体" w:hAnsi="宋体" w:cs="宋体"/>
          <w:sz w:val="24"/>
        </w:rPr>
        <w:t>方进行回收处理。</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color w:val="auto"/>
          <w:sz w:val="24"/>
          <w:lang w:val="en-US" w:eastAsia="zh-CN"/>
        </w:rPr>
        <w:t>分批到货，需于</w:t>
      </w:r>
      <w:r>
        <w:rPr>
          <w:rFonts w:hint="eastAsia" w:ascii="宋体" w:hAnsi="宋体"/>
          <w:sz w:val="24"/>
          <w:lang w:val="en-US" w:eastAsia="zh-CN"/>
        </w:rPr>
        <w:t>2023年3月初具备到货条件，具体到货时间以需方通知为准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减压分馏装置中和缓蚀剂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highlight w:val="yellow"/>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按季度考核付款</w:t>
      </w:r>
      <w:r>
        <w:rPr>
          <w:rFonts w:hint="eastAsia" w:ascii="宋体" w:hAnsi="宋体" w:cs="宋体"/>
          <w:sz w:val="24"/>
        </w:rPr>
        <w:t>。</w:t>
      </w:r>
      <w:r>
        <w:rPr>
          <w:rFonts w:hint="eastAsia" w:ascii="宋体" w:hAnsi="宋体" w:cs="宋体"/>
          <w:sz w:val="24"/>
          <w:lang w:val="en-US" w:eastAsia="zh-CN"/>
        </w:rPr>
        <w:t>分批季度到货、分批付款。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w:t>
      </w:r>
      <w:r>
        <w:rPr>
          <w:rFonts w:hint="eastAsia" w:ascii="宋体" w:hAnsi="宋体" w:cs="宋体"/>
          <w:sz w:val="24"/>
          <w:lang w:val="en-US" w:eastAsia="zh-CN"/>
        </w:rPr>
        <w:t>根据季度考核结果付款</w:t>
      </w:r>
      <w:r>
        <w:rPr>
          <w:rFonts w:hint="eastAsia" w:ascii="宋体" w:hAnsi="宋体" w:cs="宋体"/>
          <w:sz w:val="24"/>
          <w:lang w:eastAsia="zh-CN"/>
        </w:rPr>
        <w:t>。</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8.2参选文件应密封，包含第一册《</w:t>
      </w:r>
      <w:r>
        <w:rPr>
          <w:rFonts w:hint="eastAsia" w:ascii="宋体" w:hAnsi="宋体" w:cs="宋体"/>
          <w:sz w:val="24"/>
          <w:lang w:eastAsia="zh-CN"/>
        </w:rPr>
        <w:t>商务</w:t>
      </w:r>
      <w:r>
        <w:rPr>
          <w:rFonts w:hint="eastAsia" w:ascii="宋体" w:hAnsi="宋体" w:cs="宋体"/>
          <w:sz w:val="24"/>
        </w:rPr>
        <w:t>文件》</w:t>
      </w:r>
      <w:r>
        <w:rPr>
          <w:rFonts w:hint="eastAsia" w:ascii="宋体" w:hAnsi="宋体" w:cs="宋体"/>
          <w:sz w:val="24"/>
          <w:lang w:val="en-US" w:eastAsia="zh-CN"/>
        </w:rPr>
        <w:t>一式两份</w:t>
      </w:r>
      <w:r>
        <w:rPr>
          <w:rFonts w:hint="eastAsia" w:ascii="宋体" w:hAnsi="宋体" w:cs="宋体"/>
          <w:sz w:val="24"/>
        </w:rPr>
        <w:t>、第二册《技术文件》</w:t>
      </w:r>
      <w:r>
        <w:rPr>
          <w:rFonts w:hint="eastAsia" w:ascii="宋体" w:hAnsi="宋体" w:cs="宋体"/>
          <w:sz w:val="24"/>
          <w:lang w:val="en-US" w:eastAsia="zh-CN"/>
        </w:rPr>
        <w:t>一式一份</w:t>
      </w:r>
      <w:r>
        <w:rPr>
          <w:rFonts w:hint="eastAsia" w:ascii="宋体" w:hAnsi="宋体" w:cs="宋体"/>
          <w:sz w:val="24"/>
          <w:lang w:eastAsia="zh-CN"/>
        </w:rPr>
        <w:t>，</w:t>
      </w:r>
      <w:r>
        <w:rPr>
          <w:rFonts w:hint="eastAsia" w:ascii="宋体" w:hAnsi="宋体" w:cs="宋体"/>
          <w:sz w:val="24"/>
          <w:lang w:val="en-US" w:eastAsia="zh-CN"/>
        </w:rPr>
        <w:t>详见参选规定及说明，两册文件</w:t>
      </w:r>
      <w:r>
        <w:rPr>
          <w:rFonts w:hint="eastAsia" w:ascii="宋体" w:hAnsi="宋体"/>
          <w:sz w:val="24"/>
          <w:szCs w:val="24"/>
        </w:rPr>
        <w:t>封套的封口处均</w:t>
      </w:r>
      <w:r>
        <w:rPr>
          <w:rFonts w:hint="eastAsia" w:ascii="宋体" w:hAnsi="宋体"/>
          <w:sz w:val="24"/>
          <w:szCs w:val="24"/>
          <w:lang w:val="en-US" w:eastAsia="zh-CN"/>
        </w:rPr>
        <w:t>需</w:t>
      </w:r>
      <w:r>
        <w:rPr>
          <w:rFonts w:hint="eastAsia" w:ascii="宋体" w:hAnsi="宋体"/>
          <w:sz w:val="24"/>
          <w:szCs w:val="24"/>
        </w:rPr>
        <w:t>密封</w:t>
      </w:r>
      <w:r>
        <w:rPr>
          <w:rFonts w:hint="eastAsia" w:ascii="宋体" w:hAnsi="宋体"/>
          <w:sz w:val="24"/>
          <w:szCs w:val="24"/>
          <w:lang w:val="en-US" w:eastAsia="zh-CN"/>
        </w:rPr>
        <w:t>并加盖公章</w:t>
      </w:r>
      <w:r>
        <w:rPr>
          <w:rFonts w:hint="eastAsia" w:ascii="宋体" w:hAnsi="宋体" w:cs="宋体"/>
          <w:sz w:val="24"/>
        </w:rPr>
        <w:t>。</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2023-FHC-中和缓蚀剂-0221</w:t>
      </w:r>
      <w:r>
        <w:rPr>
          <w:rFonts w:hint="eastAsia" w:ascii="宋体" w:hAnsi="宋体"/>
          <w:sz w:val="24"/>
        </w:rPr>
        <w:t>），被我方正式授权并代表我公司递交下述文件，并对此负责。</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1、</w:t>
      </w:r>
      <w:r>
        <w:rPr>
          <w:rFonts w:hint="eastAsia" w:ascii="宋体" w:hAnsi="宋体"/>
          <w:sz w:val="24"/>
          <w:highlight w:val="yellow"/>
        </w:rPr>
        <w:t>第一册</w:t>
      </w:r>
      <w:r>
        <w:rPr>
          <w:rFonts w:hint="eastAsia" w:ascii="宋体" w:hAnsi="宋体"/>
          <w:sz w:val="24"/>
          <w:highlight w:val="yellow"/>
          <w:lang w:eastAsia="zh-CN"/>
        </w:rPr>
        <w:t>商务</w:t>
      </w:r>
      <w:r>
        <w:rPr>
          <w:rFonts w:hint="eastAsia" w:ascii="宋体" w:hAnsi="宋体"/>
          <w:sz w:val="24"/>
          <w:highlight w:val="yellow"/>
        </w:rPr>
        <w:t>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（1）比选公告</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（2）参选规定及说明</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（3）公开比选文件</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（4）参选书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（5）法定代表人授权书</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（6）报价单</w:t>
      </w:r>
    </w:p>
    <w:p>
      <w:pPr>
        <w:spacing w:line="500" w:lineRule="exact"/>
        <w:ind w:firstLine="480" w:firstLineChars="200"/>
        <w:rPr>
          <w:rFonts w:hint="eastAsia" w:ascii="宋体" w:hAnsi="宋体"/>
          <w:sz w:val="24"/>
          <w:highlight w:val="yellow"/>
          <w:lang w:eastAsia="zh-CN"/>
        </w:rPr>
      </w:pPr>
      <w:r>
        <w:rPr>
          <w:rFonts w:hint="eastAsia" w:ascii="宋体" w:hAnsi="宋体"/>
          <w:sz w:val="24"/>
          <w:highlight w:val="yellow"/>
          <w:lang w:eastAsia="zh-CN"/>
        </w:rPr>
        <w:t>（</w:t>
      </w:r>
      <w:r>
        <w:rPr>
          <w:rFonts w:hint="eastAsia" w:ascii="宋体" w:hAnsi="宋体"/>
          <w:sz w:val="24"/>
          <w:highlight w:val="yellow"/>
          <w:lang w:val="en-US" w:eastAsia="zh-CN"/>
        </w:rPr>
        <w:t>7</w:t>
      </w:r>
      <w:r>
        <w:rPr>
          <w:rFonts w:hint="eastAsia" w:ascii="宋体" w:hAnsi="宋体"/>
          <w:sz w:val="24"/>
          <w:highlight w:val="yellow"/>
          <w:lang w:eastAsia="zh-CN"/>
        </w:rPr>
        <w:t>）</w:t>
      </w:r>
      <w:r>
        <w:rPr>
          <w:rFonts w:hint="eastAsia" w:ascii="宋体" w:hAnsi="宋体"/>
          <w:sz w:val="24"/>
          <w:highlight w:val="yellow"/>
          <w:lang w:val="en-US" w:eastAsia="zh-CN"/>
        </w:rPr>
        <w:t>技术要求</w:t>
      </w:r>
    </w:p>
    <w:p>
      <w:pPr>
        <w:spacing w:line="500" w:lineRule="exact"/>
        <w:ind w:firstLine="480" w:firstLineChars="200"/>
        <w:rPr>
          <w:rFonts w:hint="eastAsia" w:ascii="宋体" w:hAnsi="宋体"/>
          <w:sz w:val="24"/>
          <w:highlight w:val="yellow"/>
        </w:rPr>
      </w:pPr>
      <w:r>
        <w:rPr>
          <w:rFonts w:hint="eastAsia" w:ascii="宋体" w:hAnsi="宋体"/>
          <w:sz w:val="24"/>
          <w:highlight w:val="yellow"/>
          <w:lang w:val="en-US" w:eastAsia="zh-CN"/>
        </w:rPr>
        <w:t>2、</w:t>
      </w:r>
      <w:r>
        <w:rPr>
          <w:rFonts w:hint="eastAsia" w:ascii="宋体" w:hAnsi="宋体"/>
          <w:sz w:val="24"/>
          <w:highlight w:val="yellow"/>
        </w:rPr>
        <w:t>第二册技术文件包含以下内容：</w:t>
      </w:r>
    </w:p>
    <w:p>
      <w:pPr>
        <w:spacing w:line="500" w:lineRule="exact"/>
        <w:ind w:firstLine="480" w:firstLineChars="200"/>
        <w:rPr>
          <w:rFonts w:hint="eastAsia" w:ascii="宋体" w:hAnsi="宋体"/>
          <w:sz w:val="24"/>
          <w:highlight w:val="yellow"/>
        </w:rPr>
      </w:pPr>
      <w:r>
        <w:rPr>
          <w:rFonts w:hint="eastAsia" w:ascii="宋体" w:hAnsi="宋体"/>
          <w:sz w:val="24"/>
          <w:highlight w:val="yellow"/>
        </w:rPr>
        <w:t>同类业绩</w:t>
      </w:r>
      <w:r>
        <w:rPr>
          <w:rFonts w:hint="eastAsia" w:ascii="宋体" w:hAnsi="宋体"/>
          <w:sz w:val="24"/>
          <w:highlight w:val="yellow"/>
          <w:lang w:val="en-US" w:eastAsia="zh-CN"/>
        </w:rPr>
        <w:t>资料</w:t>
      </w:r>
      <w:r>
        <w:rPr>
          <w:rFonts w:hint="eastAsia" w:ascii="宋体" w:hAnsi="宋体"/>
          <w:sz w:val="24"/>
          <w:highlight w:val="yellow"/>
          <w:lang w:eastAsia="zh-CN"/>
        </w:rPr>
        <w:t>、</w:t>
      </w:r>
      <w:r>
        <w:rPr>
          <w:rFonts w:hint="eastAsia" w:ascii="宋体" w:hAnsi="宋体"/>
          <w:sz w:val="24"/>
          <w:highlight w:val="yellow"/>
          <w:lang w:val="en-US" w:eastAsia="zh-CN"/>
        </w:rPr>
        <w:t>产品</w:t>
      </w:r>
      <w:r>
        <w:rPr>
          <w:rFonts w:hint="eastAsia" w:ascii="宋体" w:hAnsi="宋体"/>
          <w:sz w:val="24"/>
          <w:highlight w:val="yellow"/>
          <w:lang w:eastAsia="zh-CN"/>
        </w:rPr>
        <w:t>物化性质、供货</w:t>
      </w:r>
      <w:r>
        <w:rPr>
          <w:rFonts w:hint="eastAsia" w:ascii="宋体" w:hAnsi="宋体"/>
          <w:sz w:val="24"/>
          <w:highlight w:val="yellow"/>
          <w:lang w:val="en-US" w:eastAsia="zh-CN"/>
        </w:rPr>
        <w:t>周</w:t>
      </w:r>
      <w:r>
        <w:rPr>
          <w:rFonts w:hint="eastAsia" w:ascii="宋体" w:hAnsi="宋体"/>
          <w:sz w:val="24"/>
          <w:highlight w:val="yellow"/>
          <w:lang w:eastAsia="zh-CN"/>
        </w:rPr>
        <w:t>期、加药方案、技术交流、现场技术服务、包装运输及回收</w:t>
      </w:r>
      <w:r>
        <w:rPr>
          <w:rFonts w:hint="eastAsia" w:ascii="宋体" w:hAnsi="宋体"/>
          <w:sz w:val="24"/>
          <w:highlight w:val="yellow"/>
          <w:lang w:val="en-US" w:eastAsia="zh-CN"/>
        </w:rPr>
        <w:t>等内容</w:t>
      </w:r>
      <w:r>
        <w:rPr>
          <w:rFonts w:hint="eastAsia" w:ascii="宋体" w:hAnsi="宋体"/>
          <w:sz w:val="24"/>
          <w:highlight w:val="yellow"/>
        </w:rPr>
        <w:t>。</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2023-FHC-中和缓蚀剂-0221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2023-FHC-中和缓蚀剂-0221</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减压分馏装置中和缓蚀剂</w:t>
      </w:r>
      <w:r>
        <w:rPr>
          <w:rFonts w:hint="eastAsia" w:ascii="宋体" w:hAnsi="宋体"/>
          <w:color w:val="auto"/>
          <w:sz w:val="24"/>
        </w:rPr>
        <w:t>：</w:t>
      </w:r>
    </w:p>
    <w:p>
      <w:pPr>
        <w:numPr>
          <w:ilvl w:val="0"/>
          <w:numId w:val="0"/>
        </w:numPr>
        <w:spacing w:line="312" w:lineRule="auto"/>
        <w:rPr>
          <w:rFonts w:hint="eastAsia" w:ascii="宋体" w:hAnsi="宋体"/>
          <w:color w:val="auto"/>
          <w:sz w:val="24"/>
          <w:u w:val="none"/>
          <w:lang w:val="en-US" w:eastAsia="zh-CN"/>
        </w:rPr>
      </w:pPr>
      <w:r>
        <w:rPr>
          <w:rFonts w:hint="eastAsia" w:ascii="宋体" w:hAnsi="宋体"/>
          <w:color w:val="auto"/>
          <w:sz w:val="24"/>
          <w:lang w:val="en-US" w:eastAsia="zh-CN"/>
        </w:rPr>
        <w:t>2、</w:t>
      </w:r>
      <w:r>
        <w:rPr>
          <w:rFonts w:hint="eastAsia" w:ascii="宋体" w:hAnsi="宋体"/>
          <w:color w:val="auto"/>
          <w:sz w:val="24"/>
        </w:rPr>
        <w:t>数量</w:t>
      </w:r>
      <w:r>
        <w:rPr>
          <w:rFonts w:hint="eastAsia" w:ascii="宋体" w:hAnsi="宋体"/>
          <w:sz w:val="24"/>
        </w:rPr>
        <w:t>（</w:t>
      </w:r>
      <w:r>
        <w:rPr>
          <w:rFonts w:hint="eastAsia" w:ascii="宋体" w:hAnsi="宋体"/>
          <w:sz w:val="24"/>
          <w:lang w:val="en-US" w:eastAsia="zh-CN"/>
        </w:rPr>
        <w:t>约2</w:t>
      </w:r>
      <w:r>
        <w:rPr>
          <w:rFonts w:hint="eastAsia" w:ascii="宋体" w:hAnsi="宋体"/>
          <w:sz w:val="24"/>
        </w:rPr>
        <w:t>年</w:t>
      </w:r>
      <w:r>
        <w:rPr>
          <w:rFonts w:hint="eastAsia" w:ascii="宋体" w:hAnsi="宋体"/>
          <w:sz w:val="24"/>
          <w:lang w:val="en-US" w:eastAsia="zh-CN"/>
        </w:rPr>
        <w:t>使用量</w:t>
      </w:r>
      <w:r>
        <w:rPr>
          <w:rFonts w:hint="eastAsia" w:ascii="宋体" w:hAnsi="宋体"/>
          <w:sz w:val="24"/>
        </w:rPr>
        <w:t>）</w:t>
      </w:r>
      <w:r>
        <w:rPr>
          <w:rFonts w:hint="eastAsia" w:ascii="宋体" w:hAnsi="宋体"/>
          <w:color w:val="auto"/>
          <w:sz w:val="24"/>
        </w:rPr>
        <w:t>：</w:t>
      </w:r>
      <w:r>
        <w:rPr>
          <w:rFonts w:hint="eastAsia" w:ascii="宋体" w:hAnsi="宋体"/>
          <w:color w:val="auto"/>
          <w:sz w:val="24"/>
          <w:u w:val="single"/>
          <w:lang w:val="en-US" w:eastAsia="zh-CN"/>
        </w:rPr>
        <w:t>35.4</w:t>
      </w:r>
      <w:r>
        <w:rPr>
          <w:rFonts w:hint="eastAsia" w:ascii="宋体" w:hAnsi="宋体"/>
          <w:color w:val="auto"/>
          <w:sz w:val="24"/>
          <w:lang w:val="en-US" w:eastAsia="zh-CN"/>
        </w:rPr>
        <w:t>吨</w:t>
      </w:r>
      <w:r>
        <w:rPr>
          <w:rFonts w:hint="eastAsia" w:ascii="宋体" w:hAnsi="宋体"/>
          <w:color w:val="auto"/>
          <w:sz w:val="24"/>
          <w:u w:val="none"/>
          <w:lang w:val="en-US" w:eastAsia="zh-CN"/>
        </w:rPr>
        <w:t xml:space="preserve">； 规格型号：___________ </w:t>
      </w:r>
    </w:p>
    <w:p>
      <w:pPr>
        <w:spacing w:line="500" w:lineRule="exact"/>
        <w:ind w:firstLine="240" w:firstLineChars="1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说明：本次采购量为装置</w:t>
      </w:r>
      <w:r>
        <w:rPr>
          <w:rFonts w:hint="eastAsia" w:cs="Times New Roman"/>
          <w:sz w:val="24"/>
          <w:lang w:val="en-US" w:eastAsia="zh-CN"/>
        </w:rPr>
        <w:t>约</w:t>
      </w:r>
      <w:r>
        <w:rPr>
          <w:rFonts w:hint="eastAsia" w:ascii="Times New Roman" w:hAnsi="Times New Roman" w:eastAsia="宋体" w:cs="Times New Roman"/>
          <w:sz w:val="24"/>
          <w:lang w:val="en-US" w:eastAsia="zh-CN"/>
        </w:rPr>
        <w:t>2年的使用量（装置</w:t>
      </w:r>
      <w:r>
        <w:rPr>
          <w:rFonts w:hint="eastAsia" w:cs="Times New Roman"/>
          <w:sz w:val="24"/>
          <w:lang w:val="en-US" w:eastAsia="zh-CN"/>
        </w:rPr>
        <w:t>计划加工量</w:t>
      </w:r>
      <w:r>
        <w:rPr>
          <w:rFonts w:hint="eastAsia" w:ascii="Times New Roman" w:hAnsi="Times New Roman" w:eastAsia="宋体" w:cs="Times New Roman"/>
          <w:sz w:val="24"/>
          <w:lang w:val="en-US" w:eastAsia="zh-CN"/>
        </w:rPr>
        <w:t>），鉴于以往中和缓蚀剂正常注入量大概在6ppm（以常渣加工量计算），本次中和缓蚀剂总注入量最大值不得超过7ppm（以常渣加工量计算）</w:t>
      </w:r>
      <w:r>
        <w:rPr>
          <w:rFonts w:hint="eastAsia" w:cs="Times New Roman"/>
          <w:sz w:val="24"/>
          <w:lang w:val="en-US" w:eastAsia="zh-CN"/>
        </w:rPr>
        <w:t>，装置中超出部分中和缓释剂由供方无偿提供。</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4、中和缓蚀剂技术保证值：</w:t>
      </w:r>
    </w:p>
    <w:p>
      <w:pPr>
        <w:pStyle w:val="22"/>
        <w:numPr>
          <w:ilvl w:val="0"/>
          <w:numId w:val="7"/>
        </w:numPr>
        <w:spacing w:line="360" w:lineRule="auto"/>
        <w:ind w:left="900" w:leftChars="200" w:hanging="480" w:hangingChars="200"/>
        <w:jc w:val="left"/>
        <w:rPr>
          <w:rFonts w:eastAsiaTheme="minorEastAsia"/>
          <w:color w:val="000000" w:themeColor="text1"/>
          <w:sz w:val="24"/>
        </w:rPr>
      </w:pPr>
      <w:r>
        <w:rPr>
          <w:rFonts w:eastAsiaTheme="minorEastAsia"/>
          <w:color w:val="000000" w:themeColor="text1"/>
          <w:sz w:val="24"/>
        </w:rPr>
        <w:t>液态水溶性，产品水溶性好，无乳化现象。</w:t>
      </w:r>
    </w:p>
    <w:p>
      <w:pPr>
        <w:pStyle w:val="22"/>
        <w:numPr>
          <w:ilvl w:val="0"/>
          <w:numId w:val="7"/>
        </w:numPr>
        <w:spacing w:line="360" w:lineRule="auto"/>
        <w:ind w:left="900" w:leftChars="200" w:hanging="480" w:hangingChars="200"/>
        <w:jc w:val="left"/>
        <w:rPr>
          <w:rFonts w:eastAsiaTheme="minorEastAsia"/>
          <w:color w:val="000000" w:themeColor="text1"/>
          <w:sz w:val="24"/>
        </w:rPr>
      </w:pPr>
      <w:r>
        <w:rPr>
          <w:rFonts w:eastAsiaTheme="minorEastAsia"/>
          <w:color w:val="000000" w:themeColor="text1"/>
          <w:sz w:val="24"/>
        </w:rPr>
        <w:t>塔顶</w:t>
      </w:r>
      <w:r>
        <w:rPr>
          <w:rFonts w:hint="eastAsia" w:eastAsiaTheme="minorEastAsia"/>
          <w:color w:val="000000" w:themeColor="text1"/>
          <w:sz w:val="24"/>
        </w:rPr>
        <w:t>酸性</w:t>
      </w:r>
      <w:r>
        <w:rPr>
          <w:rFonts w:eastAsiaTheme="minorEastAsia"/>
          <w:color w:val="000000" w:themeColor="text1"/>
          <w:sz w:val="24"/>
        </w:rPr>
        <w:t>水总铁含量</w:t>
      </w:r>
      <w:r>
        <w:rPr>
          <w:rFonts w:hint="eastAsia" w:eastAsiaTheme="minorEastAsia"/>
          <w:color w:val="000000" w:themeColor="text1"/>
          <w:sz w:val="24"/>
        </w:rPr>
        <w:t>≤</w:t>
      </w:r>
      <w:r>
        <w:rPr>
          <w:rFonts w:eastAsiaTheme="minorEastAsia"/>
          <w:color w:val="000000" w:themeColor="text1"/>
          <w:sz w:val="24"/>
        </w:rPr>
        <w:t>3</w:t>
      </w:r>
      <w:r>
        <w:rPr>
          <w:rFonts w:hint="eastAsia" w:eastAsiaTheme="minorEastAsia"/>
          <w:color w:val="000000" w:themeColor="text1"/>
          <w:sz w:val="24"/>
        </w:rPr>
        <w:t>.0</w:t>
      </w:r>
      <w:r>
        <w:rPr>
          <w:rFonts w:eastAsiaTheme="minorEastAsia"/>
          <w:color w:val="000000" w:themeColor="text1"/>
          <w:sz w:val="24"/>
        </w:rPr>
        <w:t>mg/L</w:t>
      </w:r>
      <w:r>
        <w:rPr>
          <w:rFonts w:hint="eastAsia" w:eastAsiaTheme="minorEastAsia"/>
          <w:color w:val="000000" w:themeColor="text1"/>
          <w:sz w:val="24"/>
          <w:lang w:eastAsia="zh-CN"/>
        </w:rPr>
        <w:t>。</w:t>
      </w:r>
    </w:p>
    <w:p>
      <w:pPr>
        <w:pStyle w:val="22"/>
        <w:numPr>
          <w:ilvl w:val="0"/>
          <w:numId w:val="7"/>
        </w:numPr>
        <w:spacing w:line="360" w:lineRule="auto"/>
        <w:ind w:left="900" w:leftChars="200" w:hanging="480" w:hangingChars="200"/>
        <w:jc w:val="left"/>
        <w:rPr>
          <w:rFonts w:eastAsiaTheme="minorEastAsia"/>
          <w:color w:val="000000" w:themeColor="text1"/>
          <w:sz w:val="24"/>
        </w:rPr>
      </w:pPr>
      <w:r>
        <w:rPr>
          <w:rFonts w:hint="eastAsia" w:eastAsiaTheme="minorEastAsia"/>
          <w:color w:val="000000" w:themeColor="text1"/>
          <w:sz w:val="24"/>
        </w:rPr>
        <w:t>塔顶酸性水</w:t>
      </w:r>
      <w:r>
        <w:rPr>
          <w:rFonts w:eastAsiaTheme="minorEastAsia"/>
          <w:color w:val="000000" w:themeColor="text1"/>
          <w:sz w:val="24"/>
        </w:rPr>
        <w:t>pH</w:t>
      </w:r>
      <w:r>
        <w:rPr>
          <w:rFonts w:hint="eastAsia" w:eastAsiaTheme="minorEastAsia"/>
          <w:color w:val="000000" w:themeColor="text1"/>
          <w:sz w:val="24"/>
        </w:rPr>
        <w:t>值</w:t>
      </w:r>
      <w:r>
        <w:rPr>
          <w:rFonts w:eastAsiaTheme="minorEastAsia"/>
          <w:color w:val="000000" w:themeColor="text1"/>
          <w:sz w:val="24"/>
        </w:rPr>
        <w:t>6</w:t>
      </w:r>
      <w:r>
        <w:rPr>
          <w:rFonts w:hint="eastAsia" w:eastAsiaTheme="minorEastAsia"/>
          <w:color w:val="000000" w:themeColor="text1"/>
          <w:sz w:val="24"/>
        </w:rPr>
        <w:t>.0</w:t>
      </w:r>
      <w:r>
        <w:rPr>
          <w:rFonts w:eastAsiaTheme="minorEastAsia"/>
          <w:color w:val="000000" w:themeColor="text1"/>
          <w:sz w:val="24"/>
        </w:rPr>
        <w:t>~9</w:t>
      </w:r>
      <w:r>
        <w:rPr>
          <w:rFonts w:hint="eastAsia" w:eastAsiaTheme="minorEastAsia"/>
          <w:color w:val="000000" w:themeColor="text1"/>
          <w:sz w:val="24"/>
        </w:rPr>
        <w:t>.0</w:t>
      </w:r>
      <w:r>
        <w:rPr>
          <w:rFonts w:eastAsiaTheme="minorEastAsia"/>
          <w:color w:val="000000" w:themeColor="text1"/>
          <w:sz w:val="24"/>
        </w:rPr>
        <w:t>。</w:t>
      </w:r>
    </w:p>
    <w:p>
      <w:pPr>
        <w:pStyle w:val="22"/>
        <w:numPr>
          <w:ilvl w:val="0"/>
          <w:numId w:val="7"/>
        </w:numPr>
        <w:spacing w:line="360" w:lineRule="auto"/>
        <w:ind w:left="900" w:leftChars="200" w:hanging="480" w:hangingChars="200"/>
        <w:jc w:val="left"/>
        <w:rPr>
          <w:rFonts w:eastAsiaTheme="minorEastAsia"/>
          <w:color w:val="000000" w:themeColor="text1"/>
          <w:sz w:val="24"/>
        </w:rPr>
      </w:pPr>
      <w:r>
        <w:rPr>
          <w:rFonts w:eastAsiaTheme="minorEastAsia"/>
          <w:color w:val="000000" w:themeColor="text1"/>
          <w:sz w:val="24"/>
        </w:rPr>
        <w:t>保证所提供产品在正确使用下对设备、装置无任何损坏，对下游催化剂、下游产品、终端产品无任何性质和质量的不良改变。</w:t>
      </w:r>
    </w:p>
    <w:p>
      <w:pPr>
        <w:pStyle w:val="22"/>
        <w:numPr>
          <w:ilvl w:val="0"/>
          <w:numId w:val="7"/>
        </w:numPr>
        <w:spacing w:line="360" w:lineRule="auto"/>
        <w:ind w:left="900" w:leftChars="200" w:hanging="480" w:hangingChars="200"/>
        <w:jc w:val="left"/>
        <w:rPr>
          <w:rFonts w:hint="eastAsia" w:ascii="宋体" w:hAnsi="宋体"/>
          <w:color w:val="auto"/>
          <w:sz w:val="24"/>
          <w:lang w:val="en-US" w:eastAsia="zh-CN"/>
        </w:rPr>
      </w:pPr>
      <w:r>
        <w:rPr>
          <w:rFonts w:hint="eastAsia"/>
          <w:sz w:val="24"/>
          <w:lang w:val="en-US" w:eastAsia="zh-CN"/>
        </w:rPr>
        <w:t>供</w:t>
      </w:r>
      <w:r>
        <w:rPr>
          <w:sz w:val="24"/>
        </w:rPr>
        <w:t>方确保提供的</w:t>
      </w:r>
      <w:r>
        <w:rPr>
          <w:rFonts w:hint="eastAsia" w:eastAsiaTheme="minorEastAsia"/>
          <w:color w:val="000000" w:themeColor="text1"/>
          <w:sz w:val="24"/>
        </w:rPr>
        <w:t>中和</w:t>
      </w:r>
      <w:r>
        <w:rPr>
          <w:rFonts w:eastAsiaTheme="minorEastAsia"/>
          <w:color w:val="000000" w:themeColor="text1"/>
          <w:sz w:val="24"/>
        </w:rPr>
        <w:t>缓蚀剂产品预调配好，现场脱盐水稀释后即可注入；</w:t>
      </w:r>
      <w:r>
        <w:rPr>
          <w:rFonts w:hint="eastAsia" w:eastAsiaTheme="minorEastAsia"/>
          <w:color w:val="000000" w:themeColor="text1"/>
          <w:sz w:val="24"/>
          <w:lang w:val="en-US" w:eastAsia="zh-CN"/>
        </w:rPr>
        <w:t>供</w:t>
      </w:r>
      <w:r>
        <w:rPr>
          <w:rFonts w:eastAsiaTheme="minorEastAsia"/>
          <w:color w:val="000000" w:themeColor="text1"/>
          <w:sz w:val="24"/>
        </w:rPr>
        <w:t>方提供</w:t>
      </w:r>
      <w:r>
        <w:rPr>
          <w:rFonts w:hint="eastAsia" w:eastAsiaTheme="minorEastAsia"/>
          <w:color w:val="000000" w:themeColor="text1"/>
          <w:sz w:val="24"/>
        </w:rPr>
        <w:t>中和</w:t>
      </w:r>
      <w:r>
        <w:rPr>
          <w:rFonts w:eastAsiaTheme="minorEastAsia"/>
          <w:color w:val="000000" w:themeColor="text1"/>
          <w:sz w:val="24"/>
        </w:rPr>
        <w:t>缓蚀剂化验全分</w:t>
      </w:r>
      <w:r>
        <w:rPr>
          <w:sz w:val="24"/>
        </w:rPr>
        <w:t>析资料</w:t>
      </w:r>
      <w:r>
        <w:rPr>
          <w:rFonts w:eastAsiaTheme="minorEastAsia"/>
          <w:color w:val="000000" w:themeColor="text1"/>
          <w:sz w:val="24"/>
        </w:rPr>
        <w:t>。</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6、质量验收标准：详见附件技术要求。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叁万元</w:t>
      </w:r>
      <w:r>
        <w:rPr>
          <w:rFonts w:hint="eastAsia" w:ascii="宋体" w:hAnsi="宋体"/>
          <w:sz w:val="24"/>
        </w:rPr>
        <w:t>整，若我司中选，我司同意按照要求</w:t>
      </w:r>
      <w:r>
        <w:rPr>
          <w:rFonts w:hint="eastAsia" w:ascii="宋体" w:hAnsi="宋体"/>
          <w:sz w:val="24"/>
          <w:lang w:val="en-US" w:eastAsia="zh-CN"/>
        </w:rPr>
        <w:t>转为履约保证金并作为合同质保金</w:t>
      </w:r>
      <w:r>
        <w:rPr>
          <w:rFonts w:hint="eastAsia" w:ascii="宋体" w:hAnsi="宋体"/>
          <w:color w:val="auto"/>
          <w:sz w:val="24"/>
          <w:highlight w:val="none"/>
          <w:lang w:val="en-US" w:eastAsia="zh-CN"/>
        </w:rPr>
        <w:t>待履约届满后申请无息返还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货物于2023年3月初具备到货条件，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付款方式：现汇支付，按季度考核付款。分批季度到货、分批付款。每批产品到货后，根据季度考核结果付款。</w:t>
      </w:r>
    </w:p>
    <w:p>
      <w:pPr>
        <w:spacing w:line="360" w:lineRule="auto"/>
        <w:jc w:val="left"/>
        <w:rPr>
          <w:rFonts w:hint="eastAsia" w:ascii="宋体" w:hAnsi="宋体"/>
          <w:sz w:val="24"/>
          <w:lang w:val="en-US" w:eastAsia="zh-CN"/>
        </w:rPr>
      </w:pPr>
      <w:r>
        <w:rPr>
          <w:rFonts w:hint="eastAsia" w:ascii="宋体" w:hAnsi="宋体"/>
          <w:sz w:val="24"/>
          <w:lang w:val="en-US" w:eastAsia="zh-CN"/>
        </w:rPr>
        <w:t>2、结算说明：酸性水质量指标合格率≥90%需方支付供方当批次货款全款；80%≤合格率＜90%按当批次货款全款9折付款；70%≤合格率＜80%按当批次货款全款8折付款；60%≤合格率＜70%按当批次货款全款7折付款；50%≤合格率＜60%按当批次货款全款6折付款；合格率低于50%，不支付货款，且需方有权解除合约。</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五、执行时间：产品供货期为2023年3月14日~2024年12月31日。</w:t>
      </w:r>
    </w:p>
    <w:p>
      <w:pPr>
        <w:numPr>
          <w:ilvl w:val="0"/>
          <w:numId w:val="0"/>
        </w:numPr>
        <w:spacing w:line="312" w:lineRule="auto"/>
        <w:rPr>
          <w:rFonts w:hint="eastAsia" w:ascii="宋体" w:hAnsi="宋体" w:eastAsia="宋体"/>
          <w:sz w:val="24"/>
          <w:lang w:val="en-US" w:eastAsia="zh-CN"/>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2023-FHC-中和缓蚀剂-0221</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2"/>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ind w:firstLine="420" w:firstLineChars="200"/>
        <w:rPr>
          <w:rFonts w:hint="eastAsia" w:ascii="宋体" w:hAnsi="宋体"/>
          <w:b/>
          <w:color w:val="000000"/>
          <w:szCs w:val="21"/>
        </w:rPr>
      </w:pPr>
      <w:r>
        <w:rPr>
          <w:rFonts w:hint="eastAsia" w:ascii="宋体" w:hAnsi="宋体"/>
          <w:b w:val="0"/>
          <w:bCs/>
          <w:color w:val="000000"/>
          <w:szCs w:val="21"/>
        </w:rPr>
        <w:t>上述数量及总金额均为暂定，</w:t>
      </w:r>
      <w:r>
        <w:rPr>
          <w:rFonts w:hint="eastAsia" w:ascii="宋体" w:hAnsi="宋体"/>
          <w:b w:val="0"/>
          <w:bCs/>
          <w:color w:val="000000"/>
          <w:szCs w:val="21"/>
          <w:lang w:val="en-US" w:eastAsia="zh-CN"/>
        </w:rPr>
        <w:t>根据附件技术要求上述数量</w:t>
      </w:r>
      <w:r>
        <w:rPr>
          <w:rFonts w:hint="eastAsia" w:ascii="宋体" w:hAnsi="宋体"/>
          <w:b w:val="0"/>
          <w:bCs/>
          <w:color w:val="000000"/>
          <w:szCs w:val="21"/>
        </w:rPr>
        <w:t>为</w:t>
      </w:r>
      <w:r>
        <w:rPr>
          <w:rFonts w:hint="eastAsia" w:ascii="宋体" w:hAnsi="宋体"/>
          <w:b w:val="0"/>
          <w:bCs/>
          <w:color w:val="000000"/>
          <w:szCs w:val="21"/>
          <w:lang w:val="en-US" w:eastAsia="zh-CN"/>
        </w:rPr>
        <w:t>2023年3月中旬</w:t>
      </w:r>
      <w:r>
        <w:rPr>
          <w:rFonts w:hint="eastAsia" w:ascii="宋体" w:hAnsi="宋体"/>
          <w:b w:val="0"/>
          <w:bCs/>
          <w:color w:val="000000"/>
          <w:szCs w:val="21"/>
        </w:rPr>
        <w:t>至20</w:t>
      </w:r>
      <w:r>
        <w:rPr>
          <w:rFonts w:hint="eastAsia" w:ascii="宋体" w:hAnsi="宋体"/>
          <w:b w:val="0"/>
          <w:bCs/>
          <w:color w:val="000000"/>
          <w:szCs w:val="21"/>
          <w:lang w:val="en-US" w:eastAsia="zh-CN"/>
        </w:rPr>
        <w:t>24</w:t>
      </w:r>
      <w:r>
        <w:rPr>
          <w:rFonts w:hint="eastAsia" w:ascii="宋体" w:hAnsi="宋体"/>
          <w:b w:val="0"/>
          <w:bCs/>
          <w:color w:val="000000"/>
          <w:szCs w:val="21"/>
        </w:rPr>
        <w:t>年</w:t>
      </w:r>
      <w:r>
        <w:rPr>
          <w:rFonts w:hint="eastAsia" w:ascii="宋体" w:hAnsi="宋体"/>
          <w:b w:val="0"/>
          <w:bCs/>
          <w:color w:val="000000"/>
          <w:szCs w:val="21"/>
          <w:lang w:val="en-US" w:eastAsia="zh-CN"/>
        </w:rPr>
        <w:t>12</w:t>
      </w:r>
      <w:r>
        <w:rPr>
          <w:rFonts w:hint="eastAsia" w:ascii="宋体" w:hAnsi="宋体"/>
          <w:b w:val="0"/>
          <w:bCs/>
          <w:color w:val="000000"/>
          <w:szCs w:val="21"/>
        </w:rPr>
        <w:t>月</w:t>
      </w:r>
      <w:r>
        <w:rPr>
          <w:rFonts w:hint="eastAsia" w:ascii="宋体" w:hAnsi="宋体"/>
          <w:b w:val="0"/>
          <w:bCs/>
          <w:color w:val="000000"/>
          <w:szCs w:val="21"/>
          <w:lang w:val="en-US" w:eastAsia="zh-CN"/>
        </w:rPr>
        <w:t>31日</w:t>
      </w:r>
      <w:r>
        <w:rPr>
          <w:rFonts w:hint="eastAsia" w:ascii="宋体" w:hAnsi="宋体"/>
          <w:b w:val="0"/>
          <w:bCs/>
          <w:color w:val="000000"/>
          <w:szCs w:val="21"/>
        </w:rPr>
        <w:t>封顶数量：如果合约期内实际用药数量超过</w:t>
      </w:r>
      <w:r>
        <w:rPr>
          <w:rFonts w:hint="eastAsia" w:ascii="宋体" w:hAnsi="宋体"/>
          <w:b w:val="0"/>
          <w:bCs/>
          <w:color w:val="000000"/>
          <w:szCs w:val="21"/>
          <w:lang w:val="en-US" w:eastAsia="zh-CN"/>
        </w:rPr>
        <w:t>上述数量</w:t>
      </w:r>
      <w:r>
        <w:rPr>
          <w:rFonts w:hint="eastAsia" w:ascii="宋体" w:hAnsi="宋体"/>
          <w:b w:val="0"/>
          <w:bCs/>
          <w:color w:val="000000"/>
          <w:szCs w:val="21"/>
        </w:rPr>
        <w:t>，供方无条件补足；如果合约期内实际用药数量少于</w:t>
      </w:r>
      <w:r>
        <w:rPr>
          <w:rFonts w:hint="eastAsia" w:ascii="宋体" w:hAnsi="宋体"/>
          <w:b w:val="0"/>
          <w:bCs/>
          <w:color w:val="000000"/>
          <w:szCs w:val="21"/>
          <w:lang w:val="en-US" w:eastAsia="zh-CN"/>
        </w:rPr>
        <w:t>上述数量</w:t>
      </w:r>
      <w:r>
        <w:rPr>
          <w:rFonts w:hint="eastAsia" w:ascii="宋体" w:hAnsi="宋体"/>
          <w:b w:val="0"/>
          <w:bCs/>
          <w:color w:val="000000"/>
          <w:szCs w:val="21"/>
        </w:rPr>
        <w:t>，则按照实际用药数量进行结算。</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hint="eastAsia" w:ascii="宋体" w:hAnsi="宋体"/>
          <w:b/>
          <w:szCs w:val="21"/>
        </w:rPr>
      </w:pPr>
      <w:r>
        <w:rPr>
          <w:rFonts w:hint="eastAsia" w:ascii="宋体" w:hAnsi="宋体"/>
          <w:color w:val="000000"/>
          <w:szCs w:val="21"/>
        </w:rPr>
        <w:t>本合同供货有效期</w:t>
      </w:r>
      <w:r>
        <w:rPr>
          <w:rFonts w:hint="eastAsia" w:ascii="宋体" w:hAnsi="宋体"/>
          <w:color w:val="000000"/>
          <w:szCs w:val="21"/>
          <w:lang w:val="en-US" w:eastAsia="zh-CN"/>
        </w:rPr>
        <w:t>约两年，</w:t>
      </w:r>
      <w:r>
        <w:rPr>
          <w:rFonts w:hint="eastAsia" w:ascii="宋体" w:hAnsi="宋体"/>
          <w:color w:val="000000"/>
          <w:szCs w:val="21"/>
        </w:rPr>
        <w:t>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桶包装，使用后的空桶由供方进行回收处理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lang w:val="en-US" w:eastAsia="zh-CN"/>
        </w:rPr>
        <w:t>____</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现汇支付，按季度考核付款。分批季度到货、分批付款。每批产品到货后，经需方或需方指定单位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腾龙芳烃（漳州）有限公司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签订的合同及技术要求约定的季度考核周期、质量、数量及产品使用考核结果，供方提供相应金额的13%增值税专用发票以及结算所需的各类清单，需方收到并确认无误后支付货款。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分批到货，货物需于2023年3月初具备到货条件，具体到货时间以需方通知为准。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2"/>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叁万元整。合同履约期届满，供方按合同约定全面履约的情况下，即，满足运行天数后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性能保证、验收结算及赔偿和技术服务范围详见附件技术要求。</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40001" w:csb1="00000000"/>
  </w:font>
  <w:font w:name="ArialMT">
    <w:altName w:val="新宋体"/>
    <w:panose1 w:val="00000000000000000000"/>
    <w:charset w:val="00"/>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6</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6A284DC3"/>
    <w:multiLevelType w:val="multilevel"/>
    <w:tmpl w:val="6A284DC3"/>
    <w:lvl w:ilvl="0" w:tentative="0">
      <w:start w:val="1"/>
      <w:numFmt w:val="lowerLetter"/>
      <w:lvlText w:val=" %1. "/>
      <w:lvlJc w:val="left"/>
      <w:pPr>
        <w:ind w:left="1304" w:hanging="453"/>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1864" w:hanging="360"/>
      </w:pPr>
      <w:rPr>
        <w:rFonts w:hint="default"/>
      </w:rPr>
    </w:lvl>
    <w:lvl w:ilvl="2" w:tentative="0">
      <w:start w:val="1"/>
      <w:numFmt w:val="decimal"/>
      <w:lvlText w:val="%1.%2.%3"/>
      <w:lvlJc w:val="left"/>
      <w:pPr>
        <w:ind w:left="3358" w:hanging="720"/>
      </w:pPr>
      <w:rPr>
        <w:rFonts w:hint="default"/>
      </w:rPr>
    </w:lvl>
    <w:lvl w:ilvl="3" w:tentative="0">
      <w:start w:val="1"/>
      <w:numFmt w:val="decimal"/>
      <w:lvlText w:val="%1.%2.%3.%4"/>
      <w:lvlJc w:val="left"/>
      <w:pPr>
        <w:ind w:left="4498" w:hanging="1080"/>
      </w:pPr>
      <w:rPr>
        <w:rFonts w:hint="default"/>
      </w:rPr>
    </w:lvl>
    <w:lvl w:ilvl="4" w:tentative="0">
      <w:start w:val="1"/>
      <w:numFmt w:val="decimal"/>
      <w:lvlText w:val="%1.%2.%3.%4.%5"/>
      <w:lvlJc w:val="left"/>
      <w:pPr>
        <w:ind w:left="5278" w:hanging="1080"/>
      </w:pPr>
      <w:rPr>
        <w:rFonts w:hint="default"/>
      </w:rPr>
    </w:lvl>
    <w:lvl w:ilvl="5" w:tentative="0">
      <w:start w:val="1"/>
      <w:numFmt w:val="decimal"/>
      <w:lvlText w:val="%1.%2.%3.%4.%5.%6"/>
      <w:lvlJc w:val="left"/>
      <w:pPr>
        <w:ind w:left="6418" w:hanging="1440"/>
      </w:pPr>
      <w:rPr>
        <w:rFonts w:hint="default"/>
      </w:rPr>
    </w:lvl>
    <w:lvl w:ilvl="6" w:tentative="0">
      <w:start w:val="1"/>
      <w:numFmt w:val="decimal"/>
      <w:lvlText w:val="%1.%2.%3.%4.%5.%6.%7"/>
      <w:lvlJc w:val="left"/>
      <w:pPr>
        <w:ind w:left="7198" w:hanging="1440"/>
      </w:pPr>
      <w:rPr>
        <w:rFonts w:hint="default"/>
      </w:rPr>
    </w:lvl>
    <w:lvl w:ilvl="7" w:tentative="0">
      <w:start w:val="1"/>
      <w:numFmt w:val="decimal"/>
      <w:lvlText w:val="%1.%2.%3.%4.%5.%6.%7.%8"/>
      <w:lvlJc w:val="left"/>
      <w:pPr>
        <w:ind w:left="8338" w:hanging="1800"/>
      </w:pPr>
      <w:rPr>
        <w:rFonts w:hint="default"/>
      </w:rPr>
    </w:lvl>
    <w:lvl w:ilvl="8" w:tentative="0">
      <w:start w:val="1"/>
      <w:numFmt w:val="decimal"/>
      <w:lvlText w:val="%1.%2.%3.%4.%5.%6.%7.%8.%9"/>
      <w:lvlJc w:val="left"/>
      <w:pPr>
        <w:ind w:left="9118" w:hanging="1800"/>
      </w:pPr>
      <w:rPr>
        <w:rFonts w:hint="default"/>
      </w:r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53A40"/>
    <w:rsid w:val="03033536"/>
    <w:rsid w:val="03261A08"/>
    <w:rsid w:val="032857C7"/>
    <w:rsid w:val="032D15FD"/>
    <w:rsid w:val="032F04D8"/>
    <w:rsid w:val="03DC17EA"/>
    <w:rsid w:val="03E270E3"/>
    <w:rsid w:val="03E5328D"/>
    <w:rsid w:val="042207A6"/>
    <w:rsid w:val="04444FBA"/>
    <w:rsid w:val="04675C1C"/>
    <w:rsid w:val="046B7835"/>
    <w:rsid w:val="046E24C0"/>
    <w:rsid w:val="046F7ACF"/>
    <w:rsid w:val="04785792"/>
    <w:rsid w:val="049270F9"/>
    <w:rsid w:val="05264C66"/>
    <w:rsid w:val="0546217C"/>
    <w:rsid w:val="057373C3"/>
    <w:rsid w:val="059A34DA"/>
    <w:rsid w:val="059B734C"/>
    <w:rsid w:val="05C112E8"/>
    <w:rsid w:val="05CE4353"/>
    <w:rsid w:val="05CF5BDF"/>
    <w:rsid w:val="05D81DD9"/>
    <w:rsid w:val="061013A0"/>
    <w:rsid w:val="064416AA"/>
    <w:rsid w:val="06A3708D"/>
    <w:rsid w:val="06AB00B1"/>
    <w:rsid w:val="06CC1CD7"/>
    <w:rsid w:val="06DA70D7"/>
    <w:rsid w:val="070356B5"/>
    <w:rsid w:val="077632ED"/>
    <w:rsid w:val="07811622"/>
    <w:rsid w:val="07817814"/>
    <w:rsid w:val="078A61DF"/>
    <w:rsid w:val="07C04CC8"/>
    <w:rsid w:val="07E878CC"/>
    <w:rsid w:val="07E87C6B"/>
    <w:rsid w:val="07F06C92"/>
    <w:rsid w:val="07FB0E0D"/>
    <w:rsid w:val="080F7CCD"/>
    <w:rsid w:val="083568BD"/>
    <w:rsid w:val="08374DE3"/>
    <w:rsid w:val="08804899"/>
    <w:rsid w:val="08834CC9"/>
    <w:rsid w:val="088B1472"/>
    <w:rsid w:val="090A2F1F"/>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35169E"/>
    <w:rsid w:val="0B487285"/>
    <w:rsid w:val="0B4A13AC"/>
    <w:rsid w:val="0B8E420A"/>
    <w:rsid w:val="0C370F69"/>
    <w:rsid w:val="0C3D7481"/>
    <w:rsid w:val="0C7454D4"/>
    <w:rsid w:val="0C8B217D"/>
    <w:rsid w:val="0CB75B53"/>
    <w:rsid w:val="0CF127D7"/>
    <w:rsid w:val="0CFA5163"/>
    <w:rsid w:val="0D097641"/>
    <w:rsid w:val="0D980021"/>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07C0F"/>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331A89"/>
    <w:rsid w:val="1363320F"/>
    <w:rsid w:val="1387789C"/>
    <w:rsid w:val="13B74194"/>
    <w:rsid w:val="13DF42D8"/>
    <w:rsid w:val="142F7DC3"/>
    <w:rsid w:val="14494FEA"/>
    <w:rsid w:val="14937361"/>
    <w:rsid w:val="149868E6"/>
    <w:rsid w:val="14FC5116"/>
    <w:rsid w:val="15033088"/>
    <w:rsid w:val="150647E6"/>
    <w:rsid w:val="15101A52"/>
    <w:rsid w:val="15125849"/>
    <w:rsid w:val="154E7EC4"/>
    <w:rsid w:val="15BF2E22"/>
    <w:rsid w:val="15C23309"/>
    <w:rsid w:val="15C31A47"/>
    <w:rsid w:val="15F16D9A"/>
    <w:rsid w:val="15F24792"/>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B02F2D"/>
    <w:rsid w:val="19DA3B6D"/>
    <w:rsid w:val="19EF4D4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B72DA5"/>
    <w:rsid w:val="1BC93515"/>
    <w:rsid w:val="1C1B3FE4"/>
    <w:rsid w:val="1C1C3DEE"/>
    <w:rsid w:val="1C2A6CE8"/>
    <w:rsid w:val="1C513BF0"/>
    <w:rsid w:val="1C8261A0"/>
    <w:rsid w:val="1CF31038"/>
    <w:rsid w:val="1D0113C9"/>
    <w:rsid w:val="1D05782C"/>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90291"/>
    <w:rsid w:val="1F8046AD"/>
    <w:rsid w:val="1FA12681"/>
    <w:rsid w:val="205A10AE"/>
    <w:rsid w:val="207E3421"/>
    <w:rsid w:val="208A175C"/>
    <w:rsid w:val="2090579A"/>
    <w:rsid w:val="20AF45AF"/>
    <w:rsid w:val="215846DF"/>
    <w:rsid w:val="216412DB"/>
    <w:rsid w:val="21BD6DBB"/>
    <w:rsid w:val="21E14DFB"/>
    <w:rsid w:val="21F04A25"/>
    <w:rsid w:val="22345BE0"/>
    <w:rsid w:val="22521DD3"/>
    <w:rsid w:val="227B0690"/>
    <w:rsid w:val="228E5A58"/>
    <w:rsid w:val="22A35795"/>
    <w:rsid w:val="22A62B30"/>
    <w:rsid w:val="22ED3ED6"/>
    <w:rsid w:val="2325120A"/>
    <w:rsid w:val="23464916"/>
    <w:rsid w:val="23496B54"/>
    <w:rsid w:val="23532FBD"/>
    <w:rsid w:val="237B661E"/>
    <w:rsid w:val="238B4E5F"/>
    <w:rsid w:val="23BF50C8"/>
    <w:rsid w:val="23CC07DA"/>
    <w:rsid w:val="23F24C55"/>
    <w:rsid w:val="241D1936"/>
    <w:rsid w:val="247C7073"/>
    <w:rsid w:val="2496308D"/>
    <w:rsid w:val="24A9374C"/>
    <w:rsid w:val="258777C9"/>
    <w:rsid w:val="2589209A"/>
    <w:rsid w:val="25B40CD0"/>
    <w:rsid w:val="25CB1E8B"/>
    <w:rsid w:val="25D9170E"/>
    <w:rsid w:val="25E0040C"/>
    <w:rsid w:val="25F3676D"/>
    <w:rsid w:val="26035576"/>
    <w:rsid w:val="2665006F"/>
    <w:rsid w:val="26A124F9"/>
    <w:rsid w:val="26AA092A"/>
    <w:rsid w:val="271C65E1"/>
    <w:rsid w:val="273A5487"/>
    <w:rsid w:val="274761A1"/>
    <w:rsid w:val="27937EDA"/>
    <w:rsid w:val="27C62288"/>
    <w:rsid w:val="27CF60B0"/>
    <w:rsid w:val="27D36696"/>
    <w:rsid w:val="27E234BC"/>
    <w:rsid w:val="28012C6B"/>
    <w:rsid w:val="280475E2"/>
    <w:rsid w:val="282C18E9"/>
    <w:rsid w:val="28566230"/>
    <w:rsid w:val="285B7C69"/>
    <w:rsid w:val="28A837EA"/>
    <w:rsid w:val="28B0150E"/>
    <w:rsid w:val="28D51D40"/>
    <w:rsid w:val="293555E2"/>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D2233"/>
    <w:rsid w:val="2AE84D10"/>
    <w:rsid w:val="2B0E039C"/>
    <w:rsid w:val="2B2F6BD9"/>
    <w:rsid w:val="2B4658AA"/>
    <w:rsid w:val="2B4A75F4"/>
    <w:rsid w:val="2B8E1B57"/>
    <w:rsid w:val="2B8E71EA"/>
    <w:rsid w:val="2B957AF1"/>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65141F"/>
    <w:rsid w:val="31771119"/>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40C24DE"/>
    <w:rsid w:val="340F4394"/>
    <w:rsid w:val="342D7E99"/>
    <w:rsid w:val="345B10E7"/>
    <w:rsid w:val="346720B7"/>
    <w:rsid w:val="347C5E46"/>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EE6A4A"/>
    <w:rsid w:val="401F30A7"/>
    <w:rsid w:val="402A4D00"/>
    <w:rsid w:val="40457BFD"/>
    <w:rsid w:val="40705383"/>
    <w:rsid w:val="40831E81"/>
    <w:rsid w:val="40891F67"/>
    <w:rsid w:val="408C76E2"/>
    <w:rsid w:val="409057BD"/>
    <w:rsid w:val="41186225"/>
    <w:rsid w:val="414E2379"/>
    <w:rsid w:val="416F5968"/>
    <w:rsid w:val="417A6877"/>
    <w:rsid w:val="418324AC"/>
    <w:rsid w:val="41A04200"/>
    <w:rsid w:val="41A32F85"/>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E6ECD"/>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2451E8"/>
    <w:rsid w:val="4B3D4012"/>
    <w:rsid w:val="4B4A24A6"/>
    <w:rsid w:val="4B8F2E5B"/>
    <w:rsid w:val="4B945212"/>
    <w:rsid w:val="4BC2454D"/>
    <w:rsid w:val="4BF27690"/>
    <w:rsid w:val="4C204881"/>
    <w:rsid w:val="4C775DE6"/>
    <w:rsid w:val="4C82133E"/>
    <w:rsid w:val="4CA3109F"/>
    <w:rsid w:val="4CE3486E"/>
    <w:rsid w:val="4CEB5B8E"/>
    <w:rsid w:val="4CF91653"/>
    <w:rsid w:val="4D13604C"/>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84A65"/>
    <w:rsid w:val="4FF14958"/>
    <w:rsid w:val="503B5A8A"/>
    <w:rsid w:val="505852F6"/>
    <w:rsid w:val="507E72C1"/>
    <w:rsid w:val="508235A6"/>
    <w:rsid w:val="50BB3ACD"/>
    <w:rsid w:val="50DE33C7"/>
    <w:rsid w:val="512F6EC2"/>
    <w:rsid w:val="513242BC"/>
    <w:rsid w:val="513403C7"/>
    <w:rsid w:val="518B38CB"/>
    <w:rsid w:val="518B4FD1"/>
    <w:rsid w:val="518E0C97"/>
    <w:rsid w:val="51E145FD"/>
    <w:rsid w:val="51E51CC3"/>
    <w:rsid w:val="520F62ED"/>
    <w:rsid w:val="52350240"/>
    <w:rsid w:val="52670AC3"/>
    <w:rsid w:val="529A77A5"/>
    <w:rsid w:val="52C5623B"/>
    <w:rsid w:val="53396CC8"/>
    <w:rsid w:val="534D5B9F"/>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E907A3"/>
    <w:rsid w:val="55E92CB5"/>
    <w:rsid w:val="56325307"/>
    <w:rsid w:val="5659474A"/>
    <w:rsid w:val="56732B47"/>
    <w:rsid w:val="570F5D54"/>
    <w:rsid w:val="570F6504"/>
    <w:rsid w:val="5733660F"/>
    <w:rsid w:val="573834F1"/>
    <w:rsid w:val="57463334"/>
    <w:rsid w:val="574B6739"/>
    <w:rsid w:val="574D21DE"/>
    <w:rsid w:val="578B6597"/>
    <w:rsid w:val="57942C39"/>
    <w:rsid w:val="57EB2081"/>
    <w:rsid w:val="583F04BE"/>
    <w:rsid w:val="5845276D"/>
    <w:rsid w:val="58641F03"/>
    <w:rsid w:val="58BD4EAA"/>
    <w:rsid w:val="58C534B8"/>
    <w:rsid w:val="58DA20C8"/>
    <w:rsid w:val="58F8378F"/>
    <w:rsid w:val="58FE6BB9"/>
    <w:rsid w:val="592521E5"/>
    <w:rsid w:val="592E0C31"/>
    <w:rsid w:val="5930567C"/>
    <w:rsid w:val="593259F3"/>
    <w:rsid w:val="594531C0"/>
    <w:rsid w:val="59A2106F"/>
    <w:rsid w:val="59A25083"/>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8152A6"/>
    <w:rsid w:val="5B964C3B"/>
    <w:rsid w:val="5BF847A4"/>
    <w:rsid w:val="5C1F20CC"/>
    <w:rsid w:val="5C20337F"/>
    <w:rsid w:val="5C4D30E7"/>
    <w:rsid w:val="5C4F430C"/>
    <w:rsid w:val="5C514191"/>
    <w:rsid w:val="5C8B0489"/>
    <w:rsid w:val="5CF73949"/>
    <w:rsid w:val="5D3038FF"/>
    <w:rsid w:val="5D4208CB"/>
    <w:rsid w:val="5DCB432F"/>
    <w:rsid w:val="5DD6127D"/>
    <w:rsid w:val="5DD956B5"/>
    <w:rsid w:val="5DE04163"/>
    <w:rsid w:val="5DEC7C19"/>
    <w:rsid w:val="5DFC0EB0"/>
    <w:rsid w:val="5E086E60"/>
    <w:rsid w:val="5E5B4B1E"/>
    <w:rsid w:val="5E806603"/>
    <w:rsid w:val="5EDC2437"/>
    <w:rsid w:val="5F0D17C2"/>
    <w:rsid w:val="5F196376"/>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6A0794"/>
    <w:rsid w:val="61716ECA"/>
    <w:rsid w:val="61984689"/>
    <w:rsid w:val="619B0D95"/>
    <w:rsid w:val="61A00D6C"/>
    <w:rsid w:val="61EC3C39"/>
    <w:rsid w:val="62093EA3"/>
    <w:rsid w:val="620B0745"/>
    <w:rsid w:val="6229181C"/>
    <w:rsid w:val="62293292"/>
    <w:rsid w:val="623C5690"/>
    <w:rsid w:val="624469DA"/>
    <w:rsid w:val="625B2CD4"/>
    <w:rsid w:val="62772330"/>
    <w:rsid w:val="629851A9"/>
    <w:rsid w:val="62B657FF"/>
    <w:rsid w:val="62C03657"/>
    <w:rsid w:val="62F96812"/>
    <w:rsid w:val="632D1B08"/>
    <w:rsid w:val="634B6B7B"/>
    <w:rsid w:val="637729C4"/>
    <w:rsid w:val="63813430"/>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B74724"/>
    <w:rsid w:val="66EA1E3B"/>
    <w:rsid w:val="671B3499"/>
    <w:rsid w:val="6774663E"/>
    <w:rsid w:val="67956067"/>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9879F8"/>
    <w:rsid w:val="69C8110F"/>
    <w:rsid w:val="6A544FCD"/>
    <w:rsid w:val="6AC26EA2"/>
    <w:rsid w:val="6AC44695"/>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B151E2"/>
    <w:rsid w:val="6DBF39F3"/>
    <w:rsid w:val="6DC0644E"/>
    <w:rsid w:val="6DCF6202"/>
    <w:rsid w:val="6DE71080"/>
    <w:rsid w:val="6E137528"/>
    <w:rsid w:val="6E3E07AD"/>
    <w:rsid w:val="6E80463B"/>
    <w:rsid w:val="6E895A0C"/>
    <w:rsid w:val="6EC56FAA"/>
    <w:rsid w:val="6F22793F"/>
    <w:rsid w:val="6F457884"/>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FE5EAA"/>
    <w:rsid w:val="720C6BF9"/>
    <w:rsid w:val="72447793"/>
    <w:rsid w:val="724E26A6"/>
    <w:rsid w:val="72953F4C"/>
    <w:rsid w:val="72BA2638"/>
    <w:rsid w:val="72E24278"/>
    <w:rsid w:val="72F247EE"/>
    <w:rsid w:val="73046E24"/>
    <w:rsid w:val="73117CBC"/>
    <w:rsid w:val="731D3DC6"/>
    <w:rsid w:val="73501BC3"/>
    <w:rsid w:val="73785811"/>
    <w:rsid w:val="73843B37"/>
    <w:rsid w:val="73AA2AB8"/>
    <w:rsid w:val="73D8014A"/>
    <w:rsid w:val="73F076FD"/>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0F79"/>
    <w:rsid w:val="78F732D8"/>
    <w:rsid w:val="790F1791"/>
    <w:rsid w:val="791F3849"/>
    <w:rsid w:val="797350BA"/>
    <w:rsid w:val="79775EC9"/>
    <w:rsid w:val="79D00415"/>
    <w:rsid w:val="79EE2754"/>
    <w:rsid w:val="7A1A7F37"/>
    <w:rsid w:val="7A1C7B11"/>
    <w:rsid w:val="7A227394"/>
    <w:rsid w:val="7A2F4AE0"/>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4">
    <w:name w:val="Body Text"/>
    <w:basedOn w:val="1"/>
    <w:qFormat/>
    <w:uiPriority w:val="1"/>
    <w:rPr>
      <w:sz w:val="2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unhideWhenUsed/>
    <w:qFormat/>
    <w:uiPriority w:val="0"/>
    <w:rPr>
      <w:color w:val="0091F2"/>
      <w:sz w:val="18"/>
      <w:szCs w:val="18"/>
      <w:u w:val="none"/>
    </w:rPr>
  </w:style>
  <w:style w:type="character" w:styleId="10">
    <w:name w:val="Hyperlink"/>
    <w:basedOn w:val="7"/>
    <w:unhideWhenUsed/>
    <w:qFormat/>
    <w:uiPriority w:val="0"/>
    <w:rPr>
      <w:color w:val="0091F2"/>
      <w:sz w:val="18"/>
      <w:szCs w:val="18"/>
      <w:u w:val="none"/>
    </w:rPr>
  </w:style>
  <w:style w:type="character" w:styleId="11">
    <w:name w:val="HTML Code"/>
    <w:basedOn w:val="7"/>
    <w:unhideWhenUsed/>
    <w:qFormat/>
    <w:uiPriority w:val="0"/>
    <w:rPr>
      <w:rFonts w:ascii="Courier New" w:hAnsi="Courier New"/>
      <w:sz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表段落1"/>
    <w:basedOn w:val="1"/>
    <w:qFormat/>
    <w:uiPriority w:val="34"/>
    <w:pPr>
      <w:spacing w:before="206"/>
      <w:ind w:left="959" w:hanging="361"/>
    </w:pPr>
  </w:style>
  <w:style w:type="character" w:customStyle="1" w:styleId="15">
    <w:name w:val="cd_message"/>
    <w:basedOn w:val="7"/>
    <w:qFormat/>
    <w:uiPriority w:val="0"/>
  </w:style>
  <w:style w:type="paragraph" w:customStyle="1" w:styleId="1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7">
    <w:name w:val="列出段落1"/>
    <w:basedOn w:val="1"/>
    <w:qFormat/>
    <w:uiPriority w:val="99"/>
    <w:pPr>
      <w:ind w:firstLine="420" w:firstLineChars="200"/>
    </w:pPr>
  </w:style>
  <w:style w:type="character" w:customStyle="1" w:styleId="18">
    <w:name w:val="页眉 Char"/>
    <w:basedOn w:val="7"/>
    <w:link w:val="6"/>
    <w:qFormat/>
    <w:uiPriority w:val="0"/>
    <w:rPr>
      <w:kern w:val="2"/>
      <w:sz w:val="18"/>
      <w:szCs w:val="18"/>
    </w:rPr>
  </w:style>
  <w:style w:type="character" w:customStyle="1" w:styleId="19">
    <w:name w:val="common_over_page_btn1"/>
    <w:basedOn w:val="7"/>
    <w:qFormat/>
    <w:uiPriority w:val="0"/>
  </w:style>
  <w:style w:type="character" w:customStyle="1" w:styleId="20">
    <w:name w:val="common_over_page_btn2"/>
    <w:basedOn w:val="7"/>
    <w:qFormat/>
    <w:uiPriority w:val="0"/>
    <w:rPr>
      <w:color w:val="999999"/>
      <w:bdr w:val="single" w:color="D4D4D4" w:sz="6" w:space="0"/>
      <w:shd w:val="clear" w:color="auto" w:fill="FFFFFF"/>
    </w:rPr>
  </w:style>
  <w:style w:type="paragraph" w:customStyle="1" w:styleId="21">
    <w:name w:val="Table Paragraph"/>
    <w:basedOn w:val="1"/>
    <w:qFormat/>
    <w:uiPriority w:val="1"/>
  </w:style>
  <w:style w:type="paragraph" w:customStyle="1" w:styleId="22">
    <w:name w:val="List Paragraph"/>
    <w:basedOn w:val="1"/>
    <w:qFormat/>
    <w:uiPriority w:val="34"/>
    <w:pPr>
      <w:ind w:firstLine="420" w:firstLineChars="200"/>
    </w:pPr>
  </w:style>
  <w:style w:type="paragraph" w:customStyle="1" w:styleId="2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12</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2023-02-28T09:53:00Z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