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白土及脱氯剂装卸及生产一团队零星劳务项目比选文件</w:t>
      </w:r>
    </w:p>
    <w:p>
      <w:pPr>
        <w:pStyle w:val="57"/>
        <w:jc w:val="center"/>
        <w:rPr>
          <w:color w:val="000000" w:themeColor="text1"/>
          <w:sz w:val="28"/>
          <w:szCs w:val="28"/>
        </w:rPr>
      </w:pPr>
      <w:r>
        <w:rPr>
          <w:rFonts w:hint="eastAsia"/>
          <w:color w:val="000000" w:themeColor="text1"/>
          <w:sz w:val="28"/>
          <w:szCs w:val="28"/>
        </w:rPr>
        <w:t>（文件编号：FHC-PTCG20230217004）</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57"/>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二〇二三年三月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1"/>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7"/>
      </w:pPr>
    </w:p>
    <w:p>
      <w:pPr>
        <w:spacing w:line="600" w:lineRule="exact"/>
        <w:ind w:firstLine="643" w:firstLineChars="200"/>
        <w:jc w:val="center"/>
        <w:rPr>
          <w:b/>
          <w:bCs/>
          <w:sz w:val="32"/>
          <w:lang w:eastAsia="zh-CN"/>
        </w:rPr>
      </w:pPr>
      <w:r>
        <w:rPr>
          <w:rFonts w:hint="eastAsia"/>
          <w:b/>
          <w:bCs/>
          <w:sz w:val="32"/>
          <w:lang w:eastAsia="zh-CN"/>
        </w:rPr>
        <w:t>福建福海创石油化工有限公司芳烃团队白土及脱氯剂装卸及生产一团队零星劳务项目比选公告</w:t>
      </w:r>
    </w:p>
    <w:p>
      <w:pPr>
        <w:spacing w:line="600" w:lineRule="exact"/>
        <w:ind w:firstLine="643" w:firstLineChars="200"/>
        <w:jc w:val="center"/>
        <w:rPr>
          <w:b/>
          <w:bCs/>
          <w:sz w:val="32"/>
          <w:lang w:eastAsia="zh-CN"/>
        </w:rPr>
      </w:pPr>
    </w:p>
    <w:p>
      <w:pPr>
        <w:pStyle w:val="21"/>
        <w:spacing w:before="26" w:line="600" w:lineRule="exact"/>
        <w:ind w:right="121" w:firstLine="480" w:firstLineChars="200"/>
        <w:jc w:val="both"/>
        <w:rPr>
          <w:lang w:eastAsia="zh-CN"/>
        </w:rPr>
      </w:pPr>
      <w:r>
        <w:rPr>
          <w:rFonts w:hint="eastAsia"/>
          <w:lang w:eastAsia="zh-CN"/>
        </w:rPr>
        <w:t>福建福海创石油化工有限公司就“芳烃团队白土及脱氯剂装卸及生产一团队零星劳务项目（项目编号：FHC-PTCG20230217004）”</w:t>
      </w:r>
      <w:r>
        <w:rPr>
          <w:lang w:eastAsia="zh-CN"/>
        </w:rPr>
        <w:t>进行国内公开比选</w:t>
      </w:r>
      <w:r>
        <w:rPr>
          <w:rFonts w:hint="eastAsia"/>
          <w:lang w:eastAsia="zh-CN"/>
        </w:rPr>
        <w:t>，欢迎国内符合条件的承揽商积极参选。</w:t>
      </w:r>
    </w:p>
    <w:p>
      <w:pPr>
        <w:tabs>
          <w:tab w:val="left" w:pos="709"/>
        </w:tabs>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项目名称：福建福海创石油化工有限公司芳烃团队白土及脱氯剂装卸及生产一团队零星劳务项目。</w:t>
      </w:r>
    </w:p>
    <w:p>
      <w:pPr>
        <w:tabs>
          <w:tab w:val="left" w:pos="709"/>
        </w:tabs>
        <w:spacing w:line="600" w:lineRule="exact"/>
        <w:ind w:firstLine="480" w:firstLineChars="200"/>
        <w:rPr>
          <w:sz w:val="24"/>
          <w:szCs w:val="24"/>
          <w:lang w:eastAsia="zh-CN"/>
        </w:rPr>
      </w:pPr>
      <w:r>
        <w:rPr>
          <w:sz w:val="24"/>
          <w:szCs w:val="24"/>
          <w:lang w:eastAsia="zh-CN"/>
        </w:rPr>
        <w:t>2.</w:t>
      </w:r>
      <w:r>
        <w:rPr>
          <w:rFonts w:hint="eastAsia"/>
          <w:sz w:val="24"/>
          <w:szCs w:val="24"/>
          <w:lang w:eastAsia="zh-CN"/>
        </w:rPr>
        <w:t>比选项目说明：芳烃团队白土及脱氯剂装卸及生产一团队零星劳务项目，内容详见附</w:t>
      </w:r>
      <w:r>
        <w:rPr>
          <w:sz w:val="24"/>
          <w:szCs w:val="24"/>
          <w:lang w:eastAsia="zh-CN"/>
        </w:rPr>
        <w:t>件发包说明</w:t>
      </w:r>
      <w:r>
        <w:rPr>
          <w:rFonts w:hint="eastAsia"/>
          <w:sz w:val="24"/>
          <w:szCs w:val="24"/>
          <w:lang w:eastAsia="zh-CN"/>
        </w:rPr>
        <w:t>。</w:t>
      </w:r>
    </w:p>
    <w:p>
      <w:pPr>
        <w:pStyle w:val="21"/>
        <w:spacing w:line="600" w:lineRule="exact"/>
        <w:ind w:right="121" w:firstLine="480" w:firstLineChars="200"/>
        <w:jc w:val="both"/>
        <w:rPr>
          <w:lang w:eastAsia="zh-CN"/>
        </w:rPr>
      </w:pPr>
      <w:r>
        <w:rPr>
          <w:rFonts w:hint="eastAsia"/>
          <w:lang w:eastAsia="zh-CN"/>
        </w:rPr>
        <w:t>3、本案最高限价：</w:t>
      </w:r>
    </w:p>
    <w:p>
      <w:pPr>
        <w:pStyle w:val="21"/>
        <w:spacing w:line="600" w:lineRule="exact"/>
        <w:ind w:right="121" w:firstLine="480" w:firstLineChars="200"/>
        <w:jc w:val="both"/>
        <w:rPr>
          <w:lang w:eastAsia="zh-CN"/>
        </w:rPr>
      </w:pPr>
      <w:r>
        <w:rPr>
          <w:rFonts w:hint="eastAsia"/>
          <w:lang w:eastAsia="zh-CN"/>
        </w:rPr>
        <w:t>1）生产一团队零星劳务项目：8.2万元（含税）</w:t>
      </w:r>
    </w:p>
    <w:p>
      <w:pPr>
        <w:pStyle w:val="4"/>
        <w:spacing w:line="600" w:lineRule="exact"/>
        <w:ind w:left="0" w:firstLine="480" w:firstLineChars="200"/>
        <w:rPr>
          <w:lang w:eastAsia="zh-CN"/>
        </w:rPr>
      </w:pPr>
      <w:r>
        <w:rPr>
          <w:rFonts w:hint="eastAsia"/>
          <w:b w:val="0"/>
          <w:bCs w:val="0"/>
          <w:sz w:val="24"/>
          <w:szCs w:val="24"/>
          <w:lang w:eastAsia="zh-CN"/>
        </w:rPr>
        <w:t>2)芳烃团队白土及脱氯剂装卸项目：46.4万元（含税）</w:t>
      </w:r>
      <w:r>
        <w:rPr>
          <w:rFonts w:hint="eastAsia"/>
          <w:sz w:val="24"/>
          <w:szCs w:val="24"/>
          <w:lang w:eastAsia="zh-CN"/>
        </w:rPr>
        <w:t> </w:t>
      </w:r>
      <w:r>
        <w:rPr>
          <w:rFonts w:hint="eastAsia"/>
          <w:lang w:eastAsia="zh-CN"/>
        </w:rPr>
        <w:t xml:space="preserve"> </w:t>
      </w:r>
    </w:p>
    <w:p>
      <w:pPr>
        <w:tabs>
          <w:tab w:val="left" w:pos="709"/>
        </w:tabs>
        <w:spacing w:line="600" w:lineRule="exact"/>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spacing w:line="600" w:lineRule="exact"/>
        <w:ind w:firstLine="643"/>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w:t>
      </w:r>
    </w:p>
    <w:p>
      <w:pPr>
        <w:pStyle w:val="206"/>
        <w:spacing w:line="600" w:lineRule="exact"/>
        <w:ind w:firstLine="480" w:firstLineChars="200"/>
        <w:rPr>
          <w:sz w:val="24"/>
          <w:szCs w:val="24"/>
        </w:rPr>
      </w:pPr>
      <w:r>
        <w:rPr>
          <w:sz w:val="24"/>
          <w:szCs w:val="24"/>
        </w:rPr>
        <w:t>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w:t>
      </w:r>
      <w:r>
        <w:rPr>
          <w:sz w:val="24"/>
          <w:szCs w:val="24"/>
        </w:rPr>
        <w:t>诉讼纠纷。</w:t>
      </w:r>
    </w:p>
    <w:p>
      <w:pPr>
        <w:pStyle w:val="206"/>
        <w:spacing w:line="600" w:lineRule="exact"/>
        <w:ind w:firstLine="643"/>
        <w:rPr>
          <w:sz w:val="24"/>
          <w:szCs w:val="24"/>
        </w:rPr>
      </w:pPr>
      <w:r>
        <w:rPr>
          <w:sz w:val="24"/>
          <w:szCs w:val="24"/>
        </w:rPr>
        <w:t xml:space="preserve"> 3.具有质量管理体系认证证书；职业健康安全管理体系认证证书；环境管理体系认证证书；</w:t>
      </w:r>
    </w:p>
    <w:p>
      <w:pPr>
        <w:pStyle w:val="206"/>
        <w:spacing w:line="600" w:lineRule="exact"/>
        <w:ind w:firstLine="643"/>
        <w:rPr>
          <w:sz w:val="24"/>
          <w:szCs w:val="24"/>
        </w:rPr>
      </w:pPr>
      <w:r>
        <w:rPr>
          <w:sz w:val="24"/>
          <w:szCs w:val="24"/>
        </w:rPr>
        <w:t>4.本采购项目不接受联合体参选。</w:t>
      </w:r>
    </w:p>
    <w:p>
      <w:pPr>
        <w:tabs>
          <w:tab w:val="left" w:pos="709"/>
        </w:tabs>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asciiTheme="minorEastAsia" w:hAnsiTheme="minorEastAsia" w:eastAsiaTheme="minorEastAsia"/>
          <w:bCs/>
          <w:sz w:val="24"/>
          <w:szCs w:val="24"/>
          <w:lang w:eastAsia="zh-CN"/>
        </w:rPr>
        <w:t>1</w:t>
      </w:r>
      <w:r>
        <w:rPr>
          <w:rFonts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eastAsia="zh-CN"/>
        </w:rPr>
        <w:t>报名时间：2023年  月  日至2023年  月  日止</w:t>
      </w:r>
      <w:r>
        <w:rPr>
          <w:rFonts w:hint="eastAsia"/>
          <w:spacing w:val="8"/>
          <w:sz w:val="24"/>
          <w:szCs w:val="24"/>
          <w:lang w:eastAsia="zh-CN"/>
        </w:rPr>
        <w:t>（10天），在福建福海创石油化工有限公司杜浔办公楼三楼（办公地址：漳州市古雷经济开发区杜浔镇杜昌路9号</w:t>
      </w:r>
      <w:r>
        <w:rPr>
          <w:spacing w:val="8"/>
          <w:sz w:val="24"/>
          <w:szCs w:val="24"/>
          <w:lang w:eastAsia="zh-CN"/>
        </w:rPr>
        <w:t>办公楼三楼设备及服务团队</w:t>
      </w:r>
      <w:r>
        <w:rPr>
          <w:rFonts w:hint="eastAsia"/>
          <w:spacing w:val="8"/>
          <w:sz w:val="24"/>
          <w:szCs w:val="24"/>
          <w:lang w:eastAsia="zh-CN"/>
        </w:rPr>
        <w:t>）现场或邮件报名，报名邮箱为xumx</w:t>
      </w:r>
      <w:r>
        <w:rPr>
          <w:rFonts w:hint="eastAsia"/>
          <w:color w:val="000000" w:themeColor="text1"/>
          <w:sz w:val="24"/>
          <w:szCs w:val="24"/>
          <w:lang w:eastAsia="zh-CN"/>
        </w:rPr>
        <w:t>@fhcpec.com.cn</w:t>
      </w:r>
      <w:r>
        <w:rPr>
          <w:rFonts w:hint="eastAsia" w:asciiTheme="minorEastAsia" w:hAnsiTheme="minorEastAsia" w:eastAsiaTheme="minorEastAsia"/>
          <w:bCs/>
          <w:sz w:val="24"/>
          <w:szCs w:val="24"/>
          <w:lang w:eastAsia="zh-CN"/>
        </w:rPr>
        <w:t>，</w:t>
      </w:r>
      <w:r>
        <w:rPr>
          <w:rFonts w:hint="eastAsia"/>
          <w:spacing w:val="8"/>
          <w:sz w:val="24"/>
          <w:szCs w:val="24"/>
          <w:lang w:eastAsia="zh-CN"/>
        </w:rPr>
        <w:t>报名时需递交以下文件：</w:t>
      </w:r>
    </w:p>
    <w:p>
      <w:pPr>
        <w:pStyle w:val="91"/>
        <w:numPr>
          <w:ilvl w:val="0"/>
          <w:numId w:val="2"/>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91"/>
        <w:numPr>
          <w:ilvl w:val="0"/>
          <w:numId w:val="2"/>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autoSpaceDE/>
        <w:autoSpaceDN/>
        <w:spacing w:line="600" w:lineRule="exact"/>
        <w:ind w:firstLine="512" w:firstLineChars="200"/>
        <w:jc w:val="both"/>
        <w:rPr>
          <w:rFonts w:asciiTheme="minorEastAsia" w:hAnsiTheme="minorEastAsia" w:eastAsia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r>
        <w:rPr>
          <w:rFonts w:hint="eastAsia"/>
          <w:spacing w:val="8"/>
          <w:sz w:val="24"/>
          <w:szCs w:val="24"/>
          <w:lang w:eastAsia="zh-CN"/>
        </w:rPr>
        <w:t>，</w:t>
      </w:r>
      <w:r>
        <w:rPr>
          <w:rFonts w:hint="eastAsia"/>
          <w:color w:val="000000" w:themeColor="text1"/>
          <w:sz w:val="24"/>
          <w:szCs w:val="24"/>
          <w:lang w:eastAsia="zh-CN"/>
        </w:rPr>
        <w:t>获取参选文件（特别声明：未进行登记报名的参选人，其递交的参选文件将被拒收。）</w:t>
      </w:r>
    </w:p>
    <w:p>
      <w:pPr>
        <w:tabs>
          <w:tab w:val="left" w:pos="709"/>
        </w:tabs>
        <w:spacing w:line="600" w:lineRule="exact"/>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Pr>
          <w:rFonts w:hint="eastAsia" w:asciiTheme="minorEastAsia" w:hAnsiTheme="minorEastAsia" w:eastAsiaTheme="minorEastAsia"/>
          <w:bCs/>
          <w:sz w:val="24"/>
          <w:szCs w:val="24"/>
          <w:lang w:eastAsia="zh-CN"/>
        </w:rPr>
        <w:t>递交截止时间（收到参选文件时间）：</w:t>
      </w:r>
      <w:r>
        <w:rPr>
          <w:rFonts w:hint="eastAsia" w:asciiTheme="minorEastAsia" w:hAnsiTheme="minorEastAsia" w:eastAsiaTheme="minorEastAsia"/>
          <w:bCs/>
          <w:color w:val="FF0000"/>
          <w:sz w:val="24"/>
          <w:szCs w:val="24"/>
          <w:lang w:eastAsia="zh-CN"/>
        </w:rPr>
        <w:t xml:space="preserve"> </w:t>
      </w:r>
      <w:r>
        <w:rPr>
          <w:rFonts w:hint="eastAsia" w:asciiTheme="minorEastAsia" w:hAnsiTheme="minorEastAsia" w:eastAsiaTheme="minorEastAsia"/>
          <w:bCs/>
          <w:sz w:val="24"/>
          <w:szCs w:val="24"/>
          <w:lang w:eastAsia="zh-CN"/>
        </w:rPr>
        <w:t xml:space="preserve">2023年  月  日 </w:t>
      </w:r>
      <w:r>
        <w:rPr>
          <w:rFonts w:asciiTheme="minorEastAsia" w:hAnsiTheme="minorEastAsia" w:eastAsiaTheme="minorEastAsia"/>
          <w:bCs/>
          <w:sz w:val="24"/>
          <w:szCs w:val="24"/>
          <w:lang w:eastAsia="zh-CN"/>
        </w:rPr>
        <w:t>1</w:t>
      </w:r>
      <w:r>
        <w:rPr>
          <w:rFonts w:hint="eastAsia" w:asciiTheme="minorEastAsia" w:hAnsiTheme="minorEastAsia" w:eastAsiaTheme="minorEastAsia"/>
          <w:bCs/>
          <w:sz w:val="24"/>
          <w:szCs w:val="24"/>
          <w:lang w:eastAsia="zh-CN"/>
        </w:rPr>
        <w:t>4:0</w:t>
      </w:r>
      <w:r>
        <w:rPr>
          <w:rFonts w:asciiTheme="minorEastAsia" w:hAnsiTheme="minorEastAsia" w:eastAsiaTheme="minorEastAsia"/>
          <w:bCs/>
          <w:sz w:val="24"/>
          <w:szCs w:val="24"/>
          <w:lang w:eastAsia="zh-CN"/>
        </w:rPr>
        <w:t>0</w:t>
      </w:r>
      <w:r>
        <w:rPr>
          <w:rFonts w:hint="eastAsia"/>
          <w:spacing w:val="8"/>
          <w:sz w:val="24"/>
          <w:szCs w:val="24"/>
          <w:lang w:eastAsia="zh-CN"/>
        </w:rPr>
        <w:t>（5天）</w:t>
      </w:r>
      <w:r>
        <w:rPr>
          <w:rFonts w:hint="eastAsia" w:asciiTheme="minorEastAsia" w:hAnsiTheme="minorEastAsia" w:eastAsiaTheme="minorEastAsia"/>
          <w:bCs/>
          <w:sz w:val="24"/>
          <w:szCs w:val="24"/>
          <w:lang w:eastAsia="zh-CN"/>
        </w:rPr>
        <w:t>未</w:t>
      </w:r>
      <w:r>
        <w:rPr>
          <w:rFonts w:asciiTheme="minorEastAsia" w:hAnsiTheme="minorEastAsia" w:eastAsiaTheme="minorEastAsia"/>
          <w:bCs/>
          <w:sz w:val="24"/>
          <w:szCs w:val="24"/>
          <w:lang w:eastAsia="zh-CN"/>
        </w:rPr>
        <w:t>报名参选人递交的参选文件将被拒绝。</w:t>
      </w:r>
    </w:p>
    <w:p>
      <w:pPr>
        <w:pStyle w:val="21"/>
        <w:spacing w:line="600" w:lineRule="exact"/>
        <w:ind w:right="121" w:firstLine="480" w:firstLineChars="200"/>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pPr>
        <w:pStyle w:val="21"/>
        <w:spacing w:line="600" w:lineRule="exact"/>
        <w:ind w:right="121" w:firstLine="480" w:firstLineChars="200"/>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600" w:lineRule="exact"/>
        <w:ind w:right="121" w:firstLine="480" w:firstLineChars="200"/>
        <w:jc w:val="both"/>
        <w:rPr>
          <w:lang w:eastAsia="zh-CN"/>
        </w:rPr>
      </w:pPr>
      <w:r>
        <w:rPr>
          <w:rFonts w:hint="eastAsia"/>
          <w:color w:val="000000" w:themeColor="text1"/>
          <w:lang w:eastAsia="zh-CN"/>
        </w:rPr>
        <w:t xml:space="preserve">    注明用途：</w:t>
      </w:r>
      <w:r>
        <w:rPr>
          <w:rFonts w:hint="eastAsia"/>
          <w:lang w:eastAsia="zh-CN"/>
        </w:rPr>
        <w:t>芳烃团队白土及脱氯剂装卸及生产一团队零星劳务项目参选保证金有效期：</w:t>
      </w:r>
      <w:r>
        <w:rPr>
          <w:lang w:eastAsia="zh-CN"/>
        </w:rPr>
        <w:t>90</w:t>
      </w:r>
      <w:r>
        <w:rPr>
          <w:rFonts w:hint="eastAsia"/>
          <w:lang w:eastAsia="zh-CN"/>
        </w:rPr>
        <w:t>日历天。</w:t>
      </w:r>
    </w:p>
    <w:p>
      <w:pPr>
        <w:pStyle w:val="21"/>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numPr>
          <w:ilvl w:val="0"/>
          <w:numId w:val="3"/>
        </w:numPr>
        <w:spacing w:line="600" w:lineRule="exact"/>
        <w:ind w:right="121" w:firstLine="482" w:firstLineChars="200"/>
        <w:jc w:val="both"/>
        <w:rPr>
          <w:rFonts w:hint="eastAsia"/>
          <w:b/>
          <w:lang w:eastAsia="zh-CN"/>
        </w:rPr>
      </w:pPr>
      <w:r>
        <w:rPr>
          <w:rFonts w:hint="eastAsia"/>
          <w:b/>
          <w:lang w:eastAsia="zh-CN"/>
        </w:rPr>
        <w:t>中选者的参选保证金将直接转为履约保证金。</w:t>
      </w:r>
    </w:p>
    <w:p>
      <w:pPr>
        <w:spacing w:before="15" w:line="600" w:lineRule="exact"/>
        <w:ind w:firstLine="534" w:firstLineChars="200"/>
        <w:rPr>
          <w:b/>
          <w:w w:val="95"/>
          <w:sz w:val="28"/>
          <w:lang w:eastAsia="zh-CN"/>
        </w:rPr>
      </w:pPr>
      <w:r>
        <w:rPr>
          <w:rFonts w:hint="eastAsia"/>
          <w:b/>
          <w:w w:val="95"/>
          <w:sz w:val="28"/>
          <w:lang w:val="en-US" w:eastAsia="zh-CN"/>
        </w:rPr>
        <w:t>六</w:t>
      </w:r>
      <w:r>
        <w:rPr>
          <w:b/>
          <w:w w:val="95"/>
          <w:sz w:val="28"/>
          <w:lang w:eastAsia="zh-CN"/>
        </w:rPr>
        <w:t>、评选办法</w:t>
      </w:r>
    </w:p>
    <w:p>
      <w:pPr>
        <w:pStyle w:val="21"/>
        <w:spacing w:line="600" w:lineRule="exact"/>
        <w:ind w:right="121" w:firstLine="482" w:firstLineChars="200"/>
        <w:jc w:val="both"/>
        <w:rPr>
          <w:b/>
          <w:color w:val="FF0000"/>
          <w:lang w:eastAsia="zh-CN"/>
        </w:rPr>
      </w:pPr>
      <w:r>
        <w:rPr>
          <w:rFonts w:hint="eastAsia"/>
          <w:b/>
          <w:color w:val="FF0000"/>
          <w:lang w:eastAsia="zh-CN"/>
        </w:rPr>
        <w:t>本项目设置最高暂定总价控制价：</w:t>
      </w:r>
    </w:p>
    <w:p>
      <w:pPr>
        <w:pStyle w:val="21"/>
        <w:spacing w:line="600" w:lineRule="exact"/>
        <w:ind w:right="121" w:firstLine="482" w:firstLineChars="200"/>
        <w:jc w:val="both"/>
        <w:rPr>
          <w:b/>
          <w:color w:val="FF0000"/>
          <w:lang w:eastAsia="zh-CN"/>
        </w:rPr>
      </w:pPr>
      <w:r>
        <w:rPr>
          <w:rFonts w:hint="eastAsia"/>
          <w:b/>
          <w:color w:val="FF0000"/>
          <w:lang w:eastAsia="zh-CN"/>
        </w:rPr>
        <w:t>1）生产一团队零星劳务项目：8.2万元（含税）</w:t>
      </w:r>
    </w:p>
    <w:p>
      <w:pPr>
        <w:pStyle w:val="21"/>
        <w:spacing w:line="600" w:lineRule="exact"/>
        <w:ind w:right="121" w:firstLine="482" w:firstLineChars="200"/>
        <w:jc w:val="both"/>
        <w:rPr>
          <w:lang w:eastAsia="zh-CN"/>
        </w:rPr>
      </w:pPr>
      <w:r>
        <w:rPr>
          <w:rFonts w:hint="eastAsia"/>
          <w:b/>
          <w:color w:val="FF0000"/>
          <w:lang w:eastAsia="zh-CN"/>
        </w:rPr>
        <w:t>2)芳烃团队白土及脱氯剂装卸项目：46.4万元（含税）</w:t>
      </w:r>
      <w:r>
        <w:rPr>
          <w:rFonts w:hint="eastAsia"/>
          <w:lang w:eastAsia="zh-CN"/>
        </w:rPr>
        <w:t>。</w:t>
      </w:r>
    </w:p>
    <w:p>
      <w:pPr>
        <w:pStyle w:val="21"/>
        <w:spacing w:line="600" w:lineRule="exact"/>
        <w:ind w:right="121" w:firstLine="480" w:firstLineChars="20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pStyle w:val="21"/>
        <w:numPr>
          <w:ilvl w:val="0"/>
          <w:numId w:val="3"/>
        </w:numPr>
        <w:spacing w:line="600" w:lineRule="exact"/>
        <w:ind w:right="121" w:firstLine="480" w:firstLineChars="200"/>
        <w:jc w:val="both"/>
        <w:rPr>
          <w:rFonts w:hint="eastAsia"/>
          <w:b/>
          <w:lang w:eastAsia="zh-CN"/>
        </w:rPr>
      </w:pPr>
      <w:r>
        <w:rPr>
          <w:rFonts w:hint="eastAsia"/>
          <w:sz w:val="24"/>
          <w:szCs w:val="24"/>
          <w:lang w:eastAsia="zh-CN"/>
        </w:rPr>
        <w:t>本项目采用商</w:t>
      </w:r>
      <w:r>
        <w:rPr>
          <w:rFonts w:hint="eastAsia"/>
          <w:color w:val="000000"/>
          <w:sz w:val="24"/>
          <w:szCs w:val="24"/>
          <w:shd w:val="clear" w:color="auto" w:fill="FFFFFF"/>
          <w:lang w:eastAsia="zh-CN"/>
        </w:rPr>
        <w:t>务报价决标评选的方式，未税总价最低者作为第一中选人，以此类推。</w:t>
      </w:r>
    </w:p>
    <w:p>
      <w:pPr>
        <w:spacing w:line="600" w:lineRule="exact"/>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600" w:lineRule="exact"/>
        <w:ind w:firstLine="480" w:firstLineChars="200"/>
        <w:rPr>
          <w:sz w:val="24"/>
          <w:szCs w:val="24"/>
          <w:lang w:eastAsia="zh-CN"/>
        </w:rPr>
      </w:pPr>
    </w:p>
    <w:p>
      <w:pPr>
        <w:spacing w:line="600" w:lineRule="exact"/>
        <w:ind w:firstLine="480" w:firstLineChars="200"/>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bookmarkStart w:id="14" w:name="_GoBack"/>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3年3月</w:t>
      </w:r>
      <w:r>
        <w:rPr>
          <w:rFonts w:hint="eastAsia"/>
          <w:color w:val="000000" w:themeColor="text1"/>
          <w:sz w:val="24"/>
          <w:szCs w:val="24"/>
          <w:lang w:val="en-US" w:eastAsia="zh-CN"/>
        </w:rPr>
        <w:t>22</w:t>
      </w:r>
      <w:r>
        <w:rPr>
          <w:rFonts w:hint="eastAsia"/>
          <w:color w:val="000000" w:themeColor="text1"/>
          <w:sz w:val="24"/>
          <w:szCs w:val="24"/>
          <w:lang w:eastAsia="zh-CN"/>
        </w:rPr>
        <w:t>日</w:t>
      </w:r>
    </w:p>
    <w:bookmarkEnd w:id="14"/>
    <w:p>
      <w:pPr>
        <w:pStyle w:val="57"/>
        <w:spacing w:line="600" w:lineRule="exact"/>
        <w:ind w:firstLine="680" w:firstLineChars="200"/>
        <w:sectPr>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w:t>
      </w:r>
      <w:r>
        <w:rPr>
          <w:rFonts w:hint="eastAsia"/>
          <w:lang w:eastAsia="zh-CN"/>
        </w:rPr>
        <w:t>芳烃团队白土及脱氯剂装卸及生产一团队零星劳务项目。</w:t>
      </w:r>
      <w:r>
        <w:rPr>
          <w:rFonts w:hint="eastAsia"/>
          <w:color w:val="000000" w:themeColor="text1"/>
          <w:lang w:eastAsia="zh-CN"/>
        </w:rPr>
        <w:t xml:space="preserve">  </w:t>
      </w:r>
    </w:p>
    <w:p>
      <w:pPr>
        <w:pStyle w:val="21"/>
        <w:spacing w:line="360" w:lineRule="auto"/>
        <w:ind w:right="121" w:firstLine="240" w:firstLineChars="100"/>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rFonts w:asciiTheme="minorEastAsia" w:hAnsiTheme="minorEastAsia" w:eastAsiaTheme="minorEastAsia"/>
          <w:lang w:eastAsia="zh-CN"/>
        </w:rPr>
      </w:pPr>
      <w:r>
        <w:rPr>
          <w:rFonts w:hint="eastAsia"/>
          <w:color w:val="000000" w:themeColor="text1"/>
          <w:lang w:eastAsia="zh-CN"/>
        </w:rPr>
        <w:t xml:space="preserve">    3.发包方式：</w:t>
      </w:r>
      <w:r>
        <w:rPr>
          <w:rFonts w:hint="eastAsia" w:asciiTheme="minorEastAsia" w:hAnsiTheme="minorEastAsia" w:eastAsiaTheme="minorEastAsia"/>
          <w:lang w:eastAsia="zh-CN"/>
        </w:rPr>
        <w:t>暂定总价，固定单价据实结算。</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jc w:val="both"/>
        <w:rPr>
          <w:lang w:eastAsia="zh-CN"/>
        </w:rPr>
      </w:pPr>
      <w:r>
        <w:rPr>
          <w:rFonts w:hint="eastAsia"/>
          <w:lang w:eastAsia="zh-CN"/>
        </w:rPr>
        <w:t>技术联系人：</w:t>
      </w:r>
    </w:p>
    <w:p>
      <w:pPr>
        <w:pStyle w:val="21"/>
        <w:spacing w:line="360" w:lineRule="auto"/>
        <w:ind w:right="121" w:firstLine="480"/>
        <w:jc w:val="both"/>
        <w:rPr>
          <w:lang w:eastAsia="zh-CN"/>
        </w:rPr>
      </w:pPr>
      <w:r>
        <w:rPr>
          <w:rFonts w:hint="eastAsia"/>
          <w:lang w:eastAsia="zh-CN"/>
        </w:rPr>
        <w:t>1）生产一团队零星劳务项目：李华彬13625904353，hbli@fhcpec.com.cn</w:t>
      </w:r>
    </w:p>
    <w:p>
      <w:pPr>
        <w:pStyle w:val="21"/>
        <w:spacing w:line="360" w:lineRule="auto"/>
        <w:ind w:right="121" w:firstLine="480"/>
        <w:jc w:val="both"/>
        <w:rPr>
          <w:lang w:eastAsia="zh-CN"/>
        </w:rPr>
      </w:pPr>
      <w:r>
        <w:rPr>
          <w:rFonts w:hint="eastAsia"/>
          <w:lang w:eastAsia="zh-CN"/>
        </w:rPr>
        <w:t xml:space="preserve">2)芳烃团队白土及脱氯剂装卸项目：曾志浩 18065753712, zhzeng@fhcpec.com.cn      </w:t>
      </w:r>
    </w:p>
    <w:p>
      <w:pPr>
        <w:pStyle w:val="21"/>
        <w:spacing w:line="360" w:lineRule="auto"/>
        <w:ind w:right="121" w:firstLine="480"/>
        <w:jc w:val="both"/>
        <w:rPr>
          <w:lang w:eastAsia="zh-CN"/>
        </w:rPr>
      </w:pPr>
      <w:r>
        <w:rPr>
          <w:rFonts w:hint="eastAsia"/>
          <w:lang w:eastAsia="zh-CN"/>
        </w:rPr>
        <w:t>商务联系人：徐明兴 13779967252， 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参选单位应是具备独立法人资格且有能力按我司需求提供服务的承揽商</w:t>
      </w:r>
    </w:p>
    <w:p>
      <w:pPr>
        <w:pStyle w:val="206"/>
        <w:ind w:firstLine="480"/>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3.</w:t>
      </w:r>
      <w:r>
        <w:rPr>
          <w:rFonts w:hint="eastAsia"/>
          <w:color w:val="000000"/>
          <w:sz w:val="24"/>
          <w:szCs w:val="24"/>
          <w:lang w:eastAsia="zh-CN"/>
        </w:rPr>
        <w:t>本采购项目不接受联合体参选。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1"/>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1"/>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1"/>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1"/>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lang w:eastAsia="zh-CN"/>
        </w:rPr>
        <w:t>芳烃团队白土及脱氯剂装卸及生产一团队零星劳务项目</w:t>
      </w:r>
      <w:r>
        <w:rPr>
          <w:rFonts w:hint="eastAsia"/>
          <w:color w:val="000000" w:themeColor="text1"/>
          <w:lang w:eastAsia="zh-CN"/>
        </w:rPr>
        <w:t>参选</w:t>
      </w:r>
      <w:r>
        <w:rPr>
          <w:color w:val="000000" w:themeColor="text1"/>
          <w:lang w:eastAsia="zh-CN"/>
        </w:rPr>
        <w:t>保证金</w:t>
      </w:r>
    </w:p>
    <w:p>
      <w:pPr>
        <w:pStyle w:val="21"/>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1"/>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1"/>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pStyle w:val="21"/>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1"/>
        <w:spacing w:line="360" w:lineRule="auto"/>
        <w:ind w:right="121"/>
        <w:jc w:val="both"/>
        <w:rPr>
          <w:lang w:eastAsia="zh-CN"/>
        </w:rPr>
      </w:pPr>
      <w:r>
        <w:rPr>
          <w:rFonts w:hint="eastAsia"/>
          <w:lang w:eastAsia="zh-CN"/>
        </w:rPr>
        <w:t xml:space="preserve">    5.如有下列情况发生，将被没收参选保证金：</w:t>
      </w:r>
    </w:p>
    <w:p>
      <w:pPr>
        <w:pStyle w:val="21"/>
        <w:spacing w:line="360" w:lineRule="auto"/>
        <w:ind w:right="121"/>
        <w:jc w:val="both"/>
        <w:rPr>
          <w:lang w:eastAsia="zh-CN"/>
        </w:rPr>
      </w:pPr>
      <w:r>
        <w:rPr>
          <w:rFonts w:hint="eastAsia"/>
          <w:lang w:eastAsia="zh-CN"/>
        </w:rPr>
        <w:t xml:space="preserve">    （1）参选单位在参选有效期内撤回参选文件；</w:t>
      </w:r>
    </w:p>
    <w:p>
      <w:pPr>
        <w:pStyle w:val="21"/>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firstLine="480"/>
        <w:rPr>
          <w:b w:val="0"/>
          <w:color w:val="000000" w:themeColor="text1"/>
          <w:lang w:eastAsia="zh-CN"/>
        </w:rPr>
      </w:pP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lang w:eastAsia="zh-CN"/>
        </w:rPr>
        <w:t>漳州市漳浦县杜浔镇杜昌路9号，福海创办公楼三楼设备及服务团队，收件人：徐明兴  电话： 13779967252。</w:t>
      </w:r>
    </w:p>
    <w:p>
      <w:pPr>
        <w:pStyle w:val="21"/>
        <w:ind w:right="121" w:firstLine="480" w:firstLineChars="200"/>
        <w:jc w:val="both"/>
        <w:rPr>
          <w:lang w:eastAsia="zh-CN"/>
        </w:rPr>
      </w:pPr>
      <w:r>
        <w:rPr>
          <w:rFonts w:hint="eastAsia"/>
          <w:lang w:eastAsia="zh-CN"/>
        </w:rPr>
        <w:t>技术联系人：</w:t>
      </w:r>
    </w:p>
    <w:p>
      <w:pPr>
        <w:pStyle w:val="21"/>
        <w:spacing w:line="360" w:lineRule="auto"/>
        <w:ind w:right="121" w:firstLine="480"/>
        <w:jc w:val="both"/>
        <w:rPr>
          <w:lang w:eastAsia="zh-CN"/>
        </w:rPr>
      </w:pPr>
      <w:r>
        <w:rPr>
          <w:rFonts w:hint="eastAsia"/>
          <w:lang w:eastAsia="zh-CN"/>
        </w:rPr>
        <w:t>1）生产一团队零星劳务项目：李华彬13625904353，hbli@fhcpec.com.cn</w:t>
      </w:r>
    </w:p>
    <w:p>
      <w:pPr>
        <w:pStyle w:val="21"/>
        <w:spacing w:line="360" w:lineRule="auto"/>
        <w:ind w:right="121" w:firstLine="480"/>
        <w:jc w:val="both"/>
        <w:rPr>
          <w:lang w:eastAsia="zh-CN"/>
        </w:rPr>
      </w:pPr>
      <w:r>
        <w:rPr>
          <w:rFonts w:hint="eastAsia"/>
          <w:lang w:eastAsia="zh-CN"/>
        </w:rPr>
        <w:t xml:space="preserve">2)芳烃团队白土及脱氯剂装卸项目：曾志浩 18065753712, zhzeng@fhcpec.com.cn      </w:t>
      </w:r>
    </w:p>
    <w:p>
      <w:pPr>
        <w:pStyle w:val="21"/>
        <w:spacing w:line="360" w:lineRule="auto"/>
        <w:ind w:right="121" w:firstLine="480"/>
        <w:jc w:val="both"/>
        <w:rPr>
          <w:lang w:eastAsia="zh-CN"/>
        </w:rPr>
      </w:pPr>
      <w:r>
        <w:rPr>
          <w:rFonts w:hint="eastAsia"/>
          <w:lang w:eastAsia="zh-CN"/>
        </w:rPr>
        <w:t>商务联系人：徐明兴 13779967252， xumx@fhcpec.com.cn</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91"/>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参选单位完成的与本项目相似业绩履行情况的说明；</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91"/>
        <w:adjustRightInd w:val="0"/>
        <w:snapToGrid w:val="0"/>
        <w:spacing w:before="0" w:line="360" w:lineRule="auto"/>
        <w:ind w:left="284"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21"/>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21"/>
        <w:spacing w:line="360" w:lineRule="auto"/>
        <w:ind w:firstLine="482" w:firstLineChars="200"/>
        <w:rPr>
          <w:lang w:eastAsia="zh-CN"/>
        </w:rPr>
      </w:pPr>
      <w:r>
        <w:rPr>
          <w:rFonts w:hint="eastAsia"/>
          <w:b/>
          <w:lang w:eastAsia="zh-CN"/>
        </w:rPr>
        <w:t>注：需提供参选文件及报价表电子版一份（盖章PDF版），报价表须独立盖章密封</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ind w:right="121" w:firstLine="480" w:firstLineChars="20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220"/>
        </w:tabs>
        <w:spacing w:line="360" w:lineRule="auto"/>
        <w:ind w:left="0" w:leftChars="0" w:firstLine="543" w:firstLineChars="245"/>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21"/>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21"/>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415567504"/>
      <w:bookmarkStart w:id="3" w:name="_Toc177186249"/>
      <w:bookmarkStart w:id="4" w:name="_Toc430489126"/>
      <w:bookmarkStart w:id="5" w:name="_Toc430488858"/>
      <w:bookmarkStart w:id="6" w:name="_Toc304357904"/>
      <w:bookmarkStart w:id="7" w:name="_Toc430490619"/>
      <w:bookmarkStart w:id="8" w:name="_Toc430422420"/>
    </w:p>
    <w:p>
      <w:pPr>
        <w:pStyle w:val="21"/>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21"/>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21"/>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70" w:firstLineChars="196"/>
        <w:outlineLvl w:val="0"/>
        <w:rPr>
          <w:sz w:val="24"/>
          <w:szCs w:val="24"/>
          <w:lang w:eastAsia="zh-CN"/>
        </w:rPr>
      </w:pPr>
      <w:bookmarkStart w:id="9" w:name="_Toc30266"/>
      <w:r>
        <w:rPr>
          <w:rFonts w:hint="eastAsia"/>
          <w:sz w:val="24"/>
          <w:szCs w:val="24"/>
          <w:lang w:eastAsia="zh-CN"/>
        </w:rPr>
        <w:t>a.参选人应在参选文件中附上服务业绩的合同文件复印件。</w:t>
      </w:r>
      <w:bookmarkEnd w:id="9"/>
    </w:p>
    <w:p>
      <w:pPr>
        <w:spacing w:line="360" w:lineRule="auto"/>
        <w:ind w:firstLine="470" w:firstLineChars="196"/>
        <w:outlineLvl w:val="0"/>
        <w:rPr>
          <w:sz w:val="24"/>
          <w:szCs w:val="24"/>
          <w:lang w:eastAsia="zh-CN"/>
        </w:rPr>
      </w:pPr>
      <w:bookmarkStart w:id="10" w:name="_Toc4607"/>
      <w:r>
        <w:rPr>
          <w:rFonts w:hint="eastAsia"/>
          <w:sz w:val="24"/>
          <w:szCs w:val="24"/>
          <w:lang w:eastAsia="zh-CN"/>
        </w:rPr>
        <w:t>b.若所报业绩的合同文件未体现压力容器、管道修复及项目负责人等项目特征的，还应同时附上项目技术协议书复印件加盖参选人单位公章；若合同文件、技术协议书均未体现上述项目特征的，应补充提交建设单位出具的证明文件复印件加盖参选人单位公章，否则，其业绩无效。</w:t>
      </w:r>
      <w:bookmarkEnd w:id="10"/>
    </w:p>
    <w:p>
      <w:pPr>
        <w:spacing w:line="360" w:lineRule="auto"/>
        <w:ind w:firstLine="470" w:firstLineChars="196"/>
        <w:outlineLvl w:val="0"/>
        <w:rPr>
          <w:sz w:val="24"/>
          <w:szCs w:val="24"/>
          <w:lang w:eastAsia="zh-CN"/>
        </w:rPr>
      </w:pPr>
      <w:bookmarkStart w:id="11" w:name="_Toc982"/>
      <w:r>
        <w:rPr>
          <w:rFonts w:hint="eastAsia"/>
          <w:sz w:val="24"/>
          <w:szCs w:val="24"/>
          <w:lang w:eastAsia="zh-CN"/>
        </w:rPr>
        <w:t>c. 所报“业绩”时间以合同签订的日期为准。</w:t>
      </w:r>
      <w:bookmarkEnd w:id="11"/>
    </w:p>
    <w:p>
      <w:pPr>
        <w:tabs>
          <w:tab w:val="center" w:pos="540"/>
          <w:tab w:val="center" w:pos="1080"/>
        </w:tabs>
        <w:spacing w:line="360" w:lineRule="auto"/>
        <w:ind w:firstLine="480" w:firstLineChars="200"/>
        <w:rPr>
          <w:sz w:val="24"/>
          <w:szCs w:val="24"/>
          <w:lang w:eastAsia="zh-CN"/>
        </w:rPr>
      </w:pPr>
      <w:r>
        <w:rPr>
          <w:rFonts w:hint="eastAsia"/>
          <w:sz w:val="24"/>
          <w:szCs w:val="24"/>
          <w:lang w:eastAsia="zh-CN"/>
        </w:rPr>
        <w:t>d.参选人应在业绩证明文件中针对项目特征作出明显标记，以便评委进行评审。参选人与其拟派的项目经理的“类似项目业绩”可为同一项目，也可为不同项目。</w:t>
      </w:r>
    </w:p>
    <w:p>
      <w:pPr>
        <w:tabs>
          <w:tab w:val="left" w:pos="825"/>
        </w:tabs>
        <w:spacing w:line="360" w:lineRule="auto"/>
        <w:ind w:firstLine="480" w:firstLineChars="200"/>
        <w:rPr>
          <w:b/>
          <w:bCs/>
          <w:u w:val="double"/>
          <w:lang w:eastAsia="zh-CN"/>
        </w:rPr>
      </w:pPr>
      <w:r>
        <w:rPr>
          <w:rFonts w:hint="eastAsia"/>
          <w:sz w:val="24"/>
          <w:szCs w:val="24"/>
          <w:lang w:eastAsia="zh-CN"/>
        </w:rPr>
        <w:t>e.参选人应对申报业绩的真实性和准确性负责。在比选过程中，比选人有权对参选人申报的项目业绩进行核实和澄清，若参选人所申报资料内容有失实情况，则该参选人即被取消参选或中选资格。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21"/>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pPr>
        <w:pStyle w:val="57"/>
        <w:sectPr>
          <w:pgSz w:w="11910" w:h="16840"/>
          <w:pgMar w:top="1500" w:right="1020" w:bottom="740" w:left="1300" w:header="0" w:footer="551" w:gutter="0"/>
          <w:cols w:space="720" w:num="1"/>
        </w:sectPr>
      </w:pPr>
    </w:p>
    <w:p>
      <w:pPr>
        <w:pStyle w:val="4"/>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pStyle w:val="21"/>
        <w:numPr>
          <w:ilvl w:val="255"/>
          <w:numId w:val="0"/>
        </w:numPr>
        <w:spacing w:line="360" w:lineRule="auto"/>
        <w:ind w:left="440" w:leftChars="20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pPr>
        <w:pStyle w:val="21"/>
        <w:numPr>
          <w:ilvl w:val="255"/>
          <w:numId w:val="0"/>
        </w:numPr>
        <w:spacing w:line="360" w:lineRule="auto"/>
        <w:ind w:left="440" w:leftChars="200"/>
        <w:rPr>
          <w:lang w:eastAsia="zh-CN"/>
        </w:rPr>
      </w:pPr>
      <w:r>
        <w:rPr>
          <w:rFonts w:hint="eastAsia"/>
          <w:lang w:eastAsia="zh-CN"/>
        </w:rPr>
        <w:t>5</w:t>
      </w:r>
      <w:r>
        <w:rPr>
          <w:lang w:eastAsia="zh-CN"/>
        </w:rPr>
        <w:t>.比选人将做开选记录</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0"/>
        <w:jc w:val="both"/>
        <w:rPr>
          <w:b/>
          <w:color w:val="FF0000"/>
          <w:lang w:eastAsia="zh-CN"/>
        </w:rPr>
      </w:pPr>
      <w:r>
        <w:rPr>
          <w:rFonts w:hint="eastAsia"/>
          <w:b/>
          <w:color w:val="FF0000"/>
          <w:lang w:eastAsia="zh-CN"/>
        </w:rPr>
        <w:t>本项目设置最高暂定总价控制价：</w:t>
      </w:r>
    </w:p>
    <w:p>
      <w:pPr>
        <w:pStyle w:val="21"/>
        <w:spacing w:line="360" w:lineRule="auto"/>
        <w:ind w:right="121" w:firstLine="480"/>
        <w:jc w:val="both"/>
        <w:rPr>
          <w:b/>
          <w:color w:val="FF0000"/>
          <w:lang w:eastAsia="zh-CN"/>
        </w:rPr>
      </w:pPr>
      <w:r>
        <w:rPr>
          <w:rFonts w:hint="eastAsia"/>
          <w:b/>
          <w:color w:val="FF0000"/>
          <w:lang w:eastAsia="zh-CN"/>
        </w:rPr>
        <w:t>1）生产一团队零星劳务项目：8.2万元（含税）</w:t>
      </w:r>
    </w:p>
    <w:p>
      <w:pPr>
        <w:pStyle w:val="21"/>
        <w:spacing w:line="360" w:lineRule="auto"/>
        <w:ind w:right="121" w:firstLine="480"/>
        <w:jc w:val="both"/>
        <w:rPr>
          <w:lang w:eastAsia="zh-CN"/>
        </w:rPr>
      </w:pPr>
      <w:r>
        <w:rPr>
          <w:rFonts w:hint="eastAsia"/>
          <w:b/>
          <w:color w:val="FF0000"/>
          <w:lang w:eastAsia="zh-CN"/>
        </w:rPr>
        <w:t>2)芳烃团队白土及脱氯剂装卸项目：46.4万元（含税）</w:t>
      </w:r>
      <w:r>
        <w:rPr>
          <w:rFonts w:hint="eastAsia"/>
          <w:lang w:eastAsia="zh-CN"/>
        </w:rPr>
        <w:t>。</w:t>
      </w:r>
    </w:p>
    <w:p>
      <w:pPr>
        <w:pStyle w:val="21"/>
        <w:spacing w:line="360" w:lineRule="auto"/>
        <w:ind w:right="121" w:firstLine="480"/>
        <w:jc w:val="both"/>
        <w:rPr>
          <w:lang w:eastAsia="zh-CN"/>
        </w:rPr>
      </w:pP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sz w:val="24"/>
          <w:szCs w:val="24"/>
          <w:lang w:eastAsia="zh-CN"/>
        </w:rPr>
        <w:t>本项目采用商</w:t>
      </w:r>
      <w:r>
        <w:rPr>
          <w:rFonts w:hint="eastAsia"/>
          <w:color w:val="000000"/>
          <w:sz w:val="24"/>
          <w:szCs w:val="24"/>
          <w:shd w:val="clear" w:color="auto" w:fill="FFFFFF"/>
          <w:lang w:eastAsia="zh-CN"/>
        </w:rPr>
        <w:t>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tabs>
          <w:tab w:val="left" w:pos="2860"/>
        </w:tabs>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ind w:right="121" w:firstLine="480" w:firstLineChars="200"/>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57"/>
        <w:adjustRightInd/>
        <w:spacing w:line="360" w:lineRule="auto"/>
        <w:ind w:firstLine="437"/>
        <w:rPr>
          <w:rFonts w:hAnsi="宋体"/>
          <w:sz w:val="24"/>
          <w:szCs w:val="24"/>
        </w:rPr>
      </w:pPr>
      <w:r>
        <w:rPr>
          <w:rFonts w:hint="eastAsia"/>
          <w:sz w:val="24"/>
          <w:szCs w:val="24"/>
        </w:rPr>
        <w:t xml:space="preserve">8. </w:t>
      </w:r>
      <w:r>
        <w:rPr>
          <w:rFonts w:hint="eastAsia" w:hAnsi="宋体"/>
          <w:sz w:val="24"/>
          <w:szCs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szCs w:val="24"/>
        </w:rPr>
        <w:t>人应对参选文件资料的真实性负责</w:t>
      </w:r>
      <w:r>
        <w:rPr>
          <w:rFonts w:hint="eastAsia" w:hAnsi="宋体"/>
          <w:sz w:val="24"/>
          <w:szCs w:val="24"/>
        </w:rPr>
        <w:t>，如发现其所提交的资料不真实，比选人将视其为以弄虚作假方式骗取中选，其中选无效。参选人给比选人造成损失的，应依法承担赔偿责任。</w:t>
      </w:r>
    </w:p>
    <w:p>
      <w:pPr>
        <w:pStyle w:val="57"/>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4"/>
        <w:tabs>
          <w:tab w:val="left" w:pos="1912"/>
        </w:tabs>
        <w:spacing w:line="355" w:lineRule="exact"/>
        <w:ind w:left="647" w:firstLine="3092" w:firstLineChars="1100"/>
        <w:jc w:val="both"/>
        <w:rPr>
          <w:lang w:eastAsia="zh-CN"/>
        </w:rPr>
      </w:pPr>
    </w:p>
    <w:p>
      <w:pPr>
        <w:pStyle w:val="57"/>
      </w:pPr>
    </w:p>
    <w:p>
      <w:pPr>
        <w:pStyle w:val="57"/>
      </w:pPr>
    </w:p>
    <w:p>
      <w:pPr>
        <w:pStyle w:val="57"/>
      </w:pPr>
    </w:p>
    <w:p>
      <w:pPr>
        <w:pStyle w:val="57"/>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rFonts w:ascii="Times New Roman"/>
          <w:b/>
          <w:bCs/>
          <w:lang w:eastAsia="zh-CN"/>
        </w:rPr>
      </w:pPr>
      <w:r>
        <w:rPr>
          <w:rFonts w:hint="eastAsia" w:ascii="Times New Roman"/>
          <w:b/>
          <w:bCs/>
          <w:lang w:eastAsia="zh-CN"/>
        </w:rPr>
        <w:t>附件一、合同文本</w:t>
      </w:r>
      <w:bookmarkStart w:id="13" w:name="_Toc251742852"/>
    </w:p>
    <w:p>
      <w:pPr>
        <w:pStyle w:val="21"/>
        <w:jc w:val="center"/>
        <w:rPr>
          <w:b/>
          <w:sz w:val="32"/>
          <w:szCs w:val="32"/>
          <w:lang w:eastAsia="zh-CN"/>
        </w:rPr>
      </w:pPr>
      <w:r>
        <w:rPr>
          <w:rFonts w:hint="eastAsia"/>
          <w:b/>
          <w:sz w:val="32"/>
          <w:szCs w:val="32"/>
          <w:lang w:eastAsia="zh-CN"/>
        </w:rPr>
        <w:t>福建福海创石油化工有限公司</w:t>
      </w:r>
    </w:p>
    <w:p>
      <w:pPr>
        <w:jc w:val="center"/>
        <w:rPr>
          <w:b/>
          <w:sz w:val="32"/>
          <w:szCs w:val="32"/>
          <w:lang w:eastAsia="zh-CN"/>
        </w:rPr>
      </w:pPr>
      <w:r>
        <w:rPr>
          <w:rFonts w:hint="eastAsia"/>
          <w:b/>
          <w:bCs/>
          <w:sz w:val="32"/>
          <w:lang w:eastAsia="zh-CN"/>
        </w:rPr>
        <w:t>芳烃团队白土及脱氯剂装卸及生产一团队零星劳务项目</w:t>
      </w:r>
      <w:r>
        <w:rPr>
          <w:rFonts w:hint="eastAsia"/>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1"/>
        <w:tabs>
          <w:tab w:val="right" w:leader="middleDot" w:pos="8190"/>
        </w:tabs>
        <w:spacing w:line="360" w:lineRule="auto"/>
        <w:rPr>
          <w:rFonts w:asciiTheme="majorEastAsia" w:hAnsiTheme="majorEastAsia" w:eastAsiaTheme="majorEastAsia"/>
          <w:b/>
          <w:lang w:eastAsia="zh-CN"/>
        </w:rPr>
      </w:pPr>
      <w:r>
        <w:rPr>
          <w:rFonts w:hint="eastAsia" w:asciiTheme="majorEastAsia" w:hAnsiTheme="majorEastAsia" w:eastAsiaTheme="majorEastAsia"/>
          <w:b/>
          <w:lang w:eastAsia="zh-CN"/>
        </w:rPr>
        <w:t>发包人（甲方）：</w:t>
      </w:r>
      <w:r>
        <w:rPr>
          <w:rFonts w:hint="eastAsia"/>
          <w:spacing w:val="20"/>
          <w:u w:val="single"/>
          <w:lang w:eastAsia="zh-CN"/>
        </w:rPr>
        <w:t>腾龙芳烃（漳州）有限公司</w:t>
      </w:r>
    </w:p>
    <w:p>
      <w:pPr>
        <w:pStyle w:val="21"/>
        <w:spacing w:line="360" w:lineRule="auto"/>
        <w:rPr>
          <w:rFonts w:asciiTheme="majorEastAsia" w:hAnsiTheme="majorEastAsia" w:eastAsiaTheme="majorEastAsia"/>
          <w:lang w:eastAsia="zh-CN"/>
        </w:rPr>
      </w:pPr>
      <w:r>
        <w:rPr>
          <w:rFonts w:hint="eastAsia" w:asciiTheme="majorEastAsia" w:hAnsiTheme="majorEastAsia" w:eastAsiaTheme="majorEastAsia"/>
          <w:b/>
          <w:lang w:eastAsia="zh-CN"/>
        </w:rPr>
        <w:t>承包人（乙方）：</w:t>
      </w:r>
    </w:p>
    <w:p>
      <w:pPr>
        <w:pStyle w:val="21"/>
        <w:spacing w:line="360" w:lineRule="auto"/>
        <w:ind w:firstLine="600" w:firstLineChars="250"/>
        <w:rPr>
          <w:rFonts w:asciiTheme="majorEastAsia" w:hAnsiTheme="majorEastAsia" w:eastAsiaTheme="majorEastAsia"/>
          <w:lang w:eastAsia="zh-CN"/>
        </w:rPr>
      </w:pPr>
      <w:r>
        <w:rPr>
          <w:rFonts w:hint="eastAsia" w:asciiTheme="majorEastAsia" w:hAnsiTheme="majorEastAsia" w:eastAsiaTheme="majorEastAsia"/>
          <w:lang w:eastAsia="zh-CN"/>
        </w:rPr>
        <w:t>依照《中华人民共和国民法典》第三编合同及其他有关法律、行政法规，遵循平等、自愿、公平和诚实信用的原则，双方就本工程作业项目协商一致，订立本合同。</w:t>
      </w:r>
    </w:p>
    <w:p>
      <w:pPr>
        <w:pStyle w:val="21"/>
        <w:spacing w:line="360" w:lineRule="auto"/>
        <w:ind w:firstLine="600" w:firstLineChars="250"/>
        <w:rPr>
          <w:rFonts w:asciiTheme="majorEastAsia" w:hAnsiTheme="majorEastAsia" w:eastAsiaTheme="majorEastAsia"/>
          <w:lang w:eastAsia="zh-CN"/>
        </w:rPr>
      </w:pPr>
      <w:r>
        <w:rPr>
          <w:rFonts w:hint="eastAsia" w:asciiTheme="majorEastAsia" w:hAnsiTheme="majorEastAsia" w:eastAsiaTheme="majorEastAsia"/>
          <w:lang w:eastAsia="zh-CN"/>
        </w:rPr>
        <w:t>本合同中使用的货币为人民币。</w:t>
      </w:r>
    </w:p>
    <w:p>
      <w:pPr>
        <w:pStyle w:val="47"/>
        <w:spacing w:after="0" w:line="360" w:lineRule="auto"/>
        <w:ind w:firstLine="422" w:firstLineChars="200"/>
        <w:rPr>
          <w:rFonts w:asciiTheme="majorEastAsia" w:hAnsiTheme="majorEastAsia" w:eastAsiaTheme="majorEastAsia"/>
          <w:b/>
          <w:szCs w:val="24"/>
        </w:rPr>
      </w:pPr>
      <w:r>
        <w:rPr>
          <w:rFonts w:hint="eastAsia" w:asciiTheme="majorEastAsia" w:hAnsiTheme="majorEastAsia" w:eastAsiaTheme="majorEastAsia"/>
          <w:b/>
          <w:szCs w:val="24"/>
        </w:rPr>
        <w:t>词语定义：</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本文及附件中“发包人” 、“甲方” 均指“</w:t>
      </w:r>
      <w:r>
        <w:rPr>
          <w:rFonts w:hint="eastAsia"/>
          <w:spacing w:val="20"/>
          <w:sz w:val="24"/>
          <w:u w:val="single"/>
        </w:rPr>
        <w:t>腾龙芳烃（漳州）有限公司</w:t>
      </w:r>
      <w:r>
        <w:rPr>
          <w:rFonts w:hint="eastAsia" w:asciiTheme="majorEastAsia" w:hAnsiTheme="majorEastAsia" w:eastAsiaTheme="majorEastAsia"/>
          <w:szCs w:val="24"/>
        </w:rPr>
        <w:t>”；</w:t>
      </w:r>
    </w:p>
    <w:p>
      <w:pPr>
        <w:pStyle w:val="47"/>
        <w:spacing w:after="0" w:line="360" w:lineRule="auto"/>
        <w:ind w:firstLineChars="200"/>
        <w:rPr>
          <w:rFonts w:asciiTheme="majorEastAsia" w:hAnsiTheme="majorEastAsia" w:eastAsiaTheme="majorEastAsia"/>
          <w:szCs w:val="24"/>
        </w:rPr>
      </w:pPr>
      <w:r>
        <w:rPr>
          <w:rFonts w:hint="eastAsia" w:asciiTheme="majorEastAsia" w:hAnsiTheme="majorEastAsia" w:eastAsiaTheme="majorEastAsia"/>
          <w:szCs w:val="24"/>
        </w:rPr>
        <w:t>本文及附件中“承包人” 、“乙方” 、“承揽商”等均指“”。</w:t>
      </w:r>
    </w:p>
    <w:p>
      <w:pPr>
        <w:pStyle w:val="35"/>
        <w:tabs>
          <w:tab w:val="left" w:pos="2130"/>
        </w:tabs>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一、工程名称 </w:t>
      </w:r>
      <w:r>
        <w:rPr>
          <w:rFonts w:hint="eastAsia" w:asciiTheme="majorEastAsia" w:hAnsiTheme="majorEastAsia" w:eastAsiaTheme="majorEastAsia"/>
          <w:bCs/>
          <w:sz w:val="24"/>
        </w:rPr>
        <w:t xml:space="preserve"> </w:t>
      </w:r>
      <w:r>
        <w:rPr>
          <w:rFonts w:hint="eastAsia" w:asciiTheme="majorEastAsia" w:hAnsiTheme="majorEastAsia" w:eastAsiaTheme="majorEastAsia"/>
          <w:b/>
          <w:sz w:val="24"/>
        </w:rPr>
        <w:t>芳烃团队白土及脱氯剂装卸及生产一团队零星劳务项目</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二、工程地点  </w:t>
      </w:r>
      <w:r>
        <w:rPr>
          <w:rFonts w:hint="eastAsia" w:asciiTheme="majorEastAsia" w:hAnsiTheme="majorEastAsia" w:eastAsiaTheme="majorEastAsia"/>
          <w:sz w:val="24"/>
        </w:rPr>
        <w:t>福建省漳州古雷</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 xml:space="preserve">三、工程范围及要求   </w:t>
      </w:r>
    </w:p>
    <w:p>
      <w:pPr>
        <w:pStyle w:val="35"/>
        <w:spacing w:line="360" w:lineRule="auto"/>
        <w:ind w:left="480" w:hanging="480"/>
        <w:rPr>
          <w:rFonts w:asciiTheme="majorEastAsia" w:hAnsiTheme="majorEastAsia" w:eastAsiaTheme="majorEastAsia"/>
          <w:sz w:val="24"/>
        </w:rPr>
      </w:pPr>
      <w:r>
        <w:rPr>
          <w:rFonts w:hint="eastAsia" w:asciiTheme="majorEastAsia" w:hAnsiTheme="majorEastAsia" w:eastAsiaTheme="majorEastAsia"/>
          <w:sz w:val="24"/>
        </w:rPr>
        <w:t>3.1 工作内容：详见附件1.1、《生产一团队零星劳务发包说明》、附件1.2、《芳烃团队白土及脱氯剂装卸发包说明》。</w:t>
      </w:r>
    </w:p>
    <w:p>
      <w:pPr>
        <w:pStyle w:val="35"/>
        <w:spacing w:line="360" w:lineRule="auto"/>
        <w:ind w:left="480" w:hanging="480"/>
        <w:rPr>
          <w:rFonts w:asciiTheme="majorEastAsia" w:hAnsiTheme="majorEastAsia" w:eastAsiaTheme="majorEastAsia"/>
          <w:sz w:val="24"/>
        </w:rPr>
      </w:pPr>
      <w:r>
        <w:rPr>
          <w:rFonts w:hint="eastAsia" w:asciiTheme="majorEastAsia" w:hAnsiTheme="majorEastAsia" w:eastAsiaTheme="majorEastAsia"/>
          <w:sz w:val="24"/>
        </w:rPr>
        <w:t>3.2 工作时间：乙方人员需依据甲方业务需求及工作需要安排足够人员，配合甲方进行劳务搬运作业等业务。如因生产需要，必须配合现场加班，乙方不得借故推诿，应随时调派人员出勤。</w:t>
      </w:r>
    </w:p>
    <w:p>
      <w:pPr>
        <w:pStyle w:val="35"/>
        <w:spacing w:line="360" w:lineRule="auto"/>
        <w:ind w:left="198" w:hanging="198" w:hangingChars="82"/>
        <w:rPr>
          <w:rFonts w:asciiTheme="majorEastAsia" w:hAnsiTheme="majorEastAsia" w:eastAsiaTheme="majorEastAsia"/>
          <w:b/>
          <w:sz w:val="24"/>
        </w:rPr>
      </w:pPr>
      <w:r>
        <w:rPr>
          <w:rFonts w:hint="eastAsia" w:asciiTheme="majorEastAsia" w:hAnsiTheme="majorEastAsia" w:eastAsiaTheme="majorEastAsia"/>
          <w:b/>
          <w:sz w:val="24"/>
        </w:rPr>
        <w:t>四、合同工期</w:t>
      </w:r>
    </w:p>
    <w:p>
      <w:pPr>
        <w:pStyle w:val="35"/>
        <w:spacing w:line="360" w:lineRule="auto"/>
        <w:ind w:left="2208" w:leftChars="240" w:hanging="1680" w:hangingChars="700"/>
        <w:rPr>
          <w:rFonts w:asciiTheme="majorEastAsia" w:hAnsiTheme="majorEastAsia" w:eastAsiaTheme="majorEastAsia"/>
          <w:b/>
          <w:color w:val="000000" w:themeColor="text1"/>
          <w:sz w:val="24"/>
        </w:rPr>
      </w:pPr>
      <w:r>
        <w:rPr>
          <w:rFonts w:hint="eastAsia" w:asciiTheme="majorEastAsia" w:hAnsiTheme="majorEastAsia" w:eastAsiaTheme="majorEastAsia"/>
          <w:sz w:val="24"/>
        </w:rPr>
        <w:t>合同履行期限：合同签定之日起生效，至履约完成合同附件1.1、《生产一团队零星劳务发包说明》、附件1.2、《芳烃团队白土及脱氯剂装卸发包说明》</w:t>
      </w:r>
      <w:r>
        <w:rPr>
          <w:rFonts w:hint="eastAsia" w:asciiTheme="majorEastAsia" w:hAnsiTheme="majorEastAsia" w:eastAsiaTheme="majorEastAsia"/>
          <w:color w:val="000000" w:themeColor="text1"/>
          <w:sz w:val="24"/>
        </w:rPr>
        <w:t>内容止。</w:t>
      </w:r>
    </w:p>
    <w:p>
      <w:pPr>
        <w:pStyle w:val="35"/>
        <w:spacing w:line="360" w:lineRule="auto"/>
        <w:ind w:left="482" w:hanging="482"/>
        <w:rPr>
          <w:rFonts w:asciiTheme="majorEastAsia" w:hAnsiTheme="majorEastAsia" w:eastAsiaTheme="majorEastAsia"/>
          <w:b/>
          <w:sz w:val="24"/>
        </w:rPr>
      </w:pPr>
      <w:r>
        <w:rPr>
          <w:rFonts w:hint="eastAsia" w:asciiTheme="majorEastAsia" w:hAnsiTheme="majorEastAsia" w:eastAsiaTheme="majorEastAsia"/>
          <w:b/>
          <w:sz w:val="24"/>
        </w:rPr>
        <w:t>五、合同价款</w:t>
      </w:r>
    </w:p>
    <w:p>
      <w:pPr>
        <w:pStyle w:val="35"/>
        <w:spacing w:line="360" w:lineRule="auto"/>
        <w:ind w:left="540" w:hanging="540" w:hangingChars="225"/>
        <w:rPr>
          <w:rFonts w:asciiTheme="majorEastAsia" w:hAnsiTheme="majorEastAsia" w:eastAsiaTheme="majorEastAsia"/>
          <w:sz w:val="24"/>
        </w:rPr>
      </w:pPr>
      <w:r>
        <w:rPr>
          <w:rFonts w:hint="eastAsia" w:asciiTheme="majorEastAsia" w:hAnsiTheme="majorEastAsia" w:eastAsiaTheme="majorEastAsia"/>
          <w:sz w:val="24"/>
        </w:rPr>
        <w:t xml:space="preserve">5.1 </w:t>
      </w:r>
      <w:r>
        <w:rPr>
          <w:rFonts w:hint="eastAsia" w:asciiTheme="majorEastAsia" w:hAnsiTheme="majorEastAsia" w:eastAsiaTheme="majorEastAsia"/>
          <w:color w:val="3C3C3C"/>
          <w:sz w:val="24"/>
          <w:szCs w:val="24"/>
        </w:rPr>
        <w:t>本合同采用固定单价，暂定总价的承包方式，暂定总价为  整，小写 ￥</w:t>
      </w:r>
      <w:r>
        <w:rPr>
          <w:rFonts w:hint="eastAsia" w:asciiTheme="majorEastAsia" w:hAnsiTheme="majorEastAsia" w:eastAsiaTheme="majorEastAsia"/>
          <w:color w:val="3C3C3C"/>
          <w:sz w:val="24"/>
          <w:szCs w:val="24"/>
          <w:u w:val="single"/>
        </w:rPr>
        <w:t xml:space="preserve"> </w:t>
      </w:r>
      <w:r>
        <w:rPr>
          <w:rFonts w:hint="eastAsia" w:asciiTheme="majorEastAsia" w:hAnsiTheme="majorEastAsia" w:eastAsiaTheme="majorEastAsia"/>
          <w:color w:val="3C3C3C"/>
          <w:sz w:val="24"/>
          <w:szCs w:val="24"/>
        </w:rPr>
        <w:t>元</w:t>
      </w:r>
      <w:r>
        <w:rPr>
          <w:rFonts w:hint="eastAsia"/>
          <w:b/>
          <w:bCs/>
          <w:sz w:val="24"/>
          <w:szCs w:val="24"/>
        </w:rPr>
        <w:t>。</w:t>
      </w:r>
      <w:r>
        <w:rPr>
          <w:rFonts w:hint="eastAsia" w:asciiTheme="majorEastAsia" w:hAnsiTheme="majorEastAsia" w:eastAsiaTheme="majorEastAsia"/>
          <w:color w:val="3C3C3C"/>
          <w:sz w:val="24"/>
          <w:szCs w:val="24"/>
        </w:rPr>
        <w:t>（含税价税率</w:t>
      </w:r>
      <w:r>
        <w:rPr>
          <w:rFonts w:hint="eastAsia" w:asciiTheme="majorEastAsia" w:hAnsiTheme="majorEastAsia" w:eastAsiaTheme="majorEastAsia"/>
          <w:color w:val="3C3C3C"/>
          <w:sz w:val="24"/>
          <w:szCs w:val="24"/>
          <w:u w:val="single"/>
        </w:rPr>
        <w:t xml:space="preserve">  % </w:t>
      </w:r>
      <w:r>
        <w:rPr>
          <w:rFonts w:hint="eastAsia" w:asciiTheme="majorEastAsia" w:hAnsiTheme="majorEastAsia" w:eastAsiaTheme="majorEastAsia"/>
          <w:color w:val="3C3C3C"/>
          <w:sz w:val="24"/>
          <w:szCs w:val="24"/>
        </w:rPr>
        <w:t>，具体见附件2《价格清单》）。</w:t>
      </w:r>
      <w:r>
        <w:rPr>
          <w:rFonts w:hint="eastAsia" w:asciiTheme="majorEastAsia" w:hAnsiTheme="majorEastAsia" w:eastAsiaTheme="majorEastAsia"/>
          <w:sz w:val="24"/>
        </w:rPr>
        <w:t>在合同履行期限内单价固定不变，除因国家政策税率调整之外，不因任何因素作任何调整。</w:t>
      </w:r>
    </w:p>
    <w:p>
      <w:pPr>
        <w:pStyle w:val="35"/>
        <w:spacing w:line="360" w:lineRule="auto"/>
        <w:ind w:left="540" w:hanging="540" w:hangingChars="225"/>
        <w:rPr>
          <w:rFonts w:cs="宋体" w:asciiTheme="majorEastAsia" w:hAnsiTheme="majorEastAsia" w:eastAsiaTheme="majorEastAsia"/>
          <w:sz w:val="24"/>
        </w:rPr>
      </w:pPr>
      <w:r>
        <w:rPr>
          <w:rFonts w:hint="eastAsia" w:cs="宋体" w:asciiTheme="majorEastAsia" w:hAnsiTheme="majorEastAsia" w:eastAsiaTheme="majorEastAsia"/>
          <w:sz w:val="24"/>
        </w:rPr>
        <w:t>5.2 数量为预估作业量，该预估数量不视为甲方对乙方年度数量的承诺。</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5.3合同价款包含但不限于以下风险：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5.3.1 人工费、材料费等市场价格异常波动的风险；</w:t>
      </w:r>
    </w:p>
    <w:p>
      <w:pPr>
        <w:pStyle w:val="35"/>
        <w:spacing w:line="360" w:lineRule="auto"/>
        <w:ind w:left="199" w:hanging="199" w:hangingChars="83"/>
        <w:rPr>
          <w:rFonts w:cs="宋体" w:asciiTheme="majorEastAsia" w:hAnsiTheme="majorEastAsia" w:eastAsiaTheme="majorEastAsia"/>
          <w:sz w:val="24"/>
        </w:rPr>
      </w:pPr>
      <w:r>
        <w:rPr>
          <w:rFonts w:hint="eastAsia" w:cs="宋体" w:asciiTheme="majorEastAsia" w:hAnsiTheme="majorEastAsia" w:eastAsiaTheme="majorEastAsia"/>
          <w:sz w:val="24"/>
        </w:rPr>
        <w:t>5.3.2</w:t>
      </w:r>
      <w:r>
        <w:rPr>
          <w:rFonts w:hint="eastAsia" w:cs="宋体" w:asciiTheme="majorEastAsia" w:hAnsiTheme="majorEastAsia" w:eastAsiaTheme="majorEastAsia"/>
          <w:color w:val="000000"/>
          <w:sz w:val="24"/>
        </w:rPr>
        <w:t>汇率/利率调整风险；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5.3.3施工区域气候条件及其变化造成影响的风险。</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color w:val="000000"/>
          <w:sz w:val="24"/>
        </w:rPr>
        <w:t>5.4 凡涉及本合同工程的质量、作业量的确认均应由有发包人明确授权的人员签证完成并加盖发包人公章始得生效，否则对发包人均无约束力。</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六、付款方式及条件</w:t>
      </w:r>
    </w:p>
    <w:p>
      <w:pPr>
        <w:pStyle w:val="35"/>
        <w:spacing w:line="360" w:lineRule="auto"/>
        <w:ind w:left="0" w:firstLine="477" w:firstLineChars="199"/>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按批次结算，以每批次实际完成作业量及合同固定单价结算。实际作业量经发包人考核，根据考核结果扣除相应考核扣款后确认最终费用，甲方收到乙方提供当批结算款总额增值税专用发票后60日内支付该款。</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七、履约保证</w:t>
      </w:r>
    </w:p>
    <w:p>
      <w:pPr>
        <w:pStyle w:val="35"/>
        <w:spacing w:line="360" w:lineRule="auto"/>
        <w:ind w:left="480" w:hanging="48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7.1 履约保证金：参选保证金RMB10000.00元，将直接转为履约保证金。</w:t>
      </w:r>
    </w:p>
    <w:p>
      <w:pPr>
        <w:pStyle w:val="35"/>
        <w:spacing w:line="360" w:lineRule="auto"/>
        <w:ind w:left="0" w:firstLine="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7.2 履约保证金有效期至合同到期日后30天止。有效期满后，甲方将履约保证金无息返还给乙方。</w:t>
      </w:r>
    </w:p>
    <w:p>
      <w:pPr>
        <w:pStyle w:val="35"/>
        <w:spacing w:line="360" w:lineRule="auto"/>
        <w:ind w:left="480" w:hanging="480"/>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7.3 乙方不履行合同或不完全履行合同，或无法满足合同约定的工作质量、标准、工期、安全等内容，甲方有权从履约保证金中扣除乙方的相应违约赔偿金。</w:t>
      </w:r>
    </w:p>
    <w:p>
      <w:pPr>
        <w:pStyle w:val="35"/>
        <w:spacing w:line="360" w:lineRule="auto"/>
        <w:ind w:left="456" w:hanging="456" w:hangingChars="190"/>
        <w:rPr>
          <w:rFonts w:cs="宋体" w:asciiTheme="majorEastAsia" w:hAnsiTheme="majorEastAsia" w:eastAsiaTheme="majorEastAsia"/>
          <w:sz w:val="24"/>
        </w:rPr>
      </w:pPr>
      <w:r>
        <w:rPr>
          <w:rFonts w:hint="eastAsia" w:cs="宋体" w:asciiTheme="majorEastAsia" w:hAnsiTheme="majorEastAsia" w:eastAsiaTheme="majorEastAsia"/>
          <w:sz w:val="24"/>
        </w:rPr>
        <w:t>7.4 乙方未能在约定的时间内提供符合要求的履约保证金的，视为乙方不履行合同，甲方有权解除本合同，乙方应向甲方支付合同中年度估算总价款20%的金额作为赔偿金。</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八、发包人工作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8.1 发包人向承包人提供发包说明、人员配置说明、作业规范、单价表、HSE承诺书及违反HSE罚款规定等资料，并进行现场技术交流和澄清工作。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8.2 发包人对承包人的工作进行全面的监督、管理和协调。</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8.3 按照合同约定的付款方式及条件支付承包人的劳务费。</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九、承包人工作</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9.1提供公司企业法人营业执照、税务登记证、组织机构代码、法人代表身份证等有效证照。</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9.2按下文附件中的工作内容和要求进行作业。</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9.3 提供发包人所需的一切与本劳务作业有关的进度、质量、工程量统计、HSE管理、人员组织结构、岗位人员配置、轮班配置方案、配套管理制度等资料。</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9.4 按时参加甲方的各种例行会议。</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9.5 遵守政府有关主管部门对施工场地交通、噪音以及环境保护和安全生产等的管理规定，按照规定办理有关手续，并以书面形式通知发包人。</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十、组成合同文件</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10.1 本合同主文</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10.2 下文所列各附件：</w:t>
      </w:r>
    </w:p>
    <w:p>
      <w:pPr>
        <w:pStyle w:val="35"/>
        <w:spacing w:line="360" w:lineRule="auto"/>
        <w:ind w:left="0" w:firstLine="0"/>
        <w:rPr>
          <w:rFonts w:cs="宋体" w:asciiTheme="majorEastAsia" w:hAnsiTheme="majorEastAsia" w:eastAsiaTheme="majorEastAsia"/>
          <w:sz w:val="24"/>
        </w:rPr>
      </w:pPr>
      <w:r>
        <w:rPr>
          <w:rFonts w:hint="eastAsia" w:asciiTheme="majorEastAsia" w:hAnsiTheme="majorEastAsia" w:eastAsiaTheme="majorEastAsia"/>
          <w:sz w:val="24"/>
        </w:rPr>
        <w:t>附件1.1、《生产一团队零星劳务发包说明》、附件1.2、《芳烃团队白土及脱氯剂装卸发包说明》</w:t>
      </w:r>
    </w:p>
    <w:p>
      <w:pPr>
        <w:pStyle w:val="35"/>
        <w:spacing w:line="360" w:lineRule="auto"/>
        <w:ind w:left="0" w:firstLine="0"/>
        <w:rPr>
          <w:rFonts w:cs="宋体" w:asciiTheme="majorEastAsia" w:hAnsiTheme="majorEastAsia" w:eastAsiaTheme="majorEastAsia"/>
          <w:sz w:val="24"/>
        </w:rPr>
      </w:pPr>
      <w:r>
        <w:rPr>
          <w:rFonts w:hint="eastAsia" w:cs="宋体" w:asciiTheme="majorEastAsia" w:hAnsiTheme="majorEastAsia" w:eastAsiaTheme="majorEastAsia"/>
          <w:sz w:val="24"/>
        </w:rPr>
        <w:t>附年2、《价格清单》</w:t>
      </w:r>
    </w:p>
    <w:p>
      <w:pPr>
        <w:pStyle w:val="35"/>
        <w:spacing w:line="360" w:lineRule="auto"/>
        <w:ind w:left="0"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上述各部分内容应互为补充和说明，如合同文件存在歧义或不一致时，以签订文件时间在后的优先适用。</w:t>
      </w:r>
      <w:r>
        <w:rPr>
          <w:rFonts w:hint="eastAsia" w:cs="宋体" w:asciiTheme="majorEastAsia" w:hAnsiTheme="majorEastAsia" w:eastAsiaTheme="majorEastAsia"/>
          <w:sz w:val="24"/>
          <w:lang w:val="en-GB"/>
        </w:rPr>
        <w:t>如签订时间相同则按上述排序，排序在前的文件优先适用。</w:t>
      </w:r>
    </w:p>
    <w:p>
      <w:pPr>
        <w:pStyle w:val="35"/>
        <w:spacing w:line="360" w:lineRule="auto"/>
        <w:ind w:left="482" w:hanging="482"/>
        <w:rPr>
          <w:rFonts w:cs="宋体" w:asciiTheme="majorEastAsia" w:hAnsiTheme="majorEastAsia" w:eastAsiaTheme="majorEastAsia"/>
          <w:b/>
          <w:sz w:val="24"/>
        </w:rPr>
      </w:pPr>
      <w:r>
        <w:rPr>
          <w:rFonts w:hint="eastAsia" w:cs="宋体" w:asciiTheme="majorEastAsia" w:hAnsiTheme="majorEastAsia" w:eastAsiaTheme="majorEastAsia"/>
          <w:b/>
          <w:sz w:val="24"/>
        </w:rPr>
        <w:t>十一、其他约定</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11.1 未经发包人同意，承包人不得随意更换项目经理、其他主要管理人员和组织架构，否则视为根本性违约，发包人有权解除合同并追究违约责任。</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11.2未经发包人许可，承包人不得擅自分包或转包，也不得以挂靠方式由其他施工单位执行本合同。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11.3承包人应确保合法用工，应为其工作人员投法定工伤保险，所需费用由承包人负责。如有发生意外、伤害等事情，概由承包人负全部责任，与发包人无关。</w:t>
      </w:r>
    </w:p>
    <w:p>
      <w:pPr>
        <w:pStyle w:val="35"/>
        <w:spacing w:line="360" w:lineRule="auto"/>
        <w:ind w:left="480" w:hanging="480"/>
        <w:rPr>
          <w:rFonts w:cs="宋体" w:asciiTheme="majorEastAsia" w:hAnsiTheme="majorEastAsia" w:eastAsiaTheme="majorEastAsia"/>
          <w:sz w:val="24"/>
        </w:rPr>
      </w:pPr>
      <w:r>
        <w:rPr>
          <w:rFonts w:hint="eastAsia" w:cs="宋体" w:asciiTheme="majorEastAsia" w:hAnsiTheme="majorEastAsia" w:eastAsiaTheme="majorEastAsia"/>
          <w:sz w:val="24"/>
        </w:rPr>
        <w:t>11.4承包人的办公场所、食宿、员工交通车等均自行解决。</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11.5履约过程中，承包人应遵守政府的各项法令和规章，承包人在作业过程中因违规被政府或行业主管单位罚款时，包括发包人的连带罚款均应由承包人承担。</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11.6承包人在作业过程中造成需要保护的地下管线、电缆及附近建（构）筑物损坏的，由承包人自费负责修复。</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11.7 承包人在作业工程中自行解决叉车、起重工具、劳务工具、劳保用品等，装置区固定劳务由承包人提供考勤机。</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11.8 承包人对发包人直接或间接提供给承包人或由承包人基于合同进行服务而从发包人获取的所有商议和技术信息资料等，均应作为保密资料。承包人应对保密资料承担保密责任；未经发包人事先书面批准，承包人不得对外披露、使用于除履行本合同之外的目的。承包人违反保密承诺的，发包人有权要求承包人支付违约金人民币5万元，并赔偿由此给发包人造成的损失。</w:t>
      </w:r>
    </w:p>
    <w:p>
      <w:pPr>
        <w:pStyle w:val="35"/>
        <w:spacing w:line="360" w:lineRule="auto"/>
        <w:ind w:left="0" w:firstLine="0"/>
        <w:rPr>
          <w:rFonts w:cs="宋体" w:asciiTheme="majorEastAsia" w:hAnsiTheme="majorEastAsia" w:eastAsiaTheme="majorEastAsia"/>
          <w:b/>
          <w:sz w:val="24"/>
        </w:rPr>
      </w:pPr>
      <w:r>
        <w:rPr>
          <w:rFonts w:hint="eastAsia" w:cs="宋体" w:asciiTheme="majorEastAsia" w:hAnsiTheme="majorEastAsia" w:eastAsiaTheme="majorEastAsia"/>
          <w:b/>
          <w:sz w:val="24"/>
        </w:rPr>
        <w:t>十二、违约责任</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12.1 履约过程中，乙方违反</w:t>
      </w:r>
      <w:r>
        <w:rPr>
          <w:rFonts w:hint="eastAsia" w:asciiTheme="majorEastAsia" w:hAnsiTheme="majorEastAsia" w:eastAsiaTheme="majorEastAsia"/>
          <w:sz w:val="24"/>
        </w:rPr>
        <w:t>附件1.1、《生产一团队零星劳务发包说明》、附件1.2、《芳烃团队白土及脱氯剂装卸发包说明》</w:t>
      </w:r>
      <w:r>
        <w:rPr>
          <w:rFonts w:hint="eastAsia" w:cs="宋体" w:asciiTheme="majorEastAsia" w:hAnsiTheme="majorEastAsia" w:eastAsiaTheme="majorEastAsia"/>
          <w:sz w:val="24"/>
        </w:rPr>
        <w:t>》规定的，甲方有权从当月结算款中扣除对乙方的罚款，如结算款不足以抵扣时，则从履约保证金中扣除。</w:t>
      </w:r>
      <w:r>
        <w:rPr>
          <w:rFonts w:hint="eastAsia" w:asciiTheme="majorEastAsia" w:hAnsiTheme="majorEastAsia" w:eastAsiaTheme="majorEastAsia"/>
          <w:sz w:val="24"/>
        </w:rPr>
        <w:t>附件1.1、《生产一团队零星劳务发包说明》、附件1.2、《芳烃团队白土及脱氯剂装卸发包说明》</w:t>
      </w:r>
      <w:r>
        <w:rPr>
          <w:rFonts w:hint="eastAsia" w:cs="宋体" w:asciiTheme="majorEastAsia" w:hAnsiTheme="majorEastAsia" w:eastAsiaTheme="majorEastAsia"/>
          <w:sz w:val="24"/>
        </w:rPr>
        <w:t>与本合同十二条违约责任约定不一致的，按照对乙方较为严格的固定执行。</w:t>
      </w:r>
    </w:p>
    <w:p>
      <w:pPr>
        <w:pStyle w:val="35"/>
        <w:spacing w:line="360" w:lineRule="auto"/>
        <w:ind w:left="600" w:hanging="600" w:hangingChars="250"/>
        <w:rPr>
          <w:rFonts w:cs="宋体" w:asciiTheme="majorEastAsia" w:hAnsiTheme="majorEastAsia" w:eastAsiaTheme="majorEastAsia"/>
          <w:color w:val="FF0000"/>
          <w:sz w:val="24"/>
        </w:rPr>
      </w:pPr>
      <w:r>
        <w:rPr>
          <w:rFonts w:hint="eastAsia" w:cs="宋体" w:asciiTheme="majorEastAsia" w:hAnsiTheme="majorEastAsia" w:eastAsiaTheme="majorEastAsia"/>
          <w:sz w:val="24"/>
        </w:rPr>
        <w:t>12.2承包人及其工作人员必须严格遵守发包人的规章制度和安全操作规程，如因承包人违规作业造成发包人或第三方人身伤害或财产损失的，一切责任由承包人负担。</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12.3 乙方出现人力不足或不能及时作业，每出现一次，乙方应向甲方支付违约金3000元；违约金不足以弥补甲方损失的，甲方有权追偿。</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12.4 乙方未经甲方同意，擅自更换项目经理、其他主要管理人员或组织架构时：第一次，乙方应向甲方支付违约金5000元；第二次，甲方可解除合同。</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12.5有下列情形之一的，视为乙方根本性违约，发包人可以解除合同，另行招商承揽。</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12.5.1 乙方出现人力不足或不能及时作业，甲方提出改善通知达三次，但乙方未明显改善的。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12.5.2 乙方工作存在严重缺陷，不符合约定标准，经纠正后仍达不到标准的。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12.5.3 乙方无正当理由，自行停工、怠工且不服从甲方合理劝告或安排的。</w:t>
      </w:r>
    </w:p>
    <w:p>
      <w:pPr>
        <w:pStyle w:val="35"/>
        <w:spacing w:line="360" w:lineRule="auto"/>
        <w:ind w:left="840" w:hanging="840" w:hangingChars="350"/>
        <w:rPr>
          <w:rFonts w:cs="宋体" w:asciiTheme="majorEastAsia" w:hAnsiTheme="majorEastAsia" w:eastAsiaTheme="majorEastAsia"/>
          <w:sz w:val="24"/>
        </w:rPr>
      </w:pPr>
      <w:r>
        <w:rPr>
          <w:rFonts w:hint="eastAsia" w:cs="宋体" w:asciiTheme="majorEastAsia" w:hAnsiTheme="majorEastAsia" w:eastAsiaTheme="majorEastAsia"/>
          <w:sz w:val="24"/>
        </w:rPr>
        <w:t xml:space="preserve">12.5.4 乙方擅自分包、转包工程或者以挂靠方式由其他施工单位执行本合同的。 </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12.5.5 乙方发生安全事故不负责处理给甲方造成损失和不良影响的。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12.5.6 乙方拖欠民工工资的。</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12.5.7 乙方无故违反其他约定事项的。</w:t>
      </w:r>
    </w:p>
    <w:p>
      <w:pPr>
        <w:pStyle w:val="35"/>
        <w:spacing w:line="360" w:lineRule="auto"/>
        <w:ind w:left="600" w:hanging="600" w:hangingChars="250"/>
        <w:rPr>
          <w:rFonts w:cs="宋体" w:asciiTheme="majorEastAsia" w:hAnsiTheme="majorEastAsia" w:eastAsiaTheme="majorEastAsia"/>
          <w:color w:val="000000"/>
          <w:sz w:val="24"/>
        </w:rPr>
      </w:pPr>
      <w:r>
        <w:rPr>
          <w:rFonts w:hint="eastAsia" w:cs="宋体" w:asciiTheme="majorEastAsia" w:hAnsiTheme="majorEastAsia" w:eastAsiaTheme="majorEastAsia"/>
          <w:sz w:val="24"/>
        </w:rPr>
        <w:t>12.6履约过程中，因乙方原因及法定原因等导致合同被甲方解除时，乙方必须按合同估算总价款的20%向甲方支付违约金。违约金不足以弥补损失的，乙方还应另行赔偿损失。</w:t>
      </w:r>
      <w:r>
        <w:rPr>
          <w:rFonts w:hint="eastAsia" w:cs="宋体" w:asciiTheme="majorEastAsia" w:hAnsiTheme="majorEastAsia" w:eastAsiaTheme="majorEastAsia"/>
          <w:color w:val="000000"/>
          <w:sz w:val="24"/>
        </w:rPr>
        <w:t>甲方有权从履约保证金或任何应付而未付款项中直接扣减相应金额作为偿付款。当前述保证金或应付而未付款项不足以支付该偿付款时，乙方应在收到甲方的赔偿要求后及时支付至应偿金额为止。</w:t>
      </w:r>
    </w:p>
    <w:p>
      <w:pPr>
        <w:pStyle w:val="35"/>
        <w:spacing w:line="360" w:lineRule="auto"/>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12.7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pPr>
        <w:pStyle w:val="35"/>
        <w:spacing w:line="360" w:lineRule="auto"/>
        <w:ind w:left="600" w:hanging="600" w:hangingChars="250"/>
        <w:rPr>
          <w:rFonts w:asciiTheme="majorEastAsia" w:hAnsiTheme="majorEastAsia" w:eastAsiaTheme="majorEastAsia"/>
          <w:sz w:val="24"/>
        </w:rPr>
      </w:pPr>
      <w:r>
        <w:rPr>
          <w:rFonts w:hint="eastAsia" w:cs="宋体" w:asciiTheme="majorEastAsia" w:hAnsiTheme="majorEastAsia" w:eastAsiaTheme="majorEastAsia"/>
          <w:sz w:val="24"/>
        </w:rPr>
        <w:t>12.8</w:t>
      </w:r>
      <w:r>
        <w:rPr>
          <w:rFonts w:hint="eastAsia" w:asciiTheme="majorEastAsia" w:hAnsiTheme="majorEastAsia" w:eastAsiaTheme="majorEastAsia"/>
          <w:sz w:val="24"/>
        </w:rPr>
        <w:t>如甲方逾期付款，应按全国银行间同业拆借中心公布的贷款市场报价利率向乙方支付利息。</w:t>
      </w:r>
    </w:p>
    <w:p>
      <w:pPr>
        <w:pStyle w:val="35"/>
        <w:spacing w:line="360" w:lineRule="auto"/>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12.9 甲方已就本合同项下涉及乙方重大利害关系的条款向乙方作出详细说明，乙方充分理解上述条款含义，并自愿签订本合同。</w:t>
      </w:r>
    </w:p>
    <w:p>
      <w:pPr>
        <w:spacing w:line="360" w:lineRule="auto"/>
        <w:rPr>
          <w:b/>
          <w:sz w:val="24"/>
          <w:szCs w:val="24"/>
          <w:lang w:eastAsia="zh-CN"/>
        </w:rPr>
      </w:pPr>
      <w:r>
        <w:rPr>
          <w:rFonts w:hint="eastAsia"/>
          <w:b/>
          <w:sz w:val="24"/>
          <w:szCs w:val="24"/>
          <w:lang w:eastAsia="zh-CN"/>
        </w:rPr>
        <w:t>十三、通知</w:t>
      </w:r>
    </w:p>
    <w:p>
      <w:pPr>
        <w:spacing w:line="380" w:lineRule="exact"/>
        <w:ind w:left="360" w:hanging="360" w:hangingChars="150"/>
        <w:rPr>
          <w:sz w:val="24"/>
          <w:szCs w:val="24"/>
          <w:lang w:eastAsia="zh-CN"/>
        </w:rPr>
      </w:pPr>
      <w:r>
        <w:rPr>
          <w:rFonts w:hint="eastAsia"/>
          <w:sz w:val="24"/>
          <w:szCs w:val="24"/>
          <w:lang w:eastAsia="zh-CN"/>
        </w:rPr>
        <w:t>13.1双方重要文件往来应当以书面形式（含电子邮件等）进行。如以特快专递方式送达至本合同下列地址，则：双方地址在同一个地市级行政区域内的，自特快专递寄出之日起算第</w:t>
      </w:r>
      <w:r>
        <w:rPr>
          <w:sz w:val="24"/>
          <w:szCs w:val="24"/>
          <w:u w:val="single"/>
          <w:lang w:eastAsia="zh-CN"/>
        </w:rPr>
        <w:t>3</w:t>
      </w:r>
      <w:r>
        <w:rPr>
          <w:rFonts w:hint="eastAsia"/>
          <w:sz w:val="24"/>
          <w:szCs w:val="24"/>
          <w:lang w:eastAsia="zh-CN"/>
        </w:rPr>
        <w:t>日即视为已有效送达（有证据证明对方已经提前签收除外）；双方地址不在同一个地市级行政区域内的，自特快专递寄出之日起算第</w:t>
      </w:r>
      <w:r>
        <w:rPr>
          <w:sz w:val="24"/>
          <w:szCs w:val="24"/>
          <w:u w:val="single"/>
          <w:lang w:eastAsia="zh-CN"/>
        </w:rPr>
        <w:t>6</w:t>
      </w:r>
      <w:r>
        <w:rPr>
          <w:rFonts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80" w:lineRule="exact"/>
        <w:rPr>
          <w:sz w:val="24"/>
          <w:szCs w:val="24"/>
          <w:lang w:eastAsia="zh-CN"/>
        </w:rPr>
      </w:pPr>
      <w:r>
        <w:rPr>
          <w:rFonts w:hint="eastAsia"/>
          <w:sz w:val="24"/>
          <w:szCs w:val="24"/>
          <w:lang w:eastAsia="zh-CN"/>
        </w:rPr>
        <w:t>13.2乙方联系方式</w:t>
      </w:r>
    </w:p>
    <w:p>
      <w:pPr>
        <w:tabs>
          <w:tab w:val="left" w:pos="1320"/>
          <w:tab w:val="left" w:pos="1560"/>
        </w:tabs>
        <w:spacing w:line="380" w:lineRule="exact"/>
        <w:ind w:firstLine="480" w:firstLineChars="200"/>
        <w:rPr>
          <w:color w:val="000000"/>
          <w:sz w:val="24"/>
          <w:lang w:eastAsia="zh-CN"/>
        </w:rPr>
      </w:pPr>
      <w:r>
        <w:rPr>
          <w:rFonts w:hint="eastAsia"/>
          <w:color w:val="000000"/>
          <w:sz w:val="24"/>
          <w:lang w:eastAsia="zh-CN"/>
        </w:rPr>
        <w:t>地    址：</w:t>
      </w:r>
    </w:p>
    <w:p>
      <w:pPr>
        <w:tabs>
          <w:tab w:val="left" w:pos="1320"/>
          <w:tab w:val="left" w:pos="1560"/>
        </w:tabs>
        <w:spacing w:line="380" w:lineRule="exact"/>
        <w:ind w:firstLine="480" w:firstLineChars="200"/>
        <w:rPr>
          <w:u w:val="single"/>
          <w:lang w:eastAsia="zh-CN"/>
        </w:rPr>
      </w:pPr>
      <w:r>
        <w:rPr>
          <w:rFonts w:hint="eastAsia"/>
          <w:color w:val="000000"/>
          <w:sz w:val="24"/>
          <w:lang w:eastAsia="zh-CN"/>
        </w:rPr>
        <w:t>联 系 人：</w:t>
      </w:r>
    </w:p>
    <w:p>
      <w:pPr>
        <w:tabs>
          <w:tab w:val="left" w:pos="1320"/>
          <w:tab w:val="left" w:pos="1560"/>
        </w:tabs>
        <w:spacing w:line="380" w:lineRule="exact"/>
        <w:ind w:firstLine="480" w:firstLineChars="200"/>
        <w:rPr>
          <w:sz w:val="24"/>
          <w:lang w:eastAsia="zh-CN"/>
        </w:rPr>
      </w:pPr>
      <w:r>
        <w:rPr>
          <w:rFonts w:hint="eastAsia"/>
          <w:sz w:val="24"/>
          <w:lang w:eastAsia="zh-CN"/>
        </w:rPr>
        <w:t>联系电话：</w:t>
      </w:r>
    </w:p>
    <w:p>
      <w:pPr>
        <w:pStyle w:val="35"/>
        <w:spacing w:line="380" w:lineRule="exact"/>
        <w:ind w:left="0" w:firstLine="0"/>
        <w:rPr>
          <w:rFonts w:cs="宋体" w:asciiTheme="majorEastAsia" w:hAnsiTheme="majorEastAsia" w:eastAsiaTheme="majorEastAsia"/>
          <w:b/>
          <w:sz w:val="24"/>
        </w:rPr>
      </w:pPr>
      <w:r>
        <w:rPr>
          <w:rFonts w:hint="eastAsia" w:cs="宋体" w:asciiTheme="majorEastAsia" w:hAnsiTheme="majorEastAsia" w:eastAsiaTheme="majorEastAsia"/>
          <w:b/>
          <w:sz w:val="24"/>
        </w:rPr>
        <w:t>十四、争议解决方式</w:t>
      </w:r>
    </w:p>
    <w:p>
      <w:pPr>
        <w:pStyle w:val="35"/>
        <w:spacing w:line="38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z w:val="24"/>
        </w:rPr>
        <w:t xml:space="preserve">    未尽事宜，甲乙双方协商解决。协商不成时，双方同意由甲方所在地人民法院管辖。</w:t>
      </w:r>
    </w:p>
    <w:p>
      <w:pPr>
        <w:pStyle w:val="35"/>
        <w:spacing w:line="380" w:lineRule="exact"/>
        <w:ind w:left="200" w:hanging="200" w:hangingChars="83"/>
        <w:rPr>
          <w:rFonts w:cs="宋体" w:asciiTheme="majorEastAsia" w:hAnsiTheme="majorEastAsia" w:eastAsiaTheme="majorEastAsia"/>
          <w:b/>
          <w:sz w:val="24"/>
        </w:rPr>
      </w:pPr>
      <w:r>
        <w:rPr>
          <w:rFonts w:hint="eastAsia" w:cs="宋体" w:asciiTheme="majorEastAsia" w:hAnsiTheme="majorEastAsia" w:eastAsiaTheme="majorEastAsia"/>
          <w:b/>
          <w:sz w:val="24"/>
        </w:rPr>
        <w:t>十五、合同生效、终止及份数</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15.1 本合同经双方盖章后生效。</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15.2 甲乙双方履行完全部合同义务，无任何遗留问题，合同即终止。</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15.3 本合同一式捌份，具有同等法律效力。发包人持伍份，承包人持壹份。</w:t>
      </w:r>
    </w:p>
    <w:p>
      <w:pPr>
        <w:pStyle w:val="35"/>
        <w:spacing w:line="380" w:lineRule="exact"/>
        <w:ind w:left="600" w:hanging="600" w:hangingChars="250"/>
        <w:rPr>
          <w:rFonts w:cs="宋体" w:asciiTheme="majorEastAsia" w:hAnsiTheme="majorEastAsia" w:eastAsiaTheme="majorEastAsia"/>
          <w:sz w:val="24"/>
        </w:rPr>
      </w:pPr>
      <w:r>
        <w:rPr>
          <w:rFonts w:hint="eastAsia" w:asciiTheme="majorEastAsia" w:hAnsiTheme="majorEastAsia" w:eastAsiaTheme="majorEastAsia"/>
          <w:sz w:val="24"/>
        </w:rPr>
        <w:t>附件1.1、《生产一团队零星劳务发包说明》、附件1.2、《芳烃团队白土及脱氯剂装卸发包说明》</w:t>
      </w:r>
    </w:p>
    <w:p>
      <w:pPr>
        <w:pStyle w:val="35"/>
        <w:spacing w:line="380" w:lineRule="exact"/>
        <w:ind w:left="600" w:hanging="600" w:hangingChars="250"/>
        <w:rPr>
          <w:rFonts w:cs="宋体" w:asciiTheme="majorEastAsia" w:hAnsiTheme="majorEastAsia" w:eastAsiaTheme="majorEastAsia"/>
          <w:sz w:val="24"/>
        </w:rPr>
      </w:pPr>
      <w:r>
        <w:rPr>
          <w:rFonts w:hint="eastAsia" w:cs="宋体" w:asciiTheme="majorEastAsia" w:hAnsiTheme="majorEastAsia" w:eastAsiaTheme="majorEastAsia"/>
          <w:sz w:val="24"/>
        </w:rPr>
        <w:t>附件2、《价格清单》</w:t>
      </w:r>
    </w:p>
    <w:p>
      <w:pPr>
        <w:spacing w:line="380" w:lineRule="exact"/>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附件3《安全环保协议书》</w:t>
      </w:r>
    </w:p>
    <w:p>
      <w:pPr>
        <w:spacing w:line="380" w:lineRule="exact"/>
        <w:rPr>
          <w:b/>
          <w:spacing w:val="120"/>
          <w:sz w:val="24"/>
          <w:lang w:eastAsia="zh-CN"/>
        </w:rPr>
      </w:pPr>
    </w:p>
    <w:p>
      <w:pPr>
        <w:pStyle w:val="57"/>
        <w:rPr>
          <w:rFonts w:hAnsi="宋体"/>
          <w:b/>
          <w:spacing w:val="120"/>
          <w:sz w:val="24"/>
        </w:rPr>
      </w:pPr>
    </w:p>
    <w:p>
      <w:pPr>
        <w:pStyle w:val="57"/>
        <w:rPr>
          <w:rFonts w:hAnsi="宋体"/>
          <w:b/>
          <w:spacing w:val="120"/>
          <w:sz w:val="24"/>
        </w:rPr>
      </w:pPr>
    </w:p>
    <w:p>
      <w:pPr>
        <w:pStyle w:val="57"/>
        <w:rPr>
          <w:rFonts w:hAnsi="宋体"/>
          <w:b/>
          <w:spacing w:val="120"/>
          <w:sz w:val="24"/>
        </w:rPr>
      </w:pPr>
    </w:p>
    <w:p>
      <w:pPr>
        <w:pStyle w:val="57"/>
        <w:rPr>
          <w:rFonts w:hAnsi="宋体"/>
          <w:b/>
          <w:spacing w:val="120"/>
          <w:sz w:val="24"/>
        </w:rPr>
      </w:pPr>
    </w:p>
    <w:p>
      <w:pPr>
        <w:pStyle w:val="57"/>
        <w:rPr>
          <w:rFonts w:hAnsi="宋体"/>
          <w:b/>
          <w:spacing w:val="120"/>
          <w:sz w:val="24"/>
        </w:rPr>
      </w:pPr>
    </w:p>
    <w:p>
      <w:pPr>
        <w:pStyle w:val="57"/>
        <w:rPr>
          <w:rFonts w:hAnsi="宋体"/>
          <w:b/>
          <w:spacing w:val="120"/>
          <w:sz w:val="24"/>
        </w:rPr>
      </w:pPr>
    </w:p>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甲方：腾龙芳烃（漳州）有限公司</w:t>
            </w:r>
          </w:p>
        </w:tc>
        <w:tc>
          <w:tcPr>
            <w:tcW w:w="4821" w:type="dxa"/>
            <w:vAlign w:val="center"/>
          </w:tcPr>
          <w:p>
            <w:pPr>
              <w:spacing w:line="360" w:lineRule="auto"/>
              <w:rPr>
                <w:sz w:val="24"/>
                <w:lang w:eastAsia="zh-CN"/>
              </w:rPr>
            </w:pPr>
            <w:r>
              <w:rPr>
                <w:rFonts w:hint="eastAsia"/>
                <w:sz w:val="24"/>
                <w:lang w:eastAsia="zh-CN"/>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联系地址：漳州市古雷港经济开发区腾龙路84号</w:t>
            </w:r>
          </w:p>
        </w:tc>
        <w:tc>
          <w:tcPr>
            <w:tcW w:w="4821" w:type="dxa"/>
            <w:vAlign w:val="center"/>
          </w:tcPr>
          <w:p>
            <w:pPr>
              <w:spacing w:line="360" w:lineRule="auto"/>
              <w:rPr>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电话：0596-6311078</w:t>
            </w:r>
          </w:p>
        </w:tc>
        <w:tc>
          <w:tcPr>
            <w:tcW w:w="4821" w:type="dxa"/>
            <w:vAlign w:val="center"/>
          </w:tcPr>
          <w:p>
            <w:pPr>
              <w:spacing w:line="360" w:lineRule="auto"/>
              <w:rPr>
                <w:sz w:val="24"/>
                <w:lang w:eastAsia="zh-CN"/>
              </w:rPr>
            </w:pPr>
            <w:r>
              <w:rPr>
                <w:rFonts w:hint="eastAsia"/>
                <w:sz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lang w:eastAsia="zh-CN"/>
              </w:rPr>
            </w:pPr>
            <w:r>
              <w:rPr>
                <w:rFonts w:hint="eastAsia"/>
                <w:sz w:val="24"/>
                <w:lang w:eastAsia="zh-CN"/>
              </w:rPr>
              <w:t>开户银行：兴业银行漳州古雷支行</w:t>
            </w:r>
          </w:p>
        </w:tc>
        <w:tc>
          <w:tcPr>
            <w:tcW w:w="4821" w:type="dxa"/>
            <w:vAlign w:val="center"/>
          </w:tcPr>
          <w:p>
            <w:pPr>
              <w:spacing w:line="360" w:lineRule="auto"/>
              <w:rPr>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lang w:eastAsia="zh-CN"/>
              </w:rPr>
            </w:pPr>
            <w:r>
              <w:rPr>
                <w:rFonts w:hint="eastAsia"/>
                <w:sz w:val="24"/>
                <w:lang w:eastAsia="zh-CN"/>
              </w:rPr>
              <w:t>账号：</w:t>
            </w:r>
          </w:p>
        </w:tc>
      </w:tr>
    </w:tbl>
    <w:p/>
    <w:p>
      <w:pPr>
        <w:pStyle w:val="4"/>
      </w:pPr>
    </w:p>
    <w:p/>
    <w:p>
      <w:pPr>
        <w:pStyle w:val="4"/>
      </w:pPr>
    </w:p>
    <w:p/>
    <w:p>
      <w:pPr>
        <w:spacing w:line="360" w:lineRule="auto"/>
        <w:ind w:right="-147" w:rightChars="-67"/>
        <w:rPr>
          <w:sz w:val="24"/>
          <w:szCs w:val="24"/>
          <w:lang w:eastAsia="zh-CN"/>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pStyle w:val="57"/>
        <w:rPr>
          <w:b/>
          <w:sz w:val="28"/>
          <w:szCs w:val="28"/>
        </w:rPr>
      </w:pPr>
    </w:p>
    <w:p>
      <w:pPr>
        <w:spacing w:line="300" w:lineRule="exact"/>
        <w:rPr>
          <w:sz w:val="32"/>
          <w:szCs w:val="32"/>
          <w:lang w:eastAsia="zh-CN"/>
        </w:rPr>
      </w:pPr>
    </w:p>
    <w:p>
      <w:pPr>
        <w:spacing w:line="420" w:lineRule="exact"/>
        <w:jc w:val="both"/>
        <w:rPr>
          <w:b/>
          <w:bCs/>
          <w:color w:val="000000"/>
          <w:sz w:val="32"/>
          <w:szCs w:val="32"/>
          <w:lang w:eastAsia="zh-CN"/>
        </w:rPr>
      </w:pPr>
    </w:p>
    <w:p>
      <w:pPr>
        <w:pStyle w:val="57"/>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ascii="微软雅黑" w:eastAsia="微软雅黑"/>
          <w:b/>
          <w:sz w:val="52"/>
          <w:u w:val="single"/>
          <w:lang w:eastAsia="zh-CN"/>
        </w:rPr>
      </w:pPr>
      <w:r>
        <w:rPr>
          <w:rFonts w:hint="eastAsia" w:ascii="方正小标宋简体" w:hAnsi="方正小标宋简体" w:eastAsia="方正小标宋简体" w:cs="方正小标宋简体"/>
          <w:b/>
          <w:sz w:val="44"/>
          <w:szCs w:val="44"/>
          <w:lang w:eastAsia="zh-CN"/>
        </w:rPr>
        <w:t>芳烃团队白土及脱氯剂装卸及生产一团队零星劳务项目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7"/>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7"/>
      </w:pPr>
    </w:p>
    <w:p>
      <w:pPr>
        <w:pStyle w:val="57"/>
      </w:pPr>
    </w:p>
    <w:p>
      <w:pPr>
        <w:pStyle w:val="57"/>
      </w:pPr>
    </w:p>
    <w:p>
      <w:pPr>
        <w:pStyle w:val="57"/>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4"/>
        <w:spacing w:beforeLines="0" w:afterLines="0" w:line="240" w:lineRule="auto"/>
        <w:ind w:firstLine="618" w:firstLineChars="221"/>
        <w:rPr>
          <w:rFonts w:cs="Times New Roman"/>
          <w:bCs w:val="0"/>
          <w:color w:val="C00000"/>
          <w:lang w:eastAsia="zh-CN"/>
        </w:rPr>
      </w:pPr>
    </w:p>
    <w:p>
      <w:pPr>
        <w:pStyle w:val="9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7"/>
      </w:pPr>
    </w:p>
    <w:p>
      <w:pPr>
        <w:pStyle w:val="57"/>
      </w:pPr>
    </w:p>
    <w:p>
      <w:pPr>
        <w:pStyle w:val="57"/>
      </w:pPr>
    </w:p>
    <w:p>
      <w:pPr>
        <w:pStyle w:val="57"/>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57"/>
        <w:rPr>
          <w:b/>
          <w:bCs/>
          <w:sz w:val="36"/>
          <w:szCs w:val="36"/>
        </w:rPr>
      </w:pPr>
    </w:p>
    <w:p>
      <w:pPr>
        <w:pStyle w:val="57"/>
        <w:rPr>
          <w:b/>
          <w:bCs/>
          <w:sz w:val="36"/>
          <w:szCs w:val="36"/>
        </w:rPr>
      </w:pPr>
    </w:p>
    <w:p>
      <w:pPr>
        <w:pStyle w:val="57"/>
        <w:rPr>
          <w:b/>
          <w:bCs/>
          <w:sz w:val="36"/>
          <w:szCs w:val="36"/>
        </w:rPr>
      </w:pPr>
    </w:p>
    <w:p>
      <w:pPr>
        <w:spacing w:line="500" w:lineRule="exact"/>
        <w:rPr>
          <w:b/>
          <w:bCs/>
          <w:sz w:val="36"/>
          <w:szCs w:val="36"/>
          <w:lang w:eastAsia="zh-CN"/>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pStyle w:val="57"/>
      </w:pPr>
    </w:p>
    <w:p>
      <w:pPr>
        <w:pStyle w:val="57"/>
      </w:pPr>
    </w:p>
    <w:p>
      <w:pPr>
        <w:pStyle w:val="57"/>
      </w:pPr>
    </w:p>
    <w:p>
      <w:pPr>
        <w:pStyle w:val="57"/>
      </w:pPr>
    </w:p>
    <w:p>
      <w:pPr>
        <w:pStyle w:val="57"/>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7"/>
      </w:pPr>
    </w:p>
    <w:p>
      <w:pPr>
        <w:pStyle w:val="57"/>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7"/>
        <w:jc w:val="center"/>
      </w:pPr>
    </w:p>
    <w:p>
      <w:pPr>
        <w:pStyle w:val="57"/>
        <w:jc w:val="center"/>
      </w:pPr>
    </w:p>
    <w:p>
      <w:pPr>
        <w:pStyle w:val="57"/>
        <w:jc w:val="center"/>
      </w:pPr>
    </w:p>
    <w:p>
      <w:pPr>
        <w:pStyle w:val="57"/>
        <w:jc w:val="center"/>
      </w:pPr>
    </w:p>
    <w:p>
      <w:pPr>
        <w:pStyle w:val="57"/>
        <w:jc w:val="center"/>
      </w:pPr>
    </w:p>
    <w:p>
      <w:pPr>
        <w:pStyle w:val="57"/>
        <w:jc w:val="center"/>
        <w:rPr>
          <w:color w:val="4E6127"/>
        </w:rPr>
      </w:pPr>
    </w:p>
    <w:p>
      <w:pPr>
        <w:pStyle w:val="57"/>
        <w:jc w:val="center"/>
      </w:pPr>
    </w:p>
    <w:p>
      <w:pPr>
        <w:pStyle w:val="57"/>
        <w:jc w:val="center"/>
      </w:pPr>
    </w:p>
    <w:p>
      <w:pPr>
        <w:pStyle w:val="57"/>
      </w:pPr>
    </w:p>
    <w:p>
      <w:pPr>
        <w:pStyle w:val="57"/>
      </w:pPr>
    </w:p>
    <w:p>
      <w:pPr>
        <w:spacing w:line="500" w:lineRule="exact"/>
        <w:jc w:val="center"/>
        <w:rPr>
          <w:b/>
          <w:bCs/>
          <w:sz w:val="36"/>
          <w:szCs w:val="36"/>
          <w:lang w:eastAsia="zh-CN"/>
        </w:rPr>
      </w:pPr>
      <w:r>
        <w:rPr>
          <w:rFonts w:hint="eastAsia"/>
          <w:b/>
          <w:bCs/>
          <w:sz w:val="36"/>
          <w:szCs w:val="36"/>
          <w:lang w:eastAsia="zh-CN"/>
        </w:rPr>
        <w:t>法定代表人授权书</w:t>
      </w:r>
    </w:p>
    <w:p>
      <w:pPr>
        <w:pStyle w:val="57"/>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57"/>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57"/>
      </w:pPr>
    </w:p>
    <w:p>
      <w:pPr>
        <w:pStyle w:val="57"/>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both"/>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pStyle w:val="57"/>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7"/>
      </w:pPr>
    </w:p>
    <w:p>
      <w:pPr>
        <w:pStyle w:val="57"/>
      </w:pPr>
    </w:p>
    <w:p>
      <w:pPr>
        <w:pStyle w:val="94"/>
        <w:spacing w:beforeLines="0" w:afterLines="0" w:line="240" w:lineRule="auto"/>
        <w:ind w:firstLine="0" w:firstLineChars="0"/>
        <w:jc w:val="both"/>
        <w:rPr>
          <w:rFonts w:ascii="Times New Roman" w:hAnsi="Times New Roman" w:cs="Times New Roman"/>
          <w:b/>
          <w:sz w:val="36"/>
          <w:szCs w:val="36"/>
          <w:lang w:eastAsia="zh-CN"/>
        </w:rPr>
      </w:pPr>
    </w:p>
    <w:p>
      <w:pPr>
        <w:pStyle w:val="9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4"/>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57"/>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4"/>
        <w:rPr>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rPr>
          <w:b/>
          <w:bCs/>
          <w:sz w:val="36"/>
          <w:szCs w:val="36"/>
        </w:rPr>
      </w:pPr>
    </w:p>
    <w:p>
      <w:pPr>
        <w:pStyle w:val="57"/>
      </w:pPr>
    </w:p>
    <w:p>
      <w:pPr>
        <w:spacing w:line="360" w:lineRule="auto"/>
        <w:ind w:left="220" w:leftChars="100"/>
        <w:jc w:val="center"/>
        <w:rPr>
          <w:rFonts w:ascii="Times New Roman" w:hAnsi="Times New Roman" w:cs="Times New Roman"/>
          <w:sz w:val="28"/>
          <w:szCs w:val="28"/>
          <w:lang w:eastAsia="zh-CN"/>
        </w:rPr>
      </w:pPr>
      <w:r>
        <w:rPr>
          <w:rFonts w:hint="eastAsia" w:ascii="Times New Roman" w:hAnsi="Times New Roman" w:cs="Times New Roman"/>
          <w:b/>
          <w:sz w:val="36"/>
          <w:szCs w:val="36"/>
          <w:lang w:eastAsia="zh-CN"/>
        </w:rPr>
        <w:t xml:space="preserve">      </w:t>
      </w:r>
      <w:r>
        <w:rPr>
          <w:rFonts w:ascii="Times New Roman" w:hAnsi="Times New Roman" w:cs="Times New Roman"/>
          <w:b/>
          <w:sz w:val="36"/>
          <w:szCs w:val="36"/>
          <w:lang w:eastAsia="zh-CN"/>
        </w:rPr>
        <w:t>商务报价函</w:t>
      </w:r>
    </w:p>
    <w:tbl>
      <w:tblPr>
        <w:tblStyle w:val="48"/>
        <w:tblW w:w="11016" w:type="dxa"/>
        <w:tblInd w:w="-106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36"/>
        <w:gridCol w:w="836"/>
        <w:gridCol w:w="1895"/>
        <w:gridCol w:w="2889"/>
        <w:gridCol w:w="854"/>
        <w:gridCol w:w="1047"/>
        <w:gridCol w:w="1248"/>
        <w:gridCol w:w="1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67" w:hRule="atLeast"/>
          <w:tblHeader/>
        </w:trPr>
        <w:tc>
          <w:tcPr>
            <w:tcW w:w="836" w:type="dxa"/>
            <w:vMerge w:val="restart"/>
            <w:tcBorders>
              <w:top w:val="single" w:color="auto" w:sz="2" w:space="0"/>
              <w:left w:val="single" w:color="auto" w:sz="2" w:space="0"/>
              <w:right w:val="single" w:color="auto" w:sz="2" w:space="0"/>
            </w:tcBorders>
            <w:vAlign w:val="center"/>
          </w:tcPr>
          <w:p>
            <w:pPr>
              <w:pStyle w:val="230"/>
              <w:ind w:left="220" w:leftChars="100"/>
              <w:rPr>
                <w:rFonts w:hint="default" w:ascii="Times New Roman"/>
                <w:color w:val="000000"/>
                <w:kern w:val="2"/>
                <w:sz w:val="24"/>
                <w:szCs w:val="24"/>
                <w:lang w:val="en-US" w:eastAsia="zh-CN"/>
              </w:rPr>
            </w:pPr>
            <w:r>
              <w:rPr>
                <w:rFonts w:ascii="Times New Roman"/>
                <w:b/>
                <w:bCs/>
                <w:sz w:val="24"/>
                <w:szCs w:val="24"/>
                <w:lang w:eastAsia="zh-CN"/>
              </w:rPr>
              <w:t>生产一团队零星劳务项目</w:t>
            </w:r>
            <w:r>
              <w:rPr>
                <w:rFonts w:hint="default" w:ascii="Times New Roman"/>
                <w:b/>
                <w:bCs/>
                <w:sz w:val="24"/>
                <w:szCs w:val="24"/>
                <w:lang w:val="en-US" w:eastAsia="zh-CN"/>
              </w:rPr>
              <w:t>(最高限价</w:t>
            </w:r>
            <w:r>
              <w:rPr>
                <w:rFonts w:hint="default" w:ascii="Times New Roman"/>
                <w:b/>
                <w:bCs/>
                <w:sz w:val="24"/>
                <w:szCs w:val="24"/>
                <w:lang w:eastAsia="zh-CN"/>
              </w:rPr>
              <w:t>8.2万元）</w:t>
            </w:r>
          </w:p>
        </w:tc>
        <w:tc>
          <w:tcPr>
            <w:tcW w:w="836"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b/>
                <w:bCs/>
                <w:color w:val="000000"/>
                <w:kern w:val="2"/>
                <w:sz w:val="24"/>
                <w:szCs w:val="24"/>
                <w:lang w:eastAsia="zh-CN"/>
              </w:rPr>
            </w:pPr>
            <w:r>
              <w:rPr>
                <w:rFonts w:hint="eastAsia" w:ascii="Times New Roman"/>
                <w:b/>
                <w:bCs/>
                <w:color w:val="000000"/>
                <w:kern w:val="2"/>
                <w:sz w:val="24"/>
                <w:szCs w:val="24"/>
                <w:lang w:eastAsia="zh-CN"/>
              </w:rPr>
              <w:t>序号</w:t>
            </w:r>
          </w:p>
        </w:tc>
        <w:tc>
          <w:tcPr>
            <w:tcW w:w="1895"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b/>
                <w:bCs/>
                <w:color w:val="000000"/>
                <w:kern w:val="2"/>
                <w:sz w:val="24"/>
                <w:szCs w:val="24"/>
                <w:lang w:eastAsia="zh-CN"/>
              </w:rPr>
            </w:pPr>
            <w:r>
              <w:rPr>
                <w:rFonts w:hint="eastAsia" w:ascii="Times New Roman"/>
                <w:b/>
                <w:bCs/>
                <w:color w:val="000000"/>
                <w:kern w:val="2"/>
                <w:sz w:val="24"/>
                <w:szCs w:val="24"/>
                <w:lang w:eastAsia="zh-CN"/>
              </w:rPr>
              <w:t>工种</w:t>
            </w:r>
          </w:p>
        </w:tc>
        <w:tc>
          <w:tcPr>
            <w:tcW w:w="2889"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b/>
                <w:bCs/>
                <w:color w:val="000000"/>
                <w:kern w:val="2"/>
                <w:sz w:val="24"/>
                <w:szCs w:val="24"/>
                <w:lang w:eastAsia="zh-CN"/>
              </w:rPr>
            </w:pPr>
            <w:r>
              <w:rPr>
                <w:rFonts w:hint="eastAsia" w:ascii="Times New Roman"/>
                <w:b/>
                <w:bCs/>
                <w:color w:val="000000"/>
                <w:kern w:val="2"/>
                <w:sz w:val="24"/>
                <w:szCs w:val="24"/>
                <w:lang w:eastAsia="zh-CN"/>
              </w:rPr>
              <w:t>人工时预估</w:t>
            </w:r>
          </w:p>
        </w:tc>
        <w:tc>
          <w:tcPr>
            <w:tcW w:w="854"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单位</w:t>
            </w:r>
          </w:p>
        </w:tc>
        <w:tc>
          <w:tcPr>
            <w:tcW w:w="1047"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b/>
                <w:bCs/>
                <w:color w:val="000000"/>
                <w:kern w:val="2"/>
                <w:sz w:val="24"/>
                <w:szCs w:val="24"/>
                <w:lang w:eastAsia="zh-CN"/>
              </w:rPr>
            </w:pPr>
            <w:r>
              <w:rPr>
                <w:rFonts w:hint="eastAsia" w:ascii="Times New Roman"/>
                <w:b/>
                <w:bCs/>
                <w:color w:val="000000"/>
                <w:kern w:val="2"/>
                <w:sz w:val="24"/>
                <w:szCs w:val="24"/>
                <w:lang w:eastAsia="zh-CN"/>
              </w:rPr>
              <w:t>含税单价</w:t>
            </w:r>
          </w:p>
        </w:tc>
        <w:tc>
          <w:tcPr>
            <w:tcW w:w="1248"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含税价小计</w:t>
            </w:r>
          </w:p>
        </w:tc>
        <w:tc>
          <w:tcPr>
            <w:tcW w:w="1411" w:type="dxa"/>
            <w:tcBorders>
              <w:top w:val="single" w:color="auto" w:sz="2" w:space="0"/>
              <w:left w:val="single" w:color="auto" w:sz="2" w:space="0"/>
              <w:bottom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98"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1</w:t>
            </w:r>
          </w:p>
        </w:tc>
        <w:tc>
          <w:tcPr>
            <w:tcW w:w="1895"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叉车工（含叉车及司机费用）</w:t>
            </w:r>
          </w:p>
        </w:tc>
        <w:tc>
          <w:tcPr>
            <w:tcW w:w="2889"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793</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小时</w:t>
            </w:r>
          </w:p>
        </w:tc>
        <w:tc>
          <w:tcPr>
            <w:tcW w:w="1047"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1248" w:type="dxa"/>
            <w:tcBorders>
              <w:top w:val="single" w:color="auto" w:sz="2" w:space="0"/>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c>
          <w:tcPr>
            <w:tcW w:w="1411" w:type="dxa"/>
            <w:tcBorders>
              <w:top w:val="single" w:color="auto" w:sz="2" w:space="0"/>
              <w:left w:val="single" w:color="auto" w:sz="2" w:space="0"/>
              <w:right w:val="single" w:color="auto" w:sz="2" w:space="0"/>
            </w:tcBorders>
            <w:vAlign w:val="center"/>
          </w:tcPr>
          <w:p>
            <w:pPr>
              <w:pStyle w:val="95"/>
              <w:spacing w:line="360" w:lineRule="auto"/>
              <w:ind w:left="220" w:leftChars="100"/>
              <w:jc w:val="both"/>
              <w:rPr>
                <w:rFonts w:ascii="Times New Roman"/>
                <w:kern w:val="2"/>
              </w:rPr>
            </w:pPr>
            <w:r>
              <w:rPr>
                <w:rFonts w:hint="eastAsia" w:ascii="Times New Roman"/>
                <w:kern w:val="2"/>
              </w:rPr>
              <w:t>叉车由供应商提供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20"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2</w:t>
            </w:r>
          </w:p>
        </w:tc>
        <w:tc>
          <w:tcPr>
            <w:tcW w:w="1895"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普工费用</w:t>
            </w:r>
          </w:p>
        </w:tc>
        <w:tc>
          <w:tcPr>
            <w:tcW w:w="2889"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1175</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小时</w:t>
            </w:r>
          </w:p>
        </w:tc>
        <w:tc>
          <w:tcPr>
            <w:tcW w:w="1047"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1248"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c>
          <w:tcPr>
            <w:tcW w:w="1411"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78"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序号</w:t>
            </w:r>
          </w:p>
        </w:tc>
        <w:tc>
          <w:tcPr>
            <w:tcW w:w="1895"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项目</w:t>
            </w:r>
          </w:p>
        </w:tc>
        <w:tc>
          <w:tcPr>
            <w:tcW w:w="2889"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工程内容</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单位</w:t>
            </w:r>
          </w:p>
        </w:tc>
        <w:tc>
          <w:tcPr>
            <w:tcW w:w="1047"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含税单价</w:t>
            </w:r>
          </w:p>
        </w:tc>
        <w:tc>
          <w:tcPr>
            <w:tcW w:w="1248"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含税价小计</w:t>
            </w:r>
          </w:p>
        </w:tc>
        <w:tc>
          <w:tcPr>
            <w:tcW w:w="1411"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23"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1</w:t>
            </w:r>
          </w:p>
        </w:tc>
        <w:tc>
          <w:tcPr>
            <w:tcW w:w="1895" w:type="dxa"/>
            <w:tcBorders>
              <w:top w:val="single" w:color="auto" w:sz="2" w:space="0"/>
              <w:left w:val="single" w:color="auto" w:sz="2" w:space="0"/>
              <w:right w:val="single" w:color="auto" w:sz="2" w:space="0"/>
            </w:tcBorders>
            <w:vAlign w:val="center"/>
          </w:tcPr>
          <w:p>
            <w:pPr>
              <w:pStyle w:val="91"/>
              <w:numPr>
                <w:ilvl w:val="255"/>
                <w:numId w:val="0"/>
              </w:num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硫磺回收联合装置脱臭剂更换</w:t>
            </w:r>
          </w:p>
          <w:p>
            <w:pPr>
              <w:pStyle w:val="230"/>
              <w:ind w:left="220" w:leftChars="100"/>
              <w:rPr>
                <w:rFonts w:ascii="Times New Roman"/>
                <w:color w:val="000000"/>
                <w:kern w:val="2"/>
                <w:sz w:val="24"/>
                <w:szCs w:val="24"/>
                <w:lang w:eastAsia="zh-CN"/>
              </w:rPr>
            </w:pPr>
          </w:p>
        </w:tc>
        <w:tc>
          <w:tcPr>
            <w:tcW w:w="2889"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硫磺回收更换脱臭剂8.6吨，4个普工30小时，200吨吊车1台班，板车一辆1台班，叉车2台班</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项</w:t>
            </w:r>
          </w:p>
        </w:tc>
        <w:tc>
          <w:tcPr>
            <w:tcW w:w="1047"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1248"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c>
          <w:tcPr>
            <w:tcW w:w="1411"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r>
              <w:rPr>
                <w:rFonts w:hint="eastAsia" w:ascii="Times New Roman"/>
                <w:kern w:val="2"/>
              </w:rPr>
              <w:t>固定包干价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11"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2</w:t>
            </w:r>
          </w:p>
        </w:tc>
        <w:tc>
          <w:tcPr>
            <w:tcW w:w="1895" w:type="dxa"/>
            <w:tcBorders>
              <w:top w:val="single" w:color="auto" w:sz="2" w:space="0"/>
              <w:left w:val="single" w:color="auto" w:sz="2" w:space="0"/>
              <w:right w:val="single" w:color="auto" w:sz="2" w:space="0"/>
            </w:tcBorders>
            <w:vAlign w:val="center"/>
          </w:tcPr>
          <w:p>
            <w:pPr>
              <w:pStyle w:val="91"/>
              <w:numPr>
                <w:ilvl w:val="255"/>
                <w:numId w:val="0"/>
              </w:numPr>
              <w:spacing w:line="360" w:lineRule="auto"/>
              <w:rPr>
                <w:rFonts w:ascii="Times New Roman" w:hAnsi="Times New Roman" w:cs="Times New Roman"/>
                <w:sz w:val="24"/>
                <w:szCs w:val="24"/>
              </w:rPr>
            </w:pPr>
            <w:r>
              <w:rPr>
                <w:rFonts w:ascii="Times New Roman" w:hAnsi="Times New Roman" w:cs="Times New Roman"/>
                <w:sz w:val="24"/>
                <w:szCs w:val="24"/>
              </w:rPr>
              <w:t>17-F-102及16-F-303活性炭更换。</w:t>
            </w:r>
          </w:p>
          <w:p>
            <w:pPr>
              <w:pStyle w:val="230"/>
              <w:ind w:left="220" w:leftChars="100"/>
              <w:rPr>
                <w:rFonts w:ascii="Times New Roman"/>
                <w:color w:val="000000"/>
                <w:kern w:val="2"/>
                <w:sz w:val="24"/>
                <w:szCs w:val="24"/>
                <w:lang w:eastAsia="zh-CN"/>
              </w:rPr>
            </w:pPr>
          </w:p>
        </w:tc>
        <w:tc>
          <w:tcPr>
            <w:tcW w:w="2889" w:type="dxa"/>
            <w:tcBorders>
              <w:top w:val="single" w:color="auto" w:sz="2" w:space="0"/>
              <w:left w:val="single" w:color="auto" w:sz="2" w:space="0"/>
              <w:right w:val="single" w:color="auto" w:sz="2" w:space="0"/>
            </w:tcBorders>
            <w:vAlign w:val="center"/>
          </w:tcPr>
          <w:p>
            <w:pPr>
              <w:pStyle w:val="91"/>
              <w:spacing w:line="360" w:lineRule="auto"/>
              <w:ind w:left="220" w:leftChars="100" w:firstLine="0"/>
              <w:rPr>
                <w:rFonts w:ascii="Times New Roman"/>
                <w:color w:val="000000"/>
                <w:kern w:val="2"/>
                <w:sz w:val="24"/>
                <w:szCs w:val="24"/>
                <w:lang w:eastAsia="zh-CN"/>
              </w:rPr>
            </w:pPr>
            <w:r>
              <w:rPr>
                <w:rFonts w:hint="eastAsia" w:ascii="Times New Roman" w:hAnsi="Times New Roman" w:cs="Times New Roman"/>
                <w:sz w:val="24"/>
                <w:szCs w:val="24"/>
                <w:lang w:eastAsia="zh-CN"/>
              </w:rPr>
              <w:t>溶剂再生装置17-F-102和硫磺回收装置16-F-303活性炭更换29.4吨，8个普工24小时，50吨吊车2台班，板车一辆2台班，叉车2台班</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color w:val="000000"/>
                <w:kern w:val="2"/>
                <w:sz w:val="24"/>
                <w:szCs w:val="24"/>
                <w:lang w:eastAsia="zh-CN"/>
              </w:rPr>
              <w:t>项</w:t>
            </w:r>
          </w:p>
        </w:tc>
        <w:tc>
          <w:tcPr>
            <w:tcW w:w="1047"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1248"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c>
          <w:tcPr>
            <w:tcW w:w="1411" w:type="dxa"/>
            <w:tcBorders>
              <w:left w:val="single" w:color="auto" w:sz="2" w:space="0"/>
              <w:right w:val="single" w:color="auto" w:sz="2" w:space="0"/>
            </w:tcBorders>
            <w:vAlign w:val="center"/>
          </w:tcPr>
          <w:p>
            <w:pPr>
              <w:pStyle w:val="95"/>
              <w:spacing w:line="360" w:lineRule="auto"/>
              <w:ind w:left="220" w:leftChars="100"/>
              <w:jc w:val="both"/>
              <w:rPr>
                <w:rFonts w:ascii="Times New Roman"/>
                <w:kern w:val="2"/>
              </w:rPr>
            </w:pPr>
            <w:r>
              <w:rPr>
                <w:rFonts w:hint="eastAsia" w:ascii="Times New Roman"/>
                <w:kern w:val="2"/>
              </w:rPr>
              <w:t>固定包干价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7" w:hRule="atLeast"/>
        </w:trPr>
        <w:tc>
          <w:tcPr>
            <w:tcW w:w="6456" w:type="dxa"/>
            <w:gridSpan w:val="4"/>
            <w:tcBorders>
              <w:left w:val="single" w:color="auto" w:sz="2" w:space="0"/>
              <w:right w:val="single" w:color="auto" w:sz="2" w:space="0"/>
            </w:tcBorders>
            <w:vAlign w:val="center"/>
          </w:tcPr>
          <w:p>
            <w:pPr>
              <w:pStyle w:val="91"/>
              <w:spacing w:line="360" w:lineRule="auto"/>
              <w:ind w:left="220" w:leftChars="100" w:firstLine="0"/>
              <w:rPr>
                <w:rFonts w:ascii="Times New Roman" w:hAnsi="Times New Roman" w:cs="Times New Roman"/>
                <w:sz w:val="24"/>
                <w:szCs w:val="24"/>
                <w:lang w:eastAsia="zh-CN"/>
              </w:rPr>
            </w:pPr>
            <w:r>
              <w:rPr>
                <w:rFonts w:hint="eastAsia" w:ascii="Times New Roman"/>
                <w:color w:val="000000"/>
                <w:kern w:val="2"/>
                <w:sz w:val="24"/>
                <w:szCs w:val="24"/>
                <w:lang w:eastAsia="zh-CN"/>
              </w:rPr>
              <w:t>含税预估含税总合计（人民币，元）</w:t>
            </w:r>
          </w:p>
        </w:tc>
        <w:tc>
          <w:tcPr>
            <w:tcW w:w="4560" w:type="dxa"/>
            <w:gridSpan w:val="4"/>
            <w:tcBorders>
              <w:top w:val="single" w:color="auto" w:sz="2" w:space="0"/>
              <w:left w:val="single" w:color="auto" w:sz="2" w:space="0"/>
              <w:right w:val="single" w:color="auto" w:sz="2" w:space="0"/>
            </w:tcBorders>
            <w:vAlign w:val="center"/>
          </w:tcPr>
          <w:p>
            <w:pPr>
              <w:pStyle w:val="95"/>
              <w:spacing w:line="360" w:lineRule="auto"/>
              <w:ind w:left="220" w:leftChars="100"/>
              <w:jc w:val="both"/>
              <w:rPr>
                <w:rFonts w:ascii="Times New Roman"/>
                <w:kern w:val="2"/>
              </w:rPr>
            </w:pPr>
          </w:p>
        </w:tc>
      </w:tr>
    </w:tbl>
    <w:p>
      <w:pPr>
        <w:pStyle w:val="57"/>
        <w:rPr>
          <w:sz w:val="28"/>
          <w:szCs w:val="28"/>
        </w:rPr>
      </w:pPr>
    </w:p>
    <w:tbl>
      <w:tblPr>
        <w:tblStyle w:val="48"/>
        <w:tblW w:w="11016" w:type="dxa"/>
        <w:tblInd w:w="-106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36"/>
        <w:gridCol w:w="836"/>
        <w:gridCol w:w="1895"/>
        <w:gridCol w:w="2889"/>
        <w:gridCol w:w="854"/>
        <w:gridCol w:w="1047"/>
        <w:gridCol w:w="1124"/>
        <w:gridCol w:w="15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trPr>
        <w:tc>
          <w:tcPr>
            <w:tcW w:w="836" w:type="dxa"/>
            <w:vMerge w:val="restart"/>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hAnsi="宋体" w:cs="宋体"/>
                <w:b/>
                <w:bCs/>
                <w:sz w:val="24"/>
                <w:szCs w:val="24"/>
                <w:lang w:eastAsia="zh-CN"/>
              </w:rPr>
              <w:t>芳烃团队白土及脱氯剂装卸</w:t>
            </w:r>
            <w:r>
              <w:rPr>
                <w:rFonts w:hint="eastAsia" w:cs="宋体"/>
                <w:b/>
                <w:bCs/>
                <w:sz w:val="24"/>
                <w:szCs w:val="24"/>
                <w:lang w:eastAsia="zh-CN"/>
              </w:rPr>
              <w:t>项目</w:t>
            </w:r>
            <w:r>
              <w:rPr>
                <w:rFonts w:hint="default" w:ascii="Times New Roman"/>
                <w:b/>
                <w:bCs/>
                <w:sz w:val="24"/>
                <w:szCs w:val="24"/>
                <w:lang w:val="en-US" w:eastAsia="zh-CN"/>
              </w:rPr>
              <w:t>(最高限价</w:t>
            </w:r>
            <w:r>
              <w:rPr>
                <w:rFonts w:hint="default" w:ascii="Times New Roman"/>
                <w:b/>
                <w:bCs/>
                <w:sz w:val="24"/>
                <w:szCs w:val="24"/>
                <w:lang w:eastAsia="zh-CN"/>
              </w:rPr>
              <w:t>46.4万元）</w:t>
            </w:r>
          </w:p>
        </w:tc>
        <w:tc>
          <w:tcPr>
            <w:tcW w:w="836"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序号</w:t>
            </w:r>
          </w:p>
        </w:tc>
        <w:tc>
          <w:tcPr>
            <w:tcW w:w="1895"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劳务品类</w:t>
            </w:r>
          </w:p>
        </w:tc>
        <w:tc>
          <w:tcPr>
            <w:tcW w:w="2889" w:type="dxa"/>
            <w:tcBorders>
              <w:top w:val="single" w:color="auto" w:sz="2" w:space="0"/>
              <w:left w:val="single" w:color="auto" w:sz="2" w:space="0"/>
              <w:right w:val="single" w:color="auto" w:sz="2" w:space="0"/>
            </w:tcBorders>
            <w:vAlign w:val="center"/>
          </w:tcPr>
          <w:p>
            <w:pPr>
              <w:pStyle w:val="230"/>
              <w:ind w:left="220" w:leftChars="100"/>
              <w:rPr>
                <w:rFonts w:ascii="Times New Roman"/>
                <w:sz w:val="24"/>
                <w:szCs w:val="24"/>
              </w:rPr>
            </w:pPr>
            <w:r>
              <w:rPr>
                <w:rFonts w:hint="eastAsia" w:ascii="Times New Roman"/>
                <w:b/>
                <w:bCs/>
                <w:color w:val="000000"/>
                <w:kern w:val="2"/>
                <w:sz w:val="24"/>
                <w:szCs w:val="24"/>
                <w:lang w:eastAsia="zh-CN"/>
              </w:rPr>
              <w:t>预估数量</w:t>
            </w:r>
          </w:p>
        </w:tc>
        <w:tc>
          <w:tcPr>
            <w:tcW w:w="854" w:type="dxa"/>
            <w:tcBorders>
              <w:top w:val="single" w:color="auto" w:sz="2" w:space="0"/>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单位</w:t>
            </w:r>
          </w:p>
        </w:tc>
        <w:tc>
          <w:tcPr>
            <w:tcW w:w="1047"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含税单价</w:t>
            </w:r>
          </w:p>
        </w:tc>
        <w:tc>
          <w:tcPr>
            <w:tcW w:w="1124"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含税价小计</w:t>
            </w:r>
          </w:p>
        </w:tc>
        <w:tc>
          <w:tcPr>
            <w:tcW w:w="1535" w:type="dxa"/>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r>
              <w:rPr>
                <w:rFonts w:hint="eastAsia" w:ascii="Times New Roman"/>
                <w:b/>
                <w:bCs/>
                <w:color w:val="000000"/>
                <w:kern w:val="2"/>
                <w:sz w:val="24"/>
                <w:szCs w:val="24"/>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9"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p>
        </w:tc>
        <w:tc>
          <w:tcPr>
            <w:tcW w:w="1895"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rPr>
              <w:t>脱氯剂装卸</w:t>
            </w:r>
          </w:p>
        </w:tc>
        <w:tc>
          <w:tcPr>
            <w:tcW w:w="2889" w:type="dxa"/>
            <w:tcBorders>
              <w:top w:val="single" w:color="auto" w:sz="2" w:space="0"/>
              <w:left w:val="single" w:color="auto" w:sz="2" w:space="0"/>
              <w:right w:val="single" w:color="auto" w:sz="2" w:space="0"/>
            </w:tcBorders>
            <w:vAlign w:val="center"/>
          </w:tcPr>
          <w:p>
            <w:pPr>
              <w:pStyle w:val="91"/>
              <w:spacing w:line="360" w:lineRule="auto"/>
              <w:ind w:left="220" w:leftChars="100" w:firstLine="0"/>
              <w:jc w:val="center"/>
              <w:rPr>
                <w:rFonts w:ascii="Times New Roman" w:hAnsi="Times New Roman" w:cs="Times New Roman"/>
                <w:sz w:val="24"/>
                <w:szCs w:val="24"/>
              </w:rPr>
            </w:pPr>
            <w:r>
              <w:rPr>
                <w:rFonts w:hint="eastAsia" w:ascii="Times New Roman" w:hAnsi="Times New Roman" w:cs="Times New Roman"/>
                <w:sz w:val="24"/>
                <w:szCs w:val="24"/>
              </w:rPr>
              <w:t>146</w:t>
            </w:r>
          </w:p>
        </w:tc>
        <w:tc>
          <w:tcPr>
            <w:tcW w:w="854"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吨</w:t>
            </w:r>
          </w:p>
        </w:tc>
        <w:tc>
          <w:tcPr>
            <w:tcW w:w="1047" w:type="dxa"/>
            <w:tcBorders>
              <w:left w:val="single" w:color="auto" w:sz="2" w:space="0"/>
              <w:right w:val="single" w:color="auto" w:sz="2" w:space="0"/>
            </w:tcBorders>
            <w:vAlign w:val="center"/>
          </w:tcPr>
          <w:p>
            <w:pPr>
              <w:pStyle w:val="91"/>
              <w:spacing w:line="360" w:lineRule="auto"/>
              <w:ind w:left="0" w:firstLine="0"/>
              <w:rPr>
                <w:rFonts w:ascii="Times New Roman" w:hAnsi="Times New Roman" w:cs="Times New Roman"/>
                <w:sz w:val="24"/>
                <w:szCs w:val="24"/>
                <w:lang w:eastAsia="zh-CN"/>
              </w:rPr>
            </w:pPr>
          </w:p>
        </w:tc>
        <w:tc>
          <w:tcPr>
            <w:tcW w:w="1124" w:type="dxa"/>
            <w:tcBorders>
              <w:left w:val="single" w:color="auto" w:sz="2" w:space="0"/>
              <w:right w:val="single" w:color="auto" w:sz="2" w:space="0"/>
            </w:tcBorders>
            <w:vAlign w:val="center"/>
          </w:tcPr>
          <w:p>
            <w:pPr>
              <w:pStyle w:val="91"/>
              <w:ind w:left="0" w:firstLine="0"/>
              <w:rPr>
                <w:rFonts w:ascii="Times New Roman" w:hAnsi="Times New Roman" w:cs="Times New Roman"/>
                <w:sz w:val="24"/>
                <w:szCs w:val="24"/>
                <w:lang w:eastAsia="zh-CN"/>
              </w:rPr>
            </w:pPr>
          </w:p>
        </w:tc>
        <w:tc>
          <w:tcPr>
            <w:tcW w:w="1535" w:type="dxa"/>
            <w:vMerge w:val="restart"/>
            <w:tcBorders>
              <w:left w:val="single" w:color="auto" w:sz="2" w:space="0"/>
              <w:right w:val="single" w:color="auto" w:sz="2" w:space="0"/>
            </w:tcBorders>
            <w:vAlign w:val="center"/>
          </w:tcPr>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数量为预估</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量，最终按实</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结算。具体内</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容详见：附件</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1.2、《芳烃</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团队白土及</w:t>
            </w:r>
          </w:p>
          <w:p>
            <w:pPr>
              <w:pStyle w:val="35"/>
              <w:spacing w:line="380" w:lineRule="exact"/>
              <w:ind w:left="600" w:hanging="600" w:hangingChars="250"/>
              <w:rPr>
                <w:rFonts w:asciiTheme="majorEastAsia" w:hAnsiTheme="majorEastAsia" w:eastAsiaTheme="majorEastAsia"/>
                <w:sz w:val="24"/>
              </w:rPr>
            </w:pPr>
            <w:r>
              <w:rPr>
                <w:rFonts w:hint="eastAsia" w:asciiTheme="majorEastAsia" w:hAnsiTheme="majorEastAsia" w:eastAsiaTheme="majorEastAsia"/>
                <w:sz w:val="24"/>
              </w:rPr>
              <w:t>脱氯剂装卸</w:t>
            </w:r>
          </w:p>
          <w:p>
            <w:pPr>
              <w:pStyle w:val="35"/>
              <w:spacing w:line="380" w:lineRule="exact"/>
              <w:ind w:left="600" w:hanging="600" w:hangingChars="250"/>
              <w:rPr>
                <w:rFonts w:ascii="Times New Roman"/>
                <w:sz w:val="24"/>
                <w:szCs w:val="24"/>
              </w:rPr>
            </w:pPr>
            <w:r>
              <w:rPr>
                <w:rFonts w:hint="eastAsia" w:asciiTheme="majorEastAsia" w:hAnsiTheme="majorEastAsia" w:eastAsiaTheme="majorEastAsia"/>
                <w:sz w:val="24"/>
              </w:rPr>
              <w:t>发包说明》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99"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p>
        </w:tc>
        <w:tc>
          <w:tcPr>
            <w:tcW w:w="1895"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rPr>
              <w:t>白土装卸</w:t>
            </w:r>
          </w:p>
        </w:tc>
        <w:tc>
          <w:tcPr>
            <w:tcW w:w="2889" w:type="dxa"/>
            <w:tcBorders>
              <w:top w:val="single" w:color="auto" w:sz="2" w:space="0"/>
              <w:left w:val="single" w:color="auto" w:sz="2" w:space="0"/>
              <w:right w:val="single" w:color="auto" w:sz="2" w:space="0"/>
            </w:tcBorders>
            <w:vAlign w:val="center"/>
          </w:tcPr>
          <w:p>
            <w:pPr>
              <w:pStyle w:val="91"/>
              <w:spacing w:line="360" w:lineRule="auto"/>
              <w:ind w:left="220" w:leftChars="100" w:firstLine="0"/>
              <w:jc w:val="center"/>
              <w:rPr>
                <w:rFonts w:ascii="Times New Roman" w:hAnsi="Times New Roman" w:cs="Times New Roman"/>
                <w:sz w:val="24"/>
                <w:szCs w:val="24"/>
              </w:rPr>
            </w:pPr>
            <w:r>
              <w:rPr>
                <w:rFonts w:hint="eastAsia" w:ascii="Times New Roman" w:hAnsi="Times New Roman" w:cs="Times New Roman"/>
                <w:sz w:val="24"/>
                <w:szCs w:val="24"/>
              </w:rPr>
              <w:t>280</w:t>
            </w:r>
          </w:p>
        </w:tc>
        <w:tc>
          <w:tcPr>
            <w:tcW w:w="854"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吨</w:t>
            </w:r>
          </w:p>
        </w:tc>
        <w:tc>
          <w:tcPr>
            <w:tcW w:w="1047" w:type="dxa"/>
            <w:tcBorders>
              <w:left w:val="single" w:color="auto" w:sz="2" w:space="0"/>
              <w:right w:val="single" w:color="auto" w:sz="2" w:space="0"/>
            </w:tcBorders>
            <w:vAlign w:val="center"/>
          </w:tcPr>
          <w:p>
            <w:pPr>
              <w:pStyle w:val="91"/>
              <w:spacing w:line="360" w:lineRule="auto"/>
              <w:ind w:left="0" w:firstLine="0"/>
              <w:rPr>
                <w:rFonts w:ascii="Times New Roman" w:hAnsi="Times New Roman" w:cs="Times New Roman"/>
                <w:sz w:val="24"/>
                <w:szCs w:val="24"/>
                <w:lang w:eastAsia="zh-CN"/>
              </w:rPr>
            </w:pPr>
          </w:p>
        </w:tc>
        <w:tc>
          <w:tcPr>
            <w:tcW w:w="1124" w:type="dxa"/>
            <w:tcBorders>
              <w:left w:val="single" w:color="auto" w:sz="2" w:space="0"/>
              <w:right w:val="single" w:color="auto" w:sz="2" w:space="0"/>
            </w:tcBorders>
            <w:vAlign w:val="center"/>
          </w:tcPr>
          <w:p>
            <w:pPr>
              <w:pStyle w:val="91"/>
              <w:ind w:left="0" w:firstLine="0"/>
              <w:rPr>
                <w:rFonts w:ascii="Times New Roman" w:hAnsi="Times New Roman" w:cs="Times New Roman"/>
                <w:sz w:val="24"/>
                <w:szCs w:val="24"/>
                <w:lang w:eastAsia="zh-CN"/>
              </w:rPr>
            </w:pPr>
          </w:p>
        </w:tc>
        <w:tc>
          <w:tcPr>
            <w:tcW w:w="1535" w:type="dxa"/>
            <w:vMerge w:val="continue"/>
            <w:tcBorders>
              <w:left w:val="single" w:color="auto" w:sz="2" w:space="0"/>
              <w:right w:val="single" w:color="auto" w:sz="2" w:space="0"/>
            </w:tcBorders>
            <w:vAlign w:val="center"/>
          </w:tcPr>
          <w:p>
            <w:pPr>
              <w:pStyle w:val="91"/>
              <w:ind w:left="0" w:firstLine="0"/>
              <w:rPr>
                <w:rFonts w:ascii="Times New Roman" w:hAnsi="Times New Roman" w:cs="Times New Roman"/>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22" w:hRule="atLeast"/>
        </w:trPr>
        <w:tc>
          <w:tcPr>
            <w:tcW w:w="836" w:type="dxa"/>
            <w:vMerge w:val="continue"/>
            <w:tcBorders>
              <w:left w:val="single" w:color="auto" w:sz="2" w:space="0"/>
              <w:right w:val="single" w:color="auto" w:sz="2" w:space="0"/>
            </w:tcBorders>
            <w:vAlign w:val="center"/>
          </w:tcPr>
          <w:p>
            <w:pPr>
              <w:pStyle w:val="230"/>
              <w:ind w:left="220" w:leftChars="100"/>
              <w:rPr>
                <w:rFonts w:ascii="Times New Roman"/>
                <w:color w:val="000000"/>
                <w:kern w:val="2"/>
                <w:sz w:val="24"/>
                <w:szCs w:val="24"/>
                <w:lang w:eastAsia="zh-CN"/>
              </w:rPr>
            </w:pPr>
          </w:p>
        </w:tc>
        <w:tc>
          <w:tcPr>
            <w:tcW w:w="836"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p>
        </w:tc>
        <w:tc>
          <w:tcPr>
            <w:tcW w:w="1895"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rPr>
              <w:t>瓷球装卸</w:t>
            </w:r>
          </w:p>
        </w:tc>
        <w:tc>
          <w:tcPr>
            <w:tcW w:w="2889" w:type="dxa"/>
            <w:tcBorders>
              <w:top w:val="single" w:color="auto" w:sz="2" w:space="0"/>
              <w:left w:val="single" w:color="auto" w:sz="2" w:space="0"/>
              <w:right w:val="single" w:color="auto" w:sz="2" w:space="0"/>
            </w:tcBorders>
            <w:vAlign w:val="center"/>
          </w:tcPr>
          <w:p>
            <w:pPr>
              <w:pStyle w:val="91"/>
              <w:spacing w:line="360" w:lineRule="auto"/>
              <w:ind w:left="220" w:leftChars="100" w:firstLine="0"/>
              <w:jc w:val="center"/>
              <w:rPr>
                <w:rFonts w:ascii="Times New Roman" w:hAnsi="Times New Roman" w:cs="Times New Roman"/>
                <w:sz w:val="24"/>
                <w:szCs w:val="24"/>
              </w:rPr>
            </w:pPr>
            <w:r>
              <w:rPr>
                <w:rFonts w:hint="eastAsia" w:ascii="Times New Roman" w:hAnsi="Times New Roman" w:cs="Times New Roman"/>
                <w:sz w:val="24"/>
                <w:szCs w:val="24"/>
              </w:rPr>
              <w:t>38</w:t>
            </w:r>
          </w:p>
        </w:tc>
        <w:tc>
          <w:tcPr>
            <w:tcW w:w="854" w:type="dxa"/>
            <w:tcBorders>
              <w:top w:val="single" w:color="auto" w:sz="2" w:space="0"/>
              <w:left w:val="single" w:color="auto" w:sz="2" w:space="0"/>
              <w:right w:val="single" w:color="auto" w:sz="2" w:space="0"/>
            </w:tcBorders>
            <w:vAlign w:val="center"/>
          </w:tcPr>
          <w:p>
            <w:pPr>
              <w:pStyle w:val="91"/>
              <w:spacing w:line="360" w:lineRule="auto"/>
              <w:ind w:left="0" w:firstLine="0"/>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吨</w:t>
            </w:r>
          </w:p>
        </w:tc>
        <w:tc>
          <w:tcPr>
            <w:tcW w:w="1047" w:type="dxa"/>
            <w:tcBorders>
              <w:left w:val="single" w:color="auto" w:sz="2" w:space="0"/>
              <w:right w:val="single" w:color="auto" w:sz="2" w:space="0"/>
            </w:tcBorders>
            <w:vAlign w:val="center"/>
          </w:tcPr>
          <w:p>
            <w:pPr>
              <w:pStyle w:val="91"/>
              <w:spacing w:line="360" w:lineRule="auto"/>
              <w:ind w:left="0" w:firstLine="0"/>
              <w:rPr>
                <w:rFonts w:ascii="Times New Roman" w:hAnsi="Times New Roman" w:cs="Times New Roman"/>
                <w:sz w:val="24"/>
                <w:szCs w:val="24"/>
                <w:lang w:eastAsia="zh-CN"/>
              </w:rPr>
            </w:pPr>
          </w:p>
        </w:tc>
        <w:tc>
          <w:tcPr>
            <w:tcW w:w="1124" w:type="dxa"/>
            <w:tcBorders>
              <w:left w:val="single" w:color="auto" w:sz="2" w:space="0"/>
              <w:right w:val="single" w:color="auto" w:sz="2" w:space="0"/>
            </w:tcBorders>
            <w:vAlign w:val="center"/>
          </w:tcPr>
          <w:p>
            <w:pPr>
              <w:pStyle w:val="91"/>
              <w:ind w:left="0" w:firstLine="0"/>
              <w:rPr>
                <w:rFonts w:ascii="Times New Roman" w:hAnsi="Times New Roman" w:cs="Times New Roman"/>
                <w:sz w:val="24"/>
                <w:szCs w:val="24"/>
                <w:lang w:eastAsia="zh-CN"/>
              </w:rPr>
            </w:pPr>
          </w:p>
        </w:tc>
        <w:tc>
          <w:tcPr>
            <w:tcW w:w="1535" w:type="dxa"/>
            <w:vMerge w:val="continue"/>
            <w:tcBorders>
              <w:left w:val="single" w:color="auto" w:sz="2" w:space="0"/>
              <w:right w:val="single" w:color="auto" w:sz="2" w:space="0"/>
            </w:tcBorders>
            <w:vAlign w:val="center"/>
          </w:tcPr>
          <w:p>
            <w:pPr>
              <w:pStyle w:val="91"/>
              <w:ind w:left="0" w:firstLine="0"/>
              <w:rPr>
                <w:rFonts w:ascii="Times New Roman" w:hAnsi="Times New Roman" w:cs="Times New Roman"/>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51" w:hRule="atLeast"/>
        </w:trPr>
        <w:tc>
          <w:tcPr>
            <w:tcW w:w="6456" w:type="dxa"/>
            <w:gridSpan w:val="4"/>
            <w:tcBorders>
              <w:left w:val="single" w:color="auto" w:sz="2" w:space="0"/>
              <w:bottom w:val="single" w:color="auto" w:sz="2" w:space="0"/>
              <w:right w:val="single" w:color="auto" w:sz="2" w:space="0"/>
            </w:tcBorders>
            <w:vAlign w:val="center"/>
          </w:tcPr>
          <w:p>
            <w:pPr>
              <w:pStyle w:val="230"/>
              <w:ind w:left="220" w:leftChars="100"/>
              <w:jc w:val="left"/>
              <w:rPr>
                <w:rFonts w:ascii="Times New Roman"/>
                <w:color w:val="000000"/>
                <w:kern w:val="2"/>
                <w:sz w:val="24"/>
                <w:szCs w:val="24"/>
                <w:lang w:eastAsia="zh-CN"/>
              </w:rPr>
            </w:pPr>
            <w:r>
              <w:rPr>
                <w:rFonts w:hint="eastAsia" w:ascii="Times New Roman"/>
                <w:color w:val="000000"/>
                <w:kern w:val="2"/>
                <w:sz w:val="24"/>
                <w:szCs w:val="24"/>
                <w:lang w:eastAsia="zh-CN"/>
              </w:rPr>
              <w:t>含税预估含税总合计（人民币，元）</w:t>
            </w:r>
          </w:p>
        </w:tc>
        <w:tc>
          <w:tcPr>
            <w:tcW w:w="4560" w:type="dxa"/>
            <w:gridSpan w:val="4"/>
            <w:tcBorders>
              <w:top w:val="single" w:color="auto" w:sz="2" w:space="0"/>
              <w:left w:val="single" w:color="auto" w:sz="2" w:space="0"/>
              <w:bottom w:val="single" w:color="auto" w:sz="2" w:space="0"/>
              <w:right w:val="single" w:color="auto" w:sz="2" w:space="0"/>
            </w:tcBorders>
            <w:vAlign w:val="center"/>
          </w:tcPr>
          <w:p>
            <w:pPr>
              <w:pStyle w:val="230"/>
              <w:ind w:left="220" w:leftChars="100"/>
              <w:jc w:val="left"/>
              <w:rPr>
                <w:rFonts w:ascii="Times New Roman"/>
                <w:color w:val="000000"/>
                <w:kern w:val="2"/>
                <w:sz w:val="24"/>
                <w:szCs w:val="24"/>
                <w:lang w:eastAsia="zh-CN"/>
              </w:rPr>
            </w:pPr>
          </w:p>
        </w:tc>
      </w:tr>
    </w:tbl>
    <w:p>
      <w:pPr>
        <w:pStyle w:val="57"/>
        <w:rPr>
          <w:sz w:val="28"/>
          <w:szCs w:val="28"/>
        </w:rPr>
      </w:pPr>
    </w:p>
    <w:p>
      <w:pPr>
        <w:pStyle w:val="57"/>
        <w:rPr>
          <w:sz w:val="28"/>
          <w:szCs w:val="28"/>
        </w:rPr>
      </w:pPr>
      <w:r>
        <w:rPr>
          <w:rFonts w:hint="eastAsia"/>
          <w:sz w:val="28"/>
          <w:szCs w:val="28"/>
        </w:rPr>
        <w:t>注： 1、价格为含税价，税率：</w:t>
      </w:r>
      <w:r>
        <w:rPr>
          <w:rFonts w:hint="eastAsia"/>
          <w:sz w:val="28"/>
          <w:szCs w:val="28"/>
          <w:u w:val="single"/>
        </w:rPr>
        <w:t xml:space="preserve">         % </w:t>
      </w:r>
      <w:r>
        <w:rPr>
          <w:rFonts w:hint="eastAsia"/>
          <w:sz w:val="28"/>
          <w:szCs w:val="28"/>
        </w:rPr>
        <w:t>；</w:t>
      </w:r>
    </w:p>
    <w:p>
      <w:pPr>
        <w:pStyle w:val="57"/>
        <w:ind w:firstLine="840" w:firstLineChars="300"/>
      </w:pPr>
      <w:r>
        <w:rPr>
          <w:rFonts w:hint="eastAsia"/>
          <w:sz w:val="28"/>
          <w:szCs w:val="28"/>
        </w:rPr>
        <w:t>2、付款方式：以每批次实际完成作业量及合同固定单价按实结算。</w:t>
      </w:r>
    </w:p>
    <w:p>
      <w:pPr>
        <w:spacing w:line="460" w:lineRule="exact"/>
        <w:ind w:firstLine="3080" w:firstLineChars="110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left="220" w:leftChars="100"/>
        <w:jc w:val="right"/>
        <w:rPr>
          <w:rFonts w:ascii="Times New Roman" w:hAnsi="Times New Roman" w:cs="Times New Roman"/>
          <w:sz w:val="28"/>
          <w:u w:val="single"/>
          <w:lang w:eastAsia="zh-CN"/>
        </w:rPr>
      </w:pPr>
    </w:p>
    <w:p>
      <w:pPr>
        <w:spacing w:line="460" w:lineRule="exact"/>
        <w:ind w:firstLine="3080" w:firstLineChars="110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left="220" w:leftChars="100"/>
        <w:jc w:val="right"/>
        <w:rPr>
          <w:rFonts w:ascii="Times New Roman" w:hAnsi="Times New Roman" w:cs="Times New Roman"/>
          <w:color w:val="00B050"/>
          <w:sz w:val="28"/>
          <w:lang w:eastAsia="zh-CN"/>
        </w:rPr>
      </w:pPr>
    </w:p>
    <w:p>
      <w:pPr>
        <w:spacing w:line="460" w:lineRule="exact"/>
        <w:ind w:left="220" w:leftChars="10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ind w:firstLine="3080" w:firstLineChars="1100"/>
        <w:jc w:val="both"/>
        <w:rPr>
          <w:rFonts w:ascii="Times New Roman" w:hAnsi="Times New Roman" w:cs="Times New Roman"/>
          <w:sz w:val="28"/>
          <w:lang w:eastAsia="zh-CN"/>
        </w:rPr>
      </w:pPr>
    </w:p>
    <w:p>
      <w:pPr>
        <w:ind w:firstLine="3360" w:firstLineChars="1200"/>
        <w:rPr>
          <w:sz w:val="28"/>
          <w:szCs w:val="28"/>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月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r>
        <w:rPr>
          <w:rFonts w:hint="eastAsia" w:ascii="Times New Roman" w:hAnsi="Times New Roman" w:cs="Times New Roman"/>
          <w:sz w:val="28"/>
          <w:u w:val="single"/>
          <w:lang w:eastAsia="zh-CN"/>
        </w:rPr>
        <w:t xml:space="preserve"> </w:t>
      </w:r>
    </w:p>
    <w:bookmarkEnd w:id="13"/>
    <w:p>
      <w:pPr>
        <w:pStyle w:val="57"/>
        <w:jc w:val="left"/>
        <w:rPr>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文本框 1028"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26AE9"/>
    <w:multiLevelType w:val="singleLevel"/>
    <w:tmpl w:val="44E26AE9"/>
    <w:lvl w:ilvl="0" w:tentative="0">
      <w:start w:val="2"/>
      <w:numFmt w:val="decimal"/>
      <w:suff w:val="nothing"/>
      <w:lvlText w:val="%1、"/>
      <w:lvlJc w:val="left"/>
    </w:lvl>
  </w:abstractNum>
  <w:abstractNum w:abstractNumId="1">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2">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E65F9"/>
    <w:rsid w:val="00FF49E8"/>
    <w:rsid w:val="00FF5F83"/>
    <w:rsid w:val="00FF6972"/>
    <w:rsid w:val="023F7DE1"/>
    <w:rsid w:val="0367315B"/>
    <w:rsid w:val="03B3341D"/>
    <w:rsid w:val="061139E5"/>
    <w:rsid w:val="06F50B00"/>
    <w:rsid w:val="076E1278"/>
    <w:rsid w:val="081C4DA3"/>
    <w:rsid w:val="082161F8"/>
    <w:rsid w:val="08D1141D"/>
    <w:rsid w:val="0B296DE2"/>
    <w:rsid w:val="10294AA3"/>
    <w:rsid w:val="10AC6E68"/>
    <w:rsid w:val="10E40CA0"/>
    <w:rsid w:val="10F038ED"/>
    <w:rsid w:val="11004161"/>
    <w:rsid w:val="136130D9"/>
    <w:rsid w:val="13805E8A"/>
    <w:rsid w:val="14762538"/>
    <w:rsid w:val="15800409"/>
    <w:rsid w:val="160C4FEC"/>
    <w:rsid w:val="173600E6"/>
    <w:rsid w:val="174C7453"/>
    <w:rsid w:val="18AD2B3E"/>
    <w:rsid w:val="18DD4F7E"/>
    <w:rsid w:val="195B58A2"/>
    <w:rsid w:val="1989465C"/>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998140D"/>
    <w:rsid w:val="29FC3B14"/>
    <w:rsid w:val="2A8D0A71"/>
    <w:rsid w:val="2B11792E"/>
    <w:rsid w:val="2B430052"/>
    <w:rsid w:val="2C7C6C0E"/>
    <w:rsid w:val="2F2338E9"/>
    <w:rsid w:val="2F724BD0"/>
    <w:rsid w:val="31C54755"/>
    <w:rsid w:val="3216608C"/>
    <w:rsid w:val="32D87995"/>
    <w:rsid w:val="34172AF9"/>
    <w:rsid w:val="34CE14C6"/>
    <w:rsid w:val="34D84CEC"/>
    <w:rsid w:val="37AF5AB7"/>
    <w:rsid w:val="3A1909DB"/>
    <w:rsid w:val="3B1C3371"/>
    <w:rsid w:val="3CC23198"/>
    <w:rsid w:val="3DDF4815"/>
    <w:rsid w:val="3EAE0563"/>
    <w:rsid w:val="3F027B25"/>
    <w:rsid w:val="3FE669E5"/>
    <w:rsid w:val="41DA10EB"/>
    <w:rsid w:val="462A54F2"/>
    <w:rsid w:val="472D168D"/>
    <w:rsid w:val="4A6A5207"/>
    <w:rsid w:val="4B104437"/>
    <w:rsid w:val="4C392DFB"/>
    <w:rsid w:val="4DA07D17"/>
    <w:rsid w:val="4ED66FBD"/>
    <w:rsid w:val="50F63E28"/>
    <w:rsid w:val="5221007F"/>
    <w:rsid w:val="528526DA"/>
    <w:rsid w:val="52926B5A"/>
    <w:rsid w:val="52F34948"/>
    <w:rsid w:val="52F74B88"/>
    <w:rsid w:val="53516DB6"/>
    <w:rsid w:val="545C5E51"/>
    <w:rsid w:val="5486175B"/>
    <w:rsid w:val="54C676FE"/>
    <w:rsid w:val="57667D24"/>
    <w:rsid w:val="57CE5BC3"/>
    <w:rsid w:val="594815F8"/>
    <w:rsid w:val="59C5385A"/>
    <w:rsid w:val="5A2D3E44"/>
    <w:rsid w:val="5A3260D4"/>
    <w:rsid w:val="5AE1516A"/>
    <w:rsid w:val="5B6A3A79"/>
    <w:rsid w:val="5B717EFD"/>
    <w:rsid w:val="5C1A5F7B"/>
    <w:rsid w:val="5D7A3273"/>
    <w:rsid w:val="5E2B4120"/>
    <w:rsid w:val="5E85244B"/>
    <w:rsid w:val="5F9C62EA"/>
    <w:rsid w:val="5FF5639F"/>
    <w:rsid w:val="61C07B63"/>
    <w:rsid w:val="628D3982"/>
    <w:rsid w:val="63974DB6"/>
    <w:rsid w:val="645771F8"/>
    <w:rsid w:val="66347868"/>
    <w:rsid w:val="66CC0AF0"/>
    <w:rsid w:val="693C3D94"/>
    <w:rsid w:val="6A54112D"/>
    <w:rsid w:val="6A701C86"/>
    <w:rsid w:val="6AA035AE"/>
    <w:rsid w:val="6BCB034D"/>
    <w:rsid w:val="6C0E1756"/>
    <w:rsid w:val="6D4626BB"/>
    <w:rsid w:val="6DC956E5"/>
    <w:rsid w:val="6E0F2E14"/>
    <w:rsid w:val="6F1E141D"/>
    <w:rsid w:val="6F5354F8"/>
    <w:rsid w:val="6FB22D40"/>
    <w:rsid w:val="71DE66EF"/>
    <w:rsid w:val="727810B8"/>
    <w:rsid w:val="740A2BDE"/>
    <w:rsid w:val="751839E0"/>
    <w:rsid w:val="76274F93"/>
    <w:rsid w:val="79EB3F2F"/>
    <w:rsid w:val="79FD3C4B"/>
    <w:rsid w:val="7B11789E"/>
    <w:rsid w:val="7D03131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8"/>
    <w:qFormat/>
    <w:uiPriority w:val="0"/>
    <w:pPr>
      <w:ind w:left="538"/>
      <w:outlineLvl w:val="0"/>
    </w:pPr>
    <w:rPr>
      <w:b/>
      <w:bCs/>
      <w:sz w:val="28"/>
      <w:szCs w:val="28"/>
    </w:rPr>
  </w:style>
  <w:style w:type="paragraph" w:styleId="5">
    <w:name w:val="heading 2"/>
    <w:basedOn w:val="1"/>
    <w:next w:val="1"/>
    <w:link w:val="59"/>
    <w:qFormat/>
    <w:uiPriority w:val="0"/>
    <w:pPr>
      <w:ind w:left="629"/>
      <w:outlineLvl w:val="1"/>
    </w:pPr>
    <w:rPr>
      <w:b/>
      <w:bCs/>
      <w:sz w:val="24"/>
      <w:szCs w:val="24"/>
    </w:rPr>
  </w:style>
  <w:style w:type="paragraph" w:styleId="6">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7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7">
    <w:name w:val="Document Map"/>
    <w:basedOn w:val="1"/>
    <w:link w:val="6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69"/>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7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2"/>
    <w:qFormat/>
    <w:uiPriority w:val="0"/>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4"/>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8"/>
    <w:qFormat/>
    <w:uiPriority w:val="99"/>
    <w:pPr>
      <w:tabs>
        <w:tab w:val="center" w:pos="4153"/>
        <w:tab w:val="right" w:pos="8306"/>
      </w:tabs>
      <w:snapToGrid w:val="0"/>
    </w:pPr>
    <w:rPr>
      <w:sz w:val="18"/>
      <w:szCs w:val="18"/>
    </w:rPr>
  </w:style>
  <w:style w:type="paragraph" w:styleId="31">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80"/>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1"/>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5"/>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6"/>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8"/>
    <w:next w:val="18"/>
    <w:link w:val="87"/>
    <w:qFormat/>
    <w:uiPriority w:val="0"/>
    <w:pPr>
      <w:widowControl/>
    </w:pPr>
    <w:rPr>
      <w:b/>
      <w:bCs/>
      <w:sz w:val="24"/>
      <w:szCs w:val="24"/>
    </w:rPr>
  </w:style>
  <w:style w:type="paragraph" w:styleId="47">
    <w:name w:val="Body Text First Indent"/>
    <w:basedOn w:val="21"/>
    <w:link w:val="88"/>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4"/>
    <w:qFormat/>
    <w:uiPriority w:val="0"/>
    <w:rPr>
      <w:rFonts w:ascii="宋体" w:hAnsi="宋体" w:cs="宋体"/>
      <w:b/>
      <w:bCs/>
      <w:sz w:val="28"/>
      <w:szCs w:val="28"/>
      <w:lang w:eastAsia="en-US"/>
    </w:rPr>
  </w:style>
  <w:style w:type="character" w:customStyle="1" w:styleId="59">
    <w:name w:val="标题 2 Char"/>
    <w:basedOn w:val="50"/>
    <w:link w:val="5"/>
    <w:qFormat/>
    <w:uiPriority w:val="0"/>
    <w:rPr>
      <w:rFonts w:ascii="宋体" w:hAnsi="宋体" w:cs="宋体"/>
      <w:b/>
      <w:bCs/>
      <w:sz w:val="24"/>
      <w:szCs w:val="24"/>
      <w:lang w:eastAsia="en-US"/>
    </w:rPr>
  </w:style>
  <w:style w:type="character" w:customStyle="1" w:styleId="60">
    <w:name w:val="标题 3 Char"/>
    <w:basedOn w:val="50"/>
    <w:link w:val="6"/>
    <w:qFormat/>
    <w:uiPriority w:val="0"/>
    <w:rPr>
      <w:b/>
      <w:bCs/>
      <w:kern w:val="2"/>
      <w:sz w:val="32"/>
      <w:szCs w:val="32"/>
    </w:rPr>
  </w:style>
  <w:style w:type="character" w:customStyle="1" w:styleId="61">
    <w:name w:val="标题 4 Char"/>
    <w:basedOn w:val="50"/>
    <w:link w:val="7"/>
    <w:qFormat/>
    <w:uiPriority w:val="0"/>
    <w:rPr>
      <w:b/>
      <w:kern w:val="2"/>
      <w:sz w:val="24"/>
      <w:szCs w:val="24"/>
    </w:rPr>
  </w:style>
  <w:style w:type="character" w:customStyle="1" w:styleId="62">
    <w:name w:val="标题 5 Char"/>
    <w:basedOn w:val="50"/>
    <w:link w:val="8"/>
    <w:qFormat/>
    <w:uiPriority w:val="0"/>
    <w:rPr>
      <w:b/>
      <w:bCs/>
      <w:kern w:val="2"/>
      <w:sz w:val="28"/>
      <w:szCs w:val="28"/>
    </w:rPr>
  </w:style>
  <w:style w:type="character" w:customStyle="1" w:styleId="63">
    <w:name w:val="标题 6 Char"/>
    <w:basedOn w:val="50"/>
    <w:link w:val="9"/>
    <w:qFormat/>
    <w:uiPriority w:val="0"/>
    <w:rPr>
      <w:b/>
      <w:sz w:val="24"/>
    </w:rPr>
  </w:style>
  <w:style w:type="character" w:customStyle="1" w:styleId="64">
    <w:name w:val="正文缩进 Char"/>
    <w:basedOn w:val="50"/>
    <w:link w:val="11"/>
    <w:qFormat/>
    <w:uiPriority w:val="0"/>
    <w:rPr>
      <w:sz w:val="24"/>
    </w:rPr>
  </w:style>
  <w:style w:type="character" w:customStyle="1" w:styleId="65">
    <w:name w:val="标题 7 Char"/>
    <w:basedOn w:val="50"/>
    <w:link w:val="10"/>
    <w:qFormat/>
    <w:uiPriority w:val="0"/>
    <w:rPr>
      <w:b/>
      <w:kern w:val="2"/>
      <w:sz w:val="24"/>
    </w:rPr>
  </w:style>
  <w:style w:type="character" w:customStyle="1" w:styleId="66">
    <w:name w:val="标题 8 Char"/>
    <w:basedOn w:val="50"/>
    <w:link w:val="12"/>
    <w:qFormat/>
    <w:uiPriority w:val="0"/>
    <w:rPr>
      <w:rFonts w:ascii="Arial" w:hAnsi="Arial" w:eastAsia="黑体"/>
      <w:kern w:val="2"/>
      <w:sz w:val="24"/>
    </w:rPr>
  </w:style>
  <w:style w:type="character" w:customStyle="1" w:styleId="67">
    <w:name w:val="标题 9 Char"/>
    <w:basedOn w:val="50"/>
    <w:link w:val="13"/>
    <w:qFormat/>
    <w:uiPriority w:val="0"/>
    <w:rPr>
      <w:rFonts w:ascii="Arial" w:hAnsi="Arial" w:eastAsia="黑体"/>
      <w:kern w:val="2"/>
      <w:sz w:val="21"/>
    </w:rPr>
  </w:style>
  <w:style w:type="character" w:customStyle="1" w:styleId="68">
    <w:name w:val="文档结构图 Char"/>
    <w:basedOn w:val="50"/>
    <w:link w:val="17"/>
    <w:qFormat/>
    <w:uiPriority w:val="0"/>
    <w:rPr>
      <w:rFonts w:ascii="宋体"/>
      <w:sz w:val="28"/>
      <w:shd w:val="clear" w:color="auto" w:fill="000080"/>
    </w:rPr>
  </w:style>
  <w:style w:type="character" w:customStyle="1" w:styleId="69">
    <w:name w:val="批注文字 Char"/>
    <w:basedOn w:val="50"/>
    <w:link w:val="18"/>
    <w:qFormat/>
    <w:uiPriority w:val="0"/>
    <w:rPr>
      <w:kern w:val="2"/>
      <w:sz w:val="21"/>
    </w:rPr>
  </w:style>
  <w:style w:type="character" w:customStyle="1" w:styleId="70">
    <w:name w:val="正文文本 3 Char"/>
    <w:basedOn w:val="50"/>
    <w:link w:val="19"/>
    <w:qFormat/>
    <w:uiPriority w:val="0"/>
    <w:rPr>
      <w:color w:val="0000FF"/>
      <w:kern w:val="2"/>
      <w:sz w:val="24"/>
      <w:szCs w:val="24"/>
    </w:rPr>
  </w:style>
  <w:style w:type="character" w:customStyle="1" w:styleId="71">
    <w:name w:val="结束语 Char"/>
    <w:basedOn w:val="50"/>
    <w:link w:val="20"/>
    <w:qFormat/>
    <w:uiPriority w:val="99"/>
    <w:rPr>
      <w:b/>
      <w:kern w:val="2"/>
      <w:sz w:val="21"/>
    </w:rPr>
  </w:style>
  <w:style w:type="character" w:customStyle="1" w:styleId="72">
    <w:name w:val="正文文本 Char1"/>
    <w:basedOn w:val="50"/>
    <w:link w:val="21"/>
    <w:qFormat/>
    <w:uiPriority w:val="0"/>
    <w:rPr>
      <w:rFonts w:ascii="宋体" w:hAnsi="宋体" w:cs="宋体"/>
      <w:sz w:val="24"/>
      <w:szCs w:val="24"/>
      <w:lang w:eastAsia="en-US"/>
    </w:rPr>
  </w:style>
  <w:style w:type="character" w:customStyle="1" w:styleId="73">
    <w:name w:val="正文文本缩进 Char"/>
    <w:basedOn w:val="50"/>
    <w:link w:val="3"/>
    <w:qFormat/>
    <w:uiPriority w:val="0"/>
    <w:rPr>
      <w:i/>
      <w:iCs/>
      <w:kern w:val="2"/>
      <w:sz w:val="21"/>
    </w:rPr>
  </w:style>
  <w:style w:type="character" w:customStyle="1" w:styleId="74">
    <w:name w:val="纯文本 Char"/>
    <w:basedOn w:val="50"/>
    <w:link w:val="25"/>
    <w:qFormat/>
    <w:uiPriority w:val="99"/>
    <w:rPr>
      <w:rFonts w:ascii="宋体" w:hAnsi="Courier New" w:cs="Courier New"/>
      <w:sz w:val="22"/>
      <w:szCs w:val="21"/>
      <w:lang w:eastAsia="en-US"/>
    </w:rPr>
  </w:style>
  <w:style w:type="character" w:customStyle="1" w:styleId="75">
    <w:name w:val="日期 Char"/>
    <w:basedOn w:val="50"/>
    <w:link w:val="27"/>
    <w:qFormat/>
    <w:uiPriority w:val="0"/>
    <w:rPr>
      <w:kern w:val="2"/>
      <w:sz w:val="21"/>
      <w:szCs w:val="24"/>
    </w:rPr>
  </w:style>
  <w:style w:type="character" w:customStyle="1" w:styleId="76">
    <w:name w:val="正文文本缩进 2 Char"/>
    <w:basedOn w:val="50"/>
    <w:link w:val="28"/>
    <w:qFormat/>
    <w:uiPriority w:val="0"/>
    <w:rPr>
      <w:rFonts w:ascii="宋体" w:hAnsi="宋体"/>
      <w:iCs/>
      <w:kern w:val="2"/>
      <w:sz w:val="24"/>
      <w:szCs w:val="24"/>
    </w:rPr>
  </w:style>
  <w:style w:type="character" w:customStyle="1" w:styleId="77">
    <w:name w:val="批注框文本 Char"/>
    <w:basedOn w:val="50"/>
    <w:link w:val="29"/>
    <w:qFormat/>
    <w:uiPriority w:val="0"/>
    <w:rPr>
      <w:kern w:val="2"/>
      <w:sz w:val="18"/>
      <w:szCs w:val="18"/>
    </w:rPr>
  </w:style>
  <w:style w:type="character" w:customStyle="1" w:styleId="78">
    <w:name w:val="页脚 Char"/>
    <w:basedOn w:val="50"/>
    <w:link w:val="30"/>
    <w:qFormat/>
    <w:uiPriority w:val="99"/>
    <w:rPr>
      <w:rFonts w:ascii="宋体" w:hAnsi="宋体" w:cs="宋体"/>
      <w:sz w:val="18"/>
      <w:szCs w:val="18"/>
      <w:lang w:eastAsia="en-US"/>
    </w:rPr>
  </w:style>
  <w:style w:type="character" w:customStyle="1" w:styleId="79">
    <w:name w:val="页眉 Char"/>
    <w:basedOn w:val="50"/>
    <w:link w:val="31"/>
    <w:qFormat/>
    <w:uiPriority w:val="0"/>
    <w:rPr>
      <w:rFonts w:ascii="宋体" w:hAnsi="宋体" w:cs="宋体"/>
      <w:sz w:val="18"/>
      <w:szCs w:val="22"/>
      <w:lang w:eastAsia="en-US"/>
    </w:rPr>
  </w:style>
  <w:style w:type="character" w:customStyle="1" w:styleId="80">
    <w:name w:val="副标题 Char"/>
    <w:link w:val="34"/>
    <w:qFormat/>
    <w:uiPriority w:val="0"/>
    <w:rPr>
      <w:rFonts w:ascii="Cambria" w:hAnsi="Cambria"/>
      <w:b/>
      <w:bCs/>
      <w:kern w:val="28"/>
      <w:sz w:val="24"/>
      <w:szCs w:val="32"/>
    </w:rPr>
  </w:style>
  <w:style w:type="character" w:customStyle="1" w:styleId="81">
    <w:name w:val="正文文本缩进 3 Char"/>
    <w:basedOn w:val="50"/>
    <w:link w:val="37"/>
    <w:qFormat/>
    <w:uiPriority w:val="0"/>
    <w:rPr>
      <w:kern w:val="2"/>
      <w:sz w:val="28"/>
    </w:rPr>
  </w:style>
  <w:style w:type="character" w:customStyle="1" w:styleId="82">
    <w:name w:val="正文文本 2 Char"/>
    <w:basedOn w:val="50"/>
    <w:link w:val="40"/>
    <w:qFormat/>
    <w:uiPriority w:val="0"/>
    <w:rPr>
      <w:kern w:val="2"/>
      <w:sz w:val="21"/>
      <w:szCs w:val="24"/>
    </w:rPr>
  </w:style>
  <w:style w:type="character" w:customStyle="1" w:styleId="83">
    <w:name w:val="信息标题 Char"/>
    <w:basedOn w:val="50"/>
    <w:link w:val="41"/>
    <w:qFormat/>
    <w:uiPriority w:val="0"/>
    <w:rPr>
      <w:rFonts w:ascii="Arial" w:hAnsi="Arial" w:cs="Arial"/>
      <w:kern w:val="2"/>
      <w:sz w:val="24"/>
      <w:szCs w:val="24"/>
      <w:shd w:val="pct20" w:color="auto" w:fill="auto"/>
    </w:rPr>
  </w:style>
  <w:style w:type="character" w:customStyle="1" w:styleId="84">
    <w:name w:val="HTML 预设格式 Char"/>
    <w:basedOn w:val="50"/>
    <w:link w:val="42"/>
    <w:qFormat/>
    <w:uiPriority w:val="0"/>
    <w:rPr>
      <w:rFonts w:ascii="Arial Unicode MS" w:hAnsi="Arial Unicode MS" w:eastAsia="Courier New" w:cs="Courier New"/>
    </w:rPr>
  </w:style>
  <w:style w:type="character" w:customStyle="1" w:styleId="85">
    <w:name w:val="普通(网站) Char"/>
    <w:basedOn w:val="50"/>
    <w:link w:val="43"/>
    <w:qFormat/>
    <w:locked/>
    <w:uiPriority w:val="0"/>
    <w:rPr>
      <w:rFonts w:ascii="宋体" w:hAnsi="宋体" w:cs="宋体"/>
      <w:sz w:val="24"/>
      <w:szCs w:val="24"/>
    </w:rPr>
  </w:style>
  <w:style w:type="character" w:customStyle="1" w:styleId="86">
    <w:name w:val="标题 Char"/>
    <w:basedOn w:val="50"/>
    <w:link w:val="45"/>
    <w:qFormat/>
    <w:uiPriority w:val="0"/>
    <w:rPr>
      <w:rFonts w:ascii="Arial" w:hAnsi="Arial" w:cs="Arial"/>
      <w:b/>
      <w:bCs/>
      <w:sz w:val="44"/>
      <w:szCs w:val="32"/>
    </w:rPr>
  </w:style>
  <w:style w:type="character" w:customStyle="1" w:styleId="87">
    <w:name w:val="批注主题 Char"/>
    <w:basedOn w:val="69"/>
    <w:link w:val="46"/>
    <w:qFormat/>
    <w:uiPriority w:val="0"/>
    <w:rPr>
      <w:b/>
      <w:bCs/>
      <w:kern w:val="2"/>
      <w:sz w:val="24"/>
      <w:szCs w:val="24"/>
    </w:rPr>
  </w:style>
  <w:style w:type="character" w:customStyle="1" w:styleId="88">
    <w:name w:val="正文首行缩进 Char"/>
    <w:basedOn w:val="89"/>
    <w:link w:val="47"/>
    <w:qFormat/>
    <w:uiPriority w:val="0"/>
    <w:rPr>
      <w:rFonts w:eastAsia="宋体"/>
      <w:sz w:val="21"/>
      <w:szCs w:val="21"/>
      <w:lang w:val="en-US" w:eastAsia="zh-CN" w:bidi="ar-SA"/>
    </w:rPr>
  </w:style>
  <w:style w:type="character" w:customStyle="1" w:styleId="89">
    <w:name w:val="正文文本 Char"/>
    <w:basedOn w:val="50"/>
    <w:qFormat/>
    <w:uiPriority w:val="0"/>
    <w:rPr>
      <w:rFonts w:eastAsia="宋体"/>
      <w:sz w:val="24"/>
      <w:szCs w:val="24"/>
      <w:lang w:val="en-US" w:eastAsia="zh-CN" w:bidi="ar-SA"/>
    </w:rPr>
  </w:style>
  <w:style w:type="table" w:customStyle="1" w:styleId="90">
    <w:name w:val="Table Normal"/>
    <w:semiHidden/>
    <w:unhideWhenUsed/>
    <w:qFormat/>
    <w:uiPriority w:val="2"/>
    <w:tblPr>
      <w:tblCellMar>
        <w:top w:w="0" w:type="dxa"/>
        <w:left w:w="0" w:type="dxa"/>
        <w:bottom w:w="0" w:type="dxa"/>
        <w:right w:w="0" w:type="dxa"/>
      </w:tblCellMar>
    </w:tblPr>
  </w:style>
  <w:style w:type="paragraph" w:styleId="91">
    <w:name w:val="List Paragraph"/>
    <w:basedOn w:val="1"/>
    <w:link w:val="92"/>
    <w:qFormat/>
    <w:uiPriority w:val="34"/>
    <w:pPr>
      <w:spacing w:before="206"/>
      <w:ind w:left="959" w:hanging="361"/>
    </w:pPr>
  </w:style>
  <w:style w:type="character" w:customStyle="1" w:styleId="92">
    <w:name w:val="列出段落 Char"/>
    <w:link w:val="91"/>
    <w:qFormat/>
    <w:uiPriority w:val="0"/>
    <w:rPr>
      <w:rFonts w:ascii="宋体" w:hAnsi="宋体" w:cs="宋体"/>
      <w:sz w:val="22"/>
      <w:szCs w:val="22"/>
      <w:lang w:eastAsia="en-US"/>
    </w:rPr>
  </w:style>
  <w:style w:type="paragraph" w:customStyle="1" w:styleId="93">
    <w:name w:val="Table Paragraph"/>
    <w:basedOn w:val="1"/>
    <w:qFormat/>
    <w:uiPriority w:val="1"/>
  </w:style>
  <w:style w:type="paragraph" w:customStyle="1" w:styleId="9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7">
    <w:name w:val="xdrichtextbox2"/>
    <w:basedOn w:val="50"/>
    <w:qFormat/>
    <w:uiPriority w:val="0"/>
    <w:rPr>
      <w:color w:val="0000FF"/>
      <w:sz w:val="18"/>
      <w:szCs w:val="18"/>
      <w:u w:val="none"/>
      <w:bdr w:val="single" w:color="DCDCDC" w:sz="8" w:space="0"/>
      <w:shd w:val="clear" w:color="auto" w:fill="FFFFFF"/>
    </w:rPr>
  </w:style>
  <w:style w:type="character" w:customStyle="1" w:styleId="98">
    <w:name w:val="apple-converted-space"/>
    <w:basedOn w:val="50"/>
    <w:qFormat/>
    <w:uiPriority w:val="0"/>
  </w:style>
  <w:style w:type="character" w:customStyle="1" w:styleId="99">
    <w:name w:val="无间隔 Char"/>
    <w:basedOn w:val="50"/>
    <w:link w:val="100"/>
    <w:qFormat/>
    <w:uiPriority w:val="0"/>
    <w:rPr>
      <w:rFonts w:ascii="Calibri" w:hAnsi="Calibri"/>
      <w:sz w:val="22"/>
      <w:szCs w:val="22"/>
    </w:rPr>
  </w:style>
  <w:style w:type="paragraph" w:styleId="100">
    <w:name w:val="No Spacing"/>
    <w:link w:val="99"/>
    <w:qFormat/>
    <w:uiPriority w:val="0"/>
    <w:rPr>
      <w:rFonts w:ascii="Calibri" w:hAnsi="Calibri" w:eastAsia="宋体" w:cs="Times New Roman"/>
      <w:sz w:val="22"/>
      <w:szCs w:val="22"/>
      <w:lang w:val="en-US" w:eastAsia="zh-CN" w:bidi="ar-SA"/>
    </w:rPr>
  </w:style>
  <w:style w:type="character" w:customStyle="1" w:styleId="101">
    <w:name w:val="en1"/>
    <w:basedOn w:val="50"/>
    <w:qFormat/>
    <w:uiPriority w:val="0"/>
    <w:rPr>
      <w:b/>
      <w:bCs/>
      <w:color w:val="154C7F"/>
      <w:sz w:val="24"/>
      <w:szCs w:val="24"/>
    </w:rPr>
  </w:style>
  <w:style w:type="character" w:customStyle="1" w:styleId="102">
    <w:name w:val="font01"/>
    <w:basedOn w:val="50"/>
    <w:qFormat/>
    <w:uiPriority w:val="0"/>
    <w:rPr>
      <w:rFonts w:hint="eastAsia" w:ascii="宋体" w:hAnsi="宋体" w:eastAsia="宋体" w:cs="宋体"/>
      <w:color w:val="000000"/>
      <w:sz w:val="20"/>
      <w:szCs w:val="20"/>
      <w:u w:val="none"/>
    </w:rPr>
  </w:style>
  <w:style w:type="character" w:customStyle="1" w:styleId="103">
    <w:name w:val="font11"/>
    <w:basedOn w:val="50"/>
    <w:qFormat/>
    <w:uiPriority w:val="0"/>
    <w:rPr>
      <w:rFonts w:hint="default" w:ascii="Times New Roman" w:hAnsi="Times New Roman" w:cs="Times New Roman"/>
      <w:color w:val="000000"/>
      <w:sz w:val="20"/>
      <w:szCs w:val="20"/>
      <w:u w:val="none"/>
    </w:rPr>
  </w:style>
  <w:style w:type="character" w:customStyle="1" w:styleId="104">
    <w:name w:val="glossaryitem"/>
    <w:basedOn w:val="50"/>
    <w:qFormat/>
    <w:uiPriority w:val="0"/>
    <w:rPr>
      <w:u w:val="none"/>
    </w:rPr>
  </w:style>
  <w:style w:type="paragraph" w:customStyle="1" w:styleId="105">
    <w:name w:val="标题3(小3号)"/>
    <w:basedOn w:val="6"/>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2"/>
    <w:qFormat/>
    <w:uiPriority w:val="0"/>
    <w:rPr>
      <w:rFonts w:ascii="宋体" w:hAnsi="宋体" w:cs="宋体"/>
      <w:sz w:val="24"/>
      <w:szCs w:val="24"/>
      <w:lang w:eastAsia="en-US"/>
    </w:rPr>
  </w:style>
  <w:style w:type="character" w:customStyle="1" w:styleId="108">
    <w:name w:val="正文文本 3 Char1"/>
    <w:basedOn w:val="50"/>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50"/>
    <w:qFormat/>
    <w:uiPriority w:val="0"/>
    <w:rPr>
      <w:rFonts w:ascii="宋体" w:hAnsi="宋体" w:cs="宋体"/>
      <w:sz w:val="22"/>
      <w:szCs w:val="22"/>
      <w:lang w:eastAsia="en-US"/>
    </w:rPr>
  </w:style>
  <w:style w:type="character" w:customStyle="1" w:styleId="112">
    <w:name w:val="批注文字 Char1"/>
    <w:basedOn w:val="50"/>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50"/>
    <w:qFormat/>
    <w:uiPriority w:val="0"/>
    <w:rPr>
      <w:rFonts w:ascii="宋体" w:hAnsi="宋体" w:cs="宋体"/>
      <w:sz w:val="18"/>
      <w:szCs w:val="18"/>
      <w:lang w:eastAsia="en-US"/>
    </w:rPr>
  </w:style>
  <w:style w:type="character" w:customStyle="1" w:styleId="117">
    <w:name w:val="日期 Char1"/>
    <w:basedOn w:val="50"/>
    <w:qFormat/>
    <w:uiPriority w:val="0"/>
    <w:rPr>
      <w:rFonts w:ascii="宋体" w:hAnsi="宋体" w:cs="宋体"/>
      <w:sz w:val="22"/>
      <w:szCs w:val="22"/>
      <w:lang w:eastAsia="en-US"/>
    </w:rPr>
  </w:style>
  <w:style w:type="paragraph" w:customStyle="1" w:styleId="118">
    <w:name w:val="标题3(3号)"/>
    <w:basedOn w:val="6"/>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50"/>
    <w:qFormat/>
    <w:uiPriority w:val="0"/>
    <w:rPr>
      <w:rFonts w:ascii="Courier New" w:hAnsi="Courier New" w:cs="Courier New"/>
      <w:lang w:eastAsia="en-US"/>
    </w:rPr>
  </w:style>
  <w:style w:type="character" w:customStyle="1" w:styleId="122">
    <w:name w:val="正文文本缩进 Char1"/>
    <w:basedOn w:val="50"/>
    <w:qFormat/>
    <w:uiPriority w:val="0"/>
    <w:rPr>
      <w:rFonts w:ascii="宋体" w:hAnsi="宋体" w:cs="宋体"/>
      <w:sz w:val="22"/>
      <w:szCs w:val="22"/>
      <w:lang w:eastAsia="en-US"/>
    </w:rPr>
  </w:style>
  <w:style w:type="paragraph" w:customStyle="1" w:styleId="123">
    <w:name w:val="标题2(小3号)"/>
    <w:basedOn w:val="5"/>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4"/>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50"/>
    <w:qFormat/>
    <w:uiPriority w:val="0"/>
    <w:rPr>
      <w:rFonts w:ascii="宋体" w:hAnsi="宋体" w:cs="宋体"/>
      <w:sz w:val="22"/>
      <w:szCs w:val="22"/>
      <w:lang w:eastAsia="en-US"/>
    </w:rPr>
  </w:style>
  <w:style w:type="character" w:customStyle="1" w:styleId="130">
    <w:name w:val="标题 Char1"/>
    <w:basedOn w:val="50"/>
    <w:qFormat/>
    <w:uiPriority w:val="0"/>
    <w:rPr>
      <w:rFonts w:asciiTheme="majorHAnsi" w:hAnsiTheme="majorHAnsi" w:cstheme="majorBidi"/>
      <w:b/>
      <w:bCs/>
      <w:sz w:val="32"/>
      <w:szCs w:val="32"/>
      <w:lang w:eastAsia="en-US"/>
    </w:rPr>
  </w:style>
  <w:style w:type="character" w:customStyle="1" w:styleId="131">
    <w:name w:val="正文文本缩进 3 Char1"/>
    <w:basedOn w:val="50"/>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50"/>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6"/>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5"/>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6"/>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6"/>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5"/>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4"/>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5"/>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4"/>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4"/>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4"/>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5"/>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5"/>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50"/>
    <w:qFormat/>
    <w:uiPriority w:val="0"/>
  </w:style>
  <w:style w:type="character" w:customStyle="1" w:styleId="208">
    <w:name w:val="xdrichtextbox3"/>
    <w:basedOn w:val="50"/>
    <w:qFormat/>
    <w:uiPriority w:val="0"/>
    <w:rPr>
      <w:color w:val="auto"/>
      <w:u w:val="none"/>
      <w:bdr w:val="single" w:color="DCDCDC" w:sz="8" w:space="0"/>
      <w:shd w:val="clear" w:color="auto" w:fill="FFFFFF"/>
    </w:rPr>
  </w:style>
  <w:style w:type="paragraph" w:customStyle="1" w:styleId="209">
    <w:name w:val="TOC 标题1"/>
    <w:basedOn w:val="4"/>
    <w:next w:val="1"/>
    <w:unhideWhenUsed/>
    <w:qFormat/>
    <w:uiPriority w:val="39"/>
    <w:pPr>
      <w:keepNext/>
      <w:keepLines/>
      <w:spacing w:before="340" w:after="330" w:line="578" w:lineRule="auto"/>
      <w:ind w:left="0"/>
      <w:outlineLvl w:val="9"/>
    </w:pPr>
    <w:rPr>
      <w:kern w:val="44"/>
      <w:sz w:val="44"/>
      <w:szCs w:val="44"/>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95"/>
    <w:next w:val="95"/>
    <w:unhideWhenUsed/>
    <w:qFormat/>
    <w:uiPriority w:val="99"/>
    <w:pPr>
      <w:spacing w:after="320"/>
    </w:pPr>
  </w:style>
  <w:style w:type="paragraph" w:customStyle="1" w:styleId="212">
    <w:name w:val="WPS Plain"/>
    <w:qFormat/>
    <w:uiPriority w:val="0"/>
    <w:rPr>
      <w:rFonts w:ascii="Times New Roman" w:hAnsi="Times New Roman" w:eastAsia="宋体" w:cs="Times New Roman"/>
      <w:lang w:val="en-US" w:eastAsia="zh-CN" w:bidi="ar-SA"/>
    </w:rPr>
  </w:style>
  <w:style w:type="paragraph" w:customStyle="1" w:styleId="213">
    <w:name w:val="Bg"/>
    <w:basedOn w:val="1"/>
    <w:qFormat/>
    <w:uiPriority w:val="0"/>
    <w:pPr>
      <w:topLinePunct/>
      <w:snapToGrid w:val="0"/>
      <w:spacing w:before="60" w:after="60"/>
      <w:jc w:val="center"/>
    </w:pPr>
    <w:rPr>
      <w:kern w:val="2"/>
      <w:sz w:val="18"/>
    </w:rPr>
  </w:style>
  <w:style w:type="paragraph" w:customStyle="1" w:styleId="214">
    <w:name w:val="正文格式"/>
    <w:basedOn w:val="1"/>
    <w:qFormat/>
    <w:uiPriority w:val="0"/>
    <w:pPr>
      <w:topLinePunct/>
      <w:ind w:firstLine="420" w:firstLineChars="200"/>
    </w:pPr>
    <w:rPr>
      <w:kern w:val="2"/>
      <w:sz w:val="21"/>
    </w:rPr>
  </w:style>
  <w:style w:type="paragraph" w:customStyle="1" w:styleId="215">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6">
    <w:name w:val="特点 Char"/>
    <w:qFormat/>
    <w:locked/>
    <w:uiPriority w:val="0"/>
    <w:rPr>
      <w:rFonts w:eastAsia="宋体"/>
      <w:kern w:val="2"/>
      <w:sz w:val="21"/>
      <w:lang w:val="en-US" w:eastAsia="zh-CN" w:bidi="ar-SA"/>
    </w:rPr>
  </w:style>
  <w:style w:type="character" w:customStyle="1" w:styleId="217">
    <w:name w:val="纯文本 Char1"/>
    <w:qFormat/>
    <w:uiPriority w:val="0"/>
    <w:rPr>
      <w:rFonts w:ascii="宋体" w:hAnsi="Courier New" w:eastAsia="宋体" w:cs="Courier New"/>
      <w:kern w:val="0"/>
      <w:sz w:val="22"/>
      <w:szCs w:val="21"/>
      <w:lang w:eastAsia="en-US"/>
    </w:rPr>
  </w:style>
  <w:style w:type="paragraph" w:customStyle="1" w:styleId="218">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20">
    <w:name w:val="书籍标题1"/>
    <w:basedOn w:val="50"/>
    <w:qFormat/>
    <w:uiPriority w:val="33"/>
    <w:rPr>
      <w:b/>
      <w:bCs/>
      <w:smallCaps/>
      <w:spacing w:val="5"/>
    </w:rPr>
  </w:style>
  <w:style w:type="paragraph" w:customStyle="1" w:styleId="221">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2">
    <w:name w:val="样式 标题 2 + 宋体 五号 行距: 单倍行距"/>
    <w:basedOn w:val="5"/>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3">
    <w:name w:val="TOC 标题2"/>
    <w:basedOn w:val="4"/>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4">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5">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普通文字 Char2"/>
    <w:basedOn w:val="50"/>
    <w:qFormat/>
    <w:uiPriority w:val="99"/>
    <w:rPr>
      <w:rFonts w:ascii="宋体" w:hAnsi="Courier New" w:cs="Courier New"/>
      <w:sz w:val="22"/>
      <w:szCs w:val="21"/>
      <w:lang w:eastAsia="en-US"/>
    </w:rPr>
  </w:style>
  <w:style w:type="paragraph" w:customStyle="1" w:styleId="228">
    <w:name w:val="样式"/>
    <w:qFormat/>
    <w:uiPriority w:val="0"/>
    <w:pPr>
      <w:widowControl w:val="0"/>
      <w:autoSpaceDE w:val="0"/>
      <w:autoSpaceDN w:val="0"/>
      <w:adjustRightInd w:val="0"/>
    </w:pPr>
    <w:rPr>
      <w:rFonts w:ascii="宋体" w:eastAsia="宋体" w:cs="宋体" w:hAnsiTheme="minorHAnsi"/>
      <w:sz w:val="24"/>
      <w:szCs w:val="24"/>
      <w:lang w:val="en-US" w:eastAsia="zh-CN" w:bidi="ar-SA"/>
    </w:rPr>
  </w:style>
  <w:style w:type="paragraph" w:customStyle="1" w:styleId="229">
    <w:name w:val="表的标题"/>
    <w:basedOn w:val="1"/>
    <w:next w:val="230"/>
    <w:qFormat/>
    <w:uiPriority w:val="0"/>
    <w:pPr>
      <w:adjustRightInd w:val="0"/>
      <w:snapToGrid w:val="0"/>
      <w:jc w:val="center"/>
    </w:pPr>
    <w:rPr>
      <w:rFonts w:ascii="Arial" w:hAnsi="Arial"/>
      <w:sz w:val="24"/>
      <w:szCs w:val="20"/>
    </w:rPr>
  </w:style>
  <w:style w:type="paragraph" w:customStyle="1" w:styleId="230">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E18AE-28FD-406B-95BB-D5060DFDF66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12328</Words>
  <Characters>13119</Characters>
  <Lines>104</Lines>
  <Paragraphs>29</Paragraphs>
  <TotalTime>5</TotalTime>
  <ScaleCrop>false</ScaleCrop>
  <LinksUpToDate>false</LinksUpToDate>
  <CharactersWithSpaces>13885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2023-03-22T09:04:53Z</dcterms:modified>
  <dc:title>公开招标文件（货物服务类）</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61B176F126E849A2BD6ADF8BE56011B3</vt:lpwstr>
  </property>
</Properties>
</file>